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sz w:val="32"/>
          <w:szCs w:val="32"/>
        </w:rPr>
      </w:pPr>
    </w:p>
    <w:p>
      <w:pPr>
        <w:pStyle w:val="2"/>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重庆市永川区人民政府办公室</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rPr>
        <w:t>关于</w:t>
      </w:r>
      <w:r>
        <w:rPr>
          <w:rFonts w:hint="eastAsia" w:ascii="Times New Roman" w:hAnsi="Times New Roman" w:eastAsia="方正小标宋_GBK" w:cs="Times New Roman"/>
          <w:color w:val="auto"/>
          <w:sz w:val="44"/>
          <w:szCs w:val="44"/>
          <w:highlight w:val="none"/>
          <w:lang w:val="en-US" w:eastAsia="zh-CN"/>
        </w:rPr>
        <w:t>印发</w:t>
      </w:r>
      <w:r>
        <w:rPr>
          <w:rFonts w:hint="default" w:ascii="Times New Roman" w:hAnsi="Times New Roman" w:eastAsia="方正小标宋_GBK" w:cs="Times New Roman"/>
          <w:color w:val="auto"/>
          <w:sz w:val="44"/>
          <w:szCs w:val="44"/>
          <w:highlight w:val="none"/>
          <w:lang w:val="en-US" w:eastAsia="zh-CN"/>
        </w:rPr>
        <w:t>永川区疾病预防控制能力提升三年</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行动实施方案（2023-2025年）</w:t>
      </w:r>
      <w:r>
        <w:rPr>
          <w:rFonts w:hint="default" w:ascii="Times New Roman" w:hAnsi="Times New Roman" w:eastAsia="方正小标宋_GBK" w:cs="Times New Roman"/>
          <w:color w:val="auto"/>
          <w:sz w:val="44"/>
          <w:szCs w:val="44"/>
          <w:highlight w:val="none"/>
        </w:rPr>
        <w:t>的</w:t>
      </w:r>
      <w:r>
        <w:rPr>
          <w:rFonts w:hint="eastAsia" w:ascii="Times New Roman" w:hAnsi="Times New Roman" w:eastAsia="方正小标宋_GBK" w:cs="Times New Roman"/>
          <w:color w:val="auto"/>
          <w:sz w:val="44"/>
          <w:szCs w:val="44"/>
          <w:highlight w:val="none"/>
          <w:lang w:val="en-US" w:eastAsia="zh-CN"/>
        </w:rPr>
        <w:t>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sz w:val="32"/>
          <w:szCs w:val="32"/>
        </w:rPr>
      </w:pPr>
      <w:r>
        <w:rPr>
          <w:rFonts w:hint="default" w:eastAsia="方正仿宋_GBK"/>
          <w:sz w:val="32"/>
          <w:szCs w:val="32"/>
        </w:rPr>
        <w:t>永川府办发〔2023〕54号</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default" w:ascii="Times New Roman" w:hAnsi="Times New Roman" w:eastAsia="方正仿宋_GBK" w:cs="Times New Roman"/>
          <w:color w:val="auto"/>
          <w:sz w:val="32"/>
          <w:szCs w:val="22"/>
          <w:highlight w:val="none"/>
        </w:rPr>
      </w:pPr>
    </w:p>
    <w:p>
      <w:pPr>
        <w:keepNext w:val="0"/>
        <w:keepLines w:val="0"/>
        <w:pageBreakBefore w:val="0"/>
        <w:widowControl w:val="0"/>
        <w:kinsoku/>
        <w:wordWrap/>
        <w:overflowPunct/>
        <w:topLinePunct w:val="0"/>
        <w:autoSpaceDE/>
        <w:autoSpaceDN/>
        <w:bidi w:val="0"/>
        <w:adjustRightInd/>
        <w:snapToGrid w:val="0"/>
        <w:spacing w:line="300" w:lineRule="auto"/>
        <w:textAlignment w:val="auto"/>
        <w:rPr>
          <w:rFonts w:hint="default" w:ascii="Times New Roman" w:hAnsi="Times New Roman" w:eastAsia="方正仿宋_GBK" w:cs="Times New Roman"/>
          <w:color w:val="auto"/>
          <w:sz w:val="32"/>
          <w:szCs w:val="22"/>
          <w:highlight w:val="none"/>
        </w:rPr>
      </w:pPr>
      <w:r>
        <w:rPr>
          <w:rFonts w:hint="default" w:ascii="Times New Roman" w:hAnsi="Times New Roman" w:eastAsia="方正仿宋_GBK" w:cs="Times New Roman"/>
          <w:color w:val="auto"/>
          <w:sz w:val="32"/>
          <w:szCs w:val="22"/>
          <w:highlight w:val="none"/>
          <w:lang w:val="en-US" w:eastAsia="zh-CN"/>
        </w:rPr>
        <w:t>各镇人民政府</w:t>
      </w:r>
      <w:r>
        <w:rPr>
          <w:rFonts w:hint="eastAsia" w:eastAsia="方正仿宋_GBK" w:cs="Times New Roman"/>
          <w:color w:val="auto"/>
          <w:sz w:val="32"/>
          <w:szCs w:val="22"/>
          <w:highlight w:val="none"/>
          <w:lang w:val="en-US" w:eastAsia="zh-CN"/>
        </w:rPr>
        <w:t>、</w:t>
      </w:r>
      <w:r>
        <w:rPr>
          <w:rFonts w:hint="default" w:ascii="Times New Roman" w:hAnsi="Times New Roman" w:eastAsia="方正仿宋_GBK" w:cs="Times New Roman"/>
          <w:color w:val="auto"/>
          <w:sz w:val="32"/>
          <w:szCs w:val="22"/>
          <w:highlight w:val="none"/>
          <w:lang w:val="en-US" w:eastAsia="zh-CN"/>
        </w:rPr>
        <w:t>街道办事处，区</w:t>
      </w:r>
      <w:r>
        <w:rPr>
          <w:rFonts w:hint="default" w:eastAsia="方正仿宋_GBK" w:cs="Times New Roman"/>
          <w:color w:val="auto"/>
          <w:sz w:val="32"/>
          <w:szCs w:val="22"/>
          <w:highlight w:val="none"/>
          <w:lang w:eastAsia="zh-CN"/>
        </w:rPr>
        <w:t>政府</w:t>
      </w:r>
      <w:r>
        <w:rPr>
          <w:rFonts w:hint="default" w:ascii="Times New Roman" w:hAnsi="Times New Roman" w:eastAsia="方正仿宋_GBK" w:cs="Times New Roman"/>
          <w:color w:val="auto"/>
          <w:sz w:val="32"/>
          <w:szCs w:val="22"/>
          <w:highlight w:val="none"/>
          <w:lang w:val="en-US" w:eastAsia="zh-CN"/>
        </w:rPr>
        <w:t>各部门，有关单位</w:t>
      </w:r>
      <w:r>
        <w:rPr>
          <w:rFonts w:hint="default" w:ascii="Times New Roman" w:hAnsi="Times New Roman" w:eastAsia="方正仿宋_GBK" w:cs="Times New Roman"/>
          <w:color w:val="auto"/>
          <w:sz w:val="32"/>
          <w:szCs w:val="22"/>
          <w:highlight w:val="none"/>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《永川区疾病预防控制能力提升三年行动实施方案（2023-2025年）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after="0" w:line="300" w:lineRule="auto"/>
        <w:ind w:left="0" w:leftChars="0" w:right="2240" w:rightChars="700"/>
        <w:jc w:val="both"/>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after="0" w:line="300" w:lineRule="auto"/>
        <w:ind w:left="0" w:leftChars="0" w:right="2240" w:rightChars="700"/>
        <w:jc w:val="both"/>
        <w:textAlignment w:val="auto"/>
        <w:rPr>
          <w:rFonts w:hint="default" w:ascii="Times New Roman" w:hAnsi="Times New Roman" w:eastAsia="方正仿宋_GBK" w:cs="Times New Roman"/>
          <w:color w:val="auto"/>
          <w:kern w:val="2"/>
          <w:sz w:val="32"/>
          <w:szCs w:val="32"/>
          <w:highlight w:val="none"/>
          <w:lang w:val="en-US" w:eastAsia="zh-CN" w:bidi="ar-SA"/>
        </w:rPr>
      </w:pPr>
    </w:p>
    <w:p>
      <w:pPr>
        <w:keepNext w:val="0"/>
        <w:keepLines w:val="0"/>
        <w:pageBreakBefore w:val="0"/>
        <w:widowControl w:val="0"/>
        <w:kinsoku/>
        <w:wordWrap w:val="0"/>
        <w:overflowPunct/>
        <w:topLinePunct w:val="0"/>
        <w:autoSpaceDE/>
        <w:autoSpaceDN/>
        <w:bidi w:val="0"/>
        <w:adjustRightInd/>
        <w:snapToGrid w:val="0"/>
        <w:spacing w:line="300" w:lineRule="auto"/>
        <w:ind w:firstLine="3840" w:firstLineChars="1200"/>
        <w:jc w:val="righ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重庆市永川区</w:t>
      </w:r>
      <w:r>
        <w:rPr>
          <w:rFonts w:hint="eastAsia" w:ascii="Times New Roman" w:hAnsi="Times New Roman" w:eastAsia="方正仿宋_GBK" w:cs="Times New Roman"/>
          <w:color w:val="auto"/>
          <w:sz w:val="32"/>
          <w:szCs w:val="32"/>
          <w:highlight w:val="none"/>
          <w:lang w:val="en-US" w:eastAsia="zh-CN"/>
        </w:rPr>
        <w:t>人民政府办公室</w:t>
      </w:r>
      <w:r>
        <w:rPr>
          <w:rFonts w:hint="default" w:eastAsia="方正仿宋_GBK"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firstLine="4960" w:firstLineChars="155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年</w:t>
      </w:r>
      <w:r>
        <w:rPr>
          <w:rFonts w:hint="eastAsia"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rPr>
        <w:t>月</w:t>
      </w:r>
      <w:r>
        <w:rPr>
          <w:rFonts w:hint="default" w:eastAsia="方正仿宋_GBK" w:cs="Times New Roman"/>
          <w:color w:val="auto"/>
          <w:sz w:val="32"/>
          <w:szCs w:val="32"/>
          <w:highlight w:val="none"/>
          <w:lang w:val="en-US" w:eastAsia="zh-CN"/>
        </w:rPr>
        <w:t>27</w:t>
      </w:r>
      <w:r>
        <w:rPr>
          <w:rFonts w:hint="default" w:ascii="Times New Roman" w:hAnsi="Times New Roman" w:eastAsia="方正仿宋_GBK" w:cs="Times New Roman"/>
          <w:color w:val="auto"/>
          <w:sz w:val="32"/>
          <w:szCs w:val="32"/>
          <w:highlight w:val="none"/>
        </w:rPr>
        <w:t>日</w:t>
      </w:r>
    </w:p>
    <w:p>
      <w:pPr>
        <w:keepNext w:val="0"/>
        <w:keepLines w:val="0"/>
        <w:pageBreakBefore w:val="0"/>
        <w:widowControl w:val="0"/>
        <w:suppressLineNumbers w:val="0"/>
        <w:kinsoku/>
        <w:wordWrap/>
        <w:overflowPunct/>
        <w:topLinePunct w:val="0"/>
        <w:autoSpaceDE/>
        <w:autoSpaceDN/>
        <w:bidi w:val="0"/>
        <w:adjustRightInd/>
        <w:snapToGrid w:val="0"/>
        <w:spacing w:line="300" w:lineRule="auto"/>
        <w:ind w:firstLine="620" w:firstLineChars="200"/>
        <w:jc w:val="left"/>
        <w:textAlignment w:val="auto"/>
        <w:rPr>
          <w:rFonts w:ascii="方正仿宋_GBK" w:hAnsi="方正仿宋_GBK" w:eastAsia="方正仿宋_GBK" w:cs="方正仿宋_GBK"/>
          <w:color w:val="000000"/>
          <w:kern w:val="0"/>
          <w:sz w:val="31"/>
          <w:szCs w:val="31"/>
          <w:lang w:val="en-US" w:eastAsia="zh-CN" w:bidi="ar"/>
        </w:rPr>
      </w:pPr>
      <w:r>
        <w:rPr>
          <w:rFonts w:ascii="方正仿宋_GBK" w:hAnsi="方正仿宋_GBK" w:eastAsia="方正仿宋_GBK" w:cs="方正仿宋_GBK"/>
          <w:color w:val="000000"/>
          <w:kern w:val="0"/>
          <w:sz w:val="31"/>
          <w:szCs w:val="31"/>
          <w:lang w:val="en-US" w:eastAsia="zh-CN" w:bidi="ar"/>
        </w:rPr>
        <w:t>（此件</w:t>
      </w:r>
      <w:r>
        <w:rPr>
          <w:rFonts w:hint="eastAsia" w:ascii="方正仿宋_GBK" w:hAnsi="方正仿宋_GBK" w:eastAsia="方正仿宋_GBK" w:cs="方正仿宋_GBK"/>
          <w:color w:val="000000"/>
          <w:kern w:val="0"/>
          <w:sz w:val="31"/>
          <w:szCs w:val="31"/>
          <w:lang w:val="en-US" w:eastAsia="zh-CN" w:bidi="ar"/>
        </w:rPr>
        <w:t>公开发布</w:t>
      </w:r>
      <w:r>
        <w:rPr>
          <w:rFonts w:ascii="方正仿宋_GBK" w:hAnsi="方正仿宋_GBK" w:eastAsia="方正仿宋_GBK" w:cs="方正仿宋_GBK"/>
          <w:color w:val="000000"/>
          <w:kern w:val="0"/>
          <w:sz w:val="31"/>
          <w:szCs w:val="31"/>
          <w:lang w:val="en-US" w:eastAsia="zh-CN" w:bidi="ar"/>
        </w:rPr>
        <w:t>）</w:t>
      </w:r>
    </w:p>
    <w:p>
      <w:pPr>
        <w:rPr>
          <w:rFonts w:hint="default"/>
          <w:lang w:val="en" w:eastAsia="zh-CN"/>
        </w:rPr>
      </w:pPr>
      <w:r>
        <w:rPr>
          <w:rFonts w:hint="default"/>
          <w:lang w:val="en" w:eastAsia="zh-CN"/>
        </w:rPr>
        <w:br w:type="page"/>
      </w:r>
    </w:p>
    <w:p>
      <w:pPr>
        <w:pStyle w:val="2"/>
        <w:rPr>
          <w:rFonts w:hint="default"/>
          <w:lang w:val="en" w:eastAsia="zh-CN"/>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永川区疾病预防控制能力提升三年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rPr>
        <w:t>行动实施方案（2023-2025年）</w:t>
      </w:r>
    </w:p>
    <w:p>
      <w:pPr>
        <w:snapToGrid w:val="0"/>
        <w:spacing w:afterLines="0" w:line="300" w:lineRule="auto"/>
        <w:ind w:firstLine="320" w:firstLineChars="100"/>
        <w:jc w:val="both"/>
        <w:rPr>
          <w:rFonts w:hint="eastAsia" w:ascii="方正黑体_GBK" w:eastAsia="方正黑体_GBK"/>
          <w:color w:val="auto"/>
          <w:sz w:val="32"/>
          <w:szCs w:val="32"/>
          <w:highlight w:val="none"/>
        </w:rPr>
      </w:pPr>
    </w:p>
    <w:p>
      <w:pPr>
        <w:snapToGrid w:val="0"/>
        <w:spacing w:afterLines="0" w:line="300" w:lineRule="auto"/>
        <w:ind w:firstLine="642"/>
        <w:jc w:val="both"/>
        <w:rPr>
          <w:rFonts w:ascii="Times New Roman" w:hAnsi="Times New Roman" w:eastAsia="方正仿宋_GBK"/>
          <w:color w:val="auto"/>
          <w:sz w:val="32"/>
          <w:szCs w:val="32"/>
          <w:highlight w:val="none"/>
        </w:rPr>
      </w:pPr>
      <w:r>
        <w:rPr>
          <w:rFonts w:ascii="Times New Roman" w:hAnsi="Times New Roman" w:eastAsia="方正仿宋_GBK"/>
          <w:color w:val="auto"/>
          <w:sz w:val="32"/>
          <w:szCs w:val="32"/>
          <w:highlight w:val="none"/>
        </w:rPr>
        <w:t>为深入学习领会党的二十大精神，贯彻习近平新时代中国特色社会主义思想，落实推进健康中国建设部署要求，推动我区疾控体系持续健康发展，不断提升重大疫情和突发公共卫生事件防控应对能力，</w:t>
      </w:r>
      <w:r>
        <w:rPr>
          <w:rFonts w:ascii="Times New Roman" w:hAnsi="Times New Roman" w:eastAsia="方正仿宋_GBK"/>
          <w:color w:val="auto"/>
          <w:sz w:val="32"/>
          <w:szCs w:val="32"/>
          <w:highlight w:val="none"/>
          <w:lang w:val="en-US" w:eastAsia="zh-CN"/>
        </w:rPr>
        <w:t>根据</w:t>
      </w:r>
      <w:r>
        <w:rPr>
          <w:rFonts w:hint="eastAsia" w:ascii="Times New Roman" w:hAnsi="Times New Roman" w:eastAsia="方正仿宋_GBK"/>
          <w:color w:val="auto"/>
          <w:sz w:val="32"/>
          <w:szCs w:val="32"/>
          <w:highlight w:val="none"/>
          <w:lang w:val="en-US" w:eastAsia="zh-CN"/>
        </w:rPr>
        <w:t>《重庆市医疗卫生服务体系</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十四五</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规划（2021—2025年）》《永川区国民经济和社会发展第十四个五年规划和二〇三五年远景目标纲要》《永川区卫生健康发展</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十四五</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规划》</w:t>
      </w:r>
      <w:r>
        <w:rPr>
          <w:rFonts w:ascii="Times New Roman" w:hAnsi="Times New Roman" w:eastAsia="方正仿宋_GBK"/>
          <w:color w:val="auto"/>
          <w:sz w:val="32"/>
          <w:szCs w:val="32"/>
          <w:highlight w:val="none"/>
          <w:lang w:val="en-US" w:eastAsia="zh-CN"/>
        </w:rPr>
        <w:t>要求，</w:t>
      </w:r>
      <w:r>
        <w:rPr>
          <w:rFonts w:ascii="Times New Roman" w:hAnsi="Times New Roman" w:eastAsia="方正仿宋_GBK"/>
          <w:color w:val="auto"/>
          <w:sz w:val="32"/>
          <w:szCs w:val="32"/>
          <w:highlight w:val="none"/>
        </w:rPr>
        <w:t>结合</w:t>
      </w:r>
      <w:r>
        <w:rPr>
          <w:rFonts w:hint="eastAsia" w:eastAsia="方正仿宋_GBK"/>
          <w:color w:val="auto"/>
          <w:sz w:val="32"/>
          <w:szCs w:val="32"/>
          <w:highlight w:val="none"/>
          <w:lang w:val="en-US" w:eastAsia="zh-CN"/>
        </w:rPr>
        <w:t>我</w:t>
      </w:r>
      <w:r>
        <w:rPr>
          <w:rFonts w:ascii="Times New Roman" w:hAnsi="Times New Roman" w:eastAsia="方正仿宋_GBK"/>
          <w:color w:val="auto"/>
          <w:sz w:val="32"/>
          <w:szCs w:val="32"/>
          <w:highlight w:val="none"/>
          <w:lang w:val="en-US" w:eastAsia="zh-CN"/>
        </w:rPr>
        <w:t>区疾病预防控制</w:t>
      </w:r>
      <w:r>
        <w:rPr>
          <w:rFonts w:hint="eastAsia" w:eastAsia="方正仿宋_GBK"/>
          <w:color w:val="auto"/>
          <w:sz w:val="32"/>
          <w:szCs w:val="32"/>
          <w:highlight w:val="none"/>
          <w:lang w:val="en-US" w:eastAsia="zh-CN"/>
        </w:rPr>
        <w:t>工作</w:t>
      </w:r>
      <w:r>
        <w:rPr>
          <w:rFonts w:ascii="Times New Roman" w:hAnsi="Times New Roman" w:eastAsia="方正仿宋_GBK"/>
          <w:color w:val="auto"/>
          <w:sz w:val="32"/>
          <w:szCs w:val="32"/>
          <w:highlight w:val="none"/>
        </w:rPr>
        <w:t>实际，特制定本实施方案。</w:t>
      </w:r>
    </w:p>
    <w:p>
      <w:pPr>
        <w:snapToGrid w:val="0"/>
        <w:spacing w:afterLines="0" w:line="300" w:lineRule="auto"/>
        <w:ind w:firstLine="640" w:firstLineChars="200"/>
        <w:jc w:val="both"/>
        <w:rPr>
          <w:rFonts w:hint="eastAsia" w:ascii="方正黑体_GBK" w:eastAsia="方正黑体_GBK"/>
          <w:color w:val="auto"/>
          <w:sz w:val="32"/>
          <w:szCs w:val="32"/>
        </w:rPr>
      </w:pPr>
      <w:r>
        <w:rPr>
          <w:rFonts w:hint="eastAsia" w:ascii="方正黑体_GBK" w:eastAsia="方正黑体_GBK"/>
          <w:color w:val="auto"/>
          <w:sz w:val="32"/>
          <w:szCs w:val="32"/>
        </w:rPr>
        <w:t>一、行动目标</w:t>
      </w:r>
    </w:p>
    <w:p>
      <w:pPr>
        <w:pStyle w:val="42"/>
        <w:tabs>
          <w:tab w:val="clear" w:pos="4153"/>
          <w:tab w:val="clear" w:pos="8306"/>
        </w:tabs>
        <w:spacing w:afterLines="0" w:line="300" w:lineRule="auto"/>
        <w:ind w:firstLine="640" w:firstLineChars="200"/>
        <w:jc w:val="both"/>
        <w:rPr>
          <w:rFonts w:hint="eastAsia" w:ascii="方正楷体_GBK" w:hAnsi="方正楷体_GBK" w:eastAsia="方正楷体_GBK"/>
          <w:color w:val="auto"/>
          <w:sz w:val="32"/>
          <w:szCs w:val="32"/>
        </w:rPr>
      </w:pPr>
      <w:r>
        <w:rPr>
          <w:rFonts w:hint="eastAsia" w:ascii="方正楷体_GBK" w:hAnsi="方正楷体_GBK" w:eastAsia="方正楷体_GBK"/>
          <w:color w:val="auto"/>
          <w:sz w:val="32"/>
          <w:szCs w:val="32"/>
        </w:rPr>
        <w:t>（一）总体目标</w:t>
      </w:r>
    </w:p>
    <w:p>
      <w:pPr>
        <w:pStyle w:val="42"/>
        <w:tabs>
          <w:tab w:val="clear" w:pos="4153"/>
          <w:tab w:val="clear" w:pos="8306"/>
        </w:tabs>
        <w:spacing w:afterLines="0" w:line="300" w:lineRule="auto"/>
        <w:ind w:firstLine="640" w:firstLineChars="200"/>
        <w:jc w:val="both"/>
        <w:rPr>
          <w:rFonts w:hint="default" w:ascii="Times New Roman" w:hAnsi="Times New Roman" w:eastAsia="方正仿宋_GBK"/>
          <w:color w:val="auto"/>
          <w:sz w:val="32"/>
          <w:szCs w:val="32"/>
          <w:lang w:val="en-US" w:eastAsia="zh-CN"/>
        </w:rPr>
      </w:pPr>
      <w:r>
        <w:rPr>
          <w:rFonts w:ascii="Times New Roman" w:hAnsi="Times New Roman" w:eastAsia="方正仿宋_GBK"/>
          <w:color w:val="auto"/>
          <w:sz w:val="32"/>
          <w:szCs w:val="32"/>
        </w:rPr>
        <w:t>以习近平新时代中国特色社会主义思想为指导，</w:t>
      </w:r>
      <w:r>
        <w:rPr>
          <w:rFonts w:hint="eastAsia" w:ascii="Times New Roman" w:hAnsi="Times New Roman" w:eastAsia="方正仿宋_GBK"/>
          <w:color w:val="auto"/>
          <w:sz w:val="32"/>
          <w:szCs w:val="32"/>
          <w:lang w:eastAsia="zh-CN"/>
        </w:rPr>
        <w:t>学习</w:t>
      </w:r>
      <w:r>
        <w:rPr>
          <w:rFonts w:ascii="Times New Roman" w:hAnsi="Times New Roman" w:eastAsia="方正仿宋_GBK"/>
          <w:color w:val="auto"/>
          <w:sz w:val="32"/>
          <w:szCs w:val="32"/>
        </w:rPr>
        <w:t>贯彻落实习近平总书记关于完善重大疫情防控体制机制、健全国家公共卫生应急管理体系的指示精神</w:t>
      </w:r>
      <w:r>
        <w:rPr>
          <w:rFonts w:hint="eastAsia" w:ascii="Times New Roman" w:hAnsi="Times New Roman" w:eastAsia="方正仿宋_GBK"/>
          <w:color w:val="auto"/>
          <w:sz w:val="32"/>
          <w:szCs w:val="32"/>
        </w:rPr>
        <w:t>，锚定</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健全公共卫生体系</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加强重大疫情防控应急能力建设</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有效遏制重大传染病疾病传播</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等目标要求，全面建成基础设施完善、仪器装备完备、检测技术精准、专业素养精湛、应急机制健全、应急响应敏捷、疾控文化浓厚的现代化的三</w:t>
      </w:r>
      <w:r>
        <w:rPr>
          <w:rFonts w:hint="eastAsia" w:ascii="Times New Roman" w:hAnsi="Times New Roman" w:eastAsia="方正仿宋_GBK"/>
          <w:color w:val="auto"/>
          <w:sz w:val="32"/>
          <w:szCs w:val="32"/>
        </w:rPr>
        <w:t>级</w:t>
      </w:r>
      <w:r>
        <w:rPr>
          <w:rFonts w:hint="eastAsia" w:ascii="Times New Roman" w:hAnsi="Times New Roman" w:eastAsia="方正仿宋_GBK"/>
          <w:color w:val="auto"/>
          <w:sz w:val="32"/>
          <w:szCs w:val="32"/>
          <w:lang w:val="en-US" w:eastAsia="zh-CN"/>
        </w:rPr>
        <w:t>甲等</w:t>
      </w:r>
      <w:r>
        <w:rPr>
          <w:rFonts w:ascii="Times New Roman" w:hAnsi="Times New Roman" w:eastAsia="方正仿宋_GBK"/>
          <w:color w:val="auto"/>
          <w:sz w:val="32"/>
          <w:szCs w:val="32"/>
        </w:rPr>
        <w:t>疾病预防控制中心和市级区域性疾控中心</w:t>
      </w:r>
      <w:r>
        <w:rPr>
          <w:rFonts w:hint="eastAsia" w:ascii="Times New Roman" w:hAnsi="Times New Roman" w:eastAsia="方正仿宋_GBK"/>
          <w:color w:val="auto"/>
          <w:sz w:val="32"/>
          <w:szCs w:val="32"/>
          <w:lang w:eastAsia="zh-CN"/>
        </w:rPr>
        <w:t>。建立平战结合</w:t>
      </w:r>
      <w:r>
        <w:rPr>
          <w:rFonts w:hint="eastAsia" w:ascii="Times New Roman" w:hAnsi="Times New Roman" w:eastAsia="方正仿宋_GBK"/>
          <w:color w:val="auto"/>
          <w:sz w:val="32"/>
          <w:szCs w:val="32"/>
          <w:lang w:val="en-US" w:eastAsia="zh-CN"/>
        </w:rPr>
        <w:t>的公共卫生事件应急处置指挥体系</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lang w:val="en-US" w:eastAsia="zh-CN"/>
        </w:rPr>
        <w:t>进一步加强重大疫情防控救治体系和重大传染病应急处置能力建设</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lang w:val="en-US" w:eastAsia="zh-CN"/>
        </w:rPr>
        <w:t>深入推进疾控体系改革，健全公共卫生和健康服务体系，推动疾病预防控制能力渝西领先，在维护人民健康、保障公共卫生安全、助力全区高质量发展等方面彰显新作为。</w:t>
      </w:r>
    </w:p>
    <w:p>
      <w:pPr>
        <w:snapToGrid w:val="0"/>
        <w:spacing w:afterLines="0" w:line="300" w:lineRule="auto"/>
        <w:ind w:firstLine="640" w:firstLineChars="200"/>
        <w:jc w:val="both"/>
        <w:rPr>
          <w:rFonts w:hint="eastAsia" w:ascii="方正楷体_GBK" w:hAnsi="方正楷体_GBK" w:eastAsia="方正楷体_GBK"/>
          <w:color w:val="auto"/>
          <w:sz w:val="32"/>
          <w:szCs w:val="32"/>
          <w:u w:val="none"/>
        </w:rPr>
      </w:pPr>
      <w:r>
        <w:rPr>
          <w:rFonts w:hint="eastAsia" w:ascii="方正楷体_GBK" w:hAnsi="方正楷体_GBK" w:eastAsia="方正楷体_GBK"/>
          <w:color w:val="auto"/>
          <w:sz w:val="32"/>
          <w:szCs w:val="32"/>
          <w:u w:val="none"/>
        </w:rPr>
        <w:t>（二）具体目标</w:t>
      </w:r>
    </w:p>
    <w:p>
      <w:pPr>
        <w:snapToGrid w:val="0"/>
        <w:spacing w:afterLines="0" w:line="300" w:lineRule="auto"/>
        <w:ind w:firstLine="640" w:firstLineChars="200"/>
        <w:jc w:val="both"/>
        <w:rPr>
          <w:rFonts w:hint="default" w:ascii="Times New Roman" w:hAnsi="Times New Roman" w:eastAsia="方正仿宋_GBK" w:cs="Times New Roman"/>
          <w:color w:val="auto"/>
          <w:sz w:val="32"/>
          <w:szCs w:val="32"/>
          <w:u w:val="none"/>
          <w:lang w:val="en-US" w:eastAsia="zh-CN"/>
        </w:rPr>
      </w:pPr>
      <w:r>
        <w:rPr>
          <w:rFonts w:hint="eastAsia" w:eastAsia="方正仿宋_GBK" w:cs="Times New Roman"/>
          <w:color w:val="auto"/>
          <w:sz w:val="32"/>
          <w:szCs w:val="32"/>
          <w:u w:val="none"/>
          <w:lang w:val="en-US" w:eastAsia="zh-CN"/>
        </w:rPr>
        <w:t>1.领导指挥体系更加统一高效。建立定期研究部署重大疫情防控等卫生健康工作机制，巩固完善党委领导、政府主导、部门配合、上下联动、分级负责的集中统一、权威高效的领导指挥体系，强化部门职责、属地责任、社会动员，全面构建指挥有力、各负其责、协同合作、运转高效的疾病预防控制网络。</w:t>
      </w:r>
    </w:p>
    <w:p>
      <w:pPr>
        <w:snapToGrid w:val="0"/>
        <w:spacing w:afterLines="0" w:line="300" w:lineRule="auto"/>
        <w:ind w:firstLine="640" w:firstLineChars="200"/>
        <w:jc w:val="both"/>
        <w:rPr>
          <w:rFonts w:hint="default" w:ascii="Times New Roman" w:hAnsi="Times New Roman" w:eastAsia="方正仿宋_GBK" w:cs="Times New Roman"/>
          <w:color w:val="auto"/>
          <w:sz w:val="32"/>
          <w:szCs w:val="32"/>
          <w:u w:val="none"/>
        </w:rPr>
      </w:pPr>
      <w:r>
        <w:rPr>
          <w:rFonts w:hint="eastAsia" w:eastAsia="方正仿宋_GBK" w:cs="Times New Roman"/>
          <w:color w:val="auto"/>
          <w:sz w:val="32"/>
          <w:szCs w:val="32"/>
          <w:u w:val="none"/>
          <w:lang w:val="en-US" w:eastAsia="zh-CN"/>
        </w:rPr>
        <w:t>2</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疾病监测预警能力显著增强。依托市级构建以传染病及重大疫情防控为重点、覆盖疾病预防控制主要业务的智能监测预警体系，实现疾病预防控制和突发公共卫生事件智能化处置和早期监测预警能力显著提升。</w:t>
      </w:r>
    </w:p>
    <w:p>
      <w:pPr>
        <w:snapToGrid w:val="0"/>
        <w:spacing w:afterLines="0" w:line="300" w:lineRule="auto"/>
        <w:ind w:firstLine="640" w:firstLineChars="200"/>
        <w:jc w:val="both"/>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u w:val="none"/>
          <w:lang w:val="en-US" w:eastAsia="zh-CN"/>
        </w:rPr>
        <w:t>3</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应急处置能力显著提升。建成市级突发传</w:t>
      </w:r>
      <w:r>
        <w:rPr>
          <w:rFonts w:hint="default" w:ascii="Times New Roman" w:hAnsi="Times New Roman" w:eastAsia="方正仿宋_GBK" w:cs="Times New Roman"/>
          <w:color w:val="auto"/>
          <w:sz w:val="32"/>
          <w:szCs w:val="32"/>
        </w:rPr>
        <w:t>染病处置应急队伍，及时科学有效应对突发公共卫生事件。进一步健全突发事件应急组织协调和现场调查检验检测等现场处置程序，提高突发事件应急处理能力。</w:t>
      </w:r>
    </w:p>
    <w:p>
      <w:pPr>
        <w:snapToGrid w:val="0"/>
        <w:spacing w:afterLines="0" w:line="300" w:lineRule="auto"/>
        <w:ind w:firstLine="640" w:firstLineChars="200"/>
        <w:jc w:val="both"/>
        <w:rPr>
          <w:rFonts w:hint="default" w:ascii="Times New Roman" w:hAnsi="Times New Roman" w:eastAsia="方正仿宋_GBK" w:cs="Times New Roman"/>
          <w:color w:val="auto"/>
          <w:sz w:val="32"/>
          <w:szCs w:val="32"/>
        </w:rPr>
      </w:pP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实验室检测能力显著提升。实验室设备配置全面达到三</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疾控机构配置标准，建立仪器设备更新升级机制。重点领域实验室建设更加完善，科研支撑能力明显提升。检测项目不断拓展，检测能力进入全市前5名、渝西领先水平。</w:t>
      </w:r>
    </w:p>
    <w:p>
      <w:pPr>
        <w:snapToGrid w:val="0"/>
        <w:spacing w:afterLines="0" w:line="300" w:lineRule="auto"/>
        <w:ind w:firstLine="640" w:firstLineChars="200"/>
        <w:jc w:val="both"/>
        <w:rPr>
          <w:rFonts w:hint="default" w:ascii="Times New Roman" w:hAnsi="Times New Roman" w:eastAsia="方正仿宋_GBK" w:cs="Times New Roman"/>
          <w:color w:val="auto"/>
          <w:sz w:val="32"/>
          <w:szCs w:val="32"/>
          <w:lang w:val="en-US" w:eastAsia="zh-CN"/>
        </w:rPr>
      </w:pPr>
      <w:r>
        <w:rPr>
          <w:rFonts w:hint="eastAsia"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科研平台基本完善。依托市疾控中心，与高校、其他省市疾控中心开展科研和学科建设，完善内部科研奖励和激励机制，建成</w:t>
      </w:r>
      <w:r>
        <w:rPr>
          <w:rFonts w:hint="default" w:ascii="Times New Roman" w:hAnsi="Times New Roman" w:eastAsia="方正仿宋_GBK" w:cs="Times New Roman"/>
          <w:color w:val="auto"/>
          <w:sz w:val="32"/>
          <w:szCs w:val="32"/>
          <w:lang w:val="en-US" w:eastAsia="zh-CN"/>
        </w:rPr>
        <w:t>病原微生物、慢性病防治、职业病防治、传染病防</w:t>
      </w:r>
      <w:r>
        <w:rPr>
          <w:rFonts w:hint="eastAsia" w:eastAsia="方正仿宋_GBK" w:cs="Times New Roman"/>
          <w:color w:val="auto"/>
          <w:sz w:val="32"/>
          <w:szCs w:val="32"/>
          <w:lang w:val="en-US" w:eastAsia="zh-CN"/>
        </w:rPr>
        <w:t>制</w:t>
      </w:r>
      <w:r>
        <w:rPr>
          <w:rFonts w:hint="default" w:ascii="Times New Roman" w:hAnsi="Times New Roman" w:eastAsia="方正仿宋_GBK" w:cs="Times New Roman"/>
          <w:color w:val="auto"/>
          <w:sz w:val="32"/>
          <w:szCs w:val="32"/>
          <w:lang w:val="en-US" w:eastAsia="zh-CN"/>
        </w:rPr>
        <w:t>等市（区）级重点学（专）科。</w:t>
      </w:r>
    </w:p>
    <w:p>
      <w:pPr>
        <w:snapToGrid w:val="0"/>
        <w:spacing w:afterLines="0" w:line="300" w:lineRule="auto"/>
        <w:ind w:firstLine="640" w:firstLineChars="200"/>
        <w:jc w:val="both"/>
        <w:rPr>
          <w:rFonts w:hint="default" w:ascii="Times New Roman" w:hAnsi="Times New Roman" w:eastAsia="方正仿宋_GBK" w:cs="Times New Roman"/>
          <w:color w:val="auto"/>
          <w:sz w:val="32"/>
          <w:szCs w:val="32"/>
        </w:rPr>
      </w:pPr>
      <w:r>
        <w:rPr>
          <w:rFonts w:hint="eastAsia"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人才队伍建设水平显著提高。建立疾控人才评价制度和高层次人才引进制度，健全绩效动态增长机制；组建涉及疾病防控、分析化学、微生物学、生物工程学、生物医学工程学、卫生检验检疫和信息技术等多学科的跨学科团队；专业技术人员比例稳定在80%以上；培育区县学术技术带头人才1-2名、重庆市首席公共卫生专家团队（工作室）人才1-2名，以及各类市级</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区级</w:t>
      </w:r>
      <w:r>
        <w:rPr>
          <w:rFonts w:hint="default" w:ascii="Times New Roman" w:hAnsi="Times New Roman" w:eastAsia="方正仿宋_GBK" w:cs="Times New Roman"/>
          <w:color w:val="auto"/>
          <w:sz w:val="32"/>
          <w:szCs w:val="32"/>
        </w:rPr>
        <w:t>专家</w:t>
      </w:r>
      <w:r>
        <w:rPr>
          <w:rFonts w:hint="default" w:ascii="Times New Roman" w:hAnsi="Times New Roman" w:eastAsia="方正仿宋_GBK" w:cs="Times New Roman"/>
          <w:color w:val="auto"/>
          <w:sz w:val="32"/>
          <w:szCs w:val="32"/>
          <w:lang w:val="en-US" w:eastAsia="zh-CN"/>
        </w:rPr>
        <w:t>3-5</w:t>
      </w:r>
      <w:r>
        <w:rPr>
          <w:rFonts w:hint="default" w:ascii="Times New Roman" w:hAnsi="Times New Roman" w:eastAsia="方正仿宋_GBK" w:cs="Times New Roman"/>
          <w:color w:val="auto"/>
          <w:sz w:val="32"/>
          <w:szCs w:val="32"/>
        </w:rPr>
        <w:t>名。</w:t>
      </w:r>
    </w:p>
    <w:p>
      <w:pPr>
        <w:snapToGrid w:val="0"/>
        <w:spacing w:afterLines="0" w:line="300" w:lineRule="auto"/>
        <w:ind w:firstLine="640" w:firstLineChars="200"/>
        <w:jc w:val="both"/>
        <w:rPr>
          <w:rFonts w:hint="eastAsia"/>
          <w:color w:val="auto"/>
        </w:rPr>
      </w:pPr>
      <w:r>
        <w:rPr>
          <w:rFonts w:hint="eastAsia" w:cs="Times New Roman"/>
          <w:color w:val="auto"/>
          <w:sz w:val="32"/>
          <w:szCs w:val="32"/>
          <w:lang w:val="en-US" w:eastAsia="zh-CN"/>
        </w:rPr>
        <w:t>7</w:t>
      </w:r>
      <w:r>
        <w:rPr>
          <w:rFonts w:hint="default" w:ascii="Times New Roman" w:hAnsi="Times New Roman" w:eastAsia="方正仿宋_GBK" w:cs="Times New Roman"/>
          <w:color w:val="auto"/>
          <w:sz w:val="32"/>
          <w:szCs w:val="32"/>
        </w:rPr>
        <w:t>.</w:t>
      </w:r>
      <w:r>
        <w:rPr>
          <w:rFonts w:hint="eastAsia" w:cs="Times New Roman"/>
          <w:color w:val="auto"/>
          <w:sz w:val="32"/>
          <w:szCs w:val="32"/>
          <w:lang w:val="en-US" w:eastAsia="zh-CN"/>
        </w:rPr>
        <w:t>创建三级甲等疾控中心</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highlight w:val="none"/>
        </w:rPr>
        <w:t>全面推进区疾控中心整体迁建一期项目</w:t>
      </w:r>
      <w:r>
        <w:rPr>
          <w:rFonts w:hint="eastAsia" w:cs="Times New Roman"/>
          <w:color w:val="auto"/>
          <w:sz w:val="32"/>
          <w:szCs w:val="32"/>
          <w:highlight w:val="none"/>
          <w:lang w:eastAsia="zh-CN"/>
        </w:rPr>
        <w:t>，</w:t>
      </w:r>
      <w:r>
        <w:rPr>
          <w:rFonts w:hint="default" w:ascii="Times New Roman" w:hAnsi="Times New Roman" w:eastAsia="方正仿宋_GBK" w:cs="Times New Roman"/>
          <w:color w:val="auto"/>
          <w:sz w:val="32"/>
          <w:szCs w:val="32"/>
        </w:rPr>
        <w:t>2024年建成三级甲等疾控中心。</w:t>
      </w:r>
    </w:p>
    <w:p>
      <w:pPr>
        <w:snapToGrid w:val="0"/>
        <w:spacing w:afterLines="0" w:line="300" w:lineRule="auto"/>
        <w:ind w:firstLine="640" w:firstLineChars="200"/>
        <w:jc w:val="both"/>
        <w:rPr>
          <w:rFonts w:hint="eastAsia" w:ascii="方正黑体_GBK" w:hAnsi="方正黑体_GBK" w:eastAsia="方正黑体_GBK"/>
          <w:color w:val="auto"/>
          <w:sz w:val="32"/>
          <w:szCs w:val="32"/>
        </w:rPr>
      </w:pPr>
      <w:r>
        <w:rPr>
          <w:rFonts w:hint="eastAsia" w:ascii="方正黑体_GBK" w:hAnsi="方正黑体_GBK" w:eastAsia="方正黑体_GBK"/>
          <w:color w:val="auto"/>
          <w:sz w:val="32"/>
          <w:szCs w:val="32"/>
        </w:rPr>
        <w:t>二、主要内容</w:t>
      </w:r>
    </w:p>
    <w:p>
      <w:pPr>
        <w:snapToGrid w:val="0"/>
        <w:spacing w:afterLines="0" w:line="300" w:lineRule="auto"/>
        <w:ind w:firstLine="640" w:firstLineChars="200"/>
        <w:jc w:val="both"/>
        <w:rPr>
          <w:rFonts w:hint="eastAsia" w:ascii="方正仿宋_GBK" w:eastAsia="方正仿宋_GBK"/>
          <w:color w:val="auto"/>
          <w:sz w:val="32"/>
          <w:szCs w:val="32"/>
          <w:lang w:eastAsia="zh-CN"/>
        </w:rPr>
      </w:pPr>
      <w:r>
        <w:rPr>
          <w:rFonts w:hint="eastAsia" w:ascii="方正仿宋_GBK" w:eastAsia="方正仿宋_GBK"/>
          <w:color w:val="auto"/>
          <w:sz w:val="32"/>
          <w:szCs w:val="32"/>
        </w:rPr>
        <w:t>根据行动目标要求，聚焦</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塑体系、</w:t>
      </w:r>
      <w:r>
        <w:rPr>
          <w:rFonts w:hint="eastAsia" w:ascii="方正仿宋_GBK" w:eastAsia="方正仿宋_GBK"/>
          <w:color w:val="auto"/>
          <w:sz w:val="32"/>
          <w:szCs w:val="32"/>
        </w:rPr>
        <w:t>强基础、促提升、争一流</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的工作要求，结合永川实际情况，通过实施</w:t>
      </w:r>
      <w:r>
        <w:rPr>
          <w:rFonts w:hint="eastAsia" w:eastAsia="方正仿宋_GBK"/>
          <w:color w:val="auto"/>
          <w:sz w:val="32"/>
          <w:szCs w:val="32"/>
          <w:lang w:eastAsia="zh-CN"/>
        </w:rPr>
        <w:t>“</w:t>
      </w:r>
      <w:r>
        <w:rPr>
          <w:rFonts w:hint="eastAsia" w:eastAsia="方正仿宋_GBK"/>
          <w:color w:val="auto"/>
          <w:sz w:val="32"/>
          <w:szCs w:val="32"/>
        </w:rPr>
        <w:t>3</w:t>
      </w:r>
      <w:r>
        <w:rPr>
          <w:rFonts w:hint="eastAsia" w:eastAsia="方正仿宋_GBK"/>
          <w:color w:val="auto"/>
          <w:sz w:val="32"/>
          <w:szCs w:val="32"/>
          <w:lang w:val="en-US" w:eastAsia="zh-CN"/>
        </w:rPr>
        <w:t>3</w:t>
      </w:r>
      <w:r>
        <w:rPr>
          <w:rFonts w:hint="eastAsia" w:eastAsia="方正仿宋_GBK"/>
          <w:color w:val="auto"/>
          <w:sz w:val="32"/>
          <w:szCs w:val="32"/>
        </w:rPr>
        <w:t>3</w:t>
      </w:r>
      <w:r>
        <w:rPr>
          <w:rFonts w:hint="eastAsia" w:eastAsia="方正仿宋_GBK"/>
          <w:color w:val="auto"/>
          <w:sz w:val="32"/>
          <w:szCs w:val="32"/>
          <w:lang w:val="en-US" w:eastAsia="zh-CN"/>
        </w:rPr>
        <w:t>3</w:t>
      </w:r>
      <w:r>
        <w:rPr>
          <w:rFonts w:hint="eastAsia" w:eastAsia="方正仿宋_GBK"/>
          <w:color w:val="auto"/>
          <w:sz w:val="32"/>
          <w:szCs w:val="32"/>
          <w:lang w:eastAsia="zh-CN"/>
        </w:rPr>
        <w:t>”</w:t>
      </w:r>
      <w:r>
        <w:rPr>
          <w:rFonts w:hint="eastAsia" w:ascii="方正仿宋_GBK" w:eastAsia="方正仿宋_GBK"/>
          <w:color w:val="auto"/>
          <w:sz w:val="32"/>
          <w:szCs w:val="32"/>
        </w:rPr>
        <w:t>行动，不断提升疾病防控能力，不断改革完善疾控体系建设，持续增强疾病防控能力，</w:t>
      </w:r>
      <w:r>
        <w:rPr>
          <w:rFonts w:hint="eastAsia" w:ascii="方正仿宋_GBK" w:eastAsia="方正仿宋_GBK"/>
          <w:color w:val="auto"/>
          <w:sz w:val="32"/>
          <w:szCs w:val="32"/>
          <w:lang w:val="en-US" w:eastAsia="zh-CN"/>
        </w:rPr>
        <w:t>全面</w:t>
      </w:r>
      <w:r>
        <w:rPr>
          <w:rFonts w:hint="eastAsia" w:ascii="方正仿宋_GBK" w:eastAsia="方正仿宋_GBK"/>
          <w:color w:val="auto"/>
          <w:sz w:val="32"/>
          <w:szCs w:val="32"/>
        </w:rPr>
        <w:t>推动疾病预防控制事业高质量发展，进一步保障全</w:t>
      </w:r>
      <w:r>
        <w:rPr>
          <w:rFonts w:hint="eastAsia" w:ascii="方正仿宋_GBK" w:eastAsia="方正仿宋_GBK"/>
          <w:color w:val="auto"/>
          <w:sz w:val="32"/>
          <w:szCs w:val="32"/>
          <w:lang w:val="en-US" w:eastAsia="zh-CN"/>
        </w:rPr>
        <w:t>区</w:t>
      </w:r>
      <w:r>
        <w:rPr>
          <w:rFonts w:hint="eastAsia" w:ascii="方正仿宋_GBK" w:eastAsia="方正仿宋_GBK"/>
          <w:color w:val="auto"/>
          <w:sz w:val="32"/>
          <w:szCs w:val="32"/>
        </w:rPr>
        <w:t>人民群众健康提质增效</w:t>
      </w:r>
      <w:r>
        <w:rPr>
          <w:rFonts w:hint="eastAsia" w:ascii="方正仿宋_GBK" w:eastAsia="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300" w:lineRule="auto"/>
        <w:ind w:firstLine="640" w:firstLineChars="200"/>
        <w:jc w:val="both"/>
        <w:textAlignment w:val="auto"/>
        <w:rPr>
          <w:rFonts w:hint="default" w:ascii="方正楷体_GBK" w:hAnsi="方正楷体_GBK" w:eastAsia="方正楷体_GBK"/>
          <w:color w:val="auto"/>
          <w:sz w:val="32"/>
          <w:szCs w:val="32"/>
          <w:u w:val="none"/>
          <w:lang w:val="en-US" w:eastAsia="zh-CN"/>
        </w:rPr>
      </w:pPr>
      <w:r>
        <w:rPr>
          <w:rFonts w:hint="eastAsia" w:ascii="方正楷体_GBK" w:hAnsi="方正楷体_GBK" w:eastAsia="方正楷体_GBK"/>
          <w:color w:val="auto"/>
          <w:sz w:val="32"/>
          <w:szCs w:val="32"/>
          <w:u w:val="none"/>
          <w:lang w:eastAsia="zh-CN"/>
        </w:rPr>
        <w:t>（</w:t>
      </w:r>
      <w:r>
        <w:rPr>
          <w:rFonts w:hint="eastAsia" w:ascii="方正楷体_GBK" w:hAnsi="方正楷体_GBK" w:eastAsia="方正楷体_GBK"/>
          <w:color w:val="auto"/>
          <w:sz w:val="32"/>
          <w:szCs w:val="32"/>
          <w:u w:val="none"/>
          <w:lang w:val="en-US" w:eastAsia="zh-CN"/>
        </w:rPr>
        <w:t>一</w:t>
      </w:r>
      <w:r>
        <w:rPr>
          <w:rFonts w:hint="eastAsia" w:ascii="方正楷体_GBK" w:hAnsi="方正楷体_GBK" w:eastAsia="方正楷体_GBK"/>
          <w:color w:val="auto"/>
          <w:sz w:val="32"/>
          <w:szCs w:val="32"/>
          <w:u w:val="none"/>
          <w:lang w:eastAsia="zh-CN"/>
        </w:rPr>
        <w:t>）</w:t>
      </w:r>
      <w:r>
        <w:rPr>
          <w:rFonts w:hint="eastAsia" w:ascii="方正楷体_GBK" w:hAnsi="方正楷体_GBK" w:eastAsia="方正楷体_GBK"/>
          <w:color w:val="auto"/>
          <w:sz w:val="32"/>
          <w:szCs w:val="32"/>
          <w:u w:val="none"/>
          <w:lang w:val="en-US" w:eastAsia="zh-CN"/>
        </w:rPr>
        <w:t>全面推进疾控体系改革重塑</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300" w:lineRule="auto"/>
        <w:ind w:firstLine="640" w:firstLineChars="200"/>
        <w:jc w:val="both"/>
        <w:textAlignment w:val="auto"/>
        <w:rPr>
          <w:rFonts w:hint="eastAsia" w:ascii="方正仿宋_GBK" w:hAnsi="方正仿宋_GBK" w:eastAsia="方正仿宋_GBK" w:cs="方正仿宋_GBK"/>
          <w:color w:val="auto"/>
          <w:sz w:val="32"/>
          <w:szCs w:val="32"/>
          <w:u w:val="none"/>
          <w:lang w:eastAsia="zh-CN"/>
        </w:rPr>
      </w:pPr>
      <w:r>
        <w:rPr>
          <w:rFonts w:hint="eastAsia" w:ascii="方正仿宋_GBK" w:hAnsi="方正仿宋_GBK" w:eastAsia="方正仿宋_GBK" w:cs="方正仿宋_GBK"/>
          <w:color w:val="auto"/>
          <w:sz w:val="32"/>
          <w:szCs w:val="32"/>
          <w:u w:val="none"/>
          <w:lang w:eastAsia="zh-CN"/>
        </w:rPr>
        <w:t>以</w:t>
      </w:r>
      <w:r>
        <w:rPr>
          <w:rFonts w:hint="eastAsia" w:ascii="方正仿宋_GBK" w:hAnsi="方正仿宋_GBK" w:eastAsia="方正仿宋_GBK" w:cs="方正仿宋_GBK"/>
          <w:color w:val="auto"/>
          <w:sz w:val="32"/>
          <w:szCs w:val="32"/>
          <w:u w:val="none"/>
          <w:lang w:val="en-US" w:eastAsia="zh-CN"/>
        </w:rPr>
        <w:t>永川区</w:t>
      </w:r>
      <w:r>
        <w:rPr>
          <w:rFonts w:hint="eastAsia" w:ascii="方正仿宋_GBK" w:hAnsi="方正仿宋_GBK" w:eastAsia="方正仿宋_GBK" w:cs="方正仿宋_GBK"/>
          <w:color w:val="auto"/>
          <w:sz w:val="32"/>
          <w:szCs w:val="32"/>
          <w:u w:val="none"/>
          <w:lang w:eastAsia="zh-CN"/>
        </w:rPr>
        <w:t>疾病预防控制局挂牌成立为契机，全面优化完善疾病预防控制机构职能设置，</w:t>
      </w:r>
      <w:r>
        <w:rPr>
          <w:rFonts w:hint="eastAsia" w:ascii="方正仿宋_GBK" w:hAnsi="方正仿宋_GBK" w:eastAsia="方正仿宋_GBK" w:cs="方正仿宋_GBK"/>
          <w:color w:val="auto"/>
          <w:sz w:val="32"/>
          <w:szCs w:val="32"/>
          <w:u w:val="none"/>
          <w:lang w:val="en-US" w:eastAsia="zh-CN"/>
        </w:rPr>
        <w:t>坚定不移深化疾控体制改革，</w:t>
      </w:r>
      <w:r>
        <w:rPr>
          <w:rFonts w:hint="eastAsia" w:ascii="方正仿宋_GBK" w:hAnsi="方正仿宋_GBK" w:eastAsia="方正仿宋_GBK" w:cs="方正仿宋_GBK"/>
          <w:color w:val="auto"/>
          <w:sz w:val="32"/>
          <w:szCs w:val="32"/>
          <w:u w:val="none"/>
          <w:lang w:eastAsia="zh-CN"/>
        </w:rPr>
        <w:t>不断健全疾病预防控制体系。按照系统重塑、预防为主、科学防控、协调高效的原则，找准切入点，抓住重点，全面加强疾病预防控制机构专业能力建设，立足更精准更有效地防控，强化技术、能力、人才储备，持续丰富健康</w:t>
      </w:r>
      <w:r>
        <w:rPr>
          <w:rFonts w:hint="eastAsia" w:ascii="方正仿宋_GBK" w:hAnsi="方正仿宋_GBK" w:eastAsia="方正仿宋_GBK" w:cs="方正仿宋_GBK"/>
          <w:color w:val="auto"/>
          <w:sz w:val="32"/>
          <w:szCs w:val="32"/>
          <w:u w:val="none"/>
          <w:lang w:val="en-US" w:eastAsia="zh-CN"/>
        </w:rPr>
        <w:t>区</w:t>
      </w:r>
      <w:r>
        <w:rPr>
          <w:rFonts w:hint="eastAsia" w:ascii="方正仿宋_GBK" w:hAnsi="方正仿宋_GBK" w:eastAsia="方正仿宋_GBK" w:cs="方正仿宋_GBK"/>
          <w:color w:val="auto"/>
          <w:sz w:val="32"/>
          <w:szCs w:val="32"/>
          <w:u w:val="none"/>
          <w:lang w:eastAsia="zh-CN"/>
        </w:rPr>
        <w:t>建设内涵，擦亮健康</w:t>
      </w:r>
      <w:r>
        <w:rPr>
          <w:rFonts w:hint="eastAsia" w:ascii="方正仿宋_GBK" w:hAnsi="方正仿宋_GBK" w:eastAsia="方正仿宋_GBK" w:cs="方正仿宋_GBK"/>
          <w:color w:val="auto"/>
          <w:sz w:val="32"/>
          <w:szCs w:val="32"/>
          <w:u w:val="none"/>
          <w:lang w:val="en-US" w:eastAsia="zh-CN"/>
        </w:rPr>
        <w:t>永川</w:t>
      </w:r>
      <w:r>
        <w:rPr>
          <w:rFonts w:hint="eastAsia" w:ascii="方正仿宋_GBK" w:hAnsi="方正仿宋_GBK" w:eastAsia="方正仿宋_GBK" w:cs="方正仿宋_GBK"/>
          <w:color w:val="auto"/>
          <w:sz w:val="32"/>
          <w:szCs w:val="32"/>
          <w:u w:val="none"/>
          <w:lang w:eastAsia="zh-CN"/>
        </w:rPr>
        <w:t>“城市品牌”，为切实维护人民群众生命健康安全提供更加坚实的体制机制保障。</w:t>
      </w:r>
    </w:p>
    <w:p>
      <w:pPr>
        <w:keepNext w:val="0"/>
        <w:keepLines w:val="0"/>
        <w:pageBreakBefore w:val="0"/>
        <w:widowControl w:val="0"/>
        <w:numPr>
          <w:ilvl w:val="0"/>
          <w:numId w:val="0"/>
        </w:numPr>
        <w:kinsoku/>
        <w:wordWrap/>
        <w:overflowPunct/>
        <w:topLinePunct w:val="0"/>
        <w:autoSpaceDE/>
        <w:autoSpaceDN/>
        <w:bidi w:val="0"/>
        <w:adjustRightInd/>
        <w:snapToGrid w:val="0"/>
        <w:spacing w:afterLines="0" w:line="300" w:lineRule="auto"/>
        <w:ind w:firstLine="640" w:firstLineChars="200"/>
        <w:jc w:val="both"/>
        <w:textAlignment w:val="auto"/>
        <w:rPr>
          <w:rFonts w:hint="eastAsia" w:ascii="方正楷体_GBK" w:hAnsi="方正楷体_GBK" w:eastAsia="方正楷体_GBK"/>
          <w:color w:val="auto"/>
          <w:sz w:val="32"/>
          <w:szCs w:val="32"/>
        </w:rPr>
      </w:pPr>
      <w:r>
        <w:rPr>
          <w:rFonts w:hint="eastAsia" w:ascii="方正楷体_GBK" w:hAnsi="方正楷体_GBK" w:eastAsia="方正楷体_GBK"/>
          <w:color w:val="auto"/>
          <w:sz w:val="32"/>
          <w:szCs w:val="32"/>
          <w:lang w:eastAsia="zh-CN"/>
        </w:rPr>
        <w:t>（</w:t>
      </w:r>
      <w:r>
        <w:rPr>
          <w:rFonts w:hint="eastAsia" w:ascii="方正楷体_GBK" w:hAnsi="方正楷体_GBK" w:eastAsia="方正楷体_GBK"/>
          <w:color w:val="auto"/>
          <w:sz w:val="32"/>
          <w:szCs w:val="32"/>
          <w:lang w:val="en-US" w:eastAsia="zh-CN"/>
        </w:rPr>
        <w:t>二</w:t>
      </w:r>
      <w:r>
        <w:rPr>
          <w:rFonts w:hint="eastAsia" w:ascii="方正楷体_GBK" w:hAnsi="方正楷体_GBK" w:eastAsia="方正楷体_GBK"/>
          <w:color w:val="auto"/>
          <w:sz w:val="32"/>
          <w:szCs w:val="32"/>
          <w:lang w:eastAsia="zh-CN"/>
        </w:rPr>
        <w:t>）</w:t>
      </w:r>
      <w:r>
        <w:rPr>
          <w:rFonts w:hint="eastAsia" w:ascii="方正楷体_GBK" w:hAnsi="方正楷体_GBK" w:eastAsia="方正楷体_GBK"/>
          <w:color w:val="auto"/>
          <w:sz w:val="32"/>
          <w:szCs w:val="32"/>
        </w:rPr>
        <w:t>实施</w:t>
      </w:r>
      <w:r>
        <w:rPr>
          <w:rFonts w:hint="eastAsia" w:ascii="方正楷体_GBK" w:hAnsi="方正楷体_GBK" w:eastAsia="方正楷体_GBK"/>
          <w:color w:val="auto"/>
          <w:sz w:val="32"/>
          <w:szCs w:val="32"/>
          <w:lang w:eastAsia="zh-CN"/>
        </w:rPr>
        <w:t>“</w:t>
      </w:r>
      <w:r>
        <w:rPr>
          <w:rFonts w:hint="eastAsia" w:ascii="方正楷体_GBK" w:hAnsi="方正楷体_GBK" w:eastAsia="方正楷体_GBK"/>
          <w:color w:val="auto"/>
          <w:sz w:val="32"/>
          <w:szCs w:val="32"/>
        </w:rPr>
        <w:t>三个</w:t>
      </w:r>
      <w:r>
        <w:rPr>
          <w:rFonts w:hint="eastAsia" w:ascii="方正楷体_GBK" w:hAnsi="方正楷体_GBK" w:eastAsia="方正楷体_GBK"/>
          <w:color w:val="auto"/>
          <w:sz w:val="32"/>
          <w:szCs w:val="32"/>
          <w:lang w:val="en-US" w:eastAsia="zh-CN"/>
        </w:rPr>
        <w:t>建设</w:t>
      </w:r>
      <w:r>
        <w:rPr>
          <w:rFonts w:hint="eastAsia" w:ascii="方正楷体_GBK" w:hAnsi="方正楷体_GBK" w:eastAsia="方正楷体_GBK"/>
          <w:color w:val="auto"/>
          <w:sz w:val="32"/>
          <w:szCs w:val="32"/>
          <w:lang w:eastAsia="zh-CN"/>
        </w:rPr>
        <w:t>”</w:t>
      </w:r>
      <w:r>
        <w:rPr>
          <w:rFonts w:hint="eastAsia" w:ascii="方正楷体_GBK" w:hAnsi="方正楷体_GBK" w:eastAsia="方正楷体_GBK"/>
          <w:color w:val="auto"/>
          <w:sz w:val="32"/>
          <w:szCs w:val="32"/>
        </w:rPr>
        <w:t>行动</w:t>
      </w:r>
    </w:p>
    <w:p>
      <w:pPr>
        <w:numPr>
          <w:ilvl w:val="0"/>
          <w:numId w:val="0"/>
        </w:numPr>
        <w:snapToGrid w:val="0"/>
        <w:spacing w:afterLines="0" w:line="300" w:lineRule="auto"/>
        <w:ind w:firstLine="640" w:firstLineChars="200"/>
        <w:jc w:val="both"/>
        <w:rPr>
          <w:rFonts w:hint="eastAsia" w:eastAsia="方正仿宋_GBK"/>
          <w:color w:val="auto"/>
          <w:sz w:val="32"/>
          <w:szCs w:val="32"/>
        </w:rPr>
      </w:pPr>
      <w:r>
        <w:rPr>
          <w:rFonts w:hint="eastAsia" w:eastAsia="方正仿宋_GBK"/>
          <w:color w:val="auto"/>
          <w:sz w:val="32"/>
          <w:szCs w:val="32"/>
        </w:rPr>
        <w:t>1.</w:t>
      </w:r>
      <w:r>
        <w:rPr>
          <w:rFonts w:hint="eastAsia" w:eastAsia="方正仿宋_GBK"/>
          <w:color w:val="auto"/>
          <w:sz w:val="32"/>
          <w:szCs w:val="32"/>
          <w:lang w:val="en-US" w:eastAsia="zh-CN"/>
        </w:rPr>
        <w:t>实施</w:t>
      </w:r>
      <w:r>
        <w:rPr>
          <w:rFonts w:hint="eastAsia" w:eastAsia="方正仿宋_GBK"/>
          <w:color w:val="auto"/>
          <w:sz w:val="32"/>
          <w:szCs w:val="32"/>
        </w:rPr>
        <w:t>基础设施</w:t>
      </w:r>
      <w:r>
        <w:rPr>
          <w:rFonts w:hint="eastAsia" w:eastAsia="方正仿宋_GBK"/>
          <w:color w:val="auto"/>
          <w:sz w:val="32"/>
          <w:szCs w:val="32"/>
          <w:lang w:val="en-US" w:eastAsia="zh-CN"/>
        </w:rPr>
        <w:t>建设</w:t>
      </w:r>
      <w:r>
        <w:rPr>
          <w:rFonts w:eastAsia="方正仿宋_GBK"/>
          <w:color w:val="auto"/>
          <w:sz w:val="32"/>
          <w:szCs w:val="32"/>
        </w:rPr>
        <w:t>。</w:t>
      </w:r>
      <w:r>
        <w:rPr>
          <w:rFonts w:hint="eastAsia" w:eastAsia="方正仿宋_GBK"/>
          <w:color w:val="auto"/>
          <w:sz w:val="32"/>
          <w:szCs w:val="32"/>
          <w:highlight w:val="none"/>
        </w:rPr>
        <w:t>启动区疾控中心迁建工程</w:t>
      </w:r>
      <w:r>
        <w:rPr>
          <w:rFonts w:hint="eastAsia" w:ascii="Times New Roman" w:hAnsi="Times New Roman" w:eastAsia="方正仿宋_GBK"/>
          <w:color w:val="auto"/>
          <w:sz w:val="32"/>
          <w:szCs w:val="32"/>
        </w:rPr>
        <w:t>，2025年完成一期建设，包括综合业务用房、区域性实验室、区域性应急库房及其他附属设施</w:t>
      </w:r>
      <w:r>
        <w:rPr>
          <w:rFonts w:hint="eastAsia" w:eastAsia="方正仿宋_GBK"/>
          <w:color w:val="auto"/>
          <w:sz w:val="32"/>
          <w:szCs w:val="32"/>
          <w:lang w:eastAsia="zh-CN"/>
        </w:rPr>
        <w:t>；</w:t>
      </w:r>
      <w:r>
        <w:rPr>
          <w:rFonts w:hint="eastAsia" w:eastAsia="方正仿宋_GBK"/>
          <w:color w:val="auto"/>
          <w:sz w:val="32"/>
          <w:szCs w:val="32"/>
          <w:lang w:val="en-US" w:eastAsia="zh-CN"/>
        </w:rPr>
        <w:t>并争取在2025年启动二期建设</w:t>
      </w:r>
      <w:r>
        <w:rPr>
          <w:rFonts w:hint="eastAsia" w:ascii="Times New Roman" w:hAnsi="Times New Roman" w:eastAsia="方正仿宋_GBK"/>
          <w:color w:val="auto"/>
          <w:sz w:val="32"/>
          <w:szCs w:val="32"/>
          <w:lang w:eastAsia="zh-CN"/>
        </w:rPr>
        <w:t>。</w:t>
      </w:r>
    </w:p>
    <w:p>
      <w:pPr>
        <w:snapToGrid w:val="0"/>
        <w:spacing w:afterLines="0" w:line="300" w:lineRule="auto"/>
        <w:ind w:firstLine="640" w:firstLineChars="200"/>
        <w:jc w:val="both"/>
        <w:rPr>
          <w:rFonts w:hint="eastAsia" w:eastAsia="方正仿宋_GBK"/>
          <w:color w:val="auto"/>
          <w:sz w:val="32"/>
          <w:szCs w:val="32"/>
          <w:highlight w:val="none"/>
        </w:rPr>
      </w:pPr>
      <w:r>
        <w:rPr>
          <w:rFonts w:hint="eastAsia" w:eastAsia="方正仿宋_GBK"/>
          <w:color w:val="auto"/>
          <w:sz w:val="32"/>
          <w:szCs w:val="32"/>
          <w:highlight w:val="none"/>
        </w:rPr>
        <w:t>2.</w:t>
      </w:r>
      <w:r>
        <w:rPr>
          <w:rFonts w:hint="eastAsia" w:eastAsia="方正仿宋_GBK"/>
          <w:color w:val="auto"/>
          <w:sz w:val="32"/>
          <w:szCs w:val="32"/>
          <w:highlight w:val="none"/>
          <w:lang w:val="en-US" w:eastAsia="zh-CN"/>
        </w:rPr>
        <w:t>实施人才队伍建设</w:t>
      </w:r>
      <w:r>
        <w:rPr>
          <w:rFonts w:hint="eastAsia" w:eastAsia="方正仿宋_GBK"/>
          <w:color w:val="auto"/>
          <w:sz w:val="32"/>
          <w:szCs w:val="32"/>
          <w:highlight w:val="none"/>
        </w:rPr>
        <w:t>。搭建人才成长平台</w:t>
      </w:r>
      <w:r>
        <w:rPr>
          <w:rFonts w:hint="eastAsia" w:eastAsia="方正仿宋_GBK"/>
          <w:color w:val="auto"/>
          <w:sz w:val="32"/>
          <w:szCs w:val="32"/>
          <w:highlight w:val="none"/>
          <w:lang w:eastAsia="zh-CN"/>
        </w:rPr>
        <w:t>，</w:t>
      </w:r>
      <w:r>
        <w:rPr>
          <w:rFonts w:hint="eastAsia" w:eastAsia="方正仿宋_GBK"/>
          <w:color w:val="auto"/>
          <w:sz w:val="32"/>
          <w:szCs w:val="32"/>
          <w:highlight w:val="none"/>
        </w:rPr>
        <w:t>每年择优选派骨干专业人员到中国疾控中心、市疾控中心</w:t>
      </w:r>
      <w:r>
        <w:rPr>
          <w:rFonts w:hint="eastAsia" w:eastAsia="方正仿宋_GBK"/>
          <w:color w:val="auto"/>
          <w:sz w:val="32"/>
          <w:szCs w:val="32"/>
          <w:highlight w:val="none"/>
          <w:lang w:val="en-US" w:eastAsia="zh-CN"/>
        </w:rPr>
        <w:t>进修</w:t>
      </w:r>
      <w:r>
        <w:rPr>
          <w:rFonts w:hint="eastAsia" w:eastAsia="方正仿宋_GBK"/>
          <w:color w:val="auto"/>
          <w:sz w:val="32"/>
          <w:szCs w:val="32"/>
          <w:highlight w:val="none"/>
        </w:rPr>
        <w:t>，建立成渝双城经济圈</w:t>
      </w:r>
      <w:r>
        <w:rPr>
          <w:rFonts w:hint="eastAsia" w:eastAsia="方正仿宋_GBK"/>
          <w:color w:val="auto"/>
          <w:sz w:val="32"/>
          <w:szCs w:val="32"/>
          <w:highlight w:val="none"/>
          <w:lang w:val="en-US" w:eastAsia="zh-CN"/>
        </w:rPr>
        <w:t>跨区域</w:t>
      </w:r>
      <w:r>
        <w:rPr>
          <w:rFonts w:hint="eastAsia" w:eastAsia="方正仿宋_GBK"/>
          <w:color w:val="auto"/>
          <w:sz w:val="32"/>
          <w:szCs w:val="32"/>
          <w:highlight w:val="none"/>
        </w:rPr>
        <w:t>技术交流机制，到</w:t>
      </w:r>
      <w:r>
        <w:rPr>
          <w:rFonts w:hint="eastAsia" w:eastAsia="方正仿宋_GBK"/>
          <w:color w:val="auto"/>
          <w:sz w:val="32"/>
          <w:szCs w:val="32"/>
          <w:highlight w:val="none"/>
          <w:lang w:val="en-US" w:eastAsia="zh-CN"/>
        </w:rPr>
        <w:t>成渝</w:t>
      </w:r>
      <w:r>
        <w:rPr>
          <w:rFonts w:hint="eastAsia" w:eastAsia="方正仿宋_GBK"/>
          <w:color w:val="auto"/>
          <w:sz w:val="32"/>
          <w:szCs w:val="32"/>
          <w:highlight w:val="none"/>
        </w:rPr>
        <w:t>区域内综合实力较强、有影响力的专业公共卫生机构</w:t>
      </w:r>
      <w:r>
        <w:rPr>
          <w:rFonts w:hint="eastAsia" w:eastAsia="方正仿宋_GBK"/>
          <w:color w:val="auto"/>
          <w:sz w:val="32"/>
          <w:szCs w:val="32"/>
          <w:highlight w:val="none"/>
          <w:lang w:val="en-US" w:eastAsia="zh-CN"/>
        </w:rPr>
        <w:t>交流</w:t>
      </w:r>
      <w:r>
        <w:rPr>
          <w:rFonts w:hint="eastAsia" w:eastAsia="方正仿宋_GBK"/>
          <w:color w:val="auto"/>
          <w:sz w:val="32"/>
          <w:szCs w:val="32"/>
          <w:highlight w:val="none"/>
        </w:rPr>
        <w:t>学习，提高专业人员整体素质。</w:t>
      </w:r>
      <w:r>
        <w:rPr>
          <w:rFonts w:hint="eastAsia" w:eastAsia="方正仿宋_GBK"/>
          <w:color w:val="auto"/>
          <w:sz w:val="32"/>
          <w:szCs w:val="32"/>
          <w:highlight w:val="none"/>
          <w:lang w:val="en-US" w:eastAsia="zh-CN"/>
        </w:rPr>
        <w:t>合理利用空余编制，</w:t>
      </w:r>
      <w:r>
        <w:rPr>
          <w:rFonts w:hint="eastAsia" w:eastAsia="方正仿宋_GBK"/>
          <w:color w:val="auto"/>
          <w:sz w:val="32"/>
          <w:szCs w:val="32"/>
          <w:highlight w:val="none"/>
        </w:rPr>
        <w:t>将空余编制主要用于专业人员特别是硕士及以上人才的引进。到2025年，引进</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培育）</w:t>
      </w:r>
      <w:r>
        <w:rPr>
          <w:rFonts w:hint="eastAsia" w:eastAsia="方正仿宋_GBK"/>
          <w:color w:val="auto"/>
          <w:sz w:val="32"/>
          <w:szCs w:val="32"/>
          <w:highlight w:val="none"/>
        </w:rPr>
        <w:t>博士</w:t>
      </w:r>
      <w:r>
        <w:rPr>
          <w:rFonts w:hint="eastAsia" w:eastAsia="方正仿宋_GBK"/>
          <w:color w:val="auto"/>
          <w:sz w:val="32"/>
          <w:szCs w:val="32"/>
          <w:highlight w:val="none"/>
          <w:lang w:val="en-US" w:eastAsia="zh-CN"/>
        </w:rPr>
        <w:t>研究生</w:t>
      </w:r>
      <w:r>
        <w:rPr>
          <w:rFonts w:hint="eastAsia" w:eastAsia="方正仿宋_GBK"/>
          <w:color w:val="auto"/>
          <w:sz w:val="32"/>
          <w:szCs w:val="32"/>
          <w:highlight w:val="none"/>
        </w:rPr>
        <w:t>1-2名</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硕士</w:t>
      </w:r>
      <w:r>
        <w:rPr>
          <w:rFonts w:hint="eastAsia" w:eastAsia="方正仿宋_GBK"/>
          <w:color w:val="auto"/>
          <w:sz w:val="32"/>
          <w:szCs w:val="32"/>
          <w:highlight w:val="none"/>
        </w:rPr>
        <w:t>研究生</w:t>
      </w:r>
      <w:r>
        <w:rPr>
          <w:rFonts w:hint="eastAsia" w:eastAsia="方正仿宋_GBK"/>
          <w:color w:val="auto"/>
          <w:sz w:val="32"/>
          <w:szCs w:val="32"/>
          <w:highlight w:val="none"/>
          <w:lang w:val="en-US" w:eastAsia="zh-CN"/>
        </w:rPr>
        <w:t>1</w:t>
      </w:r>
      <w:r>
        <w:rPr>
          <w:rFonts w:hint="eastAsia" w:eastAsia="方正仿宋_GBK"/>
          <w:color w:val="auto"/>
          <w:sz w:val="32"/>
          <w:szCs w:val="32"/>
          <w:highlight w:val="none"/>
        </w:rPr>
        <w:t>0名以上，培育</w:t>
      </w:r>
      <w:r>
        <w:rPr>
          <w:rFonts w:hint="eastAsia" w:eastAsia="方正仿宋_GBK"/>
          <w:color w:val="auto"/>
          <w:sz w:val="32"/>
          <w:szCs w:val="32"/>
          <w:highlight w:val="none"/>
          <w:lang w:val="en-US" w:eastAsia="zh-CN"/>
        </w:rPr>
        <w:t>青年人才1-2名、</w:t>
      </w:r>
      <w:r>
        <w:rPr>
          <w:rFonts w:hint="eastAsia" w:eastAsia="方正仿宋_GBK"/>
          <w:color w:val="auto"/>
          <w:sz w:val="32"/>
          <w:szCs w:val="32"/>
          <w:highlight w:val="none"/>
        </w:rPr>
        <w:t>学术技术带头人才1-2名、重庆市首席公共卫生专家团队（工作室）人才1-2名，</w:t>
      </w:r>
      <w:r>
        <w:rPr>
          <w:rFonts w:eastAsia="方正仿宋_GBK"/>
          <w:color w:val="auto"/>
          <w:sz w:val="32"/>
          <w:szCs w:val="32"/>
          <w:highlight w:val="none"/>
        </w:rPr>
        <w:t>以及各类市级</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区级</w:t>
      </w:r>
      <w:r>
        <w:rPr>
          <w:rFonts w:eastAsia="方正仿宋_GBK"/>
          <w:color w:val="auto"/>
          <w:sz w:val="32"/>
          <w:szCs w:val="32"/>
          <w:highlight w:val="none"/>
        </w:rPr>
        <w:t>专家</w:t>
      </w:r>
      <w:r>
        <w:rPr>
          <w:rFonts w:hint="eastAsia" w:eastAsia="方正仿宋_GBK"/>
          <w:color w:val="auto"/>
          <w:sz w:val="32"/>
          <w:szCs w:val="32"/>
          <w:highlight w:val="none"/>
          <w:lang w:val="en-US" w:eastAsia="zh-CN"/>
        </w:rPr>
        <w:t>3-5</w:t>
      </w:r>
      <w:r>
        <w:rPr>
          <w:rFonts w:hint="eastAsia" w:eastAsia="方正仿宋_GBK"/>
          <w:color w:val="auto"/>
          <w:sz w:val="32"/>
          <w:szCs w:val="32"/>
          <w:highlight w:val="none"/>
        </w:rPr>
        <w:t>名</w:t>
      </w:r>
      <w:r>
        <w:rPr>
          <w:rFonts w:eastAsia="方正仿宋_GBK"/>
          <w:color w:val="auto"/>
          <w:sz w:val="32"/>
          <w:szCs w:val="32"/>
          <w:highlight w:val="none"/>
        </w:rPr>
        <w:t>。</w:t>
      </w:r>
    </w:p>
    <w:p>
      <w:pPr>
        <w:snapToGrid w:val="0"/>
        <w:spacing w:afterLines="0" w:line="300" w:lineRule="auto"/>
        <w:ind w:firstLine="640" w:firstLineChars="200"/>
        <w:jc w:val="both"/>
        <w:rPr>
          <w:rFonts w:hint="eastAsia" w:eastAsia="方正仿宋_GBK"/>
          <w:color w:val="auto"/>
          <w:sz w:val="32"/>
          <w:szCs w:val="32"/>
          <w:highlight w:val="none"/>
        </w:rPr>
      </w:pPr>
      <w:r>
        <w:rPr>
          <w:rFonts w:hint="eastAsia" w:eastAsia="方正仿宋_GBK"/>
          <w:color w:val="auto"/>
          <w:sz w:val="32"/>
          <w:szCs w:val="32"/>
          <w:highlight w:val="none"/>
        </w:rPr>
        <w:t>3.</w:t>
      </w:r>
      <w:r>
        <w:rPr>
          <w:rFonts w:hint="eastAsia" w:eastAsia="方正仿宋_GBK"/>
          <w:color w:val="auto"/>
          <w:sz w:val="32"/>
          <w:szCs w:val="32"/>
          <w:highlight w:val="none"/>
          <w:lang w:val="en-US" w:eastAsia="zh-CN"/>
        </w:rPr>
        <w:t>实施实验室检测能力建设。建成</w:t>
      </w:r>
      <w:r>
        <w:rPr>
          <w:rFonts w:hint="eastAsia" w:eastAsia="方正仿宋_GBK"/>
          <w:color w:val="auto"/>
          <w:sz w:val="32"/>
          <w:szCs w:val="32"/>
          <w:highlight w:val="none"/>
        </w:rPr>
        <w:t>具有区域</w:t>
      </w:r>
      <w:r>
        <w:rPr>
          <w:rFonts w:hint="eastAsia" w:eastAsia="方正仿宋_GBK"/>
          <w:color w:val="auto"/>
          <w:sz w:val="32"/>
          <w:szCs w:val="32"/>
          <w:highlight w:val="none"/>
          <w:lang w:eastAsia="zh-CN"/>
        </w:rPr>
        <w:t>辐射能力</w:t>
      </w:r>
      <w:r>
        <w:rPr>
          <w:rFonts w:hint="eastAsia" w:eastAsia="方正仿宋_GBK"/>
          <w:color w:val="auto"/>
          <w:sz w:val="32"/>
          <w:szCs w:val="32"/>
          <w:highlight w:val="none"/>
        </w:rPr>
        <w:t>的微生物</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理化实验室。</w:t>
      </w:r>
      <w:r>
        <w:rPr>
          <w:rFonts w:hint="eastAsia" w:eastAsia="方正仿宋_GBK"/>
          <w:color w:val="auto"/>
          <w:sz w:val="32"/>
          <w:szCs w:val="32"/>
          <w:highlight w:val="none"/>
        </w:rPr>
        <w:t>提升现有重点领域实验室基本条件和技术能力建设，提高病原微生物、生物毒素、农兽残、持续性有机污染物、营养等实验室检测能力，建成区域突发公共卫生事件快速检测平台。争取国家和市级</w:t>
      </w:r>
      <w:r>
        <w:rPr>
          <w:rFonts w:hint="eastAsia" w:eastAsia="方正仿宋_GBK"/>
          <w:color w:val="auto"/>
          <w:sz w:val="32"/>
          <w:szCs w:val="32"/>
          <w:highlight w:val="none"/>
          <w:lang w:val="en-US" w:eastAsia="zh-CN"/>
        </w:rPr>
        <w:t>资金，加大</w:t>
      </w:r>
      <w:r>
        <w:rPr>
          <w:rFonts w:hint="eastAsia" w:eastAsia="方正仿宋_GBK"/>
          <w:color w:val="auto"/>
          <w:sz w:val="32"/>
          <w:szCs w:val="32"/>
          <w:highlight w:val="none"/>
        </w:rPr>
        <w:t>区级财政投入</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提升实验室检测能力，2023年检测项目达到800项，到2024年，检测项目达到1200项。</w:t>
      </w:r>
    </w:p>
    <w:p>
      <w:pPr>
        <w:snapToGrid w:val="0"/>
        <w:spacing w:afterLines="0" w:line="300" w:lineRule="auto"/>
        <w:ind w:firstLine="640" w:firstLineChars="200"/>
        <w:jc w:val="both"/>
        <w:rPr>
          <w:rFonts w:hint="eastAsia" w:ascii="方正楷体_GBK" w:eastAsia="方正楷体_GBK"/>
          <w:color w:val="auto"/>
          <w:sz w:val="32"/>
          <w:szCs w:val="32"/>
          <w:highlight w:val="none"/>
        </w:rPr>
      </w:pPr>
      <w:r>
        <w:rPr>
          <w:rFonts w:hint="eastAsia" w:ascii="方正楷体_GBK" w:eastAsia="方正楷体_GBK"/>
          <w:color w:val="auto"/>
          <w:sz w:val="32"/>
          <w:szCs w:val="32"/>
          <w:highlight w:val="none"/>
        </w:rPr>
        <w:t>（</w:t>
      </w:r>
      <w:r>
        <w:rPr>
          <w:rFonts w:hint="eastAsia" w:ascii="方正楷体_GBK" w:eastAsia="方正楷体_GBK"/>
          <w:color w:val="auto"/>
          <w:sz w:val="32"/>
          <w:szCs w:val="32"/>
          <w:highlight w:val="none"/>
          <w:lang w:val="en-US" w:eastAsia="zh-CN"/>
        </w:rPr>
        <w:t>三</w:t>
      </w:r>
      <w:r>
        <w:rPr>
          <w:rFonts w:hint="eastAsia" w:ascii="方正楷体_GBK" w:eastAsia="方正楷体_GBK"/>
          <w:color w:val="auto"/>
          <w:sz w:val="32"/>
          <w:szCs w:val="32"/>
          <w:highlight w:val="none"/>
        </w:rPr>
        <w:t>）</w:t>
      </w:r>
      <w:r>
        <w:rPr>
          <w:rFonts w:hint="eastAsia" w:ascii="方正楷体_GBK" w:eastAsia="方正楷体_GBK"/>
          <w:color w:val="auto"/>
          <w:sz w:val="32"/>
          <w:szCs w:val="32"/>
          <w:highlight w:val="none"/>
          <w:lang w:val="en-US" w:eastAsia="zh-CN"/>
        </w:rPr>
        <w:t>打造</w:t>
      </w:r>
      <w:r>
        <w:rPr>
          <w:rFonts w:hint="eastAsia" w:ascii="方正楷体_GBK" w:hAnsi="方正楷体_GBK" w:eastAsia="方正楷体_GBK"/>
          <w:color w:val="auto"/>
          <w:sz w:val="32"/>
          <w:szCs w:val="32"/>
          <w:highlight w:val="none"/>
          <w:lang w:eastAsia="zh-CN"/>
        </w:rPr>
        <w:t>“</w:t>
      </w:r>
      <w:r>
        <w:rPr>
          <w:rFonts w:hint="eastAsia" w:ascii="方正楷体_GBK" w:hAnsi="方正楷体_GBK" w:eastAsia="方正楷体_GBK"/>
          <w:color w:val="auto"/>
          <w:sz w:val="32"/>
          <w:szCs w:val="32"/>
          <w:highlight w:val="none"/>
          <w:lang w:val="en-US" w:eastAsia="zh-CN"/>
        </w:rPr>
        <w:t>三</w:t>
      </w:r>
      <w:r>
        <w:rPr>
          <w:rFonts w:hint="eastAsia" w:ascii="方正楷体_GBK" w:hAnsi="方正楷体_GBK" w:eastAsia="方正楷体_GBK"/>
          <w:color w:val="auto"/>
          <w:sz w:val="32"/>
          <w:szCs w:val="32"/>
          <w:highlight w:val="none"/>
        </w:rPr>
        <w:t>个平台</w:t>
      </w:r>
      <w:r>
        <w:rPr>
          <w:rFonts w:hint="eastAsia" w:ascii="方正楷体_GBK" w:hAnsi="方正楷体_GBK" w:eastAsia="方正楷体_GBK"/>
          <w:color w:val="auto"/>
          <w:sz w:val="32"/>
          <w:szCs w:val="32"/>
          <w:highlight w:val="none"/>
          <w:lang w:eastAsia="zh-CN"/>
        </w:rPr>
        <w:t>”</w:t>
      </w:r>
      <w:r>
        <w:rPr>
          <w:rFonts w:hint="eastAsia" w:ascii="方正楷体_GBK" w:hAnsi="方正楷体_GBK" w:eastAsia="方正楷体_GBK"/>
          <w:color w:val="auto"/>
          <w:sz w:val="32"/>
          <w:szCs w:val="32"/>
          <w:highlight w:val="none"/>
        </w:rPr>
        <w:t>行动</w:t>
      </w:r>
    </w:p>
    <w:p>
      <w:pPr>
        <w:snapToGrid w:val="0"/>
        <w:spacing w:afterLines="0" w:line="300" w:lineRule="auto"/>
        <w:ind w:firstLine="640" w:firstLineChars="200"/>
        <w:jc w:val="both"/>
        <w:rPr>
          <w:rFonts w:hint="eastAsia" w:eastAsia="方正仿宋_GBK"/>
          <w:color w:val="auto"/>
          <w:sz w:val="32"/>
          <w:szCs w:val="32"/>
          <w:highlight w:val="none"/>
        </w:rPr>
      </w:pPr>
      <w:r>
        <w:rPr>
          <w:rFonts w:hint="eastAsia" w:eastAsia="方正仿宋_GBK"/>
          <w:color w:val="auto"/>
          <w:sz w:val="32"/>
          <w:szCs w:val="32"/>
          <w:highlight w:val="none"/>
        </w:rPr>
        <w:t>1.</w:t>
      </w:r>
      <w:r>
        <w:rPr>
          <w:rFonts w:hint="eastAsia" w:eastAsia="方正仿宋_GBK"/>
          <w:color w:val="auto"/>
          <w:sz w:val="32"/>
          <w:szCs w:val="32"/>
          <w:highlight w:val="none"/>
          <w:lang w:val="en-US" w:eastAsia="zh-CN"/>
        </w:rPr>
        <w:t>打造</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数字化</w:t>
      </w:r>
      <w:r>
        <w:rPr>
          <w:rFonts w:hint="eastAsia" w:eastAsia="方正仿宋_GBK"/>
          <w:color w:val="auto"/>
          <w:sz w:val="32"/>
          <w:szCs w:val="32"/>
          <w:highlight w:val="none"/>
        </w:rPr>
        <w:t>疾控</w:t>
      </w:r>
      <w:r>
        <w:rPr>
          <w:rFonts w:hint="eastAsia" w:eastAsia="方正仿宋_GBK"/>
          <w:color w:val="auto"/>
          <w:sz w:val="32"/>
          <w:szCs w:val="32"/>
          <w:highlight w:val="none"/>
          <w:lang w:eastAsia="zh-CN"/>
        </w:rPr>
        <w:t>”</w:t>
      </w:r>
      <w:r>
        <w:rPr>
          <w:rFonts w:hint="eastAsia" w:eastAsia="方正仿宋_GBK"/>
          <w:color w:val="auto"/>
          <w:sz w:val="32"/>
          <w:szCs w:val="32"/>
          <w:highlight w:val="none"/>
        </w:rPr>
        <w:t>大数据监测预警平台。</w:t>
      </w:r>
      <w:r>
        <w:rPr>
          <w:rFonts w:hint="eastAsia" w:ascii="Times New Roman" w:hAnsi="Times New Roman" w:eastAsia="方正仿宋_GBK"/>
          <w:color w:val="auto"/>
          <w:sz w:val="32"/>
          <w:szCs w:val="32"/>
          <w:highlight w:val="none"/>
          <w:lang w:val="en-US" w:eastAsia="zh-CN"/>
        </w:rPr>
        <w:t>一</w:t>
      </w:r>
      <w:r>
        <w:rPr>
          <w:rFonts w:hint="eastAsia" w:eastAsia="方正仿宋_GBK"/>
          <w:color w:val="auto"/>
          <w:sz w:val="32"/>
          <w:szCs w:val="32"/>
          <w:highlight w:val="none"/>
          <w:lang w:val="en-US" w:eastAsia="zh-CN"/>
        </w:rPr>
        <w:t>是依托市区两级现有数字化平台，</w:t>
      </w:r>
      <w:r>
        <w:rPr>
          <w:rFonts w:hint="eastAsia" w:ascii="Times New Roman" w:hAnsi="Times New Roman" w:eastAsia="方正仿宋_GBK"/>
          <w:color w:val="auto"/>
          <w:sz w:val="32"/>
          <w:szCs w:val="32"/>
          <w:highlight w:val="none"/>
        </w:rPr>
        <w:t>建设重大疾病多点触发监测预警信息系统，加快推进传染病多点触发预警、</w:t>
      </w:r>
      <w:r>
        <w:rPr>
          <w:rFonts w:hint="eastAsia" w:eastAsia="方正仿宋_GBK"/>
          <w:color w:val="auto"/>
          <w:sz w:val="32"/>
          <w:szCs w:val="32"/>
          <w:highlight w:val="none"/>
          <w:lang w:val="en-US" w:eastAsia="zh-CN"/>
        </w:rPr>
        <w:t>慢病监测、</w:t>
      </w:r>
      <w:r>
        <w:rPr>
          <w:rFonts w:hint="eastAsia" w:ascii="Times New Roman" w:hAnsi="Times New Roman" w:eastAsia="方正仿宋_GBK"/>
          <w:color w:val="auto"/>
          <w:sz w:val="32"/>
          <w:szCs w:val="32"/>
          <w:highlight w:val="none"/>
        </w:rPr>
        <w:t>病媒生物监测、地方病及寄生虫病监测、智慧化实验室建设等业务应用</w:t>
      </w:r>
      <w:r>
        <w:rPr>
          <w:rFonts w:hint="eastAsia" w:ascii="Times New Roman" w:hAnsi="Times New Roman" w:eastAsia="方正仿宋_GBK"/>
          <w:color w:val="auto"/>
          <w:sz w:val="32"/>
          <w:szCs w:val="32"/>
          <w:highlight w:val="none"/>
          <w:lang w:val="en-US" w:eastAsia="zh-CN"/>
        </w:rPr>
        <w:t>系统</w:t>
      </w:r>
      <w:r>
        <w:rPr>
          <w:rFonts w:hint="eastAsia" w:ascii="Times New Roman" w:hAnsi="Times New Roman" w:eastAsia="方正仿宋_GBK"/>
          <w:color w:val="auto"/>
          <w:sz w:val="32"/>
          <w:szCs w:val="32"/>
          <w:highlight w:val="none"/>
        </w:rPr>
        <w:t>建设。</w:t>
      </w:r>
      <w:r>
        <w:rPr>
          <w:rFonts w:hint="eastAsia" w:ascii="Times New Roman" w:hAnsi="Times New Roman" w:eastAsia="方正仿宋_GBK"/>
          <w:color w:val="auto"/>
          <w:sz w:val="32"/>
          <w:szCs w:val="32"/>
          <w:highlight w:val="none"/>
          <w:lang w:val="en-US" w:eastAsia="zh-CN"/>
        </w:rPr>
        <w:t>二</w:t>
      </w:r>
      <w:r>
        <w:rPr>
          <w:rFonts w:hint="eastAsia" w:eastAsia="方正仿宋_GBK"/>
          <w:color w:val="auto"/>
          <w:sz w:val="32"/>
          <w:szCs w:val="32"/>
          <w:highlight w:val="none"/>
          <w:lang w:val="en-US" w:eastAsia="zh-CN"/>
        </w:rPr>
        <w:t>是完成区疾控中心</w:t>
      </w:r>
      <w:r>
        <w:rPr>
          <w:rFonts w:hint="eastAsia" w:ascii="Times New Roman" w:hAnsi="Times New Roman" w:eastAsia="方正仿宋_GBK"/>
          <w:color w:val="auto"/>
          <w:sz w:val="32"/>
          <w:szCs w:val="32"/>
          <w:highlight w:val="none"/>
          <w:lang w:val="en-US" w:eastAsia="zh-CN"/>
        </w:rPr>
        <w:t>三级等保标准业务机房和网络信息化</w:t>
      </w:r>
      <w:r>
        <w:rPr>
          <w:rFonts w:hint="eastAsia" w:eastAsia="方正仿宋_GBK"/>
          <w:color w:val="auto"/>
          <w:sz w:val="32"/>
          <w:szCs w:val="32"/>
          <w:highlight w:val="none"/>
          <w:lang w:val="en-US" w:eastAsia="zh-CN"/>
        </w:rPr>
        <w:t>建设，</w:t>
      </w:r>
      <w:r>
        <w:rPr>
          <w:rFonts w:hint="eastAsia" w:ascii="Times New Roman" w:hAnsi="Times New Roman" w:eastAsia="方正仿宋_GBK"/>
          <w:color w:val="auto"/>
          <w:sz w:val="32"/>
          <w:szCs w:val="32"/>
          <w:highlight w:val="none"/>
          <w:lang w:val="en-US" w:eastAsia="zh-CN"/>
        </w:rPr>
        <w:t>建设区级</w:t>
      </w:r>
      <w:r>
        <w:rPr>
          <w:rFonts w:hint="eastAsia" w:eastAsia="方正仿宋_GBK"/>
          <w:color w:val="auto"/>
          <w:sz w:val="32"/>
          <w:szCs w:val="32"/>
          <w:highlight w:val="none"/>
          <w:lang w:val="en-US" w:eastAsia="zh-CN"/>
        </w:rPr>
        <w:t>“数字化</w:t>
      </w:r>
      <w:r>
        <w:rPr>
          <w:rFonts w:hint="eastAsia" w:ascii="Times New Roman" w:hAnsi="Times New Roman" w:eastAsia="方正仿宋_GBK"/>
          <w:color w:val="auto"/>
          <w:sz w:val="32"/>
          <w:szCs w:val="32"/>
          <w:highlight w:val="none"/>
          <w:lang w:val="en-US" w:eastAsia="zh-CN"/>
        </w:rPr>
        <w:t>疾控</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rPr>
        <w:t>大数据监测预警平台</w:t>
      </w:r>
      <w:r>
        <w:rPr>
          <w:rFonts w:hint="eastAsia"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为</w:t>
      </w:r>
      <w:r>
        <w:rPr>
          <w:rFonts w:hint="eastAsia" w:ascii="Times New Roman" w:hAnsi="Times New Roman" w:eastAsia="方正仿宋_GBK"/>
          <w:color w:val="auto"/>
          <w:sz w:val="32"/>
          <w:szCs w:val="32"/>
          <w:highlight w:val="none"/>
        </w:rPr>
        <w:t>大数据监测预警平台</w:t>
      </w:r>
      <w:r>
        <w:rPr>
          <w:rFonts w:hint="eastAsia" w:ascii="Times New Roman" w:hAnsi="Times New Roman" w:eastAsia="方正仿宋_GBK"/>
          <w:color w:val="auto"/>
          <w:sz w:val="32"/>
          <w:szCs w:val="32"/>
          <w:highlight w:val="none"/>
          <w:lang w:val="en-US" w:eastAsia="zh-CN"/>
        </w:rPr>
        <w:t>建设</w:t>
      </w:r>
      <w:r>
        <w:rPr>
          <w:rFonts w:hint="eastAsia" w:eastAsia="方正仿宋_GBK"/>
          <w:color w:val="auto"/>
          <w:sz w:val="32"/>
          <w:szCs w:val="32"/>
          <w:highlight w:val="none"/>
          <w:lang w:val="en-US" w:eastAsia="zh-CN"/>
        </w:rPr>
        <w:t>提供</w:t>
      </w:r>
      <w:r>
        <w:rPr>
          <w:rFonts w:hint="eastAsia" w:ascii="Times New Roman" w:hAnsi="Times New Roman" w:eastAsia="方正仿宋_GBK"/>
          <w:color w:val="auto"/>
          <w:sz w:val="32"/>
          <w:szCs w:val="32"/>
          <w:highlight w:val="none"/>
          <w:lang w:val="en-US" w:eastAsia="zh-CN"/>
        </w:rPr>
        <w:t>硬件支撑</w:t>
      </w:r>
      <w:r>
        <w:rPr>
          <w:rFonts w:hint="eastAsia" w:ascii="Times New Roman" w:hAnsi="Times New Roman"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三</w:t>
      </w:r>
      <w:r>
        <w:rPr>
          <w:rFonts w:hint="eastAsia" w:eastAsia="方正仿宋_GBK"/>
          <w:color w:val="auto"/>
          <w:sz w:val="32"/>
          <w:szCs w:val="32"/>
          <w:highlight w:val="none"/>
          <w:lang w:val="en-US" w:eastAsia="zh-CN"/>
        </w:rPr>
        <w:t>是</w:t>
      </w:r>
      <w:r>
        <w:rPr>
          <w:rFonts w:hint="eastAsia" w:ascii="Times New Roman" w:hAnsi="Times New Roman" w:eastAsia="方正仿宋_GBK"/>
          <w:color w:val="auto"/>
          <w:sz w:val="32"/>
          <w:szCs w:val="32"/>
          <w:highlight w:val="none"/>
        </w:rPr>
        <w:t>推进医防协同和部门联动，构建以传染病及重大疫情防控为重点的智能监测预警体系。</w:t>
      </w:r>
    </w:p>
    <w:p>
      <w:pPr>
        <w:snapToGrid w:val="0"/>
        <w:spacing w:afterLines="0" w:line="300" w:lineRule="auto"/>
        <w:ind w:firstLine="640" w:firstLineChars="200"/>
        <w:jc w:val="both"/>
        <w:rPr>
          <w:rFonts w:eastAsia="方正楷体_GBK"/>
          <w:color w:val="auto"/>
          <w:sz w:val="32"/>
          <w:szCs w:val="32"/>
          <w:highlight w:val="none"/>
        </w:rPr>
      </w:pPr>
      <w:r>
        <w:rPr>
          <w:rFonts w:eastAsia="方正楷体_GBK"/>
          <w:color w:val="auto"/>
          <w:sz w:val="32"/>
          <w:szCs w:val="32"/>
          <w:highlight w:val="none"/>
        </w:rPr>
        <w:t>2.</w:t>
      </w:r>
      <w:r>
        <w:rPr>
          <w:rFonts w:hint="eastAsia" w:eastAsia="方正仿宋_GBK"/>
          <w:color w:val="auto"/>
          <w:sz w:val="32"/>
          <w:szCs w:val="32"/>
          <w:highlight w:val="none"/>
          <w:lang w:val="en-US" w:eastAsia="zh-CN"/>
        </w:rPr>
        <w:t>打造</w:t>
      </w:r>
      <w:r>
        <w:rPr>
          <w:rFonts w:hint="eastAsia" w:eastAsia="方正仿宋_GBK"/>
          <w:color w:val="auto"/>
          <w:sz w:val="32"/>
          <w:szCs w:val="32"/>
          <w:highlight w:val="none"/>
        </w:rPr>
        <w:t>科研创新</w:t>
      </w:r>
      <w:r>
        <w:rPr>
          <w:rFonts w:hint="eastAsia" w:eastAsia="方正仿宋_GBK"/>
          <w:color w:val="auto"/>
          <w:sz w:val="32"/>
          <w:szCs w:val="32"/>
          <w:highlight w:val="none"/>
          <w:lang w:val="en-US" w:eastAsia="zh-CN"/>
        </w:rPr>
        <w:t>平台</w:t>
      </w:r>
      <w:r>
        <w:rPr>
          <w:rFonts w:hint="eastAsia" w:eastAsia="方正仿宋_GBK"/>
          <w:color w:val="auto"/>
          <w:sz w:val="32"/>
          <w:szCs w:val="32"/>
          <w:highlight w:val="none"/>
        </w:rPr>
        <w:t>。依托市疾控中心技术支撑，联合医疗机构、高校、科研院所、企业等多方资源，打造公共卫生高端科研平台，积极开展疾病预防、公共卫生、卫生检验等领域的科学研究，加强预防医学相关的交叉学科研究，提升疾病防控能力</w:t>
      </w:r>
      <w:r>
        <w:rPr>
          <w:rFonts w:hint="eastAsia" w:eastAsia="方正仿宋_GBK"/>
          <w:color w:val="auto"/>
          <w:sz w:val="32"/>
          <w:szCs w:val="32"/>
          <w:highlight w:val="none"/>
          <w:lang w:eastAsia="zh-CN"/>
        </w:rPr>
        <w:t>。</w:t>
      </w:r>
      <w:r>
        <w:rPr>
          <w:rFonts w:hint="eastAsia" w:eastAsia="方正仿宋_GBK"/>
          <w:color w:val="auto"/>
          <w:sz w:val="32"/>
          <w:szCs w:val="32"/>
          <w:highlight w:val="none"/>
        </w:rPr>
        <w:t>建设</w:t>
      </w:r>
      <w:r>
        <w:rPr>
          <w:rFonts w:hint="eastAsia" w:eastAsia="方正仿宋_GBK"/>
          <w:color w:val="auto"/>
          <w:sz w:val="32"/>
          <w:szCs w:val="32"/>
          <w:highlight w:val="none"/>
          <w:lang w:val="en-US" w:eastAsia="zh-CN"/>
        </w:rPr>
        <w:t>区域</w:t>
      </w:r>
      <w:r>
        <w:rPr>
          <w:rFonts w:hint="eastAsia" w:eastAsia="方正仿宋_GBK"/>
          <w:color w:val="auto"/>
          <w:sz w:val="32"/>
          <w:szCs w:val="32"/>
          <w:highlight w:val="none"/>
        </w:rPr>
        <w:t>消毒与感染控制、病媒生物防</w:t>
      </w:r>
      <w:r>
        <w:rPr>
          <w:rFonts w:hint="eastAsia" w:eastAsia="方正仿宋_GBK"/>
          <w:color w:val="auto"/>
          <w:sz w:val="32"/>
          <w:szCs w:val="32"/>
          <w:highlight w:val="none"/>
          <w:lang w:val="en-US" w:eastAsia="zh-CN"/>
        </w:rPr>
        <w:t>制</w:t>
      </w:r>
      <w:r>
        <w:rPr>
          <w:rFonts w:hint="eastAsia" w:eastAsia="方正仿宋_GBK"/>
          <w:color w:val="auto"/>
          <w:sz w:val="32"/>
          <w:szCs w:val="32"/>
          <w:highlight w:val="none"/>
        </w:rPr>
        <w:t>指导中心</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区内</w:t>
      </w:r>
      <w:r>
        <w:rPr>
          <w:rFonts w:hint="eastAsia" w:eastAsia="方正仿宋_GBK"/>
          <w:color w:val="auto"/>
          <w:sz w:val="32"/>
          <w:szCs w:val="32"/>
          <w:highlight w:val="none"/>
        </w:rPr>
        <w:t>职业</w:t>
      </w:r>
      <w:r>
        <w:rPr>
          <w:rFonts w:hint="eastAsia" w:eastAsia="方正仿宋_GBK"/>
          <w:color w:val="auto"/>
          <w:sz w:val="32"/>
          <w:szCs w:val="32"/>
          <w:highlight w:val="none"/>
          <w:lang w:val="en-US" w:eastAsia="zh-CN"/>
        </w:rPr>
        <w:t>健康管理</w:t>
      </w:r>
      <w:r>
        <w:rPr>
          <w:rFonts w:hint="eastAsia" w:eastAsia="方正仿宋_GBK"/>
          <w:color w:val="auto"/>
          <w:sz w:val="32"/>
          <w:szCs w:val="32"/>
          <w:highlight w:val="none"/>
        </w:rPr>
        <w:t>指导中心</w:t>
      </w:r>
      <w:r>
        <w:rPr>
          <w:rFonts w:hint="eastAsia" w:eastAsia="方正仿宋_GBK"/>
          <w:color w:val="auto"/>
          <w:sz w:val="32"/>
          <w:szCs w:val="32"/>
          <w:highlight w:val="none"/>
          <w:lang w:eastAsia="zh-CN"/>
        </w:rPr>
        <w:t>。</w:t>
      </w:r>
      <w:r>
        <w:rPr>
          <w:rFonts w:hint="eastAsia" w:eastAsia="方正仿宋_GBK"/>
          <w:color w:val="auto"/>
          <w:sz w:val="32"/>
          <w:szCs w:val="32"/>
          <w:highlight w:val="none"/>
        </w:rPr>
        <w:t>到202</w:t>
      </w:r>
      <w:r>
        <w:rPr>
          <w:rFonts w:hint="eastAsia" w:eastAsia="方正仿宋_GBK"/>
          <w:color w:val="auto"/>
          <w:sz w:val="32"/>
          <w:szCs w:val="32"/>
          <w:highlight w:val="none"/>
          <w:lang w:val="en-US" w:eastAsia="zh-CN"/>
        </w:rPr>
        <w:t>5</w:t>
      </w:r>
      <w:r>
        <w:rPr>
          <w:rFonts w:hint="eastAsia" w:eastAsia="方正仿宋_GBK"/>
          <w:color w:val="auto"/>
          <w:sz w:val="32"/>
          <w:szCs w:val="32"/>
          <w:highlight w:val="none"/>
        </w:rPr>
        <w:t>年，</w:t>
      </w:r>
      <w:r>
        <w:rPr>
          <w:rFonts w:hint="eastAsia" w:ascii="Times New Roman" w:hAnsi="Times New Roman" w:eastAsia="方正仿宋_GBK"/>
          <w:color w:val="auto"/>
          <w:sz w:val="32"/>
          <w:szCs w:val="32"/>
          <w:highlight w:val="none"/>
          <w:lang w:val="en-US" w:eastAsia="zh-CN"/>
        </w:rPr>
        <w:t>建成病原微生物、慢性病防治、传染病防制</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职业病防治</w:t>
      </w:r>
      <w:r>
        <w:rPr>
          <w:rFonts w:hint="eastAsia" w:eastAsia="方正仿宋_GBK"/>
          <w:color w:val="auto"/>
          <w:sz w:val="32"/>
          <w:szCs w:val="32"/>
          <w:highlight w:val="none"/>
          <w:lang w:val="en-US" w:eastAsia="zh-CN"/>
        </w:rPr>
        <w:t>等</w:t>
      </w:r>
      <w:r>
        <w:rPr>
          <w:rFonts w:hint="eastAsia" w:ascii="Times New Roman" w:hAnsi="Times New Roman" w:eastAsia="方正仿宋_GBK"/>
          <w:color w:val="auto"/>
          <w:sz w:val="32"/>
          <w:szCs w:val="32"/>
          <w:highlight w:val="none"/>
          <w:lang w:val="en-US" w:eastAsia="zh-CN"/>
        </w:rPr>
        <w:t>重点学（专）科</w:t>
      </w:r>
      <w:r>
        <w:rPr>
          <w:rFonts w:hint="eastAsia" w:eastAsia="方正仿宋_GBK"/>
          <w:color w:val="auto"/>
          <w:sz w:val="32"/>
          <w:szCs w:val="32"/>
          <w:highlight w:val="none"/>
          <w:lang w:val="en-US" w:eastAsia="zh-CN"/>
        </w:rPr>
        <w:t>，完成市级、区级科研成果5-7项。</w:t>
      </w:r>
    </w:p>
    <w:p>
      <w:pPr>
        <w:snapToGrid w:val="0"/>
        <w:spacing w:afterLines="0" w:line="300" w:lineRule="auto"/>
        <w:ind w:firstLine="640" w:firstLineChars="200"/>
        <w:jc w:val="both"/>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3.打造</w:t>
      </w:r>
      <w:r>
        <w:rPr>
          <w:rFonts w:eastAsia="方正仿宋_GBK"/>
          <w:color w:val="auto"/>
          <w:sz w:val="32"/>
          <w:szCs w:val="32"/>
          <w:highlight w:val="none"/>
        </w:rPr>
        <w:t>健康科普教育平台。</w:t>
      </w:r>
      <w:r>
        <w:rPr>
          <w:rFonts w:hint="eastAsia" w:eastAsia="方正仿宋_GBK"/>
          <w:color w:val="auto"/>
          <w:sz w:val="32"/>
          <w:szCs w:val="32"/>
          <w:highlight w:val="none"/>
          <w:lang w:val="en-US" w:eastAsia="zh-CN"/>
        </w:rPr>
        <w:t>一是深入推进健康中国重庆行动，通过公众号、新媒体及大众媒体实施健康知识普及行动，开展科普宣传，提高全民健康素养水平。二是完善健康教育体系，建立1个健康科普专家库、1个资源库，搭建上下联动、资源共享的科普知识传播平台；建设1个智能化健康教育基地，分设健康知识科普、健康技能展示、健康咨询、健康管理服务等区域，为群众提供健康素养监测、健康状况自测等移动健康教育服务。三是探索个人、学校、社会三位一体，医防融合促进的中小学公共卫生教育新模式，以中小学为重点，持续开展近视、肥胖、口腔健康和重点传染病防治知识宣传教育。到2025年，建设中小学特色健康教育科普馆3个、社区健康教育科普馆2个。</w:t>
      </w:r>
    </w:p>
    <w:p>
      <w:pPr>
        <w:snapToGrid w:val="0"/>
        <w:spacing w:afterLines="0" w:line="300" w:lineRule="auto"/>
        <w:ind w:firstLine="640" w:firstLineChars="200"/>
        <w:jc w:val="both"/>
        <w:rPr>
          <w:rFonts w:eastAsia="方正楷体_GBK"/>
          <w:color w:val="auto"/>
          <w:sz w:val="32"/>
          <w:szCs w:val="32"/>
          <w:highlight w:val="none"/>
        </w:rPr>
      </w:pPr>
      <w:r>
        <w:rPr>
          <w:rFonts w:eastAsia="方正楷体_GBK"/>
          <w:color w:val="auto"/>
          <w:sz w:val="32"/>
          <w:szCs w:val="32"/>
          <w:highlight w:val="none"/>
        </w:rPr>
        <w:t>（</w:t>
      </w:r>
      <w:r>
        <w:rPr>
          <w:rFonts w:hint="eastAsia" w:eastAsia="方正楷体_GBK"/>
          <w:color w:val="auto"/>
          <w:sz w:val="32"/>
          <w:szCs w:val="32"/>
          <w:highlight w:val="none"/>
          <w:lang w:val="en-US" w:eastAsia="zh-CN"/>
        </w:rPr>
        <w:t>四</w:t>
      </w:r>
      <w:r>
        <w:rPr>
          <w:rFonts w:eastAsia="方正楷体_GBK"/>
          <w:color w:val="auto"/>
          <w:sz w:val="32"/>
          <w:szCs w:val="32"/>
          <w:highlight w:val="none"/>
        </w:rPr>
        <w:t>）</w:t>
      </w:r>
      <w:r>
        <w:rPr>
          <w:rFonts w:hint="eastAsia" w:eastAsia="方正楷体_GBK"/>
          <w:color w:val="auto"/>
          <w:sz w:val="32"/>
          <w:szCs w:val="32"/>
          <w:highlight w:val="none"/>
        </w:rPr>
        <w:t>强化</w:t>
      </w:r>
      <w:r>
        <w:rPr>
          <w:rFonts w:hint="eastAsia" w:eastAsia="方正楷体_GBK"/>
          <w:color w:val="auto"/>
          <w:sz w:val="32"/>
          <w:szCs w:val="32"/>
          <w:highlight w:val="none"/>
          <w:lang w:eastAsia="zh-CN"/>
        </w:rPr>
        <w:t>“</w:t>
      </w:r>
      <w:r>
        <w:rPr>
          <w:rFonts w:hint="eastAsia" w:eastAsia="方正楷体_GBK"/>
          <w:color w:val="auto"/>
          <w:sz w:val="32"/>
          <w:szCs w:val="32"/>
          <w:highlight w:val="none"/>
        </w:rPr>
        <w:t>三</w:t>
      </w:r>
      <w:r>
        <w:rPr>
          <w:rFonts w:eastAsia="方正楷体_GBK"/>
          <w:color w:val="auto"/>
          <w:sz w:val="32"/>
          <w:szCs w:val="32"/>
          <w:highlight w:val="none"/>
        </w:rPr>
        <w:t>个重点</w:t>
      </w:r>
      <w:r>
        <w:rPr>
          <w:rFonts w:hint="eastAsia" w:eastAsia="方正楷体_GBK"/>
          <w:color w:val="auto"/>
          <w:sz w:val="32"/>
          <w:szCs w:val="32"/>
          <w:highlight w:val="none"/>
          <w:lang w:eastAsia="zh-CN"/>
        </w:rPr>
        <w:t>”</w:t>
      </w:r>
      <w:r>
        <w:rPr>
          <w:rFonts w:eastAsia="方正楷体_GBK"/>
          <w:color w:val="auto"/>
          <w:sz w:val="32"/>
          <w:szCs w:val="32"/>
          <w:highlight w:val="none"/>
        </w:rPr>
        <w:t>行动</w:t>
      </w:r>
    </w:p>
    <w:p>
      <w:pPr>
        <w:snapToGrid w:val="0"/>
        <w:spacing w:afterLines="0" w:line="300" w:lineRule="auto"/>
        <w:ind w:firstLine="640" w:firstLineChars="200"/>
        <w:jc w:val="both"/>
        <w:rPr>
          <w:rFonts w:eastAsia="方正楷体_GBK"/>
          <w:color w:val="auto"/>
          <w:sz w:val="32"/>
          <w:szCs w:val="32"/>
          <w:highlight w:val="none"/>
        </w:rPr>
      </w:pPr>
      <w:r>
        <w:rPr>
          <w:rFonts w:eastAsia="方正楷体_GBK"/>
          <w:color w:val="auto"/>
          <w:sz w:val="32"/>
          <w:szCs w:val="32"/>
          <w:highlight w:val="none"/>
        </w:rPr>
        <w:t>1.</w:t>
      </w:r>
      <w:r>
        <w:rPr>
          <w:rFonts w:hint="eastAsia" w:eastAsia="方正仿宋_GBK"/>
          <w:color w:val="auto"/>
          <w:sz w:val="32"/>
          <w:szCs w:val="32"/>
          <w:highlight w:val="none"/>
        </w:rPr>
        <w:t>强化</w:t>
      </w:r>
      <w:r>
        <w:rPr>
          <w:rFonts w:eastAsia="方正仿宋_GBK"/>
          <w:color w:val="auto"/>
          <w:sz w:val="32"/>
          <w:szCs w:val="32"/>
          <w:highlight w:val="none"/>
        </w:rPr>
        <w:t>重大传染病防控</w:t>
      </w:r>
      <w:r>
        <w:rPr>
          <w:rFonts w:hint="eastAsia" w:eastAsia="方正仿宋_GBK"/>
          <w:color w:val="auto"/>
          <w:sz w:val="32"/>
          <w:szCs w:val="32"/>
          <w:highlight w:val="none"/>
        </w:rPr>
        <w:t>行动</w:t>
      </w:r>
      <w:r>
        <w:rPr>
          <w:rFonts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一是提升监测预警能力，初步建立多点触发预警机制，强化分析研判，探索重点传染病发病趋势预测，为政府决策和突发公共卫生事件应对提供科学依据。二是加强法定传染病报告管理</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强化传染病防控知识宣教，及时处置聚集疫情，维持甲乙类传染病低流行态势，</w:t>
      </w:r>
      <w:r>
        <w:rPr>
          <w:rFonts w:hint="eastAsia" w:eastAsia="方正仿宋_GBK"/>
          <w:color w:val="auto"/>
          <w:sz w:val="32"/>
          <w:szCs w:val="32"/>
          <w:highlight w:val="none"/>
          <w:lang w:val="en-US" w:eastAsia="zh-CN"/>
        </w:rPr>
        <w:t>年</w:t>
      </w:r>
      <w:r>
        <w:rPr>
          <w:rFonts w:hint="eastAsia" w:ascii="Times New Roman" w:hAnsi="Times New Roman" w:eastAsia="方正仿宋_GBK"/>
          <w:color w:val="auto"/>
          <w:sz w:val="32"/>
          <w:szCs w:val="32"/>
          <w:highlight w:val="none"/>
          <w:lang w:val="en-US" w:eastAsia="zh-CN"/>
        </w:rPr>
        <w:t>发病率低于全市平均水平。三是强化传染病防控专家组建设，弹性引入市级专家成立区级重点传染病防控专家委员会，建立定期会晤商讨机制，提升传染病决策能力。</w:t>
      </w:r>
      <w:r>
        <w:rPr>
          <w:rFonts w:hint="eastAsia" w:eastAsia="方正仿宋_GBK"/>
          <w:color w:val="auto"/>
          <w:sz w:val="32"/>
          <w:szCs w:val="32"/>
          <w:highlight w:val="none"/>
          <w:lang w:val="en-US" w:eastAsia="zh-CN"/>
        </w:rPr>
        <w:t>四</w:t>
      </w:r>
      <w:r>
        <w:rPr>
          <w:rFonts w:eastAsia="方正仿宋_GBK"/>
          <w:color w:val="auto"/>
          <w:sz w:val="32"/>
          <w:szCs w:val="32"/>
          <w:highlight w:val="none"/>
        </w:rPr>
        <w:t>是</w:t>
      </w:r>
      <w:r>
        <w:rPr>
          <w:rFonts w:ascii="Times New Roman" w:hAnsi="Times New Roman" w:eastAsia="方正仿宋_GBK"/>
          <w:color w:val="auto"/>
          <w:sz w:val="32"/>
          <w:szCs w:val="32"/>
          <w:highlight w:val="none"/>
          <w:lang w:val="en-US" w:eastAsia="zh-CN"/>
        </w:rPr>
        <w:t>强化艾滋病防控行动，以</w:t>
      </w:r>
      <w:r>
        <w:rPr>
          <w:rFonts w:hint="eastAsia" w:ascii="Times New Roman" w:hAnsi="Times New Roman" w:eastAsia="方正仿宋_GBK"/>
          <w:color w:val="auto"/>
          <w:sz w:val="32"/>
          <w:szCs w:val="32"/>
          <w:highlight w:val="none"/>
          <w:lang w:val="en-US" w:eastAsia="zh-CN"/>
        </w:rPr>
        <w:t>申报第五轮全国艾滋病综合防治示范区为契机，以</w:t>
      </w:r>
      <w:r>
        <w:rPr>
          <w:rFonts w:ascii="Times New Roman" w:hAnsi="Times New Roman" w:eastAsia="方正仿宋_GBK"/>
          <w:color w:val="auto"/>
          <w:sz w:val="32"/>
          <w:szCs w:val="32"/>
          <w:highlight w:val="none"/>
          <w:lang w:val="en-US" w:eastAsia="zh-CN"/>
        </w:rPr>
        <w:t>遏制艾滋病传播为目标，将我区艾滋病疫情继续控制在低流行水</w:t>
      </w:r>
      <w:r>
        <w:rPr>
          <w:rFonts w:hint="eastAsia" w:eastAsia="方正仿宋_GBK"/>
          <w:color w:val="auto"/>
          <w:sz w:val="32"/>
          <w:szCs w:val="32"/>
          <w:highlight w:val="none"/>
          <w:lang w:val="en-US" w:eastAsia="zh-CN"/>
        </w:rPr>
        <w:t>平，各类</w:t>
      </w:r>
      <w:r>
        <w:rPr>
          <w:rFonts w:ascii="Times New Roman" w:hAnsi="Times New Roman" w:eastAsia="方正仿宋_GBK"/>
          <w:color w:val="auto"/>
          <w:sz w:val="32"/>
          <w:szCs w:val="32"/>
          <w:highlight w:val="none"/>
          <w:lang w:val="en-US" w:eastAsia="zh-CN"/>
        </w:rPr>
        <w:t>人群艾滋病防治知识知晓率达</w:t>
      </w:r>
      <w:r>
        <w:rPr>
          <w:rFonts w:hint="eastAsia" w:eastAsia="方正仿宋_GBK"/>
          <w:color w:val="auto"/>
          <w:sz w:val="32"/>
          <w:szCs w:val="32"/>
          <w:highlight w:val="none"/>
          <w:lang w:val="en-US" w:eastAsia="zh-CN"/>
        </w:rPr>
        <w:t>到</w:t>
      </w:r>
      <w:r>
        <w:rPr>
          <w:rFonts w:ascii="Times New Roman" w:hAnsi="Times New Roman" w:eastAsia="方正仿宋_GBK"/>
          <w:color w:val="auto"/>
          <w:sz w:val="32"/>
          <w:szCs w:val="32"/>
          <w:highlight w:val="none"/>
          <w:lang w:val="en-US" w:eastAsia="zh-CN"/>
        </w:rPr>
        <w:t>90%以上</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艾滋病危险行为人群的预防干预覆盖率达</w:t>
      </w:r>
      <w:r>
        <w:rPr>
          <w:rFonts w:hint="eastAsia" w:ascii="Times New Roman" w:hAnsi="Times New Roman" w:eastAsia="方正仿宋_GBK"/>
          <w:color w:val="auto"/>
          <w:sz w:val="32"/>
          <w:szCs w:val="32"/>
          <w:highlight w:val="none"/>
          <w:lang w:val="en-US" w:eastAsia="zh-CN"/>
        </w:rPr>
        <w:t>到</w:t>
      </w:r>
      <w:r>
        <w:rPr>
          <w:rFonts w:ascii="Times New Roman" w:hAnsi="Times New Roman" w:eastAsia="方正仿宋_GBK"/>
          <w:color w:val="auto"/>
          <w:sz w:val="32"/>
          <w:szCs w:val="32"/>
          <w:highlight w:val="none"/>
          <w:lang w:val="en-US" w:eastAsia="zh-CN"/>
        </w:rPr>
        <w:t>90%</w:t>
      </w:r>
      <w:r>
        <w:rPr>
          <w:rFonts w:hint="eastAsia" w:eastAsia="方正仿宋_GBK"/>
          <w:color w:val="auto"/>
          <w:sz w:val="32"/>
          <w:szCs w:val="32"/>
          <w:highlight w:val="none"/>
          <w:lang w:val="en-US" w:eastAsia="zh-CN"/>
        </w:rPr>
        <w:t>及以上，</w:t>
      </w:r>
      <w:r>
        <w:rPr>
          <w:rFonts w:ascii="Times New Roman" w:hAnsi="Times New Roman" w:eastAsia="方正仿宋_GBK"/>
          <w:color w:val="auto"/>
          <w:sz w:val="32"/>
          <w:szCs w:val="32"/>
          <w:highlight w:val="none"/>
          <w:lang w:val="en-US" w:eastAsia="zh-CN"/>
        </w:rPr>
        <w:t>全人群艾滋病检测覆盖率达</w:t>
      </w:r>
      <w:r>
        <w:rPr>
          <w:rFonts w:hint="eastAsia" w:eastAsia="方正仿宋_GBK"/>
          <w:color w:val="auto"/>
          <w:sz w:val="32"/>
          <w:szCs w:val="32"/>
          <w:highlight w:val="none"/>
          <w:lang w:val="en-US" w:eastAsia="zh-CN"/>
        </w:rPr>
        <w:t>到4</w:t>
      </w:r>
      <w:r>
        <w:rPr>
          <w:rFonts w:ascii="Times New Roman" w:hAnsi="Times New Roman" w:eastAsia="方正仿宋_GBK"/>
          <w:color w:val="auto"/>
          <w:sz w:val="32"/>
          <w:szCs w:val="32"/>
          <w:highlight w:val="none"/>
          <w:lang w:val="en-US" w:eastAsia="zh-CN"/>
        </w:rPr>
        <w:t>0%</w:t>
      </w:r>
      <w:r>
        <w:rPr>
          <w:rFonts w:hint="eastAsia" w:eastAsia="方正仿宋_GBK"/>
          <w:color w:val="auto"/>
          <w:sz w:val="32"/>
          <w:szCs w:val="32"/>
          <w:highlight w:val="none"/>
          <w:lang w:val="en-US" w:eastAsia="zh-CN"/>
        </w:rPr>
        <w:t>以上，</w:t>
      </w:r>
      <w:r>
        <w:rPr>
          <w:rFonts w:ascii="Times New Roman" w:hAnsi="Times New Roman" w:eastAsia="方正仿宋_GBK"/>
          <w:color w:val="auto"/>
          <w:sz w:val="32"/>
          <w:szCs w:val="32"/>
          <w:highlight w:val="none"/>
          <w:lang w:val="en-US" w:eastAsia="zh-CN"/>
        </w:rPr>
        <w:t>感染者和病人抗病毒治疗比例</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病毒载量检测比例</w:t>
      </w:r>
      <w:r>
        <w:rPr>
          <w:rFonts w:hint="eastAsia" w:ascii="Times New Roman" w:hAnsi="Times New Roman"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治疗成功率达</w:t>
      </w:r>
      <w:r>
        <w:rPr>
          <w:rFonts w:hint="eastAsia" w:eastAsia="方正仿宋_GBK"/>
          <w:color w:val="auto"/>
          <w:sz w:val="32"/>
          <w:szCs w:val="32"/>
          <w:highlight w:val="none"/>
          <w:lang w:val="en-US" w:eastAsia="zh-CN"/>
        </w:rPr>
        <w:t>到</w:t>
      </w:r>
      <w:r>
        <w:rPr>
          <w:rFonts w:ascii="Times New Roman" w:hAnsi="Times New Roman" w:eastAsia="方正仿宋_GBK"/>
          <w:color w:val="auto"/>
          <w:sz w:val="32"/>
          <w:szCs w:val="32"/>
          <w:highlight w:val="none"/>
          <w:lang w:val="en-US" w:eastAsia="zh-CN"/>
        </w:rPr>
        <w:t>95%以上。</w:t>
      </w:r>
      <w:r>
        <w:rPr>
          <w:rFonts w:hint="eastAsia" w:eastAsia="方正仿宋_GBK"/>
          <w:color w:val="auto"/>
          <w:sz w:val="32"/>
          <w:szCs w:val="32"/>
          <w:highlight w:val="none"/>
          <w:lang w:val="en-US" w:eastAsia="zh-CN"/>
        </w:rPr>
        <w:t>五</w:t>
      </w:r>
      <w:r>
        <w:rPr>
          <w:rFonts w:ascii="Times New Roman" w:hAnsi="Times New Roman" w:eastAsia="方正仿宋_GBK"/>
          <w:color w:val="auto"/>
          <w:sz w:val="32"/>
          <w:szCs w:val="32"/>
          <w:highlight w:val="none"/>
          <w:lang w:val="en-US" w:eastAsia="zh-CN"/>
        </w:rPr>
        <w:t>是强化结核病防控行动，立足社区，深入开展专题宣传活动，推进百千万志愿者提升行动，建立一支志愿者团队，使公众结核病防治知识知晓率达到85%</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结核病患者规范管理率达到95%</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潜伏感染者预防性治疗率达到60%。</w:t>
      </w:r>
      <w:r>
        <w:rPr>
          <w:rFonts w:hint="eastAsia" w:eastAsia="方正仿宋_GBK"/>
          <w:color w:val="auto"/>
          <w:sz w:val="32"/>
          <w:szCs w:val="32"/>
          <w:highlight w:val="none"/>
          <w:lang w:val="en-US" w:eastAsia="zh-CN"/>
        </w:rPr>
        <w:t>六</w:t>
      </w:r>
      <w:r>
        <w:rPr>
          <w:rFonts w:hint="eastAsia" w:ascii="Times New Roman" w:hAnsi="Times New Roman" w:eastAsia="方正仿宋_GBK"/>
          <w:color w:val="auto"/>
          <w:sz w:val="32"/>
          <w:szCs w:val="32"/>
          <w:highlight w:val="none"/>
          <w:lang w:val="en-US" w:eastAsia="zh-CN"/>
        </w:rPr>
        <w:t>是保持适龄儿童免疫规划疫苗高水平接种率，以镇、街道为</w:t>
      </w:r>
      <w:r>
        <w:rPr>
          <w:rFonts w:ascii="Times New Roman" w:hAnsi="Times New Roman" w:eastAsia="方正仿宋_GBK"/>
          <w:color w:val="auto"/>
          <w:sz w:val="32"/>
          <w:szCs w:val="32"/>
          <w:highlight w:val="none"/>
          <w:lang w:val="en-US" w:eastAsia="zh-CN"/>
        </w:rPr>
        <w:t>单位</w:t>
      </w:r>
      <w:r>
        <w:rPr>
          <w:rFonts w:hint="eastAsia" w:eastAsia="方正仿宋_GBK"/>
          <w:color w:val="auto"/>
          <w:sz w:val="32"/>
          <w:szCs w:val="32"/>
          <w:highlight w:val="none"/>
          <w:lang w:val="en-US" w:eastAsia="zh-CN"/>
        </w:rPr>
        <w:t>的</w:t>
      </w:r>
      <w:r>
        <w:rPr>
          <w:rFonts w:ascii="Times New Roman" w:hAnsi="Times New Roman" w:eastAsia="方正仿宋_GBK"/>
          <w:color w:val="auto"/>
          <w:sz w:val="32"/>
          <w:szCs w:val="32"/>
          <w:highlight w:val="none"/>
          <w:lang w:val="en-US" w:eastAsia="zh-CN"/>
        </w:rPr>
        <w:t>适龄儿童</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八苗</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基础全程接种率达96%以上</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提高可预防常见传染病疫苗接种率，降低学校常见传染病聚集疫情</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建设1家区级特需儿童预防接种门诊</w:t>
      </w:r>
      <w:r>
        <w:rPr>
          <w:rFonts w:hint="eastAsia" w:eastAsia="方正仿宋_GBK"/>
          <w:color w:val="auto"/>
          <w:sz w:val="32"/>
          <w:szCs w:val="32"/>
          <w:highlight w:val="none"/>
          <w:lang w:val="en-US" w:eastAsia="zh-CN"/>
        </w:rPr>
        <w:t>；通过</w:t>
      </w:r>
      <w:r>
        <w:rPr>
          <w:rFonts w:hint="eastAsia" w:ascii="Times New Roman" w:hAnsi="Times New Roman" w:eastAsia="方正仿宋_GBK"/>
          <w:color w:val="auto"/>
          <w:sz w:val="32"/>
          <w:szCs w:val="32"/>
          <w:highlight w:val="none"/>
          <w:lang w:val="en-US" w:eastAsia="zh-CN"/>
        </w:rPr>
        <w:t>区级规范化预防接种技能培训基地建设和技能竞赛，提升全区预防接种管理水平和服务能力。</w:t>
      </w:r>
    </w:p>
    <w:p>
      <w:pPr>
        <w:snapToGrid w:val="0"/>
        <w:spacing w:afterLines="0" w:line="300" w:lineRule="auto"/>
        <w:ind w:firstLine="640" w:firstLineChars="200"/>
        <w:jc w:val="both"/>
        <w:rPr>
          <w:rFonts w:eastAsia="方正仿宋_GBK"/>
          <w:color w:val="auto"/>
          <w:sz w:val="32"/>
          <w:szCs w:val="32"/>
          <w:highlight w:val="none"/>
        </w:rPr>
      </w:pPr>
      <w:r>
        <w:rPr>
          <w:rFonts w:eastAsia="方正仿宋_GBK"/>
          <w:color w:val="auto"/>
          <w:sz w:val="32"/>
          <w:szCs w:val="32"/>
          <w:highlight w:val="none"/>
        </w:rPr>
        <w:t>2.</w:t>
      </w:r>
      <w:r>
        <w:rPr>
          <w:rFonts w:hint="eastAsia" w:eastAsia="方正仿宋_GBK"/>
          <w:color w:val="auto"/>
          <w:sz w:val="32"/>
          <w:szCs w:val="32"/>
          <w:highlight w:val="none"/>
        </w:rPr>
        <w:t>强化</w:t>
      </w:r>
      <w:r>
        <w:rPr>
          <w:rFonts w:eastAsia="方正仿宋_GBK"/>
          <w:color w:val="auto"/>
          <w:sz w:val="32"/>
          <w:szCs w:val="32"/>
          <w:highlight w:val="none"/>
        </w:rPr>
        <w:t>公共卫生</w:t>
      </w:r>
      <w:r>
        <w:rPr>
          <w:rFonts w:hint="eastAsia" w:eastAsia="方正仿宋_GBK"/>
          <w:color w:val="auto"/>
          <w:sz w:val="32"/>
          <w:szCs w:val="32"/>
          <w:highlight w:val="none"/>
        </w:rPr>
        <w:t>指导行动</w:t>
      </w:r>
      <w:r>
        <w:rPr>
          <w:rFonts w:eastAsia="方正仿宋_GBK"/>
          <w:color w:val="auto"/>
          <w:sz w:val="32"/>
          <w:szCs w:val="32"/>
          <w:highlight w:val="none"/>
        </w:rPr>
        <w:t>。</w:t>
      </w:r>
      <w:r>
        <w:rPr>
          <w:rFonts w:hint="eastAsia" w:eastAsia="方正仿宋_GBK"/>
          <w:color w:val="auto"/>
          <w:sz w:val="32"/>
          <w:szCs w:val="32"/>
          <w:highlight w:val="none"/>
        </w:rPr>
        <w:t>一是</w:t>
      </w:r>
      <w:r>
        <w:rPr>
          <w:rFonts w:hint="eastAsia" w:eastAsia="方正仿宋_GBK"/>
          <w:color w:val="auto"/>
          <w:sz w:val="32"/>
          <w:szCs w:val="32"/>
          <w:highlight w:val="none"/>
          <w:lang w:val="en-US" w:eastAsia="zh-CN"/>
        </w:rPr>
        <w:t>完善</w:t>
      </w:r>
      <w:r>
        <w:rPr>
          <w:rFonts w:hint="eastAsia" w:eastAsia="方正仿宋_GBK"/>
          <w:color w:val="auto"/>
          <w:sz w:val="32"/>
          <w:szCs w:val="32"/>
          <w:highlight w:val="none"/>
        </w:rPr>
        <w:t>慢性非传染性疾病</w:t>
      </w:r>
      <w:r>
        <w:rPr>
          <w:rFonts w:hint="eastAsia" w:eastAsia="方正仿宋_GBK"/>
          <w:color w:val="auto"/>
          <w:sz w:val="32"/>
          <w:szCs w:val="32"/>
          <w:highlight w:val="none"/>
          <w:lang w:val="en-US" w:eastAsia="zh-CN"/>
        </w:rPr>
        <w:t>综合</w:t>
      </w:r>
      <w:r>
        <w:rPr>
          <w:rFonts w:hint="eastAsia" w:eastAsia="方正仿宋_GBK"/>
          <w:color w:val="auto"/>
          <w:sz w:val="32"/>
          <w:szCs w:val="32"/>
          <w:highlight w:val="none"/>
        </w:rPr>
        <w:t>防治</w:t>
      </w:r>
      <w:r>
        <w:rPr>
          <w:rFonts w:hint="eastAsia" w:eastAsia="方正仿宋_GBK"/>
          <w:color w:val="auto"/>
          <w:sz w:val="32"/>
          <w:szCs w:val="32"/>
          <w:highlight w:val="none"/>
          <w:lang w:val="en-US" w:eastAsia="zh-CN"/>
        </w:rPr>
        <w:t>体系</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建立部门协调联动机制，确保</w:t>
      </w:r>
      <w:r>
        <w:rPr>
          <w:rFonts w:hint="eastAsia" w:eastAsia="方正仿宋_GBK"/>
          <w:color w:val="auto"/>
          <w:sz w:val="32"/>
          <w:szCs w:val="32"/>
          <w:highlight w:val="none"/>
        </w:rPr>
        <w:t>顺利通过2024年</w:t>
      </w:r>
      <w:r>
        <w:rPr>
          <w:rFonts w:hint="eastAsia" w:eastAsia="方正仿宋_GBK"/>
          <w:color w:val="auto"/>
          <w:sz w:val="32"/>
          <w:szCs w:val="32"/>
          <w:highlight w:val="none"/>
          <w:lang w:val="en-US" w:eastAsia="zh-CN"/>
        </w:rPr>
        <w:t>国家慢性病综合防控</w:t>
      </w:r>
      <w:r>
        <w:rPr>
          <w:rFonts w:hint="eastAsia" w:eastAsia="方正仿宋_GBK"/>
          <w:color w:val="auto"/>
          <w:sz w:val="32"/>
          <w:szCs w:val="32"/>
          <w:highlight w:val="none"/>
        </w:rPr>
        <w:t>示范区复评。到2025年，四类主要慢性病早死概率低于12.</w:t>
      </w:r>
      <w:r>
        <w:rPr>
          <w:rFonts w:hint="eastAsia" w:eastAsia="方正仿宋_GBK"/>
          <w:color w:val="auto"/>
          <w:sz w:val="32"/>
          <w:szCs w:val="32"/>
          <w:highlight w:val="none"/>
          <w:lang w:val="en-US" w:eastAsia="zh-CN"/>
        </w:rPr>
        <w:t>3</w:t>
      </w:r>
      <w:r>
        <w:rPr>
          <w:rFonts w:hint="eastAsia" w:eastAsia="方正仿宋_GBK"/>
          <w:color w:val="auto"/>
          <w:sz w:val="32"/>
          <w:szCs w:val="32"/>
          <w:highlight w:val="none"/>
        </w:rPr>
        <w:t>0%，癌症5年生存率提升至44.00%</w:t>
      </w:r>
      <w:r>
        <w:rPr>
          <w:rFonts w:hint="eastAsia" w:eastAsia="方正仿宋_GBK"/>
          <w:color w:val="auto"/>
          <w:sz w:val="32"/>
          <w:szCs w:val="32"/>
          <w:highlight w:val="none"/>
          <w:lang w:val="en-US" w:eastAsia="zh-CN"/>
        </w:rPr>
        <w:t>以上</w:t>
      </w:r>
      <w:r>
        <w:rPr>
          <w:rFonts w:hint="eastAsia" w:eastAsia="方正仿宋_GBK"/>
          <w:color w:val="auto"/>
          <w:sz w:val="32"/>
          <w:szCs w:val="32"/>
          <w:highlight w:val="none"/>
        </w:rPr>
        <w:t>，人均期望寿命达到79.30</w:t>
      </w:r>
      <w:r>
        <w:rPr>
          <w:rFonts w:hint="eastAsia" w:eastAsia="方正仿宋_GBK"/>
          <w:color w:val="auto"/>
          <w:sz w:val="32"/>
          <w:szCs w:val="32"/>
          <w:highlight w:val="none"/>
          <w:lang w:eastAsia="zh-CN"/>
        </w:rPr>
        <w:t>岁</w:t>
      </w:r>
      <w:r>
        <w:rPr>
          <w:rFonts w:hint="eastAsia" w:eastAsia="方正仿宋_GBK"/>
          <w:color w:val="auto"/>
          <w:sz w:val="32"/>
          <w:szCs w:val="32"/>
          <w:highlight w:val="none"/>
        </w:rPr>
        <w:t>，65岁以上老年人城乡社区规范健康管理服务率达到67%，高血压、糖尿病患者规范化管理率达70%。</w:t>
      </w:r>
      <w:r>
        <w:rPr>
          <w:rFonts w:hint="eastAsia" w:eastAsia="方正仿宋_GBK"/>
          <w:color w:val="auto"/>
          <w:sz w:val="32"/>
          <w:szCs w:val="32"/>
          <w:highlight w:val="none"/>
          <w:lang w:val="en-US" w:eastAsia="zh-CN"/>
        </w:rPr>
        <w:t>二是推进健康促进工作，</w:t>
      </w:r>
      <w:r>
        <w:rPr>
          <w:rFonts w:hint="eastAsia" w:eastAsia="方正仿宋_GBK"/>
          <w:color w:val="auto"/>
          <w:sz w:val="32"/>
          <w:szCs w:val="32"/>
          <w:highlight w:val="none"/>
          <w:lang w:eastAsia="zh-CN"/>
        </w:rPr>
        <w:t>2023年成功创建健康区，</w:t>
      </w:r>
      <w:r>
        <w:rPr>
          <w:rFonts w:hint="eastAsia" w:eastAsia="方正仿宋_GBK"/>
          <w:color w:val="auto"/>
          <w:sz w:val="32"/>
          <w:szCs w:val="32"/>
          <w:highlight w:val="none"/>
          <w:lang w:val="en-US" w:eastAsia="zh-CN"/>
        </w:rPr>
        <w:t>实施</w:t>
      </w:r>
      <w:r>
        <w:rPr>
          <w:rFonts w:hint="eastAsia" w:eastAsia="方正仿宋_GBK"/>
          <w:color w:val="auto"/>
          <w:sz w:val="32"/>
          <w:szCs w:val="32"/>
          <w:highlight w:val="none"/>
          <w:lang w:eastAsia="zh-CN"/>
        </w:rPr>
        <w:t>全民健康生活方式行动和“三减三健”专项行动，提升全民健康素养，</w:t>
      </w:r>
      <w:r>
        <w:rPr>
          <w:rFonts w:hint="eastAsia" w:eastAsia="方正仿宋_GBK"/>
          <w:color w:val="auto"/>
          <w:sz w:val="32"/>
          <w:szCs w:val="32"/>
          <w:highlight w:val="none"/>
          <w:lang w:val="en-US" w:eastAsia="zh-CN"/>
        </w:rPr>
        <w:t>到2025年，</w:t>
      </w:r>
      <w:r>
        <w:rPr>
          <w:rFonts w:hint="eastAsia" w:eastAsia="方正仿宋_GBK"/>
          <w:color w:val="auto"/>
          <w:sz w:val="32"/>
          <w:szCs w:val="32"/>
          <w:highlight w:val="none"/>
          <w:lang w:eastAsia="zh-CN"/>
        </w:rPr>
        <w:t>健康素养水平达</w:t>
      </w:r>
      <w:r>
        <w:rPr>
          <w:rFonts w:hint="eastAsia" w:eastAsia="方正仿宋_GBK"/>
          <w:color w:val="auto"/>
          <w:sz w:val="32"/>
          <w:szCs w:val="32"/>
          <w:highlight w:val="none"/>
          <w:lang w:val="en-US" w:eastAsia="zh-CN"/>
        </w:rPr>
        <w:t>到40</w:t>
      </w:r>
      <w:r>
        <w:rPr>
          <w:rFonts w:hint="eastAsia" w:eastAsia="方正仿宋_GBK"/>
          <w:color w:val="auto"/>
          <w:sz w:val="32"/>
          <w:szCs w:val="32"/>
          <w:highlight w:val="none"/>
          <w:lang w:eastAsia="zh-CN"/>
        </w:rPr>
        <w:t>%。</w:t>
      </w:r>
      <w:r>
        <w:rPr>
          <w:rFonts w:hint="eastAsia" w:eastAsia="方正仿宋_GBK"/>
          <w:color w:val="auto"/>
          <w:sz w:val="32"/>
          <w:szCs w:val="32"/>
          <w:highlight w:val="none"/>
          <w:lang w:val="en-US" w:eastAsia="zh-CN"/>
        </w:rPr>
        <w:t>三</w:t>
      </w:r>
      <w:r>
        <w:rPr>
          <w:rFonts w:hint="eastAsia" w:eastAsia="方正仿宋_GBK"/>
          <w:color w:val="auto"/>
          <w:sz w:val="32"/>
          <w:szCs w:val="32"/>
          <w:highlight w:val="none"/>
        </w:rPr>
        <w:t>是</w:t>
      </w:r>
      <w:r>
        <w:rPr>
          <w:rFonts w:hint="eastAsia" w:eastAsia="方正仿宋_GBK"/>
          <w:color w:val="auto"/>
          <w:sz w:val="32"/>
          <w:szCs w:val="32"/>
          <w:highlight w:val="none"/>
          <w:lang w:val="en-US" w:eastAsia="zh-CN"/>
        </w:rPr>
        <w:t>健全</w:t>
      </w:r>
      <w:r>
        <w:rPr>
          <w:rFonts w:hint="eastAsia" w:eastAsia="方正仿宋_GBK"/>
          <w:color w:val="auto"/>
          <w:sz w:val="32"/>
          <w:szCs w:val="32"/>
          <w:highlight w:val="none"/>
        </w:rPr>
        <w:t>公共卫生监测</w:t>
      </w:r>
      <w:r>
        <w:rPr>
          <w:rFonts w:hint="eastAsia" w:eastAsia="方正仿宋_GBK"/>
          <w:color w:val="auto"/>
          <w:sz w:val="32"/>
          <w:szCs w:val="32"/>
          <w:highlight w:val="none"/>
          <w:lang w:val="en-US" w:eastAsia="zh-CN"/>
        </w:rPr>
        <w:t>体系，</w:t>
      </w:r>
      <w:r>
        <w:rPr>
          <w:rFonts w:hint="eastAsia" w:ascii="Times New Roman" w:hAnsi="Times New Roman" w:eastAsia="方正仿宋_GBK"/>
          <w:color w:val="auto"/>
          <w:sz w:val="32"/>
          <w:szCs w:val="32"/>
          <w:highlight w:val="none"/>
          <w:lang w:val="en-US" w:eastAsia="zh-CN"/>
        </w:rPr>
        <w:t>持续开展饮用水、空气、消毒、土壤环境质量监测</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食品安全风险监测、食源性疾病监测</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中小学生</w:t>
      </w:r>
      <w:r>
        <w:rPr>
          <w:rFonts w:hint="eastAsia" w:eastAsia="方正仿宋_GBK"/>
          <w:color w:val="auto"/>
          <w:sz w:val="32"/>
          <w:szCs w:val="32"/>
          <w:highlight w:val="none"/>
          <w:lang w:val="en-US" w:eastAsia="zh-CN"/>
        </w:rPr>
        <w:t>各项</w:t>
      </w:r>
      <w:r>
        <w:rPr>
          <w:rFonts w:hint="eastAsia" w:ascii="Times New Roman" w:hAnsi="Times New Roman" w:eastAsia="方正仿宋_GBK"/>
          <w:color w:val="auto"/>
          <w:sz w:val="32"/>
          <w:szCs w:val="32"/>
          <w:highlight w:val="none"/>
          <w:lang w:val="en-US" w:eastAsia="zh-CN"/>
        </w:rPr>
        <w:t>卫生综合监测与评估</w:t>
      </w:r>
      <w:r>
        <w:rPr>
          <w:rFonts w:hint="eastAsia" w:eastAsia="方正仿宋_GBK"/>
          <w:color w:val="auto"/>
          <w:sz w:val="32"/>
          <w:szCs w:val="32"/>
          <w:highlight w:val="none"/>
          <w:lang w:val="en-US" w:eastAsia="zh-CN"/>
        </w:rPr>
        <w:t>等</w:t>
      </w:r>
      <w:r>
        <w:rPr>
          <w:rFonts w:hint="eastAsia" w:ascii="Times New Roman" w:hAnsi="Times New Roman" w:eastAsia="方正仿宋_GBK"/>
          <w:color w:val="auto"/>
          <w:sz w:val="32"/>
          <w:szCs w:val="32"/>
          <w:highlight w:val="none"/>
          <w:lang w:val="en-US" w:eastAsia="zh-CN"/>
        </w:rPr>
        <w:t>工作</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开展</w:t>
      </w:r>
      <w:r>
        <w:rPr>
          <w:rFonts w:hint="eastAsia" w:ascii="Times New Roman" w:hAnsi="Times New Roman" w:eastAsia="方正仿宋_GBK"/>
          <w:color w:val="auto"/>
          <w:sz w:val="32"/>
          <w:szCs w:val="32"/>
          <w:highlight w:val="none"/>
          <w:lang w:val="en-US" w:eastAsia="zh-CN"/>
        </w:rPr>
        <w:t>饮水工程、</w:t>
      </w:r>
      <w:r>
        <w:rPr>
          <w:rFonts w:ascii="Times New Roman" w:hAnsi="Times New Roman" w:eastAsia="方正仿宋_GBK"/>
          <w:color w:val="auto"/>
          <w:sz w:val="32"/>
          <w:szCs w:val="32"/>
          <w:highlight w:val="none"/>
          <w:lang w:val="en-US" w:eastAsia="zh-CN"/>
        </w:rPr>
        <w:t>公共场所</w:t>
      </w:r>
      <w:r>
        <w:rPr>
          <w:rFonts w:hint="eastAsia" w:eastAsia="方正仿宋_GBK"/>
          <w:color w:val="auto"/>
          <w:sz w:val="32"/>
          <w:szCs w:val="32"/>
          <w:highlight w:val="none"/>
          <w:lang w:val="en-US" w:eastAsia="zh-CN"/>
        </w:rPr>
        <w:t>等</w:t>
      </w:r>
      <w:r>
        <w:rPr>
          <w:rFonts w:hint="eastAsia" w:ascii="Times New Roman" w:hAnsi="Times New Roman" w:eastAsia="方正仿宋_GBK"/>
          <w:color w:val="auto"/>
          <w:sz w:val="32"/>
          <w:szCs w:val="32"/>
          <w:highlight w:val="none"/>
          <w:lang w:val="en-US" w:eastAsia="zh-CN"/>
        </w:rPr>
        <w:t>清理消毒</w:t>
      </w:r>
      <w:r>
        <w:rPr>
          <w:rFonts w:ascii="Times New Roman" w:hAnsi="Times New Roman" w:eastAsia="方正仿宋_GBK"/>
          <w:color w:val="auto"/>
          <w:sz w:val="32"/>
          <w:szCs w:val="32"/>
          <w:highlight w:val="none"/>
          <w:lang w:val="en-US" w:eastAsia="zh-CN"/>
        </w:rPr>
        <w:t>的卫生学评价</w:t>
      </w:r>
      <w:r>
        <w:rPr>
          <w:rFonts w:hint="eastAsia" w:ascii="Times New Roman" w:hAnsi="Times New Roman" w:eastAsia="方正仿宋_GBK"/>
          <w:color w:val="auto"/>
          <w:sz w:val="32"/>
          <w:szCs w:val="32"/>
          <w:highlight w:val="none"/>
          <w:lang w:val="en-US" w:eastAsia="zh-CN"/>
        </w:rPr>
        <w:t>，形成涵盖全区、符合民众健康需求、涉及各类健康危险因素监测的监测信息网络</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强化监测结果分析和利用</w:t>
      </w:r>
      <w:r>
        <w:rPr>
          <w:rFonts w:hint="eastAsia" w:ascii="Times New Roman" w:hAnsi="Times New Roman"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提出</w:t>
      </w:r>
      <w:r>
        <w:rPr>
          <w:rFonts w:hint="eastAsia" w:eastAsia="方正仿宋_GBK"/>
          <w:color w:val="auto"/>
          <w:sz w:val="32"/>
          <w:szCs w:val="32"/>
          <w:highlight w:val="none"/>
          <w:lang w:val="en-US" w:eastAsia="zh-CN"/>
        </w:rPr>
        <w:t>有效的</w:t>
      </w:r>
      <w:r>
        <w:rPr>
          <w:rFonts w:ascii="Times New Roman" w:hAnsi="Times New Roman" w:eastAsia="方正仿宋_GBK"/>
          <w:color w:val="auto"/>
          <w:sz w:val="32"/>
          <w:szCs w:val="32"/>
          <w:highlight w:val="none"/>
          <w:lang w:val="en-US" w:eastAsia="zh-CN"/>
        </w:rPr>
        <w:t>预防和控制策略</w:t>
      </w:r>
      <w:r>
        <w:rPr>
          <w:rFonts w:hint="eastAsia" w:eastAsia="方正仿宋_GBK"/>
          <w:color w:val="auto"/>
          <w:sz w:val="32"/>
          <w:szCs w:val="32"/>
          <w:highlight w:val="none"/>
          <w:lang w:val="en-US" w:eastAsia="zh-CN"/>
        </w:rPr>
        <w:t>。到2025年，建</w:t>
      </w:r>
      <w:r>
        <w:rPr>
          <w:rFonts w:hint="eastAsia" w:ascii="Times New Roman" w:hAnsi="Times New Roman" w:eastAsia="方正仿宋_GBK"/>
          <w:color w:val="auto"/>
          <w:sz w:val="32"/>
          <w:szCs w:val="32"/>
          <w:highlight w:val="none"/>
          <w:lang w:val="en-US" w:eastAsia="zh-CN"/>
        </w:rPr>
        <w:t>成一支专业食品安全监测</w:t>
      </w:r>
      <w:r>
        <w:rPr>
          <w:rFonts w:hint="eastAsia" w:eastAsia="方正仿宋_GBK"/>
          <w:color w:val="auto"/>
          <w:sz w:val="32"/>
          <w:szCs w:val="32"/>
          <w:highlight w:val="none"/>
          <w:lang w:val="en-US" w:eastAsia="zh-CN"/>
        </w:rPr>
        <w:t>、评估</w:t>
      </w:r>
      <w:r>
        <w:rPr>
          <w:rFonts w:hint="eastAsia" w:ascii="Times New Roman" w:hAnsi="Times New Roman" w:eastAsia="方正仿宋_GBK"/>
          <w:color w:val="auto"/>
          <w:sz w:val="32"/>
          <w:szCs w:val="32"/>
          <w:highlight w:val="none"/>
          <w:lang w:val="en-US" w:eastAsia="zh-CN"/>
        </w:rPr>
        <w:t>团队</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建立区内学校卫生监测评估指导中心，实现全区中小学校卫生管理评价和监测评价全覆盖，推行中小学卫生综合评价等级管理。</w:t>
      </w:r>
    </w:p>
    <w:p>
      <w:pPr>
        <w:snapToGrid w:val="0"/>
        <w:spacing w:afterLines="0" w:line="300" w:lineRule="auto"/>
        <w:ind w:firstLine="640" w:firstLineChars="200"/>
        <w:jc w:val="both"/>
        <w:rPr>
          <w:rFonts w:hint="eastAsia" w:eastAsia="方正仿宋_GBK"/>
          <w:color w:val="auto"/>
          <w:sz w:val="32"/>
          <w:szCs w:val="32"/>
          <w:highlight w:val="none"/>
        </w:rPr>
      </w:pPr>
      <w:r>
        <w:rPr>
          <w:rFonts w:hint="eastAsia" w:eastAsia="方正仿宋_GBK"/>
          <w:color w:val="auto"/>
          <w:sz w:val="32"/>
          <w:szCs w:val="32"/>
          <w:highlight w:val="none"/>
        </w:rPr>
        <w:t>3</w:t>
      </w:r>
      <w:r>
        <w:rPr>
          <w:rFonts w:eastAsia="方正仿宋_GBK"/>
          <w:color w:val="auto"/>
          <w:sz w:val="32"/>
          <w:szCs w:val="32"/>
          <w:highlight w:val="none"/>
        </w:rPr>
        <w:t>.</w:t>
      </w:r>
      <w:r>
        <w:rPr>
          <w:rFonts w:hint="eastAsia" w:eastAsia="方正仿宋_GBK"/>
          <w:color w:val="auto"/>
          <w:sz w:val="32"/>
          <w:szCs w:val="32"/>
          <w:highlight w:val="none"/>
        </w:rPr>
        <w:t>强化健康管理行动</w:t>
      </w:r>
      <w:r>
        <w:rPr>
          <w:rFonts w:eastAsia="方正仿宋_GBK"/>
          <w:color w:val="auto"/>
          <w:sz w:val="32"/>
          <w:szCs w:val="32"/>
          <w:highlight w:val="none"/>
        </w:rPr>
        <w:t>。</w:t>
      </w:r>
      <w:r>
        <w:rPr>
          <w:rFonts w:hint="eastAsia" w:ascii="Times New Roman" w:hAnsi="Times New Roman" w:eastAsia="方正仿宋_GBK"/>
          <w:color w:val="auto"/>
          <w:sz w:val="32"/>
          <w:szCs w:val="32"/>
          <w:highlight w:val="none"/>
          <w:lang w:val="en-US" w:eastAsia="zh-CN"/>
        </w:rPr>
        <w:t>一</w:t>
      </w:r>
      <w:r>
        <w:rPr>
          <w:rFonts w:ascii="Times New Roman" w:hAnsi="Times New Roman" w:eastAsia="方正仿宋_GBK"/>
          <w:color w:val="auto"/>
          <w:sz w:val="32"/>
          <w:szCs w:val="32"/>
          <w:highlight w:val="none"/>
          <w:lang w:val="en-US" w:eastAsia="zh-CN"/>
        </w:rPr>
        <w:t>是完善病媒生物监测网络</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建立病媒生物监测实验室，开展病媒生物抗药性和病原学监测，</w:t>
      </w:r>
      <w:r>
        <w:rPr>
          <w:rFonts w:ascii="Times New Roman" w:hAnsi="Times New Roman" w:eastAsia="方正仿宋_GBK"/>
          <w:color w:val="auto"/>
          <w:sz w:val="32"/>
          <w:szCs w:val="32"/>
          <w:highlight w:val="none"/>
          <w:lang w:val="en-US" w:eastAsia="zh-CN"/>
        </w:rPr>
        <w:t>提高病媒生物监测数据的利用率。</w:t>
      </w:r>
      <w:r>
        <w:rPr>
          <w:rFonts w:hint="eastAsia" w:ascii="Times New Roman" w:hAnsi="Times New Roman" w:eastAsia="方正仿宋_GBK"/>
          <w:color w:val="auto"/>
          <w:sz w:val="32"/>
          <w:szCs w:val="32"/>
          <w:highlight w:val="none"/>
          <w:lang w:val="en-US" w:eastAsia="zh-CN"/>
        </w:rPr>
        <w:t>提升医院消毒与感染控制监测技术能力。</w:t>
      </w:r>
      <w:r>
        <w:rPr>
          <w:rFonts w:ascii="Times New Roman" w:hAnsi="Times New Roman" w:eastAsia="方正仿宋_GBK"/>
          <w:color w:val="auto"/>
          <w:sz w:val="32"/>
          <w:szCs w:val="32"/>
          <w:highlight w:val="none"/>
          <w:lang w:val="en-US" w:eastAsia="zh-CN"/>
        </w:rPr>
        <w:t>建</w:t>
      </w:r>
      <w:r>
        <w:rPr>
          <w:rFonts w:hint="eastAsia" w:ascii="Times New Roman" w:hAnsi="Times New Roman" w:eastAsia="方正仿宋_GBK"/>
          <w:color w:val="auto"/>
          <w:sz w:val="32"/>
          <w:szCs w:val="32"/>
          <w:highlight w:val="none"/>
          <w:lang w:val="en-US" w:eastAsia="zh-CN"/>
        </w:rPr>
        <w:t>立一支</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专业化+社会化</w:t>
      </w:r>
      <w:r>
        <w:rPr>
          <w:rFonts w:hint="eastAsia" w:eastAsia="方正仿宋_GBK"/>
          <w:color w:val="auto"/>
          <w:sz w:val="32"/>
          <w:szCs w:val="32"/>
          <w:highlight w:val="none"/>
          <w:lang w:val="en-US" w:eastAsia="zh-CN"/>
        </w:rPr>
        <w:t>”</w:t>
      </w:r>
      <w:r>
        <w:rPr>
          <w:rFonts w:ascii="Times New Roman" w:hAnsi="Times New Roman" w:eastAsia="方正仿宋_GBK"/>
          <w:color w:val="auto"/>
          <w:sz w:val="32"/>
          <w:szCs w:val="32"/>
          <w:highlight w:val="none"/>
          <w:lang w:val="en-US" w:eastAsia="zh-CN"/>
        </w:rPr>
        <w:t>的应急消杀处置队伍，提升突发卫生事件应急消杀处置技术能力，确保重大传染病疫情应急处置、灾后防病消杀工作效果。</w:t>
      </w:r>
      <w:r>
        <w:rPr>
          <w:rFonts w:eastAsia="方正仿宋_GBK"/>
          <w:color w:val="auto"/>
          <w:sz w:val="32"/>
          <w:szCs w:val="32"/>
          <w:highlight w:val="none"/>
        </w:rPr>
        <w:t>二是实施职业病监测</w:t>
      </w:r>
      <w:r>
        <w:rPr>
          <w:rFonts w:hint="eastAsia" w:eastAsia="方正仿宋_GBK"/>
          <w:color w:val="auto"/>
          <w:sz w:val="32"/>
          <w:szCs w:val="32"/>
          <w:highlight w:val="none"/>
          <w:lang w:val="en-US" w:eastAsia="zh-CN"/>
        </w:rPr>
        <w:t>工作，开展重点职业病、</w:t>
      </w:r>
      <w:r>
        <w:rPr>
          <w:rFonts w:eastAsia="方正仿宋_GBK"/>
          <w:color w:val="auto"/>
          <w:sz w:val="32"/>
          <w:szCs w:val="32"/>
          <w:highlight w:val="none"/>
        </w:rPr>
        <w:t>重点职业病危害因素、职业性放射性疾病及放射性危害因素监测等工作，大力开展职业健康宣传教育，推进健康企业及健康达人评选工作。完善设施</w:t>
      </w:r>
      <w:r>
        <w:rPr>
          <w:rFonts w:hint="eastAsia" w:eastAsia="方正仿宋_GBK"/>
          <w:color w:val="auto"/>
          <w:sz w:val="32"/>
          <w:szCs w:val="32"/>
          <w:highlight w:val="none"/>
          <w:lang w:val="en-US" w:eastAsia="zh-CN"/>
        </w:rPr>
        <w:t>设备</w:t>
      </w:r>
      <w:r>
        <w:rPr>
          <w:rFonts w:eastAsia="方正仿宋_GBK"/>
          <w:color w:val="auto"/>
          <w:sz w:val="32"/>
          <w:szCs w:val="32"/>
          <w:highlight w:val="none"/>
        </w:rPr>
        <w:t>配置，提高职业病危害因素检验检测、职业健康检查及职业病诊断能力</w:t>
      </w:r>
      <w:r>
        <w:rPr>
          <w:rFonts w:hint="eastAsia" w:eastAsia="方正仿宋_GBK"/>
          <w:color w:val="auto"/>
          <w:sz w:val="32"/>
          <w:szCs w:val="32"/>
          <w:highlight w:val="none"/>
          <w:lang w:eastAsia="zh-CN"/>
        </w:rPr>
        <w:t>。</w:t>
      </w:r>
      <w:r>
        <w:rPr>
          <w:rFonts w:hint="eastAsia" w:ascii="Times New Roman" w:hAnsi="Times New Roman" w:eastAsia="方正仿宋_GBK"/>
          <w:color w:val="auto"/>
          <w:sz w:val="32"/>
          <w:szCs w:val="32"/>
          <w:highlight w:val="none"/>
          <w:lang w:val="en-US" w:eastAsia="zh-CN"/>
        </w:rPr>
        <w:t>2023年</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扩展职业卫生</w:t>
      </w:r>
      <w:r>
        <w:rPr>
          <w:rFonts w:hint="eastAsia" w:eastAsia="方正仿宋_GBK"/>
          <w:color w:val="auto"/>
          <w:sz w:val="32"/>
          <w:szCs w:val="32"/>
          <w:highlight w:val="none"/>
          <w:lang w:val="en-US" w:eastAsia="zh-CN"/>
        </w:rPr>
        <w:t>与放射卫生行业及检测类别共</w:t>
      </w:r>
      <w:r>
        <w:rPr>
          <w:rFonts w:hint="eastAsia" w:ascii="Times New Roman" w:hAnsi="Times New Roman" w:eastAsia="方正仿宋_GBK"/>
          <w:color w:val="auto"/>
          <w:sz w:val="32"/>
          <w:szCs w:val="32"/>
          <w:highlight w:val="none"/>
          <w:lang w:val="en-US" w:eastAsia="zh-CN"/>
        </w:rPr>
        <w:t>1</w:t>
      </w:r>
      <w:r>
        <w:rPr>
          <w:rFonts w:hint="eastAsia" w:eastAsia="方正仿宋_GBK"/>
          <w:color w:val="auto"/>
          <w:sz w:val="32"/>
          <w:szCs w:val="32"/>
          <w:highlight w:val="none"/>
          <w:lang w:val="en-US" w:eastAsia="zh-CN"/>
        </w:rPr>
        <w:t>8</w:t>
      </w:r>
      <w:r>
        <w:rPr>
          <w:rFonts w:hint="eastAsia" w:ascii="Times New Roman" w:hAnsi="Times New Roman" w:eastAsia="方正仿宋_GBK"/>
          <w:color w:val="auto"/>
          <w:sz w:val="32"/>
          <w:szCs w:val="32"/>
          <w:highlight w:val="none"/>
          <w:lang w:val="en-US" w:eastAsia="zh-CN"/>
        </w:rPr>
        <w:t>项</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取得放射卫生评价资质</w:t>
      </w:r>
      <w:r>
        <w:rPr>
          <w:rFonts w:hint="eastAsia" w:eastAsia="方正仿宋_GBK"/>
          <w:color w:val="auto"/>
          <w:sz w:val="32"/>
          <w:szCs w:val="32"/>
          <w:highlight w:val="none"/>
          <w:lang w:val="en-US" w:eastAsia="zh-CN"/>
        </w:rPr>
        <w:t>，实现职业卫生技术服务资质行业类别</w:t>
      </w:r>
      <w:r>
        <w:rPr>
          <w:rFonts w:hint="eastAsia" w:ascii="Times New Roman" w:hAnsi="Times New Roman" w:eastAsia="方正仿宋_GBK"/>
          <w:color w:val="auto"/>
          <w:sz w:val="32"/>
          <w:szCs w:val="32"/>
          <w:highlight w:val="none"/>
          <w:lang w:val="en-US" w:eastAsia="zh-CN"/>
        </w:rPr>
        <w:t>全覆盖</w:t>
      </w:r>
      <w:r>
        <w:rPr>
          <w:rFonts w:hint="eastAsia" w:eastAsia="方正仿宋_GBK"/>
          <w:color w:val="auto"/>
          <w:sz w:val="32"/>
          <w:szCs w:val="32"/>
          <w:highlight w:val="none"/>
          <w:lang w:val="en-US" w:eastAsia="zh-CN"/>
        </w:rPr>
        <w:t>；到</w:t>
      </w:r>
      <w:r>
        <w:rPr>
          <w:rFonts w:hint="eastAsia" w:ascii="Times New Roman" w:hAnsi="Times New Roman" w:eastAsia="方正仿宋_GBK"/>
          <w:color w:val="auto"/>
          <w:sz w:val="32"/>
          <w:szCs w:val="32"/>
          <w:highlight w:val="none"/>
          <w:lang w:val="en-US" w:eastAsia="zh-CN"/>
        </w:rPr>
        <w:t>2025年</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形成10-12人的职业健康专业团队，建立</w:t>
      </w:r>
      <w:r>
        <w:rPr>
          <w:rFonts w:hint="eastAsia" w:eastAsia="方正仿宋_GBK"/>
          <w:color w:val="auto"/>
          <w:sz w:val="32"/>
          <w:szCs w:val="32"/>
          <w:highlight w:val="none"/>
          <w:lang w:val="en-US" w:eastAsia="zh-CN"/>
        </w:rPr>
        <w:t>区域</w:t>
      </w:r>
      <w:r>
        <w:rPr>
          <w:rFonts w:hint="eastAsia" w:ascii="Times New Roman" w:hAnsi="Times New Roman" w:eastAsia="方正仿宋_GBK"/>
          <w:color w:val="auto"/>
          <w:sz w:val="32"/>
          <w:szCs w:val="32"/>
          <w:highlight w:val="none"/>
          <w:lang w:val="en-US" w:eastAsia="zh-CN"/>
        </w:rPr>
        <w:t>职业健康管理指导中心。</w:t>
      </w:r>
    </w:p>
    <w:p>
      <w:pPr>
        <w:snapToGrid w:val="0"/>
        <w:spacing w:afterLines="0" w:line="300" w:lineRule="auto"/>
        <w:ind w:firstLine="640" w:firstLineChars="200"/>
        <w:jc w:val="both"/>
        <w:rPr>
          <w:rFonts w:hint="eastAsia" w:ascii="方正楷体_GBK" w:eastAsia="方正楷体_GBK"/>
          <w:color w:val="auto"/>
          <w:sz w:val="32"/>
          <w:szCs w:val="32"/>
          <w:highlight w:val="none"/>
        </w:rPr>
      </w:pPr>
      <w:r>
        <w:rPr>
          <w:rFonts w:hint="eastAsia" w:ascii="方正楷体_GBK" w:eastAsia="方正楷体_GBK"/>
          <w:color w:val="auto"/>
          <w:sz w:val="32"/>
          <w:szCs w:val="32"/>
          <w:highlight w:val="none"/>
        </w:rPr>
        <w:t>（</w:t>
      </w:r>
      <w:r>
        <w:rPr>
          <w:rFonts w:hint="eastAsia" w:ascii="方正楷体_GBK" w:eastAsia="方正楷体_GBK"/>
          <w:color w:val="auto"/>
          <w:sz w:val="32"/>
          <w:szCs w:val="32"/>
          <w:highlight w:val="none"/>
          <w:lang w:val="en-US" w:eastAsia="zh-CN"/>
        </w:rPr>
        <w:t>五</w:t>
      </w:r>
      <w:r>
        <w:rPr>
          <w:rFonts w:hint="eastAsia" w:ascii="方正楷体_GBK" w:eastAsia="方正楷体_GBK"/>
          <w:color w:val="auto"/>
          <w:sz w:val="32"/>
          <w:szCs w:val="32"/>
          <w:highlight w:val="none"/>
        </w:rPr>
        <w:t>）实现</w:t>
      </w:r>
      <w:r>
        <w:rPr>
          <w:rFonts w:hint="eastAsia" w:ascii="方正楷体_GBK" w:eastAsia="方正楷体_GBK"/>
          <w:color w:val="auto"/>
          <w:sz w:val="32"/>
          <w:szCs w:val="32"/>
          <w:highlight w:val="none"/>
          <w:lang w:eastAsia="zh-CN"/>
        </w:rPr>
        <w:t>“</w:t>
      </w:r>
      <w:r>
        <w:rPr>
          <w:rFonts w:hint="eastAsia" w:ascii="方正楷体_GBK" w:eastAsia="方正楷体_GBK"/>
          <w:color w:val="auto"/>
          <w:sz w:val="32"/>
          <w:szCs w:val="32"/>
          <w:highlight w:val="none"/>
          <w:lang w:val="en-US" w:eastAsia="zh-CN"/>
        </w:rPr>
        <w:t>三</w:t>
      </w:r>
      <w:r>
        <w:rPr>
          <w:rFonts w:hint="eastAsia" w:ascii="方正楷体_GBK" w:eastAsia="方正楷体_GBK"/>
          <w:color w:val="auto"/>
          <w:sz w:val="32"/>
          <w:szCs w:val="32"/>
          <w:highlight w:val="none"/>
        </w:rPr>
        <w:t>个提高</w:t>
      </w:r>
      <w:r>
        <w:rPr>
          <w:rFonts w:hint="eastAsia" w:ascii="方正楷体_GBK" w:eastAsia="方正楷体_GBK"/>
          <w:color w:val="auto"/>
          <w:sz w:val="32"/>
          <w:szCs w:val="32"/>
          <w:highlight w:val="none"/>
          <w:lang w:eastAsia="zh-CN"/>
        </w:rPr>
        <w:t>”</w:t>
      </w:r>
      <w:r>
        <w:rPr>
          <w:rFonts w:hint="eastAsia" w:ascii="方正楷体_GBK" w:eastAsia="方正楷体_GBK"/>
          <w:color w:val="auto"/>
          <w:sz w:val="32"/>
          <w:szCs w:val="32"/>
          <w:highlight w:val="none"/>
        </w:rPr>
        <w:t>行动</w:t>
      </w:r>
    </w:p>
    <w:p>
      <w:pPr>
        <w:snapToGrid w:val="0"/>
        <w:spacing w:afterLines="0" w:line="300" w:lineRule="auto"/>
        <w:ind w:firstLine="636"/>
        <w:jc w:val="both"/>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1</w:t>
      </w:r>
      <w:r>
        <w:rPr>
          <w:rFonts w:eastAsia="方正仿宋_GBK"/>
          <w:color w:val="auto"/>
          <w:sz w:val="32"/>
          <w:szCs w:val="32"/>
          <w:highlight w:val="none"/>
        </w:rPr>
        <w:t>.提高检验检测水平。</w:t>
      </w:r>
      <w:r>
        <w:rPr>
          <w:rFonts w:hint="eastAsia" w:ascii="Times New Roman" w:hAnsi="Times New Roman" w:eastAsia="方正仿宋_GBK"/>
          <w:color w:val="auto"/>
          <w:sz w:val="32"/>
          <w:szCs w:val="32"/>
          <w:highlight w:val="none"/>
          <w:lang w:val="en-US" w:eastAsia="zh-CN"/>
        </w:rPr>
        <w:t>一是加强重点实验室和卫生检验重点学科建设，建成病原微生物重庆市重点学</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专</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科，开展艾滋病分子流行病学和艾滋病耐药基因检测；培育4</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6名具备已知病原基因测序能力和未知病原的宏基因组测序能力的高端检测人才，为分子流行病学调查提供精准检测服务；搭建永川区病原微生物检验检测人员规范化培训基地，培育一支高素质的检测人员队伍，应对重大突发</w:t>
      </w:r>
      <w:bookmarkStart w:id="0" w:name="_GoBack"/>
      <w:bookmarkEnd w:id="0"/>
      <w:r>
        <w:rPr>
          <w:rFonts w:hint="eastAsia" w:ascii="Times New Roman" w:hAnsi="Times New Roman" w:eastAsia="方正仿宋_GBK"/>
          <w:color w:val="auto"/>
          <w:sz w:val="32"/>
          <w:szCs w:val="32"/>
          <w:highlight w:val="none"/>
          <w:lang w:val="en-US" w:eastAsia="zh-CN"/>
        </w:rPr>
        <w:t>公共卫生事件。二是提高检测技术能力，加强对外交流和检测技术培训，推进先进检测技术的应用，提升专业技能水平，确保卫生检验学科良性发展。三是加强实验室质量管理体系建设</w:t>
      </w:r>
      <w:r>
        <w:rPr>
          <w:rFonts w:hint="eastAsia" w:eastAsia="方正仿宋_GBK"/>
          <w:color w:val="auto"/>
          <w:sz w:val="32"/>
          <w:szCs w:val="32"/>
          <w:highlight w:val="none"/>
          <w:lang w:val="en-US" w:eastAsia="zh-CN"/>
        </w:rPr>
        <w:t>，</w:t>
      </w:r>
      <w:r>
        <w:rPr>
          <w:rFonts w:hint="eastAsia" w:ascii="Times New Roman" w:hAnsi="Times New Roman" w:eastAsia="方正仿宋_GBK"/>
          <w:color w:val="auto"/>
          <w:sz w:val="32"/>
          <w:szCs w:val="32"/>
          <w:highlight w:val="none"/>
          <w:lang w:val="en-US" w:eastAsia="zh-CN"/>
        </w:rPr>
        <w:t>完善实验室信息管理系统，推进实验室数据管理信息化；持续改进质量管理体系，确保检测工作规范有序和检测结果准确可靠。</w:t>
      </w:r>
    </w:p>
    <w:p>
      <w:pPr>
        <w:snapToGrid w:val="0"/>
        <w:spacing w:afterLines="0" w:line="300" w:lineRule="auto"/>
        <w:ind w:firstLine="636"/>
        <w:jc w:val="both"/>
        <w:rPr>
          <w:rFonts w:hint="eastAsia" w:eastAsia="方正仿宋_GBK"/>
          <w:color w:val="auto"/>
          <w:sz w:val="32"/>
          <w:szCs w:val="32"/>
          <w:highlight w:val="none"/>
          <w:lang w:val="en-US" w:eastAsia="zh-CN"/>
        </w:rPr>
      </w:pPr>
      <w:r>
        <w:rPr>
          <w:rFonts w:hint="eastAsia" w:eastAsia="方正仿宋_GBK"/>
          <w:color w:val="auto"/>
          <w:sz w:val="32"/>
          <w:szCs w:val="32"/>
          <w:highlight w:val="none"/>
          <w:lang w:val="en-US" w:eastAsia="zh-CN"/>
        </w:rPr>
        <w:t>2</w:t>
      </w:r>
      <w:r>
        <w:rPr>
          <w:rFonts w:eastAsia="方正仿宋_GBK"/>
          <w:color w:val="auto"/>
          <w:sz w:val="32"/>
          <w:szCs w:val="32"/>
          <w:highlight w:val="none"/>
        </w:rPr>
        <w:t>.提高应急处置水平。</w:t>
      </w:r>
      <w:r>
        <w:rPr>
          <w:rFonts w:hint="eastAsia" w:eastAsia="方正仿宋_GBK"/>
          <w:color w:val="auto"/>
          <w:sz w:val="32"/>
          <w:szCs w:val="32"/>
          <w:highlight w:val="none"/>
        </w:rPr>
        <w:t>一是优化卫生应急管理机制</w:t>
      </w:r>
      <w:r>
        <w:rPr>
          <w:rFonts w:hint="eastAsia" w:eastAsia="方正仿宋_GBK"/>
          <w:color w:val="auto"/>
          <w:sz w:val="32"/>
          <w:szCs w:val="32"/>
          <w:highlight w:val="none"/>
          <w:lang w:eastAsia="zh-CN"/>
        </w:rPr>
        <w:t>，</w:t>
      </w:r>
      <w:r>
        <w:rPr>
          <w:rFonts w:hint="eastAsia" w:eastAsia="方正仿宋_GBK"/>
          <w:color w:val="auto"/>
          <w:sz w:val="32"/>
          <w:szCs w:val="32"/>
          <w:highlight w:val="none"/>
        </w:rPr>
        <w:t>完善公共卫生危险因素和事件信息的风险评估机制，完善预案体系修订机制，实现预案动态管理。二是抓好卫生应急队伍建设和物资储备</w:t>
      </w:r>
      <w:r>
        <w:rPr>
          <w:rFonts w:hint="eastAsia" w:eastAsia="方正仿宋_GBK"/>
          <w:color w:val="auto"/>
          <w:sz w:val="32"/>
          <w:szCs w:val="32"/>
          <w:highlight w:val="none"/>
          <w:lang w:eastAsia="zh-CN"/>
        </w:rPr>
        <w:t>，</w:t>
      </w:r>
      <w:r>
        <w:rPr>
          <w:rFonts w:hint="eastAsia" w:eastAsia="方正仿宋_GBK"/>
          <w:color w:val="auto"/>
          <w:sz w:val="32"/>
          <w:szCs w:val="32"/>
          <w:highlight w:val="none"/>
        </w:rPr>
        <w:t>建立应急队伍保障机制，从人员、设备、经费等各方面保障应急队伍的日常维护和运转。组建一支不少于50人的突发急性传染病防控应急队伍；建设3000</w:t>
      </w:r>
      <w:r>
        <w:rPr>
          <w:rFonts w:hint="eastAsia" w:eastAsia="方正仿宋_GBK"/>
          <w:color w:val="auto"/>
          <w:sz w:val="32"/>
          <w:szCs w:val="32"/>
          <w:highlight w:val="none"/>
          <w:lang w:eastAsia="zh-CN"/>
        </w:rPr>
        <w:t>平方米</w:t>
      </w:r>
      <w:r>
        <w:rPr>
          <w:rFonts w:hint="eastAsia" w:eastAsia="方正仿宋_GBK"/>
          <w:color w:val="auto"/>
          <w:sz w:val="32"/>
          <w:szCs w:val="32"/>
          <w:highlight w:val="none"/>
        </w:rPr>
        <w:t>左右的规范化区域应急物资库房。三是强化应急培训及演练</w:t>
      </w:r>
      <w:r>
        <w:rPr>
          <w:rFonts w:hint="eastAsia" w:eastAsia="方正仿宋_GBK"/>
          <w:color w:val="auto"/>
          <w:sz w:val="32"/>
          <w:szCs w:val="32"/>
          <w:highlight w:val="none"/>
          <w:lang w:eastAsia="zh-CN"/>
        </w:rPr>
        <w:t>，</w:t>
      </w:r>
      <w:r>
        <w:rPr>
          <w:rFonts w:hint="eastAsia" w:eastAsia="方正仿宋_GBK"/>
          <w:color w:val="auto"/>
          <w:sz w:val="32"/>
          <w:szCs w:val="32"/>
          <w:highlight w:val="none"/>
        </w:rPr>
        <w:t>建立疾控</w:t>
      </w:r>
      <w:r>
        <w:rPr>
          <w:rFonts w:hint="eastAsia" w:eastAsia="方正仿宋_GBK"/>
          <w:color w:val="auto"/>
          <w:sz w:val="32"/>
          <w:szCs w:val="32"/>
          <w:highlight w:val="none"/>
          <w:lang w:val="en-US" w:eastAsia="zh-CN"/>
        </w:rPr>
        <w:t>体系</w:t>
      </w:r>
      <w:r>
        <w:rPr>
          <w:rFonts w:hint="eastAsia" w:eastAsia="方正仿宋_GBK"/>
          <w:color w:val="auto"/>
          <w:sz w:val="32"/>
          <w:szCs w:val="32"/>
          <w:highlight w:val="none"/>
        </w:rPr>
        <w:t>卫生应急培训机制。到2025年，建成一支训练有素、装备精良、机制健全的突发急性传染病应急处置队伍，保障应急物资储备充分。</w:t>
      </w:r>
    </w:p>
    <w:p>
      <w:pPr>
        <w:snapToGrid w:val="0"/>
        <w:spacing w:afterLines="0" w:line="300" w:lineRule="auto"/>
        <w:ind w:firstLine="640" w:firstLineChars="200"/>
        <w:jc w:val="both"/>
        <w:rPr>
          <w:rFonts w:hint="default" w:eastAsia="方正仿宋_GBK"/>
          <w:color w:val="auto"/>
          <w:sz w:val="32"/>
          <w:szCs w:val="32"/>
          <w:highlight w:val="none"/>
          <w:lang w:val="en-US" w:eastAsia="zh-CN"/>
        </w:rPr>
      </w:pPr>
      <w:r>
        <w:rPr>
          <w:rFonts w:hint="eastAsia" w:eastAsia="方正仿宋_GBK"/>
          <w:color w:val="auto"/>
          <w:sz w:val="32"/>
          <w:szCs w:val="32"/>
          <w:highlight w:val="none"/>
          <w:lang w:val="en-US" w:eastAsia="zh-CN"/>
        </w:rPr>
        <w:t>3</w:t>
      </w:r>
      <w:r>
        <w:rPr>
          <w:rFonts w:hint="eastAsia" w:eastAsia="方正仿宋_GBK"/>
          <w:color w:val="auto"/>
          <w:sz w:val="32"/>
          <w:szCs w:val="32"/>
          <w:highlight w:val="none"/>
        </w:rPr>
        <w:t>.</w:t>
      </w:r>
      <w:r>
        <w:rPr>
          <w:rFonts w:hint="eastAsia" w:eastAsia="方正仿宋_GBK"/>
          <w:color w:val="auto"/>
          <w:sz w:val="32"/>
          <w:szCs w:val="32"/>
          <w:highlight w:val="none"/>
          <w:lang w:val="en-US" w:eastAsia="zh-CN"/>
        </w:rPr>
        <w:t>提高业务创新能力水平。一是通过加快推进疾控中心异地迁建项目，完善功能布局，推动信息化建设，加强检验检测工作标准化建设，进一步提档换代并增加设备数量，使实验室具备辖区常见健康危害因素检验检测能力，同时具备本辖区常见、多发传染病病原体和一般突发公共卫生事件应急处置“一锤定音”的检验检测能力。二是围绕疾控体系改革，立足区域公共卫生服务均等化任务的落实中心、区域全民健康教育的宣传中心、区域疾病防控业务的管理中心及区域突发公共卫生事件应急处置的指导中心的发展目标，在确保急慢性传染病的预防和控制的同时，逐步加快对慢性非传染性疾病及新发传染病的预防控制工作。三是要进一步突出区疾控中心在重大突发公共卫生事件应对过程中的权威性，真正发挥运转“中流砥柱”作用。</w:t>
      </w:r>
    </w:p>
    <w:p>
      <w:pPr>
        <w:snapToGrid w:val="0"/>
        <w:spacing w:afterLines="0" w:line="300" w:lineRule="auto"/>
        <w:ind w:firstLine="640" w:firstLineChars="200"/>
        <w:jc w:val="both"/>
        <w:rPr>
          <w:rFonts w:hint="eastAsia" w:ascii="方正黑体_GBK" w:eastAsia="方正黑体_GBK"/>
          <w:color w:val="auto"/>
          <w:sz w:val="32"/>
          <w:szCs w:val="32"/>
          <w:highlight w:val="none"/>
        </w:rPr>
      </w:pPr>
      <w:r>
        <w:rPr>
          <w:rFonts w:hint="eastAsia" w:ascii="方正黑体_GBK" w:eastAsia="方正黑体_GBK"/>
          <w:color w:val="auto"/>
          <w:sz w:val="32"/>
          <w:szCs w:val="32"/>
          <w:highlight w:val="none"/>
        </w:rPr>
        <w:t>三、保障措施</w:t>
      </w:r>
    </w:p>
    <w:p>
      <w:pPr>
        <w:snapToGrid w:val="0"/>
        <w:spacing w:afterLines="0" w:line="300" w:lineRule="auto"/>
        <w:ind w:firstLine="645"/>
        <w:jc w:val="both"/>
        <w:rPr>
          <w:rFonts w:hint="eastAsia" w:ascii="方正楷体_GBK" w:eastAsia="方正楷体_GBK"/>
          <w:color w:val="auto"/>
          <w:sz w:val="32"/>
          <w:szCs w:val="32"/>
          <w:highlight w:val="none"/>
        </w:rPr>
      </w:pPr>
      <w:r>
        <w:rPr>
          <w:rFonts w:hint="eastAsia" w:ascii="方正楷体_GBK" w:eastAsia="方正楷体_GBK"/>
          <w:color w:val="auto"/>
          <w:sz w:val="32"/>
          <w:szCs w:val="32"/>
          <w:highlight w:val="none"/>
        </w:rPr>
        <w:t>（一）加强党的领导，强化队伍建设。</w:t>
      </w:r>
      <w:r>
        <w:rPr>
          <w:rFonts w:hint="eastAsia" w:ascii="方正仿宋_GBK" w:hAnsi="方正仿宋_GBK" w:eastAsia="方正仿宋_GBK"/>
          <w:color w:val="auto"/>
          <w:sz w:val="32"/>
          <w:szCs w:val="32"/>
          <w:highlight w:val="none"/>
        </w:rPr>
        <w:t>加强区疾控中心领导班子建设，优化年龄和专业结构。坚持党管干部原则，树立正确选人、用人导向，强化干部队伍建设，打造一支高素质专业化、复合型疾控干部队伍。</w:t>
      </w:r>
    </w:p>
    <w:p>
      <w:pPr>
        <w:snapToGrid w:val="0"/>
        <w:spacing w:afterLines="0" w:line="300" w:lineRule="auto"/>
        <w:ind w:firstLine="645"/>
        <w:jc w:val="both"/>
        <w:rPr>
          <w:rFonts w:hint="eastAsia" w:ascii="方正楷体_GBK" w:hAnsi="方正楷体_GBK" w:eastAsia="方正楷体_GBK"/>
          <w:color w:val="auto"/>
          <w:sz w:val="32"/>
          <w:szCs w:val="32"/>
          <w:highlight w:val="none"/>
        </w:rPr>
      </w:pPr>
      <w:r>
        <w:rPr>
          <w:rFonts w:hint="eastAsia" w:ascii="方正楷体_GBK" w:hAnsi="方正楷体_GBK" w:eastAsia="方正楷体_GBK"/>
          <w:color w:val="auto"/>
          <w:sz w:val="32"/>
          <w:szCs w:val="32"/>
          <w:highlight w:val="none"/>
        </w:rPr>
        <w:t>（二）强化责任落实，完善投入机制。</w:t>
      </w:r>
      <w:r>
        <w:rPr>
          <w:rFonts w:hint="eastAsia" w:ascii="方正仿宋_GBK" w:hAnsi="方正仿宋_GBK" w:eastAsia="方正仿宋_GBK"/>
          <w:color w:val="auto"/>
          <w:sz w:val="32"/>
          <w:szCs w:val="32"/>
          <w:highlight w:val="none"/>
        </w:rPr>
        <w:t>各</w:t>
      </w:r>
      <w:r>
        <w:rPr>
          <w:rFonts w:hint="eastAsia" w:ascii="方正仿宋_GBK" w:hAnsi="方正仿宋_GBK" w:eastAsia="方正仿宋_GBK"/>
          <w:color w:val="auto"/>
          <w:sz w:val="32"/>
          <w:szCs w:val="32"/>
          <w:highlight w:val="none"/>
          <w:lang w:val="en-US" w:eastAsia="zh-CN"/>
        </w:rPr>
        <w:t>相</w:t>
      </w:r>
      <w:r>
        <w:rPr>
          <w:rFonts w:hint="eastAsia" w:ascii="方正仿宋_GBK" w:hAnsi="方正仿宋_GBK" w:eastAsia="方正仿宋_GBK"/>
          <w:color w:val="auto"/>
          <w:sz w:val="32"/>
          <w:szCs w:val="32"/>
          <w:highlight w:val="none"/>
        </w:rPr>
        <w:t>关部门要高度重视区疾控能力建设，落实部门责任，将其纳入国民经济和社会发展总体规划。要</w:t>
      </w:r>
      <w:r>
        <w:rPr>
          <w:rFonts w:hint="eastAsia" w:ascii="方正仿宋_GBK" w:eastAsia="方正仿宋_GBK"/>
          <w:color w:val="auto"/>
          <w:sz w:val="32"/>
          <w:szCs w:val="32"/>
          <w:highlight w:val="none"/>
        </w:rPr>
        <w:t>建立疾控紧缺人才绿色引进通道，对重大疫情防控工作急需紧缺人才，可通过考核方式予以招聘。结合高层次人才队伍建设及疾控工作实际，加强疾控机构编制保障，适当提高区疾控中心专业技术高级岗位结构比例。</w:t>
      </w:r>
      <w:r>
        <w:rPr>
          <w:rFonts w:hint="eastAsia" w:ascii="方正仿宋_GBK" w:hAnsi="方正仿宋_GBK" w:eastAsia="方正仿宋_GBK"/>
          <w:color w:val="auto"/>
          <w:sz w:val="32"/>
          <w:szCs w:val="32"/>
          <w:highlight w:val="none"/>
        </w:rPr>
        <w:t>建立稳定的公共财政投入机制，</w:t>
      </w:r>
      <w:r>
        <w:rPr>
          <w:rFonts w:hint="eastAsia" w:ascii="方正仿宋_GBK" w:eastAsia="方正仿宋_GBK"/>
          <w:color w:val="auto"/>
          <w:kern w:val="0"/>
          <w:sz w:val="32"/>
          <w:szCs w:val="32"/>
          <w:highlight w:val="none"/>
        </w:rPr>
        <w:t>为疾控工作正常开展提供相应保障。</w:t>
      </w:r>
    </w:p>
    <w:p>
      <w:pPr>
        <w:snapToGrid w:val="0"/>
        <w:spacing w:afterLines="0" w:line="300" w:lineRule="auto"/>
        <w:ind w:firstLine="640" w:firstLineChars="200"/>
        <w:jc w:val="both"/>
        <w:rPr>
          <w:rFonts w:eastAsia="方正仿宋_GBK"/>
          <w:color w:val="auto"/>
          <w:sz w:val="32"/>
          <w:szCs w:val="32"/>
          <w:highlight w:val="none"/>
        </w:rPr>
      </w:pPr>
      <w:r>
        <w:rPr>
          <w:rFonts w:hint="eastAsia" w:ascii="方正楷体_GBK" w:eastAsia="方正楷体_GBK"/>
          <w:color w:val="auto"/>
          <w:sz w:val="32"/>
          <w:szCs w:val="32"/>
          <w:highlight w:val="none"/>
        </w:rPr>
        <w:t>（三</w:t>
      </w:r>
      <w:r>
        <w:rPr>
          <w:rFonts w:hint="eastAsia" w:ascii="方正楷体_GBK" w:hAnsi="方正楷体_GBK" w:eastAsia="方正楷体_GBK"/>
          <w:color w:val="auto"/>
          <w:sz w:val="32"/>
          <w:szCs w:val="32"/>
          <w:highlight w:val="none"/>
        </w:rPr>
        <w:t>）提升绩效待遇，落实保障到位。</w:t>
      </w:r>
      <w:r>
        <w:rPr>
          <w:rFonts w:hint="eastAsia" w:eastAsia="方正仿宋_GBK"/>
          <w:color w:val="auto"/>
          <w:sz w:val="32"/>
          <w:szCs w:val="32"/>
          <w:highlight w:val="none"/>
          <w:lang w:val="en-US" w:eastAsia="zh-CN"/>
        </w:rPr>
        <w:t>按照《关于加强公共卫生人才队伍建设的若干措施》（渝卫发〔2020〕61号）、《重庆市人力资源和社会保障局重庆市财政局关于印发&lt;重庆市完善事业单位绩效工资政策若干问题的处理意见（三）&gt;的通知》（渝人社发〔2021〕3号）要求，落实“两个允许”要求，参照同级公立医疗机构超额绩效平均水平核定超额绩效，并建立同步调整机制。</w:t>
      </w:r>
    </w:p>
    <w:p>
      <w:pPr>
        <w:snapToGrid w:val="0"/>
        <w:spacing w:afterLines="0" w:line="300" w:lineRule="auto"/>
        <w:ind w:firstLine="640" w:firstLineChars="200"/>
        <w:jc w:val="both"/>
        <w:rPr>
          <w:rFonts w:hint="eastAsia" w:ascii="方正仿宋_GBK" w:hAnsi="方正仿宋_GBK" w:eastAsia="方正仿宋_GBK"/>
          <w:color w:val="auto"/>
          <w:sz w:val="32"/>
          <w:szCs w:val="32"/>
          <w:highlight w:val="none"/>
        </w:rPr>
      </w:pPr>
      <w:r>
        <w:rPr>
          <w:rFonts w:hint="eastAsia" w:ascii="方正楷体_GBK" w:eastAsia="方正楷体_GBK"/>
          <w:color w:val="auto"/>
          <w:sz w:val="32"/>
          <w:szCs w:val="32"/>
          <w:highlight w:val="none"/>
        </w:rPr>
        <w:t>（四）建立评估机制，推进项目实施。</w:t>
      </w:r>
      <w:r>
        <w:rPr>
          <w:rFonts w:hint="eastAsia" w:eastAsia="仿宋"/>
          <w:color w:val="auto"/>
          <w:kern w:val="0"/>
          <w:sz w:val="32"/>
          <w:szCs w:val="32"/>
          <w:highlight w:val="none"/>
        </w:rPr>
        <w:t>构建集中统一的组织领导体系</w:t>
      </w:r>
      <w:r>
        <w:rPr>
          <w:rFonts w:hint="eastAsia" w:eastAsia="仿宋"/>
          <w:color w:val="auto"/>
          <w:kern w:val="0"/>
          <w:sz w:val="32"/>
          <w:szCs w:val="32"/>
          <w:highlight w:val="none"/>
          <w:lang w:eastAsia="zh-CN"/>
        </w:rPr>
        <w:t>，</w:t>
      </w:r>
      <w:r>
        <w:rPr>
          <w:rFonts w:eastAsia="仿宋"/>
          <w:color w:val="auto"/>
          <w:kern w:val="0"/>
          <w:sz w:val="32"/>
          <w:szCs w:val="32"/>
          <w:highlight w:val="none"/>
        </w:rPr>
        <w:t>成立</w:t>
      </w:r>
      <w:r>
        <w:rPr>
          <w:rFonts w:hint="eastAsia" w:eastAsia="仿宋"/>
          <w:color w:val="auto"/>
          <w:kern w:val="0"/>
          <w:sz w:val="32"/>
          <w:szCs w:val="32"/>
          <w:highlight w:val="none"/>
          <w:lang w:val="en-US" w:eastAsia="zh-CN"/>
        </w:rPr>
        <w:t>区</w:t>
      </w:r>
      <w:r>
        <w:rPr>
          <w:rFonts w:hint="eastAsia" w:eastAsia="仿宋"/>
          <w:color w:val="auto"/>
          <w:kern w:val="0"/>
          <w:sz w:val="32"/>
          <w:szCs w:val="32"/>
          <w:highlight w:val="none"/>
        </w:rPr>
        <w:t>疾病预防控制能力提升三年行动</w:t>
      </w:r>
      <w:r>
        <w:rPr>
          <w:rFonts w:hint="eastAsia" w:eastAsia="仿宋"/>
          <w:color w:val="auto"/>
          <w:kern w:val="0"/>
          <w:sz w:val="32"/>
          <w:szCs w:val="32"/>
          <w:highlight w:val="none"/>
          <w:lang w:val="en-US" w:eastAsia="zh-CN"/>
        </w:rPr>
        <w:t>工作专班</w:t>
      </w:r>
      <w:r>
        <w:rPr>
          <w:rFonts w:eastAsia="仿宋"/>
          <w:color w:val="auto"/>
          <w:kern w:val="0"/>
          <w:sz w:val="32"/>
          <w:szCs w:val="32"/>
          <w:highlight w:val="none"/>
        </w:rPr>
        <w:t>统筹抓总，</w:t>
      </w:r>
      <w:r>
        <w:rPr>
          <w:rFonts w:hint="eastAsia" w:ascii="方正仿宋_GBK" w:hAnsi="方正仿宋_GBK" w:eastAsia="方正仿宋_GBK"/>
          <w:color w:val="auto"/>
          <w:sz w:val="32"/>
          <w:szCs w:val="32"/>
          <w:highlight w:val="none"/>
        </w:rPr>
        <w:t>各有关部门抽调人员组成工作小组具体实施。各有关部门要积极支持</w:t>
      </w:r>
      <w:r>
        <w:rPr>
          <w:rFonts w:hint="eastAsia" w:eastAsia="仿宋"/>
          <w:color w:val="auto"/>
          <w:kern w:val="0"/>
          <w:sz w:val="32"/>
          <w:szCs w:val="32"/>
          <w:highlight w:val="none"/>
          <w:lang w:val="en-US" w:eastAsia="zh-CN"/>
        </w:rPr>
        <w:t>区</w:t>
      </w:r>
      <w:r>
        <w:rPr>
          <w:rFonts w:hint="eastAsia" w:eastAsia="仿宋"/>
          <w:color w:val="auto"/>
          <w:kern w:val="0"/>
          <w:sz w:val="32"/>
          <w:szCs w:val="32"/>
          <w:highlight w:val="none"/>
        </w:rPr>
        <w:t>疾病预防控制能力</w:t>
      </w:r>
      <w:r>
        <w:rPr>
          <w:rFonts w:hint="eastAsia" w:ascii="方正仿宋_GBK" w:hAnsi="方正仿宋_GBK" w:eastAsia="方正仿宋_GBK"/>
          <w:color w:val="auto"/>
          <w:sz w:val="32"/>
          <w:szCs w:val="32"/>
          <w:highlight w:val="none"/>
        </w:rPr>
        <w:t>提升实施行动项目，确保行动工作有序推进，高质量按期完成。区</w:t>
      </w:r>
      <w:r>
        <w:rPr>
          <w:rFonts w:hint="eastAsia" w:ascii="方正仿宋_GBK" w:hAnsi="方正仿宋_GBK" w:eastAsia="方正仿宋_GBK"/>
          <w:color w:val="auto"/>
          <w:sz w:val="32"/>
          <w:szCs w:val="32"/>
          <w:highlight w:val="none"/>
          <w:lang w:val="en-US" w:eastAsia="zh-CN"/>
        </w:rPr>
        <w:t>卫生健康委</w:t>
      </w:r>
      <w:r>
        <w:rPr>
          <w:rFonts w:hint="eastAsia" w:ascii="方正仿宋_GBK" w:hAnsi="方正仿宋_GBK" w:eastAsia="方正仿宋_GBK"/>
          <w:color w:val="auto"/>
          <w:sz w:val="32"/>
          <w:szCs w:val="32"/>
          <w:highlight w:val="none"/>
        </w:rPr>
        <w:t>要落实主体责任，</w:t>
      </w:r>
      <w:r>
        <w:rPr>
          <w:rFonts w:hint="eastAsia" w:ascii="方正仿宋_GBK" w:eastAsia="方正仿宋_GBK"/>
          <w:color w:val="auto"/>
          <w:sz w:val="32"/>
          <w:szCs w:val="32"/>
          <w:highlight w:val="none"/>
        </w:rPr>
        <w:t>完善工作机制，</w:t>
      </w:r>
      <w:r>
        <w:rPr>
          <w:rFonts w:hint="eastAsia" w:ascii="方正仿宋_GBK" w:hAnsi="方正仿宋_GBK" w:eastAsia="方正仿宋_GBK"/>
          <w:color w:val="auto"/>
          <w:sz w:val="32"/>
          <w:szCs w:val="32"/>
          <w:highlight w:val="none"/>
        </w:rPr>
        <w:t>认真做好行动实施各项工作。</w:t>
      </w:r>
    </w:p>
    <w:p>
      <w:pPr>
        <w:snapToGrid w:val="0"/>
        <w:spacing w:afterLines="0" w:line="300" w:lineRule="auto"/>
        <w:ind w:firstLine="640" w:firstLineChars="200"/>
        <w:jc w:val="both"/>
        <w:rPr>
          <w:rFonts w:hint="eastAsia" w:eastAsia="方正仿宋_GBK"/>
          <w:color w:val="auto"/>
          <w:sz w:val="32"/>
          <w:szCs w:val="32"/>
          <w:highlight w:val="none"/>
        </w:rPr>
      </w:pPr>
    </w:p>
    <w:p>
      <w:pPr>
        <w:snapToGrid w:val="0"/>
        <w:spacing w:afterLines="0" w:line="300" w:lineRule="auto"/>
        <w:ind w:firstLine="640" w:firstLineChars="200"/>
        <w:jc w:val="both"/>
        <w:rPr>
          <w:rFonts w:hint="eastAsia" w:eastAsia="方正仿宋_GBK"/>
          <w:color w:val="auto"/>
          <w:sz w:val="32"/>
          <w:szCs w:val="32"/>
          <w:highlight w:val="none"/>
        </w:rPr>
      </w:pPr>
      <w:r>
        <w:rPr>
          <w:rFonts w:hint="eastAsia" w:eastAsia="方正仿宋_GBK"/>
          <w:color w:val="auto"/>
          <w:sz w:val="32"/>
          <w:szCs w:val="32"/>
          <w:highlight w:val="none"/>
        </w:rPr>
        <w:t>附件：1.</w:t>
      </w:r>
      <w:r>
        <w:rPr>
          <w:rFonts w:hint="eastAsia" w:eastAsia="方正仿宋_GBK"/>
          <w:color w:val="auto"/>
          <w:sz w:val="32"/>
          <w:szCs w:val="32"/>
          <w:highlight w:val="none"/>
          <w:lang w:val="en-US" w:eastAsia="zh-CN"/>
        </w:rPr>
        <w:t>永川区疾病预防控制能力提升三年行动工作专班</w:t>
      </w:r>
    </w:p>
    <w:p>
      <w:pPr>
        <w:keepNext w:val="0"/>
        <w:keepLines w:val="0"/>
        <w:pageBreakBefore w:val="0"/>
        <w:widowControl w:val="0"/>
        <w:kinsoku/>
        <w:wordWrap/>
        <w:overflowPunct/>
        <w:topLinePunct w:val="0"/>
        <w:autoSpaceDE/>
        <w:autoSpaceDN/>
        <w:bidi w:val="0"/>
        <w:adjustRightInd/>
        <w:snapToGrid w:val="0"/>
        <w:spacing w:afterLines="0" w:line="300" w:lineRule="auto"/>
        <w:ind w:left="1920" w:leftChars="500" w:hanging="320" w:hangingChars="100"/>
        <w:textAlignment w:val="auto"/>
        <w:rPr>
          <w:rFonts w:hint="eastAsia" w:eastAsia="方正仿宋_GBK"/>
          <w:color w:val="auto"/>
          <w:sz w:val="32"/>
          <w:szCs w:val="32"/>
          <w:highlight w:val="none"/>
        </w:rPr>
      </w:pPr>
      <w:r>
        <w:rPr>
          <w:rFonts w:hint="eastAsia" w:eastAsia="方正仿宋_GBK"/>
          <w:color w:val="auto"/>
          <w:sz w:val="32"/>
          <w:szCs w:val="32"/>
          <w:highlight w:val="none"/>
          <w:lang w:val="en-US" w:eastAsia="zh-CN"/>
        </w:rPr>
        <w:t>2.永川区疾病预防控制能力提升</w:t>
      </w:r>
      <w:r>
        <w:rPr>
          <w:rFonts w:hint="eastAsia" w:eastAsia="方正仿宋_GBK"/>
          <w:color w:val="auto"/>
          <w:sz w:val="32"/>
          <w:szCs w:val="32"/>
          <w:highlight w:val="none"/>
        </w:rPr>
        <w:t>三年行动实施方案具体任务指标分解表</w:t>
      </w:r>
    </w:p>
    <w:p>
      <w:pPr>
        <w:widowControl/>
        <w:spacing w:line="240" w:lineRule="auto"/>
        <w:jc w:val="left"/>
        <w:rPr>
          <w:rFonts w:hint="eastAsia" w:ascii="方正黑体_GBK" w:hAnsi="方正黑体_GBK" w:eastAsia="方正黑体_GBK" w:cs="方正黑体_GBK"/>
          <w:color w:val="auto"/>
          <w:sz w:val="32"/>
          <w:szCs w:val="32"/>
          <w:highlight w:val="none"/>
          <w:lang w:val="en-US" w:eastAsia="zh-CN"/>
        </w:rPr>
      </w:pPr>
      <w:r>
        <w:rPr>
          <w:rFonts w:hint="eastAsia" w:eastAsia="方正仿宋_GBK"/>
          <w:color w:val="auto"/>
          <w:sz w:val="32"/>
          <w:szCs w:val="32"/>
          <w:highlight w:val="none"/>
        </w:rPr>
        <w:br w:type="page"/>
      </w:r>
      <w:r>
        <w:rPr>
          <w:rFonts w:hint="eastAsia" w:ascii="方正黑体_GBK" w:hAnsi="方正黑体_GBK" w:eastAsia="方正黑体_GBK" w:cs="方正黑体_GBK"/>
          <w:color w:val="auto"/>
          <w:sz w:val="32"/>
          <w:szCs w:val="32"/>
          <w:highlight w:val="none"/>
          <w:lang w:val="en-US" w:eastAsia="zh-CN"/>
        </w:rPr>
        <w:t>附件1</w:t>
      </w:r>
    </w:p>
    <w:p>
      <w:pPr>
        <w:spacing w:line="594" w:lineRule="exact"/>
        <w:jc w:val="left"/>
        <w:rPr>
          <w:rFonts w:hint="eastAsia" w:ascii="方正黑体_GBK" w:hAnsi="方正黑体_GBK" w:eastAsia="方正黑体_GBK"/>
          <w:color w:val="auto"/>
          <w:sz w:val="32"/>
          <w:szCs w:val="32"/>
          <w:highlight w:val="none"/>
          <w:lang w:val="en-US" w:eastAsia="zh-CN"/>
        </w:rPr>
      </w:pPr>
    </w:p>
    <w:p>
      <w:pPr>
        <w:spacing w:line="594" w:lineRule="exact"/>
        <w:jc w:val="center"/>
        <w:rPr>
          <w:rFonts w:hint="eastAsia" w:ascii="方正小标宋_GBK" w:hAnsi="方正小标宋_GBK" w:eastAsia="方正小标宋_GBK"/>
          <w:color w:val="auto"/>
          <w:sz w:val="36"/>
          <w:szCs w:val="36"/>
          <w:highlight w:val="none"/>
        </w:rPr>
      </w:pPr>
      <w:r>
        <w:rPr>
          <w:rFonts w:hint="eastAsia" w:ascii="方正小标宋_GBK" w:hAnsi="方正小标宋_GBK" w:eastAsia="方正小标宋_GBK"/>
          <w:color w:val="auto"/>
          <w:sz w:val="36"/>
          <w:szCs w:val="36"/>
          <w:highlight w:val="none"/>
        </w:rPr>
        <w:t>永川区疾病预防控制能力提升三年行动</w:t>
      </w:r>
    </w:p>
    <w:p>
      <w:pPr>
        <w:spacing w:line="594" w:lineRule="exact"/>
        <w:jc w:val="center"/>
        <w:rPr>
          <w:rFonts w:hint="eastAsia" w:ascii="方正小标宋_GBK" w:hAnsi="方正小标宋_GBK" w:eastAsia="方正小标宋_GBK"/>
          <w:color w:val="auto"/>
          <w:sz w:val="36"/>
          <w:szCs w:val="36"/>
          <w:highlight w:val="none"/>
        </w:rPr>
      </w:pPr>
      <w:r>
        <w:rPr>
          <w:rFonts w:hint="eastAsia" w:ascii="方正小标宋_GBK" w:hAnsi="方正小标宋_GBK" w:eastAsia="方正小标宋_GBK"/>
          <w:color w:val="auto"/>
          <w:sz w:val="36"/>
          <w:szCs w:val="36"/>
          <w:highlight w:val="none"/>
        </w:rPr>
        <w:t>工作专班</w:t>
      </w:r>
    </w:p>
    <w:p>
      <w:pPr>
        <w:widowControl w:val="0"/>
        <w:snapToGrid w:val="0"/>
        <w:spacing w:line="300" w:lineRule="auto"/>
        <w:ind w:firstLine="620" w:firstLineChars="200"/>
        <w:rPr>
          <w:rFonts w:hint="eastAsia" w:ascii="方正仿宋_GBK" w:hAnsi="方正仿宋_GBK" w:eastAsia="方正仿宋_GBK"/>
          <w:color w:val="auto"/>
          <w:kern w:val="0"/>
          <w:sz w:val="31"/>
          <w:szCs w:val="31"/>
          <w:highlight w:val="none"/>
          <w:lang w:bidi="ar"/>
        </w:rPr>
      </w:pPr>
    </w:p>
    <w:p>
      <w:pPr>
        <w:widowControl w:val="0"/>
        <w:snapToGrid w:val="0"/>
        <w:spacing w:line="300" w:lineRule="auto"/>
        <w:ind w:firstLine="620" w:firstLineChars="200"/>
        <w:rPr>
          <w:rFonts w:hint="eastAsia" w:ascii="方正仿宋_GBK" w:hAnsi="方正仿宋_GBK" w:eastAsia="方正仿宋_GBK"/>
          <w:color w:val="auto"/>
          <w:kern w:val="0"/>
          <w:sz w:val="31"/>
          <w:szCs w:val="31"/>
          <w:highlight w:val="none"/>
          <w:lang w:val="en-US" w:eastAsia="zh-CN" w:bidi="ar"/>
        </w:rPr>
      </w:pPr>
      <w:r>
        <w:rPr>
          <w:rFonts w:hint="eastAsia" w:ascii="方正仿宋_GBK" w:hAnsi="方正仿宋_GBK" w:eastAsia="方正仿宋_GBK"/>
          <w:color w:val="auto"/>
          <w:kern w:val="0"/>
          <w:sz w:val="31"/>
          <w:szCs w:val="31"/>
          <w:highlight w:val="none"/>
          <w:lang w:val="en-US" w:eastAsia="zh-CN" w:bidi="ar"/>
        </w:rPr>
        <w:t>为进一步加强我区疾病预防控制能力建设，有力有序推进疾病预防控制能力提升三年行动，更好保障辖区人民群众身体健康和生命安全，特成立永川区疾病预防控制能力提升三年行动工作专班</w:t>
      </w:r>
      <w:r>
        <w:rPr>
          <w:rFonts w:hint="eastAsia" w:ascii="Times New Roman" w:hAnsi="方正仿宋_GBK" w:eastAsia="方正仿宋_GBK"/>
          <w:color w:val="auto"/>
          <w:sz w:val="32"/>
          <w:szCs w:val="32"/>
          <w:highlight w:val="none"/>
        </w:rPr>
        <w:t>。</w:t>
      </w:r>
      <w:r>
        <w:rPr>
          <w:rFonts w:hint="eastAsia" w:ascii="Times New Roman" w:hAnsi="方正仿宋_GBK" w:eastAsia="方正仿宋_GBK"/>
          <w:color w:val="auto"/>
          <w:sz w:val="32"/>
          <w:szCs w:val="32"/>
          <w:highlight w:val="none"/>
          <w:lang w:val="en-US" w:eastAsia="zh-CN"/>
        </w:rPr>
        <w:t>成员名单</w:t>
      </w:r>
      <w:r>
        <w:rPr>
          <w:rFonts w:hint="eastAsia" w:ascii="Times New Roman" w:hAnsi="方正仿宋_GBK" w:eastAsia="方正仿宋_GBK"/>
          <w:color w:val="auto"/>
          <w:sz w:val="32"/>
          <w:szCs w:val="32"/>
          <w:highlight w:val="none"/>
        </w:rPr>
        <w:t>如下</w:t>
      </w:r>
      <w:r>
        <w:rPr>
          <w:rFonts w:hint="eastAsia" w:ascii="方正仿宋_GBK" w:eastAsia="方正仿宋_GBK"/>
          <w:color w:val="auto"/>
          <w:sz w:val="32"/>
          <w:szCs w:val="32"/>
          <w:highlight w:val="none"/>
        </w:rPr>
        <w:t>：</w:t>
      </w:r>
    </w:p>
    <w:p>
      <w:pPr>
        <w:suppressAutoHyphens/>
        <w:autoSpaceDE/>
        <w:snapToGrid w:val="0"/>
        <w:spacing w:line="300" w:lineRule="auto"/>
        <w:ind w:firstLine="640" w:firstLineChars="200"/>
        <w:rPr>
          <w:rFonts w:hint="eastAsia" w:ascii="方正黑体_GBK" w:eastAsia="方正黑体_GBK"/>
          <w:color w:val="auto"/>
          <w:sz w:val="32"/>
          <w:szCs w:val="32"/>
          <w:highlight w:val="none"/>
        </w:rPr>
      </w:pPr>
      <w:r>
        <w:rPr>
          <w:rFonts w:hint="eastAsia" w:ascii="方正楷体_GBK" w:hAnsi="方正楷体_GBK" w:eastAsia="方正楷体_GBK" w:cs="方正楷体_GBK"/>
          <w:color w:val="auto"/>
          <w:sz w:val="32"/>
          <w:szCs w:val="32"/>
          <w:highlight w:val="none"/>
        </w:rPr>
        <w:t>组    长：</w:t>
      </w:r>
      <w:r>
        <w:rPr>
          <w:rFonts w:hint="eastAsia" w:ascii="方正仿宋_GBK" w:eastAsia="方正仿宋_GBK"/>
          <w:color w:val="auto"/>
          <w:sz w:val="32"/>
          <w:szCs w:val="32"/>
          <w:highlight w:val="none"/>
          <w:lang w:val="en-US" w:eastAsia="zh-CN"/>
        </w:rPr>
        <w:t>李世红</w:t>
      </w:r>
      <w:r>
        <w:rPr>
          <w:rFonts w:hint="eastAsia" w:ascii="方正仿宋_GBK" w:eastAsia="方正仿宋_GBK"/>
          <w:color w:val="auto"/>
          <w:sz w:val="32"/>
          <w:szCs w:val="32"/>
          <w:highlight w:val="none"/>
        </w:rPr>
        <w:t xml:space="preserve">  区</w:t>
      </w:r>
      <w:r>
        <w:rPr>
          <w:rFonts w:hint="eastAsia" w:ascii="方正仿宋_GBK" w:eastAsia="方正仿宋_GBK"/>
          <w:color w:val="auto"/>
          <w:sz w:val="32"/>
          <w:szCs w:val="32"/>
          <w:highlight w:val="none"/>
          <w:lang w:val="en-US" w:eastAsia="zh-CN"/>
        </w:rPr>
        <w:t>政府副区长</w:t>
      </w:r>
    </w:p>
    <w:p>
      <w:pPr>
        <w:suppressAutoHyphens/>
        <w:autoSpaceDE/>
        <w:snapToGrid w:val="0"/>
        <w:spacing w:line="300" w:lineRule="auto"/>
        <w:ind w:firstLine="640" w:firstLineChars="200"/>
        <w:rPr>
          <w:rFonts w:hint="eastAsia" w:ascii="方正黑体_GBK" w:eastAsia="方正黑体_GBK"/>
          <w:color w:val="auto"/>
          <w:sz w:val="32"/>
          <w:szCs w:val="32"/>
          <w:highlight w:val="none"/>
        </w:rPr>
      </w:pPr>
      <w:r>
        <w:rPr>
          <w:rFonts w:hint="eastAsia" w:ascii="方正楷体_GBK" w:hAnsi="方正楷体_GBK" w:eastAsia="方正楷体_GBK" w:cs="方正楷体_GBK"/>
          <w:color w:val="auto"/>
          <w:sz w:val="32"/>
          <w:szCs w:val="32"/>
          <w:highlight w:val="none"/>
        </w:rPr>
        <w:t>副 组 长：</w:t>
      </w:r>
      <w:r>
        <w:rPr>
          <w:rFonts w:hint="eastAsia" w:ascii="方正仿宋_GBK" w:eastAsia="方正仿宋_GBK"/>
          <w:color w:val="auto"/>
          <w:sz w:val="32"/>
          <w:szCs w:val="32"/>
          <w:highlight w:val="none"/>
          <w:lang w:val="en-US" w:eastAsia="zh-CN"/>
        </w:rPr>
        <w:t>王晓辉  区政府办公室党组成员</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杨  茜</w:t>
      </w:r>
      <w:r>
        <w:rPr>
          <w:rFonts w:hint="eastAsia" w:ascii="方正仿宋_GBK" w:eastAsia="方正仿宋_GBK"/>
          <w:color w:val="auto"/>
          <w:sz w:val="32"/>
          <w:szCs w:val="32"/>
          <w:highlight w:val="none"/>
        </w:rPr>
        <w:t xml:space="preserve">  区</w:t>
      </w:r>
      <w:r>
        <w:rPr>
          <w:rFonts w:hint="eastAsia" w:ascii="方正仿宋_GBK" w:eastAsia="方正仿宋_GBK"/>
          <w:color w:val="auto"/>
          <w:sz w:val="32"/>
          <w:szCs w:val="32"/>
          <w:highlight w:val="none"/>
          <w:lang w:val="en-US" w:eastAsia="zh-CN"/>
        </w:rPr>
        <w:t>卫生健康委党委书记</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张明春</w:t>
      </w:r>
      <w:r>
        <w:rPr>
          <w:rFonts w:hint="eastAsia" w:ascii="方正仿宋_GBK" w:eastAsia="方正仿宋_GBK"/>
          <w:color w:val="auto"/>
          <w:sz w:val="32"/>
          <w:szCs w:val="32"/>
          <w:highlight w:val="none"/>
        </w:rPr>
        <w:t xml:space="preserve">  区</w:t>
      </w:r>
      <w:r>
        <w:rPr>
          <w:rFonts w:hint="eastAsia" w:ascii="方正仿宋_GBK" w:eastAsia="方正仿宋_GBK"/>
          <w:color w:val="auto"/>
          <w:sz w:val="32"/>
          <w:szCs w:val="32"/>
          <w:highlight w:val="none"/>
          <w:lang w:val="en-US" w:eastAsia="zh-CN"/>
        </w:rPr>
        <w:t>卫生健康委主任</w:t>
      </w:r>
    </w:p>
    <w:p>
      <w:pPr>
        <w:suppressAutoHyphens/>
        <w:autoSpaceDE/>
        <w:snapToGrid w:val="0"/>
        <w:spacing w:line="300" w:lineRule="auto"/>
        <w:ind w:firstLine="640" w:firstLineChars="200"/>
        <w:rPr>
          <w:rFonts w:hint="eastAsia" w:ascii="方正黑体_GBK" w:eastAsia="方正黑体_GBK"/>
          <w:color w:val="auto"/>
          <w:sz w:val="32"/>
          <w:szCs w:val="32"/>
          <w:highlight w:val="none"/>
        </w:rPr>
      </w:pPr>
      <w:r>
        <w:rPr>
          <w:rFonts w:hint="eastAsia" w:ascii="方正楷体_GBK" w:hAnsi="方正楷体_GBK" w:eastAsia="方正楷体_GBK" w:cs="方正楷体_GBK"/>
          <w:color w:val="auto"/>
          <w:sz w:val="32"/>
          <w:szCs w:val="32"/>
          <w:highlight w:val="none"/>
        </w:rPr>
        <w:t>成    员：</w:t>
      </w:r>
      <w:r>
        <w:rPr>
          <w:rFonts w:hint="eastAsia" w:ascii="方正仿宋_GBK" w:hAnsi="Times New Roman" w:eastAsia="方正仿宋_GBK"/>
          <w:color w:val="auto"/>
          <w:sz w:val="32"/>
          <w:szCs w:val="32"/>
          <w:highlight w:val="none"/>
          <w:lang w:val="en-US" w:eastAsia="zh-CN"/>
        </w:rPr>
        <w:t>具荣海  区委组织部常务副部长</w:t>
      </w:r>
    </w:p>
    <w:p>
      <w:pPr>
        <w:keepNext w:val="0"/>
        <w:keepLines w:val="0"/>
        <w:pageBreakBefore w:val="0"/>
        <w:widowControl w:val="0"/>
        <w:suppressAutoHyphens/>
        <w:kinsoku/>
        <w:wordWrap/>
        <w:overflowPunct/>
        <w:topLinePunct w:val="0"/>
        <w:autoSpaceDE/>
        <w:autoSpaceDN/>
        <w:bidi w:val="0"/>
        <w:adjustRightInd/>
        <w:snapToGrid w:val="0"/>
        <w:spacing w:line="300" w:lineRule="auto"/>
        <w:ind w:firstLine="2240" w:firstLineChars="700"/>
        <w:textAlignment w:val="auto"/>
        <w:rPr>
          <w:rFonts w:hint="eastAsia" w:ascii="方正仿宋_GBK" w:hAnsi="Times New Roman" w:eastAsia="方正仿宋_GBK"/>
          <w:color w:val="auto"/>
          <w:sz w:val="32"/>
          <w:szCs w:val="32"/>
          <w:highlight w:val="none"/>
          <w:lang w:val="en-US" w:eastAsia="zh-CN"/>
        </w:rPr>
      </w:pPr>
      <w:r>
        <w:rPr>
          <w:rFonts w:hint="eastAsia" w:ascii="方正仿宋_GBK" w:hAnsi="Times New Roman" w:eastAsia="方正仿宋_GBK"/>
          <w:color w:val="auto"/>
          <w:sz w:val="32"/>
          <w:szCs w:val="32"/>
          <w:highlight w:val="none"/>
          <w:lang w:val="en-US" w:eastAsia="zh-CN"/>
        </w:rPr>
        <w:t>李云芳  区委宣传部副部长</w:t>
      </w:r>
    </w:p>
    <w:p>
      <w:pPr>
        <w:suppressAutoHyphens/>
        <w:autoSpaceDE/>
        <w:snapToGrid w:val="0"/>
        <w:spacing w:line="300" w:lineRule="auto"/>
        <w:ind w:firstLine="2240" w:firstLineChars="700"/>
        <w:rPr>
          <w:rFonts w:hint="eastAsia" w:ascii="方正仿宋_GBK" w:hAnsi="Times New Roman" w:eastAsia="方正仿宋_GBK"/>
          <w:color w:val="auto"/>
          <w:sz w:val="32"/>
          <w:szCs w:val="32"/>
          <w:highlight w:val="none"/>
          <w:lang w:val="en-US" w:eastAsia="zh-CN"/>
        </w:rPr>
      </w:pPr>
      <w:r>
        <w:rPr>
          <w:rFonts w:hint="eastAsia" w:ascii="方正仿宋_GBK" w:hAnsi="Times New Roman" w:eastAsia="方正仿宋_GBK"/>
          <w:color w:val="auto"/>
          <w:sz w:val="32"/>
          <w:szCs w:val="32"/>
          <w:highlight w:val="none"/>
          <w:lang w:val="en-US" w:eastAsia="zh-CN"/>
        </w:rPr>
        <w:t>曹睿杰  区委编办副主任</w:t>
      </w:r>
    </w:p>
    <w:p>
      <w:pPr>
        <w:suppressAutoHyphens/>
        <w:autoSpaceDE/>
        <w:snapToGrid w:val="0"/>
        <w:spacing w:line="300" w:lineRule="auto"/>
        <w:ind w:firstLine="2240" w:firstLineChars="700"/>
        <w:rPr>
          <w:rFonts w:hint="eastAsia" w:ascii="方正仿宋_GBK" w:hAnsi="Times New Roman" w:eastAsia="方正仿宋_GBK"/>
          <w:color w:val="auto"/>
          <w:sz w:val="32"/>
          <w:szCs w:val="32"/>
          <w:highlight w:val="none"/>
          <w:lang w:val="en-US" w:eastAsia="zh-CN"/>
        </w:rPr>
      </w:pPr>
      <w:r>
        <w:rPr>
          <w:rFonts w:hint="eastAsia" w:ascii="方正仿宋_GBK" w:hAnsi="Times New Roman" w:eastAsia="方正仿宋_GBK"/>
          <w:color w:val="auto"/>
          <w:sz w:val="32"/>
          <w:szCs w:val="32"/>
          <w:highlight w:val="none"/>
          <w:lang w:val="en-US" w:eastAsia="zh-CN"/>
        </w:rPr>
        <w:t>李  瑾  区发展改革委副主任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 xml:space="preserve">魏承文  </w:t>
      </w:r>
      <w:r>
        <w:rPr>
          <w:rFonts w:hint="eastAsia" w:ascii="方正仿宋_GBK" w:eastAsia="方正仿宋_GBK"/>
          <w:color w:val="auto"/>
          <w:sz w:val="32"/>
          <w:szCs w:val="32"/>
          <w:highlight w:val="none"/>
        </w:rPr>
        <w:t>区教委</w:t>
      </w:r>
      <w:r>
        <w:rPr>
          <w:rFonts w:hint="eastAsia" w:ascii="方正仿宋_GBK" w:eastAsia="方正仿宋_GBK"/>
          <w:color w:val="auto"/>
          <w:sz w:val="32"/>
          <w:szCs w:val="32"/>
          <w:highlight w:val="none"/>
          <w:lang w:val="en-US" w:eastAsia="zh-CN"/>
        </w:rPr>
        <w:t>副</w:t>
      </w:r>
      <w:r>
        <w:rPr>
          <w:rFonts w:hint="eastAsia" w:ascii="方正仿宋_GBK" w:eastAsia="方正仿宋_GBK"/>
          <w:color w:val="auto"/>
          <w:sz w:val="32"/>
          <w:szCs w:val="32"/>
          <w:highlight w:val="none"/>
        </w:rPr>
        <w:t>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杨明彬  区科技局副局长</w:t>
      </w:r>
    </w:p>
    <w:p>
      <w:pPr>
        <w:suppressAutoHyphens/>
        <w:autoSpaceDE/>
        <w:snapToGrid w:val="0"/>
        <w:spacing w:line="300" w:lineRule="auto"/>
        <w:ind w:left="3520" w:leftChars="700" w:hanging="1280" w:hangingChars="400"/>
        <w:rPr>
          <w:rFonts w:hint="default"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韦  勇  区</w:t>
      </w:r>
      <w:r>
        <w:rPr>
          <w:rFonts w:hint="eastAsia" w:ascii="方正仿宋_GBK" w:hAnsi="方正仿宋_GBK" w:eastAsia="方正仿宋_GBK" w:cs="方正仿宋_GBK"/>
          <w:kern w:val="2"/>
          <w:sz w:val="32"/>
          <w:szCs w:val="32"/>
          <w:lang w:val="en-US" w:eastAsia="zh-CN" w:bidi="ar"/>
        </w:rPr>
        <w:t>政府投资评审中心主任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董韦君  区人力社保局副局长</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晏家勇  区住房城乡建委副主任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张  力  区城市管理局副局长</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马文轩  区应急指挥中心主任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刘晓红  区大数据发展局</w:t>
      </w:r>
      <w:r>
        <w:rPr>
          <w:rFonts w:hint="eastAsia" w:ascii="方正仿宋_GBK" w:eastAsia="方正仿宋_GBK"/>
          <w:color w:val="auto"/>
          <w:spacing w:val="6"/>
          <w:w w:val="100"/>
          <w:sz w:val="32"/>
          <w:szCs w:val="32"/>
          <w:highlight w:val="none"/>
          <w:lang w:val="en-US" w:eastAsia="zh-CN"/>
        </w:rPr>
        <w:t>副局长</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 xml:space="preserve">皮生琴  </w:t>
      </w:r>
      <w:r>
        <w:rPr>
          <w:rFonts w:hint="default" w:ascii="方正仿宋_GBK" w:eastAsia="方正仿宋_GBK"/>
          <w:color w:val="auto"/>
          <w:sz w:val="32"/>
          <w:szCs w:val="32"/>
          <w:highlight w:val="none"/>
          <w:lang w:val="en-US" w:eastAsia="zh-CN"/>
        </w:rPr>
        <w:t>永川高新区</w:t>
      </w:r>
      <w:r>
        <w:rPr>
          <w:rFonts w:hint="eastAsia" w:ascii="方正仿宋_GBK" w:eastAsia="方正仿宋_GBK"/>
          <w:color w:val="auto"/>
          <w:sz w:val="32"/>
          <w:szCs w:val="32"/>
          <w:highlight w:val="none"/>
          <w:lang w:val="en-US" w:eastAsia="zh-CN"/>
        </w:rPr>
        <w:t>管委会副主任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康  烨  区新城建设发展促进中心副主任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张文涛  区规划自然资源局副局长</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 xml:space="preserve">李  华  </w:t>
      </w:r>
      <w:r>
        <w:rPr>
          <w:rFonts w:ascii="方正仿宋_GBK" w:eastAsia="方正仿宋_GBK"/>
          <w:color w:val="auto"/>
          <w:sz w:val="32"/>
          <w:szCs w:val="32"/>
          <w:highlight w:val="none"/>
          <w:lang w:val="en-US" w:eastAsia="zh-CN"/>
        </w:rPr>
        <w:t>区市场监管局</w:t>
      </w:r>
      <w:r>
        <w:rPr>
          <w:rFonts w:hint="eastAsia" w:ascii="方正仿宋_GBK" w:eastAsia="方正仿宋_GBK"/>
          <w:color w:val="auto"/>
          <w:sz w:val="32"/>
          <w:szCs w:val="32"/>
          <w:highlight w:val="none"/>
          <w:lang w:val="en-US" w:eastAsia="zh-CN"/>
        </w:rPr>
        <w:t>副局长</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涂山懋  区融媒体中心副主任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袁玉娟  区科学技术协会副主席</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李国俊</w:t>
      </w:r>
      <w:r>
        <w:rPr>
          <w:rFonts w:hint="eastAsia" w:ascii="方正仿宋_GBK" w:eastAsia="方正仿宋_GBK"/>
          <w:color w:val="auto"/>
          <w:sz w:val="32"/>
          <w:szCs w:val="32"/>
          <w:highlight w:val="none"/>
        </w:rPr>
        <w:t xml:space="preserve">  区</w:t>
      </w:r>
      <w:r>
        <w:rPr>
          <w:rFonts w:hint="eastAsia" w:ascii="方正仿宋_GBK" w:eastAsia="方正仿宋_GBK"/>
          <w:color w:val="auto"/>
          <w:sz w:val="32"/>
          <w:szCs w:val="32"/>
          <w:highlight w:val="none"/>
          <w:lang w:val="en-US" w:eastAsia="zh-CN"/>
        </w:rPr>
        <w:t>卫生健康委党委委员</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蒋雪飞</w:t>
      </w:r>
      <w:r>
        <w:rPr>
          <w:rFonts w:hint="eastAsia" w:ascii="方正仿宋_GBK" w:eastAsia="方正仿宋_GBK"/>
          <w:color w:val="auto"/>
          <w:sz w:val="32"/>
          <w:szCs w:val="32"/>
          <w:highlight w:val="none"/>
        </w:rPr>
        <w:t xml:space="preserve">  区</w:t>
      </w:r>
      <w:r>
        <w:rPr>
          <w:rFonts w:hint="eastAsia" w:ascii="方正仿宋_GBK" w:eastAsia="方正仿宋_GBK"/>
          <w:color w:val="auto"/>
          <w:sz w:val="32"/>
          <w:szCs w:val="32"/>
          <w:highlight w:val="none"/>
          <w:lang w:val="en-US" w:eastAsia="zh-CN"/>
        </w:rPr>
        <w:t>疾控中心</w:t>
      </w:r>
      <w:r>
        <w:rPr>
          <w:rFonts w:hint="eastAsia" w:ascii="方正仿宋_GBK" w:eastAsia="方正仿宋_GBK"/>
          <w:color w:val="auto"/>
          <w:sz w:val="32"/>
          <w:szCs w:val="32"/>
          <w:highlight w:val="none"/>
        </w:rPr>
        <w:t>主任</w:t>
      </w:r>
    </w:p>
    <w:p>
      <w:pPr>
        <w:suppressAutoHyphens/>
        <w:autoSpaceDE/>
        <w:snapToGrid w:val="0"/>
        <w:spacing w:line="300" w:lineRule="auto"/>
        <w:ind w:firstLine="2240" w:firstLineChars="700"/>
        <w:rPr>
          <w:rFonts w:hint="eastAsia" w:ascii="方正仿宋_GBK" w:eastAsia="方正仿宋_GBK"/>
          <w:color w:val="auto"/>
          <w:sz w:val="32"/>
          <w:szCs w:val="32"/>
          <w:highlight w:val="none"/>
          <w:lang w:val="en-US" w:eastAsia="zh-CN"/>
        </w:rPr>
      </w:pPr>
      <w:r>
        <w:rPr>
          <w:rFonts w:hint="eastAsia" w:ascii="方正仿宋_GBK" w:eastAsia="方正仿宋_GBK"/>
          <w:color w:val="auto"/>
          <w:sz w:val="32"/>
          <w:szCs w:val="32"/>
          <w:highlight w:val="none"/>
          <w:lang w:val="en-US" w:eastAsia="zh-CN"/>
        </w:rPr>
        <w:t>徐世斌</w:t>
      </w:r>
      <w:r>
        <w:rPr>
          <w:rFonts w:hint="eastAsia" w:ascii="方正仿宋_GBK" w:eastAsia="方正仿宋_GBK"/>
          <w:color w:val="auto"/>
          <w:sz w:val="32"/>
          <w:szCs w:val="32"/>
          <w:highlight w:val="none"/>
        </w:rPr>
        <w:t xml:space="preserve">  区</w:t>
      </w:r>
      <w:r>
        <w:rPr>
          <w:rFonts w:hint="eastAsia" w:ascii="方正仿宋_GBK" w:eastAsia="方正仿宋_GBK"/>
          <w:color w:val="auto"/>
          <w:sz w:val="32"/>
          <w:szCs w:val="32"/>
          <w:highlight w:val="none"/>
          <w:lang w:val="en-US" w:eastAsia="zh-CN"/>
        </w:rPr>
        <w:t>疾控中心党支部书记</w:t>
      </w:r>
    </w:p>
    <w:p>
      <w:pPr>
        <w:snapToGrid w:val="0"/>
        <w:spacing w:line="300" w:lineRule="auto"/>
        <w:ind w:firstLine="640"/>
        <w:rPr>
          <w:rFonts w:hint="eastAsia" w:ascii="方正仿宋_GBK" w:eastAsia="方正仿宋_GBK"/>
          <w:color w:val="auto"/>
          <w:sz w:val="32"/>
          <w:szCs w:val="32"/>
          <w:highlight w:val="none"/>
          <w:lang w:eastAsia="zh-CN"/>
        </w:rPr>
      </w:pPr>
      <w:r>
        <w:rPr>
          <w:rFonts w:hint="eastAsia" w:ascii="方正仿宋_GBK" w:eastAsia="方正仿宋_GBK"/>
          <w:color w:val="auto"/>
          <w:sz w:val="32"/>
          <w:szCs w:val="32"/>
          <w:highlight w:val="none"/>
          <w:lang w:eastAsia="zh-CN"/>
        </w:rPr>
        <w:t>工作专班</w:t>
      </w:r>
      <w:r>
        <w:rPr>
          <w:rFonts w:hint="eastAsia" w:ascii="方正仿宋_GBK" w:eastAsia="方正仿宋_GBK"/>
          <w:color w:val="auto"/>
          <w:sz w:val="32"/>
          <w:szCs w:val="32"/>
          <w:highlight w:val="none"/>
        </w:rPr>
        <w:t>下设办公室在</w:t>
      </w:r>
      <w:r>
        <w:rPr>
          <w:rFonts w:hint="eastAsia" w:ascii="方正仿宋_GBK" w:eastAsia="方正仿宋_GBK"/>
          <w:color w:val="auto"/>
          <w:sz w:val="32"/>
          <w:szCs w:val="32"/>
          <w:highlight w:val="none"/>
          <w:lang w:val="en-US" w:eastAsia="zh-CN"/>
        </w:rPr>
        <w:t>区卫生健康委</w:t>
      </w:r>
      <w:r>
        <w:rPr>
          <w:rFonts w:hint="eastAsia" w:ascii="方正仿宋_GBK" w:eastAsia="方正仿宋_GBK"/>
          <w:color w:val="auto"/>
          <w:sz w:val="32"/>
          <w:szCs w:val="32"/>
          <w:highlight w:val="none"/>
        </w:rPr>
        <w:t>，</w:t>
      </w:r>
      <w:r>
        <w:rPr>
          <w:rFonts w:hint="eastAsia" w:ascii="方正仿宋_GBK" w:eastAsia="方正仿宋_GBK"/>
          <w:color w:val="auto"/>
          <w:sz w:val="32"/>
          <w:szCs w:val="32"/>
          <w:highlight w:val="none"/>
          <w:lang w:val="en-US" w:eastAsia="zh-CN"/>
        </w:rPr>
        <w:t>负责协调</w:t>
      </w:r>
      <w:r>
        <w:rPr>
          <w:rFonts w:hint="eastAsia" w:ascii="方正仿宋_GBK" w:hAnsi="方正仿宋_GBK" w:eastAsia="方正仿宋_GBK"/>
          <w:color w:val="auto"/>
          <w:kern w:val="0"/>
          <w:sz w:val="31"/>
          <w:szCs w:val="31"/>
          <w:highlight w:val="none"/>
          <w:lang w:val="en-US" w:eastAsia="zh-CN" w:bidi="ar"/>
        </w:rPr>
        <w:t>区疾病预防控制能力提升三年行动</w:t>
      </w:r>
      <w:r>
        <w:rPr>
          <w:rFonts w:hint="eastAsia" w:ascii="方正仿宋_GBK" w:eastAsia="方正仿宋_GBK"/>
          <w:color w:val="auto"/>
          <w:sz w:val="32"/>
          <w:szCs w:val="32"/>
          <w:highlight w:val="none"/>
          <w:lang w:val="en-US" w:eastAsia="zh-CN"/>
        </w:rPr>
        <w:t>相关工作，定期不定期汇总情况、总结经验、研究解决试点工作中出现的问题。</w:t>
      </w:r>
      <w:r>
        <w:rPr>
          <w:rFonts w:hint="eastAsia" w:ascii="方正仿宋_GBK" w:eastAsia="方正仿宋_GBK"/>
          <w:color w:val="auto"/>
          <w:sz w:val="32"/>
          <w:szCs w:val="32"/>
          <w:highlight w:val="none"/>
        </w:rPr>
        <w:t>由</w:t>
      </w:r>
      <w:r>
        <w:rPr>
          <w:rFonts w:hint="eastAsia" w:ascii="方正仿宋_GBK" w:eastAsia="方正仿宋_GBK"/>
          <w:color w:val="auto"/>
          <w:sz w:val="32"/>
          <w:szCs w:val="32"/>
          <w:highlight w:val="none"/>
          <w:lang w:val="en-US" w:eastAsia="zh-CN"/>
        </w:rPr>
        <w:t>张明春</w:t>
      </w:r>
      <w:r>
        <w:rPr>
          <w:rFonts w:hint="eastAsia" w:ascii="方正仿宋_GBK" w:eastAsia="方正仿宋_GBK"/>
          <w:color w:val="auto"/>
          <w:sz w:val="32"/>
          <w:szCs w:val="32"/>
          <w:highlight w:val="none"/>
        </w:rPr>
        <w:t>兼任办公室主任，</w:t>
      </w:r>
      <w:r>
        <w:rPr>
          <w:rFonts w:hint="eastAsia" w:ascii="方正仿宋_GBK" w:eastAsia="方正仿宋_GBK"/>
          <w:color w:val="auto"/>
          <w:sz w:val="32"/>
          <w:szCs w:val="32"/>
          <w:highlight w:val="none"/>
          <w:lang w:val="en-US" w:eastAsia="zh-CN"/>
        </w:rPr>
        <w:t>李国俊、蒋雪飞</w:t>
      </w:r>
      <w:r>
        <w:rPr>
          <w:rFonts w:hint="eastAsia" w:ascii="方正仿宋_GBK" w:eastAsia="方正仿宋_GBK"/>
          <w:color w:val="auto"/>
          <w:sz w:val="32"/>
          <w:szCs w:val="32"/>
          <w:highlight w:val="none"/>
        </w:rPr>
        <w:t>兼任办公室副主任。</w:t>
      </w:r>
      <w:r>
        <w:rPr>
          <w:rFonts w:hint="eastAsia" w:ascii="方正仿宋_GBK" w:eastAsia="方正仿宋_GBK"/>
          <w:color w:val="auto"/>
          <w:sz w:val="32"/>
          <w:szCs w:val="32"/>
          <w:highlight w:val="none"/>
          <w:lang w:val="en-US" w:eastAsia="zh-CN"/>
        </w:rPr>
        <w:t>工作专班</w:t>
      </w:r>
      <w:r>
        <w:rPr>
          <w:rFonts w:hint="eastAsia" w:ascii="方正仿宋_GBK" w:eastAsia="方正仿宋_GBK"/>
          <w:color w:val="auto"/>
          <w:sz w:val="32"/>
          <w:szCs w:val="32"/>
          <w:highlight w:val="none"/>
        </w:rPr>
        <w:t>不纳入区级议事协调机构管理。</w:t>
      </w:r>
    </w:p>
    <w:p>
      <w:pPr>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br w:type="page"/>
      </w:r>
    </w:p>
    <w:p>
      <w:pPr>
        <w:snapToGrid w:val="0"/>
        <w:spacing w:afterLines="0" w:line="240" w:lineRule="auto"/>
        <w:jc w:val="left"/>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rPr>
        <w:t>附件</w:t>
      </w:r>
      <w:r>
        <w:rPr>
          <w:rFonts w:hint="default" w:ascii="Times New Roman" w:hAnsi="Times New Roman" w:eastAsia="方正黑体_GBK" w:cs="Times New Roman"/>
          <w:color w:val="auto"/>
          <w:sz w:val="32"/>
          <w:szCs w:val="32"/>
          <w:highlight w:val="none"/>
          <w:lang w:val="en-US" w:eastAsia="zh-CN"/>
        </w:rPr>
        <w:t>2</w:t>
      </w:r>
    </w:p>
    <w:p>
      <w:pPr>
        <w:pStyle w:val="2"/>
        <w:snapToGrid w:val="0"/>
        <w:spacing w:line="240" w:lineRule="auto"/>
        <w:rPr>
          <w:rFonts w:hint="default"/>
        </w:rPr>
      </w:pPr>
    </w:p>
    <w:p>
      <w:pPr>
        <w:snapToGrid w:val="0"/>
        <w:spacing w:afterLines="0" w:line="240" w:lineRule="auto"/>
        <w:jc w:val="center"/>
        <w:rPr>
          <w:rFonts w:eastAsia="方正小标宋_GBK"/>
          <w:color w:val="auto"/>
          <w:sz w:val="36"/>
          <w:szCs w:val="36"/>
          <w:highlight w:val="none"/>
        </w:rPr>
      </w:pPr>
      <w:r>
        <w:rPr>
          <w:rFonts w:hint="eastAsia" w:eastAsia="方正小标宋_GBK"/>
          <w:color w:val="auto"/>
          <w:sz w:val="36"/>
          <w:szCs w:val="36"/>
          <w:highlight w:val="none"/>
        </w:rPr>
        <w:t>永川区疾病预防控制能力提升三年行动</w:t>
      </w:r>
      <w:r>
        <w:rPr>
          <w:rFonts w:eastAsia="方正小标宋_GBK"/>
          <w:color w:val="auto"/>
          <w:sz w:val="36"/>
          <w:szCs w:val="36"/>
          <w:highlight w:val="none"/>
        </w:rPr>
        <w:t>实施方案</w:t>
      </w:r>
    </w:p>
    <w:p>
      <w:pPr>
        <w:snapToGrid w:val="0"/>
        <w:spacing w:afterLines="0" w:line="240" w:lineRule="auto"/>
        <w:jc w:val="center"/>
        <w:rPr>
          <w:rFonts w:eastAsia="方正小标宋_GBK"/>
          <w:color w:val="auto"/>
          <w:sz w:val="36"/>
          <w:szCs w:val="36"/>
          <w:highlight w:val="none"/>
        </w:rPr>
      </w:pPr>
      <w:r>
        <w:rPr>
          <w:rFonts w:hint="eastAsia" w:eastAsia="方正小标宋_GBK"/>
          <w:color w:val="auto"/>
          <w:sz w:val="36"/>
          <w:szCs w:val="36"/>
          <w:highlight w:val="none"/>
        </w:rPr>
        <w:t>具体</w:t>
      </w:r>
      <w:r>
        <w:rPr>
          <w:rFonts w:eastAsia="方正小标宋_GBK"/>
          <w:color w:val="auto"/>
          <w:sz w:val="36"/>
          <w:szCs w:val="36"/>
          <w:highlight w:val="none"/>
        </w:rPr>
        <w:t>任务</w:t>
      </w:r>
      <w:r>
        <w:rPr>
          <w:rFonts w:hint="eastAsia" w:eastAsia="方正小标宋_GBK"/>
          <w:color w:val="auto"/>
          <w:sz w:val="36"/>
          <w:szCs w:val="36"/>
          <w:highlight w:val="none"/>
        </w:rPr>
        <w:t>指标</w:t>
      </w:r>
      <w:r>
        <w:rPr>
          <w:rFonts w:eastAsia="方正小标宋_GBK"/>
          <w:color w:val="auto"/>
          <w:sz w:val="36"/>
          <w:szCs w:val="36"/>
          <w:highlight w:val="none"/>
        </w:rPr>
        <w:t>分解表</w:t>
      </w:r>
    </w:p>
    <w:p>
      <w:pPr>
        <w:pStyle w:val="2"/>
        <w:snapToGrid w:val="0"/>
        <w:spacing w:line="240" w:lineRule="auto"/>
        <w:rPr>
          <w:rFonts w:hint="eastAsia"/>
          <w:lang w:val="en-US" w:eastAsia="zh-CN"/>
        </w:rPr>
      </w:pPr>
    </w:p>
    <w:tbl>
      <w:tblPr>
        <w:tblStyle w:val="16"/>
        <w:tblW w:w="9311" w:type="dxa"/>
        <w:jc w:val="center"/>
        <w:tblLayout w:type="autofit"/>
        <w:tblCellMar>
          <w:top w:w="0" w:type="dxa"/>
          <w:left w:w="108" w:type="dxa"/>
          <w:bottom w:w="0" w:type="dxa"/>
          <w:right w:w="108" w:type="dxa"/>
        </w:tblCellMar>
      </w:tblPr>
      <w:tblGrid>
        <w:gridCol w:w="707"/>
        <w:gridCol w:w="1050"/>
        <w:gridCol w:w="1505"/>
        <w:gridCol w:w="3229"/>
        <w:gridCol w:w="1419"/>
        <w:gridCol w:w="1401"/>
      </w:tblGrid>
      <w:tr>
        <w:tblPrEx>
          <w:tblCellMar>
            <w:top w:w="0" w:type="dxa"/>
            <w:left w:w="108" w:type="dxa"/>
            <w:bottom w:w="0" w:type="dxa"/>
            <w:right w:w="108" w:type="dxa"/>
          </w:tblCellMar>
        </w:tblPrEx>
        <w:trPr>
          <w:trHeight w:val="519" w:hRule="atLeast"/>
          <w:tblHeader/>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hint="eastAsia" w:ascii="方正黑体_GBK" w:hAnsi="方正黑体_GBK" w:eastAsia="方正黑体_GBK" w:cs="方正黑体_GBK"/>
                <w:color w:val="auto"/>
                <w:sz w:val="21"/>
                <w:szCs w:val="21"/>
                <w:highlight w:val="none"/>
              </w:rPr>
            </w:pPr>
            <w:r>
              <w:rPr>
                <w:rFonts w:hint="eastAsia" w:ascii="方正黑体_GBK" w:hAnsi="方正黑体_GBK" w:eastAsia="方正黑体_GBK" w:cs="方正黑体_GBK"/>
                <w:color w:val="auto"/>
                <w:sz w:val="21"/>
                <w:szCs w:val="21"/>
                <w:highlight w:val="none"/>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hint="eastAsia" w:ascii="方正黑体_GBK" w:hAnsi="方正黑体_GBK" w:eastAsia="方正黑体_GBK" w:cs="方正黑体_GBK"/>
                <w:color w:val="auto"/>
                <w:sz w:val="21"/>
                <w:szCs w:val="21"/>
                <w:highlight w:val="none"/>
              </w:rPr>
            </w:pPr>
            <w:r>
              <w:rPr>
                <w:rFonts w:hint="eastAsia" w:ascii="方正黑体_GBK" w:hAnsi="方正黑体_GBK" w:eastAsia="方正黑体_GBK" w:cs="方正黑体_GBK"/>
                <w:color w:val="auto"/>
                <w:sz w:val="21"/>
                <w:szCs w:val="21"/>
                <w:highlight w:val="none"/>
              </w:rPr>
              <w:t>项目</w:t>
            </w:r>
          </w:p>
        </w:tc>
        <w:tc>
          <w:tcPr>
            <w:tcW w:w="1505"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hint="eastAsia" w:ascii="方正黑体_GBK" w:hAnsi="方正黑体_GBK" w:eastAsia="方正黑体_GBK" w:cs="方正黑体_GBK"/>
                <w:color w:val="auto"/>
                <w:sz w:val="21"/>
                <w:szCs w:val="21"/>
                <w:highlight w:val="none"/>
              </w:rPr>
            </w:pPr>
            <w:r>
              <w:rPr>
                <w:rFonts w:hint="eastAsia" w:ascii="方正黑体_GBK" w:hAnsi="方正黑体_GBK" w:eastAsia="方正黑体_GBK" w:cs="方正黑体_GBK"/>
                <w:color w:val="auto"/>
                <w:sz w:val="21"/>
                <w:szCs w:val="21"/>
                <w:highlight w:val="none"/>
              </w:rPr>
              <w:t>目标任务</w:t>
            </w:r>
          </w:p>
        </w:tc>
        <w:tc>
          <w:tcPr>
            <w:tcW w:w="322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hint="eastAsia" w:ascii="方正黑体_GBK" w:hAnsi="方正黑体_GBK" w:eastAsia="方正黑体_GBK" w:cs="方正黑体_GBK"/>
                <w:color w:val="auto"/>
                <w:sz w:val="21"/>
                <w:szCs w:val="21"/>
                <w:highlight w:val="none"/>
              </w:rPr>
            </w:pPr>
            <w:r>
              <w:rPr>
                <w:rFonts w:hint="eastAsia" w:ascii="方正黑体_GBK" w:hAnsi="方正黑体_GBK" w:eastAsia="方正黑体_GBK" w:cs="方正黑体_GBK"/>
                <w:color w:val="auto"/>
                <w:sz w:val="21"/>
                <w:szCs w:val="21"/>
                <w:highlight w:val="none"/>
              </w:rPr>
              <w:t>主要内容</w:t>
            </w:r>
          </w:p>
        </w:tc>
        <w:tc>
          <w:tcPr>
            <w:tcW w:w="1419"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hint="eastAsia" w:ascii="方正黑体_GBK" w:hAnsi="方正黑体_GBK" w:eastAsia="方正黑体_GBK" w:cs="方正黑体_GBK"/>
                <w:color w:val="auto"/>
                <w:sz w:val="21"/>
                <w:szCs w:val="21"/>
                <w:highlight w:val="none"/>
              </w:rPr>
            </w:pPr>
            <w:r>
              <w:rPr>
                <w:rFonts w:hint="eastAsia" w:ascii="方正黑体_GBK" w:hAnsi="方正黑体_GBK" w:eastAsia="方正黑体_GBK" w:cs="方正黑体_GBK"/>
                <w:color w:val="auto"/>
                <w:sz w:val="21"/>
                <w:szCs w:val="21"/>
                <w:highlight w:val="none"/>
              </w:rPr>
              <w:t>责任部门</w:t>
            </w:r>
          </w:p>
        </w:tc>
        <w:tc>
          <w:tcPr>
            <w:tcW w:w="1401" w:type="dxa"/>
            <w:tcBorders>
              <w:top w:val="single" w:color="000000" w:sz="4" w:space="0"/>
              <w:left w:val="single" w:color="000000" w:sz="4" w:space="0"/>
              <w:bottom w:val="single" w:color="000000" w:sz="4" w:space="0"/>
              <w:right w:val="single" w:color="000000" w:sz="4" w:space="0"/>
            </w:tcBorders>
            <w:vAlign w:val="center"/>
          </w:tcPr>
          <w:p>
            <w:pPr>
              <w:widowControl w:val="0"/>
              <w:snapToGrid w:val="0"/>
              <w:spacing w:line="240" w:lineRule="auto"/>
              <w:jc w:val="center"/>
              <w:rPr>
                <w:rFonts w:hint="eastAsia" w:ascii="方正黑体_GBK" w:hAnsi="方正黑体_GBK" w:eastAsia="方正黑体_GBK" w:cs="方正黑体_GBK"/>
                <w:color w:val="auto"/>
                <w:sz w:val="21"/>
                <w:szCs w:val="21"/>
                <w:highlight w:val="none"/>
              </w:rPr>
            </w:pPr>
            <w:r>
              <w:rPr>
                <w:rFonts w:hint="eastAsia" w:ascii="方正黑体_GBK" w:hAnsi="方正黑体_GBK" w:eastAsia="方正黑体_GBK" w:cs="方正黑体_GBK"/>
                <w:color w:val="auto"/>
                <w:sz w:val="21"/>
                <w:szCs w:val="21"/>
                <w:highlight w:val="none"/>
              </w:rPr>
              <w:t>协办部门</w:t>
            </w:r>
          </w:p>
        </w:tc>
      </w:tr>
      <w:tr>
        <w:tblPrEx>
          <w:tblCellMar>
            <w:top w:w="0" w:type="dxa"/>
            <w:left w:w="108" w:type="dxa"/>
            <w:bottom w:w="0" w:type="dxa"/>
            <w:right w:w="108" w:type="dxa"/>
          </w:tblCellMar>
        </w:tblPrEx>
        <w:trPr>
          <w:trHeight w:val="90"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实施</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三个</w:t>
            </w:r>
            <w:r>
              <w:rPr>
                <w:rFonts w:hint="eastAsia" w:asciiTheme="minorEastAsia" w:hAnsiTheme="minorEastAsia" w:eastAsiaTheme="minorEastAsia" w:cstheme="minorEastAsia"/>
                <w:color w:val="auto"/>
                <w:kern w:val="0"/>
                <w:sz w:val="21"/>
                <w:szCs w:val="21"/>
                <w:highlight w:val="none"/>
                <w:lang w:val="en-US" w:eastAsia="zh-CN"/>
              </w:rPr>
              <w:t>建设</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行动</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实施</w:t>
            </w:r>
            <w:r>
              <w:rPr>
                <w:rFonts w:hint="eastAsia" w:asciiTheme="minorEastAsia" w:hAnsiTheme="minorEastAsia" w:eastAsiaTheme="minorEastAsia" w:cstheme="minorEastAsia"/>
                <w:color w:val="auto"/>
                <w:kern w:val="2"/>
                <w:sz w:val="21"/>
                <w:szCs w:val="21"/>
                <w:highlight w:val="none"/>
              </w:rPr>
              <w:t>疾控</w:t>
            </w:r>
            <w:r>
              <w:rPr>
                <w:rFonts w:hint="eastAsia" w:asciiTheme="minorEastAsia" w:hAnsiTheme="minorEastAsia" w:eastAsiaTheme="minorEastAsia" w:cstheme="minorEastAsia"/>
                <w:color w:val="auto"/>
                <w:sz w:val="21"/>
                <w:szCs w:val="21"/>
                <w:highlight w:val="none"/>
                <w:lang w:val="en-US" w:eastAsia="zh-CN" w:bidi="ar"/>
              </w:rPr>
              <w:t>中心</w:t>
            </w:r>
            <w:r>
              <w:rPr>
                <w:rFonts w:hint="eastAsia" w:asciiTheme="minorEastAsia" w:hAnsiTheme="minorEastAsia" w:eastAsiaTheme="minorEastAsia" w:cstheme="minorEastAsia"/>
                <w:color w:val="auto"/>
                <w:kern w:val="2"/>
                <w:sz w:val="21"/>
                <w:szCs w:val="21"/>
                <w:highlight w:val="none"/>
              </w:rPr>
              <w:t>基础设施</w:t>
            </w:r>
            <w:r>
              <w:rPr>
                <w:rFonts w:hint="eastAsia" w:asciiTheme="minorEastAsia" w:hAnsiTheme="minorEastAsia" w:eastAsiaTheme="minorEastAsia" w:cstheme="minorEastAsia"/>
                <w:color w:val="auto"/>
                <w:kern w:val="2"/>
                <w:sz w:val="21"/>
                <w:szCs w:val="21"/>
                <w:highlight w:val="none"/>
                <w:lang w:val="en-US" w:eastAsia="zh-CN"/>
              </w:rPr>
              <w:t>建设</w:t>
            </w:r>
          </w:p>
        </w:tc>
        <w:tc>
          <w:tcPr>
            <w:tcW w:w="3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实施疾控中心迁建工程，分</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期完成，到2025年完成第一期建设，包括综合业务用房、区域性实验室、区域性应急库房及其他附属设施</w:t>
            </w:r>
            <w:r>
              <w:rPr>
                <w:rFonts w:hint="eastAsia" w:asciiTheme="minorEastAsia" w:hAnsiTheme="minorEastAsia" w:eastAsiaTheme="minorEastAsia" w:cstheme="minorEastAsia"/>
                <w:color w:val="auto"/>
                <w:sz w:val="21"/>
                <w:szCs w:val="21"/>
                <w:highlight w:val="none"/>
                <w:lang w:eastAsia="zh-CN"/>
              </w:rPr>
              <w:t>。</w:t>
            </w:r>
          </w:p>
        </w:tc>
        <w:tc>
          <w:tcPr>
            <w:tcW w:w="1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区卫生健康委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区住房城乡建委</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区发</w:t>
            </w:r>
            <w:r>
              <w:rPr>
                <w:rFonts w:hint="eastAsia" w:asciiTheme="minorEastAsia" w:hAnsiTheme="minorEastAsia" w:eastAsiaTheme="minorEastAsia" w:cstheme="minorEastAsia"/>
                <w:color w:val="auto"/>
                <w:sz w:val="21"/>
                <w:szCs w:val="21"/>
                <w:highlight w:val="none"/>
                <w:lang w:val="en-US" w:eastAsia="zh-CN"/>
              </w:rPr>
              <w:t>展</w:t>
            </w:r>
            <w:r>
              <w:rPr>
                <w:rFonts w:hint="eastAsia" w:asciiTheme="minorEastAsia" w:hAnsiTheme="minorEastAsia" w:eastAsiaTheme="minorEastAsia" w:cstheme="minorEastAsia"/>
                <w:color w:val="auto"/>
                <w:sz w:val="21"/>
                <w:szCs w:val="21"/>
                <w:highlight w:val="none"/>
              </w:rPr>
              <w:t>改</w:t>
            </w:r>
            <w:r>
              <w:rPr>
                <w:rFonts w:hint="eastAsia" w:asciiTheme="minorEastAsia" w:hAnsiTheme="minorEastAsia" w:eastAsiaTheme="minorEastAsia" w:cstheme="minorEastAsia"/>
                <w:color w:val="auto"/>
                <w:sz w:val="21"/>
                <w:szCs w:val="21"/>
                <w:highlight w:val="none"/>
                <w:lang w:val="en-US" w:eastAsia="zh-CN"/>
              </w:rPr>
              <w:t>革</w:t>
            </w:r>
            <w:r>
              <w:rPr>
                <w:rFonts w:hint="eastAsia" w:asciiTheme="minorEastAsia" w:hAnsiTheme="minorEastAsia" w:eastAsiaTheme="minorEastAsia" w:cstheme="minorEastAsia"/>
                <w:color w:val="auto"/>
                <w:sz w:val="21"/>
                <w:szCs w:val="21"/>
                <w:highlight w:val="none"/>
              </w:rPr>
              <w:t>委</w:t>
            </w:r>
            <w:r>
              <w:rPr>
                <w:rFonts w:hint="eastAsia" w:asciiTheme="minorEastAsia" w:hAnsiTheme="minorEastAsia" w:eastAsiaTheme="minorEastAsia" w:cstheme="minorEastAsia"/>
                <w:color w:val="auto"/>
                <w:sz w:val="21"/>
                <w:szCs w:val="21"/>
                <w:highlight w:val="none"/>
                <w:lang w:val="en-US" w:eastAsia="zh-CN"/>
              </w:rPr>
              <w:t>、永川高新区管委会、区规划自然资源局、区新城建管委</w:t>
            </w:r>
          </w:p>
        </w:tc>
      </w:tr>
      <w:tr>
        <w:tblPrEx>
          <w:tblCellMar>
            <w:top w:w="0" w:type="dxa"/>
            <w:left w:w="108" w:type="dxa"/>
            <w:bottom w:w="0" w:type="dxa"/>
            <w:right w:w="108" w:type="dxa"/>
          </w:tblCellMar>
        </w:tblPrEx>
        <w:trPr>
          <w:trHeight w:val="207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实施人才队伍建设</w:t>
            </w:r>
          </w:p>
        </w:tc>
        <w:tc>
          <w:tcPr>
            <w:tcW w:w="3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搭建人才成长平台，合理利用空余编制，将空余编制主要用于专业人员特别是硕士及以上人才的引进。</w:t>
            </w:r>
            <w:r>
              <w:rPr>
                <w:rFonts w:hint="eastAsia" w:asciiTheme="minorEastAsia" w:hAnsiTheme="minorEastAsia" w:eastAsiaTheme="minorEastAsia" w:cstheme="minorEastAsia"/>
                <w:color w:val="auto"/>
                <w:sz w:val="21"/>
                <w:szCs w:val="21"/>
                <w:highlight w:val="none"/>
                <w:lang w:val="en-US" w:eastAsia="zh-CN"/>
              </w:rPr>
              <w:t>引进（培育）博士研究生1-2名、硕士研究生10名以上，培育青年人才1-2名、学术技术带头人才1-2名、重庆市首席公共卫生专家团队（工作室）人才1-2名，以及各类市级、区级专家3-5名。</w:t>
            </w:r>
          </w:p>
        </w:tc>
        <w:tc>
          <w:tcPr>
            <w:tcW w:w="1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区委组织部、</w:t>
            </w:r>
            <w:r>
              <w:rPr>
                <w:rFonts w:hint="eastAsia" w:asciiTheme="minorEastAsia" w:hAnsiTheme="minorEastAsia" w:eastAsiaTheme="minorEastAsia" w:cstheme="minorEastAsia"/>
                <w:color w:val="auto"/>
                <w:sz w:val="21"/>
                <w:szCs w:val="21"/>
                <w:highlight w:val="none"/>
              </w:rPr>
              <w:t>区人力社保局、区委编办</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区卫生健康委</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r>
      <w:tr>
        <w:tblPrEx>
          <w:tblCellMar>
            <w:top w:w="0" w:type="dxa"/>
            <w:left w:w="108" w:type="dxa"/>
            <w:bottom w:w="0" w:type="dxa"/>
            <w:right w:w="108" w:type="dxa"/>
          </w:tblCellMar>
        </w:tblPrEx>
        <w:trPr>
          <w:trHeight w:val="1427" w:hRule="atLeast"/>
          <w:jc w:val="center"/>
        </w:trPr>
        <w:tc>
          <w:tcPr>
            <w:tcW w:w="70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105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实施实验室检测能力建设</w:t>
            </w:r>
          </w:p>
        </w:tc>
        <w:tc>
          <w:tcPr>
            <w:tcW w:w="322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ind w:firstLine="0" w:firstLineChars="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建成具有区域</w:t>
            </w:r>
            <w:r>
              <w:rPr>
                <w:rFonts w:hint="eastAsia" w:asciiTheme="minorEastAsia" w:hAnsiTheme="minorEastAsia" w:eastAsiaTheme="minorEastAsia" w:cstheme="minorEastAsia"/>
                <w:color w:val="auto"/>
                <w:sz w:val="21"/>
                <w:szCs w:val="21"/>
                <w:highlight w:val="none"/>
                <w:lang w:eastAsia="zh-CN"/>
              </w:rPr>
              <w:t>辐射</w:t>
            </w:r>
            <w:r>
              <w:rPr>
                <w:rFonts w:hint="eastAsia" w:asciiTheme="minorEastAsia" w:hAnsiTheme="minorEastAsia" w:eastAsiaTheme="minorEastAsia" w:cstheme="minorEastAsia"/>
                <w:color w:val="auto"/>
                <w:sz w:val="21"/>
                <w:szCs w:val="21"/>
                <w:highlight w:val="none"/>
              </w:rPr>
              <w:t>能力的微生物实验室。提升现有重点领域实验室基</w:t>
            </w:r>
            <w:r>
              <w:rPr>
                <w:rFonts w:hint="eastAsia" w:asciiTheme="minorEastAsia" w:hAnsiTheme="minorEastAsia" w:eastAsiaTheme="minorEastAsia" w:cstheme="minorEastAsia"/>
                <w:color w:val="auto"/>
                <w:sz w:val="21"/>
                <w:szCs w:val="21"/>
                <w:highlight w:val="none"/>
                <w:lang w:val="en-US" w:eastAsia="zh-CN"/>
              </w:rPr>
              <w:t>本条件和技术能力建设，建成区域突发公共卫生事件快速检测平台，2023年检测项目达到800项，到2024年，检测项目达到1200项。</w:t>
            </w:r>
          </w:p>
        </w:tc>
        <w:tc>
          <w:tcPr>
            <w:tcW w:w="141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区卫生健康委</w:t>
            </w:r>
          </w:p>
        </w:tc>
        <w:tc>
          <w:tcPr>
            <w:tcW w:w="140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r>
      <w:tr>
        <w:tblPrEx>
          <w:tblCellMar>
            <w:top w:w="0" w:type="dxa"/>
            <w:left w:w="108" w:type="dxa"/>
            <w:bottom w:w="0" w:type="dxa"/>
            <w:right w:w="108" w:type="dxa"/>
          </w:tblCellMar>
        </w:tblPrEx>
        <w:trPr>
          <w:trHeight w:val="1708" w:hRule="atLeast"/>
          <w:jc w:val="center"/>
        </w:trPr>
        <w:tc>
          <w:tcPr>
            <w:tcW w:w="7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打造</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个平台</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行动</w:t>
            </w:r>
          </w:p>
        </w:tc>
        <w:tc>
          <w:tcPr>
            <w:tcW w:w="1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打造</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数字化</w:t>
            </w:r>
            <w:r>
              <w:rPr>
                <w:rFonts w:hint="eastAsia" w:asciiTheme="minorEastAsia" w:hAnsiTheme="minorEastAsia" w:eastAsiaTheme="minorEastAsia" w:cstheme="minorEastAsia"/>
                <w:color w:val="auto"/>
                <w:kern w:val="0"/>
                <w:sz w:val="21"/>
                <w:szCs w:val="21"/>
                <w:highlight w:val="none"/>
              </w:rPr>
              <w:t>疾控</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大数据监测预警平台</w:t>
            </w:r>
          </w:p>
        </w:tc>
        <w:tc>
          <w:tcPr>
            <w:tcW w:w="3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建设重大疾病多点触发监测预警信息系统。</w:t>
            </w:r>
            <w:r>
              <w:rPr>
                <w:rFonts w:hint="eastAsia" w:asciiTheme="minorEastAsia" w:hAnsiTheme="minorEastAsia" w:eastAsiaTheme="minorEastAsia" w:cstheme="minorEastAsia"/>
                <w:color w:val="auto"/>
                <w:sz w:val="21"/>
                <w:szCs w:val="21"/>
                <w:highlight w:val="none"/>
                <w:lang w:val="en-US" w:eastAsia="zh-CN"/>
              </w:rPr>
              <w:t>2.完成中心三级等保标准业务机房和网络信息化建设，建设区级“</w:t>
            </w:r>
            <w:r>
              <w:rPr>
                <w:rFonts w:hint="eastAsia" w:asciiTheme="minorEastAsia" w:hAnsiTheme="minorEastAsia" w:eastAsiaTheme="minorEastAsia" w:cstheme="minorEastAsia"/>
                <w:color w:val="auto"/>
                <w:kern w:val="0"/>
                <w:sz w:val="21"/>
                <w:szCs w:val="21"/>
                <w:highlight w:val="none"/>
                <w:lang w:val="en-US" w:eastAsia="zh-CN"/>
              </w:rPr>
              <w:t>数字化</w:t>
            </w:r>
            <w:r>
              <w:rPr>
                <w:rFonts w:hint="eastAsia" w:asciiTheme="minorEastAsia" w:hAnsiTheme="minorEastAsia" w:eastAsiaTheme="minorEastAsia" w:cstheme="minorEastAsia"/>
                <w:color w:val="auto"/>
                <w:sz w:val="21"/>
                <w:szCs w:val="21"/>
                <w:highlight w:val="none"/>
                <w:lang w:val="en-US" w:eastAsia="zh-CN"/>
              </w:rPr>
              <w:t>疾控”大数据监测预警平台。3.</w:t>
            </w:r>
            <w:r>
              <w:rPr>
                <w:rFonts w:hint="eastAsia" w:asciiTheme="minorEastAsia" w:hAnsiTheme="minorEastAsia" w:eastAsiaTheme="minorEastAsia" w:cstheme="minorEastAsia"/>
                <w:color w:val="auto"/>
                <w:sz w:val="21"/>
                <w:szCs w:val="21"/>
                <w:highlight w:val="none"/>
              </w:rPr>
              <w:t>推进医防协同和部门联动，构建以传染病及重大疫情防控为重点的智能监测预警体系。</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区卫生健康委</w:t>
            </w: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区大数据发展局</w:t>
            </w:r>
          </w:p>
        </w:tc>
      </w:tr>
      <w:tr>
        <w:tblPrEx>
          <w:tblCellMar>
            <w:top w:w="0" w:type="dxa"/>
            <w:left w:w="108" w:type="dxa"/>
            <w:bottom w:w="0" w:type="dxa"/>
            <w:right w:w="108" w:type="dxa"/>
          </w:tblCellMar>
        </w:tblPrEx>
        <w:trPr>
          <w:trHeight w:val="1411" w:hRule="atLeast"/>
          <w:jc w:val="center"/>
        </w:trPr>
        <w:tc>
          <w:tcPr>
            <w:tcW w:w="707"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w:t>
            </w:r>
          </w:p>
        </w:tc>
        <w:tc>
          <w:tcPr>
            <w:tcW w:w="1050" w:type="dxa"/>
            <w:vMerge w:val="continue"/>
            <w:tcBorders>
              <w:top w:val="single" w:color="auto"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打造科研创新平台</w:t>
            </w:r>
          </w:p>
        </w:tc>
        <w:tc>
          <w:tcPr>
            <w:tcW w:w="322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建设区域消毒与感染控制、病媒生物防</w:t>
            </w:r>
            <w:r>
              <w:rPr>
                <w:rFonts w:hint="eastAsia" w:asciiTheme="minorEastAsia" w:hAnsiTheme="minorEastAsia" w:eastAsiaTheme="minorEastAsia" w:cstheme="minorEastAsia"/>
                <w:color w:val="auto"/>
                <w:sz w:val="21"/>
                <w:szCs w:val="21"/>
                <w:highlight w:val="none"/>
                <w:lang w:val="en-US" w:eastAsia="zh-CN"/>
              </w:rPr>
              <w:t>制</w:t>
            </w:r>
            <w:r>
              <w:rPr>
                <w:rFonts w:hint="eastAsia" w:asciiTheme="minorEastAsia" w:hAnsiTheme="minorEastAsia" w:eastAsiaTheme="minorEastAsia" w:cstheme="minorEastAsia"/>
                <w:color w:val="auto"/>
                <w:sz w:val="21"/>
                <w:szCs w:val="21"/>
                <w:highlight w:val="none"/>
              </w:rPr>
              <w:t>指导中心，区内职业病</w:t>
            </w:r>
            <w:r>
              <w:rPr>
                <w:rFonts w:hint="eastAsia" w:asciiTheme="minorEastAsia" w:hAnsiTheme="minorEastAsia" w:eastAsiaTheme="minorEastAsia" w:cstheme="minorEastAsia"/>
                <w:color w:val="auto"/>
                <w:sz w:val="21"/>
                <w:szCs w:val="21"/>
                <w:highlight w:val="none"/>
                <w:lang w:val="en-US" w:eastAsia="zh-CN"/>
              </w:rPr>
              <w:t>健康管理</w:t>
            </w:r>
            <w:r>
              <w:rPr>
                <w:rFonts w:hint="eastAsia" w:asciiTheme="minorEastAsia" w:hAnsiTheme="minorEastAsia" w:eastAsiaTheme="minorEastAsia" w:cstheme="minorEastAsia"/>
                <w:color w:val="auto"/>
                <w:sz w:val="21"/>
                <w:szCs w:val="21"/>
                <w:highlight w:val="none"/>
              </w:rPr>
              <w:t>指导中心。到2025年，建成病原微生物、慢性病防治、传染病防制、职业病防治等重点学（专）科，完成市级、区级科研成果5-7项。</w:t>
            </w:r>
          </w:p>
        </w:tc>
        <w:tc>
          <w:tcPr>
            <w:tcW w:w="141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区卫生健康委</w:t>
            </w:r>
          </w:p>
        </w:tc>
        <w:tc>
          <w:tcPr>
            <w:tcW w:w="140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区科技局、区科学技术协会</w:t>
            </w:r>
          </w:p>
        </w:tc>
      </w:tr>
      <w:tr>
        <w:tblPrEx>
          <w:tblCellMar>
            <w:top w:w="0" w:type="dxa"/>
            <w:left w:w="108" w:type="dxa"/>
            <w:bottom w:w="0" w:type="dxa"/>
            <w:right w:w="108" w:type="dxa"/>
          </w:tblCellMar>
        </w:tblPrEx>
        <w:trPr>
          <w:trHeight w:val="1019"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6</w:t>
            </w:r>
          </w:p>
        </w:tc>
        <w:tc>
          <w:tcPr>
            <w:tcW w:w="1050" w:type="dxa"/>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打造</w:t>
            </w:r>
            <w:r>
              <w:rPr>
                <w:rFonts w:hint="eastAsia" w:asciiTheme="minorEastAsia" w:hAnsiTheme="minorEastAsia" w:eastAsiaTheme="minorEastAsia" w:cstheme="minorEastAsia"/>
                <w:color w:val="auto"/>
                <w:kern w:val="0"/>
                <w:sz w:val="21"/>
                <w:szCs w:val="21"/>
                <w:highlight w:val="none"/>
              </w:rPr>
              <w:t>健康科普教育平台</w:t>
            </w:r>
          </w:p>
        </w:tc>
        <w:tc>
          <w:tcPr>
            <w:tcW w:w="3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bidi="ar"/>
              </w:rPr>
            </w:pPr>
            <w:r>
              <w:rPr>
                <w:rFonts w:hint="eastAsia" w:asciiTheme="minorEastAsia" w:hAnsiTheme="minorEastAsia" w:eastAsiaTheme="minorEastAsia" w:cstheme="minorEastAsia"/>
                <w:color w:val="auto"/>
                <w:sz w:val="21"/>
                <w:szCs w:val="21"/>
                <w:highlight w:val="none"/>
                <w:lang w:val="en-US" w:eastAsia="zh-CN" w:bidi="ar"/>
              </w:rPr>
              <w:t>1.</w:t>
            </w:r>
            <w:r>
              <w:rPr>
                <w:rFonts w:hint="eastAsia" w:asciiTheme="minorEastAsia" w:hAnsiTheme="minorEastAsia" w:eastAsiaTheme="minorEastAsia" w:cstheme="minorEastAsia"/>
                <w:color w:val="auto"/>
                <w:sz w:val="21"/>
                <w:szCs w:val="21"/>
                <w:highlight w:val="none"/>
                <w:lang w:bidi="ar"/>
              </w:rPr>
              <w:t>建立1个健康科普专家库、1个资源库，建设1个智能化健康教育基地。2.探索个人、学校、社会三位一体，医防融合促进的中小学公共卫生教育新模式</w:t>
            </w:r>
            <w:r>
              <w:rPr>
                <w:rFonts w:hint="eastAsia" w:asciiTheme="minorEastAsia" w:hAnsiTheme="minorEastAsia" w:eastAsiaTheme="minorEastAsia" w:cstheme="minorEastAsia"/>
                <w:color w:val="auto"/>
                <w:sz w:val="21"/>
                <w:szCs w:val="21"/>
                <w:highlight w:val="none"/>
                <w:lang w:eastAsia="zh-CN" w:bidi="ar"/>
              </w:rPr>
              <w:t>。</w:t>
            </w:r>
            <w:r>
              <w:rPr>
                <w:rFonts w:hint="eastAsia" w:asciiTheme="minorEastAsia" w:hAnsiTheme="minorEastAsia" w:eastAsiaTheme="minorEastAsia" w:cstheme="minorEastAsia"/>
                <w:color w:val="auto"/>
                <w:sz w:val="21"/>
                <w:szCs w:val="21"/>
                <w:highlight w:val="none"/>
                <w:lang w:val="en-US" w:eastAsia="zh-CN" w:bidi="ar"/>
              </w:rPr>
              <w:t>3.到2025年，建设中小学特色健康教育科普馆3个、社区健康教育科普馆2个</w:t>
            </w:r>
            <w:r>
              <w:rPr>
                <w:rFonts w:hint="eastAsia" w:asciiTheme="minorEastAsia" w:hAnsiTheme="minorEastAsia" w:eastAsiaTheme="minorEastAsia" w:cstheme="minorEastAsia"/>
                <w:color w:val="auto"/>
                <w:sz w:val="21"/>
                <w:szCs w:val="21"/>
                <w:highlight w:val="none"/>
                <w:lang w:val="en-US" w:eastAsia="zh-CN"/>
              </w:rPr>
              <w:t>。</w:t>
            </w:r>
          </w:p>
        </w:tc>
        <w:tc>
          <w:tcPr>
            <w:tcW w:w="1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区卫生健康委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区教委</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区委宣传部、区融媒体中心、区科学技术协会</w:t>
            </w:r>
          </w:p>
        </w:tc>
      </w:tr>
      <w:tr>
        <w:tblPrEx>
          <w:tblCellMar>
            <w:top w:w="0" w:type="dxa"/>
            <w:left w:w="108" w:type="dxa"/>
            <w:bottom w:w="0" w:type="dxa"/>
            <w:right w:w="108" w:type="dxa"/>
          </w:tblCellMar>
        </w:tblPrEx>
        <w:trPr>
          <w:trHeight w:val="94"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7</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强化</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三个重点</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行动</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强化重大传染病防控行动</w:t>
            </w:r>
          </w:p>
        </w:tc>
        <w:tc>
          <w:tcPr>
            <w:tcW w:w="3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提升监测预警能力，强化分析研判。2.维持甲乙类传染病低流行态势，发病率低于全市平均水平。3.弹性引入市级专家成立区级重点传染病防控专家委员会。4.以遏制艾滋病传播为目标，将我区艾滋病疫情继续控制在低流行水平，各类人群艾滋病防治知识知晓率达90%以上，艾滋病危险行为人群的预防干预覆盖率达到90%及以上，全人群艾滋病检测覆盖率达到40%以上，感染者和病人抗病毒治疗比例、病毒载量检测比例、治疗成功率达到95%以上。5.立足社区，推进百千万志愿者提升行动，使公众结核病防治知识知晓率达到85%，结核病患者规范管理率达到95%，潜伏感染者预防性治疗率达到60%。6.保持适龄儿童免疫规划疫苗在96%以上的高水平接种率。</w:t>
            </w:r>
          </w:p>
        </w:tc>
        <w:tc>
          <w:tcPr>
            <w:tcW w:w="1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区卫生健康委</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区委宣传部、区应急局、区教委、永川高新区管委会</w:t>
            </w:r>
          </w:p>
        </w:tc>
      </w:tr>
      <w:tr>
        <w:tblPrEx>
          <w:tblCellMar>
            <w:top w:w="0" w:type="dxa"/>
            <w:left w:w="108" w:type="dxa"/>
            <w:bottom w:w="0" w:type="dxa"/>
            <w:right w:w="108" w:type="dxa"/>
          </w:tblCellMar>
        </w:tblPrEx>
        <w:trPr>
          <w:trHeight w:val="337"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8</w:t>
            </w: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强化公共卫生指导行动</w:t>
            </w:r>
          </w:p>
        </w:tc>
        <w:tc>
          <w:tcPr>
            <w:tcW w:w="3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w:t>
            </w:r>
            <w:r>
              <w:rPr>
                <w:rFonts w:hint="eastAsia" w:asciiTheme="minorEastAsia" w:hAnsiTheme="minorEastAsia" w:eastAsiaTheme="minorEastAsia" w:cstheme="minorEastAsia"/>
                <w:color w:val="auto"/>
                <w:sz w:val="21"/>
                <w:szCs w:val="21"/>
                <w:highlight w:val="none"/>
                <w:lang w:bidi="ar"/>
              </w:rPr>
              <w:t>建立部门协调联动机制，确保顺利通过2024年</w:t>
            </w:r>
            <w:r>
              <w:rPr>
                <w:rFonts w:hint="eastAsia" w:asciiTheme="minorEastAsia" w:hAnsiTheme="minorEastAsia" w:eastAsiaTheme="minorEastAsia" w:cstheme="minorEastAsia"/>
                <w:color w:val="auto"/>
                <w:sz w:val="21"/>
                <w:szCs w:val="21"/>
                <w:highlight w:val="none"/>
                <w:lang w:val="en-US" w:eastAsia="zh-CN" w:bidi="ar"/>
              </w:rPr>
              <w:t>国家慢性病综合防控</w:t>
            </w:r>
            <w:r>
              <w:rPr>
                <w:rFonts w:hint="eastAsia" w:asciiTheme="minorEastAsia" w:hAnsiTheme="minorEastAsia" w:eastAsiaTheme="minorEastAsia" w:cstheme="minorEastAsia"/>
                <w:color w:val="auto"/>
                <w:sz w:val="21"/>
                <w:szCs w:val="21"/>
                <w:highlight w:val="none"/>
                <w:lang w:bidi="ar"/>
              </w:rPr>
              <w:t>示范区复评。</w:t>
            </w:r>
            <w:r>
              <w:rPr>
                <w:rFonts w:hint="eastAsia" w:asciiTheme="minorEastAsia" w:hAnsiTheme="minorEastAsia" w:eastAsiaTheme="minorEastAsia" w:cstheme="minorEastAsia"/>
                <w:color w:val="auto"/>
                <w:sz w:val="21"/>
                <w:szCs w:val="21"/>
                <w:highlight w:val="none"/>
                <w:lang w:val="en-US" w:eastAsia="zh-CN" w:bidi="ar"/>
              </w:rPr>
              <w:t>2.到2025年，四类主要慢性病早死概率低于12.30%，癌症5年生存率提升至44.00%以上，人均期望寿命达到79.30，65岁以上老年人城乡社区规范健康管理服务率达到67%，高血压、糖尿病患者规范化管理率达70%。3.</w:t>
            </w:r>
            <w:r>
              <w:rPr>
                <w:rFonts w:hint="eastAsia" w:asciiTheme="minorEastAsia" w:hAnsiTheme="minorEastAsia" w:eastAsiaTheme="minorEastAsia" w:cstheme="minorEastAsia"/>
                <w:color w:val="auto"/>
                <w:sz w:val="21"/>
                <w:szCs w:val="21"/>
                <w:highlight w:val="none"/>
                <w:lang w:eastAsia="zh-CN" w:bidi="ar"/>
              </w:rPr>
              <w:t>健康素养水平达</w:t>
            </w:r>
            <w:r>
              <w:rPr>
                <w:rFonts w:hint="eastAsia" w:asciiTheme="minorEastAsia" w:hAnsiTheme="minorEastAsia" w:eastAsiaTheme="minorEastAsia" w:cstheme="minorEastAsia"/>
                <w:color w:val="auto"/>
                <w:sz w:val="21"/>
                <w:szCs w:val="21"/>
                <w:highlight w:val="none"/>
                <w:lang w:val="en-US" w:eastAsia="zh-CN" w:bidi="ar"/>
              </w:rPr>
              <w:t>到</w:t>
            </w:r>
            <w:r>
              <w:rPr>
                <w:rFonts w:hint="eastAsia" w:asciiTheme="minorEastAsia" w:hAnsiTheme="minorEastAsia" w:eastAsiaTheme="minorEastAsia" w:cstheme="minorEastAsia"/>
                <w:color w:val="auto"/>
                <w:sz w:val="21"/>
                <w:szCs w:val="21"/>
                <w:highlight w:val="none"/>
                <w:lang w:eastAsia="zh-CN" w:bidi="ar"/>
              </w:rPr>
              <w:t>40%</w:t>
            </w:r>
            <w:r>
              <w:rPr>
                <w:rFonts w:hint="eastAsia" w:asciiTheme="minorEastAsia" w:hAnsiTheme="minorEastAsia" w:eastAsiaTheme="minorEastAsia" w:cstheme="minorEastAsia"/>
                <w:color w:val="auto"/>
                <w:sz w:val="21"/>
                <w:szCs w:val="21"/>
                <w:highlight w:val="none"/>
                <w:lang w:bidi="ar"/>
              </w:rPr>
              <w:t>。</w:t>
            </w:r>
            <w:r>
              <w:rPr>
                <w:rFonts w:hint="eastAsia" w:asciiTheme="minorEastAsia" w:hAnsiTheme="minorEastAsia" w:eastAsiaTheme="minorEastAsia" w:cstheme="minorEastAsia"/>
                <w:color w:val="auto"/>
                <w:sz w:val="21"/>
                <w:szCs w:val="21"/>
                <w:highlight w:val="none"/>
                <w:lang w:val="en-US" w:eastAsia="zh-CN" w:bidi="ar"/>
              </w:rPr>
              <w:t>4.建成一支专业食品安全监测、评估团队；建立区内学校卫生监测评估指导中心，实现全区中小学校卫生综合监测与评估全覆盖，推行中小学卫生综合评估分级管理。</w:t>
            </w:r>
          </w:p>
        </w:tc>
        <w:tc>
          <w:tcPr>
            <w:tcW w:w="1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区卫生健康委</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区教委</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区市场监管局</w:t>
            </w:r>
          </w:p>
        </w:tc>
      </w:tr>
      <w:tr>
        <w:tblPrEx>
          <w:tblCellMar>
            <w:top w:w="0" w:type="dxa"/>
            <w:left w:w="108" w:type="dxa"/>
            <w:bottom w:w="0" w:type="dxa"/>
            <w:right w:w="108" w:type="dxa"/>
          </w:tblCellMar>
        </w:tblPrEx>
        <w:trPr>
          <w:trHeight w:val="1318"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9</w:t>
            </w:r>
          </w:p>
        </w:tc>
        <w:tc>
          <w:tcPr>
            <w:tcW w:w="1050"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强化健康管理行动</w:t>
            </w:r>
          </w:p>
        </w:tc>
        <w:tc>
          <w:tcPr>
            <w:tcW w:w="3229" w:type="dxa"/>
            <w:tcBorders>
              <w:top w:val="single" w:color="000000" w:sz="4" w:space="0"/>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建立一支“专业化+社会化”的应急消杀处置队伍。2.到2023年，扩展职业卫生与放射卫生行业及检测类别共18项，职业卫生技术服务资质行业类别全覆盖，形成10-12人的职业健康专业团队，建立区域职业健康管理指导中心。</w:t>
            </w:r>
          </w:p>
        </w:tc>
        <w:tc>
          <w:tcPr>
            <w:tcW w:w="141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区卫生健康委</w:t>
            </w:r>
          </w:p>
        </w:tc>
        <w:tc>
          <w:tcPr>
            <w:tcW w:w="140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区城市管理局</w:t>
            </w:r>
          </w:p>
        </w:tc>
      </w:tr>
      <w:tr>
        <w:tblPrEx>
          <w:tblCellMar>
            <w:top w:w="0" w:type="dxa"/>
            <w:left w:w="108" w:type="dxa"/>
            <w:bottom w:w="0" w:type="dxa"/>
            <w:right w:w="108" w:type="dxa"/>
          </w:tblCellMar>
        </w:tblPrEx>
        <w:trPr>
          <w:trHeight w:val="612" w:hRule="atLeast"/>
          <w:jc w:val="center"/>
        </w:trPr>
        <w:tc>
          <w:tcPr>
            <w:tcW w:w="70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0</w:t>
            </w: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实现</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三个提高</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行动</w:t>
            </w:r>
          </w:p>
        </w:tc>
        <w:tc>
          <w:tcPr>
            <w:tcW w:w="1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提高检验检测水平</w:t>
            </w:r>
          </w:p>
        </w:tc>
        <w:tc>
          <w:tcPr>
            <w:tcW w:w="32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加快建成病原微生物重庆市重点学（专）科，搭建永川区病原微生物检验检测人员规范化培训基地，建成区域突发公共卫生事件快速检测平台。2.培育4-6名具备已知病原基因测序能力和未知病原的宏基因组测序能力的高端检测人才。3.推进实验室数据管理信息化，持续改进质量管理体系。</w:t>
            </w:r>
          </w:p>
        </w:tc>
        <w:tc>
          <w:tcPr>
            <w:tcW w:w="14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区卫生健康委</w:t>
            </w:r>
          </w:p>
        </w:tc>
        <w:tc>
          <w:tcPr>
            <w:tcW w:w="14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区科技局</w:t>
            </w:r>
          </w:p>
        </w:tc>
      </w:tr>
      <w:tr>
        <w:tblPrEx>
          <w:tblCellMar>
            <w:top w:w="0" w:type="dxa"/>
            <w:left w:w="108" w:type="dxa"/>
            <w:bottom w:w="0" w:type="dxa"/>
            <w:right w:w="108" w:type="dxa"/>
          </w:tblCellMar>
        </w:tblPrEx>
        <w:trPr>
          <w:trHeight w:val="1060" w:hRule="atLeast"/>
          <w:jc w:val="center"/>
        </w:trPr>
        <w:tc>
          <w:tcPr>
            <w:tcW w:w="70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1</w:t>
            </w: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提高应急处置水平</w:t>
            </w:r>
          </w:p>
        </w:tc>
        <w:tc>
          <w:tcPr>
            <w:tcW w:w="3229"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完善公共卫生危险因素和事件信息的风险评估机制。2.建立应急队伍保障机制，从人员、设备、经费等各方面保障应急队伍的日常维护和运转。3.组建一支不少于50人的突发急性传染病防控应急队伍；建设3000平方米左右的规范化区域应急物资库房。4.建立疾控体系卫生应急培训机制。</w:t>
            </w:r>
          </w:p>
        </w:tc>
        <w:tc>
          <w:tcPr>
            <w:tcW w:w="1419"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区卫生健康委</w:t>
            </w:r>
          </w:p>
        </w:tc>
        <w:tc>
          <w:tcPr>
            <w:tcW w:w="1401"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区应急局</w:t>
            </w:r>
          </w:p>
        </w:tc>
      </w:tr>
      <w:tr>
        <w:tblPrEx>
          <w:tblCellMar>
            <w:top w:w="0" w:type="dxa"/>
            <w:left w:w="108" w:type="dxa"/>
            <w:bottom w:w="0" w:type="dxa"/>
            <w:right w:w="108" w:type="dxa"/>
          </w:tblCellMar>
        </w:tblPrEx>
        <w:trPr>
          <w:trHeight w:val="618" w:hRule="atLeast"/>
          <w:jc w:val="center"/>
        </w:trPr>
        <w:tc>
          <w:tcPr>
            <w:tcW w:w="70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2</w:t>
            </w:r>
          </w:p>
        </w:tc>
        <w:tc>
          <w:tcPr>
            <w:tcW w:w="1050"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rPr>
            </w:pPr>
          </w:p>
        </w:tc>
        <w:tc>
          <w:tcPr>
            <w:tcW w:w="1505"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提高业务创新能力水平</w:t>
            </w:r>
          </w:p>
        </w:tc>
        <w:tc>
          <w:tcPr>
            <w:tcW w:w="3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加快推进疾控中心异地迁建项目，完善功能布局，推动信息化建设，加强检验检测工作标准化建设；2.围绕疾控体系改革，在确保急慢性传染病的预防和控制的同时，逐步加快对慢性非传染性疾病及新发传染病的预防控制工作；3.进一步突出区疾控中心在重大突发公共卫生事件应对过程中的权威性，真正发挥运转“中流砥柱”作用。</w:t>
            </w:r>
          </w:p>
        </w:tc>
        <w:tc>
          <w:tcPr>
            <w:tcW w:w="1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区卫生健康委</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p>
        </w:tc>
      </w:tr>
      <w:tr>
        <w:tblPrEx>
          <w:tblCellMar>
            <w:top w:w="0" w:type="dxa"/>
            <w:left w:w="108" w:type="dxa"/>
            <w:bottom w:w="0" w:type="dxa"/>
            <w:right w:w="108" w:type="dxa"/>
          </w:tblCellMar>
        </w:tblPrEx>
        <w:trPr>
          <w:trHeight w:val="1712" w:hRule="atLeas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保障措施</w:t>
            </w:r>
          </w:p>
        </w:tc>
        <w:tc>
          <w:tcPr>
            <w:tcW w:w="15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提高人员待遇标准</w:t>
            </w:r>
          </w:p>
        </w:tc>
        <w:tc>
          <w:tcPr>
            <w:tcW w:w="32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1.加强区疾控中心领导班子建设，强化干部队伍建设，打造一支高素质专业化、复合型疾控干部队伍；2.各相关部门将区疾控能力建设纳入国民经济和社会发展总体规划，建立疾控紧缺人才绿色引进通道，对重大疫情防控工作急需紧缺人才，可通过考核方式予以招聘，加强疾控机构编制保障，适当提高区疾控中心专业技术高级岗位结构比例，建立稳定的公共财政投入机制，为疾控工作正常开展提供相应保障；3.落实“两个允许”要求，在核定超额绩效时予以倾斜并建立动态增长机制。在充分考虑经费保障能力和可持续发展等因素的前提下，2023年参照全市科研院所超额绩效水平核定超额绩效，到2025年，参照同级公立医疗机构超额绩效平均水平核定超额绩效，并建立同步调整机制。</w:t>
            </w:r>
          </w:p>
        </w:tc>
        <w:tc>
          <w:tcPr>
            <w:tcW w:w="141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区卫生健康委、区财政局、区人力社保局</w:t>
            </w:r>
          </w:p>
        </w:tc>
        <w:tc>
          <w:tcPr>
            <w:tcW w:w="14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snapToGrid w:val="0"/>
              <w:spacing w:line="240" w:lineRule="auto"/>
              <w:jc w:val="both"/>
              <w:rPr>
                <w:rFonts w:hint="eastAsia" w:asciiTheme="minorEastAsia" w:hAnsiTheme="minorEastAsia" w:eastAsiaTheme="minorEastAsia" w:cstheme="minorEastAsia"/>
                <w:color w:val="auto"/>
                <w:kern w:val="2"/>
                <w:sz w:val="21"/>
                <w:szCs w:val="21"/>
                <w:highlight w:val="none"/>
                <w:lang w:val="en-US" w:eastAsia="zh-CN" w:bidi="ar"/>
              </w:rPr>
            </w:pPr>
            <w:r>
              <w:rPr>
                <w:rFonts w:hint="eastAsia" w:asciiTheme="minorEastAsia" w:hAnsiTheme="minorEastAsia" w:eastAsiaTheme="minorEastAsia" w:cstheme="minorEastAsia"/>
                <w:color w:val="auto"/>
                <w:sz w:val="21"/>
                <w:szCs w:val="21"/>
                <w:highlight w:val="none"/>
                <w:lang w:val="en-US" w:eastAsia="zh-CN" w:bidi="ar"/>
              </w:rPr>
              <w:t>区发展改革委、区委编办</w:t>
            </w:r>
          </w:p>
        </w:tc>
      </w:tr>
    </w:tbl>
    <w:p>
      <w:pPr>
        <w:pStyle w:val="2"/>
        <w:ind w:firstLine="0" w:firstLineChars="0"/>
        <w:rPr>
          <w:rFonts w:hint="eastAsia"/>
        </w:rPr>
      </w:pPr>
    </w:p>
    <w:p>
      <w:pPr>
        <w:pStyle w:val="2"/>
        <w:rPr>
          <w:rFonts w:hint="eastAsia" w:ascii="Times New Roman" w:hAnsi="Times New Roman" w:eastAsia="方正仿宋_GBK"/>
          <w:sz w:val="32"/>
          <w:szCs w:val="32"/>
          <w:lang w:val="en-US" w:eastAsia="zh-CN"/>
        </w:rPr>
      </w:pPr>
    </w:p>
    <w:sectPr>
      <w:headerReference r:id="rId5" w:type="default"/>
      <w:footerReference r:id="rId6" w:type="default"/>
      <w:pgSz w:w="11906" w:h="16838"/>
      <w:pgMar w:top="1962" w:right="1474" w:bottom="1848" w:left="1587" w:header="851" w:footer="34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ZXBSK--GBK1-0">
    <w:altName w:val="华文中宋"/>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311B0F37"/>
    <w:rsid w:val="00001584"/>
    <w:rsid w:val="00001A63"/>
    <w:rsid w:val="000041B4"/>
    <w:rsid w:val="00007813"/>
    <w:rsid w:val="00013E38"/>
    <w:rsid w:val="000145ED"/>
    <w:rsid w:val="00015235"/>
    <w:rsid w:val="000170D3"/>
    <w:rsid w:val="00022065"/>
    <w:rsid w:val="00025185"/>
    <w:rsid w:val="00025A8A"/>
    <w:rsid w:val="000268BF"/>
    <w:rsid w:val="00031A24"/>
    <w:rsid w:val="00034FE9"/>
    <w:rsid w:val="00042399"/>
    <w:rsid w:val="00042A3E"/>
    <w:rsid w:val="00045045"/>
    <w:rsid w:val="000453F7"/>
    <w:rsid w:val="0004576B"/>
    <w:rsid w:val="0005066D"/>
    <w:rsid w:val="00050F95"/>
    <w:rsid w:val="00061045"/>
    <w:rsid w:val="00061BB4"/>
    <w:rsid w:val="000633B1"/>
    <w:rsid w:val="00067B5A"/>
    <w:rsid w:val="00070BAD"/>
    <w:rsid w:val="00070F7E"/>
    <w:rsid w:val="00071842"/>
    <w:rsid w:val="00082E36"/>
    <w:rsid w:val="000841F9"/>
    <w:rsid w:val="00086077"/>
    <w:rsid w:val="000966C7"/>
    <w:rsid w:val="000A23CA"/>
    <w:rsid w:val="000A38CA"/>
    <w:rsid w:val="000A7472"/>
    <w:rsid w:val="000A7B8F"/>
    <w:rsid w:val="000B18FE"/>
    <w:rsid w:val="000B1B86"/>
    <w:rsid w:val="000B2B24"/>
    <w:rsid w:val="000B455F"/>
    <w:rsid w:val="000B6373"/>
    <w:rsid w:val="000B72F8"/>
    <w:rsid w:val="000C0533"/>
    <w:rsid w:val="000C2F3B"/>
    <w:rsid w:val="000D1BB7"/>
    <w:rsid w:val="000D49BB"/>
    <w:rsid w:val="000E076D"/>
    <w:rsid w:val="000E2436"/>
    <w:rsid w:val="000E2703"/>
    <w:rsid w:val="000E2F09"/>
    <w:rsid w:val="000E5E8C"/>
    <w:rsid w:val="000E6DFA"/>
    <w:rsid w:val="000F1216"/>
    <w:rsid w:val="000F14EE"/>
    <w:rsid w:val="00100087"/>
    <w:rsid w:val="00101A96"/>
    <w:rsid w:val="00103B47"/>
    <w:rsid w:val="00103D29"/>
    <w:rsid w:val="00111E49"/>
    <w:rsid w:val="00117B77"/>
    <w:rsid w:val="0013164B"/>
    <w:rsid w:val="001351A7"/>
    <w:rsid w:val="001375DA"/>
    <w:rsid w:val="001408AC"/>
    <w:rsid w:val="001417CA"/>
    <w:rsid w:val="0014497A"/>
    <w:rsid w:val="001512F0"/>
    <w:rsid w:val="00151A8C"/>
    <w:rsid w:val="001540D5"/>
    <w:rsid w:val="001551D3"/>
    <w:rsid w:val="0016158D"/>
    <w:rsid w:val="00162B07"/>
    <w:rsid w:val="001647E0"/>
    <w:rsid w:val="001707A8"/>
    <w:rsid w:val="00174241"/>
    <w:rsid w:val="00176418"/>
    <w:rsid w:val="00177DB9"/>
    <w:rsid w:val="00187522"/>
    <w:rsid w:val="00191BEF"/>
    <w:rsid w:val="00191DA4"/>
    <w:rsid w:val="001936E3"/>
    <w:rsid w:val="00194CD1"/>
    <w:rsid w:val="00196410"/>
    <w:rsid w:val="001A2D2B"/>
    <w:rsid w:val="001A441B"/>
    <w:rsid w:val="001A51E6"/>
    <w:rsid w:val="001A58DE"/>
    <w:rsid w:val="001A62A3"/>
    <w:rsid w:val="001B0690"/>
    <w:rsid w:val="001B247A"/>
    <w:rsid w:val="001B5CC4"/>
    <w:rsid w:val="001B668E"/>
    <w:rsid w:val="001B7DB7"/>
    <w:rsid w:val="001D1ECF"/>
    <w:rsid w:val="001D52C8"/>
    <w:rsid w:val="001E6406"/>
    <w:rsid w:val="001E7CBF"/>
    <w:rsid w:val="001F0949"/>
    <w:rsid w:val="001F1467"/>
    <w:rsid w:val="001F1495"/>
    <w:rsid w:val="001F1D93"/>
    <w:rsid w:val="001F2D86"/>
    <w:rsid w:val="001F3D77"/>
    <w:rsid w:val="001F49B3"/>
    <w:rsid w:val="00203189"/>
    <w:rsid w:val="00205A79"/>
    <w:rsid w:val="002076C8"/>
    <w:rsid w:val="0021118C"/>
    <w:rsid w:val="00212296"/>
    <w:rsid w:val="002177AC"/>
    <w:rsid w:val="00220C1F"/>
    <w:rsid w:val="002219C8"/>
    <w:rsid w:val="00222D93"/>
    <w:rsid w:val="0022309D"/>
    <w:rsid w:val="00224778"/>
    <w:rsid w:val="0023566E"/>
    <w:rsid w:val="00242291"/>
    <w:rsid w:val="00251663"/>
    <w:rsid w:val="002540EB"/>
    <w:rsid w:val="002560B2"/>
    <w:rsid w:val="00256A8F"/>
    <w:rsid w:val="00260965"/>
    <w:rsid w:val="00261484"/>
    <w:rsid w:val="00261FF2"/>
    <w:rsid w:val="00266A30"/>
    <w:rsid w:val="0028285D"/>
    <w:rsid w:val="002836CB"/>
    <w:rsid w:val="002857E7"/>
    <w:rsid w:val="0029027F"/>
    <w:rsid w:val="0029233A"/>
    <w:rsid w:val="00292A97"/>
    <w:rsid w:val="002953BD"/>
    <w:rsid w:val="00297A48"/>
    <w:rsid w:val="002A08ED"/>
    <w:rsid w:val="002A22F1"/>
    <w:rsid w:val="002A554B"/>
    <w:rsid w:val="002B0347"/>
    <w:rsid w:val="002B269F"/>
    <w:rsid w:val="002B2B41"/>
    <w:rsid w:val="002B7725"/>
    <w:rsid w:val="002C2E99"/>
    <w:rsid w:val="002C3B2F"/>
    <w:rsid w:val="002C44F8"/>
    <w:rsid w:val="002C519F"/>
    <w:rsid w:val="002C5ADA"/>
    <w:rsid w:val="002D04EB"/>
    <w:rsid w:val="002D164B"/>
    <w:rsid w:val="002D235F"/>
    <w:rsid w:val="002D2EF3"/>
    <w:rsid w:val="002D3F4C"/>
    <w:rsid w:val="002D4130"/>
    <w:rsid w:val="002D66C1"/>
    <w:rsid w:val="002E0BCC"/>
    <w:rsid w:val="002E3D99"/>
    <w:rsid w:val="002E410F"/>
    <w:rsid w:val="002E67F1"/>
    <w:rsid w:val="002F48F3"/>
    <w:rsid w:val="002F5690"/>
    <w:rsid w:val="002F6535"/>
    <w:rsid w:val="002F6EBD"/>
    <w:rsid w:val="00300D7C"/>
    <w:rsid w:val="00303165"/>
    <w:rsid w:val="00311E76"/>
    <w:rsid w:val="00315F0F"/>
    <w:rsid w:val="00323280"/>
    <w:rsid w:val="00327A35"/>
    <w:rsid w:val="00330586"/>
    <w:rsid w:val="0033155A"/>
    <w:rsid w:val="0034322E"/>
    <w:rsid w:val="0034483E"/>
    <w:rsid w:val="003522F5"/>
    <w:rsid w:val="0035246E"/>
    <w:rsid w:val="00353192"/>
    <w:rsid w:val="00355E4A"/>
    <w:rsid w:val="00362942"/>
    <w:rsid w:val="00365A47"/>
    <w:rsid w:val="003668AF"/>
    <w:rsid w:val="003679B0"/>
    <w:rsid w:val="00370CF2"/>
    <w:rsid w:val="0037396A"/>
    <w:rsid w:val="003769A4"/>
    <w:rsid w:val="00384F19"/>
    <w:rsid w:val="0039406C"/>
    <w:rsid w:val="00394670"/>
    <w:rsid w:val="00396FA3"/>
    <w:rsid w:val="003A0B83"/>
    <w:rsid w:val="003A679A"/>
    <w:rsid w:val="003A6984"/>
    <w:rsid w:val="003B45A4"/>
    <w:rsid w:val="003C2C2B"/>
    <w:rsid w:val="003D08DD"/>
    <w:rsid w:val="003D144C"/>
    <w:rsid w:val="003D25E6"/>
    <w:rsid w:val="003D3862"/>
    <w:rsid w:val="003D6843"/>
    <w:rsid w:val="003E1A47"/>
    <w:rsid w:val="003E735D"/>
    <w:rsid w:val="003F4443"/>
    <w:rsid w:val="003F6120"/>
    <w:rsid w:val="0040432A"/>
    <w:rsid w:val="00404F5C"/>
    <w:rsid w:val="00406663"/>
    <w:rsid w:val="00421136"/>
    <w:rsid w:val="0042253A"/>
    <w:rsid w:val="004247F5"/>
    <w:rsid w:val="00431792"/>
    <w:rsid w:val="00433573"/>
    <w:rsid w:val="0044014E"/>
    <w:rsid w:val="0044084B"/>
    <w:rsid w:val="00443069"/>
    <w:rsid w:val="00445788"/>
    <w:rsid w:val="00451B79"/>
    <w:rsid w:val="00454E56"/>
    <w:rsid w:val="00455791"/>
    <w:rsid w:val="00457966"/>
    <w:rsid w:val="00461887"/>
    <w:rsid w:val="00463D65"/>
    <w:rsid w:val="004724ED"/>
    <w:rsid w:val="004742E5"/>
    <w:rsid w:val="00475B0E"/>
    <w:rsid w:val="00476406"/>
    <w:rsid w:val="00480C61"/>
    <w:rsid w:val="004825CC"/>
    <w:rsid w:val="00485F73"/>
    <w:rsid w:val="004861B6"/>
    <w:rsid w:val="00487230"/>
    <w:rsid w:val="0048787E"/>
    <w:rsid w:val="004919EA"/>
    <w:rsid w:val="00492558"/>
    <w:rsid w:val="004A03E2"/>
    <w:rsid w:val="004A0AA9"/>
    <w:rsid w:val="004A2B67"/>
    <w:rsid w:val="004A565F"/>
    <w:rsid w:val="004B1832"/>
    <w:rsid w:val="004B1A84"/>
    <w:rsid w:val="004B3B1A"/>
    <w:rsid w:val="004B447B"/>
    <w:rsid w:val="004B5C1F"/>
    <w:rsid w:val="004C17CD"/>
    <w:rsid w:val="004C19D3"/>
    <w:rsid w:val="004C1CAC"/>
    <w:rsid w:val="004C4EFB"/>
    <w:rsid w:val="004C56CC"/>
    <w:rsid w:val="004C5EB1"/>
    <w:rsid w:val="004D0E3C"/>
    <w:rsid w:val="004D2C5F"/>
    <w:rsid w:val="004D52FC"/>
    <w:rsid w:val="004D5BD0"/>
    <w:rsid w:val="004D622F"/>
    <w:rsid w:val="004D7BD2"/>
    <w:rsid w:val="004E0D33"/>
    <w:rsid w:val="004E25DC"/>
    <w:rsid w:val="004E26F2"/>
    <w:rsid w:val="004E4E16"/>
    <w:rsid w:val="004E793D"/>
    <w:rsid w:val="004F3461"/>
    <w:rsid w:val="004F4AD5"/>
    <w:rsid w:val="004F4FD9"/>
    <w:rsid w:val="004F7B37"/>
    <w:rsid w:val="00502137"/>
    <w:rsid w:val="0050398F"/>
    <w:rsid w:val="00504011"/>
    <w:rsid w:val="00505432"/>
    <w:rsid w:val="00510754"/>
    <w:rsid w:val="00513A8F"/>
    <w:rsid w:val="0052138C"/>
    <w:rsid w:val="00521C58"/>
    <w:rsid w:val="005237EA"/>
    <w:rsid w:val="005242E2"/>
    <w:rsid w:val="00525FBC"/>
    <w:rsid w:val="00530035"/>
    <w:rsid w:val="00530E60"/>
    <w:rsid w:val="00530E93"/>
    <w:rsid w:val="005332E7"/>
    <w:rsid w:val="0053570B"/>
    <w:rsid w:val="00537EC9"/>
    <w:rsid w:val="0054171F"/>
    <w:rsid w:val="00541C5C"/>
    <w:rsid w:val="005445B6"/>
    <w:rsid w:val="0054482A"/>
    <w:rsid w:val="005457A2"/>
    <w:rsid w:val="00552A11"/>
    <w:rsid w:val="00555AA3"/>
    <w:rsid w:val="0055684F"/>
    <w:rsid w:val="00563353"/>
    <w:rsid w:val="00565A05"/>
    <w:rsid w:val="005712BA"/>
    <w:rsid w:val="00572C4E"/>
    <w:rsid w:val="005736FC"/>
    <w:rsid w:val="00580DCC"/>
    <w:rsid w:val="00585580"/>
    <w:rsid w:val="00585F1F"/>
    <w:rsid w:val="005904A6"/>
    <w:rsid w:val="00590E14"/>
    <w:rsid w:val="005953EC"/>
    <w:rsid w:val="00596827"/>
    <w:rsid w:val="00596FCE"/>
    <w:rsid w:val="005A04C6"/>
    <w:rsid w:val="005A0836"/>
    <w:rsid w:val="005A6ADF"/>
    <w:rsid w:val="005A7754"/>
    <w:rsid w:val="005B1FDD"/>
    <w:rsid w:val="005B25D2"/>
    <w:rsid w:val="005B2DFC"/>
    <w:rsid w:val="005B4381"/>
    <w:rsid w:val="005B59E9"/>
    <w:rsid w:val="005B6738"/>
    <w:rsid w:val="005B6D5A"/>
    <w:rsid w:val="005B7BFF"/>
    <w:rsid w:val="005C064F"/>
    <w:rsid w:val="005C4478"/>
    <w:rsid w:val="005C64A9"/>
    <w:rsid w:val="005D3C9C"/>
    <w:rsid w:val="005D428A"/>
    <w:rsid w:val="005E10C6"/>
    <w:rsid w:val="005E1F89"/>
    <w:rsid w:val="005E4B86"/>
    <w:rsid w:val="005E6579"/>
    <w:rsid w:val="005E750F"/>
    <w:rsid w:val="005F4434"/>
    <w:rsid w:val="005F74EC"/>
    <w:rsid w:val="005F7D76"/>
    <w:rsid w:val="00602136"/>
    <w:rsid w:val="00606D76"/>
    <w:rsid w:val="00611DFE"/>
    <w:rsid w:val="006123E8"/>
    <w:rsid w:val="006139AD"/>
    <w:rsid w:val="0061407C"/>
    <w:rsid w:val="00616F0B"/>
    <w:rsid w:val="00620BBE"/>
    <w:rsid w:val="00622C06"/>
    <w:rsid w:val="00623289"/>
    <w:rsid w:val="00623FA2"/>
    <w:rsid w:val="00630AD3"/>
    <w:rsid w:val="00630D50"/>
    <w:rsid w:val="006338F1"/>
    <w:rsid w:val="0063594B"/>
    <w:rsid w:val="006415EE"/>
    <w:rsid w:val="00642B9F"/>
    <w:rsid w:val="00644597"/>
    <w:rsid w:val="00651043"/>
    <w:rsid w:val="00656394"/>
    <w:rsid w:val="00657A76"/>
    <w:rsid w:val="006642C9"/>
    <w:rsid w:val="0066611F"/>
    <w:rsid w:val="006708AE"/>
    <w:rsid w:val="006735B8"/>
    <w:rsid w:val="00676446"/>
    <w:rsid w:val="0068029B"/>
    <w:rsid w:val="006831BE"/>
    <w:rsid w:val="00684F0F"/>
    <w:rsid w:val="00690008"/>
    <w:rsid w:val="006912D6"/>
    <w:rsid w:val="00692174"/>
    <w:rsid w:val="00696BD4"/>
    <w:rsid w:val="006A082E"/>
    <w:rsid w:val="006A0ED6"/>
    <w:rsid w:val="006B0850"/>
    <w:rsid w:val="006B6747"/>
    <w:rsid w:val="006B6C7C"/>
    <w:rsid w:val="006B7794"/>
    <w:rsid w:val="006C4986"/>
    <w:rsid w:val="006C50FD"/>
    <w:rsid w:val="006D0066"/>
    <w:rsid w:val="006D1C13"/>
    <w:rsid w:val="006D287E"/>
    <w:rsid w:val="006D62D7"/>
    <w:rsid w:val="006D66E0"/>
    <w:rsid w:val="006E3B0E"/>
    <w:rsid w:val="006E60B4"/>
    <w:rsid w:val="006E7EE3"/>
    <w:rsid w:val="006F0B1C"/>
    <w:rsid w:val="006F31DF"/>
    <w:rsid w:val="0070212C"/>
    <w:rsid w:val="00703C0A"/>
    <w:rsid w:val="0070450E"/>
    <w:rsid w:val="0070470B"/>
    <w:rsid w:val="00706A24"/>
    <w:rsid w:val="00707EA9"/>
    <w:rsid w:val="00710DCD"/>
    <w:rsid w:val="00711B64"/>
    <w:rsid w:val="00713287"/>
    <w:rsid w:val="00713AA3"/>
    <w:rsid w:val="00713C0A"/>
    <w:rsid w:val="00717339"/>
    <w:rsid w:val="007205E8"/>
    <w:rsid w:val="00720F28"/>
    <w:rsid w:val="00721B46"/>
    <w:rsid w:val="00723936"/>
    <w:rsid w:val="00724F1B"/>
    <w:rsid w:val="00725322"/>
    <w:rsid w:val="00730DC6"/>
    <w:rsid w:val="0073153C"/>
    <w:rsid w:val="00734747"/>
    <w:rsid w:val="00740595"/>
    <w:rsid w:val="00742CAB"/>
    <w:rsid w:val="007441FD"/>
    <w:rsid w:val="00745A4D"/>
    <w:rsid w:val="00745E59"/>
    <w:rsid w:val="00747581"/>
    <w:rsid w:val="00751AF2"/>
    <w:rsid w:val="007522EC"/>
    <w:rsid w:val="00755697"/>
    <w:rsid w:val="007602B9"/>
    <w:rsid w:val="00763B87"/>
    <w:rsid w:val="0076412C"/>
    <w:rsid w:val="0076450E"/>
    <w:rsid w:val="00765710"/>
    <w:rsid w:val="00766F06"/>
    <w:rsid w:val="0076760B"/>
    <w:rsid w:val="00774B66"/>
    <w:rsid w:val="00777FD1"/>
    <w:rsid w:val="00780988"/>
    <w:rsid w:val="00783AA0"/>
    <w:rsid w:val="00783D56"/>
    <w:rsid w:val="00784F7F"/>
    <w:rsid w:val="007855E3"/>
    <w:rsid w:val="0078762E"/>
    <w:rsid w:val="0079184F"/>
    <w:rsid w:val="00792B5F"/>
    <w:rsid w:val="00795B90"/>
    <w:rsid w:val="007A3CAA"/>
    <w:rsid w:val="007B0B57"/>
    <w:rsid w:val="007B1DA9"/>
    <w:rsid w:val="007B38A7"/>
    <w:rsid w:val="007B65C6"/>
    <w:rsid w:val="007B7035"/>
    <w:rsid w:val="007C675B"/>
    <w:rsid w:val="007D0983"/>
    <w:rsid w:val="007D0AAD"/>
    <w:rsid w:val="007D1DAF"/>
    <w:rsid w:val="007D33B8"/>
    <w:rsid w:val="007D5013"/>
    <w:rsid w:val="007D68F2"/>
    <w:rsid w:val="007D762F"/>
    <w:rsid w:val="007D7FFD"/>
    <w:rsid w:val="007E0A66"/>
    <w:rsid w:val="007E18A3"/>
    <w:rsid w:val="007E1B75"/>
    <w:rsid w:val="007E27A3"/>
    <w:rsid w:val="007E2F19"/>
    <w:rsid w:val="007E3BB5"/>
    <w:rsid w:val="007E4D25"/>
    <w:rsid w:val="007F12B4"/>
    <w:rsid w:val="007F72A0"/>
    <w:rsid w:val="00801820"/>
    <w:rsid w:val="0080371B"/>
    <w:rsid w:val="008066A5"/>
    <w:rsid w:val="00807965"/>
    <w:rsid w:val="00811422"/>
    <w:rsid w:val="008114B1"/>
    <w:rsid w:val="0081249E"/>
    <w:rsid w:val="0081598E"/>
    <w:rsid w:val="00817E6B"/>
    <w:rsid w:val="00820449"/>
    <w:rsid w:val="008241BA"/>
    <w:rsid w:val="00830077"/>
    <w:rsid w:val="00830EC8"/>
    <w:rsid w:val="00831E07"/>
    <w:rsid w:val="00832713"/>
    <w:rsid w:val="00833513"/>
    <w:rsid w:val="0083598F"/>
    <w:rsid w:val="00837509"/>
    <w:rsid w:val="0084728E"/>
    <w:rsid w:val="0085024B"/>
    <w:rsid w:val="00852101"/>
    <w:rsid w:val="00852EB5"/>
    <w:rsid w:val="00853885"/>
    <w:rsid w:val="00854C0B"/>
    <w:rsid w:val="008557A4"/>
    <w:rsid w:val="00856184"/>
    <w:rsid w:val="00860744"/>
    <w:rsid w:val="00861D0E"/>
    <w:rsid w:val="0086392B"/>
    <w:rsid w:val="00863A8F"/>
    <w:rsid w:val="00865E36"/>
    <w:rsid w:val="008663B9"/>
    <w:rsid w:val="00870736"/>
    <w:rsid w:val="00876DFB"/>
    <w:rsid w:val="00887707"/>
    <w:rsid w:val="00887D0D"/>
    <w:rsid w:val="00891FF9"/>
    <w:rsid w:val="00892527"/>
    <w:rsid w:val="00892607"/>
    <w:rsid w:val="008A202A"/>
    <w:rsid w:val="008A26C1"/>
    <w:rsid w:val="008A2FE8"/>
    <w:rsid w:val="008A38F2"/>
    <w:rsid w:val="008A3B46"/>
    <w:rsid w:val="008A54C2"/>
    <w:rsid w:val="008A6323"/>
    <w:rsid w:val="008B1760"/>
    <w:rsid w:val="008B26B6"/>
    <w:rsid w:val="008B3BC7"/>
    <w:rsid w:val="008B6699"/>
    <w:rsid w:val="008B66F6"/>
    <w:rsid w:val="008C5991"/>
    <w:rsid w:val="008C7485"/>
    <w:rsid w:val="008D0C7F"/>
    <w:rsid w:val="008D1763"/>
    <w:rsid w:val="008D548D"/>
    <w:rsid w:val="008D7C1F"/>
    <w:rsid w:val="008D7F3A"/>
    <w:rsid w:val="008E1508"/>
    <w:rsid w:val="008E3F98"/>
    <w:rsid w:val="008E7366"/>
    <w:rsid w:val="008F25BA"/>
    <w:rsid w:val="008F7133"/>
    <w:rsid w:val="008F71A5"/>
    <w:rsid w:val="008F7D62"/>
    <w:rsid w:val="00903074"/>
    <w:rsid w:val="0090417E"/>
    <w:rsid w:val="00910D9D"/>
    <w:rsid w:val="00911026"/>
    <w:rsid w:val="009164FE"/>
    <w:rsid w:val="0091700E"/>
    <w:rsid w:val="0092058A"/>
    <w:rsid w:val="00920A2A"/>
    <w:rsid w:val="0092295C"/>
    <w:rsid w:val="009251D1"/>
    <w:rsid w:val="00925A03"/>
    <w:rsid w:val="00932AC1"/>
    <w:rsid w:val="00934AB9"/>
    <w:rsid w:val="009409E1"/>
    <w:rsid w:val="00941D0F"/>
    <w:rsid w:val="00942CF2"/>
    <w:rsid w:val="0094370D"/>
    <w:rsid w:val="00943787"/>
    <w:rsid w:val="00943F66"/>
    <w:rsid w:val="00953302"/>
    <w:rsid w:val="00953777"/>
    <w:rsid w:val="00955DAF"/>
    <w:rsid w:val="009571C7"/>
    <w:rsid w:val="00964825"/>
    <w:rsid w:val="009663CE"/>
    <w:rsid w:val="00966994"/>
    <w:rsid w:val="00970BD4"/>
    <w:rsid w:val="009725B5"/>
    <w:rsid w:val="0097474F"/>
    <w:rsid w:val="009818A9"/>
    <w:rsid w:val="00982E4F"/>
    <w:rsid w:val="00983BB5"/>
    <w:rsid w:val="00985028"/>
    <w:rsid w:val="009860B2"/>
    <w:rsid w:val="009861AA"/>
    <w:rsid w:val="00992663"/>
    <w:rsid w:val="00993010"/>
    <w:rsid w:val="00993447"/>
    <w:rsid w:val="009A4542"/>
    <w:rsid w:val="009B41CD"/>
    <w:rsid w:val="009B6537"/>
    <w:rsid w:val="009C3F79"/>
    <w:rsid w:val="009C6F22"/>
    <w:rsid w:val="009D5700"/>
    <w:rsid w:val="009E0900"/>
    <w:rsid w:val="009E3186"/>
    <w:rsid w:val="009E4158"/>
    <w:rsid w:val="009F23E1"/>
    <w:rsid w:val="009F3ECA"/>
    <w:rsid w:val="009F4B74"/>
    <w:rsid w:val="00A063F4"/>
    <w:rsid w:val="00A10FE4"/>
    <w:rsid w:val="00A12A60"/>
    <w:rsid w:val="00A147FF"/>
    <w:rsid w:val="00A14AC5"/>
    <w:rsid w:val="00A16D22"/>
    <w:rsid w:val="00A2205F"/>
    <w:rsid w:val="00A23F5F"/>
    <w:rsid w:val="00A30A9F"/>
    <w:rsid w:val="00A321E8"/>
    <w:rsid w:val="00A32906"/>
    <w:rsid w:val="00A3394D"/>
    <w:rsid w:val="00A34639"/>
    <w:rsid w:val="00A41A46"/>
    <w:rsid w:val="00A41F6D"/>
    <w:rsid w:val="00A43D29"/>
    <w:rsid w:val="00A46C8C"/>
    <w:rsid w:val="00A46DAD"/>
    <w:rsid w:val="00A47955"/>
    <w:rsid w:val="00A506DE"/>
    <w:rsid w:val="00A534EB"/>
    <w:rsid w:val="00A557FC"/>
    <w:rsid w:val="00A63FAC"/>
    <w:rsid w:val="00A64C2A"/>
    <w:rsid w:val="00A70792"/>
    <w:rsid w:val="00A72234"/>
    <w:rsid w:val="00A7297C"/>
    <w:rsid w:val="00A730C7"/>
    <w:rsid w:val="00A74168"/>
    <w:rsid w:val="00A76B0B"/>
    <w:rsid w:val="00A77580"/>
    <w:rsid w:val="00A90219"/>
    <w:rsid w:val="00A903F9"/>
    <w:rsid w:val="00A9173C"/>
    <w:rsid w:val="00A946AC"/>
    <w:rsid w:val="00A9577E"/>
    <w:rsid w:val="00A96F62"/>
    <w:rsid w:val="00AA18B2"/>
    <w:rsid w:val="00AA27F2"/>
    <w:rsid w:val="00AB5C57"/>
    <w:rsid w:val="00AC0BFF"/>
    <w:rsid w:val="00AC4571"/>
    <w:rsid w:val="00AC584D"/>
    <w:rsid w:val="00AC6A02"/>
    <w:rsid w:val="00AC6F0B"/>
    <w:rsid w:val="00AD079D"/>
    <w:rsid w:val="00AD48BB"/>
    <w:rsid w:val="00AE0BD9"/>
    <w:rsid w:val="00AE6E3E"/>
    <w:rsid w:val="00AF0CE7"/>
    <w:rsid w:val="00AF199F"/>
    <w:rsid w:val="00AF5785"/>
    <w:rsid w:val="00B03874"/>
    <w:rsid w:val="00B03927"/>
    <w:rsid w:val="00B03F56"/>
    <w:rsid w:val="00B03FDC"/>
    <w:rsid w:val="00B14EF5"/>
    <w:rsid w:val="00B2065C"/>
    <w:rsid w:val="00B24AEF"/>
    <w:rsid w:val="00B25016"/>
    <w:rsid w:val="00B2778B"/>
    <w:rsid w:val="00B27AC8"/>
    <w:rsid w:val="00B3235E"/>
    <w:rsid w:val="00B333E3"/>
    <w:rsid w:val="00B34BC7"/>
    <w:rsid w:val="00B361EE"/>
    <w:rsid w:val="00B36A57"/>
    <w:rsid w:val="00B442BB"/>
    <w:rsid w:val="00B518F5"/>
    <w:rsid w:val="00B519B4"/>
    <w:rsid w:val="00B528E8"/>
    <w:rsid w:val="00B52F4E"/>
    <w:rsid w:val="00B615DA"/>
    <w:rsid w:val="00B61AC7"/>
    <w:rsid w:val="00B63A69"/>
    <w:rsid w:val="00B66FE0"/>
    <w:rsid w:val="00B67BD7"/>
    <w:rsid w:val="00B72F19"/>
    <w:rsid w:val="00B73DF1"/>
    <w:rsid w:val="00B81FEF"/>
    <w:rsid w:val="00B82185"/>
    <w:rsid w:val="00B856CC"/>
    <w:rsid w:val="00B85E70"/>
    <w:rsid w:val="00B864D9"/>
    <w:rsid w:val="00B87D8B"/>
    <w:rsid w:val="00B90A91"/>
    <w:rsid w:val="00B96D40"/>
    <w:rsid w:val="00BA2286"/>
    <w:rsid w:val="00BA380D"/>
    <w:rsid w:val="00BA3C64"/>
    <w:rsid w:val="00BA4125"/>
    <w:rsid w:val="00BA51B9"/>
    <w:rsid w:val="00BB017A"/>
    <w:rsid w:val="00BB0AF1"/>
    <w:rsid w:val="00BB3842"/>
    <w:rsid w:val="00BC5A44"/>
    <w:rsid w:val="00BD2B38"/>
    <w:rsid w:val="00BD308B"/>
    <w:rsid w:val="00BD3188"/>
    <w:rsid w:val="00BD46B9"/>
    <w:rsid w:val="00BD4900"/>
    <w:rsid w:val="00BD72F0"/>
    <w:rsid w:val="00BE2784"/>
    <w:rsid w:val="00BE2868"/>
    <w:rsid w:val="00BE3531"/>
    <w:rsid w:val="00BE4ED9"/>
    <w:rsid w:val="00BE5BC2"/>
    <w:rsid w:val="00BE7603"/>
    <w:rsid w:val="00BF46B7"/>
    <w:rsid w:val="00BF6772"/>
    <w:rsid w:val="00BF6D0D"/>
    <w:rsid w:val="00BF6D34"/>
    <w:rsid w:val="00C01111"/>
    <w:rsid w:val="00C06100"/>
    <w:rsid w:val="00C10507"/>
    <w:rsid w:val="00C13C29"/>
    <w:rsid w:val="00C2008D"/>
    <w:rsid w:val="00C20D65"/>
    <w:rsid w:val="00C20F87"/>
    <w:rsid w:val="00C2280B"/>
    <w:rsid w:val="00C27C58"/>
    <w:rsid w:val="00C27DBA"/>
    <w:rsid w:val="00C30409"/>
    <w:rsid w:val="00C36AC9"/>
    <w:rsid w:val="00C36F74"/>
    <w:rsid w:val="00C37B00"/>
    <w:rsid w:val="00C40648"/>
    <w:rsid w:val="00C45480"/>
    <w:rsid w:val="00C53D43"/>
    <w:rsid w:val="00C542D4"/>
    <w:rsid w:val="00C558B1"/>
    <w:rsid w:val="00C56587"/>
    <w:rsid w:val="00C600E9"/>
    <w:rsid w:val="00C60381"/>
    <w:rsid w:val="00C60ABB"/>
    <w:rsid w:val="00C617D4"/>
    <w:rsid w:val="00C63039"/>
    <w:rsid w:val="00C759B8"/>
    <w:rsid w:val="00C75E8E"/>
    <w:rsid w:val="00C76260"/>
    <w:rsid w:val="00C808C2"/>
    <w:rsid w:val="00C8165C"/>
    <w:rsid w:val="00C83BCD"/>
    <w:rsid w:val="00C842E0"/>
    <w:rsid w:val="00C846F3"/>
    <w:rsid w:val="00C84CEB"/>
    <w:rsid w:val="00C91C99"/>
    <w:rsid w:val="00C94AFE"/>
    <w:rsid w:val="00CB21F9"/>
    <w:rsid w:val="00CB2373"/>
    <w:rsid w:val="00CC11CD"/>
    <w:rsid w:val="00CD01AA"/>
    <w:rsid w:val="00CD2D81"/>
    <w:rsid w:val="00CE2628"/>
    <w:rsid w:val="00CE27B6"/>
    <w:rsid w:val="00CE373C"/>
    <w:rsid w:val="00CE5148"/>
    <w:rsid w:val="00CE56B7"/>
    <w:rsid w:val="00CE5775"/>
    <w:rsid w:val="00CE6B0A"/>
    <w:rsid w:val="00CE6DC4"/>
    <w:rsid w:val="00CE71F3"/>
    <w:rsid w:val="00CF17C6"/>
    <w:rsid w:val="00CF20FB"/>
    <w:rsid w:val="00CF71CC"/>
    <w:rsid w:val="00CF7DCE"/>
    <w:rsid w:val="00D145DC"/>
    <w:rsid w:val="00D147D2"/>
    <w:rsid w:val="00D2379F"/>
    <w:rsid w:val="00D24F02"/>
    <w:rsid w:val="00D27099"/>
    <w:rsid w:val="00D3141B"/>
    <w:rsid w:val="00D40345"/>
    <w:rsid w:val="00D42FC4"/>
    <w:rsid w:val="00D5008B"/>
    <w:rsid w:val="00D52785"/>
    <w:rsid w:val="00D5364B"/>
    <w:rsid w:val="00D66AC9"/>
    <w:rsid w:val="00D747E6"/>
    <w:rsid w:val="00D77AF9"/>
    <w:rsid w:val="00D817BA"/>
    <w:rsid w:val="00D85364"/>
    <w:rsid w:val="00D857CD"/>
    <w:rsid w:val="00D90A41"/>
    <w:rsid w:val="00D94988"/>
    <w:rsid w:val="00D958A9"/>
    <w:rsid w:val="00D96C5A"/>
    <w:rsid w:val="00DB1A84"/>
    <w:rsid w:val="00DB3D41"/>
    <w:rsid w:val="00DC22A5"/>
    <w:rsid w:val="00DC3E29"/>
    <w:rsid w:val="00DC4027"/>
    <w:rsid w:val="00DE3F06"/>
    <w:rsid w:val="00DE4A1F"/>
    <w:rsid w:val="00DE5898"/>
    <w:rsid w:val="00DF234F"/>
    <w:rsid w:val="00DF327A"/>
    <w:rsid w:val="00DF4448"/>
    <w:rsid w:val="00DF49A8"/>
    <w:rsid w:val="00DF5051"/>
    <w:rsid w:val="00E01397"/>
    <w:rsid w:val="00E01E7B"/>
    <w:rsid w:val="00E0223F"/>
    <w:rsid w:val="00E02DB6"/>
    <w:rsid w:val="00E05FC5"/>
    <w:rsid w:val="00E1004E"/>
    <w:rsid w:val="00E14195"/>
    <w:rsid w:val="00E15904"/>
    <w:rsid w:val="00E21216"/>
    <w:rsid w:val="00E22426"/>
    <w:rsid w:val="00E2305F"/>
    <w:rsid w:val="00E264DA"/>
    <w:rsid w:val="00E33881"/>
    <w:rsid w:val="00E34403"/>
    <w:rsid w:val="00E44605"/>
    <w:rsid w:val="00E45338"/>
    <w:rsid w:val="00E50633"/>
    <w:rsid w:val="00E54112"/>
    <w:rsid w:val="00E54652"/>
    <w:rsid w:val="00E55740"/>
    <w:rsid w:val="00E572E6"/>
    <w:rsid w:val="00E60071"/>
    <w:rsid w:val="00E64CF4"/>
    <w:rsid w:val="00E64E82"/>
    <w:rsid w:val="00E7069B"/>
    <w:rsid w:val="00E711AC"/>
    <w:rsid w:val="00E71508"/>
    <w:rsid w:val="00E75298"/>
    <w:rsid w:val="00E80118"/>
    <w:rsid w:val="00E8290B"/>
    <w:rsid w:val="00E85B6C"/>
    <w:rsid w:val="00E9526A"/>
    <w:rsid w:val="00E968B6"/>
    <w:rsid w:val="00E9782A"/>
    <w:rsid w:val="00EA1316"/>
    <w:rsid w:val="00EA131D"/>
    <w:rsid w:val="00EA2955"/>
    <w:rsid w:val="00EA4085"/>
    <w:rsid w:val="00EA50F7"/>
    <w:rsid w:val="00EB28D9"/>
    <w:rsid w:val="00EB3FEB"/>
    <w:rsid w:val="00EB7F9F"/>
    <w:rsid w:val="00EC2826"/>
    <w:rsid w:val="00EC3E04"/>
    <w:rsid w:val="00EC4B4F"/>
    <w:rsid w:val="00EC5ADF"/>
    <w:rsid w:val="00EC5AEE"/>
    <w:rsid w:val="00EC66EB"/>
    <w:rsid w:val="00ED3B73"/>
    <w:rsid w:val="00ED7279"/>
    <w:rsid w:val="00ED7E41"/>
    <w:rsid w:val="00EE4585"/>
    <w:rsid w:val="00EF000A"/>
    <w:rsid w:val="00EF54D0"/>
    <w:rsid w:val="00F02EA5"/>
    <w:rsid w:val="00F067D9"/>
    <w:rsid w:val="00F069D7"/>
    <w:rsid w:val="00F12B02"/>
    <w:rsid w:val="00F177C7"/>
    <w:rsid w:val="00F209BD"/>
    <w:rsid w:val="00F21069"/>
    <w:rsid w:val="00F21A72"/>
    <w:rsid w:val="00F278D2"/>
    <w:rsid w:val="00F316E2"/>
    <w:rsid w:val="00F3214A"/>
    <w:rsid w:val="00F355D1"/>
    <w:rsid w:val="00F43A2C"/>
    <w:rsid w:val="00F45354"/>
    <w:rsid w:val="00F47337"/>
    <w:rsid w:val="00F47347"/>
    <w:rsid w:val="00F476B5"/>
    <w:rsid w:val="00F5332C"/>
    <w:rsid w:val="00F533D2"/>
    <w:rsid w:val="00F614E2"/>
    <w:rsid w:val="00F64615"/>
    <w:rsid w:val="00F66979"/>
    <w:rsid w:val="00F70390"/>
    <w:rsid w:val="00F80990"/>
    <w:rsid w:val="00F91E43"/>
    <w:rsid w:val="00F94061"/>
    <w:rsid w:val="00F95244"/>
    <w:rsid w:val="00F95C63"/>
    <w:rsid w:val="00FA085C"/>
    <w:rsid w:val="00FA2D7F"/>
    <w:rsid w:val="00FB327A"/>
    <w:rsid w:val="00FC1CA2"/>
    <w:rsid w:val="00FC274E"/>
    <w:rsid w:val="00FC2A25"/>
    <w:rsid w:val="00FC2D73"/>
    <w:rsid w:val="00FC2F38"/>
    <w:rsid w:val="00FC43F5"/>
    <w:rsid w:val="00FC48CE"/>
    <w:rsid w:val="00FD06D5"/>
    <w:rsid w:val="00FD0CBD"/>
    <w:rsid w:val="00FD1197"/>
    <w:rsid w:val="00FD133B"/>
    <w:rsid w:val="00FD1578"/>
    <w:rsid w:val="00FD325E"/>
    <w:rsid w:val="00FD6964"/>
    <w:rsid w:val="00FD7431"/>
    <w:rsid w:val="00FE0950"/>
    <w:rsid w:val="00FE17C2"/>
    <w:rsid w:val="00FE1C47"/>
    <w:rsid w:val="00FE28B8"/>
    <w:rsid w:val="00FE7A85"/>
    <w:rsid w:val="00FE7A9A"/>
    <w:rsid w:val="00FF1348"/>
    <w:rsid w:val="00FF2AAE"/>
    <w:rsid w:val="00FF5166"/>
    <w:rsid w:val="00FF71C3"/>
    <w:rsid w:val="019E71BD"/>
    <w:rsid w:val="01D56529"/>
    <w:rsid w:val="041C42DA"/>
    <w:rsid w:val="042B154C"/>
    <w:rsid w:val="04342A95"/>
    <w:rsid w:val="04B679C3"/>
    <w:rsid w:val="05F07036"/>
    <w:rsid w:val="064E7294"/>
    <w:rsid w:val="06E00104"/>
    <w:rsid w:val="072C317B"/>
    <w:rsid w:val="07E3343A"/>
    <w:rsid w:val="080F63D8"/>
    <w:rsid w:val="09341458"/>
    <w:rsid w:val="094277D4"/>
    <w:rsid w:val="098254C2"/>
    <w:rsid w:val="0A766EDE"/>
    <w:rsid w:val="0ACE3106"/>
    <w:rsid w:val="0AD64BE8"/>
    <w:rsid w:val="0B0912D7"/>
    <w:rsid w:val="0B5C558C"/>
    <w:rsid w:val="0B73459D"/>
    <w:rsid w:val="0C425FB0"/>
    <w:rsid w:val="0CE12330"/>
    <w:rsid w:val="0D840824"/>
    <w:rsid w:val="0E025194"/>
    <w:rsid w:val="0EF85BFC"/>
    <w:rsid w:val="0F303700"/>
    <w:rsid w:val="0FE80209"/>
    <w:rsid w:val="10374E70"/>
    <w:rsid w:val="10453FF3"/>
    <w:rsid w:val="110919E7"/>
    <w:rsid w:val="12AB7115"/>
    <w:rsid w:val="131A3C63"/>
    <w:rsid w:val="152D2DCA"/>
    <w:rsid w:val="15D5325E"/>
    <w:rsid w:val="16AB7951"/>
    <w:rsid w:val="187168EA"/>
    <w:rsid w:val="194E0959"/>
    <w:rsid w:val="196673CA"/>
    <w:rsid w:val="19EB4951"/>
    <w:rsid w:val="19FE42A9"/>
    <w:rsid w:val="19FFB122"/>
    <w:rsid w:val="1A83BE44"/>
    <w:rsid w:val="1AAE7CE7"/>
    <w:rsid w:val="1B2F4AEE"/>
    <w:rsid w:val="1B836E76"/>
    <w:rsid w:val="1C3B5737"/>
    <w:rsid w:val="1CF734C9"/>
    <w:rsid w:val="1CFF6734"/>
    <w:rsid w:val="1D5561CE"/>
    <w:rsid w:val="1DEC284C"/>
    <w:rsid w:val="1E4142AB"/>
    <w:rsid w:val="1E6523AC"/>
    <w:rsid w:val="1F3E024B"/>
    <w:rsid w:val="1F5C25ED"/>
    <w:rsid w:val="201151CC"/>
    <w:rsid w:val="20363BA4"/>
    <w:rsid w:val="20A7561E"/>
    <w:rsid w:val="2121649C"/>
    <w:rsid w:val="21C610AE"/>
    <w:rsid w:val="22440422"/>
    <w:rsid w:val="22BB4BBB"/>
    <w:rsid w:val="25641055"/>
    <w:rsid w:val="257044DB"/>
    <w:rsid w:val="25AE2425"/>
    <w:rsid w:val="25DE7970"/>
    <w:rsid w:val="278B6680"/>
    <w:rsid w:val="27E924DA"/>
    <w:rsid w:val="27FB95D0"/>
    <w:rsid w:val="28137B19"/>
    <w:rsid w:val="29963748"/>
    <w:rsid w:val="2AE31B35"/>
    <w:rsid w:val="2AEB3417"/>
    <w:rsid w:val="2B14020C"/>
    <w:rsid w:val="2B7166FA"/>
    <w:rsid w:val="2C2321DB"/>
    <w:rsid w:val="2D22579D"/>
    <w:rsid w:val="2D502E74"/>
    <w:rsid w:val="2E3D0620"/>
    <w:rsid w:val="2ECF4A71"/>
    <w:rsid w:val="2EDDEC25"/>
    <w:rsid w:val="2FDE121D"/>
    <w:rsid w:val="2FF45EEC"/>
    <w:rsid w:val="311B0F37"/>
    <w:rsid w:val="312839F4"/>
    <w:rsid w:val="31A15F24"/>
    <w:rsid w:val="31C61931"/>
    <w:rsid w:val="324A1681"/>
    <w:rsid w:val="32BA26CA"/>
    <w:rsid w:val="32BB067D"/>
    <w:rsid w:val="33EC257F"/>
    <w:rsid w:val="33FF532B"/>
    <w:rsid w:val="345B44E6"/>
    <w:rsid w:val="347C30BD"/>
    <w:rsid w:val="35A10974"/>
    <w:rsid w:val="36FB1DF0"/>
    <w:rsid w:val="37932663"/>
    <w:rsid w:val="380A152F"/>
    <w:rsid w:val="395347B5"/>
    <w:rsid w:val="39A232A0"/>
    <w:rsid w:val="39E745AA"/>
    <w:rsid w:val="3A7B6FB7"/>
    <w:rsid w:val="3B5A6BBB"/>
    <w:rsid w:val="3B743A02"/>
    <w:rsid w:val="3BD77B30"/>
    <w:rsid w:val="3BE9B79E"/>
    <w:rsid w:val="3DA6629B"/>
    <w:rsid w:val="3E2E249C"/>
    <w:rsid w:val="3EB77407"/>
    <w:rsid w:val="3EC21420"/>
    <w:rsid w:val="3EDA13A6"/>
    <w:rsid w:val="3EFF1B40"/>
    <w:rsid w:val="3FB02005"/>
    <w:rsid w:val="3FF7B51C"/>
    <w:rsid w:val="3FFE20A9"/>
    <w:rsid w:val="3FFF684E"/>
    <w:rsid w:val="40E71942"/>
    <w:rsid w:val="40FC5239"/>
    <w:rsid w:val="412F111A"/>
    <w:rsid w:val="417B75E9"/>
    <w:rsid w:val="41F74D20"/>
    <w:rsid w:val="426A56CF"/>
    <w:rsid w:val="42731488"/>
    <w:rsid w:val="42B5647C"/>
    <w:rsid w:val="42F058B7"/>
    <w:rsid w:val="42F334A6"/>
    <w:rsid w:val="434C7328"/>
    <w:rsid w:val="436109F6"/>
    <w:rsid w:val="441A38D4"/>
    <w:rsid w:val="4504239D"/>
    <w:rsid w:val="450B05EB"/>
    <w:rsid w:val="47D35FFC"/>
    <w:rsid w:val="47FE5FD0"/>
    <w:rsid w:val="484C61E3"/>
    <w:rsid w:val="488625FA"/>
    <w:rsid w:val="4A0C644A"/>
    <w:rsid w:val="4A7039CC"/>
    <w:rsid w:val="4BC77339"/>
    <w:rsid w:val="4C9236C5"/>
    <w:rsid w:val="4E250A85"/>
    <w:rsid w:val="4E5D0FFF"/>
    <w:rsid w:val="4F7630EC"/>
    <w:rsid w:val="4FFD4925"/>
    <w:rsid w:val="505C172E"/>
    <w:rsid w:val="506405EA"/>
    <w:rsid w:val="50827473"/>
    <w:rsid w:val="50CE484F"/>
    <w:rsid w:val="522C22C2"/>
    <w:rsid w:val="52443849"/>
    <w:rsid w:val="52511493"/>
    <w:rsid w:val="52565F58"/>
    <w:rsid w:val="52BFFBBC"/>
    <w:rsid w:val="52F46F0B"/>
    <w:rsid w:val="532B6A10"/>
    <w:rsid w:val="535B2656"/>
    <w:rsid w:val="53D8014D"/>
    <w:rsid w:val="55003B4B"/>
    <w:rsid w:val="5535353D"/>
    <w:rsid w:val="55DD3058"/>
    <w:rsid w:val="55E064E0"/>
    <w:rsid w:val="55EA6CDE"/>
    <w:rsid w:val="572C6D10"/>
    <w:rsid w:val="58093D53"/>
    <w:rsid w:val="58FB64FD"/>
    <w:rsid w:val="593250E8"/>
    <w:rsid w:val="59512012"/>
    <w:rsid w:val="595F0EF6"/>
    <w:rsid w:val="598FEEE9"/>
    <w:rsid w:val="5AF7A3BA"/>
    <w:rsid w:val="5AF96A68"/>
    <w:rsid w:val="5B655CEC"/>
    <w:rsid w:val="5BF4D68F"/>
    <w:rsid w:val="5C64173C"/>
    <w:rsid w:val="5C974816"/>
    <w:rsid w:val="5CFE6861"/>
    <w:rsid w:val="5DC34279"/>
    <w:rsid w:val="5DFFD41E"/>
    <w:rsid w:val="5F227813"/>
    <w:rsid w:val="5F4B1803"/>
    <w:rsid w:val="5FC73B37"/>
    <w:rsid w:val="5FCD688E"/>
    <w:rsid w:val="5FF9BDAA"/>
    <w:rsid w:val="5FFE5333"/>
    <w:rsid w:val="603161C9"/>
    <w:rsid w:val="608816D1"/>
    <w:rsid w:val="60EF4E7F"/>
    <w:rsid w:val="613DE9EF"/>
    <w:rsid w:val="61622CC9"/>
    <w:rsid w:val="61EA1448"/>
    <w:rsid w:val="61EE6BD3"/>
    <w:rsid w:val="62625182"/>
    <w:rsid w:val="637A1586"/>
    <w:rsid w:val="639434D8"/>
    <w:rsid w:val="6488196E"/>
    <w:rsid w:val="648B0A32"/>
    <w:rsid w:val="64923598"/>
    <w:rsid w:val="651FE8E7"/>
    <w:rsid w:val="665233C1"/>
    <w:rsid w:val="677DC48A"/>
    <w:rsid w:val="677E6FB6"/>
    <w:rsid w:val="677FD9B7"/>
    <w:rsid w:val="684D1029"/>
    <w:rsid w:val="687F7E1F"/>
    <w:rsid w:val="68D6226F"/>
    <w:rsid w:val="69AC0D42"/>
    <w:rsid w:val="6AC73CF3"/>
    <w:rsid w:val="6AD9688B"/>
    <w:rsid w:val="6BC22825"/>
    <w:rsid w:val="6D0E3F22"/>
    <w:rsid w:val="6E024FFD"/>
    <w:rsid w:val="6E7F9388"/>
    <w:rsid w:val="6F140BD1"/>
    <w:rsid w:val="6F805C0B"/>
    <w:rsid w:val="6FC52255"/>
    <w:rsid w:val="6FFB0805"/>
    <w:rsid w:val="709F1183"/>
    <w:rsid w:val="733DB083"/>
    <w:rsid w:val="74123648"/>
    <w:rsid w:val="744E4660"/>
    <w:rsid w:val="751500D6"/>
    <w:rsid w:val="751F2C0F"/>
    <w:rsid w:val="753355A2"/>
    <w:rsid w:val="753901FE"/>
    <w:rsid w:val="759F1C61"/>
    <w:rsid w:val="75DD2813"/>
    <w:rsid w:val="760C0512"/>
    <w:rsid w:val="769F2DE8"/>
    <w:rsid w:val="76BE5D36"/>
    <w:rsid w:val="76FDEB7C"/>
    <w:rsid w:val="77287E3C"/>
    <w:rsid w:val="77DB450F"/>
    <w:rsid w:val="77F76F0B"/>
    <w:rsid w:val="78174729"/>
    <w:rsid w:val="78AE27FE"/>
    <w:rsid w:val="78BB0A3E"/>
    <w:rsid w:val="792F7C7B"/>
    <w:rsid w:val="79C65162"/>
    <w:rsid w:val="79FF0CC3"/>
    <w:rsid w:val="7AE2762A"/>
    <w:rsid w:val="7AED56A1"/>
    <w:rsid w:val="7B2D511F"/>
    <w:rsid w:val="7B5DC18C"/>
    <w:rsid w:val="7B79F131"/>
    <w:rsid w:val="7BFD58CD"/>
    <w:rsid w:val="7C41577F"/>
    <w:rsid w:val="7C9011D9"/>
    <w:rsid w:val="7CBE208C"/>
    <w:rsid w:val="7D344903"/>
    <w:rsid w:val="7D630242"/>
    <w:rsid w:val="7D6788B6"/>
    <w:rsid w:val="7D77A8EA"/>
    <w:rsid w:val="7DA74D8C"/>
    <w:rsid w:val="7DB5250C"/>
    <w:rsid w:val="7DC651C5"/>
    <w:rsid w:val="7DF350ED"/>
    <w:rsid w:val="7EDC0546"/>
    <w:rsid w:val="7EED7CF6"/>
    <w:rsid w:val="7F2F763E"/>
    <w:rsid w:val="7F7BF6BC"/>
    <w:rsid w:val="7F7DD2E0"/>
    <w:rsid w:val="7F8F7FAA"/>
    <w:rsid w:val="7F9DA0E8"/>
    <w:rsid w:val="7FAF2452"/>
    <w:rsid w:val="7FAF5321"/>
    <w:rsid w:val="7FAFCFFE"/>
    <w:rsid w:val="7FCC2834"/>
    <w:rsid w:val="7FD7D146"/>
    <w:rsid w:val="7FE4CD75"/>
    <w:rsid w:val="7FF6A4EF"/>
    <w:rsid w:val="7FFDBEF1"/>
    <w:rsid w:val="7FFF7947"/>
    <w:rsid w:val="7FFFB94F"/>
    <w:rsid w:val="851B21A5"/>
    <w:rsid w:val="8AFD725E"/>
    <w:rsid w:val="92DD1CEF"/>
    <w:rsid w:val="9DFF2663"/>
    <w:rsid w:val="9FDBE74C"/>
    <w:rsid w:val="A5BF5278"/>
    <w:rsid w:val="AB3F18E9"/>
    <w:rsid w:val="ABFBA828"/>
    <w:rsid w:val="ADAF214B"/>
    <w:rsid w:val="B2FBF026"/>
    <w:rsid w:val="B7F7437C"/>
    <w:rsid w:val="B7FABE69"/>
    <w:rsid w:val="B9EE426E"/>
    <w:rsid w:val="BBDB3FA3"/>
    <w:rsid w:val="BF2CB0B9"/>
    <w:rsid w:val="BFBCEBC0"/>
    <w:rsid w:val="BFFB8ACF"/>
    <w:rsid w:val="CBD238BE"/>
    <w:rsid w:val="D4FFBF52"/>
    <w:rsid w:val="DB93B472"/>
    <w:rsid w:val="DDE19F64"/>
    <w:rsid w:val="DFB3EAC0"/>
    <w:rsid w:val="DFDFC069"/>
    <w:rsid w:val="E3B7F1CF"/>
    <w:rsid w:val="EAF9F3D3"/>
    <w:rsid w:val="EDF7E1E2"/>
    <w:rsid w:val="EFF6A537"/>
    <w:rsid w:val="EFFB3D31"/>
    <w:rsid w:val="F05B4F69"/>
    <w:rsid w:val="F3CD727F"/>
    <w:rsid w:val="F5D30604"/>
    <w:rsid w:val="F95F38C7"/>
    <w:rsid w:val="F97D9566"/>
    <w:rsid w:val="F98FD1F9"/>
    <w:rsid w:val="FAB50B99"/>
    <w:rsid w:val="FAFA023F"/>
    <w:rsid w:val="FBBFFC42"/>
    <w:rsid w:val="FBDF0E75"/>
    <w:rsid w:val="FDFF411C"/>
    <w:rsid w:val="FE3F5CA4"/>
    <w:rsid w:val="FE7E3A85"/>
    <w:rsid w:val="FEBF2E30"/>
    <w:rsid w:val="FEFF5C6E"/>
    <w:rsid w:val="FF16DDF9"/>
    <w:rsid w:val="FF7E3A88"/>
    <w:rsid w:val="FFB3FEB7"/>
    <w:rsid w:val="FFB716FB"/>
    <w:rsid w:val="FFBDB832"/>
    <w:rsid w:val="FFDC4A34"/>
    <w:rsid w:val="FFDC525D"/>
    <w:rsid w:val="FFF27F57"/>
    <w:rsid w:val="FFF3FB0E"/>
    <w:rsid w:val="FFFD4EB7"/>
    <w:rsid w:val="FFFEAA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keepNext/>
      <w:keepLines/>
      <w:adjustRightInd/>
      <w:spacing w:before="340" w:after="330" w:line="578" w:lineRule="auto"/>
      <w:textAlignment w:val="auto"/>
      <w:outlineLvl w:val="0"/>
    </w:pPr>
    <w:rPr>
      <w:rFonts w:eastAsia="黑体"/>
      <w:b/>
      <w:bCs/>
      <w:kern w:val="44"/>
      <w:sz w:val="21"/>
      <w:szCs w:val="44"/>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style>
  <w:style w:type="paragraph" w:styleId="5">
    <w:name w:val="annotation text"/>
    <w:basedOn w:val="1"/>
    <w:link w:val="25"/>
    <w:qFormat/>
    <w:uiPriority w:val="0"/>
    <w:pPr>
      <w:jc w:val="left"/>
    </w:pPr>
  </w:style>
  <w:style w:type="paragraph" w:styleId="6">
    <w:name w:val="Body Text Indent"/>
    <w:qFormat/>
    <w:uiPriority w:val="0"/>
    <w:pPr>
      <w:widowControl w:val="0"/>
      <w:spacing w:after="120"/>
      <w:ind w:left="420" w:leftChars="200"/>
      <w:jc w:val="both"/>
    </w:pPr>
    <w:rPr>
      <w:rFonts w:ascii="Calibri" w:hAnsi="Calibri" w:eastAsia="宋体" w:cs="Times New Roman"/>
      <w:kern w:val="0"/>
      <w:sz w:val="21"/>
      <w:szCs w:val="21"/>
      <w:lang w:val="en-US" w:eastAsia="zh-CN" w:bidi="ar-SA"/>
    </w:rPr>
  </w:style>
  <w:style w:type="paragraph" w:styleId="7">
    <w:name w:val="Block Text"/>
    <w:basedOn w:val="1"/>
    <w:qFormat/>
    <w:uiPriority w:val="0"/>
    <w:pPr>
      <w:adjustRightInd/>
      <w:spacing w:after="120" w:line="240" w:lineRule="auto"/>
      <w:ind w:left="1440" w:leftChars="700" w:right="700" w:rightChars="700"/>
      <w:textAlignment w:val="auto"/>
    </w:pPr>
    <w:rPr>
      <w:rFonts w:ascii="Calibri" w:hAnsi="Calibri" w:eastAsia="方正仿宋_GBK"/>
      <w:kern w:val="2"/>
      <w:sz w:val="32"/>
      <w:szCs w:val="24"/>
    </w:rPr>
  </w:style>
  <w:style w:type="paragraph" w:styleId="8">
    <w:name w:val="toc 5"/>
    <w:basedOn w:val="1"/>
    <w:next w:val="1"/>
    <w:qFormat/>
    <w:uiPriority w:val="0"/>
    <w:pPr>
      <w:widowControl w:val="0"/>
      <w:adjustRightInd/>
      <w:spacing w:line="600" w:lineRule="exact"/>
      <w:ind w:firstLine="200" w:firstLineChars="200"/>
      <w:jc w:val="left"/>
      <w:textAlignment w:val="auto"/>
    </w:pPr>
    <w:rPr>
      <w:rFonts w:ascii="方正黑体_GBK" w:hAnsi="Calibri" w:eastAsia="方正黑体_GBK" w:cstheme="minorBidi"/>
      <w:kern w:val="2"/>
      <w:sz w:val="32"/>
      <w:szCs w:val="32"/>
      <w:lang w:val="en-US" w:eastAsia="zh-CN" w:bidi="ar-SA"/>
    </w:rPr>
  </w:style>
  <w:style w:type="paragraph" w:styleId="9">
    <w:name w:val="Date"/>
    <w:basedOn w:val="1"/>
    <w:next w:val="1"/>
    <w:link w:val="26"/>
    <w:qFormat/>
    <w:uiPriority w:val="0"/>
    <w:pPr>
      <w:adjustRightInd/>
      <w:spacing w:line="240" w:lineRule="auto"/>
      <w:ind w:left="100" w:leftChars="2500"/>
      <w:textAlignment w:val="auto"/>
    </w:pPr>
    <w:rPr>
      <w:rFonts w:eastAsia="宋体"/>
      <w:kern w:val="2"/>
      <w:sz w:val="21"/>
      <w:szCs w:val="21"/>
    </w:rPr>
  </w:style>
  <w:style w:type="paragraph" w:styleId="10">
    <w:name w:val="Balloon Text"/>
    <w:basedOn w:val="1"/>
    <w:link w:val="31"/>
    <w:semiHidden/>
    <w:qFormat/>
    <w:uiPriority w:val="0"/>
    <w:pPr>
      <w:adjustRightInd/>
      <w:spacing w:line="240" w:lineRule="auto"/>
      <w:textAlignment w:val="auto"/>
    </w:pPr>
    <w:rPr>
      <w:rFonts w:eastAsia="宋体"/>
      <w:kern w:val="2"/>
      <w:sz w:val="18"/>
      <w:szCs w:val="18"/>
    </w:rPr>
  </w:style>
  <w:style w:type="paragraph" w:styleId="11">
    <w:name w:val="footer"/>
    <w:basedOn w:val="1"/>
    <w:link w:val="32"/>
    <w:qFormat/>
    <w:uiPriority w:val="0"/>
    <w:pPr>
      <w:tabs>
        <w:tab w:val="center" w:pos="4153"/>
        <w:tab w:val="right" w:pos="8306"/>
      </w:tabs>
      <w:snapToGrid w:val="0"/>
      <w:jc w:val="left"/>
    </w:pPr>
    <w:rPr>
      <w:sz w:val="18"/>
    </w:rPr>
  </w:style>
  <w:style w:type="paragraph" w:styleId="12">
    <w:name w:val="header"/>
    <w:basedOn w:val="1"/>
    <w:link w:val="2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Body Text First Indent"/>
    <w:basedOn w:val="2"/>
    <w:next w:val="15"/>
    <w:qFormat/>
    <w:uiPriority w:val="0"/>
    <w:pPr>
      <w:spacing w:after="160"/>
      <w:ind w:firstLine="420" w:firstLineChars="100"/>
    </w:pPr>
  </w:style>
  <w:style w:type="paragraph" w:styleId="15">
    <w:name w:val="Body Text First Indent 2"/>
    <w:next w:val="14"/>
    <w:qFormat/>
    <w:uiPriority w:val="0"/>
    <w:pPr>
      <w:widowControl w:val="0"/>
      <w:spacing w:after="120"/>
      <w:ind w:left="420" w:leftChars="200" w:firstLine="420" w:firstLineChars="200"/>
      <w:jc w:val="both"/>
    </w:pPr>
    <w:rPr>
      <w:rFonts w:ascii="Calibri" w:hAnsi="Calibri" w:eastAsia="宋体" w:cs="Times New Roman"/>
      <w:kern w:val="0"/>
      <w:sz w:val="21"/>
      <w:szCs w:val="21"/>
      <w:lang w:val="en-US" w:eastAsia="zh-CN" w:bidi="ar-SA"/>
    </w:r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qFormat/>
    <w:uiPriority w:val="0"/>
    <w:rPr>
      <w:b/>
      <w:bCs/>
    </w:rPr>
  </w:style>
  <w:style w:type="character" w:styleId="20">
    <w:name w:val="page number"/>
    <w:basedOn w:val="17"/>
    <w:qFormat/>
    <w:uiPriority w:val="0"/>
  </w:style>
  <w:style w:type="character" w:styleId="21">
    <w:name w:val="Hyperlink"/>
    <w:qFormat/>
    <w:uiPriority w:val="0"/>
    <w:rPr>
      <w:rFonts w:ascii="Calibri" w:hAnsi="Calibri" w:eastAsia="宋体" w:cs="Times New Roman"/>
      <w:color w:val="000000"/>
      <w:u w:val="none"/>
    </w:rPr>
  </w:style>
  <w:style w:type="character" w:styleId="22">
    <w:name w:val="annotation reference"/>
    <w:qFormat/>
    <w:uiPriority w:val="0"/>
    <w:rPr>
      <w:rFonts w:ascii="Times New Roman" w:hAnsi="Times New Roman" w:eastAsia="宋体" w:cs="Times New Roman"/>
      <w:sz w:val="21"/>
      <w:szCs w:val="21"/>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批注文字 字符"/>
    <w:link w:val="5"/>
    <w:semiHidden/>
    <w:qFormat/>
    <w:uiPriority w:val="99"/>
    <w:rPr>
      <w:rFonts w:ascii="Times New Roman" w:hAnsi="Times New Roman" w:eastAsia="宋体" w:cs="Times New Roman"/>
    </w:rPr>
  </w:style>
  <w:style w:type="character" w:customStyle="1" w:styleId="26">
    <w:name w:val="日期 字符"/>
    <w:link w:val="9"/>
    <w:semiHidden/>
    <w:qFormat/>
    <w:uiPriority w:val="99"/>
    <w:rPr>
      <w:rFonts w:ascii="Times New Roman" w:hAnsi="Times New Roman" w:eastAsia="宋体" w:cs="Times New Roman"/>
    </w:rPr>
  </w:style>
  <w:style w:type="character" w:customStyle="1" w:styleId="27">
    <w:name w:val="批注框文本 字符"/>
    <w:link w:val="10"/>
    <w:qFormat/>
    <w:uiPriority w:val="99"/>
    <w:rPr>
      <w:rFonts w:ascii="Times New Roman" w:hAnsi="Times New Roman" w:eastAsia="宋体" w:cs="Times New Roman"/>
      <w:sz w:val="18"/>
      <w:szCs w:val="18"/>
    </w:rPr>
  </w:style>
  <w:style w:type="character" w:customStyle="1" w:styleId="28">
    <w:name w:val="页脚 字符"/>
    <w:link w:val="11"/>
    <w:qFormat/>
    <w:uiPriority w:val="99"/>
    <w:rPr>
      <w:rFonts w:ascii="Times New Roman" w:hAnsi="Times New Roman" w:eastAsia="宋体" w:cs="Times New Roman"/>
      <w:sz w:val="18"/>
    </w:rPr>
  </w:style>
  <w:style w:type="character" w:customStyle="1" w:styleId="29">
    <w:name w:val="页眉 字符"/>
    <w:link w:val="12"/>
    <w:qFormat/>
    <w:uiPriority w:val="99"/>
    <w:rPr>
      <w:rFonts w:ascii="Times New Roman" w:hAnsi="Times New Roman" w:eastAsia="宋体" w:cs="Times New Roman"/>
      <w:sz w:val="28"/>
    </w:rPr>
  </w:style>
  <w:style w:type="paragraph" w:customStyle="1" w:styleId="30">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 w:type="character" w:customStyle="1" w:styleId="31">
    <w:name w:val="批注框文本 Char"/>
    <w:link w:val="10"/>
    <w:qFormat/>
    <w:uiPriority w:val="0"/>
    <w:rPr>
      <w:rFonts w:ascii="Calibri" w:hAnsi="Calibri" w:eastAsia="宋体" w:cs="Times New Roman"/>
      <w:kern w:val="2"/>
      <w:sz w:val="18"/>
      <w:szCs w:val="18"/>
    </w:rPr>
  </w:style>
  <w:style w:type="character" w:customStyle="1" w:styleId="32">
    <w:name w:val="页脚 Char"/>
    <w:link w:val="11"/>
    <w:qFormat/>
    <w:uiPriority w:val="99"/>
    <w:rPr>
      <w:rFonts w:ascii="Calibri" w:hAnsi="Calibri" w:eastAsia="宋体" w:cs="Times New Roman"/>
      <w:kern w:val="2"/>
      <w:sz w:val="18"/>
      <w:szCs w:val="18"/>
    </w:rPr>
  </w:style>
  <w:style w:type="paragraph" w:styleId="3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Heading #2|1"/>
    <w:basedOn w:val="1"/>
    <w:qFormat/>
    <w:uiPriority w:val="0"/>
    <w:pPr>
      <w:adjustRightInd/>
      <w:spacing w:after="330" w:line="240" w:lineRule="auto"/>
      <w:jc w:val="center"/>
      <w:textAlignment w:val="auto"/>
      <w:outlineLvl w:val="1"/>
    </w:pPr>
    <w:rPr>
      <w:rFonts w:ascii="宋体" w:hAnsi="宋体" w:eastAsia="宋体" w:cs="宋体"/>
      <w:kern w:val="2"/>
      <w:sz w:val="42"/>
      <w:szCs w:val="42"/>
      <w:lang w:val="zh-TW" w:eastAsia="zh-TW" w:bidi="zh-TW"/>
    </w:rPr>
  </w:style>
  <w:style w:type="paragraph" w:customStyle="1" w:styleId="35">
    <w:name w:val="Body text|1"/>
    <w:basedOn w:val="1"/>
    <w:qFormat/>
    <w:uiPriority w:val="0"/>
    <w:pPr>
      <w:adjustRightInd/>
      <w:spacing w:line="386" w:lineRule="auto"/>
      <w:textAlignment w:val="auto"/>
    </w:pPr>
    <w:rPr>
      <w:rFonts w:ascii="宋体" w:hAnsi="宋体" w:eastAsia="宋体" w:cs="宋体"/>
      <w:kern w:val="2"/>
      <w:sz w:val="30"/>
      <w:szCs w:val="30"/>
      <w:lang w:val="zh-TW" w:eastAsia="zh-TW" w:bidi="zh-TW"/>
    </w:rPr>
  </w:style>
  <w:style w:type="paragraph" w:customStyle="1" w:styleId="36">
    <w:name w:val="Normal (Web)1"/>
    <w:basedOn w:val="1"/>
    <w:qFormat/>
    <w:uiPriority w:val="99"/>
    <w:pPr>
      <w:widowControl/>
      <w:adjustRightInd/>
      <w:spacing w:beforeAutospacing="1" w:afterAutospacing="1" w:line="240" w:lineRule="auto"/>
      <w:jc w:val="left"/>
      <w:textAlignment w:val="auto"/>
    </w:pPr>
    <w:rPr>
      <w:rFonts w:ascii="Calibri" w:hAnsi="Calibri" w:eastAsia="方正仿宋_GBK"/>
      <w:kern w:val="2"/>
      <w:sz w:val="24"/>
      <w:szCs w:val="24"/>
    </w:rPr>
  </w:style>
  <w:style w:type="paragraph" w:customStyle="1" w:styleId="37">
    <w:name w:val="标题 31"/>
    <w:qFormat/>
    <w:uiPriority w:val="0"/>
    <w:pPr>
      <w:keepNext/>
      <w:keepLines/>
      <w:widowControl w:val="0"/>
      <w:spacing w:before="200"/>
      <w:jc w:val="both"/>
      <w:outlineLvl w:val="2"/>
    </w:pPr>
    <w:rPr>
      <w:rFonts w:ascii="Cambria" w:hAnsi="Cambria" w:eastAsia="宋体" w:cs="Times New Roman"/>
      <w:b/>
      <w:bCs/>
      <w:color w:val="4F81BD"/>
      <w:kern w:val="0"/>
      <w:sz w:val="20"/>
      <w:szCs w:val="20"/>
      <w:lang w:val="en-US" w:eastAsia="zh-CN" w:bidi="ar-SA"/>
    </w:rPr>
  </w:style>
  <w:style w:type="character" w:customStyle="1" w:styleId="38">
    <w:name w:val="默认段落字体1"/>
    <w:link w:val="1"/>
    <w:semiHidden/>
    <w:qFormat/>
    <w:uiPriority w:val="0"/>
    <w:rPr>
      <w:rFonts w:ascii="Times New Roman" w:hAnsi="Times New Roman" w:eastAsia="方正仿宋_GBK" w:cs="Times New Roman"/>
      <w:sz w:val="32"/>
      <w:szCs w:val="32"/>
      <w:lang w:val="en-US" w:eastAsia="zh-CN" w:bidi="ar-SA"/>
    </w:rPr>
  </w:style>
  <w:style w:type="table" w:customStyle="1" w:styleId="39">
    <w:name w:val="普通表格1"/>
    <w:semiHidden/>
    <w:qFormat/>
    <w:uiPriority w:val="0"/>
  </w:style>
  <w:style w:type="paragraph" w:customStyle="1" w:styleId="40">
    <w:name w:val="文本块1"/>
    <w:basedOn w:val="1"/>
    <w:qFormat/>
    <w:uiPriority w:val="0"/>
    <w:pPr>
      <w:adjustRightInd/>
      <w:spacing w:after="120" w:afterAutospacing="0" w:line="400" w:lineRule="exact"/>
      <w:ind w:left="1440" w:leftChars="700" w:rightChars="700"/>
      <w:textAlignment w:val="auto"/>
    </w:pPr>
    <w:rPr>
      <w:rFonts w:eastAsia="宋体"/>
      <w:kern w:val="2"/>
      <w:sz w:val="21"/>
      <w:szCs w:val="22"/>
    </w:rPr>
  </w:style>
  <w:style w:type="paragraph" w:customStyle="1" w:styleId="41">
    <w:name w:val="目录 51"/>
    <w:basedOn w:val="1"/>
    <w:qFormat/>
    <w:uiPriority w:val="0"/>
    <w:pPr>
      <w:adjustRightInd/>
      <w:spacing w:line="400" w:lineRule="exact"/>
      <w:ind w:left="1680" w:leftChars="800"/>
      <w:textAlignment w:val="auto"/>
    </w:pPr>
    <w:rPr>
      <w:rFonts w:eastAsia="宋体"/>
      <w:kern w:val="2"/>
      <w:sz w:val="21"/>
      <w:szCs w:val="24"/>
    </w:rPr>
  </w:style>
  <w:style w:type="paragraph" w:customStyle="1" w:styleId="42">
    <w:name w:val="页脚1"/>
    <w:basedOn w:val="1"/>
    <w:qFormat/>
    <w:uiPriority w:val="0"/>
    <w:pPr>
      <w:tabs>
        <w:tab w:val="center" w:pos="4153"/>
        <w:tab w:val="right" w:pos="8306"/>
      </w:tabs>
      <w:adjustRightInd/>
      <w:snapToGrid w:val="0"/>
      <w:spacing w:line="240" w:lineRule="auto"/>
      <w:jc w:val="left"/>
      <w:textAlignment w:val="auto"/>
    </w:pPr>
    <w:rPr>
      <w:rFonts w:ascii="Calibri" w:hAnsi="Calibri" w:eastAsia="宋体"/>
      <w:kern w:val="2"/>
      <w:sz w:val="18"/>
      <w:szCs w:val="18"/>
    </w:rPr>
  </w:style>
  <w:style w:type="paragraph" w:customStyle="1" w:styleId="43">
    <w:name w:val="页眉1"/>
    <w:basedOn w:val="1"/>
    <w:qFormat/>
    <w:uiPriority w:val="0"/>
    <w:pPr>
      <w:pBdr>
        <w:bottom w:val="single" w:color="000000" w:sz="6" w:space="1"/>
      </w:pBdr>
      <w:tabs>
        <w:tab w:val="center" w:pos="4153"/>
        <w:tab w:val="right" w:pos="8306"/>
      </w:tabs>
      <w:adjustRightInd/>
      <w:snapToGrid w:val="0"/>
      <w:spacing w:line="240" w:lineRule="atLeast"/>
      <w:jc w:val="center"/>
      <w:textAlignment w:val="auto"/>
    </w:pPr>
    <w:rPr>
      <w:rFonts w:eastAsia="宋体"/>
      <w:kern w:val="2"/>
      <w:sz w:val="18"/>
      <w:szCs w:val="18"/>
    </w:rPr>
  </w:style>
  <w:style w:type="character" w:customStyle="1" w:styleId="44">
    <w:name w:val="强调1"/>
    <w:basedOn w:val="38"/>
    <w:link w:val="1"/>
    <w:qFormat/>
    <w:uiPriority w:val="0"/>
    <w:rPr>
      <w:i/>
    </w:rPr>
  </w:style>
  <w:style w:type="character" w:customStyle="1" w:styleId="45">
    <w:name w:val="NormalCharacter"/>
    <w:link w:val="1"/>
    <w:semiHidden/>
    <w:qFormat/>
    <w:uiPriority w:val="0"/>
    <w:rPr>
      <w:rFonts w:ascii="Times New Roman" w:hAnsi="Times New Roman" w:eastAsia="宋体" w:cs="Times New Roman"/>
    </w:rPr>
  </w:style>
  <w:style w:type="character" w:customStyle="1" w:styleId="46">
    <w:name w:val="font41"/>
    <w:basedOn w:val="38"/>
    <w:link w:val="1"/>
    <w:qFormat/>
    <w:uiPriority w:val="0"/>
    <w:rPr>
      <w:rFonts w:ascii="Times New Roman" w:hAnsi="Times New Roman"/>
      <w:color w:val="000000"/>
      <w:sz w:val="16"/>
      <w:szCs w:val="16"/>
      <w:u w:val="none"/>
    </w:rPr>
  </w:style>
  <w:style w:type="character" w:customStyle="1" w:styleId="47">
    <w:name w:val="font61"/>
    <w:basedOn w:val="38"/>
    <w:link w:val="1"/>
    <w:qFormat/>
    <w:uiPriority w:val="0"/>
    <w:rPr>
      <w:rFonts w:hint="eastAsia" w:ascii="宋体" w:hAnsi="宋体" w:eastAsia="宋体"/>
      <w:color w:val="000000"/>
      <w:sz w:val="16"/>
      <w:szCs w:val="16"/>
      <w:u w:val="none"/>
    </w:rPr>
  </w:style>
  <w:style w:type="character" w:customStyle="1" w:styleId="48">
    <w:name w:val="font71"/>
    <w:basedOn w:val="38"/>
    <w:link w:val="1"/>
    <w:qFormat/>
    <w:uiPriority w:val="0"/>
    <w:rPr>
      <w:rFonts w:hint="eastAsia" w:ascii="宋体" w:hAnsi="宋体" w:eastAsia="宋体"/>
      <w:color w:val="000000"/>
      <w:sz w:val="16"/>
      <w:szCs w:val="16"/>
      <w:u w:val="none"/>
    </w:rPr>
  </w:style>
  <w:style w:type="character" w:customStyle="1" w:styleId="49">
    <w:name w:val="font31"/>
    <w:basedOn w:val="38"/>
    <w:link w:val="1"/>
    <w:qFormat/>
    <w:uiPriority w:val="0"/>
    <w:rPr>
      <w:rFonts w:ascii="Times New Roman" w:hAnsi="Times New Roman"/>
      <w:color w:val="000000"/>
      <w:sz w:val="16"/>
      <w:szCs w:val="16"/>
      <w:u w:val="none"/>
    </w:rPr>
  </w:style>
  <w:style w:type="character" w:customStyle="1" w:styleId="50">
    <w:name w:val="font81"/>
    <w:basedOn w:val="38"/>
    <w:link w:val="1"/>
    <w:qFormat/>
    <w:uiPriority w:val="0"/>
    <w:rPr>
      <w:rFonts w:hint="eastAsia" w:ascii="宋体" w:hAnsi="宋体" w:eastAsia="宋体"/>
      <w:b/>
      <w:bCs/>
      <w:color w:val="000000"/>
      <w:sz w:val="16"/>
      <w:szCs w:val="16"/>
      <w:u w:val="none"/>
    </w:rPr>
  </w:style>
  <w:style w:type="character" w:customStyle="1" w:styleId="51">
    <w:name w:val="font91"/>
    <w:basedOn w:val="38"/>
    <w:link w:val="1"/>
    <w:qFormat/>
    <w:uiPriority w:val="0"/>
    <w:rPr>
      <w:rFonts w:ascii="Times New Roman" w:hAnsi="Times New Roman"/>
      <w:b/>
      <w:bCs/>
      <w:color w:val="000000"/>
      <w:sz w:val="16"/>
      <w:szCs w:val="16"/>
      <w:u w:val="none"/>
    </w:rPr>
  </w:style>
  <w:style w:type="character" w:customStyle="1" w:styleId="52">
    <w:name w:val="fontstyle01"/>
    <w:link w:val="1"/>
    <w:qFormat/>
    <w:uiPriority w:val="0"/>
    <w:rPr>
      <w:rFonts w:ascii="FZXBSK--GBK1-0" w:hAnsi="FZXBSK--GBK1-0" w:eastAsia="FZXBSK--GBK1-0" w:cs="Times New Roman"/>
      <w:color w:val="000000"/>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16</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2015-06-09T16:09:00Z</dcterms:created>
  <dc:creator>Lenovo User</dc:creator>
  <cp:lastModifiedBy> </cp:lastModifiedBy>
  <cp:lastPrinted>2023-11-04T19:22:00Z</cp:lastPrinted>
  <dcterms:modified xsi:type="dcterms:W3CDTF">2025-02-21T16:48:03Z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