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276" w:lineRule="auto"/>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val="0"/>
        <w:spacing w:line="276" w:lineRule="auto"/>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eastAsia="方正小标宋_GBK" w:cs="方正小标宋_GBK"/>
          <w:color w:val="000000" w:themeColor="text1"/>
          <w:sz w:val="44"/>
          <w:szCs w:val="44"/>
          <w:lang w:val="en-US" w:eastAsia="zh-CN"/>
          <w14:textFill>
            <w14:solidFill>
              <w14:schemeClr w14:val="tx1"/>
            </w14:solidFill>
          </w14:textFill>
        </w:rPr>
      </w:pPr>
      <w:r>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t>重庆市永川区人民政府办公室</w:t>
      </w:r>
      <w:r>
        <w:rPr>
          <w:rFonts w:hint="eastAsia" w:ascii="Times New Roman" w:eastAsia="方正小标宋_GBK" w:cs="方正小标宋_GBK"/>
          <w:color w:val="000000" w:themeColor="text1"/>
          <w:sz w:val="44"/>
          <w:szCs w:val="44"/>
          <w:lang w:val="en-US" w:eastAsia="zh-CN"/>
          <w14:textFill>
            <w14:solidFill>
              <w14:schemeClr w14:val="tx1"/>
            </w14:solidFill>
          </w14:textFill>
        </w:rPr>
        <w:t>关于</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pPr>
      <w:r>
        <w:rPr>
          <w:rFonts w:hint="eastAsia" w:ascii="Times New Roman" w:eastAsia="方正小标宋_GBK" w:cs="方正小标宋_GBK"/>
          <w:color w:val="000000" w:themeColor="text1"/>
          <w:sz w:val="44"/>
          <w:szCs w:val="44"/>
          <w:lang w:val="en-US" w:eastAsia="zh-CN"/>
          <w14:textFill>
            <w14:solidFill>
              <w14:schemeClr w14:val="tx1"/>
            </w14:solidFill>
          </w14:textFill>
        </w:rPr>
        <w:t>印发永川区</w:t>
      </w:r>
      <w:r>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t>产业能级提升行动实施方案的通知</w:t>
      </w:r>
    </w:p>
    <w:p>
      <w:pPr>
        <w:snapToGrid w:val="0"/>
        <w:spacing w:line="300"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永川府办发〔2022〕</w:t>
      </w:r>
      <w:r>
        <w:rPr>
          <w:rFonts w:hint="default" w:ascii="Times New Roman" w:hAnsi="Times New Roman" w:eastAsia="方正仿宋_GBK" w:cs="Times New Roman"/>
          <w:sz w:val="32"/>
          <w:szCs w:val="32"/>
          <w:lang w:val="en-US" w:eastAsia="zh-CN"/>
        </w:rPr>
        <w:t>118</w:t>
      </w:r>
      <w:r>
        <w:rPr>
          <w:rFonts w:hint="default" w:ascii="Times New Roman" w:hAnsi="Times New Roman" w:eastAsia="方正仿宋_GBK" w:cs="Times New Roman"/>
          <w:sz w:val="32"/>
          <w:szCs w:val="32"/>
        </w:rPr>
        <w:t>号</w:t>
      </w:r>
    </w:p>
    <w:p>
      <w:pPr>
        <w:pStyle w:val="2"/>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永川区</w:t>
      </w:r>
      <w:r>
        <w:rPr>
          <w:rFonts w:hint="eastAsia" w:ascii="Times New Roman" w:hAnsi="Times New Roman" w:eastAsia="方正仿宋_GBK" w:cs="方正仿宋_GBK"/>
          <w:sz w:val="32"/>
          <w:szCs w:val="32"/>
        </w:rPr>
        <w:t>产业能级提升行动实施方案》</w:t>
      </w:r>
      <w:r>
        <w:rPr>
          <w:rFonts w:hint="eastAsia" w:ascii="Times New Roman" w:hAnsi="Times New Roman" w:eastAsia="方正仿宋_GBK" w:cs="方正仿宋_GBK"/>
          <w:sz w:val="32"/>
          <w:szCs w:val="32"/>
          <w:lang w:eastAsia="zh-CN"/>
        </w:rPr>
        <w:t>已经区政府同意，</w:t>
      </w:r>
      <w:r>
        <w:rPr>
          <w:rFonts w:hint="eastAsia" w:ascii="Times New Roman" w:hAnsi="Times New Roman" w:eastAsia="方正仿宋_GBK" w:cs="方正仿宋_GBK"/>
          <w:sz w:val="32"/>
          <w:szCs w:val="32"/>
        </w:rPr>
        <w:t>现印发给你们，请</w:t>
      </w:r>
      <w:r>
        <w:rPr>
          <w:rFonts w:hint="eastAsia" w:ascii="Times New Roman" w:hAnsi="Times New Roman" w:eastAsia="方正仿宋_GBK" w:cs="方正仿宋_GBK"/>
          <w:sz w:val="32"/>
          <w:szCs w:val="32"/>
          <w:lang w:eastAsia="zh-CN"/>
        </w:rPr>
        <w:t>认真</w:t>
      </w:r>
      <w:r>
        <w:rPr>
          <w:rFonts w:hint="eastAsia" w:ascii="Times New Roman" w:hAnsi="Times New Roman" w:eastAsia="方正仿宋_GBK" w:cs="方正仿宋_GBK"/>
          <w:sz w:val="32"/>
          <w:szCs w:val="32"/>
        </w:rPr>
        <w:t>贯彻执行。</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ascii="Times New Roman" w:hAnsi="Times New Roman" w:eastAsia="方正仿宋_GBK" w:cs="方正仿宋_GBK"/>
          <w:sz w:val="32"/>
          <w:szCs w:val="32"/>
        </w:rPr>
      </w:pPr>
    </w:p>
    <w:p>
      <w:pPr>
        <w:pStyle w:val="2"/>
        <w:snapToGrid w:val="0"/>
        <w:spacing w:line="300" w:lineRule="auto"/>
        <w:rPr>
          <w:rFonts w:hint="eastAsia"/>
        </w:rPr>
      </w:pPr>
    </w:p>
    <w:p>
      <w:pPr>
        <w:keepNext w:val="0"/>
        <w:keepLines w:val="0"/>
        <w:pageBreakBefore w:val="0"/>
        <w:widowControl w:val="0"/>
        <w:kinsoku/>
        <w:wordWrap/>
        <w:overflowPunct/>
        <w:topLinePunct w:val="0"/>
        <w:autoSpaceDE/>
        <w:autoSpaceDN/>
        <w:bidi w:val="0"/>
        <w:adjustRightInd/>
        <w:snapToGrid w:val="0"/>
        <w:spacing w:line="300" w:lineRule="auto"/>
        <w:ind w:firstLine="4000" w:firstLineChars="125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300" w:lineRule="auto"/>
        <w:ind w:firstLine="4800" w:firstLineChars="1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月</w:t>
      </w:r>
      <w:r>
        <w:rPr>
          <w:rFonts w:hint="default"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textAlignment w:val="auto"/>
        <w:rPr>
          <w:rFonts w:hint="eastAsia" w:ascii="Times New Roman" w:hAnsi="Times New Roman" w:eastAsia="方正仿宋_GBK" w:cs="方正仿宋_GBK"/>
          <w:sz w:val="32"/>
          <w:szCs w:val="32"/>
          <w:u w:val="none"/>
          <w:lang w:val="en-US" w:eastAsia="zh-CN"/>
        </w:rPr>
      </w:pPr>
      <w:r>
        <w:rPr>
          <w:rFonts w:hint="eastAsia" w:ascii="Times New Roman" w:hAnsi="Times New Roman" w:eastAsia="方正仿宋_GBK" w:cs="方正仿宋_GBK"/>
          <w:sz w:val="32"/>
          <w:szCs w:val="32"/>
          <w:u w:val="none"/>
          <w:lang w:val="en-US" w:eastAsia="zh-CN"/>
        </w:rPr>
        <w:t>（此件公开发布）</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pPr>
      <w:r>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t>永川区产业能级提升行动实施方案</w:t>
      </w:r>
    </w:p>
    <w:p>
      <w:pPr>
        <w:pStyle w:val="2"/>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Times New Roman" w:eastAsia="方正黑体_GBK" w:cs="方正黑体_GBK"/>
          <w:color w:val="000000" w:themeColor="text1"/>
          <w:sz w:val="32"/>
          <w:szCs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snapToGrid w:val="0"/>
        <w:spacing w:line="300" w:lineRule="auto"/>
        <w:ind w:left="0" w:leftChars="0"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为推动工业经济、数字经济、服务业和现代农业协同发展，加快构建现代产业体系，壮大产业总量，优化产业结构，提升产业质量，更好发挥永川在成渝地区双城经济圈枢纽节点、重庆主城都市区战略支点的支撑、链接和撬动作用，现就产业能级提升行动制定实施方案如下。</w:t>
      </w:r>
    </w:p>
    <w:p>
      <w:pPr>
        <w:pStyle w:val="2"/>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eastAsia"/>
          <w:color w:val="000000" w:themeColor="text1"/>
          <w:lang w:val="en-US" w:eastAsia="zh-CN"/>
          <w14:textFill>
            <w14:solidFill>
              <w14:schemeClr w14:val="tx1"/>
            </w14:solidFill>
          </w14:textFill>
        </w:rPr>
      </w:pPr>
      <w:r>
        <w:rPr>
          <w:rFonts w:hint="eastAsia" w:ascii="Times New Roman" w:eastAsia="方正黑体_GBK" w:cs="方正黑体_GBK"/>
          <w:color w:val="000000" w:themeColor="text1"/>
          <w:sz w:val="32"/>
          <w:szCs w:val="32"/>
          <w:lang w:val="en-US" w:eastAsia="zh-CN"/>
          <w14:textFill>
            <w14:solidFill>
              <w14:schemeClr w14:val="tx1"/>
            </w14:solidFill>
          </w14:textFill>
        </w:rPr>
        <w:t>一、总体要求</w:t>
      </w:r>
    </w:p>
    <w:p>
      <w:pPr>
        <w:pStyle w:val="2"/>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（一）指导思想</w:t>
      </w:r>
    </w:p>
    <w:p>
      <w:pPr>
        <w:pStyle w:val="7"/>
        <w:keepNext w:val="0"/>
        <w:keepLines w:val="0"/>
        <w:pageBreakBefore w:val="0"/>
        <w:widowControl w:val="0"/>
        <w:kinsoku/>
        <w:wordWrap/>
        <w:overflowPunct/>
        <w:topLinePunct w:val="0"/>
        <w:autoSpaceDE/>
        <w:autoSpaceDN/>
        <w:bidi w:val="0"/>
        <w:snapToGrid w:val="0"/>
        <w:spacing w:line="300" w:lineRule="auto"/>
        <w:ind w:left="0" w:leftChars="0"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以习近平新时代中国特色社会主义思想为指导，深入贯彻党的</w:t>
      </w:r>
      <w:r>
        <w:rPr>
          <w:rFonts w:hint="eastAsia" w:ascii="Times New Roman" w:hAnsi="Times New Roman" w:eastAsia="方正仿宋_GBK" w:cs="方正仿宋_GBK"/>
          <w:color w:val="auto"/>
          <w:sz w:val="32"/>
          <w:szCs w:val="32"/>
          <w:lang w:val="en-US" w:eastAsia="zh-CN"/>
        </w:rPr>
        <w:t>二十大</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和二十届一中全会精神，全面落实习近平总书记对重庆提出的营造良好政治生态，坚持“两点”定位、“两地”“两高”目标，发挥“三个作用”和推动成渝地区双城经济圈建设等重要指示要求，贯彻落实市第六次党代会精神和区第十五次党代会精神，围绕“2235”总体发展思路，抢抓新时代西部大开发、成渝地区双城经济圈建设等重大机遇，着力实施产业能级提升行动，聚力推动产业基础高级化、产业链现代化，推动工业经济、数字经济、服务业和现代农业协同发展，构建竞争优势突出的现代产业体系，为高质量发展先行区、高品质生活示范区建设提供强有力支撑。</w:t>
      </w:r>
    </w:p>
    <w:p>
      <w:pPr>
        <w:pStyle w:val="7"/>
        <w:keepNext w:val="0"/>
        <w:keepLines w:val="0"/>
        <w:pageBreakBefore w:val="0"/>
        <w:widowControl w:val="0"/>
        <w:kinsoku/>
        <w:wordWrap/>
        <w:overflowPunct/>
        <w:topLinePunct w:val="0"/>
        <w:autoSpaceDE/>
        <w:autoSpaceDN/>
        <w:bidi w:val="0"/>
        <w:snapToGrid w:val="0"/>
        <w:spacing w:line="300" w:lineRule="auto"/>
        <w:ind w:left="0" w:leftChars="0"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（二）发展目标</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工业。到2025年，全区工业经济主要指标实现倍增，工业总产值突破3000亿元，工业增加值突破900亿元，工业企业入库税金突破50亿元。战略性新兴产业占比超过45%以上。有研发机构和研发活动的规模工业企业占比分别达到55%和90%以上。</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2.服务业。到2025年，</w:t>
      </w:r>
      <w:r>
        <w:rPr>
          <w:rFonts w:hint="default" w:ascii="Times New Roman" w:hAnsi="Times New Roman" w:eastAsia="方正仿宋_GBK" w:cs="Times New Roman"/>
          <w:color w:val="000000" w:themeColor="text1"/>
          <w:sz w:val="32"/>
          <w:szCs w:val="32"/>
          <w14:textFill>
            <w14:solidFill>
              <w14:schemeClr w14:val="tx1"/>
            </w14:solidFill>
          </w14:textFill>
        </w:rPr>
        <w:t>社会消费品零售总额达到674亿元，旅游收入达到270亿元，基本建成引领辐射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渝西川南</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的特色型区域消费中心城市，形成标杆引领示范效应。</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聚集数字经济企业1000家，基本建成西部数字产业基地，成为在成渝地区双城经济圈中具有影响力的数字经济创新发展高地，努力创建国家级数字经济产业园区。新增各类金融机构25家以上，上市企业达到5家。</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3.农业。到2025年，</w:t>
      </w:r>
      <w:r>
        <w:rPr>
          <w:rFonts w:hint="eastAsia" w:ascii="Times New Roman" w:hAnsi="Times New Roman" w:eastAsia="方正仿宋_GBK" w:cs="方正仿宋_GBK"/>
          <w:color w:val="000000" w:themeColor="text1"/>
          <w:sz w:val="32"/>
          <w:szCs w:val="32"/>
          <w14:textFill>
            <w14:solidFill>
              <w14:schemeClr w14:val="tx1"/>
            </w14:solidFill>
          </w14:textFill>
        </w:rPr>
        <w:t>全区蔬菜播种面积维持在42万亩、蔬菜总产量</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73</w:t>
      </w:r>
      <w:r>
        <w:rPr>
          <w:rFonts w:hint="eastAsia" w:ascii="Times New Roman" w:hAnsi="Times New Roman" w:eastAsia="方正仿宋_GBK" w:cs="方正仿宋_GBK"/>
          <w:color w:val="000000" w:themeColor="text1"/>
          <w:sz w:val="32"/>
          <w:szCs w:val="32"/>
          <w14:textFill>
            <w14:solidFill>
              <w14:schemeClr w14:val="tx1"/>
            </w14:solidFill>
          </w14:textFill>
        </w:rPr>
        <w:t>万吨，保障永川城区蔬菜供应和调剂重庆主城及周边区县蔬菜供应。全区良种覆盖率达到100%，生猪养殖年出栏量</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40</w:t>
      </w:r>
      <w:r>
        <w:rPr>
          <w:rFonts w:hint="eastAsia" w:ascii="Times New Roman" w:hAnsi="Times New Roman" w:eastAsia="方正仿宋_GBK" w:cs="方正仿宋_GBK"/>
          <w:color w:val="000000" w:themeColor="text1"/>
          <w:sz w:val="32"/>
          <w:szCs w:val="32"/>
          <w14:textFill>
            <w14:solidFill>
              <w14:schemeClr w14:val="tx1"/>
            </w14:solidFill>
          </w14:textFill>
        </w:rPr>
        <w:t>万头以上。茶园面积达到</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12</w:t>
      </w:r>
      <w:r>
        <w:rPr>
          <w:rFonts w:hint="eastAsia" w:ascii="Times New Roman" w:hAnsi="Times New Roman" w:eastAsia="方正仿宋_GBK" w:cs="方正仿宋_GBK"/>
          <w:color w:val="000000" w:themeColor="text1"/>
          <w:sz w:val="32"/>
          <w:szCs w:val="32"/>
          <w14:textFill>
            <w14:solidFill>
              <w14:schemeClr w14:val="tx1"/>
            </w14:solidFill>
          </w14:textFill>
        </w:rPr>
        <w:t>万亩，总产量</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w:t>
      </w:r>
      <w:r>
        <w:rPr>
          <w:rFonts w:hint="eastAsia" w:ascii="Times New Roman" w:hAnsi="Times New Roman" w:eastAsia="方正仿宋_GBK" w:cs="方正仿宋_GBK"/>
          <w:color w:val="000000" w:themeColor="text1"/>
          <w:sz w:val="32"/>
          <w:szCs w:val="32"/>
          <w14:textFill>
            <w14:solidFill>
              <w14:schemeClr w14:val="tx1"/>
            </w14:solidFill>
          </w14:textFill>
        </w:rPr>
        <w:t>万吨，总产值达到</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12</w:t>
      </w:r>
      <w:r>
        <w:rPr>
          <w:rFonts w:hint="eastAsia" w:ascii="Times New Roman" w:hAnsi="Times New Roman" w:eastAsia="方正仿宋_GBK" w:cs="方正仿宋_GBK"/>
          <w:color w:val="000000" w:themeColor="text1"/>
          <w:sz w:val="32"/>
          <w:szCs w:val="32"/>
          <w14:textFill>
            <w14:solidFill>
              <w14:schemeClr w14:val="tx1"/>
            </w14:solidFill>
          </w14:textFill>
        </w:rPr>
        <w:t>亿元，全产业链产值50亿元。全区食用菌种植规模达到</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1.6</w:t>
      </w:r>
      <w:r>
        <w:rPr>
          <w:rFonts w:hint="eastAsia" w:ascii="Times New Roman" w:hAnsi="Times New Roman" w:eastAsia="方正仿宋_GBK" w:cs="方正仿宋_GBK"/>
          <w:color w:val="000000" w:themeColor="text1"/>
          <w:sz w:val="32"/>
          <w:szCs w:val="32"/>
          <w14:textFill>
            <w14:solidFill>
              <w14:schemeClr w14:val="tx1"/>
            </w14:solidFill>
          </w14:textFill>
        </w:rPr>
        <w:t>亿袋，总产量达到</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8</w:t>
      </w:r>
      <w:r>
        <w:rPr>
          <w:rFonts w:hint="eastAsia" w:ascii="Times New Roman" w:hAnsi="Times New Roman" w:eastAsia="方正仿宋_GBK" w:cs="方正仿宋_GBK"/>
          <w:color w:val="000000" w:themeColor="text1"/>
          <w:sz w:val="32"/>
          <w:szCs w:val="32"/>
          <w14:textFill>
            <w14:solidFill>
              <w14:schemeClr w14:val="tx1"/>
            </w14:solidFill>
          </w14:textFill>
        </w:rPr>
        <w:t>万吨，</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产值</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10亿元。</w:t>
      </w:r>
      <w:r>
        <w:rPr>
          <w:rFonts w:hint="eastAsia" w:ascii="Times New Roman" w:hAnsi="Times New Roman" w:eastAsia="方正仿宋_GBK" w:cs="方正仿宋_GBK"/>
          <w:color w:val="000000" w:themeColor="text1"/>
          <w:sz w:val="32"/>
          <w:szCs w:val="32"/>
          <w14:textFill>
            <w14:solidFill>
              <w14:schemeClr w14:val="tx1"/>
            </w14:solidFill>
          </w14:textFill>
        </w:rPr>
        <w:t>全区经果总面积</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25</w:t>
      </w:r>
      <w:r>
        <w:rPr>
          <w:rFonts w:hint="eastAsia" w:ascii="Times New Roman" w:hAnsi="Times New Roman" w:eastAsia="方正仿宋_GBK" w:cs="方正仿宋_GBK"/>
          <w:color w:val="000000" w:themeColor="text1"/>
          <w:sz w:val="32"/>
          <w:szCs w:val="32"/>
          <w14:textFill>
            <w14:solidFill>
              <w14:schemeClr w14:val="tx1"/>
            </w14:solidFill>
          </w14:textFill>
        </w:rPr>
        <w:t>万亩，总产量20万吨，总产值10亿元。建设成为西南地区著名的乡村休闲度假旅游目的地，全区乡村旅游年接待旅游游客量2000万人次，实现乡村旅游年收入150亿元，市级乡村旅游示范村达到3个。</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t>二、着力推动工业能级提升</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（一）着力推动产业规模提升</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加快产业园区化发展。依托永川国家高新区载体，明晰各产业园区发展定位，引导企业集群发展，推动产业从物理上聚合转变为产业链融合，进而实现产业链、供应链、创新链、人才链融合。凤凰湖产业园重点发展汽车摩托车产业、电子信息产业、智能装备产业，培育壮大以医疗器械为主的生物医药及大健康、新能源等战略性新兴产业，规划智能网联新能源汽车生产制造基地，着力建设西部智能网联新能源汽车城、智能装备产业园、新材料产业园；港桥产业园重点发展以纸及纸制品为代表的特色消费品产业，以木及木制品、高端钢材、先进有色合金、高性能纤维及复合材料、绿色建材为代表的智能家居及材料产业，着力建设硅基材料产业园；三教产业园重点发展以高端陶瓷及卫浴、装配式建筑为代表的智能家居及材料产业，以食品为代表的特色消费品产业，着力建设特色食品产业园、智能家居产业园；科技生态城重点发展民用航空、生物医药及大健康、智能网联汽车等相关产业，规划智能网联新能源汽车自动驾驶科技创新产业基地，着力建设生物医药及大健康产业园、航空产业园；大数据产业园重点发展“元宇宙”、数字文创、服务外包、软件信息、人工智能及物联网、云计算、电商等产业，着力建设数字经济产业园；永川综合保税区重点发展汽车摩托车、智能装备、电子信息、生物医药及大健康、民用航空等产业进出口加工、</w:t>
      </w:r>
      <w:r>
        <w:rPr>
          <w:rFonts w:hint="eastAsia" w:ascii="方正仿宋_GBK" w:hAnsi="方正仿宋_GBK" w:eastAsia="方正仿宋_GBK" w:cs="方正仿宋_GBK"/>
          <w:b w:val="0"/>
          <w:bCs w:val="0"/>
          <w:color w:val="000000" w:themeColor="text1"/>
          <w:kern w:val="2"/>
          <w:sz w:val="32"/>
          <w:szCs w:val="32"/>
          <w:u w:val="none"/>
          <w:lang w:val="en-US" w:eastAsia="zh-CN" w:bidi="ar"/>
          <w14:textFill>
            <w14:solidFill>
              <w14:schemeClr w14:val="tx1"/>
            </w14:solidFill>
          </w14:textFill>
        </w:rPr>
        <w:t>保税仓储、检测维修、销售租赁等服务</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。推进园区新型管委会+公司的管理运营模式，通过政府主导、公司市场化运作，在产业导入、资产运营、企业孵化、品牌塑造等环节精准发力，为园区发展提供保障。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2.进一步培育</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壮大主导产业。</w:t>
      </w:r>
      <w:r>
        <w:rPr>
          <w:rFonts w:hint="eastAsia" w:ascii="Times New Roman" w:hAnsi="Times New Roman" w:eastAsia="方正仿宋_GBK" w:cs="方正仿宋_GBK"/>
          <w:b/>
          <w:bCs/>
          <w:color w:val="000000" w:themeColor="text1"/>
          <w:sz w:val="32"/>
          <w:szCs w:val="32"/>
          <w:lang w:val="zh-CN" w:eastAsia="zh-CN"/>
          <w14:textFill>
            <w14:solidFill>
              <w14:schemeClr w14:val="tx1"/>
            </w14:solidFill>
          </w14:textFill>
        </w:rPr>
        <w:t>汽车摩托车产业</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聚焦燃油汽车、新能源与智能网联汽车、新能源摩托车等细分产业链，顺应新能源化、智能网联化、轻量化发展趋势，</w:t>
      </w:r>
      <w:r>
        <w:rPr>
          <w:rFonts w:eastAsia="方正仿宋_GBK"/>
          <w:b w:val="0"/>
          <w:bCs w:val="0"/>
          <w:color w:val="000000" w:themeColor="text1"/>
          <w:sz w:val="32"/>
          <w:szCs w:val="32"/>
          <w:u w:val="none"/>
          <w:shd w:val="clear" w:color="auto" w:fill="FFFFFF"/>
          <w14:textFill>
            <w14:solidFill>
              <w14:schemeClr w14:val="tx1"/>
            </w14:solidFill>
          </w14:textFill>
        </w:rPr>
        <w:t>打造1</w:t>
      </w:r>
      <w:r>
        <w:rPr>
          <w:rFonts w:hint="eastAsia" w:eastAsia="方正仿宋_GBK"/>
          <w:b w:val="0"/>
          <w:bCs w:val="0"/>
          <w:color w:val="000000" w:themeColor="text1"/>
          <w:sz w:val="32"/>
          <w:szCs w:val="32"/>
          <w:u w:val="none"/>
          <w:shd w:val="clear" w:color="auto" w:fill="FFFFFF"/>
          <w:lang w:val="en-US" w:eastAsia="zh-CN"/>
          <w14:textFill>
            <w14:solidFill>
              <w14:schemeClr w14:val="tx1"/>
            </w14:solidFill>
          </w14:textFill>
        </w:rPr>
        <w:t>1</w:t>
      </w:r>
      <w:r>
        <w:rPr>
          <w:rFonts w:eastAsia="方正仿宋_GBK"/>
          <w:b w:val="0"/>
          <w:bCs w:val="0"/>
          <w:color w:val="000000" w:themeColor="text1"/>
          <w:sz w:val="32"/>
          <w:szCs w:val="32"/>
          <w:u w:val="none"/>
          <w:shd w:val="clear" w:color="auto" w:fill="FFFFFF"/>
          <w14:textFill>
            <w14:solidFill>
              <w14:schemeClr w14:val="tx1"/>
            </w14:solidFill>
          </w14:textFill>
        </w:rPr>
        <w:t>00亿级产业集群</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，建设西部智能网联新能源汽车城。</w:t>
      </w:r>
      <w:r>
        <w:rPr>
          <w:rFonts w:hint="eastAsia" w:ascii="Times New Roman" w:hAnsi="Times New Roman" w:eastAsia="方正仿宋_GBK" w:cs="方正仿宋_GBK"/>
          <w:b/>
          <w:bCs/>
          <w:color w:val="000000" w:themeColor="text1"/>
          <w:sz w:val="32"/>
          <w:szCs w:val="32"/>
          <w:lang w:val="en-US" w:eastAsia="zh-CN"/>
          <w14:textFill>
            <w14:solidFill>
              <w14:schemeClr w14:val="tx1"/>
            </w14:solidFill>
          </w14:textFill>
        </w:rPr>
        <w:t>电子信息产业</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聚焦计算机、智能手机、智能家电、智能穿戴、新型显示、PCB、电子元器件、MEMS传感器等细分产业链，围绕“芯屏器核网”产业链全面发力，全力打造400亿级产业集群，打造西南一流、国内重要的电子信息产业制造基地。</w:t>
      </w:r>
      <w:r>
        <w:rPr>
          <w:rFonts w:hint="eastAsia" w:ascii="Times New Roman" w:hAnsi="Times New Roman" w:eastAsia="方正仿宋_GBK" w:cs="方正仿宋_GBK"/>
          <w:b/>
          <w:bCs/>
          <w:color w:val="000000" w:themeColor="text1"/>
          <w:sz w:val="32"/>
          <w:szCs w:val="32"/>
          <w:lang w:val="zh-CN" w:eastAsia="zh-CN"/>
          <w14:textFill>
            <w14:solidFill>
              <w14:schemeClr w14:val="tx1"/>
            </w14:solidFill>
          </w14:textFill>
        </w:rPr>
        <w:t>智能装备产业</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聚焦数控机床、增材制造装备、工业机器人、服务机器人、页岩气装备、柴油发动机、冷链装备等细分产业链，推动</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产业</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向智能化、成套化、系统化、服务化转型，全力打造300亿级产业集群，建设成渝地区世界级装备制造业集群重要支撑地。</w:t>
      </w:r>
      <w:r>
        <w:rPr>
          <w:rFonts w:hint="eastAsia" w:ascii="Times New Roman" w:hAnsi="Times New Roman" w:eastAsia="方正仿宋_GBK" w:cs="方正仿宋_GBK"/>
          <w:b/>
          <w:bCs/>
          <w:color w:val="000000" w:themeColor="text1"/>
          <w:sz w:val="32"/>
          <w:szCs w:val="32"/>
          <w:lang w:val="en-US" w:eastAsia="zh-CN"/>
          <w14:textFill>
            <w14:solidFill>
              <w14:schemeClr w14:val="tx1"/>
            </w14:solidFill>
          </w14:textFill>
        </w:rPr>
        <w:t>智能家居及材料产业</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聚焦智能家居、家具、高端陶瓷及卫浴、装配式建筑、节能和特种玻璃等细分产业链，推动产业向高端化、智能化、绿色化、品牌化发展</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全力打造</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3</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00亿级产业集群，</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建设</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成渝地区整体家装一体化融合发展示范区。</w:t>
      </w:r>
      <w:r>
        <w:rPr>
          <w:rFonts w:hint="eastAsia" w:ascii="Times New Roman" w:hAnsi="Times New Roman" w:eastAsia="方正仿宋_GBK" w:cs="方正仿宋_GBK"/>
          <w:b/>
          <w:bCs/>
          <w:color w:val="000000" w:themeColor="text1"/>
          <w:sz w:val="32"/>
          <w:szCs w:val="32"/>
          <w:lang w:val="en-US" w:eastAsia="zh-CN"/>
          <w14:textFill>
            <w14:solidFill>
              <w14:schemeClr w14:val="tx1"/>
            </w14:solidFill>
          </w14:textFill>
        </w:rPr>
        <w:t>特色消费品产业</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聚焦纸及纸制品、食品等细分产业链，打造400亿级产业集群，建设成渝地区双城经济圈消费品工业特色化发展示范区。</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3.加快培育战新产业。</w:t>
      </w:r>
      <w:r>
        <w:rPr>
          <w:rFonts w:hint="eastAsia" w:ascii="Times New Roman" w:hAnsi="Times New Roman" w:eastAsia="方正仿宋_GBK" w:cs="方正仿宋_GBK"/>
          <w:b/>
          <w:bCs/>
          <w:color w:val="000000" w:themeColor="text1"/>
          <w:sz w:val="32"/>
          <w:szCs w:val="32"/>
          <w14:textFill>
            <w14:solidFill>
              <w14:schemeClr w14:val="tx1"/>
            </w14:solidFill>
          </w14:textFill>
        </w:rPr>
        <w:t>生物医药及大健康产业</w:t>
      </w:r>
      <w:r>
        <w:rPr>
          <w:rFonts w:hint="eastAsia" w:ascii="Times New Roman" w:hAnsi="Times New Roman" w:eastAsia="方正仿宋_GBK" w:cs="方正仿宋_GBK"/>
          <w:color w:val="000000" w:themeColor="text1"/>
          <w:sz w:val="32"/>
          <w:szCs w:val="32"/>
          <w14:textFill>
            <w14:solidFill>
              <w14:schemeClr w14:val="tx1"/>
            </w14:solidFill>
          </w14:textFill>
        </w:rPr>
        <w:t>紧跟成渝两地共建具有全国影响力的生物医药产业集群目标，建设生物技术产业园和医疗器械产业园。围绕生物医药研发、实验、中试、生产、销售全链条发展，依托西南大学家蚕基因组学，抓住技术供给源头，发力以蛋白原料和细胞材料为特色的生物技术上下游供应链建设；搭建新领先CXO平台、达硕实验动物平台，以国药集团为龙头引领，多元化发展康复器械、体外诊断、新中药及健康消费品、新康养服务，全力打造120亿级产业集群。</w:t>
      </w:r>
      <w:r>
        <w:rPr>
          <w:rFonts w:hint="eastAsia" w:ascii="Times New Roman" w:hAnsi="Times New Roman" w:eastAsia="方正仿宋_GBK" w:cs="方正仿宋_GBK"/>
          <w:b/>
          <w:bCs/>
          <w:color w:val="000000" w:themeColor="text1"/>
          <w:sz w:val="32"/>
          <w:szCs w:val="32"/>
          <w:lang w:val="en-US" w:eastAsia="zh-CN"/>
          <w14:textFill>
            <w14:solidFill>
              <w14:schemeClr w14:val="tx1"/>
            </w14:solidFill>
          </w14:textFill>
        </w:rPr>
        <w:t>新能源产业</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聚焦锂电池、氢能源、光伏、页岩气等细分产业链，紧盯各细分环节龙头企业、关键环节配套企业，分析研判制定招商引资路线图，招引一批市场前景好、科技含量高的优质项目，全力打造130亿级产业集群。</w:t>
      </w:r>
      <w:r>
        <w:rPr>
          <w:rFonts w:hint="eastAsia" w:ascii="Times New Roman" w:hAnsi="Times New Roman" w:eastAsia="方正仿宋_GBK" w:cs="方正仿宋_GBK"/>
          <w:b/>
          <w:bCs/>
          <w:color w:val="000000" w:themeColor="text1"/>
          <w:sz w:val="32"/>
          <w:szCs w:val="32"/>
          <w:lang w:val="en-US" w:eastAsia="zh-CN"/>
          <w14:textFill>
            <w14:solidFill>
              <w14:schemeClr w14:val="tx1"/>
            </w14:solidFill>
          </w14:textFill>
        </w:rPr>
        <w:t>民用航空产业</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依托正兴国际机场和永川通用航空机场，</w:t>
      </w:r>
      <w:r>
        <w:rPr>
          <w:rFonts w:hint="eastAsia" w:ascii="Times New Roman" w:hAnsi="Times New Roman" w:eastAsia="方正仿宋_GBK" w:cs="Times New Roman"/>
          <w:color w:val="000000" w:themeColor="text1"/>
          <w:sz w:val="32"/>
          <w:szCs w:val="32"/>
          <w:highlight w:val="none"/>
          <w14:textFill>
            <w14:solidFill>
              <w14:schemeClr w14:val="tx1"/>
            </w14:solidFill>
          </w14:textFill>
        </w:rPr>
        <w:t>以通用航空“整机”制造为目标，</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聚焦轻小型直升机、固定翼飞机、无人机、航空零部件等细分产业链，争创全市第一个“航空+制造”基地，打造50亿级产业集群。</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（二）着力推动产业质量提升</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以科技创新驱动产业质量提升。深入推进规模工业研发机构倍增，推进各类技术创新要素向企业集聚，落实研发费用加计扣除等优惠政策，引导企业加大研发投入，提升企业核心竞争力。围绕主导产业规划建设创新服务综合体，在技术服务、产品供需、设备共享、技术成果转移等方面向集群内企业提供服务。依托重庆市工业设计促进中心在永建设分中心，强力推广工业设计，加大工业设计企业引育力度，建立国家、市、区三级工业设计中心协同发展体系，打造区域性设计中心，以设计推动产品提档升级，提升产品竞争力。</w:t>
      </w:r>
    </w:p>
    <w:p>
      <w:pPr>
        <w:pStyle w:val="2"/>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eastAsia="方正仿宋_GBK"/>
          <w:color w:val="000000" w:themeColor="text1"/>
          <w14:textFill>
            <w14:solidFill>
              <w14:schemeClr w14:val="tx1"/>
            </w14:solidFill>
          </w14:textFill>
        </w:rPr>
      </w:pPr>
      <w:r>
        <w:rPr>
          <w:rFonts w:hint="eastAsia" w:ascii="Times New Roman" w:eastAsia="方正仿宋_GBK" w:cs="方正仿宋_GBK"/>
          <w:color w:val="000000" w:themeColor="text1"/>
          <w:sz w:val="32"/>
          <w:szCs w:val="32"/>
          <w:lang w:val="en-US" w:eastAsia="zh-CN"/>
          <w14:textFill>
            <w14:solidFill>
              <w14:schemeClr w14:val="tx1"/>
            </w14:solidFill>
          </w14:textFill>
        </w:rPr>
        <w:t>2.</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以质量标准驱动产业质量提升。通过举办工业质量大讲堂、质量管理业务知识培训班等，引导企业推广应用卓越绩效、精益生产、六西格玛等先进质量管理理念和现代质量管理方法。坚持高端化、智能化、绿色化、服务化、国际化方向，支持企业采用国际、国内先进标准，积极参与研究制定企业标准、地方标准、行业标准和国家标准，引导企业更新生产设备，创新管理模式，积极应用新技术、新工艺、新材料，对照标准加快推进重点产业产品质量提升。建立全区品牌商标培育库，引导企业树立“品牌兴企”战略，制定符合自身发展特点的商标品牌战略，从设计包装、生产工艺等方面不断创新，提升品牌价值。</w:t>
      </w:r>
      <w:r>
        <w:rPr>
          <w:rFonts w:hint="eastAsia" w:ascii="Times New Roman" w:eastAsia="方正仿宋_GBK" w:cs="方正仿宋_GBK"/>
          <w:color w:val="000000" w:themeColor="text1"/>
          <w:sz w:val="32"/>
          <w:szCs w:val="32"/>
          <w:lang w:val="en-US" w:eastAsia="zh-CN"/>
          <w14:textFill>
            <w14:solidFill>
              <w14:schemeClr w14:val="tx1"/>
            </w14:solidFill>
          </w14:textFill>
        </w:rPr>
        <w:t>通过</w:t>
      </w:r>
      <w:r>
        <w:rPr>
          <w:rFonts w:eastAsia="方正仿宋_GBK"/>
          <w:color w:val="000000" w:themeColor="text1"/>
          <w14:textFill>
            <w14:solidFill>
              <w14:schemeClr w14:val="tx1"/>
            </w14:solidFill>
          </w14:textFill>
        </w:rPr>
        <w:t>坚定不移走质量强区、品牌强区发展道路</w:t>
      </w:r>
      <w:r>
        <w:rPr>
          <w:rFonts w:hint="eastAsia" w:eastAsia="方正仿宋_GBK"/>
          <w:color w:val="000000" w:themeColor="text1"/>
          <w:lang w:eastAsia="zh-CN"/>
          <w14:textFill>
            <w14:solidFill>
              <w14:schemeClr w14:val="tx1"/>
            </w14:solidFill>
          </w14:textFill>
        </w:rPr>
        <w:t>，</w:t>
      </w:r>
      <w:r>
        <w:rPr>
          <w:rFonts w:eastAsia="方正仿宋_GBK"/>
          <w:color w:val="000000" w:themeColor="text1"/>
          <w14:textFill>
            <w14:solidFill>
              <w14:schemeClr w14:val="tx1"/>
            </w14:solidFill>
          </w14:textFill>
        </w:rPr>
        <w:t>全面提升制造业产品质量水平</w:t>
      </w:r>
      <w:r>
        <w:rPr>
          <w:rFonts w:hint="eastAsia" w:eastAsia="方正仿宋_GBK"/>
          <w:color w:val="000000" w:themeColor="text1"/>
          <w:lang w:eastAsia="zh-CN"/>
          <w14:textFill>
            <w14:solidFill>
              <w14:schemeClr w14:val="tx1"/>
            </w14:solidFill>
          </w14:textFill>
        </w:rPr>
        <w:t>，推动产业高质量发展</w:t>
      </w:r>
      <w:r>
        <w:rPr>
          <w:rFonts w:eastAsia="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3.以</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产业协同驱动产业质量提升。推动现有龙头企业加大技术改造和技术迭代推进力度，扩大在永投资，进一步壮大产品规模、提升产品竞争力，形成更大规模效应。强化“双招双引”，吸引更多产业链上下游企业来永布局，提升就近配套水平，促进集群发展。</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加快引育一批领军企业、“链主”企业、专精特新中小企业，通过实施“大手牵小手”计划，搭建线上线下相结合的大中小企业创新协同、产业链供应链互通互融的产业生态，形成融通良性发展格局。</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聚焦模具、铸造、表面处理、化工原材料等基础配套产业链，着力建设模具、铸造、表面处理、新材料园中园。加强创新链、供应链、价值链招商与产业</w:t>
      </w:r>
      <w:bookmarkStart w:id="3" w:name="_GoBack"/>
      <w:bookmarkEnd w:id="3"/>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链招商协同，依托生产制造类项目同步引进企业研发、工业设计、营销结算中心等生产性服务类项目，不断提升永川在产业链、价值链分工中的地位。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（三）着力推动产业效益提升</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加快向智能制造转型。持续推动企业应用数控机床、自动化生产线等数字化装备改造传统装备，实施智能化改造。深入开展两化融合贯标工作，提升信息系统普及程度。加快推动企业信息系统与生产设备的互联互通，开展集成应用，建设一批数字化车间和智能工厂。引导有条件的企业开展5G+智能制造，打造5G+远程操控、5G+设备协同、5G+质量检测等示范应用场景，建设一批创新示范智能工厂。引育一批智能制造系统解决方案供应商和智能制造设备生产商，增加智能制造相关技术、标准、产品和整体解决方案供给。引导“链主”企业、重点企业等建设行业级工业互联网平台，开展“一链一网一平台”试点示范，带动产业链上下游企业上平台，打通企业之间的数据链、信息链、要素链。通过数字赋能，进一步降低企业生产成本，提升生产效率和产品质量，增强产业发展质量效益和核心竞争力。</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坚持绿色低碳发展。落实碳达峰、碳中和要求，加快能耗双控向碳排放双控转变，推广普及节能节水节材、清洁生产、高效末端治理和碳捕获、利用与封存工艺设备，打造一批绿色园区、绿色工厂、绿色产品、绿色供应链。引育第三方绿色制造服务商，面向中小企业提供专业服务。引导企业制定中长期发展战略，以全产业链思维促进自身产品实现低碳或零碳。大力发展循环经济，促进企业、园区、行业间链接共生、原料互供、资源共享。通过促进全产业链和产品全生命周期绿色低碳发展，打造产业效益提升绿色发展新引擎，推动产业可持续发展。</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3.推动产融结合、产教融合。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强化金融供需对接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创新融资服务体制机制，搭建重点企业、重点项目等与银行、基金、风投等各类金融机构对接平台，推动“渝企金服”和商业价值信用贷款扩面增效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持续推进转贷应急周转资金、中小企业风险补偿贷款工作，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加快企业上市培育，</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组建产业发展引导基金，</w:t>
      </w:r>
      <w:r>
        <w:rPr>
          <w:rFonts w:hint="eastAsia" w:ascii="Times New Roman" w:hAnsi="Times New Roman" w:eastAsia="方正仿宋_GBK"/>
          <w:color w:val="000000" w:themeColor="text1"/>
          <w:sz w:val="32"/>
          <w:szCs w:val="32"/>
          <w14:textFill>
            <w14:solidFill>
              <w14:schemeClr w14:val="tx1"/>
            </w14:solidFill>
          </w14:textFill>
        </w:rPr>
        <w:t>帮助解决企业融资难题。</w:t>
      </w:r>
      <w:r>
        <w:rPr>
          <w:rFonts w:hint="eastAsia" w:ascii="Times New Roman" w:hAnsi="Times New Roman" w:eastAsia="方正仿宋_GBK"/>
          <w:color w:val="000000" w:themeColor="text1"/>
          <w:sz w:val="32"/>
          <w:szCs w:val="32"/>
          <w:lang w:eastAsia="zh-CN"/>
          <w14:textFill>
            <w14:solidFill>
              <w14:schemeClr w14:val="tx1"/>
            </w14:solidFill>
          </w14:textFill>
        </w:rPr>
        <w:t>坚持产业链和人才链深度融合，围绕“</w:t>
      </w:r>
      <w:r>
        <w:rPr>
          <w:rFonts w:hint="eastAsia" w:ascii="Times New Roman" w:hAnsi="Times New Roman" w:eastAsia="方正仿宋_GBK"/>
          <w:color w:val="000000" w:themeColor="text1"/>
          <w:sz w:val="32"/>
          <w:szCs w:val="32"/>
          <w:lang w:val="en-US" w:eastAsia="zh-CN"/>
          <w14:textFill>
            <w14:solidFill>
              <w14:schemeClr w14:val="tx1"/>
            </w14:solidFill>
          </w14:textFill>
        </w:rPr>
        <w:t>5+3</w:t>
      </w:r>
      <w:r>
        <w:rPr>
          <w:rFonts w:hint="eastAsia" w:ascii="Times New Roman" w:hAnsi="Times New Roman" w:eastAsia="方正仿宋_GBK"/>
          <w:color w:val="000000" w:themeColor="text1"/>
          <w:sz w:val="32"/>
          <w:szCs w:val="32"/>
          <w:lang w:eastAsia="zh-CN"/>
          <w14:textFill>
            <w14:solidFill>
              <w14:schemeClr w14:val="tx1"/>
            </w14:solidFill>
          </w14:textFill>
        </w:rPr>
        <w:t>”产业体系，促进职教院校专业与产业需求有效对接、课程内容与职业标准有效对接、教学过程与生产过程有效对接，</w:t>
      </w:r>
      <w:r>
        <w:rPr>
          <w:rFonts w:hint="eastAsia" w:ascii="Times New Roman" w:hAnsi="Times New Roman" w:eastAsia="方正仿宋_GBK"/>
          <w:color w:val="000000" w:themeColor="text1"/>
          <w:sz w:val="32"/>
          <w:szCs w:val="32"/>
          <w14:textFill>
            <w14:solidFill>
              <w14:schemeClr w14:val="tx1"/>
            </w14:solidFill>
          </w14:textFill>
        </w:rPr>
        <w:t>抓好</w:t>
      </w:r>
      <w:r>
        <w:rPr>
          <w:rFonts w:hint="eastAsia" w:ascii="Times New Roman" w:hAnsi="Times New Roman" w:eastAsia="方正仿宋_GBK"/>
          <w:color w:val="000000" w:themeColor="text1"/>
          <w:sz w:val="32"/>
          <w:szCs w:val="32"/>
          <w:lang w:eastAsia="zh-CN"/>
          <w14:textFill>
            <w14:solidFill>
              <w14:schemeClr w14:val="tx1"/>
            </w14:solidFill>
          </w14:textFill>
        </w:rPr>
        <w:t>企业</w:t>
      </w:r>
      <w:r>
        <w:rPr>
          <w:rFonts w:hint="eastAsia" w:ascii="Times New Roman" w:hAnsi="Times New Roman" w:eastAsia="方正仿宋_GBK"/>
          <w:color w:val="000000" w:themeColor="text1"/>
          <w:sz w:val="32"/>
          <w:szCs w:val="32"/>
          <w14:textFill>
            <w14:solidFill>
              <w14:schemeClr w14:val="tx1"/>
            </w14:solidFill>
          </w14:textFill>
        </w:rPr>
        <w:t>人才培训，分层级、分批次组织企业家培训和职工技能提升培训，培养企业发展领军型和紧缺型人才。</w:t>
      </w:r>
      <w:r>
        <w:rPr>
          <w:rFonts w:hint="eastAsia" w:ascii="Times New Roman" w:hAnsi="Times New Roman" w:eastAsia="方正仿宋_GBK"/>
          <w:color w:val="000000" w:themeColor="text1"/>
          <w:sz w:val="32"/>
          <w:szCs w:val="32"/>
          <w:lang w:eastAsia="zh-CN"/>
          <w14:textFill>
            <w14:solidFill>
              <w14:schemeClr w14:val="tx1"/>
            </w14:solidFill>
          </w14:textFill>
        </w:rPr>
        <w:t>通过促进金融业、职教产业与制造业融合发展，为产业提升注入强大的资金、人才保障，支撑产业效益提升。</w:t>
      </w:r>
    </w:p>
    <w:p>
      <w:pPr>
        <w:pStyle w:val="7"/>
        <w:keepNext w:val="0"/>
        <w:keepLines w:val="0"/>
        <w:pageBreakBefore w:val="0"/>
        <w:widowControl w:val="0"/>
        <w:kinsoku/>
        <w:wordWrap/>
        <w:overflowPunct/>
        <w:topLinePunct w:val="0"/>
        <w:autoSpaceDE/>
        <w:autoSpaceDN/>
        <w:bidi w:val="0"/>
        <w:snapToGrid w:val="0"/>
        <w:spacing w:line="300" w:lineRule="auto"/>
        <w:ind w:left="0" w:leftChars="0" w:firstLine="640" w:firstLineChars="200"/>
        <w:textAlignment w:val="auto"/>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t>三、着力推动服务业能级提升</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（一）打造千亿级数字经济产业园</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依托重庆云谷·大数据产业园，坚持以数字经济赋能高质量发展，重点围绕“数字文创、自动驾驶、服务外包”三大业态，聚焦科技影视、虚拟数字人、数字版权等领域，高质量建设国家级文化和科技融合示范基地、国内最大的科技影视拍摄及内容制作基地；融合自动驾驶测试、运营、制造产业链，高标准建设西部智能网联新能源汽车城；依托西部职教基地，瞄准软件外包、数据处理、智能客服，高层次打造西部最大的服务外包产业基地。积极融入成渝地区国家级算力枢纽节点，建设云谷数据中心，大力发展云计算技术服务产业。</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（二）构建现代物流发展体系</w:t>
      </w:r>
    </w:p>
    <w:p>
      <w:pPr>
        <w:pStyle w:val="2"/>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ascii="Times New Roman" w:eastAsia="方正仿宋_GBK" w:cs="方正仿宋_GBK"/>
          <w:color w:val="000000" w:themeColor="text1"/>
          <w:u w:val="none"/>
          <w:lang w:val="en-US" w:eastAsia="zh-CN"/>
          <w14:textFill>
            <w14:solidFill>
              <w14:schemeClr w14:val="tx1"/>
            </w14:solidFill>
          </w14:textFill>
        </w:rPr>
      </w:pP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规划形成以凤凰湖供应链物流中心为枢纽，港桥现代物流园、城西物流园、三教物流园、城东预留航空物流园等4个特色物流中心及城镇物流节点为补充的现代物流体系。凤凰湖供应链物流中心结合园区工业基础，打造集多式联运、分拨集散、仓储配送、供应链服务等功能于一体的工业供应链物流园区。港桥现代物流园打造集多式联运、分拨集散、跨境物流、临港加工、船舶服务等功能于一体的现代化物流园区。城西物流园，与商品交易市场发展结合，打造集分拨集散、批发交易、流通加工、仓储配送、电子商务等功能于一体的商贸物流节点。三教物流园依托重庆三环高速公路和周边现状网络化交通体系进行建设，围绕智能家居及材料、智能装备等产业，打造集物流分拨、仓储配送、流通加</w:t>
      </w:r>
      <w:r>
        <w:rPr>
          <w:rFonts w:hint="default" w:ascii="Times New Roman" w:hAnsi="Times New Roman" w:eastAsia="方正仿宋_GBK" w:cs="方正仿宋_GBK"/>
          <w:color w:val="000000" w:themeColor="text1"/>
          <w:sz w:val="32"/>
          <w:szCs w:val="32"/>
          <w:u w:val="none"/>
          <w:lang w:val="en-US" w:eastAsia="zh-CN"/>
          <w14:textFill>
            <w14:solidFill>
              <w14:schemeClr w14:val="tx1"/>
            </w14:solidFill>
          </w14:textFill>
        </w:rPr>
        <w:t>工、展示交易、金融服务等功能于一体的重要建材物流节点。</w:t>
      </w:r>
      <w:r>
        <w:rPr>
          <w:rFonts w:hint="default" w:ascii="Times New Roman" w:eastAsia="方正仿宋_GBK" w:cs="方正仿宋_GBK"/>
          <w:color w:val="000000" w:themeColor="text1"/>
          <w:u w:val="none"/>
          <w14:textFill>
            <w14:solidFill>
              <w14:schemeClr w14:val="tx1"/>
            </w14:solidFill>
          </w14:textFill>
        </w:rPr>
        <w:t>构建临空经济区物流产业体系</w:t>
      </w:r>
      <w:r>
        <w:rPr>
          <w:rFonts w:hint="default" w:ascii="Times New Roman" w:eastAsia="方正仿宋_GBK" w:cs="方正仿宋_GBK"/>
          <w:color w:val="000000" w:themeColor="text1"/>
          <w:u w:val="none"/>
          <w:lang w:eastAsia="zh-CN"/>
          <w14:textFill>
            <w14:solidFill>
              <w14:schemeClr w14:val="tx1"/>
            </w14:solidFill>
          </w14:textFill>
        </w:rPr>
        <w:t>，</w:t>
      </w:r>
      <w:r>
        <w:rPr>
          <w:rFonts w:hint="default" w:ascii="Times New Roman" w:eastAsia="方正仿宋_GBK" w:cs="方正仿宋_GBK"/>
          <w:color w:val="000000" w:themeColor="text1"/>
          <w:u w:val="none"/>
          <w14:textFill>
            <w14:solidFill>
              <w14:schemeClr w14:val="tx1"/>
            </w14:solidFill>
          </w14:textFill>
        </w:rPr>
        <w:t>依托毗邻重庆新机场优势，规划打造物流功能区，引入自动化分拣设备，打造信息化、智能化的渝西片区物流分拨基地。充分利用大安通用机场的优势，抢先发展起航空材料、航空零部件、航空信息服务产业、航空物流等相关产业，形成物流与产业的联动优势，构建以产业链、供应链为主导的航空物流产业体系</w:t>
      </w:r>
      <w:r>
        <w:rPr>
          <w:rFonts w:hint="default" w:ascii="Times New Roman" w:eastAsia="方正仿宋_GBK" w:cs="方正仿宋_GBK"/>
          <w:color w:val="000000" w:themeColor="text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打造永川会展服务品牌</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ascii="Times New Roman" w:hAnsi="Times New Roman" w:eastAsia="方正仿宋_GBK" w:cs="方正仿宋_GBK"/>
          <w:color w:val="000000" w:themeColor="text1"/>
          <w:sz w:val="32"/>
          <w:szCs w:val="32"/>
          <w14:textFill>
            <w14:solidFill>
              <w14:schemeClr w14:val="tx1"/>
            </w14:solidFill>
          </w14:textFill>
        </w:rPr>
      </w:pPr>
      <w:r>
        <w:rPr>
          <w:rFonts w:ascii="Times New Roman" w:hAnsi="Times New Roman" w:eastAsia="方正仿宋_GBK" w:cs="方正仿宋_GBK"/>
          <w:color w:val="000000" w:themeColor="text1"/>
          <w:sz w:val="32"/>
          <w:szCs w:val="32"/>
          <w:u w:val="none"/>
          <w14:textFill>
            <w14:solidFill>
              <w14:schemeClr w14:val="tx1"/>
            </w14:solidFill>
          </w14:textFill>
        </w:rPr>
        <w:t>依托区位优势和产业基础，加快建成永川会展中心，积极融入重庆会展名城体系</w:t>
      </w:r>
      <w:r>
        <w:rPr>
          <w:rFonts w:hint="eastAsia" w:ascii="Times New Roman" w:hAnsi="Times New Roman" w:eastAsia="方正仿宋_GBK" w:cs="方正仿宋_GBK"/>
          <w:color w:val="000000" w:themeColor="text1"/>
          <w:sz w:val="32"/>
          <w:szCs w:val="32"/>
          <w:u w:val="none"/>
          <w14:textFill>
            <w14:solidFill>
              <w14:schemeClr w14:val="tx1"/>
            </w14:solidFill>
          </w14:textFill>
        </w:rPr>
        <w:t>，</w:t>
      </w:r>
      <w:r>
        <w:rPr>
          <w:rFonts w:ascii="Times New Roman" w:hAnsi="Times New Roman" w:eastAsia="方正仿宋_GBK" w:cs="方正仿宋_GBK"/>
          <w:color w:val="000000" w:themeColor="text1"/>
          <w:sz w:val="32"/>
          <w:szCs w:val="32"/>
          <w:u w:val="none"/>
          <w14:textFill>
            <w14:solidFill>
              <w14:schemeClr w14:val="tx1"/>
            </w14:solidFill>
          </w14:textFill>
        </w:rPr>
        <w:t>培育永川豆豉、盆景、职教、汽车等特色会展品牌。联动周边区县积极开展川渝厨艺大赛等主题活动，支持行业协会和企业开展消费促进活动。以</w:t>
      </w:r>
      <w:r>
        <w:rPr>
          <w:rFonts w:ascii="Times New Roman" w:hAnsi="Times New Roman" w:eastAsia="方正仿宋_GBK" w:cs="方正仿宋_GBK"/>
          <w:color w:val="000000" w:themeColor="text1"/>
          <w:sz w:val="32"/>
          <w:szCs w:val="32"/>
          <w14:textFill>
            <w14:solidFill>
              <w14:schemeClr w14:val="tx1"/>
            </w14:solidFill>
          </w14:textFill>
        </w:rPr>
        <w:t>旅游景区为依托，结合旅游酒店和休闲山庄建设，布局生态休闲度假会议产业和拓展培训会议基地。</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（四）发展现代金融业</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积极融入西部金融中心建设，引进融资租赁、基金管理、汽车金融、商业保理等新型金融业态在永落地。推动股权投资基金发展，丰富企业融资渠道。引导配合现有金融机构向上积极争取机构升级、经营扩大。积极承接重庆金融改革各项试点，探索跨国企业集团本外币合一跨境资金池试点，争取成渝地区境内外金融机构后台服务中心建设、科创金融改革试验区和知识产权金融生态示范区。加快企业上市培育，制定“一企一策”帮扶方案。</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（五）建设“双城”文旅目的地</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pP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以产城景融合为发展理念，打造</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双城会客厅，西部欢乐城</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依托茶山竹海、乐和乐都、松溉古镇、黄瓜山、情山圣水、桢楠公园、悦动英山、九龙河谷等，建设6个微客厅，打造中国西部欢乐城、长江入渝第一古镇、乡村时光三张名片。深入挖掘旅游人文背景资源，开发非遗等文化旅游体验项目，研发有文化特质的旅游商品。推广乡村旅游与农耕体验、特色农产品、乡村民宿等融合发展模式，拓展农业观光、文化体验、民俗风情、特色餐饮等乡村旅游产品。引导旅游景区景点结合中小学生素质教育需求完善相关设施和服务，建设一批优质的青少年社会实践教育基地，发展研学旅行。依托现有工业景观、工业文化和工业遗址，开发游客体验性工业旅游产品，引导有条件的工业企业发展旅游参观通道和企业博物馆、展览馆、体验馆，鼓励工业旅游示范点创建。</w:t>
      </w:r>
    </w:p>
    <w:p>
      <w:pPr>
        <w:pStyle w:val="2"/>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ascii="Times New Roman" w:eastAsia="方正黑体_GBK" w:cs="方正黑体_GBK"/>
          <w:color w:val="000000" w:themeColor="text1"/>
          <w:sz w:val="32"/>
          <w:szCs w:val="32"/>
          <w:lang w:val="en-US" w:eastAsia="zh-CN"/>
          <w14:textFill>
            <w14:solidFill>
              <w14:schemeClr w14:val="tx1"/>
            </w14:solidFill>
          </w14:textFill>
        </w:rPr>
      </w:pPr>
      <w:r>
        <w:rPr>
          <w:rFonts w:hint="eastAsia" w:ascii="Times New Roman" w:eastAsia="方正黑体_GBK" w:cs="方正黑体_GBK"/>
          <w:color w:val="000000" w:themeColor="text1"/>
          <w:sz w:val="32"/>
          <w:szCs w:val="32"/>
          <w:lang w:val="en-US" w:eastAsia="zh-CN"/>
          <w14:textFill>
            <w14:solidFill>
              <w14:schemeClr w14:val="tx1"/>
            </w14:solidFill>
          </w14:textFill>
        </w:rPr>
        <w:t>四、着力推动农业能级提升</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bookmarkStart w:id="0" w:name="_Toc82093680"/>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（一）稳定发展保供产业</w:t>
      </w:r>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全面落实</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藏粮于地、藏粮于技</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战略，以</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守底线、优结构、提质量、增效益</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为目标，确保全区粮食播种面积和粮食总产量基本稳定，坚决守住确保粮食等重要农产品稳产保供底线。稳步推进高标准农田建设，大力实施宜机化改造，加快创建优质粮油示范区，积极发展</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水稻+</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技术模式；建设优质</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双低</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高油油菜示范基地。稳定全区粮食播栽总面积98万亩、粮食总产48万吨水平，</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扩大</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油</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料</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种植面积达到20万亩。全面落实</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菜篮子</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区长负责制</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推进生猪产业结构调整，提高生猪品质；提高生猪疫病防控能力，支持兽医社会化服务，落实动物防疫主体责任，提升动物疫病防控能力。</w:t>
      </w:r>
      <w:bookmarkStart w:id="1" w:name="_Toc82093681"/>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（二）发展壮大特色</w:t>
      </w:r>
      <w:bookmarkEnd w:id="1"/>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产业</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pPr>
      <w:r>
        <w:rPr>
          <w:rFonts w:ascii="Times New Roman" w:hAnsi="Times New Roman" w:eastAsia="方正仿宋_GBK" w:cs="方正仿宋_GBK"/>
          <w:color w:val="000000" w:themeColor="text1"/>
          <w:sz w:val="32"/>
          <w:szCs w:val="32"/>
          <w14:textFill>
            <w14:solidFill>
              <w14:schemeClr w14:val="tx1"/>
            </w14:solidFill>
          </w14:textFill>
        </w:rPr>
        <w:t>做大茶叶产业</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以云雾山、阴山、箕山、巴岳山</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、黄瓜山五</w:t>
      </w:r>
      <w:r>
        <w:rPr>
          <w:rFonts w:ascii="Times New Roman" w:hAnsi="Times New Roman" w:eastAsia="方正仿宋_GBK" w:cs="方正仿宋_GBK"/>
          <w:color w:val="000000" w:themeColor="text1"/>
          <w:sz w:val="32"/>
          <w:szCs w:val="32"/>
          <w14:textFill>
            <w14:solidFill>
              <w14:schemeClr w14:val="tx1"/>
            </w14:solidFill>
          </w14:textFill>
        </w:rPr>
        <w:t>大山脉为重点</w:t>
      </w:r>
      <w:r>
        <w:rPr>
          <w:rFonts w:hint="eastAsia" w:ascii="Times New Roman" w:hAnsi="Times New Roman" w:eastAsia="方正仿宋_GBK" w:cs="方正仿宋_GBK"/>
          <w:color w:val="000000" w:themeColor="text1"/>
          <w:sz w:val="32"/>
          <w:szCs w:val="32"/>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做大基地面积</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持续举办茶旅节、斗茶大会，鼓励企业参加各种展会和名茶评比等，加大“永川秀芽”品牌宣传力度。依托茶研所和骨干龙头企业，加大永川红茶、沱茶等生产规模，开展茶饮料、茶保健品等深加工产品研发。重点</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推进</w:t>
      </w:r>
      <w:r>
        <w:rPr>
          <w:rFonts w:ascii="Times New Roman" w:hAnsi="Times New Roman" w:eastAsia="方正仿宋_GBK" w:cs="方正仿宋_GBK"/>
          <w:color w:val="000000" w:themeColor="text1"/>
          <w:sz w:val="32"/>
          <w:szCs w:val="32"/>
          <w14:textFill>
            <w14:solidFill>
              <w14:schemeClr w14:val="tx1"/>
            </w14:solidFill>
          </w14:textFill>
        </w:rPr>
        <w:t>茶山竹海箕山“茶与竹”茶文旅融合发展</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做全食用菌产业</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年生产1.46亿袋以上，总产量7.4万吨</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坚持生产提档升级</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推进食用菌工厂化、智能化、周年化生产建设，加快整个产业升级换代速度</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14:textFill>
            <w14:solidFill>
              <w14:schemeClr w14:val="tx1"/>
            </w14:solidFill>
          </w14:textFill>
        </w:rPr>
        <w:t>做精水果产业</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r>
        <w:rPr>
          <w:rFonts w:ascii="Times New Roman" w:hAnsi="Times New Roman" w:eastAsia="方正仿宋_GBK" w:cs="方正仿宋_GBK"/>
          <w:color w:val="000000" w:themeColor="text1"/>
          <w:sz w:val="32"/>
          <w:szCs w:val="32"/>
          <w:lang w:val="zh-TW"/>
          <w14:textFill>
            <w14:solidFill>
              <w14:schemeClr w14:val="tx1"/>
            </w14:solidFill>
          </w14:textFill>
        </w:rPr>
        <w:t>围绕</w:t>
      </w:r>
      <w:r>
        <w:rPr>
          <w:rFonts w:hint="eastAsia" w:ascii="Times New Roman" w:hAnsi="Times New Roman" w:eastAsia="方正仿宋_GBK" w:cs="方正仿宋_GBK"/>
          <w:color w:val="000000" w:themeColor="text1"/>
          <w:sz w:val="32"/>
          <w:szCs w:val="32"/>
          <w:lang w:val="zh-TW" w:eastAsia="zh-CN"/>
          <w14:textFill>
            <w14:solidFill>
              <w14:schemeClr w14:val="tx1"/>
            </w14:solidFill>
          </w14:textFill>
        </w:rPr>
        <w:t>永川</w:t>
      </w:r>
      <w:r>
        <w:rPr>
          <w:rFonts w:ascii="Times New Roman" w:hAnsi="Times New Roman" w:eastAsia="方正仿宋_GBK" w:cs="方正仿宋_GBK"/>
          <w:color w:val="000000" w:themeColor="text1"/>
          <w:sz w:val="32"/>
          <w:szCs w:val="32"/>
          <w:lang w:val="zh-TW"/>
          <w14:textFill>
            <w14:solidFill>
              <w14:schemeClr w14:val="tx1"/>
            </w14:solidFill>
          </w14:textFill>
        </w:rPr>
        <w:t>“一早两晚”（南方早熟梨、晚熟柑橘、晚熟龙眼</w:t>
      </w:r>
      <w:r>
        <w:rPr>
          <w:rFonts w:hint="eastAsia" w:ascii="Times New Roman" w:hAnsi="Times New Roman" w:eastAsia="方正仿宋_GBK" w:cs="方正仿宋_GBK"/>
          <w:color w:val="000000" w:themeColor="text1"/>
          <w:sz w:val="32"/>
          <w:szCs w:val="32"/>
          <w:lang w:val="zh-TW" w:eastAsia="zh-CN"/>
          <w14:textFill>
            <w14:solidFill>
              <w14:schemeClr w14:val="tx1"/>
            </w14:solidFill>
          </w14:textFill>
        </w:rPr>
        <w:t>荔枝</w:t>
      </w:r>
      <w:r>
        <w:rPr>
          <w:rFonts w:ascii="Times New Roman" w:hAnsi="Times New Roman" w:eastAsia="方正仿宋_GBK" w:cs="方正仿宋_GBK"/>
          <w:color w:val="000000" w:themeColor="text1"/>
          <w:sz w:val="32"/>
          <w:szCs w:val="32"/>
          <w:lang w:val="zh-TW"/>
          <w14:textFill>
            <w14:solidFill>
              <w14:schemeClr w14:val="tx1"/>
            </w14:solidFill>
          </w14:textFill>
        </w:rPr>
        <w:t>）主导水果体系结构，</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推广</w:t>
      </w:r>
      <w:r>
        <w:rPr>
          <w:rFonts w:ascii="Times New Roman" w:hAnsi="Times New Roman" w:eastAsia="方正仿宋_GBK" w:cs="方正仿宋_GBK"/>
          <w:color w:val="000000" w:themeColor="text1"/>
          <w:sz w:val="32"/>
          <w:szCs w:val="32"/>
          <w14:textFill>
            <w14:solidFill>
              <w14:schemeClr w14:val="tx1"/>
            </w14:solidFill>
          </w14:textFill>
        </w:rPr>
        <w:t>高接换种、留树保鲜等技术手段，改良水果品质，坚持绿色、有机生产方式，走品质品牌道路，加强市场对接，错峰上市，提高经济效益。</w:t>
      </w:r>
      <w:r>
        <w:rPr>
          <w:rFonts w:ascii="Times New Roman" w:hAnsi="Times New Roman" w:eastAsia="方正仿宋_GBK" w:cs="方正仿宋_GBK"/>
          <w:color w:val="000000" w:themeColor="text1"/>
          <w:sz w:val="32"/>
          <w:szCs w:val="32"/>
          <w:lang w:val="zh-TW"/>
          <w14:textFill>
            <w14:solidFill>
              <w14:schemeClr w14:val="tx1"/>
            </w14:solidFill>
          </w14:textFill>
        </w:rPr>
        <w:t>以全年分季赏花休闲、采摘体验为主线，打造一批精品农业观光园、采摘园</w:t>
      </w:r>
      <w:r>
        <w:rPr>
          <w:rFonts w:hint="eastAsia" w:ascii="Times New Roman" w:hAnsi="Times New Roman" w:eastAsia="方正仿宋_GBK" w:cs="方正仿宋_GBK"/>
          <w:color w:val="000000" w:themeColor="text1"/>
          <w:sz w:val="32"/>
          <w:szCs w:val="32"/>
          <w:lang w:val="zh-TW" w:eastAsia="zh-CN"/>
          <w14:textFill>
            <w14:solidFill>
              <w14:schemeClr w14:val="tx1"/>
            </w14:solidFill>
          </w14:textFill>
        </w:rPr>
        <w:t>。到</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2025年，水果</w:t>
      </w:r>
      <w:r>
        <w:rPr>
          <w:rFonts w:ascii="Times New Roman" w:hAnsi="Times New Roman" w:eastAsia="方正仿宋_GBK" w:cs="方正仿宋_GBK"/>
          <w:color w:val="000000" w:themeColor="text1"/>
          <w:sz w:val="32"/>
          <w:szCs w:val="32"/>
          <w14:textFill>
            <w14:solidFill>
              <w14:schemeClr w14:val="tx1"/>
            </w14:solidFill>
          </w14:textFill>
        </w:rPr>
        <w:t>总面积达</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25</w:t>
      </w:r>
      <w:r>
        <w:rPr>
          <w:rFonts w:ascii="Times New Roman" w:hAnsi="Times New Roman" w:eastAsia="方正仿宋_GBK" w:cs="方正仿宋_GBK"/>
          <w:color w:val="000000" w:themeColor="text1"/>
          <w:sz w:val="32"/>
          <w:szCs w:val="32"/>
          <w14:textFill>
            <w14:solidFill>
              <w14:schemeClr w14:val="tx1"/>
            </w14:solidFill>
          </w14:textFill>
        </w:rPr>
        <w:t>万亩，总产</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20</w:t>
      </w:r>
      <w:r>
        <w:rPr>
          <w:rFonts w:ascii="Times New Roman" w:hAnsi="Times New Roman" w:eastAsia="方正仿宋_GBK" w:cs="方正仿宋_GBK"/>
          <w:color w:val="000000" w:themeColor="text1"/>
          <w:sz w:val="32"/>
          <w:szCs w:val="32"/>
          <w14:textFill>
            <w14:solidFill>
              <w14:schemeClr w14:val="tx1"/>
            </w14:solidFill>
          </w14:textFill>
        </w:rPr>
        <w:t>万吨</w:t>
      </w:r>
      <w:r>
        <w:rPr>
          <w:rFonts w:ascii="Times New Roman" w:hAnsi="Times New Roman" w:eastAsia="方正仿宋_GBK" w:cs="方正仿宋_GBK"/>
          <w:color w:val="000000" w:themeColor="text1"/>
          <w:sz w:val="32"/>
          <w:szCs w:val="32"/>
          <w:lang w:val="zh-TW"/>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（三）做强农产品加工业</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依托100亿级市级农产品加工业示范园区港桥产业园和三教食品加工园，积极培育农产品加工示范企业、示范园区。做大做强豆豉（豆制品）、花椒油等调味品，纸业、木材加工、休闲食品等农产品加工。到2025年力争港桥产业园、三教产业园农产品加工产值分别达到</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15</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0亿、50亿。</w:t>
      </w:r>
      <w:bookmarkStart w:id="2" w:name="_Toc82093682"/>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（四）做优乡村旅游业</w:t>
      </w:r>
      <w:bookmarkEnd w:id="2"/>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以黄瓜山片区为龙头，坚持农村</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卖产品</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与</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卖风景</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卖文化</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并重，充分利用农村田园风光、森林景观、水利景观、乡风民俗、人文遗存等资源，发展各具特色的乡村休闲旅游业，建设</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一村一景、一村一韵</w:t>
      </w:r>
      <w:r>
        <w:rPr>
          <w:rFonts w:hint="default" w:ascii="Times New Roman" w:hAnsi="Times New Roman" w:eastAsia="方正仿宋_GBK" w:cs="方正仿宋_GBK"/>
          <w:color w:val="000000" w:themeColor="text1"/>
          <w:sz w:val="32"/>
          <w:szCs w:val="32"/>
          <w:lang w:val="en" w:eastAsia="zh-CN"/>
          <w14:textFill>
            <w14:solidFill>
              <w14:schemeClr w14:val="tx1"/>
            </w14:solidFill>
          </w14:textFill>
        </w:rPr>
        <w:t>”</w:t>
      </w:r>
      <w:r>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t>的永川美丽乡村精品。</w:t>
      </w:r>
    </w:p>
    <w:p>
      <w:pPr>
        <w:pStyle w:val="2"/>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color w:val="000000" w:themeColor="text1"/>
          <w:lang w:val="en-US" w:eastAsia="zh-CN"/>
          <w14:textFill>
            <w14:solidFill>
              <w14:schemeClr w14:val="tx1"/>
            </w14:solidFill>
          </w14:textFill>
        </w:rPr>
      </w:pPr>
      <w:r>
        <w:rPr>
          <w:rFonts w:hint="eastAsia" w:ascii="Times New Roman" w:eastAsia="方正黑体_GBK" w:cs="方正黑体_GBK"/>
          <w:color w:val="000000" w:themeColor="text1"/>
          <w:sz w:val="32"/>
          <w:szCs w:val="32"/>
          <w:lang w:val="en-US" w:eastAsia="zh-CN"/>
          <w14:textFill>
            <w14:solidFill>
              <w14:schemeClr w14:val="tx1"/>
            </w14:solidFill>
          </w14:textFill>
        </w:rPr>
        <w:t>五、着力推动产业协同发展</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（一）推动工业与服务业协同发展</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1.推动工业向服务业融合。推动工业企业增加服务要素投入，依托现有产品向服务环节延伸，不断提升服务收入在企业全部销售收入中所占比重，构建新的竞争优势和新的利润增长点。推动现有汽车摩托车、特色消费品领域企业加快生产线柔性化、智能化改造，发展个性化定制服务。推动工业机器人、数控机床等智能装备企业发展自动化生产线、数字化车间、智能工厂整体解决方案。推动智能家居及材料企业发挥渠道和用户黏性优势发展智能家居整体解决方案。推动有条件的企业将发展重心聚焦于关键工艺技术攻关、产品功能设计和工程实现路径等核心领域，探索通过众包平台、创业社区、创客空间等线上方式外包设计环节，通过OEM（原始设备制造）、ODM（原始设计制造）等方式外包生产制造环节。</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2.推动服务业向工业渗透。以建设科技生态城为契机，大力培育引进一批技术转移、知识产权、科技咨询、科技金融、检验检测等科技中介服务机构，加快形成覆盖科技创新全链条、产品生产全周期的科技创新服务体系。加快推进国家级、市级工业设计中心和工业设计企业建设，积极争取国家布局重大科研平台，引进国内外知名独立研发机构，鼓励企业内部研发机构法人化。大力引进国际顶尖智库、会计师事务所、律师事务所和</w:t>
      </w:r>
      <w:r>
        <w:rPr>
          <w:rFonts w:ascii="方正仿宋_GBK" w:hAnsi="方正仿宋_GBK" w:eastAsia="方正仿宋_GBK" w:cs="方正仿宋_GBK"/>
          <w:i w:val="0"/>
          <w:iCs w:val="0"/>
          <w:caps w:val="0"/>
          <w:color w:val="000000" w:themeColor="text1"/>
          <w:spacing w:val="0"/>
          <w:sz w:val="31"/>
          <w:szCs w:val="31"/>
          <w:shd w:val="clear" w:fill="FFFFFF"/>
          <w14:textFill>
            <w14:solidFill>
              <w14:schemeClr w14:val="tx1"/>
            </w14:solidFill>
          </w14:textFill>
        </w:rPr>
        <w:t>节能环保</w:t>
      </w:r>
      <w:r>
        <w:rPr>
          <w:rFonts w:hint="eastAsia" w:ascii="方正仿宋_GBK" w:hAnsi="方正仿宋_GBK" w:eastAsia="方正仿宋_GBK" w:cs="方正仿宋_GBK"/>
          <w:i w:val="0"/>
          <w:iCs w:val="0"/>
          <w:caps w:val="0"/>
          <w:color w:val="000000" w:themeColor="text1"/>
          <w:spacing w:val="0"/>
          <w:sz w:val="31"/>
          <w:szCs w:val="31"/>
          <w:shd w:val="clear" w:fill="FFFFFF"/>
          <w:lang w:eastAsia="zh-CN"/>
          <w14:textFill>
            <w14:solidFill>
              <w14:schemeClr w14:val="tx1"/>
            </w14:solidFill>
          </w14:textFill>
        </w:rPr>
        <w:t>、会展服务</w:t>
      </w:r>
      <w:r>
        <w:rPr>
          <w:rFonts w:hint="eastAsia" w:ascii="方正仿宋_GBK" w:hAnsi="方正仿宋_GBK" w:eastAsia="方正仿宋_GBK" w:cs="方正仿宋_GBK"/>
          <w:i w:val="0"/>
          <w:iCs w:val="0"/>
          <w:caps w:val="0"/>
          <w:color w:val="000000" w:themeColor="text1"/>
          <w:spacing w:val="0"/>
          <w:sz w:val="31"/>
          <w:szCs w:val="31"/>
          <w:shd w:val="clear" w:fill="FFFFFF"/>
          <w:lang w:val="en-US" w:eastAsia="zh-CN"/>
          <w14:textFill>
            <w14:solidFill>
              <w14:schemeClr w14:val="tx1"/>
            </w14:solidFill>
          </w14:textFill>
        </w:rPr>
        <w:t>等专业机构</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着力发展法律、资产评估、会计、审计、税务、勘察设计、工程咨询以及战略规划、营销策划、市场调查、管理咨询、产权交易、信用评估等专业服务。加快物流服务能力建设，着力提升西部木材交易中心、环球锦标石材加工及仓储物流中心等交易市场商品集散、批发零售、交易展销、物流配送、信息和金融服务水平。积极发展服务衍生制造，鼓励电商、研发设计、文化旅游等服务企业，充分发挥自身在大数据、技术、渠道、创意等方面的要素优势，通过委托制造、品牌授权等方式向制造环节拓展。</w:t>
      </w:r>
    </w:p>
    <w:p>
      <w:pPr>
        <w:pStyle w:val="7"/>
        <w:keepNext w:val="0"/>
        <w:keepLines w:val="0"/>
        <w:pageBreakBefore w:val="0"/>
        <w:widowControl w:val="0"/>
        <w:kinsoku/>
        <w:wordWrap/>
        <w:overflowPunct/>
        <w:topLinePunct w:val="0"/>
        <w:autoSpaceDE/>
        <w:autoSpaceDN/>
        <w:bidi w:val="0"/>
        <w:snapToGrid w:val="0"/>
        <w:spacing w:line="300" w:lineRule="auto"/>
        <w:ind w:left="0" w:leftChars="0"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（二）推动工业与农业协同发展</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加强鲜活农产品产后商品化处理，培育发展一批初加工专业大户、家庭农场、农民专业合作社。引导返乡下乡人员开展农产品初加工，加快培育初加工龙头企业。以粮油、薯类、果蔬、茶叶、菌类等为重点，改善储藏、保鲜、烘干、清洗分级、包装等设施装备条件，鼓励建设粮食烘储中心、果蔬加工中心等。推广先进适用技术，提升农产品初加工整体水平。推动农产品加工绿色化，改善企业环保设施，鼓励节约集约循环利用各类资源，引导建立低碳、低耗、循环、高效的绿色加工体系，形成“资源—加工—产品—资源”的循环发展模式。推动农产品加工科技化，加大生物、工程、环保、信息等技术研究和集成应用力度，加强校企、院企合作和企业之间协作，支持企业加强技术革新和技术改造，用现代信息技术改造提升农产品加工业。推动农产品加工品牌化，加快农产品生产加工及产品标准体系建设，健全加工农产品安全可追溯体系，逐步推进企业出口和内销产品在同一条生产线、按相同质量标准生产。</w:t>
      </w:r>
    </w:p>
    <w:p>
      <w:pPr>
        <w:pStyle w:val="2"/>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方正楷体_GBK" w:hAnsi="方正楷体_GBK" w:eastAsia="方正楷体_GBK" w:cs="方正楷体_GBK"/>
          <w:color w:val="000000" w:themeColor="text1"/>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（三）推动服务业与农业协同发展</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14:textFill>
            <w14:solidFill>
              <w14:schemeClr w14:val="tx1"/>
            </w14:solidFill>
          </w14:textFill>
        </w:rPr>
        <w:t>围绕种养业发展，建设现代农业服务体系，鼓励农业共营制、农业产业化联合体、农业创客空间、休闲农业等融合模式创新，推动城市服务主动对接农业产业需求。引导平台型企业与农产品优势特色产区合作，推行线上线下农产品流通模式，支持发展功能复合型农业。开展</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智慧农业建设</w:t>
      </w:r>
      <w:r>
        <w:rPr>
          <w:rFonts w:hint="eastAsia" w:ascii="Times New Roman" w:hAnsi="Times New Roman" w:eastAsia="方正仿宋_GBK" w:cs="方正仿宋_GBK"/>
          <w:color w:val="000000" w:themeColor="text1"/>
          <w:sz w:val="32"/>
          <w:szCs w:val="32"/>
          <w14:textFill>
            <w14:solidFill>
              <w14:schemeClr w14:val="tx1"/>
            </w14:solidFill>
          </w14:textFill>
        </w:rPr>
        <w:t>示范，推进“互联网+精准农业”和农业物联网技术应用基地建设。积极利用农产品加工企业的特殊工艺、特色产品等，发展工业旅游。积极发展电子商务、农商直供、加工体验、个性定制等新产业新业态新模式，推动产业发展向“产品+服务”转变。利用大数据、云计算、物联网等信息技术，培育发展网络化、智能化、精细化现代加工新模式。</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六、保障措施</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（一）加强考核督导</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全区各级各部门要坚持问题导向、目标导向，建立产业能级提升行动的跟踪监测、统计分析、绩效评估、动态调整和监督考核机制，定期开展评估考核工作，专班专人跟踪各镇街、各产业园区、相关单位工作进展情况，掌握主要目标任务完成情况，建立通报机制，确保确定的各项目标任务落地落实。</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（二）强化双招双引</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聚焦“高”和“新”，每年谋划储备一批重大项目，引进一批投资规模大、科技含量高、发展前景好的项目，形成“引进一个、跟进一批、带动一片”的集群效应。实施“双招双引”，在招商引资、招才引智方面协同发力，进一步招项目带团队、招团队带项目。积极参与进博会、智博会等高端节会，充分发挥节会的溢出效益和辐射效应，吸引节会客商进一步了解永川、投资永川、落户永川。</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（三）优化营商环境</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以打造市场化法治化国际化一流营商环境为目标，打造高效便捷的政务环境、企业满意的政策环境、公平竞争的市场环境、畅通循环的开放环境、依法办事的法治环境、关系优良的政商环境。全面实施市场准入负面清单制度，推动“非禁即入”普遍落实。用好用活“永企惠”平台，进一步降低企业用能、物流和融资成本，巩固工程建设领域、投融资领域改革成果，常态化开展“四帮一体验”，切实增强企业获得感。</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（四）夯实人才支撑</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加快西部职教基地建设，推动高职院校优化学科专业设置，围绕主导产业布局一批服务主导产业的专业，推动职业教育和主导产业深度融合，培养更多高素质技术技能人才，为产业发展提供技术人才保障。弘扬优秀企业家精神，依法保护企业家合法权益，建设科技型高素质企业家队伍。全面落实人才引进计划和人才扶持政策，强化招才引智，加快引育能突破关键技术、实现成果转化的领军人才及团队。</w:t>
      </w:r>
    </w:p>
    <w:p>
      <w:pPr>
        <w:pStyle w:val="2"/>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0"/>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0"/>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B836E76"/>
    <w:rsid w:val="1C3B5737"/>
    <w:rsid w:val="1CF734C9"/>
    <w:rsid w:val="1D5561CE"/>
    <w:rsid w:val="1DEC284C"/>
    <w:rsid w:val="1E4142AB"/>
    <w:rsid w:val="1E6523AC"/>
    <w:rsid w:val="22440422"/>
    <w:rsid w:val="22BB4BBB"/>
    <w:rsid w:val="25DE7970"/>
    <w:rsid w:val="2AEB3417"/>
    <w:rsid w:val="2D502E74"/>
    <w:rsid w:val="31A15F24"/>
    <w:rsid w:val="324A1681"/>
    <w:rsid w:val="35A10974"/>
    <w:rsid w:val="36FB1DF0"/>
    <w:rsid w:val="395347B5"/>
    <w:rsid w:val="39A232A0"/>
    <w:rsid w:val="39E745AA"/>
    <w:rsid w:val="3B5A6BBB"/>
    <w:rsid w:val="3E2E249C"/>
    <w:rsid w:val="3EDA13A6"/>
    <w:rsid w:val="417B75E9"/>
    <w:rsid w:val="42F058B7"/>
    <w:rsid w:val="42F334A6"/>
    <w:rsid w:val="434C7328"/>
    <w:rsid w:val="436109F6"/>
    <w:rsid w:val="441A38D4"/>
    <w:rsid w:val="4504239D"/>
    <w:rsid w:val="450B05EB"/>
    <w:rsid w:val="484C61E3"/>
    <w:rsid w:val="4BC77339"/>
    <w:rsid w:val="4C9236C5"/>
    <w:rsid w:val="4E250A85"/>
    <w:rsid w:val="4FFD4925"/>
    <w:rsid w:val="505C172E"/>
    <w:rsid w:val="506405EA"/>
    <w:rsid w:val="50827473"/>
    <w:rsid w:val="52443849"/>
    <w:rsid w:val="52511493"/>
    <w:rsid w:val="52F46F0B"/>
    <w:rsid w:val="532B6A10"/>
    <w:rsid w:val="53D8014D"/>
    <w:rsid w:val="55003B4B"/>
    <w:rsid w:val="55E064E0"/>
    <w:rsid w:val="572C6D10"/>
    <w:rsid w:val="595F0EF6"/>
    <w:rsid w:val="5DC34279"/>
    <w:rsid w:val="5FC73B37"/>
    <w:rsid w:val="5FCD688E"/>
    <w:rsid w:val="5FF9BDAA"/>
    <w:rsid w:val="5FFE5333"/>
    <w:rsid w:val="603161C9"/>
    <w:rsid w:val="608816D1"/>
    <w:rsid w:val="60EF4E7F"/>
    <w:rsid w:val="648B0A32"/>
    <w:rsid w:val="665233C1"/>
    <w:rsid w:val="69AC0D42"/>
    <w:rsid w:val="6AD9688B"/>
    <w:rsid w:val="6D0E3F22"/>
    <w:rsid w:val="744E4660"/>
    <w:rsid w:val="753355A2"/>
    <w:rsid w:val="759F1C61"/>
    <w:rsid w:val="769F2DE8"/>
    <w:rsid w:val="76FDEB7C"/>
    <w:rsid w:val="78AE27FE"/>
    <w:rsid w:val="79C65162"/>
    <w:rsid w:val="7C41577F"/>
    <w:rsid w:val="7C9011D9"/>
    <w:rsid w:val="7D344903"/>
    <w:rsid w:val="7DC651C5"/>
    <w:rsid w:val="7DF350ED"/>
    <w:rsid w:val="7F5D8D16"/>
    <w:rsid w:val="7F9DA0E8"/>
    <w:rsid w:val="7FCC2834"/>
    <w:rsid w:val="7FF6A4EF"/>
    <w:rsid w:val="92DD1CEF"/>
    <w:rsid w:val="DABFF147"/>
    <w:rsid w:val="DFDFC069"/>
    <w:rsid w:val="F05B4F69"/>
    <w:rsid w:val="F7DF9622"/>
    <w:rsid w:val="F97D9566"/>
    <w:rsid w:val="FDFF411C"/>
    <w:rsid w:val="FEFF5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keepNext/>
      <w:keepLines/>
      <w:adjustRightInd/>
      <w:spacing w:before="340" w:after="330" w:line="576" w:lineRule="auto"/>
      <w:textAlignment w:val="auto"/>
      <w:outlineLvl w:val="0"/>
    </w:pPr>
    <w:rPr>
      <w:rFonts w:asciiTheme="minorHAnsi" w:hAnsiTheme="minorHAnsi" w:eastAsiaTheme="minorEastAsia" w:cstheme="minorBidi"/>
      <w:b/>
      <w:kern w:val="44"/>
      <w:sz w:val="44"/>
      <w:szCs w:val="24"/>
    </w:rPr>
  </w:style>
  <w:style w:type="paragraph" w:styleId="4">
    <w:name w:val="heading 3"/>
    <w:basedOn w:val="1"/>
    <w:next w:val="1"/>
    <w:qFormat/>
    <w:uiPriority w:val="0"/>
    <w:pPr>
      <w:keepNext/>
      <w:keepLines/>
      <w:widowControl/>
      <w:adjustRightInd/>
      <w:spacing w:before="260" w:after="260" w:line="413" w:lineRule="auto"/>
      <w:jc w:val="left"/>
      <w:textAlignment w:val="auto"/>
      <w:outlineLvl w:val="2"/>
    </w:pPr>
    <w:rPr>
      <w:rFonts w:ascii="Times New Roman" w:hAnsi="Times New Roman" w:eastAsiaTheme="minorEastAsia" w:cstheme="minorBidi"/>
      <w:b/>
      <w:bCs/>
      <w:kern w:val="0"/>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ascii="Calibri" w:hAnsi="Calibri"/>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6">
    <w:name w:val="annotation text"/>
    <w:basedOn w:val="1"/>
    <w:qFormat/>
    <w:uiPriority w:val="0"/>
    <w:pPr>
      <w:jc w:val="left"/>
    </w:pPr>
  </w:style>
  <w:style w:type="paragraph" w:styleId="7">
    <w:name w:val="toc 5"/>
    <w:basedOn w:val="1"/>
    <w:next w:val="1"/>
    <w:qFormat/>
    <w:uiPriority w:val="0"/>
    <w:pPr>
      <w:adjustRightInd/>
      <w:spacing w:line="240" w:lineRule="auto"/>
      <w:ind w:left="1680" w:leftChars="800"/>
      <w:textAlignment w:val="auto"/>
    </w:pPr>
    <w:rPr>
      <w:rFonts w:ascii="Calibri" w:hAnsi="Calibri" w:eastAsia="宋体" w:cs="Times New Roman"/>
      <w:kern w:val="2"/>
      <w:sz w:val="21"/>
      <w:szCs w:val="24"/>
    </w:rPr>
  </w:style>
  <w:style w:type="paragraph" w:styleId="8">
    <w:name w:val="Balloon Text"/>
    <w:basedOn w:val="1"/>
    <w:semiHidden/>
    <w:qFormat/>
    <w:uiPriority w:val="0"/>
    <w:pPr>
      <w:adjustRightInd/>
      <w:spacing w:line="240" w:lineRule="auto"/>
      <w:textAlignment w:val="auto"/>
    </w:pPr>
    <w:rPr>
      <w:rFonts w:ascii="Times New Roman" w:hAnsi="Times New Roman" w:eastAsia="方正仿宋_GBK" w:cs="Times New Roman"/>
      <w:kern w:val="2"/>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index 7"/>
    <w:basedOn w:val="1"/>
    <w:next w:val="1"/>
    <w:qFormat/>
    <w:uiPriority w:val="0"/>
    <w:pPr>
      <w:adjustRightInd/>
      <w:spacing w:line="240" w:lineRule="auto"/>
      <w:ind w:left="2520"/>
      <w:textAlignment w:val="auto"/>
    </w:pPr>
    <w:rPr>
      <w:rFonts w:ascii="Calibri" w:hAnsi="Calibri" w:eastAsia="宋体" w:cs="Times New Roman"/>
      <w:kern w:val="2"/>
      <w:sz w:val="21"/>
      <w:szCs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qFormat/>
    <w:uiPriority w:val="0"/>
    <w:pPr>
      <w:spacing w:after="160"/>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qFormat/>
    <w:uiPriority w:val="0"/>
    <w:rPr>
      <w:b/>
      <w:bCs/>
    </w:rPr>
  </w:style>
  <w:style w:type="character" w:styleId="19">
    <w:name w:val="page number"/>
    <w:basedOn w:val="16"/>
    <w:qFormat/>
    <w:uiPriority w:val="0"/>
  </w:style>
  <w:style w:type="character" w:styleId="20">
    <w:name w:val="Hyperlink"/>
    <w:basedOn w:val="16"/>
    <w:qFormat/>
    <w:uiPriority w:val="0"/>
    <w:rPr>
      <w:rFonts w:ascii="Times New Roman" w:hAnsi="Times New Roman" w:eastAsia="宋体" w:cs="Times New Roman"/>
      <w:color w:val="0000FF" w:themeColor="hyperlink"/>
      <w:szCs w:val="20"/>
      <w:u w:val="single"/>
      <w14:textFill>
        <w14:solidFill>
          <w14:schemeClr w14:val="hlink"/>
        </w14:solidFill>
      </w14:textFill>
    </w:rPr>
  </w:style>
  <w:style w:type="paragraph" w:customStyle="1" w:styleId="21">
    <w:name w:val="Normal (Web)"/>
    <w:basedOn w:val="1"/>
    <w:qFormat/>
    <w:uiPriority w:val="0"/>
    <w:pPr>
      <w:jc w:val="left"/>
    </w:pPr>
    <w:rPr>
      <w:rFonts w:ascii="Calibri" w:hAnsi="Calibri"/>
      <w:kern w:val="0"/>
      <w:sz w:val="24"/>
      <w:szCs w:val="24"/>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NormalCharacter"/>
    <w:qFormat/>
    <w:uiPriority w:val="0"/>
    <w:rPr>
      <w:rFonts w:ascii="Times New Roman" w:hAnsi="Times New Roman" w:eastAsia="宋体" w:cs="Times New Roman"/>
    </w:rPr>
  </w:style>
  <w:style w:type="paragraph" w:customStyle="1" w:styleId="24">
    <w:name w:val="Body Text First Indent1"/>
    <w:basedOn w:val="2"/>
    <w:qFormat/>
    <w:uiPriority w:val="0"/>
    <w:pPr>
      <w:adjustRightInd/>
      <w:spacing w:afterLines="-2147483648" w:afterAutospacing="0" w:line="240" w:lineRule="atLeast"/>
      <w:textAlignment w:val="auto"/>
    </w:pPr>
    <w:rPr>
      <w:rFonts w:ascii="仿宋_GB2312" w:hAnsi="Times New Roman" w:eastAsia="仿宋_GB2312" w:cs="仿宋_GB2312"/>
      <w:kern w:val="32"/>
    </w:rPr>
  </w:style>
  <w:style w:type="paragraph" w:customStyle="1" w:styleId="25">
    <w:name w:val="Body Text First Indent 21"/>
    <w:basedOn w:val="26"/>
    <w:qFormat/>
    <w:uiPriority w:val="0"/>
    <w:pPr>
      <w:ind w:firstLine="420"/>
    </w:pPr>
    <w:rPr>
      <w:rFonts w:ascii="Calibri" w:hAnsi="Calibri" w:eastAsia="宋体" w:cs="Times New Roman"/>
    </w:rPr>
  </w:style>
  <w:style w:type="paragraph" w:customStyle="1" w:styleId="26">
    <w:name w:val="Body Text Indent1"/>
    <w:basedOn w:val="1"/>
    <w:qFormat/>
    <w:uiPriority w:val="0"/>
    <w:pPr>
      <w:adjustRightInd/>
      <w:spacing w:line="500" w:lineRule="exact"/>
      <w:ind w:firstLine="880" w:firstLineChars="200"/>
      <w:textAlignment w:val="auto"/>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2</TotalTime>
  <ScaleCrop>false</ScaleCrop>
  <LinksUpToDate>false</LinksUpToDate>
  <CharactersWithSpaces>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2015-06-08T08:09:00Z</dcterms:created>
  <dc:creator>Lenovo User</dc:creator>
  <cp:lastModifiedBy>greatwall</cp:lastModifiedBy>
  <cp:lastPrinted>2022-12-10T05:10:00Z</cp:lastPrinted>
  <dcterms:modified xsi:type="dcterms:W3CDTF">2025-03-05T11:43:40Z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D494EF09FF2E42C0BB5BF039E3E7A302</vt:lpwstr>
  </property>
</Properties>
</file>