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widowControl w:val="0"/>
        <w:spacing w:line="600" w:lineRule="exact"/>
        <w:jc w:val="center"/>
        <w:rPr>
          <w:rFonts w:hint="eastAsia" w:ascii="方正小标宋_GBK" w:eastAsia="方正小标宋_GBK"/>
          <w:b w:val="0"/>
          <w:bCs w:val="0"/>
          <w:sz w:val="44"/>
          <w:szCs w:val="44"/>
          <w:lang w:eastAsia="zh-CN"/>
        </w:rPr>
      </w:pPr>
      <w:r>
        <w:rPr>
          <w:rFonts w:hint="eastAsia" w:ascii="方正小标宋_GBK" w:eastAsia="方正小标宋_GBK"/>
          <w:b w:val="0"/>
          <w:bCs w:val="0"/>
          <w:sz w:val="44"/>
          <w:szCs w:val="44"/>
        </w:rPr>
        <w:t>重庆市永川</w:t>
      </w:r>
      <w:r>
        <w:rPr>
          <w:rFonts w:hint="eastAsia" w:ascii="方正小标宋_GBK" w:eastAsia="方正小标宋_GBK"/>
          <w:b w:val="0"/>
          <w:bCs w:val="0"/>
          <w:sz w:val="44"/>
          <w:szCs w:val="44"/>
          <w:lang w:eastAsia="zh-CN"/>
        </w:rPr>
        <w:t>区人民政府办公室</w:t>
      </w:r>
    </w:p>
    <w:p>
      <w:pPr>
        <w:widowControl w:val="0"/>
        <w:spacing w:line="600" w:lineRule="exact"/>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关于永川区建设现代化教育强区</w:t>
      </w:r>
      <w:r>
        <w:rPr>
          <w:rFonts w:hint="eastAsia" w:ascii="方正小标宋_GBK" w:eastAsia="方正小标宋_GBK"/>
          <w:b w:val="0"/>
          <w:bCs w:val="0"/>
          <w:sz w:val="44"/>
          <w:szCs w:val="44"/>
          <w:lang w:eastAsia="zh-CN"/>
        </w:rPr>
        <w:t>的</w:t>
      </w:r>
      <w:r>
        <w:rPr>
          <w:rFonts w:hint="eastAsia" w:ascii="方正小标宋_GBK" w:eastAsia="方正小标宋_GBK"/>
          <w:b w:val="0"/>
          <w:bCs w:val="0"/>
          <w:sz w:val="44"/>
          <w:szCs w:val="44"/>
        </w:rPr>
        <w:t>实施意见</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永川府办发〔2022〕</w:t>
      </w:r>
      <w:r>
        <w:rPr>
          <w:rFonts w:hint="default" w:ascii="Times New Roman" w:hAnsi="Times New Roman" w:eastAsia="方正仿宋_GBK" w:cs="Times New Roman"/>
          <w:sz w:val="32"/>
          <w:szCs w:val="32"/>
          <w:lang w:val="en-US" w:eastAsia="zh-CN"/>
        </w:rPr>
        <w:t>125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napToGrid w:val="0"/>
        <w:spacing w:line="288" w:lineRule="auto"/>
        <w:jc w:val="both"/>
        <w:rPr>
          <w:rFonts w:hint="eastAsia" w:ascii="Times New Roman" w:hAnsi="Times New Roman" w:eastAsia="方正仿宋_GBK"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jc w:val="both"/>
        <w:rPr>
          <w:rFonts w:ascii="Times New Roman" w:hAnsi="Times New Roman" w:eastAsia="方正仿宋_GBK" w:cs="宋体"/>
          <w:b w:val="0"/>
          <w:bCs w:val="0"/>
          <w:sz w:val="32"/>
          <w:szCs w:val="32"/>
        </w:rPr>
      </w:pPr>
      <w:r>
        <w:rPr>
          <w:rFonts w:hint="eastAsia" w:ascii="Times New Roman" w:hAnsi="Times New Roman" w:eastAsia="方正仿宋_GBK" w:cs="宋体"/>
          <w:b w:val="0"/>
          <w:bCs w:val="0"/>
          <w:sz w:val="32"/>
          <w:szCs w:val="32"/>
        </w:rPr>
        <w:t>各镇人民政府、街道办事处，区政府有关部门、有关单位</w:t>
      </w:r>
      <w:r>
        <w:rPr>
          <w:rFonts w:ascii="Times New Roman" w:hAnsi="Times New Roman" w:eastAsia="方正仿宋_GBK" w:cs="宋体"/>
          <w:b w:val="0"/>
          <w:bCs w:val="0"/>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640" w:firstLineChars="200"/>
        <w:jc w:val="both"/>
        <w:textAlignment w:val="top"/>
        <w:rPr>
          <w:rFonts w:ascii="Times New Roman" w:hAnsi="Times New Roman" w:eastAsia="方正仿宋_GBK"/>
          <w:b w:val="0"/>
          <w:bCs w:val="0"/>
          <w:sz w:val="32"/>
          <w:szCs w:val="32"/>
        </w:rPr>
      </w:pPr>
      <w:r>
        <w:rPr>
          <w:rFonts w:ascii="Times New Roman" w:hAnsi="Times New Roman" w:eastAsia="方正仿宋_GBK"/>
          <w:b w:val="0"/>
          <w:bCs w:val="0"/>
          <w:sz w:val="32"/>
          <w:szCs w:val="32"/>
        </w:rPr>
        <w:t>为加快建设现代化教育强区，统筹推进全区各级各类教育高水平、高质量发展，全面落实《</w:t>
      </w:r>
      <w:r>
        <w:rPr>
          <w:rFonts w:ascii="Times New Roman" w:hAnsi="Times New Roman" w:eastAsia="方正仿宋_GBK"/>
          <w:b w:val="0"/>
          <w:bCs w:val="0"/>
          <w:color w:val="000000"/>
          <w:sz w:val="32"/>
          <w:szCs w:val="32"/>
        </w:rPr>
        <w:t>重庆教育现代化2035》</w:t>
      </w:r>
      <w:r>
        <w:rPr>
          <w:rFonts w:hint="eastAsia" w:ascii="Times New Roman" w:hAnsi="Times New Roman" w:eastAsia="方正仿宋_GBK"/>
          <w:b w:val="0"/>
          <w:bCs w:val="0"/>
          <w:color w:val="000000"/>
          <w:sz w:val="32"/>
          <w:szCs w:val="32"/>
        </w:rPr>
        <w:t>《重庆市永川区教育事业发展</w:t>
      </w:r>
      <w:r>
        <w:rPr>
          <w:rFonts w:hint="eastAsia" w:ascii="Times New Roman" w:hAnsi="Times New Roman" w:eastAsia="方正仿宋_GBK"/>
          <w:b w:val="0"/>
          <w:bCs w:val="0"/>
          <w:color w:val="000000"/>
          <w:sz w:val="32"/>
          <w:szCs w:val="32"/>
          <w:lang w:eastAsia="zh-CN"/>
        </w:rPr>
        <w:t>“</w:t>
      </w:r>
      <w:r>
        <w:rPr>
          <w:rFonts w:hint="eastAsia" w:ascii="Times New Roman" w:hAnsi="Times New Roman" w:eastAsia="方正仿宋_GBK"/>
          <w:b w:val="0"/>
          <w:bCs w:val="0"/>
          <w:color w:val="000000"/>
          <w:sz w:val="32"/>
          <w:szCs w:val="32"/>
        </w:rPr>
        <w:t>十四五</w:t>
      </w:r>
      <w:r>
        <w:rPr>
          <w:rFonts w:hint="eastAsia" w:ascii="Times New Roman" w:hAnsi="Times New Roman" w:eastAsia="方正仿宋_GBK"/>
          <w:b w:val="0"/>
          <w:bCs w:val="0"/>
          <w:color w:val="000000"/>
          <w:sz w:val="32"/>
          <w:szCs w:val="32"/>
          <w:lang w:eastAsia="zh-CN"/>
        </w:rPr>
        <w:t>”</w:t>
      </w:r>
      <w:r>
        <w:rPr>
          <w:rFonts w:hint="eastAsia" w:ascii="Times New Roman" w:hAnsi="Times New Roman" w:eastAsia="方正仿宋_GBK"/>
          <w:b w:val="0"/>
          <w:bCs w:val="0"/>
          <w:color w:val="000000"/>
          <w:sz w:val="32"/>
          <w:szCs w:val="32"/>
        </w:rPr>
        <w:t>规划》</w:t>
      </w:r>
      <w:r>
        <w:rPr>
          <w:rFonts w:ascii="Times New Roman" w:hAnsi="Times New Roman" w:eastAsia="方正仿宋_GBK"/>
          <w:b w:val="0"/>
          <w:bCs w:val="0"/>
          <w:color w:val="000000"/>
          <w:sz w:val="32"/>
          <w:szCs w:val="32"/>
        </w:rPr>
        <w:t>，</w:t>
      </w:r>
      <w:r>
        <w:rPr>
          <w:rFonts w:ascii="Times New Roman" w:hAnsi="Times New Roman" w:eastAsia="方正仿宋_GBK"/>
          <w:b w:val="0"/>
          <w:bCs w:val="0"/>
          <w:sz w:val="32"/>
          <w:szCs w:val="32"/>
        </w:rPr>
        <w:t>按照区第十五次党代会精神</w:t>
      </w:r>
      <w:r>
        <w:rPr>
          <w:rFonts w:hint="eastAsia" w:ascii="Times New Roman" w:hAnsi="Times New Roman" w:eastAsia="方正仿宋_GBK"/>
          <w:b w:val="0"/>
          <w:bCs w:val="0"/>
          <w:sz w:val="32"/>
          <w:szCs w:val="32"/>
        </w:rPr>
        <w:t>和永川</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2235</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总体发展思路要求，结合我区教育实际，制定本实施意见。</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Times New Roman" w:hAnsi="Times New Roman" w:eastAsia="方正黑体_GBK"/>
          <w:b w:val="0"/>
          <w:bCs w:val="0"/>
          <w:sz w:val="32"/>
          <w:szCs w:val="32"/>
        </w:rPr>
      </w:pPr>
      <w:r>
        <w:rPr>
          <w:rFonts w:hint="eastAsia" w:ascii="Times New Roman" w:hAnsi="Times New Roman" w:eastAsia="方正黑体_GBK"/>
          <w:b w:val="0"/>
          <w:bCs w:val="0"/>
          <w:sz w:val="32"/>
          <w:szCs w:val="32"/>
        </w:rPr>
        <w:t>一、总体要求和目标</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ascii="Times New Roman" w:hAnsi="Times New Roman" w:eastAsia="方正仿宋_GBK"/>
          <w:b w:val="0"/>
          <w:bCs w:val="0"/>
          <w:snapToGrid w:val="0"/>
          <w:sz w:val="32"/>
          <w:szCs w:val="32"/>
        </w:rPr>
        <w:t>以习近平新时代中国特色社会主义思想为指导，</w:t>
      </w:r>
      <w:r>
        <w:rPr>
          <w:rFonts w:ascii="Times New Roman" w:hAnsi="Times New Roman" w:eastAsia="方正仿宋_GBK"/>
          <w:b w:val="0"/>
          <w:bCs w:val="0"/>
          <w:sz w:val="32"/>
          <w:szCs w:val="32"/>
        </w:rPr>
        <w:t>深入</w:t>
      </w:r>
      <w:r>
        <w:rPr>
          <w:rFonts w:hint="eastAsia" w:ascii="Times New Roman" w:hAnsi="Times New Roman" w:eastAsia="方正仿宋_GBK"/>
          <w:b w:val="0"/>
          <w:bCs w:val="0"/>
          <w:sz w:val="32"/>
          <w:szCs w:val="32"/>
          <w:lang w:eastAsia="zh-CN"/>
        </w:rPr>
        <w:t>学习</w:t>
      </w:r>
      <w:r>
        <w:rPr>
          <w:rFonts w:ascii="Times New Roman" w:hAnsi="Times New Roman" w:eastAsia="方正仿宋_GBK"/>
          <w:b w:val="0"/>
          <w:bCs w:val="0"/>
          <w:sz w:val="32"/>
          <w:szCs w:val="32"/>
        </w:rPr>
        <w:t>贯彻党的</w:t>
      </w:r>
      <w:r>
        <w:rPr>
          <w:rFonts w:hint="eastAsia" w:ascii="Times New Roman" w:hAnsi="Times New Roman" w:eastAsia="方正仿宋_GBK"/>
          <w:b w:val="0"/>
          <w:bCs w:val="0"/>
          <w:sz w:val="32"/>
          <w:szCs w:val="32"/>
          <w:lang w:eastAsia="zh-CN"/>
        </w:rPr>
        <w:t>二十大</w:t>
      </w:r>
      <w:r>
        <w:rPr>
          <w:rFonts w:ascii="Times New Roman" w:hAnsi="Times New Roman" w:eastAsia="方正仿宋_GBK"/>
          <w:b w:val="0"/>
          <w:bCs w:val="0"/>
          <w:sz w:val="32"/>
          <w:szCs w:val="32"/>
        </w:rPr>
        <w:t>精神，学习贯彻习近平总书记关于教育的重要论述和全国教育大会精神，坚持和加强党对教育工作的领导，以建设现代化教育强区为统领，</w:t>
      </w:r>
      <w:r>
        <w:rPr>
          <w:rFonts w:hint="eastAsia" w:ascii="方正仿宋_GBK" w:hAnsi="方正仿宋_GBK" w:eastAsia="方正仿宋_GBK" w:cs="方正仿宋_GBK"/>
          <w:b w:val="0"/>
          <w:bCs w:val="0"/>
          <w:color w:val="000000"/>
          <w:sz w:val="32"/>
          <w:szCs w:val="32"/>
        </w:rPr>
        <w:t>以促进公平和提高质量为主题，全面</w:t>
      </w:r>
      <w:r>
        <w:rPr>
          <w:rFonts w:ascii="Times New Roman" w:hAnsi="Times New Roman" w:eastAsia="方正仿宋_GBK"/>
          <w:b w:val="0"/>
          <w:bCs w:val="0"/>
          <w:sz w:val="32"/>
          <w:szCs w:val="32"/>
        </w:rPr>
        <w:t>落实立德树人根本任务，深化教育供给侧结构性改革，加快推进教育治理体系和治</w:t>
      </w:r>
      <w:r>
        <w:rPr>
          <w:rFonts w:hint="eastAsia" w:ascii="方正仿宋_GBK" w:eastAsia="方正仿宋_GBK"/>
          <w:b w:val="0"/>
          <w:bCs w:val="0"/>
          <w:sz w:val="32"/>
          <w:szCs w:val="32"/>
        </w:rPr>
        <w:pict>
          <v:line id="直接连接符 3" o:spid="_x0000_s1028" o:spt="20" style="position:absolute;left:0pt;margin-left:79.4pt;margin-top:763.65pt;height:0pt;width:441pt;z-index:251658240;mso-width-relative:page;mso-height-relative:page;" filled="f" stroked="t" coordsize="21600,21600" o:gfxdata="UEsDBAoAAAAAAIdO4kAAAAAAAAAAAAAAAAAEAAAAZHJzL1BLAwQUAAAACACHTuJAbJMi19cAAAAO&#10;AQAADwAAAGRycy9kb3ducmV2LnhtbE2PzU7DMBCE70i8g7VI3Kjd8teGOBUE9YDUSwrc3XhJosTr&#10;KHba8PZsDghuO7Oj2W/T7eQ6ccIhNJ40LBcKBFLpbUOVho/33c0aRIiGrOk8oYZvDLDNLi9Sk1h/&#10;pgJPh1gJLqGQGA11jH0iZShrdCYsfI/Euy8/OBNZDpW0gzlzuevkSqkH6UxDfKE2PeY1lu1hdBre&#10;nvftSx7zonjt2s00fY6bfIdaX18t1ROIiFP8C8OMz+iQMdPRj2SD6Fjfrxk9zsPq8RbEHFF3ir3j&#10;ryezVP5/I/sBUEsDBBQAAAAIAIdO4kCpNObk/AEAAOsDAAAOAAAAZHJzL2Uyb0RvYy54bWytU81u&#10;EzEQviPxDpbvZDet2qJVNj00hAuCSJQHmNjeXQv/yeNkk5fgBZC4wYkjd96m5TEY76YplEsO7ME7&#10;9oy/me+b8ex6Zw3bqojau5pPJyVnygkvtWtr/uF2+eIlZ5jASTDeqZrvFfLr+fNnsz5U6sx33kgV&#10;GYE4rPpQ8y6lUBUFik5ZwIkPypGz8dFCom1sCxmhJ3RrirOyvCx6H2WIXihEOl2MTn5AjKcA+qbR&#10;Qi282Fjl0ogalYFElLDTAfl8qLZplEjvmgZVYqbmxDQNKyUhe53XYj6Dqo0QOi0OJcApJTzhZEE7&#10;SnqEWkACton6HyirRfTomzQR3hYjkUERYjEtn2jzvoOgBi4kNYaj6Pj/YMXb7SoyLWt+zpkDSw2/&#10;//zj7tPXXz+/0Hr//Rs7zyL1ASuKvXGreNhhWMXMeNdEm//Ehe0GYfdHYdUuMUGHF5dleVWS5uLB&#10;VzxeDBHTa+Uty0bNjXaZM1SwfYOJklHoQ0g+No71hHg1vch4QBPYUOfJtIFYpE67W+rlxwECvdFy&#10;qY3JFzG26xsT2RZoFpbLkr7MjOD/Csu5FoDdGDe4xinpFMhXTrK0D6SSo8fBcyVWSc6MoreULQKE&#10;KoE2p0RSauOogizuKGe21l7uqSebEHXbkSDTocrsoRkY6j3Max6yP/cD0uMb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JMi19cAAAAOAQAADwAAAAAAAAABACAAAAAiAAAAZHJzL2Rvd25yZXYu&#10;eG1sUEsBAhQAFAAAAAgAh07iQKk05uT8AQAA6wMAAA4AAAAAAAAAAQAgAAAAJgEAAGRycy9lMm9E&#10;b2MueG1sUEsFBgAAAAAGAAYAWQEAAJQFAAAAAA==&#10;">
            <v:path arrowok="t"/>
            <v:fill on="f" focussize="0,0"/>
            <v:stroke weight="4.5pt" color="#FF0000" linestyle="thinThick"/>
            <v:imagedata o:title=""/>
            <o:lock v:ext="edit" aspectratio="f"/>
          </v:line>
        </w:pict>
      </w:r>
      <w:r>
        <w:rPr>
          <w:rFonts w:ascii="Times New Roman" w:hAnsi="Times New Roman" w:eastAsia="方正仿宋_GBK"/>
          <w:b w:val="0"/>
          <w:bCs w:val="0"/>
          <w:sz w:val="32"/>
          <w:szCs w:val="32"/>
        </w:rPr>
        <w:t>理能力现代化，</w:t>
      </w:r>
      <w:r>
        <w:rPr>
          <w:rFonts w:hint="eastAsia" w:ascii="方正仿宋_GBK" w:hAnsi="方正仿宋_GBK" w:eastAsia="方正仿宋_GBK" w:cs="方正仿宋_GBK"/>
          <w:b w:val="0"/>
          <w:bCs w:val="0"/>
          <w:color w:val="000000"/>
          <w:sz w:val="32"/>
          <w:szCs w:val="32"/>
        </w:rPr>
        <w:t>聚焦教育发展的重点、难点和热点问题，全面深化改革，提升教育服务能力，</w:t>
      </w:r>
      <w:r>
        <w:rPr>
          <w:rFonts w:ascii="Times New Roman" w:hAnsi="Times New Roman" w:eastAsia="方正仿宋_GBK"/>
          <w:b w:val="0"/>
          <w:bCs w:val="0"/>
          <w:sz w:val="32"/>
          <w:szCs w:val="32"/>
        </w:rPr>
        <w:t>建设</w:t>
      </w:r>
      <w:r>
        <w:rPr>
          <w:rFonts w:hint="eastAsia" w:ascii="Times New Roman" w:hAnsi="Times New Roman" w:eastAsia="方正仿宋_GBK"/>
          <w:b w:val="0"/>
          <w:bCs w:val="0"/>
          <w:sz w:val="32"/>
          <w:szCs w:val="32"/>
        </w:rPr>
        <w:t>优质</w:t>
      </w:r>
      <w:r>
        <w:rPr>
          <w:rFonts w:ascii="Times New Roman" w:hAnsi="Times New Roman" w:eastAsia="方正仿宋_GBK"/>
          <w:b w:val="0"/>
          <w:bCs w:val="0"/>
          <w:sz w:val="32"/>
          <w:szCs w:val="32"/>
        </w:rPr>
        <w:t>、均衡、多元的教育服务体系，培养德智体美劳全面发展的社会主义建设者和接班人，办好人民满意的教育。</w:t>
      </w:r>
    </w:p>
    <w:p>
      <w:pPr>
        <w:pStyle w:val="13"/>
        <w:keepNext w:val="0"/>
        <w:keepLines w:val="0"/>
        <w:pageBreakBefore w:val="0"/>
        <w:widowControl w:val="0"/>
        <w:kinsoku/>
        <w:wordWrap/>
        <w:overflowPunct/>
        <w:topLinePunct w:val="0"/>
        <w:autoSpaceDE/>
        <w:autoSpaceDN/>
        <w:bidi w:val="0"/>
        <w:adjustRightInd w:val="0"/>
        <w:snapToGrid w:val="0"/>
        <w:spacing w:after="0" w:line="288" w:lineRule="auto"/>
        <w:ind w:firstLine="640" w:firstLineChars="200"/>
        <w:jc w:val="both"/>
        <w:rPr>
          <w:rFonts w:ascii="Times New Roman" w:hAnsi="Times New Roman" w:eastAsia="方正仿宋_GBK"/>
          <w:b w:val="0"/>
          <w:bCs w:val="0"/>
          <w:sz w:val="32"/>
          <w:szCs w:val="32"/>
        </w:rPr>
      </w:pPr>
      <w:r>
        <w:rPr>
          <w:rFonts w:ascii="Times New Roman" w:hAnsi="Times New Roman" w:eastAsia="方正仿宋_GBK"/>
          <w:b w:val="0"/>
          <w:bCs w:val="0"/>
          <w:color w:val="000000"/>
          <w:sz w:val="32"/>
          <w:szCs w:val="32"/>
        </w:rPr>
        <w:t>到2025年，初步实现教育现代化</w:t>
      </w:r>
      <w:r>
        <w:rPr>
          <w:rFonts w:hint="eastAsia" w:ascii="Times New Roman" w:hAnsi="Times New Roman" w:eastAsia="方正仿宋_GBK"/>
          <w:b w:val="0"/>
          <w:bCs w:val="0"/>
          <w:sz w:val="32"/>
          <w:szCs w:val="32"/>
        </w:rPr>
        <w:t>，</w:t>
      </w:r>
      <w:r>
        <w:rPr>
          <w:rFonts w:ascii="Times New Roman" w:hAnsi="Times New Roman" w:eastAsia="方正仿宋_GBK"/>
          <w:b w:val="0"/>
          <w:bCs w:val="0"/>
          <w:color w:val="000000"/>
          <w:sz w:val="32"/>
          <w:szCs w:val="32"/>
        </w:rPr>
        <w:t>建成国家学前教育普及普惠区</w:t>
      </w:r>
      <w:r>
        <w:rPr>
          <w:rFonts w:hint="eastAsia" w:ascii="Times New Roman" w:hAnsi="Times New Roman" w:eastAsia="方正仿宋_GBK"/>
          <w:b w:val="0"/>
          <w:bCs w:val="0"/>
          <w:color w:val="000000"/>
          <w:sz w:val="32"/>
          <w:szCs w:val="32"/>
        </w:rPr>
        <w:t>，加快建设</w:t>
      </w:r>
      <w:r>
        <w:rPr>
          <w:rFonts w:ascii="Times New Roman" w:hAnsi="Times New Roman" w:eastAsia="方正仿宋_GBK"/>
          <w:b w:val="0"/>
          <w:bCs w:val="0"/>
          <w:color w:val="000000"/>
          <w:sz w:val="32"/>
          <w:szCs w:val="32"/>
        </w:rPr>
        <w:t>全国义务教育优质均衡发展区、全国智慧教育示范区</w:t>
      </w:r>
      <w:r>
        <w:rPr>
          <w:rFonts w:hint="eastAsia" w:ascii="Times New Roman" w:hAnsi="Times New Roman" w:eastAsia="方正仿宋_GBK"/>
          <w:b w:val="0"/>
          <w:bCs w:val="0"/>
          <w:color w:val="000000"/>
          <w:sz w:val="32"/>
          <w:szCs w:val="32"/>
        </w:rPr>
        <w:t>。</w:t>
      </w:r>
      <w:r>
        <w:rPr>
          <w:rFonts w:ascii="Times New Roman" w:hAnsi="Times New Roman" w:eastAsia="方正仿宋_GBK"/>
          <w:b w:val="0"/>
          <w:bCs w:val="0"/>
          <w:color w:val="000000"/>
          <w:sz w:val="32"/>
          <w:szCs w:val="32"/>
        </w:rPr>
        <w:t>区域教育公共服务均等化水平、教育现代化治理体系能力全面提升，教育现代化建设和高质量发展取得明显进展，人民群众对教育的满意度不断提升，教育服务地方经济社会发展的能力显著提高。</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二</w:t>
      </w:r>
      <w:r>
        <w:rPr>
          <w:rFonts w:ascii="Times New Roman" w:hAnsi="Times New Roman" w:eastAsia="方正黑体_GBK"/>
          <w:b w:val="0"/>
          <w:bCs w:val="0"/>
          <w:sz w:val="32"/>
          <w:szCs w:val="32"/>
        </w:rPr>
        <w:t>、重点任务</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（一）全面落实立德树人根本任务</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方正仿宋_GBK" w:hAnsi="方正仿宋_GBK" w:eastAsia="方正仿宋_GBK" w:cs="方正仿宋_GBK"/>
          <w:b w:val="0"/>
          <w:bCs w:val="0"/>
          <w:color w:val="000000"/>
          <w:sz w:val="32"/>
          <w:szCs w:val="32"/>
        </w:rPr>
        <w:t>全面落实习近平新时代中国特色社会主义思想进教材进课堂进头脑。</w:t>
      </w:r>
      <w:r>
        <w:rPr>
          <w:rFonts w:ascii="Times New Roman" w:hAnsi="Times New Roman" w:eastAsia="方正仿宋_GBK"/>
          <w:b w:val="0"/>
          <w:bCs w:val="0"/>
          <w:sz w:val="32"/>
          <w:szCs w:val="32"/>
        </w:rPr>
        <w:t>扎实开展爱国主义教育和未成年人思想道德建设</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深入推进大中小一体化思政课建设。坚持</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五育</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并举，构建全面育人培养体系</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深入推进学校体育工作，开足开好体育课程，确保学生</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每天锻炼一小时</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和</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每人熟练掌握1-2项以上运动技能</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目标落实，到2025年，培育体育特色学校40所，学生体质健康合格率</w:t>
      </w:r>
      <w:r>
        <w:rPr>
          <w:rFonts w:hint="eastAsia" w:ascii="Times New Roman" w:hAnsi="Times New Roman" w:eastAsia="方正仿宋_GBK"/>
          <w:b w:val="0"/>
          <w:bCs w:val="0"/>
          <w:sz w:val="32"/>
          <w:szCs w:val="32"/>
        </w:rPr>
        <w:t>不低于重庆平均水平</w:t>
      </w:r>
      <w:r>
        <w:rPr>
          <w:rFonts w:ascii="Times New Roman" w:hAnsi="Times New Roman" w:eastAsia="方正仿宋_GBK"/>
          <w:b w:val="0"/>
          <w:bCs w:val="0"/>
          <w:sz w:val="32"/>
          <w:szCs w:val="32"/>
        </w:rPr>
        <w:t>。抓实学校美育工作，建立健全集课堂教学、课外活动、校园文化于一体的美育新模式，逐步形成</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一校一品、一校多品</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校园美育品牌。到2025年，建成书香校园80所，培育美育特色学校40所</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将劳动教育纳入人才培养全过程，统筹劳动教育课程设置，落实中小学劳动教育课每周不少于1课时的要求，指导不同学段学生每年有针对性地学会1至2项生活技能。创设劳动教育实践特色项目100个，培育劳动教育品牌3-5个。重视心理健康教育，加强中小学心理健康教育联防联控，完善覆盖中小幼全学段师生的心理健康专业化</w:t>
      </w:r>
      <w:r>
        <w:rPr>
          <w:rFonts w:hint="eastAsia" w:ascii="Times New Roman" w:hAnsi="Times New Roman" w:eastAsia="方正仿宋_GBK"/>
          <w:b w:val="0"/>
          <w:bCs w:val="0"/>
          <w:sz w:val="32"/>
          <w:szCs w:val="32"/>
        </w:rPr>
        <w:t>服务</w:t>
      </w:r>
      <w:r>
        <w:rPr>
          <w:rFonts w:ascii="Times New Roman" w:hAnsi="Times New Roman" w:eastAsia="方正仿宋_GBK"/>
          <w:b w:val="0"/>
          <w:bCs w:val="0"/>
          <w:sz w:val="32"/>
          <w:szCs w:val="32"/>
        </w:rPr>
        <w:t>体系，开设师生和家长心理咨询热线平台，广泛开展心理健康服务。</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（二）推进学前教育普及普惠发展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b w:val="0"/>
          <w:bCs w:val="0"/>
        </w:rPr>
      </w:pPr>
      <w:r>
        <w:rPr>
          <w:rFonts w:ascii="Times New Roman" w:hAnsi="Times New Roman" w:eastAsia="方正仿宋_GBK"/>
          <w:b w:val="0"/>
          <w:bCs w:val="0"/>
          <w:sz w:val="32"/>
          <w:szCs w:val="32"/>
        </w:rPr>
        <w:t>探索学前教育片区管理新模式，以市级示范园为龙头，带动薄弱园发展</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以镇街公办中心园为引领，实施片区教研，促进公民办</w:t>
      </w:r>
      <w:r>
        <w:rPr>
          <w:rFonts w:hint="eastAsia" w:ascii="Times New Roman" w:hAnsi="Times New Roman" w:eastAsia="方正仿宋_GBK"/>
          <w:b w:val="0"/>
          <w:bCs w:val="0"/>
          <w:sz w:val="32"/>
          <w:szCs w:val="32"/>
        </w:rPr>
        <w:t>协同</w:t>
      </w:r>
      <w:r>
        <w:rPr>
          <w:rFonts w:ascii="Times New Roman" w:hAnsi="Times New Roman" w:eastAsia="方正仿宋_GBK"/>
          <w:b w:val="0"/>
          <w:bCs w:val="0"/>
          <w:sz w:val="32"/>
          <w:szCs w:val="32"/>
        </w:rPr>
        <w:t>发展。优化布局与办园结构，大力发展公办幼儿园，充分发挥公办园保基本、兜底线、引方向、抑收费的主渠道作用，着力构建以普惠性资源为主体的办园体系，全面提升保教质量。</w:t>
      </w:r>
      <w:r>
        <w:rPr>
          <w:rFonts w:hint="eastAsia" w:ascii="Times New Roman" w:hAnsi="Times New Roman" w:eastAsia="方正仿宋_GBK"/>
          <w:b w:val="0"/>
          <w:bCs w:val="0"/>
          <w:sz w:val="32"/>
          <w:szCs w:val="32"/>
        </w:rPr>
        <w:t>健全园长、教师、保育员准入制度，加强在职人员培训，每年参培教师达1000人次以上，确保教职员工持证率达100％。根据全区幼儿人数变化情况，加强编制动态管理，优化事业单位编制结构，逐步补足公办幼儿园教师编制，合理保障非在编教师待遇。科学规划城区学前教育资源布局，通过新建、改扩建、城镇小区配套幼儿园治理等多途径扩大公办资源供给，到2024年新增公办学位5280个，确保如期通过国家学前教育普及普惠区验收。</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（三）推进义务教育优质均衡发展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b w:val="0"/>
          <w:bCs w:val="0"/>
        </w:rPr>
      </w:pPr>
      <w:r>
        <w:rPr>
          <w:rFonts w:hint="eastAsia" w:ascii="Times New Roman" w:hAnsi="Times New Roman" w:eastAsia="方正仿宋_GBK"/>
          <w:b w:val="0"/>
          <w:bCs w:val="0"/>
          <w:sz w:val="32"/>
          <w:szCs w:val="32"/>
        </w:rPr>
        <w:t>扩充义务教育资源，统筹城乡义务教育一体化发展，改善薄弱学校办学条件，不断提高生均占有教育资源水平。</w:t>
      </w:r>
      <w:r>
        <w:rPr>
          <w:rFonts w:ascii="Times New Roman" w:hAnsi="Times New Roman" w:eastAsia="方正仿宋_GBK"/>
          <w:b w:val="0"/>
          <w:bCs w:val="0"/>
          <w:sz w:val="32"/>
          <w:szCs w:val="32"/>
        </w:rPr>
        <w:t>根据学龄人口变化趋势动态调控城乡教育资源布局</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对招生困难的农村</w:t>
      </w:r>
      <w:r>
        <w:rPr>
          <w:rFonts w:hint="eastAsia" w:ascii="Times New Roman" w:hAnsi="Times New Roman" w:eastAsia="方正仿宋_GBK"/>
          <w:b w:val="0"/>
          <w:bCs w:val="0"/>
          <w:sz w:val="32"/>
          <w:szCs w:val="32"/>
        </w:rPr>
        <w:t>初中、</w:t>
      </w:r>
      <w:r>
        <w:rPr>
          <w:rFonts w:ascii="Times New Roman" w:hAnsi="Times New Roman" w:eastAsia="方正仿宋_GBK"/>
          <w:b w:val="0"/>
          <w:bCs w:val="0"/>
          <w:sz w:val="32"/>
          <w:szCs w:val="32"/>
        </w:rPr>
        <w:t>小学、村小和教学点进行优化</w:t>
      </w:r>
      <w:r>
        <w:rPr>
          <w:rFonts w:hint="eastAsia" w:ascii="Times New Roman" w:hAnsi="Times New Roman" w:eastAsia="方正仿宋_GBK"/>
          <w:b w:val="0"/>
          <w:bCs w:val="0"/>
          <w:sz w:val="32"/>
          <w:szCs w:val="32"/>
        </w:rPr>
        <w:t>整合</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加快</w:t>
      </w:r>
      <w:r>
        <w:rPr>
          <w:rFonts w:ascii="Times New Roman" w:hAnsi="Times New Roman" w:eastAsia="方正仿宋_GBK"/>
          <w:b w:val="0"/>
          <w:bCs w:val="0"/>
          <w:sz w:val="32"/>
          <w:szCs w:val="32"/>
        </w:rPr>
        <w:t>学校建设</w:t>
      </w:r>
      <w:r>
        <w:rPr>
          <w:rFonts w:hint="eastAsia" w:ascii="Times New Roman" w:hAnsi="Times New Roman" w:eastAsia="方正仿宋_GBK"/>
          <w:b w:val="0"/>
          <w:bCs w:val="0"/>
          <w:sz w:val="32"/>
          <w:szCs w:val="32"/>
        </w:rPr>
        <w:t>，到</w:t>
      </w:r>
      <w:r>
        <w:rPr>
          <w:rFonts w:ascii="Times New Roman" w:hAnsi="Times New Roman" w:eastAsia="方正仿宋_GBK"/>
          <w:b w:val="0"/>
          <w:bCs w:val="0"/>
          <w:sz w:val="32"/>
          <w:szCs w:val="32"/>
        </w:rPr>
        <w:t>2025年，新建、改扩建中小学</w:t>
      </w:r>
      <w:r>
        <w:rPr>
          <w:rFonts w:hint="eastAsia" w:ascii="Times New Roman" w:hAnsi="Times New Roman" w:eastAsia="方正仿宋_GBK"/>
          <w:b w:val="0"/>
          <w:bCs w:val="0"/>
          <w:sz w:val="32"/>
          <w:szCs w:val="32"/>
        </w:rPr>
        <w:t>21</w:t>
      </w:r>
      <w:r>
        <w:rPr>
          <w:rFonts w:ascii="Times New Roman" w:hAnsi="Times New Roman" w:eastAsia="方正仿宋_GBK"/>
          <w:b w:val="0"/>
          <w:bCs w:val="0"/>
          <w:sz w:val="32"/>
          <w:szCs w:val="32"/>
        </w:rPr>
        <w:t>所，新增学位</w:t>
      </w:r>
      <w:r>
        <w:rPr>
          <w:rFonts w:hint="eastAsia" w:ascii="Times New Roman" w:hAnsi="Times New Roman" w:eastAsia="方正仿宋_GBK"/>
          <w:b w:val="0"/>
          <w:bCs w:val="0"/>
          <w:sz w:val="32"/>
          <w:szCs w:val="32"/>
        </w:rPr>
        <w:t>28</w:t>
      </w:r>
      <w:r>
        <w:rPr>
          <w:rFonts w:ascii="Times New Roman" w:hAnsi="Times New Roman" w:eastAsia="方正仿宋_GBK"/>
          <w:b w:val="0"/>
          <w:bCs w:val="0"/>
          <w:sz w:val="32"/>
          <w:szCs w:val="32"/>
        </w:rPr>
        <w:t>800个</w:t>
      </w:r>
      <w:r>
        <w:rPr>
          <w:rFonts w:hint="eastAsia" w:ascii="Times New Roman" w:hAnsi="Times New Roman" w:eastAsia="方正仿宋_GBK"/>
          <w:b w:val="0"/>
          <w:bCs w:val="0"/>
          <w:sz w:val="32"/>
          <w:szCs w:val="32"/>
        </w:rPr>
        <w:t>，</w:t>
      </w:r>
      <w:r>
        <w:rPr>
          <w:rFonts w:hint="eastAsia" w:ascii="Times New Roman" w:hAnsi="Times New Roman" w:eastAsia="方正仿宋_GBK"/>
          <w:b w:val="0"/>
          <w:bCs w:val="0"/>
          <w:sz w:val="32"/>
          <w:szCs w:val="32"/>
          <w:shd w:val="clear" w:color="auto" w:fill="FFFFFF"/>
          <w:lang w:bidi="ar"/>
        </w:rPr>
        <w:t>不断化解义务教育</w:t>
      </w:r>
      <w:r>
        <w:rPr>
          <w:rFonts w:hint="eastAsia" w:ascii="Times New Roman" w:hAnsi="Times New Roman" w:eastAsia="方正仿宋_GBK"/>
          <w:b w:val="0"/>
          <w:bCs w:val="0"/>
          <w:sz w:val="32"/>
          <w:szCs w:val="32"/>
          <w:shd w:val="clear" w:color="auto" w:fill="FFFFFF"/>
          <w:lang w:eastAsia="zh-CN" w:bidi="ar"/>
        </w:rPr>
        <w:t>“</w:t>
      </w:r>
      <w:r>
        <w:rPr>
          <w:rFonts w:hint="eastAsia" w:ascii="Times New Roman" w:hAnsi="Times New Roman" w:eastAsia="方正仿宋_GBK"/>
          <w:b w:val="0"/>
          <w:bCs w:val="0"/>
          <w:sz w:val="32"/>
          <w:szCs w:val="32"/>
          <w:shd w:val="clear" w:color="auto" w:fill="FFFFFF"/>
          <w:lang w:bidi="ar"/>
        </w:rPr>
        <w:t>大校额</w:t>
      </w:r>
      <w:r>
        <w:rPr>
          <w:rFonts w:hint="eastAsia" w:ascii="Times New Roman" w:hAnsi="Times New Roman" w:eastAsia="方正仿宋_GBK"/>
          <w:b w:val="0"/>
          <w:bCs w:val="0"/>
          <w:sz w:val="32"/>
          <w:szCs w:val="32"/>
          <w:shd w:val="clear" w:color="auto" w:fill="FFFFFF"/>
          <w:lang w:eastAsia="zh-CN" w:bidi="ar"/>
        </w:rPr>
        <w:t>”“</w:t>
      </w:r>
      <w:r>
        <w:rPr>
          <w:rFonts w:hint="eastAsia" w:ascii="Times New Roman" w:hAnsi="Times New Roman" w:eastAsia="方正仿宋_GBK"/>
          <w:b w:val="0"/>
          <w:bCs w:val="0"/>
          <w:sz w:val="32"/>
          <w:szCs w:val="32"/>
          <w:shd w:val="clear" w:color="auto" w:fill="FFFFFF"/>
          <w:lang w:bidi="ar"/>
        </w:rPr>
        <w:t>大班额</w:t>
      </w:r>
      <w:r>
        <w:rPr>
          <w:rFonts w:hint="eastAsia" w:ascii="Times New Roman" w:hAnsi="Times New Roman" w:eastAsia="方正仿宋_GBK"/>
          <w:b w:val="0"/>
          <w:bCs w:val="0"/>
          <w:sz w:val="32"/>
          <w:szCs w:val="32"/>
          <w:shd w:val="clear" w:color="auto" w:fill="FFFFFF"/>
          <w:lang w:eastAsia="zh-CN" w:bidi="ar"/>
        </w:rPr>
        <w:t>”</w:t>
      </w:r>
      <w:r>
        <w:rPr>
          <w:rFonts w:hint="eastAsia" w:ascii="Times New Roman" w:hAnsi="Times New Roman" w:eastAsia="方正仿宋_GBK"/>
          <w:b w:val="0"/>
          <w:bCs w:val="0"/>
          <w:sz w:val="32"/>
          <w:szCs w:val="32"/>
          <w:shd w:val="clear" w:color="auto" w:fill="FFFFFF"/>
          <w:lang w:bidi="ar"/>
        </w:rPr>
        <w:t>。</w:t>
      </w:r>
      <w:r>
        <w:rPr>
          <w:rFonts w:hint="eastAsia" w:ascii="Times New Roman" w:hAnsi="Times New Roman" w:eastAsia="方正仿宋_GBK"/>
          <w:b w:val="0"/>
          <w:bCs w:val="0"/>
          <w:sz w:val="32"/>
          <w:szCs w:val="32"/>
        </w:rPr>
        <w:t>做大区域内优质教育增量，</w:t>
      </w:r>
      <w:r>
        <w:rPr>
          <w:rFonts w:hint="eastAsia" w:ascii="Times New Roman" w:hAnsi="Times New Roman" w:eastAsia="方正仿宋_GBK"/>
          <w:b w:val="0"/>
          <w:bCs w:val="0"/>
          <w:sz w:val="32"/>
          <w:szCs w:val="32"/>
          <w:shd w:val="clear" w:color="auto" w:fill="FFFFFF"/>
          <w:lang w:bidi="ar"/>
        </w:rPr>
        <w:t>推动优质教育集群发展，充分发</w:t>
      </w:r>
      <w:r>
        <w:rPr>
          <w:rFonts w:hint="eastAsia" w:ascii="Times New Roman" w:hAnsi="Times New Roman" w:eastAsia="方正仿宋_GBK" w:cs="宋体"/>
          <w:b w:val="0"/>
          <w:bCs w:val="0"/>
          <w:sz w:val="32"/>
          <w:szCs w:val="32"/>
          <w:shd w:val="clear" w:color="auto" w:fill="FFFFFF"/>
          <w:lang w:bidi="ar"/>
        </w:rPr>
        <w:t>挥优质教育资源的示范、辐射和带动作用，大力推进义务教育集团化办学创新发展，通过多路径、多形式增加基础教育优质资源供给。</w:t>
      </w:r>
      <w:r>
        <w:rPr>
          <w:rFonts w:ascii="Times New Roman" w:hAnsi="Times New Roman" w:eastAsia="方正仿宋_GBK"/>
          <w:b w:val="0"/>
          <w:bCs w:val="0"/>
          <w:sz w:val="32"/>
          <w:szCs w:val="32"/>
        </w:rPr>
        <w:t xml:space="preserve">通过实施城乡中小学特色学校发展项目，推进 </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一校一品</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全面覆盖。深化义务教育课程、教学、评价、管理改革，</w:t>
      </w:r>
      <w:r>
        <w:rPr>
          <w:rFonts w:hint="eastAsia" w:ascii="Times New Roman" w:hAnsi="Times New Roman" w:eastAsia="方正仿宋_GBK"/>
          <w:b w:val="0"/>
          <w:bCs w:val="0"/>
          <w:sz w:val="32"/>
          <w:szCs w:val="32"/>
        </w:rPr>
        <w:t>分层分类</w:t>
      </w:r>
      <w:r>
        <w:rPr>
          <w:rFonts w:ascii="Times New Roman" w:hAnsi="Times New Roman" w:eastAsia="方正仿宋_GBK"/>
          <w:b w:val="0"/>
          <w:bCs w:val="0"/>
          <w:sz w:val="32"/>
          <w:szCs w:val="32"/>
        </w:rPr>
        <w:t>建立以发展素质教育为导向的科学评价体系。创新教学方式，推进智慧教学应用，融合传统与现代技术教学手段，</w:t>
      </w:r>
      <w:r>
        <w:rPr>
          <w:rFonts w:hint="eastAsia" w:ascii="Times New Roman" w:hAnsi="Times New Roman" w:eastAsia="方正仿宋_GBK"/>
          <w:b w:val="0"/>
          <w:bCs w:val="0"/>
          <w:sz w:val="32"/>
          <w:szCs w:val="32"/>
        </w:rPr>
        <w:t>实现城乡优质教育资源共享</w:t>
      </w:r>
      <w:r>
        <w:rPr>
          <w:rFonts w:ascii="Times New Roman" w:hAnsi="Times New Roman" w:eastAsia="方正仿宋_GBK"/>
          <w:b w:val="0"/>
          <w:bCs w:val="0"/>
          <w:sz w:val="32"/>
          <w:szCs w:val="32"/>
        </w:rPr>
        <w:t>；基于学科的课程综合化教学，积极开展研究型、项目化、合作式学习，全面提高义务教育阶段教育质量。</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（四）推进普通高中多样特色发展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优化普通高中布局规划，改善普通高中办学条件，建成萱花中学凤凰湖校区。</w:t>
      </w:r>
      <w:r>
        <w:rPr>
          <w:rFonts w:ascii="Times New Roman" w:hAnsi="Times New Roman" w:eastAsia="方正仿宋_GBK"/>
          <w:b w:val="0"/>
          <w:bCs w:val="0"/>
          <w:sz w:val="32"/>
          <w:szCs w:val="32"/>
        </w:rPr>
        <w:t>优化课程教材实施，落实普通高中新课程实施方案，严格按照《重庆市普通高中课程设置及课时安排》开设课程。加强学校校本选修课程建设。建设市级普通高中新课程新教材实施示范校4所。开展生涯规划教育，加强学生发展指导。加强分类分层教学指导，建立规范有序、科学高效的选课走班运行机制。全面落实重庆市普通高中学科课程教学实施指导意见。优化普通高中综合素质评价，做好普通高中学业水平考试工作。持续推进普通高中发展促进计划。持续推进学科课程创新基地、精品选修课程、优秀学生社团等项目建设，到2025年，全区建成普通高中市级课程创新基地5个、校本教研基地4个、精品选修课程30门、优秀学生社团18个。</w:t>
      </w:r>
      <w:r>
        <w:rPr>
          <w:rFonts w:hint="eastAsia" w:ascii="Times New Roman" w:hAnsi="Times New Roman" w:eastAsia="方正仿宋_GBK"/>
          <w:b w:val="0"/>
          <w:bCs w:val="0"/>
          <w:sz w:val="32"/>
          <w:szCs w:val="32"/>
        </w:rPr>
        <w:t>实施普通高中示范提质工程，加快推进永川中学一流高中建设，支持枫叶国际学校打造西南地区一流国际学校。</w:t>
      </w:r>
      <w:r>
        <w:rPr>
          <w:rFonts w:ascii="Times New Roman" w:hAnsi="Times New Roman" w:eastAsia="方正仿宋_GBK"/>
          <w:b w:val="0"/>
          <w:bCs w:val="0"/>
          <w:sz w:val="32"/>
          <w:szCs w:val="32"/>
        </w:rPr>
        <w:t>实施高中分类管理。针对生源结构，因材施教，永川中学、萱花中学、北山中学重点培养文化综合类学生，力争为双一流高校输送更多优秀人才。加强永川中学高水平美术班、文理附中艺体集中班、双石中学舞蹈武术班、景圣中学摔跤柔道班等学生管理</w:t>
      </w:r>
      <w:r>
        <w:rPr>
          <w:rFonts w:hint="eastAsia" w:ascii="Times New Roman" w:hAnsi="Times New Roman" w:eastAsia="方正仿宋_GBK"/>
          <w:b w:val="0"/>
          <w:bCs w:val="0"/>
          <w:sz w:val="32"/>
          <w:szCs w:val="32"/>
        </w:rPr>
        <w:t>和</w:t>
      </w:r>
      <w:r>
        <w:rPr>
          <w:rFonts w:ascii="Times New Roman" w:hAnsi="Times New Roman" w:eastAsia="方正仿宋_GBK"/>
          <w:b w:val="0"/>
          <w:bCs w:val="0"/>
          <w:sz w:val="32"/>
          <w:szCs w:val="32"/>
        </w:rPr>
        <w:t>师资配置，提升培养质量。</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推动特殊教育和民办教育有序发展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ascii="Times New Roman" w:hAnsi="Times New Roman" w:eastAsia="方正仿宋_GBK"/>
          <w:b w:val="0"/>
          <w:bCs w:val="0"/>
          <w:sz w:val="32"/>
          <w:szCs w:val="32"/>
        </w:rPr>
        <w:t>通过普通学校</w:t>
      </w:r>
      <w:r>
        <w:rPr>
          <w:rFonts w:hint="eastAsia" w:ascii="Times New Roman" w:hAnsi="Times New Roman" w:eastAsia="方正仿宋_GBK"/>
          <w:b w:val="0"/>
          <w:bCs w:val="0"/>
          <w:sz w:val="32"/>
          <w:szCs w:val="32"/>
        </w:rPr>
        <w:t>送教上门</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随班就读、</w:t>
      </w:r>
      <w:r>
        <w:rPr>
          <w:rFonts w:ascii="Times New Roman" w:hAnsi="Times New Roman" w:eastAsia="方正仿宋_GBK"/>
          <w:b w:val="0"/>
          <w:bCs w:val="0"/>
          <w:sz w:val="32"/>
          <w:szCs w:val="32"/>
        </w:rPr>
        <w:t>特殊教育学校</w:t>
      </w:r>
      <w:r>
        <w:rPr>
          <w:rFonts w:hint="eastAsia" w:ascii="Times New Roman" w:hAnsi="Times New Roman" w:eastAsia="方正仿宋_GBK"/>
          <w:b w:val="0"/>
          <w:bCs w:val="0"/>
          <w:sz w:val="32"/>
          <w:szCs w:val="32"/>
        </w:rPr>
        <w:t>集中</w:t>
      </w:r>
      <w:r>
        <w:rPr>
          <w:rFonts w:ascii="Times New Roman" w:hAnsi="Times New Roman" w:eastAsia="方正仿宋_GBK"/>
          <w:b w:val="0"/>
          <w:bCs w:val="0"/>
          <w:sz w:val="32"/>
          <w:szCs w:val="32"/>
        </w:rPr>
        <w:t>就读等多种方式，逐一做好适龄残疾儿童入学安置工作。建设特殊教育资源教室，规范开展随班就读残疾学生个别化教育和康复训练。开展特殊教育教师教学基本功展示和融合教育优秀教育教学案例遴选活动，全面提升特殊教育教师和融合教育教师综合素质、专业水平和育人能力，促进我区特殊教育高质量发展。到2025年，全区建成特殊教育资源教室30间。支持民办教育健康有序发展。健全对营利性与非营利民办学校的分类监管机制，支持和规范社会力量依法办学。建立民办学校内涵发展、特色发展引导机制，持续提升民办学校办学质量。规范民办学校办学行为，健全民办学校评价体系和退出机制。</w:t>
      </w:r>
    </w:p>
    <w:p>
      <w:pPr>
        <w:keepNext w:val="0"/>
        <w:keepLines w:val="0"/>
        <w:pageBreakBefore w:val="0"/>
        <w:widowControl w:val="0"/>
        <w:kinsoku/>
        <w:wordWrap/>
        <w:overflowPunct/>
        <w:topLinePunct w:val="0"/>
        <w:autoSpaceDE/>
        <w:autoSpaceDN/>
        <w:bidi w:val="0"/>
        <w:adjustRightInd w:val="0"/>
        <w:snapToGrid w:val="0"/>
        <w:spacing w:line="288" w:lineRule="auto"/>
        <w:ind w:firstLine="616" w:firstLineChars="200"/>
        <w:jc w:val="both"/>
        <w:rPr>
          <w:rFonts w:ascii="Times New Roman" w:hAnsi="Times New Roman" w:eastAsia="方正仿宋_GBK"/>
          <w:b w:val="0"/>
          <w:bCs w:val="0"/>
          <w:spacing w:val="-6"/>
          <w:sz w:val="32"/>
          <w:szCs w:val="32"/>
        </w:rPr>
      </w:pPr>
      <w:r>
        <w:rPr>
          <w:rFonts w:hint="eastAsia" w:ascii="方正楷体_GBK" w:hAnsi="方正楷体_GBK" w:eastAsia="方正楷体_GBK" w:cs="方正楷体_GBK"/>
          <w:b w:val="0"/>
          <w:bCs w:val="0"/>
          <w:spacing w:val="-6"/>
          <w:sz w:val="32"/>
          <w:szCs w:val="32"/>
        </w:rPr>
        <w:t>（六）建设高素质专业化创新型师资队伍</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Times New Roman" w:hAnsi="Times New Roman" w:eastAsia="方正仿宋_GBK"/>
          <w:b w:val="0"/>
          <w:bCs w:val="0"/>
          <w:sz w:val="32"/>
          <w:szCs w:val="32"/>
        </w:rPr>
      </w:pPr>
      <w:r>
        <w:rPr>
          <w:rFonts w:ascii="Times New Roman" w:hAnsi="Times New Roman" w:eastAsia="方正仿宋_GBK"/>
          <w:b w:val="0"/>
          <w:bCs w:val="0"/>
          <w:sz w:val="32"/>
          <w:szCs w:val="32"/>
        </w:rPr>
        <w:t>全面提升教师队伍思想政治素质，引导广大教师强化理想信念，坚定</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四个自信</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。完善师德师风建设制度体系和师德师风建设长效机制</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优化师德师风建设考核实施细则，严格落实师德师风负面清单制度、师德失范惩戒制度。</w:t>
      </w:r>
      <w:r>
        <w:rPr>
          <w:rFonts w:hint="eastAsia" w:eastAsia="方正仿宋_GBK"/>
          <w:b w:val="0"/>
          <w:bCs w:val="0"/>
          <w:sz w:val="32"/>
          <w:szCs w:val="32"/>
        </w:rPr>
        <w:t>持续推进</w:t>
      </w:r>
      <w:r>
        <w:rPr>
          <w:rFonts w:eastAsia="方正仿宋_GBK"/>
          <w:b w:val="0"/>
          <w:bCs w:val="0"/>
          <w:sz w:val="32"/>
          <w:szCs w:val="32"/>
        </w:rPr>
        <w:t>名师、名班主任、名校长建设</w:t>
      </w:r>
      <w:r>
        <w:rPr>
          <w:rFonts w:hint="eastAsia" w:eastAsia="方正仿宋_GBK"/>
          <w:b w:val="0"/>
          <w:bCs w:val="0"/>
          <w:sz w:val="32"/>
          <w:szCs w:val="32"/>
        </w:rPr>
        <w:t>工程，实施</w:t>
      </w:r>
      <w:r>
        <w:rPr>
          <w:rFonts w:hint="eastAsia" w:eastAsia="方正仿宋_GBK"/>
          <w:b w:val="0"/>
          <w:bCs w:val="0"/>
          <w:sz w:val="32"/>
          <w:szCs w:val="32"/>
          <w:lang w:eastAsia="zh-CN"/>
        </w:rPr>
        <w:t>“</w:t>
      </w:r>
      <w:r>
        <w:rPr>
          <w:rFonts w:hint="eastAsia" w:eastAsia="方正仿宋_GBK"/>
          <w:b w:val="0"/>
          <w:bCs w:val="0"/>
          <w:sz w:val="32"/>
          <w:szCs w:val="32"/>
        </w:rPr>
        <w:t>高校+基教</w:t>
      </w:r>
      <w:r>
        <w:rPr>
          <w:rFonts w:hint="eastAsia" w:eastAsia="方正仿宋_GBK"/>
          <w:b w:val="0"/>
          <w:bCs w:val="0"/>
          <w:sz w:val="32"/>
          <w:szCs w:val="32"/>
          <w:lang w:eastAsia="zh-CN"/>
        </w:rPr>
        <w:t>”</w:t>
      </w:r>
      <w:r>
        <w:rPr>
          <w:rFonts w:hint="eastAsia" w:eastAsia="方正仿宋_GBK"/>
          <w:b w:val="0"/>
          <w:bCs w:val="0"/>
          <w:sz w:val="32"/>
          <w:szCs w:val="32"/>
        </w:rPr>
        <w:t>的</w:t>
      </w:r>
      <w:r>
        <w:rPr>
          <w:rFonts w:hint="eastAsia" w:eastAsia="方正仿宋_GBK"/>
          <w:b w:val="0"/>
          <w:bCs w:val="0"/>
          <w:sz w:val="32"/>
          <w:szCs w:val="32"/>
          <w:lang w:eastAsia="zh-CN"/>
        </w:rPr>
        <w:t>“</w:t>
      </w:r>
      <w:r>
        <w:rPr>
          <w:rFonts w:hint="eastAsia" w:eastAsia="方正仿宋_GBK"/>
          <w:b w:val="0"/>
          <w:bCs w:val="0"/>
          <w:sz w:val="32"/>
          <w:szCs w:val="32"/>
        </w:rPr>
        <w:t>三名</w:t>
      </w:r>
      <w:r>
        <w:rPr>
          <w:rFonts w:hint="eastAsia" w:eastAsia="方正仿宋_GBK"/>
          <w:b w:val="0"/>
          <w:bCs w:val="0"/>
          <w:sz w:val="32"/>
          <w:szCs w:val="32"/>
          <w:lang w:eastAsia="zh-CN"/>
        </w:rPr>
        <w:t>”</w:t>
      </w:r>
      <w:r>
        <w:rPr>
          <w:rFonts w:hint="eastAsia" w:eastAsia="方正仿宋_GBK"/>
          <w:b w:val="0"/>
          <w:bCs w:val="0"/>
          <w:sz w:val="32"/>
          <w:szCs w:val="32"/>
        </w:rPr>
        <w:t xml:space="preserve">工程推进策略，加强名师、名班主任、名校长培育，确保常年在建学科名师、名班主任、名校长工作室 </w:t>
      </w:r>
      <w:r>
        <w:rPr>
          <w:rFonts w:ascii="Times New Roman" w:hAnsi="Times New Roman" w:eastAsia="方正仿宋_GBK"/>
          <w:b w:val="0"/>
          <w:bCs w:val="0"/>
          <w:sz w:val="32"/>
          <w:szCs w:val="32"/>
        </w:rPr>
        <w:t>40</w:t>
      </w:r>
      <w:r>
        <w:rPr>
          <w:rFonts w:hint="eastAsia" w:eastAsia="方正仿宋_GBK"/>
          <w:b w:val="0"/>
          <w:bCs w:val="0"/>
          <w:sz w:val="32"/>
          <w:szCs w:val="32"/>
        </w:rPr>
        <w:t>个，形成</w:t>
      </w:r>
      <w:r>
        <w:rPr>
          <w:rFonts w:hint="eastAsia" w:eastAsia="方正仿宋_GBK"/>
          <w:b w:val="0"/>
          <w:bCs w:val="0"/>
          <w:sz w:val="32"/>
          <w:szCs w:val="32"/>
          <w:lang w:eastAsia="zh-CN"/>
        </w:rPr>
        <w:t>“</w:t>
      </w:r>
      <w:r>
        <w:rPr>
          <w:rFonts w:hint="eastAsia" w:eastAsia="方正仿宋_GBK"/>
          <w:b w:val="0"/>
          <w:bCs w:val="0"/>
          <w:sz w:val="32"/>
          <w:szCs w:val="32"/>
        </w:rPr>
        <w:t>一人影响一校，一校带动一片</w:t>
      </w:r>
      <w:r>
        <w:rPr>
          <w:rFonts w:hint="eastAsia" w:eastAsia="方正仿宋_GBK"/>
          <w:b w:val="0"/>
          <w:bCs w:val="0"/>
          <w:sz w:val="32"/>
          <w:szCs w:val="32"/>
          <w:lang w:eastAsia="zh-CN"/>
        </w:rPr>
        <w:t>”</w:t>
      </w:r>
      <w:r>
        <w:rPr>
          <w:rFonts w:hint="eastAsia" w:eastAsia="方正仿宋_GBK"/>
          <w:b w:val="0"/>
          <w:bCs w:val="0"/>
          <w:sz w:val="32"/>
          <w:szCs w:val="32"/>
        </w:rPr>
        <w:t>、</w:t>
      </w:r>
      <w:r>
        <w:rPr>
          <w:rFonts w:hint="eastAsia" w:eastAsia="方正仿宋_GBK"/>
          <w:b w:val="0"/>
          <w:bCs w:val="0"/>
          <w:sz w:val="32"/>
          <w:szCs w:val="32"/>
          <w:lang w:eastAsia="zh-CN"/>
        </w:rPr>
        <w:t>“</w:t>
      </w:r>
      <w:r>
        <w:rPr>
          <w:rFonts w:hint="eastAsia" w:eastAsia="方正仿宋_GBK"/>
          <w:b w:val="0"/>
          <w:bCs w:val="0"/>
          <w:sz w:val="32"/>
          <w:szCs w:val="32"/>
        </w:rPr>
        <w:t>区级辐射片区、学校，进而带动全区</w:t>
      </w:r>
      <w:r>
        <w:rPr>
          <w:rFonts w:hint="eastAsia" w:eastAsia="方正仿宋_GBK"/>
          <w:b w:val="0"/>
          <w:bCs w:val="0"/>
          <w:sz w:val="32"/>
          <w:szCs w:val="32"/>
          <w:lang w:eastAsia="zh-CN"/>
        </w:rPr>
        <w:t>”</w:t>
      </w:r>
      <w:r>
        <w:rPr>
          <w:rFonts w:hint="eastAsia" w:eastAsia="方正仿宋_GBK"/>
          <w:b w:val="0"/>
          <w:bCs w:val="0"/>
          <w:sz w:val="32"/>
          <w:szCs w:val="32"/>
        </w:rPr>
        <w:t>的</w:t>
      </w:r>
      <w:r>
        <w:rPr>
          <w:rFonts w:hint="eastAsia" w:eastAsia="方正仿宋_GBK"/>
          <w:b w:val="0"/>
          <w:bCs w:val="0"/>
          <w:sz w:val="32"/>
          <w:szCs w:val="32"/>
          <w:lang w:eastAsia="zh-CN"/>
        </w:rPr>
        <w:t>“</w:t>
      </w:r>
      <w:r>
        <w:rPr>
          <w:rFonts w:hint="eastAsia" w:eastAsia="方正仿宋_GBK"/>
          <w:b w:val="0"/>
          <w:bCs w:val="0"/>
          <w:sz w:val="32"/>
          <w:szCs w:val="32"/>
        </w:rPr>
        <w:t>三名</w:t>
      </w:r>
      <w:r>
        <w:rPr>
          <w:rFonts w:hint="eastAsia" w:eastAsia="方正仿宋_GBK"/>
          <w:b w:val="0"/>
          <w:bCs w:val="0"/>
          <w:sz w:val="32"/>
          <w:szCs w:val="32"/>
          <w:lang w:eastAsia="zh-CN"/>
        </w:rPr>
        <w:t>”</w:t>
      </w:r>
      <w:r>
        <w:rPr>
          <w:rFonts w:hint="eastAsia" w:eastAsia="方正仿宋_GBK"/>
          <w:b w:val="0"/>
          <w:bCs w:val="0"/>
          <w:sz w:val="32"/>
          <w:szCs w:val="32"/>
        </w:rPr>
        <w:t>工作辐射推进模式，引领推动全区教师专业素养整体提升。推进教师进修学校示范发展，建成教师进修学院。</w:t>
      </w:r>
      <w:r>
        <w:rPr>
          <w:rFonts w:ascii="Times New Roman" w:hAnsi="Times New Roman" w:eastAsia="方正仿宋_GBK"/>
          <w:b w:val="0"/>
          <w:bCs w:val="0"/>
          <w:sz w:val="32"/>
          <w:szCs w:val="32"/>
        </w:rPr>
        <w:t>发挥区教师进修学校教师培训主阵地作用，健全国家、市、区、片区、校五级教师培训体系，聚焦师德养成与学科教学，开展</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全学段、全学科、全体教师</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分层分类专题培训。到2025年，重庆英才（名师名家）1-2人，未来教育家培养对象1人，重庆名师2-3人，市级学科带头人6-7人，市级名校长、名班主任、名师工作室主持人5-7人，市级骨干校长6-8人，市级学科教学名师25-27人，市级骨干教师360-370人，区级名师（名班主任、骨干校长）160-180名，区级骨干教师2000-2100人。</w:t>
      </w:r>
      <w:r>
        <w:rPr>
          <w:rFonts w:hint="eastAsia" w:ascii="Times New Roman" w:hAnsi="Times New Roman" w:eastAsia="方正仿宋_GBK"/>
          <w:b w:val="0"/>
          <w:bCs w:val="0"/>
          <w:sz w:val="32"/>
          <w:szCs w:val="32"/>
        </w:rPr>
        <w:t>有序</w:t>
      </w:r>
      <w:r>
        <w:rPr>
          <w:rFonts w:ascii="Times New Roman" w:hAnsi="Times New Roman" w:eastAsia="方正仿宋_GBK"/>
          <w:b w:val="0"/>
          <w:bCs w:val="0"/>
          <w:sz w:val="32"/>
          <w:szCs w:val="32"/>
        </w:rPr>
        <w:t>推进教师轮岗交流</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加大城区优质校与乡村校、薄弱校之间的师资双向交流力度，</w:t>
      </w:r>
      <w:r>
        <w:rPr>
          <w:rFonts w:hint="eastAsia" w:ascii="Times New Roman" w:hAnsi="Times New Roman" w:eastAsia="方正仿宋_GBK"/>
          <w:b w:val="0"/>
          <w:bCs w:val="0"/>
          <w:sz w:val="32"/>
          <w:szCs w:val="32"/>
        </w:rPr>
        <w:t>每学年交流轮岗教师占符合交流条件教师总数的比例达到20%以上，其中优质师资交流轮岗占交流轮岗教师比例不低于20%，农村学校新入职教师3年内需交流到城区工作至少1年。</w:t>
      </w:r>
      <w:r>
        <w:rPr>
          <w:rFonts w:ascii="Times New Roman" w:hAnsi="Times New Roman" w:eastAsia="方正仿宋_GBK"/>
          <w:b w:val="0"/>
          <w:bCs w:val="0"/>
          <w:sz w:val="32"/>
          <w:szCs w:val="32"/>
        </w:rPr>
        <w:t>增强优秀人才来永任教吸引力</w:t>
      </w:r>
      <w:r>
        <w:rPr>
          <w:rFonts w:hint="eastAsia" w:ascii="Times New Roman" w:hAnsi="Times New Roman" w:eastAsia="方正仿宋_GBK"/>
          <w:b w:val="0"/>
          <w:bCs w:val="0"/>
          <w:sz w:val="32"/>
          <w:szCs w:val="32"/>
        </w:rPr>
        <w:t>，根据每年教职工编制空缺情况，结合教职工队伍建设实际需要，精准实施公费师范生（含学前教育公费师范生）、小学全科教师定向培养计划；按需实施研究生、应届优秀大学毕业生考核招聘、区外优秀教师引进等有关人才项目。</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（七）着力构建智慧教育服务体系</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Times New Roman" w:hAnsi="Times New Roman" w:eastAsia="方正仿宋_GBK"/>
          <w:b w:val="0"/>
          <w:bCs w:val="0"/>
          <w:sz w:val="32"/>
          <w:szCs w:val="32"/>
        </w:rPr>
      </w:pPr>
      <w:r>
        <w:rPr>
          <w:rFonts w:hint="eastAsia" w:ascii="Times New Roman" w:hAnsi="Times New Roman" w:eastAsia="方正仿宋_GBK"/>
          <w:b w:val="0"/>
          <w:bCs w:val="0"/>
          <w:sz w:val="32"/>
          <w:szCs w:val="32"/>
        </w:rPr>
        <w:t>变革创新智慧教学模式，将云计算、大数据、人工智能等新兴信息技术与教育教学关键环节深度融合，实现智慧校园创新示范。以</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人工智能、大数据、音视频</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等技术为基础，将信息技术与教师教研、教师培训、教科研管理等教师发展场景深度融合，构建大数据驱动下的教师发展新机制，助力教师团队建设与教师专业发展。通过建设覆盖全区的人工智能创新教育平台，开展人工智能创新教育，提高学生创新实践能力和信息素养。加快构建智能学习环境，促进信息技术与教育教学融合创新，搭建智慧教学系统，为教师提供人工智能助手，为学生提供人工智能学伴，实现课堂师生互动、生生互动，促进学生深度学习，全面提高学生学科核心素养，实现教师精准教，学生个性化学习，助力教育教学提质增效；通过对新高考改革和行政、教务管理系统的升级，打造高效教学管理环境，实现校园管理高效便捷。推进智慧幼教系统建设，建成丰富幼教资源、优质活动课程、教研管理与人工智能、大数据等现代信息技术相结合的AI智慧幼教系统，提升园所幼教水平，全面提升学前教育保教质量，推进学前教育普及普惠安全优质发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（八）持续优化育人生态</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lang w:val="zh-CN"/>
        </w:rPr>
      </w:pPr>
      <w:r>
        <w:rPr>
          <w:rFonts w:ascii="Times New Roman" w:hAnsi="Times New Roman" w:eastAsia="方正仿宋_GBK"/>
          <w:b w:val="0"/>
          <w:bCs w:val="0"/>
          <w:sz w:val="32"/>
          <w:szCs w:val="32"/>
        </w:rPr>
        <w:t>深入推进</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双减</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工作。坚守学校育人主阵地，着力提升课堂教学质量。坚持把高效课堂作为落实</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双减</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重要突破口，认真落实教育部颁布的义务教育课程方案和课程标准（2022年版），突出发展学生核心素养。着力提升作业管理质量。</w:t>
      </w:r>
      <w:r>
        <w:rPr>
          <w:rFonts w:ascii="Times New Roman" w:hAnsi="Times New Roman" w:eastAsia="方正仿宋_GBK"/>
          <w:b w:val="0"/>
          <w:bCs w:val="0"/>
          <w:snapToGrid w:val="0"/>
          <w:sz w:val="32"/>
          <w:szCs w:val="32"/>
          <w:lang w:val="zh-CN" w:bidi="zh-CN"/>
        </w:rPr>
        <w:t>进一步健全作业管理机制，优化作业分层分类实施，</w:t>
      </w:r>
      <w:r>
        <w:rPr>
          <w:rFonts w:ascii="Times New Roman" w:hAnsi="Times New Roman" w:eastAsia="方正仿宋_GBK"/>
          <w:b w:val="0"/>
          <w:bCs w:val="0"/>
          <w:snapToGrid w:val="0"/>
          <w:sz w:val="32"/>
          <w:szCs w:val="32"/>
        </w:rPr>
        <w:t>建立学有困难学生帮扶制度，增强作业设计和实施的针对性、有效性，</w:t>
      </w:r>
      <w:r>
        <w:rPr>
          <w:rFonts w:ascii="Times New Roman" w:hAnsi="Times New Roman" w:eastAsia="方正仿宋_GBK"/>
          <w:b w:val="0"/>
          <w:bCs w:val="0"/>
          <w:snapToGrid w:val="0"/>
          <w:sz w:val="32"/>
          <w:szCs w:val="32"/>
          <w:lang w:val="zh-CN" w:bidi="zh-CN"/>
        </w:rPr>
        <w:t>借助作业改革推动课堂改革。</w:t>
      </w:r>
      <w:r>
        <w:rPr>
          <w:rFonts w:ascii="Times New Roman" w:hAnsi="Times New Roman" w:eastAsia="方正仿宋_GBK"/>
          <w:b w:val="0"/>
          <w:bCs w:val="0"/>
          <w:sz w:val="32"/>
          <w:szCs w:val="32"/>
        </w:rPr>
        <w:t>着力提升课后服务质量。统筹整合校内外优质资源，</w:t>
      </w:r>
      <w:r>
        <w:rPr>
          <w:rFonts w:ascii="Times New Roman" w:hAnsi="Times New Roman" w:eastAsia="方正仿宋_GBK"/>
          <w:b w:val="0"/>
          <w:bCs w:val="0"/>
          <w:snapToGrid w:val="0"/>
          <w:sz w:val="32"/>
          <w:szCs w:val="32"/>
          <w:lang w:val="zh-CN" w:bidi="zh-CN"/>
        </w:rPr>
        <w:t>深入推进</w:t>
      </w:r>
      <w:r>
        <w:rPr>
          <w:rFonts w:hint="eastAsia" w:ascii="Times New Roman" w:hAnsi="Times New Roman" w:eastAsia="方正仿宋_GBK"/>
          <w:b w:val="0"/>
          <w:bCs w:val="0"/>
          <w:snapToGrid w:val="0"/>
          <w:sz w:val="32"/>
          <w:szCs w:val="32"/>
          <w:lang w:val="zh-CN" w:bidi="zh-CN"/>
        </w:rPr>
        <w:t>“</w:t>
      </w:r>
      <w:r>
        <w:rPr>
          <w:rFonts w:ascii="Times New Roman" w:hAnsi="Times New Roman" w:eastAsia="方正仿宋_GBK"/>
          <w:b w:val="0"/>
          <w:bCs w:val="0"/>
          <w:snapToGrid w:val="0"/>
          <w:sz w:val="32"/>
          <w:szCs w:val="32"/>
          <w:lang w:val="zh-CN" w:bidi="zh-CN"/>
        </w:rPr>
        <w:t>百名博士进校园</w:t>
      </w:r>
      <w:r>
        <w:rPr>
          <w:rFonts w:hint="eastAsia" w:ascii="Times New Roman" w:hAnsi="Times New Roman" w:eastAsia="方正仿宋_GBK"/>
          <w:b w:val="0"/>
          <w:bCs w:val="0"/>
          <w:snapToGrid w:val="0"/>
          <w:sz w:val="32"/>
          <w:szCs w:val="32"/>
          <w:lang w:val="zh-CN" w:bidi="zh-CN"/>
        </w:rPr>
        <w:t>”“</w:t>
      </w:r>
      <w:r>
        <w:rPr>
          <w:rFonts w:ascii="Times New Roman" w:hAnsi="Times New Roman" w:eastAsia="方正仿宋_GBK"/>
          <w:b w:val="0"/>
          <w:bCs w:val="0"/>
          <w:snapToGrid w:val="0"/>
          <w:sz w:val="32"/>
          <w:szCs w:val="32"/>
          <w:lang w:val="zh-CN" w:bidi="zh-CN"/>
        </w:rPr>
        <w:t>百门职育课程进</w:t>
      </w:r>
      <w:r>
        <w:rPr>
          <w:rFonts w:hint="eastAsia" w:ascii="Times New Roman" w:hAnsi="Times New Roman" w:eastAsia="方正仿宋_GBK"/>
          <w:b w:val="0"/>
          <w:bCs w:val="0"/>
          <w:snapToGrid w:val="0"/>
          <w:sz w:val="32"/>
          <w:szCs w:val="32"/>
          <w:lang w:val="zh-CN" w:bidi="zh-CN"/>
        </w:rPr>
        <w:t>中小学”</w:t>
      </w:r>
      <w:r>
        <w:rPr>
          <w:rFonts w:ascii="Times New Roman" w:hAnsi="Times New Roman" w:eastAsia="方正仿宋_GBK"/>
          <w:b w:val="0"/>
          <w:bCs w:val="0"/>
          <w:snapToGrid w:val="0"/>
          <w:sz w:val="32"/>
          <w:szCs w:val="32"/>
          <w:lang w:val="zh-CN" w:bidi="zh-CN"/>
        </w:rPr>
        <w:t>，</w:t>
      </w:r>
      <w:r>
        <w:rPr>
          <w:rFonts w:ascii="Times New Roman" w:hAnsi="Times New Roman" w:eastAsia="方正仿宋_GBK"/>
          <w:b w:val="0"/>
          <w:bCs w:val="0"/>
          <w:snapToGrid w:val="0"/>
          <w:sz w:val="32"/>
          <w:szCs w:val="32"/>
          <w:lang w:bidi="zh-CN"/>
        </w:rPr>
        <w:t>丰富课后服务课程，</w:t>
      </w:r>
      <w:r>
        <w:rPr>
          <w:rFonts w:ascii="Times New Roman" w:hAnsi="Times New Roman" w:eastAsia="方正仿宋_GBK"/>
          <w:b w:val="0"/>
          <w:bCs w:val="0"/>
          <w:snapToGrid w:val="0"/>
          <w:sz w:val="32"/>
          <w:szCs w:val="32"/>
        </w:rPr>
        <w:t>加大课后服务常规管理，完善课后服务经费保障机制</w:t>
      </w:r>
      <w:r>
        <w:rPr>
          <w:rFonts w:ascii="Times New Roman" w:hAnsi="Times New Roman" w:eastAsia="方正仿宋_GBK"/>
          <w:b w:val="0"/>
          <w:bCs w:val="0"/>
          <w:snapToGrid w:val="0"/>
          <w:sz w:val="32"/>
          <w:szCs w:val="32"/>
          <w:lang w:val="zh-CN" w:bidi="zh-CN"/>
        </w:rPr>
        <w:t>。</w:t>
      </w:r>
      <w:r>
        <w:rPr>
          <w:rFonts w:ascii="Times New Roman" w:hAnsi="Times New Roman" w:eastAsia="方正仿宋_GBK"/>
          <w:b w:val="0"/>
          <w:bCs w:val="0"/>
          <w:sz w:val="32"/>
          <w:szCs w:val="32"/>
        </w:rPr>
        <w:t>规范校外培训机构管理，加大教育行政执法力度，妥善处理各类纠纷，切实营造良好校外培训市场生态。按照</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夯实压减成果防反弹，查处非法培训防变异，强化风险排查防暴雷</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总要求，从严开展复核审批，强化日常监管和预收费监管，最大限度维护群众合法权益。探索建立跨部门、镇街的联合执法机制，进一步规范校外培训机构办学行为。</w:t>
      </w:r>
      <w:r>
        <w:rPr>
          <w:rFonts w:ascii="Times New Roman" w:hAnsi="Times New Roman" w:eastAsia="方正仿宋_GBK"/>
          <w:b w:val="0"/>
          <w:bCs w:val="0"/>
          <w:sz w:val="32"/>
          <w:szCs w:val="32"/>
          <w:lang w:val="zh-CN"/>
        </w:rPr>
        <w:t>依法严厉打击恶意卷钱</w:t>
      </w:r>
      <w:r>
        <w:rPr>
          <w:rFonts w:hint="eastAsia" w:ascii="Times New Roman" w:hAnsi="Times New Roman" w:eastAsia="方正仿宋_GBK"/>
          <w:b w:val="0"/>
          <w:bCs w:val="0"/>
          <w:sz w:val="32"/>
          <w:szCs w:val="32"/>
          <w:lang w:val="zh-CN"/>
        </w:rPr>
        <w:t>“</w:t>
      </w:r>
      <w:r>
        <w:rPr>
          <w:rFonts w:ascii="Times New Roman" w:hAnsi="Times New Roman" w:eastAsia="方正仿宋_GBK"/>
          <w:b w:val="0"/>
          <w:bCs w:val="0"/>
          <w:sz w:val="32"/>
          <w:szCs w:val="32"/>
          <w:lang w:val="zh-CN"/>
        </w:rPr>
        <w:t>跑路</w:t>
      </w:r>
      <w:r>
        <w:rPr>
          <w:rFonts w:hint="eastAsia" w:ascii="Times New Roman" w:hAnsi="Times New Roman" w:eastAsia="方正仿宋_GBK"/>
          <w:b w:val="0"/>
          <w:bCs w:val="0"/>
          <w:sz w:val="32"/>
          <w:szCs w:val="32"/>
          <w:lang w:val="zh-CN"/>
        </w:rPr>
        <w:t>”</w:t>
      </w:r>
      <w:r>
        <w:rPr>
          <w:rFonts w:ascii="Times New Roman" w:hAnsi="Times New Roman" w:eastAsia="方正仿宋_GBK"/>
          <w:b w:val="0"/>
          <w:bCs w:val="0"/>
          <w:sz w:val="32"/>
          <w:szCs w:val="32"/>
          <w:lang w:val="zh-CN"/>
        </w:rPr>
        <w:t>等不法行为，强化教育行政执法，确保全区</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双减</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lang w:val="zh-CN"/>
        </w:rPr>
        <w:t>工作总体稳定。</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hint="eastAsia" w:ascii="Times New Roman" w:hAnsi="Times New Roman" w:eastAsia="方正楷体_GBK"/>
          <w:b w:val="0"/>
          <w:bCs w:val="0"/>
        </w:rPr>
      </w:pPr>
      <w:r>
        <w:rPr>
          <w:rFonts w:hint="eastAsia" w:ascii="方正楷体_GBK" w:hAnsi="方正楷体_GBK" w:eastAsia="方正楷体_GBK" w:cs="方正楷体_GBK"/>
          <w:b w:val="0"/>
          <w:bCs w:val="0"/>
          <w:sz w:val="32"/>
          <w:szCs w:val="32"/>
        </w:rPr>
        <w:t>（九）深入推进教育改革创新</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深化新时代教育评价改革，</w:t>
      </w:r>
      <w:r>
        <w:rPr>
          <w:rFonts w:ascii="Times New Roman" w:hAnsi="Times New Roman" w:eastAsia="方正仿宋_GBK"/>
          <w:b w:val="0"/>
          <w:bCs w:val="0"/>
          <w:sz w:val="32"/>
          <w:szCs w:val="32"/>
        </w:rPr>
        <w:t>建立健全以发展素质教育为导向的学校办学质量评价体系，以开展中小学自主定标督导评估为抓手，推进中小学</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一校一案</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深化教师评价改革、学生评价改革。积极稳妥推进考试招生制度改革</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完善义务教育免试就近入学的实施办法，探索多校划片、电脑派位等招生方式，严格落实民办学校同公办学校同步招生政策，保障适龄儿童少年平等接受义务教育权利。</w:t>
      </w:r>
      <w:r>
        <w:rPr>
          <w:rFonts w:hint="eastAsia" w:ascii="方正仿宋_GBK" w:hAnsi="方正仿宋_GBK" w:eastAsia="方正仿宋_GBK" w:cs="方正仿宋_GBK"/>
          <w:b w:val="0"/>
          <w:bCs w:val="0"/>
          <w:sz w:val="32"/>
          <w:szCs w:val="32"/>
        </w:rPr>
        <w:t>加强教育交流合作。深入开展与沙坪坝区、文理学院等合作，充分利用高校优质资源，</w:t>
      </w:r>
      <w:r>
        <w:rPr>
          <w:rFonts w:ascii="Times New Roman" w:hAnsi="Times New Roman" w:eastAsia="方正仿宋_GBK"/>
          <w:b w:val="0"/>
          <w:bCs w:val="0"/>
          <w:sz w:val="32"/>
          <w:szCs w:val="32"/>
        </w:rPr>
        <w:t>全面推进高校专家受聘中小学科研副校长、卓越大学生教师双培养等，提升人才培育质量</w:t>
      </w:r>
      <w:r>
        <w:rPr>
          <w:rFonts w:hint="eastAsia" w:ascii="Times New Roman" w:hAnsi="Times New Roman" w:eastAsia="方正仿宋_GBK"/>
          <w:b w:val="0"/>
          <w:bCs w:val="0"/>
          <w:sz w:val="32"/>
          <w:szCs w:val="32"/>
        </w:rPr>
        <w:t>，不断提高基础教育水平。</w:t>
      </w:r>
      <w:r>
        <w:rPr>
          <w:rFonts w:ascii="Times New Roman" w:hAnsi="Times New Roman" w:eastAsia="方正仿宋_GBK"/>
          <w:b w:val="0"/>
          <w:bCs w:val="0"/>
          <w:sz w:val="32"/>
          <w:szCs w:val="32"/>
        </w:rPr>
        <w:t>进一步优化成渝</w:t>
      </w:r>
      <w:r>
        <w:rPr>
          <w:rFonts w:hint="eastAsia" w:ascii="Times New Roman" w:hAnsi="Times New Roman" w:eastAsia="方正仿宋_GBK"/>
          <w:b w:val="0"/>
          <w:bCs w:val="0"/>
          <w:sz w:val="32"/>
          <w:szCs w:val="32"/>
        </w:rPr>
        <w:t>地区双城</w:t>
      </w:r>
      <w:r>
        <w:rPr>
          <w:rFonts w:ascii="Times New Roman" w:hAnsi="Times New Roman" w:eastAsia="方正仿宋_GBK"/>
          <w:b w:val="0"/>
          <w:bCs w:val="0"/>
          <w:sz w:val="32"/>
          <w:szCs w:val="32"/>
        </w:rPr>
        <w:t>经济圈教育协同机制，</w:t>
      </w:r>
      <w:r>
        <w:rPr>
          <w:rFonts w:hint="eastAsia" w:ascii="Times New Roman" w:hAnsi="Times New Roman" w:eastAsia="方正仿宋_GBK"/>
          <w:b w:val="0"/>
          <w:bCs w:val="0"/>
          <w:sz w:val="32"/>
          <w:szCs w:val="32"/>
        </w:rPr>
        <w:t>推进川南渝西教育共同体（</w:t>
      </w:r>
      <w:r>
        <w:rPr>
          <w:rFonts w:ascii="Times New Roman" w:hAnsi="Times New Roman" w:eastAsia="方正仿宋_GBK"/>
          <w:b w:val="0"/>
          <w:bCs w:val="0"/>
          <w:sz w:val="32"/>
          <w:szCs w:val="32"/>
        </w:rPr>
        <w:t>泸</w:t>
      </w:r>
      <w:r>
        <w:rPr>
          <w:rFonts w:hint="eastAsia" w:ascii="Times New Roman" w:hAnsi="Times New Roman" w:eastAsia="方正仿宋_GBK"/>
          <w:b w:val="0"/>
          <w:bCs w:val="0"/>
          <w:sz w:val="32"/>
          <w:szCs w:val="32"/>
        </w:rPr>
        <w:t>永</w:t>
      </w:r>
      <w:r>
        <w:rPr>
          <w:rFonts w:ascii="Times New Roman" w:hAnsi="Times New Roman" w:eastAsia="方正仿宋_GBK"/>
          <w:b w:val="0"/>
          <w:bCs w:val="0"/>
          <w:sz w:val="32"/>
          <w:szCs w:val="32"/>
        </w:rPr>
        <w:t>江荣</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教育发展共建共享，</w:t>
      </w:r>
      <w:r>
        <w:rPr>
          <w:rFonts w:hint="eastAsia" w:ascii="Times New Roman" w:hAnsi="Times New Roman" w:eastAsia="方正仿宋_GBK"/>
          <w:b w:val="0"/>
          <w:bCs w:val="0"/>
          <w:sz w:val="32"/>
          <w:szCs w:val="32"/>
        </w:rPr>
        <w:t>推进</w:t>
      </w:r>
      <w:r>
        <w:rPr>
          <w:rFonts w:ascii="Times New Roman" w:hAnsi="Times New Roman" w:eastAsia="方正仿宋_GBK"/>
          <w:b w:val="0"/>
          <w:bCs w:val="0"/>
          <w:sz w:val="32"/>
          <w:szCs w:val="32"/>
        </w:rPr>
        <w:t>结对办学</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互派干部</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教师研修</w:t>
      </w:r>
      <w:r>
        <w:rPr>
          <w:rFonts w:hint="eastAsia" w:ascii="Times New Roman" w:hAnsi="Times New Roman" w:eastAsia="方正仿宋_GBK"/>
          <w:b w:val="0"/>
          <w:bCs w:val="0"/>
          <w:sz w:val="32"/>
          <w:szCs w:val="32"/>
        </w:rPr>
        <w:t>、教育教学资源共享</w:t>
      </w:r>
      <w:r>
        <w:rPr>
          <w:rFonts w:ascii="Times New Roman" w:hAnsi="Times New Roman" w:eastAsia="方正仿宋_GBK"/>
          <w:b w:val="0"/>
          <w:bCs w:val="0"/>
          <w:sz w:val="32"/>
          <w:szCs w:val="32"/>
        </w:rPr>
        <w:t>等，</w:t>
      </w:r>
      <w:r>
        <w:rPr>
          <w:rFonts w:hint="eastAsia" w:ascii="Times New Roman" w:hAnsi="Times New Roman" w:eastAsia="方正仿宋_GBK"/>
          <w:b w:val="0"/>
          <w:bCs w:val="0"/>
          <w:sz w:val="32"/>
          <w:szCs w:val="32"/>
        </w:rPr>
        <w:t>促进共同发展</w:t>
      </w:r>
      <w:r>
        <w:rPr>
          <w:rFonts w:ascii="Times New Roman" w:hAnsi="Times New Roman" w:eastAsia="方正仿宋_GBK"/>
          <w:b w:val="0"/>
          <w:bCs w:val="0"/>
          <w:sz w:val="32"/>
          <w:szCs w:val="32"/>
        </w:rPr>
        <w:t>。</w:t>
      </w:r>
    </w:p>
    <w:p>
      <w:pPr>
        <w:pStyle w:val="13"/>
        <w:keepNext w:val="0"/>
        <w:keepLines w:val="0"/>
        <w:pageBreakBefore w:val="0"/>
        <w:widowControl w:val="0"/>
        <w:kinsoku/>
        <w:wordWrap/>
        <w:overflowPunct/>
        <w:topLinePunct w:val="0"/>
        <w:autoSpaceDE/>
        <w:autoSpaceDN/>
        <w:bidi w:val="0"/>
        <w:adjustRightInd w:val="0"/>
        <w:snapToGrid w:val="0"/>
        <w:spacing w:after="0" w:line="288" w:lineRule="auto"/>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 xml:space="preserve">   （十）切实加强党对教育工作全面领导</w:t>
      </w:r>
    </w:p>
    <w:p>
      <w:pPr>
        <w:pStyle w:val="58"/>
        <w:keepNext w:val="0"/>
        <w:keepLines w:val="0"/>
        <w:pageBreakBefore w:val="0"/>
        <w:widowControl w:val="0"/>
        <w:kinsoku/>
        <w:wordWrap/>
        <w:overflowPunct/>
        <w:topLinePunct w:val="0"/>
        <w:autoSpaceDE/>
        <w:autoSpaceDN/>
        <w:bidi w:val="0"/>
        <w:adjustRightInd w:val="0"/>
        <w:snapToGrid w:val="0"/>
        <w:spacing w:after="0" w:line="288" w:lineRule="auto"/>
        <w:ind w:firstLine="640"/>
        <w:jc w:val="both"/>
        <w:rPr>
          <w:rFonts w:ascii="方正仿宋_GBK" w:hAnsi="微软雅黑" w:eastAsia="方正仿宋_GBK" w:cs="宋体"/>
          <w:b w:val="0"/>
          <w:bCs w:val="0"/>
          <w:sz w:val="32"/>
          <w:szCs w:val="32"/>
        </w:rPr>
      </w:pPr>
      <w:r>
        <w:rPr>
          <w:rFonts w:hint="eastAsia" w:ascii="方正仿宋_GBK" w:hAnsi="微软雅黑" w:eastAsia="方正仿宋_GBK" w:cs="宋体"/>
          <w:b w:val="0"/>
          <w:bCs w:val="0"/>
          <w:sz w:val="32"/>
          <w:szCs w:val="32"/>
        </w:rPr>
        <w:t>坚持党对教育的全面领导，贯彻落实中小学校党组织领导的校长负责制，充分发挥党组织的领导核心作用，构建党建引领育人工作新模式。突出党建品牌建设，抓好</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一校一品</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特色创建，促进党建与教育教学深度融合，增强基层组织创造力、凝聚力和战斗力。全面落实</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三会一课</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、组织生活会、民主生活会、主题党日、谈心谈话等制度。扎实开展重庆市首批中小学校党建示范创建和质量创优工作。加强民办学校党的建设，保障民办学校健康发展。强化监督执纪，压实管党治党责任。聚焦</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关键少数</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、重点岗位，不断加强对</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一把手</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和领导班子监督。严格监督执纪问责，加强对违纪违法案件的查处和通报曝光力度。扎实开展</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以案四说</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以案促改</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以案促治</w:t>
      </w:r>
      <w:r>
        <w:rPr>
          <w:rFonts w:hint="eastAsia" w:ascii="方正仿宋_GBK" w:hAnsi="微软雅黑" w:eastAsia="方正仿宋_GBK" w:cs="宋体"/>
          <w:b w:val="0"/>
          <w:bCs w:val="0"/>
          <w:sz w:val="32"/>
          <w:szCs w:val="32"/>
          <w:lang w:eastAsia="zh-CN"/>
        </w:rPr>
        <w:t>”</w:t>
      </w:r>
      <w:r>
        <w:rPr>
          <w:rFonts w:hint="eastAsia" w:ascii="方正仿宋_GBK" w:hAnsi="微软雅黑" w:eastAsia="方正仿宋_GBK" w:cs="宋体"/>
          <w:b w:val="0"/>
          <w:bCs w:val="0"/>
          <w:sz w:val="32"/>
          <w:szCs w:val="32"/>
        </w:rPr>
        <w:t>，时刻以案为镜筑牢底线防线，强化教育警示作用。严格落实中央八项规定及其实施细则精神，持续巩固作风建设，推动形成严的氛围，不断优化政治生态和育人环境。严格干部选拔任用，优化干部队伍结构，选优配强学校领导班子和领导干部。修订完善中小学（幼儿园）校级干部、中层干部管理办法、学校领导班子和领导干部年度考核办法等管理办法，加大年轻干部培养选拔力度，严格执行干部轮训制度，深入开展年轻干部家访活动，持续激发干部队伍活力。</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三</w:t>
      </w:r>
      <w:r>
        <w:rPr>
          <w:rFonts w:ascii="Times New Roman" w:hAnsi="Times New Roman" w:eastAsia="方正黑体_GBK"/>
          <w:b w:val="0"/>
          <w:bCs w:val="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（一）加强组织领导。</w:t>
      </w:r>
      <w:r>
        <w:rPr>
          <w:rFonts w:ascii="Times New Roman" w:hAnsi="Times New Roman" w:eastAsia="方正仿宋_GBK"/>
          <w:b w:val="0"/>
          <w:bCs w:val="0"/>
          <w:sz w:val="32"/>
          <w:szCs w:val="32"/>
        </w:rPr>
        <w:t>坚持教育优先发展战略，形成党委统一领导、党政齐抓共管、部门各负其责的教育领导机制，为建设教育强区提供强有力保障。各有关部门要做好与教育事业发展工作的有效衔接，保持政策连续性和稳定性，确保各项任务落到实处。区教委要发挥好牵头协调作用，推动落实各项措施。区委编办要在用编配编上予以倾斜照顾。区财政局要支持完善经费管理办法，落实经费保障。区人力社保局要完善教师人事制度，落实教师待遇相关政策。其他相关部门要按照各自职责，落实好相关任务。</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ind w:firstLine="640" w:firstLineChars="200"/>
        <w:jc w:val="both"/>
        <w:textAlignment w:val="top"/>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（二）坚持依法治教。</w:t>
      </w:r>
      <w:r>
        <w:rPr>
          <w:rFonts w:ascii="Times New Roman" w:hAnsi="Times New Roman" w:eastAsia="方正仿宋_GBK"/>
          <w:b w:val="0"/>
          <w:bCs w:val="0"/>
          <w:color w:val="000000"/>
          <w:sz w:val="32"/>
          <w:szCs w:val="32"/>
        </w:rPr>
        <w:t>建立规范性文件制定和清理长效机制，建立规范性文件合法性审核机制，全面提高规范性文件质量。深入推进依法行政，健全教育重大决策机制，深化落实教育行政审批制度改革，加大教育执法和执法监督力度，完善多元参与的教育治理机制。全面推进依法治校，加强现代学校制度建设，完善各级各类学校内部治理结构，不断健全学校法人治理结构和自我监督机制。完善学校保险制度和师生法律援助计划，健全教育领域纠纷处理机制，依法保障师生合法权益。大力落实教师依法执教，规范教师教育教学行为。广泛深入开展青少年法治教育，建设一批青少年法治教育实践基地，切实提高青少年法治素养。</w:t>
      </w:r>
    </w:p>
    <w:p>
      <w:pPr>
        <w:pStyle w:val="13"/>
        <w:keepNext w:val="0"/>
        <w:keepLines w:val="0"/>
        <w:pageBreakBefore w:val="0"/>
        <w:widowControl w:val="0"/>
        <w:kinsoku/>
        <w:wordWrap/>
        <w:overflowPunct/>
        <w:topLinePunct w:val="0"/>
        <w:autoSpaceDE/>
        <w:autoSpaceDN/>
        <w:bidi w:val="0"/>
        <w:adjustRightInd w:val="0"/>
        <w:snapToGrid w:val="0"/>
        <w:spacing w:after="0" w:line="288" w:lineRule="auto"/>
        <w:ind w:firstLine="640" w:firstLineChars="200"/>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（三）加大教育投入。</w:t>
      </w:r>
      <w:r>
        <w:rPr>
          <w:rFonts w:ascii="Times New Roman" w:hAnsi="Times New Roman" w:eastAsia="方正仿宋_GBK"/>
          <w:b w:val="0"/>
          <w:bCs w:val="0"/>
          <w:sz w:val="32"/>
          <w:szCs w:val="32"/>
        </w:rPr>
        <w:t>健全教育财政投入机制，</w:t>
      </w:r>
      <w:r>
        <w:rPr>
          <w:rFonts w:hint="eastAsia" w:ascii="Times New Roman" w:hAnsi="Times New Roman" w:eastAsia="方正仿宋_GBK"/>
          <w:b w:val="0"/>
          <w:bCs w:val="0"/>
          <w:sz w:val="32"/>
          <w:szCs w:val="32"/>
        </w:rPr>
        <w:t>优化教育支出结构，落实财政教育投入</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两个只增不减</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保持全区财政性教育经费支出占全区GDP比例不低于</w:t>
      </w:r>
      <w:r>
        <w:rPr>
          <w:rFonts w:hint="eastAsia" w:ascii="Times New Roman" w:hAnsi="Times New Roman" w:eastAsia="方正仿宋_GBK"/>
          <w:b w:val="0"/>
          <w:bCs w:val="0"/>
          <w:sz w:val="32"/>
          <w:szCs w:val="32"/>
        </w:rPr>
        <w:t>4</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确保财政生均教育投入不低于全市平均水平。</w:t>
      </w:r>
    </w:p>
    <w:p>
      <w:pPr>
        <w:pStyle w:val="13"/>
        <w:keepNext w:val="0"/>
        <w:keepLines w:val="0"/>
        <w:pageBreakBefore w:val="0"/>
        <w:widowControl w:val="0"/>
        <w:kinsoku/>
        <w:wordWrap/>
        <w:overflowPunct/>
        <w:topLinePunct w:val="0"/>
        <w:autoSpaceDE/>
        <w:autoSpaceDN/>
        <w:bidi w:val="0"/>
        <w:adjustRightInd w:val="0"/>
        <w:snapToGrid w:val="0"/>
        <w:spacing w:after="0" w:line="288" w:lineRule="auto"/>
        <w:ind w:firstLine="640" w:firstLineChars="200"/>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（四）确保安全稳定。</w:t>
      </w:r>
      <w:r>
        <w:rPr>
          <w:rFonts w:ascii="Times New Roman" w:hAnsi="Times New Roman" w:eastAsia="方正仿宋_GBK"/>
          <w:b w:val="0"/>
          <w:bCs w:val="0"/>
          <w:sz w:val="32"/>
          <w:szCs w:val="32"/>
        </w:rPr>
        <w:t>切实加强大中小学校、幼儿园校园安全稳定工作。加强学生安全教育，提升学生自我防范能力。建立完善校园意外伤害事故风险管理机制，有效应对教育突发安全事故。探索完善环校园安全带防控体系建设。探索构建</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互联网+安全防范</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体系，提升校园风险主动发现和预警能力。持续关注和防范教育系统群体性事件的发生，及时化解影响校园及周边安全的突出矛盾和典型敏感事件。</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（五）加强教育督导。</w:t>
      </w:r>
      <w:r>
        <w:rPr>
          <w:rFonts w:ascii="Times New Roman" w:hAnsi="Times New Roman" w:eastAsia="方正仿宋_GBK"/>
          <w:b w:val="0"/>
          <w:bCs w:val="0"/>
          <w:sz w:val="32"/>
          <w:szCs w:val="32"/>
        </w:rPr>
        <w:t>完善教育督导体制机制，促进教育督导机构独立行使职能。</w:t>
      </w:r>
      <w:r>
        <w:rPr>
          <w:rFonts w:ascii="Times New Roman" w:hAnsi="Times New Roman" w:eastAsia="方正仿宋_GBK"/>
          <w:b w:val="0"/>
          <w:bCs w:val="0"/>
          <w:kern w:val="2"/>
          <w:sz w:val="32"/>
          <w:szCs w:val="32"/>
        </w:rPr>
        <w:t>按要求做好接受政府履行教育职责督导检查的自查、整改、复查等工作，做好接受义务教育优质均衡发展区和学前教育普及普惠区督导评估，</w:t>
      </w:r>
      <w:r>
        <w:rPr>
          <w:rFonts w:ascii="Times New Roman" w:hAnsi="Times New Roman" w:eastAsia="方正仿宋_GBK"/>
          <w:b w:val="0"/>
          <w:bCs w:val="0"/>
          <w:sz w:val="32"/>
          <w:szCs w:val="32"/>
        </w:rPr>
        <w:t>层层压实教育职责，推动教育事业优先发展</w:t>
      </w:r>
      <w:r>
        <w:rPr>
          <w:rFonts w:ascii="Times New Roman" w:hAnsi="Times New Roman" w:eastAsia="方正仿宋_GBK"/>
          <w:b w:val="0"/>
          <w:bCs w:val="0"/>
          <w:kern w:val="2"/>
          <w:sz w:val="32"/>
          <w:szCs w:val="32"/>
        </w:rPr>
        <w:t>。建立区政府教育督导机构统一归口管理、多方参与的教育评估监测机制，认真组织开展教育评估监测，</w:t>
      </w:r>
      <w:r>
        <w:rPr>
          <w:rFonts w:ascii="Times New Roman" w:hAnsi="Times New Roman" w:eastAsia="方正仿宋_GBK"/>
          <w:b w:val="0"/>
          <w:bCs w:val="0"/>
          <w:sz w:val="32"/>
          <w:szCs w:val="32"/>
        </w:rPr>
        <w:t>探索通过政府购买服务方式、委托第三方评估监测机构和社会组织开展教育评估监测的工作机制，推动建设一批中小学素质教育质量保障示范校。紧紧围绕教育重点目标任务，切实开展幼儿园办园行为、学校安全稳定、职业教育等各项督导评估，推动教育热点难点问题解决。加强教育督导评估专职队伍建设，建立完善督学准入制度，有效发挥教育督导</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督导评估、检查验收、质量监测</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职能。</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auto"/>
        <w:ind w:firstLine="640" w:firstLineChars="200"/>
        <w:jc w:val="both"/>
        <w:textAlignment w:val="top"/>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auto"/>
        <w:ind w:firstLine="640" w:firstLineChars="200"/>
        <w:jc w:val="both"/>
        <w:textAlignment w:val="top"/>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auto"/>
        <w:ind w:firstLine="4160" w:firstLineChars="1300"/>
        <w:jc w:val="both"/>
        <w:textAlignment w:val="top"/>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重庆市永川区人民政府办公室</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auto"/>
        <w:ind w:firstLine="4960" w:firstLineChars="1550"/>
        <w:jc w:val="both"/>
        <w:textAlignment w:val="top"/>
        <w:rPr>
          <w:rFonts w:hint="eastAsia" w:ascii="Times New Roman" w:hAnsi="Times New Roman" w:eastAsia="方正仿宋_GBK"/>
          <w:sz w:val="32"/>
          <w:szCs w:val="32"/>
        </w:rPr>
      </w:pPr>
      <w:r>
        <w:rPr>
          <w:rFonts w:hint="eastAsia" w:ascii="Times New Roman" w:hAnsi="Times New Roman" w:eastAsia="方正仿宋_GBK"/>
          <w:sz w:val="32"/>
          <w:szCs w:val="32"/>
        </w:rPr>
        <w:t>2022年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default" w:ascii="Times New Roman" w:hAnsi="Times New Roman" w:eastAsia="方正仿宋_GBK"/>
          <w:sz w:val="32"/>
          <w:szCs w:val="32"/>
          <w:lang w:val="en-US" w:eastAsia="zh-CN"/>
        </w:rPr>
        <w:t>13</w:t>
      </w:r>
      <w:r>
        <w:rPr>
          <w:rFonts w:hint="eastAsia" w:ascii="Times New Roman" w:hAnsi="Times New Roman" w:eastAsia="方正仿宋_GBK"/>
          <w:sz w:val="32"/>
          <w:szCs w:val="32"/>
        </w:rPr>
        <w:t>日</w:t>
      </w:r>
    </w:p>
    <w:p>
      <w:pPr>
        <w:widowControl w:val="0"/>
        <w:adjustRightInd w:val="0"/>
        <w:spacing w:line="300" w:lineRule="auto"/>
        <w:ind w:firstLine="640" w:firstLineChars="200"/>
        <w:jc w:val="both"/>
        <w:rPr>
          <w:rFonts w:hint="eastAsia"/>
          <w:lang w:val="en-US" w:eastAsia="zh-CN"/>
        </w:rPr>
      </w:pPr>
      <w:r>
        <w:rPr>
          <w:rFonts w:hint="eastAsia" w:ascii="Times New Roman" w:hAnsi="Times New Roman" w:eastAsia="方正仿宋_GBK" w:cs="Times New Roman"/>
          <w:b w:val="0"/>
          <w:bCs w:val="0"/>
          <w:sz w:val="32"/>
          <w:szCs w:val="32"/>
          <w:lang w:val="en-US" w:eastAsia="zh-CN"/>
        </w:rPr>
        <w:t>（此件公开发布）</w:t>
      </w: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等线 Light">
    <w:altName w:val="华文中宋"/>
    <w:panose1 w:val="02010600030101010101"/>
    <w:charset w:val="00"/>
    <w:family w:val="auto"/>
    <w:pitch w:val="default"/>
    <w:sig w:usb0="A00002BF" w:usb1="38CF7CFA" w:usb2="00000016" w:usb3="00000000" w:csb0="0004000F" w:csb1="00000000"/>
  </w:font>
  <w:font w:name="等线">
    <w:altName w:val="华文中宋"/>
    <w:panose1 w:val="02010600030101010101"/>
    <w:charset w:val="00"/>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6"/>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6"/>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6"/>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61355"/>
    <w:multiLevelType w:val="singleLevel"/>
    <w:tmpl w:val="0F6613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F7194"/>
    <w:rsid w:val="00013245"/>
    <w:rsid w:val="00014463"/>
    <w:rsid w:val="00031582"/>
    <w:rsid w:val="00031D46"/>
    <w:rsid w:val="00062E21"/>
    <w:rsid w:val="000B78CC"/>
    <w:rsid w:val="000F2405"/>
    <w:rsid w:val="00101417"/>
    <w:rsid w:val="00186289"/>
    <w:rsid w:val="001929D3"/>
    <w:rsid w:val="001A02BF"/>
    <w:rsid w:val="0020293E"/>
    <w:rsid w:val="00240923"/>
    <w:rsid w:val="00251A03"/>
    <w:rsid w:val="00290609"/>
    <w:rsid w:val="002964F5"/>
    <w:rsid w:val="002A30AE"/>
    <w:rsid w:val="002C2578"/>
    <w:rsid w:val="002D7764"/>
    <w:rsid w:val="003349C0"/>
    <w:rsid w:val="00357116"/>
    <w:rsid w:val="0039137C"/>
    <w:rsid w:val="00411BBA"/>
    <w:rsid w:val="00470125"/>
    <w:rsid w:val="00475D48"/>
    <w:rsid w:val="00481808"/>
    <w:rsid w:val="004A06A6"/>
    <w:rsid w:val="004B6AA4"/>
    <w:rsid w:val="004E44D1"/>
    <w:rsid w:val="004E7286"/>
    <w:rsid w:val="00524B63"/>
    <w:rsid w:val="005541D7"/>
    <w:rsid w:val="005742FA"/>
    <w:rsid w:val="005E22D3"/>
    <w:rsid w:val="005F7B07"/>
    <w:rsid w:val="00612BB8"/>
    <w:rsid w:val="00620802"/>
    <w:rsid w:val="006A658B"/>
    <w:rsid w:val="006C2738"/>
    <w:rsid w:val="00711E67"/>
    <w:rsid w:val="00712202"/>
    <w:rsid w:val="00772AC7"/>
    <w:rsid w:val="00775CCF"/>
    <w:rsid w:val="00786A00"/>
    <w:rsid w:val="00795EBD"/>
    <w:rsid w:val="007A2CBD"/>
    <w:rsid w:val="007A4B05"/>
    <w:rsid w:val="007D2D5D"/>
    <w:rsid w:val="00807F83"/>
    <w:rsid w:val="00863D07"/>
    <w:rsid w:val="00883574"/>
    <w:rsid w:val="008A15FB"/>
    <w:rsid w:val="008E331B"/>
    <w:rsid w:val="008E6CBA"/>
    <w:rsid w:val="008F583E"/>
    <w:rsid w:val="00913DF3"/>
    <w:rsid w:val="009301C7"/>
    <w:rsid w:val="00961C13"/>
    <w:rsid w:val="009A6E40"/>
    <w:rsid w:val="009E5525"/>
    <w:rsid w:val="009F663C"/>
    <w:rsid w:val="00A1360B"/>
    <w:rsid w:val="00A13889"/>
    <w:rsid w:val="00A26F25"/>
    <w:rsid w:val="00A66A94"/>
    <w:rsid w:val="00A71851"/>
    <w:rsid w:val="00A918E4"/>
    <w:rsid w:val="00A91EBB"/>
    <w:rsid w:val="00AA0670"/>
    <w:rsid w:val="00AA240C"/>
    <w:rsid w:val="00AB794D"/>
    <w:rsid w:val="00AE4EDC"/>
    <w:rsid w:val="00AF422D"/>
    <w:rsid w:val="00B4242F"/>
    <w:rsid w:val="00BD68FE"/>
    <w:rsid w:val="00BF262B"/>
    <w:rsid w:val="00C0017A"/>
    <w:rsid w:val="00C030FC"/>
    <w:rsid w:val="00C073D6"/>
    <w:rsid w:val="00C161E0"/>
    <w:rsid w:val="00C42E1D"/>
    <w:rsid w:val="00C54A19"/>
    <w:rsid w:val="00C608C9"/>
    <w:rsid w:val="00CC4111"/>
    <w:rsid w:val="00CD5B35"/>
    <w:rsid w:val="00CE3FE0"/>
    <w:rsid w:val="00CE6E32"/>
    <w:rsid w:val="00CF7194"/>
    <w:rsid w:val="00D137BA"/>
    <w:rsid w:val="00D13D10"/>
    <w:rsid w:val="00D1714B"/>
    <w:rsid w:val="00D33ABE"/>
    <w:rsid w:val="00D977B0"/>
    <w:rsid w:val="00DB1309"/>
    <w:rsid w:val="00DB1888"/>
    <w:rsid w:val="00DD2247"/>
    <w:rsid w:val="00DE1D48"/>
    <w:rsid w:val="00E372D8"/>
    <w:rsid w:val="00E90F3B"/>
    <w:rsid w:val="00EB7E06"/>
    <w:rsid w:val="00EC52BE"/>
    <w:rsid w:val="00F533D2"/>
    <w:rsid w:val="00FA2ABE"/>
    <w:rsid w:val="00FD0D3B"/>
    <w:rsid w:val="019E71BD"/>
    <w:rsid w:val="041C42DA"/>
    <w:rsid w:val="04B679C3"/>
    <w:rsid w:val="05F07036"/>
    <w:rsid w:val="064E7294"/>
    <w:rsid w:val="06E00104"/>
    <w:rsid w:val="07AB4D48"/>
    <w:rsid w:val="07B611C8"/>
    <w:rsid w:val="07C20091"/>
    <w:rsid w:val="07E61381"/>
    <w:rsid w:val="080F63D8"/>
    <w:rsid w:val="08206641"/>
    <w:rsid w:val="09341458"/>
    <w:rsid w:val="09601844"/>
    <w:rsid w:val="098254C2"/>
    <w:rsid w:val="0A5B6057"/>
    <w:rsid w:val="0A766EDE"/>
    <w:rsid w:val="0AD64BE8"/>
    <w:rsid w:val="0B0912D7"/>
    <w:rsid w:val="0BA57101"/>
    <w:rsid w:val="0C425FB0"/>
    <w:rsid w:val="0E025194"/>
    <w:rsid w:val="0EC20B76"/>
    <w:rsid w:val="0F303700"/>
    <w:rsid w:val="131F3D92"/>
    <w:rsid w:val="134C478E"/>
    <w:rsid w:val="152D2DCA"/>
    <w:rsid w:val="15D5325E"/>
    <w:rsid w:val="17946704"/>
    <w:rsid w:val="187168EA"/>
    <w:rsid w:val="196673CA"/>
    <w:rsid w:val="1B2F4AEE"/>
    <w:rsid w:val="1B836E76"/>
    <w:rsid w:val="1C3B5737"/>
    <w:rsid w:val="1CF734C9"/>
    <w:rsid w:val="1D5561CE"/>
    <w:rsid w:val="1DEC284C"/>
    <w:rsid w:val="1E4142AB"/>
    <w:rsid w:val="1E6523AC"/>
    <w:rsid w:val="1E672DC4"/>
    <w:rsid w:val="1F176598"/>
    <w:rsid w:val="22440422"/>
    <w:rsid w:val="22BB4BBB"/>
    <w:rsid w:val="23262D87"/>
    <w:rsid w:val="25DE7970"/>
    <w:rsid w:val="28A40771"/>
    <w:rsid w:val="2A8B0BEA"/>
    <w:rsid w:val="2AEB3417"/>
    <w:rsid w:val="2CDD7A14"/>
    <w:rsid w:val="2D502E74"/>
    <w:rsid w:val="31093867"/>
    <w:rsid w:val="31A15F24"/>
    <w:rsid w:val="324A1681"/>
    <w:rsid w:val="33EF143A"/>
    <w:rsid w:val="35A10974"/>
    <w:rsid w:val="36FB1DF0"/>
    <w:rsid w:val="389A7487"/>
    <w:rsid w:val="395104A1"/>
    <w:rsid w:val="395347B5"/>
    <w:rsid w:val="39A232A0"/>
    <w:rsid w:val="39C47CAA"/>
    <w:rsid w:val="39E44E71"/>
    <w:rsid w:val="39E745AA"/>
    <w:rsid w:val="3A9127D1"/>
    <w:rsid w:val="3B5A6BBB"/>
    <w:rsid w:val="3E2E249C"/>
    <w:rsid w:val="3EDA13A6"/>
    <w:rsid w:val="417B75E9"/>
    <w:rsid w:val="42F058B7"/>
    <w:rsid w:val="42F26851"/>
    <w:rsid w:val="42F334A6"/>
    <w:rsid w:val="4329203E"/>
    <w:rsid w:val="434C7328"/>
    <w:rsid w:val="436109F6"/>
    <w:rsid w:val="441A38D4"/>
    <w:rsid w:val="44F763A1"/>
    <w:rsid w:val="4504239D"/>
    <w:rsid w:val="450B05EB"/>
    <w:rsid w:val="484C61E3"/>
    <w:rsid w:val="4BC77339"/>
    <w:rsid w:val="4C6836E0"/>
    <w:rsid w:val="4C9236C5"/>
    <w:rsid w:val="4D3E43D5"/>
    <w:rsid w:val="4E250A85"/>
    <w:rsid w:val="4E9D1D67"/>
    <w:rsid w:val="4F96F904"/>
    <w:rsid w:val="4FFD4925"/>
    <w:rsid w:val="505C172E"/>
    <w:rsid w:val="506405EA"/>
    <w:rsid w:val="50827473"/>
    <w:rsid w:val="52443849"/>
    <w:rsid w:val="52511493"/>
    <w:rsid w:val="52B256B5"/>
    <w:rsid w:val="52F46F0B"/>
    <w:rsid w:val="532B6A10"/>
    <w:rsid w:val="53607135"/>
    <w:rsid w:val="53634C01"/>
    <w:rsid w:val="53B71311"/>
    <w:rsid w:val="53D8014D"/>
    <w:rsid w:val="55003B4B"/>
    <w:rsid w:val="55E064E0"/>
    <w:rsid w:val="56B81F0A"/>
    <w:rsid w:val="572C6D10"/>
    <w:rsid w:val="573B036F"/>
    <w:rsid w:val="57D6243D"/>
    <w:rsid w:val="584C4035"/>
    <w:rsid w:val="595F0EF6"/>
    <w:rsid w:val="59D81EA5"/>
    <w:rsid w:val="5BD7B6D6"/>
    <w:rsid w:val="5C337866"/>
    <w:rsid w:val="5C4E2D23"/>
    <w:rsid w:val="5CFD4A18"/>
    <w:rsid w:val="5DC34279"/>
    <w:rsid w:val="5F796757"/>
    <w:rsid w:val="5FC73B37"/>
    <w:rsid w:val="5FCD688E"/>
    <w:rsid w:val="5FF9BDAA"/>
    <w:rsid w:val="5FFE5333"/>
    <w:rsid w:val="603161C9"/>
    <w:rsid w:val="608816D1"/>
    <w:rsid w:val="60EF4E7F"/>
    <w:rsid w:val="63D01E3F"/>
    <w:rsid w:val="64730691"/>
    <w:rsid w:val="648B0A32"/>
    <w:rsid w:val="65E240AB"/>
    <w:rsid w:val="661204ED"/>
    <w:rsid w:val="665233C1"/>
    <w:rsid w:val="66DA74DB"/>
    <w:rsid w:val="67AE4C9D"/>
    <w:rsid w:val="69AC0D42"/>
    <w:rsid w:val="69FA5E67"/>
    <w:rsid w:val="6AD9688B"/>
    <w:rsid w:val="6B533A81"/>
    <w:rsid w:val="6B6C375C"/>
    <w:rsid w:val="6C0905E4"/>
    <w:rsid w:val="6C9F2CF6"/>
    <w:rsid w:val="6D0E3F22"/>
    <w:rsid w:val="6FBD4837"/>
    <w:rsid w:val="6FF94F19"/>
    <w:rsid w:val="71E13469"/>
    <w:rsid w:val="732609C2"/>
    <w:rsid w:val="737D0D0B"/>
    <w:rsid w:val="744E4660"/>
    <w:rsid w:val="753355A2"/>
    <w:rsid w:val="759F1C61"/>
    <w:rsid w:val="75A579E2"/>
    <w:rsid w:val="76067D9A"/>
    <w:rsid w:val="769F2DE8"/>
    <w:rsid w:val="76FDEB7C"/>
    <w:rsid w:val="78AE27FE"/>
    <w:rsid w:val="78C511D3"/>
    <w:rsid w:val="78CA10FB"/>
    <w:rsid w:val="79C65162"/>
    <w:rsid w:val="7AEFDF7A"/>
    <w:rsid w:val="7B152B01"/>
    <w:rsid w:val="7B67B2BD"/>
    <w:rsid w:val="7BDE6B92"/>
    <w:rsid w:val="7C41577F"/>
    <w:rsid w:val="7C9011D9"/>
    <w:rsid w:val="7D344903"/>
    <w:rsid w:val="7D5F5E1C"/>
    <w:rsid w:val="7D910439"/>
    <w:rsid w:val="7DC651C5"/>
    <w:rsid w:val="7DF350ED"/>
    <w:rsid w:val="7E1626EC"/>
    <w:rsid w:val="7F2F1CB8"/>
    <w:rsid w:val="7F9DA0E8"/>
    <w:rsid w:val="7FCC2834"/>
    <w:rsid w:val="7FF6A4EF"/>
    <w:rsid w:val="8B4B033C"/>
    <w:rsid w:val="92DD1CEF"/>
    <w:rsid w:val="B7EFD9C8"/>
    <w:rsid w:val="DDFDEFED"/>
    <w:rsid w:val="DFDFC069"/>
    <w:rsid w:val="EACD3663"/>
    <w:rsid w:val="ED75CCA2"/>
    <w:rsid w:val="F05B4F69"/>
    <w:rsid w:val="F97D9566"/>
    <w:rsid w:val="FBEF5CE1"/>
    <w:rsid w:val="FDBDE511"/>
    <w:rsid w:val="FDFF411C"/>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33"/>
    <w:uiPriority w:val="0"/>
    <w:pPr>
      <w:keepNext/>
      <w:widowControl/>
      <w:adjustRightInd/>
      <w:spacing w:before="240" w:after="60" w:line="240" w:lineRule="auto"/>
      <w:jc w:val="left"/>
      <w:textAlignment w:val="auto"/>
      <w:outlineLvl w:val="0"/>
    </w:pPr>
    <w:rPr>
      <w:rFonts w:ascii="等线 Light" w:hAnsi="等线 Light" w:eastAsia="等线 Light"/>
      <w:b/>
      <w:bCs/>
      <w:kern w:val="32"/>
      <w:sz w:val="32"/>
      <w:szCs w:val="32"/>
    </w:rPr>
  </w:style>
  <w:style w:type="paragraph" w:styleId="4">
    <w:name w:val="heading 2"/>
    <w:basedOn w:val="1"/>
    <w:next w:val="1"/>
    <w:link w:val="34"/>
    <w:uiPriority w:val="0"/>
    <w:pPr>
      <w:keepNext/>
      <w:widowControl/>
      <w:adjustRightInd/>
      <w:spacing w:before="240" w:after="60" w:line="240" w:lineRule="auto"/>
      <w:jc w:val="left"/>
      <w:textAlignment w:val="auto"/>
      <w:outlineLvl w:val="1"/>
    </w:pPr>
    <w:rPr>
      <w:rFonts w:ascii="等线 Light" w:hAnsi="等线 Light" w:eastAsia="等线 Light"/>
      <w:b/>
      <w:bCs/>
      <w:i/>
      <w:iCs/>
      <w:sz w:val="28"/>
      <w:szCs w:val="28"/>
    </w:rPr>
  </w:style>
  <w:style w:type="paragraph" w:styleId="5">
    <w:name w:val="heading 3"/>
    <w:basedOn w:val="1"/>
    <w:next w:val="1"/>
    <w:link w:val="35"/>
    <w:uiPriority w:val="0"/>
    <w:pPr>
      <w:keepNext/>
      <w:widowControl/>
      <w:adjustRightInd/>
      <w:spacing w:before="240" w:after="60" w:line="240" w:lineRule="auto"/>
      <w:jc w:val="left"/>
      <w:textAlignment w:val="auto"/>
      <w:outlineLvl w:val="2"/>
    </w:pPr>
    <w:rPr>
      <w:rFonts w:ascii="等线 Light" w:hAnsi="等线 Light" w:eastAsia="等线 Light"/>
      <w:b/>
      <w:bCs/>
      <w:sz w:val="26"/>
      <w:szCs w:val="26"/>
    </w:rPr>
  </w:style>
  <w:style w:type="paragraph" w:styleId="6">
    <w:name w:val="heading 4"/>
    <w:basedOn w:val="1"/>
    <w:next w:val="1"/>
    <w:link w:val="36"/>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37"/>
    <w:uiPriority w:val="0"/>
    <w:pPr>
      <w:widowControl/>
      <w:adjustRightInd/>
      <w:spacing w:before="240" w:after="60" w:line="240" w:lineRule="auto"/>
      <w:jc w:val="left"/>
      <w:textAlignment w:val="auto"/>
      <w:outlineLvl w:val="4"/>
    </w:pPr>
    <w:rPr>
      <w:rFonts w:ascii="等线" w:hAnsi="等线" w:eastAsia="等线"/>
      <w:b/>
      <w:bCs/>
      <w:i/>
      <w:iCs/>
      <w:sz w:val="26"/>
      <w:szCs w:val="26"/>
    </w:rPr>
  </w:style>
  <w:style w:type="paragraph" w:styleId="8">
    <w:name w:val="heading 6"/>
    <w:basedOn w:val="1"/>
    <w:next w:val="1"/>
    <w:link w:val="38"/>
    <w:uiPriority w:val="0"/>
    <w:pPr>
      <w:widowControl/>
      <w:adjustRightInd/>
      <w:spacing w:before="240" w:after="60" w:line="240" w:lineRule="auto"/>
      <w:jc w:val="left"/>
      <w:textAlignment w:val="auto"/>
      <w:outlineLvl w:val="5"/>
    </w:pPr>
    <w:rPr>
      <w:rFonts w:ascii="等线" w:hAnsi="等线" w:eastAsia="等线"/>
      <w:b/>
      <w:bCs/>
      <w:sz w:val="20"/>
      <w:szCs w:val="20"/>
    </w:rPr>
  </w:style>
  <w:style w:type="paragraph" w:styleId="9">
    <w:name w:val="heading 7"/>
    <w:basedOn w:val="1"/>
    <w:next w:val="1"/>
    <w:link w:val="39"/>
    <w:uiPriority w:val="0"/>
    <w:pPr>
      <w:widowControl/>
      <w:adjustRightInd/>
      <w:spacing w:before="240" w:after="60" w:line="240" w:lineRule="auto"/>
      <w:jc w:val="left"/>
      <w:textAlignment w:val="auto"/>
      <w:outlineLvl w:val="6"/>
    </w:pPr>
    <w:rPr>
      <w:rFonts w:ascii="等线" w:hAnsi="等线" w:eastAsia="等线"/>
      <w:sz w:val="24"/>
      <w:szCs w:val="24"/>
    </w:rPr>
  </w:style>
  <w:style w:type="paragraph" w:styleId="10">
    <w:name w:val="heading 8"/>
    <w:basedOn w:val="1"/>
    <w:next w:val="1"/>
    <w:link w:val="40"/>
    <w:uiPriority w:val="0"/>
    <w:pPr>
      <w:widowControl/>
      <w:adjustRightInd/>
      <w:spacing w:before="240" w:after="60" w:line="240" w:lineRule="auto"/>
      <w:jc w:val="left"/>
      <w:textAlignment w:val="auto"/>
      <w:outlineLvl w:val="7"/>
    </w:pPr>
    <w:rPr>
      <w:rFonts w:ascii="等线" w:hAnsi="等线" w:eastAsia="等线"/>
      <w:i/>
      <w:iCs/>
      <w:sz w:val="24"/>
      <w:szCs w:val="24"/>
    </w:rPr>
  </w:style>
  <w:style w:type="paragraph" w:styleId="11">
    <w:name w:val="heading 9"/>
    <w:basedOn w:val="1"/>
    <w:next w:val="1"/>
    <w:link w:val="41"/>
    <w:uiPriority w:val="0"/>
    <w:pPr>
      <w:widowControl/>
      <w:adjustRightInd/>
      <w:spacing w:before="240" w:after="60" w:line="240" w:lineRule="auto"/>
      <w:jc w:val="left"/>
      <w:textAlignment w:val="auto"/>
      <w:outlineLvl w:val="8"/>
    </w:pPr>
    <w:rPr>
      <w:rFonts w:ascii="等线 Light" w:hAnsi="等线 Light" w:eastAsia="等线 Light"/>
      <w:sz w:val="20"/>
      <w:szCs w:val="20"/>
    </w:rPr>
  </w:style>
  <w:style w:type="character" w:default="1" w:styleId="25">
    <w:name w:val="Default Paragraph Font"/>
    <w:link w:val="26"/>
    <w:semiHidden/>
    <w:uiPriority w:val="0"/>
    <w:rPr>
      <w:rFonts w:ascii="Calibri" w:hAnsi="Calibri"/>
      <w:szCs w:val="24"/>
    </w:rPr>
  </w:style>
  <w:style w:type="table" w:default="1" w:styleId="23">
    <w:name w:val="Normal Table"/>
    <w:semiHidden/>
    <w:uiPriority w:val="0"/>
    <w:tblPr>
      <w:tblCellMar>
        <w:top w:w="0" w:type="dxa"/>
        <w:left w:w="108" w:type="dxa"/>
        <w:bottom w:w="0" w:type="dxa"/>
        <w:right w:w="108" w:type="dxa"/>
      </w:tblCellMar>
    </w:tblPr>
  </w:style>
  <w:style w:type="paragraph" w:styleId="2">
    <w:name w:val="footer"/>
    <w:basedOn w:val="1"/>
    <w:link w:val="32"/>
    <w:uiPriority w:val="0"/>
    <w:pPr>
      <w:tabs>
        <w:tab w:val="center" w:pos="4153"/>
        <w:tab w:val="right" w:pos="8306"/>
      </w:tabs>
      <w:snapToGrid w:val="0"/>
      <w:jc w:val="left"/>
    </w:pPr>
    <w:rPr>
      <w:sz w:val="18"/>
    </w:rPr>
  </w:style>
  <w:style w:type="paragraph" w:styleId="12">
    <w:name w:val="annotation text"/>
    <w:basedOn w:val="1"/>
    <w:uiPriority w:val="0"/>
    <w:pPr>
      <w:jc w:val="left"/>
    </w:pPr>
  </w:style>
  <w:style w:type="paragraph" w:styleId="13">
    <w:name w:val="Body Text"/>
    <w:basedOn w:val="1"/>
    <w:next w:val="14"/>
    <w:uiPriority w:val="0"/>
    <w:pPr>
      <w:spacing w:afterLines="0" w:afterAutospacing="0"/>
    </w:pPr>
  </w:style>
  <w:style w:type="paragraph" w:styleId="14">
    <w:name w:val="toc 5"/>
    <w:basedOn w:val="1"/>
    <w:next w:val="1"/>
    <w:uiPriority w:val="0"/>
    <w:pPr>
      <w:widowControl/>
      <w:adjustRightInd/>
      <w:spacing w:line="240" w:lineRule="auto"/>
      <w:ind w:left="1680" w:leftChars="800"/>
      <w:jc w:val="left"/>
      <w:textAlignment w:val="auto"/>
    </w:pPr>
    <w:rPr>
      <w:rFonts w:ascii="Calibri" w:hAnsi="Calibri" w:eastAsia="宋体" w:cs="Times New Roman"/>
      <w:sz w:val="24"/>
      <w:szCs w:val="24"/>
    </w:rPr>
  </w:style>
  <w:style w:type="paragraph" w:styleId="15">
    <w:name w:val="Balloon Text"/>
    <w:basedOn w:val="1"/>
    <w:link w:val="42"/>
    <w:semiHidden/>
    <w:uiPriority w:val="0"/>
    <w:pPr>
      <w:widowControl/>
      <w:adjustRightInd/>
      <w:spacing w:line="240" w:lineRule="auto"/>
      <w:jc w:val="left"/>
      <w:textAlignment w:val="auto"/>
    </w:pPr>
    <w:rPr>
      <w:rFonts w:ascii="等线" w:hAnsi="等线" w:eastAsia="等线"/>
      <w:sz w:val="18"/>
      <w:szCs w:val="18"/>
    </w:rPr>
  </w:style>
  <w:style w:type="paragraph" w:styleId="16">
    <w:name w:val="header"/>
    <w:basedOn w:val="1"/>
    <w:link w:val="4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7">
    <w:name w:val="Subtitle"/>
    <w:basedOn w:val="1"/>
    <w:next w:val="1"/>
    <w:link w:val="44"/>
    <w:uiPriority w:val="0"/>
    <w:pPr>
      <w:widowControl/>
      <w:adjustRightInd/>
      <w:spacing w:after="60" w:line="240" w:lineRule="auto"/>
      <w:jc w:val="center"/>
      <w:textAlignment w:val="auto"/>
      <w:outlineLvl w:val="1"/>
    </w:pPr>
    <w:rPr>
      <w:rFonts w:ascii="等线 Light" w:hAnsi="等线 Light" w:eastAsia="等线 Light"/>
      <w:sz w:val="24"/>
      <w:szCs w:val="24"/>
    </w:rPr>
  </w:style>
  <w:style w:type="paragraph" w:styleId="18">
    <w:name w:val="footnote text"/>
    <w:basedOn w:val="1"/>
    <w:uiPriority w:val="0"/>
    <w:pPr>
      <w:widowControl/>
      <w:adjustRightInd/>
      <w:snapToGrid w:val="0"/>
      <w:spacing w:line="240" w:lineRule="auto"/>
      <w:jc w:val="left"/>
      <w:textAlignment w:val="auto"/>
    </w:pPr>
    <w:rPr>
      <w:rFonts w:ascii="等线" w:hAnsi="等线" w:eastAsia="宋体"/>
      <w:kern w:val="2"/>
      <w:sz w:val="18"/>
      <w:szCs w:val="18"/>
    </w:rPr>
  </w:style>
  <w:style w:type="paragraph" w:styleId="19">
    <w:name w:val="index 7"/>
    <w:basedOn w:val="1"/>
    <w:next w:val="1"/>
    <w:uiPriority w:val="0"/>
    <w:pPr>
      <w:widowControl/>
      <w:adjustRightInd/>
      <w:spacing w:line="240" w:lineRule="auto"/>
      <w:ind w:left="2520"/>
      <w:jc w:val="left"/>
      <w:textAlignment w:val="auto"/>
    </w:pPr>
    <w:rPr>
      <w:rFonts w:ascii="等线" w:hAnsi="等线" w:eastAsia="等线"/>
      <w:sz w:val="24"/>
      <w:szCs w:val="24"/>
    </w:rPr>
  </w:style>
  <w:style w:type="paragraph" w:styleId="20">
    <w:name w:val="Normal (Web)"/>
    <w:basedOn w:val="1"/>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link w:val="45"/>
    <w:uiPriority w:val="0"/>
    <w:pPr>
      <w:widowControl/>
      <w:adjustRightInd/>
      <w:spacing w:before="240" w:after="60" w:line="240" w:lineRule="auto"/>
      <w:jc w:val="center"/>
      <w:textAlignment w:val="auto"/>
      <w:outlineLvl w:val="0"/>
    </w:pPr>
    <w:rPr>
      <w:rFonts w:ascii="等线 Light" w:hAnsi="等线 Light" w:eastAsia="等线 Light"/>
      <w:b/>
      <w:bCs/>
      <w:kern w:val="28"/>
      <w:sz w:val="32"/>
      <w:szCs w:val="32"/>
    </w:rPr>
  </w:style>
  <w:style w:type="paragraph" w:styleId="22">
    <w:name w:val="Body Text First Indent"/>
    <w:basedOn w:val="13"/>
    <w:uiPriority w:val="0"/>
    <w:pPr>
      <w:spacing w:after="160"/>
      <w:ind w:firstLine="420" w:firstLineChars="100"/>
    </w:p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默认段落字体 Para Char Char Char Char Char Char Char Char Char Char Char Char"/>
    <w:basedOn w:val="1"/>
    <w:link w:val="25"/>
    <w:qFormat/>
    <w:uiPriority w:val="0"/>
    <w:pPr>
      <w:tabs>
        <w:tab w:val="right" w:pos="-2120"/>
      </w:tabs>
      <w:snapToGrid w:val="0"/>
    </w:pPr>
    <w:rPr>
      <w:rFonts w:ascii="Calibri" w:hAnsi="Calibri"/>
      <w:szCs w:val="24"/>
    </w:rPr>
  </w:style>
  <w:style w:type="character" w:styleId="27">
    <w:name w:val="Strong"/>
    <w:basedOn w:val="25"/>
    <w:uiPriority w:val="0"/>
    <w:rPr>
      <w:b/>
      <w:bCs/>
    </w:rPr>
  </w:style>
  <w:style w:type="character" w:styleId="28">
    <w:name w:val="page number"/>
    <w:basedOn w:val="25"/>
    <w:qFormat/>
    <w:uiPriority w:val="0"/>
  </w:style>
  <w:style w:type="character" w:styleId="29">
    <w:name w:val="Emphasis"/>
    <w:uiPriority w:val="0"/>
    <w:rPr>
      <w:rFonts w:ascii="等线" w:hAnsi="等线" w:eastAsia="等线" w:cs="Times New Roman"/>
      <w:b/>
      <w:i/>
      <w:iCs/>
    </w:rPr>
  </w:style>
  <w:style w:type="paragraph" w:customStyle="1" w:styleId="30">
    <w:name w:val="Normal (Web)"/>
    <w:basedOn w:val="1"/>
    <w:qFormat/>
    <w:uiPriority w:val="0"/>
    <w:pPr>
      <w:jc w:val="left"/>
    </w:pPr>
    <w:rPr>
      <w:rFonts w:ascii="Calibri" w:hAnsi="Calibri"/>
      <w:kern w:val="0"/>
      <w:sz w:val="24"/>
      <w:szCs w:val="24"/>
    </w:rPr>
  </w:style>
  <w:style w:type="paragraph" w:customStyle="1" w:styleId="31">
    <w:name w:val="p0"/>
    <w:basedOn w:val="1"/>
    <w:qFormat/>
    <w:uiPriority w:val="0"/>
    <w:pPr>
      <w:widowControl/>
    </w:pPr>
    <w:rPr>
      <w:rFonts w:ascii="Calibri" w:hAnsi="Calibri" w:eastAsia="宋体" w:cs="宋体"/>
      <w:kern w:val="0"/>
      <w:szCs w:val="32"/>
    </w:rPr>
  </w:style>
  <w:style w:type="character" w:customStyle="1" w:styleId="32">
    <w:name w:val="页脚 Char"/>
    <w:link w:val="2"/>
    <w:uiPriority w:val="99"/>
    <w:rPr>
      <w:rFonts w:ascii="等线" w:hAnsi="等线" w:eastAsia="等线" w:cs="Times New Roman"/>
      <w:sz w:val="18"/>
    </w:rPr>
  </w:style>
  <w:style w:type="character" w:customStyle="1" w:styleId="33">
    <w:name w:val="标题 1 Char"/>
    <w:link w:val="3"/>
    <w:uiPriority w:val="9"/>
    <w:rPr>
      <w:rFonts w:ascii="等线 Light" w:hAnsi="等线 Light" w:eastAsia="等线 Light" w:cs="Times New Roman"/>
      <w:b/>
      <w:bCs/>
      <w:kern w:val="32"/>
      <w:sz w:val="32"/>
      <w:szCs w:val="32"/>
    </w:rPr>
  </w:style>
  <w:style w:type="character" w:customStyle="1" w:styleId="34">
    <w:name w:val="标题 2 Char"/>
    <w:link w:val="4"/>
    <w:semiHidden/>
    <w:uiPriority w:val="9"/>
    <w:rPr>
      <w:rFonts w:ascii="等线 Light" w:hAnsi="等线 Light" w:eastAsia="等线 Light" w:cs="Times New Roman"/>
      <w:b/>
      <w:bCs/>
      <w:i/>
      <w:iCs/>
      <w:sz w:val="28"/>
      <w:szCs w:val="28"/>
    </w:rPr>
  </w:style>
  <w:style w:type="character" w:customStyle="1" w:styleId="35">
    <w:name w:val="标题 3 Char"/>
    <w:link w:val="5"/>
    <w:semiHidden/>
    <w:uiPriority w:val="9"/>
    <w:rPr>
      <w:rFonts w:ascii="等线 Light" w:hAnsi="等线 Light" w:eastAsia="等线 Light" w:cs="Times New Roman"/>
      <w:b/>
      <w:bCs/>
      <w:sz w:val="26"/>
      <w:szCs w:val="26"/>
    </w:rPr>
  </w:style>
  <w:style w:type="character" w:customStyle="1" w:styleId="36">
    <w:name w:val="标题 4 Char"/>
    <w:link w:val="6"/>
    <w:semiHidden/>
    <w:uiPriority w:val="9"/>
    <w:rPr>
      <w:rFonts w:ascii="Arial" w:hAnsi="Arial" w:eastAsia="黑体" w:cs="Times New Roman"/>
      <w:b/>
      <w:sz w:val="28"/>
    </w:rPr>
  </w:style>
  <w:style w:type="character" w:customStyle="1" w:styleId="37">
    <w:name w:val="标题 5 Char"/>
    <w:link w:val="7"/>
    <w:semiHidden/>
    <w:uiPriority w:val="9"/>
    <w:rPr>
      <w:rFonts w:ascii="等线" w:hAnsi="等线" w:eastAsia="等线" w:cs="Times New Roman"/>
      <w:b/>
      <w:bCs/>
      <w:i/>
      <w:iCs/>
      <w:sz w:val="26"/>
      <w:szCs w:val="26"/>
    </w:rPr>
  </w:style>
  <w:style w:type="character" w:customStyle="1" w:styleId="38">
    <w:name w:val="标题 6 Char"/>
    <w:link w:val="8"/>
    <w:semiHidden/>
    <w:uiPriority w:val="9"/>
    <w:rPr>
      <w:rFonts w:ascii="等线" w:hAnsi="等线" w:eastAsia="等线" w:cs="Times New Roman"/>
      <w:b/>
      <w:bCs/>
      <w:sz w:val="20"/>
      <w:szCs w:val="20"/>
    </w:rPr>
  </w:style>
  <w:style w:type="character" w:customStyle="1" w:styleId="39">
    <w:name w:val="标题 7 Char"/>
    <w:link w:val="9"/>
    <w:semiHidden/>
    <w:uiPriority w:val="9"/>
    <w:rPr>
      <w:rFonts w:ascii="等线" w:hAnsi="等线" w:eastAsia="等线" w:cs="Times New Roman"/>
    </w:rPr>
  </w:style>
  <w:style w:type="character" w:customStyle="1" w:styleId="40">
    <w:name w:val="标题 8 Char"/>
    <w:link w:val="10"/>
    <w:semiHidden/>
    <w:uiPriority w:val="9"/>
    <w:rPr>
      <w:rFonts w:ascii="等线" w:hAnsi="等线" w:eastAsia="等线" w:cs="Times New Roman"/>
      <w:i/>
      <w:iCs/>
    </w:rPr>
  </w:style>
  <w:style w:type="character" w:customStyle="1" w:styleId="41">
    <w:name w:val="标题 9 Char"/>
    <w:link w:val="11"/>
    <w:semiHidden/>
    <w:uiPriority w:val="9"/>
    <w:rPr>
      <w:rFonts w:ascii="等线 Light" w:hAnsi="等线 Light" w:eastAsia="等线 Light" w:cs="Times New Roman"/>
      <w:sz w:val="20"/>
      <w:szCs w:val="20"/>
    </w:rPr>
  </w:style>
  <w:style w:type="character" w:customStyle="1" w:styleId="42">
    <w:name w:val="批注框文本 Char"/>
    <w:link w:val="15"/>
    <w:semiHidden/>
    <w:uiPriority w:val="99"/>
    <w:rPr>
      <w:rFonts w:ascii="等线" w:hAnsi="等线" w:eastAsia="等线" w:cs="Times New Roman"/>
      <w:sz w:val="18"/>
      <w:szCs w:val="18"/>
    </w:rPr>
  </w:style>
  <w:style w:type="character" w:customStyle="1" w:styleId="43">
    <w:name w:val="页眉 Char"/>
    <w:link w:val="16"/>
    <w:uiPriority w:val="99"/>
    <w:rPr>
      <w:rFonts w:ascii="等线" w:hAnsi="等线" w:eastAsia="等线" w:cs="Times New Roman"/>
      <w:sz w:val="28"/>
    </w:rPr>
  </w:style>
  <w:style w:type="character" w:customStyle="1" w:styleId="44">
    <w:name w:val="副标题 Char"/>
    <w:link w:val="17"/>
    <w:uiPriority w:val="11"/>
    <w:rPr>
      <w:rFonts w:ascii="等线 Light" w:hAnsi="等线 Light" w:eastAsia="等线 Light" w:cs="Times New Roman"/>
    </w:rPr>
  </w:style>
  <w:style w:type="character" w:customStyle="1" w:styleId="45">
    <w:name w:val="标题 Char"/>
    <w:link w:val="21"/>
    <w:uiPriority w:val="10"/>
    <w:rPr>
      <w:rFonts w:ascii="等线 Light" w:hAnsi="等线 Light" w:eastAsia="等线 Light" w:cs="Times New Roman"/>
      <w:b/>
      <w:bCs/>
      <w:kern w:val="28"/>
      <w:sz w:val="32"/>
      <w:szCs w:val="32"/>
    </w:rPr>
  </w:style>
  <w:style w:type="character" w:styleId="46">
    <w:name w:val=""/>
    <w:qFormat/>
    <w:uiPriority w:val="21"/>
    <w:rPr>
      <w:rFonts w:ascii="等线" w:hAnsi="等线" w:eastAsia="等线" w:cs="Times New Roman"/>
      <w:b/>
      <w:i/>
      <w:sz w:val="24"/>
      <w:szCs w:val="24"/>
      <w:u w:val="single"/>
    </w:rPr>
  </w:style>
  <w:style w:type="character" w:styleId="47">
    <w:name w:val=""/>
    <w:qFormat/>
    <w:uiPriority w:val="33"/>
    <w:rPr>
      <w:rFonts w:ascii="等线 Light" w:hAnsi="等线 Light" w:eastAsia="等线 Light" w:cs="Times New Roman"/>
      <w:b/>
      <w:i/>
      <w:sz w:val="24"/>
      <w:szCs w:val="24"/>
    </w:rPr>
  </w:style>
  <w:style w:type="character" w:styleId="48">
    <w:name w:val=""/>
    <w:qFormat/>
    <w:uiPriority w:val="32"/>
    <w:rPr>
      <w:rFonts w:ascii="等线" w:hAnsi="等线" w:eastAsia="等线" w:cs="Times New Roman"/>
      <w:b/>
      <w:sz w:val="24"/>
      <w:u w:val="single"/>
    </w:rPr>
  </w:style>
  <w:style w:type="character" w:styleId="49">
    <w:name w:val=""/>
    <w:qFormat/>
    <w:uiPriority w:val="19"/>
    <w:rPr>
      <w:rFonts w:ascii="等线" w:hAnsi="等线" w:eastAsia="等线" w:cs="Times New Roman"/>
      <w:i/>
      <w:color w:val="5A5A5A"/>
    </w:rPr>
  </w:style>
  <w:style w:type="character" w:styleId="50">
    <w:name w:val=""/>
    <w:qFormat/>
    <w:uiPriority w:val="31"/>
    <w:rPr>
      <w:rFonts w:ascii="等线" w:hAnsi="等线" w:eastAsia="等线" w:cs="Times New Roman"/>
      <w:sz w:val="24"/>
      <w:szCs w:val="24"/>
      <w:u w:val="single"/>
    </w:rPr>
  </w:style>
  <w:style w:type="character" w:customStyle="1" w:styleId="51">
    <w:name w:val="明显引用 Char"/>
    <w:link w:val="52"/>
    <w:uiPriority w:val="30"/>
    <w:rPr>
      <w:rFonts w:ascii="等线" w:hAnsi="等线" w:eastAsia="等线" w:cs="Times New Roman"/>
      <w:b/>
      <w:i/>
      <w:szCs w:val="20"/>
    </w:rPr>
  </w:style>
  <w:style w:type="paragraph" w:styleId="52">
    <w:name w:val="Intense Quote"/>
    <w:basedOn w:val="1"/>
    <w:next w:val="1"/>
    <w:link w:val="51"/>
    <w:qFormat/>
    <w:uiPriority w:val="30"/>
    <w:pPr>
      <w:widowControl/>
      <w:adjustRightInd/>
      <w:spacing w:line="240" w:lineRule="auto"/>
      <w:ind w:left="720" w:right="720"/>
      <w:jc w:val="left"/>
      <w:textAlignment w:val="auto"/>
    </w:pPr>
    <w:rPr>
      <w:rFonts w:ascii="等线" w:hAnsi="等线" w:eastAsia="等线"/>
      <w:b/>
      <w:i/>
      <w:sz w:val="24"/>
      <w:szCs w:val="20"/>
    </w:rPr>
  </w:style>
  <w:style w:type="character" w:customStyle="1" w:styleId="53">
    <w:name w:val="引用 Char"/>
    <w:link w:val="54"/>
    <w:uiPriority w:val="29"/>
    <w:rPr>
      <w:rFonts w:ascii="等线" w:hAnsi="等线" w:eastAsia="等线" w:cs="Times New Roman"/>
      <w:i/>
    </w:rPr>
  </w:style>
  <w:style w:type="paragraph" w:styleId="54">
    <w:name w:val="Quote"/>
    <w:basedOn w:val="1"/>
    <w:next w:val="1"/>
    <w:link w:val="53"/>
    <w:qFormat/>
    <w:uiPriority w:val="29"/>
    <w:pPr>
      <w:widowControl/>
      <w:adjustRightInd/>
      <w:spacing w:line="240" w:lineRule="auto"/>
      <w:jc w:val="left"/>
      <w:textAlignment w:val="auto"/>
    </w:pPr>
    <w:rPr>
      <w:rFonts w:ascii="等线" w:hAnsi="等线" w:eastAsia="等线"/>
      <w:i/>
      <w:sz w:val="24"/>
      <w:szCs w:val="24"/>
    </w:rPr>
  </w:style>
  <w:style w:type="paragraph" w:styleId="55">
    <w:name w:val="List Paragraph"/>
    <w:basedOn w:val="1"/>
    <w:qFormat/>
    <w:uiPriority w:val="34"/>
    <w:pPr>
      <w:widowControl/>
      <w:adjustRightInd/>
      <w:spacing w:line="240" w:lineRule="auto"/>
      <w:ind w:left="720"/>
      <w:contextualSpacing/>
      <w:jc w:val="left"/>
      <w:textAlignment w:val="auto"/>
    </w:pPr>
    <w:rPr>
      <w:rFonts w:ascii="等线" w:hAnsi="等线" w:eastAsia="等线"/>
      <w:sz w:val="24"/>
      <w:szCs w:val="24"/>
    </w:rPr>
  </w:style>
  <w:style w:type="paragraph" w:styleId="56">
    <w:name w:val="No Spacing"/>
    <w:basedOn w:val="1"/>
    <w:qFormat/>
    <w:uiPriority w:val="1"/>
    <w:pPr>
      <w:widowControl/>
      <w:adjustRightInd/>
      <w:spacing w:line="240" w:lineRule="auto"/>
      <w:jc w:val="left"/>
      <w:textAlignment w:val="auto"/>
    </w:pPr>
    <w:rPr>
      <w:rFonts w:ascii="等线" w:hAnsi="等线" w:eastAsia="等线"/>
      <w:sz w:val="24"/>
      <w:szCs w:val="32"/>
    </w:rPr>
  </w:style>
  <w:style w:type="paragraph" w:styleId="57">
    <w:name w:val=""/>
    <w:basedOn w:val="3"/>
    <w:next w:val="1"/>
    <w:qFormat/>
    <w:uiPriority w:val="39"/>
    <w:pPr>
      <w:outlineLvl w:val="9"/>
    </w:pPr>
  </w:style>
  <w:style w:type="paragraph" w:customStyle="1" w:styleId="58">
    <w:name w:val="UserStyle_0"/>
    <w:basedOn w:val="1"/>
    <w:qFormat/>
    <w:uiPriority w:val="0"/>
    <w:pPr>
      <w:widowControl/>
      <w:adjustRightInd/>
      <w:spacing w:after="120" w:line="240" w:lineRule="auto"/>
      <w:jc w:val="left"/>
      <w:textAlignment w:val="baseline"/>
    </w:pPr>
    <w:rPr>
      <w:rFonts w:ascii="Times New Roman" w:hAnsi="Times New Roman" w:eastAsia="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0</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 </cp:lastModifiedBy>
  <cp:lastPrinted>2022-05-13T00:46:00Z</cp:lastPrinted>
  <dcterms:modified xsi:type="dcterms:W3CDTF">2022-12-27T16:29:45Z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