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方正仿宋_GBK" w:hAnsi="方正仿宋_GBK" w:cs="方正仿宋_GBK"/>
          <w:b w:val="0"/>
          <w:bCs w:val="0"/>
        </w:rPr>
      </w:pPr>
      <w:bookmarkStart w:id="0" w:name="_Hlk79762133"/>
    </w:p>
    <w:p>
      <w:pPr>
        <w:spacing w:line="276" w:lineRule="auto"/>
        <w:rPr>
          <w:rFonts w:hint="eastAsia" w:ascii="方正仿宋_GBK" w:hAnsi="方正仿宋_GBK" w:cs="方正仿宋_GBK"/>
          <w:b w:val="0"/>
          <w:bCs w:val="0"/>
        </w:rPr>
      </w:pPr>
    </w:p>
    <w:p>
      <w:pPr>
        <w:spacing w:line="276" w:lineRule="auto"/>
        <w:rPr>
          <w:rFonts w:hint="eastAsia" w:ascii="方正仿宋_GBK" w:hAnsi="方正仿宋_GBK" w:cs="方正仿宋_GBK"/>
          <w:b w:val="0"/>
          <w:bCs w:val="0"/>
        </w:rPr>
      </w:pPr>
    </w:p>
    <w:p>
      <w:pPr>
        <w:spacing w:line="276" w:lineRule="auto"/>
        <w:rPr>
          <w:rFonts w:hint="eastAsia" w:ascii="方正仿宋_GBK" w:hAnsi="方正仿宋_GBK" w:cs="方正仿宋_GBK"/>
          <w:b w:val="0"/>
          <w:bCs w:val="0"/>
        </w:rPr>
      </w:pPr>
    </w:p>
    <w:p>
      <w:pPr>
        <w:spacing w:line="276" w:lineRule="auto"/>
        <w:rPr>
          <w:rFonts w:hint="eastAsia" w:ascii="方正仿宋_GBK" w:hAnsi="方正仿宋_GBK" w:cs="方正仿宋_GBK"/>
          <w:b w:val="0"/>
          <w:bCs w:val="0"/>
        </w:rPr>
      </w:pPr>
    </w:p>
    <w:p>
      <w:pPr>
        <w:spacing w:line="276" w:lineRule="auto"/>
        <w:rPr>
          <w:rFonts w:hint="eastAsia" w:ascii="方正仿宋_GBK" w:hAnsi="方正仿宋_GBK" w:cs="方正仿宋_GBK"/>
          <w:b w:val="0"/>
          <w:bCs w:val="0"/>
        </w:rPr>
      </w:pPr>
    </w:p>
    <w:p>
      <w:pPr>
        <w:spacing w:line="276" w:lineRule="auto"/>
        <w:rPr>
          <w:rFonts w:hint="eastAsia" w:ascii="方正仿宋_GBK" w:hAnsi="方正仿宋_GBK" w:cs="方正仿宋_GBK"/>
          <w:b w:val="0"/>
          <w:bCs w:val="0"/>
        </w:rPr>
      </w:pP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outlineLvl w:val="9"/>
        <w:rPr>
          <w:rFonts w:hint="eastAsia" w:ascii="方正仿宋_GBK" w:hAnsi="方正仿宋_GBK" w:cs="方正仿宋_GBK"/>
          <w:b w:val="0"/>
          <w:bCs w:val="0"/>
        </w:rPr>
      </w:pP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center"/>
        <w:textAlignment w:val="auto"/>
        <w:outlineLvl w:val="9"/>
        <w:rPr>
          <w:rFonts w:hint="eastAsia" w:ascii="方正仿宋_GBK" w:hAnsi="方正仿宋_GBK" w:cs="方正仿宋_GBK"/>
          <w:b w:val="0"/>
          <w:bCs w:val="0"/>
        </w:rPr>
      </w:pPr>
      <w:r>
        <w:rPr>
          <w:rFonts w:hint="eastAsia" w:ascii="方正仿宋_GBK" w:hAnsi="方正仿宋_GBK" w:cs="方正仿宋_GBK"/>
          <w:b w:val="0"/>
          <w:bCs w:val="0"/>
        </w:rPr>
        <w:t>永川府办发〔2022〕11号</w:t>
      </w: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outlineLvl w:val="9"/>
        <w:rPr>
          <w:rFonts w:hint="eastAsia" w:ascii="方正仿宋_GBK" w:hAnsi="方正仿宋_GBK" w:cs="方正仿宋_GBK"/>
          <w:b w:val="0"/>
          <w:bCs w:val="0"/>
        </w:rPr>
      </w:pP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outlineLvl w:val="9"/>
        <w:rPr>
          <w:rFonts w:hint="eastAsia" w:ascii="方正仿宋_GBK" w:hAnsi="方正仿宋_GBK" w:cs="方正仿宋_GBK"/>
          <w:b w:val="0"/>
          <w:bCs w:val="0"/>
        </w:rPr>
      </w:pP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重庆市永川区人民政府办公室</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关于印发重庆市永川区“十四五”土壤</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（地下水、农业农村）污染防治专项</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规划的通知</w:t>
      </w:r>
    </w:p>
    <w:p>
      <w:pPr>
        <w:keepNext w:val="0"/>
        <w:keepLines w:val="0"/>
        <w:pageBreakBefore w:val="0"/>
        <w:widowControl w:val="0"/>
        <w:kinsoku/>
        <w:overflowPunct/>
        <w:topLinePunct w:val="0"/>
        <w:autoSpaceDE/>
        <w:autoSpaceDN/>
        <w:bidi w:val="0"/>
        <w:adjustRightInd w:val="0"/>
        <w:snapToGrid w:val="0"/>
        <w:spacing w:line="276" w:lineRule="auto"/>
        <w:ind w:left="0" w:leftChars="0" w:right="0" w:rightChars="0" w:firstLine="0" w:firstLineChars="0"/>
        <w:textAlignment w:val="auto"/>
        <w:outlineLvl w:val="9"/>
        <w:rPr>
          <w:rFonts w:hint="eastAsia" w:ascii="方正仿宋_GBK" w:hAnsi="方正仿宋_GBK" w:cs="方正仿宋_GBK"/>
          <w:b w:val="0"/>
          <w:bCs w:val="0"/>
          <w:szCs w:val="32"/>
        </w:rPr>
      </w:pPr>
    </w:p>
    <w:p>
      <w:pPr>
        <w:keepNext w:val="0"/>
        <w:keepLines w:val="0"/>
        <w:pageBreakBefore w:val="0"/>
        <w:widowControl w:val="0"/>
        <w:kinsoku/>
        <w:overflowPunct/>
        <w:topLinePunct w:val="0"/>
        <w:autoSpaceDE/>
        <w:autoSpaceDN/>
        <w:bidi w:val="0"/>
        <w:adjustRightInd w:val="0"/>
        <w:snapToGrid w:val="0"/>
        <w:spacing w:line="276" w:lineRule="auto"/>
        <w:ind w:left="0" w:leftChars="0" w:right="0" w:rightChars="0" w:firstLine="0" w:firstLineChars="0"/>
        <w:textAlignment w:val="auto"/>
        <w:outlineLvl w:val="9"/>
        <w:rPr>
          <w:rFonts w:hint="eastAsia" w:ascii="方正仿宋_GBK" w:hAnsi="方正仿宋_GBK" w:cs="方正仿宋_GBK"/>
          <w:b w:val="0"/>
          <w:bCs w:val="0"/>
        </w:rPr>
      </w:pPr>
      <w:r>
        <w:rPr>
          <w:rFonts w:hint="eastAsia" w:ascii="方正仿宋_GBK" w:hAnsi="方正仿宋_GBK" w:cs="方正仿宋_GBK"/>
          <w:b w:val="0"/>
          <w:bCs w:val="0"/>
        </w:rPr>
        <w:t>各镇人民政府、街道办事处，区政府有关部门，有关单位：</w:t>
      </w: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640" w:firstLineChars="200"/>
        <w:jc w:val="both"/>
        <w:textAlignment w:val="auto"/>
        <w:outlineLvl w:val="9"/>
        <w:rPr>
          <w:rFonts w:hint="eastAsia" w:ascii="方正仿宋_GBK" w:hAnsi="方正仿宋_GBK" w:cs="方正仿宋_GBK"/>
          <w:b w:val="0"/>
          <w:bCs w:val="0"/>
        </w:rPr>
      </w:pPr>
      <w:r>
        <w:rPr>
          <w:rFonts w:hint="eastAsia" w:ascii="方正仿宋_GBK" w:hAnsi="方正仿宋_GBK" w:cs="方正仿宋_GBK"/>
          <w:b w:val="0"/>
          <w:bCs w:val="0"/>
        </w:rPr>
        <w:t>《重庆市永川区“十四五”土壤（地下水、农业农村）污染防治专项规划》已经区政府同意，现印发给你们，请认真贯彻执行。</w:t>
      </w:r>
    </w:p>
    <w:p>
      <w:pPr>
        <w:keepNext w:val="0"/>
        <w:keepLines w:val="0"/>
        <w:pageBreakBefore w:val="0"/>
        <w:widowControl w:val="0"/>
        <w:kinsoku/>
        <w:wordWrap w:val="0"/>
        <w:overflowPunct/>
        <w:topLinePunct w:val="0"/>
        <w:autoSpaceDE/>
        <w:autoSpaceDN/>
        <w:bidi w:val="0"/>
        <w:adjustRightInd w:val="0"/>
        <w:snapToGrid w:val="0"/>
        <w:spacing w:line="276" w:lineRule="auto"/>
        <w:ind w:left="0" w:leftChars="0" w:right="0" w:rightChars="0" w:firstLine="3680" w:firstLineChars="1150"/>
        <w:jc w:val="center"/>
        <w:textAlignment w:val="auto"/>
        <w:outlineLvl w:val="9"/>
        <w:rPr>
          <w:rFonts w:hint="eastAsia" w:ascii="方正仿宋_GBK" w:hAnsi="方正仿宋_GBK" w:cs="方正仿宋_GBK"/>
          <w:b w:val="0"/>
          <w:bCs w:val="0"/>
        </w:rPr>
      </w:pPr>
      <w:r>
        <w:rPr>
          <w:rFonts w:hint="eastAsia" w:ascii="方正仿宋_GBK" w:hAnsi="方正仿宋_GBK" w:cs="方正仿宋_GBK"/>
          <w:b w:val="0"/>
          <w:bCs w:val="0"/>
        </w:rPr>
        <w:t>重庆市永川区人民政府办公室</w:t>
      </w:r>
    </w:p>
    <w:p>
      <w:pPr>
        <w:keepNext w:val="0"/>
        <w:keepLines w:val="0"/>
        <w:pageBreakBefore w:val="0"/>
        <w:widowControl w:val="0"/>
        <w:kinsoku/>
        <w:wordWrap w:val="0"/>
        <w:overflowPunct/>
        <w:topLinePunct w:val="0"/>
        <w:autoSpaceDE/>
        <w:autoSpaceDN/>
        <w:bidi w:val="0"/>
        <w:adjustRightInd w:val="0"/>
        <w:snapToGrid w:val="0"/>
        <w:spacing w:line="276" w:lineRule="auto"/>
        <w:ind w:left="0" w:leftChars="0" w:right="0" w:rightChars="0" w:firstLine="0" w:firstLineChars="0"/>
        <w:jc w:val="right"/>
        <w:textAlignment w:val="auto"/>
        <w:outlineLvl w:val="9"/>
        <w:rPr>
          <w:rFonts w:hint="eastAsia" w:ascii="方正仿宋_GBK" w:hAnsi="方正仿宋_GBK" w:cs="方正仿宋_GBK"/>
          <w:b w:val="0"/>
          <w:bCs w:val="0"/>
        </w:rPr>
      </w:pPr>
      <w:r>
        <w:rPr>
          <w:rFonts w:hint="default" w:ascii="Times New Roman" w:hAnsi="Times New Roman" w:cs="Times New Roman"/>
          <w:b w:val="0"/>
          <w:bCs w:val="0"/>
        </w:rPr>
        <w:t>2022年1月</w:t>
      </w:r>
      <w:r>
        <w:rPr>
          <w:rFonts w:hint="default" w:cs="Times New Roman"/>
          <w:b w:val="0"/>
          <w:bCs w:val="0"/>
          <w:lang w:val="en" w:eastAsia="zh-CN"/>
        </w:rPr>
        <w:t>27</w:t>
      </w:r>
      <w:r>
        <w:rPr>
          <w:rFonts w:hint="default" w:ascii="Times New Roman" w:hAnsi="Times New Roman" w:cs="Times New Roman"/>
          <w:b w:val="0"/>
          <w:bCs w:val="0"/>
        </w:rPr>
        <w:t>日</w:t>
      </w:r>
      <w:r>
        <w:rPr>
          <w:rFonts w:hint="eastAsia" w:ascii="方正仿宋_GBK" w:hAnsi="方正仿宋_GBK" w:cs="方正仿宋_GBK"/>
          <w:b w:val="0"/>
          <w:bCs w:val="0"/>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276" w:lineRule="auto"/>
        <w:ind w:left="0" w:leftChars="0" w:right="0" w:rightChars="0" w:firstLine="640"/>
        <w:textAlignment w:val="auto"/>
        <w:outlineLvl w:val="9"/>
        <w:rPr>
          <w:rFonts w:hint="eastAsia" w:ascii="方正仿宋_GBK" w:hAnsi="方正仿宋_GBK" w:cs="方正仿宋_GBK"/>
          <w:b w:val="0"/>
          <w:bCs w:val="0"/>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720" w:footer="1474" w:gutter="0"/>
          <w:pgNumType w:fmt="numberInDash" w:start="1"/>
          <w:cols w:space="0" w:num="1"/>
          <w:rtlGutter w:val="0"/>
          <w:docGrid w:type="lines" w:linePitch="439" w:charSpace="0"/>
        </w:sectPr>
      </w:pPr>
      <w:r>
        <w:rPr>
          <w:rFonts w:hint="eastAsia" w:ascii="方正仿宋_GBK" w:hAnsi="方正仿宋_GBK" w:cs="方正仿宋_GBK"/>
          <w:b w:val="0"/>
          <w:bCs w:val="0"/>
        </w:rPr>
        <w:t>（</w:t>
      </w:r>
      <w:r>
        <w:rPr>
          <w:rFonts w:hint="eastAsia" w:ascii="方正仿宋_GBK" w:hAnsi="方正仿宋_GBK" w:cs="方正仿宋_GBK"/>
          <w:b w:val="0"/>
          <w:bCs w:val="0"/>
          <w:lang w:val="en-US" w:eastAsia="zh-CN"/>
        </w:rPr>
        <w:t>此件</w:t>
      </w:r>
      <w:r>
        <w:rPr>
          <w:rFonts w:hint="eastAsia" w:ascii="方正仿宋_GBK" w:hAnsi="方正仿宋_GBK" w:cs="方正仿宋_GBK"/>
          <w:b w:val="0"/>
          <w:bCs w:val="0"/>
          <w:lang w:eastAsia="zh-CN"/>
        </w:rPr>
        <w:t>公开发布</w:t>
      </w:r>
      <w:r>
        <w:rPr>
          <w:rFonts w:hint="eastAsia" w:ascii="方正仿宋_GBK" w:hAnsi="方正仿宋_GBK" w:cs="方正仿宋_GBK"/>
          <w:b w:val="0"/>
          <w:bCs w:val="0"/>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方正小标宋_GBK" w:hAnsi="Times New Roman" w:eastAsia="方正小标宋_GBK" w:cs="Times New Roman"/>
          <w:b w:val="0"/>
          <w:bCs w:val="0"/>
          <w:color w:val="000000"/>
          <w:sz w:val="44"/>
          <w:szCs w:val="44"/>
        </w:rPr>
      </w:pPr>
      <w:r>
        <w:rPr>
          <w:rFonts w:hint="eastAsia" w:ascii="方正小标宋_GBK" w:hAnsi="Times New Roman" w:eastAsia="方正小标宋_GBK" w:cs="Times New Roman"/>
          <w:b w:val="0"/>
          <w:bCs w:val="0"/>
          <w:color w:val="000000"/>
          <w:sz w:val="44"/>
          <w:szCs w:val="44"/>
        </w:rPr>
        <w:t>重庆市永川区“十四五”土壤</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方正小标宋_GBK" w:hAnsi="Times New Roman" w:eastAsia="方正小标宋_GBK" w:cs="Times New Roman"/>
          <w:b w:val="0"/>
          <w:bCs w:val="0"/>
          <w:color w:val="000000"/>
          <w:sz w:val="44"/>
          <w:szCs w:val="44"/>
        </w:rPr>
      </w:pPr>
      <w:r>
        <w:rPr>
          <w:rFonts w:hint="eastAsia" w:ascii="方正小标宋_GBK" w:hAnsi="Times New Roman" w:eastAsia="方正小标宋_GBK" w:cs="Times New Roman"/>
          <w:b w:val="0"/>
          <w:bCs w:val="0"/>
          <w:color w:val="000000"/>
          <w:sz w:val="44"/>
          <w:szCs w:val="44"/>
        </w:rPr>
        <w:t>（地下水、农业农村）污染防治专项规划</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0" w:firstLineChars="0"/>
        <w:jc w:val="center"/>
        <w:textAlignment w:val="auto"/>
        <w:outlineLvl w:val="9"/>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目  录</w:t>
      </w:r>
    </w:p>
    <w:p>
      <w:pPr>
        <w:keepNext w:val="0"/>
        <w:keepLines w:val="0"/>
        <w:pageBreakBefore w:val="0"/>
        <w:widowControl w:val="0"/>
        <w:kinsoku/>
        <w:wordWrap/>
        <w:overflowPunct/>
        <w:topLinePunct w:val="0"/>
        <w:autoSpaceDE/>
        <w:autoSpaceDN/>
        <w:bidi w:val="0"/>
        <w:adjustRightInd/>
        <w:snapToGrid w:val="0"/>
        <w:spacing w:line="276" w:lineRule="auto"/>
        <w:ind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32"/>
          <w:szCs w:val="32"/>
        </w:rPr>
      </w:pP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color w:val="000000"/>
          <w:sz w:val="32"/>
          <w:szCs w:val="32"/>
        </w:rPr>
        <w:instrText xml:space="preserve"> TOC \o "1-3" \h \z \u </w:instrText>
      </w:r>
      <w:r>
        <w:rPr>
          <w:rFonts w:hint="eastAsia" w:ascii="方正仿宋_GBK" w:hAnsi="方正仿宋_GBK" w:eastAsia="方正仿宋_GBK" w:cs="方正仿宋_GBK"/>
          <w:b w:val="0"/>
          <w:bCs w:val="0"/>
          <w:color w:val="000000"/>
          <w:sz w:val="32"/>
          <w:szCs w:val="32"/>
        </w:rPr>
        <w:fldChar w:fldCharType="separate"/>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_Toc5337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一、进展与形势</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_Toc5337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- 4 -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_Toc15272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（一）工作进展</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_Toc15272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- 4 -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_Toc1667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（二）形势研判</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_Toc1667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- 6 -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_Toc28169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二、总体要求</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_Toc28169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- 9 -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_Toc3429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（一）指导思想</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_Toc3429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- 9 -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_Toc26379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（二）基本原则</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_Toc26379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- 9 -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_Toc11629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（三）主要目标</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_Toc11629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- 10 -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_Toc493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三、主要任务</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_Toc493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- 11 -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_Toc5969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（一）加强土壤生态环境保护与污染风险管控</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_Toc5969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- 11 -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_Toc15735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w:t>
      </w:r>
      <w:r>
        <w:rPr>
          <w:rFonts w:hint="eastAsia" w:ascii="方正仿宋_GBK" w:hAnsi="方正仿宋_GBK" w:eastAsia="方正仿宋_GBK" w:cs="方正仿宋_GBK"/>
          <w:b w:val="0"/>
          <w:bCs w:val="0"/>
          <w:kern w:val="28"/>
          <w:sz w:val="32"/>
          <w:szCs w:val="32"/>
          <w:lang w:val="en-US" w:eastAsia="zh-CN" w:bidi="ar-SA"/>
        </w:rPr>
        <w:t>二）</w:t>
      </w:r>
      <w:r>
        <w:rPr>
          <w:rFonts w:hint="eastAsia" w:ascii="方正仿宋_GBK" w:hAnsi="方正仿宋_GBK" w:eastAsia="方正仿宋_GBK" w:cs="方正仿宋_GBK"/>
          <w:b w:val="0"/>
          <w:bCs w:val="0"/>
          <w:kern w:val="32"/>
          <w:sz w:val="32"/>
          <w:szCs w:val="32"/>
          <w:lang w:val="en-US" w:eastAsia="zh-CN" w:bidi="ar-SA"/>
        </w:rPr>
        <w:t>推进地下水生态环境保护</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_Toc15735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- 18 -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28"/>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_Toc8749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（三）改善农业农村生态环境</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_Toc8749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- 19 -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_Toc3088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（四）提升生态环境监管能力</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_Toc3088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- 23 -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_Toc10983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四、重大工程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_Toc10983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- 24 -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_Toc16526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（一）调查与评估工程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_Toc16526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- 24 -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_Toc27049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（二）治理修复与风险管控工程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_Toc27049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- 25 -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_Toc3551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五、保障措施</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_Toc3551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- 26 -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_Toc845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（一）加强组织领导</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_Toc845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- 26 -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_Toc32190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w:t>
      </w:r>
      <w:r>
        <w:rPr>
          <w:rFonts w:hint="eastAsia" w:ascii="方正仿宋_GBK" w:hAnsi="方正仿宋_GBK" w:eastAsia="方正仿宋_GBK" w:cs="方正仿宋_GBK"/>
          <w:b w:val="0"/>
          <w:bCs w:val="0"/>
          <w:kern w:val="28"/>
          <w:sz w:val="32"/>
          <w:szCs w:val="32"/>
          <w:lang w:val="en-US" w:eastAsia="zh-CN" w:bidi="ar-SA"/>
        </w:rPr>
        <w:t>二）</w:t>
      </w:r>
      <w:r>
        <w:rPr>
          <w:rFonts w:hint="eastAsia" w:ascii="方正仿宋_GBK" w:hAnsi="方正仿宋_GBK" w:eastAsia="方正仿宋_GBK" w:cs="方正仿宋_GBK"/>
          <w:b w:val="0"/>
          <w:bCs w:val="0"/>
          <w:kern w:val="32"/>
          <w:sz w:val="32"/>
          <w:szCs w:val="32"/>
          <w:lang w:val="en-US" w:eastAsia="zh-CN" w:bidi="ar-SA"/>
        </w:rPr>
        <w:t>完善经济政策</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_Toc32190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- 27 -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28"/>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_Toc3137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w:t>
      </w:r>
      <w:r>
        <w:rPr>
          <w:rFonts w:hint="eastAsia" w:ascii="方正仿宋_GBK" w:hAnsi="方正仿宋_GBK" w:eastAsia="方正仿宋_GBK" w:cs="方正仿宋_GBK"/>
          <w:b w:val="0"/>
          <w:bCs w:val="0"/>
          <w:kern w:val="28"/>
          <w:sz w:val="32"/>
          <w:szCs w:val="32"/>
          <w:lang w:val="en-US" w:eastAsia="zh-CN" w:bidi="ar-SA"/>
        </w:rPr>
        <w:t>三）</w:t>
      </w:r>
      <w:r>
        <w:rPr>
          <w:rFonts w:hint="eastAsia" w:ascii="方正仿宋_GBK" w:hAnsi="方正仿宋_GBK" w:eastAsia="方正仿宋_GBK" w:cs="方正仿宋_GBK"/>
          <w:b w:val="0"/>
          <w:bCs w:val="0"/>
          <w:kern w:val="32"/>
          <w:sz w:val="32"/>
          <w:szCs w:val="32"/>
          <w:lang w:val="en-US" w:eastAsia="zh-CN" w:bidi="ar-SA"/>
        </w:rPr>
        <w:t>强化监督考核</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_Toc3137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- 27 -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28"/>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_Toc8716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w:t>
      </w:r>
      <w:r>
        <w:rPr>
          <w:rFonts w:hint="eastAsia" w:ascii="方正仿宋_GBK" w:hAnsi="方正仿宋_GBK" w:eastAsia="方正仿宋_GBK" w:cs="方正仿宋_GBK"/>
          <w:b w:val="0"/>
          <w:bCs w:val="0"/>
          <w:kern w:val="28"/>
          <w:sz w:val="32"/>
          <w:szCs w:val="32"/>
          <w:lang w:val="en-US" w:eastAsia="zh-CN" w:bidi="ar-SA"/>
        </w:rPr>
        <w:t>四）</w:t>
      </w:r>
      <w:r>
        <w:rPr>
          <w:rFonts w:hint="eastAsia" w:ascii="方正仿宋_GBK" w:hAnsi="方正仿宋_GBK" w:eastAsia="方正仿宋_GBK" w:cs="方正仿宋_GBK"/>
          <w:b w:val="0"/>
          <w:bCs w:val="0"/>
          <w:kern w:val="32"/>
          <w:sz w:val="32"/>
          <w:szCs w:val="32"/>
          <w:lang w:val="en-US" w:eastAsia="zh-CN" w:bidi="ar-SA"/>
        </w:rPr>
        <w:t>加大宣传引导</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_Toc8716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- 27 -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28"/>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_Toc21826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附件1</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_Toc7937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永川区土壤污染监管重点企业名单</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_Toc7937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- 29 -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_Toc24722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附件2</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_Toc15904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土壤污染状况调查与风险评估工程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_Toc15904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- 30 -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_Toc677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附件3</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_Toc4536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地下水环境状况调查工程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_Toc4536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- 31 -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_Toc12810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附件4</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_Toc32295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土壤污染修复与风险管控工程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_Toc32295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- 32 -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_Toc4486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附件5</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_Toc13173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农业面源污染防治工程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_Toc13173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- 33 -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_Toc12278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附件6</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_Toc28726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农村黑臭水体治理工程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_Toc28726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- 34 -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_Toc14369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附件7</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_Toc2190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农村生活污水治理工程</w:t>
      </w:r>
      <w:r>
        <w:rPr>
          <w:rFonts w:hint="eastAsia" w:ascii="方正仿宋_GBK" w:hAnsi="方正仿宋_GBK" w:eastAsia="方正仿宋_GBK" w:cs="方正仿宋_GBK"/>
          <w:b w:val="0"/>
          <w:bCs w:val="0"/>
          <w:kern w:val="32"/>
          <w:sz w:val="32"/>
          <w:szCs w:val="32"/>
          <w:lang w:val="en-US" w:eastAsia="zh-CN" w:bidi="ar-SA"/>
        </w:rPr>
        <w:tab/>
      </w:r>
      <w:r>
        <w:rPr>
          <w:rFonts w:hint="eastAsia" w:ascii="方正仿宋_GBK" w:hAnsi="方正仿宋_GBK" w:eastAsia="方正仿宋_GBK" w:cs="方正仿宋_GBK"/>
          <w:b w:val="0"/>
          <w:bCs w:val="0"/>
          <w:kern w:val="32"/>
          <w:sz w:val="32"/>
          <w:szCs w:val="32"/>
          <w:lang w:val="en-US" w:eastAsia="zh-CN" w:bidi="ar-SA"/>
        </w:rPr>
        <w:fldChar w:fldCharType="begin"/>
      </w:r>
      <w:r>
        <w:rPr>
          <w:rFonts w:hint="eastAsia" w:ascii="方正仿宋_GBK" w:hAnsi="方正仿宋_GBK" w:eastAsia="方正仿宋_GBK" w:cs="方正仿宋_GBK"/>
          <w:b w:val="0"/>
          <w:bCs w:val="0"/>
          <w:kern w:val="32"/>
          <w:sz w:val="32"/>
          <w:szCs w:val="32"/>
          <w:lang w:val="en-US" w:eastAsia="zh-CN" w:bidi="ar-SA"/>
        </w:rPr>
        <w:instrText xml:space="preserve"> PAGEREF _Toc2190 </w:instrText>
      </w:r>
      <w:r>
        <w:rPr>
          <w:rFonts w:hint="eastAsia" w:ascii="方正仿宋_GBK" w:hAnsi="方正仿宋_GBK" w:eastAsia="方正仿宋_GBK" w:cs="方正仿宋_GBK"/>
          <w:b w:val="0"/>
          <w:bCs w:val="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- 36 -</w:t>
      </w:r>
      <w:r>
        <w:rPr>
          <w:rFonts w:hint="eastAsia" w:ascii="方正仿宋_GBK" w:hAnsi="方正仿宋_GBK" w:eastAsia="方正仿宋_GBK" w:cs="方正仿宋_GBK"/>
          <w:b w:val="0"/>
          <w:bCs w:val="0"/>
          <w:kern w:val="32"/>
          <w:sz w:val="32"/>
          <w:szCs w:val="32"/>
          <w:lang w:val="en-US" w:eastAsia="zh-CN" w:bidi="ar-SA"/>
        </w:rPr>
        <w:fldChar w:fldCharType="end"/>
      </w: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fldChar w:fldCharType="begin"/>
      </w:r>
      <w:r>
        <w:rPr>
          <w:rFonts w:hint="eastAsia" w:ascii="方正仿宋_GBK" w:hAnsi="方正仿宋_GBK" w:eastAsia="方正仿宋_GBK" w:cs="方正仿宋_GBK"/>
          <w:b w:val="0"/>
          <w:bCs w:val="0"/>
          <w:color w:val="000000"/>
          <w:kern w:val="32"/>
          <w:sz w:val="32"/>
          <w:szCs w:val="32"/>
          <w:lang w:val="en-US" w:eastAsia="zh-CN" w:bidi="ar-SA"/>
        </w:rPr>
        <w:instrText xml:space="preserve"> HYPERLINK \l _Toc6185 </w:instrText>
      </w:r>
      <w:r>
        <w:rPr>
          <w:rFonts w:hint="eastAsia" w:ascii="方正仿宋_GBK" w:hAnsi="方正仿宋_GBK" w:eastAsia="方正仿宋_GBK" w:cs="方正仿宋_GBK"/>
          <w:b w:val="0"/>
          <w:bCs w:val="0"/>
          <w:color w:val="000000"/>
          <w:kern w:val="32"/>
          <w:sz w:val="32"/>
          <w:szCs w:val="32"/>
          <w:lang w:val="en-US" w:eastAsia="zh-CN" w:bidi="ar-SA"/>
        </w:rPr>
        <w:fldChar w:fldCharType="separate"/>
      </w:r>
      <w:r>
        <w:rPr>
          <w:rFonts w:hint="eastAsia" w:ascii="方正仿宋_GBK" w:hAnsi="方正仿宋_GBK" w:eastAsia="方正仿宋_GBK" w:cs="方正仿宋_GBK"/>
          <w:b w:val="0"/>
          <w:bCs w:val="0"/>
          <w:kern w:val="32"/>
          <w:sz w:val="32"/>
          <w:szCs w:val="32"/>
          <w:lang w:val="en-US" w:eastAsia="zh-CN" w:bidi="ar-SA"/>
        </w:rPr>
        <w:t>附件8</w:t>
      </w:r>
      <w:r>
        <w:rPr>
          <w:rFonts w:hint="eastAsia" w:ascii="方正仿宋_GBK" w:hAnsi="方正仿宋_GBK" w:eastAsia="方正仿宋_GBK" w:cs="方正仿宋_GBK"/>
          <w:b w:val="0"/>
          <w:bCs w:val="0"/>
          <w:color w:val="00000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8"/>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8"/>
          <w:kern w:val="32"/>
          <w:sz w:val="32"/>
          <w:szCs w:val="32"/>
          <w:lang w:val="en-US" w:eastAsia="zh-CN" w:bidi="ar-SA"/>
        </w:rPr>
        <w:instrText xml:space="preserve"> HYPERLINK \l _Toc14947 </w:instrText>
      </w:r>
      <w:r>
        <w:rPr>
          <w:rFonts w:hint="eastAsia" w:ascii="方正仿宋_GBK" w:hAnsi="方正仿宋_GBK" w:eastAsia="方正仿宋_GBK" w:cs="方正仿宋_GBK"/>
          <w:b w:val="0"/>
          <w:bCs w:val="0"/>
          <w:color w:val="000000"/>
          <w:spacing w:val="-28"/>
          <w:kern w:val="32"/>
          <w:sz w:val="32"/>
          <w:szCs w:val="32"/>
          <w:lang w:val="en-US" w:eastAsia="zh-CN" w:bidi="ar-SA"/>
        </w:rPr>
        <w:fldChar w:fldCharType="separate"/>
      </w:r>
      <w:r>
        <w:rPr>
          <w:rFonts w:hint="eastAsia" w:ascii="方正仿宋_GBK" w:hAnsi="方正仿宋_GBK" w:eastAsia="方正仿宋_GBK" w:cs="方正仿宋_GBK"/>
          <w:b w:val="0"/>
          <w:bCs w:val="0"/>
          <w:spacing w:val="-28"/>
          <w:kern w:val="32"/>
          <w:sz w:val="32"/>
          <w:szCs w:val="32"/>
          <w:lang w:val="en-US" w:eastAsia="zh-CN" w:bidi="ar-SA"/>
        </w:rPr>
        <w:t>土壤（地下水、农业农村）污染防治工作任务分解表</w:t>
      </w:r>
      <w:r>
        <w:rPr>
          <w:rFonts w:hint="eastAsia" w:ascii="方正仿宋_GBK" w:hAnsi="方正仿宋_GBK" w:eastAsia="方正仿宋_GBK" w:cs="方正仿宋_GBK"/>
          <w:b w:val="0"/>
          <w:bCs w:val="0"/>
          <w:spacing w:val="-28"/>
          <w:kern w:val="32"/>
          <w:sz w:val="32"/>
          <w:szCs w:val="32"/>
          <w:lang w:val="en-US" w:eastAsia="zh-CN" w:bidi="ar-SA"/>
        </w:rPr>
        <w:tab/>
      </w:r>
      <w:r>
        <w:rPr>
          <w:rFonts w:hint="eastAsia" w:ascii="方正仿宋_GBK" w:hAnsi="方正仿宋_GBK" w:eastAsia="方正仿宋_GBK" w:cs="方正仿宋_GBK"/>
          <w:b w:val="0"/>
          <w:bCs w:val="0"/>
          <w:spacing w:val="-28"/>
          <w:kern w:val="32"/>
          <w:sz w:val="32"/>
          <w:szCs w:val="32"/>
          <w:lang w:val="en-US" w:eastAsia="zh-CN" w:bidi="ar-SA"/>
        </w:rPr>
        <w:fldChar w:fldCharType="begin"/>
      </w:r>
      <w:r>
        <w:rPr>
          <w:rFonts w:hint="eastAsia" w:ascii="方正仿宋_GBK" w:hAnsi="方正仿宋_GBK" w:eastAsia="方正仿宋_GBK" w:cs="方正仿宋_GBK"/>
          <w:b w:val="0"/>
          <w:bCs w:val="0"/>
          <w:spacing w:val="-28"/>
          <w:kern w:val="32"/>
          <w:sz w:val="32"/>
          <w:szCs w:val="32"/>
          <w:lang w:val="en-US" w:eastAsia="zh-CN" w:bidi="ar-SA"/>
        </w:rPr>
        <w:instrText xml:space="preserve"> PAGEREF _Toc14947 </w:instrText>
      </w:r>
      <w:r>
        <w:rPr>
          <w:rFonts w:hint="eastAsia" w:ascii="方正仿宋_GBK" w:hAnsi="方正仿宋_GBK" w:eastAsia="方正仿宋_GBK" w:cs="方正仿宋_GBK"/>
          <w:b w:val="0"/>
          <w:bCs w:val="0"/>
          <w:spacing w:val="-28"/>
          <w:kern w:val="32"/>
          <w:sz w:val="32"/>
          <w:szCs w:val="32"/>
          <w:lang w:val="en-US" w:eastAsia="zh-CN" w:bidi="ar-SA"/>
        </w:rPr>
        <w:fldChar w:fldCharType="separate"/>
      </w:r>
      <w:r>
        <w:rPr>
          <w:rFonts w:hint="eastAsia" w:ascii="方正仿宋_GBK" w:hAnsi="方正仿宋_GBK" w:eastAsia="方正仿宋_GBK" w:cs="方正仿宋_GBK"/>
          <w:b w:val="0"/>
          <w:bCs w:val="0"/>
          <w:spacing w:val="-28"/>
          <w:kern w:val="32"/>
          <w:sz w:val="32"/>
          <w:szCs w:val="32"/>
          <w:lang w:val="en-US" w:eastAsia="zh-CN" w:bidi="ar-SA"/>
        </w:rPr>
        <w:t>- 37 -</w:t>
      </w:r>
      <w:r>
        <w:rPr>
          <w:rFonts w:hint="eastAsia" w:ascii="方正仿宋_GBK" w:hAnsi="方正仿宋_GBK" w:eastAsia="方正仿宋_GBK" w:cs="方正仿宋_GBK"/>
          <w:b w:val="0"/>
          <w:bCs w:val="0"/>
          <w:spacing w:val="-28"/>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8"/>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spacing w:val="-20"/>
          <w:kern w:val="32"/>
          <w:sz w:val="32"/>
          <w:szCs w:val="32"/>
          <w:lang w:val="en-US" w:eastAsia="zh-CN" w:bidi="ar-SA"/>
        </w:rPr>
      </w:pP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0"/>
          <w:kern w:val="32"/>
          <w:sz w:val="32"/>
          <w:szCs w:val="32"/>
          <w:lang w:val="en-US" w:eastAsia="zh-CN" w:bidi="ar-SA"/>
        </w:rPr>
        <w:instrText xml:space="preserve"> HYPERLINK \l _Toc9600 </w:instrTex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附件9</w: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0"/>
          <w:kern w:val="32"/>
          <w:sz w:val="32"/>
          <w:szCs w:val="32"/>
          <w:lang w:val="en-US" w:eastAsia="zh-CN" w:bidi="ar-SA"/>
        </w:rPr>
        <w:instrText xml:space="preserve"> HYPERLINK \l _Toc24570 </w:instrTex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永川区土壤污染状况调查评估工程分布图</w:t>
      </w:r>
      <w:r>
        <w:rPr>
          <w:rFonts w:hint="eastAsia" w:ascii="方正仿宋_GBK" w:hAnsi="方正仿宋_GBK" w:eastAsia="方正仿宋_GBK" w:cs="方正仿宋_GBK"/>
          <w:b w:val="0"/>
          <w:bCs w:val="0"/>
          <w:spacing w:val="-20"/>
          <w:kern w:val="32"/>
          <w:sz w:val="32"/>
          <w:szCs w:val="32"/>
          <w:lang w:val="en-US" w:eastAsia="zh-CN" w:bidi="ar-SA"/>
        </w:rPr>
        <w:tab/>
      </w:r>
      <w:r>
        <w:rPr>
          <w:rFonts w:hint="eastAsia" w:ascii="方正仿宋_GBK" w:hAnsi="方正仿宋_GBK" w:eastAsia="方正仿宋_GBK" w:cs="方正仿宋_GBK"/>
          <w:b w:val="0"/>
          <w:bCs w:val="0"/>
          <w:spacing w:val="-20"/>
          <w:kern w:val="32"/>
          <w:sz w:val="32"/>
          <w:szCs w:val="32"/>
          <w:lang w:val="en-US" w:eastAsia="zh-CN" w:bidi="ar-SA"/>
        </w:rPr>
        <w:fldChar w:fldCharType="begin"/>
      </w:r>
      <w:r>
        <w:rPr>
          <w:rFonts w:hint="eastAsia" w:ascii="方正仿宋_GBK" w:hAnsi="方正仿宋_GBK" w:eastAsia="方正仿宋_GBK" w:cs="方正仿宋_GBK"/>
          <w:b w:val="0"/>
          <w:bCs w:val="0"/>
          <w:spacing w:val="-20"/>
          <w:kern w:val="32"/>
          <w:sz w:val="32"/>
          <w:szCs w:val="32"/>
          <w:lang w:val="en-US" w:eastAsia="zh-CN" w:bidi="ar-SA"/>
        </w:rPr>
        <w:instrText xml:space="preserve"> PAGEREF _Toc24570 </w:instrText>
      </w:r>
      <w:r>
        <w:rPr>
          <w:rFonts w:hint="eastAsia" w:ascii="方正仿宋_GBK" w:hAnsi="方正仿宋_GBK" w:eastAsia="方正仿宋_GBK" w:cs="方正仿宋_GBK"/>
          <w:b w:val="0"/>
          <w:bCs w:val="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- 46 -</w:t>
      </w:r>
      <w:r>
        <w:rPr>
          <w:rFonts w:hint="eastAsia" w:ascii="方正仿宋_GBK" w:hAnsi="方正仿宋_GBK" w:eastAsia="方正仿宋_GBK" w:cs="方正仿宋_GBK"/>
          <w:b w:val="0"/>
          <w:bCs w:val="0"/>
          <w:spacing w:val="-2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spacing w:val="-20"/>
          <w:kern w:val="32"/>
          <w:sz w:val="32"/>
          <w:szCs w:val="32"/>
          <w:lang w:val="en-US" w:eastAsia="zh-CN" w:bidi="ar-SA"/>
        </w:rPr>
      </w:pP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0"/>
          <w:kern w:val="32"/>
          <w:sz w:val="32"/>
          <w:szCs w:val="32"/>
          <w:lang w:val="en-US" w:eastAsia="zh-CN" w:bidi="ar-SA"/>
        </w:rPr>
        <w:instrText xml:space="preserve"> HYPERLINK \l _Toc9600 </w:instrTex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附件1</w: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0"/>
          <w:kern w:val="32"/>
          <w:sz w:val="32"/>
          <w:szCs w:val="32"/>
          <w:lang w:val="en-US" w:eastAsia="zh-CN" w:bidi="ar-SA"/>
        </w:rPr>
        <w:t>0</w: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0"/>
          <w:kern w:val="32"/>
          <w:sz w:val="32"/>
          <w:szCs w:val="32"/>
          <w:lang w:val="en-US" w:eastAsia="zh-CN" w:bidi="ar-SA"/>
        </w:rPr>
        <w:instrText xml:space="preserve"> HYPERLINK \l _Toc10634 </w:instrTex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永川区地下水环境状况调查工程分布图</w:t>
      </w:r>
      <w:r>
        <w:rPr>
          <w:rFonts w:hint="eastAsia" w:ascii="方正仿宋_GBK" w:hAnsi="方正仿宋_GBK" w:eastAsia="方正仿宋_GBK" w:cs="方正仿宋_GBK"/>
          <w:b w:val="0"/>
          <w:bCs w:val="0"/>
          <w:spacing w:val="-20"/>
          <w:kern w:val="32"/>
          <w:sz w:val="32"/>
          <w:szCs w:val="32"/>
          <w:lang w:val="en-US" w:eastAsia="zh-CN" w:bidi="ar-SA"/>
        </w:rPr>
        <w:tab/>
      </w:r>
      <w:r>
        <w:rPr>
          <w:rFonts w:hint="eastAsia" w:ascii="方正仿宋_GBK" w:hAnsi="方正仿宋_GBK" w:eastAsia="方正仿宋_GBK" w:cs="方正仿宋_GBK"/>
          <w:b w:val="0"/>
          <w:bCs w:val="0"/>
          <w:spacing w:val="-20"/>
          <w:kern w:val="32"/>
          <w:sz w:val="32"/>
          <w:szCs w:val="32"/>
          <w:lang w:val="en-US" w:eastAsia="zh-CN" w:bidi="ar-SA"/>
        </w:rPr>
        <w:fldChar w:fldCharType="begin"/>
      </w:r>
      <w:r>
        <w:rPr>
          <w:rFonts w:hint="eastAsia" w:ascii="方正仿宋_GBK" w:hAnsi="方正仿宋_GBK" w:eastAsia="方正仿宋_GBK" w:cs="方正仿宋_GBK"/>
          <w:b w:val="0"/>
          <w:bCs w:val="0"/>
          <w:spacing w:val="-20"/>
          <w:kern w:val="32"/>
          <w:sz w:val="32"/>
          <w:szCs w:val="32"/>
          <w:lang w:val="en-US" w:eastAsia="zh-CN" w:bidi="ar-SA"/>
        </w:rPr>
        <w:instrText xml:space="preserve"> PAGEREF _Toc10634 </w:instrText>
      </w:r>
      <w:r>
        <w:rPr>
          <w:rFonts w:hint="eastAsia" w:ascii="方正仿宋_GBK" w:hAnsi="方正仿宋_GBK" w:eastAsia="方正仿宋_GBK" w:cs="方正仿宋_GBK"/>
          <w:b w:val="0"/>
          <w:bCs w:val="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- 47 -</w:t>
      </w:r>
      <w:r>
        <w:rPr>
          <w:rFonts w:hint="eastAsia" w:ascii="方正仿宋_GBK" w:hAnsi="方正仿宋_GBK" w:eastAsia="方正仿宋_GBK" w:cs="方正仿宋_GBK"/>
          <w:b w:val="0"/>
          <w:bCs w:val="0"/>
          <w:spacing w:val="-2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end"/>
      </w:r>
    </w:p>
    <w:p>
      <w:pPr>
        <w:pStyle w:val="26"/>
        <w:keepNext w:val="0"/>
        <w:keepLines w:val="0"/>
        <w:pageBreakBefore w:val="0"/>
        <w:widowControl w:val="0"/>
        <w:tabs>
          <w:tab w:val="right" w:leader="dot" w:pos="8844"/>
        </w:tabs>
        <w:kinsoku/>
        <w:wordWrap/>
        <w:overflowPunct/>
        <w:topLinePunct w:val="0"/>
        <w:autoSpaceDE/>
        <w:autoSpaceDN/>
        <w:bidi w:val="0"/>
        <w:adjustRightInd w:val="0"/>
        <w:snapToGrid w:val="0"/>
        <w:spacing w:line="276" w:lineRule="auto"/>
        <w:ind w:right="0" w:rightChars="0"/>
        <w:textAlignment w:val="auto"/>
        <w:outlineLvl w:val="9"/>
        <w:rPr>
          <w:rFonts w:hint="eastAsia" w:ascii="方正仿宋_GBK" w:hAnsi="方正仿宋_GBK" w:eastAsia="方正仿宋_GBK" w:cs="方正仿宋_GBK"/>
          <w:b w:val="0"/>
          <w:bCs w:val="0"/>
          <w:spacing w:val="-20"/>
          <w:kern w:val="32"/>
          <w:sz w:val="32"/>
          <w:szCs w:val="32"/>
          <w:lang w:val="en-US" w:eastAsia="zh-CN" w:bidi="ar-SA"/>
        </w:rPr>
      </w:pP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0"/>
          <w:kern w:val="32"/>
          <w:sz w:val="32"/>
          <w:szCs w:val="32"/>
          <w:lang w:val="en-US" w:eastAsia="zh-CN" w:bidi="ar-SA"/>
        </w:rPr>
        <w:instrText xml:space="preserve"> HYPERLINK \l _Toc9600 </w:instrTex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附件1</w: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0"/>
          <w:kern w:val="32"/>
          <w:sz w:val="32"/>
          <w:szCs w:val="32"/>
          <w:lang w:val="en-US" w:eastAsia="zh-CN" w:bidi="ar-SA"/>
        </w:rPr>
        <w:t>1</w: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begin"/>
      </w:r>
      <w:r>
        <w:rPr>
          <w:rFonts w:hint="eastAsia" w:ascii="方正仿宋_GBK" w:hAnsi="方正仿宋_GBK" w:eastAsia="方正仿宋_GBK" w:cs="方正仿宋_GBK"/>
          <w:b w:val="0"/>
          <w:bCs w:val="0"/>
          <w:color w:val="000000"/>
          <w:spacing w:val="-20"/>
          <w:kern w:val="32"/>
          <w:sz w:val="32"/>
          <w:szCs w:val="32"/>
          <w:lang w:val="en-US" w:eastAsia="zh-CN" w:bidi="ar-SA"/>
        </w:rPr>
        <w:instrText xml:space="preserve"> HYPERLINK \l _Toc23695 </w:instrText>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永川区土壤污染修复与风险管控工程分布图</w:t>
      </w:r>
      <w:r>
        <w:rPr>
          <w:rFonts w:hint="eastAsia" w:ascii="方正仿宋_GBK" w:hAnsi="方正仿宋_GBK" w:eastAsia="方正仿宋_GBK" w:cs="方正仿宋_GBK"/>
          <w:b w:val="0"/>
          <w:bCs w:val="0"/>
          <w:spacing w:val="-20"/>
          <w:kern w:val="32"/>
          <w:sz w:val="32"/>
          <w:szCs w:val="32"/>
          <w:lang w:val="en-US" w:eastAsia="zh-CN" w:bidi="ar-SA"/>
        </w:rPr>
        <w:tab/>
      </w:r>
      <w:r>
        <w:rPr>
          <w:rFonts w:hint="eastAsia" w:ascii="方正仿宋_GBK" w:hAnsi="方正仿宋_GBK" w:eastAsia="方正仿宋_GBK" w:cs="方正仿宋_GBK"/>
          <w:b w:val="0"/>
          <w:bCs w:val="0"/>
          <w:spacing w:val="-20"/>
          <w:kern w:val="32"/>
          <w:sz w:val="32"/>
          <w:szCs w:val="32"/>
          <w:lang w:val="en-US" w:eastAsia="zh-CN" w:bidi="ar-SA"/>
        </w:rPr>
        <w:fldChar w:fldCharType="begin"/>
      </w:r>
      <w:r>
        <w:rPr>
          <w:rFonts w:hint="eastAsia" w:ascii="方正仿宋_GBK" w:hAnsi="方正仿宋_GBK" w:eastAsia="方正仿宋_GBK" w:cs="方正仿宋_GBK"/>
          <w:b w:val="0"/>
          <w:bCs w:val="0"/>
          <w:spacing w:val="-20"/>
          <w:kern w:val="32"/>
          <w:sz w:val="32"/>
          <w:szCs w:val="32"/>
          <w:lang w:val="en-US" w:eastAsia="zh-CN" w:bidi="ar-SA"/>
        </w:rPr>
        <w:instrText xml:space="preserve"> PAGEREF _Toc23695 </w:instrText>
      </w:r>
      <w:r>
        <w:rPr>
          <w:rFonts w:hint="eastAsia" w:ascii="方正仿宋_GBK" w:hAnsi="方正仿宋_GBK" w:eastAsia="方正仿宋_GBK" w:cs="方正仿宋_GBK"/>
          <w:b w:val="0"/>
          <w:bCs w:val="0"/>
          <w:spacing w:val="-20"/>
          <w:kern w:val="32"/>
          <w:sz w:val="32"/>
          <w:szCs w:val="32"/>
          <w:lang w:val="en-US" w:eastAsia="zh-CN" w:bidi="ar-SA"/>
        </w:rPr>
        <w:fldChar w:fldCharType="separate"/>
      </w:r>
      <w:r>
        <w:rPr>
          <w:rFonts w:hint="eastAsia" w:ascii="方正仿宋_GBK" w:hAnsi="方正仿宋_GBK" w:eastAsia="方正仿宋_GBK" w:cs="方正仿宋_GBK"/>
          <w:b w:val="0"/>
          <w:bCs w:val="0"/>
          <w:spacing w:val="-20"/>
          <w:kern w:val="32"/>
          <w:sz w:val="32"/>
          <w:szCs w:val="32"/>
          <w:lang w:val="en-US" w:eastAsia="zh-CN" w:bidi="ar-SA"/>
        </w:rPr>
        <w:t>- 48 -</w:t>
      </w:r>
      <w:r>
        <w:rPr>
          <w:rFonts w:hint="eastAsia" w:ascii="方正仿宋_GBK" w:hAnsi="方正仿宋_GBK" w:eastAsia="方正仿宋_GBK" w:cs="方正仿宋_GBK"/>
          <w:b w:val="0"/>
          <w:bCs w:val="0"/>
          <w:spacing w:val="-20"/>
          <w:kern w:val="32"/>
          <w:sz w:val="32"/>
          <w:szCs w:val="32"/>
          <w:lang w:val="en-US" w:eastAsia="zh-CN" w:bidi="ar-SA"/>
        </w:rPr>
        <w:fldChar w:fldCharType="end"/>
      </w:r>
      <w:r>
        <w:rPr>
          <w:rFonts w:hint="eastAsia" w:ascii="方正仿宋_GBK" w:hAnsi="方正仿宋_GBK" w:eastAsia="方正仿宋_GBK" w:cs="方正仿宋_GBK"/>
          <w:b w:val="0"/>
          <w:bCs w:val="0"/>
          <w:color w:val="000000"/>
          <w:spacing w:val="-20"/>
          <w:kern w:val="3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firstLine="0" w:firstLineChars="0"/>
        <w:jc w:val="left"/>
        <w:textAlignment w:val="auto"/>
        <w:outlineLvl w:val="9"/>
        <w:rPr>
          <w:rFonts w:eastAsia="方正楷体_GBK"/>
          <w:b w:val="0"/>
          <w:bCs w:val="0"/>
          <w:color w:val="000000"/>
          <w:sz w:val="48"/>
          <w:szCs w:val="36"/>
        </w:rPr>
        <w:sectPr>
          <w:pgSz w:w="11906" w:h="16838"/>
          <w:pgMar w:top="2098" w:right="1474" w:bottom="1985" w:left="1588" w:header="720" w:footer="1474" w:gutter="0"/>
          <w:pgNumType w:fmt="numberInDash"/>
          <w:cols w:space="720" w:num="1"/>
          <w:docGrid w:type="lines" w:linePitch="439" w:charSpace="0"/>
        </w:sectPr>
      </w:pPr>
      <w:r>
        <w:rPr>
          <w:rFonts w:hint="eastAsia" w:ascii="方正仿宋_GBK" w:hAnsi="方正仿宋_GBK" w:eastAsia="方正仿宋_GBK" w:cs="方正仿宋_GBK"/>
          <w:b w:val="0"/>
          <w:bCs w:val="0"/>
          <w:color w:val="000000"/>
          <w:kern w:val="3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重庆市永川区“十四五”土壤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（地下水、农业农村）污染防治专项规划</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0" w:firstLineChars="0"/>
        <w:textAlignment w:val="auto"/>
        <w:rPr>
          <w:rFonts w:hint="eastAsia" w:ascii="方正小标宋_GBK" w:hAnsi="方正小标宋_GBK" w:eastAsia="方正小标宋_GBK" w:cs="方正小标宋_GBK"/>
          <w:b w:val="0"/>
          <w:bCs w:val="0"/>
          <w:color w:val="000000"/>
          <w:sz w:val="44"/>
          <w:szCs w:val="44"/>
        </w:rPr>
      </w:pP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土壤、地下水与农业农村生态环境保护关系米袋子、菜篮子、水缸子安全，关系美丽永川建设。“十四五”时期是开启全面建设社会主义现代化国家新征程、向第二个百年奋斗目标进军的第一个五年，为深化土壤、地下水与农业农村生态环境保护工作，持续打好污染防治攻坚战，根据《中华人民共和国土壤污染防治法》（2018年）、《中华人民共和国水污染防治法》（2017年修订）、《地下水管理条例》（国令第748号）、《重庆市环境</w:t>
      </w:r>
      <w:r>
        <w:rPr>
          <w:rFonts w:hint="eastAsia"/>
          <w:b w:val="0"/>
          <w:bCs w:val="0"/>
          <w:kern w:val="0"/>
          <w:lang w:bidi="ar"/>
        </w:rPr>
        <w:t>保</w:t>
      </w:r>
      <w:bookmarkStart w:id="233" w:name="_GoBack"/>
      <w:bookmarkEnd w:id="233"/>
      <w:r>
        <w:rPr>
          <w:rFonts w:hint="eastAsia"/>
          <w:b w:val="0"/>
          <w:bCs w:val="0"/>
          <w:kern w:val="0"/>
          <w:lang w:bidi="ar"/>
        </w:rPr>
        <w:t>护条例》（2018年修订）、《永川区生态环境保护“十四五”规划和</w:t>
      </w:r>
      <w:r>
        <w:rPr>
          <w:rFonts w:hint="eastAsia"/>
          <w:b w:val="0"/>
          <w:bCs w:val="0"/>
          <w:kern w:val="0"/>
          <w:lang w:val="en-US" w:eastAsia="zh-CN" w:bidi="ar"/>
        </w:rPr>
        <w:t>二〇三五</w:t>
      </w:r>
      <w:r>
        <w:rPr>
          <w:rFonts w:hint="eastAsia"/>
          <w:b w:val="0"/>
          <w:bCs w:val="0"/>
          <w:kern w:val="0"/>
          <w:lang w:bidi="ar"/>
        </w:rPr>
        <w:t>年远景目标》（永川府办发〔2021〕60号）等要求，制定本规划。</w:t>
      </w:r>
    </w:p>
    <w:bookmarkEnd w:id="0"/>
    <w:p>
      <w:pPr>
        <w:pStyle w:val="2"/>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rFonts w:hint="eastAsia" w:ascii="方正黑体_GBK" w:hAnsi="方正黑体_GBK" w:eastAsia="方正黑体_GBK" w:cs="方正黑体_GBK"/>
          <w:b w:val="0"/>
          <w:bCs w:val="0"/>
          <w:lang w:val="en-US" w:eastAsia="zh-CN"/>
        </w:rPr>
      </w:pPr>
      <w:bookmarkStart w:id="1" w:name="_Toc58707374"/>
      <w:bookmarkStart w:id="2" w:name="_Toc5337"/>
      <w:r>
        <w:rPr>
          <w:rFonts w:hint="eastAsia" w:ascii="方正黑体_GBK" w:hAnsi="方正黑体_GBK" w:eastAsia="方正黑体_GBK" w:cs="方正黑体_GBK"/>
          <w:b w:val="0"/>
          <w:bCs w:val="0"/>
          <w:lang w:val="en-US" w:eastAsia="zh-CN"/>
        </w:rPr>
        <w:t>一、进展与形势</w:t>
      </w:r>
      <w:bookmarkEnd w:id="1"/>
      <w:bookmarkEnd w:id="2"/>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Style w:val="69"/>
          <w:rFonts w:hint="eastAsia" w:ascii="方正楷体_GBK" w:hAnsi="方正楷体_GBK" w:eastAsia="方正楷体_GBK" w:cs="方正楷体_GBK"/>
          <w:b w:val="0"/>
          <w:bCs w:val="0"/>
        </w:rPr>
      </w:pPr>
      <w:bookmarkStart w:id="3" w:name="_Toc58707375"/>
      <w:bookmarkStart w:id="4" w:name="_Toc15272"/>
      <w:r>
        <w:rPr>
          <w:rStyle w:val="69"/>
          <w:rFonts w:hint="eastAsia" w:ascii="方正楷体_GBK" w:hAnsi="方正楷体_GBK" w:eastAsia="方正楷体_GBK" w:cs="方正楷体_GBK"/>
          <w:b w:val="0"/>
          <w:bCs w:val="0"/>
        </w:rPr>
        <w:t>（一）工作进展</w:t>
      </w:r>
      <w:bookmarkEnd w:id="3"/>
    </w:p>
    <w:bookmarkEnd w:id="4"/>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“十三五”以来，全区深入贯彻习近平生态文明思想，认真落实党中央、国务院决策部署，大力实施</w:t>
      </w:r>
      <w:bookmarkStart w:id="5" w:name="_Hlk91341091"/>
      <w:r>
        <w:rPr>
          <w:rFonts w:hint="eastAsia"/>
          <w:b w:val="0"/>
          <w:bCs w:val="0"/>
          <w:kern w:val="0"/>
          <w:lang w:bidi="ar"/>
        </w:rPr>
        <w:t>《土壤污染防治行动计划》（国发〔2016〕31号）、《水污染防治行动计划》（国发〔2015〕17号）、《农业农村污染治理攻坚战行动计划》（环土壤〔2018〕143号）</w:t>
      </w:r>
      <w:bookmarkEnd w:id="5"/>
      <w:r>
        <w:rPr>
          <w:rFonts w:hint="eastAsia"/>
          <w:b w:val="0"/>
          <w:bCs w:val="0"/>
          <w:kern w:val="0"/>
          <w:lang w:bidi="ar"/>
        </w:rPr>
        <w:t>，推进土壤、地下水与农业农村生态环境保护，取得积极成效。</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bookmarkStart w:id="6" w:name="_Toc50507144"/>
      <w:bookmarkStart w:id="7" w:name="_Toc50636596"/>
      <w:r>
        <w:rPr>
          <w:rFonts w:hint="eastAsia"/>
          <w:b w:val="0"/>
          <w:bCs w:val="0"/>
          <w:kern w:val="0"/>
          <w:lang w:bidi="ar"/>
        </w:rPr>
        <w:t>1.土壤环境风险得到基本管控。积极配合市生态环境局完成农用地和重点行业企业土壤污染状况详查，基本掌握了农用地和建设用地土壤污染状况。</w:t>
      </w:r>
      <w:bookmarkStart w:id="8" w:name="_Hlk87886124"/>
      <w:r>
        <w:rPr>
          <w:rFonts w:hint="eastAsia"/>
          <w:b w:val="0"/>
          <w:bCs w:val="0"/>
          <w:kern w:val="0"/>
          <w:lang w:bidi="ar"/>
        </w:rPr>
        <w:t>全区受污染耕地全部为安全利用类耕地，</w:t>
      </w:r>
      <w:bookmarkStart w:id="9" w:name="_Hlk91344712"/>
      <w:bookmarkStart w:id="10" w:name="_Hlk91344747"/>
      <w:r>
        <w:rPr>
          <w:rFonts w:hint="eastAsia"/>
          <w:b w:val="0"/>
          <w:bCs w:val="0"/>
          <w:kern w:val="0"/>
          <w:lang w:bidi="ar"/>
        </w:rPr>
        <w:t>无严格管控类耕地，受污染耕地面积</w:t>
      </w:r>
      <w:bookmarkStart w:id="11" w:name="_Hlk91344798"/>
      <w:r>
        <w:rPr>
          <w:rFonts w:hint="eastAsia"/>
          <w:b w:val="0"/>
          <w:bCs w:val="0"/>
          <w:kern w:val="0"/>
          <w:lang w:bidi="ar"/>
        </w:rPr>
        <w:t>为</w:t>
      </w:r>
      <w:r>
        <w:rPr>
          <w:rFonts w:hint="eastAsia"/>
          <w:b w:val="0"/>
          <w:bCs w:val="0"/>
          <w:lang w:bidi="ar"/>
        </w:rPr>
        <w:t>46220.5</w:t>
      </w:r>
      <w:r>
        <w:rPr>
          <w:b w:val="0"/>
          <w:bCs w:val="0"/>
          <w:lang w:bidi="ar"/>
        </w:rPr>
        <w:t>3</w:t>
      </w:r>
      <w:r>
        <w:rPr>
          <w:rFonts w:hint="eastAsia"/>
          <w:b w:val="0"/>
          <w:bCs w:val="0"/>
          <w:kern w:val="0"/>
          <w:lang w:bidi="ar"/>
        </w:rPr>
        <w:t>亩</w:t>
      </w:r>
      <w:bookmarkEnd w:id="11"/>
      <w:r>
        <w:rPr>
          <w:rFonts w:hint="eastAsia"/>
          <w:b w:val="0"/>
          <w:bCs w:val="0"/>
          <w:kern w:val="0"/>
          <w:lang w:bidi="ar"/>
        </w:rPr>
        <w:t>。</w:t>
      </w:r>
      <w:bookmarkEnd w:id="8"/>
      <w:bookmarkEnd w:id="9"/>
      <w:r>
        <w:rPr>
          <w:rFonts w:hint="eastAsia"/>
          <w:b w:val="0"/>
          <w:bCs w:val="0"/>
          <w:kern w:val="0"/>
          <w:lang w:bidi="ar"/>
        </w:rPr>
        <w:t>受污染耕地</w:t>
      </w:r>
      <w:bookmarkEnd w:id="10"/>
      <w:r>
        <w:rPr>
          <w:rFonts w:hint="eastAsia"/>
          <w:b w:val="0"/>
          <w:bCs w:val="0"/>
          <w:kern w:val="0"/>
          <w:lang w:bidi="ar"/>
        </w:rPr>
        <w:t>安全利用措施落地见效，全面划定耕地土壤环境质量类别，已查明的受污染耕地全部实现安全利用，</w:t>
      </w:r>
      <w:bookmarkEnd w:id="6"/>
      <w:bookmarkEnd w:id="7"/>
      <w:bookmarkStart w:id="12" w:name="_Toc50636597"/>
      <w:bookmarkStart w:id="13" w:name="_Toc50507145"/>
      <w:r>
        <w:rPr>
          <w:rFonts w:hint="eastAsia"/>
          <w:b w:val="0"/>
          <w:bCs w:val="0"/>
          <w:kern w:val="0"/>
          <w:lang w:bidi="ar"/>
        </w:rPr>
        <w:t>受污染耕地安全利用率达到97%。涉土源头防治不断深入，逐年发布土壤污染重点监管单位名单，各项源头防治措施逐步落地，一类重金属污染物排放量比2015年下降10%，排查涉镉重金属重点行业污染源对象44家。污染地块风险得到有效管控，建立了土壤污染治理修复项目库和疑似污染地块名单25块，累计完成了21块</w:t>
      </w:r>
      <w:bookmarkStart w:id="14" w:name="_Hlk87993075"/>
      <w:r>
        <w:rPr>
          <w:rFonts w:hint="eastAsia"/>
          <w:b w:val="0"/>
          <w:bCs w:val="0"/>
          <w:kern w:val="0"/>
          <w:lang w:bidi="ar"/>
        </w:rPr>
        <w:t>疑似</w:t>
      </w:r>
      <w:bookmarkEnd w:id="14"/>
      <w:r>
        <w:rPr>
          <w:rFonts w:hint="eastAsia"/>
          <w:b w:val="0"/>
          <w:bCs w:val="0"/>
          <w:kern w:val="0"/>
          <w:lang w:bidi="ar"/>
        </w:rPr>
        <w:t>污染地块土壤环境状况初步调查工作，完成了化工片区内4块污染地块原址修复，全区污染地块安全利用率100%。完成3家工业固体废物堆存场所整治，筛选出24家土壤污染重点行业企业，拟定了永川区土壤重点监管企业名单，督促企业开展了土壤环境自行监测。土壤污染防治的政策、资金和技术支撑从无到有，不断增强。</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2.地下水生态环境保护稳步推进</w:t>
      </w:r>
      <w:bookmarkEnd w:id="12"/>
      <w:bookmarkEnd w:id="13"/>
      <w:bookmarkStart w:id="15" w:name="_Hlk87560132"/>
      <w:bookmarkStart w:id="16" w:name="_Toc50507146"/>
      <w:bookmarkStart w:id="17" w:name="_Toc50636598"/>
      <w:r>
        <w:rPr>
          <w:rFonts w:hint="eastAsia"/>
          <w:b w:val="0"/>
          <w:bCs w:val="0"/>
          <w:kern w:val="0"/>
          <w:lang w:bidi="ar"/>
        </w:rPr>
        <w:t>。积极配合上级部门持续推进地下水监测站点建设工作，已有地下水环境监测井的运行维护和管理得到进一步加强。页岩气开采、煤矿开采废水得到合理治理，关闭矿井全部实施封井回填。完成大安工业园区“双源”地下水调查试点，地下水污染防治初见成效，地下水生态环境保护稳步推进。</w:t>
      </w:r>
    </w:p>
    <w:bookmarkEnd w:id="15"/>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lang w:bidi="ar"/>
        </w:rPr>
      </w:pPr>
      <w:bookmarkStart w:id="18" w:name="_Hlk87560153"/>
      <w:r>
        <w:rPr>
          <w:rFonts w:hint="eastAsia"/>
          <w:b w:val="0"/>
          <w:bCs w:val="0"/>
          <w:kern w:val="0"/>
          <w:lang w:bidi="ar"/>
        </w:rPr>
        <w:t>3.农业农村生态环境保护取得进展</w:t>
      </w:r>
      <w:bookmarkEnd w:id="16"/>
      <w:bookmarkEnd w:id="17"/>
      <w:bookmarkEnd w:id="18"/>
      <w:r>
        <w:rPr>
          <w:rFonts w:hint="eastAsia"/>
          <w:b w:val="0"/>
          <w:bCs w:val="0"/>
          <w:kern w:val="0"/>
          <w:lang w:bidi="ar"/>
        </w:rPr>
        <w:t>。农村环境整治稳步实施。农村饮水安全保障水平得到提升，全区15个“千吨万人”农村饮</w:t>
      </w:r>
      <w:r>
        <w:rPr>
          <w:rFonts w:hint="eastAsia"/>
          <w:b w:val="0"/>
          <w:bCs w:val="0"/>
          <w:lang w:bidi="ar"/>
        </w:rPr>
        <w:t>用水水源地完成保护区划定并开展水质监测，完成23个乡镇集中式饮用水源规范化建设。</w:t>
      </w:r>
      <w:bookmarkStart w:id="19" w:name="_Hlk87560199"/>
      <w:r>
        <w:rPr>
          <w:rFonts w:hint="eastAsia"/>
          <w:b w:val="0"/>
          <w:bCs w:val="0"/>
          <w:lang w:bidi="ar"/>
        </w:rPr>
        <w:t>全区农村生活污水治理率达到28%，建成农村生活污水厂（站）共计62座，日处理规模达到15570吨。</w:t>
      </w:r>
      <w:bookmarkEnd w:id="19"/>
      <w:bookmarkStart w:id="20" w:name="_Hlk87560224"/>
      <w:r>
        <w:rPr>
          <w:rFonts w:hint="eastAsia"/>
          <w:b w:val="0"/>
          <w:bCs w:val="0"/>
          <w:lang w:bidi="ar"/>
        </w:rPr>
        <w:t>开展“千沟万塘”黑臭水体专项整治，共排查农村沟渠、坑塘上万条（个），整治污染沟渠159条，坑塘453个，沟塘水环境质量普遍好转</w:t>
      </w:r>
      <w:bookmarkEnd w:id="20"/>
      <w:r>
        <w:rPr>
          <w:rFonts w:hint="eastAsia"/>
          <w:b w:val="0"/>
          <w:bCs w:val="0"/>
          <w:lang w:bidi="ar"/>
        </w:rPr>
        <w:t>。统筹推进农村厕所革命，全区累计完成卫生改厕2.2万户，建成国家级改善农村人居环境示范村1个，市级美丽宜居村56个，区级示范清洁田园60片，清洁示范院落233个。农村生活垃圾有效治理行政村比例达100%，农村卫生户厕普及率85%。</w:t>
      </w:r>
    </w:p>
    <w:p>
      <w:pPr>
        <w:keepNext w:val="0"/>
        <w:keepLines w:val="0"/>
        <w:pageBreakBefore w:val="0"/>
        <w:widowControl w:val="0"/>
        <w:kinsoku/>
        <w:wordWrap/>
        <w:overflowPunct/>
        <w:topLinePunct w:val="0"/>
        <w:autoSpaceDE w:val="0"/>
        <w:autoSpaceDN w:val="0"/>
        <w:bidi w:val="0"/>
        <w:adjustRightInd/>
        <w:snapToGrid w:val="0"/>
        <w:spacing w:beforeLines="0" w:afterLines="0" w:line="276" w:lineRule="auto"/>
        <w:ind w:left="0" w:leftChars="0" w:right="0" w:rightChars="0" w:firstLine="632" w:firstLineChars="200"/>
        <w:jc w:val="both"/>
        <w:textAlignment w:val="auto"/>
        <w:rPr>
          <w:b w:val="0"/>
          <w:bCs w:val="0"/>
          <w:color w:val="000000"/>
        </w:rPr>
      </w:pPr>
      <w:r>
        <w:rPr>
          <w:rFonts w:hint="eastAsia"/>
          <w:b w:val="0"/>
          <w:bCs w:val="0"/>
          <w:lang w:bidi="ar"/>
        </w:rPr>
        <w:t>农业面源污染治理有效推进</w:t>
      </w:r>
      <w:r>
        <w:rPr>
          <w:rFonts w:hint="eastAsia"/>
          <w:b w:val="0"/>
          <w:bCs w:val="0"/>
          <w:lang w:eastAsia="zh-CN" w:bidi="ar"/>
        </w:rPr>
        <w:t>。</w:t>
      </w:r>
      <w:r>
        <w:rPr>
          <w:rFonts w:hint="eastAsia"/>
          <w:b w:val="0"/>
          <w:bCs w:val="0"/>
          <w:lang w:bidi="ar"/>
        </w:rPr>
        <w:t>完成畜禽养殖“三区”划分调整工作，整治畜禽养殖场（户）1604家，规模养殖场粪污处理设施装备配套率达到95%以上，全区畜禽粪污综合利用率达到90%以上。积极推进化肥、农药减量增效行动，全区化肥、农药使用量呈下降态势，化肥、农药利用率分别达40%，测土配方施肥技术覆盖率预计达到93%，全区主要农作物绿色防控覆盖率达40%，病虫害专业化统防统治覆盖率达40%。优化了秸秆农膜废弃物资源化利用工作，农作物秸秆综合利用率达到91.8%，建立了以镇街为单位的秸秆禁烧网格式监管体系。开展冬水田示范工程建设，改善了农田生态环境。大力发展稻田综合种养，生态循环农业得到了发展。</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Style w:val="69"/>
          <w:rFonts w:hint="eastAsia" w:ascii="方正楷体_GBK" w:hAnsi="方正楷体_GBK" w:eastAsia="方正楷体_GBK" w:cs="方正楷体_GBK"/>
          <w:b w:val="0"/>
          <w:bCs w:val="0"/>
        </w:rPr>
      </w:pPr>
      <w:bookmarkStart w:id="21" w:name="_Toc58707376"/>
      <w:bookmarkStart w:id="22" w:name="_Toc1667"/>
      <w:r>
        <w:rPr>
          <w:rStyle w:val="69"/>
          <w:rFonts w:hint="eastAsia" w:ascii="方正楷体_GBK" w:hAnsi="方正楷体_GBK" w:eastAsia="方正楷体_GBK" w:cs="方正楷体_GBK"/>
          <w:b w:val="0"/>
          <w:bCs w:val="0"/>
        </w:rPr>
        <w:t>（二）形势研判</w:t>
      </w:r>
      <w:bookmarkEnd w:id="21"/>
    </w:p>
    <w:bookmarkEnd w:id="22"/>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bookmarkStart w:id="23" w:name="_Toc58707377"/>
      <w:bookmarkStart w:id="24" w:name="_Toc52184613"/>
      <w:bookmarkStart w:id="25" w:name="_Toc50636600"/>
      <w:bookmarkStart w:id="26" w:name="_Toc50507148"/>
      <w:r>
        <w:rPr>
          <w:rFonts w:hint="eastAsia"/>
          <w:b w:val="0"/>
          <w:bCs w:val="0"/>
          <w:kern w:val="0"/>
          <w:lang w:bidi="ar"/>
        </w:rPr>
        <w:t>1.</w:t>
      </w:r>
      <w:bookmarkEnd w:id="23"/>
      <w:bookmarkEnd w:id="24"/>
      <w:r>
        <w:rPr>
          <w:rFonts w:hint="eastAsia"/>
          <w:b w:val="0"/>
          <w:bCs w:val="0"/>
          <w:kern w:val="0"/>
          <w:lang w:bidi="ar"/>
        </w:rPr>
        <w:t>主要问题</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（1）</w:t>
      </w:r>
      <w:bookmarkEnd w:id="25"/>
      <w:bookmarkEnd w:id="26"/>
      <w:bookmarkStart w:id="27" w:name="_Toc50636601"/>
      <w:bookmarkStart w:id="28" w:name="_Toc50507149"/>
      <w:r>
        <w:rPr>
          <w:rFonts w:hint="eastAsia"/>
          <w:b w:val="0"/>
          <w:bCs w:val="0"/>
          <w:kern w:val="0"/>
          <w:lang w:bidi="ar"/>
        </w:rPr>
        <w:t>局部区域土壤与地下水问题较为突出</w:t>
      </w:r>
      <w:bookmarkStart w:id="29" w:name="_Hlk87560277"/>
      <w:r>
        <w:rPr>
          <w:rFonts w:hint="eastAsia"/>
          <w:b w:val="0"/>
          <w:bCs w:val="0"/>
          <w:kern w:val="0"/>
          <w:lang w:bidi="ar"/>
        </w:rPr>
        <w:t>。全区土壤与地下水环境质量总体良好，但局部区域问题较为突出。</w:t>
      </w:r>
      <w:bookmarkEnd w:id="29"/>
      <w:r>
        <w:rPr>
          <w:rFonts w:hint="eastAsia"/>
          <w:b w:val="0"/>
          <w:bCs w:val="0"/>
          <w:kern w:val="0"/>
          <w:lang w:bidi="ar"/>
        </w:rPr>
        <w:t>安全利用类耕地面积总体较大，重点行业企业关闭腾退后形成的污染地块数量在持续增加，地下水污染源周边的地下水环境状况底数不清，部分地下水污染源周边地下水存在特征污染物超标情况。受污染耕地精准实施安全利用技术水平不高，巩固和提升安全利用类耕地依然艰巨。</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（2）</w:t>
      </w:r>
      <w:bookmarkEnd w:id="27"/>
      <w:bookmarkEnd w:id="28"/>
      <w:bookmarkStart w:id="30" w:name="_Hlk87560285"/>
      <w:bookmarkStart w:id="31" w:name="_Toc50636602"/>
      <w:bookmarkStart w:id="32" w:name="_Toc50507150"/>
      <w:r>
        <w:rPr>
          <w:rFonts w:hint="eastAsia"/>
          <w:b w:val="0"/>
          <w:bCs w:val="0"/>
          <w:kern w:val="0"/>
          <w:lang w:bidi="ar"/>
        </w:rPr>
        <w:t>土壤与地下水污染源头防控压力较大</w:t>
      </w:r>
      <w:bookmarkEnd w:id="30"/>
      <w:r>
        <w:rPr>
          <w:rFonts w:hint="eastAsia"/>
          <w:b w:val="0"/>
          <w:bCs w:val="0"/>
          <w:kern w:val="0"/>
          <w:lang w:bidi="ar"/>
        </w:rPr>
        <w:t>。全区土壤与地下水环境污染的源头防控需要加强，大幅度减少耕地土壤中污染物的输入，确保土壤环境质量稳中向好任重道远。部分工业企业土壤污染防治意识薄弱，确保腾退工业企业用地不再出现污染地块任务艰巨。土壤与地下水污染绿色修复理念尚未普及，修复过程中的二次污染防治有待进一步强化。</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（3）</w:t>
      </w:r>
      <w:bookmarkStart w:id="33" w:name="_Hlk87560300"/>
      <w:r>
        <w:rPr>
          <w:rFonts w:hint="eastAsia"/>
          <w:b w:val="0"/>
          <w:bCs w:val="0"/>
          <w:kern w:val="0"/>
          <w:lang w:bidi="ar"/>
        </w:rPr>
        <w:t>农业农村生态环境保护任务艰巨</w:t>
      </w:r>
      <w:bookmarkEnd w:id="33"/>
      <w:r>
        <w:rPr>
          <w:rFonts w:hint="eastAsia"/>
          <w:b w:val="0"/>
          <w:bCs w:val="0"/>
          <w:kern w:val="0"/>
          <w:lang w:bidi="ar"/>
        </w:rPr>
        <w:t>。农村环境是美丽乡村建设的突出短板，全区仍有94个行政村未达到环境整治要求，已整治地区成效还不稳定。</w:t>
      </w:r>
      <w:bookmarkStart w:id="34" w:name="_Hlk87560308"/>
      <w:r>
        <w:rPr>
          <w:rFonts w:hint="eastAsia"/>
          <w:b w:val="0"/>
          <w:bCs w:val="0"/>
          <w:kern w:val="0"/>
          <w:lang w:bidi="ar"/>
        </w:rPr>
        <w:t>全区仍有24条农村黑臭水体，亟待治理。农村生活污水处理设施运行情况滞后，全区农村生活污水治理率仅为28%。</w:t>
      </w:r>
      <w:bookmarkEnd w:id="34"/>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bookmarkStart w:id="35" w:name="_Hlk87560359"/>
      <w:r>
        <w:rPr>
          <w:rFonts w:hint="eastAsia"/>
          <w:b w:val="0"/>
          <w:bCs w:val="0"/>
          <w:kern w:val="0"/>
          <w:lang w:bidi="ar"/>
        </w:rPr>
        <w:t>农业源污染物排放总量全市排名仍处高位，畜禽散养和水产养殖污染问题日益突出。</w:t>
      </w:r>
      <w:bookmarkEnd w:id="35"/>
      <w:r>
        <w:rPr>
          <w:rFonts w:hint="eastAsia"/>
          <w:b w:val="0"/>
          <w:bCs w:val="0"/>
          <w:kern w:val="0"/>
          <w:lang w:bidi="ar"/>
        </w:rPr>
        <w:t>近年来，畜禽规模养殖场粪污资源化利用取得显著成效，但粪肥还田不规范，种养结合机制仍不完善，水产养殖方式仍然较粗放，导致部分地区水体污染和生态破坏。</w:t>
      </w:r>
    </w:p>
    <w:bookmarkEnd w:id="31"/>
    <w:bookmarkEnd w:id="32"/>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（4）环境监管能力依然薄弱</w:t>
      </w:r>
      <w:bookmarkStart w:id="36" w:name="_Hlk87560323"/>
      <w:bookmarkStart w:id="37" w:name="_Hlk83582862"/>
      <w:r>
        <w:rPr>
          <w:rFonts w:hint="eastAsia"/>
          <w:b w:val="0"/>
          <w:bCs w:val="0"/>
          <w:kern w:val="0"/>
          <w:lang w:bidi="ar"/>
        </w:rPr>
        <w:t>。土壤、地下水与农业农村生态环境监测能力有待进一步提升，已有监测数据分散在各部门。</w:t>
      </w:r>
      <w:bookmarkEnd w:id="36"/>
      <w:r>
        <w:rPr>
          <w:rFonts w:hint="eastAsia"/>
          <w:b w:val="0"/>
          <w:bCs w:val="0"/>
          <w:kern w:val="0"/>
          <w:lang w:bidi="ar"/>
        </w:rPr>
        <w:t>农村饮用水水源地保护、农村生活污水、黑臭水体、农业面源污染治理等监督管理体系尚不健全。现代化手段在土壤、地下水与农业农村污染防治决策支撑和环境监管中应用不足。基层土壤、地下水与农业农村生态环境人才队伍建设薄弱，对土壤与地下水污染风险管控和修复、农业面源污染治理监管缺乏专业技术和经验，难以满足环境监管工作需要。</w:t>
      </w:r>
    </w:p>
    <w:bookmarkEnd w:id="37"/>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5）体制机制有待进一步完善。有关部门间信息共享机制、联动监管有待完善。部分企业土壤和地下水污染防治意识薄弱，生产经营中“重水、气，轻土壤及地下水”的情况普遍存在，多数未建立有效的土壤、地下水环境管理体系。农业面源污染防治、农村黑臭水体整治、农村生活污水治理等工作在统筹推进、信息共享、考核督导等方面分工协作、齐抓共管存在不足。</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bookmarkStart w:id="38" w:name="_Toc58707378"/>
      <w:bookmarkStart w:id="39" w:name="_Toc52184614"/>
      <w:r>
        <w:rPr>
          <w:rFonts w:hint="eastAsia"/>
          <w:b w:val="0"/>
          <w:bCs w:val="0"/>
          <w:kern w:val="0"/>
          <w:lang w:bidi="ar"/>
        </w:rPr>
        <w:t>2.面临机遇与挑战</w:t>
      </w:r>
      <w:bookmarkEnd w:id="38"/>
      <w:bookmarkEnd w:id="39"/>
      <w:r>
        <w:rPr>
          <w:rFonts w:hint="eastAsia"/>
          <w:b w:val="0"/>
          <w:bCs w:val="0"/>
          <w:kern w:val="0"/>
          <w:lang w:bidi="ar"/>
        </w:rPr>
        <w:t>。“十四五”期间，国家重大战略交汇为永川区土壤、地下水与农业农村生态环境保护带来新机遇。习近平总书记提出的“绿水青山就是金山银山”理念和推动成渝地区双城经济圈建设等重要指示要求，将推动绿色发展进入新阶段。成渝地区双城经济圈国家战略明确西部高质量发展路径，永川作为成渝地区双城经济圈重要节点、主城都市区战略支点，位于成渝发展主轴上，将受益于两地协同合作过程中释放的生态环境保护政策福利，将成为支撑成渝城市群发展的“脊梁”，生态建设与环境治理力度将进一步加大，区域、流域的环境治理和绿色发展深入走向生态环境共享共治，为永川区建设高质量发展先行区、高品质生活示范区提供有力支撑。</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同时，统筹发展和生态环境保护的难度增加。全区近年来大力发展大数据、智能化等战略新兴产业，高质量取得明显成效，但历史遗留土壤污染地块整治任务仍十分艰巨。临江河流域水产养殖废水污染问题，以及部分规模养殖场消纳地不足等问题亟待解决。农村环境基础设施仍滞后于当地经济社会发展，部分已建农村污水处理设施运行负荷率低于标准的60%。</w:t>
      </w:r>
      <w:bookmarkStart w:id="40" w:name="_Hlk87560474"/>
      <w:r>
        <w:rPr>
          <w:rFonts w:hint="eastAsia"/>
          <w:b w:val="0"/>
          <w:bCs w:val="0"/>
          <w:kern w:val="0"/>
          <w:lang w:bidi="ar"/>
        </w:rPr>
        <w:t>土壤、地下水与农业农村生态环境保护形势依然严峻，不欠新账、逐步还旧账的压力依然很大。</w:t>
      </w:r>
    </w:p>
    <w:p>
      <w:pPr>
        <w:keepNext w:val="0"/>
        <w:keepLines w:val="0"/>
        <w:pageBreakBefore w:val="0"/>
        <w:widowControl w:val="0"/>
        <w:kinsoku/>
        <w:wordWrap/>
        <w:overflowPunct/>
        <w:topLinePunct w:val="0"/>
        <w:bidi w:val="0"/>
        <w:adjustRightInd/>
        <w:snapToGrid w:val="0"/>
        <w:spacing w:beforeLines="0" w:afterLines="0"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“十四五”期间，要充分利用新机遇、新条件，妥善应对各种风险和挑战，坚定推进土壤、地下水与农业农村生态环境保护，为实现美丽永川目标奠定坚实基础。</w:t>
      </w:r>
    </w:p>
    <w:bookmarkEnd w:id="40"/>
    <w:p>
      <w:pPr>
        <w:pStyle w:val="2"/>
        <w:keepNext w:val="0"/>
        <w:keepLines w:val="0"/>
        <w:pageBreakBefore w:val="0"/>
        <w:widowControl w:val="0"/>
        <w:kinsoku/>
        <w:wordWrap/>
        <w:overflowPunct/>
        <w:topLinePunct w:val="0"/>
        <w:bidi w:val="0"/>
        <w:snapToGrid w:val="0"/>
        <w:spacing w:beforeLines="0" w:afterLines="0" w:line="276" w:lineRule="auto"/>
        <w:ind w:left="0" w:leftChars="0" w:right="0" w:rightChars="0" w:firstLine="632" w:firstLineChars="200"/>
        <w:jc w:val="both"/>
        <w:textAlignment w:val="auto"/>
        <w:rPr>
          <w:rFonts w:hint="eastAsia" w:ascii="方正黑体_GBK" w:hAnsi="方正黑体_GBK" w:eastAsia="方正黑体_GBK" w:cs="方正黑体_GBK"/>
          <w:b w:val="0"/>
          <w:bCs w:val="0"/>
          <w:lang w:val="en-US" w:eastAsia="zh-CN"/>
        </w:rPr>
      </w:pPr>
      <w:bookmarkStart w:id="41" w:name="_Toc58707379"/>
      <w:bookmarkStart w:id="42" w:name="_Toc28169"/>
      <w:r>
        <w:rPr>
          <w:rFonts w:hint="eastAsia" w:ascii="方正黑体_GBK" w:hAnsi="方正黑体_GBK" w:eastAsia="方正黑体_GBK" w:cs="方正黑体_GBK"/>
          <w:b w:val="0"/>
          <w:bCs w:val="0"/>
          <w:lang w:val="en-US" w:eastAsia="zh-CN"/>
        </w:rPr>
        <w:t>二、</w:t>
      </w:r>
      <w:bookmarkEnd w:id="41"/>
      <w:r>
        <w:rPr>
          <w:rFonts w:hint="eastAsia" w:ascii="方正黑体_GBK" w:hAnsi="方正黑体_GBK" w:eastAsia="方正黑体_GBK" w:cs="方正黑体_GBK"/>
          <w:b w:val="0"/>
          <w:bCs w:val="0"/>
          <w:lang w:val="en-US" w:eastAsia="zh-CN"/>
        </w:rPr>
        <w:t>总体要求</w:t>
      </w:r>
      <w:bookmarkEnd w:id="42"/>
    </w:p>
    <w:p>
      <w:pPr>
        <w:pStyle w:val="3"/>
        <w:keepNext w:val="0"/>
        <w:keepLines w:val="0"/>
        <w:pageBreakBefore w:val="0"/>
        <w:widowControl w:val="0"/>
        <w:kinsoku/>
        <w:wordWrap/>
        <w:overflowPunct/>
        <w:topLinePunct w:val="0"/>
        <w:bidi w:val="0"/>
        <w:snapToGrid w:val="0"/>
        <w:spacing w:beforeLines="0" w:afterLines="0" w:line="276" w:lineRule="auto"/>
        <w:ind w:left="0" w:leftChars="0" w:right="0" w:rightChars="0" w:firstLine="632" w:firstLineChars="200"/>
        <w:jc w:val="both"/>
        <w:textAlignment w:val="auto"/>
        <w:rPr>
          <w:rStyle w:val="69"/>
          <w:rFonts w:hint="eastAsia" w:ascii="方正楷体_GBK" w:hAnsi="方正楷体_GBK" w:eastAsia="方正楷体_GBK" w:cs="方正楷体_GBK"/>
          <w:b w:val="0"/>
          <w:bCs w:val="0"/>
          <w:lang w:val="en-US" w:eastAsia="zh-CN"/>
        </w:rPr>
      </w:pPr>
      <w:bookmarkStart w:id="43" w:name="_Toc58707380"/>
      <w:bookmarkStart w:id="44" w:name="_Toc3429"/>
      <w:r>
        <w:rPr>
          <w:rStyle w:val="69"/>
          <w:rFonts w:hint="eastAsia" w:ascii="方正楷体_GBK" w:hAnsi="方正楷体_GBK" w:eastAsia="方正楷体_GBK" w:cs="方正楷体_GBK"/>
          <w:b w:val="0"/>
          <w:bCs w:val="0"/>
          <w:lang w:val="en-US" w:eastAsia="zh-CN"/>
        </w:rPr>
        <w:t>（一）指导思想</w:t>
      </w:r>
      <w:bookmarkEnd w:id="43"/>
      <w:bookmarkEnd w:id="44"/>
    </w:p>
    <w:p>
      <w:pPr>
        <w:pStyle w:val="3"/>
        <w:keepNext w:val="0"/>
        <w:keepLines w:val="0"/>
        <w:pageBreakBefore w:val="0"/>
        <w:widowControl w:val="0"/>
        <w:kinsoku/>
        <w:wordWrap/>
        <w:overflowPunct/>
        <w:topLinePunct w:val="0"/>
        <w:bidi w:val="0"/>
        <w:snapToGrid w:val="0"/>
        <w:spacing w:beforeLines="0" w:afterLines="0" w:line="276" w:lineRule="auto"/>
        <w:ind w:left="0" w:leftChars="0" w:right="0" w:rightChars="0" w:firstLine="632" w:firstLineChars="200"/>
        <w:jc w:val="both"/>
        <w:textAlignment w:val="auto"/>
        <w:rPr>
          <w:rFonts w:hint="eastAsia" w:ascii="方正仿宋_GBK" w:hAnsi="方正仿宋_GBK" w:eastAsia="方正仿宋_GBK" w:cs="方正仿宋_GBK"/>
          <w:b w:val="0"/>
          <w:bCs w:val="0"/>
        </w:rPr>
      </w:pPr>
      <w:bookmarkStart w:id="45" w:name="_Toc25332"/>
      <w:r>
        <w:rPr>
          <w:rFonts w:hint="eastAsia" w:ascii="方正仿宋_GBK" w:hAnsi="方正仿宋_GBK" w:eastAsia="方正仿宋_GBK" w:cs="方正仿宋_GBK"/>
          <w:b w:val="0"/>
          <w:bCs w:val="0"/>
        </w:rPr>
        <w:t>以习近平新时代中国特色社会主义思想为指导，深入贯彻党的十九大和十九届二中、三中、四中、五中、六中全会精神，贯彻落实党中央关于推动成渝地区双城经济圈建设的重大战略部署，深学笃用习近平生态文明思想，</w:t>
      </w:r>
      <w:r>
        <w:rPr>
          <w:rFonts w:hint="eastAsia" w:ascii="方正仿宋_GBK" w:hAnsi="方正仿宋_GBK" w:eastAsia="方正仿宋_GBK" w:cs="方正仿宋_GBK"/>
          <w:b w:val="0"/>
          <w:bCs w:val="0"/>
          <w:lang w:eastAsia="zh-CN"/>
        </w:rPr>
        <w:t>全面贯彻落实永川“</w:t>
      </w:r>
      <w:r>
        <w:rPr>
          <w:rFonts w:hint="default" w:ascii="Times New Roman" w:hAnsi="Times New Roman" w:eastAsia="方正仿宋_GBK" w:cs="Times New Roman"/>
          <w:b w:val="0"/>
          <w:bCs w:val="0"/>
          <w:lang w:eastAsia="zh-CN"/>
        </w:rPr>
        <w:t>2235</w:t>
      </w:r>
      <w:r>
        <w:rPr>
          <w:rFonts w:hint="eastAsia" w:ascii="方正仿宋_GBK" w:hAnsi="方正仿宋_GBK" w:eastAsia="方正仿宋_GBK" w:cs="方正仿宋_GBK"/>
          <w:b w:val="0"/>
          <w:bCs w:val="0"/>
          <w:lang w:eastAsia="zh-CN"/>
        </w:rPr>
        <w:t>”总体发展思路，以高水平保护推动高质量发展，以改善环境质量为核心，以减污降碳协同增效为抓手，深入打好污染防治攻坚战，开展绿色低碳发展行动，加快建设水清水秀美丽永川。</w:t>
      </w:r>
      <w:bookmarkEnd w:id="45"/>
    </w:p>
    <w:p>
      <w:pPr>
        <w:pStyle w:val="3"/>
        <w:keepNext w:val="0"/>
        <w:keepLines w:val="0"/>
        <w:pageBreakBefore w:val="0"/>
        <w:widowControl w:val="0"/>
        <w:kinsoku/>
        <w:wordWrap/>
        <w:overflowPunct/>
        <w:topLinePunct w:val="0"/>
        <w:bidi w:val="0"/>
        <w:snapToGrid w:val="0"/>
        <w:spacing w:beforeLines="0" w:afterLines="0" w:line="276" w:lineRule="auto"/>
        <w:ind w:left="0" w:leftChars="0" w:right="0" w:rightChars="0" w:firstLine="632" w:firstLineChars="200"/>
        <w:jc w:val="both"/>
        <w:textAlignment w:val="auto"/>
        <w:rPr>
          <w:rStyle w:val="69"/>
          <w:rFonts w:hint="eastAsia" w:ascii="方正楷体_GBK" w:hAnsi="方正楷体_GBK" w:eastAsia="方正楷体_GBK" w:cs="方正楷体_GBK"/>
          <w:b w:val="0"/>
          <w:bCs w:val="0"/>
          <w:lang w:val="en-US" w:eastAsia="zh-CN"/>
        </w:rPr>
      </w:pPr>
      <w:bookmarkStart w:id="46" w:name="_Toc26379"/>
      <w:bookmarkStart w:id="47" w:name="_Toc58707381"/>
      <w:r>
        <w:rPr>
          <w:rStyle w:val="69"/>
          <w:rFonts w:hint="eastAsia" w:ascii="方正楷体_GBK" w:hAnsi="方正楷体_GBK" w:eastAsia="方正楷体_GBK" w:cs="方正楷体_GBK"/>
          <w:b w:val="0"/>
          <w:bCs w:val="0"/>
          <w:lang w:val="en-US" w:eastAsia="zh-CN"/>
        </w:rPr>
        <w:t>（二）基本原则</w:t>
      </w:r>
      <w:bookmarkEnd w:id="46"/>
      <w:bookmarkEnd w:id="47"/>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b w:val="0"/>
          <w:bCs w:val="0"/>
          <w:color w:val="000000"/>
        </w:rPr>
      </w:pPr>
      <w:r>
        <w:rPr>
          <w:rFonts w:hint="eastAsia"/>
          <w:b w:val="0"/>
          <w:bCs w:val="0"/>
          <w:color w:val="000000"/>
        </w:rPr>
        <w:t>1.</w:t>
      </w:r>
      <w:r>
        <w:rPr>
          <w:b w:val="0"/>
          <w:bCs w:val="0"/>
          <w:color w:val="000000"/>
        </w:rPr>
        <w:t>保护优先，源头减量。加强空间布局管控，强化环境准入。开展污染源排查整治，切断污染物进入土壤、地下水环境的途径。强化农村环境整治与乡村生态文明建设有机融合，推进农业生产清洁化、产业模式生态化。</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b w:val="0"/>
          <w:bCs w:val="0"/>
          <w:color w:val="000000"/>
          <w:lang w:bidi="ar"/>
        </w:rPr>
      </w:pPr>
      <w:r>
        <w:rPr>
          <w:rFonts w:hint="eastAsia"/>
          <w:b w:val="0"/>
          <w:bCs w:val="0"/>
          <w:color w:val="000000"/>
        </w:rPr>
        <w:t>2.问题导向，精准施策。</w:t>
      </w:r>
      <w:r>
        <w:rPr>
          <w:b w:val="0"/>
          <w:bCs w:val="0"/>
          <w:color w:val="000000"/>
          <w:lang w:bidi="ar"/>
        </w:rPr>
        <w:t>围绕重点区域、行业和污染物，聚焦突出环境问题，结合经济社会发展水平，因地制宜制定差异化土壤、地下水</w:t>
      </w:r>
      <w:r>
        <w:rPr>
          <w:rFonts w:hint="eastAsia"/>
          <w:b w:val="0"/>
          <w:bCs w:val="0"/>
          <w:color w:val="000000"/>
          <w:lang w:bidi="ar"/>
        </w:rPr>
        <w:t>与农业</w:t>
      </w:r>
      <w:r>
        <w:rPr>
          <w:b w:val="0"/>
          <w:bCs w:val="0"/>
          <w:color w:val="000000"/>
          <w:lang w:bidi="ar"/>
        </w:rPr>
        <w:t>农村生态环境保护措施，分类施策、分阶段整治。</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b w:val="0"/>
          <w:bCs w:val="0"/>
          <w:color w:val="000000"/>
          <w:lang w:bidi="ar"/>
        </w:rPr>
      </w:pPr>
      <w:r>
        <w:rPr>
          <w:rFonts w:hint="eastAsia"/>
          <w:b w:val="0"/>
          <w:bCs w:val="0"/>
          <w:color w:val="000000"/>
        </w:rPr>
        <w:t>3.系统治理，协同防控。</w:t>
      </w:r>
      <w:r>
        <w:rPr>
          <w:b w:val="0"/>
          <w:bCs w:val="0"/>
          <w:color w:val="000000"/>
          <w:lang w:bidi="ar"/>
        </w:rPr>
        <w:t>打通地上和地下、城市和农村</w:t>
      </w:r>
      <w:r>
        <w:rPr>
          <w:rFonts w:hint="eastAsia"/>
          <w:b w:val="0"/>
          <w:bCs w:val="0"/>
          <w:color w:val="000000"/>
          <w:lang w:bidi="ar"/>
        </w:rPr>
        <w:t>污染防控环节</w:t>
      </w:r>
      <w:r>
        <w:rPr>
          <w:b w:val="0"/>
          <w:bCs w:val="0"/>
          <w:color w:val="000000"/>
          <w:lang w:bidi="ar"/>
        </w:rPr>
        <w:t>，协同水、气、固体废物污染治理，</w:t>
      </w:r>
      <w:r>
        <w:rPr>
          <w:b w:val="0"/>
          <w:bCs w:val="0"/>
          <w:color w:val="000000"/>
        </w:rPr>
        <w:t>系统实施生态修复与环境治理。</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b w:val="0"/>
          <w:bCs w:val="0"/>
          <w:color w:val="000000"/>
          <w:lang w:bidi="ar"/>
        </w:rPr>
      </w:pPr>
      <w:r>
        <w:rPr>
          <w:rFonts w:hint="eastAsia"/>
          <w:b w:val="0"/>
          <w:bCs w:val="0"/>
          <w:color w:val="000000"/>
        </w:rPr>
        <w:t>4.强化监管，依法治污。</w:t>
      </w:r>
      <w:r>
        <w:rPr>
          <w:b w:val="0"/>
          <w:bCs w:val="0"/>
          <w:color w:val="000000"/>
          <w:lang w:bidi="ar"/>
        </w:rPr>
        <w:t>构建</w:t>
      </w:r>
      <w:r>
        <w:rPr>
          <w:rFonts w:hint="eastAsia"/>
          <w:b w:val="0"/>
          <w:bCs w:val="0"/>
          <w:color w:val="000000"/>
          <w:lang w:bidi="ar"/>
        </w:rPr>
        <w:t>土壤、地下水与农业农村污染防治</w:t>
      </w:r>
      <w:r>
        <w:rPr>
          <w:b w:val="0"/>
          <w:bCs w:val="0"/>
          <w:color w:val="000000"/>
          <w:lang w:bidi="ar"/>
        </w:rPr>
        <w:t>监测网络，健全污染防治大数据平台</w:t>
      </w:r>
      <w:r>
        <w:rPr>
          <w:rFonts w:hint="eastAsia"/>
          <w:b w:val="0"/>
          <w:bCs w:val="0"/>
          <w:color w:val="000000"/>
          <w:lang w:bidi="ar"/>
        </w:rPr>
        <w:t>，</w:t>
      </w:r>
      <w:r>
        <w:rPr>
          <w:b w:val="0"/>
          <w:bCs w:val="0"/>
          <w:color w:val="000000"/>
          <w:lang w:bidi="ar"/>
        </w:rPr>
        <w:t>提升科技支撑能力，加强执法能力建设</w:t>
      </w:r>
      <w:r>
        <w:rPr>
          <w:rFonts w:hint="eastAsia"/>
          <w:b w:val="0"/>
          <w:bCs w:val="0"/>
          <w:color w:val="000000"/>
          <w:lang w:bidi="ar"/>
        </w:rPr>
        <w:t>。</w:t>
      </w:r>
    </w:p>
    <w:p>
      <w:pPr>
        <w:pStyle w:val="3"/>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rStyle w:val="69"/>
          <w:rFonts w:hint="eastAsia" w:ascii="方正楷体_GBK" w:hAnsi="方正楷体_GBK" w:eastAsia="方正楷体_GBK" w:cs="方正楷体_GBK"/>
          <w:b w:val="0"/>
          <w:bCs w:val="0"/>
          <w:lang w:val="en-US" w:eastAsia="zh-CN"/>
        </w:rPr>
      </w:pPr>
      <w:bookmarkStart w:id="48" w:name="_Toc11629"/>
      <w:bookmarkStart w:id="49" w:name="_Toc58707382"/>
      <w:r>
        <w:rPr>
          <w:rStyle w:val="69"/>
          <w:rFonts w:hint="eastAsia" w:ascii="方正楷体_GBK" w:hAnsi="方正楷体_GBK" w:eastAsia="方正楷体_GBK" w:cs="方正楷体_GBK"/>
          <w:b w:val="0"/>
          <w:bCs w:val="0"/>
          <w:lang w:val="en-US" w:eastAsia="zh-CN"/>
        </w:rPr>
        <w:t>（三）主要目标</w:t>
      </w:r>
      <w:bookmarkEnd w:id="48"/>
      <w:bookmarkEnd w:id="49"/>
    </w:p>
    <w:p>
      <w:pPr>
        <w:pStyle w:val="3"/>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rFonts w:eastAsia="方正仿宋_GBK"/>
          <w:b w:val="0"/>
          <w:bCs w:val="0"/>
        </w:rPr>
      </w:pPr>
      <w:bookmarkStart w:id="50" w:name="_Toc32646"/>
      <w:r>
        <w:rPr>
          <w:rFonts w:eastAsia="方正仿宋_GBK"/>
          <w:b w:val="0"/>
          <w:bCs w:val="0"/>
        </w:rPr>
        <w:t>到2025年，全区土壤和地下水环境质量总体保持稳定，受污染耕地和受污染地块安全利用得到进一步巩固提升，进一步保障</w:t>
      </w:r>
      <w:r>
        <w:rPr>
          <w:rFonts w:hint="eastAsia" w:ascii="方正仿宋_GBK" w:hAnsi="方正仿宋_GBK" w:eastAsia="方正仿宋_GBK" w:cs="方正仿宋_GBK"/>
          <w:b w:val="0"/>
          <w:bCs w:val="0"/>
        </w:rPr>
        <w:t>老百姓“吃得放心、住得安心”</w:t>
      </w:r>
      <w:r>
        <w:rPr>
          <w:rFonts w:eastAsia="方正仿宋_GBK"/>
          <w:b w:val="0"/>
          <w:bCs w:val="0"/>
        </w:rPr>
        <w:t>；农业面源污染得到初步管控，农村生态环境基础设施建设加快推进。</w:t>
      </w:r>
      <w:bookmarkEnd w:id="50"/>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b w:val="0"/>
          <w:bCs w:val="0"/>
          <w:color w:val="000000"/>
        </w:rPr>
      </w:pPr>
      <w:r>
        <w:rPr>
          <w:rFonts w:hint="eastAsia"/>
          <w:b w:val="0"/>
          <w:bCs w:val="0"/>
          <w:color w:val="000000"/>
        </w:rPr>
        <w:t>到2035年，全区土壤环境质量稳中向好，农用地和建设用地土壤环境安全得到有效保障，土壤环境风险得到全面管控；全区地下水环境质量总体改善；农业面源污染得到有效遏制，农村生态环境基础设施得到完善，绿色生产生活方式广泛形成，农村生态环境根本好转，生态宜居的美丽乡村基本实现，建成人与自然和谐共生的农业农村现代化生态环境治理体系。</w:t>
      </w:r>
    </w:p>
    <w:p>
      <w:pPr>
        <w:pStyle w:val="50"/>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textAlignment w:val="auto"/>
        <w:rPr>
          <w:rFonts w:hint="eastAsia" w:ascii="方正黑体_GBK" w:hAnsi="方正黑体_GBK" w:eastAsia="方正黑体_GBK" w:cs="方正黑体_GBK"/>
          <w:b w:val="0"/>
          <w:bCs w:val="0"/>
          <w:sz w:val="28"/>
          <w:szCs w:val="22"/>
        </w:rPr>
      </w:pPr>
      <w:r>
        <w:rPr>
          <w:rFonts w:hint="eastAsia" w:ascii="方正黑体_GBK" w:hAnsi="方正黑体_GBK" w:eastAsia="方正黑体_GBK" w:cs="方正黑体_GBK"/>
          <w:b w:val="0"/>
          <w:bCs w:val="0"/>
          <w:sz w:val="28"/>
          <w:szCs w:val="22"/>
        </w:rPr>
        <w:t>表</w:t>
      </w:r>
      <w:r>
        <w:rPr>
          <w:rFonts w:eastAsia="方正黑体_GBK"/>
          <w:b w:val="0"/>
          <w:bCs w:val="0"/>
          <w:sz w:val="28"/>
          <w:szCs w:val="22"/>
        </w:rPr>
        <w:t>1</w:t>
      </w:r>
      <w:r>
        <w:rPr>
          <w:rFonts w:hint="eastAsia" w:ascii="方正黑体_GBK" w:hAnsi="方正黑体_GBK" w:eastAsia="方正黑体_GBK" w:cs="方正黑体_GBK"/>
          <w:b w:val="0"/>
          <w:bCs w:val="0"/>
          <w:sz w:val="28"/>
          <w:szCs w:val="22"/>
        </w:rPr>
        <w:t>“十四五”土壤、地下水与农业农村生态环境保护主要指标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433"/>
        <w:gridCol w:w="2096"/>
        <w:gridCol w:w="1153"/>
        <w:gridCol w:w="994"/>
        <w:gridCol w:w="136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66" w:type="dxa"/>
            <w:vMerge w:val="restart"/>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序号</w:t>
            </w:r>
          </w:p>
        </w:tc>
        <w:tc>
          <w:tcPr>
            <w:tcW w:w="1433" w:type="dxa"/>
            <w:vMerge w:val="restart"/>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类  型</w:t>
            </w:r>
          </w:p>
        </w:tc>
        <w:tc>
          <w:tcPr>
            <w:tcW w:w="2096" w:type="dxa"/>
            <w:vMerge w:val="restart"/>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指标名称</w:t>
            </w:r>
          </w:p>
        </w:tc>
        <w:tc>
          <w:tcPr>
            <w:tcW w:w="1153" w:type="dxa"/>
            <w:vMerge w:val="restart"/>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指标属性</w:t>
            </w:r>
          </w:p>
        </w:tc>
        <w:tc>
          <w:tcPr>
            <w:tcW w:w="994" w:type="dxa"/>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2020年</w:t>
            </w:r>
          </w:p>
        </w:tc>
        <w:tc>
          <w:tcPr>
            <w:tcW w:w="1362" w:type="dxa"/>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2025年</w:t>
            </w:r>
          </w:p>
        </w:tc>
        <w:tc>
          <w:tcPr>
            <w:tcW w:w="1372" w:type="dxa"/>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66" w:type="dxa"/>
            <w:vMerge w:val="continue"/>
            <w:noWrap w:val="0"/>
            <w:vAlign w:val="center"/>
          </w:tcPr>
          <w:p>
            <w:pPr>
              <w:pStyle w:val="54"/>
              <w:widowControl w:val="0"/>
              <w:snapToGrid w:val="0"/>
              <w:jc w:val="center"/>
              <w:rPr>
                <w:b w:val="0"/>
                <w:bCs w:val="0"/>
                <w:sz w:val="18"/>
                <w:szCs w:val="18"/>
                <w:lang w:val="en-US" w:eastAsia="zh-CN"/>
              </w:rPr>
            </w:pPr>
          </w:p>
        </w:tc>
        <w:tc>
          <w:tcPr>
            <w:tcW w:w="1433" w:type="dxa"/>
            <w:vMerge w:val="continue"/>
            <w:noWrap w:val="0"/>
            <w:vAlign w:val="center"/>
          </w:tcPr>
          <w:p>
            <w:pPr>
              <w:pStyle w:val="54"/>
              <w:widowControl w:val="0"/>
              <w:snapToGrid w:val="0"/>
              <w:jc w:val="center"/>
              <w:rPr>
                <w:b w:val="0"/>
                <w:bCs w:val="0"/>
                <w:sz w:val="18"/>
                <w:szCs w:val="18"/>
                <w:lang w:val="en-US" w:eastAsia="zh-CN"/>
              </w:rPr>
            </w:pPr>
          </w:p>
        </w:tc>
        <w:tc>
          <w:tcPr>
            <w:tcW w:w="2096" w:type="dxa"/>
            <w:vMerge w:val="continue"/>
            <w:noWrap w:val="0"/>
            <w:vAlign w:val="center"/>
          </w:tcPr>
          <w:p>
            <w:pPr>
              <w:pStyle w:val="54"/>
              <w:widowControl w:val="0"/>
              <w:snapToGrid w:val="0"/>
              <w:rPr>
                <w:b w:val="0"/>
                <w:bCs w:val="0"/>
                <w:sz w:val="18"/>
                <w:szCs w:val="18"/>
                <w:lang w:val="en-US" w:eastAsia="zh-CN"/>
              </w:rPr>
            </w:pPr>
          </w:p>
        </w:tc>
        <w:tc>
          <w:tcPr>
            <w:tcW w:w="1153" w:type="dxa"/>
            <w:vMerge w:val="continue"/>
            <w:noWrap w:val="0"/>
            <w:vAlign w:val="center"/>
          </w:tcPr>
          <w:p>
            <w:pPr>
              <w:pStyle w:val="54"/>
              <w:widowControl w:val="0"/>
              <w:snapToGrid w:val="0"/>
              <w:jc w:val="center"/>
              <w:rPr>
                <w:b w:val="0"/>
                <w:bCs w:val="0"/>
                <w:sz w:val="18"/>
                <w:szCs w:val="18"/>
                <w:lang w:val="en-US" w:eastAsia="zh-CN"/>
              </w:rPr>
            </w:pPr>
          </w:p>
        </w:tc>
        <w:tc>
          <w:tcPr>
            <w:tcW w:w="994" w:type="dxa"/>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现状值</w:t>
            </w:r>
          </w:p>
        </w:tc>
        <w:tc>
          <w:tcPr>
            <w:tcW w:w="1362" w:type="dxa"/>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目标值</w:t>
            </w:r>
          </w:p>
        </w:tc>
        <w:tc>
          <w:tcPr>
            <w:tcW w:w="1372" w:type="dxa"/>
            <w:noWrap w:val="0"/>
            <w:vAlign w:val="center"/>
          </w:tcPr>
          <w:p>
            <w:pPr>
              <w:pStyle w:val="54"/>
              <w:widowControl w:val="0"/>
              <w:snapToGrid w:val="0"/>
              <w:jc w:val="center"/>
              <w:rPr>
                <w:rFonts w:eastAsia="方正黑体_GBK"/>
                <w:b w:val="0"/>
                <w:bCs w:val="0"/>
                <w:sz w:val="18"/>
                <w:szCs w:val="18"/>
                <w:lang w:val="en-US" w:eastAsia="zh-CN"/>
              </w:rPr>
            </w:pPr>
            <w:r>
              <w:rPr>
                <w:rFonts w:eastAsia="方正黑体_GBK"/>
                <w:b w:val="0"/>
                <w:bCs w:val="0"/>
                <w:sz w:val="18"/>
                <w:szCs w:val="18"/>
                <w:lang w:val="en-US" w:eastAsia="zh-CN"/>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1</w:t>
            </w:r>
          </w:p>
        </w:tc>
        <w:tc>
          <w:tcPr>
            <w:tcW w:w="1433" w:type="dxa"/>
            <w:vMerge w:val="restart"/>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土壤生态环境</w:t>
            </w: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*受污染耕地安全利用率</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约束性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97%</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完成市定任务</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2</w:t>
            </w:r>
          </w:p>
        </w:tc>
        <w:tc>
          <w:tcPr>
            <w:tcW w:w="1433" w:type="dxa"/>
            <w:vMerge w:val="continue"/>
            <w:noWrap w:val="0"/>
            <w:vAlign w:val="center"/>
          </w:tcPr>
          <w:p>
            <w:pPr>
              <w:pStyle w:val="54"/>
              <w:widowControl w:val="0"/>
              <w:snapToGrid w:val="0"/>
              <w:jc w:val="center"/>
              <w:rPr>
                <w:b w:val="0"/>
                <w:bCs w:val="0"/>
                <w:sz w:val="18"/>
                <w:szCs w:val="18"/>
                <w:lang w:val="en-US" w:eastAsia="zh-CN"/>
              </w:rPr>
            </w:pP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重点建设用地安全利用</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约束性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100%</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有效保障</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3</w:t>
            </w:r>
          </w:p>
        </w:tc>
        <w:tc>
          <w:tcPr>
            <w:tcW w:w="143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地下水生态环境</w:t>
            </w: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“双源”周边地下水监测评价点位水质</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预期性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总体稳定</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总体改善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4</w:t>
            </w:r>
          </w:p>
        </w:tc>
        <w:tc>
          <w:tcPr>
            <w:tcW w:w="1433" w:type="dxa"/>
            <w:vMerge w:val="restart"/>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农业农村生态环境</w:t>
            </w: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农村生活污水治理率</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约束性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28%</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40%</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5</w:t>
            </w:r>
          </w:p>
        </w:tc>
        <w:tc>
          <w:tcPr>
            <w:tcW w:w="1433" w:type="dxa"/>
            <w:vMerge w:val="continue"/>
            <w:noWrap w:val="0"/>
            <w:vAlign w:val="center"/>
          </w:tcPr>
          <w:p>
            <w:pPr>
              <w:pStyle w:val="54"/>
              <w:widowControl w:val="0"/>
              <w:snapToGrid w:val="0"/>
              <w:jc w:val="center"/>
              <w:rPr>
                <w:b w:val="0"/>
                <w:bCs w:val="0"/>
                <w:sz w:val="18"/>
                <w:szCs w:val="18"/>
                <w:lang w:val="en-US" w:eastAsia="zh-CN"/>
              </w:rPr>
            </w:pP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*农村黑臭水体治理率</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约束性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40%</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6</w:t>
            </w:r>
          </w:p>
        </w:tc>
        <w:tc>
          <w:tcPr>
            <w:tcW w:w="1433" w:type="dxa"/>
            <w:vMerge w:val="continue"/>
            <w:noWrap w:val="0"/>
            <w:vAlign w:val="center"/>
          </w:tcPr>
          <w:p>
            <w:pPr>
              <w:pStyle w:val="54"/>
              <w:widowControl w:val="0"/>
              <w:snapToGrid w:val="0"/>
              <w:jc w:val="center"/>
              <w:rPr>
                <w:b w:val="0"/>
                <w:bCs w:val="0"/>
                <w:sz w:val="18"/>
                <w:szCs w:val="18"/>
                <w:lang w:val="en-US" w:eastAsia="zh-CN"/>
              </w:rPr>
            </w:pP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化肥使用量</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预期性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持续减少</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稳中有降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66"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7</w:t>
            </w:r>
          </w:p>
        </w:tc>
        <w:tc>
          <w:tcPr>
            <w:tcW w:w="1433" w:type="dxa"/>
            <w:vMerge w:val="continue"/>
            <w:noWrap w:val="0"/>
            <w:vAlign w:val="center"/>
          </w:tcPr>
          <w:p>
            <w:pPr>
              <w:pStyle w:val="54"/>
              <w:widowControl w:val="0"/>
              <w:snapToGrid w:val="0"/>
              <w:jc w:val="center"/>
              <w:rPr>
                <w:b w:val="0"/>
                <w:bCs w:val="0"/>
                <w:sz w:val="18"/>
                <w:szCs w:val="18"/>
                <w:lang w:val="en-US" w:eastAsia="zh-CN"/>
              </w:rPr>
            </w:pPr>
          </w:p>
        </w:tc>
        <w:tc>
          <w:tcPr>
            <w:tcW w:w="2096" w:type="dxa"/>
            <w:noWrap w:val="0"/>
            <w:vAlign w:val="center"/>
          </w:tcPr>
          <w:p>
            <w:pPr>
              <w:pStyle w:val="54"/>
              <w:widowControl w:val="0"/>
              <w:snapToGrid w:val="0"/>
              <w:rPr>
                <w:b w:val="0"/>
                <w:bCs w:val="0"/>
                <w:sz w:val="18"/>
                <w:szCs w:val="18"/>
                <w:lang w:val="en-US" w:eastAsia="zh-CN"/>
              </w:rPr>
            </w:pPr>
            <w:r>
              <w:rPr>
                <w:b w:val="0"/>
                <w:bCs w:val="0"/>
                <w:sz w:val="18"/>
                <w:szCs w:val="18"/>
                <w:lang w:val="en-US" w:eastAsia="zh-CN"/>
              </w:rPr>
              <w:t>农药使用量</w:t>
            </w:r>
          </w:p>
        </w:tc>
        <w:tc>
          <w:tcPr>
            <w:tcW w:w="1153"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预期性</w:t>
            </w:r>
          </w:p>
        </w:tc>
        <w:tc>
          <w:tcPr>
            <w:tcW w:w="994"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w:t>
            </w:r>
          </w:p>
        </w:tc>
        <w:tc>
          <w:tcPr>
            <w:tcW w:w="1362" w:type="dxa"/>
            <w:noWrap w:val="0"/>
            <w:vAlign w:val="center"/>
          </w:tcPr>
          <w:p>
            <w:pPr>
              <w:pStyle w:val="54"/>
              <w:widowControl w:val="0"/>
              <w:snapToGrid w:val="0"/>
              <w:jc w:val="center"/>
              <w:rPr>
                <w:rStyle w:val="51"/>
                <w:rFonts w:eastAsia="方正仿宋_GBK" w:cs="Times New Roman"/>
                <w:b w:val="0"/>
                <w:bCs w:val="0"/>
                <w:sz w:val="18"/>
                <w:szCs w:val="18"/>
                <w:lang w:val="en-US" w:eastAsia="zh-CN"/>
              </w:rPr>
            </w:pPr>
            <w:r>
              <w:rPr>
                <w:rStyle w:val="51"/>
                <w:rFonts w:eastAsia="方正仿宋_GBK" w:cs="Times New Roman"/>
                <w:b w:val="0"/>
                <w:bCs w:val="0"/>
                <w:sz w:val="18"/>
                <w:szCs w:val="18"/>
                <w:lang w:val="en-US" w:eastAsia="zh-CN"/>
              </w:rPr>
              <w:t>持续减少</w:t>
            </w:r>
          </w:p>
        </w:tc>
        <w:tc>
          <w:tcPr>
            <w:tcW w:w="1372" w:type="dxa"/>
            <w:noWrap w:val="0"/>
            <w:vAlign w:val="center"/>
          </w:tcPr>
          <w:p>
            <w:pPr>
              <w:pStyle w:val="54"/>
              <w:widowControl w:val="0"/>
              <w:snapToGrid w:val="0"/>
              <w:jc w:val="center"/>
              <w:rPr>
                <w:b w:val="0"/>
                <w:bCs w:val="0"/>
                <w:sz w:val="18"/>
                <w:szCs w:val="18"/>
                <w:lang w:val="en-US" w:eastAsia="zh-CN"/>
              </w:rPr>
            </w:pPr>
            <w:r>
              <w:rPr>
                <w:b w:val="0"/>
                <w:bCs w:val="0"/>
                <w:sz w:val="18"/>
                <w:szCs w:val="18"/>
                <w:lang w:val="en-US" w:eastAsia="zh-CN"/>
              </w:rPr>
              <w:t>稳中有降</w:t>
            </w:r>
          </w:p>
        </w:tc>
      </w:tr>
    </w:tbl>
    <w:p>
      <w:pPr>
        <w:adjustRightInd/>
        <w:spacing w:line="276" w:lineRule="auto"/>
        <w:ind w:firstLine="392"/>
        <w:rPr>
          <w:rFonts w:hint="eastAsia"/>
          <w:b w:val="0"/>
          <w:bCs w:val="0"/>
          <w:kern w:val="0"/>
          <w:sz w:val="22"/>
          <w:szCs w:val="22"/>
          <w:lang w:bidi="ar"/>
        </w:rPr>
      </w:pPr>
      <w:bookmarkStart w:id="51" w:name="_Toc58707383"/>
      <w:bookmarkStart w:id="52" w:name="_Toc42195308"/>
      <w:r>
        <w:rPr>
          <w:rFonts w:hint="eastAsia"/>
          <w:b w:val="0"/>
          <w:bCs w:val="0"/>
          <w:kern w:val="0"/>
          <w:sz w:val="22"/>
          <w:szCs w:val="22"/>
          <w:lang w:bidi="ar"/>
        </w:rPr>
        <w:t>注：“*”表示“十四五”新增设或统计口径较“十三五”有变化。</w:t>
      </w:r>
    </w:p>
    <w:p>
      <w:pPr>
        <w:pStyle w:val="2"/>
        <w:keepNext w:val="0"/>
        <w:keepLines w:val="0"/>
        <w:spacing w:beforeLines="0" w:afterLines="0" w:line="276" w:lineRule="auto"/>
        <w:ind w:firstLine="632"/>
        <w:rPr>
          <w:rFonts w:hint="eastAsia" w:ascii="方正黑体_GBK" w:hAnsi="方正黑体_GBK" w:eastAsia="方正黑体_GBK" w:cs="方正黑体_GBK"/>
          <w:b w:val="0"/>
          <w:bCs w:val="0"/>
          <w:lang w:val="en-US" w:eastAsia="zh-CN"/>
        </w:rPr>
      </w:pPr>
      <w:bookmarkStart w:id="53" w:name="_Toc493"/>
      <w:r>
        <w:rPr>
          <w:rFonts w:hint="eastAsia" w:ascii="方正黑体_GBK" w:hAnsi="方正黑体_GBK" w:eastAsia="方正黑体_GBK" w:cs="方正黑体_GBK"/>
          <w:b w:val="0"/>
          <w:bCs w:val="0"/>
          <w:lang w:val="en-US" w:eastAsia="zh-CN"/>
        </w:rPr>
        <w:t>三、主要任务</w:t>
      </w:r>
      <w:bookmarkEnd w:id="51"/>
      <w:bookmarkEnd w:id="52"/>
      <w:bookmarkEnd w:id="53"/>
    </w:p>
    <w:p>
      <w:pPr>
        <w:pStyle w:val="3"/>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ascii="方正楷体_GBK" w:hAnsi="方正楷体_GBK" w:eastAsia="方正楷体_GBK" w:cs="方正楷体_GBK"/>
          <w:b w:val="0"/>
          <w:bCs w:val="0"/>
        </w:rPr>
      </w:pPr>
      <w:bookmarkStart w:id="54" w:name="_Toc26907514"/>
      <w:bookmarkStart w:id="55" w:name="_Toc58707384"/>
      <w:bookmarkStart w:id="56" w:name="_Toc5969"/>
      <w:bookmarkStart w:id="57" w:name="_Toc42195309"/>
      <w:r>
        <w:rPr>
          <w:rFonts w:hint="eastAsia" w:ascii="方正楷体_GBK" w:hAnsi="方正楷体_GBK" w:eastAsia="方正楷体_GBK" w:cs="方正楷体_GBK"/>
          <w:b w:val="0"/>
          <w:bCs w:val="0"/>
        </w:rPr>
        <w:t>（一）加强</w:t>
      </w:r>
      <w:bookmarkEnd w:id="54"/>
      <w:r>
        <w:rPr>
          <w:rFonts w:hint="eastAsia" w:ascii="方正楷体_GBK" w:hAnsi="方正楷体_GBK" w:eastAsia="方正楷体_GBK" w:cs="方正楷体_GBK"/>
          <w:b w:val="0"/>
          <w:bCs w:val="0"/>
        </w:rPr>
        <w:t>土壤生态环境保护与污染风险管控</w:t>
      </w:r>
      <w:bookmarkEnd w:id="55"/>
      <w:bookmarkEnd w:id="56"/>
      <w:bookmarkEnd w:id="57"/>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bookmarkStart w:id="58" w:name="_Toc11592"/>
      <w:bookmarkStart w:id="59" w:name="_Toc91339858"/>
      <w:bookmarkStart w:id="60" w:name="_Toc20941"/>
      <w:bookmarkStart w:id="61" w:name="_Toc91340035"/>
      <w:r>
        <w:rPr>
          <w:b w:val="0"/>
          <w:bCs w:val="0"/>
          <w:color w:val="000000"/>
        </w:rPr>
        <w:t>1</w:t>
      </w:r>
      <w:r>
        <w:rPr>
          <w:rFonts w:hint="eastAsia"/>
          <w:b w:val="0"/>
          <w:bCs w:val="0"/>
          <w:color w:val="000000"/>
        </w:rPr>
        <w:t>.整体推进土壤污染源头防治</w:t>
      </w:r>
      <w:bookmarkEnd w:id="58"/>
      <w:bookmarkEnd w:id="59"/>
      <w:bookmarkEnd w:id="60"/>
      <w:bookmarkEnd w:id="61"/>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b w:val="0"/>
          <w:bCs w:val="0"/>
          <w:color w:val="000000"/>
        </w:rPr>
        <w:t>（</w:t>
      </w:r>
      <w:r>
        <w:rPr>
          <w:rFonts w:hint="eastAsia"/>
          <w:b w:val="0"/>
          <w:bCs w:val="0"/>
          <w:color w:val="000000"/>
        </w:rPr>
        <w:t>1</w:t>
      </w:r>
      <w:r>
        <w:rPr>
          <w:b w:val="0"/>
          <w:bCs w:val="0"/>
          <w:color w:val="000000"/>
        </w:rPr>
        <w:t>）</w:t>
      </w:r>
      <w:bookmarkStart w:id="62" w:name="_Hlk87563155"/>
      <w:r>
        <w:rPr>
          <w:rFonts w:hint="eastAsia"/>
          <w:b w:val="0"/>
          <w:bCs w:val="0"/>
          <w:color w:val="000000"/>
        </w:rPr>
        <w:t>实施</w:t>
      </w:r>
      <w:r>
        <w:rPr>
          <w:b w:val="0"/>
          <w:bCs w:val="0"/>
          <w:color w:val="000000"/>
        </w:rPr>
        <w:t>土壤空间布局管控</w:t>
      </w:r>
      <w:bookmarkEnd w:id="62"/>
      <w:r>
        <w:rPr>
          <w:rFonts w:hint="eastAsia"/>
          <w:b w:val="0"/>
          <w:bCs w:val="0"/>
          <w:color w:val="000000"/>
          <w:lang w:eastAsia="zh-CN"/>
        </w:rPr>
        <w:t>。</w:t>
      </w:r>
      <w:r>
        <w:rPr>
          <w:rFonts w:hint="eastAsia"/>
          <w:b w:val="0"/>
          <w:bCs w:val="0"/>
          <w:color w:val="000000"/>
        </w:rPr>
        <w:t>实施“多规合一”空间布局，区级各部门在编制永川区“十四五”各项规划，围绕“</w:t>
      </w:r>
      <w:r>
        <w:rPr>
          <w:b w:val="0"/>
          <w:bCs w:val="0"/>
          <w:color w:val="000000"/>
        </w:rPr>
        <w:t>五山五河一网</w:t>
      </w:r>
      <w:r>
        <w:rPr>
          <w:rFonts w:hint="eastAsia"/>
          <w:b w:val="0"/>
          <w:bCs w:val="0"/>
          <w:color w:val="000000"/>
        </w:rPr>
        <w:t>”</w:t>
      </w:r>
      <w:r>
        <w:rPr>
          <w:b w:val="0"/>
          <w:bCs w:val="0"/>
          <w:color w:val="000000"/>
        </w:rPr>
        <w:t>生态空间格局</w:t>
      </w:r>
      <w:r>
        <w:rPr>
          <w:rFonts w:hint="eastAsia"/>
          <w:b w:val="0"/>
          <w:bCs w:val="0"/>
          <w:color w:val="000000"/>
        </w:rPr>
        <w:t>，严格按照生态保护红线、基本农田保护、高标准农田建设等相关要求，充分考虑区域土壤环境承载力，根据土壤污染状况详查结果，合理确定土壤环境功能定位，确保土地利用方式符合土壤环境质量要求。</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rFonts w:hint="eastAsia"/>
          <w:b w:val="0"/>
          <w:bCs w:val="0"/>
          <w:color w:val="000000"/>
        </w:rPr>
        <w:t>（2）严格</w:t>
      </w:r>
      <w:r>
        <w:rPr>
          <w:b w:val="0"/>
          <w:bCs w:val="0"/>
          <w:color w:val="000000"/>
        </w:rPr>
        <w:t>环境准入</w:t>
      </w:r>
      <w:r>
        <w:rPr>
          <w:rFonts w:hint="eastAsia"/>
          <w:b w:val="0"/>
          <w:bCs w:val="0"/>
          <w:color w:val="000000"/>
          <w:lang w:eastAsia="zh-CN"/>
        </w:rPr>
        <w:t>。</w:t>
      </w:r>
      <w:r>
        <w:rPr>
          <w:rFonts w:hint="eastAsia"/>
          <w:b w:val="0"/>
          <w:bCs w:val="0"/>
          <w:color w:val="000000"/>
        </w:rPr>
        <w:t>严格执行重庆市工业项目环境准入、重庆市产业禁投清单等相关文件要求规定，禁止在长江干流及主要支流岸线1公里范围内新建重化工、印染、纸浆制造等存在污染风险的工业项目，禁止在长江干流及主要支流岸线5公里范围内新布局工业园区。新建有污染物排放的工业项目，除在安全生产或者产业布局等方面有特殊要求外，应当进入工业园区（工业集聚区），对未进入工业园区的项目，或在工业园区（工业聚集区）以外区域实施单纯增加产能的技改（扩建）的项目，不得办理项目核准或备案手续。</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（3）强化环境影响评价</w:t>
      </w:r>
      <w:r>
        <w:rPr>
          <w:b w:val="0"/>
          <w:bCs w:val="0"/>
          <w:color w:val="000000"/>
        </w:rPr>
        <w:t>联动机制</w:t>
      </w:r>
      <w:r>
        <w:rPr>
          <w:rFonts w:hint="eastAsia"/>
          <w:b w:val="0"/>
          <w:bCs w:val="0"/>
          <w:color w:val="000000"/>
          <w:lang w:eastAsia="zh-CN"/>
        </w:rPr>
        <w:t>。</w:t>
      </w:r>
      <w:r>
        <w:rPr>
          <w:rFonts w:hint="eastAsia"/>
          <w:b w:val="0"/>
          <w:bCs w:val="0"/>
          <w:color w:val="000000"/>
        </w:rPr>
        <w:t>严格执行产业园区规划环评制度，严格审查把关，加强质量监管，夯实产业园区管理机构主体责任，做好规划环评与项目环评联动。深入实施“三线一单”分区管控；严控“两高一资”和过剩产能行业建设项目；禁止在长江干流和一、二级支流岸线一公里范围内新建、扩建化工园区和项目；禁止在长江干流岸线三公里范围内新建、改建、扩建尾矿库。</w:t>
      </w:r>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rFonts w:hint="eastAsia"/>
          <w:b w:val="0"/>
          <w:bCs w:val="0"/>
          <w:color w:val="000000"/>
        </w:rPr>
      </w:pPr>
      <w:bookmarkStart w:id="63" w:name="_Toc225"/>
      <w:bookmarkStart w:id="64" w:name="_Toc9520"/>
      <w:bookmarkStart w:id="65" w:name="_Toc91339859"/>
      <w:bookmarkStart w:id="66" w:name="_Toc91340036"/>
      <w:r>
        <w:rPr>
          <w:rFonts w:hint="eastAsia"/>
          <w:b w:val="0"/>
          <w:bCs w:val="0"/>
          <w:color w:val="000000"/>
        </w:rPr>
        <w:t>2</w:t>
      </w:r>
      <w:bookmarkStart w:id="67" w:name="_Hlk87563166"/>
      <w:r>
        <w:rPr>
          <w:rFonts w:hint="eastAsia"/>
          <w:b w:val="0"/>
          <w:bCs w:val="0"/>
          <w:color w:val="000000"/>
        </w:rPr>
        <w:t>.防范工矿企业用地新增土壤污染</w:t>
      </w:r>
      <w:bookmarkEnd w:id="63"/>
      <w:bookmarkEnd w:id="64"/>
      <w:bookmarkEnd w:id="65"/>
      <w:bookmarkEnd w:id="66"/>
      <w:bookmarkEnd w:id="67"/>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szCs w:val="30"/>
        </w:rPr>
      </w:pPr>
      <w:r>
        <w:rPr>
          <w:rFonts w:hint="eastAsia"/>
          <w:b w:val="0"/>
          <w:bCs w:val="0"/>
          <w:color w:val="000000"/>
        </w:rPr>
        <w:t>（1）推动实施绿色化改造</w:t>
      </w:r>
      <w:r>
        <w:rPr>
          <w:rFonts w:hint="eastAsia"/>
          <w:b w:val="0"/>
          <w:bCs w:val="0"/>
          <w:color w:val="000000"/>
          <w:lang w:eastAsia="zh-CN"/>
        </w:rPr>
        <w:t>。</w:t>
      </w:r>
      <w:r>
        <w:rPr>
          <w:rFonts w:hint="eastAsia"/>
          <w:b w:val="0"/>
          <w:bCs w:val="0"/>
          <w:color w:val="000000"/>
        </w:rPr>
        <w:t>严格执行</w:t>
      </w:r>
      <w:bookmarkStart w:id="68" w:name="_Hlk91341534"/>
      <w:r>
        <w:rPr>
          <w:rFonts w:hint="eastAsia"/>
          <w:b w:val="0"/>
          <w:bCs w:val="0"/>
          <w:color w:val="000000"/>
        </w:rPr>
        <w:t>《中华人民共和国长江保护法》</w:t>
      </w:r>
      <w:r>
        <w:rPr>
          <w:rFonts w:hint="eastAsia"/>
          <w:b w:val="0"/>
          <w:bCs w:val="0"/>
          <w:color w:val="000000"/>
          <w:lang w:eastAsia="zh-CN"/>
        </w:rPr>
        <w:t>（2</w:t>
      </w:r>
      <w:r>
        <w:rPr>
          <w:b w:val="0"/>
          <w:bCs w:val="0"/>
          <w:color w:val="000000"/>
          <w:lang w:eastAsia="zh-CN"/>
        </w:rPr>
        <w:t>020</w:t>
      </w:r>
      <w:r>
        <w:rPr>
          <w:rFonts w:hint="eastAsia"/>
          <w:b w:val="0"/>
          <w:bCs w:val="0"/>
          <w:color w:val="000000"/>
          <w:lang w:eastAsia="zh-CN"/>
        </w:rPr>
        <w:t>年）、</w:t>
      </w:r>
      <w:r>
        <w:rPr>
          <w:rFonts w:hint="eastAsia"/>
          <w:b w:val="0"/>
          <w:bCs w:val="0"/>
          <w:color w:val="000000"/>
        </w:rPr>
        <w:t>《重庆市产业投资准入工作手册》</w:t>
      </w:r>
      <w:r>
        <w:rPr>
          <w:rFonts w:hint="eastAsia"/>
          <w:b w:val="0"/>
          <w:bCs w:val="0"/>
          <w:color w:val="000000"/>
          <w:lang w:eastAsia="zh-CN"/>
        </w:rPr>
        <w:t>（渝发改投〔2</w:t>
      </w:r>
      <w:r>
        <w:rPr>
          <w:b w:val="0"/>
          <w:bCs w:val="0"/>
          <w:color w:val="000000"/>
          <w:lang w:eastAsia="zh-CN"/>
        </w:rPr>
        <w:t>0</w:t>
      </w:r>
      <w:r>
        <w:rPr>
          <w:rFonts w:hint="eastAsia"/>
          <w:b w:val="0"/>
          <w:bCs w:val="0"/>
          <w:color w:val="000000"/>
          <w:lang w:eastAsia="zh-CN"/>
        </w:rPr>
        <w:t>18〕541号）</w:t>
      </w:r>
      <w:bookmarkEnd w:id="68"/>
      <w:r>
        <w:rPr>
          <w:rFonts w:hint="eastAsia"/>
          <w:b w:val="0"/>
          <w:bCs w:val="0"/>
          <w:color w:val="000000"/>
        </w:rPr>
        <w:t>等法律及相关政策，新建工业项目应达到国内清洁生产先进水平。</w:t>
      </w:r>
      <w:r>
        <w:rPr>
          <w:b w:val="0"/>
          <w:bCs w:val="0"/>
          <w:color w:val="000000"/>
          <w:szCs w:val="30"/>
        </w:rPr>
        <w:t>对涉及有毒有害物质可能造成土壤污染的新（改、扩）建项目，依法进行环境影响评价，</w:t>
      </w:r>
      <w:r>
        <w:rPr>
          <w:rFonts w:hint="eastAsia"/>
          <w:b w:val="0"/>
          <w:bCs w:val="0"/>
          <w:color w:val="000000"/>
          <w:szCs w:val="30"/>
        </w:rPr>
        <w:t>并督促企业</w:t>
      </w:r>
      <w:r>
        <w:rPr>
          <w:b w:val="0"/>
          <w:bCs w:val="0"/>
          <w:color w:val="000000"/>
          <w:szCs w:val="30"/>
        </w:rPr>
        <w:t>落实防腐蚀、防渗漏、防遗撒等土壤污染防治措施。</w:t>
      </w:r>
      <w:r>
        <w:rPr>
          <w:rFonts w:hint="eastAsia"/>
          <w:b w:val="0"/>
          <w:bCs w:val="0"/>
          <w:color w:val="000000"/>
        </w:rPr>
        <w:t>重点行业企业有关防腐蚀、防泄露设施和泄露监测装置的设计、建设和安装符合国家规范，从源头上消除土壤污染。</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rFonts w:hint="eastAsia"/>
          <w:b w:val="0"/>
          <w:bCs w:val="0"/>
          <w:color w:val="000000"/>
        </w:rPr>
        <w:t>（</w:t>
      </w:r>
      <w:r>
        <w:rPr>
          <w:b w:val="0"/>
          <w:bCs w:val="0"/>
          <w:color w:val="000000"/>
        </w:rPr>
        <w:t>2</w:t>
      </w:r>
      <w:r>
        <w:rPr>
          <w:rFonts w:hint="eastAsia"/>
          <w:b w:val="0"/>
          <w:bCs w:val="0"/>
          <w:color w:val="000000"/>
        </w:rPr>
        <w:t>）严格土壤污染重点行业监管</w:t>
      </w:r>
      <w:r>
        <w:rPr>
          <w:rFonts w:hint="eastAsia"/>
          <w:b w:val="0"/>
          <w:bCs w:val="0"/>
          <w:color w:val="000000"/>
          <w:lang w:eastAsia="zh-CN"/>
        </w:rPr>
        <w:t>。</w:t>
      </w:r>
      <w:r>
        <w:rPr>
          <w:rFonts w:hint="eastAsia"/>
          <w:b w:val="0"/>
          <w:bCs w:val="0"/>
          <w:color w:val="000000"/>
        </w:rPr>
        <w:t>根据永川区重点行业企业分布、规模和污染排放情况，严格落实把有色金属冶炼、化工、医药、电镀、危险废物处置、制革、造纸等重点行业企业纳入本区土壤环境重点监管企业名单，实行动态管理，并向社会公布。加强土壤污染重点监管单位环境监管，督促被列入名单的企业每年自行对其用地土壤进行监测，结果向社会公开，开展土壤环境隐患排查，发现问题及时整改，定期对重点监管企业周边土壤开展监督性监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0" w:type="dxa"/>
            <w:noWrap w:val="0"/>
            <w:vAlign w:val="top"/>
          </w:tcPr>
          <w:p>
            <w:pPr>
              <w:spacing w:line="240" w:lineRule="auto"/>
              <w:ind w:firstLine="472"/>
              <w:jc w:val="center"/>
              <w:rPr>
                <w:b w:val="0"/>
                <w:bCs w:val="0"/>
                <w:color w:val="000000"/>
                <w:sz w:val="24"/>
                <w:szCs w:val="24"/>
              </w:rPr>
            </w:pPr>
            <w:r>
              <w:rPr>
                <w:rFonts w:hint="eastAsia" w:ascii="方正楷体_GBK" w:hAnsi="方正楷体_GBK" w:eastAsia="方正楷体_GBK" w:cs="方正楷体_GBK"/>
                <w:b w:val="0"/>
                <w:bCs w:val="0"/>
                <w:color w:val="000000"/>
                <w:sz w:val="24"/>
                <w:szCs w:val="24"/>
              </w:rPr>
              <w:t>专栏1永川区土壤污染监管重点企业名单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620" w:type="dxa"/>
            <w:noWrap w:val="0"/>
            <w:vAlign w:val="top"/>
          </w:tcPr>
          <w:p>
            <w:pPr>
              <w:numPr>
                <w:ilvl w:val="0"/>
                <w:numId w:val="1"/>
              </w:numPr>
              <w:spacing w:line="240" w:lineRule="auto"/>
              <w:ind w:firstLineChars="0"/>
              <w:rPr>
                <w:b w:val="0"/>
                <w:bCs w:val="0"/>
                <w:color w:val="000000"/>
                <w:sz w:val="24"/>
                <w:szCs w:val="24"/>
              </w:rPr>
            </w:pPr>
            <w:r>
              <w:rPr>
                <w:rFonts w:hint="eastAsia"/>
                <w:b w:val="0"/>
                <w:bCs w:val="0"/>
                <w:color w:val="000000"/>
                <w:sz w:val="24"/>
                <w:szCs w:val="24"/>
              </w:rPr>
              <w:t>川亿电脑（重庆）有限公司；</w:t>
            </w:r>
          </w:p>
          <w:p>
            <w:pPr>
              <w:numPr>
                <w:ilvl w:val="0"/>
                <w:numId w:val="1"/>
              </w:numPr>
              <w:spacing w:line="240" w:lineRule="auto"/>
              <w:ind w:firstLineChars="0"/>
              <w:rPr>
                <w:b w:val="0"/>
                <w:bCs w:val="0"/>
                <w:color w:val="000000"/>
                <w:sz w:val="24"/>
                <w:szCs w:val="24"/>
              </w:rPr>
            </w:pPr>
            <w:r>
              <w:rPr>
                <w:rFonts w:hint="eastAsia"/>
                <w:b w:val="0"/>
                <w:bCs w:val="0"/>
                <w:color w:val="000000"/>
                <w:sz w:val="24"/>
                <w:szCs w:val="24"/>
              </w:rPr>
              <w:t>重庆丰化科技有限公司；</w:t>
            </w:r>
          </w:p>
          <w:p>
            <w:pPr>
              <w:numPr>
                <w:ilvl w:val="0"/>
                <w:numId w:val="1"/>
              </w:numPr>
              <w:spacing w:line="240" w:lineRule="auto"/>
              <w:ind w:firstLineChars="0"/>
              <w:rPr>
                <w:b w:val="0"/>
                <w:bCs w:val="0"/>
                <w:color w:val="000000"/>
                <w:sz w:val="24"/>
                <w:szCs w:val="24"/>
              </w:rPr>
            </w:pPr>
            <w:r>
              <w:rPr>
                <w:rFonts w:hint="eastAsia"/>
                <w:b w:val="0"/>
                <w:bCs w:val="0"/>
                <w:color w:val="000000"/>
                <w:sz w:val="24"/>
                <w:szCs w:val="24"/>
              </w:rPr>
              <w:t>重庆市永川区三峰环保发电有限公司；</w:t>
            </w:r>
          </w:p>
          <w:p>
            <w:pPr>
              <w:numPr>
                <w:ilvl w:val="0"/>
                <w:numId w:val="1"/>
              </w:numPr>
              <w:spacing w:line="240" w:lineRule="auto"/>
              <w:ind w:firstLineChars="0"/>
              <w:rPr>
                <w:b w:val="0"/>
                <w:bCs w:val="0"/>
                <w:color w:val="000000"/>
                <w:sz w:val="24"/>
                <w:szCs w:val="24"/>
              </w:rPr>
            </w:pPr>
            <w:r>
              <w:rPr>
                <w:rFonts w:hint="eastAsia"/>
                <w:b w:val="0"/>
                <w:bCs w:val="0"/>
                <w:color w:val="000000"/>
                <w:sz w:val="24"/>
                <w:szCs w:val="24"/>
              </w:rPr>
              <w:t>重庆中明港桥环保有限责任公司；</w:t>
            </w:r>
          </w:p>
          <w:p>
            <w:pPr>
              <w:numPr>
                <w:ilvl w:val="0"/>
                <w:numId w:val="1"/>
              </w:numPr>
              <w:spacing w:line="240" w:lineRule="auto"/>
              <w:ind w:firstLineChars="0"/>
              <w:rPr>
                <w:b w:val="0"/>
                <w:bCs w:val="0"/>
                <w:color w:val="000000"/>
                <w:sz w:val="24"/>
                <w:szCs w:val="24"/>
              </w:rPr>
            </w:pPr>
            <w:r>
              <w:rPr>
                <w:rFonts w:hint="eastAsia"/>
                <w:b w:val="0"/>
                <w:bCs w:val="0"/>
                <w:color w:val="000000"/>
                <w:sz w:val="24"/>
                <w:szCs w:val="24"/>
              </w:rPr>
              <w:t>重庆新格有色金属有限公司；</w:t>
            </w:r>
          </w:p>
          <w:p>
            <w:pPr>
              <w:numPr>
                <w:ilvl w:val="0"/>
                <w:numId w:val="1"/>
              </w:numPr>
              <w:spacing w:line="240" w:lineRule="auto"/>
              <w:ind w:firstLineChars="0"/>
              <w:rPr>
                <w:rFonts w:hint="eastAsia"/>
                <w:b w:val="0"/>
                <w:bCs w:val="0"/>
                <w:color w:val="000000"/>
                <w:sz w:val="24"/>
                <w:szCs w:val="24"/>
              </w:rPr>
            </w:pPr>
            <w:r>
              <w:rPr>
                <w:rFonts w:hint="eastAsia"/>
                <w:b w:val="0"/>
                <w:bCs w:val="0"/>
                <w:color w:val="000000"/>
                <w:sz w:val="24"/>
                <w:szCs w:val="24"/>
              </w:rPr>
              <w:t>重庆理文造纸有限公司。</w:t>
            </w:r>
          </w:p>
        </w:tc>
      </w:tr>
    </w:tbl>
    <w:p>
      <w:pPr>
        <w:pStyle w:val="6"/>
        <w:spacing w:line="276" w:lineRule="auto"/>
        <w:ind w:firstLine="632"/>
        <w:rPr>
          <w:b w:val="0"/>
          <w:bCs w:val="0"/>
          <w:color w:val="000000"/>
        </w:rPr>
      </w:pPr>
      <w:r>
        <w:rPr>
          <w:rFonts w:hint="eastAsia"/>
          <w:b w:val="0"/>
          <w:bCs w:val="0"/>
          <w:color w:val="000000"/>
        </w:rPr>
        <w:t>（</w:t>
      </w:r>
      <w:r>
        <w:rPr>
          <w:b w:val="0"/>
          <w:bCs w:val="0"/>
          <w:color w:val="000000"/>
        </w:rPr>
        <w:t>3</w:t>
      </w:r>
      <w:r>
        <w:rPr>
          <w:rFonts w:hint="eastAsia"/>
          <w:b w:val="0"/>
          <w:bCs w:val="0"/>
          <w:color w:val="000000"/>
        </w:rPr>
        <w:t>）严格管控涉重金属行业污染物排放</w:t>
      </w:r>
      <w:r>
        <w:rPr>
          <w:rFonts w:hint="eastAsia"/>
          <w:b w:val="0"/>
          <w:bCs w:val="0"/>
          <w:color w:val="000000"/>
          <w:lang w:eastAsia="zh-CN"/>
        </w:rPr>
        <w:t>。</w:t>
      </w:r>
      <w:r>
        <w:rPr>
          <w:rFonts w:hint="eastAsia"/>
          <w:b w:val="0"/>
          <w:bCs w:val="0"/>
          <w:color w:val="000000"/>
        </w:rPr>
        <w:t>督促中船重工重庆液压机电</w:t>
      </w:r>
      <w:r>
        <w:rPr>
          <w:b w:val="0"/>
          <w:bCs w:val="0"/>
          <w:color w:val="000000"/>
        </w:rPr>
        <w:t>、</w:t>
      </w:r>
      <w:r>
        <w:rPr>
          <w:rFonts w:hint="eastAsia"/>
          <w:b w:val="0"/>
          <w:bCs w:val="0"/>
          <w:color w:val="000000"/>
        </w:rPr>
        <w:t>川亿电脑</w:t>
      </w:r>
      <w:r>
        <w:rPr>
          <w:b w:val="0"/>
          <w:bCs w:val="0"/>
          <w:color w:val="000000"/>
        </w:rPr>
        <w:t>、跃进机械等</w:t>
      </w:r>
      <w:r>
        <w:rPr>
          <w:rFonts w:hint="eastAsia"/>
          <w:b w:val="0"/>
          <w:bCs w:val="0"/>
          <w:color w:val="000000"/>
        </w:rPr>
        <w:t>涉重金属在产企业切实履行主体责任，严格控制涉重金属重点行业新增一类重金属排放量，未取得总量指标的不予审批相关项目环评。持续推进重点排污单位安装自动监测设备，并与市生态环境局监控平台联网。深入推进涉重金属企业规范化整治，严格按照相关重点行业一类重金属污染物特别排放限值国家标准要求审批新建项目，执行建设项目重金属、排放“等量替代”或“减量替代”制度，到2025年，完成市级下达的重点行业一类重金属污染物（铅、汞、镉、铬和类金属砷）排放总量减排目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0" w:type="dxa"/>
            <w:noWrap w:val="0"/>
            <w:vAlign w:val="top"/>
          </w:tcPr>
          <w:p>
            <w:pPr>
              <w:spacing w:line="240" w:lineRule="auto"/>
              <w:ind w:firstLine="472"/>
              <w:jc w:val="center"/>
              <w:rPr>
                <w:rFonts w:hint="eastAsia" w:ascii="方正楷体_GBK" w:hAnsi="方正楷体_GBK" w:eastAsia="方正楷体_GBK" w:cs="方正楷体_GBK"/>
                <w:b w:val="0"/>
                <w:bCs w:val="0"/>
                <w:color w:val="000000"/>
                <w:sz w:val="24"/>
                <w:szCs w:val="24"/>
              </w:rPr>
            </w:pPr>
            <w:r>
              <w:rPr>
                <w:rFonts w:hint="eastAsia" w:ascii="方正楷体_GBK" w:hAnsi="方正楷体_GBK" w:eastAsia="方正楷体_GBK" w:cs="方正楷体_GBK"/>
                <w:b w:val="0"/>
                <w:bCs w:val="0"/>
                <w:color w:val="000000"/>
                <w:sz w:val="24"/>
                <w:szCs w:val="24"/>
              </w:rPr>
              <w:t>专栏2永川区涉重金属企业名单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0" w:type="dxa"/>
            <w:noWrap w:val="0"/>
            <w:vAlign w:val="top"/>
          </w:tcPr>
          <w:p>
            <w:pPr>
              <w:numPr>
                <w:ilvl w:val="0"/>
                <w:numId w:val="2"/>
              </w:numPr>
              <w:spacing w:line="240" w:lineRule="auto"/>
              <w:ind w:firstLineChars="0"/>
              <w:jc w:val="left"/>
              <w:rPr>
                <w:b w:val="0"/>
                <w:bCs w:val="0"/>
                <w:color w:val="000000"/>
                <w:sz w:val="24"/>
                <w:szCs w:val="24"/>
              </w:rPr>
            </w:pPr>
            <w:r>
              <w:rPr>
                <w:rFonts w:hint="eastAsia"/>
                <w:b w:val="0"/>
                <w:bCs w:val="0"/>
                <w:color w:val="000000"/>
                <w:sz w:val="24"/>
                <w:szCs w:val="24"/>
              </w:rPr>
              <w:t>川亿电脑（重庆）有限公司；</w:t>
            </w:r>
          </w:p>
          <w:p>
            <w:pPr>
              <w:numPr>
                <w:ilvl w:val="0"/>
                <w:numId w:val="2"/>
              </w:numPr>
              <w:spacing w:line="240" w:lineRule="auto"/>
              <w:ind w:firstLineChars="0"/>
              <w:jc w:val="left"/>
              <w:rPr>
                <w:b w:val="0"/>
                <w:bCs w:val="0"/>
                <w:color w:val="000000"/>
                <w:sz w:val="24"/>
                <w:szCs w:val="24"/>
              </w:rPr>
            </w:pPr>
            <w:r>
              <w:rPr>
                <w:rFonts w:hint="eastAsia"/>
                <w:b w:val="0"/>
                <w:bCs w:val="0"/>
                <w:color w:val="000000"/>
                <w:sz w:val="24"/>
                <w:szCs w:val="24"/>
              </w:rPr>
              <w:t>重庆航凌电路板有限公司；</w:t>
            </w:r>
          </w:p>
          <w:p>
            <w:pPr>
              <w:numPr>
                <w:ilvl w:val="0"/>
                <w:numId w:val="2"/>
              </w:numPr>
              <w:spacing w:line="240" w:lineRule="auto"/>
              <w:ind w:firstLineChars="0"/>
              <w:jc w:val="left"/>
              <w:rPr>
                <w:b w:val="0"/>
                <w:bCs w:val="0"/>
                <w:color w:val="000000"/>
                <w:sz w:val="24"/>
                <w:szCs w:val="24"/>
              </w:rPr>
            </w:pPr>
            <w:r>
              <w:rPr>
                <w:rFonts w:hint="eastAsia"/>
                <w:b w:val="0"/>
                <w:bCs w:val="0"/>
                <w:color w:val="000000"/>
                <w:sz w:val="24"/>
                <w:szCs w:val="24"/>
              </w:rPr>
              <w:t>中船重工重庆</w:t>
            </w:r>
            <w:bookmarkStart w:id="69" w:name="_Hlk88299709"/>
            <w:r>
              <w:rPr>
                <w:rFonts w:hint="eastAsia"/>
                <w:b w:val="0"/>
                <w:bCs w:val="0"/>
                <w:color w:val="000000"/>
                <w:sz w:val="24"/>
                <w:szCs w:val="24"/>
              </w:rPr>
              <w:t>液压机电</w:t>
            </w:r>
            <w:bookmarkEnd w:id="69"/>
            <w:r>
              <w:rPr>
                <w:rFonts w:hint="eastAsia"/>
                <w:b w:val="0"/>
                <w:bCs w:val="0"/>
                <w:color w:val="000000"/>
                <w:sz w:val="24"/>
                <w:szCs w:val="24"/>
              </w:rPr>
              <w:t>有限公司；</w:t>
            </w:r>
          </w:p>
          <w:p>
            <w:pPr>
              <w:numPr>
                <w:ilvl w:val="0"/>
                <w:numId w:val="2"/>
              </w:numPr>
              <w:spacing w:line="240" w:lineRule="auto"/>
              <w:ind w:firstLineChars="0"/>
              <w:jc w:val="left"/>
              <w:rPr>
                <w:b w:val="0"/>
                <w:bCs w:val="0"/>
                <w:color w:val="000000"/>
                <w:sz w:val="24"/>
                <w:szCs w:val="24"/>
              </w:rPr>
            </w:pPr>
            <w:r>
              <w:rPr>
                <w:rFonts w:hint="eastAsia"/>
                <w:b w:val="0"/>
                <w:bCs w:val="0"/>
                <w:color w:val="000000"/>
                <w:sz w:val="24"/>
                <w:szCs w:val="24"/>
              </w:rPr>
              <w:t>重庆跃进机械厂有限公司。</w:t>
            </w:r>
          </w:p>
        </w:tc>
      </w:tr>
    </w:tbl>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szCs w:val="30"/>
        </w:rPr>
      </w:pPr>
      <w:r>
        <w:rPr>
          <w:rFonts w:hint="eastAsia"/>
          <w:b w:val="0"/>
          <w:bCs w:val="0"/>
          <w:color w:val="000000"/>
        </w:rPr>
        <w:t>（</w:t>
      </w:r>
      <w:r>
        <w:rPr>
          <w:b w:val="0"/>
          <w:bCs w:val="0"/>
          <w:color w:val="000000"/>
        </w:rPr>
        <w:t>4</w:t>
      </w:r>
      <w:r>
        <w:rPr>
          <w:rFonts w:hint="eastAsia"/>
          <w:b w:val="0"/>
          <w:bCs w:val="0"/>
          <w:color w:val="000000"/>
        </w:rPr>
        <w:t>）规范企业拆除、搬迁活动</w:t>
      </w:r>
      <w:r>
        <w:rPr>
          <w:rFonts w:hint="eastAsia"/>
          <w:b w:val="0"/>
          <w:bCs w:val="0"/>
          <w:color w:val="000000"/>
          <w:lang w:eastAsia="zh-CN"/>
        </w:rPr>
        <w:t>。</w:t>
      </w:r>
      <w:r>
        <w:rPr>
          <w:rFonts w:hint="eastAsia"/>
          <w:b w:val="0"/>
          <w:bCs w:val="0"/>
          <w:color w:val="000000"/>
        </w:rPr>
        <w:t>有色金属冶炼、化工、医药、电镀、危险废物处置、制革等重点行业企业在拆除生产设施设备、构建筑物和污染治理设施时，按照《企业拆除活动污染防治技术规定（试行）要求》，事先制定残留污染物清理和安全处置方案，并报区生态环境、经济信息部门备案；严格按照有关规定实施安全处理处置，防止拆除过程中污染土壤。</w:t>
      </w:r>
    </w:p>
    <w:p>
      <w:pPr>
        <w:pStyle w:val="5"/>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bookmarkStart w:id="70" w:name="_Toc91340037"/>
      <w:bookmarkStart w:id="71" w:name="_Toc91339860"/>
      <w:bookmarkStart w:id="72" w:name="_Toc8780"/>
      <w:bookmarkStart w:id="73" w:name="_Toc7042"/>
      <w:r>
        <w:rPr>
          <w:rFonts w:hint="eastAsia"/>
          <w:b w:val="0"/>
          <w:bCs w:val="0"/>
          <w:color w:val="000000"/>
        </w:rPr>
        <w:t>3.</w:t>
      </w:r>
      <w:bookmarkStart w:id="74" w:name="_Hlk87563187"/>
      <w:r>
        <w:rPr>
          <w:rFonts w:hint="eastAsia"/>
          <w:b w:val="0"/>
          <w:bCs w:val="0"/>
          <w:color w:val="000000"/>
        </w:rPr>
        <w:t>巩固提升耕地分类管理</w:t>
      </w:r>
      <w:bookmarkEnd w:id="70"/>
      <w:bookmarkEnd w:id="71"/>
      <w:bookmarkEnd w:id="72"/>
      <w:bookmarkEnd w:id="73"/>
      <w:bookmarkEnd w:id="74"/>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r>
        <w:rPr>
          <w:rFonts w:hint="eastAsia"/>
          <w:b w:val="0"/>
          <w:bCs w:val="0"/>
          <w:color w:val="000000"/>
        </w:rPr>
        <w:t>（1）优先保护类耕地</w:t>
      </w:r>
      <w:r>
        <w:rPr>
          <w:rFonts w:hint="eastAsia"/>
          <w:b w:val="0"/>
          <w:bCs w:val="0"/>
          <w:color w:val="000000"/>
          <w:lang w:eastAsia="zh-CN"/>
        </w:rPr>
        <w:t>。</w:t>
      </w:r>
      <w:r>
        <w:rPr>
          <w:b w:val="0"/>
          <w:bCs w:val="0"/>
          <w:color w:val="000000"/>
        </w:rPr>
        <w:t>坚持最严格的耕地保护制度，严格执行永久基本农田特殊保护，牢牢守住耕地红线</w:t>
      </w:r>
      <w:r>
        <w:rPr>
          <w:rFonts w:hint="eastAsia"/>
          <w:b w:val="0"/>
          <w:bCs w:val="0"/>
          <w:color w:val="000000"/>
        </w:rPr>
        <w:t>。依据土壤污染防治法在永久基本农田集中区域，不得规划新建可能造成土壤污染的建设项目。推行秸秆还田、化肥农药减量化、增施有机肥、少耕免耕与轮作、农膜减量与回收利用等措施，切实保护优先保护类耕地土壤环境质量。加强农业投入品质量监管，从严查处向农田施用不达标肥料等农业投入品的行为。</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r>
        <w:rPr>
          <w:rFonts w:hint="eastAsia"/>
          <w:b w:val="0"/>
          <w:bCs w:val="0"/>
          <w:color w:val="000000"/>
        </w:rPr>
        <w:t>（2）安全利用类耕地</w:t>
      </w:r>
      <w:r>
        <w:rPr>
          <w:rFonts w:hint="eastAsia"/>
          <w:b w:val="0"/>
          <w:bCs w:val="0"/>
          <w:color w:val="000000"/>
          <w:lang w:eastAsia="zh-CN"/>
        </w:rPr>
        <w:t>。</w:t>
      </w:r>
      <w:r>
        <w:rPr>
          <w:rFonts w:hint="eastAsia"/>
          <w:b w:val="0"/>
          <w:bCs w:val="0"/>
          <w:color w:val="000000"/>
        </w:rPr>
        <w:t>持续推进全区受污染耕地安全利用，推广施用改良剂、翻耕、种植绿肥，以及品种调整、优化施肥、水分调控、叶面调控等措施，确保到2025年受污染耕地安全利用面积达到46220.53亩。分年度制定耕地安全利用方案，以乡镇为单位推进落实，到2025年，受污染耕地安全利用率完成市定任务。</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r>
        <w:rPr>
          <w:rFonts w:hint="eastAsia"/>
          <w:b w:val="0"/>
          <w:bCs w:val="0"/>
          <w:color w:val="000000"/>
        </w:rPr>
        <w:t>（3）杜绝重金属超标粮食进入口粮市场</w:t>
      </w:r>
      <w:r>
        <w:rPr>
          <w:rFonts w:hint="eastAsia"/>
          <w:b w:val="0"/>
          <w:bCs w:val="0"/>
          <w:color w:val="000000"/>
          <w:lang w:eastAsia="zh-CN"/>
        </w:rPr>
        <w:t>。</w:t>
      </w:r>
      <w:r>
        <w:rPr>
          <w:rFonts w:hint="eastAsia"/>
          <w:b w:val="0"/>
          <w:bCs w:val="0"/>
          <w:color w:val="000000"/>
        </w:rPr>
        <w:t>强化对重点地区粮食收购和加工企业的监管，督促开展收购和加工粮食的重金属检测，对于超标的，专库收储，严格管理，禁止</w:t>
      </w:r>
      <w:r>
        <w:rPr>
          <w:b w:val="0"/>
          <w:bCs w:val="0"/>
          <w:color w:val="000000"/>
        </w:rPr>
        <w:t>流入口</w:t>
      </w:r>
      <w:r>
        <w:rPr>
          <w:rFonts w:hint="eastAsia"/>
          <w:b w:val="0"/>
          <w:bCs w:val="0"/>
          <w:color w:val="000000"/>
        </w:rPr>
        <w:t>粮市场。</w:t>
      </w:r>
      <w:r>
        <w:rPr>
          <w:b w:val="0"/>
          <w:bCs w:val="0"/>
          <w:color w:val="000000"/>
        </w:rPr>
        <w:t>对市场中流通的大米及米制品，加大抽检力度，发现问题及时处理。</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r>
        <w:rPr>
          <w:rFonts w:hint="eastAsia"/>
          <w:b w:val="0"/>
          <w:bCs w:val="0"/>
          <w:color w:val="000000"/>
        </w:rPr>
        <w:t>（4）开展耕地质量等级年度变更评价</w:t>
      </w:r>
      <w:r>
        <w:rPr>
          <w:rFonts w:hint="eastAsia"/>
          <w:b w:val="0"/>
          <w:bCs w:val="0"/>
          <w:color w:val="000000"/>
          <w:lang w:eastAsia="zh-CN"/>
        </w:rPr>
        <w:t>。</w:t>
      </w:r>
      <w:r>
        <w:rPr>
          <w:b w:val="0"/>
          <w:bCs w:val="0"/>
          <w:color w:val="000000"/>
        </w:rPr>
        <w:t>按照“每10万亩耕地建设1个耕地质量监测点”要求，健全完善耕地质量监测体系</w:t>
      </w:r>
      <w:r>
        <w:rPr>
          <w:rFonts w:hint="eastAsia"/>
          <w:b w:val="0"/>
          <w:bCs w:val="0"/>
          <w:color w:val="000000"/>
        </w:rPr>
        <w:t>，</w:t>
      </w:r>
      <w:r>
        <w:rPr>
          <w:b w:val="0"/>
          <w:bCs w:val="0"/>
          <w:color w:val="000000"/>
        </w:rPr>
        <w:t>维护13个已建成耕地质量定位监测点正常运行</w:t>
      </w:r>
      <w:r>
        <w:rPr>
          <w:rFonts w:hint="eastAsia"/>
          <w:b w:val="0"/>
          <w:bCs w:val="0"/>
          <w:color w:val="000000"/>
        </w:rPr>
        <w:t>，</w:t>
      </w:r>
      <w:bookmarkStart w:id="75" w:name="_Hlk89334633"/>
      <w:r>
        <w:rPr>
          <w:rFonts w:hint="eastAsia"/>
          <w:b w:val="0"/>
          <w:bCs w:val="0"/>
          <w:color w:val="000000"/>
        </w:rPr>
        <w:t>开展耕地质量等级</w:t>
      </w:r>
      <w:bookmarkEnd w:id="75"/>
      <w:r>
        <w:rPr>
          <w:rFonts w:hint="eastAsia"/>
          <w:b w:val="0"/>
          <w:bCs w:val="0"/>
          <w:color w:val="000000"/>
        </w:rPr>
        <w:t>年度变更评价。</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r>
        <w:rPr>
          <w:rFonts w:hint="eastAsia"/>
          <w:b w:val="0"/>
          <w:bCs w:val="0"/>
          <w:color w:val="000000"/>
        </w:rPr>
        <w:t>（5）涉镉等重金属行业企业污染源排查整治</w:t>
      </w:r>
      <w:r>
        <w:rPr>
          <w:rFonts w:hint="eastAsia"/>
          <w:b w:val="0"/>
          <w:bCs w:val="0"/>
          <w:color w:val="000000"/>
          <w:lang w:eastAsia="zh-CN"/>
        </w:rPr>
        <w:t>。</w:t>
      </w:r>
      <w:r>
        <w:rPr>
          <w:rFonts w:hint="eastAsia"/>
          <w:b w:val="0"/>
          <w:bCs w:val="0"/>
          <w:color w:val="000000"/>
        </w:rPr>
        <w:t>持续推进耕地周边涉镉等重金属行业企业排查整治，重点排查粮食镉等重金属超标区域、耕地土壤重金属超标区域，动态更新污染源排查整治清单。2021年，完成对“十三五”期间整治销号的涉镉等重金属行业企业污染源整治成效 “回头看”，进一步巩固整治成效。在2</w:t>
      </w:r>
      <w:r>
        <w:rPr>
          <w:b w:val="0"/>
          <w:bCs w:val="0"/>
          <w:color w:val="000000"/>
        </w:rPr>
        <w:t>025</w:t>
      </w:r>
      <w:r>
        <w:rPr>
          <w:rFonts w:hint="eastAsia"/>
          <w:b w:val="0"/>
          <w:bCs w:val="0"/>
          <w:color w:val="000000"/>
        </w:rPr>
        <w:t>年前，按照市</w:t>
      </w:r>
      <w:r>
        <w:rPr>
          <w:rFonts w:hint="eastAsia"/>
          <w:b w:val="0"/>
          <w:bCs w:val="0"/>
          <w:color w:val="000000"/>
          <w:lang w:eastAsia="zh-CN"/>
        </w:rPr>
        <w:t>生态环境</w:t>
      </w:r>
      <w:r>
        <w:rPr>
          <w:rFonts w:hint="eastAsia"/>
          <w:b w:val="0"/>
          <w:bCs w:val="0"/>
          <w:color w:val="000000"/>
        </w:rPr>
        <w:t>局要求，督促整治单位编制整治方案，有计划分批次完成整治工作。</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noWrap w:val="0"/>
            <w:vAlign w:val="center"/>
          </w:tcPr>
          <w:p>
            <w:pPr>
              <w:spacing w:line="240" w:lineRule="auto"/>
              <w:ind w:firstLine="472"/>
              <w:jc w:val="center"/>
              <w:rPr>
                <w:rFonts w:hint="eastAsia" w:ascii="方正楷体_GBK" w:hAnsi="方正楷体_GBK" w:eastAsia="方正楷体_GBK" w:cs="方正楷体_GBK"/>
                <w:b w:val="0"/>
                <w:bCs w:val="0"/>
                <w:color w:val="000000"/>
                <w:sz w:val="24"/>
                <w:szCs w:val="24"/>
              </w:rPr>
            </w:pPr>
            <w:bookmarkStart w:id="76" w:name="_Hlk82786944"/>
            <w:r>
              <w:rPr>
                <w:rFonts w:hint="eastAsia" w:ascii="方正楷体_GBK" w:hAnsi="方正楷体_GBK" w:eastAsia="方正楷体_GBK" w:cs="方正楷体_GBK"/>
                <w:b w:val="0"/>
                <w:bCs w:val="0"/>
                <w:color w:val="000000"/>
                <w:sz w:val="24"/>
                <w:szCs w:val="24"/>
              </w:rPr>
              <w:t>专栏3 涉镉等重金属行业企业污染源排查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noWrap w:val="0"/>
            <w:vAlign w:val="center"/>
          </w:tcPr>
          <w:p>
            <w:pPr>
              <w:spacing w:line="240" w:lineRule="auto"/>
              <w:ind w:firstLine="0" w:firstLineChars="0"/>
              <w:rPr>
                <w:b w:val="0"/>
                <w:bCs w:val="0"/>
                <w:color w:val="000000"/>
                <w:sz w:val="24"/>
                <w:szCs w:val="24"/>
              </w:rPr>
            </w:pPr>
            <w:r>
              <w:rPr>
                <w:rFonts w:hint="eastAsia"/>
                <w:b w:val="0"/>
                <w:bCs w:val="0"/>
                <w:color w:val="000000"/>
                <w:sz w:val="24"/>
                <w:szCs w:val="24"/>
              </w:rPr>
              <w:t>1.涉镉等重金属行业企业整治“回头看”清单：</w:t>
            </w:r>
          </w:p>
          <w:p>
            <w:pPr>
              <w:numPr>
                <w:ilvl w:val="0"/>
                <w:numId w:val="3"/>
              </w:numPr>
              <w:spacing w:line="240" w:lineRule="auto"/>
              <w:ind w:firstLineChars="0"/>
              <w:rPr>
                <w:b w:val="0"/>
                <w:bCs w:val="0"/>
                <w:color w:val="000000"/>
                <w:sz w:val="24"/>
                <w:szCs w:val="24"/>
              </w:rPr>
            </w:pPr>
            <w:r>
              <w:rPr>
                <w:rFonts w:hint="eastAsia"/>
                <w:b w:val="0"/>
                <w:bCs w:val="0"/>
                <w:color w:val="000000"/>
                <w:sz w:val="24"/>
                <w:szCs w:val="24"/>
              </w:rPr>
              <w:t>乔国皮革制品（重庆）有限公司；</w:t>
            </w:r>
          </w:p>
          <w:p>
            <w:pPr>
              <w:numPr>
                <w:ilvl w:val="0"/>
                <w:numId w:val="3"/>
              </w:numPr>
              <w:spacing w:line="240" w:lineRule="auto"/>
              <w:ind w:firstLineChars="0"/>
              <w:rPr>
                <w:b w:val="0"/>
                <w:bCs w:val="0"/>
                <w:color w:val="000000"/>
                <w:sz w:val="24"/>
                <w:szCs w:val="24"/>
              </w:rPr>
            </w:pPr>
            <w:r>
              <w:rPr>
                <w:rFonts w:hint="eastAsia"/>
                <w:b w:val="0"/>
                <w:bCs w:val="0"/>
                <w:color w:val="000000"/>
                <w:sz w:val="24"/>
                <w:szCs w:val="24"/>
              </w:rPr>
              <w:t>重庆市永川区如渝再生铅厂。</w:t>
            </w:r>
          </w:p>
          <w:p>
            <w:pPr>
              <w:spacing w:line="240" w:lineRule="auto"/>
              <w:ind w:firstLine="0" w:firstLineChars="0"/>
              <w:rPr>
                <w:b w:val="0"/>
                <w:bCs w:val="0"/>
                <w:color w:val="000000"/>
                <w:sz w:val="24"/>
                <w:szCs w:val="24"/>
              </w:rPr>
            </w:pPr>
            <w:r>
              <w:rPr>
                <w:rFonts w:hint="eastAsia"/>
                <w:b w:val="0"/>
                <w:bCs w:val="0"/>
                <w:color w:val="000000"/>
                <w:sz w:val="24"/>
                <w:szCs w:val="24"/>
              </w:rPr>
              <w:t>2.涉镉等重金属行业企业污染源排查名单：</w:t>
            </w:r>
          </w:p>
          <w:p>
            <w:pPr>
              <w:numPr>
                <w:ilvl w:val="0"/>
                <w:numId w:val="4"/>
              </w:numPr>
              <w:spacing w:line="240" w:lineRule="auto"/>
              <w:ind w:firstLineChars="0"/>
              <w:rPr>
                <w:b w:val="0"/>
                <w:bCs w:val="0"/>
                <w:color w:val="000000"/>
                <w:sz w:val="24"/>
                <w:szCs w:val="24"/>
              </w:rPr>
            </w:pPr>
            <w:r>
              <w:rPr>
                <w:rFonts w:hint="eastAsia"/>
                <w:b w:val="0"/>
                <w:bCs w:val="0"/>
                <w:color w:val="000000"/>
                <w:sz w:val="24"/>
                <w:szCs w:val="24"/>
              </w:rPr>
              <w:t>重庆市渝西钢铁（集团）有限公司；</w:t>
            </w:r>
          </w:p>
          <w:p>
            <w:pPr>
              <w:numPr>
                <w:ilvl w:val="0"/>
                <w:numId w:val="4"/>
              </w:numPr>
              <w:spacing w:line="240" w:lineRule="auto"/>
              <w:ind w:firstLineChars="0"/>
              <w:rPr>
                <w:b w:val="0"/>
                <w:bCs w:val="0"/>
                <w:color w:val="000000"/>
                <w:sz w:val="24"/>
                <w:szCs w:val="24"/>
              </w:rPr>
            </w:pPr>
            <w:r>
              <w:rPr>
                <w:rFonts w:hint="eastAsia"/>
                <w:b w:val="0"/>
                <w:bCs w:val="0"/>
                <w:color w:val="000000"/>
                <w:sz w:val="24"/>
                <w:szCs w:val="24"/>
              </w:rPr>
              <w:t>乔国皮革制品（重庆）有限公司；</w:t>
            </w:r>
          </w:p>
          <w:p>
            <w:pPr>
              <w:numPr>
                <w:ilvl w:val="0"/>
                <w:numId w:val="4"/>
              </w:numPr>
              <w:spacing w:line="240" w:lineRule="auto"/>
              <w:ind w:firstLineChars="0"/>
              <w:rPr>
                <w:b w:val="0"/>
                <w:bCs w:val="0"/>
                <w:color w:val="000000"/>
                <w:sz w:val="24"/>
                <w:szCs w:val="24"/>
              </w:rPr>
            </w:pPr>
            <w:r>
              <w:rPr>
                <w:rFonts w:hint="eastAsia"/>
                <w:b w:val="0"/>
                <w:bCs w:val="0"/>
                <w:color w:val="000000"/>
                <w:sz w:val="24"/>
                <w:szCs w:val="24"/>
              </w:rPr>
              <w:t>重庆丰化科技有限公司；</w:t>
            </w:r>
          </w:p>
          <w:p>
            <w:pPr>
              <w:numPr>
                <w:ilvl w:val="0"/>
                <w:numId w:val="4"/>
              </w:numPr>
              <w:spacing w:line="240" w:lineRule="auto"/>
              <w:ind w:firstLineChars="0"/>
              <w:rPr>
                <w:b w:val="0"/>
                <w:bCs w:val="0"/>
                <w:color w:val="000000"/>
                <w:sz w:val="24"/>
                <w:szCs w:val="24"/>
              </w:rPr>
            </w:pPr>
            <w:r>
              <w:rPr>
                <w:rFonts w:hint="eastAsia"/>
                <w:b w:val="0"/>
                <w:bCs w:val="0"/>
                <w:color w:val="000000"/>
                <w:sz w:val="24"/>
                <w:szCs w:val="24"/>
              </w:rPr>
              <w:t>重庆市财信环保投资股份有限公司永川城市生活垃圾处理厂；</w:t>
            </w:r>
          </w:p>
          <w:p>
            <w:pPr>
              <w:numPr>
                <w:ilvl w:val="0"/>
                <w:numId w:val="4"/>
              </w:numPr>
              <w:spacing w:line="240" w:lineRule="auto"/>
              <w:ind w:firstLineChars="0"/>
              <w:rPr>
                <w:b w:val="0"/>
                <w:bCs w:val="0"/>
                <w:color w:val="000000"/>
                <w:sz w:val="24"/>
                <w:szCs w:val="24"/>
              </w:rPr>
            </w:pPr>
            <w:r>
              <w:rPr>
                <w:rFonts w:hint="eastAsia"/>
                <w:b w:val="0"/>
                <w:bCs w:val="0"/>
                <w:color w:val="000000"/>
                <w:sz w:val="24"/>
                <w:szCs w:val="24"/>
              </w:rPr>
              <w:t>重庆伊圃百珊泥建材有限责任公司；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重庆中明港桥环保有限责任公司；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重庆新格有色金属有限公司；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重庆航凌电路板有限公司；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重庆市永川区永青钢管有限公司；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重庆市永川区双优粘胶厂；</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重庆市永川区昊升商贸有限责任公司；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川亿电脑（重庆）有限公司；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重庆华创药业有限公司；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重庆跃进厂有限公司；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重庆家升工气体有限公司；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重庆理文造纸有限公司；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重庆市腾力环境科技有限公司；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重庆大安盈德特种气体有限公司；</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重庆市永川化学制品厂地块；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永川区鼎盛炼油厂地块；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重庆大安盈德特种气体有限公司地块；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重庆树荣作物科学有限公司地块；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重庆旭农种衣剂有限公司地块；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重庆市永川区宏发釉料厂地块；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重庆永川石油化工有限责任公司地块；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重庆市永川区长辉焦化有限公司地块；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重庆市上峰化工有限责任公司地块；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重庆能投渝新能源有限公司中心桥煤矿地块；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重庆能投渝新能源有限公司韦家沟煤矿地块；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重庆永福实业有限公司地块；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重庆能投渝新能源有限公司永川煤矿地块；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重庆渝西矿业集团富家洞煤业有限公司地块；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重庆市永川区吊水洞煤业有限公司地块；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重庆市永川区协和煤业有限公司地块；</w:t>
            </w:r>
          </w:p>
          <w:p>
            <w:pPr>
              <w:numPr>
                <w:ilvl w:val="0"/>
                <w:numId w:val="4"/>
              </w:numPr>
              <w:spacing w:line="240" w:lineRule="auto"/>
              <w:ind w:firstLineChars="0"/>
              <w:jc w:val="left"/>
              <w:rPr>
                <w:b w:val="0"/>
                <w:bCs w:val="0"/>
                <w:color w:val="000000"/>
                <w:sz w:val="24"/>
                <w:szCs w:val="24"/>
              </w:rPr>
            </w:pPr>
            <w:r>
              <w:rPr>
                <w:rFonts w:hint="eastAsia"/>
                <w:b w:val="0"/>
                <w:bCs w:val="0"/>
                <w:color w:val="000000"/>
                <w:sz w:val="24"/>
                <w:szCs w:val="24"/>
              </w:rPr>
              <w:t>重庆市永川区箕山煤业有限公司地块；</w:t>
            </w:r>
          </w:p>
          <w:p>
            <w:pPr>
              <w:numPr>
                <w:ilvl w:val="0"/>
                <w:numId w:val="4"/>
              </w:numPr>
              <w:spacing w:line="240" w:lineRule="auto"/>
              <w:ind w:firstLineChars="0"/>
              <w:jc w:val="left"/>
              <w:rPr>
                <w:rFonts w:hint="eastAsia"/>
                <w:b w:val="0"/>
                <w:bCs w:val="0"/>
                <w:color w:val="000000"/>
                <w:sz w:val="24"/>
                <w:szCs w:val="24"/>
              </w:rPr>
            </w:pPr>
            <w:r>
              <w:rPr>
                <w:rFonts w:hint="eastAsia"/>
                <w:b w:val="0"/>
                <w:bCs w:val="0"/>
                <w:color w:val="000000"/>
                <w:sz w:val="24"/>
                <w:szCs w:val="24"/>
              </w:rPr>
              <w:t>重庆市永川区石马门煤业有限公司地块。</w:t>
            </w:r>
          </w:p>
        </w:tc>
      </w:tr>
      <w:bookmarkEnd w:id="76"/>
    </w:tbl>
    <w:p>
      <w:pPr>
        <w:pStyle w:val="5"/>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bookmarkStart w:id="77" w:name="_Toc91339861"/>
      <w:bookmarkStart w:id="78" w:name="_Toc15387"/>
      <w:bookmarkStart w:id="79" w:name="_Toc31045"/>
      <w:bookmarkStart w:id="80" w:name="_Toc91340038"/>
      <w:r>
        <w:rPr>
          <w:rFonts w:hint="eastAsia"/>
          <w:b w:val="0"/>
          <w:bCs w:val="0"/>
          <w:color w:val="000000"/>
        </w:rPr>
        <w:t>4.</w:t>
      </w:r>
      <w:bookmarkStart w:id="81" w:name="_Hlk87563191"/>
      <w:r>
        <w:rPr>
          <w:rFonts w:hint="eastAsia"/>
          <w:b w:val="0"/>
          <w:bCs w:val="0"/>
          <w:color w:val="000000"/>
        </w:rPr>
        <w:t>严格建设用地准入管理</w:t>
      </w:r>
      <w:bookmarkEnd w:id="77"/>
      <w:bookmarkEnd w:id="78"/>
      <w:bookmarkEnd w:id="79"/>
      <w:bookmarkEnd w:id="80"/>
      <w:bookmarkEnd w:id="81"/>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r>
        <w:rPr>
          <w:rFonts w:hint="eastAsia"/>
          <w:b w:val="0"/>
          <w:bCs w:val="0"/>
          <w:color w:val="000000"/>
        </w:rPr>
        <w:t>（1）开展土壤污染状况调查评估</w:t>
      </w:r>
      <w:r>
        <w:rPr>
          <w:rFonts w:hint="eastAsia"/>
          <w:b w:val="0"/>
          <w:bCs w:val="0"/>
          <w:color w:val="000000"/>
          <w:lang w:eastAsia="zh-CN"/>
        </w:rPr>
        <w:t>。</w:t>
      </w:r>
      <w:r>
        <w:rPr>
          <w:rFonts w:hint="eastAsia"/>
          <w:b w:val="0"/>
          <w:bCs w:val="0"/>
          <w:color w:val="000000"/>
        </w:rPr>
        <w:t>持续推进疑似污染地块排查、筛查工作，动态更新全区土壤环境质量状况数据库和项目库。用途变更为住宅、公共管理与公共服务用地的地块，</w:t>
      </w:r>
      <w:r>
        <w:rPr>
          <w:b w:val="0"/>
          <w:bCs w:val="0"/>
          <w:color w:val="000000"/>
        </w:rPr>
        <w:t>在土地征收、收回、收购以及转让、改变用途等环节，依法督促相关单位</w:t>
      </w:r>
      <w:r>
        <w:rPr>
          <w:rFonts w:hint="eastAsia"/>
          <w:b w:val="0"/>
          <w:bCs w:val="0"/>
          <w:color w:val="000000"/>
        </w:rPr>
        <w:t>开展</w:t>
      </w:r>
      <w:r>
        <w:rPr>
          <w:b w:val="0"/>
          <w:bCs w:val="0"/>
          <w:color w:val="000000"/>
        </w:rPr>
        <w:t>土壤污染状况调查。</w:t>
      </w:r>
      <w:r>
        <w:rPr>
          <w:rFonts w:hint="eastAsia"/>
          <w:b w:val="0"/>
          <w:bCs w:val="0"/>
          <w:color w:val="000000"/>
        </w:rPr>
        <w:t>对列入年度建设用地供应计划的地块，因地制宜适当提前开展土壤污染状况调查</w:t>
      </w:r>
      <w:r>
        <w:rPr>
          <w:b w:val="0"/>
          <w:bCs w:val="0"/>
          <w:color w:val="000000"/>
        </w:rPr>
        <w:t>，化解建设用地土壤污染风险管控和修复</w:t>
      </w:r>
      <w:r>
        <w:rPr>
          <w:rFonts w:hint="eastAsia"/>
          <w:b w:val="0"/>
          <w:bCs w:val="0"/>
          <w:color w:val="000000"/>
        </w:rPr>
        <w:t>与</w:t>
      </w:r>
      <w:r>
        <w:rPr>
          <w:b w:val="0"/>
          <w:bCs w:val="0"/>
          <w:color w:val="000000"/>
        </w:rPr>
        <w:t>土地开发进度之间的矛盾</w:t>
      </w:r>
      <w:r>
        <w:rPr>
          <w:rFonts w:hint="eastAsia"/>
          <w:b w:val="0"/>
          <w:bCs w:val="0"/>
          <w:color w:val="000000"/>
        </w:rPr>
        <w:t>。</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r>
        <w:rPr>
          <w:rFonts w:hint="eastAsia"/>
          <w:b w:val="0"/>
          <w:bCs w:val="0"/>
          <w:color w:val="000000"/>
        </w:rPr>
        <w:t>（2）强化污染地块空间用途管制</w:t>
      </w:r>
      <w:r>
        <w:rPr>
          <w:rFonts w:hint="eastAsia"/>
          <w:b w:val="0"/>
          <w:bCs w:val="0"/>
          <w:color w:val="000000"/>
          <w:lang w:eastAsia="zh-CN"/>
        </w:rPr>
        <w:t>。</w:t>
      </w:r>
      <w:r>
        <w:rPr>
          <w:rFonts w:hint="eastAsia"/>
          <w:b w:val="0"/>
          <w:bCs w:val="0"/>
          <w:color w:val="000000"/>
        </w:rPr>
        <w:t>严格建设用地土壤污染风险管控和修复名录内地块的准入管理。未依法完成土壤污染状况调查和风险评估的地块，不得开工建设与风险管控和修复无关的项目。从严管控农药、化工等行业的重度污染地块规划用途，确需开发利用的，鼓励用于拓展生态空间。</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r>
        <w:rPr>
          <w:rFonts w:hint="eastAsia"/>
          <w:b w:val="0"/>
          <w:bCs w:val="0"/>
          <w:color w:val="000000"/>
        </w:rPr>
        <w:t>（3）强化</w:t>
      </w:r>
      <w:r>
        <w:rPr>
          <w:b w:val="0"/>
          <w:bCs w:val="0"/>
          <w:color w:val="000000"/>
        </w:rPr>
        <w:t>部门信息共享</w:t>
      </w:r>
      <w:r>
        <w:rPr>
          <w:rFonts w:hint="eastAsia"/>
          <w:b w:val="0"/>
          <w:bCs w:val="0"/>
          <w:color w:val="000000"/>
        </w:rPr>
        <w:t>和</w:t>
      </w:r>
      <w:r>
        <w:rPr>
          <w:b w:val="0"/>
          <w:bCs w:val="0"/>
          <w:color w:val="000000"/>
        </w:rPr>
        <w:t>联动监管</w:t>
      </w:r>
      <w:r>
        <w:rPr>
          <w:rFonts w:hint="eastAsia"/>
          <w:b w:val="0"/>
          <w:bCs w:val="0"/>
          <w:color w:val="000000"/>
          <w:lang w:eastAsia="zh-CN"/>
        </w:rPr>
        <w:t>。</w:t>
      </w:r>
      <w:r>
        <w:rPr>
          <w:rFonts w:hint="eastAsia"/>
          <w:b w:val="0"/>
          <w:bCs w:val="0"/>
          <w:color w:val="000000"/>
        </w:rPr>
        <w:t>加强部门信息共享和联动监管，推进精准、科学、依法治污，深入打好净土保卫战。将污染地块空间信息叠加至国土空间规划“一张图”，共享疑似污染地块及污染地块空间信息；生态环境部门与自然资源、住建等部门完善联动监管机制，防止污染地块未开展或未完成土壤污染风险管控和修复即开发建设。</w:t>
      </w:r>
    </w:p>
    <w:p>
      <w:pPr>
        <w:pStyle w:val="5"/>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bookmarkStart w:id="82" w:name="_Toc11554"/>
      <w:bookmarkStart w:id="83" w:name="_Toc91339862"/>
      <w:bookmarkStart w:id="84" w:name="_Toc13976"/>
      <w:bookmarkStart w:id="85" w:name="_Toc91340039"/>
      <w:r>
        <w:rPr>
          <w:rFonts w:hint="eastAsia"/>
          <w:b w:val="0"/>
          <w:bCs w:val="0"/>
          <w:color w:val="000000"/>
        </w:rPr>
        <w:t>5.</w:t>
      </w:r>
      <w:bookmarkStart w:id="86" w:name="_Hlk87563205"/>
      <w:r>
        <w:rPr>
          <w:rFonts w:hint="eastAsia"/>
          <w:b w:val="0"/>
          <w:bCs w:val="0"/>
          <w:color w:val="000000"/>
        </w:rPr>
        <w:t>推进土壤污染治理修复</w:t>
      </w:r>
      <w:bookmarkEnd w:id="82"/>
      <w:bookmarkEnd w:id="83"/>
      <w:bookmarkEnd w:id="84"/>
      <w:bookmarkEnd w:id="85"/>
      <w:bookmarkEnd w:id="86"/>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color w:val="000000"/>
        </w:rPr>
      </w:pPr>
      <w:r>
        <w:rPr>
          <w:rFonts w:hint="eastAsia"/>
          <w:b w:val="0"/>
          <w:bCs w:val="0"/>
          <w:color w:val="000000"/>
        </w:rPr>
        <w:t>（1）提升耕地土壤环境质量</w:t>
      </w:r>
      <w:r>
        <w:rPr>
          <w:rFonts w:hint="eastAsia"/>
          <w:b w:val="0"/>
          <w:bCs w:val="0"/>
          <w:color w:val="000000"/>
          <w:lang w:eastAsia="zh-CN"/>
        </w:rPr>
        <w:t>。</w:t>
      </w:r>
      <w:r>
        <w:rPr>
          <w:rFonts w:hint="eastAsia"/>
          <w:b w:val="0"/>
          <w:bCs w:val="0"/>
          <w:color w:val="000000"/>
        </w:rPr>
        <w:t>加快高标准农田建设，完善水利配套设施，改善耕地基础条件。实施耕地质量保护与提升行动，提升土壤有机质，开展耕地土壤酸化治理，在粮食主产区，实施强酸性土壤降酸改良工程，通过完善田间排灌工程，结合施用石灰性土壤调理剂、增施有机肥和改善耕作制度等综合措施，提升土壤pH值，增强土壤抗酸化缓冲能力，提高粮食生产能力。</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r>
        <w:rPr>
          <w:rFonts w:hint="eastAsia"/>
          <w:b w:val="0"/>
          <w:bCs w:val="0"/>
          <w:color w:val="000000"/>
        </w:rPr>
        <w:t>（2）推进污染地块土壤污染风险管控与治理修复</w:t>
      </w:r>
      <w:r>
        <w:rPr>
          <w:rFonts w:hint="eastAsia"/>
          <w:b w:val="0"/>
          <w:bCs w:val="0"/>
          <w:color w:val="000000"/>
          <w:lang w:eastAsia="zh-CN"/>
        </w:rPr>
        <w:t>。</w:t>
      </w:r>
      <w:r>
        <w:rPr>
          <w:b w:val="0"/>
          <w:bCs w:val="0"/>
          <w:color w:val="000000"/>
        </w:rPr>
        <w:t>以用途变更为住宅、公共管理与公共服务用地的污染地块为重点，严格落实风险管控</w:t>
      </w:r>
      <w:r>
        <w:rPr>
          <w:rFonts w:hint="eastAsia"/>
          <w:b w:val="0"/>
          <w:bCs w:val="0"/>
          <w:color w:val="000000"/>
        </w:rPr>
        <w:t>和</w:t>
      </w:r>
      <w:r>
        <w:rPr>
          <w:b w:val="0"/>
          <w:bCs w:val="0"/>
          <w:color w:val="000000"/>
        </w:rPr>
        <w:t>修复</w:t>
      </w:r>
      <w:r>
        <w:rPr>
          <w:rFonts w:hint="eastAsia"/>
          <w:b w:val="0"/>
          <w:bCs w:val="0"/>
          <w:color w:val="000000"/>
        </w:rPr>
        <w:t>。暂不开发利用或现阶段不具备治理修复条件的污染地块，划定管控区域，设立标志，发布公告，定期开展环境监测；发现污染扩散的地块，相关责任方要及时采取污染物隔离、阻断等环境风险管控措施，防止污染进一步扩散。现阶段具备治理修复条件的污染地块优先治理修复，到2</w:t>
      </w:r>
      <w:r>
        <w:rPr>
          <w:b w:val="0"/>
          <w:bCs w:val="0"/>
          <w:color w:val="000000"/>
        </w:rPr>
        <w:t>025</w:t>
      </w:r>
      <w:r>
        <w:rPr>
          <w:rFonts w:hint="eastAsia"/>
          <w:b w:val="0"/>
          <w:bCs w:val="0"/>
          <w:color w:val="000000"/>
        </w:rPr>
        <w:t>年底完成重庆西源凸轮轴有限公司、重庆树荣作物科学有限公司、重庆中明环境治理有限公司等污染地块治理修复。强化风险管控和修复工程监管，重点防止转运污染土壤非法处置，以及农药类等污染地块风险管控和修复过程中产生的异味等二次污染，确保实现风险管控和修复目标。</w:t>
      </w:r>
    </w:p>
    <w:p>
      <w:pPr>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3）加强信息公开。2021年起，在土地出让以及房地产出售等环节，土地使用权人应公开地块原土壤污染状况及污染治理和修复情况。自然资源、住房城乡建设等部门加强房地产出售环节污染土壤防治公示情况检查。强化土壤污染风险管控、修复项目施工过程信息公开。</w:t>
      </w:r>
    </w:p>
    <w:p>
      <w:pPr>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rFonts w:hint="eastAsia"/>
          <w:b w:val="0"/>
          <w:bCs w:val="0"/>
          <w:kern w:val="0"/>
          <w:lang w:bidi="ar"/>
        </w:rPr>
      </w:pPr>
      <w:r>
        <w:rPr>
          <w:rFonts w:hint="eastAsia"/>
          <w:b w:val="0"/>
          <w:bCs w:val="0"/>
          <w:kern w:val="0"/>
          <w:lang w:bidi="ar"/>
        </w:rPr>
        <w:t>（</w:t>
      </w:r>
      <w:r>
        <w:rPr>
          <w:b w:val="0"/>
          <w:bCs w:val="0"/>
          <w:kern w:val="0"/>
          <w:lang w:bidi="ar"/>
        </w:rPr>
        <w:t>4</w:t>
      </w:r>
      <w:r>
        <w:rPr>
          <w:rFonts w:hint="eastAsia"/>
          <w:b w:val="0"/>
          <w:bCs w:val="0"/>
          <w:kern w:val="0"/>
          <w:lang w:bidi="ar"/>
        </w:rPr>
        <w:t>）整治涉重金属矿区历史遗留固体废物。全面梳理历史遗留和关闭矿山，以自然保护区及生态保护红线范围内，露天矿山堆场、已经硬化的工业广场等易复耕复绿，高速公路沿线等可视范围内的三类历史遗留和关闭矿山为重点，有序推进历史遗留和关闭矿山地质环境治理恢复与土地复垦。到202</w:t>
      </w:r>
      <w:r>
        <w:rPr>
          <w:b w:val="0"/>
          <w:bCs w:val="0"/>
          <w:kern w:val="0"/>
          <w:lang w:bidi="ar"/>
        </w:rPr>
        <w:t>5</w:t>
      </w:r>
      <w:r>
        <w:rPr>
          <w:rFonts w:hint="eastAsia"/>
          <w:b w:val="0"/>
          <w:bCs w:val="0"/>
          <w:kern w:val="0"/>
          <w:lang w:bidi="ar"/>
        </w:rPr>
        <w:t>年，以‘宜农则农、宜林则林’原则编制修复方案，逐年完成废弃矿山土地复垦和生态环境恢复治理工作，实施134个历史遗留和关闭矿山，恢复损毁面积112.6公顷。</w:t>
      </w:r>
    </w:p>
    <w:p>
      <w:pPr>
        <w:pStyle w:val="6"/>
        <w:keepNext w:val="0"/>
        <w:keepLines w:val="0"/>
        <w:pageBreakBefore w:val="0"/>
        <w:widowControl w:val="0"/>
        <w:kinsoku/>
        <w:wordWrap/>
        <w:overflowPunct/>
        <w:topLinePunct w:val="0"/>
        <w:autoSpaceDE/>
        <w:autoSpaceDN/>
        <w:bidi w:val="0"/>
        <w:snapToGrid w:val="0"/>
        <w:spacing w:line="276" w:lineRule="auto"/>
        <w:ind w:left="0" w:leftChars="0" w:right="0" w:rightChars="0" w:firstLine="632" w:firstLineChars="200"/>
        <w:jc w:val="both"/>
        <w:textAlignment w:val="auto"/>
        <w:rPr>
          <w:b w:val="0"/>
          <w:bCs w:val="0"/>
          <w:color w:val="000000"/>
        </w:rPr>
      </w:pPr>
      <w:r>
        <w:rPr>
          <w:rFonts w:hint="eastAsia"/>
          <w:b w:val="0"/>
          <w:bCs w:val="0"/>
          <w:color w:val="000000"/>
        </w:rPr>
        <w:t>（</w:t>
      </w:r>
      <w:r>
        <w:rPr>
          <w:b w:val="0"/>
          <w:bCs w:val="0"/>
          <w:color w:val="000000"/>
        </w:rPr>
        <w:t>5</w:t>
      </w:r>
      <w:r>
        <w:rPr>
          <w:rFonts w:hint="eastAsia"/>
          <w:b w:val="0"/>
          <w:bCs w:val="0"/>
          <w:color w:val="000000"/>
        </w:rPr>
        <w:t>）防控矿产资源开发污染土壤</w:t>
      </w:r>
      <w:r>
        <w:rPr>
          <w:rFonts w:hint="eastAsia"/>
          <w:b w:val="0"/>
          <w:bCs w:val="0"/>
          <w:color w:val="000000"/>
          <w:lang w:eastAsia="zh-CN"/>
        </w:rPr>
        <w:t>。</w:t>
      </w:r>
      <w:r>
        <w:rPr>
          <w:rFonts w:hint="eastAsia"/>
          <w:b w:val="0"/>
          <w:bCs w:val="0"/>
          <w:color w:val="000000"/>
        </w:rPr>
        <w:t>督促矿山企业依法编制矿山地质环境保护与土地复垦方案，完善和落实水土环境污染修复工程措施，切实防治土壤污染。以实现资源利用高效化、开采方式科学化、生产工艺绿色化、矿山环境生态化为目标，全面推进绿色矿山建设，到2025年，创建市级绿色矿山4个。</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0" w:type="dxa"/>
            <w:noWrap w:val="0"/>
            <w:vAlign w:val="center"/>
          </w:tcPr>
          <w:p>
            <w:pPr>
              <w:spacing w:line="240" w:lineRule="auto"/>
              <w:ind w:firstLine="472"/>
              <w:jc w:val="center"/>
              <w:rPr>
                <w:rFonts w:hint="eastAsia" w:ascii="方正楷体_GBK" w:hAnsi="方正楷体_GBK" w:eastAsia="方正楷体_GBK" w:cs="方正楷体_GBK"/>
                <w:b w:val="0"/>
                <w:bCs w:val="0"/>
                <w:color w:val="000000"/>
                <w:sz w:val="24"/>
                <w:szCs w:val="24"/>
              </w:rPr>
            </w:pPr>
            <w:r>
              <w:rPr>
                <w:rFonts w:hint="eastAsia" w:ascii="方正楷体_GBK" w:hAnsi="方正楷体_GBK" w:eastAsia="方正楷体_GBK" w:cs="方正楷体_GBK"/>
                <w:b w:val="0"/>
                <w:bCs w:val="0"/>
                <w:color w:val="000000"/>
                <w:sz w:val="24"/>
                <w:szCs w:val="24"/>
              </w:rPr>
              <w:t>专栏4 永川区“十四五”绿色矿山建设目标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0" w:type="dxa"/>
            <w:noWrap w:val="0"/>
            <w:vAlign w:val="top"/>
          </w:tcPr>
          <w:p>
            <w:pPr>
              <w:spacing w:line="240" w:lineRule="auto"/>
              <w:ind w:firstLine="0" w:firstLineChars="0"/>
              <w:rPr>
                <w:b w:val="0"/>
                <w:bCs w:val="0"/>
                <w:color w:val="000000"/>
                <w:sz w:val="24"/>
                <w:szCs w:val="24"/>
              </w:rPr>
            </w:pPr>
            <w:r>
              <w:rPr>
                <w:b w:val="0"/>
                <w:bCs w:val="0"/>
                <w:color w:val="000000"/>
                <w:sz w:val="24"/>
                <w:szCs w:val="24"/>
              </w:rPr>
              <w:t>市级绿色矿山建设名录（4个）：</w:t>
            </w:r>
          </w:p>
          <w:p>
            <w:pPr>
              <w:numPr>
                <w:ilvl w:val="0"/>
                <w:numId w:val="5"/>
              </w:numPr>
              <w:spacing w:line="240" w:lineRule="auto"/>
              <w:ind w:firstLineChars="0"/>
              <w:rPr>
                <w:b w:val="0"/>
                <w:bCs w:val="0"/>
                <w:color w:val="000000"/>
                <w:sz w:val="24"/>
                <w:szCs w:val="24"/>
              </w:rPr>
            </w:pPr>
            <w:r>
              <w:rPr>
                <w:b w:val="0"/>
                <w:bCs w:val="0"/>
                <w:color w:val="000000"/>
                <w:sz w:val="24"/>
                <w:szCs w:val="24"/>
              </w:rPr>
              <w:t>重庆市永川区黄瓜山砂石开采有限公司</w:t>
            </w:r>
            <w:r>
              <w:rPr>
                <w:rFonts w:hint="eastAsia"/>
                <w:b w:val="0"/>
                <w:bCs w:val="0"/>
                <w:color w:val="000000"/>
                <w:sz w:val="24"/>
                <w:szCs w:val="24"/>
              </w:rPr>
              <w:t>；</w:t>
            </w:r>
          </w:p>
          <w:p>
            <w:pPr>
              <w:numPr>
                <w:ilvl w:val="0"/>
                <w:numId w:val="5"/>
              </w:numPr>
              <w:spacing w:line="240" w:lineRule="auto"/>
              <w:ind w:firstLineChars="0"/>
              <w:rPr>
                <w:b w:val="0"/>
                <w:bCs w:val="0"/>
                <w:color w:val="000000"/>
                <w:sz w:val="24"/>
                <w:szCs w:val="24"/>
              </w:rPr>
            </w:pPr>
            <w:r>
              <w:rPr>
                <w:b w:val="0"/>
                <w:bCs w:val="0"/>
                <w:color w:val="000000"/>
                <w:sz w:val="24"/>
                <w:szCs w:val="24"/>
              </w:rPr>
              <w:t>重庆市永桓砂石开采有限公司</w:t>
            </w:r>
            <w:r>
              <w:rPr>
                <w:rFonts w:hint="eastAsia"/>
                <w:b w:val="0"/>
                <w:bCs w:val="0"/>
                <w:color w:val="000000"/>
                <w:sz w:val="24"/>
                <w:szCs w:val="24"/>
              </w:rPr>
              <w:t>；</w:t>
            </w:r>
          </w:p>
          <w:p>
            <w:pPr>
              <w:numPr>
                <w:ilvl w:val="0"/>
                <w:numId w:val="5"/>
              </w:numPr>
              <w:spacing w:line="240" w:lineRule="auto"/>
              <w:ind w:firstLineChars="0"/>
              <w:rPr>
                <w:b w:val="0"/>
                <w:bCs w:val="0"/>
                <w:color w:val="000000"/>
                <w:sz w:val="24"/>
                <w:szCs w:val="24"/>
              </w:rPr>
            </w:pPr>
            <w:r>
              <w:rPr>
                <w:b w:val="0"/>
                <w:bCs w:val="0"/>
                <w:color w:val="000000"/>
                <w:sz w:val="24"/>
                <w:szCs w:val="24"/>
              </w:rPr>
              <w:t>重庆市科海粘土矿有限公司神罗沟</w:t>
            </w:r>
            <w:r>
              <w:rPr>
                <w:rFonts w:hint="eastAsia"/>
                <w:b w:val="0"/>
                <w:bCs w:val="0"/>
                <w:color w:val="000000"/>
                <w:sz w:val="24"/>
                <w:szCs w:val="24"/>
              </w:rPr>
              <w:t>采场；</w:t>
            </w:r>
          </w:p>
          <w:p>
            <w:pPr>
              <w:numPr>
                <w:ilvl w:val="0"/>
                <w:numId w:val="5"/>
              </w:numPr>
              <w:spacing w:line="240" w:lineRule="auto"/>
              <w:ind w:firstLineChars="0"/>
              <w:rPr>
                <w:b w:val="0"/>
                <w:bCs w:val="0"/>
                <w:color w:val="000000"/>
                <w:sz w:val="24"/>
                <w:szCs w:val="24"/>
              </w:rPr>
            </w:pPr>
            <w:r>
              <w:rPr>
                <w:b w:val="0"/>
                <w:bCs w:val="0"/>
                <w:color w:val="000000"/>
                <w:sz w:val="24"/>
                <w:szCs w:val="24"/>
              </w:rPr>
              <w:t>重庆市永川区</w:t>
            </w:r>
            <w:r>
              <w:rPr>
                <w:rFonts w:hint="eastAsia"/>
                <w:b w:val="0"/>
                <w:bCs w:val="0"/>
                <w:color w:val="000000"/>
                <w:sz w:val="24"/>
                <w:szCs w:val="24"/>
              </w:rPr>
              <w:t>强龙石英砂厂</w:t>
            </w:r>
            <w:r>
              <w:rPr>
                <w:b w:val="0"/>
                <w:bCs w:val="0"/>
                <w:color w:val="000000"/>
                <w:sz w:val="24"/>
                <w:szCs w:val="24"/>
              </w:rPr>
              <w:t>。</w:t>
            </w:r>
          </w:p>
          <w:p>
            <w:pPr>
              <w:spacing w:line="240" w:lineRule="auto"/>
              <w:ind w:firstLine="0" w:firstLineChars="0"/>
              <w:rPr>
                <w:b w:val="0"/>
                <w:bCs w:val="0"/>
                <w:color w:val="000000"/>
                <w:sz w:val="24"/>
                <w:szCs w:val="24"/>
              </w:rPr>
            </w:pPr>
            <w:r>
              <w:rPr>
                <w:b w:val="0"/>
                <w:bCs w:val="0"/>
                <w:color w:val="000000"/>
                <w:sz w:val="24"/>
                <w:szCs w:val="24"/>
              </w:rPr>
              <w:t>参照绿色矿山标准实行规范化管理（4个）：</w:t>
            </w:r>
          </w:p>
          <w:p>
            <w:pPr>
              <w:numPr>
                <w:ilvl w:val="0"/>
                <w:numId w:val="6"/>
              </w:numPr>
              <w:spacing w:line="240" w:lineRule="auto"/>
              <w:ind w:firstLineChars="0"/>
              <w:rPr>
                <w:b w:val="0"/>
                <w:bCs w:val="0"/>
                <w:color w:val="000000"/>
                <w:sz w:val="24"/>
                <w:szCs w:val="24"/>
              </w:rPr>
            </w:pPr>
            <w:r>
              <w:rPr>
                <w:b w:val="0"/>
                <w:bCs w:val="0"/>
                <w:color w:val="000000"/>
                <w:sz w:val="24"/>
                <w:szCs w:val="24"/>
              </w:rPr>
              <w:t>重庆蒋陶石英砂有限公司</w:t>
            </w:r>
            <w:r>
              <w:rPr>
                <w:rFonts w:hint="eastAsia"/>
                <w:b w:val="0"/>
                <w:bCs w:val="0"/>
                <w:color w:val="000000"/>
                <w:sz w:val="24"/>
                <w:szCs w:val="24"/>
              </w:rPr>
              <w:t>；</w:t>
            </w:r>
          </w:p>
          <w:p>
            <w:pPr>
              <w:numPr>
                <w:ilvl w:val="0"/>
                <w:numId w:val="6"/>
              </w:numPr>
              <w:spacing w:line="240" w:lineRule="auto"/>
              <w:ind w:firstLineChars="0"/>
              <w:rPr>
                <w:b w:val="0"/>
                <w:bCs w:val="0"/>
                <w:color w:val="000000"/>
                <w:sz w:val="24"/>
                <w:szCs w:val="24"/>
              </w:rPr>
            </w:pPr>
            <w:r>
              <w:rPr>
                <w:b w:val="0"/>
                <w:bCs w:val="0"/>
                <w:color w:val="000000"/>
                <w:sz w:val="24"/>
                <w:szCs w:val="24"/>
              </w:rPr>
              <w:t>重庆广乾耐火材料有限公司</w:t>
            </w:r>
            <w:r>
              <w:rPr>
                <w:rFonts w:hint="eastAsia"/>
                <w:b w:val="0"/>
                <w:bCs w:val="0"/>
                <w:color w:val="000000"/>
                <w:sz w:val="24"/>
                <w:szCs w:val="24"/>
              </w:rPr>
              <w:t>；</w:t>
            </w:r>
          </w:p>
          <w:p>
            <w:pPr>
              <w:numPr>
                <w:ilvl w:val="0"/>
                <w:numId w:val="6"/>
              </w:numPr>
              <w:spacing w:line="240" w:lineRule="auto"/>
              <w:ind w:firstLineChars="0"/>
              <w:rPr>
                <w:b w:val="0"/>
                <w:bCs w:val="0"/>
                <w:color w:val="000000"/>
                <w:sz w:val="24"/>
                <w:szCs w:val="24"/>
              </w:rPr>
            </w:pPr>
            <w:r>
              <w:rPr>
                <w:b w:val="0"/>
                <w:bCs w:val="0"/>
                <w:color w:val="000000"/>
                <w:sz w:val="24"/>
                <w:szCs w:val="24"/>
              </w:rPr>
              <w:t>重庆雕美石材有限公司</w:t>
            </w:r>
            <w:r>
              <w:rPr>
                <w:rFonts w:hint="eastAsia"/>
                <w:b w:val="0"/>
                <w:bCs w:val="0"/>
                <w:color w:val="000000"/>
                <w:sz w:val="24"/>
                <w:szCs w:val="24"/>
              </w:rPr>
              <w:t>；</w:t>
            </w:r>
          </w:p>
          <w:p>
            <w:pPr>
              <w:numPr>
                <w:ilvl w:val="0"/>
                <w:numId w:val="6"/>
              </w:numPr>
              <w:spacing w:line="240" w:lineRule="auto"/>
              <w:ind w:firstLineChars="0"/>
              <w:rPr>
                <w:rFonts w:hint="eastAsia"/>
                <w:b w:val="0"/>
                <w:bCs w:val="0"/>
                <w:color w:val="000000"/>
                <w:sz w:val="24"/>
                <w:szCs w:val="24"/>
              </w:rPr>
            </w:pPr>
            <w:r>
              <w:rPr>
                <w:b w:val="0"/>
                <w:bCs w:val="0"/>
                <w:color w:val="000000"/>
                <w:sz w:val="24"/>
                <w:szCs w:val="24"/>
              </w:rPr>
              <w:t>重庆市永川区宏佳鑫矿业有限责任公司。</w:t>
            </w:r>
          </w:p>
        </w:tc>
      </w:tr>
    </w:tbl>
    <w:p>
      <w:pPr>
        <w:pStyle w:val="3"/>
        <w:keepNext w:val="0"/>
        <w:keepLines w:val="0"/>
        <w:pageBreakBefore w:val="0"/>
        <w:widowControl w:val="0"/>
        <w:numPr>
          <w:ilvl w:val="0"/>
          <w:numId w:val="7"/>
        </w:numPr>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rPr>
          <w:rFonts w:hint="eastAsia" w:ascii="方正楷体_GBK" w:hAnsi="方正楷体_GBK" w:eastAsia="方正楷体_GBK" w:cs="方正楷体_GBK"/>
          <w:b w:val="0"/>
          <w:bCs w:val="0"/>
        </w:rPr>
      </w:pPr>
      <w:bookmarkStart w:id="87" w:name="_Toc26907515"/>
      <w:bookmarkStart w:id="88" w:name="_Toc15735"/>
      <w:bookmarkStart w:id="89" w:name="_Toc58707385"/>
      <w:bookmarkStart w:id="90" w:name="_Toc42195310"/>
      <w:r>
        <w:rPr>
          <w:rFonts w:hint="eastAsia" w:ascii="方正楷体_GBK" w:hAnsi="方正楷体_GBK" w:eastAsia="方正楷体_GBK" w:cs="方正楷体_GBK"/>
          <w:b w:val="0"/>
          <w:bCs w:val="0"/>
        </w:rPr>
        <w:t>推进</w:t>
      </w:r>
      <w:bookmarkEnd w:id="87"/>
      <w:r>
        <w:rPr>
          <w:rFonts w:hint="eastAsia" w:ascii="方正楷体_GBK" w:hAnsi="方正楷体_GBK" w:eastAsia="方正楷体_GBK" w:cs="方正楷体_GBK"/>
          <w:b w:val="0"/>
          <w:bCs w:val="0"/>
        </w:rPr>
        <w:t>地下水生态环境保护</w:t>
      </w:r>
      <w:bookmarkEnd w:id="88"/>
      <w:bookmarkEnd w:id="89"/>
      <w:bookmarkEnd w:id="90"/>
    </w:p>
    <w:p>
      <w:pPr>
        <w:pStyle w:val="3"/>
        <w:keepNext w:val="0"/>
        <w:keepLines w:val="0"/>
        <w:pageBreakBefore w:val="0"/>
        <w:widowControl w:val="0"/>
        <w:numPr>
          <w:ilvl w:val="0"/>
          <w:numId w:val="0"/>
        </w:numPr>
        <w:kinsoku/>
        <w:wordWrap/>
        <w:overflowPunct/>
        <w:topLinePunct w:val="0"/>
        <w:autoSpaceDE/>
        <w:autoSpaceDN/>
        <w:bidi w:val="0"/>
        <w:snapToGrid w:val="0"/>
        <w:spacing w:beforeLines="0" w:afterLines="0" w:line="276" w:lineRule="auto"/>
        <w:ind w:left="0" w:leftChars="0" w:right="0" w:rightChars="0" w:firstLine="632" w:firstLineChars="200"/>
        <w:jc w:val="both"/>
        <w:textAlignment w:val="auto"/>
        <w:outlineLvl w:val="1"/>
        <w:rPr>
          <w:rFonts w:hint="eastAsia" w:ascii="方正仿宋_GBK" w:hAnsi="方正仿宋_GBK" w:eastAsia="方正仿宋_GBK" w:cs="方正仿宋_GBK"/>
          <w:b w:val="0"/>
          <w:bCs w:val="0"/>
          <w:szCs w:val="30"/>
        </w:rPr>
      </w:pPr>
      <w:bookmarkStart w:id="91" w:name="_Toc25674"/>
      <w:r>
        <w:rPr>
          <w:rFonts w:hint="eastAsia" w:ascii="方正仿宋_GBK" w:hAnsi="方正仿宋_GBK" w:eastAsia="方正仿宋_GBK" w:cs="方正仿宋_GBK"/>
          <w:b w:val="0"/>
          <w:bCs w:val="0"/>
        </w:rPr>
        <w:t>以保护和改善地下水环境质量为核心，</w:t>
      </w:r>
      <w:bookmarkStart w:id="92" w:name="_Hlk87563247"/>
      <w:r>
        <w:rPr>
          <w:rFonts w:hint="eastAsia" w:ascii="方正仿宋_GBK" w:hAnsi="方正仿宋_GBK" w:eastAsia="方正仿宋_GBK" w:cs="方正仿宋_GBK"/>
          <w:b w:val="0"/>
          <w:bCs w:val="0"/>
        </w:rPr>
        <w:t>按照“强基础、建体系、控风险、保安全”的思路</w:t>
      </w:r>
      <w:bookmarkEnd w:id="92"/>
      <w:r>
        <w:rPr>
          <w:rFonts w:hint="eastAsia" w:ascii="方正仿宋_GBK" w:hAnsi="方正仿宋_GBK" w:eastAsia="方正仿宋_GBK" w:cs="方正仿宋_GBK"/>
          <w:b w:val="0"/>
          <w:bCs w:val="0"/>
        </w:rPr>
        <w:t>，提升地下水生态环境治理体系和治理能力，</w:t>
      </w:r>
      <w:bookmarkStart w:id="93" w:name="_Hlk87563269"/>
      <w:bookmarkStart w:id="94" w:name="_Toc21643673"/>
      <w:bookmarkStart w:id="95" w:name="_Toc50324047"/>
      <w:bookmarkStart w:id="96" w:name="_Toc23174898"/>
      <w:bookmarkStart w:id="97" w:name="_Toc49288150"/>
      <w:bookmarkStart w:id="98" w:name="_Toc21643909"/>
      <w:r>
        <w:rPr>
          <w:rFonts w:hint="eastAsia" w:ascii="方正仿宋_GBK" w:hAnsi="方正仿宋_GBK" w:eastAsia="方正仿宋_GBK" w:cs="方正仿宋_GBK"/>
          <w:b w:val="0"/>
          <w:bCs w:val="0"/>
        </w:rPr>
        <w:t>配合市生态环境局开展地下水“双源”污染调查、监测、评估，划定保护区、防控区以及治理区，构建地下水污染防治分区体系</w:t>
      </w:r>
      <w:bookmarkEnd w:id="93"/>
      <w:r>
        <w:rPr>
          <w:rFonts w:hint="eastAsia" w:ascii="方正仿宋_GBK" w:hAnsi="方正仿宋_GBK" w:eastAsia="方正仿宋_GBK" w:cs="方正仿宋_GBK"/>
          <w:b w:val="0"/>
          <w:bCs w:val="0"/>
        </w:rPr>
        <w:t>。配合市生态环境局持续推进地下水监测站点建设工作，加强现有地下水环境监测井的运行维护和管理。配合市生态环境局以工业集聚区、矿山开采区、尾矿库、危险废物处置场、生活垃圾填埋场、页岩气开采等场地为重点，制定环境风险大、严重影响公众健康的地下水污染场地清单，逐步开展防渗监测评估工作。配合市生态环境局探明土壤污染、地下水污染协同防治机理和防治路径，建设用地与安全利用类农用地地块污染防治工作应纳入地下水有关内容。</w:t>
      </w:r>
      <w:bookmarkEnd w:id="91"/>
    </w:p>
    <w:bookmarkEnd w:id="94"/>
    <w:bookmarkEnd w:id="95"/>
    <w:bookmarkEnd w:id="96"/>
    <w:bookmarkEnd w:id="97"/>
    <w:bookmarkEnd w:id="98"/>
    <w:p>
      <w:pPr>
        <w:pStyle w:val="3"/>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ascii="方正楷体_GBK" w:hAnsi="方正楷体_GBK" w:eastAsia="方正楷体_GBK" w:cs="方正楷体_GBK"/>
          <w:b w:val="0"/>
          <w:bCs w:val="0"/>
        </w:rPr>
      </w:pPr>
      <w:bookmarkStart w:id="99" w:name="_Toc26907516"/>
      <w:bookmarkStart w:id="100" w:name="_Toc58707386"/>
      <w:bookmarkStart w:id="101" w:name="_Toc42195311"/>
      <w:bookmarkStart w:id="102" w:name="_Toc8749"/>
      <w:r>
        <w:rPr>
          <w:rFonts w:hint="eastAsia" w:ascii="方正楷体_GBK" w:hAnsi="方正楷体_GBK" w:eastAsia="方正楷体_GBK" w:cs="方正楷体_GBK"/>
          <w:b w:val="0"/>
          <w:bCs w:val="0"/>
        </w:rPr>
        <w:t>（三）</w:t>
      </w:r>
      <w:bookmarkEnd w:id="99"/>
      <w:r>
        <w:rPr>
          <w:rFonts w:hint="eastAsia" w:ascii="方正楷体_GBK" w:hAnsi="方正楷体_GBK" w:eastAsia="方正楷体_GBK" w:cs="方正楷体_GBK"/>
          <w:b w:val="0"/>
          <w:bCs w:val="0"/>
        </w:rPr>
        <w:t>改善农业农村生态环境</w:t>
      </w:r>
      <w:bookmarkEnd w:id="100"/>
      <w:bookmarkEnd w:id="101"/>
      <w:bookmarkEnd w:id="102"/>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bookmarkStart w:id="103" w:name="_Toc91339865"/>
      <w:bookmarkStart w:id="104" w:name="_Toc25442"/>
      <w:bookmarkStart w:id="105" w:name="_Toc10213"/>
      <w:bookmarkStart w:id="106" w:name="_Toc91340042"/>
      <w:bookmarkStart w:id="107" w:name="_Toc49498849"/>
      <w:r>
        <w:rPr>
          <w:b w:val="0"/>
          <w:bCs w:val="0"/>
          <w:color w:val="000000"/>
        </w:rPr>
        <w:t>1.加强农业面源污染防治</w:t>
      </w:r>
      <w:bookmarkEnd w:id="103"/>
      <w:bookmarkEnd w:id="104"/>
      <w:bookmarkEnd w:id="105"/>
      <w:bookmarkEnd w:id="106"/>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（1）持续推进</w:t>
      </w:r>
      <w:r>
        <w:rPr>
          <w:b w:val="0"/>
          <w:bCs w:val="0"/>
          <w:color w:val="000000"/>
        </w:rPr>
        <w:t>化肥农药减量增效</w:t>
      </w:r>
      <w:bookmarkStart w:id="108" w:name="_Hlk87563322"/>
      <w:r>
        <w:rPr>
          <w:rFonts w:hint="eastAsia"/>
          <w:b w:val="0"/>
          <w:bCs w:val="0"/>
          <w:color w:val="000000"/>
          <w:lang w:eastAsia="zh-CN"/>
        </w:rPr>
        <w:t>。</w:t>
      </w:r>
      <w:r>
        <w:rPr>
          <w:rFonts w:hint="eastAsia"/>
          <w:b w:val="0"/>
          <w:bCs w:val="0"/>
          <w:color w:val="000000"/>
        </w:rPr>
        <w:t>按照“一控、二减、三基本”要求</w:t>
      </w:r>
      <w:bookmarkEnd w:id="108"/>
      <w:r>
        <w:rPr>
          <w:rFonts w:hint="eastAsia"/>
          <w:b w:val="0"/>
          <w:bCs w:val="0"/>
          <w:color w:val="000000"/>
        </w:rPr>
        <w:t>，以耕地地力评价和测土配方为依托，以减少农药化肥施用量为目标，加快推进测土施肥技术，病虫害统防统治和绿色防控技术，加大配方肥和商品有机肥推广力度，重点推广茶叶、茎果等有机肥替代化肥技术，采取农作物生长关键时刻集中施药措施，实现农药化肥用量持续平稳下降，减少农业面源污染，促进农业绿色发展，到2025年，全区主要农作物化肥农药使用量持续下降，分年度完成市级下发任务。加强病虫害监测预警，实行农药销售与疫情的信息化管理，病虫害绿色防控覆盖率力争提高到42%。</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（2）</w:t>
      </w:r>
      <w:r>
        <w:rPr>
          <w:b w:val="0"/>
          <w:bCs w:val="0"/>
          <w:color w:val="000000"/>
        </w:rPr>
        <w:t>全面推进清洁生产及健康养殖</w:t>
      </w:r>
      <w:r>
        <w:rPr>
          <w:rFonts w:hint="eastAsia"/>
          <w:b w:val="0"/>
          <w:bCs w:val="0"/>
          <w:color w:val="000000"/>
          <w:lang w:eastAsia="zh-CN"/>
        </w:rPr>
        <w:t>。</w:t>
      </w:r>
      <w:r>
        <w:rPr>
          <w:rFonts w:hint="eastAsia"/>
          <w:b w:val="0"/>
          <w:bCs w:val="0"/>
          <w:color w:val="000000"/>
        </w:rPr>
        <w:t>秉持“生态环保、绿色发展、循环养殖”的发展理念，坚持“源头减量、过程控制、末端利用”的治理路径，深化畜禽养殖场污染治理，以规模养殖场为重点，以农用有机肥和农村能源为主要利用方向，构建种养循环的可持续发展模式，引导规模养殖场优化布局，完善畜禽养殖资源化利用设施，大力提高畜禽废弃物资源化利用水平。进一步探索建立畜禽废弃物资源化利用市场化机制，加大“低小散”企业整治力度，实现行业结构合理化、区域集聚化、企业生产清洁化、环保管理规范化，到2025年，畜禽粪污资源化利用率稳定在90%</w:t>
      </w:r>
      <w:r>
        <w:rPr>
          <w:b w:val="0"/>
          <w:bCs w:val="0"/>
          <w:color w:val="000000"/>
        </w:rPr>
        <w:t>以上</w:t>
      </w:r>
      <w:r>
        <w:rPr>
          <w:rFonts w:hint="eastAsia"/>
          <w:b w:val="0"/>
          <w:bCs w:val="0"/>
          <w:color w:val="000000"/>
        </w:rPr>
        <w:t>。</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b w:val="0"/>
          <w:bCs w:val="0"/>
          <w:color w:val="000000"/>
        </w:rPr>
        <w:t>着力推广池塘鱼菜共生综合种养、池塘底排污生态化改造、多级人工湿地、池塘工程化循环水养殖、生态沟渠净水、多级沉淀池、资源化利用等多种措施开展水产养殖尾水处理，提高养殖尾水治理设施覆盖率。推进种养结合，利用养殖尾水作为周边种植业灌溉用水，或将已经治理的养殖尾水循环使用，实现节水减排</w:t>
      </w:r>
      <w:r>
        <w:rPr>
          <w:rFonts w:hint="eastAsia"/>
          <w:b w:val="0"/>
          <w:bCs w:val="0"/>
          <w:color w:val="000000"/>
        </w:rPr>
        <w:t>，</w:t>
      </w:r>
      <w:r>
        <w:rPr>
          <w:b w:val="0"/>
          <w:bCs w:val="0"/>
          <w:color w:val="000000"/>
        </w:rPr>
        <w:t>到2022年，全面完成养殖池塘550万吨尾水治理；到2025年，实现</w:t>
      </w:r>
      <w:r>
        <w:rPr>
          <w:rFonts w:hint="eastAsia"/>
          <w:b w:val="0"/>
          <w:bCs w:val="0"/>
          <w:color w:val="000000"/>
        </w:rPr>
        <w:t>规模化以上水产</w:t>
      </w:r>
      <w:r>
        <w:rPr>
          <w:b w:val="0"/>
          <w:bCs w:val="0"/>
          <w:color w:val="000000"/>
        </w:rPr>
        <w:t>养殖尾水</w:t>
      </w:r>
      <w:r>
        <w:rPr>
          <w:rFonts w:hint="eastAsia"/>
          <w:b w:val="0"/>
          <w:bCs w:val="0"/>
          <w:color w:val="000000"/>
        </w:rPr>
        <w:t>有效治理</w:t>
      </w:r>
      <w:r>
        <w:rPr>
          <w:b w:val="0"/>
          <w:bCs w:val="0"/>
          <w:color w:val="000000"/>
        </w:rPr>
        <w:t>。</w:t>
      </w:r>
      <w:r>
        <w:rPr>
          <w:rFonts w:hint="eastAsia"/>
          <w:b w:val="0"/>
          <w:bCs w:val="0"/>
          <w:color w:val="000000"/>
        </w:rPr>
        <w:t>重点打造重庆市永川区大竹溪水花基地段水生态修复+面源污染防治项目和实施何埂镇圣水河流域水产养殖尾水处理项目示范。</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（3）</w:t>
      </w:r>
      <w:r>
        <w:rPr>
          <w:b w:val="0"/>
          <w:bCs w:val="0"/>
          <w:color w:val="000000"/>
        </w:rPr>
        <w:t>统筹推进农膜秸秆回收利用</w:t>
      </w:r>
      <w:r>
        <w:rPr>
          <w:rFonts w:hint="eastAsia"/>
          <w:b w:val="0"/>
          <w:bCs w:val="0"/>
          <w:color w:val="000000"/>
          <w:lang w:eastAsia="zh-CN"/>
        </w:rPr>
        <w:t>。</w:t>
      </w:r>
      <w:r>
        <w:rPr>
          <w:rFonts w:hint="eastAsia"/>
          <w:b w:val="0"/>
          <w:bCs w:val="0"/>
          <w:color w:val="000000"/>
        </w:rPr>
        <w:t>积极推进农膜回收利用，开展可降解地膜试验示范，加快标准地膜推广应用。建立农膜废弃物贮运机制，将农膜回收工作纳入各镇街工作考核范畴，积极建立健全区-镇-村三级回收体系，建立回收试点，以点带面开展农膜回收工作，完善农膜回收网络建设。同时，积极推广地膜减量替代技术，进一步强化监督，净化市场、进一步规范农膜生产经营行为，鼓励农民应用可降解地膜，确保棚膜、地膜能够有效回收，从源头控制农膜污染，到2025年，农膜回收率达到90%以上，无害化处理率达到100%。</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推进农作物秸秆资源化利用</w:t>
      </w:r>
      <w:r>
        <w:rPr>
          <w:b w:val="0"/>
          <w:bCs w:val="0"/>
          <w:color w:val="000000"/>
        </w:rPr>
        <w:t>，</w:t>
      </w:r>
      <w:r>
        <w:rPr>
          <w:rFonts w:hint="eastAsia"/>
          <w:b w:val="0"/>
          <w:bCs w:val="0"/>
          <w:color w:val="000000"/>
        </w:rPr>
        <w:t>推广秸秆离田生产有机肥、腐熟发酵等多元利用技术，建成投运五间镇处理秸秆的有机肥加工厂1座。</w:t>
      </w:r>
      <w:r>
        <w:rPr>
          <w:b w:val="0"/>
          <w:bCs w:val="0"/>
          <w:color w:val="000000"/>
        </w:rPr>
        <w:t>集成推广经济适用的秸秆资源化综合利用模式</w:t>
      </w:r>
      <w:r>
        <w:rPr>
          <w:rFonts w:hint="eastAsia"/>
          <w:b w:val="0"/>
          <w:bCs w:val="0"/>
          <w:color w:val="000000"/>
        </w:rPr>
        <w:t>，到2022年，基本形成布局合理、多元利用的格局，秸秆综合利用率稳定在90%以上</w:t>
      </w:r>
      <w:r>
        <w:rPr>
          <w:b w:val="0"/>
          <w:bCs w:val="0"/>
          <w:color w:val="000000"/>
        </w:rPr>
        <w:t>。</w:t>
      </w:r>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bookmarkStart w:id="109" w:name="_Toc14684"/>
      <w:bookmarkStart w:id="110" w:name="_Toc13596"/>
      <w:bookmarkStart w:id="111" w:name="_Toc91340043"/>
      <w:bookmarkStart w:id="112" w:name="_Toc91339866"/>
      <w:r>
        <w:rPr>
          <w:b w:val="0"/>
          <w:bCs w:val="0"/>
          <w:color w:val="000000"/>
        </w:rPr>
        <w:t>2.深入推进农村环境整治</w:t>
      </w:r>
      <w:bookmarkEnd w:id="109"/>
      <w:bookmarkEnd w:id="110"/>
      <w:bookmarkEnd w:id="111"/>
      <w:bookmarkEnd w:id="112"/>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rFonts w:hint="eastAsia"/>
          <w:b w:val="0"/>
          <w:bCs w:val="0"/>
          <w:color w:val="000000"/>
        </w:rPr>
        <w:t>（1）加强饮用水水源地保护</w:t>
      </w:r>
      <w:r>
        <w:rPr>
          <w:rFonts w:hint="eastAsia"/>
          <w:b w:val="0"/>
          <w:bCs w:val="0"/>
          <w:color w:val="000000"/>
          <w:lang w:eastAsia="zh-CN"/>
        </w:rPr>
        <w:t>。</w:t>
      </w:r>
      <w:r>
        <w:rPr>
          <w:rFonts w:hint="eastAsia"/>
          <w:b w:val="0"/>
          <w:bCs w:val="0"/>
          <w:color w:val="000000"/>
        </w:rPr>
        <w:t>严格落实饮用水源地隔离网、监控设备、标牌、界牌和道路交通标志等设备设施管理维护工作，完善饮用水源地应急预案。加强饮用水源地生态环境监管，严格执行信息公开制度，落实饮用水源地保护责任。</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w:t>
      </w:r>
      <w:r>
        <w:rPr>
          <w:b w:val="0"/>
          <w:bCs w:val="0"/>
          <w:color w:val="000000"/>
        </w:rPr>
        <w:t>2</w:t>
      </w:r>
      <w:r>
        <w:rPr>
          <w:rFonts w:hint="eastAsia"/>
          <w:b w:val="0"/>
          <w:bCs w:val="0"/>
          <w:color w:val="000000"/>
        </w:rPr>
        <w:t>）</w:t>
      </w:r>
      <w:r>
        <w:rPr>
          <w:b w:val="0"/>
          <w:bCs w:val="0"/>
          <w:color w:val="000000"/>
        </w:rPr>
        <w:t>加快推进农村生活污水治理</w:t>
      </w:r>
      <w:r>
        <w:rPr>
          <w:rFonts w:hint="eastAsia"/>
          <w:b w:val="0"/>
          <w:bCs w:val="0"/>
          <w:color w:val="000000"/>
          <w:lang w:eastAsia="zh-CN"/>
        </w:rPr>
        <w:t>。</w:t>
      </w:r>
      <w:r>
        <w:rPr>
          <w:b w:val="0"/>
          <w:bCs w:val="0"/>
          <w:color w:val="000000"/>
        </w:rPr>
        <w:t>扎实推进农村“厕所革命”</w:t>
      </w:r>
      <w:r>
        <w:rPr>
          <w:rFonts w:hint="eastAsia"/>
          <w:b w:val="0"/>
          <w:bCs w:val="0"/>
          <w:color w:val="000000"/>
        </w:rPr>
        <w:t>，</w:t>
      </w:r>
      <w:r>
        <w:rPr>
          <w:b w:val="0"/>
          <w:bCs w:val="0"/>
          <w:color w:val="000000"/>
        </w:rPr>
        <w:t>加强农村户厕</w:t>
      </w:r>
      <w:r>
        <w:rPr>
          <w:rFonts w:hint="eastAsia"/>
          <w:b w:val="0"/>
          <w:bCs w:val="0"/>
          <w:color w:val="000000"/>
        </w:rPr>
        <w:t>所</w:t>
      </w:r>
      <w:r>
        <w:rPr>
          <w:b w:val="0"/>
          <w:bCs w:val="0"/>
          <w:color w:val="000000"/>
        </w:rPr>
        <w:t>改造与农村污水治理、粪污资源化利用的有机衔接，以建立粪污收集处理体系为重点，推进厕所粪污无害化处理</w:t>
      </w:r>
      <w:r>
        <w:rPr>
          <w:rFonts w:hint="eastAsia"/>
          <w:b w:val="0"/>
          <w:bCs w:val="0"/>
          <w:color w:val="000000"/>
        </w:rPr>
        <w:t>，到2025年，全区农村卫生户厕普及率达到</w:t>
      </w:r>
      <w:r>
        <w:rPr>
          <w:b w:val="0"/>
          <w:bCs w:val="0"/>
          <w:color w:val="000000"/>
        </w:rPr>
        <w:t>87</w:t>
      </w:r>
      <w:r>
        <w:rPr>
          <w:rFonts w:hint="eastAsia"/>
          <w:b w:val="0"/>
          <w:bCs w:val="0"/>
          <w:color w:val="000000"/>
        </w:rPr>
        <w:t>%。</w:t>
      </w: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b w:val="0"/>
          <w:bCs w:val="0"/>
          <w:color w:val="000000"/>
        </w:rPr>
        <w:t>全面推进农村生活污水治理。</w:t>
      </w:r>
      <w:r>
        <w:rPr>
          <w:rFonts w:hint="eastAsia"/>
          <w:b w:val="0"/>
          <w:bCs w:val="0"/>
          <w:color w:val="000000"/>
        </w:rPr>
        <w:t>有条件的城镇近郊农村，推广城乡生活污水处理统一规划、统一建设、统一运行、统一管理的模式，加强镇街污水管网维护管理，推动城镇污水管网向周边村庄延伸覆盖。加强对人口聚集程度较高、污水产生规模较大的乡镇和村聚居点现有污水处理设施技术改造，在确保已建设施稳定运行基础上，分步推进集中污水处理设施建设。到2025年，农村生活污水得到治理的农户覆盖率达到81.65%，农村生活污水治理率达到</w:t>
      </w:r>
      <w:r>
        <w:rPr>
          <w:b w:val="0"/>
          <w:bCs w:val="0"/>
          <w:color w:val="000000"/>
        </w:rPr>
        <w:t>40</w:t>
      </w:r>
      <w:r>
        <w:rPr>
          <w:rFonts w:hint="eastAsia"/>
          <w:b w:val="0"/>
          <w:bCs w:val="0"/>
          <w:color w:val="000000"/>
        </w:rPr>
        <w:t>%。</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w:t>
      </w:r>
      <w:r>
        <w:rPr>
          <w:b w:val="0"/>
          <w:bCs w:val="0"/>
          <w:color w:val="000000"/>
        </w:rPr>
        <w:t>3</w:t>
      </w:r>
      <w:r>
        <w:rPr>
          <w:rFonts w:hint="eastAsia"/>
          <w:b w:val="0"/>
          <w:bCs w:val="0"/>
          <w:color w:val="000000"/>
        </w:rPr>
        <w:t>）</w:t>
      </w:r>
      <w:r>
        <w:rPr>
          <w:b w:val="0"/>
          <w:bCs w:val="0"/>
          <w:color w:val="000000"/>
        </w:rPr>
        <w:t>强化农村生活污水治理设施监管</w:t>
      </w:r>
      <w:r>
        <w:rPr>
          <w:rFonts w:hint="eastAsia"/>
          <w:b w:val="0"/>
          <w:bCs w:val="0"/>
          <w:color w:val="000000"/>
          <w:lang w:eastAsia="zh-CN"/>
        </w:rPr>
        <w:t>。</w:t>
      </w:r>
      <w:r>
        <w:rPr>
          <w:rFonts w:hint="eastAsia"/>
          <w:b w:val="0"/>
          <w:bCs w:val="0"/>
          <w:color w:val="000000"/>
        </w:rPr>
        <w:t>严格落实对生活污水运营单位运行台账监管。到2</w:t>
      </w:r>
      <w:r>
        <w:rPr>
          <w:b w:val="0"/>
          <w:bCs w:val="0"/>
          <w:color w:val="000000"/>
        </w:rPr>
        <w:t>022</w:t>
      </w:r>
      <w:r>
        <w:rPr>
          <w:rFonts w:hint="eastAsia"/>
          <w:b w:val="0"/>
          <w:bCs w:val="0"/>
          <w:color w:val="000000"/>
        </w:rPr>
        <w:t>年，督促日处理能力</w:t>
      </w:r>
      <w:r>
        <w:rPr>
          <w:b w:val="0"/>
          <w:bCs w:val="0"/>
          <w:color w:val="000000"/>
        </w:rPr>
        <w:t>500</w:t>
      </w:r>
      <w:r>
        <w:rPr>
          <w:rFonts w:hint="eastAsia"/>
          <w:b w:val="0"/>
          <w:bCs w:val="0"/>
          <w:color w:val="000000"/>
        </w:rPr>
        <w:t>吨及以上的生活污水处理厂（站）按照有关规定安装进出水在线监测、监控设施；日处理能力</w:t>
      </w:r>
      <w:r>
        <w:rPr>
          <w:b w:val="0"/>
          <w:bCs w:val="0"/>
          <w:color w:val="000000"/>
        </w:rPr>
        <w:t>500</w:t>
      </w:r>
      <w:r>
        <w:rPr>
          <w:rFonts w:hint="eastAsia"/>
          <w:b w:val="0"/>
          <w:bCs w:val="0"/>
          <w:color w:val="000000"/>
        </w:rPr>
        <w:t>吨以下的污水处理厂（站）按照有关规定安装视频监控设施。严格落实污水处理厂污染治理设施日常监管工作。</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860" w:type="dxa"/>
            <w:noWrap w:val="0"/>
            <w:vAlign w:val="center"/>
          </w:tcPr>
          <w:p>
            <w:pPr>
              <w:spacing w:line="240" w:lineRule="auto"/>
              <w:ind w:firstLine="472"/>
              <w:jc w:val="center"/>
              <w:rPr>
                <w:rFonts w:hint="eastAsia" w:ascii="方正楷体_GBK" w:hAnsi="方正楷体_GBK" w:eastAsia="方正楷体_GBK" w:cs="方正楷体_GBK"/>
                <w:b w:val="0"/>
                <w:bCs w:val="0"/>
                <w:color w:val="000000"/>
                <w:sz w:val="24"/>
                <w:szCs w:val="24"/>
              </w:rPr>
            </w:pPr>
            <w:r>
              <w:rPr>
                <w:rFonts w:hint="eastAsia" w:ascii="方正楷体_GBK" w:hAnsi="方正楷体_GBK" w:eastAsia="方正楷体_GBK" w:cs="方正楷体_GBK"/>
                <w:b w:val="0"/>
                <w:bCs w:val="0"/>
                <w:color w:val="000000"/>
                <w:sz w:val="24"/>
                <w:szCs w:val="24"/>
              </w:rPr>
              <w:t>专栏5 永川区生活污水处理厂（站）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60" w:type="dxa"/>
            <w:noWrap w:val="0"/>
            <w:vAlign w:val="top"/>
          </w:tcPr>
          <w:p>
            <w:pPr>
              <w:spacing w:line="240" w:lineRule="auto"/>
              <w:ind w:firstLine="0" w:firstLineChars="0"/>
              <w:rPr>
                <w:b w:val="0"/>
                <w:bCs w:val="0"/>
                <w:color w:val="000000"/>
                <w:sz w:val="24"/>
                <w:szCs w:val="24"/>
              </w:rPr>
            </w:pPr>
            <w:r>
              <w:rPr>
                <w:rFonts w:hint="eastAsia"/>
                <w:b w:val="0"/>
                <w:bCs w:val="0"/>
                <w:color w:val="000000"/>
                <w:sz w:val="24"/>
                <w:szCs w:val="24"/>
              </w:rPr>
              <w:t>日处理能力500吨及以上</w:t>
            </w:r>
            <w:r>
              <w:rPr>
                <w:b w:val="0"/>
                <w:bCs w:val="0"/>
                <w:color w:val="000000"/>
                <w:sz w:val="24"/>
                <w:szCs w:val="24"/>
              </w:rPr>
              <w:t>（5个）：</w:t>
            </w:r>
            <w:r>
              <w:rPr>
                <w:rFonts w:hint="eastAsia"/>
                <w:b w:val="0"/>
                <w:bCs w:val="0"/>
                <w:color w:val="000000"/>
                <w:sz w:val="24"/>
                <w:szCs w:val="24"/>
              </w:rPr>
              <w:t>黄文场污水处理站、铜鼓污水处理站、李家湾污水处理站、万寿污水处理站、蚂蟥桥污水处理站</w:t>
            </w:r>
            <w:r>
              <w:rPr>
                <w:b w:val="0"/>
                <w:bCs w:val="0"/>
                <w:color w:val="000000"/>
                <w:sz w:val="24"/>
                <w:szCs w:val="24"/>
              </w:rPr>
              <w:t>。</w:t>
            </w:r>
          </w:p>
          <w:p>
            <w:pPr>
              <w:spacing w:line="240" w:lineRule="auto"/>
              <w:ind w:firstLine="0" w:firstLineChars="0"/>
              <w:rPr>
                <w:rFonts w:hint="eastAsia"/>
                <w:b w:val="0"/>
                <w:bCs w:val="0"/>
                <w:color w:val="000000"/>
                <w:sz w:val="24"/>
                <w:szCs w:val="24"/>
              </w:rPr>
            </w:pPr>
            <w:r>
              <w:rPr>
                <w:rFonts w:hint="eastAsia"/>
                <w:b w:val="0"/>
                <w:bCs w:val="0"/>
                <w:color w:val="000000"/>
                <w:sz w:val="24"/>
                <w:szCs w:val="24"/>
              </w:rPr>
              <w:t>日处理能力500吨以下</w:t>
            </w:r>
            <w:r>
              <w:rPr>
                <w:b w:val="0"/>
                <w:bCs w:val="0"/>
                <w:color w:val="000000"/>
                <w:sz w:val="24"/>
                <w:szCs w:val="24"/>
              </w:rPr>
              <w:t>（18个）：</w:t>
            </w:r>
            <w:r>
              <w:rPr>
                <w:rFonts w:hint="eastAsia"/>
                <w:b w:val="0"/>
                <w:bCs w:val="0"/>
                <w:color w:val="000000"/>
                <w:sz w:val="24"/>
                <w:szCs w:val="24"/>
              </w:rPr>
              <w:t>尖山污水处理站、大磨污水处理站、粉店污水处理站、张家污水处理站、九层岩污水站、石碓窝污水站、隆济污水站、高坡污水处理站、花果山村污水站、登东污水处理站、普莲污水处理站、复兴污水处理站、中心桥社区污水处理站、新店拉法基安置区污水处理站、三星桥污水处理厂、韦家沟污水站、双楼污水处理站、观音桥污水站</w:t>
            </w:r>
            <w:r>
              <w:rPr>
                <w:b w:val="0"/>
                <w:bCs w:val="0"/>
                <w:color w:val="000000"/>
                <w:sz w:val="24"/>
                <w:szCs w:val="24"/>
              </w:rPr>
              <w:t>。</w:t>
            </w:r>
          </w:p>
        </w:tc>
      </w:tr>
    </w:tbl>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w:t>
      </w:r>
      <w:r>
        <w:rPr>
          <w:b w:val="0"/>
          <w:bCs w:val="0"/>
          <w:color w:val="000000"/>
        </w:rPr>
        <w:t>4</w:t>
      </w:r>
      <w:r>
        <w:rPr>
          <w:rFonts w:hint="eastAsia"/>
          <w:b w:val="0"/>
          <w:bCs w:val="0"/>
          <w:color w:val="000000"/>
        </w:rPr>
        <w:t>）</w:t>
      </w:r>
      <w:r>
        <w:rPr>
          <w:b w:val="0"/>
          <w:bCs w:val="0"/>
          <w:color w:val="000000"/>
        </w:rPr>
        <w:t>有序开展农村黑臭水体治理</w:t>
      </w:r>
      <w:r>
        <w:rPr>
          <w:rFonts w:hint="eastAsia"/>
          <w:b w:val="0"/>
          <w:bCs w:val="0"/>
          <w:color w:val="000000"/>
          <w:lang w:eastAsia="zh-CN"/>
        </w:rPr>
        <w:t>。</w:t>
      </w:r>
      <w:r>
        <w:rPr>
          <w:rFonts w:hint="eastAsia"/>
          <w:b w:val="0"/>
          <w:bCs w:val="0"/>
          <w:color w:val="000000"/>
        </w:rPr>
        <w:t>实施农村黑臭水体专项治理工程，统筹开展农村水系综合治理和美丽乡村建设等工作，集中治理农村生活污水、垃圾、养殖和农业面源污染，实施截污控源、清淤疏浚、生态修复、水系连通等工程，提升农村水环境质量。根据黑臭水体程度、污染成因、水文气候和经济发展水平，合理选择治理技术模式，因河因塘施策，分区分类，标本兼治，到2025年底，农村黑臭水体治理率达到</w:t>
      </w:r>
      <w:r>
        <w:rPr>
          <w:b w:val="0"/>
          <w:bCs w:val="0"/>
          <w:color w:val="000000"/>
        </w:rPr>
        <w:t>40%</w:t>
      </w:r>
      <w:r>
        <w:rPr>
          <w:rFonts w:hint="eastAsia"/>
          <w:b w:val="0"/>
          <w:bCs w:val="0"/>
          <w:color w:val="000000"/>
        </w:rPr>
        <w:t>。对整治后的水体纳入河长制管理，防治黑臭水体返黑返臭。</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rFonts w:hint="eastAsia"/>
          <w:b w:val="0"/>
          <w:bCs w:val="0"/>
          <w:color w:val="000000"/>
        </w:rPr>
        <w:t>（</w:t>
      </w:r>
      <w:r>
        <w:rPr>
          <w:b w:val="0"/>
          <w:bCs w:val="0"/>
          <w:color w:val="000000"/>
        </w:rPr>
        <w:t>5</w:t>
      </w:r>
      <w:r>
        <w:rPr>
          <w:rFonts w:hint="eastAsia"/>
          <w:b w:val="0"/>
          <w:bCs w:val="0"/>
          <w:color w:val="000000"/>
        </w:rPr>
        <w:t>）</w:t>
      </w:r>
      <w:r>
        <w:rPr>
          <w:b w:val="0"/>
          <w:bCs w:val="0"/>
          <w:color w:val="000000"/>
        </w:rPr>
        <w:t>推广农村生活垃圾分类减量</w:t>
      </w:r>
      <w:r>
        <w:rPr>
          <w:rFonts w:hint="eastAsia"/>
          <w:b w:val="0"/>
          <w:bCs w:val="0"/>
          <w:color w:val="000000"/>
          <w:lang w:eastAsia="zh-CN"/>
        </w:rPr>
        <w:t>。</w:t>
      </w:r>
      <w:r>
        <w:rPr>
          <w:rFonts w:hint="eastAsia"/>
          <w:b w:val="0"/>
          <w:bCs w:val="0"/>
          <w:color w:val="000000"/>
        </w:rPr>
        <w:t>大力推进农村垃圾分类治理。巩固提升前期农村生活垃圾治理成效，依托农村人居环境整治示范片，深入推进“农村生活垃圾分类千村示范行动”，推进垃圾分类处理与再生资源利用“两网融合”，着力构建“区-镇街-行政村”三级回收网络体系。实施农村易腐垃圾就地就近资源化利用处理，指导种植大户、院落集中建设沤肥池、沼气池，对易腐垃圾进行肥料化、燃料化处理，探索农村易腐垃圾就地无害化堆肥处理，实现农村生活垃圾资源化、无害化、减量化。到202</w:t>
      </w:r>
      <w:r>
        <w:rPr>
          <w:b w:val="0"/>
          <w:bCs w:val="0"/>
          <w:color w:val="000000"/>
        </w:rPr>
        <w:t>1</w:t>
      </w:r>
      <w:r>
        <w:rPr>
          <w:rFonts w:hint="eastAsia"/>
          <w:b w:val="0"/>
          <w:bCs w:val="0"/>
          <w:color w:val="000000"/>
        </w:rPr>
        <w:t>年底，全区100%的行政村开展生活垃圾分类，全区生活垃圾分类处理系统基本建成，并长期实施垃圾分类。</w:t>
      </w:r>
    </w:p>
    <w:p>
      <w:pPr>
        <w:pStyle w:val="3"/>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ascii="方正楷体_GBK" w:hAnsi="方正楷体_GBK" w:eastAsia="方正楷体_GBK" w:cs="方正楷体_GBK"/>
          <w:b w:val="0"/>
          <w:bCs w:val="0"/>
        </w:rPr>
      </w:pPr>
      <w:bookmarkStart w:id="113" w:name="_Toc58707387"/>
      <w:bookmarkStart w:id="114" w:name="_Toc3088"/>
      <w:r>
        <w:rPr>
          <w:rFonts w:hint="eastAsia" w:ascii="方正楷体_GBK" w:hAnsi="方正楷体_GBK" w:eastAsia="方正楷体_GBK" w:cs="方正楷体_GBK"/>
          <w:b w:val="0"/>
          <w:bCs w:val="0"/>
        </w:rPr>
        <w:t>（四）提升生态环境监管能力</w:t>
      </w:r>
      <w:bookmarkEnd w:id="113"/>
      <w:bookmarkEnd w:id="114"/>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bookmarkStart w:id="115" w:name="_Toc29116"/>
      <w:bookmarkStart w:id="116" w:name="_Toc91340045"/>
      <w:bookmarkStart w:id="117" w:name="_Toc11358"/>
      <w:bookmarkStart w:id="118" w:name="_Toc91339868"/>
      <w:r>
        <w:rPr>
          <w:b w:val="0"/>
          <w:bCs w:val="0"/>
          <w:color w:val="000000"/>
        </w:rPr>
        <w:t>1</w:t>
      </w:r>
      <w:r>
        <w:rPr>
          <w:rFonts w:hint="eastAsia"/>
          <w:b w:val="0"/>
          <w:bCs w:val="0"/>
          <w:color w:val="000000"/>
        </w:rPr>
        <w:t>.</w:t>
      </w:r>
      <w:r>
        <w:rPr>
          <w:b w:val="0"/>
          <w:bCs w:val="0"/>
          <w:color w:val="000000"/>
        </w:rPr>
        <w:t>提升监管能力</w:t>
      </w:r>
      <w:bookmarkEnd w:id="115"/>
      <w:bookmarkEnd w:id="116"/>
      <w:bookmarkEnd w:id="117"/>
      <w:bookmarkEnd w:id="118"/>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（1）加强能力建设</w:t>
      </w:r>
      <w:r>
        <w:rPr>
          <w:rFonts w:hint="eastAsia"/>
          <w:b w:val="0"/>
          <w:bCs w:val="0"/>
          <w:color w:val="000000"/>
          <w:lang w:eastAsia="zh-CN"/>
        </w:rPr>
        <w:t>。</w:t>
      </w:r>
      <w:r>
        <w:rPr>
          <w:rFonts w:hint="eastAsia"/>
          <w:b w:val="0"/>
          <w:bCs w:val="0"/>
          <w:color w:val="000000"/>
        </w:rPr>
        <w:t>加强土壤、地下水与农业农村生态环境监测能力建设，努力促进各部门监测数据共享。强化队伍建设，配备X荧光衍射土壤测试仪等一批先进的监测仪器设备，强力提升土壤环境监测能力，匹配经济社会发展、生态文明建设对土壤环境监测的需求。</w:t>
      </w:r>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（2）组织参与培训</w:t>
      </w:r>
      <w:r>
        <w:rPr>
          <w:rFonts w:hint="eastAsia"/>
          <w:b w:val="0"/>
          <w:bCs w:val="0"/>
          <w:color w:val="000000"/>
          <w:lang w:eastAsia="zh-CN"/>
        </w:rPr>
        <w:t>。</w:t>
      </w:r>
      <w:r>
        <w:rPr>
          <w:rFonts w:hint="eastAsia"/>
          <w:b w:val="0"/>
          <w:bCs w:val="0"/>
          <w:color w:val="000000"/>
        </w:rPr>
        <w:t>积极选派人员参加环境监测、环境监管、环境应急以及农业技术服务等专业技术培训。环境监测人员每年参加</w:t>
      </w:r>
      <w:r>
        <w:rPr>
          <w:b w:val="0"/>
          <w:bCs w:val="0"/>
          <w:color w:val="000000"/>
        </w:rPr>
        <w:t>1</w:t>
      </w:r>
      <w:r>
        <w:rPr>
          <w:rFonts w:hint="eastAsia"/>
          <w:b w:val="0"/>
          <w:bCs w:val="0"/>
          <w:color w:val="000000"/>
        </w:rPr>
        <w:t>次土壤环境监测技术人员培训；环境执法人员每</w:t>
      </w:r>
      <w:r>
        <w:rPr>
          <w:b w:val="0"/>
          <w:bCs w:val="0"/>
          <w:color w:val="000000"/>
        </w:rPr>
        <w:t>3</w:t>
      </w:r>
      <w:r>
        <w:rPr>
          <w:rFonts w:hint="eastAsia"/>
          <w:b w:val="0"/>
          <w:bCs w:val="0"/>
          <w:color w:val="000000"/>
        </w:rPr>
        <w:t>年参加</w:t>
      </w:r>
      <w:r>
        <w:rPr>
          <w:b w:val="0"/>
          <w:bCs w:val="0"/>
          <w:color w:val="000000"/>
        </w:rPr>
        <w:t>1</w:t>
      </w:r>
      <w:r>
        <w:rPr>
          <w:rFonts w:hint="eastAsia"/>
          <w:b w:val="0"/>
          <w:bCs w:val="0"/>
          <w:color w:val="000000"/>
        </w:rPr>
        <w:t>轮土壤污染防治专业技术培训。农业及相关部门，每年对农业合作社、种植大户及农民至少开展</w:t>
      </w:r>
      <w:r>
        <w:rPr>
          <w:b w:val="0"/>
          <w:bCs w:val="0"/>
          <w:color w:val="000000"/>
        </w:rPr>
        <w:t>1</w:t>
      </w:r>
      <w:r>
        <w:rPr>
          <w:rFonts w:hint="eastAsia"/>
          <w:b w:val="0"/>
          <w:bCs w:val="0"/>
          <w:color w:val="000000"/>
        </w:rPr>
        <w:t>次农业知识与技术培训。</w:t>
      </w:r>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bookmarkStart w:id="119" w:name="_Toc15449"/>
      <w:bookmarkStart w:id="120" w:name="_Toc91340046"/>
      <w:bookmarkStart w:id="121" w:name="_Toc21588"/>
      <w:bookmarkStart w:id="122" w:name="_Toc91339869"/>
      <w:r>
        <w:rPr>
          <w:rFonts w:hint="eastAsia"/>
          <w:b w:val="0"/>
          <w:bCs w:val="0"/>
          <w:color w:val="000000"/>
        </w:rPr>
        <w:t>2</w:t>
      </w:r>
      <w:r>
        <w:rPr>
          <w:b w:val="0"/>
          <w:bCs w:val="0"/>
          <w:color w:val="000000"/>
        </w:rPr>
        <w:t>.强化监督执法</w:t>
      </w:r>
      <w:bookmarkEnd w:id="119"/>
      <w:bookmarkEnd w:id="120"/>
      <w:bookmarkEnd w:id="121"/>
      <w:bookmarkEnd w:id="122"/>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（1）加大执法力度</w:t>
      </w:r>
      <w:r>
        <w:rPr>
          <w:rFonts w:hint="eastAsia"/>
          <w:b w:val="0"/>
          <w:bCs w:val="0"/>
          <w:color w:val="000000"/>
          <w:lang w:eastAsia="zh-CN"/>
        </w:rPr>
        <w:t>。</w:t>
      </w:r>
      <w:r>
        <w:rPr>
          <w:rFonts w:hint="eastAsia"/>
          <w:b w:val="0"/>
          <w:bCs w:val="0"/>
          <w:color w:val="000000"/>
        </w:rPr>
        <w:t>将土壤污染防治作为环境监管执法的重要内容，加强土壤环境日常监管执法。重点监管有色金属冶炼、化工、医药、电镀、危险废物处置、制革等重污染行业企业。严厉打击违法违规存放危险化学品、非法处置危险废物、不正常使用污染治理设施、监测数据弄虚作假等环境违法行为。</w:t>
      </w:r>
      <w:bookmarkStart w:id="123" w:name="OLE_LINK1"/>
      <w:r>
        <w:rPr>
          <w:rFonts w:hint="eastAsia"/>
          <w:b w:val="0"/>
          <w:bCs w:val="0"/>
          <w:color w:val="000000"/>
        </w:rPr>
        <w:t>加大环境监管监测，提升监测预报预警、信息化能力和保障水平，推进监测与监管协调联动；严格落实重金属企业监督性监测频次，加大对重金属企业违法行为的查处力度；开展重点行业企业专项环境执法，对严重污染土壤环境、群众反映强烈的企业进行挂牌督办。</w:t>
      </w:r>
      <w:bookmarkEnd w:id="123"/>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 w:val="0"/>
          <w:bCs w:val="0"/>
          <w:color w:val="000000"/>
        </w:rPr>
      </w:pPr>
      <w:r>
        <w:rPr>
          <w:rFonts w:hint="eastAsia"/>
          <w:b w:val="0"/>
          <w:bCs w:val="0"/>
          <w:color w:val="000000"/>
        </w:rPr>
        <w:t>（2）健全行政执法与刑事司法衔接机制</w:t>
      </w:r>
      <w:r>
        <w:rPr>
          <w:rFonts w:hint="eastAsia"/>
          <w:b w:val="0"/>
          <w:bCs w:val="0"/>
          <w:color w:val="000000"/>
          <w:lang w:eastAsia="zh-CN"/>
        </w:rPr>
        <w:t>。</w:t>
      </w:r>
      <w:r>
        <w:rPr>
          <w:rFonts w:hint="eastAsia"/>
          <w:b w:val="0"/>
          <w:bCs w:val="0"/>
          <w:color w:val="000000"/>
        </w:rPr>
        <w:t>健全区生态环境局、公安局、司法局等部门环境行政执法与刑事司法联动机制，形成打击环境违法犯罪行为的合力。深入开展环境保护大检查，对环境违法行为“零容忍”，重点打击非法排放、倾倒、填埋含重金属、有毒有害物行为，并依法追究民事、行政、刑事责任。</w:t>
      </w:r>
      <w:bookmarkStart w:id="124" w:name="_Toc91340047"/>
      <w:bookmarkStart w:id="125" w:name="_Toc22657"/>
      <w:bookmarkStart w:id="126" w:name="_Toc91339870"/>
    </w:p>
    <w:p>
      <w:pPr>
        <w:pStyle w:val="6"/>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r>
        <w:rPr>
          <w:rFonts w:eastAsia="方正仿宋_GBK"/>
          <w:b w:val="0"/>
          <w:bCs w:val="0"/>
          <w:color w:val="000000"/>
          <w:kern w:val="0"/>
          <w:sz w:val="32"/>
          <w:szCs w:val="32"/>
          <w:lang w:val="en-US" w:eastAsia="zh-CN" w:bidi="ar-SA"/>
        </w:rPr>
        <w:t>3.</w:t>
      </w:r>
      <w:r>
        <w:rPr>
          <w:rFonts w:hint="eastAsia" w:eastAsia="方正仿宋_GBK"/>
          <w:b w:val="0"/>
          <w:bCs w:val="0"/>
          <w:color w:val="000000"/>
          <w:kern w:val="0"/>
          <w:sz w:val="32"/>
          <w:szCs w:val="32"/>
          <w:lang w:val="en-US" w:eastAsia="zh-CN" w:bidi="ar-SA"/>
        </w:rPr>
        <w:t>加强技术推广。</w:t>
      </w:r>
      <w:r>
        <w:rPr>
          <w:rFonts w:hint="eastAsia"/>
          <w:b w:val="0"/>
          <w:bCs w:val="0"/>
          <w:color w:val="000000"/>
        </w:rPr>
        <w:t>比选形成一批成熟适用、经济可行的技术、装备和管理模式，加强成果转化和推广应用。在农用地方面，重点推广品种调整、优化施肥、水分调控、叶面调控、深翻耕等农艺调控技术。在污染地块方面，重点筛选经济高效的修复技术。积极完善土壤污染防治科技成果转化机制，支持本土环保企业开展土壤污染防治技术装备研发，推动土壤污染防治科技成果的应用转化。</w:t>
      </w:r>
      <w:bookmarkEnd w:id="124"/>
      <w:bookmarkEnd w:id="125"/>
      <w:bookmarkEnd w:id="126"/>
    </w:p>
    <w:p>
      <w:pPr>
        <w:pStyle w:val="29"/>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bCs w:val="0"/>
          <w:color w:val="000000"/>
        </w:rPr>
      </w:pPr>
      <w:bookmarkStart w:id="127" w:name="_Toc58707388"/>
      <w:bookmarkStart w:id="128" w:name="_Toc10983"/>
      <w:r>
        <w:rPr>
          <w:rStyle w:val="42"/>
          <w:rFonts w:hint="eastAsia" w:ascii="方正黑体_GBK" w:hAnsi="方正黑体_GBK" w:eastAsia="方正黑体_GBK" w:cs="方正黑体_GBK"/>
          <w:b w:val="0"/>
          <w:bCs w:val="0"/>
          <w:szCs w:val="32"/>
          <w:lang w:val="en-US" w:eastAsia="zh-CN"/>
        </w:rPr>
        <w:t>四、重大工程</w:t>
      </w:r>
      <w:bookmarkEnd w:id="127"/>
      <w:bookmarkEnd w:id="128"/>
    </w:p>
    <w:p>
      <w:pPr>
        <w:pStyle w:val="3"/>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ascii="方正楷体_GBK" w:hAnsi="方正楷体_GBK" w:eastAsia="方正楷体_GBK" w:cs="方正楷体_GBK"/>
          <w:b w:val="0"/>
          <w:bCs w:val="0"/>
        </w:rPr>
      </w:pPr>
      <w:bookmarkStart w:id="129" w:name="_Toc58707389"/>
      <w:bookmarkStart w:id="130" w:name="_Toc16526"/>
      <w:r>
        <w:rPr>
          <w:rFonts w:hint="eastAsia" w:ascii="方正楷体_GBK" w:hAnsi="方正楷体_GBK" w:eastAsia="方正楷体_GBK" w:cs="方正楷体_GBK"/>
          <w:b w:val="0"/>
          <w:bCs w:val="0"/>
        </w:rPr>
        <w:t>（一）调查与评估工程</w:t>
      </w:r>
      <w:bookmarkEnd w:id="129"/>
      <w:bookmarkEnd w:id="130"/>
    </w:p>
    <w:p>
      <w:pPr>
        <w:pStyle w:val="5"/>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firstLineChars="200"/>
        <w:textAlignment w:val="auto"/>
        <w:rPr>
          <w:rFonts w:hint="eastAsia"/>
          <w:b w:val="0"/>
          <w:bCs w:val="0"/>
          <w:color w:val="000000"/>
        </w:rPr>
      </w:pPr>
      <w:bookmarkStart w:id="131" w:name="_Toc11937"/>
      <w:bookmarkStart w:id="132" w:name="_Toc91340050"/>
      <w:bookmarkStart w:id="133" w:name="_Toc13861"/>
      <w:bookmarkStart w:id="134" w:name="_Toc91339873"/>
      <w:r>
        <w:rPr>
          <w:b w:val="0"/>
          <w:bCs w:val="0"/>
          <w:color w:val="000000"/>
        </w:rPr>
        <w:t>1.土壤环境状况调查</w:t>
      </w:r>
      <w:r>
        <w:rPr>
          <w:rFonts w:hint="eastAsia"/>
          <w:b w:val="0"/>
          <w:bCs w:val="0"/>
          <w:color w:val="000000"/>
        </w:rPr>
        <w:t>评估</w:t>
      </w:r>
      <w:r>
        <w:rPr>
          <w:b w:val="0"/>
          <w:bCs w:val="0"/>
          <w:color w:val="000000"/>
        </w:rPr>
        <w:t>工程</w:t>
      </w:r>
      <w:r>
        <w:rPr>
          <w:rFonts w:hint="eastAsia"/>
          <w:b w:val="0"/>
          <w:bCs w:val="0"/>
          <w:color w:val="000000"/>
          <w:lang w:eastAsia="zh-CN"/>
        </w:rPr>
        <w:t>。</w:t>
      </w:r>
      <w:r>
        <w:rPr>
          <w:b w:val="0"/>
          <w:bCs w:val="0"/>
          <w:color w:val="000000"/>
        </w:rPr>
        <w:t>以有色金属冶炼、化工、医药、电镀、危险废物处置、制革等为重点</w:t>
      </w:r>
      <w:r>
        <w:rPr>
          <w:rFonts w:hint="eastAsia"/>
          <w:b w:val="0"/>
          <w:bCs w:val="0"/>
          <w:color w:val="000000"/>
        </w:rPr>
        <w:t>，</w:t>
      </w:r>
      <w:r>
        <w:rPr>
          <w:b w:val="0"/>
          <w:bCs w:val="0"/>
          <w:color w:val="000000"/>
        </w:rPr>
        <w:t>开展土壤污染状况调查</w:t>
      </w:r>
      <w:r>
        <w:rPr>
          <w:rFonts w:hint="eastAsia"/>
          <w:b w:val="0"/>
          <w:bCs w:val="0"/>
          <w:color w:val="000000"/>
        </w:rPr>
        <w:t>评估</w:t>
      </w:r>
      <w:r>
        <w:rPr>
          <w:b w:val="0"/>
          <w:bCs w:val="0"/>
          <w:color w:val="000000"/>
        </w:rPr>
        <w:t>工程</w:t>
      </w:r>
      <w:r>
        <w:rPr>
          <w:rFonts w:hint="eastAsia"/>
          <w:b w:val="0"/>
          <w:bCs w:val="0"/>
          <w:color w:val="000000"/>
        </w:rPr>
        <w:t>，规范填报重庆土壤信息系统和全国污染地块土壤环境管理系统。</w:t>
      </w:r>
      <w:bookmarkEnd w:id="131"/>
      <w:bookmarkEnd w:id="132"/>
      <w:bookmarkEnd w:id="133"/>
      <w:bookmarkEnd w:id="134"/>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880" w:type="dxa"/>
            <w:noWrap w:val="0"/>
            <w:vAlign w:val="center"/>
          </w:tcPr>
          <w:p>
            <w:pPr>
              <w:spacing w:line="240" w:lineRule="auto"/>
              <w:ind w:firstLine="0" w:firstLineChars="0"/>
              <w:jc w:val="center"/>
              <w:rPr>
                <w:rFonts w:hint="eastAsia"/>
                <w:b w:val="0"/>
                <w:bCs w:val="0"/>
                <w:color w:val="000000"/>
                <w:sz w:val="24"/>
                <w:szCs w:val="24"/>
              </w:rPr>
            </w:pPr>
            <w:bookmarkStart w:id="135" w:name="_Hlk86241265"/>
            <w:r>
              <w:rPr>
                <w:rFonts w:hint="eastAsia" w:ascii="方正楷体_GBK" w:hAnsi="方正楷体_GBK" w:eastAsia="方正楷体_GBK" w:cs="方正楷体_GBK"/>
                <w:b w:val="0"/>
                <w:bCs w:val="0"/>
                <w:color w:val="000000"/>
                <w:sz w:val="24"/>
                <w:szCs w:val="24"/>
              </w:rPr>
              <w:t>专栏6 土壤环境状况调查评估工程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880" w:type="dxa"/>
            <w:noWrap w:val="0"/>
            <w:vAlign w:val="center"/>
          </w:tcPr>
          <w:p>
            <w:pPr>
              <w:numPr>
                <w:ilvl w:val="0"/>
                <w:numId w:val="8"/>
              </w:numPr>
              <w:spacing w:line="240" w:lineRule="auto"/>
              <w:ind w:firstLineChars="0"/>
              <w:jc w:val="left"/>
              <w:rPr>
                <w:b w:val="0"/>
                <w:bCs w:val="0"/>
                <w:color w:val="000000"/>
                <w:sz w:val="24"/>
                <w:szCs w:val="24"/>
              </w:rPr>
            </w:pPr>
            <w:r>
              <w:rPr>
                <w:rFonts w:hint="eastAsia"/>
                <w:b w:val="0"/>
                <w:bCs w:val="0"/>
                <w:color w:val="000000"/>
                <w:sz w:val="24"/>
                <w:szCs w:val="24"/>
              </w:rPr>
              <w:t>重庆市永川区衡泰化工有限责任公司原址地块土壤污染状况调查；</w:t>
            </w:r>
          </w:p>
          <w:p>
            <w:pPr>
              <w:numPr>
                <w:ilvl w:val="0"/>
                <w:numId w:val="8"/>
              </w:numPr>
              <w:spacing w:line="240" w:lineRule="auto"/>
              <w:ind w:firstLineChars="0"/>
              <w:jc w:val="left"/>
              <w:rPr>
                <w:b w:val="0"/>
                <w:bCs w:val="0"/>
                <w:color w:val="000000"/>
                <w:sz w:val="24"/>
                <w:szCs w:val="24"/>
              </w:rPr>
            </w:pPr>
            <w:r>
              <w:rPr>
                <w:rFonts w:hint="eastAsia"/>
                <w:b w:val="0"/>
                <w:bCs w:val="0"/>
                <w:color w:val="000000"/>
                <w:sz w:val="24"/>
                <w:szCs w:val="24"/>
              </w:rPr>
              <w:t>重庆大安盈德特种气体有限公司地块土壤污染状况调查；</w:t>
            </w:r>
          </w:p>
          <w:p>
            <w:pPr>
              <w:numPr>
                <w:ilvl w:val="0"/>
                <w:numId w:val="8"/>
              </w:numPr>
              <w:spacing w:line="240" w:lineRule="auto"/>
              <w:ind w:firstLineChars="0"/>
              <w:jc w:val="left"/>
              <w:rPr>
                <w:b w:val="0"/>
                <w:bCs w:val="0"/>
                <w:color w:val="000000"/>
                <w:sz w:val="24"/>
                <w:szCs w:val="24"/>
              </w:rPr>
            </w:pPr>
            <w:r>
              <w:rPr>
                <w:rFonts w:hint="eastAsia"/>
                <w:b w:val="0"/>
                <w:bCs w:val="0"/>
                <w:color w:val="000000"/>
                <w:sz w:val="24"/>
                <w:szCs w:val="24"/>
              </w:rPr>
              <w:t>重庆市永川区名键钢制品有限公司地块土壤污染状况调查；</w:t>
            </w:r>
          </w:p>
          <w:p>
            <w:pPr>
              <w:numPr>
                <w:ilvl w:val="0"/>
                <w:numId w:val="8"/>
              </w:numPr>
              <w:spacing w:line="240" w:lineRule="auto"/>
              <w:ind w:firstLineChars="0"/>
              <w:jc w:val="left"/>
              <w:rPr>
                <w:b w:val="0"/>
                <w:bCs w:val="0"/>
                <w:color w:val="000000"/>
                <w:sz w:val="24"/>
                <w:szCs w:val="24"/>
              </w:rPr>
            </w:pPr>
            <w:r>
              <w:rPr>
                <w:rFonts w:hint="eastAsia"/>
                <w:b w:val="0"/>
                <w:bCs w:val="0"/>
                <w:color w:val="000000"/>
                <w:sz w:val="24"/>
                <w:szCs w:val="24"/>
              </w:rPr>
              <w:t>重庆西源凸轮轴有限公司地块土壤污染状况详细调查及风险评估；</w:t>
            </w:r>
          </w:p>
          <w:p>
            <w:pPr>
              <w:numPr>
                <w:ilvl w:val="0"/>
                <w:numId w:val="8"/>
              </w:numPr>
              <w:spacing w:line="240" w:lineRule="auto"/>
              <w:ind w:firstLineChars="0"/>
              <w:jc w:val="left"/>
              <w:rPr>
                <w:rFonts w:hint="eastAsia"/>
                <w:b w:val="0"/>
                <w:bCs w:val="0"/>
                <w:color w:val="000000"/>
                <w:sz w:val="24"/>
                <w:szCs w:val="24"/>
              </w:rPr>
            </w:pPr>
            <w:r>
              <w:rPr>
                <w:rFonts w:hint="eastAsia"/>
                <w:b w:val="0"/>
                <w:bCs w:val="0"/>
                <w:color w:val="000000"/>
                <w:sz w:val="24"/>
                <w:szCs w:val="24"/>
              </w:rPr>
              <w:t>重庆树荣作物科学有限公司地块土壤污染状况详细调查及风险评估。</w:t>
            </w:r>
          </w:p>
        </w:tc>
      </w:tr>
      <w:bookmarkEnd w:id="135"/>
    </w:tbl>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632" w:firstLineChars="200"/>
        <w:jc w:val="both"/>
        <w:textAlignment w:val="auto"/>
        <w:outlineLvl w:val="9"/>
        <w:rPr>
          <w:b w:val="0"/>
          <w:bCs w:val="0"/>
          <w:kern w:val="0"/>
          <w:lang w:bidi="ar"/>
        </w:rPr>
      </w:pPr>
      <w:r>
        <w:rPr>
          <w:b w:val="0"/>
          <w:bCs w:val="0"/>
          <w:kern w:val="0"/>
          <w:lang w:bidi="ar"/>
        </w:rPr>
        <w:t>2.地下水生态环境调查评估工程</w:t>
      </w:r>
      <w:r>
        <w:rPr>
          <w:rFonts w:hint="eastAsia"/>
          <w:b w:val="0"/>
          <w:bCs w:val="0"/>
          <w:kern w:val="0"/>
          <w:lang w:bidi="ar"/>
        </w:rPr>
        <w:t>。配合市局开展“双源”地下水生态环境状况调查评估，针对“一企一库”“两场两区”等六类地下水重点污染源，实施地下水生态环境状况调查评估工程，积极推进永川中明港桥危险废物处置场地下水环境状况调查评估工程开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noWrap w:val="0"/>
            <w:vAlign w:val="center"/>
          </w:tcPr>
          <w:p>
            <w:pPr>
              <w:spacing w:line="240" w:lineRule="auto"/>
              <w:ind w:firstLine="0" w:firstLineChars="0"/>
              <w:jc w:val="center"/>
              <w:rPr>
                <w:rFonts w:hint="eastAsia"/>
                <w:b w:val="0"/>
                <w:bCs w:val="0"/>
                <w:color w:val="000000"/>
                <w:sz w:val="24"/>
                <w:szCs w:val="24"/>
              </w:rPr>
            </w:pPr>
            <w:r>
              <w:rPr>
                <w:rFonts w:hint="eastAsia" w:ascii="方正楷体_GBK" w:hAnsi="方正楷体_GBK" w:eastAsia="方正楷体_GBK" w:cs="方正楷体_GBK"/>
                <w:b w:val="0"/>
                <w:bCs w:val="0"/>
                <w:color w:val="000000"/>
                <w:sz w:val="24"/>
                <w:szCs w:val="24"/>
              </w:rPr>
              <w:t>专栏7 地下水环境状况调查工程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noWrap w:val="0"/>
            <w:vAlign w:val="center"/>
          </w:tcPr>
          <w:p>
            <w:pPr>
              <w:spacing w:line="240" w:lineRule="auto"/>
              <w:ind w:firstLine="0" w:firstLineChars="0"/>
              <w:rPr>
                <w:rFonts w:hint="eastAsia"/>
                <w:b w:val="0"/>
                <w:bCs w:val="0"/>
                <w:color w:val="000000"/>
                <w:sz w:val="24"/>
                <w:szCs w:val="24"/>
              </w:rPr>
            </w:pPr>
            <w:r>
              <w:rPr>
                <w:rFonts w:hint="eastAsia"/>
                <w:b w:val="0"/>
                <w:bCs w:val="0"/>
                <w:color w:val="000000"/>
                <w:sz w:val="24"/>
                <w:szCs w:val="24"/>
              </w:rPr>
              <w:t>永川中明港桥危险废物处置场地下水环境状况调查评估。</w:t>
            </w:r>
          </w:p>
        </w:tc>
      </w:tr>
    </w:tbl>
    <w:p>
      <w:pPr>
        <w:pStyle w:val="3"/>
        <w:keepNext w:val="0"/>
        <w:keepLines w:val="0"/>
        <w:pageBreakBefore w:val="0"/>
        <w:widowControl w:val="0"/>
        <w:kinsoku/>
        <w:wordWrap/>
        <w:overflowPunct/>
        <w:topLinePunct w:val="0"/>
        <w:autoSpaceDE/>
        <w:autoSpaceDN/>
        <w:bidi w:val="0"/>
        <w:adjustRightInd/>
        <w:snapToGrid w:val="0"/>
        <w:spacing w:line="276" w:lineRule="auto"/>
        <w:ind w:left="0" w:leftChars="0" w:right="0" w:rightChars="0" w:firstLine="632" w:firstLineChars="200"/>
        <w:textAlignment w:val="auto"/>
        <w:rPr>
          <w:rFonts w:hint="eastAsia" w:ascii="方正楷体_GBK" w:hAnsi="方正楷体_GBK" w:eastAsia="方正楷体_GBK" w:cs="方正楷体_GBK"/>
          <w:b w:val="0"/>
          <w:bCs w:val="0"/>
        </w:rPr>
      </w:pPr>
      <w:bookmarkStart w:id="136" w:name="_Toc27049"/>
      <w:bookmarkStart w:id="137" w:name="_Toc58707390"/>
      <w:r>
        <w:rPr>
          <w:rFonts w:hint="eastAsia" w:ascii="方正楷体_GBK" w:hAnsi="方正楷体_GBK" w:eastAsia="方正楷体_GBK" w:cs="方正楷体_GBK"/>
          <w:b w:val="0"/>
          <w:bCs w:val="0"/>
        </w:rPr>
        <w:t>（二）治理修复与风险管控工程</w:t>
      </w:r>
      <w:bookmarkEnd w:id="136"/>
      <w:bookmarkEnd w:id="137"/>
    </w:p>
    <w:p>
      <w:pPr>
        <w:pStyle w:val="5"/>
        <w:keepNext w:val="0"/>
        <w:keepLines w:val="0"/>
        <w:pageBreakBefore w:val="0"/>
        <w:widowControl w:val="0"/>
        <w:kinsoku/>
        <w:wordWrap/>
        <w:overflowPunct/>
        <w:topLinePunct w:val="0"/>
        <w:autoSpaceDE/>
        <w:autoSpaceDN/>
        <w:bidi w:val="0"/>
        <w:adjustRightInd/>
        <w:snapToGrid w:val="0"/>
        <w:spacing w:beforeLines="0" w:afterLines="0" w:line="276" w:lineRule="auto"/>
        <w:ind w:left="0" w:leftChars="0" w:right="0" w:rightChars="0" w:firstLine="632" w:firstLineChars="200"/>
        <w:textAlignment w:val="auto"/>
        <w:rPr>
          <w:b w:val="0"/>
          <w:bCs w:val="0"/>
          <w:color w:val="000000"/>
        </w:rPr>
      </w:pPr>
      <w:bookmarkStart w:id="138" w:name="_Toc91339875"/>
      <w:bookmarkStart w:id="139" w:name="_Toc19798"/>
      <w:bookmarkStart w:id="140" w:name="_Toc91340052"/>
      <w:bookmarkStart w:id="141" w:name="_Toc10870"/>
      <w:r>
        <w:rPr>
          <w:b w:val="0"/>
          <w:bCs w:val="0"/>
          <w:color w:val="000000"/>
        </w:rPr>
        <w:t>1.土壤风险管控与修复工程</w:t>
      </w:r>
      <w:r>
        <w:rPr>
          <w:rFonts w:hint="eastAsia"/>
          <w:b w:val="0"/>
          <w:bCs w:val="0"/>
          <w:color w:val="000000"/>
          <w:lang w:eastAsia="zh-CN"/>
        </w:rPr>
        <w:t>。</w:t>
      </w:r>
      <w:r>
        <w:rPr>
          <w:b w:val="0"/>
          <w:bCs w:val="0"/>
          <w:color w:val="000000"/>
        </w:rPr>
        <w:t>实施耕地土壤安全利用与修复工程，</w:t>
      </w:r>
      <w:r>
        <w:rPr>
          <w:rFonts w:hint="eastAsia"/>
          <w:b w:val="0"/>
          <w:bCs w:val="0"/>
          <w:color w:val="000000"/>
        </w:rPr>
        <w:t>实施建设用地土壤污染风险管控与修复工程，在污染地块数量多、土地开发利用强度大的区域，以无责任主体或责任主体灭失，用途变更为住宅、公共管理和公共服务用地的污染地块为重点，实施一批建设用地土壤污染状况调查及风险评估、风险管控与修复工程。</w:t>
      </w:r>
      <w:bookmarkEnd w:id="138"/>
      <w:bookmarkEnd w:id="139"/>
      <w:bookmarkEnd w:id="140"/>
      <w:bookmarkEnd w:id="141"/>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80" w:type="dxa"/>
            <w:noWrap w:val="0"/>
            <w:vAlign w:val="center"/>
          </w:tcPr>
          <w:p>
            <w:pPr>
              <w:spacing w:line="240" w:lineRule="auto"/>
              <w:ind w:firstLine="0" w:firstLineChars="0"/>
              <w:jc w:val="center"/>
              <w:rPr>
                <w:rFonts w:hint="eastAsia"/>
                <w:b w:val="0"/>
                <w:bCs w:val="0"/>
                <w:color w:val="000000"/>
                <w:sz w:val="24"/>
                <w:szCs w:val="24"/>
              </w:rPr>
            </w:pPr>
            <w:r>
              <w:rPr>
                <w:rFonts w:hint="eastAsia" w:ascii="方正楷体_GBK" w:hAnsi="方正楷体_GBK" w:eastAsia="方正楷体_GBK" w:cs="方正楷体_GBK"/>
                <w:b w:val="0"/>
                <w:bCs w:val="0"/>
                <w:color w:val="000000"/>
                <w:sz w:val="24"/>
                <w:szCs w:val="24"/>
              </w:rPr>
              <w:t>专栏8 土壤风险管控与修复工程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780" w:type="dxa"/>
            <w:noWrap w:val="0"/>
            <w:vAlign w:val="center"/>
          </w:tcPr>
          <w:p>
            <w:pPr>
              <w:adjustRightInd/>
              <w:spacing w:line="240" w:lineRule="auto"/>
              <w:ind w:firstLine="0" w:firstLineChars="0"/>
              <w:rPr>
                <w:b w:val="0"/>
                <w:bCs w:val="0"/>
                <w:color w:val="000000"/>
                <w:sz w:val="24"/>
                <w:szCs w:val="24"/>
              </w:rPr>
            </w:pPr>
            <w:r>
              <w:rPr>
                <w:rFonts w:hint="eastAsia"/>
                <w:b w:val="0"/>
                <w:bCs w:val="0"/>
                <w:color w:val="000000"/>
                <w:sz w:val="24"/>
                <w:szCs w:val="24"/>
              </w:rPr>
              <w:t>1.耕地土壤安全利用与修复工程：</w:t>
            </w:r>
          </w:p>
          <w:p>
            <w:pPr>
              <w:adjustRightInd/>
              <w:spacing w:line="240" w:lineRule="auto"/>
              <w:ind w:firstLine="0" w:firstLineChars="0"/>
              <w:rPr>
                <w:b w:val="0"/>
                <w:bCs w:val="0"/>
                <w:color w:val="000000"/>
                <w:sz w:val="24"/>
                <w:szCs w:val="24"/>
              </w:rPr>
            </w:pPr>
            <w:r>
              <w:rPr>
                <w:b w:val="0"/>
                <w:bCs w:val="0"/>
                <w:color w:val="000000"/>
                <w:sz w:val="24"/>
                <w:szCs w:val="24"/>
              </w:rPr>
              <w:t>完成农用地安全利用类任务46220.53亩。</w:t>
            </w:r>
          </w:p>
          <w:p>
            <w:pPr>
              <w:spacing w:line="240" w:lineRule="auto"/>
              <w:ind w:firstLine="0" w:firstLineChars="0"/>
              <w:rPr>
                <w:b w:val="0"/>
                <w:bCs w:val="0"/>
                <w:color w:val="000000"/>
                <w:sz w:val="24"/>
                <w:szCs w:val="24"/>
              </w:rPr>
            </w:pPr>
            <w:r>
              <w:rPr>
                <w:rFonts w:hint="eastAsia"/>
                <w:b w:val="0"/>
                <w:bCs w:val="0"/>
                <w:color w:val="000000"/>
                <w:sz w:val="24"/>
                <w:szCs w:val="24"/>
              </w:rPr>
              <w:t>2.建设用地土壤污染风险管控工程：</w:t>
            </w:r>
          </w:p>
          <w:p>
            <w:pPr>
              <w:numPr>
                <w:ilvl w:val="0"/>
                <w:numId w:val="9"/>
              </w:numPr>
              <w:spacing w:line="240" w:lineRule="auto"/>
              <w:ind w:firstLineChars="0"/>
              <w:jc w:val="left"/>
              <w:rPr>
                <w:b w:val="0"/>
                <w:bCs w:val="0"/>
                <w:color w:val="000000"/>
                <w:sz w:val="24"/>
                <w:szCs w:val="24"/>
              </w:rPr>
            </w:pPr>
            <w:r>
              <w:rPr>
                <w:rFonts w:hint="eastAsia"/>
                <w:b w:val="0"/>
                <w:bCs w:val="0"/>
                <w:color w:val="000000"/>
                <w:sz w:val="24"/>
                <w:szCs w:val="24"/>
              </w:rPr>
              <w:t>重庆永川石油化工有限责任公司炭黑车间土壤污染风险管控；</w:t>
            </w:r>
          </w:p>
          <w:p>
            <w:pPr>
              <w:numPr>
                <w:ilvl w:val="0"/>
                <w:numId w:val="9"/>
              </w:numPr>
              <w:spacing w:line="240" w:lineRule="auto"/>
              <w:ind w:firstLineChars="0"/>
              <w:jc w:val="left"/>
              <w:rPr>
                <w:b w:val="0"/>
                <w:bCs w:val="0"/>
                <w:color w:val="000000"/>
                <w:sz w:val="24"/>
                <w:szCs w:val="24"/>
              </w:rPr>
            </w:pPr>
            <w:r>
              <w:rPr>
                <w:rFonts w:hint="eastAsia"/>
                <w:b w:val="0"/>
                <w:bCs w:val="0"/>
                <w:color w:val="000000"/>
                <w:sz w:val="24"/>
                <w:szCs w:val="24"/>
              </w:rPr>
              <w:t>重庆市永川区莲花制革工业园区地块土壤污染风险管控。</w:t>
            </w:r>
          </w:p>
          <w:p>
            <w:pPr>
              <w:spacing w:line="240" w:lineRule="auto"/>
              <w:ind w:firstLine="0" w:firstLineChars="0"/>
              <w:rPr>
                <w:b w:val="0"/>
                <w:bCs w:val="0"/>
                <w:color w:val="000000"/>
                <w:sz w:val="24"/>
                <w:szCs w:val="24"/>
              </w:rPr>
            </w:pPr>
            <w:r>
              <w:rPr>
                <w:rFonts w:hint="eastAsia"/>
                <w:b w:val="0"/>
                <w:bCs w:val="0"/>
                <w:color w:val="000000"/>
                <w:sz w:val="24"/>
                <w:szCs w:val="24"/>
              </w:rPr>
              <w:t>3.建设用地土壤污染修复工程：</w:t>
            </w:r>
          </w:p>
          <w:p>
            <w:pPr>
              <w:numPr>
                <w:ilvl w:val="0"/>
                <w:numId w:val="10"/>
              </w:numPr>
              <w:spacing w:line="240" w:lineRule="auto"/>
              <w:ind w:firstLineChars="0"/>
              <w:rPr>
                <w:b w:val="0"/>
                <w:bCs w:val="0"/>
                <w:color w:val="000000"/>
                <w:sz w:val="24"/>
                <w:szCs w:val="24"/>
              </w:rPr>
            </w:pPr>
            <w:r>
              <w:rPr>
                <w:rFonts w:hint="eastAsia"/>
                <w:b w:val="0"/>
                <w:bCs w:val="0"/>
                <w:color w:val="000000"/>
                <w:sz w:val="24"/>
                <w:szCs w:val="24"/>
              </w:rPr>
              <w:t>重庆西源凸轮轴有限公司土壤污染治理与修复；</w:t>
            </w:r>
          </w:p>
          <w:p>
            <w:pPr>
              <w:numPr>
                <w:ilvl w:val="0"/>
                <w:numId w:val="10"/>
              </w:numPr>
              <w:spacing w:line="240" w:lineRule="auto"/>
              <w:ind w:firstLineChars="0"/>
              <w:rPr>
                <w:b w:val="0"/>
                <w:bCs w:val="0"/>
                <w:color w:val="000000"/>
                <w:sz w:val="24"/>
                <w:szCs w:val="24"/>
              </w:rPr>
            </w:pPr>
            <w:r>
              <w:rPr>
                <w:rFonts w:hint="eastAsia"/>
                <w:b w:val="0"/>
                <w:bCs w:val="0"/>
                <w:color w:val="000000"/>
                <w:sz w:val="24"/>
                <w:szCs w:val="24"/>
              </w:rPr>
              <w:t>重庆树荣作物科学有限公司土壤污染治理与修复；</w:t>
            </w:r>
          </w:p>
          <w:p>
            <w:pPr>
              <w:numPr>
                <w:ilvl w:val="0"/>
                <w:numId w:val="10"/>
              </w:numPr>
              <w:spacing w:line="240" w:lineRule="auto"/>
              <w:ind w:firstLineChars="0"/>
              <w:rPr>
                <w:rFonts w:hint="eastAsia"/>
                <w:b w:val="0"/>
                <w:bCs w:val="0"/>
                <w:color w:val="000000"/>
                <w:sz w:val="24"/>
                <w:szCs w:val="24"/>
              </w:rPr>
            </w:pPr>
            <w:r>
              <w:rPr>
                <w:rFonts w:hint="eastAsia"/>
                <w:b w:val="0"/>
                <w:bCs w:val="0"/>
                <w:color w:val="000000"/>
                <w:sz w:val="24"/>
                <w:szCs w:val="24"/>
              </w:rPr>
              <w:t>重庆中明环境治理有限公司土壤污染治理与修复。</w:t>
            </w:r>
          </w:p>
        </w:tc>
      </w:tr>
    </w:tbl>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632" w:firstLineChars="200"/>
        <w:jc w:val="both"/>
        <w:textAlignment w:val="auto"/>
        <w:outlineLvl w:val="9"/>
        <w:rPr>
          <w:b w:val="0"/>
          <w:bCs w:val="0"/>
          <w:kern w:val="0"/>
          <w:lang w:bidi="ar"/>
        </w:rPr>
      </w:pPr>
      <w:r>
        <w:rPr>
          <w:b w:val="0"/>
          <w:bCs w:val="0"/>
          <w:kern w:val="0"/>
          <w:lang w:bidi="ar"/>
        </w:rPr>
        <w:t>2.农业面源污染防治工程</w:t>
      </w:r>
      <w:r>
        <w:rPr>
          <w:rFonts w:hint="eastAsia"/>
          <w:b w:val="0"/>
          <w:bCs w:val="0"/>
          <w:kern w:val="0"/>
          <w:lang w:bidi="ar"/>
        </w:rPr>
        <w:t>。优化农业生产布局，实施源头减量、过程拦截、生态修复措施，发展绿色、有机农产品，整县推进农业投入品减量、废弃物资源化利用，促进重点流域水质和农业生态环境逐步改善。</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0" w:type="dxa"/>
            <w:noWrap w:val="0"/>
            <w:vAlign w:val="center"/>
          </w:tcPr>
          <w:p>
            <w:pPr>
              <w:adjustRightInd/>
              <w:spacing w:line="240" w:lineRule="auto"/>
              <w:ind w:firstLine="0" w:firstLineChars="0"/>
              <w:jc w:val="center"/>
              <w:rPr>
                <w:rFonts w:hint="eastAsia"/>
                <w:b w:val="0"/>
                <w:bCs w:val="0"/>
                <w:color w:val="000000"/>
                <w:sz w:val="24"/>
                <w:szCs w:val="24"/>
              </w:rPr>
            </w:pPr>
            <w:r>
              <w:rPr>
                <w:rFonts w:hint="eastAsia" w:ascii="方正楷体_GBK" w:hAnsi="方正楷体_GBK" w:eastAsia="方正楷体_GBK" w:cs="方正楷体_GBK"/>
                <w:b w:val="0"/>
                <w:bCs w:val="0"/>
                <w:color w:val="000000"/>
                <w:sz w:val="24"/>
                <w:szCs w:val="24"/>
              </w:rPr>
              <w:t>专栏9 农业面源污染防治工程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40" w:type="dxa"/>
            <w:noWrap w:val="0"/>
            <w:vAlign w:val="center"/>
          </w:tcPr>
          <w:p>
            <w:pPr>
              <w:adjustRightInd/>
              <w:spacing w:line="240" w:lineRule="auto"/>
              <w:ind w:firstLine="0" w:firstLineChars="0"/>
              <w:rPr>
                <w:b w:val="0"/>
                <w:bCs w:val="0"/>
                <w:color w:val="000000"/>
                <w:sz w:val="24"/>
                <w:szCs w:val="24"/>
              </w:rPr>
            </w:pPr>
            <w:r>
              <w:rPr>
                <w:rFonts w:hint="eastAsia"/>
                <w:b w:val="0"/>
                <w:bCs w:val="0"/>
                <w:color w:val="000000"/>
                <w:sz w:val="24"/>
                <w:szCs w:val="24"/>
              </w:rPr>
              <w:t>1.农村种植业污染防治：</w:t>
            </w:r>
          </w:p>
          <w:p>
            <w:pPr>
              <w:numPr>
                <w:ilvl w:val="0"/>
                <w:numId w:val="11"/>
              </w:numPr>
              <w:adjustRightInd/>
              <w:spacing w:line="240" w:lineRule="auto"/>
              <w:ind w:firstLineChars="0"/>
              <w:rPr>
                <w:b w:val="0"/>
                <w:bCs w:val="0"/>
                <w:color w:val="000000"/>
                <w:sz w:val="24"/>
                <w:szCs w:val="24"/>
              </w:rPr>
            </w:pPr>
            <w:r>
              <w:rPr>
                <w:rFonts w:hint="eastAsia"/>
                <w:b w:val="0"/>
                <w:bCs w:val="0"/>
                <w:color w:val="000000"/>
                <w:sz w:val="24"/>
                <w:szCs w:val="24"/>
              </w:rPr>
              <w:t>开展化肥农药减量化种植；冬水田蓄水、翻耕等；</w:t>
            </w:r>
          </w:p>
          <w:p>
            <w:pPr>
              <w:numPr>
                <w:ilvl w:val="0"/>
                <w:numId w:val="11"/>
              </w:numPr>
              <w:adjustRightInd/>
              <w:spacing w:line="240" w:lineRule="auto"/>
              <w:ind w:firstLineChars="0"/>
              <w:rPr>
                <w:b w:val="0"/>
                <w:bCs w:val="0"/>
                <w:color w:val="000000"/>
                <w:sz w:val="24"/>
                <w:szCs w:val="24"/>
              </w:rPr>
            </w:pPr>
            <w:r>
              <w:rPr>
                <w:b w:val="0"/>
                <w:bCs w:val="0"/>
                <w:color w:val="000000"/>
                <w:sz w:val="24"/>
                <w:szCs w:val="24"/>
              </w:rPr>
              <w:t>推广果（菜、茶）有机肥替代化肥</w:t>
            </w:r>
            <w:r>
              <w:rPr>
                <w:rFonts w:hint="eastAsia"/>
                <w:b w:val="0"/>
                <w:bCs w:val="0"/>
                <w:color w:val="000000"/>
                <w:sz w:val="24"/>
                <w:szCs w:val="24"/>
              </w:rPr>
              <w:t>技术。</w:t>
            </w:r>
          </w:p>
          <w:p>
            <w:pPr>
              <w:adjustRightInd/>
              <w:spacing w:line="240" w:lineRule="auto"/>
              <w:ind w:firstLine="0" w:firstLineChars="0"/>
              <w:rPr>
                <w:b w:val="0"/>
                <w:bCs w:val="0"/>
                <w:color w:val="000000"/>
                <w:sz w:val="24"/>
                <w:szCs w:val="24"/>
              </w:rPr>
            </w:pPr>
            <w:r>
              <w:rPr>
                <w:rFonts w:hint="eastAsia"/>
                <w:b w:val="0"/>
                <w:bCs w:val="0"/>
                <w:color w:val="000000"/>
                <w:sz w:val="24"/>
                <w:szCs w:val="24"/>
              </w:rPr>
              <w:t>2.农村养殖业污染防治：</w:t>
            </w:r>
          </w:p>
          <w:p>
            <w:pPr>
              <w:numPr>
                <w:ilvl w:val="0"/>
                <w:numId w:val="12"/>
              </w:numPr>
              <w:adjustRightInd/>
              <w:spacing w:line="240" w:lineRule="auto"/>
              <w:ind w:firstLineChars="0"/>
              <w:rPr>
                <w:b w:val="0"/>
                <w:bCs w:val="0"/>
                <w:color w:val="000000"/>
                <w:sz w:val="24"/>
                <w:szCs w:val="24"/>
              </w:rPr>
            </w:pPr>
            <w:r>
              <w:rPr>
                <w:rFonts w:hint="eastAsia"/>
                <w:b w:val="0"/>
                <w:bCs w:val="0"/>
                <w:color w:val="000000"/>
                <w:sz w:val="24"/>
                <w:szCs w:val="24"/>
              </w:rPr>
              <w:t>规模化以上水产养殖尾水有效治理；</w:t>
            </w:r>
          </w:p>
          <w:p>
            <w:pPr>
              <w:numPr>
                <w:ilvl w:val="0"/>
                <w:numId w:val="12"/>
              </w:numPr>
              <w:adjustRightInd/>
              <w:spacing w:line="240" w:lineRule="auto"/>
              <w:ind w:firstLineChars="0"/>
              <w:rPr>
                <w:b w:val="0"/>
                <w:bCs w:val="0"/>
                <w:color w:val="000000"/>
                <w:sz w:val="24"/>
                <w:szCs w:val="24"/>
              </w:rPr>
            </w:pPr>
            <w:r>
              <w:rPr>
                <w:rFonts w:hint="eastAsia"/>
                <w:b w:val="0"/>
                <w:bCs w:val="0"/>
                <w:color w:val="000000"/>
                <w:sz w:val="24"/>
                <w:szCs w:val="24"/>
              </w:rPr>
              <w:t>实施重庆市永川区大竹溪水花基地段水生态修复+面源污染防治项目；</w:t>
            </w:r>
          </w:p>
          <w:p>
            <w:pPr>
              <w:numPr>
                <w:ilvl w:val="0"/>
                <w:numId w:val="12"/>
              </w:numPr>
              <w:adjustRightInd/>
              <w:spacing w:line="240" w:lineRule="auto"/>
              <w:ind w:firstLineChars="0"/>
              <w:rPr>
                <w:rFonts w:hint="eastAsia"/>
                <w:b w:val="0"/>
                <w:bCs w:val="0"/>
                <w:color w:val="000000"/>
                <w:sz w:val="24"/>
                <w:szCs w:val="24"/>
              </w:rPr>
            </w:pPr>
            <w:r>
              <w:rPr>
                <w:rFonts w:hint="eastAsia"/>
                <w:b w:val="0"/>
                <w:bCs w:val="0"/>
                <w:color w:val="000000"/>
                <w:sz w:val="24"/>
                <w:szCs w:val="24"/>
              </w:rPr>
              <w:t xml:space="preserve">实施何埂镇圣水河流域水产养殖尾水处理项目示范。 </w:t>
            </w:r>
          </w:p>
        </w:tc>
      </w:tr>
    </w:tbl>
    <w:p>
      <w:pPr>
        <w:pStyle w:val="5"/>
        <w:keepNext w:val="0"/>
        <w:keepLines w:val="0"/>
        <w:pageBreakBefore w:val="0"/>
        <w:widowControl w:val="0"/>
        <w:kinsoku/>
        <w:wordWrap/>
        <w:overflowPunct/>
        <w:topLinePunct w:val="0"/>
        <w:autoSpaceDE/>
        <w:autoSpaceDN/>
        <w:bidi w:val="0"/>
        <w:adjustRightInd/>
        <w:snapToGrid w:val="0"/>
        <w:spacing w:line="276" w:lineRule="auto"/>
        <w:ind w:left="0" w:leftChars="0" w:right="0" w:rightChars="0" w:firstLine="632" w:firstLineChars="200"/>
        <w:jc w:val="both"/>
        <w:textAlignment w:val="auto"/>
        <w:outlineLvl w:val="2"/>
        <w:rPr>
          <w:b w:val="0"/>
          <w:bCs w:val="0"/>
          <w:color w:val="000000"/>
          <w:lang w:eastAsia="zh-CN"/>
        </w:rPr>
      </w:pPr>
      <w:bookmarkStart w:id="142" w:name="_Toc10110"/>
      <w:bookmarkStart w:id="143" w:name="_Toc91340053"/>
      <w:bookmarkStart w:id="144" w:name="_Toc19833"/>
      <w:bookmarkStart w:id="145" w:name="_Toc91339876"/>
      <w:r>
        <w:rPr>
          <w:b w:val="0"/>
          <w:bCs w:val="0"/>
          <w:color w:val="000000"/>
        </w:rPr>
        <w:t>3.</w:t>
      </w:r>
      <w:bookmarkStart w:id="146" w:name="_Hlk83672901"/>
      <w:r>
        <w:rPr>
          <w:b w:val="0"/>
          <w:bCs w:val="0"/>
          <w:color w:val="000000"/>
        </w:rPr>
        <w:t>农村黑臭水体及生活污水治理工程</w:t>
      </w:r>
      <w:bookmarkEnd w:id="146"/>
      <w:r>
        <w:rPr>
          <w:rFonts w:hint="eastAsia"/>
          <w:b w:val="0"/>
          <w:bCs w:val="0"/>
          <w:color w:val="000000"/>
          <w:lang w:eastAsia="zh-CN"/>
        </w:rPr>
        <w:t>。</w:t>
      </w:r>
      <w:r>
        <w:rPr>
          <w:rFonts w:hint="eastAsia"/>
          <w:b w:val="0"/>
          <w:bCs w:val="0"/>
          <w:color w:val="000000"/>
        </w:rPr>
        <w:t>全区推进农村黑臭水体治理，实施截污纳管、清淤疏浚、水体及岸线垃圾清理、水体生态修复、水系连通等工程，开展污水处理设施建设和改造提升工程，加强农村水生态环境保护，防止水体返黑返臭</w:t>
      </w:r>
      <w:bookmarkEnd w:id="142"/>
      <w:r>
        <w:rPr>
          <w:rFonts w:hint="eastAsia"/>
          <w:b w:val="0"/>
          <w:bCs w:val="0"/>
          <w:color w:val="000000"/>
          <w:lang w:eastAsia="zh-CN"/>
        </w:rPr>
        <w:t>。</w:t>
      </w:r>
      <w:bookmarkEnd w:id="143"/>
      <w:bookmarkEnd w:id="144"/>
      <w:bookmarkEnd w:id="145"/>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80" w:type="dxa"/>
            <w:noWrap w:val="0"/>
            <w:vAlign w:val="center"/>
          </w:tcPr>
          <w:p>
            <w:pPr>
              <w:adjustRightInd/>
              <w:spacing w:line="240" w:lineRule="auto"/>
              <w:ind w:firstLine="0" w:firstLineChars="0"/>
              <w:jc w:val="center"/>
              <w:rPr>
                <w:rFonts w:hint="eastAsia"/>
                <w:b w:val="0"/>
                <w:bCs w:val="0"/>
                <w:color w:val="000000"/>
                <w:sz w:val="24"/>
                <w:szCs w:val="24"/>
              </w:rPr>
            </w:pPr>
            <w:r>
              <w:rPr>
                <w:rFonts w:hint="eastAsia" w:ascii="方正楷体_GBK" w:hAnsi="方正楷体_GBK" w:eastAsia="方正楷体_GBK" w:cs="方正楷体_GBK"/>
                <w:b w:val="0"/>
                <w:bCs w:val="0"/>
                <w:color w:val="000000"/>
                <w:sz w:val="24"/>
                <w:szCs w:val="24"/>
              </w:rPr>
              <w:t>专栏10 农村黑臭水体及生活污水治理工程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680" w:type="dxa"/>
            <w:noWrap w:val="0"/>
            <w:vAlign w:val="center"/>
          </w:tcPr>
          <w:p>
            <w:pPr>
              <w:adjustRightInd/>
              <w:spacing w:line="240" w:lineRule="auto"/>
              <w:ind w:firstLine="0" w:firstLineChars="0"/>
              <w:rPr>
                <w:b w:val="0"/>
                <w:bCs w:val="0"/>
                <w:color w:val="000000"/>
                <w:sz w:val="24"/>
                <w:szCs w:val="24"/>
              </w:rPr>
            </w:pPr>
            <w:r>
              <w:rPr>
                <w:rFonts w:hint="eastAsia"/>
                <w:b w:val="0"/>
                <w:bCs w:val="0"/>
                <w:color w:val="000000"/>
                <w:sz w:val="24"/>
                <w:szCs w:val="24"/>
              </w:rPr>
              <w:t>1.农村黑臭水体治理工程：</w:t>
            </w:r>
          </w:p>
          <w:p>
            <w:pPr>
              <w:adjustRightInd/>
              <w:spacing w:line="240" w:lineRule="auto"/>
              <w:ind w:firstLine="0" w:firstLineChars="0"/>
              <w:rPr>
                <w:b w:val="0"/>
                <w:bCs w:val="0"/>
                <w:color w:val="000000"/>
                <w:sz w:val="24"/>
                <w:szCs w:val="24"/>
              </w:rPr>
            </w:pPr>
            <w:r>
              <w:rPr>
                <w:b w:val="0"/>
                <w:bCs w:val="0"/>
                <w:color w:val="000000"/>
                <w:sz w:val="24"/>
                <w:szCs w:val="24"/>
              </w:rPr>
              <w:t>实施农村</w:t>
            </w:r>
            <w:r>
              <w:rPr>
                <w:rFonts w:hint="eastAsia"/>
                <w:b w:val="0"/>
                <w:bCs w:val="0"/>
                <w:color w:val="000000"/>
                <w:sz w:val="24"/>
                <w:szCs w:val="24"/>
              </w:rPr>
              <w:t>黑臭水体</w:t>
            </w:r>
            <w:r>
              <w:rPr>
                <w:b w:val="0"/>
                <w:bCs w:val="0"/>
                <w:color w:val="000000"/>
                <w:sz w:val="24"/>
                <w:szCs w:val="24"/>
              </w:rPr>
              <w:t>专项治理工程，以镇街为单位消除</w:t>
            </w:r>
            <w:r>
              <w:rPr>
                <w:rFonts w:hint="eastAsia"/>
                <w:b w:val="0"/>
                <w:bCs w:val="0"/>
                <w:color w:val="000000"/>
                <w:sz w:val="24"/>
                <w:szCs w:val="24"/>
              </w:rPr>
              <w:t>农村</w:t>
            </w:r>
            <w:r>
              <w:rPr>
                <w:b w:val="0"/>
                <w:bCs w:val="0"/>
                <w:color w:val="000000"/>
                <w:sz w:val="24"/>
                <w:szCs w:val="24"/>
              </w:rPr>
              <w:t>黑臭水体。</w:t>
            </w:r>
            <w:r>
              <w:rPr>
                <w:rFonts w:hint="eastAsia"/>
                <w:b w:val="0"/>
                <w:bCs w:val="0"/>
                <w:color w:val="000000"/>
                <w:sz w:val="24"/>
                <w:szCs w:val="24"/>
              </w:rPr>
              <w:t>完成马银河支流（河）、大通河（河）、堰坝桥小河沟（河）、竹溪河油坊桥生活污水排口（河）、金龙河樱花谷段（河）、九龙河油坊沟（河）、金鼎村新屋院子（河）、圣水河景圣村段（河）、王坪河王坪村段（河）、转龙小溪河（河）、蔡家湾关门四社沟（沟渠）、瓦窑三队污水沟（沟渠）、瓦窑南华小区背后沟（沟渠）、砖房院子沟（沟渠）、夏家河坝沟（沟渠）、东王庙沟（沟渠）、石堰沟（沟渠）、三星桥小河（沟渠）、石庙社区排污沟进入金星水库大安街道二郎坝村段（沟渠）、乐和乐都污水处理站外溪沟（沟渠）、凤桥河登东场镇段（沟渠）、柳和物流排污沟（沟渠）、吴先金宰鸭厂排污口（沟渠）、宝峰河宝峰场镇段（沟渠）等</w:t>
            </w:r>
            <w:r>
              <w:rPr>
                <w:b w:val="0"/>
                <w:bCs w:val="0"/>
                <w:color w:val="000000"/>
                <w:sz w:val="24"/>
                <w:szCs w:val="24"/>
              </w:rPr>
              <w:t>24</w:t>
            </w:r>
            <w:r>
              <w:rPr>
                <w:rFonts w:hint="eastAsia"/>
                <w:b w:val="0"/>
                <w:bCs w:val="0"/>
                <w:color w:val="000000"/>
                <w:sz w:val="24"/>
                <w:szCs w:val="24"/>
              </w:rPr>
              <w:t>条黑臭水体整治。</w:t>
            </w:r>
          </w:p>
          <w:p>
            <w:pPr>
              <w:adjustRightInd/>
              <w:spacing w:line="240" w:lineRule="auto"/>
              <w:ind w:firstLine="0" w:firstLineChars="0"/>
              <w:rPr>
                <w:b w:val="0"/>
                <w:bCs w:val="0"/>
                <w:color w:val="000000"/>
                <w:sz w:val="24"/>
                <w:szCs w:val="24"/>
              </w:rPr>
            </w:pPr>
            <w:r>
              <w:rPr>
                <w:rFonts w:hint="eastAsia"/>
                <w:b w:val="0"/>
                <w:bCs w:val="0"/>
                <w:color w:val="000000"/>
                <w:sz w:val="24"/>
                <w:szCs w:val="24"/>
              </w:rPr>
              <w:t>2.农村生活污水治理工程：</w:t>
            </w:r>
          </w:p>
          <w:p>
            <w:pPr>
              <w:adjustRightInd/>
              <w:spacing w:line="240" w:lineRule="auto"/>
              <w:ind w:firstLine="472"/>
              <w:rPr>
                <w:rFonts w:hint="eastAsia"/>
                <w:b w:val="0"/>
                <w:bCs w:val="0"/>
                <w:color w:val="000000"/>
                <w:sz w:val="24"/>
                <w:szCs w:val="24"/>
              </w:rPr>
            </w:pPr>
            <w:r>
              <w:rPr>
                <w:rFonts w:hint="eastAsia"/>
                <w:b w:val="0"/>
                <w:bCs w:val="0"/>
                <w:color w:val="000000"/>
                <w:sz w:val="24"/>
                <w:szCs w:val="24"/>
              </w:rPr>
              <w:t>新建农村无害化厕所1.5万个</w:t>
            </w:r>
            <w:r>
              <w:rPr>
                <w:b w:val="0"/>
                <w:bCs w:val="0"/>
                <w:color w:val="000000"/>
                <w:sz w:val="24"/>
                <w:szCs w:val="24"/>
              </w:rPr>
              <w:t>。</w:t>
            </w:r>
          </w:p>
        </w:tc>
      </w:tr>
    </w:tbl>
    <w:p>
      <w:pPr>
        <w:pStyle w:val="29"/>
        <w:keepNext w:val="0"/>
        <w:keepLines w:val="0"/>
        <w:pageBreakBefore w:val="0"/>
        <w:widowControl w:val="0"/>
        <w:kinsoku/>
        <w:wordWrap/>
        <w:overflowPunct/>
        <w:topLinePunct w:val="0"/>
        <w:autoSpaceDE/>
        <w:autoSpaceDN/>
        <w:bidi w:val="0"/>
        <w:adjustRightInd/>
        <w:snapToGrid w:val="0"/>
        <w:spacing w:beforeLines="0" w:afterLines="0" w:line="276" w:lineRule="auto"/>
        <w:ind w:left="0" w:leftChars="0" w:right="0" w:rightChars="0" w:firstLine="632" w:firstLineChars="200"/>
        <w:textAlignment w:val="auto"/>
        <w:rPr>
          <w:bCs w:val="0"/>
        </w:rPr>
      </w:pPr>
      <w:bookmarkStart w:id="147" w:name="_Toc58707392"/>
      <w:bookmarkStart w:id="148" w:name="_Toc3551"/>
      <w:r>
        <w:rPr>
          <w:rStyle w:val="42"/>
          <w:rFonts w:hint="eastAsia" w:ascii="方正黑体_GBK" w:hAnsi="方正黑体_GBK" w:eastAsia="方正黑体_GBK" w:cs="方正黑体_GBK"/>
          <w:b w:val="0"/>
          <w:bCs w:val="0"/>
          <w:szCs w:val="32"/>
          <w:lang w:val="en-US" w:eastAsia="zh-CN"/>
        </w:rPr>
        <w:t>五、保障措施</w:t>
      </w:r>
      <w:bookmarkEnd w:id="147"/>
      <w:bookmarkEnd w:id="148"/>
    </w:p>
    <w:p>
      <w:pPr>
        <w:pStyle w:val="3"/>
        <w:keepNext w:val="0"/>
        <w:keepLines w:val="0"/>
        <w:pageBreakBefore w:val="0"/>
        <w:widowControl w:val="0"/>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rPr>
          <w:rFonts w:hint="eastAsia" w:ascii="方正楷体_GBK" w:hAnsi="方正楷体_GBK" w:eastAsia="方正楷体_GBK" w:cs="方正楷体_GBK"/>
          <w:b w:val="0"/>
          <w:bCs w:val="0"/>
        </w:rPr>
      </w:pPr>
      <w:bookmarkStart w:id="149" w:name="_Toc845"/>
      <w:bookmarkStart w:id="150" w:name="_Toc58707393"/>
      <w:r>
        <w:rPr>
          <w:rFonts w:hint="eastAsia" w:ascii="方正楷体_GBK" w:hAnsi="方正楷体_GBK" w:eastAsia="方正楷体_GBK" w:cs="方正楷体_GBK"/>
          <w:b w:val="0"/>
          <w:bCs w:val="0"/>
        </w:rPr>
        <w:t>（一）</w:t>
      </w:r>
      <w:bookmarkStart w:id="151" w:name="_Hlk87563842"/>
      <w:r>
        <w:rPr>
          <w:rFonts w:hint="eastAsia" w:ascii="方正楷体_GBK" w:hAnsi="方正楷体_GBK" w:eastAsia="方正楷体_GBK" w:cs="方正楷体_GBK"/>
          <w:b w:val="0"/>
          <w:bCs w:val="0"/>
        </w:rPr>
        <w:t>加强组织领导</w:t>
      </w:r>
      <w:bookmarkEnd w:id="149"/>
      <w:bookmarkEnd w:id="150"/>
      <w:bookmarkEnd w:id="151"/>
      <w:bookmarkStart w:id="152" w:name="_Hlk87563799"/>
    </w:p>
    <w:p>
      <w:pPr>
        <w:pStyle w:val="3"/>
        <w:keepNext w:val="0"/>
        <w:keepLines w:val="0"/>
        <w:pageBreakBefore w:val="0"/>
        <w:widowControl w:val="0"/>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rPr>
          <w:rFonts w:hint="eastAsia" w:ascii="方正仿宋_GBK" w:hAnsi="方正仿宋_GBK" w:eastAsia="方正仿宋_GBK" w:cs="方正仿宋_GBK"/>
          <w:b w:val="0"/>
          <w:bCs w:val="0"/>
        </w:rPr>
      </w:pPr>
      <w:bookmarkStart w:id="153" w:name="_Toc9812"/>
      <w:r>
        <w:rPr>
          <w:rFonts w:hint="eastAsia" w:ascii="方正仿宋_GBK" w:hAnsi="方正仿宋_GBK" w:eastAsia="方正仿宋_GBK" w:cs="方正仿宋_GBK"/>
          <w:b w:val="0"/>
          <w:bCs w:val="0"/>
        </w:rPr>
        <w:t>强化任务分工，制定年度实施计划</w:t>
      </w:r>
      <w:bookmarkEnd w:id="152"/>
      <w:r>
        <w:rPr>
          <w:rFonts w:hint="eastAsia" w:ascii="方正仿宋_GBK" w:hAnsi="方正仿宋_GBK" w:eastAsia="方正仿宋_GBK" w:cs="方正仿宋_GBK"/>
          <w:b w:val="0"/>
          <w:bCs w:val="0"/>
        </w:rPr>
        <w:t>，建立永川土壤（地下水、农业农村）污染防治责任清单，落实各级党委和政府对</w:t>
      </w:r>
      <w:r>
        <w:rPr>
          <w:rFonts w:hint="eastAsia" w:ascii="方正仿宋_GBK" w:hAnsi="方正仿宋_GBK" w:eastAsia="方正仿宋_GBK" w:cs="方正仿宋_GBK"/>
          <w:b w:val="0"/>
          <w:bCs w:val="0"/>
          <w:lang w:eastAsia="zh-CN"/>
        </w:rPr>
        <w:t>生态环境</w:t>
      </w:r>
      <w:r>
        <w:rPr>
          <w:rFonts w:hint="eastAsia" w:ascii="方正仿宋_GBK" w:hAnsi="方正仿宋_GBK" w:eastAsia="方正仿宋_GBK" w:cs="方正仿宋_GBK"/>
          <w:b w:val="0"/>
          <w:bCs w:val="0"/>
        </w:rPr>
        <w:t>保护工作及污染防治质量负总责的要求，落实“一岗双责”</w:t>
      </w:r>
      <w:r>
        <w:rPr>
          <w:rFonts w:hint="eastAsia" w:ascii="方正仿宋_GBK" w:hAnsi="方正仿宋_GBK" w:eastAsia="方正仿宋_GBK" w:cs="方正仿宋_GBK"/>
          <w:b w:val="0"/>
          <w:bCs w:val="0"/>
          <w:lang w:eastAsia="zh-CN"/>
        </w:rPr>
        <w:t>，</w:t>
      </w:r>
      <w:r>
        <w:rPr>
          <w:rFonts w:hint="eastAsia" w:ascii="方正仿宋_GBK" w:hAnsi="方正仿宋_GBK" w:eastAsia="方正仿宋_GBK" w:cs="方正仿宋_GBK"/>
          <w:b w:val="0"/>
          <w:bCs w:val="0"/>
        </w:rPr>
        <w:t>形成合力、统筹协调、督促指导，确保规划目标如期实现。生态环境、农业农村、城乡建委、水利、交通、林业等相关部门要积极履行土壤（地下水、农业农村）污染防治保护职能，每年开展自查，</w:t>
      </w:r>
      <w:r>
        <w:rPr>
          <w:rFonts w:hint="eastAsia" w:ascii="方正仿宋_GBK" w:hAnsi="方正仿宋_GBK" w:eastAsia="方正仿宋_GBK" w:cs="方正仿宋_GBK"/>
          <w:b w:val="0"/>
          <w:bCs w:val="0"/>
          <w:lang w:eastAsia="zh-CN"/>
        </w:rPr>
        <w:t>并将自查报告报区生态环境局。</w:t>
      </w:r>
      <w:bookmarkEnd w:id="153"/>
    </w:p>
    <w:p>
      <w:pPr>
        <w:pStyle w:val="3"/>
        <w:keepNext w:val="0"/>
        <w:keepLines w:val="0"/>
        <w:pageBreakBefore w:val="0"/>
        <w:widowControl w:val="0"/>
        <w:numPr>
          <w:ilvl w:val="0"/>
          <w:numId w:val="13"/>
        </w:numPr>
        <w:kinsoku/>
        <w:wordWrap/>
        <w:overflowPunct/>
        <w:topLinePunct w:val="0"/>
        <w:autoSpaceDE/>
        <w:autoSpaceDN/>
        <w:bidi w:val="0"/>
        <w:adjustRightInd/>
        <w:snapToGrid w:val="0"/>
        <w:spacing w:beforeLines="0" w:afterLines="0" w:line="276" w:lineRule="auto"/>
        <w:ind w:left="0" w:leftChars="0" w:right="0" w:rightChars="0" w:firstLine="632" w:firstLineChars="200"/>
        <w:textAlignment w:val="auto"/>
        <w:rPr>
          <w:rFonts w:hint="eastAsia" w:ascii="方正楷体_GBK" w:hAnsi="方正楷体_GBK" w:eastAsia="方正楷体_GBK" w:cs="方正楷体_GBK"/>
          <w:b w:val="0"/>
          <w:bCs w:val="0"/>
        </w:rPr>
      </w:pPr>
      <w:bookmarkStart w:id="154" w:name="_Hlk87563850"/>
      <w:bookmarkStart w:id="155" w:name="_Toc32190"/>
      <w:bookmarkStart w:id="156" w:name="_Toc58707394"/>
      <w:r>
        <w:rPr>
          <w:rFonts w:hint="eastAsia" w:ascii="方正楷体_GBK" w:hAnsi="方正楷体_GBK" w:eastAsia="方正楷体_GBK" w:cs="方正楷体_GBK"/>
          <w:b w:val="0"/>
          <w:bCs w:val="0"/>
        </w:rPr>
        <w:t>完善经济政策</w:t>
      </w:r>
      <w:bookmarkEnd w:id="154"/>
      <w:bookmarkEnd w:id="155"/>
      <w:bookmarkEnd w:id="156"/>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outlineLvl w:val="1"/>
        <w:rPr>
          <w:rFonts w:hint="eastAsia" w:ascii="方正仿宋_GBK" w:hAnsi="方正仿宋_GBK" w:eastAsia="方正仿宋_GBK" w:cs="方正仿宋_GBK"/>
          <w:b w:val="0"/>
          <w:bCs w:val="0"/>
        </w:rPr>
      </w:pPr>
      <w:bookmarkStart w:id="157" w:name="_Toc5806"/>
      <w:r>
        <w:rPr>
          <w:rFonts w:hint="eastAsia" w:ascii="方正仿宋_GBK" w:hAnsi="方正仿宋_GBK" w:eastAsia="方正仿宋_GBK" w:cs="方正仿宋_GBK"/>
          <w:b w:val="0"/>
          <w:bCs w:val="0"/>
        </w:rPr>
        <w:t>严格按照重庆市关于生态环境领域市与区县财政事权和支出责任改革方案，由区县承担土壤（地下水、农业农村）污染防治事项和支出责任，积极争取市级财政专项资金，统筹全区生态环保专项资金，做好预算安排。同时积极吸引社会资本，支持打好污染防治攻坚战。</w:t>
      </w:r>
      <w:bookmarkEnd w:id="157"/>
    </w:p>
    <w:p>
      <w:pPr>
        <w:pStyle w:val="3"/>
        <w:keepNext w:val="0"/>
        <w:keepLines w:val="0"/>
        <w:pageBreakBefore w:val="0"/>
        <w:widowControl w:val="0"/>
        <w:numPr>
          <w:ilvl w:val="0"/>
          <w:numId w:val="13"/>
        </w:numPr>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rPr>
          <w:rFonts w:hint="eastAsia" w:ascii="方正楷体_GBK" w:hAnsi="方正楷体_GBK" w:eastAsia="方正楷体_GBK" w:cs="方正楷体_GBK"/>
          <w:b w:val="0"/>
          <w:bCs w:val="0"/>
        </w:rPr>
      </w:pPr>
      <w:bookmarkStart w:id="158" w:name="_Hlk87563857"/>
      <w:bookmarkStart w:id="159" w:name="_Toc3137"/>
      <w:bookmarkStart w:id="160" w:name="_Toc58707395"/>
      <w:r>
        <w:rPr>
          <w:rFonts w:hint="eastAsia" w:ascii="方正楷体_GBK" w:hAnsi="方正楷体_GBK" w:eastAsia="方正楷体_GBK" w:cs="方正楷体_GBK"/>
          <w:b w:val="0"/>
          <w:bCs w:val="0"/>
        </w:rPr>
        <w:t>强化监督考核</w:t>
      </w:r>
      <w:bookmarkEnd w:id="158"/>
      <w:bookmarkEnd w:id="159"/>
      <w:bookmarkEnd w:id="160"/>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outlineLvl w:val="1"/>
        <w:rPr>
          <w:rFonts w:hint="eastAsia" w:ascii="方正仿宋_GBK" w:hAnsi="方正仿宋_GBK" w:eastAsia="方正仿宋_GBK" w:cs="方正仿宋_GBK"/>
          <w:b w:val="0"/>
          <w:bCs w:val="0"/>
        </w:rPr>
      </w:pPr>
      <w:bookmarkStart w:id="161" w:name="_Toc20621"/>
      <w:r>
        <w:rPr>
          <w:rFonts w:hint="eastAsia" w:ascii="方正仿宋_GBK" w:hAnsi="方正仿宋_GBK" w:eastAsia="方正仿宋_GBK" w:cs="方正仿宋_GBK"/>
          <w:b w:val="0"/>
          <w:bCs w:val="0"/>
        </w:rPr>
        <w:t>区级相关部门、各镇街将土壤、地下水与农业农村污染治理工作纳入生态环境保护的实绩考核范围，作为区级相关部门、镇街党政一把手年度生态环境保护实绩考核的重要内容。</w:t>
      </w:r>
      <w:bookmarkEnd w:id="161"/>
    </w:p>
    <w:p>
      <w:pPr>
        <w:pStyle w:val="3"/>
        <w:keepNext w:val="0"/>
        <w:keepLines w:val="0"/>
        <w:pageBreakBefore w:val="0"/>
        <w:widowControl w:val="0"/>
        <w:numPr>
          <w:ilvl w:val="0"/>
          <w:numId w:val="13"/>
        </w:numPr>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rPr>
          <w:rFonts w:hint="eastAsia" w:ascii="方正楷体_GBK" w:hAnsi="方正楷体_GBK" w:eastAsia="方正楷体_GBK" w:cs="方正楷体_GBK"/>
          <w:b w:val="0"/>
          <w:bCs w:val="0"/>
        </w:rPr>
      </w:pPr>
      <w:bookmarkStart w:id="162" w:name="_Toc58707396"/>
      <w:bookmarkStart w:id="163" w:name="_Toc8716"/>
      <w:bookmarkStart w:id="164" w:name="_Hlk87563864"/>
      <w:r>
        <w:rPr>
          <w:rFonts w:hint="eastAsia" w:ascii="方正楷体_GBK" w:hAnsi="方正楷体_GBK" w:eastAsia="方正楷体_GBK" w:cs="方正楷体_GBK"/>
          <w:b w:val="0"/>
          <w:bCs w:val="0"/>
        </w:rPr>
        <w:t>加大宣传引导</w:t>
      </w:r>
      <w:bookmarkEnd w:id="162"/>
      <w:bookmarkEnd w:id="163"/>
      <w:bookmarkEnd w:id="164"/>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left="0" w:leftChars="0" w:right="0" w:rightChars="0" w:firstLine="632" w:firstLineChars="200"/>
        <w:jc w:val="both"/>
        <w:textAlignment w:val="auto"/>
        <w:outlineLvl w:val="1"/>
        <w:rPr>
          <w:rFonts w:hint="eastAsia" w:ascii="方正仿宋_GBK" w:hAnsi="方正仿宋_GBK" w:eastAsia="方正仿宋_GBK" w:cs="方正仿宋_GBK"/>
          <w:b w:val="0"/>
          <w:bCs w:val="0"/>
        </w:rPr>
      </w:pPr>
      <w:bookmarkStart w:id="165" w:name="_Toc27162"/>
      <w:r>
        <w:rPr>
          <w:rFonts w:hint="eastAsia" w:ascii="方正仿宋_GBK" w:hAnsi="方正仿宋_GBK" w:eastAsia="方正仿宋_GBK" w:cs="方正仿宋_GBK"/>
          <w:b w:val="0"/>
          <w:bCs w:val="0"/>
        </w:rPr>
        <w:t>充分利用电视、广播、报刊、互联网、微信公众号等媒体，结合“六五”环境日、世界土壤日等重要环保宣传活动和“美丽永川，我是行动者”主题系列活动等，有针对性地宣传普及土壤、地下水与农业农村生态环境保护知识，增强公众生态环境意识和责任意识。强化宣传培训，采用培训班、现场会、视频会等形式，组织召开农村环境整治、农村生活污水治理、农业面源污染防治等技术培训。推进土壤、地下水与农业农村生态环境保护融入党政机关、学校、工厂、社区、农村等环境宣传培训工作，大力推广绿色生产生活方式，形成全社会保护土壤、地下水与农业农村的良好氛围。</w:t>
      </w:r>
      <w:bookmarkEnd w:id="107"/>
      <w:bookmarkEnd w:id="165"/>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textAlignment w:val="auto"/>
        <w:rPr>
          <w:b w:val="0"/>
          <w:bCs w:val="0"/>
        </w:rPr>
      </w:pPr>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632"/>
        <w:textAlignment w:val="auto"/>
        <w:rPr>
          <w:b w:val="0"/>
          <w:bCs w:val="0"/>
        </w:rPr>
      </w:pPr>
      <w:bookmarkStart w:id="166" w:name="_Toc91339882"/>
      <w:bookmarkStart w:id="167" w:name="_Toc91340059"/>
      <w:r>
        <w:rPr>
          <w:b w:val="0"/>
          <w:bCs w:val="0"/>
        </w:rPr>
        <w:t>附件：1.永川区土壤污染监管重点企业名单</w:t>
      </w:r>
      <w:bookmarkEnd w:id="166"/>
      <w:bookmarkEnd w:id="167"/>
      <w:bookmarkStart w:id="168" w:name="_Toc91339883"/>
      <w:bookmarkStart w:id="169" w:name="_Toc91340060"/>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2.土壤污染状况调查工程</w:t>
      </w:r>
      <w:bookmarkEnd w:id="168"/>
      <w:bookmarkEnd w:id="169"/>
      <w:bookmarkStart w:id="170" w:name="_Toc91340061"/>
      <w:bookmarkStart w:id="171" w:name="_Toc91339884"/>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3.地下水环境状况调查工程</w:t>
      </w:r>
      <w:bookmarkEnd w:id="170"/>
      <w:bookmarkEnd w:id="171"/>
      <w:bookmarkStart w:id="172" w:name="_Toc91339885"/>
      <w:bookmarkStart w:id="173" w:name="_Toc91340062"/>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4.土壤污染修复与风险管控工程</w:t>
      </w:r>
      <w:bookmarkEnd w:id="172"/>
      <w:bookmarkEnd w:id="173"/>
      <w:bookmarkStart w:id="174" w:name="_Toc91339886"/>
      <w:bookmarkStart w:id="175" w:name="_Toc91340063"/>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5.农业面源污染防治工程</w:t>
      </w:r>
      <w:bookmarkEnd w:id="174"/>
      <w:bookmarkEnd w:id="175"/>
      <w:bookmarkStart w:id="176" w:name="_Toc91340064"/>
      <w:bookmarkStart w:id="177" w:name="_Toc91339887"/>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6.农村黑臭水体治理工程</w:t>
      </w:r>
      <w:bookmarkEnd w:id="176"/>
      <w:bookmarkEnd w:id="177"/>
      <w:bookmarkStart w:id="178" w:name="_Toc91340065"/>
      <w:bookmarkStart w:id="179" w:name="_Toc91339888"/>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7.</w:t>
      </w:r>
      <w:r>
        <w:rPr>
          <w:rFonts w:hint="eastAsia"/>
          <w:b w:val="0"/>
          <w:bCs w:val="0"/>
        </w:rPr>
        <w:t>农村</w:t>
      </w:r>
      <w:r>
        <w:rPr>
          <w:b w:val="0"/>
          <w:bCs w:val="0"/>
        </w:rPr>
        <w:t>生活污水治理工程</w:t>
      </w:r>
      <w:bookmarkEnd w:id="178"/>
      <w:bookmarkEnd w:id="179"/>
      <w:bookmarkStart w:id="180" w:name="_Toc91340066"/>
      <w:bookmarkStart w:id="181" w:name="_Toc91339889"/>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spacing w:val="-6"/>
        </w:rPr>
      </w:pPr>
      <w:r>
        <w:rPr>
          <w:b w:val="0"/>
          <w:bCs w:val="0"/>
        </w:rPr>
        <w:t>8.</w:t>
      </w:r>
      <w:r>
        <w:rPr>
          <w:b w:val="0"/>
          <w:bCs w:val="0"/>
          <w:spacing w:val="-6"/>
        </w:rPr>
        <w:t>土壤（地下水、农业农村）污染防治工作任务分解</w:t>
      </w:r>
      <w:bookmarkEnd w:id="180"/>
      <w:bookmarkEnd w:id="181"/>
      <w:bookmarkStart w:id="182" w:name="_Toc91340067"/>
      <w:bookmarkStart w:id="183" w:name="_Toc91339890"/>
      <w:r>
        <w:rPr>
          <w:b w:val="0"/>
          <w:bCs w:val="0"/>
          <w:spacing w:val="-6"/>
        </w:rPr>
        <w:t>表</w:t>
      </w:r>
      <w:bookmarkEnd w:id="182"/>
      <w:bookmarkEnd w:id="183"/>
      <w:bookmarkStart w:id="184" w:name="_Toc91340068"/>
      <w:bookmarkStart w:id="185" w:name="_Toc91339891"/>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9.永川区土壤污染状况调查评估工程分布图</w:t>
      </w:r>
      <w:bookmarkEnd w:id="184"/>
      <w:bookmarkEnd w:id="185"/>
      <w:bookmarkStart w:id="186" w:name="_Toc91340069"/>
      <w:bookmarkStart w:id="187" w:name="_Toc91339892"/>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10.永川区地下水环境状况调查工程分布图</w:t>
      </w:r>
      <w:bookmarkEnd w:id="186"/>
      <w:bookmarkEnd w:id="187"/>
      <w:bookmarkStart w:id="188" w:name="_Toc91340070"/>
      <w:bookmarkStart w:id="189" w:name="_Toc91339893"/>
    </w:p>
    <w:p>
      <w:pPr>
        <w:keepNext w:val="0"/>
        <w:keepLines w:val="0"/>
        <w:pageBreakBefore w:val="0"/>
        <w:widowControl w:val="0"/>
        <w:kinsoku/>
        <w:wordWrap/>
        <w:overflowPunct/>
        <w:topLinePunct w:val="0"/>
        <w:autoSpaceDE/>
        <w:autoSpaceDN/>
        <w:bidi w:val="0"/>
        <w:snapToGrid w:val="0"/>
        <w:spacing w:beforeLines="0" w:afterLines="0" w:line="276" w:lineRule="auto"/>
        <w:ind w:left="0" w:leftChars="0" w:right="0" w:rightChars="0" w:firstLine="1580" w:firstLineChars="500"/>
        <w:textAlignment w:val="auto"/>
        <w:rPr>
          <w:b w:val="0"/>
          <w:bCs w:val="0"/>
        </w:rPr>
      </w:pPr>
      <w:r>
        <w:rPr>
          <w:b w:val="0"/>
          <w:bCs w:val="0"/>
        </w:rPr>
        <w:t>11.永川区土壤污染修复与风险管控工程分布图</w:t>
      </w:r>
      <w:bookmarkEnd w:id="188"/>
      <w:bookmarkEnd w:id="189"/>
    </w:p>
    <w:p>
      <w:pPr>
        <w:pStyle w:val="3"/>
        <w:snapToGrid w:val="0"/>
        <w:spacing w:line="276" w:lineRule="auto"/>
        <w:ind w:firstLine="632"/>
        <w:rPr>
          <w:rFonts w:eastAsia="方正仿宋_GBK"/>
          <w:b w:val="0"/>
          <w:bCs w:val="0"/>
        </w:rPr>
      </w:pPr>
    </w:p>
    <w:p>
      <w:pPr>
        <w:pStyle w:val="3"/>
        <w:snapToGrid w:val="0"/>
        <w:spacing w:line="276" w:lineRule="auto"/>
        <w:ind w:firstLine="632"/>
        <w:rPr>
          <w:rFonts w:eastAsia="方正仿宋_GBK"/>
          <w:b w:val="0"/>
          <w:bCs w:val="0"/>
        </w:rPr>
        <w:sectPr>
          <w:footerReference r:id="rId11" w:type="default"/>
          <w:footerReference r:id="rId12" w:type="even"/>
          <w:pgSz w:w="11906" w:h="16838"/>
          <w:pgMar w:top="2098" w:right="1474" w:bottom="1984" w:left="1588" w:header="720" w:footer="1474" w:gutter="0"/>
          <w:pgNumType w:fmt="numberInDash"/>
          <w:cols w:space="720" w:num="1"/>
          <w:docGrid w:type="linesAndChars" w:linePitch="600" w:charSpace="-849"/>
        </w:sectPr>
      </w:pPr>
    </w:p>
    <w:p>
      <w:pPr>
        <w:pStyle w:val="50"/>
        <w:spacing w:line="276" w:lineRule="auto"/>
        <w:jc w:val="both"/>
        <w:outlineLvl w:val="1"/>
        <w:rPr>
          <w:rFonts w:eastAsia="方正黑体_GBK"/>
          <w:b w:val="0"/>
          <w:bCs w:val="0"/>
        </w:rPr>
      </w:pPr>
      <w:bookmarkStart w:id="190" w:name="_Toc21826"/>
      <w:bookmarkStart w:id="191" w:name="_Toc88503005"/>
      <w:r>
        <w:rPr>
          <w:rFonts w:eastAsia="方正黑体_GBK"/>
          <w:b w:val="0"/>
          <w:bCs w:val="0"/>
        </w:rPr>
        <w:t>附</w:t>
      </w:r>
      <w:r>
        <w:rPr>
          <w:rFonts w:hint="eastAsia" w:eastAsia="方正黑体_GBK"/>
          <w:b w:val="0"/>
          <w:bCs w:val="0"/>
          <w:lang w:eastAsia="zh-CN"/>
        </w:rPr>
        <w:t>件</w:t>
      </w:r>
      <w:r>
        <w:rPr>
          <w:rFonts w:eastAsia="方正黑体_GBK"/>
          <w:b w:val="0"/>
          <w:bCs w:val="0"/>
        </w:rPr>
        <w:t>1</w:t>
      </w:r>
      <w:bookmarkEnd w:id="190"/>
      <w:bookmarkStart w:id="192" w:name="_Hlk87563884"/>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193" w:name="_Toc7937"/>
      <w:r>
        <w:rPr>
          <w:rFonts w:hint="eastAsia" w:ascii="方正小标宋_GBK" w:hAnsi="方正小标宋_GBK" w:eastAsia="方正小标宋_GBK" w:cs="方正小标宋_GBK"/>
          <w:b w:val="0"/>
          <w:bCs w:val="0"/>
          <w:sz w:val="44"/>
          <w:szCs w:val="44"/>
        </w:rPr>
        <w:t>永川区土壤污染监管重点企业名单</w:t>
      </w:r>
      <w:bookmarkEnd w:id="191"/>
      <w:bookmarkEnd w:id="193"/>
    </w:p>
    <w:p>
      <w:pPr>
        <w:pStyle w:val="50"/>
        <w:spacing w:line="276" w:lineRule="auto"/>
        <w:jc w:val="both"/>
        <w:rPr>
          <w:rFonts w:hint="eastAsia"/>
          <w:b w:val="0"/>
          <w:bCs w:val="0"/>
        </w:rPr>
      </w:pPr>
    </w:p>
    <w:bookmarkEnd w:id="192"/>
    <w:tbl>
      <w:tblPr>
        <w:tblStyle w:val="31"/>
        <w:tblW w:w="9160" w:type="dxa"/>
        <w:jc w:val="center"/>
        <w:tblLayout w:type="fixed"/>
        <w:tblCellMar>
          <w:top w:w="0" w:type="dxa"/>
          <w:left w:w="108" w:type="dxa"/>
          <w:bottom w:w="0" w:type="dxa"/>
          <w:right w:w="108" w:type="dxa"/>
        </w:tblCellMar>
      </w:tblPr>
      <w:tblGrid>
        <w:gridCol w:w="656"/>
        <w:gridCol w:w="2500"/>
        <w:gridCol w:w="2865"/>
        <w:gridCol w:w="869"/>
        <w:gridCol w:w="2270"/>
      </w:tblGrid>
      <w:tr>
        <w:tblPrEx>
          <w:tblCellMar>
            <w:top w:w="0" w:type="dxa"/>
            <w:left w:w="108" w:type="dxa"/>
            <w:bottom w:w="0" w:type="dxa"/>
            <w:right w:w="108" w:type="dxa"/>
          </w:tblCellMar>
        </w:tblPrEx>
        <w:trPr>
          <w:trHeight w:val="53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2500" w:type="dxa"/>
            <w:tcBorders>
              <w:top w:val="single" w:color="auto" w:sz="4" w:space="0"/>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企业名称</w:t>
            </w:r>
          </w:p>
        </w:tc>
        <w:tc>
          <w:tcPr>
            <w:tcW w:w="2865" w:type="dxa"/>
            <w:tcBorders>
              <w:top w:val="single" w:color="auto" w:sz="4" w:space="0"/>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企业地址</w:t>
            </w:r>
          </w:p>
        </w:tc>
        <w:tc>
          <w:tcPr>
            <w:tcW w:w="869" w:type="dxa"/>
            <w:tcBorders>
              <w:top w:val="single" w:color="auto" w:sz="4" w:space="0"/>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是否</w:t>
            </w:r>
          </w:p>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在产</w:t>
            </w:r>
          </w:p>
        </w:tc>
        <w:tc>
          <w:tcPr>
            <w:tcW w:w="2270" w:type="dxa"/>
            <w:tcBorders>
              <w:top w:val="single" w:color="auto" w:sz="4" w:space="0"/>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行业类别</w:t>
            </w:r>
          </w:p>
        </w:tc>
      </w:tr>
      <w:tr>
        <w:tblPrEx>
          <w:tblCellMar>
            <w:top w:w="0" w:type="dxa"/>
            <w:left w:w="108" w:type="dxa"/>
            <w:bottom w:w="0" w:type="dxa"/>
            <w:right w:w="108" w:type="dxa"/>
          </w:tblCellMar>
        </w:tblPrEx>
        <w:trPr>
          <w:trHeight w:val="362" w:hRule="atLeast"/>
          <w:jc w:val="center"/>
        </w:trPr>
        <w:tc>
          <w:tcPr>
            <w:tcW w:w="656" w:type="dxa"/>
            <w:tcBorders>
              <w:top w:val="nil"/>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250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川亿电脑（重庆）有限公司</w:t>
            </w:r>
          </w:p>
        </w:tc>
        <w:tc>
          <w:tcPr>
            <w:tcW w:w="2865"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重庆市星光大道999号</w:t>
            </w:r>
          </w:p>
        </w:tc>
        <w:tc>
          <w:tcPr>
            <w:tcW w:w="869" w:type="dxa"/>
            <w:tcBorders>
              <w:top w:val="nil"/>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是</w:t>
            </w:r>
          </w:p>
        </w:tc>
        <w:tc>
          <w:tcPr>
            <w:tcW w:w="227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印制电路板制造</w:t>
            </w:r>
          </w:p>
        </w:tc>
      </w:tr>
      <w:tr>
        <w:tblPrEx>
          <w:tblCellMar>
            <w:top w:w="0" w:type="dxa"/>
            <w:left w:w="108" w:type="dxa"/>
            <w:bottom w:w="0" w:type="dxa"/>
            <w:right w:w="108" w:type="dxa"/>
          </w:tblCellMar>
        </w:tblPrEx>
        <w:trPr>
          <w:trHeight w:val="533" w:hRule="atLeast"/>
          <w:jc w:val="center"/>
        </w:trPr>
        <w:tc>
          <w:tcPr>
            <w:tcW w:w="656" w:type="dxa"/>
            <w:tcBorders>
              <w:top w:val="nil"/>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w:t>
            </w:r>
          </w:p>
        </w:tc>
        <w:tc>
          <w:tcPr>
            <w:tcW w:w="250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重庆丰化科技有限公司</w:t>
            </w:r>
          </w:p>
        </w:tc>
        <w:tc>
          <w:tcPr>
            <w:tcW w:w="2865"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重庆市永川区大安街道办事处大安工业园区</w:t>
            </w:r>
          </w:p>
        </w:tc>
        <w:tc>
          <w:tcPr>
            <w:tcW w:w="869" w:type="dxa"/>
            <w:tcBorders>
              <w:top w:val="nil"/>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是</w:t>
            </w:r>
          </w:p>
        </w:tc>
        <w:tc>
          <w:tcPr>
            <w:tcW w:w="227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化学农药制造</w:t>
            </w:r>
          </w:p>
        </w:tc>
      </w:tr>
      <w:tr>
        <w:tblPrEx>
          <w:tblCellMar>
            <w:top w:w="0" w:type="dxa"/>
            <w:left w:w="108" w:type="dxa"/>
            <w:bottom w:w="0" w:type="dxa"/>
            <w:right w:w="108" w:type="dxa"/>
          </w:tblCellMar>
        </w:tblPrEx>
        <w:trPr>
          <w:trHeight w:val="533" w:hRule="atLeast"/>
          <w:jc w:val="center"/>
        </w:trPr>
        <w:tc>
          <w:tcPr>
            <w:tcW w:w="656" w:type="dxa"/>
            <w:tcBorders>
              <w:top w:val="nil"/>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3</w:t>
            </w:r>
          </w:p>
        </w:tc>
        <w:tc>
          <w:tcPr>
            <w:tcW w:w="250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重庆市永川区三峰环保发电有限公司</w:t>
            </w:r>
          </w:p>
        </w:tc>
        <w:tc>
          <w:tcPr>
            <w:tcW w:w="2865"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重庆市永川区陈食街道芋荷湾村</w:t>
            </w:r>
          </w:p>
        </w:tc>
        <w:tc>
          <w:tcPr>
            <w:tcW w:w="869" w:type="dxa"/>
            <w:tcBorders>
              <w:top w:val="nil"/>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是</w:t>
            </w:r>
          </w:p>
        </w:tc>
        <w:tc>
          <w:tcPr>
            <w:tcW w:w="227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生活垃圾焚烧发电</w:t>
            </w:r>
          </w:p>
        </w:tc>
      </w:tr>
      <w:tr>
        <w:tblPrEx>
          <w:tblCellMar>
            <w:top w:w="0" w:type="dxa"/>
            <w:left w:w="108" w:type="dxa"/>
            <w:bottom w:w="0" w:type="dxa"/>
            <w:right w:w="108" w:type="dxa"/>
          </w:tblCellMar>
        </w:tblPrEx>
        <w:trPr>
          <w:trHeight w:val="533" w:hRule="atLeast"/>
          <w:jc w:val="center"/>
        </w:trPr>
        <w:tc>
          <w:tcPr>
            <w:tcW w:w="656" w:type="dxa"/>
            <w:tcBorders>
              <w:top w:val="nil"/>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4</w:t>
            </w:r>
          </w:p>
        </w:tc>
        <w:tc>
          <w:tcPr>
            <w:tcW w:w="250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重庆中明港桥环保有限责任公司</w:t>
            </w:r>
          </w:p>
        </w:tc>
        <w:tc>
          <w:tcPr>
            <w:tcW w:w="2865"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重庆市永川区松溉镇港桥工业园区</w:t>
            </w:r>
          </w:p>
        </w:tc>
        <w:tc>
          <w:tcPr>
            <w:tcW w:w="869" w:type="dxa"/>
            <w:tcBorders>
              <w:top w:val="nil"/>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是</w:t>
            </w:r>
          </w:p>
        </w:tc>
        <w:tc>
          <w:tcPr>
            <w:tcW w:w="227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危险废物治理</w:t>
            </w:r>
          </w:p>
        </w:tc>
      </w:tr>
      <w:tr>
        <w:tblPrEx>
          <w:tblCellMar>
            <w:top w:w="0" w:type="dxa"/>
            <w:left w:w="108" w:type="dxa"/>
            <w:bottom w:w="0" w:type="dxa"/>
            <w:right w:w="108" w:type="dxa"/>
          </w:tblCellMar>
        </w:tblPrEx>
        <w:trPr>
          <w:trHeight w:val="533" w:hRule="atLeast"/>
          <w:jc w:val="center"/>
        </w:trPr>
        <w:tc>
          <w:tcPr>
            <w:tcW w:w="656" w:type="dxa"/>
            <w:tcBorders>
              <w:top w:val="nil"/>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w:t>
            </w:r>
          </w:p>
        </w:tc>
        <w:tc>
          <w:tcPr>
            <w:tcW w:w="250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重庆新格有色金属有限公司</w:t>
            </w:r>
          </w:p>
        </w:tc>
        <w:tc>
          <w:tcPr>
            <w:tcW w:w="2865"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重庆永川工业园区港桥工业园</w:t>
            </w:r>
          </w:p>
        </w:tc>
        <w:tc>
          <w:tcPr>
            <w:tcW w:w="869" w:type="dxa"/>
            <w:tcBorders>
              <w:top w:val="nil"/>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是</w:t>
            </w:r>
          </w:p>
        </w:tc>
        <w:tc>
          <w:tcPr>
            <w:tcW w:w="227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有色金属冶炼和压延加工业</w:t>
            </w:r>
          </w:p>
        </w:tc>
      </w:tr>
      <w:tr>
        <w:tblPrEx>
          <w:tblCellMar>
            <w:top w:w="0" w:type="dxa"/>
            <w:left w:w="108" w:type="dxa"/>
            <w:bottom w:w="0" w:type="dxa"/>
            <w:right w:w="108" w:type="dxa"/>
          </w:tblCellMar>
        </w:tblPrEx>
        <w:trPr>
          <w:trHeight w:val="369" w:hRule="atLeast"/>
          <w:jc w:val="center"/>
        </w:trPr>
        <w:tc>
          <w:tcPr>
            <w:tcW w:w="656" w:type="dxa"/>
            <w:tcBorders>
              <w:top w:val="nil"/>
              <w:left w:val="single" w:color="auto" w:sz="4" w:space="0"/>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6</w:t>
            </w:r>
          </w:p>
        </w:tc>
        <w:tc>
          <w:tcPr>
            <w:tcW w:w="250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重庆理文造纸有限公司</w:t>
            </w:r>
          </w:p>
        </w:tc>
        <w:tc>
          <w:tcPr>
            <w:tcW w:w="2865"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重庆市永川区朱沱镇四望山村</w:t>
            </w:r>
          </w:p>
        </w:tc>
        <w:tc>
          <w:tcPr>
            <w:tcW w:w="869" w:type="dxa"/>
            <w:tcBorders>
              <w:top w:val="nil"/>
              <w:left w:val="nil"/>
              <w:bottom w:val="single" w:color="auto" w:sz="4" w:space="0"/>
              <w:right w:val="single" w:color="auto" w:sz="4" w:space="0"/>
            </w:tcBorders>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是</w:t>
            </w:r>
          </w:p>
        </w:tc>
        <w:tc>
          <w:tcPr>
            <w:tcW w:w="2270" w:type="dxa"/>
            <w:tcBorders>
              <w:top w:val="nil"/>
              <w:left w:val="nil"/>
              <w:bottom w:val="single" w:color="auto" w:sz="4" w:space="0"/>
              <w:right w:val="single" w:color="auto" w:sz="4" w:space="0"/>
            </w:tcBorders>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造纸和纸制品业</w:t>
            </w:r>
          </w:p>
        </w:tc>
      </w:tr>
    </w:tbl>
    <w:p>
      <w:pPr>
        <w:spacing w:line="276" w:lineRule="auto"/>
        <w:ind w:firstLine="640"/>
        <w:rPr>
          <w:rFonts w:hint="eastAsia"/>
          <w:b w:val="0"/>
          <w:bCs w:val="0"/>
          <w:color w:val="000000"/>
        </w:rPr>
        <w:sectPr>
          <w:pgSz w:w="11906" w:h="16838"/>
          <w:pgMar w:top="2098" w:right="1474" w:bottom="1984" w:left="1587" w:header="850" w:footer="1474" w:gutter="0"/>
          <w:pgNumType w:fmt="numberInDash"/>
          <w:cols w:space="720" w:num="1"/>
          <w:docGrid w:type="lines" w:linePitch="439" w:charSpace="0"/>
        </w:sectPr>
      </w:pPr>
    </w:p>
    <w:p>
      <w:pPr>
        <w:pStyle w:val="50"/>
        <w:spacing w:line="276" w:lineRule="auto"/>
        <w:jc w:val="both"/>
        <w:outlineLvl w:val="1"/>
        <w:rPr>
          <w:rFonts w:eastAsia="方正黑体_GBK"/>
          <w:b w:val="0"/>
          <w:bCs w:val="0"/>
        </w:rPr>
      </w:pPr>
      <w:bookmarkStart w:id="194" w:name="_Toc24722"/>
      <w:bookmarkStart w:id="195" w:name="_Toc88503006"/>
      <w:r>
        <w:rPr>
          <w:rFonts w:eastAsia="方正黑体_GBK"/>
          <w:b w:val="0"/>
          <w:bCs w:val="0"/>
        </w:rPr>
        <w:t>附</w:t>
      </w:r>
      <w:r>
        <w:rPr>
          <w:rFonts w:eastAsia="方正黑体_GBK"/>
          <w:b w:val="0"/>
          <w:bCs w:val="0"/>
          <w:lang w:eastAsia="zh-CN"/>
        </w:rPr>
        <w:t>件</w:t>
      </w:r>
      <w:bookmarkStart w:id="196" w:name="_Hlk87563894"/>
      <w:r>
        <w:rPr>
          <w:rFonts w:hint="eastAsia" w:eastAsia="方正黑体_GBK"/>
          <w:b w:val="0"/>
          <w:bCs w:val="0"/>
          <w:lang w:val="en-US" w:eastAsia="zh-CN"/>
        </w:rPr>
        <w:t>2</w:t>
      </w:r>
      <w:bookmarkEnd w:id="194"/>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197" w:name="_Toc15904"/>
      <w:r>
        <w:rPr>
          <w:rFonts w:hint="eastAsia" w:ascii="方正小标宋_GBK" w:hAnsi="方正小标宋_GBK" w:eastAsia="方正小标宋_GBK" w:cs="方正小标宋_GBK"/>
          <w:b w:val="0"/>
          <w:bCs w:val="0"/>
          <w:sz w:val="44"/>
          <w:szCs w:val="44"/>
        </w:rPr>
        <w:t>土壤污染状况调查与风险评估工程</w:t>
      </w:r>
      <w:bookmarkEnd w:id="195"/>
      <w:bookmarkEnd w:id="196"/>
      <w:bookmarkEnd w:id="197"/>
    </w:p>
    <w:p>
      <w:pPr>
        <w:pStyle w:val="50"/>
        <w:spacing w:line="276" w:lineRule="auto"/>
        <w:rPr>
          <w:rFonts w:hint="eastAsia"/>
          <w:b w:val="0"/>
          <w:bCs w:val="0"/>
        </w:rPr>
      </w:pPr>
    </w:p>
    <w:tbl>
      <w:tblPr>
        <w:tblStyle w:val="31"/>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267"/>
        <w:gridCol w:w="1751"/>
        <w:gridCol w:w="1131"/>
        <w:gridCol w:w="91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7" w:type="dxa"/>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3267" w:type="dxa"/>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项目名称</w:t>
            </w:r>
          </w:p>
        </w:tc>
        <w:tc>
          <w:tcPr>
            <w:tcW w:w="1751" w:type="dxa"/>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项目地址</w:t>
            </w:r>
          </w:p>
        </w:tc>
        <w:tc>
          <w:tcPr>
            <w:tcW w:w="1131" w:type="dxa"/>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投资估算</w:t>
            </w:r>
          </w:p>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（万元）</w:t>
            </w:r>
          </w:p>
        </w:tc>
        <w:tc>
          <w:tcPr>
            <w:tcW w:w="910" w:type="dxa"/>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完成</w:t>
            </w:r>
          </w:p>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年限</w:t>
            </w:r>
          </w:p>
        </w:tc>
        <w:tc>
          <w:tcPr>
            <w:tcW w:w="1969" w:type="dxa"/>
            <w:noWrap w:val="0"/>
            <w:vAlign w:val="center"/>
          </w:tcPr>
          <w:p>
            <w:pPr>
              <w:adjustRightInd/>
              <w:spacing w:line="240"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7"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3267" w:type="dxa"/>
            <w:noWrap w:val="0"/>
            <w:vAlign w:val="center"/>
          </w:tcPr>
          <w:p>
            <w:pPr>
              <w:adjustRightInd/>
              <w:spacing w:line="240"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重庆市永川区衡泰化工有限责任公司原址地块土壤污染状况调查</w:t>
            </w:r>
          </w:p>
        </w:tc>
        <w:tc>
          <w:tcPr>
            <w:tcW w:w="1751"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永川区三教镇利民村</w:t>
            </w:r>
          </w:p>
        </w:tc>
        <w:tc>
          <w:tcPr>
            <w:tcW w:w="1131"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30</w:t>
            </w:r>
          </w:p>
        </w:tc>
        <w:tc>
          <w:tcPr>
            <w:tcW w:w="910"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c>
          <w:tcPr>
            <w:tcW w:w="1969"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重庆市永川区衡泰化工有限责任公司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7"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w:t>
            </w:r>
          </w:p>
        </w:tc>
        <w:tc>
          <w:tcPr>
            <w:tcW w:w="3267" w:type="dxa"/>
            <w:noWrap w:val="0"/>
            <w:vAlign w:val="center"/>
          </w:tcPr>
          <w:p>
            <w:pPr>
              <w:adjustRightInd/>
              <w:spacing w:line="240"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重庆大安盈德特种气体有限公司地块土壤污染状况调查</w:t>
            </w:r>
          </w:p>
        </w:tc>
        <w:tc>
          <w:tcPr>
            <w:tcW w:w="1751"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永川工业园区大安组团</w:t>
            </w:r>
          </w:p>
        </w:tc>
        <w:tc>
          <w:tcPr>
            <w:tcW w:w="1131"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w:t>
            </w:r>
          </w:p>
        </w:tc>
        <w:tc>
          <w:tcPr>
            <w:tcW w:w="910"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c>
          <w:tcPr>
            <w:tcW w:w="1969"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重庆大安盈德特种气体有限公司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7"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3</w:t>
            </w:r>
          </w:p>
        </w:tc>
        <w:tc>
          <w:tcPr>
            <w:tcW w:w="3267" w:type="dxa"/>
            <w:noWrap w:val="0"/>
            <w:vAlign w:val="center"/>
          </w:tcPr>
          <w:p>
            <w:pPr>
              <w:adjustRightInd/>
              <w:spacing w:line="240"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重庆市永川区名键钢制品有限公司地块土壤污染状况调查</w:t>
            </w:r>
          </w:p>
        </w:tc>
        <w:tc>
          <w:tcPr>
            <w:tcW w:w="1751"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重庆市永川区三教镇内环路35号</w:t>
            </w:r>
          </w:p>
        </w:tc>
        <w:tc>
          <w:tcPr>
            <w:tcW w:w="1131"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w:t>
            </w:r>
          </w:p>
        </w:tc>
        <w:tc>
          <w:tcPr>
            <w:tcW w:w="910"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c>
          <w:tcPr>
            <w:tcW w:w="1969"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重庆市永川区名键钢制品有限公司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7"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4</w:t>
            </w:r>
          </w:p>
        </w:tc>
        <w:tc>
          <w:tcPr>
            <w:tcW w:w="3267" w:type="dxa"/>
            <w:noWrap w:val="0"/>
            <w:vAlign w:val="center"/>
          </w:tcPr>
          <w:p>
            <w:pPr>
              <w:adjustRightInd/>
              <w:spacing w:line="240"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重庆西源凸轮轴有限公司地块土壤污染状况详细调查及风险评估</w:t>
            </w:r>
          </w:p>
        </w:tc>
        <w:tc>
          <w:tcPr>
            <w:tcW w:w="1751"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重庆市永川区三星路12号</w:t>
            </w:r>
          </w:p>
        </w:tc>
        <w:tc>
          <w:tcPr>
            <w:tcW w:w="1131"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w:t>
            </w:r>
          </w:p>
        </w:tc>
        <w:tc>
          <w:tcPr>
            <w:tcW w:w="910"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2024年</w:t>
            </w:r>
          </w:p>
        </w:tc>
        <w:tc>
          <w:tcPr>
            <w:tcW w:w="1969"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重庆西源凸轮轴有限公司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7"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w:t>
            </w:r>
          </w:p>
        </w:tc>
        <w:tc>
          <w:tcPr>
            <w:tcW w:w="3267" w:type="dxa"/>
            <w:noWrap w:val="0"/>
            <w:vAlign w:val="center"/>
          </w:tcPr>
          <w:p>
            <w:pPr>
              <w:adjustRightInd/>
              <w:spacing w:line="240"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重庆树荣作物科学有限公司地块土壤污染状况详细调查及风险评估</w:t>
            </w:r>
          </w:p>
        </w:tc>
        <w:tc>
          <w:tcPr>
            <w:tcW w:w="1751"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重庆市永川区兴龙大道2169号</w:t>
            </w:r>
          </w:p>
        </w:tc>
        <w:tc>
          <w:tcPr>
            <w:tcW w:w="1131"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w:t>
            </w:r>
          </w:p>
        </w:tc>
        <w:tc>
          <w:tcPr>
            <w:tcW w:w="910" w:type="dxa"/>
            <w:noWrap w:val="0"/>
            <w:vAlign w:val="center"/>
          </w:tcPr>
          <w:p>
            <w:pPr>
              <w:adjustRightInd/>
              <w:spacing w:line="240"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2023年</w:t>
            </w:r>
          </w:p>
        </w:tc>
        <w:tc>
          <w:tcPr>
            <w:tcW w:w="1969" w:type="dxa"/>
            <w:noWrap w:val="0"/>
            <w:vAlign w:val="center"/>
          </w:tcPr>
          <w:p>
            <w:pPr>
              <w:adjustRightInd/>
              <w:spacing w:line="240" w:lineRule="auto"/>
              <w:ind w:firstLine="0" w:firstLineChars="0"/>
              <w:rPr>
                <w:rStyle w:val="51"/>
                <w:rFonts w:eastAsia="方正仿宋_GBK" w:cs="Times New Roman"/>
                <w:b w:val="0"/>
                <w:bCs w:val="0"/>
                <w:sz w:val="21"/>
                <w:szCs w:val="21"/>
              </w:rPr>
            </w:pPr>
            <w:r>
              <w:rPr>
                <w:rStyle w:val="51"/>
                <w:rFonts w:eastAsia="方正仿宋_GBK" w:cs="Times New Roman"/>
                <w:b w:val="0"/>
                <w:bCs w:val="0"/>
                <w:sz w:val="21"/>
                <w:szCs w:val="21"/>
              </w:rPr>
              <w:t>重庆树荣作物科学有限公司</w:t>
            </w:r>
          </w:p>
        </w:tc>
      </w:tr>
    </w:tbl>
    <w:p>
      <w:pPr>
        <w:spacing w:line="276" w:lineRule="auto"/>
        <w:ind w:firstLine="640"/>
        <w:rPr>
          <w:b w:val="0"/>
          <w:bCs w:val="0"/>
          <w:color w:val="000000"/>
        </w:rPr>
      </w:pPr>
    </w:p>
    <w:p>
      <w:pPr>
        <w:pStyle w:val="50"/>
        <w:spacing w:line="276" w:lineRule="auto"/>
        <w:jc w:val="both"/>
        <w:outlineLvl w:val="1"/>
        <w:rPr>
          <w:rFonts w:eastAsia="方正黑体_GBK"/>
          <w:b w:val="0"/>
          <w:bCs w:val="0"/>
        </w:rPr>
      </w:pPr>
      <w:r>
        <w:rPr>
          <w:b w:val="0"/>
          <w:bCs w:val="0"/>
        </w:rPr>
        <w:br w:type="page"/>
      </w:r>
      <w:bookmarkStart w:id="198" w:name="_Toc677"/>
      <w:bookmarkStart w:id="199" w:name="_Toc88503007"/>
      <w:r>
        <w:rPr>
          <w:rFonts w:hint="eastAsia" w:eastAsia="方正黑体_GBK"/>
          <w:b w:val="0"/>
          <w:bCs w:val="0"/>
        </w:rPr>
        <w:t>附</w:t>
      </w:r>
      <w:r>
        <w:rPr>
          <w:rFonts w:hint="eastAsia" w:eastAsia="方正黑体_GBK"/>
          <w:b w:val="0"/>
          <w:bCs w:val="0"/>
          <w:lang w:eastAsia="zh-CN"/>
        </w:rPr>
        <w:t>件</w:t>
      </w:r>
      <w:r>
        <w:rPr>
          <w:rFonts w:eastAsia="方正黑体_GBK"/>
          <w:b w:val="0"/>
          <w:bCs w:val="0"/>
        </w:rPr>
        <w:t>3</w:t>
      </w:r>
      <w:bookmarkEnd w:id="198"/>
      <w:bookmarkStart w:id="200" w:name="_Hlk87563902"/>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01" w:name="_Toc4536"/>
      <w:r>
        <w:rPr>
          <w:rFonts w:hint="eastAsia" w:ascii="方正小标宋_GBK" w:hAnsi="方正小标宋_GBK" w:eastAsia="方正小标宋_GBK" w:cs="方正小标宋_GBK"/>
          <w:b w:val="0"/>
          <w:bCs w:val="0"/>
          <w:sz w:val="44"/>
          <w:szCs w:val="44"/>
        </w:rPr>
        <w:t>地下水环境状况调查工程</w:t>
      </w:r>
      <w:bookmarkEnd w:id="199"/>
      <w:bookmarkEnd w:id="200"/>
      <w:bookmarkEnd w:id="201"/>
    </w:p>
    <w:p>
      <w:pPr>
        <w:pStyle w:val="50"/>
        <w:spacing w:line="276" w:lineRule="auto"/>
        <w:rPr>
          <w:rFonts w:eastAsia="方正黑体_GBK"/>
          <w:b w:val="0"/>
          <w:bCs w:val="0"/>
        </w:rPr>
      </w:pPr>
    </w:p>
    <w:tbl>
      <w:tblPr>
        <w:tblStyle w:val="3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319"/>
        <w:gridCol w:w="1483"/>
        <w:gridCol w:w="1189"/>
        <w:gridCol w:w="1359"/>
        <w:gridCol w:w="1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3"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2319"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项目名称</w:t>
            </w:r>
          </w:p>
        </w:tc>
        <w:tc>
          <w:tcPr>
            <w:tcW w:w="1483"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项目地址</w:t>
            </w:r>
          </w:p>
        </w:tc>
        <w:tc>
          <w:tcPr>
            <w:tcW w:w="1189"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投资估算</w:t>
            </w:r>
          </w:p>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（万元）</w:t>
            </w:r>
          </w:p>
        </w:tc>
        <w:tc>
          <w:tcPr>
            <w:tcW w:w="1359"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牵头单位</w:t>
            </w:r>
          </w:p>
        </w:tc>
        <w:tc>
          <w:tcPr>
            <w:tcW w:w="1457"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责任单位</w:t>
            </w:r>
          </w:p>
        </w:tc>
        <w:tc>
          <w:tcPr>
            <w:tcW w:w="1132"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完成年限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23"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2319" w:type="dxa"/>
            <w:noWrap w:val="0"/>
            <w:vAlign w:val="center"/>
          </w:tcPr>
          <w:p>
            <w:pPr>
              <w:adjustRightInd/>
              <w:spacing w:line="276"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永川中明港桥危险废物处置场地下水环境状况调查评估</w:t>
            </w:r>
          </w:p>
        </w:tc>
        <w:tc>
          <w:tcPr>
            <w:tcW w:w="1483" w:type="dxa"/>
            <w:noWrap w:val="0"/>
            <w:vAlign w:val="center"/>
          </w:tcPr>
          <w:p>
            <w:pPr>
              <w:adjustRightInd/>
              <w:spacing w:line="276"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重庆市永川区港桥工业园区</w:t>
            </w:r>
          </w:p>
        </w:tc>
        <w:tc>
          <w:tcPr>
            <w:tcW w:w="1189"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200</w:t>
            </w:r>
          </w:p>
        </w:tc>
        <w:tc>
          <w:tcPr>
            <w:tcW w:w="1359" w:type="dxa"/>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重庆市永川区生态环境局</w:t>
            </w:r>
          </w:p>
        </w:tc>
        <w:tc>
          <w:tcPr>
            <w:tcW w:w="1457" w:type="dxa"/>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重庆市中明环境治理有限公司</w:t>
            </w:r>
          </w:p>
        </w:tc>
        <w:tc>
          <w:tcPr>
            <w:tcW w:w="1132"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bl>
    <w:p>
      <w:pPr>
        <w:pStyle w:val="50"/>
        <w:spacing w:line="276" w:lineRule="auto"/>
        <w:jc w:val="both"/>
        <w:rPr>
          <w:b w:val="0"/>
          <w:bCs w:val="0"/>
        </w:rPr>
      </w:pPr>
      <w:bookmarkStart w:id="202" w:name="_Toc88503008"/>
    </w:p>
    <w:p>
      <w:pPr>
        <w:pStyle w:val="50"/>
        <w:spacing w:line="276" w:lineRule="auto"/>
        <w:jc w:val="both"/>
        <w:rPr>
          <w:b w:val="0"/>
          <w:bCs w:val="0"/>
        </w:rPr>
        <w:sectPr>
          <w:pgSz w:w="11906" w:h="16838"/>
          <w:pgMar w:top="2098" w:right="1474" w:bottom="1984" w:left="1587" w:header="850" w:footer="1474" w:gutter="0"/>
          <w:pgNumType w:fmt="numberInDash"/>
          <w:cols w:space="720" w:num="1"/>
          <w:docGrid w:type="lines" w:linePitch="439" w:charSpace="0"/>
        </w:sectPr>
      </w:pPr>
    </w:p>
    <w:p>
      <w:pPr>
        <w:pStyle w:val="50"/>
        <w:spacing w:line="276" w:lineRule="auto"/>
        <w:jc w:val="both"/>
        <w:outlineLvl w:val="1"/>
        <w:rPr>
          <w:rFonts w:eastAsia="方正黑体_GBK"/>
          <w:b w:val="0"/>
          <w:bCs w:val="0"/>
        </w:rPr>
      </w:pPr>
      <w:bookmarkStart w:id="203" w:name="_Toc12810"/>
      <w:r>
        <w:rPr>
          <w:rFonts w:hint="eastAsia" w:eastAsia="方正黑体_GBK"/>
          <w:b w:val="0"/>
          <w:bCs w:val="0"/>
        </w:rPr>
        <w:t>附</w:t>
      </w:r>
      <w:r>
        <w:rPr>
          <w:rFonts w:hint="eastAsia" w:eastAsia="方正黑体_GBK"/>
          <w:b w:val="0"/>
          <w:bCs w:val="0"/>
          <w:lang w:eastAsia="zh-CN"/>
        </w:rPr>
        <w:t>件</w:t>
      </w:r>
      <w:r>
        <w:rPr>
          <w:rFonts w:eastAsia="方正黑体_GBK"/>
          <w:b w:val="0"/>
          <w:bCs w:val="0"/>
        </w:rPr>
        <w:t>4</w:t>
      </w:r>
      <w:bookmarkEnd w:id="203"/>
      <w:bookmarkStart w:id="204" w:name="_Hlk87563911"/>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05" w:name="_Toc32295"/>
      <w:r>
        <w:rPr>
          <w:rFonts w:hint="eastAsia" w:ascii="方正小标宋_GBK" w:hAnsi="方正小标宋_GBK" w:eastAsia="方正小标宋_GBK" w:cs="方正小标宋_GBK"/>
          <w:b w:val="0"/>
          <w:bCs w:val="0"/>
          <w:sz w:val="44"/>
          <w:szCs w:val="44"/>
        </w:rPr>
        <w:t>土壤污染修复与风险管控工程</w:t>
      </w:r>
      <w:bookmarkEnd w:id="202"/>
      <w:bookmarkEnd w:id="204"/>
      <w:bookmarkEnd w:id="205"/>
    </w:p>
    <w:p>
      <w:pPr>
        <w:pStyle w:val="50"/>
        <w:spacing w:line="276" w:lineRule="auto"/>
        <w:jc w:val="both"/>
        <w:rPr>
          <w:rFonts w:eastAsia="方正黑体_GBK"/>
          <w:b w:val="0"/>
          <w:bCs w:val="0"/>
        </w:rPr>
      </w:pPr>
    </w:p>
    <w:tbl>
      <w:tblPr>
        <w:tblStyle w:val="31"/>
        <w:tblW w:w="14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75"/>
        <w:gridCol w:w="5807"/>
        <w:gridCol w:w="1815"/>
        <w:gridCol w:w="320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blHeader/>
          <w:jc w:val="center"/>
        </w:trPr>
        <w:tc>
          <w:tcPr>
            <w:tcW w:w="696"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1375"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项目类型</w:t>
            </w:r>
          </w:p>
        </w:tc>
        <w:tc>
          <w:tcPr>
            <w:tcW w:w="5807"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项目名称</w:t>
            </w:r>
          </w:p>
        </w:tc>
        <w:tc>
          <w:tcPr>
            <w:tcW w:w="1815"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投资估算（万元）</w:t>
            </w:r>
          </w:p>
        </w:tc>
        <w:tc>
          <w:tcPr>
            <w:tcW w:w="3209"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责任单位</w:t>
            </w:r>
          </w:p>
        </w:tc>
        <w:tc>
          <w:tcPr>
            <w:tcW w:w="1311"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完成年限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696"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137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风险管控类</w:t>
            </w:r>
          </w:p>
        </w:tc>
        <w:tc>
          <w:tcPr>
            <w:tcW w:w="5807"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重庆永川石油化工有限责任公司炭黑车间土壤污染风险管控</w:t>
            </w:r>
          </w:p>
        </w:tc>
        <w:tc>
          <w:tcPr>
            <w:tcW w:w="181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30</w:t>
            </w:r>
          </w:p>
        </w:tc>
        <w:tc>
          <w:tcPr>
            <w:tcW w:w="3209"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重庆永川石油化工有限责任公司</w:t>
            </w:r>
          </w:p>
        </w:tc>
        <w:tc>
          <w:tcPr>
            <w:tcW w:w="1311"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696"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w:t>
            </w:r>
          </w:p>
        </w:tc>
        <w:tc>
          <w:tcPr>
            <w:tcW w:w="137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风险管控类</w:t>
            </w:r>
          </w:p>
        </w:tc>
        <w:tc>
          <w:tcPr>
            <w:tcW w:w="5807"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重庆市永川区莲花制革工业园区地块土壤污染风险管控</w:t>
            </w:r>
          </w:p>
        </w:tc>
        <w:tc>
          <w:tcPr>
            <w:tcW w:w="181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w:t>
            </w:r>
          </w:p>
        </w:tc>
        <w:tc>
          <w:tcPr>
            <w:tcW w:w="3209"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重庆市永川区陈食街道办事处</w:t>
            </w:r>
          </w:p>
        </w:tc>
        <w:tc>
          <w:tcPr>
            <w:tcW w:w="1311"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696"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3</w:t>
            </w:r>
          </w:p>
        </w:tc>
        <w:tc>
          <w:tcPr>
            <w:tcW w:w="137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治理修复类</w:t>
            </w:r>
          </w:p>
        </w:tc>
        <w:tc>
          <w:tcPr>
            <w:tcW w:w="5807"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重庆西源凸轮轴有限公司土壤污染治理与修复</w:t>
            </w:r>
          </w:p>
        </w:tc>
        <w:tc>
          <w:tcPr>
            <w:tcW w:w="181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1000</w:t>
            </w:r>
          </w:p>
        </w:tc>
        <w:tc>
          <w:tcPr>
            <w:tcW w:w="3209"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重庆西源凸轮轴有限公司</w:t>
            </w:r>
          </w:p>
        </w:tc>
        <w:tc>
          <w:tcPr>
            <w:tcW w:w="1311"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696"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4</w:t>
            </w:r>
          </w:p>
        </w:tc>
        <w:tc>
          <w:tcPr>
            <w:tcW w:w="137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治理修复类</w:t>
            </w:r>
          </w:p>
        </w:tc>
        <w:tc>
          <w:tcPr>
            <w:tcW w:w="5807"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重庆树荣作物科学有限公司土壤污染治理与修复</w:t>
            </w:r>
          </w:p>
        </w:tc>
        <w:tc>
          <w:tcPr>
            <w:tcW w:w="181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500</w:t>
            </w:r>
          </w:p>
        </w:tc>
        <w:tc>
          <w:tcPr>
            <w:tcW w:w="3209"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重庆树荣作物科学有限公司</w:t>
            </w:r>
          </w:p>
        </w:tc>
        <w:tc>
          <w:tcPr>
            <w:tcW w:w="1311"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96"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w:t>
            </w:r>
          </w:p>
        </w:tc>
        <w:tc>
          <w:tcPr>
            <w:tcW w:w="137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治理修复类</w:t>
            </w:r>
          </w:p>
        </w:tc>
        <w:tc>
          <w:tcPr>
            <w:tcW w:w="5807"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重庆中明环境治理有限公司土壤污染治理与修复</w:t>
            </w:r>
          </w:p>
        </w:tc>
        <w:tc>
          <w:tcPr>
            <w:tcW w:w="181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500</w:t>
            </w:r>
          </w:p>
        </w:tc>
        <w:tc>
          <w:tcPr>
            <w:tcW w:w="3209"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重庆中明环境治理有限公司</w:t>
            </w:r>
          </w:p>
        </w:tc>
        <w:tc>
          <w:tcPr>
            <w:tcW w:w="1311"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2023年</w:t>
            </w:r>
          </w:p>
        </w:tc>
      </w:tr>
    </w:tbl>
    <w:p>
      <w:pPr>
        <w:spacing w:line="276" w:lineRule="auto"/>
        <w:ind w:firstLine="640"/>
        <w:rPr>
          <w:b w:val="0"/>
          <w:bCs w:val="0"/>
          <w:color w:val="000000"/>
        </w:rPr>
      </w:pPr>
    </w:p>
    <w:p>
      <w:pPr>
        <w:pStyle w:val="50"/>
        <w:spacing w:line="276" w:lineRule="auto"/>
        <w:jc w:val="both"/>
        <w:outlineLvl w:val="1"/>
        <w:rPr>
          <w:rFonts w:eastAsia="方正黑体_GBK"/>
          <w:b w:val="0"/>
          <w:bCs w:val="0"/>
        </w:rPr>
      </w:pPr>
      <w:r>
        <w:rPr>
          <w:b w:val="0"/>
          <w:bCs w:val="0"/>
        </w:rPr>
        <w:br w:type="page"/>
      </w:r>
      <w:bookmarkStart w:id="206" w:name="_Toc4486"/>
      <w:bookmarkStart w:id="207" w:name="_Toc88503009"/>
      <w:r>
        <w:rPr>
          <w:rFonts w:hint="eastAsia" w:eastAsia="方正黑体_GBK"/>
          <w:b w:val="0"/>
          <w:bCs w:val="0"/>
        </w:rPr>
        <w:t>附</w:t>
      </w:r>
      <w:r>
        <w:rPr>
          <w:rFonts w:hint="eastAsia" w:eastAsia="方正黑体_GBK"/>
          <w:b w:val="0"/>
          <w:bCs w:val="0"/>
          <w:lang w:eastAsia="zh-CN"/>
        </w:rPr>
        <w:t>件</w:t>
      </w:r>
      <w:r>
        <w:rPr>
          <w:rFonts w:eastAsia="方正黑体_GBK"/>
          <w:b w:val="0"/>
          <w:bCs w:val="0"/>
        </w:rPr>
        <w:t>5</w:t>
      </w:r>
      <w:bookmarkEnd w:id="206"/>
      <w:bookmarkStart w:id="208" w:name="_Hlk87563921"/>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09" w:name="_Toc13173"/>
      <w:r>
        <w:rPr>
          <w:rFonts w:hint="eastAsia" w:ascii="方正小标宋_GBK" w:hAnsi="方正小标宋_GBK" w:eastAsia="方正小标宋_GBK" w:cs="方正小标宋_GBK"/>
          <w:b w:val="0"/>
          <w:bCs w:val="0"/>
          <w:sz w:val="44"/>
          <w:szCs w:val="44"/>
        </w:rPr>
        <w:t>农业面源污染防治工程</w:t>
      </w:r>
      <w:bookmarkEnd w:id="207"/>
      <w:bookmarkEnd w:id="208"/>
      <w:bookmarkEnd w:id="209"/>
    </w:p>
    <w:p>
      <w:pPr>
        <w:pStyle w:val="50"/>
        <w:spacing w:line="276" w:lineRule="auto"/>
        <w:jc w:val="both"/>
        <w:rPr>
          <w:rFonts w:eastAsia="方正黑体_GBK"/>
          <w:b w:val="0"/>
          <w:bCs w:val="0"/>
        </w:rPr>
      </w:pPr>
    </w:p>
    <w:tbl>
      <w:tblPr>
        <w:tblStyle w:val="31"/>
        <w:tblW w:w="0" w:type="auto"/>
        <w:jc w:val="center"/>
        <w:tblLayout w:type="fixed"/>
        <w:tblCellMar>
          <w:top w:w="0" w:type="dxa"/>
          <w:left w:w="108" w:type="dxa"/>
          <w:bottom w:w="0" w:type="dxa"/>
          <w:right w:w="108" w:type="dxa"/>
        </w:tblCellMar>
      </w:tblPr>
      <w:tblGrid>
        <w:gridCol w:w="687"/>
        <w:gridCol w:w="1383"/>
        <w:gridCol w:w="4928"/>
        <w:gridCol w:w="1872"/>
        <w:gridCol w:w="1662"/>
        <w:gridCol w:w="1604"/>
        <w:gridCol w:w="1424"/>
      </w:tblGrid>
      <w:tr>
        <w:tblPrEx>
          <w:tblCellMar>
            <w:top w:w="0" w:type="dxa"/>
            <w:left w:w="108" w:type="dxa"/>
            <w:bottom w:w="0" w:type="dxa"/>
            <w:right w:w="108" w:type="dxa"/>
          </w:tblCellMar>
        </w:tblPrEx>
        <w:trPr>
          <w:trHeight w:val="448"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1383" w:type="dxa"/>
            <w:tcBorders>
              <w:top w:val="single" w:color="auto" w:sz="4" w:space="0"/>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项目类型</w:t>
            </w:r>
          </w:p>
        </w:tc>
        <w:tc>
          <w:tcPr>
            <w:tcW w:w="4928" w:type="dxa"/>
            <w:tcBorders>
              <w:top w:val="single" w:color="auto" w:sz="4" w:space="0"/>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主要内容</w:t>
            </w:r>
          </w:p>
        </w:tc>
        <w:tc>
          <w:tcPr>
            <w:tcW w:w="1872" w:type="dxa"/>
            <w:tcBorders>
              <w:top w:val="single" w:color="auto" w:sz="4" w:space="0"/>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投资估算（万元）</w:t>
            </w:r>
          </w:p>
        </w:tc>
        <w:tc>
          <w:tcPr>
            <w:tcW w:w="1662" w:type="dxa"/>
            <w:tcBorders>
              <w:top w:val="single" w:color="auto" w:sz="4" w:space="0"/>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牵头单位</w:t>
            </w:r>
          </w:p>
        </w:tc>
        <w:tc>
          <w:tcPr>
            <w:tcW w:w="1604" w:type="dxa"/>
            <w:tcBorders>
              <w:top w:val="single" w:color="auto" w:sz="4" w:space="0"/>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责任单位</w:t>
            </w:r>
          </w:p>
        </w:tc>
        <w:tc>
          <w:tcPr>
            <w:tcW w:w="1424" w:type="dxa"/>
            <w:tcBorders>
              <w:top w:val="single" w:color="auto" w:sz="4" w:space="0"/>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完成年限</w:t>
            </w:r>
          </w:p>
        </w:tc>
      </w:tr>
      <w:tr>
        <w:tblPrEx>
          <w:tblCellMar>
            <w:top w:w="0" w:type="dxa"/>
            <w:left w:w="108" w:type="dxa"/>
            <w:bottom w:w="0" w:type="dxa"/>
            <w:right w:w="108" w:type="dxa"/>
          </w:tblCellMar>
        </w:tblPrEx>
        <w:trPr>
          <w:trHeight w:val="384" w:hRule="atLeast"/>
          <w:jc w:val="center"/>
        </w:trPr>
        <w:tc>
          <w:tcPr>
            <w:tcW w:w="687" w:type="dxa"/>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1383" w:type="dxa"/>
            <w:vMerge w:val="restart"/>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农村种植业污染防治</w:t>
            </w:r>
          </w:p>
        </w:tc>
        <w:tc>
          <w:tcPr>
            <w:tcW w:w="4928"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推广果（菜、茶）有机肥替代化肥技术。</w:t>
            </w:r>
          </w:p>
        </w:tc>
        <w:tc>
          <w:tcPr>
            <w:tcW w:w="187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200</w:t>
            </w:r>
          </w:p>
        </w:tc>
        <w:tc>
          <w:tcPr>
            <w:tcW w:w="166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60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42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CellMar>
            <w:top w:w="0" w:type="dxa"/>
            <w:left w:w="108" w:type="dxa"/>
            <w:bottom w:w="0" w:type="dxa"/>
            <w:right w:w="108" w:type="dxa"/>
          </w:tblCellMar>
        </w:tblPrEx>
        <w:trPr>
          <w:trHeight w:val="405" w:hRule="atLeast"/>
          <w:jc w:val="center"/>
        </w:trPr>
        <w:tc>
          <w:tcPr>
            <w:tcW w:w="687" w:type="dxa"/>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w:t>
            </w:r>
          </w:p>
        </w:tc>
        <w:tc>
          <w:tcPr>
            <w:tcW w:w="1383" w:type="dxa"/>
            <w:vMerge w:val="continue"/>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p>
        </w:tc>
        <w:tc>
          <w:tcPr>
            <w:tcW w:w="4928"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开展化肥农药减量化种植技术推广。</w:t>
            </w:r>
          </w:p>
        </w:tc>
        <w:tc>
          <w:tcPr>
            <w:tcW w:w="187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400</w:t>
            </w:r>
          </w:p>
        </w:tc>
        <w:tc>
          <w:tcPr>
            <w:tcW w:w="166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60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42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CellMar>
            <w:top w:w="0" w:type="dxa"/>
            <w:left w:w="108" w:type="dxa"/>
            <w:bottom w:w="0" w:type="dxa"/>
            <w:right w:w="108" w:type="dxa"/>
          </w:tblCellMar>
        </w:tblPrEx>
        <w:trPr>
          <w:trHeight w:val="363" w:hRule="atLeast"/>
          <w:jc w:val="center"/>
        </w:trPr>
        <w:tc>
          <w:tcPr>
            <w:tcW w:w="687" w:type="dxa"/>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3</w:t>
            </w:r>
          </w:p>
        </w:tc>
        <w:tc>
          <w:tcPr>
            <w:tcW w:w="1383" w:type="dxa"/>
            <w:vMerge w:val="restart"/>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农村养殖业污染防治</w:t>
            </w:r>
          </w:p>
        </w:tc>
        <w:tc>
          <w:tcPr>
            <w:tcW w:w="4928"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规模化以上水产养殖尾水有效治理。</w:t>
            </w:r>
          </w:p>
        </w:tc>
        <w:tc>
          <w:tcPr>
            <w:tcW w:w="187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900</w:t>
            </w:r>
          </w:p>
        </w:tc>
        <w:tc>
          <w:tcPr>
            <w:tcW w:w="166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60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42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2025年</w:t>
            </w:r>
          </w:p>
        </w:tc>
      </w:tr>
      <w:tr>
        <w:tblPrEx>
          <w:tblCellMar>
            <w:top w:w="0" w:type="dxa"/>
            <w:left w:w="108" w:type="dxa"/>
            <w:bottom w:w="0" w:type="dxa"/>
            <w:right w:w="108" w:type="dxa"/>
          </w:tblCellMar>
        </w:tblPrEx>
        <w:trPr>
          <w:trHeight w:val="395" w:hRule="atLeast"/>
          <w:jc w:val="center"/>
        </w:trPr>
        <w:tc>
          <w:tcPr>
            <w:tcW w:w="687" w:type="dxa"/>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4</w:t>
            </w:r>
          </w:p>
        </w:tc>
        <w:tc>
          <w:tcPr>
            <w:tcW w:w="1383" w:type="dxa"/>
            <w:vMerge w:val="continue"/>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p>
        </w:tc>
        <w:tc>
          <w:tcPr>
            <w:tcW w:w="4928"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实施重庆市永川区大竹溪水花基地段水生态修复+面源污染防治项目。</w:t>
            </w:r>
          </w:p>
        </w:tc>
        <w:tc>
          <w:tcPr>
            <w:tcW w:w="187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1653.49</w:t>
            </w:r>
          </w:p>
        </w:tc>
        <w:tc>
          <w:tcPr>
            <w:tcW w:w="166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60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卫星湖街道</w:t>
            </w:r>
          </w:p>
        </w:tc>
        <w:tc>
          <w:tcPr>
            <w:tcW w:w="142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2023年</w:t>
            </w:r>
          </w:p>
        </w:tc>
      </w:tr>
      <w:tr>
        <w:tblPrEx>
          <w:tblCellMar>
            <w:top w:w="0" w:type="dxa"/>
            <w:left w:w="108" w:type="dxa"/>
            <w:bottom w:w="0" w:type="dxa"/>
            <w:right w:w="108" w:type="dxa"/>
          </w:tblCellMar>
        </w:tblPrEx>
        <w:trPr>
          <w:trHeight w:val="416" w:hRule="atLeast"/>
          <w:jc w:val="center"/>
        </w:trPr>
        <w:tc>
          <w:tcPr>
            <w:tcW w:w="687" w:type="dxa"/>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w:t>
            </w:r>
          </w:p>
        </w:tc>
        <w:tc>
          <w:tcPr>
            <w:tcW w:w="1383" w:type="dxa"/>
            <w:vMerge w:val="continue"/>
            <w:tcBorders>
              <w:top w:val="nil"/>
              <w:left w:val="single" w:color="auto" w:sz="4" w:space="0"/>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p>
        </w:tc>
        <w:tc>
          <w:tcPr>
            <w:tcW w:w="4928"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both"/>
              <w:rPr>
                <w:rStyle w:val="51"/>
                <w:rFonts w:eastAsia="方正仿宋_GBK" w:cs="Times New Roman"/>
                <w:b w:val="0"/>
                <w:bCs w:val="0"/>
                <w:sz w:val="21"/>
                <w:szCs w:val="21"/>
              </w:rPr>
            </w:pPr>
            <w:r>
              <w:rPr>
                <w:rStyle w:val="51"/>
                <w:rFonts w:eastAsia="方正仿宋_GBK" w:cs="Times New Roman"/>
                <w:b w:val="0"/>
                <w:bCs w:val="0"/>
                <w:sz w:val="21"/>
                <w:szCs w:val="21"/>
              </w:rPr>
              <w:t>实施何埂镇圣水河流域水产养殖尾水处理项目示范</w:t>
            </w:r>
          </w:p>
        </w:tc>
        <w:tc>
          <w:tcPr>
            <w:tcW w:w="187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528.49</w:t>
            </w:r>
          </w:p>
        </w:tc>
        <w:tc>
          <w:tcPr>
            <w:tcW w:w="1662"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60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何埂镇</w:t>
            </w:r>
          </w:p>
        </w:tc>
        <w:tc>
          <w:tcPr>
            <w:tcW w:w="1424" w:type="dxa"/>
            <w:tcBorders>
              <w:top w:val="nil"/>
              <w:left w:val="nil"/>
              <w:bottom w:val="single" w:color="auto" w:sz="4" w:space="0"/>
              <w:right w:val="single" w:color="auto" w:sz="4" w:space="0"/>
            </w:tcBorders>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2023年</w:t>
            </w:r>
          </w:p>
        </w:tc>
      </w:tr>
    </w:tbl>
    <w:p>
      <w:pPr>
        <w:spacing w:line="276" w:lineRule="auto"/>
        <w:ind w:firstLine="640"/>
        <w:rPr>
          <w:rFonts w:hint="eastAsia"/>
          <w:b w:val="0"/>
          <w:bCs w:val="0"/>
          <w:color w:val="000000"/>
        </w:rPr>
      </w:pPr>
    </w:p>
    <w:p>
      <w:pPr>
        <w:pStyle w:val="50"/>
        <w:spacing w:line="276" w:lineRule="auto"/>
        <w:jc w:val="both"/>
        <w:outlineLvl w:val="1"/>
        <w:rPr>
          <w:rFonts w:eastAsia="方正黑体_GBK"/>
          <w:b w:val="0"/>
          <w:bCs w:val="0"/>
        </w:rPr>
      </w:pPr>
      <w:r>
        <w:rPr>
          <w:b w:val="0"/>
          <w:bCs w:val="0"/>
        </w:rPr>
        <w:br w:type="page"/>
      </w:r>
      <w:bookmarkStart w:id="210" w:name="_Toc12278"/>
      <w:bookmarkStart w:id="211" w:name="_Toc88503010"/>
      <w:r>
        <w:rPr>
          <w:rFonts w:hint="eastAsia" w:eastAsia="方正黑体_GBK"/>
          <w:b w:val="0"/>
          <w:bCs w:val="0"/>
        </w:rPr>
        <w:t>附</w:t>
      </w:r>
      <w:r>
        <w:rPr>
          <w:rFonts w:hint="eastAsia" w:eastAsia="方正黑体_GBK"/>
          <w:b w:val="0"/>
          <w:bCs w:val="0"/>
          <w:lang w:eastAsia="zh-CN"/>
        </w:rPr>
        <w:t>件</w:t>
      </w:r>
      <w:r>
        <w:rPr>
          <w:rFonts w:eastAsia="方正黑体_GBK"/>
          <w:b w:val="0"/>
          <w:bCs w:val="0"/>
        </w:rPr>
        <w:t>6</w:t>
      </w:r>
      <w:bookmarkEnd w:id="210"/>
      <w:bookmarkStart w:id="212" w:name="_Hlk87563935"/>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13" w:name="_Toc28726"/>
      <w:r>
        <w:rPr>
          <w:rFonts w:hint="eastAsia" w:ascii="方正小标宋_GBK" w:hAnsi="方正小标宋_GBK" w:eastAsia="方正小标宋_GBK" w:cs="方正小标宋_GBK"/>
          <w:b w:val="0"/>
          <w:bCs w:val="0"/>
          <w:sz w:val="44"/>
          <w:szCs w:val="44"/>
        </w:rPr>
        <w:t>农村黑臭水体治理工程</w:t>
      </w:r>
      <w:bookmarkEnd w:id="211"/>
      <w:bookmarkEnd w:id="212"/>
      <w:bookmarkEnd w:id="213"/>
    </w:p>
    <w:p>
      <w:pPr>
        <w:pStyle w:val="50"/>
        <w:spacing w:line="276" w:lineRule="auto"/>
        <w:rPr>
          <w:rFonts w:hint="eastAsia" w:eastAsia="方正黑体_GBK"/>
          <w:b w:val="0"/>
          <w:bCs w:val="0"/>
        </w:rPr>
      </w:pPr>
    </w:p>
    <w:tbl>
      <w:tblPr>
        <w:tblStyle w:val="31"/>
        <w:tblW w:w="13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398"/>
        <w:gridCol w:w="1273"/>
        <w:gridCol w:w="2219"/>
        <w:gridCol w:w="2209"/>
        <w:gridCol w:w="256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754"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序号</w:t>
            </w:r>
          </w:p>
        </w:tc>
        <w:tc>
          <w:tcPr>
            <w:tcW w:w="3398"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水体名称</w:t>
            </w:r>
          </w:p>
        </w:tc>
        <w:tc>
          <w:tcPr>
            <w:tcW w:w="1273"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水体</w:t>
            </w:r>
          </w:p>
        </w:tc>
        <w:tc>
          <w:tcPr>
            <w:tcW w:w="2219"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投资估算（万元）</w:t>
            </w:r>
          </w:p>
        </w:tc>
        <w:tc>
          <w:tcPr>
            <w:tcW w:w="2209"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牵头单位</w:t>
            </w:r>
          </w:p>
        </w:tc>
        <w:tc>
          <w:tcPr>
            <w:tcW w:w="2567"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责任单位</w:t>
            </w:r>
          </w:p>
        </w:tc>
        <w:tc>
          <w:tcPr>
            <w:tcW w:w="1387"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rPr>
            </w:pPr>
            <w:r>
              <w:rPr>
                <w:rStyle w:val="51"/>
                <w:rFonts w:hint="eastAsia" w:ascii="方正黑体_GBK" w:hAnsi="方正黑体_GBK" w:eastAsia="方正黑体_GBK" w:cs="方正黑体_GBK"/>
                <w:b w:val="0"/>
                <w:bCs w:val="0"/>
              </w:rPr>
              <w:t>完成年限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大通河</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临江镇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堰坝桥小河沟</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南大街街道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圣水河景圣村段</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五间镇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4</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王坪河王坪村段</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来苏镇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转龙小溪河</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朱沱镇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6</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蔡家湾关门四社沟渠</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陈食街道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7</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瓦窑三队污水沟渠</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陈食街道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8</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石堰沟</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茶山竹海街道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9</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凤桥河登东场镇段</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宝峰镇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10</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宝峰河宝峰场镇段</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宝峰镇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11</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石庙社区排污沟进入金星水库大安街道二郎坝村段</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大安街道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12</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三星桥小河</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永荣镇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13</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乐和乐都污水处理站外溪沟</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卫星湖街道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14</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柳和物流排污沟</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29.61</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南大街街道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15</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吴先金宰鸭厂排污口</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13.11</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南大街街道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16</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金龙河樱花谷段</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金龙镇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17</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金鼎村新屋院子</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金龙镇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18</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东王庙沟渠</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16.08</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南大街街道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19</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马银河支流</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陈食街道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瓦窑南华小区背后沟渠</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5</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陈食街道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21</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竹溪河油坊桥生活污水排口</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卫星湖街道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22</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九龙河油坊沟</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河</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30</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金龙镇</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23</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夏家河坝沟渠</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85.5</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南大街街道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4"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24</w:t>
            </w:r>
          </w:p>
        </w:tc>
        <w:tc>
          <w:tcPr>
            <w:tcW w:w="3398"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砖房院子沟渠</w:t>
            </w:r>
          </w:p>
        </w:tc>
        <w:tc>
          <w:tcPr>
            <w:tcW w:w="1273"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沟渠</w:t>
            </w:r>
          </w:p>
        </w:tc>
        <w:tc>
          <w:tcPr>
            <w:tcW w:w="221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73.94</w:t>
            </w:r>
          </w:p>
        </w:tc>
        <w:tc>
          <w:tcPr>
            <w:tcW w:w="2209"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区生态环境局</w:t>
            </w:r>
          </w:p>
        </w:tc>
        <w:tc>
          <w:tcPr>
            <w:tcW w:w="256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南大街街道</w:t>
            </w:r>
          </w:p>
        </w:tc>
        <w:tc>
          <w:tcPr>
            <w:tcW w:w="1387" w:type="dxa"/>
            <w:noWrap w:val="0"/>
            <w:vAlign w:val="center"/>
          </w:tcPr>
          <w:p>
            <w:pPr>
              <w:adjustRightInd/>
              <w:spacing w:line="276" w:lineRule="auto"/>
              <w:ind w:firstLine="0" w:firstLineChars="0"/>
              <w:jc w:val="center"/>
              <w:rPr>
                <w:rStyle w:val="51"/>
                <w:rFonts w:eastAsia="方正仿宋_GBK" w:cs="Times New Roman"/>
                <w:b w:val="0"/>
                <w:bCs w:val="0"/>
              </w:rPr>
            </w:pPr>
            <w:r>
              <w:rPr>
                <w:rStyle w:val="51"/>
                <w:rFonts w:eastAsia="方正仿宋_GBK" w:cs="Times New Roman"/>
                <w:b w:val="0"/>
                <w:bCs w:val="0"/>
              </w:rPr>
              <w:t>2025年</w:t>
            </w:r>
          </w:p>
        </w:tc>
      </w:tr>
    </w:tbl>
    <w:p>
      <w:pPr>
        <w:spacing w:line="276" w:lineRule="auto"/>
        <w:ind w:firstLine="640"/>
        <w:jc w:val="center"/>
        <w:rPr>
          <w:b w:val="0"/>
          <w:bCs w:val="0"/>
          <w:color w:val="000000"/>
        </w:rPr>
      </w:pPr>
    </w:p>
    <w:p>
      <w:pPr>
        <w:pStyle w:val="50"/>
        <w:spacing w:line="276" w:lineRule="auto"/>
        <w:jc w:val="both"/>
        <w:rPr>
          <w:b w:val="0"/>
          <w:bCs w:val="0"/>
        </w:rPr>
        <w:sectPr>
          <w:pgSz w:w="16838" w:h="11906" w:orient="landscape"/>
          <w:pgMar w:top="2098" w:right="1474" w:bottom="1984" w:left="1587" w:header="850" w:footer="1417" w:gutter="0"/>
          <w:pgNumType w:fmt="numberInDash"/>
          <w:cols w:space="720" w:num="1"/>
          <w:docGrid w:type="lines" w:linePitch="460" w:charSpace="0"/>
        </w:sectPr>
      </w:pPr>
      <w:bookmarkStart w:id="214" w:name="_Toc88503011"/>
    </w:p>
    <w:p>
      <w:pPr>
        <w:pStyle w:val="50"/>
        <w:spacing w:line="276" w:lineRule="auto"/>
        <w:jc w:val="both"/>
        <w:outlineLvl w:val="1"/>
        <w:rPr>
          <w:rFonts w:eastAsia="方正黑体_GBK"/>
          <w:b w:val="0"/>
          <w:bCs w:val="0"/>
        </w:rPr>
      </w:pPr>
      <w:bookmarkStart w:id="215" w:name="_Toc14369"/>
      <w:r>
        <w:rPr>
          <w:rFonts w:hint="eastAsia" w:eastAsia="方正黑体_GBK"/>
          <w:b w:val="0"/>
          <w:bCs w:val="0"/>
        </w:rPr>
        <w:t>附</w:t>
      </w:r>
      <w:r>
        <w:rPr>
          <w:rFonts w:hint="eastAsia" w:eastAsia="方正黑体_GBK"/>
          <w:b w:val="0"/>
          <w:bCs w:val="0"/>
          <w:lang w:eastAsia="zh-CN"/>
        </w:rPr>
        <w:t>件</w:t>
      </w:r>
      <w:r>
        <w:rPr>
          <w:rFonts w:eastAsia="方正黑体_GBK"/>
          <w:b w:val="0"/>
          <w:bCs w:val="0"/>
        </w:rPr>
        <w:t>7</w:t>
      </w:r>
      <w:bookmarkEnd w:id="215"/>
      <w:bookmarkStart w:id="216" w:name="_Hlk87563948"/>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17" w:name="_Toc2190"/>
      <w:r>
        <w:rPr>
          <w:rFonts w:hint="eastAsia" w:ascii="方正小标宋_GBK" w:hAnsi="方正小标宋_GBK" w:eastAsia="方正小标宋_GBK" w:cs="方正小标宋_GBK"/>
          <w:b w:val="0"/>
          <w:bCs w:val="0"/>
          <w:sz w:val="44"/>
          <w:szCs w:val="44"/>
        </w:rPr>
        <w:t>农村生活污水治理工程</w:t>
      </w:r>
      <w:bookmarkEnd w:id="214"/>
      <w:bookmarkEnd w:id="216"/>
      <w:bookmarkEnd w:id="217"/>
    </w:p>
    <w:p>
      <w:pPr>
        <w:pStyle w:val="50"/>
        <w:spacing w:line="276" w:lineRule="auto"/>
        <w:rPr>
          <w:rFonts w:eastAsia="方正黑体_GBK"/>
          <w:b w:val="0"/>
          <w:bCs w:val="0"/>
        </w:rPr>
      </w:pPr>
    </w:p>
    <w:tbl>
      <w:tblPr>
        <w:tblStyle w:val="31"/>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852"/>
        <w:gridCol w:w="1255"/>
        <w:gridCol w:w="1607"/>
        <w:gridCol w:w="122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73"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2852"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主要建设内容</w:t>
            </w:r>
          </w:p>
        </w:tc>
        <w:tc>
          <w:tcPr>
            <w:tcW w:w="1255"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投资估算</w:t>
            </w:r>
          </w:p>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（万元）</w:t>
            </w:r>
          </w:p>
        </w:tc>
        <w:tc>
          <w:tcPr>
            <w:tcW w:w="1607"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牵头单位</w:t>
            </w:r>
          </w:p>
        </w:tc>
        <w:tc>
          <w:tcPr>
            <w:tcW w:w="1221"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责任单位</w:t>
            </w:r>
          </w:p>
        </w:tc>
        <w:tc>
          <w:tcPr>
            <w:tcW w:w="1443" w:type="dxa"/>
            <w:noWrap w:val="0"/>
            <w:vAlign w:val="center"/>
          </w:tcPr>
          <w:p>
            <w:pPr>
              <w:adjustRightInd/>
              <w:spacing w:line="276" w:lineRule="auto"/>
              <w:ind w:firstLine="0" w:firstLineChars="0"/>
              <w:jc w:val="center"/>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2852" w:type="dxa"/>
            <w:noWrap w:val="0"/>
            <w:vAlign w:val="center"/>
          </w:tcPr>
          <w:p>
            <w:pPr>
              <w:adjustRightInd/>
              <w:spacing w:line="276" w:lineRule="auto"/>
              <w:ind w:firstLine="0" w:firstLineChars="0"/>
              <w:jc w:val="left"/>
              <w:rPr>
                <w:rStyle w:val="51"/>
                <w:rFonts w:eastAsia="方正仿宋_GBK" w:cs="Times New Roman"/>
                <w:b w:val="0"/>
                <w:bCs w:val="0"/>
                <w:sz w:val="21"/>
                <w:szCs w:val="21"/>
              </w:rPr>
            </w:pPr>
            <w:r>
              <w:rPr>
                <w:rStyle w:val="51"/>
                <w:rFonts w:eastAsia="方正仿宋_GBK" w:cs="Times New Roman"/>
                <w:b w:val="0"/>
                <w:bCs w:val="0"/>
                <w:sz w:val="21"/>
                <w:szCs w:val="21"/>
              </w:rPr>
              <w:t>实施农村污水治理，每年新建农村无害化厕所3000个，到2025年，新建农村无害化厕所1.5万个</w:t>
            </w:r>
          </w:p>
        </w:tc>
        <w:tc>
          <w:tcPr>
            <w:tcW w:w="1255"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1500</w:t>
            </w:r>
          </w:p>
        </w:tc>
        <w:tc>
          <w:tcPr>
            <w:tcW w:w="1607"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221"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443" w:type="dxa"/>
            <w:noWrap w:val="0"/>
            <w:vAlign w:val="center"/>
          </w:tcPr>
          <w:p>
            <w:pPr>
              <w:adjustRightInd/>
              <w:spacing w:line="276" w:lineRule="auto"/>
              <w:ind w:firstLine="0" w:firstLineChars="0"/>
              <w:jc w:val="center"/>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bl>
    <w:p>
      <w:pPr>
        <w:spacing w:line="276" w:lineRule="auto"/>
        <w:ind w:firstLine="640"/>
        <w:rPr>
          <w:rFonts w:hint="eastAsia"/>
          <w:b w:val="0"/>
          <w:bCs w:val="0"/>
          <w:color w:val="000000"/>
        </w:rPr>
      </w:pPr>
    </w:p>
    <w:p>
      <w:pPr>
        <w:spacing w:line="276" w:lineRule="auto"/>
        <w:ind w:firstLine="640"/>
        <w:rPr>
          <w:b w:val="0"/>
          <w:bCs w:val="0"/>
          <w:color w:val="000000"/>
        </w:rPr>
      </w:pPr>
    </w:p>
    <w:p>
      <w:pPr>
        <w:spacing w:line="276" w:lineRule="auto"/>
        <w:ind w:firstLine="640"/>
        <w:rPr>
          <w:b w:val="0"/>
          <w:bCs w:val="0"/>
          <w:color w:val="000000"/>
        </w:rPr>
      </w:pPr>
    </w:p>
    <w:p>
      <w:pPr>
        <w:pStyle w:val="50"/>
        <w:spacing w:line="276" w:lineRule="auto"/>
        <w:jc w:val="both"/>
        <w:rPr>
          <w:b w:val="0"/>
          <w:bCs w:val="0"/>
        </w:rPr>
        <w:sectPr>
          <w:pgSz w:w="11906" w:h="16838"/>
          <w:pgMar w:top="2098" w:right="1474" w:bottom="1984" w:left="1587" w:header="850" w:footer="1417" w:gutter="0"/>
          <w:pgNumType w:fmt="numberInDash"/>
          <w:cols w:space="720" w:num="1"/>
          <w:docGrid w:type="lines" w:linePitch="472" w:charSpace="0"/>
        </w:sectPr>
      </w:pPr>
      <w:bookmarkStart w:id="218" w:name="_Toc88503012"/>
    </w:p>
    <w:p>
      <w:pPr>
        <w:pStyle w:val="50"/>
        <w:spacing w:line="276" w:lineRule="auto"/>
        <w:jc w:val="both"/>
        <w:outlineLvl w:val="1"/>
        <w:rPr>
          <w:rFonts w:eastAsia="方正黑体_GBK"/>
          <w:b w:val="0"/>
          <w:bCs w:val="0"/>
        </w:rPr>
      </w:pPr>
      <w:bookmarkStart w:id="219" w:name="_Toc6185"/>
      <w:r>
        <w:rPr>
          <w:rFonts w:hint="eastAsia" w:eastAsia="方正黑体_GBK"/>
          <w:b w:val="0"/>
          <w:bCs w:val="0"/>
        </w:rPr>
        <w:t>附</w:t>
      </w:r>
      <w:r>
        <w:rPr>
          <w:rFonts w:hint="eastAsia" w:eastAsia="方正黑体_GBK"/>
          <w:b w:val="0"/>
          <w:bCs w:val="0"/>
          <w:lang w:eastAsia="zh-CN"/>
        </w:rPr>
        <w:t>件</w:t>
      </w:r>
      <w:r>
        <w:rPr>
          <w:rFonts w:eastAsia="方正黑体_GBK"/>
          <w:b w:val="0"/>
          <w:bCs w:val="0"/>
        </w:rPr>
        <w:t>8</w:t>
      </w:r>
      <w:bookmarkEnd w:id="219"/>
      <w:bookmarkStart w:id="220" w:name="_Hlk87563960"/>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21" w:name="_Toc14947"/>
      <w:r>
        <w:rPr>
          <w:rFonts w:hint="eastAsia" w:ascii="方正小标宋_GBK" w:hAnsi="方正小标宋_GBK" w:eastAsia="方正小标宋_GBK" w:cs="方正小标宋_GBK"/>
          <w:b w:val="0"/>
          <w:bCs w:val="0"/>
          <w:sz w:val="44"/>
          <w:szCs w:val="44"/>
        </w:rPr>
        <w:t>土壤（地下水、农业农村）污染防治工作任务分解表</w:t>
      </w:r>
      <w:bookmarkEnd w:id="218"/>
      <w:bookmarkEnd w:id="220"/>
      <w:bookmarkEnd w:id="221"/>
    </w:p>
    <w:p>
      <w:pPr>
        <w:pStyle w:val="50"/>
        <w:spacing w:line="276" w:lineRule="auto"/>
        <w:rPr>
          <w:rFonts w:hint="eastAsia"/>
          <w:b w:val="0"/>
          <w:bCs w:val="0"/>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4"/>
        <w:gridCol w:w="12"/>
        <w:gridCol w:w="1034"/>
        <w:gridCol w:w="1387"/>
        <w:gridCol w:w="6630"/>
        <w:gridCol w:w="1698"/>
        <w:gridCol w:w="259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blHeader/>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序号</w:t>
            </w:r>
          </w:p>
        </w:tc>
        <w:tc>
          <w:tcPr>
            <w:tcW w:w="90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工作任务分解表</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牵头单位</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责任单位</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hint="eastAsia" w:ascii="方正黑体_GBK" w:hAnsi="方正黑体_GBK" w:eastAsia="方正黑体_GBK" w:cs="方正黑体_GBK"/>
                <w:b w:val="0"/>
                <w:bCs w:val="0"/>
                <w:sz w:val="21"/>
                <w:szCs w:val="21"/>
              </w:rPr>
            </w:pPr>
            <w:r>
              <w:rPr>
                <w:rStyle w:val="51"/>
                <w:rFonts w:hint="eastAsia" w:ascii="方正黑体_GBK" w:hAnsi="方正黑体_GBK" w:eastAsia="方正黑体_GBK" w:cs="方正黑体_GBK"/>
                <w:b w:val="0"/>
                <w:bCs w:val="0"/>
                <w:sz w:val="21"/>
                <w:szCs w:val="21"/>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77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（一）加强土壤生态环境保护与污染风险管控</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bookmarkStart w:id="222" w:name="RANGE!B3"/>
            <w:r>
              <w:rPr>
                <w:rStyle w:val="51"/>
                <w:rFonts w:eastAsia="方正仿宋_GBK" w:cs="Times New Roman"/>
                <w:b w:val="0"/>
                <w:bCs w:val="0"/>
                <w:sz w:val="21"/>
                <w:szCs w:val="21"/>
              </w:rPr>
              <w:t>1.整体推进土壤污染源头防治</w:t>
            </w:r>
            <w:bookmarkEnd w:id="222"/>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实施土壤空间布局管控</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实施“多规合一”空间布局，区级各部门在编制永川区“十四五”各项规划，围绕“五山五河一网”生态空间格局，严格按照生态保护红线、基本农田保护、高标准农田建设等相关要求，充分考虑区域土壤环境承载力，根据土壤污染状况详查结果，合理确定土壤环境功能定位，确保土地利用方式符合土壤环境质量要求。</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区生态环境局、区发展改革委、区经济信息委、区住房城乡建委、区农业农村委、区水</w:t>
            </w:r>
            <w:r>
              <w:rPr>
                <w:rStyle w:val="51"/>
                <w:rFonts w:hint="eastAsia" w:eastAsia="方正仿宋_GBK" w:cs="Times New Roman"/>
                <w:b w:val="0"/>
                <w:bCs w:val="0"/>
                <w:sz w:val="21"/>
                <w:szCs w:val="21"/>
              </w:rPr>
              <w:t>利</w:t>
            </w:r>
            <w:r>
              <w:rPr>
                <w:rStyle w:val="51"/>
                <w:rFonts w:eastAsia="方正仿宋_GBK" w:cs="Times New Roman"/>
                <w:b w:val="0"/>
                <w:bCs w:val="0"/>
                <w:sz w:val="21"/>
                <w:szCs w:val="21"/>
              </w:rPr>
              <w:t>局、区林业局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严格环境准入</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执行重庆市工业项目环境准入、重庆市产业禁投清单等相关文件要求规定，禁止在长江干流及主要支流岸线1公里范围内新建重化工、印染、纸浆制造等存在污染风险的工业项目，禁止在长江干流及主要支流岸线5公里范围内新布局工业园区。</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区发展改革委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区经济信息委、区生态环境局、港桥产业促进中心、三教产业促进中心、凤凰湖产业促进中心</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新建有污染物排放的工业项目，除在安全生产或者产业布局等方面有特殊要求外，应当进入工业园区（工业集聚区），对未进入工业园区的项目，或在工业园区（工业聚集区）以外区域实施单纯增加产能的技改（扩建）的项目，不得办理项目核准或备案手续。</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区发展改革委、区经济信息委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区生态环境局、港桥产业促进中心、三教产业促进中心、凤凰湖产业促进中心</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强化环境影响评价联动机制</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严格执行产业园区规划环评制度，严格审查把关，加强质量监管，夯实产业园区管理机构主体责任，做好规划环评与项目环评联动。</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凤凰湖产业促进中心、港桥产业促进中心、三教产业促进中心</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深入实施“三线一单”分区管控；严控“两高一资”和过剩产能行业建设项目；禁止在长江干流和一、二级支流岸线一公里范围内新建、扩建化工园区和项目；禁止在长江干流岸线三公里范围内新建、改建、扩建尾矿库。</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区发展改革委、区经济信息委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凤凰湖产业促进中心、港桥产业促进中心、三教产业促进中心</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2.防范工矿企业用地新增土壤污染</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推动实施绿色化改造</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严格执行《长江保护法》《长江经济带发展负面清单指南（试行）》《重庆市产业投资准入工作手册》等法律及相关政策，新建工业项目应达到国内清洁生产先进水平。</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区发展改革委、区生态环境局、高新区管委会、凤凰湖产业促进中心、港桥产业促进中心、三教产业促进中心、相关镇街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对涉及有毒有害物质可能造成土壤污染的新（改、扩）建项目，依法进行环境影响评价，并督促企业落实防腐蚀、防渗漏、防遗撒等土壤污染防治措施。</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区经济信息委、高新区管委会、凤凰湖产业促进中心、港桥产业促进中心、三教产业促进中心、相关镇街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8</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重点行业企业有关防腐蚀、防泄露设施和泄露监测装置的设计、建设和安装符合国家规范，从源头上消除土壤污染。</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区生态环境局、高新区管委会、凤凰湖产业促进中心、港桥产业促进中心、三教产业促进中心、相关镇街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9</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严格土壤污染重点行业监管</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建立土壤环境重点监管企业名单，实行动态管理，并向社会公布。</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10</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加强土壤污染重点监管单位环境监管，督促被列入名单的企业每年自行对其用地土壤进行监测，结果向社会公开，开展土壤环境隐患排查，发现问题及时整改，定期对重点监管企业周边土壤开展监督性监测。</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11</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严格管控涉重金属行业污染物排放</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督促涉重金属在产企业切实履行主体责任，严格控制涉重金属重点行业新增一类重金属排放量，未取得总量指标的不予审批相关项目环评。</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12</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持续推进重点排污单位安装自动监测设备，并与市生态环境局监控平台联网。</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13</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深入推进涉重金属企业规范化整治，严格按照相关重点行业一类重金属污染物特别排放限值国家标准要求审批新建项目，执行建设项目重金属、排放“等量替代”或“减量替代”制度，到2025年，完成市级下达的重点行业一类重金属污染物（铅、汞、镉、铬和类金属砷）排放总量减排目标。</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14</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规范企业拆除、搬迁活动</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督促重点行业企业在拆除生产设施设备、构建筑物和污染治理设施时，按照《企业拆除活动污染防治技术规定（试行）要求》，事先制定残留污染物清理和安全处置方案，并报区生态环境、经济信息部门备案；严格按照有关规定实施安全处理处置，防止拆除过程中污染土壤。</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区经济信息委、相关镇街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15</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3.巩固提升耕地分类管理</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优先保护类耕地</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坚持最严格的耕地保护制度，强化国土空间规划和用途管控，落实基本农田等空间管控边界。</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16</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依据土壤污染防治法在永久基本农田集中区域，不得规划新建可能造成土壤污染的建设项目。</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17</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推行秸秆还田、化肥农药减量化、增施有机肥、少耕免耕与轮作等措施，切实保护优先保护类耕地土壤环境质量。</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18</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推行农膜减量与回收利用等措施，切实保护优先保护类耕地土壤环境质量。</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区供销合作社</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19</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加强农业投入品质量监管，从严查处向农田施用不达标肥料等农业投入品的行为。</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区供销合作社、相关镇街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安全利用类耕地</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持续推进全区受污染耕地安全利用，确保到2025年受污染耕地安全利用面积达到46220.53亩。</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21</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分年度制定耕地安全利用方案，以乡镇为单位推进落实，到2025年，受污染耕地安全利用率完成市定任务。</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22</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杜绝重金属超标粮食进入口粮市场</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强化对重点地区粮食收购和加工企业的监管，督促开展收购和加工粮食的重金属检测，对于超标的，专库收储，严格管理，禁止进入口粮市场。</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区发展改革委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23</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对市场中流通的大米及米制品，加大抽检力度，发现问题及时处理。</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区市场监督管理局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24</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开展耕地质量等级年度变更评价</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健全完善耕地质量监测体系，维护13个已建成耕地质量定位监测点正常运行，开展耕地质量等级年度变更评价。</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25</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涉镉等重金属行业企业污染源排查整治</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持续推进耕地周边涉镉等重金属行业企业排查整治，重点排查粮食镉等重金属超标区域、耕地土壤重金属超标区域，动态更新污染源排查整治清单。</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26</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2021年，完成对“十三五”期间整治销号的涉镉等重金属行业企业污染源整治成效 “回头看”，进一步巩固整治成效。</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27</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在2025年前，按照市局要求，督促整治单位编制整治方案，有计划分批次完成整治工作。</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2022-2025年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28</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4.严格建设用地准入管理</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开展土壤污染状况调查评估</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持续推进疑似污染地块排查、筛查工作，动态更新全区土壤环境质量状况数据库和项目库。</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29</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用途变更为住宅、公共管理与公共服务用地的地块，在土地征收、收回、收购以及转让、改变用途等环节，依法督促相关单位调查并上报土壤污染状况。</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30</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对列入年度建设用地供应计划的地块，因地制宜适当提前开展土壤污染状况调查，化解建设用地土壤污染风险管控和修复与土地开发进度之间的矛盾。</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31</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强化污染地块空间用途管制</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严格建设用地土壤污染风险管控和修复名录内地块的准入管理，未依法完成土壤污染状况调查和风险评估的地块，不得开工建设与风险管控和修复无关的项目。</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32</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从严管控农药、化工等行业的重度污染地块规划用途，确需开发利用的，鼓励用于拓展生态空间。</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33</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强化部门信息共享和联动监管</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加强部门信息共享和联动监管，推进精准、科学、依法治污，深入打好净土保卫战。</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区规划和自然资源局、区发展改革委、区经济信息委、相关镇街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34</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将污染地块空间信息叠加至国土空间规划“一张图”，共享疑似污染地块及污染地块空间信息；生态环境部门与自然资源、住建等部门完善联动监管机制，防止污染地块未开展或未完成土壤污染风险管控和修复即开发建设。</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区生态环境局、区住房城乡建委、区发展改革委、区经济信息委、相关镇街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35</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5.推进土壤污染治理修复</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提升耕地土壤环境质量</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实施耕地质量保护与提升行动，提高粮食生产能力。</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36</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推进污染地块土壤污染风险管控、修复</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以用途变更为住宅、公共管理与公共服务用地的污染地块为重点，严格落实风险管控和修复。</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37</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暂不开发利用或现阶段不具备治理修复条件的污染地块，划定管控区域，设立标志，发布公告，定期开展环境监测；发现污染扩散的，相关责任方要及时采取污染物隔离、阻断等环境风险管控措施，防止污染进一步扩散。</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38</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现阶段具备治理修复条件的污染地块优先治理修复，到2025年底完成重庆西源凸轮轴有限公司、重庆树荣作物科学有限公司、重庆中明环境治理有限公司等污染地块治理修复。</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39</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强化风险管控和修复工程监管，重点防止转运污染土壤非法处置，以及农药类等污染地块风险管控和修复过程中产生的异味等二次污染，确保实现风险管控和修复目标。</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区交通局、相关镇街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40</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加强信息公开</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2021年起，在土地出让以及房地产出售等环节，土地使用权人应公开地块原土壤污染状况及污染治理和修复情况。</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区生态环境局、区住房城乡建委</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41</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自然资源、住房城乡建设等部门加强房地产出售环节污染土壤防治公示情况检查。</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区住房城乡建委、区生态环境局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42</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强化土壤污染风险管控、修复项目施工过程信息公开。</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区规划和自然资源局、区住房城乡建委、相关镇街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43</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整治涉重金属矿区历史遗留固体废物</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实施134个历史遗留和关闭矿山修复治理，恢复损毁面积112.6公顷。其中2021年完成12个地块，2022年完成8个地块，2023年完成49个地块，2024年完成37个地块，2025年完成28个地块地质环境治理恢复与土地复垦。</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44</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防控矿产资源开发污染土壤</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全面推进绿色矿山建设，2021年重庆市永川区黄瓜山砂石开采有限公司完成绿色矿山建设，重庆蒋陶石英砂有限公司参照绿色矿山标准实行规范管理；2022年重庆市永桓砂石开采有限公司完成绿色矿山建设；2023年重庆市科海粘土矿有限公司神罗沟采场完成绿色矿山建设；2024年重庆市永川区强龙石英砂厂完成绿色矿山建设，重庆雕美石材有限公司参照绿色矿山标准实行规范管理；2025年重庆市永川区宏佳鑫矿业有限责任公司、重庆广乾耐火材料有限公司2个矿山参照绿色矿山标准实行规范管理。</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77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（二）推进地下水生态环境保护</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45</w:t>
            </w:r>
          </w:p>
        </w:tc>
        <w:tc>
          <w:tcPr>
            <w:tcW w:w="2507"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配合市级开展地下水污染调查、监测、评估</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配合市级开展地下水“双源”污染调查、监测、评估，划定保护区、防控区以及治理区，构建地下水污染防治分区体系。</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区规划和自然资源局、区水利局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46</w:t>
            </w:r>
          </w:p>
        </w:tc>
        <w:tc>
          <w:tcPr>
            <w:tcW w:w="2507"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配合市级持续推进地下水监测站点建设工作，加强现有地下水环境监测井的运行维护和管理。</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区规划和自然资源局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区生态环境局、凤凰湖产业促进中心、港桥产业促进中心、三教产业促进中心、相关镇街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47</w:t>
            </w:r>
          </w:p>
        </w:tc>
        <w:tc>
          <w:tcPr>
            <w:tcW w:w="2507"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配合市级制定地下水污染场地清单，逐步开展防渗监测评估工作。</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凤凰湖产业促进中心、港桥产业促进中心、三教产业促进中心、相关镇街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48</w:t>
            </w:r>
          </w:p>
        </w:tc>
        <w:tc>
          <w:tcPr>
            <w:tcW w:w="2507"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配合市级探明土壤污染、地下水污染协同防治机理和防治路径，建设用地与安全利用类和严格管控类农用地地块污染防治工作应纳入地下水有关内容。</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凤凰湖产业促进中心、港桥产业促进中心、三教产业促进中心、相关镇街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49</w:t>
            </w:r>
          </w:p>
        </w:tc>
        <w:tc>
          <w:tcPr>
            <w:tcW w:w="2507"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积极推进永川中明港桥危险废物处置场地下水环境状况调查评估工作开展。</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77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（三）改善农业农村生态环境</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50</w:t>
            </w:r>
          </w:p>
        </w:tc>
        <w:tc>
          <w:tcPr>
            <w:tcW w:w="104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1.加强农业面源污染防治</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持续推进化肥农药减量增效</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持续推进化肥农药减量增效行动，确保到2025年，全区主要农作物化肥农药使用量持续下降，分年度完成市级下发任务。</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51</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加强病虫害监测预警，实行农药销售与疫情的信息化管理，病虫害绿色防控覆盖率力争提高到42%以上。</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52</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全面推进清洁生产及健康养殖</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进一步探索畜禽废弃物资源化利用市场化机制，到2025年，畜禽粪污资源化利用率稳定在90%以上。</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53</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持续开展水产养殖尾水处理，提高养殖尾水治理设施覆盖率。</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54</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持续推动水产养殖尾水治理专项整改工作，到2022年，全面完成养殖池塘550万吨尾水治理；到2025年，实现规模化以上水产养殖尾水实现有效治理。</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55</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重点打造重庆市永川区大竹溪水花基地段水生态修复+面源污染防治项目。</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卫星湖街道</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56</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实施何埂镇圣水河流域水产养殖尾水处理项目示范。</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何埂镇</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57</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统筹推进农膜秸秆回收利用</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积极推进农膜回收利用，到2025年，农膜回收率达到90%以上，无害化处理率达到100%。</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区供销合作社</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58</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建成投运五间镇处理秸秆的有机肥加工厂1座</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59</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推进农作物秸秆资源化利用，到2022年，农作物秸秆综合利用率稳定在90%以上。</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60</w:t>
            </w:r>
          </w:p>
        </w:tc>
        <w:tc>
          <w:tcPr>
            <w:tcW w:w="104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2.深入推进农村环境整治</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加强饮用水水源地保护</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严格落实饮用水源地隔离网、监控设备、标牌、界牌等设备设施管理维护工作。</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区水利局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61</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严格落实饮用水源地道路交通标志等设备设施管理维护工作。</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区交通局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62</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完善饮用水源地应急预案。</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63</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加强饮用水源地生态环境监管，严格执行信息公开制度，落实饮用水源地保护责任。</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区水利局、相关镇街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64</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加快推进农村生活污水治理</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扎实推进农村“厕所革命”，推进厕所粪污无害化处理，到2025年，全区农村卫生户厕普及率达到87%。</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区住房城乡建委、相关镇街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65</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加强对人口聚集程度较高、污水产生规模较大的乡镇和村聚居点现有污水处理设施技术改造，在确保已建设施稳定运行基础上，分步推进集中污水处理设施建设。</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区住房城乡建委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区生态环境局、区农业农村委牵头、相关镇街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66</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加快推进农村生活污水治理，到2025年，农村生活污水得到治理的农户覆盖率达到81.65%，农村生活污水治理率达到40%。</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区农业农村委、区住房城乡建委、相关镇街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67</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强化农村生活污水治理设施监管</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严格落实对生活污水运营单位运行台账监管。</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区住房城乡建委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68</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督促日处理能力500吨及以上的生活污水处理厂（站）按照有关规定安装进出水在线监测、监控设施；日处理能力500吨以下的污水处理厂（站）按照有关规定安装视频监控设施。</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区住房城乡建委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69</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严格落实污水处理厂污染治理设施日常监管工作。</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区住房城乡建委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70</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有序开展农村黑臭水体治理</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有序开展农村黑臭水体治理，到2025年底，农村黑臭水体治理率达到40%。</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71</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整治后的农村黑臭水体纳入河长制，防治水体返黑返臭。</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区水利局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区生态环境局、区农业农村委、相关镇街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72</w:t>
            </w:r>
          </w:p>
        </w:tc>
        <w:tc>
          <w:tcPr>
            <w:tcW w:w="104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推广农村生活垃圾分类减量</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开展农村生活垃圾分类示范，着力构建“区-镇街-行政村”三级回收网络体系。到2021年，全区100%的行政村开展生活垃圾分类，全区生活垃圾分类处理系统基本建成，并长期实施垃圾分类</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区城市管理局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77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（四）提升生态环境监管能力</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73</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1.提升监管能力</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加强能力建设</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加强土壤、地下水与农业农村生态环境监测能力建设，努力促进各部门监测数据共享。</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74</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强化队伍建设，配备X荧光衍射土壤测试仪等仪器设备。</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区财政局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75</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组织开展培训</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环境监测人员每年至少参加1次土壤环境监测技术人员培训；环境执法人员每3年至少参加1次土壤污染防治专业技术培训。</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76</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农业及相关部门，每年对农业合作社、种植大户及农民至少开展1次农业知识与技术培训。</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区供销合作社、相关镇街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77</w:t>
            </w:r>
          </w:p>
        </w:tc>
        <w:tc>
          <w:tcPr>
            <w:tcW w:w="10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2.强化监督执法</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加大执法力度</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将土壤污染防治作为环境监管执法的重要内容，加强土壤环境日常监管执法。</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78</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重点监管有色金属冶炼、化工、医药、电镀、危险废物处置、制革等重污染行业企业。</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79</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严厉打击违法违规存放危险化学品、非法处置危险废物、不正常使用污染治理设施、监测数据弄虚作假等环境违法行为。</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80</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加大环境监管监测，提升监测预报预警、信息化能力和保障水平，推进监测与监管协调联动；严格落实重金属企业监督性监测频次，加大对重金属企业违法行为的查处力度；开展重点行业企业专项环境执法，对严重污染土壤环境、群众反映强烈的企业进行挂牌督办。</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81</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健全行政执法与刑事司法衔接机制</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健全全区生态环境局、公安局、司法局等部门环保行政执法与刑事司法联动机制，形成打击环境违法犯罪行为的合力。</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区司法局、区公安局、区经济信息委、区应急管理局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82</w:t>
            </w:r>
          </w:p>
        </w:tc>
        <w:tc>
          <w:tcPr>
            <w:tcW w:w="10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深入开展环境保护大检查，对环境违法行为“零容忍”。重点打击非法排放、倾倒、填埋含重金属、有毒有害污染物等行为，并依法追究民事、行政、刑事责任。</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区司法局、区经济信息委、区应急管理局</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83</w:t>
            </w:r>
          </w:p>
        </w:tc>
        <w:tc>
          <w:tcPr>
            <w:tcW w:w="242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3.加强技术推广</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在农用地方面，重点推广品种调整、优化施肥、水分调控、叶面调控、深翻耕等农艺调控技术。</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区农业农村委</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84</w:t>
            </w:r>
          </w:p>
        </w:tc>
        <w:tc>
          <w:tcPr>
            <w:tcW w:w="242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在污染地块方面，重点筛选经济高效的修复技术。</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区生态环境局</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相关镇街</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Style w:val="51"/>
                <w:rFonts w:eastAsia="方正仿宋_GBK" w:cs="Times New Roman"/>
                <w:b w:val="0"/>
                <w:bCs w:val="0"/>
                <w:sz w:val="21"/>
                <w:szCs w:val="21"/>
              </w:rPr>
            </w:pPr>
            <w:r>
              <w:rPr>
                <w:rStyle w:val="51"/>
                <w:rFonts w:eastAsia="方正仿宋_GBK" w:cs="Times New Roman"/>
                <w:b w:val="0"/>
                <w:bCs w:val="0"/>
                <w:sz w:val="21"/>
                <w:szCs w:val="21"/>
              </w:rPr>
              <w:t>长期</w:t>
            </w:r>
          </w:p>
        </w:tc>
      </w:tr>
    </w:tbl>
    <w:p>
      <w:pPr>
        <w:spacing w:line="276" w:lineRule="auto"/>
        <w:ind w:firstLine="640"/>
        <w:rPr>
          <w:rFonts w:hint="eastAsia"/>
          <w:b w:val="0"/>
          <w:bCs w:val="0"/>
          <w:color w:val="000000"/>
        </w:rPr>
        <w:sectPr>
          <w:pgSz w:w="16838" w:h="11906" w:orient="landscape"/>
          <w:pgMar w:top="2098" w:right="1474" w:bottom="1984" w:left="1587" w:header="850" w:footer="1417" w:gutter="0"/>
          <w:pgNumType w:fmt="numberInDash"/>
          <w:cols w:space="720" w:num="1"/>
          <w:docGrid w:type="lines" w:linePitch="489" w:charSpace="0"/>
        </w:sectPr>
      </w:pPr>
    </w:p>
    <w:p>
      <w:pPr>
        <w:pStyle w:val="50"/>
        <w:spacing w:line="276" w:lineRule="auto"/>
        <w:jc w:val="both"/>
        <w:outlineLvl w:val="1"/>
        <w:rPr>
          <w:rFonts w:hint="eastAsia" w:eastAsia="方正黑体_GBK"/>
          <w:b w:val="0"/>
          <w:bCs w:val="0"/>
          <w:lang w:val="en-US" w:eastAsia="zh-CN"/>
        </w:rPr>
      </w:pPr>
      <w:bookmarkStart w:id="223" w:name="_Toc9600"/>
      <w:bookmarkStart w:id="224" w:name="_Toc88503013"/>
      <w:r>
        <w:rPr>
          <w:rFonts w:hint="eastAsia" w:eastAsia="方正黑体_GBK"/>
          <w:b w:val="0"/>
          <w:bCs w:val="0"/>
        </w:rPr>
        <w:t>附</w:t>
      </w:r>
      <w:bookmarkStart w:id="225" w:name="_Hlk87564012"/>
      <w:r>
        <w:rPr>
          <w:rFonts w:hint="eastAsia" w:eastAsia="方正黑体_GBK"/>
          <w:b w:val="0"/>
          <w:bCs w:val="0"/>
          <w:lang w:eastAsia="zh-CN"/>
        </w:rPr>
        <w:t>件</w:t>
      </w:r>
      <w:r>
        <w:rPr>
          <w:rFonts w:hint="eastAsia" w:eastAsia="方正黑体_GBK"/>
          <w:b w:val="0"/>
          <w:bCs w:val="0"/>
          <w:lang w:val="en-US" w:eastAsia="zh-CN"/>
        </w:rPr>
        <w:t>9</w:t>
      </w:r>
      <w:bookmarkEnd w:id="223"/>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26" w:name="_Toc24570"/>
      <w:r>
        <w:rPr>
          <w:rFonts w:hint="eastAsia" w:ascii="方正小标宋_GBK" w:hAnsi="方正小标宋_GBK" w:eastAsia="方正小标宋_GBK" w:cs="方正小标宋_GBK"/>
          <w:b w:val="0"/>
          <w:bCs w:val="0"/>
          <w:sz w:val="44"/>
          <w:szCs w:val="44"/>
        </w:rPr>
        <w:t>永川区土壤污染状况调查评估工程分布图</w:t>
      </w:r>
      <w:bookmarkEnd w:id="224"/>
      <w:bookmarkEnd w:id="225"/>
      <w:bookmarkEnd w:id="226"/>
    </w:p>
    <w:p>
      <w:pPr>
        <w:pStyle w:val="50"/>
        <w:spacing w:line="276" w:lineRule="auto"/>
        <w:jc w:val="center"/>
        <w:rPr>
          <w:rFonts w:hint="eastAsia" w:eastAsia="方正黑体_GBK"/>
          <w:b w:val="0"/>
          <w:bCs w:val="0"/>
        </w:rPr>
      </w:pPr>
      <w:r>
        <w:rPr>
          <w:b w:val="0"/>
          <w:bCs w:val="0"/>
        </w:rPr>
        <w:pict>
          <v:shape id="_x0000_i1025" o:spt="75" type="#_x0000_t75" style="height:542.45pt;width:383.25pt;" filled="f" o:preferrelative="t" stroked="f" coordsize="21600,21600">
            <v:path/>
            <v:fill on="f" focussize="0,0"/>
            <v:stroke on="f"/>
            <v:imagedata r:id="rId14" o:title=""/>
            <o:lock v:ext="edit" aspectratio="t"/>
            <w10:wrap type="none"/>
            <w10:anchorlock/>
          </v:shape>
        </w:pict>
      </w:r>
    </w:p>
    <w:p>
      <w:pPr>
        <w:pStyle w:val="50"/>
        <w:spacing w:line="276" w:lineRule="auto"/>
        <w:jc w:val="both"/>
        <w:rPr>
          <w:rFonts w:hint="eastAsia" w:eastAsia="方正黑体_GBK"/>
          <w:b w:val="0"/>
          <w:bCs w:val="0"/>
          <w:lang w:val="en-US" w:eastAsia="zh-CN"/>
        </w:rPr>
      </w:pPr>
      <w:r>
        <w:rPr>
          <w:rFonts w:eastAsia="方正黑体_GBK"/>
          <w:b w:val="0"/>
          <w:bCs w:val="0"/>
        </w:rPr>
        <w:br w:type="page"/>
      </w:r>
      <w:bookmarkStart w:id="227" w:name="_Toc88503014"/>
      <w:r>
        <w:rPr>
          <w:rFonts w:hint="eastAsia" w:eastAsia="方正黑体_GBK"/>
          <w:b w:val="0"/>
          <w:bCs w:val="0"/>
        </w:rPr>
        <w:t>附</w:t>
      </w:r>
      <w:bookmarkStart w:id="228" w:name="_Hlk87564020"/>
      <w:r>
        <w:rPr>
          <w:rFonts w:hint="eastAsia" w:eastAsia="方正黑体_GBK"/>
          <w:b w:val="0"/>
          <w:bCs w:val="0"/>
          <w:lang w:eastAsia="zh-CN"/>
        </w:rPr>
        <w:t>件</w:t>
      </w:r>
      <w:r>
        <w:rPr>
          <w:rFonts w:hint="eastAsia" w:eastAsia="方正黑体_GBK"/>
          <w:b w:val="0"/>
          <w:bCs w:val="0"/>
          <w:lang w:val="en-US" w:eastAsia="zh-CN"/>
        </w:rPr>
        <w:t>10</w:t>
      </w:r>
    </w:p>
    <w:p>
      <w:pPr>
        <w:pStyle w:val="50"/>
        <w:spacing w:line="276" w:lineRule="auto"/>
        <w:outlineLvl w:val="1"/>
        <w:rPr>
          <w:rFonts w:hint="eastAsia" w:ascii="方正小标宋_GBK" w:hAnsi="方正小标宋_GBK" w:eastAsia="方正小标宋_GBK" w:cs="方正小标宋_GBK"/>
          <w:b w:val="0"/>
          <w:bCs w:val="0"/>
          <w:sz w:val="44"/>
          <w:szCs w:val="44"/>
        </w:rPr>
      </w:pPr>
      <w:bookmarkStart w:id="229" w:name="_Toc10634"/>
      <w:r>
        <w:rPr>
          <w:rFonts w:hint="eastAsia" w:ascii="方正小标宋_GBK" w:hAnsi="方正小标宋_GBK" w:eastAsia="方正小标宋_GBK" w:cs="方正小标宋_GBK"/>
          <w:b w:val="0"/>
          <w:bCs w:val="0"/>
          <w:sz w:val="44"/>
          <w:szCs w:val="44"/>
        </w:rPr>
        <w:t>永川区地下水环境状况调查工程分布图</w:t>
      </w:r>
      <w:bookmarkEnd w:id="227"/>
      <w:bookmarkEnd w:id="228"/>
      <w:bookmarkEnd w:id="229"/>
    </w:p>
    <w:p>
      <w:pPr>
        <w:pStyle w:val="50"/>
        <w:spacing w:line="276" w:lineRule="auto"/>
        <w:jc w:val="center"/>
        <w:rPr>
          <w:rFonts w:eastAsia="方正黑体_GBK"/>
          <w:b w:val="0"/>
          <w:bCs w:val="0"/>
        </w:rPr>
      </w:pPr>
      <w:r>
        <w:rPr>
          <w:b w:val="0"/>
          <w:bCs w:val="0"/>
        </w:rPr>
        <w:pict>
          <v:shape id="_x0000_i1026" o:spt="75" type="#_x0000_t75" style="height:542.45pt;width:383.25pt;" filled="f" o:preferrelative="t" stroked="f" coordsize="21600,21600">
            <v:path/>
            <v:fill on="f" focussize="0,0"/>
            <v:stroke on="f"/>
            <v:imagedata r:id="rId15" o:title=""/>
            <o:lock v:ext="edit" aspectratio="t"/>
            <w10:wrap type="none"/>
            <w10:anchorlock/>
          </v:shape>
        </w:pict>
      </w:r>
    </w:p>
    <w:p>
      <w:pPr>
        <w:pStyle w:val="50"/>
        <w:keepNext w:val="0"/>
        <w:keepLines w:val="0"/>
        <w:pageBreakBefore w:val="0"/>
        <w:widowControl w:val="0"/>
        <w:kinsoku/>
        <w:wordWrap/>
        <w:overflowPunct/>
        <w:topLinePunct w:val="0"/>
        <w:autoSpaceDE/>
        <w:autoSpaceDN/>
        <w:bidi w:val="0"/>
        <w:snapToGrid w:val="0"/>
        <w:spacing w:line="600" w:lineRule="exact"/>
        <w:ind w:left="0" w:leftChars="0" w:right="0" w:rightChars="0" w:firstLine="0" w:firstLineChars="0"/>
        <w:jc w:val="both"/>
        <w:textAlignment w:val="auto"/>
        <w:rPr>
          <w:rFonts w:hint="eastAsia" w:eastAsia="方正黑体_GBK"/>
          <w:b w:val="0"/>
          <w:bCs w:val="0"/>
          <w:lang w:val="en-US" w:eastAsia="zh-CN"/>
        </w:rPr>
      </w:pPr>
      <w:r>
        <w:rPr>
          <w:rFonts w:eastAsia="方正黑体_GBK"/>
          <w:b w:val="0"/>
          <w:bCs w:val="0"/>
        </w:rPr>
        <w:br w:type="page"/>
      </w:r>
      <w:bookmarkStart w:id="230" w:name="_Toc88503015"/>
      <w:r>
        <w:rPr>
          <w:rFonts w:hint="eastAsia" w:eastAsia="方正黑体_GBK"/>
          <w:b w:val="0"/>
          <w:bCs w:val="0"/>
        </w:rPr>
        <w:t>附</w:t>
      </w:r>
      <w:bookmarkStart w:id="231" w:name="_Hlk87564030"/>
      <w:r>
        <w:rPr>
          <w:rFonts w:hint="eastAsia" w:eastAsia="方正黑体_GBK"/>
          <w:b w:val="0"/>
          <w:bCs w:val="0"/>
          <w:lang w:eastAsia="zh-CN"/>
        </w:rPr>
        <w:t>件</w:t>
      </w:r>
      <w:r>
        <w:rPr>
          <w:rFonts w:hint="eastAsia" w:eastAsia="方正黑体_GBK"/>
          <w:b w:val="0"/>
          <w:bCs w:val="0"/>
          <w:lang w:val="en-US" w:eastAsia="zh-CN"/>
        </w:rPr>
        <w:t>11</w:t>
      </w:r>
    </w:p>
    <w:p>
      <w:pPr>
        <w:pStyle w:val="50"/>
        <w:keepNext w:val="0"/>
        <w:keepLines w:val="0"/>
        <w:pageBreakBefore w:val="0"/>
        <w:widowControl w:val="0"/>
        <w:kinsoku/>
        <w:wordWrap/>
        <w:overflowPunct/>
        <w:topLinePunct w:val="0"/>
        <w:autoSpaceDE/>
        <w:autoSpaceDN/>
        <w:bidi w:val="0"/>
        <w:snapToGrid w:val="0"/>
        <w:spacing w:line="600" w:lineRule="exact"/>
        <w:ind w:left="0" w:leftChars="0" w:right="0" w:rightChars="0" w:firstLine="0" w:firstLineChars="0"/>
        <w:textAlignment w:val="auto"/>
        <w:outlineLvl w:val="1"/>
        <w:rPr>
          <w:rFonts w:hint="eastAsia" w:ascii="方正小标宋_GBK" w:hAnsi="方正小标宋_GBK" w:eastAsia="方正小标宋_GBK" w:cs="方正小标宋_GBK"/>
          <w:b w:val="0"/>
          <w:bCs w:val="0"/>
          <w:sz w:val="44"/>
          <w:szCs w:val="44"/>
        </w:rPr>
      </w:pPr>
      <w:bookmarkStart w:id="232" w:name="_Toc23695"/>
      <w:r>
        <w:rPr>
          <w:rFonts w:hint="eastAsia" w:ascii="方正小标宋_GBK" w:hAnsi="方正小标宋_GBK" w:eastAsia="方正小标宋_GBK" w:cs="方正小标宋_GBK"/>
          <w:b w:val="0"/>
          <w:bCs w:val="0"/>
          <w:sz w:val="44"/>
          <w:szCs w:val="44"/>
        </w:rPr>
        <w:t>永川区土壤污染修复与风险管控工程分布图</w:t>
      </w:r>
      <w:bookmarkEnd w:id="230"/>
      <w:bookmarkEnd w:id="231"/>
      <w:bookmarkEnd w:id="232"/>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方正仿宋_GBK" w:hAnsi="方正仿宋_GBK" w:cs="方正仿宋_GBK"/>
          <w:b w:val="0"/>
          <w:bCs w:val="0"/>
          <w:color w:val="000000"/>
          <w:sz w:val="30"/>
          <w:szCs w:val="30"/>
        </w:rPr>
      </w:pPr>
      <w:r>
        <w:rPr>
          <w:b w:val="0"/>
          <w:bCs w:val="0"/>
        </w:rPr>
        <w:pict>
          <v:shape id="_x0000_i1027" o:spt="75" type="#_x0000_t75" style="height:490pt;width:383.25pt;" filled="f" o:preferrelative="t" stroked="f" coordsize="21600,21600">
            <v:path/>
            <v:fill on="f" focussize="0,0"/>
            <v:stroke on="f"/>
            <v:imagedata r:id="rId16" o:title=""/>
            <o:lock v:ext="edit" aspectratio="t"/>
            <w10:wrap type="none"/>
            <w10:anchorlock/>
          </v:shape>
        </w:pict>
      </w:r>
    </w:p>
    <w:sectPr>
      <w:pgSz w:w="11906" w:h="16838"/>
      <w:pgMar w:top="2098" w:right="1474" w:bottom="1984" w:left="1587" w:header="850" w:footer="1417" w:gutter="0"/>
      <w:pgNumType w:fmt="numberInDash"/>
      <w:cols w:space="720" w:num="1"/>
      <w:docGrid w:type="lines" w:linePitch="4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Arial Unicode MS">
    <w:altName w:val="Times New Roman"/>
    <w:panose1 w:val="020B0604020202020204"/>
    <w:charset w:val="00"/>
    <w:family w:val="swiss"/>
    <w:pitch w:val="default"/>
    <w:sig w:usb0="00000000" w:usb1="00000000" w:usb2="0000003F" w:usb3="00000000" w:csb0="603F01FF" w:csb1="FFFF0000"/>
  </w:font>
  <w:font w:name="等线 Light">
    <w:altName w:val="华文中宋"/>
    <w:panose1 w:val="02010600030101010101"/>
    <w:charset w:val="00"/>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sz w:val="32"/>
      </w:rPr>
      <w:pict>
        <v:shape id="_x0000_s1031" o:spid="_x0000_s103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r>
      <w:rPr>
        <w:sz w:val="18"/>
      </w:rPr>
      <w:pict>
        <v:shape id="_x0000_s1032" o:spid="_x0000_s103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pict>
        <v:shape id="_x0000_s1027" o:spid="_x0000_s102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ind w:firstLine="0" w:firstLineChars="0"/>
                  <w:rPr>
                    <w:rFonts w:hint="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ind w:firstLine="0" w:firstLineChars="0"/>
      <w:rPr>
        <w:lang w:val="en"/>
      </w:rPr>
    </w:pPr>
    <w:r>
      <w:rPr>
        <w:sz w:val="18"/>
      </w:rPr>
      <w:pict>
        <v:shape id="_x0000_s1033" o:spid="_x0000_s103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spacing w:line="240" w:lineRule="auto"/>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3895"/>
    <w:multiLevelType w:val="multilevel"/>
    <w:tmpl w:val="04B13895"/>
    <w:lvl w:ilvl="0" w:tentative="0">
      <w:start w:val="1"/>
      <w:numFmt w:val="decimal"/>
      <w:suff w:val="nothing"/>
      <w:lvlText w:val="（%1）"/>
      <w:lvlJc w:val="left"/>
      <w:pPr>
        <w:ind w:left="0" w:firstLine="0"/>
      </w:pPr>
      <w:rPr>
        <w:rFonts w:hint="default"/>
        <w:sz w:val="28"/>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892666"/>
    <w:multiLevelType w:val="multilevel"/>
    <w:tmpl w:val="08892666"/>
    <w:lvl w:ilvl="0" w:tentative="0">
      <w:start w:val="1"/>
      <w:numFmt w:val="decimal"/>
      <w:suff w:val="nothing"/>
      <w:lvlText w:val="（%1）"/>
      <w:lvlJc w:val="left"/>
      <w:pPr>
        <w:ind w:left="0" w:firstLine="0"/>
      </w:pPr>
      <w:rPr>
        <w:rFonts w:hint="default"/>
        <w:sz w:val="28"/>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5A7577"/>
    <w:multiLevelType w:val="multilevel"/>
    <w:tmpl w:val="145A7577"/>
    <w:lvl w:ilvl="0" w:tentative="0">
      <w:start w:val="1"/>
      <w:numFmt w:val="decimal"/>
      <w:suff w:val="nothing"/>
      <w:lvlText w:val="（%1）"/>
      <w:lvlJc w:val="left"/>
      <w:pPr>
        <w:ind w:left="0" w:firstLine="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8617F6"/>
    <w:multiLevelType w:val="multilevel"/>
    <w:tmpl w:val="268617F6"/>
    <w:lvl w:ilvl="0" w:tentative="0">
      <w:start w:val="1"/>
      <w:numFmt w:val="decimal"/>
      <w:suff w:val="nothing"/>
      <w:lvlText w:val="（%1）"/>
      <w:lvlJc w:val="left"/>
      <w:pPr>
        <w:ind w:left="0" w:firstLine="0"/>
      </w:pPr>
      <w:rPr>
        <w:rFonts w:hint="default"/>
        <w:sz w:val="28"/>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8C408B"/>
    <w:multiLevelType w:val="multilevel"/>
    <w:tmpl w:val="288C408B"/>
    <w:lvl w:ilvl="0" w:tentative="0">
      <w:start w:val="1"/>
      <w:numFmt w:val="decimal"/>
      <w:suff w:val="nothing"/>
      <w:lvlText w:val="（%1）"/>
      <w:lvlJc w:val="left"/>
      <w:pPr>
        <w:ind w:left="0" w:firstLine="0"/>
      </w:pPr>
      <w:rPr>
        <w:rFonts w:hint="default"/>
        <w:sz w:val="28"/>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CE4671"/>
    <w:multiLevelType w:val="multilevel"/>
    <w:tmpl w:val="2BCE4671"/>
    <w:lvl w:ilvl="0" w:tentative="0">
      <w:start w:val="1"/>
      <w:numFmt w:val="decimal"/>
      <w:suff w:val="nothing"/>
      <w:lvlText w:val="（%1）"/>
      <w:lvlJc w:val="left"/>
      <w:pPr>
        <w:ind w:left="0" w:firstLine="0"/>
      </w:pPr>
      <w:rPr>
        <w:rFonts w:hint="default"/>
        <w:sz w:val="28"/>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962E68"/>
    <w:multiLevelType w:val="multilevel"/>
    <w:tmpl w:val="34962E68"/>
    <w:lvl w:ilvl="0" w:tentative="0">
      <w:start w:val="1"/>
      <w:numFmt w:val="decimal"/>
      <w:suff w:val="nothing"/>
      <w:lvlText w:val="（%1）"/>
      <w:lvlJc w:val="left"/>
      <w:pPr>
        <w:ind w:left="0" w:firstLine="0"/>
      </w:pPr>
      <w:rPr>
        <w:rFonts w:hint="eastAsia"/>
        <w:kern w:val="28"/>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7E583D"/>
    <w:multiLevelType w:val="multilevel"/>
    <w:tmpl w:val="3D7E583D"/>
    <w:lvl w:ilvl="0" w:tentative="0">
      <w:start w:val="1"/>
      <w:numFmt w:val="decimal"/>
      <w:suff w:val="nothing"/>
      <w:lvlText w:val="（%1）"/>
      <w:lvlJc w:val="left"/>
      <w:pPr>
        <w:ind w:left="0" w:firstLine="0"/>
      </w:pPr>
      <w:rPr>
        <w:rFonts w:hint="eastAsia"/>
        <w:kern w:val="28"/>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C85CDF"/>
    <w:multiLevelType w:val="multilevel"/>
    <w:tmpl w:val="45C85CDF"/>
    <w:lvl w:ilvl="0" w:tentative="0">
      <w:start w:val="1"/>
      <w:numFmt w:val="decimal"/>
      <w:suff w:val="nothing"/>
      <w:lvlText w:val="（%1）"/>
      <w:lvlJc w:val="left"/>
      <w:pPr>
        <w:ind w:left="113" w:hanging="113"/>
      </w:pPr>
      <w:rPr>
        <w:rFonts w:hint="eastAsia"/>
        <w:kern w:val="28"/>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CD28DA"/>
    <w:multiLevelType w:val="multilevel"/>
    <w:tmpl w:val="48CD28DA"/>
    <w:lvl w:ilvl="0" w:tentative="0">
      <w:start w:val="1"/>
      <w:numFmt w:val="decimal"/>
      <w:suff w:val="nothing"/>
      <w:lvlText w:val="（%1）"/>
      <w:lvlJc w:val="left"/>
      <w:pPr>
        <w:ind w:left="0" w:firstLine="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DE373C"/>
    <w:multiLevelType w:val="singleLevel"/>
    <w:tmpl w:val="61DE373C"/>
    <w:lvl w:ilvl="0" w:tentative="0">
      <w:start w:val="2"/>
      <w:numFmt w:val="chineseCounting"/>
      <w:suff w:val="nothing"/>
      <w:lvlText w:val="（%1）"/>
      <w:lvlJc w:val="left"/>
    </w:lvl>
  </w:abstractNum>
  <w:abstractNum w:abstractNumId="11">
    <w:nsid w:val="61DE3835"/>
    <w:multiLevelType w:val="singleLevel"/>
    <w:tmpl w:val="61DE3835"/>
    <w:lvl w:ilvl="0" w:tentative="0">
      <w:start w:val="2"/>
      <w:numFmt w:val="chineseCounting"/>
      <w:suff w:val="nothing"/>
      <w:lvlText w:val="（%1）"/>
      <w:lvlJc w:val="left"/>
    </w:lvl>
  </w:abstractNum>
  <w:abstractNum w:abstractNumId="12">
    <w:nsid w:val="711749ED"/>
    <w:multiLevelType w:val="multilevel"/>
    <w:tmpl w:val="711749ED"/>
    <w:lvl w:ilvl="0" w:tentative="0">
      <w:start w:val="1"/>
      <w:numFmt w:val="decimal"/>
      <w:suff w:val="nothing"/>
      <w:lvlText w:val="（%1）"/>
      <w:lvlJc w:val="left"/>
      <w:pPr>
        <w:ind w:left="0" w:firstLine="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2"/>
  </w:num>
  <w:num w:numId="4">
    <w:abstractNumId w:val="8"/>
  </w:num>
  <w:num w:numId="5">
    <w:abstractNumId w:val="6"/>
  </w:num>
  <w:num w:numId="6">
    <w:abstractNumId w:val="7"/>
  </w:num>
  <w:num w:numId="7">
    <w:abstractNumId w:val="10"/>
  </w:num>
  <w:num w:numId="8">
    <w:abstractNumId w:val="4"/>
  </w:num>
  <w:num w:numId="9">
    <w:abstractNumId w:val="1"/>
  </w:num>
  <w:num w:numId="10">
    <w:abstractNumId w:val="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1"/>
  <w:hyphenationZone w:val="360"/>
  <w:evenAndOddHeaders w:val="true"/>
  <w:drawingGridHorizontalSpacing w:val="158"/>
  <w:drawingGridVerticalSpacing w:val="300"/>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0942"/>
    <w:rsid w:val="00000FE6"/>
    <w:rsid w:val="00001201"/>
    <w:rsid w:val="0000147B"/>
    <w:rsid w:val="00001693"/>
    <w:rsid w:val="00001FC5"/>
    <w:rsid w:val="00002AB1"/>
    <w:rsid w:val="00003093"/>
    <w:rsid w:val="0000329F"/>
    <w:rsid w:val="0000538D"/>
    <w:rsid w:val="00005A78"/>
    <w:rsid w:val="00007FC6"/>
    <w:rsid w:val="000103C9"/>
    <w:rsid w:val="000116DA"/>
    <w:rsid w:val="00011766"/>
    <w:rsid w:val="00013335"/>
    <w:rsid w:val="000145BB"/>
    <w:rsid w:val="00014B91"/>
    <w:rsid w:val="00015E64"/>
    <w:rsid w:val="000160AE"/>
    <w:rsid w:val="00017121"/>
    <w:rsid w:val="000172CE"/>
    <w:rsid w:val="000174EF"/>
    <w:rsid w:val="00017549"/>
    <w:rsid w:val="000178CE"/>
    <w:rsid w:val="00020E30"/>
    <w:rsid w:val="0002225C"/>
    <w:rsid w:val="0002267A"/>
    <w:rsid w:val="0002331B"/>
    <w:rsid w:val="0002417D"/>
    <w:rsid w:val="00024B01"/>
    <w:rsid w:val="00025EC1"/>
    <w:rsid w:val="00026A81"/>
    <w:rsid w:val="00026B74"/>
    <w:rsid w:val="00026F0E"/>
    <w:rsid w:val="000274E9"/>
    <w:rsid w:val="00030168"/>
    <w:rsid w:val="00031173"/>
    <w:rsid w:val="00031C22"/>
    <w:rsid w:val="0003230C"/>
    <w:rsid w:val="00032398"/>
    <w:rsid w:val="00032977"/>
    <w:rsid w:val="00032B25"/>
    <w:rsid w:val="00033A3A"/>
    <w:rsid w:val="00033BC7"/>
    <w:rsid w:val="00035E05"/>
    <w:rsid w:val="00036851"/>
    <w:rsid w:val="00037023"/>
    <w:rsid w:val="0004032B"/>
    <w:rsid w:val="00040842"/>
    <w:rsid w:val="000415C6"/>
    <w:rsid w:val="00041A3B"/>
    <w:rsid w:val="00041B53"/>
    <w:rsid w:val="00041E39"/>
    <w:rsid w:val="00041E75"/>
    <w:rsid w:val="00041FDE"/>
    <w:rsid w:val="00041FE2"/>
    <w:rsid w:val="00042479"/>
    <w:rsid w:val="0004373C"/>
    <w:rsid w:val="00043839"/>
    <w:rsid w:val="00043866"/>
    <w:rsid w:val="00043AB3"/>
    <w:rsid w:val="00043B34"/>
    <w:rsid w:val="00043BD4"/>
    <w:rsid w:val="00044EDF"/>
    <w:rsid w:val="00045D4B"/>
    <w:rsid w:val="000460AE"/>
    <w:rsid w:val="000476FF"/>
    <w:rsid w:val="00047B16"/>
    <w:rsid w:val="00050FB1"/>
    <w:rsid w:val="00051EA7"/>
    <w:rsid w:val="00052E19"/>
    <w:rsid w:val="000531B1"/>
    <w:rsid w:val="00053537"/>
    <w:rsid w:val="0005401B"/>
    <w:rsid w:val="0005408C"/>
    <w:rsid w:val="00055746"/>
    <w:rsid w:val="000563B9"/>
    <w:rsid w:val="000565DA"/>
    <w:rsid w:val="00056F10"/>
    <w:rsid w:val="0005782D"/>
    <w:rsid w:val="00057D03"/>
    <w:rsid w:val="00057EF6"/>
    <w:rsid w:val="00057F7E"/>
    <w:rsid w:val="000604B2"/>
    <w:rsid w:val="000604CE"/>
    <w:rsid w:val="0006085E"/>
    <w:rsid w:val="00060E1C"/>
    <w:rsid w:val="00060F53"/>
    <w:rsid w:val="00063568"/>
    <w:rsid w:val="0006386D"/>
    <w:rsid w:val="00063AD5"/>
    <w:rsid w:val="00064F48"/>
    <w:rsid w:val="00065EDA"/>
    <w:rsid w:val="000660AB"/>
    <w:rsid w:val="00066D40"/>
    <w:rsid w:val="000678DE"/>
    <w:rsid w:val="00067AD9"/>
    <w:rsid w:val="00067F0D"/>
    <w:rsid w:val="00070408"/>
    <w:rsid w:val="000709F9"/>
    <w:rsid w:val="00070E9D"/>
    <w:rsid w:val="000713E8"/>
    <w:rsid w:val="000714DF"/>
    <w:rsid w:val="00071A74"/>
    <w:rsid w:val="00071E64"/>
    <w:rsid w:val="0007287B"/>
    <w:rsid w:val="000729F4"/>
    <w:rsid w:val="000730DE"/>
    <w:rsid w:val="00074563"/>
    <w:rsid w:val="000749FB"/>
    <w:rsid w:val="0007550F"/>
    <w:rsid w:val="000761F2"/>
    <w:rsid w:val="000767F3"/>
    <w:rsid w:val="00077149"/>
    <w:rsid w:val="0007732B"/>
    <w:rsid w:val="00081226"/>
    <w:rsid w:val="000814AB"/>
    <w:rsid w:val="00082275"/>
    <w:rsid w:val="000825B4"/>
    <w:rsid w:val="00084736"/>
    <w:rsid w:val="00084781"/>
    <w:rsid w:val="000858A8"/>
    <w:rsid w:val="00086613"/>
    <w:rsid w:val="000901C2"/>
    <w:rsid w:val="00091529"/>
    <w:rsid w:val="00091723"/>
    <w:rsid w:val="00093F50"/>
    <w:rsid w:val="000943AA"/>
    <w:rsid w:val="0009526F"/>
    <w:rsid w:val="00095661"/>
    <w:rsid w:val="00095CCA"/>
    <w:rsid w:val="00096130"/>
    <w:rsid w:val="0009670D"/>
    <w:rsid w:val="00096AB3"/>
    <w:rsid w:val="000A2399"/>
    <w:rsid w:val="000A4164"/>
    <w:rsid w:val="000A41F2"/>
    <w:rsid w:val="000A4513"/>
    <w:rsid w:val="000A50E8"/>
    <w:rsid w:val="000A7420"/>
    <w:rsid w:val="000A74DD"/>
    <w:rsid w:val="000A79DD"/>
    <w:rsid w:val="000A7ADA"/>
    <w:rsid w:val="000B0579"/>
    <w:rsid w:val="000B05A7"/>
    <w:rsid w:val="000B1CE9"/>
    <w:rsid w:val="000B28EF"/>
    <w:rsid w:val="000B3247"/>
    <w:rsid w:val="000B3428"/>
    <w:rsid w:val="000B3495"/>
    <w:rsid w:val="000B43B8"/>
    <w:rsid w:val="000B4781"/>
    <w:rsid w:val="000B5B91"/>
    <w:rsid w:val="000B5FDB"/>
    <w:rsid w:val="000B6687"/>
    <w:rsid w:val="000B6C65"/>
    <w:rsid w:val="000B79A9"/>
    <w:rsid w:val="000B7B3D"/>
    <w:rsid w:val="000C0004"/>
    <w:rsid w:val="000C0F38"/>
    <w:rsid w:val="000C1DCB"/>
    <w:rsid w:val="000C2038"/>
    <w:rsid w:val="000C2300"/>
    <w:rsid w:val="000C23D2"/>
    <w:rsid w:val="000C2609"/>
    <w:rsid w:val="000C26E3"/>
    <w:rsid w:val="000C33EB"/>
    <w:rsid w:val="000C3586"/>
    <w:rsid w:val="000C3A3F"/>
    <w:rsid w:val="000C3C38"/>
    <w:rsid w:val="000C3E42"/>
    <w:rsid w:val="000C4627"/>
    <w:rsid w:val="000C4E18"/>
    <w:rsid w:val="000C55F3"/>
    <w:rsid w:val="000C5F38"/>
    <w:rsid w:val="000C622A"/>
    <w:rsid w:val="000C6AF8"/>
    <w:rsid w:val="000C6B0B"/>
    <w:rsid w:val="000C6B0C"/>
    <w:rsid w:val="000C6B21"/>
    <w:rsid w:val="000C702E"/>
    <w:rsid w:val="000C7DF8"/>
    <w:rsid w:val="000D00F9"/>
    <w:rsid w:val="000D032F"/>
    <w:rsid w:val="000D05E7"/>
    <w:rsid w:val="000D0DC6"/>
    <w:rsid w:val="000D0F91"/>
    <w:rsid w:val="000D25DB"/>
    <w:rsid w:val="000D2658"/>
    <w:rsid w:val="000D2B51"/>
    <w:rsid w:val="000D2C2B"/>
    <w:rsid w:val="000D3907"/>
    <w:rsid w:val="000D3F02"/>
    <w:rsid w:val="000D542E"/>
    <w:rsid w:val="000D5654"/>
    <w:rsid w:val="000D58C4"/>
    <w:rsid w:val="000D5D8C"/>
    <w:rsid w:val="000D6290"/>
    <w:rsid w:val="000D6346"/>
    <w:rsid w:val="000D63AE"/>
    <w:rsid w:val="000D70C0"/>
    <w:rsid w:val="000D7F01"/>
    <w:rsid w:val="000E0117"/>
    <w:rsid w:val="000E0E10"/>
    <w:rsid w:val="000E0E39"/>
    <w:rsid w:val="000E14B9"/>
    <w:rsid w:val="000E14BC"/>
    <w:rsid w:val="000E2C71"/>
    <w:rsid w:val="000E2E8F"/>
    <w:rsid w:val="000E3696"/>
    <w:rsid w:val="000E3BBB"/>
    <w:rsid w:val="000E44FF"/>
    <w:rsid w:val="000E48D7"/>
    <w:rsid w:val="000E5323"/>
    <w:rsid w:val="000E534A"/>
    <w:rsid w:val="000E5FB8"/>
    <w:rsid w:val="000E60A2"/>
    <w:rsid w:val="000E6342"/>
    <w:rsid w:val="000E6FEA"/>
    <w:rsid w:val="000F045B"/>
    <w:rsid w:val="000F1417"/>
    <w:rsid w:val="000F1D36"/>
    <w:rsid w:val="000F2207"/>
    <w:rsid w:val="000F2923"/>
    <w:rsid w:val="000F3925"/>
    <w:rsid w:val="000F3D45"/>
    <w:rsid w:val="000F51C7"/>
    <w:rsid w:val="000F54A2"/>
    <w:rsid w:val="000F5994"/>
    <w:rsid w:val="000F7597"/>
    <w:rsid w:val="001028F2"/>
    <w:rsid w:val="00102D96"/>
    <w:rsid w:val="001031C0"/>
    <w:rsid w:val="00103251"/>
    <w:rsid w:val="00103D87"/>
    <w:rsid w:val="001040E9"/>
    <w:rsid w:val="0010653D"/>
    <w:rsid w:val="00106915"/>
    <w:rsid w:val="00106917"/>
    <w:rsid w:val="00106D6A"/>
    <w:rsid w:val="0010712F"/>
    <w:rsid w:val="00107628"/>
    <w:rsid w:val="001078E9"/>
    <w:rsid w:val="00107B0E"/>
    <w:rsid w:val="001102CE"/>
    <w:rsid w:val="00111A5E"/>
    <w:rsid w:val="00113397"/>
    <w:rsid w:val="001135C5"/>
    <w:rsid w:val="00113B0F"/>
    <w:rsid w:val="0011527B"/>
    <w:rsid w:val="00115857"/>
    <w:rsid w:val="00115DF5"/>
    <w:rsid w:val="0011669C"/>
    <w:rsid w:val="001202FA"/>
    <w:rsid w:val="001209F1"/>
    <w:rsid w:val="00120ABC"/>
    <w:rsid w:val="00120B3A"/>
    <w:rsid w:val="00122F31"/>
    <w:rsid w:val="001230FC"/>
    <w:rsid w:val="001232B2"/>
    <w:rsid w:val="00123469"/>
    <w:rsid w:val="001249EA"/>
    <w:rsid w:val="00125210"/>
    <w:rsid w:val="00125483"/>
    <w:rsid w:val="001254B5"/>
    <w:rsid w:val="0012560F"/>
    <w:rsid w:val="00125E3B"/>
    <w:rsid w:val="0012609C"/>
    <w:rsid w:val="00126520"/>
    <w:rsid w:val="00130780"/>
    <w:rsid w:val="00131D65"/>
    <w:rsid w:val="0013201D"/>
    <w:rsid w:val="001326A7"/>
    <w:rsid w:val="00132833"/>
    <w:rsid w:val="00132A20"/>
    <w:rsid w:val="001339F7"/>
    <w:rsid w:val="00137B6E"/>
    <w:rsid w:val="0014002A"/>
    <w:rsid w:val="00140220"/>
    <w:rsid w:val="001411E4"/>
    <w:rsid w:val="00142AA9"/>
    <w:rsid w:val="00143E79"/>
    <w:rsid w:val="00145410"/>
    <w:rsid w:val="00145DF4"/>
    <w:rsid w:val="00145DF6"/>
    <w:rsid w:val="00145E1D"/>
    <w:rsid w:val="00145F70"/>
    <w:rsid w:val="001508A5"/>
    <w:rsid w:val="001509A5"/>
    <w:rsid w:val="00152CE7"/>
    <w:rsid w:val="00152DC6"/>
    <w:rsid w:val="0015389A"/>
    <w:rsid w:val="00153A3D"/>
    <w:rsid w:val="00153D9F"/>
    <w:rsid w:val="00155572"/>
    <w:rsid w:val="001559F1"/>
    <w:rsid w:val="00156033"/>
    <w:rsid w:val="0015638D"/>
    <w:rsid w:val="0015694C"/>
    <w:rsid w:val="00160E8A"/>
    <w:rsid w:val="00160F7A"/>
    <w:rsid w:val="001615C8"/>
    <w:rsid w:val="0016184A"/>
    <w:rsid w:val="00161BA1"/>
    <w:rsid w:val="00162258"/>
    <w:rsid w:val="00162711"/>
    <w:rsid w:val="00162C80"/>
    <w:rsid w:val="001643C2"/>
    <w:rsid w:val="001644EB"/>
    <w:rsid w:val="00166911"/>
    <w:rsid w:val="00166EAB"/>
    <w:rsid w:val="00170182"/>
    <w:rsid w:val="0017097B"/>
    <w:rsid w:val="001711AE"/>
    <w:rsid w:val="00171FC6"/>
    <w:rsid w:val="001737A8"/>
    <w:rsid w:val="00173FA2"/>
    <w:rsid w:val="00175125"/>
    <w:rsid w:val="00175C23"/>
    <w:rsid w:val="001764CC"/>
    <w:rsid w:val="0017677B"/>
    <w:rsid w:val="001767ED"/>
    <w:rsid w:val="00180617"/>
    <w:rsid w:val="00180B55"/>
    <w:rsid w:val="00181320"/>
    <w:rsid w:val="00181327"/>
    <w:rsid w:val="00182365"/>
    <w:rsid w:val="0018490D"/>
    <w:rsid w:val="00184C32"/>
    <w:rsid w:val="00187EB0"/>
    <w:rsid w:val="00190177"/>
    <w:rsid w:val="00190910"/>
    <w:rsid w:val="00190B5C"/>
    <w:rsid w:val="00190EE5"/>
    <w:rsid w:val="00191A4B"/>
    <w:rsid w:val="00191F4C"/>
    <w:rsid w:val="00192BD7"/>
    <w:rsid w:val="0019633C"/>
    <w:rsid w:val="001972B9"/>
    <w:rsid w:val="001973B5"/>
    <w:rsid w:val="00197446"/>
    <w:rsid w:val="001976D6"/>
    <w:rsid w:val="001978CC"/>
    <w:rsid w:val="001A0299"/>
    <w:rsid w:val="001A0CE8"/>
    <w:rsid w:val="001A280B"/>
    <w:rsid w:val="001A29AA"/>
    <w:rsid w:val="001A2B8C"/>
    <w:rsid w:val="001A2CCF"/>
    <w:rsid w:val="001A35F7"/>
    <w:rsid w:val="001A368C"/>
    <w:rsid w:val="001A36C1"/>
    <w:rsid w:val="001A3C53"/>
    <w:rsid w:val="001A3EB5"/>
    <w:rsid w:val="001A3EDE"/>
    <w:rsid w:val="001A4FE7"/>
    <w:rsid w:val="001A5D93"/>
    <w:rsid w:val="001A6E31"/>
    <w:rsid w:val="001A78EE"/>
    <w:rsid w:val="001A7BC4"/>
    <w:rsid w:val="001B0BC1"/>
    <w:rsid w:val="001B1383"/>
    <w:rsid w:val="001B1463"/>
    <w:rsid w:val="001B14BA"/>
    <w:rsid w:val="001B1681"/>
    <w:rsid w:val="001B232E"/>
    <w:rsid w:val="001B236F"/>
    <w:rsid w:val="001B5281"/>
    <w:rsid w:val="001B5CB6"/>
    <w:rsid w:val="001B5FA3"/>
    <w:rsid w:val="001B6927"/>
    <w:rsid w:val="001B6981"/>
    <w:rsid w:val="001B796D"/>
    <w:rsid w:val="001C0203"/>
    <w:rsid w:val="001C087A"/>
    <w:rsid w:val="001C0AE4"/>
    <w:rsid w:val="001C185B"/>
    <w:rsid w:val="001C2160"/>
    <w:rsid w:val="001C22A9"/>
    <w:rsid w:val="001C413B"/>
    <w:rsid w:val="001C436D"/>
    <w:rsid w:val="001C43B5"/>
    <w:rsid w:val="001C586A"/>
    <w:rsid w:val="001C69ED"/>
    <w:rsid w:val="001C6D8F"/>
    <w:rsid w:val="001C7696"/>
    <w:rsid w:val="001C7C73"/>
    <w:rsid w:val="001C7F40"/>
    <w:rsid w:val="001D01DF"/>
    <w:rsid w:val="001D02B1"/>
    <w:rsid w:val="001D1323"/>
    <w:rsid w:val="001D1889"/>
    <w:rsid w:val="001D1D62"/>
    <w:rsid w:val="001D2EF5"/>
    <w:rsid w:val="001D328C"/>
    <w:rsid w:val="001D4662"/>
    <w:rsid w:val="001D60E9"/>
    <w:rsid w:val="001D6275"/>
    <w:rsid w:val="001D6880"/>
    <w:rsid w:val="001D735E"/>
    <w:rsid w:val="001D75CD"/>
    <w:rsid w:val="001D7777"/>
    <w:rsid w:val="001E0516"/>
    <w:rsid w:val="001E05C4"/>
    <w:rsid w:val="001E14DC"/>
    <w:rsid w:val="001E1567"/>
    <w:rsid w:val="001E1D9D"/>
    <w:rsid w:val="001E2248"/>
    <w:rsid w:val="001E2818"/>
    <w:rsid w:val="001E31B4"/>
    <w:rsid w:val="001E3E01"/>
    <w:rsid w:val="001E3F3F"/>
    <w:rsid w:val="001E4C71"/>
    <w:rsid w:val="001E5DD4"/>
    <w:rsid w:val="001E6053"/>
    <w:rsid w:val="001E6254"/>
    <w:rsid w:val="001E6849"/>
    <w:rsid w:val="001E7EA3"/>
    <w:rsid w:val="001E7F75"/>
    <w:rsid w:val="001F2AE3"/>
    <w:rsid w:val="001F345D"/>
    <w:rsid w:val="001F521D"/>
    <w:rsid w:val="001F5290"/>
    <w:rsid w:val="001F5A35"/>
    <w:rsid w:val="001F6064"/>
    <w:rsid w:val="001F6855"/>
    <w:rsid w:val="001F6DA4"/>
    <w:rsid w:val="001F76DB"/>
    <w:rsid w:val="0020019B"/>
    <w:rsid w:val="00200EFD"/>
    <w:rsid w:val="002010BC"/>
    <w:rsid w:val="0020136C"/>
    <w:rsid w:val="00203487"/>
    <w:rsid w:val="00203B8A"/>
    <w:rsid w:val="00204061"/>
    <w:rsid w:val="0020411B"/>
    <w:rsid w:val="002045EA"/>
    <w:rsid w:val="00204C4A"/>
    <w:rsid w:val="002052BE"/>
    <w:rsid w:val="00206690"/>
    <w:rsid w:val="0021037F"/>
    <w:rsid w:val="002103C1"/>
    <w:rsid w:val="00211330"/>
    <w:rsid w:val="0021272A"/>
    <w:rsid w:val="00212FA1"/>
    <w:rsid w:val="002137BE"/>
    <w:rsid w:val="0021392F"/>
    <w:rsid w:val="002140CF"/>
    <w:rsid w:val="002140D8"/>
    <w:rsid w:val="00214A94"/>
    <w:rsid w:val="00214BF3"/>
    <w:rsid w:val="00215824"/>
    <w:rsid w:val="00215894"/>
    <w:rsid w:val="002163DF"/>
    <w:rsid w:val="002166FA"/>
    <w:rsid w:val="002169F9"/>
    <w:rsid w:val="00216C56"/>
    <w:rsid w:val="00216F50"/>
    <w:rsid w:val="0021707D"/>
    <w:rsid w:val="00220483"/>
    <w:rsid w:val="0022084D"/>
    <w:rsid w:val="00220DF3"/>
    <w:rsid w:val="002220F6"/>
    <w:rsid w:val="00222ABC"/>
    <w:rsid w:val="00222EB0"/>
    <w:rsid w:val="0022350F"/>
    <w:rsid w:val="0022355D"/>
    <w:rsid w:val="0022369D"/>
    <w:rsid w:val="00223A84"/>
    <w:rsid w:val="00224040"/>
    <w:rsid w:val="00224147"/>
    <w:rsid w:val="0022439F"/>
    <w:rsid w:val="00226F12"/>
    <w:rsid w:val="0022736D"/>
    <w:rsid w:val="00227BC1"/>
    <w:rsid w:val="0023028B"/>
    <w:rsid w:val="0023095A"/>
    <w:rsid w:val="00230DB1"/>
    <w:rsid w:val="002316B7"/>
    <w:rsid w:val="00231706"/>
    <w:rsid w:val="002321B5"/>
    <w:rsid w:val="00233452"/>
    <w:rsid w:val="00233718"/>
    <w:rsid w:val="002342C3"/>
    <w:rsid w:val="00234E06"/>
    <w:rsid w:val="00235010"/>
    <w:rsid w:val="00236597"/>
    <w:rsid w:val="00236D56"/>
    <w:rsid w:val="00237E75"/>
    <w:rsid w:val="00240C04"/>
    <w:rsid w:val="002416A2"/>
    <w:rsid w:val="0024249F"/>
    <w:rsid w:val="002428FF"/>
    <w:rsid w:val="002429CD"/>
    <w:rsid w:val="00242A46"/>
    <w:rsid w:val="00242AFD"/>
    <w:rsid w:val="00242BA5"/>
    <w:rsid w:val="00244F0A"/>
    <w:rsid w:val="00245352"/>
    <w:rsid w:val="00245F32"/>
    <w:rsid w:val="00247176"/>
    <w:rsid w:val="00247742"/>
    <w:rsid w:val="00250124"/>
    <w:rsid w:val="00250500"/>
    <w:rsid w:val="002506B5"/>
    <w:rsid w:val="00251358"/>
    <w:rsid w:val="00251E69"/>
    <w:rsid w:val="00251EAE"/>
    <w:rsid w:val="0025286B"/>
    <w:rsid w:val="0025354C"/>
    <w:rsid w:val="00253DA0"/>
    <w:rsid w:val="002546FC"/>
    <w:rsid w:val="002563FD"/>
    <w:rsid w:val="00256678"/>
    <w:rsid w:val="00257070"/>
    <w:rsid w:val="0026223F"/>
    <w:rsid w:val="0026233C"/>
    <w:rsid w:val="002633AE"/>
    <w:rsid w:val="0026342D"/>
    <w:rsid w:val="00264224"/>
    <w:rsid w:val="00264D56"/>
    <w:rsid w:val="00264DA3"/>
    <w:rsid w:val="00265878"/>
    <w:rsid w:val="0026662E"/>
    <w:rsid w:val="002669DB"/>
    <w:rsid w:val="002678DD"/>
    <w:rsid w:val="00267B54"/>
    <w:rsid w:val="002707C8"/>
    <w:rsid w:val="00270AF8"/>
    <w:rsid w:val="00271879"/>
    <w:rsid w:val="00272863"/>
    <w:rsid w:val="00275090"/>
    <w:rsid w:val="00276022"/>
    <w:rsid w:val="00277116"/>
    <w:rsid w:val="002801DE"/>
    <w:rsid w:val="002802D2"/>
    <w:rsid w:val="00280FDD"/>
    <w:rsid w:val="00281BDD"/>
    <w:rsid w:val="00282903"/>
    <w:rsid w:val="0028300F"/>
    <w:rsid w:val="0028311B"/>
    <w:rsid w:val="002839B4"/>
    <w:rsid w:val="0028529E"/>
    <w:rsid w:val="00290500"/>
    <w:rsid w:val="00290A1F"/>
    <w:rsid w:val="0029229C"/>
    <w:rsid w:val="00292A85"/>
    <w:rsid w:val="00292AD6"/>
    <w:rsid w:val="00294488"/>
    <w:rsid w:val="0029468C"/>
    <w:rsid w:val="00294F1E"/>
    <w:rsid w:val="00295286"/>
    <w:rsid w:val="00295B10"/>
    <w:rsid w:val="00295FDC"/>
    <w:rsid w:val="0029604E"/>
    <w:rsid w:val="002963BC"/>
    <w:rsid w:val="002964C5"/>
    <w:rsid w:val="00297AA0"/>
    <w:rsid w:val="00297C37"/>
    <w:rsid w:val="002A04DB"/>
    <w:rsid w:val="002A05F8"/>
    <w:rsid w:val="002A0EE7"/>
    <w:rsid w:val="002A1DED"/>
    <w:rsid w:val="002A1ED7"/>
    <w:rsid w:val="002A2996"/>
    <w:rsid w:val="002A2C34"/>
    <w:rsid w:val="002A34FB"/>
    <w:rsid w:val="002A3C7C"/>
    <w:rsid w:val="002A3DD6"/>
    <w:rsid w:val="002A452E"/>
    <w:rsid w:val="002A4EC1"/>
    <w:rsid w:val="002A5423"/>
    <w:rsid w:val="002A5B47"/>
    <w:rsid w:val="002A69F6"/>
    <w:rsid w:val="002A7176"/>
    <w:rsid w:val="002A74EC"/>
    <w:rsid w:val="002B112B"/>
    <w:rsid w:val="002B190E"/>
    <w:rsid w:val="002B2343"/>
    <w:rsid w:val="002B2777"/>
    <w:rsid w:val="002B61C0"/>
    <w:rsid w:val="002B6758"/>
    <w:rsid w:val="002B7051"/>
    <w:rsid w:val="002B71D8"/>
    <w:rsid w:val="002B7A47"/>
    <w:rsid w:val="002C1113"/>
    <w:rsid w:val="002C1CED"/>
    <w:rsid w:val="002C293B"/>
    <w:rsid w:val="002C3522"/>
    <w:rsid w:val="002C3A16"/>
    <w:rsid w:val="002C4E60"/>
    <w:rsid w:val="002C4F32"/>
    <w:rsid w:val="002C4F95"/>
    <w:rsid w:val="002C5979"/>
    <w:rsid w:val="002C667B"/>
    <w:rsid w:val="002C6AFF"/>
    <w:rsid w:val="002C6CA7"/>
    <w:rsid w:val="002C7996"/>
    <w:rsid w:val="002C79F6"/>
    <w:rsid w:val="002D00D5"/>
    <w:rsid w:val="002D0A55"/>
    <w:rsid w:val="002D0E25"/>
    <w:rsid w:val="002D0E67"/>
    <w:rsid w:val="002D1241"/>
    <w:rsid w:val="002D17B1"/>
    <w:rsid w:val="002D1BEC"/>
    <w:rsid w:val="002D2A27"/>
    <w:rsid w:val="002D3579"/>
    <w:rsid w:val="002D3AF1"/>
    <w:rsid w:val="002D4AEF"/>
    <w:rsid w:val="002D5E7D"/>
    <w:rsid w:val="002E0828"/>
    <w:rsid w:val="002E0B5A"/>
    <w:rsid w:val="002E1287"/>
    <w:rsid w:val="002E1618"/>
    <w:rsid w:val="002E348E"/>
    <w:rsid w:val="002E3CE2"/>
    <w:rsid w:val="002E3DA7"/>
    <w:rsid w:val="002E3E9F"/>
    <w:rsid w:val="002E5373"/>
    <w:rsid w:val="002E5CED"/>
    <w:rsid w:val="002E5E4E"/>
    <w:rsid w:val="002E6B2C"/>
    <w:rsid w:val="002E792F"/>
    <w:rsid w:val="002E7A94"/>
    <w:rsid w:val="002F04B3"/>
    <w:rsid w:val="002F07E9"/>
    <w:rsid w:val="002F0EDC"/>
    <w:rsid w:val="002F141D"/>
    <w:rsid w:val="002F14E9"/>
    <w:rsid w:val="002F1C37"/>
    <w:rsid w:val="002F23C4"/>
    <w:rsid w:val="002F250A"/>
    <w:rsid w:val="002F40BC"/>
    <w:rsid w:val="002F47C1"/>
    <w:rsid w:val="002F7604"/>
    <w:rsid w:val="002F7853"/>
    <w:rsid w:val="002F78BD"/>
    <w:rsid w:val="002F7AC5"/>
    <w:rsid w:val="002F7CF4"/>
    <w:rsid w:val="003001CF"/>
    <w:rsid w:val="0030055D"/>
    <w:rsid w:val="00300A76"/>
    <w:rsid w:val="00300C7E"/>
    <w:rsid w:val="00300EF8"/>
    <w:rsid w:val="0030145A"/>
    <w:rsid w:val="003018F7"/>
    <w:rsid w:val="00302648"/>
    <w:rsid w:val="003027F9"/>
    <w:rsid w:val="00303A60"/>
    <w:rsid w:val="00304155"/>
    <w:rsid w:val="00304578"/>
    <w:rsid w:val="003048E5"/>
    <w:rsid w:val="003061F0"/>
    <w:rsid w:val="00306347"/>
    <w:rsid w:val="00306747"/>
    <w:rsid w:val="00306B1E"/>
    <w:rsid w:val="00307986"/>
    <w:rsid w:val="00307DCF"/>
    <w:rsid w:val="003102BA"/>
    <w:rsid w:val="003102E8"/>
    <w:rsid w:val="00310B8D"/>
    <w:rsid w:val="003123C6"/>
    <w:rsid w:val="00312B2A"/>
    <w:rsid w:val="00313459"/>
    <w:rsid w:val="00314C67"/>
    <w:rsid w:val="00314E9E"/>
    <w:rsid w:val="00315C61"/>
    <w:rsid w:val="00315E67"/>
    <w:rsid w:val="00316054"/>
    <w:rsid w:val="00316D12"/>
    <w:rsid w:val="00316D18"/>
    <w:rsid w:val="00316F9F"/>
    <w:rsid w:val="00317A16"/>
    <w:rsid w:val="00317EC5"/>
    <w:rsid w:val="003221D5"/>
    <w:rsid w:val="00323594"/>
    <w:rsid w:val="003247B9"/>
    <w:rsid w:val="00324D52"/>
    <w:rsid w:val="003252EC"/>
    <w:rsid w:val="00325703"/>
    <w:rsid w:val="00325D54"/>
    <w:rsid w:val="0032686A"/>
    <w:rsid w:val="00327FAD"/>
    <w:rsid w:val="00330574"/>
    <w:rsid w:val="003319E3"/>
    <w:rsid w:val="00331F3D"/>
    <w:rsid w:val="00332A67"/>
    <w:rsid w:val="00332C3C"/>
    <w:rsid w:val="00333B5A"/>
    <w:rsid w:val="00333F1D"/>
    <w:rsid w:val="00334738"/>
    <w:rsid w:val="00335EB0"/>
    <w:rsid w:val="00336B22"/>
    <w:rsid w:val="00336D04"/>
    <w:rsid w:val="00336FE1"/>
    <w:rsid w:val="00340685"/>
    <w:rsid w:val="003407B6"/>
    <w:rsid w:val="00341216"/>
    <w:rsid w:val="00341500"/>
    <w:rsid w:val="003422A9"/>
    <w:rsid w:val="003426AD"/>
    <w:rsid w:val="00342B1E"/>
    <w:rsid w:val="0034356F"/>
    <w:rsid w:val="00343642"/>
    <w:rsid w:val="00344434"/>
    <w:rsid w:val="00344BEE"/>
    <w:rsid w:val="00344E89"/>
    <w:rsid w:val="00344EA0"/>
    <w:rsid w:val="00346317"/>
    <w:rsid w:val="00346AF9"/>
    <w:rsid w:val="00347195"/>
    <w:rsid w:val="00347CEC"/>
    <w:rsid w:val="00350DEA"/>
    <w:rsid w:val="003530C5"/>
    <w:rsid w:val="0035340A"/>
    <w:rsid w:val="00353D27"/>
    <w:rsid w:val="00355240"/>
    <w:rsid w:val="00355A64"/>
    <w:rsid w:val="00355DB0"/>
    <w:rsid w:val="003570D8"/>
    <w:rsid w:val="0035773E"/>
    <w:rsid w:val="00357D61"/>
    <w:rsid w:val="0036009E"/>
    <w:rsid w:val="00360684"/>
    <w:rsid w:val="00360E8E"/>
    <w:rsid w:val="003611A8"/>
    <w:rsid w:val="0036123E"/>
    <w:rsid w:val="00361A45"/>
    <w:rsid w:val="00362EE1"/>
    <w:rsid w:val="00363066"/>
    <w:rsid w:val="003631DE"/>
    <w:rsid w:val="00363F54"/>
    <w:rsid w:val="003644CD"/>
    <w:rsid w:val="003647F4"/>
    <w:rsid w:val="003655FF"/>
    <w:rsid w:val="003658A3"/>
    <w:rsid w:val="00365FA1"/>
    <w:rsid w:val="003660A4"/>
    <w:rsid w:val="0036787D"/>
    <w:rsid w:val="00367B02"/>
    <w:rsid w:val="003704E4"/>
    <w:rsid w:val="00370640"/>
    <w:rsid w:val="00370B80"/>
    <w:rsid w:val="00371B13"/>
    <w:rsid w:val="00371D81"/>
    <w:rsid w:val="00372810"/>
    <w:rsid w:val="00373C08"/>
    <w:rsid w:val="00374EE3"/>
    <w:rsid w:val="00375309"/>
    <w:rsid w:val="0037656D"/>
    <w:rsid w:val="003770C7"/>
    <w:rsid w:val="0037719B"/>
    <w:rsid w:val="00380BB0"/>
    <w:rsid w:val="00380D5A"/>
    <w:rsid w:val="00380EB5"/>
    <w:rsid w:val="0038208F"/>
    <w:rsid w:val="0038375E"/>
    <w:rsid w:val="00383C24"/>
    <w:rsid w:val="00384420"/>
    <w:rsid w:val="0038564B"/>
    <w:rsid w:val="00385917"/>
    <w:rsid w:val="00386B4A"/>
    <w:rsid w:val="003903E3"/>
    <w:rsid w:val="003913F0"/>
    <w:rsid w:val="003914B9"/>
    <w:rsid w:val="003915A0"/>
    <w:rsid w:val="00392691"/>
    <w:rsid w:val="00392F1C"/>
    <w:rsid w:val="003934A4"/>
    <w:rsid w:val="003934CA"/>
    <w:rsid w:val="0039464A"/>
    <w:rsid w:val="003958FD"/>
    <w:rsid w:val="00395F25"/>
    <w:rsid w:val="00396984"/>
    <w:rsid w:val="003975A3"/>
    <w:rsid w:val="00397B8F"/>
    <w:rsid w:val="00397D2A"/>
    <w:rsid w:val="00397F6D"/>
    <w:rsid w:val="003A09FD"/>
    <w:rsid w:val="003A29DE"/>
    <w:rsid w:val="003A3CA9"/>
    <w:rsid w:val="003A4168"/>
    <w:rsid w:val="003A52B4"/>
    <w:rsid w:val="003A5412"/>
    <w:rsid w:val="003A54DB"/>
    <w:rsid w:val="003A6062"/>
    <w:rsid w:val="003A69C7"/>
    <w:rsid w:val="003A7B14"/>
    <w:rsid w:val="003B2250"/>
    <w:rsid w:val="003B2734"/>
    <w:rsid w:val="003B3200"/>
    <w:rsid w:val="003B32E3"/>
    <w:rsid w:val="003B3D8A"/>
    <w:rsid w:val="003B42C6"/>
    <w:rsid w:val="003B4567"/>
    <w:rsid w:val="003B457D"/>
    <w:rsid w:val="003B4EAC"/>
    <w:rsid w:val="003B4FE4"/>
    <w:rsid w:val="003C0386"/>
    <w:rsid w:val="003C05C9"/>
    <w:rsid w:val="003C06E5"/>
    <w:rsid w:val="003C0792"/>
    <w:rsid w:val="003C07D6"/>
    <w:rsid w:val="003C0A11"/>
    <w:rsid w:val="003C0DA0"/>
    <w:rsid w:val="003C10D2"/>
    <w:rsid w:val="003C41F0"/>
    <w:rsid w:val="003C4EA9"/>
    <w:rsid w:val="003C5813"/>
    <w:rsid w:val="003C5B1D"/>
    <w:rsid w:val="003C5DAC"/>
    <w:rsid w:val="003C730F"/>
    <w:rsid w:val="003C74C4"/>
    <w:rsid w:val="003C7DF8"/>
    <w:rsid w:val="003D010F"/>
    <w:rsid w:val="003D014C"/>
    <w:rsid w:val="003D0B58"/>
    <w:rsid w:val="003D1A06"/>
    <w:rsid w:val="003D24DD"/>
    <w:rsid w:val="003D350F"/>
    <w:rsid w:val="003D3543"/>
    <w:rsid w:val="003D3ABF"/>
    <w:rsid w:val="003D4267"/>
    <w:rsid w:val="003D5597"/>
    <w:rsid w:val="003D574B"/>
    <w:rsid w:val="003D5CA0"/>
    <w:rsid w:val="003D61DD"/>
    <w:rsid w:val="003D7775"/>
    <w:rsid w:val="003E0ADD"/>
    <w:rsid w:val="003E0FD8"/>
    <w:rsid w:val="003E3063"/>
    <w:rsid w:val="003E4469"/>
    <w:rsid w:val="003E47B5"/>
    <w:rsid w:val="003E4E61"/>
    <w:rsid w:val="003E5331"/>
    <w:rsid w:val="003E66ED"/>
    <w:rsid w:val="003E705D"/>
    <w:rsid w:val="003E7D7B"/>
    <w:rsid w:val="003F0225"/>
    <w:rsid w:val="003F04B1"/>
    <w:rsid w:val="003F0C92"/>
    <w:rsid w:val="003F1E4F"/>
    <w:rsid w:val="003F2151"/>
    <w:rsid w:val="003F2A12"/>
    <w:rsid w:val="003F37CD"/>
    <w:rsid w:val="003F3C55"/>
    <w:rsid w:val="003F41C4"/>
    <w:rsid w:val="003F48A0"/>
    <w:rsid w:val="003F4DBD"/>
    <w:rsid w:val="003F4E5F"/>
    <w:rsid w:val="003F5447"/>
    <w:rsid w:val="003F5E8A"/>
    <w:rsid w:val="003F6CE0"/>
    <w:rsid w:val="003F7928"/>
    <w:rsid w:val="003F79D0"/>
    <w:rsid w:val="003F7D91"/>
    <w:rsid w:val="004002C1"/>
    <w:rsid w:val="00400453"/>
    <w:rsid w:val="00400F30"/>
    <w:rsid w:val="00401638"/>
    <w:rsid w:val="00401FD1"/>
    <w:rsid w:val="0040228D"/>
    <w:rsid w:val="00402B06"/>
    <w:rsid w:val="004046D1"/>
    <w:rsid w:val="004049D2"/>
    <w:rsid w:val="00406782"/>
    <w:rsid w:val="0040777E"/>
    <w:rsid w:val="00407B6E"/>
    <w:rsid w:val="00410789"/>
    <w:rsid w:val="0041133D"/>
    <w:rsid w:val="00411D13"/>
    <w:rsid w:val="004129DA"/>
    <w:rsid w:val="00412B6E"/>
    <w:rsid w:val="00412BB8"/>
    <w:rsid w:val="00412DBA"/>
    <w:rsid w:val="00413FF1"/>
    <w:rsid w:val="004148F8"/>
    <w:rsid w:val="00414F8D"/>
    <w:rsid w:val="0041595F"/>
    <w:rsid w:val="00415A2B"/>
    <w:rsid w:val="00415B16"/>
    <w:rsid w:val="00416796"/>
    <w:rsid w:val="00416C06"/>
    <w:rsid w:val="00416C1B"/>
    <w:rsid w:val="00416DF3"/>
    <w:rsid w:val="00416E30"/>
    <w:rsid w:val="004173D6"/>
    <w:rsid w:val="00417D34"/>
    <w:rsid w:val="00420D74"/>
    <w:rsid w:val="00420F04"/>
    <w:rsid w:val="00422B22"/>
    <w:rsid w:val="00422ED4"/>
    <w:rsid w:val="0042331F"/>
    <w:rsid w:val="004241B7"/>
    <w:rsid w:val="00425345"/>
    <w:rsid w:val="0042580B"/>
    <w:rsid w:val="00426909"/>
    <w:rsid w:val="00426B2C"/>
    <w:rsid w:val="004271EF"/>
    <w:rsid w:val="00427D00"/>
    <w:rsid w:val="00430159"/>
    <w:rsid w:val="00430559"/>
    <w:rsid w:val="00431A5A"/>
    <w:rsid w:val="00432138"/>
    <w:rsid w:val="00432546"/>
    <w:rsid w:val="00432DDA"/>
    <w:rsid w:val="004332CF"/>
    <w:rsid w:val="00433704"/>
    <w:rsid w:val="00433CAD"/>
    <w:rsid w:val="00435B57"/>
    <w:rsid w:val="00436134"/>
    <w:rsid w:val="00436211"/>
    <w:rsid w:val="00436B69"/>
    <w:rsid w:val="0044037B"/>
    <w:rsid w:val="0044141D"/>
    <w:rsid w:val="0044172B"/>
    <w:rsid w:val="0044201E"/>
    <w:rsid w:val="004422E1"/>
    <w:rsid w:val="00442BEA"/>
    <w:rsid w:val="00443407"/>
    <w:rsid w:val="004435BC"/>
    <w:rsid w:val="00443AB5"/>
    <w:rsid w:val="0044470F"/>
    <w:rsid w:val="00444D7B"/>
    <w:rsid w:val="00445D1E"/>
    <w:rsid w:val="00446F3A"/>
    <w:rsid w:val="00447159"/>
    <w:rsid w:val="00447CAC"/>
    <w:rsid w:val="00447E88"/>
    <w:rsid w:val="00447FA3"/>
    <w:rsid w:val="00451491"/>
    <w:rsid w:val="00452154"/>
    <w:rsid w:val="00452A7D"/>
    <w:rsid w:val="00452C5B"/>
    <w:rsid w:val="00455700"/>
    <w:rsid w:val="004562D4"/>
    <w:rsid w:val="004563B2"/>
    <w:rsid w:val="00456F24"/>
    <w:rsid w:val="00456FE6"/>
    <w:rsid w:val="004605F3"/>
    <w:rsid w:val="004617B1"/>
    <w:rsid w:val="00462C75"/>
    <w:rsid w:val="004646CC"/>
    <w:rsid w:val="004648E5"/>
    <w:rsid w:val="0046501C"/>
    <w:rsid w:val="0046627C"/>
    <w:rsid w:val="00466CDC"/>
    <w:rsid w:val="004670BA"/>
    <w:rsid w:val="0047035B"/>
    <w:rsid w:val="004706C9"/>
    <w:rsid w:val="004707C9"/>
    <w:rsid w:val="00470BDF"/>
    <w:rsid w:val="00472AA6"/>
    <w:rsid w:val="004730AE"/>
    <w:rsid w:val="004735E9"/>
    <w:rsid w:val="00473DA3"/>
    <w:rsid w:val="004756FE"/>
    <w:rsid w:val="0047572F"/>
    <w:rsid w:val="004757F9"/>
    <w:rsid w:val="00475856"/>
    <w:rsid w:val="00475ADC"/>
    <w:rsid w:val="0047618E"/>
    <w:rsid w:val="00476FEC"/>
    <w:rsid w:val="0047720D"/>
    <w:rsid w:val="004775D7"/>
    <w:rsid w:val="00477A2B"/>
    <w:rsid w:val="0048052B"/>
    <w:rsid w:val="004808D0"/>
    <w:rsid w:val="00480ADB"/>
    <w:rsid w:val="004813F7"/>
    <w:rsid w:val="00481DAA"/>
    <w:rsid w:val="00482441"/>
    <w:rsid w:val="00482AF7"/>
    <w:rsid w:val="00483652"/>
    <w:rsid w:val="00484A69"/>
    <w:rsid w:val="00485213"/>
    <w:rsid w:val="0048562D"/>
    <w:rsid w:val="00485662"/>
    <w:rsid w:val="00486664"/>
    <w:rsid w:val="00486B4A"/>
    <w:rsid w:val="00490301"/>
    <w:rsid w:val="00490359"/>
    <w:rsid w:val="00490890"/>
    <w:rsid w:val="0049103D"/>
    <w:rsid w:val="004918FD"/>
    <w:rsid w:val="00492347"/>
    <w:rsid w:val="00493354"/>
    <w:rsid w:val="00493736"/>
    <w:rsid w:val="0049430B"/>
    <w:rsid w:val="004956B4"/>
    <w:rsid w:val="0049601E"/>
    <w:rsid w:val="0049617B"/>
    <w:rsid w:val="00497655"/>
    <w:rsid w:val="004A1974"/>
    <w:rsid w:val="004A1B93"/>
    <w:rsid w:val="004A22B3"/>
    <w:rsid w:val="004A2618"/>
    <w:rsid w:val="004A2742"/>
    <w:rsid w:val="004A276A"/>
    <w:rsid w:val="004A27F8"/>
    <w:rsid w:val="004A2DF9"/>
    <w:rsid w:val="004A4A60"/>
    <w:rsid w:val="004A4E91"/>
    <w:rsid w:val="004A5289"/>
    <w:rsid w:val="004A5558"/>
    <w:rsid w:val="004A55B2"/>
    <w:rsid w:val="004A55BD"/>
    <w:rsid w:val="004A5764"/>
    <w:rsid w:val="004A5A3E"/>
    <w:rsid w:val="004A71C4"/>
    <w:rsid w:val="004B00B2"/>
    <w:rsid w:val="004B034D"/>
    <w:rsid w:val="004B03CE"/>
    <w:rsid w:val="004B05C2"/>
    <w:rsid w:val="004B1A4B"/>
    <w:rsid w:val="004B1AA9"/>
    <w:rsid w:val="004B1AE8"/>
    <w:rsid w:val="004B22A6"/>
    <w:rsid w:val="004B2A16"/>
    <w:rsid w:val="004B353B"/>
    <w:rsid w:val="004B3732"/>
    <w:rsid w:val="004B44D7"/>
    <w:rsid w:val="004B4FA2"/>
    <w:rsid w:val="004B59C6"/>
    <w:rsid w:val="004B77ED"/>
    <w:rsid w:val="004B79CB"/>
    <w:rsid w:val="004B7A19"/>
    <w:rsid w:val="004C11E9"/>
    <w:rsid w:val="004C1BB7"/>
    <w:rsid w:val="004C1EB4"/>
    <w:rsid w:val="004C2028"/>
    <w:rsid w:val="004C2282"/>
    <w:rsid w:val="004C2358"/>
    <w:rsid w:val="004C261F"/>
    <w:rsid w:val="004C2AEA"/>
    <w:rsid w:val="004C3616"/>
    <w:rsid w:val="004C4BA7"/>
    <w:rsid w:val="004C506C"/>
    <w:rsid w:val="004C602E"/>
    <w:rsid w:val="004C6C3F"/>
    <w:rsid w:val="004C6D86"/>
    <w:rsid w:val="004C7458"/>
    <w:rsid w:val="004C7AB5"/>
    <w:rsid w:val="004D0001"/>
    <w:rsid w:val="004D05A4"/>
    <w:rsid w:val="004D2B5A"/>
    <w:rsid w:val="004D2FAE"/>
    <w:rsid w:val="004D37D9"/>
    <w:rsid w:val="004D3950"/>
    <w:rsid w:val="004D4210"/>
    <w:rsid w:val="004D50EB"/>
    <w:rsid w:val="004D53E2"/>
    <w:rsid w:val="004D6EEC"/>
    <w:rsid w:val="004D732B"/>
    <w:rsid w:val="004E045E"/>
    <w:rsid w:val="004E08FA"/>
    <w:rsid w:val="004E0A30"/>
    <w:rsid w:val="004E1BB5"/>
    <w:rsid w:val="004E2003"/>
    <w:rsid w:val="004E216B"/>
    <w:rsid w:val="004E29B2"/>
    <w:rsid w:val="004E34B5"/>
    <w:rsid w:val="004E3576"/>
    <w:rsid w:val="004E4451"/>
    <w:rsid w:val="004E4AB6"/>
    <w:rsid w:val="004E5B19"/>
    <w:rsid w:val="004E5DEA"/>
    <w:rsid w:val="004E6476"/>
    <w:rsid w:val="004E7207"/>
    <w:rsid w:val="004F0EF2"/>
    <w:rsid w:val="004F2034"/>
    <w:rsid w:val="004F2AA7"/>
    <w:rsid w:val="004F2AAA"/>
    <w:rsid w:val="004F2EF7"/>
    <w:rsid w:val="004F4E03"/>
    <w:rsid w:val="004F4E3A"/>
    <w:rsid w:val="004F4E6A"/>
    <w:rsid w:val="004F632C"/>
    <w:rsid w:val="005009A4"/>
    <w:rsid w:val="005010F2"/>
    <w:rsid w:val="00501FED"/>
    <w:rsid w:val="0050209A"/>
    <w:rsid w:val="0050272B"/>
    <w:rsid w:val="005032D3"/>
    <w:rsid w:val="00503466"/>
    <w:rsid w:val="005041B2"/>
    <w:rsid w:val="0050465D"/>
    <w:rsid w:val="0050495F"/>
    <w:rsid w:val="00504A0F"/>
    <w:rsid w:val="00504D06"/>
    <w:rsid w:val="00505CF1"/>
    <w:rsid w:val="00506344"/>
    <w:rsid w:val="005063E2"/>
    <w:rsid w:val="00506A2B"/>
    <w:rsid w:val="00506B80"/>
    <w:rsid w:val="005075C4"/>
    <w:rsid w:val="00507604"/>
    <w:rsid w:val="00511CF8"/>
    <w:rsid w:val="00512A52"/>
    <w:rsid w:val="005134BF"/>
    <w:rsid w:val="005149CB"/>
    <w:rsid w:val="00516DF0"/>
    <w:rsid w:val="00517738"/>
    <w:rsid w:val="00517C76"/>
    <w:rsid w:val="00520B32"/>
    <w:rsid w:val="00521D36"/>
    <w:rsid w:val="00521FE2"/>
    <w:rsid w:val="00523D39"/>
    <w:rsid w:val="00524FA3"/>
    <w:rsid w:val="00525073"/>
    <w:rsid w:val="0052522F"/>
    <w:rsid w:val="00525935"/>
    <w:rsid w:val="00526832"/>
    <w:rsid w:val="00526C23"/>
    <w:rsid w:val="0052727B"/>
    <w:rsid w:val="00527BE2"/>
    <w:rsid w:val="00527C67"/>
    <w:rsid w:val="00530781"/>
    <w:rsid w:val="00530ED3"/>
    <w:rsid w:val="00531695"/>
    <w:rsid w:val="0053395E"/>
    <w:rsid w:val="005344E8"/>
    <w:rsid w:val="00534690"/>
    <w:rsid w:val="0053488A"/>
    <w:rsid w:val="00534AB0"/>
    <w:rsid w:val="005355AE"/>
    <w:rsid w:val="005359D9"/>
    <w:rsid w:val="00535C31"/>
    <w:rsid w:val="00535C89"/>
    <w:rsid w:val="00536B1A"/>
    <w:rsid w:val="00541744"/>
    <w:rsid w:val="00541D5A"/>
    <w:rsid w:val="00543228"/>
    <w:rsid w:val="00543460"/>
    <w:rsid w:val="00543BD7"/>
    <w:rsid w:val="00544048"/>
    <w:rsid w:val="0054409A"/>
    <w:rsid w:val="0054418D"/>
    <w:rsid w:val="0054448F"/>
    <w:rsid w:val="0054528F"/>
    <w:rsid w:val="005456F1"/>
    <w:rsid w:val="00545EC7"/>
    <w:rsid w:val="00546492"/>
    <w:rsid w:val="00547913"/>
    <w:rsid w:val="00550509"/>
    <w:rsid w:val="00550E1C"/>
    <w:rsid w:val="00551A4B"/>
    <w:rsid w:val="0055279A"/>
    <w:rsid w:val="00552ABE"/>
    <w:rsid w:val="005530FD"/>
    <w:rsid w:val="00553517"/>
    <w:rsid w:val="005537DE"/>
    <w:rsid w:val="00553A51"/>
    <w:rsid w:val="00553EB3"/>
    <w:rsid w:val="0055463A"/>
    <w:rsid w:val="005546B4"/>
    <w:rsid w:val="005550A0"/>
    <w:rsid w:val="0055528E"/>
    <w:rsid w:val="00555808"/>
    <w:rsid w:val="00555C9A"/>
    <w:rsid w:val="00557E49"/>
    <w:rsid w:val="00562748"/>
    <w:rsid w:val="0056303B"/>
    <w:rsid w:val="005633B2"/>
    <w:rsid w:val="005645AA"/>
    <w:rsid w:val="00564965"/>
    <w:rsid w:val="00564F93"/>
    <w:rsid w:val="00566842"/>
    <w:rsid w:val="00566C60"/>
    <w:rsid w:val="005678E2"/>
    <w:rsid w:val="00567AB2"/>
    <w:rsid w:val="00567E6D"/>
    <w:rsid w:val="00570161"/>
    <w:rsid w:val="00570241"/>
    <w:rsid w:val="005705DF"/>
    <w:rsid w:val="00570C4B"/>
    <w:rsid w:val="005712B5"/>
    <w:rsid w:val="00572219"/>
    <w:rsid w:val="0057299E"/>
    <w:rsid w:val="005732B8"/>
    <w:rsid w:val="005735B2"/>
    <w:rsid w:val="00573B96"/>
    <w:rsid w:val="00574B2A"/>
    <w:rsid w:val="00574CBD"/>
    <w:rsid w:val="00575FE2"/>
    <w:rsid w:val="005768CC"/>
    <w:rsid w:val="00576B02"/>
    <w:rsid w:val="00576BF2"/>
    <w:rsid w:val="005779F0"/>
    <w:rsid w:val="0058062E"/>
    <w:rsid w:val="00580B0F"/>
    <w:rsid w:val="00580D86"/>
    <w:rsid w:val="00580F71"/>
    <w:rsid w:val="00581096"/>
    <w:rsid w:val="005813FC"/>
    <w:rsid w:val="00582E9D"/>
    <w:rsid w:val="00583C1B"/>
    <w:rsid w:val="00583E9A"/>
    <w:rsid w:val="00584AFF"/>
    <w:rsid w:val="005852BC"/>
    <w:rsid w:val="00586616"/>
    <w:rsid w:val="00586EDE"/>
    <w:rsid w:val="00586EE6"/>
    <w:rsid w:val="00587BF5"/>
    <w:rsid w:val="00590536"/>
    <w:rsid w:val="005908C9"/>
    <w:rsid w:val="00590DBC"/>
    <w:rsid w:val="00590FF3"/>
    <w:rsid w:val="00591049"/>
    <w:rsid w:val="00591CE4"/>
    <w:rsid w:val="0059296C"/>
    <w:rsid w:val="00592A30"/>
    <w:rsid w:val="005931D7"/>
    <w:rsid w:val="005935FE"/>
    <w:rsid w:val="00593B26"/>
    <w:rsid w:val="00593E33"/>
    <w:rsid w:val="00594305"/>
    <w:rsid w:val="00594FC3"/>
    <w:rsid w:val="005951C5"/>
    <w:rsid w:val="00595909"/>
    <w:rsid w:val="00595EB6"/>
    <w:rsid w:val="00596B54"/>
    <w:rsid w:val="00597D53"/>
    <w:rsid w:val="005A0887"/>
    <w:rsid w:val="005A15F1"/>
    <w:rsid w:val="005A1AB2"/>
    <w:rsid w:val="005A36D7"/>
    <w:rsid w:val="005A38D0"/>
    <w:rsid w:val="005A5168"/>
    <w:rsid w:val="005A5469"/>
    <w:rsid w:val="005A5D52"/>
    <w:rsid w:val="005A64F6"/>
    <w:rsid w:val="005B030E"/>
    <w:rsid w:val="005B0E4B"/>
    <w:rsid w:val="005B1338"/>
    <w:rsid w:val="005B1DFC"/>
    <w:rsid w:val="005B2123"/>
    <w:rsid w:val="005B2CD4"/>
    <w:rsid w:val="005B3681"/>
    <w:rsid w:val="005B39C2"/>
    <w:rsid w:val="005B4010"/>
    <w:rsid w:val="005B489B"/>
    <w:rsid w:val="005B5E06"/>
    <w:rsid w:val="005B611F"/>
    <w:rsid w:val="005B630F"/>
    <w:rsid w:val="005B75D6"/>
    <w:rsid w:val="005C176B"/>
    <w:rsid w:val="005C26C5"/>
    <w:rsid w:val="005C2C4B"/>
    <w:rsid w:val="005C31F3"/>
    <w:rsid w:val="005C361D"/>
    <w:rsid w:val="005C37FF"/>
    <w:rsid w:val="005C3C26"/>
    <w:rsid w:val="005C3DA5"/>
    <w:rsid w:val="005C4DE3"/>
    <w:rsid w:val="005C5515"/>
    <w:rsid w:val="005C61EF"/>
    <w:rsid w:val="005C6530"/>
    <w:rsid w:val="005C771F"/>
    <w:rsid w:val="005C7C7E"/>
    <w:rsid w:val="005D0559"/>
    <w:rsid w:val="005D06DD"/>
    <w:rsid w:val="005D0A66"/>
    <w:rsid w:val="005D124A"/>
    <w:rsid w:val="005D2274"/>
    <w:rsid w:val="005D341B"/>
    <w:rsid w:val="005D4FD9"/>
    <w:rsid w:val="005D6B23"/>
    <w:rsid w:val="005D765C"/>
    <w:rsid w:val="005D78D1"/>
    <w:rsid w:val="005D7E28"/>
    <w:rsid w:val="005E1566"/>
    <w:rsid w:val="005E2129"/>
    <w:rsid w:val="005E3342"/>
    <w:rsid w:val="005E4829"/>
    <w:rsid w:val="005E4D94"/>
    <w:rsid w:val="005E5CA0"/>
    <w:rsid w:val="005E66E9"/>
    <w:rsid w:val="005E69F5"/>
    <w:rsid w:val="005E7A43"/>
    <w:rsid w:val="005F01D9"/>
    <w:rsid w:val="005F2796"/>
    <w:rsid w:val="005F4EF1"/>
    <w:rsid w:val="005F5CB4"/>
    <w:rsid w:val="005F6171"/>
    <w:rsid w:val="005F7313"/>
    <w:rsid w:val="005F7336"/>
    <w:rsid w:val="005F7C32"/>
    <w:rsid w:val="00601AEE"/>
    <w:rsid w:val="006023EA"/>
    <w:rsid w:val="006023EF"/>
    <w:rsid w:val="006028C8"/>
    <w:rsid w:val="006028E7"/>
    <w:rsid w:val="00602AAE"/>
    <w:rsid w:val="00604158"/>
    <w:rsid w:val="00605808"/>
    <w:rsid w:val="00606B42"/>
    <w:rsid w:val="00606D72"/>
    <w:rsid w:val="00607B3F"/>
    <w:rsid w:val="00610419"/>
    <w:rsid w:val="006108EE"/>
    <w:rsid w:val="00610DE6"/>
    <w:rsid w:val="00611EEE"/>
    <w:rsid w:val="00612373"/>
    <w:rsid w:val="00613E70"/>
    <w:rsid w:val="00613FF2"/>
    <w:rsid w:val="00615040"/>
    <w:rsid w:val="006157C0"/>
    <w:rsid w:val="00615CA2"/>
    <w:rsid w:val="0061625E"/>
    <w:rsid w:val="006162DD"/>
    <w:rsid w:val="00616542"/>
    <w:rsid w:val="00616B00"/>
    <w:rsid w:val="00617191"/>
    <w:rsid w:val="00617CF7"/>
    <w:rsid w:val="00617FC7"/>
    <w:rsid w:val="006208FB"/>
    <w:rsid w:val="006209EC"/>
    <w:rsid w:val="00620EF7"/>
    <w:rsid w:val="0062153A"/>
    <w:rsid w:val="00621730"/>
    <w:rsid w:val="0062280C"/>
    <w:rsid w:val="006230A9"/>
    <w:rsid w:val="006231AB"/>
    <w:rsid w:val="00624CF0"/>
    <w:rsid w:val="0062542F"/>
    <w:rsid w:val="00625A97"/>
    <w:rsid w:val="00625ED3"/>
    <w:rsid w:val="006265EB"/>
    <w:rsid w:val="00626D3D"/>
    <w:rsid w:val="0062703C"/>
    <w:rsid w:val="006275AA"/>
    <w:rsid w:val="006276D0"/>
    <w:rsid w:val="00630A21"/>
    <w:rsid w:val="00630EFF"/>
    <w:rsid w:val="006313F4"/>
    <w:rsid w:val="006319C7"/>
    <w:rsid w:val="00631CAC"/>
    <w:rsid w:val="00631FFA"/>
    <w:rsid w:val="00632672"/>
    <w:rsid w:val="0063329F"/>
    <w:rsid w:val="0063382D"/>
    <w:rsid w:val="00634485"/>
    <w:rsid w:val="0063473C"/>
    <w:rsid w:val="00634761"/>
    <w:rsid w:val="006349F9"/>
    <w:rsid w:val="00635AA7"/>
    <w:rsid w:val="00635AAC"/>
    <w:rsid w:val="006367C3"/>
    <w:rsid w:val="00636868"/>
    <w:rsid w:val="00636D60"/>
    <w:rsid w:val="00637AEF"/>
    <w:rsid w:val="006400EF"/>
    <w:rsid w:val="0064073B"/>
    <w:rsid w:val="00640E01"/>
    <w:rsid w:val="00640F8F"/>
    <w:rsid w:val="00640FC0"/>
    <w:rsid w:val="00641BC6"/>
    <w:rsid w:val="00641C93"/>
    <w:rsid w:val="00642FD9"/>
    <w:rsid w:val="00643053"/>
    <w:rsid w:val="006441D9"/>
    <w:rsid w:val="0064506B"/>
    <w:rsid w:val="006450C4"/>
    <w:rsid w:val="0064596F"/>
    <w:rsid w:val="00645D7F"/>
    <w:rsid w:val="006461FA"/>
    <w:rsid w:val="006466D5"/>
    <w:rsid w:val="00646FA8"/>
    <w:rsid w:val="0064766E"/>
    <w:rsid w:val="00647779"/>
    <w:rsid w:val="006503BE"/>
    <w:rsid w:val="006507D1"/>
    <w:rsid w:val="0065122A"/>
    <w:rsid w:val="00652324"/>
    <w:rsid w:val="0065242D"/>
    <w:rsid w:val="006526DA"/>
    <w:rsid w:val="00652DAC"/>
    <w:rsid w:val="006532FE"/>
    <w:rsid w:val="0065344C"/>
    <w:rsid w:val="006538AF"/>
    <w:rsid w:val="00654242"/>
    <w:rsid w:val="006549B8"/>
    <w:rsid w:val="00654CE7"/>
    <w:rsid w:val="00655BFB"/>
    <w:rsid w:val="00655D84"/>
    <w:rsid w:val="006568D4"/>
    <w:rsid w:val="0065797D"/>
    <w:rsid w:val="00657A60"/>
    <w:rsid w:val="0066022F"/>
    <w:rsid w:val="00660332"/>
    <w:rsid w:val="0066095C"/>
    <w:rsid w:val="00660D18"/>
    <w:rsid w:val="00661A1B"/>
    <w:rsid w:val="00662C3F"/>
    <w:rsid w:val="00663278"/>
    <w:rsid w:val="006637B3"/>
    <w:rsid w:val="006644D1"/>
    <w:rsid w:val="006650C2"/>
    <w:rsid w:val="00665338"/>
    <w:rsid w:val="006660BC"/>
    <w:rsid w:val="00666841"/>
    <w:rsid w:val="0066777D"/>
    <w:rsid w:val="00667839"/>
    <w:rsid w:val="00667C5B"/>
    <w:rsid w:val="00667DE8"/>
    <w:rsid w:val="006703B8"/>
    <w:rsid w:val="006718B7"/>
    <w:rsid w:val="00672351"/>
    <w:rsid w:val="00672D89"/>
    <w:rsid w:val="00672F0A"/>
    <w:rsid w:val="006734B4"/>
    <w:rsid w:val="0067400D"/>
    <w:rsid w:val="006741F4"/>
    <w:rsid w:val="00674754"/>
    <w:rsid w:val="00674AF6"/>
    <w:rsid w:val="00674C3A"/>
    <w:rsid w:val="00674F34"/>
    <w:rsid w:val="00675328"/>
    <w:rsid w:val="00676AC9"/>
    <w:rsid w:val="00677696"/>
    <w:rsid w:val="00677941"/>
    <w:rsid w:val="00677BED"/>
    <w:rsid w:val="00680191"/>
    <w:rsid w:val="006812CB"/>
    <w:rsid w:val="00681C67"/>
    <w:rsid w:val="00682297"/>
    <w:rsid w:val="0068243F"/>
    <w:rsid w:val="0068284B"/>
    <w:rsid w:val="00683589"/>
    <w:rsid w:val="00683732"/>
    <w:rsid w:val="00683CBD"/>
    <w:rsid w:val="00685C1D"/>
    <w:rsid w:val="00687CBB"/>
    <w:rsid w:val="00687E4E"/>
    <w:rsid w:val="006901D5"/>
    <w:rsid w:val="006912AB"/>
    <w:rsid w:val="0069223F"/>
    <w:rsid w:val="00692CB9"/>
    <w:rsid w:val="00693D0C"/>
    <w:rsid w:val="00694707"/>
    <w:rsid w:val="00695558"/>
    <w:rsid w:val="00695C04"/>
    <w:rsid w:val="0069687D"/>
    <w:rsid w:val="00696F4A"/>
    <w:rsid w:val="00697288"/>
    <w:rsid w:val="0069743F"/>
    <w:rsid w:val="006A0687"/>
    <w:rsid w:val="006A0C00"/>
    <w:rsid w:val="006A186D"/>
    <w:rsid w:val="006A294C"/>
    <w:rsid w:val="006A2A41"/>
    <w:rsid w:val="006A2A51"/>
    <w:rsid w:val="006A37F9"/>
    <w:rsid w:val="006A4ED3"/>
    <w:rsid w:val="006A5983"/>
    <w:rsid w:val="006A6056"/>
    <w:rsid w:val="006A72DD"/>
    <w:rsid w:val="006A7685"/>
    <w:rsid w:val="006A7719"/>
    <w:rsid w:val="006B0914"/>
    <w:rsid w:val="006B0CB0"/>
    <w:rsid w:val="006B10E3"/>
    <w:rsid w:val="006B1C8F"/>
    <w:rsid w:val="006B216E"/>
    <w:rsid w:val="006B2722"/>
    <w:rsid w:val="006B2BBC"/>
    <w:rsid w:val="006B2ECF"/>
    <w:rsid w:val="006B3026"/>
    <w:rsid w:val="006B402B"/>
    <w:rsid w:val="006B42D1"/>
    <w:rsid w:val="006B44C3"/>
    <w:rsid w:val="006B52BB"/>
    <w:rsid w:val="006B58A7"/>
    <w:rsid w:val="006B678E"/>
    <w:rsid w:val="006B782C"/>
    <w:rsid w:val="006C079C"/>
    <w:rsid w:val="006C10DA"/>
    <w:rsid w:val="006C1554"/>
    <w:rsid w:val="006C1CA9"/>
    <w:rsid w:val="006C2846"/>
    <w:rsid w:val="006C36C2"/>
    <w:rsid w:val="006C3888"/>
    <w:rsid w:val="006C3C3C"/>
    <w:rsid w:val="006C4FF9"/>
    <w:rsid w:val="006C6213"/>
    <w:rsid w:val="006C653A"/>
    <w:rsid w:val="006C6C44"/>
    <w:rsid w:val="006C75BC"/>
    <w:rsid w:val="006C7961"/>
    <w:rsid w:val="006C7AA5"/>
    <w:rsid w:val="006D0128"/>
    <w:rsid w:val="006D1279"/>
    <w:rsid w:val="006D210F"/>
    <w:rsid w:val="006D24A0"/>
    <w:rsid w:val="006D2A94"/>
    <w:rsid w:val="006D3C46"/>
    <w:rsid w:val="006D3E0D"/>
    <w:rsid w:val="006D3FE7"/>
    <w:rsid w:val="006D4CBB"/>
    <w:rsid w:val="006D4D7D"/>
    <w:rsid w:val="006D6265"/>
    <w:rsid w:val="006D62EA"/>
    <w:rsid w:val="006D657F"/>
    <w:rsid w:val="006D7E39"/>
    <w:rsid w:val="006E0430"/>
    <w:rsid w:val="006E1B20"/>
    <w:rsid w:val="006E2A18"/>
    <w:rsid w:val="006E35BD"/>
    <w:rsid w:val="006E3745"/>
    <w:rsid w:val="006E4BAE"/>
    <w:rsid w:val="006E523D"/>
    <w:rsid w:val="006E5D82"/>
    <w:rsid w:val="006E5D95"/>
    <w:rsid w:val="006E644B"/>
    <w:rsid w:val="006E65FF"/>
    <w:rsid w:val="006E67AE"/>
    <w:rsid w:val="006E6FD3"/>
    <w:rsid w:val="006E75A6"/>
    <w:rsid w:val="006E794F"/>
    <w:rsid w:val="006F0259"/>
    <w:rsid w:val="006F0AC9"/>
    <w:rsid w:val="006F0ECC"/>
    <w:rsid w:val="006F1165"/>
    <w:rsid w:val="006F2093"/>
    <w:rsid w:val="006F292D"/>
    <w:rsid w:val="006F3067"/>
    <w:rsid w:val="006F3489"/>
    <w:rsid w:val="006F42C2"/>
    <w:rsid w:val="006F49A5"/>
    <w:rsid w:val="006F5B19"/>
    <w:rsid w:val="006F5E59"/>
    <w:rsid w:val="006F5EEA"/>
    <w:rsid w:val="00700DB7"/>
    <w:rsid w:val="00700EE1"/>
    <w:rsid w:val="00701690"/>
    <w:rsid w:val="007017A3"/>
    <w:rsid w:val="007022B4"/>
    <w:rsid w:val="0070368B"/>
    <w:rsid w:val="00704D45"/>
    <w:rsid w:val="00705BA2"/>
    <w:rsid w:val="007069BB"/>
    <w:rsid w:val="00706EF8"/>
    <w:rsid w:val="00706F09"/>
    <w:rsid w:val="00710E25"/>
    <w:rsid w:val="00711FF0"/>
    <w:rsid w:val="00712141"/>
    <w:rsid w:val="007123DE"/>
    <w:rsid w:val="00712636"/>
    <w:rsid w:val="007144F4"/>
    <w:rsid w:val="007164B9"/>
    <w:rsid w:val="007164FB"/>
    <w:rsid w:val="0071679C"/>
    <w:rsid w:val="00717C9C"/>
    <w:rsid w:val="0072013B"/>
    <w:rsid w:val="007210EB"/>
    <w:rsid w:val="00721755"/>
    <w:rsid w:val="00721A6A"/>
    <w:rsid w:val="00721D23"/>
    <w:rsid w:val="00721FD5"/>
    <w:rsid w:val="007223D5"/>
    <w:rsid w:val="0072349A"/>
    <w:rsid w:val="0072376D"/>
    <w:rsid w:val="0072529B"/>
    <w:rsid w:val="00725E29"/>
    <w:rsid w:val="007260CA"/>
    <w:rsid w:val="00726791"/>
    <w:rsid w:val="00727461"/>
    <w:rsid w:val="00727B78"/>
    <w:rsid w:val="0073030E"/>
    <w:rsid w:val="007303B8"/>
    <w:rsid w:val="00731438"/>
    <w:rsid w:val="00732BAC"/>
    <w:rsid w:val="00733008"/>
    <w:rsid w:val="007332DE"/>
    <w:rsid w:val="007348CB"/>
    <w:rsid w:val="007353E2"/>
    <w:rsid w:val="00735D17"/>
    <w:rsid w:val="00735F99"/>
    <w:rsid w:val="00737670"/>
    <w:rsid w:val="00737AE4"/>
    <w:rsid w:val="00740AAD"/>
    <w:rsid w:val="00741ABB"/>
    <w:rsid w:val="00742385"/>
    <w:rsid w:val="007427AB"/>
    <w:rsid w:val="00743812"/>
    <w:rsid w:val="00745A9A"/>
    <w:rsid w:val="00745ADA"/>
    <w:rsid w:val="00745B7D"/>
    <w:rsid w:val="007461CE"/>
    <w:rsid w:val="00746629"/>
    <w:rsid w:val="00746771"/>
    <w:rsid w:val="00747577"/>
    <w:rsid w:val="00747CD8"/>
    <w:rsid w:val="007507D3"/>
    <w:rsid w:val="007509E6"/>
    <w:rsid w:val="00750FDD"/>
    <w:rsid w:val="00751718"/>
    <w:rsid w:val="007517B2"/>
    <w:rsid w:val="0075193E"/>
    <w:rsid w:val="00752442"/>
    <w:rsid w:val="00752483"/>
    <w:rsid w:val="0075272F"/>
    <w:rsid w:val="007527F6"/>
    <w:rsid w:val="00752C98"/>
    <w:rsid w:val="007534DB"/>
    <w:rsid w:val="00753CF7"/>
    <w:rsid w:val="00753F72"/>
    <w:rsid w:val="00754096"/>
    <w:rsid w:val="00754ECE"/>
    <w:rsid w:val="00755FC3"/>
    <w:rsid w:val="00757405"/>
    <w:rsid w:val="00760720"/>
    <w:rsid w:val="00760E60"/>
    <w:rsid w:val="0076159F"/>
    <w:rsid w:val="007616B4"/>
    <w:rsid w:val="00761BB6"/>
    <w:rsid w:val="0076284F"/>
    <w:rsid w:val="007639B2"/>
    <w:rsid w:val="00764F3C"/>
    <w:rsid w:val="00764F46"/>
    <w:rsid w:val="0076525B"/>
    <w:rsid w:val="00766BBE"/>
    <w:rsid w:val="00770321"/>
    <w:rsid w:val="00770632"/>
    <w:rsid w:val="00770B22"/>
    <w:rsid w:val="00770DC2"/>
    <w:rsid w:val="0077352A"/>
    <w:rsid w:val="00773980"/>
    <w:rsid w:val="007739C6"/>
    <w:rsid w:val="00773BE6"/>
    <w:rsid w:val="00773CA6"/>
    <w:rsid w:val="007741CD"/>
    <w:rsid w:val="007743DE"/>
    <w:rsid w:val="00774A71"/>
    <w:rsid w:val="00774FF8"/>
    <w:rsid w:val="00775830"/>
    <w:rsid w:val="00775D44"/>
    <w:rsid w:val="00775F80"/>
    <w:rsid w:val="00775F81"/>
    <w:rsid w:val="0077727B"/>
    <w:rsid w:val="00777603"/>
    <w:rsid w:val="00777EBB"/>
    <w:rsid w:val="00780AC1"/>
    <w:rsid w:val="00781754"/>
    <w:rsid w:val="007818D0"/>
    <w:rsid w:val="007818F7"/>
    <w:rsid w:val="00781CFF"/>
    <w:rsid w:val="00782A04"/>
    <w:rsid w:val="00783418"/>
    <w:rsid w:val="0078352B"/>
    <w:rsid w:val="007835AD"/>
    <w:rsid w:val="007840D6"/>
    <w:rsid w:val="007864F2"/>
    <w:rsid w:val="007873FC"/>
    <w:rsid w:val="0078798B"/>
    <w:rsid w:val="00787B1F"/>
    <w:rsid w:val="00790EC2"/>
    <w:rsid w:val="007916DF"/>
    <w:rsid w:val="0079195B"/>
    <w:rsid w:val="007919A3"/>
    <w:rsid w:val="00791C06"/>
    <w:rsid w:val="00791EC0"/>
    <w:rsid w:val="00792F5E"/>
    <w:rsid w:val="00794424"/>
    <w:rsid w:val="00794964"/>
    <w:rsid w:val="00795541"/>
    <w:rsid w:val="0079556B"/>
    <w:rsid w:val="00795641"/>
    <w:rsid w:val="007959AF"/>
    <w:rsid w:val="00796335"/>
    <w:rsid w:val="00796D7D"/>
    <w:rsid w:val="007A00C5"/>
    <w:rsid w:val="007A0129"/>
    <w:rsid w:val="007A0E2B"/>
    <w:rsid w:val="007A1B95"/>
    <w:rsid w:val="007A1EDB"/>
    <w:rsid w:val="007A243D"/>
    <w:rsid w:val="007A3691"/>
    <w:rsid w:val="007A42D0"/>
    <w:rsid w:val="007A46C8"/>
    <w:rsid w:val="007A493E"/>
    <w:rsid w:val="007A4D7E"/>
    <w:rsid w:val="007A5750"/>
    <w:rsid w:val="007A61AE"/>
    <w:rsid w:val="007A6CE0"/>
    <w:rsid w:val="007A7220"/>
    <w:rsid w:val="007A73F1"/>
    <w:rsid w:val="007A7771"/>
    <w:rsid w:val="007A7A79"/>
    <w:rsid w:val="007A7B33"/>
    <w:rsid w:val="007A7E11"/>
    <w:rsid w:val="007B032E"/>
    <w:rsid w:val="007B0A9C"/>
    <w:rsid w:val="007B159E"/>
    <w:rsid w:val="007B174C"/>
    <w:rsid w:val="007B1F4F"/>
    <w:rsid w:val="007B20C8"/>
    <w:rsid w:val="007B2378"/>
    <w:rsid w:val="007B244B"/>
    <w:rsid w:val="007B2837"/>
    <w:rsid w:val="007B2874"/>
    <w:rsid w:val="007B3344"/>
    <w:rsid w:val="007B3D6D"/>
    <w:rsid w:val="007B407E"/>
    <w:rsid w:val="007B43EF"/>
    <w:rsid w:val="007B44E9"/>
    <w:rsid w:val="007B47FD"/>
    <w:rsid w:val="007B4818"/>
    <w:rsid w:val="007B4F58"/>
    <w:rsid w:val="007B5BB5"/>
    <w:rsid w:val="007B67B4"/>
    <w:rsid w:val="007C1885"/>
    <w:rsid w:val="007C1BA0"/>
    <w:rsid w:val="007C1C0A"/>
    <w:rsid w:val="007C26B2"/>
    <w:rsid w:val="007C3278"/>
    <w:rsid w:val="007C3A3B"/>
    <w:rsid w:val="007C3E32"/>
    <w:rsid w:val="007C41A6"/>
    <w:rsid w:val="007C41E1"/>
    <w:rsid w:val="007C44E0"/>
    <w:rsid w:val="007C4A27"/>
    <w:rsid w:val="007C56AF"/>
    <w:rsid w:val="007C577D"/>
    <w:rsid w:val="007C5877"/>
    <w:rsid w:val="007C63C4"/>
    <w:rsid w:val="007C6725"/>
    <w:rsid w:val="007C67A8"/>
    <w:rsid w:val="007C6A57"/>
    <w:rsid w:val="007D0066"/>
    <w:rsid w:val="007D127E"/>
    <w:rsid w:val="007D3679"/>
    <w:rsid w:val="007D4241"/>
    <w:rsid w:val="007D493E"/>
    <w:rsid w:val="007D49BB"/>
    <w:rsid w:val="007D50E5"/>
    <w:rsid w:val="007D5278"/>
    <w:rsid w:val="007D5AE9"/>
    <w:rsid w:val="007D61DB"/>
    <w:rsid w:val="007D65FF"/>
    <w:rsid w:val="007E01E1"/>
    <w:rsid w:val="007E04A2"/>
    <w:rsid w:val="007E05D3"/>
    <w:rsid w:val="007E0DD6"/>
    <w:rsid w:val="007E25A3"/>
    <w:rsid w:val="007E2840"/>
    <w:rsid w:val="007E3682"/>
    <w:rsid w:val="007E4AD3"/>
    <w:rsid w:val="007E7945"/>
    <w:rsid w:val="007E7B8C"/>
    <w:rsid w:val="007F03B0"/>
    <w:rsid w:val="007F07C5"/>
    <w:rsid w:val="007F1384"/>
    <w:rsid w:val="007F2486"/>
    <w:rsid w:val="007F4635"/>
    <w:rsid w:val="007F5B50"/>
    <w:rsid w:val="007F5EB9"/>
    <w:rsid w:val="007F63F1"/>
    <w:rsid w:val="007F726A"/>
    <w:rsid w:val="007F7679"/>
    <w:rsid w:val="007F796B"/>
    <w:rsid w:val="00800B42"/>
    <w:rsid w:val="00800C91"/>
    <w:rsid w:val="0080486D"/>
    <w:rsid w:val="008053D1"/>
    <w:rsid w:val="00805493"/>
    <w:rsid w:val="00805A36"/>
    <w:rsid w:val="0080660A"/>
    <w:rsid w:val="008073F7"/>
    <w:rsid w:val="008079B4"/>
    <w:rsid w:val="008102D3"/>
    <w:rsid w:val="00812472"/>
    <w:rsid w:val="0081382B"/>
    <w:rsid w:val="008149ED"/>
    <w:rsid w:val="008157A1"/>
    <w:rsid w:val="00815A47"/>
    <w:rsid w:val="00815CC8"/>
    <w:rsid w:val="00816CB5"/>
    <w:rsid w:val="008173D4"/>
    <w:rsid w:val="0081798D"/>
    <w:rsid w:val="008200C4"/>
    <w:rsid w:val="008203D2"/>
    <w:rsid w:val="00820679"/>
    <w:rsid w:val="00820AB7"/>
    <w:rsid w:val="0082111A"/>
    <w:rsid w:val="00821D6E"/>
    <w:rsid w:val="008227BC"/>
    <w:rsid w:val="008228F0"/>
    <w:rsid w:val="00822DC8"/>
    <w:rsid w:val="008232B3"/>
    <w:rsid w:val="00823358"/>
    <w:rsid w:val="0082387D"/>
    <w:rsid w:val="00823BB0"/>
    <w:rsid w:val="0082413D"/>
    <w:rsid w:val="00825091"/>
    <w:rsid w:val="00825DF9"/>
    <w:rsid w:val="008263A4"/>
    <w:rsid w:val="00826C16"/>
    <w:rsid w:val="00826F0C"/>
    <w:rsid w:val="0083061C"/>
    <w:rsid w:val="00830794"/>
    <w:rsid w:val="00830995"/>
    <w:rsid w:val="00830CA5"/>
    <w:rsid w:val="008310EE"/>
    <w:rsid w:val="0083139A"/>
    <w:rsid w:val="00831C9D"/>
    <w:rsid w:val="00831CB6"/>
    <w:rsid w:val="008322B8"/>
    <w:rsid w:val="0083279E"/>
    <w:rsid w:val="00832878"/>
    <w:rsid w:val="00832989"/>
    <w:rsid w:val="00832B54"/>
    <w:rsid w:val="00832ECA"/>
    <w:rsid w:val="008334E3"/>
    <w:rsid w:val="008339C6"/>
    <w:rsid w:val="0083531E"/>
    <w:rsid w:val="008358D9"/>
    <w:rsid w:val="00835CA5"/>
    <w:rsid w:val="008361FB"/>
    <w:rsid w:val="00836356"/>
    <w:rsid w:val="00836D07"/>
    <w:rsid w:val="00836DD7"/>
    <w:rsid w:val="00837042"/>
    <w:rsid w:val="008374B1"/>
    <w:rsid w:val="00837A0C"/>
    <w:rsid w:val="008409F4"/>
    <w:rsid w:val="00840B80"/>
    <w:rsid w:val="00841C3D"/>
    <w:rsid w:val="00841C7D"/>
    <w:rsid w:val="008420F1"/>
    <w:rsid w:val="00842651"/>
    <w:rsid w:val="0084399F"/>
    <w:rsid w:val="00843ABC"/>
    <w:rsid w:val="00843D0D"/>
    <w:rsid w:val="00844D4B"/>
    <w:rsid w:val="008451C6"/>
    <w:rsid w:val="00845950"/>
    <w:rsid w:val="00846063"/>
    <w:rsid w:val="0084684A"/>
    <w:rsid w:val="0085008E"/>
    <w:rsid w:val="008517AE"/>
    <w:rsid w:val="00851896"/>
    <w:rsid w:val="00852050"/>
    <w:rsid w:val="0085205A"/>
    <w:rsid w:val="00852839"/>
    <w:rsid w:val="00852962"/>
    <w:rsid w:val="00853C91"/>
    <w:rsid w:val="00854165"/>
    <w:rsid w:val="00854E9F"/>
    <w:rsid w:val="0085565E"/>
    <w:rsid w:val="0085592A"/>
    <w:rsid w:val="00855D51"/>
    <w:rsid w:val="008565DA"/>
    <w:rsid w:val="00856BE7"/>
    <w:rsid w:val="00857730"/>
    <w:rsid w:val="00857C3B"/>
    <w:rsid w:val="00857C9F"/>
    <w:rsid w:val="00860505"/>
    <w:rsid w:val="00860B75"/>
    <w:rsid w:val="00860E1F"/>
    <w:rsid w:val="00862B68"/>
    <w:rsid w:val="0086411B"/>
    <w:rsid w:val="00864329"/>
    <w:rsid w:val="00864DFA"/>
    <w:rsid w:val="0086665C"/>
    <w:rsid w:val="008710F2"/>
    <w:rsid w:val="00873A61"/>
    <w:rsid w:val="00874D9F"/>
    <w:rsid w:val="00875631"/>
    <w:rsid w:val="00875655"/>
    <w:rsid w:val="00875C69"/>
    <w:rsid w:val="00875F96"/>
    <w:rsid w:val="008767A9"/>
    <w:rsid w:val="00876998"/>
    <w:rsid w:val="00876A75"/>
    <w:rsid w:val="00876C48"/>
    <w:rsid w:val="00876FE7"/>
    <w:rsid w:val="0087741D"/>
    <w:rsid w:val="00877AD3"/>
    <w:rsid w:val="00882B46"/>
    <w:rsid w:val="00883F82"/>
    <w:rsid w:val="00885D0A"/>
    <w:rsid w:val="00886252"/>
    <w:rsid w:val="00887916"/>
    <w:rsid w:val="00887F0D"/>
    <w:rsid w:val="00890B79"/>
    <w:rsid w:val="00890D41"/>
    <w:rsid w:val="00891775"/>
    <w:rsid w:val="00891951"/>
    <w:rsid w:val="0089281F"/>
    <w:rsid w:val="0089368F"/>
    <w:rsid w:val="00893BFB"/>
    <w:rsid w:val="00894DA4"/>
    <w:rsid w:val="00894FA5"/>
    <w:rsid w:val="00895441"/>
    <w:rsid w:val="0089769B"/>
    <w:rsid w:val="00897AE2"/>
    <w:rsid w:val="008A1195"/>
    <w:rsid w:val="008A1198"/>
    <w:rsid w:val="008A16C7"/>
    <w:rsid w:val="008A1FC1"/>
    <w:rsid w:val="008A2069"/>
    <w:rsid w:val="008A31AB"/>
    <w:rsid w:val="008A3431"/>
    <w:rsid w:val="008A37BF"/>
    <w:rsid w:val="008A4020"/>
    <w:rsid w:val="008A61E1"/>
    <w:rsid w:val="008A64E8"/>
    <w:rsid w:val="008A6DC1"/>
    <w:rsid w:val="008A6E1A"/>
    <w:rsid w:val="008B00DD"/>
    <w:rsid w:val="008B0970"/>
    <w:rsid w:val="008B11F2"/>
    <w:rsid w:val="008B3496"/>
    <w:rsid w:val="008B41A1"/>
    <w:rsid w:val="008B4786"/>
    <w:rsid w:val="008B4901"/>
    <w:rsid w:val="008B540C"/>
    <w:rsid w:val="008B55D8"/>
    <w:rsid w:val="008B5BED"/>
    <w:rsid w:val="008B6414"/>
    <w:rsid w:val="008B658C"/>
    <w:rsid w:val="008B6942"/>
    <w:rsid w:val="008B7145"/>
    <w:rsid w:val="008B7C55"/>
    <w:rsid w:val="008C0F4D"/>
    <w:rsid w:val="008C0F68"/>
    <w:rsid w:val="008C2473"/>
    <w:rsid w:val="008C48DA"/>
    <w:rsid w:val="008C5684"/>
    <w:rsid w:val="008C5F85"/>
    <w:rsid w:val="008C654B"/>
    <w:rsid w:val="008C6BCA"/>
    <w:rsid w:val="008C6E8B"/>
    <w:rsid w:val="008C7550"/>
    <w:rsid w:val="008C76EB"/>
    <w:rsid w:val="008C791C"/>
    <w:rsid w:val="008C7983"/>
    <w:rsid w:val="008C7EB9"/>
    <w:rsid w:val="008C7EC8"/>
    <w:rsid w:val="008D0655"/>
    <w:rsid w:val="008D0934"/>
    <w:rsid w:val="008D0FFD"/>
    <w:rsid w:val="008D143B"/>
    <w:rsid w:val="008D19C7"/>
    <w:rsid w:val="008D1FF5"/>
    <w:rsid w:val="008D36F6"/>
    <w:rsid w:val="008D45EE"/>
    <w:rsid w:val="008D4752"/>
    <w:rsid w:val="008D667B"/>
    <w:rsid w:val="008D6EE8"/>
    <w:rsid w:val="008E04A4"/>
    <w:rsid w:val="008E0C57"/>
    <w:rsid w:val="008E0CEC"/>
    <w:rsid w:val="008E134B"/>
    <w:rsid w:val="008E154B"/>
    <w:rsid w:val="008E2ED1"/>
    <w:rsid w:val="008E3E59"/>
    <w:rsid w:val="008E403C"/>
    <w:rsid w:val="008E4344"/>
    <w:rsid w:val="008E461A"/>
    <w:rsid w:val="008E46B1"/>
    <w:rsid w:val="008E46E5"/>
    <w:rsid w:val="008E46EB"/>
    <w:rsid w:val="008E50B9"/>
    <w:rsid w:val="008E525D"/>
    <w:rsid w:val="008E5D86"/>
    <w:rsid w:val="008E6156"/>
    <w:rsid w:val="008E6565"/>
    <w:rsid w:val="008E6D03"/>
    <w:rsid w:val="008E75AF"/>
    <w:rsid w:val="008F02FA"/>
    <w:rsid w:val="008F0547"/>
    <w:rsid w:val="008F0689"/>
    <w:rsid w:val="008F0BE7"/>
    <w:rsid w:val="008F1617"/>
    <w:rsid w:val="008F1E97"/>
    <w:rsid w:val="008F223F"/>
    <w:rsid w:val="008F29F8"/>
    <w:rsid w:val="008F2FEB"/>
    <w:rsid w:val="008F37A9"/>
    <w:rsid w:val="008F3EB1"/>
    <w:rsid w:val="008F45C8"/>
    <w:rsid w:val="008F4AF5"/>
    <w:rsid w:val="008F5EFC"/>
    <w:rsid w:val="008F5F1C"/>
    <w:rsid w:val="008F7EB8"/>
    <w:rsid w:val="00900F59"/>
    <w:rsid w:val="009010D0"/>
    <w:rsid w:val="00901F5F"/>
    <w:rsid w:val="00902405"/>
    <w:rsid w:val="0090341B"/>
    <w:rsid w:val="00904279"/>
    <w:rsid w:val="00904A85"/>
    <w:rsid w:val="00904FCC"/>
    <w:rsid w:val="00905624"/>
    <w:rsid w:val="0090597F"/>
    <w:rsid w:val="009059CE"/>
    <w:rsid w:val="0090745B"/>
    <w:rsid w:val="00910F05"/>
    <w:rsid w:val="0091234A"/>
    <w:rsid w:val="009125B0"/>
    <w:rsid w:val="009127E4"/>
    <w:rsid w:val="00912D37"/>
    <w:rsid w:val="00913923"/>
    <w:rsid w:val="009144A2"/>
    <w:rsid w:val="00915305"/>
    <w:rsid w:val="009154D6"/>
    <w:rsid w:val="0091584A"/>
    <w:rsid w:val="00915BDF"/>
    <w:rsid w:val="00917804"/>
    <w:rsid w:val="0092019E"/>
    <w:rsid w:val="00920626"/>
    <w:rsid w:val="00920BFE"/>
    <w:rsid w:val="0092170C"/>
    <w:rsid w:val="00921FBE"/>
    <w:rsid w:val="009220AD"/>
    <w:rsid w:val="00922AA3"/>
    <w:rsid w:val="00923EAB"/>
    <w:rsid w:val="00924257"/>
    <w:rsid w:val="00924F02"/>
    <w:rsid w:val="00924F1A"/>
    <w:rsid w:val="00924FA4"/>
    <w:rsid w:val="00925447"/>
    <w:rsid w:val="00925D10"/>
    <w:rsid w:val="00925FAE"/>
    <w:rsid w:val="009263BE"/>
    <w:rsid w:val="00926644"/>
    <w:rsid w:val="00927012"/>
    <w:rsid w:val="009275E5"/>
    <w:rsid w:val="009277DD"/>
    <w:rsid w:val="00927848"/>
    <w:rsid w:val="009300D3"/>
    <w:rsid w:val="0093094B"/>
    <w:rsid w:val="009312AE"/>
    <w:rsid w:val="009322DE"/>
    <w:rsid w:val="00932605"/>
    <w:rsid w:val="0093269B"/>
    <w:rsid w:val="0093303F"/>
    <w:rsid w:val="0093319D"/>
    <w:rsid w:val="00933535"/>
    <w:rsid w:val="00933A28"/>
    <w:rsid w:val="00933CE5"/>
    <w:rsid w:val="009343FB"/>
    <w:rsid w:val="009347E6"/>
    <w:rsid w:val="00935F67"/>
    <w:rsid w:val="00935FDB"/>
    <w:rsid w:val="009367BD"/>
    <w:rsid w:val="0093693A"/>
    <w:rsid w:val="00936D60"/>
    <w:rsid w:val="009371CB"/>
    <w:rsid w:val="00937477"/>
    <w:rsid w:val="00937814"/>
    <w:rsid w:val="00937A22"/>
    <w:rsid w:val="00937DB2"/>
    <w:rsid w:val="00940011"/>
    <w:rsid w:val="009403FD"/>
    <w:rsid w:val="00940C90"/>
    <w:rsid w:val="00941D59"/>
    <w:rsid w:val="0094338D"/>
    <w:rsid w:val="0094342A"/>
    <w:rsid w:val="009435D8"/>
    <w:rsid w:val="00944A1B"/>
    <w:rsid w:val="00944EA3"/>
    <w:rsid w:val="009460C3"/>
    <w:rsid w:val="009503F1"/>
    <w:rsid w:val="00951F18"/>
    <w:rsid w:val="00951F19"/>
    <w:rsid w:val="00952FF8"/>
    <w:rsid w:val="009533B6"/>
    <w:rsid w:val="0095359D"/>
    <w:rsid w:val="00954F8C"/>
    <w:rsid w:val="00956184"/>
    <w:rsid w:val="009565C1"/>
    <w:rsid w:val="009569F1"/>
    <w:rsid w:val="00956B01"/>
    <w:rsid w:val="009576AD"/>
    <w:rsid w:val="00957DA2"/>
    <w:rsid w:val="00960845"/>
    <w:rsid w:val="009608AB"/>
    <w:rsid w:val="00960CBA"/>
    <w:rsid w:val="009617CC"/>
    <w:rsid w:val="009636F2"/>
    <w:rsid w:val="00963980"/>
    <w:rsid w:val="00963F82"/>
    <w:rsid w:val="009645A2"/>
    <w:rsid w:val="0096637A"/>
    <w:rsid w:val="00966920"/>
    <w:rsid w:val="009671F5"/>
    <w:rsid w:val="009677B5"/>
    <w:rsid w:val="00967A48"/>
    <w:rsid w:val="00967CEF"/>
    <w:rsid w:val="00970F5D"/>
    <w:rsid w:val="00971A36"/>
    <w:rsid w:val="00971B4F"/>
    <w:rsid w:val="00972D8D"/>
    <w:rsid w:val="00973141"/>
    <w:rsid w:val="00973609"/>
    <w:rsid w:val="00973838"/>
    <w:rsid w:val="009738C6"/>
    <w:rsid w:val="00974996"/>
    <w:rsid w:val="00975A7F"/>
    <w:rsid w:val="00975B2B"/>
    <w:rsid w:val="00975E36"/>
    <w:rsid w:val="009760CB"/>
    <w:rsid w:val="009766D9"/>
    <w:rsid w:val="0097684C"/>
    <w:rsid w:val="00976BA2"/>
    <w:rsid w:val="00976D3F"/>
    <w:rsid w:val="009778FB"/>
    <w:rsid w:val="00980FC7"/>
    <w:rsid w:val="009814CB"/>
    <w:rsid w:val="009833E8"/>
    <w:rsid w:val="00983655"/>
    <w:rsid w:val="009836ED"/>
    <w:rsid w:val="0098484C"/>
    <w:rsid w:val="0098494F"/>
    <w:rsid w:val="00984F42"/>
    <w:rsid w:val="00985175"/>
    <w:rsid w:val="00985C18"/>
    <w:rsid w:val="00986B06"/>
    <w:rsid w:val="00990553"/>
    <w:rsid w:val="00990D0F"/>
    <w:rsid w:val="00991080"/>
    <w:rsid w:val="00991F30"/>
    <w:rsid w:val="00992152"/>
    <w:rsid w:val="00992572"/>
    <w:rsid w:val="0099279D"/>
    <w:rsid w:val="009930AB"/>
    <w:rsid w:val="00993CE2"/>
    <w:rsid w:val="0099423F"/>
    <w:rsid w:val="009947AB"/>
    <w:rsid w:val="00995136"/>
    <w:rsid w:val="0099578F"/>
    <w:rsid w:val="009967F4"/>
    <w:rsid w:val="00996C60"/>
    <w:rsid w:val="0099704E"/>
    <w:rsid w:val="009A0002"/>
    <w:rsid w:val="009A0286"/>
    <w:rsid w:val="009A0318"/>
    <w:rsid w:val="009A148E"/>
    <w:rsid w:val="009A17CF"/>
    <w:rsid w:val="009A2369"/>
    <w:rsid w:val="009A2583"/>
    <w:rsid w:val="009A326B"/>
    <w:rsid w:val="009A53C6"/>
    <w:rsid w:val="009A5FAA"/>
    <w:rsid w:val="009A69B8"/>
    <w:rsid w:val="009A6E0B"/>
    <w:rsid w:val="009A7127"/>
    <w:rsid w:val="009A73B2"/>
    <w:rsid w:val="009A7C10"/>
    <w:rsid w:val="009B0340"/>
    <w:rsid w:val="009B057F"/>
    <w:rsid w:val="009B0912"/>
    <w:rsid w:val="009B2131"/>
    <w:rsid w:val="009B2905"/>
    <w:rsid w:val="009B2AD2"/>
    <w:rsid w:val="009B3011"/>
    <w:rsid w:val="009B3EE8"/>
    <w:rsid w:val="009B3F6C"/>
    <w:rsid w:val="009B4213"/>
    <w:rsid w:val="009B4873"/>
    <w:rsid w:val="009B51B7"/>
    <w:rsid w:val="009B5ABC"/>
    <w:rsid w:val="009B629E"/>
    <w:rsid w:val="009B73BC"/>
    <w:rsid w:val="009B793F"/>
    <w:rsid w:val="009C1375"/>
    <w:rsid w:val="009C214E"/>
    <w:rsid w:val="009C37D0"/>
    <w:rsid w:val="009C3DD0"/>
    <w:rsid w:val="009C40E9"/>
    <w:rsid w:val="009C48DC"/>
    <w:rsid w:val="009C4CB6"/>
    <w:rsid w:val="009C634C"/>
    <w:rsid w:val="009C6717"/>
    <w:rsid w:val="009C6CD7"/>
    <w:rsid w:val="009C798F"/>
    <w:rsid w:val="009C7CE5"/>
    <w:rsid w:val="009C7F74"/>
    <w:rsid w:val="009D07B0"/>
    <w:rsid w:val="009D089F"/>
    <w:rsid w:val="009D15D5"/>
    <w:rsid w:val="009D1802"/>
    <w:rsid w:val="009D18D3"/>
    <w:rsid w:val="009D2404"/>
    <w:rsid w:val="009D2A3C"/>
    <w:rsid w:val="009D3705"/>
    <w:rsid w:val="009D3DCE"/>
    <w:rsid w:val="009D46BA"/>
    <w:rsid w:val="009D53E6"/>
    <w:rsid w:val="009D69F1"/>
    <w:rsid w:val="009D74F2"/>
    <w:rsid w:val="009E0DB9"/>
    <w:rsid w:val="009E10FD"/>
    <w:rsid w:val="009E175F"/>
    <w:rsid w:val="009E1DFA"/>
    <w:rsid w:val="009E1FEE"/>
    <w:rsid w:val="009E2A91"/>
    <w:rsid w:val="009E2CEC"/>
    <w:rsid w:val="009E3019"/>
    <w:rsid w:val="009E32E7"/>
    <w:rsid w:val="009E5607"/>
    <w:rsid w:val="009E56DD"/>
    <w:rsid w:val="009E5A56"/>
    <w:rsid w:val="009E7151"/>
    <w:rsid w:val="009E7DBD"/>
    <w:rsid w:val="009F0E67"/>
    <w:rsid w:val="009F0E76"/>
    <w:rsid w:val="009F4108"/>
    <w:rsid w:val="009F4DE8"/>
    <w:rsid w:val="009F50A5"/>
    <w:rsid w:val="009F52B4"/>
    <w:rsid w:val="009F6839"/>
    <w:rsid w:val="009F7318"/>
    <w:rsid w:val="00A00825"/>
    <w:rsid w:val="00A008AE"/>
    <w:rsid w:val="00A0107C"/>
    <w:rsid w:val="00A01204"/>
    <w:rsid w:val="00A021F0"/>
    <w:rsid w:val="00A03A5F"/>
    <w:rsid w:val="00A03D46"/>
    <w:rsid w:val="00A042F7"/>
    <w:rsid w:val="00A047DF"/>
    <w:rsid w:val="00A0508B"/>
    <w:rsid w:val="00A05B28"/>
    <w:rsid w:val="00A05BEC"/>
    <w:rsid w:val="00A06A61"/>
    <w:rsid w:val="00A07CD9"/>
    <w:rsid w:val="00A12824"/>
    <w:rsid w:val="00A134F0"/>
    <w:rsid w:val="00A13E66"/>
    <w:rsid w:val="00A14577"/>
    <w:rsid w:val="00A14D9B"/>
    <w:rsid w:val="00A14DDA"/>
    <w:rsid w:val="00A155B2"/>
    <w:rsid w:val="00A167FB"/>
    <w:rsid w:val="00A20E68"/>
    <w:rsid w:val="00A212D9"/>
    <w:rsid w:val="00A21A06"/>
    <w:rsid w:val="00A21BAC"/>
    <w:rsid w:val="00A22228"/>
    <w:rsid w:val="00A2339A"/>
    <w:rsid w:val="00A23BA5"/>
    <w:rsid w:val="00A24EE0"/>
    <w:rsid w:val="00A2526D"/>
    <w:rsid w:val="00A25305"/>
    <w:rsid w:val="00A25A12"/>
    <w:rsid w:val="00A26337"/>
    <w:rsid w:val="00A26E8F"/>
    <w:rsid w:val="00A26F75"/>
    <w:rsid w:val="00A27886"/>
    <w:rsid w:val="00A307AE"/>
    <w:rsid w:val="00A31C9B"/>
    <w:rsid w:val="00A322EF"/>
    <w:rsid w:val="00A324D6"/>
    <w:rsid w:val="00A32846"/>
    <w:rsid w:val="00A32F5C"/>
    <w:rsid w:val="00A3301C"/>
    <w:rsid w:val="00A330DF"/>
    <w:rsid w:val="00A332B5"/>
    <w:rsid w:val="00A335C8"/>
    <w:rsid w:val="00A3460C"/>
    <w:rsid w:val="00A34CCD"/>
    <w:rsid w:val="00A34E90"/>
    <w:rsid w:val="00A370DC"/>
    <w:rsid w:val="00A376C8"/>
    <w:rsid w:val="00A378F3"/>
    <w:rsid w:val="00A40A0C"/>
    <w:rsid w:val="00A418C4"/>
    <w:rsid w:val="00A419A9"/>
    <w:rsid w:val="00A4236B"/>
    <w:rsid w:val="00A427D5"/>
    <w:rsid w:val="00A4354A"/>
    <w:rsid w:val="00A43770"/>
    <w:rsid w:val="00A43929"/>
    <w:rsid w:val="00A43B1A"/>
    <w:rsid w:val="00A447E5"/>
    <w:rsid w:val="00A44FDB"/>
    <w:rsid w:val="00A45F96"/>
    <w:rsid w:val="00A463FE"/>
    <w:rsid w:val="00A471C1"/>
    <w:rsid w:val="00A475F1"/>
    <w:rsid w:val="00A47AAA"/>
    <w:rsid w:val="00A51228"/>
    <w:rsid w:val="00A5130D"/>
    <w:rsid w:val="00A51AA8"/>
    <w:rsid w:val="00A51D6A"/>
    <w:rsid w:val="00A52478"/>
    <w:rsid w:val="00A53A8E"/>
    <w:rsid w:val="00A53C68"/>
    <w:rsid w:val="00A545F1"/>
    <w:rsid w:val="00A55473"/>
    <w:rsid w:val="00A55511"/>
    <w:rsid w:val="00A55FCB"/>
    <w:rsid w:val="00A56F21"/>
    <w:rsid w:val="00A57D4A"/>
    <w:rsid w:val="00A607D0"/>
    <w:rsid w:val="00A60EDC"/>
    <w:rsid w:val="00A61F8B"/>
    <w:rsid w:val="00A621AE"/>
    <w:rsid w:val="00A62796"/>
    <w:rsid w:val="00A62C8B"/>
    <w:rsid w:val="00A62CF0"/>
    <w:rsid w:val="00A62E0E"/>
    <w:rsid w:val="00A63302"/>
    <w:rsid w:val="00A64F69"/>
    <w:rsid w:val="00A65106"/>
    <w:rsid w:val="00A65A8F"/>
    <w:rsid w:val="00A65D57"/>
    <w:rsid w:val="00A65FE0"/>
    <w:rsid w:val="00A66276"/>
    <w:rsid w:val="00A6673F"/>
    <w:rsid w:val="00A66A0E"/>
    <w:rsid w:val="00A66DF0"/>
    <w:rsid w:val="00A67198"/>
    <w:rsid w:val="00A70862"/>
    <w:rsid w:val="00A709F4"/>
    <w:rsid w:val="00A70D5A"/>
    <w:rsid w:val="00A71292"/>
    <w:rsid w:val="00A71A6C"/>
    <w:rsid w:val="00A71AE5"/>
    <w:rsid w:val="00A72ACD"/>
    <w:rsid w:val="00A72C3A"/>
    <w:rsid w:val="00A72FB9"/>
    <w:rsid w:val="00A734C2"/>
    <w:rsid w:val="00A73E66"/>
    <w:rsid w:val="00A741DC"/>
    <w:rsid w:val="00A74D00"/>
    <w:rsid w:val="00A76F43"/>
    <w:rsid w:val="00A80907"/>
    <w:rsid w:val="00A81210"/>
    <w:rsid w:val="00A81B04"/>
    <w:rsid w:val="00A81DCE"/>
    <w:rsid w:val="00A8279C"/>
    <w:rsid w:val="00A82ACC"/>
    <w:rsid w:val="00A835F0"/>
    <w:rsid w:val="00A83961"/>
    <w:rsid w:val="00A83C5C"/>
    <w:rsid w:val="00A8523B"/>
    <w:rsid w:val="00A8637D"/>
    <w:rsid w:val="00A86D2B"/>
    <w:rsid w:val="00A879E4"/>
    <w:rsid w:val="00A87BCF"/>
    <w:rsid w:val="00A87D64"/>
    <w:rsid w:val="00A90730"/>
    <w:rsid w:val="00A91788"/>
    <w:rsid w:val="00A91F2C"/>
    <w:rsid w:val="00A92905"/>
    <w:rsid w:val="00A92F16"/>
    <w:rsid w:val="00A93088"/>
    <w:rsid w:val="00A9318A"/>
    <w:rsid w:val="00A93578"/>
    <w:rsid w:val="00A94127"/>
    <w:rsid w:val="00A94393"/>
    <w:rsid w:val="00A94B5D"/>
    <w:rsid w:val="00A95E83"/>
    <w:rsid w:val="00A961F2"/>
    <w:rsid w:val="00A9736E"/>
    <w:rsid w:val="00A977D2"/>
    <w:rsid w:val="00AA037D"/>
    <w:rsid w:val="00AA0A25"/>
    <w:rsid w:val="00AA1414"/>
    <w:rsid w:val="00AA1729"/>
    <w:rsid w:val="00AA26F3"/>
    <w:rsid w:val="00AA33FF"/>
    <w:rsid w:val="00AA37BD"/>
    <w:rsid w:val="00AA3A50"/>
    <w:rsid w:val="00AA53F1"/>
    <w:rsid w:val="00AA550B"/>
    <w:rsid w:val="00AA556D"/>
    <w:rsid w:val="00AA5765"/>
    <w:rsid w:val="00AA5DCF"/>
    <w:rsid w:val="00AA5E29"/>
    <w:rsid w:val="00AA60C1"/>
    <w:rsid w:val="00AA749B"/>
    <w:rsid w:val="00AA7833"/>
    <w:rsid w:val="00AB001A"/>
    <w:rsid w:val="00AB021E"/>
    <w:rsid w:val="00AB0C6D"/>
    <w:rsid w:val="00AB0CC8"/>
    <w:rsid w:val="00AB13B8"/>
    <w:rsid w:val="00AB1A0A"/>
    <w:rsid w:val="00AB1FF0"/>
    <w:rsid w:val="00AB25FE"/>
    <w:rsid w:val="00AB2B4A"/>
    <w:rsid w:val="00AB2B4D"/>
    <w:rsid w:val="00AB2E4E"/>
    <w:rsid w:val="00AB2FA8"/>
    <w:rsid w:val="00AB33DD"/>
    <w:rsid w:val="00AB3A26"/>
    <w:rsid w:val="00AB3A65"/>
    <w:rsid w:val="00AB407A"/>
    <w:rsid w:val="00AB47D5"/>
    <w:rsid w:val="00AB47DB"/>
    <w:rsid w:val="00AB49AD"/>
    <w:rsid w:val="00AB4E25"/>
    <w:rsid w:val="00AB6040"/>
    <w:rsid w:val="00AB6417"/>
    <w:rsid w:val="00AB6493"/>
    <w:rsid w:val="00AB6EC4"/>
    <w:rsid w:val="00AB6F2E"/>
    <w:rsid w:val="00AB6F67"/>
    <w:rsid w:val="00AB7C65"/>
    <w:rsid w:val="00AC06CA"/>
    <w:rsid w:val="00AC23E1"/>
    <w:rsid w:val="00AC2503"/>
    <w:rsid w:val="00AC27A7"/>
    <w:rsid w:val="00AC2B36"/>
    <w:rsid w:val="00AC3FF0"/>
    <w:rsid w:val="00AC480E"/>
    <w:rsid w:val="00AC6A5F"/>
    <w:rsid w:val="00AD0256"/>
    <w:rsid w:val="00AD104F"/>
    <w:rsid w:val="00AD299D"/>
    <w:rsid w:val="00AD34E7"/>
    <w:rsid w:val="00AD367F"/>
    <w:rsid w:val="00AD3B72"/>
    <w:rsid w:val="00AD4150"/>
    <w:rsid w:val="00AD5CCB"/>
    <w:rsid w:val="00AD644C"/>
    <w:rsid w:val="00AD6B03"/>
    <w:rsid w:val="00AD75A8"/>
    <w:rsid w:val="00AD7ED1"/>
    <w:rsid w:val="00AE00B7"/>
    <w:rsid w:val="00AE0C34"/>
    <w:rsid w:val="00AE165D"/>
    <w:rsid w:val="00AE1C2B"/>
    <w:rsid w:val="00AE1D4C"/>
    <w:rsid w:val="00AE257B"/>
    <w:rsid w:val="00AE2DF5"/>
    <w:rsid w:val="00AE321B"/>
    <w:rsid w:val="00AE34B5"/>
    <w:rsid w:val="00AE37B5"/>
    <w:rsid w:val="00AE3F40"/>
    <w:rsid w:val="00AE4491"/>
    <w:rsid w:val="00AE48FF"/>
    <w:rsid w:val="00AE4AE8"/>
    <w:rsid w:val="00AE593A"/>
    <w:rsid w:val="00AE5CDB"/>
    <w:rsid w:val="00AE6F8D"/>
    <w:rsid w:val="00AE73E5"/>
    <w:rsid w:val="00AF0302"/>
    <w:rsid w:val="00AF05BC"/>
    <w:rsid w:val="00AF0690"/>
    <w:rsid w:val="00AF13D8"/>
    <w:rsid w:val="00AF1E70"/>
    <w:rsid w:val="00AF1F6F"/>
    <w:rsid w:val="00AF241B"/>
    <w:rsid w:val="00AF35F4"/>
    <w:rsid w:val="00AF37E3"/>
    <w:rsid w:val="00AF3B5C"/>
    <w:rsid w:val="00AF4B25"/>
    <w:rsid w:val="00AF4D75"/>
    <w:rsid w:val="00AF515F"/>
    <w:rsid w:val="00AF6087"/>
    <w:rsid w:val="00AF6431"/>
    <w:rsid w:val="00B005D1"/>
    <w:rsid w:val="00B00972"/>
    <w:rsid w:val="00B010DC"/>
    <w:rsid w:val="00B02664"/>
    <w:rsid w:val="00B028E7"/>
    <w:rsid w:val="00B02BB4"/>
    <w:rsid w:val="00B04492"/>
    <w:rsid w:val="00B05406"/>
    <w:rsid w:val="00B06DD9"/>
    <w:rsid w:val="00B07A7E"/>
    <w:rsid w:val="00B07D05"/>
    <w:rsid w:val="00B1012C"/>
    <w:rsid w:val="00B1035A"/>
    <w:rsid w:val="00B130EB"/>
    <w:rsid w:val="00B13D55"/>
    <w:rsid w:val="00B1562F"/>
    <w:rsid w:val="00B15AFB"/>
    <w:rsid w:val="00B15F34"/>
    <w:rsid w:val="00B162EF"/>
    <w:rsid w:val="00B17822"/>
    <w:rsid w:val="00B20AEF"/>
    <w:rsid w:val="00B21660"/>
    <w:rsid w:val="00B21F0D"/>
    <w:rsid w:val="00B2287C"/>
    <w:rsid w:val="00B234A8"/>
    <w:rsid w:val="00B24124"/>
    <w:rsid w:val="00B2418F"/>
    <w:rsid w:val="00B24B6C"/>
    <w:rsid w:val="00B25152"/>
    <w:rsid w:val="00B25D7F"/>
    <w:rsid w:val="00B25DA1"/>
    <w:rsid w:val="00B26136"/>
    <w:rsid w:val="00B262D3"/>
    <w:rsid w:val="00B26EDC"/>
    <w:rsid w:val="00B272FA"/>
    <w:rsid w:val="00B27353"/>
    <w:rsid w:val="00B314B1"/>
    <w:rsid w:val="00B31AEC"/>
    <w:rsid w:val="00B31E9D"/>
    <w:rsid w:val="00B33937"/>
    <w:rsid w:val="00B341A5"/>
    <w:rsid w:val="00B34706"/>
    <w:rsid w:val="00B35873"/>
    <w:rsid w:val="00B363E3"/>
    <w:rsid w:val="00B370B3"/>
    <w:rsid w:val="00B37156"/>
    <w:rsid w:val="00B37873"/>
    <w:rsid w:val="00B40EC6"/>
    <w:rsid w:val="00B40F15"/>
    <w:rsid w:val="00B41278"/>
    <w:rsid w:val="00B417A5"/>
    <w:rsid w:val="00B43735"/>
    <w:rsid w:val="00B44189"/>
    <w:rsid w:val="00B4492E"/>
    <w:rsid w:val="00B44DF5"/>
    <w:rsid w:val="00B44EA1"/>
    <w:rsid w:val="00B45963"/>
    <w:rsid w:val="00B4618E"/>
    <w:rsid w:val="00B46274"/>
    <w:rsid w:val="00B467AD"/>
    <w:rsid w:val="00B46EAC"/>
    <w:rsid w:val="00B47CED"/>
    <w:rsid w:val="00B50CC1"/>
    <w:rsid w:val="00B51DE9"/>
    <w:rsid w:val="00B521BE"/>
    <w:rsid w:val="00B52404"/>
    <w:rsid w:val="00B5316B"/>
    <w:rsid w:val="00B53D28"/>
    <w:rsid w:val="00B54524"/>
    <w:rsid w:val="00B5461D"/>
    <w:rsid w:val="00B54923"/>
    <w:rsid w:val="00B5566A"/>
    <w:rsid w:val="00B55C17"/>
    <w:rsid w:val="00B564AC"/>
    <w:rsid w:val="00B568CA"/>
    <w:rsid w:val="00B57ED0"/>
    <w:rsid w:val="00B604AE"/>
    <w:rsid w:val="00B60A7B"/>
    <w:rsid w:val="00B615D8"/>
    <w:rsid w:val="00B618AC"/>
    <w:rsid w:val="00B621AB"/>
    <w:rsid w:val="00B62302"/>
    <w:rsid w:val="00B6232D"/>
    <w:rsid w:val="00B6297E"/>
    <w:rsid w:val="00B62AEE"/>
    <w:rsid w:val="00B63670"/>
    <w:rsid w:val="00B639FA"/>
    <w:rsid w:val="00B63CD2"/>
    <w:rsid w:val="00B64CB4"/>
    <w:rsid w:val="00B6546F"/>
    <w:rsid w:val="00B6561C"/>
    <w:rsid w:val="00B65A56"/>
    <w:rsid w:val="00B66646"/>
    <w:rsid w:val="00B6690F"/>
    <w:rsid w:val="00B6796E"/>
    <w:rsid w:val="00B67B40"/>
    <w:rsid w:val="00B67BCA"/>
    <w:rsid w:val="00B72747"/>
    <w:rsid w:val="00B72FA8"/>
    <w:rsid w:val="00B73870"/>
    <w:rsid w:val="00B7536B"/>
    <w:rsid w:val="00B75487"/>
    <w:rsid w:val="00B763A1"/>
    <w:rsid w:val="00B769D5"/>
    <w:rsid w:val="00B77EB3"/>
    <w:rsid w:val="00B80738"/>
    <w:rsid w:val="00B80968"/>
    <w:rsid w:val="00B8162D"/>
    <w:rsid w:val="00B81EFA"/>
    <w:rsid w:val="00B8253A"/>
    <w:rsid w:val="00B8263C"/>
    <w:rsid w:val="00B826EB"/>
    <w:rsid w:val="00B84751"/>
    <w:rsid w:val="00B8494A"/>
    <w:rsid w:val="00B84EA4"/>
    <w:rsid w:val="00B8506D"/>
    <w:rsid w:val="00B865C0"/>
    <w:rsid w:val="00B870C1"/>
    <w:rsid w:val="00B8721A"/>
    <w:rsid w:val="00B874E7"/>
    <w:rsid w:val="00B87D39"/>
    <w:rsid w:val="00B9069B"/>
    <w:rsid w:val="00B910B3"/>
    <w:rsid w:val="00B91706"/>
    <w:rsid w:val="00B91D9C"/>
    <w:rsid w:val="00B93A30"/>
    <w:rsid w:val="00B93FB1"/>
    <w:rsid w:val="00B94AB3"/>
    <w:rsid w:val="00B9590B"/>
    <w:rsid w:val="00B95A97"/>
    <w:rsid w:val="00B95E9C"/>
    <w:rsid w:val="00B97EDB"/>
    <w:rsid w:val="00BA1091"/>
    <w:rsid w:val="00BA1C09"/>
    <w:rsid w:val="00BA2005"/>
    <w:rsid w:val="00BA28A7"/>
    <w:rsid w:val="00BA2BC5"/>
    <w:rsid w:val="00BA3266"/>
    <w:rsid w:val="00BA43ED"/>
    <w:rsid w:val="00BA55EA"/>
    <w:rsid w:val="00BA5D4B"/>
    <w:rsid w:val="00BA60DC"/>
    <w:rsid w:val="00BA6B34"/>
    <w:rsid w:val="00BA7DDA"/>
    <w:rsid w:val="00BA7F1E"/>
    <w:rsid w:val="00BB04EE"/>
    <w:rsid w:val="00BB07A3"/>
    <w:rsid w:val="00BB0E78"/>
    <w:rsid w:val="00BB16F4"/>
    <w:rsid w:val="00BB2D02"/>
    <w:rsid w:val="00BB30D8"/>
    <w:rsid w:val="00BB403C"/>
    <w:rsid w:val="00BB4E1C"/>
    <w:rsid w:val="00BB6EF9"/>
    <w:rsid w:val="00BC0B81"/>
    <w:rsid w:val="00BC0DB3"/>
    <w:rsid w:val="00BC1345"/>
    <w:rsid w:val="00BC14B0"/>
    <w:rsid w:val="00BC18BD"/>
    <w:rsid w:val="00BC1FCD"/>
    <w:rsid w:val="00BC1FD7"/>
    <w:rsid w:val="00BC2324"/>
    <w:rsid w:val="00BC30AC"/>
    <w:rsid w:val="00BC36E9"/>
    <w:rsid w:val="00BC3715"/>
    <w:rsid w:val="00BC5266"/>
    <w:rsid w:val="00BC5BFA"/>
    <w:rsid w:val="00BC67BD"/>
    <w:rsid w:val="00BC6EAF"/>
    <w:rsid w:val="00BC752C"/>
    <w:rsid w:val="00BD0707"/>
    <w:rsid w:val="00BD09B6"/>
    <w:rsid w:val="00BD1F5E"/>
    <w:rsid w:val="00BD2187"/>
    <w:rsid w:val="00BD27A7"/>
    <w:rsid w:val="00BD2C23"/>
    <w:rsid w:val="00BD2EC5"/>
    <w:rsid w:val="00BD32EC"/>
    <w:rsid w:val="00BD33A5"/>
    <w:rsid w:val="00BD34F7"/>
    <w:rsid w:val="00BD3734"/>
    <w:rsid w:val="00BD376E"/>
    <w:rsid w:val="00BD5308"/>
    <w:rsid w:val="00BD585E"/>
    <w:rsid w:val="00BD6234"/>
    <w:rsid w:val="00BD6FF8"/>
    <w:rsid w:val="00BD7843"/>
    <w:rsid w:val="00BE2B93"/>
    <w:rsid w:val="00BE2C29"/>
    <w:rsid w:val="00BE3107"/>
    <w:rsid w:val="00BE34E1"/>
    <w:rsid w:val="00BE36C1"/>
    <w:rsid w:val="00BE4716"/>
    <w:rsid w:val="00BE4897"/>
    <w:rsid w:val="00BE51D8"/>
    <w:rsid w:val="00BE5600"/>
    <w:rsid w:val="00BE5F12"/>
    <w:rsid w:val="00BE5F7A"/>
    <w:rsid w:val="00BE6DC3"/>
    <w:rsid w:val="00BE73AC"/>
    <w:rsid w:val="00BE7CE3"/>
    <w:rsid w:val="00BF1280"/>
    <w:rsid w:val="00BF31F8"/>
    <w:rsid w:val="00BF33BE"/>
    <w:rsid w:val="00BF38D6"/>
    <w:rsid w:val="00BF3C1E"/>
    <w:rsid w:val="00BF3E2A"/>
    <w:rsid w:val="00BF469B"/>
    <w:rsid w:val="00BF4B56"/>
    <w:rsid w:val="00BF5967"/>
    <w:rsid w:val="00BF5E3C"/>
    <w:rsid w:val="00BF5F6D"/>
    <w:rsid w:val="00BF6395"/>
    <w:rsid w:val="00BF664F"/>
    <w:rsid w:val="00BF6B85"/>
    <w:rsid w:val="00BF7610"/>
    <w:rsid w:val="00C011E5"/>
    <w:rsid w:val="00C01893"/>
    <w:rsid w:val="00C025CF"/>
    <w:rsid w:val="00C02A11"/>
    <w:rsid w:val="00C03838"/>
    <w:rsid w:val="00C03956"/>
    <w:rsid w:val="00C04034"/>
    <w:rsid w:val="00C045C3"/>
    <w:rsid w:val="00C046EE"/>
    <w:rsid w:val="00C0530B"/>
    <w:rsid w:val="00C059A7"/>
    <w:rsid w:val="00C05B35"/>
    <w:rsid w:val="00C05EE5"/>
    <w:rsid w:val="00C068AF"/>
    <w:rsid w:val="00C06AE5"/>
    <w:rsid w:val="00C06C18"/>
    <w:rsid w:val="00C10813"/>
    <w:rsid w:val="00C10869"/>
    <w:rsid w:val="00C10C4D"/>
    <w:rsid w:val="00C10F09"/>
    <w:rsid w:val="00C12300"/>
    <w:rsid w:val="00C1370F"/>
    <w:rsid w:val="00C13F06"/>
    <w:rsid w:val="00C13FAC"/>
    <w:rsid w:val="00C15932"/>
    <w:rsid w:val="00C16A38"/>
    <w:rsid w:val="00C16C53"/>
    <w:rsid w:val="00C17835"/>
    <w:rsid w:val="00C20921"/>
    <w:rsid w:val="00C2092F"/>
    <w:rsid w:val="00C2111B"/>
    <w:rsid w:val="00C21155"/>
    <w:rsid w:val="00C219A6"/>
    <w:rsid w:val="00C22CAC"/>
    <w:rsid w:val="00C23340"/>
    <w:rsid w:val="00C2344D"/>
    <w:rsid w:val="00C24086"/>
    <w:rsid w:val="00C248BB"/>
    <w:rsid w:val="00C259E3"/>
    <w:rsid w:val="00C26FD6"/>
    <w:rsid w:val="00C30D6C"/>
    <w:rsid w:val="00C30EC2"/>
    <w:rsid w:val="00C30F71"/>
    <w:rsid w:val="00C311EE"/>
    <w:rsid w:val="00C31B88"/>
    <w:rsid w:val="00C32374"/>
    <w:rsid w:val="00C33BD5"/>
    <w:rsid w:val="00C33CAD"/>
    <w:rsid w:val="00C34069"/>
    <w:rsid w:val="00C3502E"/>
    <w:rsid w:val="00C3503F"/>
    <w:rsid w:val="00C35304"/>
    <w:rsid w:val="00C35C1F"/>
    <w:rsid w:val="00C35E2B"/>
    <w:rsid w:val="00C35E32"/>
    <w:rsid w:val="00C40344"/>
    <w:rsid w:val="00C403FE"/>
    <w:rsid w:val="00C4048E"/>
    <w:rsid w:val="00C4121F"/>
    <w:rsid w:val="00C41547"/>
    <w:rsid w:val="00C415C5"/>
    <w:rsid w:val="00C41F3F"/>
    <w:rsid w:val="00C436F3"/>
    <w:rsid w:val="00C43896"/>
    <w:rsid w:val="00C439BA"/>
    <w:rsid w:val="00C43CEA"/>
    <w:rsid w:val="00C4461E"/>
    <w:rsid w:val="00C44B4C"/>
    <w:rsid w:val="00C44DF2"/>
    <w:rsid w:val="00C44E4C"/>
    <w:rsid w:val="00C45EAC"/>
    <w:rsid w:val="00C46540"/>
    <w:rsid w:val="00C46CBE"/>
    <w:rsid w:val="00C50448"/>
    <w:rsid w:val="00C5060F"/>
    <w:rsid w:val="00C506EA"/>
    <w:rsid w:val="00C50A06"/>
    <w:rsid w:val="00C512E0"/>
    <w:rsid w:val="00C51825"/>
    <w:rsid w:val="00C52073"/>
    <w:rsid w:val="00C52331"/>
    <w:rsid w:val="00C549F5"/>
    <w:rsid w:val="00C5600C"/>
    <w:rsid w:val="00C609E9"/>
    <w:rsid w:val="00C61B0B"/>
    <w:rsid w:val="00C61BFC"/>
    <w:rsid w:val="00C61C8A"/>
    <w:rsid w:val="00C61F68"/>
    <w:rsid w:val="00C62314"/>
    <w:rsid w:val="00C6305A"/>
    <w:rsid w:val="00C633D2"/>
    <w:rsid w:val="00C63AE6"/>
    <w:rsid w:val="00C63E01"/>
    <w:rsid w:val="00C6400D"/>
    <w:rsid w:val="00C64F9A"/>
    <w:rsid w:val="00C6521E"/>
    <w:rsid w:val="00C6629A"/>
    <w:rsid w:val="00C67388"/>
    <w:rsid w:val="00C700EA"/>
    <w:rsid w:val="00C70C05"/>
    <w:rsid w:val="00C72FA6"/>
    <w:rsid w:val="00C72FEE"/>
    <w:rsid w:val="00C74178"/>
    <w:rsid w:val="00C75C76"/>
    <w:rsid w:val="00C7796C"/>
    <w:rsid w:val="00C81540"/>
    <w:rsid w:val="00C81870"/>
    <w:rsid w:val="00C81BA6"/>
    <w:rsid w:val="00C81C5A"/>
    <w:rsid w:val="00C820D0"/>
    <w:rsid w:val="00C82861"/>
    <w:rsid w:val="00C82998"/>
    <w:rsid w:val="00C853A0"/>
    <w:rsid w:val="00C86861"/>
    <w:rsid w:val="00C86C66"/>
    <w:rsid w:val="00C86EB7"/>
    <w:rsid w:val="00C876F1"/>
    <w:rsid w:val="00C9020B"/>
    <w:rsid w:val="00C90238"/>
    <w:rsid w:val="00C91008"/>
    <w:rsid w:val="00C91605"/>
    <w:rsid w:val="00C9227F"/>
    <w:rsid w:val="00C92A4B"/>
    <w:rsid w:val="00C9346F"/>
    <w:rsid w:val="00C93652"/>
    <w:rsid w:val="00C9441A"/>
    <w:rsid w:val="00C94455"/>
    <w:rsid w:val="00C9460E"/>
    <w:rsid w:val="00C9497A"/>
    <w:rsid w:val="00C94C33"/>
    <w:rsid w:val="00C957C9"/>
    <w:rsid w:val="00C95E67"/>
    <w:rsid w:val="00C9630F"/>
    <w:rsid w:val="00C963C8"/>
    <w:rsid w:val="00C96888"/>
    <w:rsid w:val="00C96FE6"/>
    <w:rsid w:val="00CA03B8"/>
    <w:rsid w:val="00CA0828"/>
    <w:rsid w:val="00CA102E"/>
    <w:rsid w:val="00CA147D"/>
    <w:rsid w:val="00CA295D"/>
    <w:rsid w:val="00CA40B0"/>
    <w:rsid w:val="00CA41B7"/>
    <w:rsid w:val="00CA47A8"/>
    <w:rsid w:val="00CA4EA9"/>
    <w:rsid w:val="00CA5B79"/>
    <w:rsid w:val="00CA6789"/>
    <w:rsid w:val="00CA6D37"/>
    <w:rsid w:val="00CB0EB4"/>
    <w:rsid w:val="00CB1269"/>
    <w:rsid w:val="00CB271C"/>
    <w:rsid w:val="00CB2D6D"/>
    <w:rsid w:val="00CB3596"/>
    <w:rsid w:val="00CB3FF6"/>
    <w:rsid w:val="00CB40FF"/>
    <w:rsid w:val="00CB45A1"/>
    <w:rsid w:val="00CB4639"/>
    <w:rsid w:val="00CB472B"/>
    <w:rsid w:val="00CB4D72"/>
    <w:rsid w:val="00CB4FA8"/>
    <w:rsid w:val="00CB618F"/>
    <w:rsid w:val="00CB62C7"/>
    <w:rsid w:val="00CB6F95"/>
    <w:rsid w:val="00CB7034"/>
    <w:rsid w:val="00CB7F94"/>
    <w:rsid w:val="00CC14CA"/>
    <w:rsid w:val="00CC1892"/>
    <w:rsid w:val="00CC19B1"/>
    <w:rsid w:val="00CC24E2"/>
    <w:rsid w:val="00CC254B"/>
    <w:rsid w:val="00CC284A"/>
    <w:rsid w:val="00CC28B5"/>
    <w:rsid w:val="00CC2B6F"/>
    <w:rsid w:val="00CC2DDD"/>
    <w:rsid w:val="00CC41B9"/>
    <w:rsid w:val="00CC6BF9"/>
    <w:rsid w:val="00CD05B6"/>
    <w:rsid w:val="00CD05E6"/>
    <w:rsid w:val="00CD1289"/>
    <w:rsid w:val="00CD1563"/>
    <w:rsid w:val="00CD215C"/>
    <w:rsid w:val="00CD24DF"/>
    <w:rsid w:val="00CD2645"/>
    <w:rsid w:val="00CD2B45"/>
    <w:rsid w:val="00CD30CA"/>
    <w:rsid w:val="00CD386C"/>
    <w:rsid w:val="00CD413C"/>
    <w:rsid w:val="00CD42E4"/>
    <w:rsid w:val="00CD4451"/>
    <w:rsid w:val="00CD4898"/>
    <w:rsid w:val="00CD4B03"/>
    <w:rsid w:val="00CD5165"/>
    <w:rsid w:val="00CD51FD"/>
    <w:rsid w:val="00CD5423"/>
    <w:rsid w:val="00CD6589"/>
    <w:rsid w:val="00CD66BE"/>
    <w:rsid w:val="00CD766D"/>
    <w:rsid w:val="00CD7B84"/>
    <w:rsid w:val="00CD7D8D"/>
    <w:rsid w:val="00CD7D9D"/>
    <w:rsid w:val="00CE0DD5"/>
    <w:rsid w:val="00CE1F78"/>
    <w:rsid w:val="00CE21FB"/>
    <w:rsid w:val="00CE2DB9"/>
    <w:rsid w:val="00CE3AB1"/>
    <w:rsid w:val="00CE42C3"/>
    <w:rsid w:val="00CE4C45"/>
    <w:rsid w:val="00CE4D0F"/>
    <w:rsid w:val="00CE4F5B"/>
    <w:rsid w:val="00CE531E"/>
    <w:rsid w:val="00CE5B2C"/>
    <w:rsid w:val="00CE7053"/>
    <w:rsid w:val="00CE70F4"/>
    <w:rsid w:val="00CF2D2E"/>
    <w:rsid w:val="00CF31B4"/>
    <w:rsid w:val="00CF358E"/>
    <w:rsid w:val="00CF3694"/>
    <w:rsid w:val="00CF4BFB"/>
    <w:rsid w:val="00CF64DE"/>
    <w:rsid w:val="00CF743E"/>
    <w:rsid w:val="00CF7645"/>
    <w:rsid w:val="00D003A7"/>
    <w:rsid w:val="00D01BBC"/>
    <w:rsid w:val="00D038B4"/>
    <w:rsid w:val="00D04A3B"/>
    <w:rsid w:val="00D0591C"/>
    <w:rsid w:val="00D059C4"/>
    <w:rsid w:val="00D06799"/>
    <w:rsid w:val="00D067F1"/>
    <w:rsid w:val="00D06CD4"/>
    <w:rsid w:val="00D0780E"/>
    <w:rsid w:val="00D07B7F"/>
    <w:rsid w:val="00D10662"/>
    <w:rsid w:val="00D12A78"/>
    <w:rsid w:val="00D13691"/>
    <w:rsid w:val="00D139A4"/>
    <w:rsid w:val="00D1418F"/>
    <w:rsid w:val="00D149EA"/>
    <w:rsid w:val="00D157F0"/>
    <w:rsid w:val="00D17447"/>
    <w:rsid w:val="00D17851"/>
    <w:rsid w:val="00D17B33"/>
    <w:rsid w:val="00D17BCF"/>
    <w:rsid w:val="00D2106F"/>
    <w:rsid w:val="00D21299"/>
    <w:rsid w:val="00D217C1"/>
    <w:rsid w:val="00D2319B"/>
    <w:rsid w:val="00D23FFD"/>
    <w:rsid w:val="00D24D8D"/>
    <w:rsid w:val="00D26263"/>
    <w:rsid w:val="00D266AA"/>
    <w:rsid w:val="00D271DA"/>
    <w:rsid w:val="00D2753C"/>
    <w:rsid w:val="00D277EA"/>
    <w:rsid w:val="00D27E22"/>
    <w:rsid w:val="00D3144E"/>
    <w:rsid w:val="00D31737"/>
    <w:rsid w:val="00D317CE"/>
    <w:rsid w:val="00D31C5D"/>
    <w:rsid w:val="00D3260C"/>
    <w:rsid w:val="00D32B16"/>
    <w:rsid w:val="00D32E49"/>
    <w:rsid w:val="00D32EB9"/>
    <w:rsid w:val="00D32FD3"/>
    <w:rsid w:val="00D33A1A"/>
    <w:rsid w:val="00D35004"/>
    <w:rsid w:val="00D3573C"/>
    <w:rsid w:val="00D35C13"/>
    <w:rsid w:val="00D3655D"/>
    <w:rsid w:val="00D36772"/>
    <w:rsid w:val="00D3709F"/>
    <w:rsid w:val="00D375F3"/>
    <w:rsid w:val="00D37E53"/>
    <w:rsid w:val="00D37FDF"/>
    <w:rsid w:val="00D41D79"/>
    <w:rsid w:val="00D43A53"/>
    <w:rsid w:val="00D44201"/>
    <w:rsid w:val="00D449A0"/>
    <w:rsid w:val="00D45301"/>
    <w:rsid w:val="00D458C9"/>
    <w:rsid w:val="00D50010"/>
    <w:rsid w:val="00D50F1B"/>
    <w:rsid w:val="00D5121C"/>
    <w:rsid w:val="00D51B3F"/>
    <w:rsid w:val="00D53EB6"/>
    <w:rsid w:val="00D53F79"/>
    <w:rsid w:val="00D554F8"/>
    <w:rsid w:val="00D56306"/>
    <w:rsid w:val="00D5640D"/>
    <w:rsid w:val="00D57278"/>
    <w:rsid w:val="00D57352"/>
    <w:rsid w:val="00D57413"/>
    <w:rsid w:val="00D57687"/>
    <w:rsid w:val="00D60C56"/>
    <w:rsid w:val="00D610E0"/>
    <w:rsid w:val="00D62721"/>
    <w:rsid w:val="00D629FE"/>
    <w:rsid w:val="00D62DA0"/>
    <w:rsid w:val="00D633F0"/>
    <w:rsid w:val="00D63E4D"/>
    <w:rsid w:val="00D64930"/>
    <w:rsid w:val="00D6531C"/>
    <w:rsid w:val="00D66062"/>
    <w:rsid w:val="00D670CB"/>
    <w:rsid w:val="00D70016"/>
    <w:rsid w:val="00D70611"/>
    <w:rsid w:val="00D716E0"/>
    <w:rsid w:val="00D71B80"/>
    <w:rsid w:val="00D71EB8"/>
    <w:rsid w:val="00D7211C"/>
    <w:rsid w:val="00D729CA"/>
    <w:rsid w:val="00D72A74"/>
    <w:rsid w:val="00D73EED"/>
    <w:rsid w:val="00D743E1"/>
    <w:rsid w:val="00D7510F"/>
    <w:rsid w:val="00D75532"/>
    <w:rsid w:val="00D76291"/>
    <w:rsid w:val="00D7702B"/>
    <w:rsid w:val="00D80C4C"/>
    <w:rsid w:val="00D81CED"/>
    <w:rsid w:val="00D81E0B"/>
    <w:rsid w:val="00D821D8"/>
    <w:rsid w:val="00D82800"/>
    <w:rsid w:val="00D82C34"/>
    <w:rsid w:val="00D83C6D"/>
    <w:rsid w:val="00D83E69"/>
    <w:rsid w:val="00D852CF"/>
    <w:rsid w:val="00D856F4"/>
    <w:rsid w:val="00D856F8"/>
    <w:rsid w:val="00D86368"/>
    <w:rsid w:val="00D869C0"/>
    <w:rsid w:val="00D87744"/>
    <w:rsid w:val="00D9153C"/>
    <w:rsid w:val="00D91578"/>
    <w:rsid w:val="00D91C43"/>
    <w:rsid w:val="00D92E70"/>
    <w:rsid w:val="00D93A82"/>
    <w:rsid w:val="00D93A98"/>
    <w:rsid w:val="00D93FF7"/>
    <w:rsid w:val="00D941AB"/>
    <w:rsid w:val="00D95294"/>
    <w:rsid w:val="00D9537C"/>
    <w:rsid w:val="00D960DF"/>
    <w:rsid w:val="00D961EC"/>
    <w:rsid w:val="00D9775C"/>
    <w:rsid w:val="00D9789E"/>
    <w:rsid w:val="00D97BBB"/>
    <w:rsid w:val="00D97C20"/>
    <w:rsid w:val="00D97E6F"/>
    <w:rsid w:val="00DA00D5"/>
    <w:rsid w:val="00DA0622"/>
    <w:rsid w:val="00DA0667"/>
    <w:rsid w:val="00DA0EB1"/>
    <w:rsid w:val="00DA105E"/>
    <w:rsid w:val="00DA1465"/>
    <w:rsid w:val="00DA1609"/>
    <w:rsid w:val="00DA18E4"/>
    <w:rsid w:val="00DA21F5"/>
    <w:rsid w:val="00DA35B9"/>
    <w:rsid w:val="00DA478B"/>
    <w:rsid w:val="00DA4A04"/>
    <w:rsid w:val="00DB09F4"/>
    <w:rsid w:val="00DB0FFB"/>
    <w:rsid w:val="00DB1E63"/>
    <w:rsid w:val="00DB26F5"/>
    <w:rsid w:val="00DB2D22"/>
    <w:rsid w:val="00DB2EB6"/>
    <w:rsid w:val="00DB31B3"/>
    <w:rsid w:val="00DB347E"/>
    <w:rsid w:val="00DB58A0"/>
    <w:rsid w:val="00DB58CB"/>
    <w:rsid w:val="00DB5C10"/>
    <w:rsid w:val="00DB69B6"/>
    <w:rsid w:val="00DB6E3C"/>
    <w:rsid w:val="00DB7B65"/>
    <w:rsid w:val="00DC22DB"/>
    <w:rsid w:val="00DC5A62"/>
    <w:rsid w:val="00DC69E4"/>
    <w:rsid w:val="00DD19A5"/>
    <w:rsid w:val="00DD1F6D"/>
    <w:rsid w:val="00DD21C3"/>
    <w:rsid w:val="00DD232A"/>
    <w:rsid w:val="00DD38DD"/>
    <w:rsid w:val="00DD3D7D"/>
    <w:rsid w:val="00DD47FF"/>
    <w:rsid w:val="00DD517B"/>
    <w:rsid w:val="00DD5BEF"/>
    <w:rsid w:val="00DD5EBE"/>
    <w:rsid w:val="00DE0422"/>
    <w:rsid w:val="00DE0530"/>
    <w:rsid w:val="00DE05A3"/>
    <w:rsid w:val="00DE0DF8"/>
    <w:rsid w:val="00DE1DA6"/>
    <w:rsid w:val="00DE219D"/>
    <w:rsid w:val="00DE2F65"/>
    <w:rsid w:val="00DE343F"/>
    <w:rsid w:val="00DE3656"/>
    <w:rsid w:val="00DE43AF"/>
    <w:rsid w:val="00DE43F3"/>
    <w:rsid w:val="00DE4C9C"/>
    <w:rsid w:val="00DE5094"/>
    <w:rsid w:val="00DE65CC"/>
    <w:rsid w:val="00DE6752"/>
    <w:rsid w:val="00DE6A8C"/>
    <w:rsid w:val="00DE74B1"/>
    <w:rsid w:val="00DF0E0A"/>
    <w:rsid w:val="00DF0E13"/>
    <w:rsid w:val="00DF1864"/>
    <w:rsid w:val="00DF27CC"/>
    <w:rsid w:val="00DF4C16"/>
    <w:rsid w:val="00DF66B4"/>
    <w:rsid w:val="00DF7206"/>
    <w:rsid w:val="00E00475"/>
    <w:rsid w:val="00E01DFC"/>
    <w:rsid w:val="00E024B3"/>
    <w:rsid w:val="00E03CD3"/>
    <w:rsid w:val="00E04392"/>
    <w:rsid w:val="00E0443C"/>
    <w:rsid w:val="00E050BB"/>
    <w:rsid w:val="00E06582"/>
    <w:rsid w:val="00E076A9"/>
    <w:rsid w:val="00E078C0"/>
    <w:rsid w:val="00E12B74"/>
    <w:rsid w:val="00E13489"/>
    <w:rsid w:val="00E14E9B"/>
    <w:rsid w:val="00E15DFA"/>
    <w:rsid w:val="00E20280"/>
    <w:rsid w:val="00E210EB"/>
    <w:rsid w:val="00E221BF"/>
    <w:rsid w:val="00E22566"/>
    <w:rsid w:val="00E23148"/>
    <w:rsid w:val="00E23B04"/>
    <w:rsid w:val="00E25614"/>
    <w:rsid w:val="00E25685"/>
    <w:rsid w:val="00E301B1"/>
    <w:rsid w:val="00E30C6E"/>
    <w:rsid w:val="00E31412"/>
    <w:rsid w:val="00E31716"/>
    <w:rsid w:val="00E31A4F"/>
    <w:rsid w:val="00E3273D"/>
    <w:rsid w:val="00E32815"/>
    <w:rsid w:val="00E34807"/>
    <w:rsid w:val="00E356F8"/>
    <w:rsid w:val="00E35BD1"/>
    <w:rsid w:val="00E35C99"/>
    <w:rsid w:val="00E3733F"/>
    <w:rsid w:val="00E375C2"/>
    <w:rsid w:val="00E37E3F"/>
    <w:rsid w:val="00E4144F"/>
    <w:rsid w:val="00E42627"/>
    <w:rsid w:val="00E42740"/>
    <w:rsid w:val="00E43438"/>
    <w:rsid w:val="00E435D2"/>
    <w:rsid w:val="00E43921"/>
    <w:rsid w:val="00E43C57"/>
    <w:rsid w:val="00E44203"/>
    <w:rsid w:val="00E44990"/>
    <w:rsid w:val="00E44F19"/>
    <w:rsid w:val="00E4513F"/>
    <w:rsid w:val="00E460EC"/>
    <w:rsid w:val="00E460EF"/>
    <w:rsid w:val="00E46AC7"/>
    <w:rsid w:val="00E46C01"/>
    <w:rsid w:val="00E46CFA"/>
    <w:rsid w:val="00E47ED6"/>
    <w:rsid w:val="00E5088C"/>
    <w:rsid w:val="00E5121F"/>
    <w:rsid w:val="00E5156F"/>
    <w:rsid w:val="00E51F52"/>
    <w:rsid w:val="00E5279D"/>
    <w:rsid w:val="00E529E1"/>
    <w:rsid w:val="00E52AA6"/>
    <w:rsid w:val="00E53672"/>
    <w:rsid w:val="00E54AA4"/>
    <w:rsid w:val="00E54ED2"/>
    <w:rsid w:val="00E55A6B"/>
    <w:rsid w:val="00E56B85"/>
    <w:rsid w:val="00E60C18"/>
    <w:rsid w:val="00E6122D"/>
    <w:rsid w:val="00E618E0"/>
    <w:rsid w:val="00E62524"/>
    <w:rsid w:val="00E628D8"/>
    <w:rsid w:val="00E62C8D"/>
    <w:rsid w:val="00E635BE"/>
    <w:rsid w:val="00E6378F"/>
    <w:rsid w:val="00E64840"/>
    <w:rsid w:val="00E64996"/>
    <w:rsid w:val="00E64B4D"/>
    <w:rsid w:val="00E65868"/>
    <w:rsid w:val="00E66AC5"/>
    <w:rsid w:val="00E66CC6"/>
    <w:rsid w:val="00E67216"/>
    <w:rsid w:val="00E67469"/>
    <w:rsid w:val="00E7069D"/>
    <w:rsid w:val="00E70704"/>
    <w:rsid w:val="00E71C77"/>
    <w:rsid w:val="00E72D46"/>
    <w:rsid w:val="00E74590"/>
    <w:rsid w:val="00E74E07"/>
    <w:rsid w:val="00E75662"/>
    <w:rsid w:val="00E764E5"/>
    <w:rsid w:val="00E76B34"/>
    <w:rsid w:val="00E7720F"/>
    <w:rsid w:val="00E77B65"/>
    <w:rsid w:val="00E81D50"/>
    <w:rsid w:val="00E82921"/>
    <w:rsid w:val="00E82EB4"/>
    <w:rsid w:val="00E834CC"/>
    <w:rsid w:val="00E84742"/>
    <w:rsid w:val="00E8643F"/>
    <w:rsid w:val="00E866AC"/>
    <w:rsid w:val="00E86EC1"/>
    <w:rsid w:val="00E87224"/>
    <w:rsid w:val="00E875F2"/>
    <w:rsid w:val="00E9031E"/>
    <w:rsid w:val="00E90435"/>
    <w:rsid w:val="00E9051F"/>
    <w:rsid w:val="00E914BF"/>
    <w:rsid w:val="00E9287C"/>
    <w:rsid w:val="00E92B24"/>
    <w:rsid w:val="00E92BE7"/>
    <w:rsid w:val="00E9438F"/>
    <w:rsid w:val="00E94E29"/>
    <w:rsid w:val="00E9627D"/>
    <w:rsid w:val="00E96C3A"/>
    <w:rsid w:val="00E96F4B"/>
    <w:rsid w:val="00E977B6"/>
    <w:rsid w:val="00E97C0B"/>
    <w:rsid w:val="00E97E09"/>
    <w:rsid w:val="00EA0775"/>
    <w:rsid w:val="00EA1CA3"/>
    <w:rsid w:val="00EA1CF8"/>
    <w:rsid w:val="00EA243C"/>
    <w:rsid w:val="00EA2742"/>
    <w:rsid w:val="00EA29CF"/>
    <w:rsid w:val="00EA392F"/>
    <w:rsid w:val="00EA3C1F"/>
    <w:rsid w:val="00EA4097"/>
    <w:rsid w:val="00EA4A21"/>
    <w:rsid w:val="00EA6858"/>
    <w:rsid w:val="00EA6EE9"/>
    <w:rsid w:val="00EB23E6"/>
    <w:rsid w:val="00EB2784"/>
    <w:rsid w:val="00EB2E43"/>
    <w:rsid w:val="00EB359E"/>
    <w:rsid w:val="00EB79E0"/>
    <w:rsid w:val="00EC00A4"/>
    <w:rsid w:val="00EC159D"/>
    <w:rsid w:val="00EC2B8B"/>
    <w:rsid w:val="00EC3225"/>
    <w:rsid w:val="00EC33C3"/>
    <w:rsid w:val="00EC35AD"/>
    <w:rsid w:val="00EC48F5"/>
    <w:rsid w:val="00EC551F"/>
    <w:rsid w:val="00EC5EFB"/>
    <w:rsid w:val="00EC6A7A"/>
    <w:rsid w:val="00EC766B"/>
    <w:rsid w:val="00ED0537"/>
    <w:rsid w:val="00ED0960"/>
    <w:rsid w:val="00ED0C25"/>
    <w:rsid w:val="00ED13D8"/>
    <w:rsid w:val="00ED2697"/>
    <w:rsid w:val="00ED2FE7"/>
    <w:rsid w:val="00ED3B7D"/>
    <w:rsid w:val="00ED4623"/>
    <w:rsid w:val="00ED4DE1"/>
    <w:rsid w:val="00ED579A"/>
    <w:rsid w:val="00ED59ED"/>
    <w:rsid w:val="00ED6047"/>
    <w:rsid w:val="00ED6521"/>
    <w:rsid w:val="00ED6568"/>
    <w:rsid w:val="00ED65C3"/>
    <w:rsid w:val="00ED6CFE"/>
    <w:rsid w:val="00ED6F04"/>
    <w:rsid w:val="00ED760C"/>
    <w:rsid w:val="00ED7756"/>
    <w:rsid w:val="00ED7A52"/>
    <w:rsid w:val="00EE0584"/>
    <w:rsid w:val="00EE06C4"/>
    <w:rsid w:val="00EE075B"/>
    <w:rsid w:val="00EE08EA"/>
    <w:rsid w:val="00EE24C6"/>
    <w:rsid w:val="00EE25C9"/>
    <w:rsid w:val="00EE2B85"/>
    <w:rsid w:val="00EE31E5"/>
    <w:rsid w:val="00EE3534"/>
    <w:rsid w:val="00EE3A4A"/>
    <w:rsid w:val="00EE47E8"/>
    <w:rsid w:val="00EE49DA"/>
    <w:rsid w:val="00EE4AA4"/>
    <w:rsid w:val="00EE52A0"/>
    <w:rsid w:val="00EE568F"/>
    <w:rsid w:val="00EE67AA"/>
    <w:rsid w:val="00EE682F"/>
    <w:rsid w:val="00EE6B56"/>
    <w:rsid w:val="00EE6C60"/>
    <w:rsid w:val="00EE6EBD"/>
    <w:rsid w:val="00EE788D"/>
    <w:rsid w:val="00EE7911"/>
    <w:rsid w:val="00EF0CED"/>
    <w:rsid w:val="00EF22CC"/>
    <w:rsid w:val="00EF2B7D"/>
    <w:rsid w:val="00EF2CE5"/>
    <w:rsid w:val="00EF37E8"/>
    <w:rsid w:val="00EF3886"/>
    <w:rsid w:val="00EF391E"/>
    <w:rsid w:val="00EF55EA"/>
    <w:rsid w:val="00EF5AFA"/>
    <w:rsid w:val="00EF67BA"/>
    <w:rsid w:val="00EF6A8E"/>
    <w:rsid w:val="00EF6BFC"/>
    <w:rsid w:val="00EF7852"/>
    <w:rsid w:val="00F010BE"/>
    <w:rsid w:val="00F016F6"/>
    <w:rsid w:val="00F0285B"/>
    <w:rsid w:val="00F02B0A"/>
    <w:rsid w:val="00F02F5C"/>
    <w:rsid w:val="00F032FA"/>
    <w:rsid w:val="00F03E7B"/>
    <w:rsid w:val="00F04196"/>
    <w:rsid w:val="00F051E3"/>
    <w:rsid w:val="00F0527A"/>
    <w:rsid w:val="00F06567"/>
    <w:rsid w:val="00F068DE"/>
    <w:rsid w:val="00F06D07"/>
    <w:rsid w:val="00F070D9"/>
    <w:rsid w:val="00F111A0"/>
    <w:rsid w:val="00F1187D"/>
    <w:rsid w:val="00F11AF4"/>
    <w:rsid w:val="00F11B1B"/>
    <w:rsid w:val="00F121C4"/>
    <w:rsid w:val="00F1234F"/>
    <w:rsid w:val="00F1262F"/>
    <w:rsid w:val="00F12E11"/>
    <w:rsid w:val="00F14C9A"/>
    <w:rsid w:val="00F14E87"/>
    <w:rsid w:val="00F15134"/>
    <w:rsid w:val="00F151F0"/>
    <w:rsid w:val="00F17245"/>
    <w:rsid w:val="00F20AE0"/>
    <w:rsid w:val="00F21297"/>
    <w:rsid w:val="00F21D33"/>
    <w:rsid w:val="00F220C5"/>
    <w:rsid w:val="00F22886"/>
    <w:rsid w:val="00F22A55"/>
    <w:rsid w:val="00F23101"/>
    <w:rsid w:val="00F233E9"/>
    <w:rsid w:val="00F2408E"/>
    <w:rsid w:val="00F2546C"/>
    <w:rsid w:val="00F26226"/>
    <w:rsid w:val="00F26457"/>
    <w:rsid w:val="00F26537"/>
    <w:rsid w:val="00F26859"/>
    <w:rsid w:val="00F26EAC"/>
    <w:rsid w:val="00F27FB2"/>
    <w:rsid w:val="00F304B3"/>
    <w:rsid w:val="00F306CA"/>
    <w:rsid w:val="00F30799"/>
    <w:rsid w:val="00F30E42"/>
    <w:rsid w:val="00F314A8"/>
    <w:rsid w:val="00F31737"/>
    <w:rsid w:val="00F31D08"/>
    <w:rsid w:val="00F3228E"/>
    <w:rsid w:val="00F32897"/>
    <w:rsid w:val="00F32D25"/>
    <w:rsid w:val="00F33463"/>
    <w:rsid w:val="00F341A9"/>
    <w:rsid w:val="00F34EF4"/>
    <w:rsid w:val="00F35E90"/>
    <w:rsid w:val="00F36B44"/>
    <w:rsid w:val="00F400D2"/>
    <w:rsid w:val="00F40538"/>
    <w:rsid w:val="00F425EE"/>
    <w:rsid w:val="00F42F29"/>
    <w:rsid w:val="00F42FF5"/>
    <w:rsid w:val="00F43727"/>
    <w:rsid w:val="00F44071"/>
    <w:rsid w:val="00F44932"/>
    <w:rsid w:val="00F45389"/>
    <w:rsid w:val="00F45BA6"/>
    <w:rsid w:val="00F4630A"/>
    <w:rsid w:val="00F469FA"/>
    <w:rsid w:val="00F46CA7"/>
    <w:rsid w:val="00F47C2E"/>
    <w:rsid w:val="00F47D50"/>
    <w:rsid w:val="00F520E2"/>
    <w:rsid w:val="00F52165"/>
    <w:rsid w:val="00F52CC4"/>
    <w:rsid w:val="00F539EC"/>
    <w:rsid w:val="00F53B51"/>
    <w:rsid w:val="00F54212"/>
    <w:rsid w:val="00F54245"/>
    <w:rsid w:val="00F551DE"/>
    <w:rsid w:val="00F55796"/>
    <w:rsid w:val="00F5602D"/>
    <w:rsid w:val="00F562FE"/>
    <w:rsid w:val="00F56DB0"/>
    <w:rsid w:val="00F577BB"/>
    <w:rsid w:val="00F6015B"/>
    <w:rsid w:val="00F60282"/>
    <w:rsid w:val="00F60522"/>
    <w:rsid w:val="00F628F0"/>
    <w:rsid w:val="00F62D6E"/>
    <w:rsid w:val="00F632FD"/>
    <w:rsid w:val="00F64CE4"/>
    <w:rsid w:val="00F654FA"/>
    <w:rsid w:val="00F65574"/>
    <w:rsid w:val="00F66184"/>
    <w:rsid w:val="00F66E71"/>
    <w:rsid w:val="00F67305"/>
    <w:rsid w:val="00F67769"/>
    <w:rsid w:val="00F6779B"/>
    <w:rsid w:val="00F67AF9"/>
    <w:rsid w:val="00F7023B"/>
    <w:rsid w:val="00F709E8"/>
    <w:rsid w:val="00F70A5D"/>
    <w:rsid w:val="00F731B9"/>
    <w:rsid w:val="00F7333B"/>
    <w:rsid w:val="00F7348A"/>
    <w:rsid w:val="00F73653"/>
    <w:rsid w:val="00F738ED"/>
    <w:rsid w:val="00F743CB"/>
    <w:rsid w:val="00F758DF"/>
    <w:rsid w:val="00F76DF5"/>
    <w:rsid w:val="00F77027"/>
    <w:rsid w:val="00F7733F"/>
    <w:rsid w:val="00F81A1F"/>
    <w:rsid w:val="00F81A3A"/>
    <w:rsid w:val="00F82061"/>
    <w:rsid w:val="00F82101"/>
    <w:rsid w:val="00F82444"/>
    <w:rsid w:val="00F82C7D"/>
    <w:rsid w:val="00F82E1C"/>
    <w:rsid w:val="00F83A09"/>
    <w:rsid w:val="00F83E05"/>
    <w:rsid w:val="00F84118"/>
    <w:rsid w:val="00F84EDE"/>
    <w:rsid w:val="00F84F13"/>
    <w:rsid w:val="00F854AE"/>
    <w:rsid w:val="00F8554D"/>
    <w:rsid w:val="00F85A25"/>
    <w:rsid w:val="00F85BAC"/>
    <w:rsid w:val="00F85BCB"/>
    <w:rsid w:val="00F85CDF"/>
    <w:rsid w:val="00F86039"/>
    <w:rsid w:val="00F862AC"/>
    <w:rsid w:val="00F864B8"/>
    <w:rsid w:val="00F86960"/>
    <w:rsid w:val="00F86D62"/>
    <w:rsid w:val="00F871E2"/>
    <w:rsid w:val="00F87669"/>
    <w:rsid w:val="00F87913"/>
    <w:rsid w:val="00F87E70"/>
    <w:rsid w:val="00F90088"/>
    <w:rsid w:val="00F9059D"/>
    <w:rsid w:val="00F91DF8"/>
    <w:rsid w:val="00F91F02"/>
    <w:rsid w:val="00F922F1"/>
    <w:rsid w:val="00F92D15"/>
    <w:rsid w:val="00F92DC1"/>
    <w:rsid w:val="00F93083"/>
    <w:rsid w:val="00F938B7"/>
    <w:rsid w:val="00F93C6E"/>
    <w:rsid w:val="00F95BF4"/>
    <w:rsid w:val="00F9664C"/>
    <w:rsid w:val="00F97404"/>
    <w:rsid w:val="00FA043E"/>
    <w:rsid w:val="00FA10F8"/>
    <w:rsid w:val="00FA1E25"/>
    <w:rsid w:val="00FA1F6D"/>
    <w:rsid w:val="00FA1F75"/>
    <w:rsid w:val="00FA2ACC"/>
    <w:rsid w:val="00FA3857"/>
    <w:rsid w:val="00FA3B5D"/>
    <w:rsid w:val="00FA3B8B"/>
    <w:rsid w:val="00FA45C2"/>
    <w:rsid w:val="00FA46EA"/>
    <w:rsid w:val="00FA487F"/>
    <w:rsid w:val="00FA5040"/>
    <w:rsid w:val="00FA5DDA"/>
    <w:rsid w:val="00FA7966"/>
    <w:rsid w:val="00FB01E4"/>
    <w:rsid w:val="00FB2049"/>
    <w:rsid w:val="00FB2379"/>
    <w:rsid w:val="00FB2CC9"/>
    <w:rsid w:val="00FB2CCC"/>
    <w:rsid w:val="00FB30B9"/>
    <w:rsid w:val="00FB3224"/>
    <w:rsid w:val="00FB33E8"/>
    <w:rsid w:val="00FB45D2"/>
    <w:rsid w:val="00FB50D8"/>
    <w:rsid w:val="00FB5495"/>
    <w:rsid w:val="00FB5585"/>
    <w:rsid w:val="00FB6857"/>
    <w:rsid w:val="00FB6D76"/>
    <w:rsid w:val="00FB7547"/>
    <w:rsid w:val="00FC02D5"/>
    <w:rsid w:val="00FC0A73"/>
    <w:rsid w:val="00FC0EBC"/>
    <w:rsid w:val="00FC107C"/>
    <w:rsid w:val="00FC12A9"/>
    <w:rsid w:val="00FC246C"/>
    <w:rsid w:val="00FC2BC9"/>
    <w:rsid w:val="00FC2E38"/>
    <w:rsid w:val="00FC2FE7"/>
    <w:rsid w:val="00FC3414"/>
    <w:rsid w:val="00FC42B9"/>
    <w:rsid w:val="00FC42E0"/>
    <w:rsid w:val="00FC4FE6"/>
    <w:rsid w:val="00FC5561"/>
    <w:rsid w:val="00FC5672"/>
    <w:rsid w:val="00FC5835"/>
    <w:rsid w:val="00FC5F2B"/>
    <w:rsid w:val="00FC6196"/>
    <w:rsid w:val="00FC63B6"/>
    <w:rsid w:val="00FC68C8"/>
    <w:rsid w:val="00FC6FFC"/>
    <w:rsid w:val="00FC70AE"/>
    <w:rsid w:val="00FC729F"/>
    <w:rsid w:val="00FD0264"/>
    <w:rsid w:val="00FD0E07"/>
    <w:rsid w:val="00FD0E83"/>
    <w:rsid w:val="00FD18F1"/>
    <w:rsid w:val="00FD1F6A"/>
    <w:rsid w:val="00FD2509"/>
    <w:rsid w:val="00FD25F5"/>
    <w:rsid w:val="00FD2A07"/>
    <w:rsid w:val="00FD2BEE"/>
    <w:rsid w:val="00FD2DC1"/>
    <w:rsid w:val="00FD371D"/>
    <w:rsid w:val="00FD3A28"/>
    <w:rsid w:val="00FD423B"/>
    <w:rsid w:val="00FD55F3"/>
    <w:rsid w:val="00FD5BE7"/>
    <w:rsid w:val="00FD5F7F"/>
    <w:rsid w:val="00FD63C2"/>
    <w:rsid w:val="00FD67EC"/>
    <w:rsid w:val="00FE0C99"/>
    <w:rsid w:val="00FE0F56"/>
    <w:rsid w:val="00FE0FC6"/>
    <w:rsid w:val="00FE1D83"/>
    <w:rsid w:val="00FE1E4F"/>
    <w:rsid w:val="00FE2321"/>
    <w:rsid w:val="00FE252F"/>
    <w:rsid w:val="00FE27B6"/>
    <w:rsid w:val="00FE3DD9"/>
    <w:rsid w:val="00FE418B"/>
    <w:rsid w:val="00FE5C93"/>
    <w:rsid w:val="00FE5EF8"/>
    <w:rsid w:val="00FE62B6"/>
    <w:rsid w:val="00FE750D"/>
    <w:rsid w:val="00FE754A"/>
    <w:rsid w:val="00FF0EE3"/>
    <w:rsid w:val="00FF2745"/>
    <w:rsid w:val="00FF345C"/>
    <w:rsid w:val="00FF3A25"/>
    <w:rsid w:val="00FF3E0C"/>
    <w:rsid w:val="00FF4347"/>
    <w:rsid w:val="00FF43E0"/>
    <w:rsid w:val="00FF464C"/>
    <w:rsid w:val="00FF4C39"/>
    <w:rsid w:val="00FF59D6"/>
    <w:rsid w:val="00FF6694"/>
    <w:rsid w:val="00FF68FE"/>
    <w:rsid w:val="00FF6D63"/>
    <w:rsid w:val="00FF7AE4"/>
    <w:rsid w:val="00FF7B77"/>
    <w:rsid w:val="0120541D"/>
    <w:rsid w:val="01971859"/>
    <w:rsid w:val="01CE3804"/>
    <w:rsid w:val="01FE5933"/>
    <w:rsid w:val="02236BB1"/>
    <w:rsid w:val="023E689B"/>
    <w:rsid w:val="02703B9F"/>
    <w:rsid w:val="02F719C9"/>
    <w:rsid w:val="031530C2"/>
    <w:rsid w:val="031D4241"/>
    <w:rsid w:val="032C476D"/>
    <w:rsid w:val="03507737"/>
    <w:rsid w:val="03511138"/>
    <w:rsid w:val="04463DEA"/>
    <w:rsid w:val="044A68E9"/>
    <w:rsid w:val="04643B39"/>
    <w:rsid w:val="048357FC"/>
    <w:rsid w:val="04BF7BB5"/>
    <w:rsid w:val="04DB2BD5"/>
    <w:rsid w:val="055663FF"/>
    <w:rsid w:val="05902A30"/>
    <w:rsid w:val="05C975FA"/>
    <w:rsid w:val="063D79D1"/>
    <w:rsid w:val="06825825"/>
    <w:rsid w:val="06C54451"/>
    <w:rsid w:val="07DF0BC3"/>
    <w:rsid w:val="08116685"/>
    <w:rsid w:val="0842354B"/>
    <w:rsid w:val="085F1676"/>
    <w:rsid w:val="09263B62"/>
    <w:rsid w:val="09460FCD"/>
    <w:rsid w:val="095F59EF"/>
    <w:rsid w:val="09973669"/>
    <w:rsid w:val="09EE185F"/>
    <w:rsid w:val="0A0E143E"/>
    <w:rsid w:val="0A127307"/>
    <w:rsid w:val="0A185927"/>
    <w:rsid w:val="0AB93023"/>
    <w:rsid w:val="0BEE6C43"/>
    <w:rsid w:val="0C08378A"/>
    <w:rsid w:val="0C132631"/>
    <w:rsid w:val="0C21262E"/>
    <w:rsid w:val="0C313622"/>
    <w:rsid w:val="0C4234F6"/>
    <w:rsid w:val="0C7768AE"/>
    <w:rsid w:val="0CA50F0E"/>
    <w:rsid w:val="0D1D0A87"/>
    <w:rsid w:val="0D923CEE"/>
    <w:rsid w:val="0DD4420C"/>
    <w:rsid w:val="0E037DE4"/>
    <w:rsid w:val="0E141F88"/>
    <w:rsid w:val="0E1F76E4"/>
    <w:rsid w:val="0E8D4676"/>
    <w:rsid w:val="0EA01795"/>
    <w:rsid w:val="0EFC3F37"/>
    <w:rsid w:val="0F1461B7"/>
    <w:rsid w:val="0F514700"/>
    <w:rsid w:val="0F5409FF"/>
    <w:rsid w:val="0F9574A1"/>
    <w:rsid w:val="0FBC0806"/>
    <w:rsid w:val="0FE96D5C"/>
    <w:rsid w:val="0FFDF307"/>
    <w:rsid w:val="100D2EB9"/>
    <w:rsid w:val="101633E4"/>
    <w:rsid w:val="104B602C"/>
    <w:rsid w:val="106209C7"/>
    <w:rsid w:val="10654F60"/>
    <w:rsid w:val="10814427"/>
    <w:rsid w:val="109734E4"/>
    <w:rsid w:val="10DD2D4B"/>
    <w:rsid w:val="10EC137C"/>
    <w:rsid w:val="116B2735"/>
    <w:rsid w:val="11786472"/>
    <w:rsid w:val="11C368E2"/>
    <w:rsid w:val="124A2323"/>
    <w:rsid w:val="12CA10A4"/>
    <w:rsid w:val="131971E9"/>
    <w:rsid w:val="13276509"/>
    <w:rsid w:val="13405990"/>
    <w:rsid w:val="13B245CB"/>
    <w:rsid w:val="14B04BFF"/>
    <w:rsid w:val="15022C54"/>
    <w:rsid w:val="1512578C"/>
    <w:rsid w:val="15833762"/>
    <w:rsid w:val="15AD78A8"/>
    <w:rsid w:val="15CB244D"/>
    <w:rsid w:val="16053F87"/>
    <w:rsid w:val="166C07E1"/>
    <w:rsid w:val="16C10ED0"/>
    <w:rsid w:val="16EE1738"/>
    <w:rsid w:val="170678BC"/>
    <w:rsid w:val="170738F1"/>
    <w:rsid w:val="173F39D5"/>
    <w:rsid w:val="17BD2C7A"/>
    <w:rsid w:val="17E13AA8"/>
    <w:rsid w:val="181E2494"/>
    <w:rsid w:val="182C5B58"/>
    <w:rsid w:val="18407F08"/>
    <w:rsid w:val="18556B1D"/>
    <w:rsid w:val="185704F5"/>
    <w:rsid w:val="18915C75"/>
    <w:rsid w:val="18AC48EA"/>
    <w:rsid w:val="18CD1A6E"/>
    <w:rsid w:val="18FF0030"/>
    <w:rsid w:val="192577F4"/>
    <w:rsid w:val="19A22A9C"/>
    <w:rsid w:val="19C64C4B"/>
    <w:rsid w:val="19E434C8"/>
    <w:rsid w:val="1A0F46D0"/>
    <w:rsid w:val="1A467869"/>
    <w:rsid w:val="1A474DCD"/>
    <w:rsid w:val="1A4C5398"/>
    <w:rsid w:val="1A5D6BCE"/>
    <w:rsid w:val="1A627060"/>
    <w:rsid w:val="1A6F3F50"/>
    <w:rsid w:val="1AE80171"/>
    <w:rsid w:val="1AF45D3A"/>
    <w:rsid w:val="1B0D5700"/>
    <w:rsid w:val="1B8B167D"/>
    <w:rsid w:val="1B9C3C37"/>
    <w:rsid w:val="1C0408C0"/>
    <w:rsid w:val="1C396BD7"/>
    <w:rsid w:val="1C4318CA"/>
    <w:rsid w:val="1C6D42F9"/>
    <w:rsid w:val="1C811EEA"/>
    <w:rsid w:val="1C892987"/>
    <w:rsid w:val="1CE079FB"/>
    <w:rsid w:val="1D1236B4"/>
    <w:rsid w:val="1D2241A6"/>
    <w:rsid w:val="1D765169"/>
    <w:rsid w:val="1D8F3134"/>
    <w:rsid w:val="1E122DB2"/>
    <w:rsid w:val="1E6954FD"/>
    <w:rsid w:val="1E8B6263"/>
    <w:rsid w:val="1EBD7220"/>
    <w:rsid w:val="1EF05A85"/>
    <w:rsid w:val="1EFB7BB0"/>
    <w:rsid w:val="1F45584F"/>
    <w:rsid w:val="1F5E31C6"/>
    <w:rsid w:val="1F7413E9"/>
    <w:rsid w:val="1F887ACD"/>
    <w:rsid w:val="1F8E33B7"/>
    <w:rsid w:val="1F95188A"/>
    <w:rsid w:val="1F9F1109"/>
    <w:rsid w:val="1FB26FDE"/>
    <w:rsid w:val="1FFA099A"/>
    <w:rsid w:val="204235EF"/>
    <w:rsid w:val="2095088B"/>
    <w:rsid w:val="209621BE"/>
    <w:rsid w:val="20BC21C6"/>
    <w:rsid w:val="20F22AF1"/>
    <w:rsid w:val="20F55BD7"/>
    <w:rsid w:val="20F613AC"/>
    <w:rsid w:val="215873C8"/>
    <w:rsid w:val="21827E04"/>
    <w:rsid w:val="21AC2BA5"/>
    <w:rsid w:val="2204176B"/>
    <w:rsid w:val="22205E16"/>
    <w:rsid w:val="22341735"/>
    <w:rsid w:val="22404902"/>
    <w:rsid w:val="22517F03"/>
    <w:rsid w:val="22897F87"/>
    <w:rsid w:val="2297385F"/>
    <w:rsid w:val="229A053D"/>
    <w:rsid w:val="22CC3C67"/>
    <w:rsid w:val="22DF3085"/>
    <w:rsid w:val="22E27982"/>
    <w:rsid w:val="23A27ADC"/>
    <w:rsid w:val="23B600A1"/>
    <w:rsid w:val="23D4190B"/>
    <w:rsid w:val="23E80249"/>
    <w:rsid w:val="24700A21"/>
    <w:rsid w:val="24770F98"/>
    <w:rsid w:val="24875296"/>
    <w:rsid w:val="24B53C91"/>
    <w:rsid w:val="24F55E39"/>
    <w:rsid w:val="250539D9"/>
    <w:rsid w:val="254C6842"/>
    <w:rsid w:val="260473CC"/>
    <w:rsid w:val="26376797"/>
    <w:rsid w:val="26556D7B"/>
    <w:rsid w:val="265D0FDA"/>
    <w:rsid w:val="266827D6"/>
    <w:rsid w:val="269A003C"/>
    <w:rsid w:val="26D53A1F"/>
    <w:rsid w:val="27375495"/>
    <w:rsid w:val="27645D8C"/>
    <w:rsid w:val="27795D1A"/>
    <w:rsid w:val="279A4B59"/>
    <w:rsid w:val="279B0BD9"/>
    <w:rsid w:val="27C9299C"/>
    <w:rsid w:val="28326BFA"/>
    <w:rsid w:val="28A630A5"/>
    <w:rsid w:val="28D51B58"/>
    <w:rsid w:val="28FF4D82"/>
    <w:rsid w:val="29452246"/>
    <w:rsid w:val="299851E0"/>
    <w:rsid w:val="29A70CCE"/>
    <w:rsid w:val="29E44B87"/>
    <w:rsid w:val="2A0537E6"/>
    <w:rsid w:val="2A0B257E"/>
    <w:rsid w:val="2A4C2CE1"/>
    <w:rsid w:val="2A73128D"/>
    <w:rsid w:val="2B0555F4"/>
    <w:rsid w:val="2B435298"/>
    <w:rsid w:val="2B4900E9"/>
    <w:rsid w:val="2B6E372F"/>
    <w:rsid w:val="2B8D0CAC"/>
    <w:rsid w:val="2BF94B9A"/>
    <w:rsid w:val="2C0D653C"/>
    <w:rsid w:val="2C3B316B"/>
    <w:rsid w:val="2C3D34D0"/>
    <w:rsid w:val="2CBC31ED"/>
    <w:rsid w:val="2CE8024C"/>
    <w:rsid w:val="2CF91392"/>
    <w:rsid w:val="2D1D507B"/>
    <w:rsid w:val="2D880DAC"/>
    <w:rsid w:val="2DAD12CA"/>
    <w:rsid w:val="2E127601"/>
    <w:rsid w:val="2E1D206B"/>
    <w:rsid w:val="2E2322A8"/>
    <w:rsid w:val="2F361C8D"/>
    <w:rsid w:val="2F9D1C20"/>
    <w:rsid w:val="2FA831E6"/>
    <w:rsid w:val="2FAE114E"/>
    <w:rsid w:val="30894F58"/>
    <w:rsid w:val="30A12B1F"/>
    <w:rsid w:val="30AF3E9D"/>
    <w:rsid w:val="31221124"/>
    <w:rsid w:val="313E5F38"/>
    <w:rsid w:val="31676256"/>
    <w:rsid w:val="32585E83"/>
    <w:rsid w:val="32F46BEE"/>
    <w:rsid w:val="339C5731"/>
    <w:rsid w:val="340847F6"/>
    <w:rsid w:val="34214FDB"/>
    <w:rsid w:val="342360E3"/>
    <w:rsid w:val="34314F2C"/>
    <w:rsid w:val="34812475"/>
    <w:rsid w:val="351657A6"/>
    <w:rsid w:val="35BF0698"/>
    <w:rsid w:val="36066728"/>
    <w:rsid w:val="36263E74"/>
    <w:rsid w:val="366B3A19"/>
    <w:rsid w:val="366D5515"/>
    <w:rsid w:val="36B60A40"/>
    <w:rsid w:val="36DE5A08"/>
    <w:rsid w:val="36E67E34"/>
    <w:rsid w:val="372551D3"/>
    <w:rsid w:val="379D3C7A"/>
    <w:rsid w:val="37A778A5"/>
    <w:rsid w:val="37BB6819"/>
    <w:rsid w:val="38236C6E"/>
    <w:rsid w:val="384656C0"/>
    <w:rsid w:val="38773BFE"/>
    <w:rsid w:val="38ED7AF5"/>
    <w:rsid w:val="39153DD0"/>
    <w:rsid w:val="3984246E"/>
    <w:rsid w:val="3992762F"/>
    <w:rsid w:val="3A2826B9"/>
    <w:rsid w:val="3A2D7711"/>
    <w:rsid w:val="3A6B62E4"/>
    <w:rsid w:val="3A730E9D"/>
    <w:rsid w:val="3A7349E4"/>
    <w:rsid w:val="3AC45D45"/>
    <w:rsid w:val="3AC63373"/>
    <w:rsid w:val="3ADB7EAA"/>
    <w:rsid w:val="3B3D0D8C"/>
    <w:rsid w:val="3C3B336D"/>
    <w:rsid w:val="3C471436"/>
    <w:rsid w:val="3CA21974"/>
    <w:rsid w:val="3CB27C06"/>
    <w:rsid w:val="3CE65DAE"/>
    <w:rsid w:val="3CF55043"/>
    <w:rsid w:val="3D1E5259"/>
    <w:rsid w:val="3D421F68"/>
    <w:rsid w:val="3D614F5D"/>
    <w:rsid w:val="3DBA432F"/>
    <w:rsid w:val="3E281E40"/>
    <w:rsid w:val="3E54664C"/>
    <w:rsid w:val="3EF06923"/>
    <w:rsid w:val="3F73566E"/>
    <w:rsid w:val="3FA8138B"/>
    <w:rsid w:val="3FC25811"/>
    <w:rsid w:val="3FE846EC"/>
    <w:rsid w:val="3FE945E8"/>
    <w:rsid w:val="40115490"/>
    <w:rsid w:val="40440066"/>
    <w:rsid w:val="40AE3158"/>
    <w:rsid w:val="40BB2884"/>
    <w:rsid w:val="40BE17F5"/>
    <w:rsid w:val="414A03DC"/>
    <w:rsid w:val="41AA62FF"/>
    <w:rsid w:val="41B51113"/>
    <w:rsid w:val="42943B7A"/>
    <w:rsid w:val="42BB1F49"/>
    <w:rsid w:val="42D2136B"/>
    <w:rsid w:val="42FC2C30"/>
    <w:rsid w:val="433762C5"/>
    <w:rsid w:val="43A33EA2"/>
    <w:rsid w:val="43A61A19"/>
    <w:rsid w:val="43E8255C"/>
    <w:rsid w:val="440F313F"/>
    <w:rsid w:val="4418471A"/>
    <w:rsid w:val="442E0A55"/>
    <w:rsid w:val="443F4242"/>
    <w:rsid w:val="44497A2A"/>
    <w:rsid w:val="44675F77"/>
    <w:rsid w:val="44DA5B7B"/>
    <w:rsid w:val="44E5677F"/>
    <w:rsid w:val="451D03B9"/>
    <w:rsid w:val="45611186"/>
    <w:rsid w:val="45BB1D42"/>
    <w:rsid w:val="45C715E7"/>
    <w:rsid w:val="4618056D"/>
    <w:rsid w:val="461C09D7"/>
    <w:rsid w:val="462A008E"/>
    <w:rsid w:val="463B278B"/>
    <w:rsid w:val="464B2FE5"/>
    <w:rsid w:val="468806C1"/>
    <w:rsid w:val="468E210D"/>
    <w:rsid w:val="46F5575C"/>
    <w:rsid w:val="46F570C7"/>
    <w:rsid w:val="47205314"/>
    <w:rsid w:val="477758B5"/>
    <w:rsid w:val="478E13D1"/>
    <w:rsid w:val="47CB79D4"/>
    <w:rsid w:val="480819F2"/>
    <w:rsid w:val="481D241F"/>
    <w:rsid w:val="48262D64"/>
    <w:rsid w:val="486C5F57"/>
    <w:rsid w:val="48980FC0"/>
    <w:rsid w:val="48D44ACE"/>
    <w:rsid w:val="48DC1BC6"/>
    <w:rsid w:val="48EA6F0C"/>
    <w:rsid w:val="48F6348E"/>
    <w:rsid w:val="49000DC1"/>
    <w:rsid w:val="496A61BF"/>
    <w:rsid w:val="496F53F5"/>
    <w:rsid w:val="49741402"/>
    <w:rsid w:val="49885F6F"/>
    <w:rsid w:val="49AA351A"/>
    <w:rsid w:val="4A112571"/>
    <w:rsid w:val="4A344FE7"/>
    <w:rsid w:val="4A6D0C62"/>
    <w:rsid w:val="4A780017"/>
    <w:rsid w:val="4A8E7DAF"/>
    <w:rsid w:val="4A951CCC"/>
    <w:rsid w:val="4B0C6762"/>
    <w:rsid w:val="4B0F59DF"/>
    <w:rsid w:val="4B245D47"/>
    <w:rsid w:val="4B905896"/>
    <w:rsid w:val="4B9D7C5D"/>
    <w:rsid w:val="4BB34B24"/>
    <w:rsid w:val="4BB700AA"/>
    <w:rsid w:val="4BC05243"/>
    <w:rsid w:val="4BC96FAB"/>
    <w:rsid w:val="4C151A56"/>
    <w:rsid w:val="4C790CB3"/>
    <w:rsid w:val="4C8F4906"/>
    <w:rsid w:val="4CBB3621"/>
    <w:rsid w:val="4CC01F0E"/>
    <w:rsid w:val="4CD94E5F"/>
    <w:rsid w:val="4CE03381"/>
    <w:rsid w:val="4CFF5B15"/>
    <w:rsid w:val="4D343DFD"/>
    <w:rsid w:val="4D58082F"/>
    <w:rsid w:val="4DDA0E5B"/>
    <w:rsid w:val="4DDF2AEC"/>
    <w:rsid w:val="4E2448E5"/>
    <w:rsid w:val="4E4A194F"/>
    <w:rsid w:val="4ECB1726"/>
    <w:rsid w:val="4F0955BD"/>
    <w:rsid w:val="4F491ADC"/>
    <w:rsid w:val="4F6F7539"/>
    <w:rsid w:val="4F7E3336"/>
    <w:rsid w:val="4F905AFF"/>
    <w:rsid w:val="4F9B5985"/>
    <w:rsid w:val="4FAD7B95"/>
    <w:rsid w:val="4FB5193C"/>
    <w:rsid w:val="4FD72CEA"/>
    <w:rsid w:val="5017626C"/>
    <w:rsid w:val="508C6227"/>
    <w:rsid w:val="50DD7C66"/>
    <w:rsid w:val="50E96B1D"/>
    <w:rsid w:val="510F7CBF"/>
    <w:rsid w:val="51282F93"/>
    <w:rsid w:val="51805253"/>
    <w:rsid w:val="51E16FFA"/>
    <w:rsid w:val="51FC1BC8"/>
    <w:rsid w:val="520D501C"/>
    <w:rsid w:val="52521CBA"/>
    <w:rsid w:val="52827934"/>
    <w:rsid w:val="5292169C"/>
    <w:rsid w:val="52A06AED"/>
    <w:rsid w:val="52C07CBF"/>
    <w:rsid w:val="52DB33E8"/>
    <w:rsid w:val="52E207EE"/>
    <w:rsid w:val="533111FD"/>
    <w:rsid w:val="53581C06"/>
    <w:rsid w:val="53AE755E"/>
    <w:rsid w:val="547233FC"/>
    <w:rsid w:val="54845420"/>
    <w:rsid w:val="54A55C88"/>
    <w:rsid w:val="54AE3722"/>
    <w:rsid w:val="54F40D5E"/>
    <w:rsid w:val="55126310"/>
    <w:rsid w:val="55787FF1"/>
    <w:rsid w:val="558A2BDA"/>
    <w:rsid w:val="558B1DE4"/>
    <w:rsid w:val="55C25A9A"/>
    <w:rsid w:val="55DE3E6F"/>
    <w:rsid w:val="56594916"/>
    <w:rsid w:val="56747AD6"/>
    <w:rsid w:val="569B4052"/>
    <w:rsid w:val="56D47B25"/>
    <w:rsid w:val="57290B8C"/>
    <w:rsid w:val="572F2082"/>
    <w:rsid w:val="573C58D3"/>
    <w:rsid w:val="57795953"/>
    <w:rsid w:val="577B5DB8"/>
    <w:rsid w:val="57A0716B"/>
    <w:rsid w:val="57D16DE1"/>
    <w:rsid w:val="57DF18C3"/>
    <w:rsid w:val="58251632"/>
    <w:rsid w:val="582E0CDB"/>
    <w:rsid w:val="58667243"/>
    <w:rsid w:val="58D425B9"/>
    <w:rsid w:val="58D66847"/>
    <w:rsid w:val="59B16AAB"/>
    <w:rsid w:val="59D82FD2"/>
    <w:rsid w:val="5A443A81"/>
    <w:rsid w:val="5B0C5614"/>
    <w:rsid w:val="5B134E1D"/>
    <w:rsid w:val="5B2C26F9"/>
    <w:rsid w:val="5B850F9A"/>
    <w:rsid w:val="5BB4046B"/>
    <w:rsid w:val="5BD25D40"/>
    <w:rsid w:val="5C251424"/>
    <w:rsid w:val="5C2F2A5C"/>
    <w:rsid w:val="5C3511A7"/>
    <w:rsid w:val="5C3B7D33"/>
    <w:rsid w:val="5C464AF3"/>
    <w:rsid w:val="5C920B2A"/>
    <w:rsid w:val="5CA05F79"/>
    <w:rsid w:val="5CB47177"/>
    <w:rsid w:val="5CB93157"/>
    <w:rsid w:val="5CD274D3"/>
    <w:rsid w:val="5CD451F3"/>
    <w:rsid w:val="5CE307FE"/>
    <w:rsid w:val="5DA81146"/>
    <w:rsid w:val="5DC77277"/>
    <w:rsid w:val="5DDC3681"/>
    <w:rsid w:val="5E4211D6"/>
    <w:rsid w:val="5E564D9F"/>
    <w:rsid w:val="5E702459"/>
    <w:rsid w:val="5E8E285E"/>
    <w:rsid w:val="5E9E76C2"/>
    <w:rsid w:val="5EE00E05"/>
    <w:rsid w:val="5F374BCE"/>
    <w:rsid w:val="5F537FD2"/>
    <w:rsid w:val="5F9DE9B3"/>
    <w:rsid w:val="5FB8441B"/>
    <w:rsid w:val="5FDD28EC"/>
    <w:rsid w:val="600276E6"/>
    <w:rsid w:val="60772A8B"/>
    <w:rsid w:val="608C2610"/>
    <w:rsid w:val="609E62D5"/>
    <w:rsid w:val="60D70312"/>
    <w:rsid w:val="60EF334C"/>
    <w:rsid w:val="60FC1D4A"/>
    <w:rsid w:val="61CE620C"/>
    <w:rsid w:val="61E138E9"/>
    <w:rsid w:val="62ED0497"/>
    <w:rsid w:val="62FF160E"/>
    <w:rsid w:val="630A44D9"/>
    <w:rsid w:val="632751C9"/>
    <w:rsid w:val="632F145D"/>
    <w:rsid w:val="63890028"/>
    <w:rsid w:val="63B219F5"/>
    <w:rsid w:val="63BB26EB"/>
    <w:rsid w:val="63E1038F"/>
    <w:rsid w:val="64005469"/>
    <w:rsid w:val="64125DF2"/>
    <w:rsid w:val="64512557"/>
    <w:rsid w:val="649E5CCE"/>
    <w:rsid w:val="64E542E6"/>
    <w:rsid w:val="65077D6F"/>
    <w:rsid w:val="653C067E"/>
    <w:rsid w:val="65CFACC1"/>
    <w:rsid w:val="660E50A2"/>
    <w:rsid w:val="66256948"/>
    <w:rsid w:val="66757FA6"/>
    <w:rsid w:val="66997EDF"/>
    <w:rsid w:val="66CC350D"/>
    <w:rsid w:val="678D4C6D"/>
    <w:rsid w:val="67A3165A"/>
    <w:rsid w:val="67C819B3"/>
    <w:rsid w:val="68045560"/>
    <w:rsid w:val="68091695"/>
    <w:rsid w:val="68A43F7F"/>
    <w:rsid w:val="68E10030"/>
    <w:rsid w:val="69DC6653"/>
    <w:rsid w:val="6A061143"/>
    <w:rsid w:val="6A2C595C"/>
    <w:rsid w:val="6A3A705C"/>
    <w:rsid w:val="6AD55A25"/>
    <w:rsid w:val="6B41144B"/>
    <w:rsid w:val="6BDA79FF"/>
    <w:rsid w:val="6BF7FBB3"/>
    <w:rsid w:val="6C2D653C"/>
    <w:rsid w:val="6C7571FF"/>
    <w:rsid w:val="6CA81AB3"/>
    <w:rsid w:val="6CD63F9A"/>
    <w:rsid w:val="6CEE56E0"/>
    <w:rsid w:val="6CFA3334"/>
    <w:rsid w:val="6D226A7D"/>
    <w:rsid w:val="6D6027A6"/>
    <w:rsid w:val="6D93196D"/>
    <w:rsid w:val="6DD95574"/>
    <w:rsid w:val="6E112B4E"/>
    <w:rsid w:val="6E215174"/>
    <w:rsid w:val="6E6F6CF2"/>
    <w:rsid w:val="6EB245AA"/>
    <w:rsid w:val="6EE21395"/>
    <w:rsid w:val="6EEC3C63"/>
    <w:rsid w:val="6EEF7EB9"/>
    <w:rsid w:val="6EFF106A"/>
    <w:rsid w:val="6F0974DF"/>
    <w:rsid w:val="6F497BE8"/>
    <w:rsid w:val="6F567312"/>
    <w:rsid w:val="6FA75B78"/>
    <w:rsid w:val="6FBE3C4D"/>
    <w:rsid w:val="6FDFBF63"/>
    <w:rsid w:val="6FE91FE4"/>
    <w:rsid w:val="70217477"/>
    <w:rsid w:val="702D63D3"/>
    <w:rsid w:val="70A075CC"/>
    <w:rsid w:val="710A6120"/>
    <w:rsid w:val="712D2A2C"/>
    <w:rsid w:val="71941D5A"/>
    <w:rsid w:val="71986346"/>
    <w:rsid w:val="71BF0263"/>
    <w:rsid w:val="71EE317F"/>
    <w:rsid w:val="71F61395"/>
    <w:rsid w:val="72E063DE"/>
    <w:rsid w:val="72F7C3DB"/>
    <w:rsid w:val="73010934"/>
    <w:rsid w:val="730A353A"/>
    <w:rsid w:val="73517ADF"/>
    <w:rsid w:val="73945BD3"/>
    <w:rsid w:val="73C07753"/>
    <w:rsid w:val="73C274FB"/>
    <w:rsid w:val="73E472C5"/>
    <w:rsid w:val="73E724DF"/>
    <w:rsid w:val="747D72EF"/>
    <w:rsid w:val="74B76069"/>
    <w:rsid w:val="75047EDB"/>
    <w:rsid w:val="755E7629"/>
    <w:rsid w:val="75A217EC"/>
    <w:rsid w:val="75F181DD"/>
    <w:rsid w:val="762F7379"/>
    <w:rsid w:val="76331FD7"/>
    <w:rsid w:val="766539D6"/>
    <w:rsid w:val="766616E3"/>
    <w:rsid w:val="767F3849"/>
    <w:rsid w:val="76BA3D48"/>
    <w:rsid w:val="76D87530"/>
    <w:rsid w:val="770F28D6"/>
    <w:rsid w:val="77451634"/>
    <w:rsid w:val="774565E7"/>
    <w:rsid w:val="78080E2D"/>
    <w:rsid w:val="789E3681"/>
    <w:rsid w:val="78DC085F"/>
    <w:rsid w:val="79287D53"/>
    <w:rsid w:val="79440590"/>
    <w:rsid w:val="79722D07"/>
    <w:rsid w:val="7973022B"/>
    <w:rsid w:val="79CD6291"/>
    <w:rsid w:val="79CE7358"/>
    <w:rsid w:val="79CF5750"/>
    <w:rsid w:val="7A3032D7"/>
    <w:rsid w:val="7A4465C9"/>
    <w:rsid w:val="7A6A1795"/>
    <w:rsid w:val="7AAC3F70"/>
    <w:rsid w:val="7ABD1510"/>
    <w:rsid w:val="7B0B37B5"/>
    <w:rsid w:val="7B4737F6"/>
    <w:rsid w:val="7B633586"/>
    <w:rsid w:val="7B673A69"/>
    <w:rsid w:val="7B850A38"/>
    <w:rsid w:val="7BA40CAA"/>
    <w:rsid w:val="7C2F4D3D"/>
    <w:rsid w:val="7C886102"/>
    <w:rsid w:val="7CB7437A"/>
    <w:rsid w:val="7D0F6E98"/>
    <w:rsid w:val="7D1F6A55"/>
    <w:rsid w:val="7D231E41"/>
    <w:rsid w:val="7D316EE0"/>
    <w:rsid w:val="7D470ACB"/>
    <w:rsid w:val="7D861D8C"/>
    <w:rsid w:val="7DB84435"/>
    <w:rsid w:val="7E3B1020"/>
    <w:rsid w:val="7E430390"/>
    <w:rsid w:val="7E8E4516"/>
    <w:rsid w:val="7E935412"/>
    <w:rsid w:val="7E956848"/>
    <w:rsid w:val="7EF67EAE"/>
    <w:rsid w:val="7F3D1941"/>
    <w:rsid w:val="7F3F4B25"/>
    <w:rsid w:val="7F723BA0"/>
    <w:rsid w:val="7F7ED697"/>
    <w:rsid w:val="7FC85C31"/>
    <w:rsid w:val="7FCEF4B4"/>
    <w:rsid w:val="99A9D5D7"/>
    <w:rsid w:val="9A5DB719"/>
    <w:rsid w:val="ABBF63D9"/>
    <w:rsid w:val="B5F774D3"/>
    <w:rsid w:val="B7ADFEA0"/>
    <w:rsid w:val="BB7D355E"/>
    <w:rsid w:val="BB7F6289"/>
    <w:rsid w:val="BCED71A8"/>
    <w:rsid w:val="BF1FACDD"/>
    <w:rsid w:val="CFF7EBD5"/>
    <w:rsid w:val="DDF7FE58"/>
    <w:rsid w:val="DFEBD2E8"/>
    <w:rsid w:val="DFF71645"/>
    <w:rsid w:val="EFFD6D5F"/>
    <w:rsid w:val="F8E17633"/>
    <w:rsid w:val="FD7F96F2"/>
    <w:rsid w:val="FDBC5D95"/>
    <w:rsid w:val="FEF914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link w:val="42"/>
    <w:qFormat/>
    <w:uiPriority w:val="0"/>
    <w:pPr>
      <w:keepNext/>
      <w:keepLines/>
      <w:spacing w:line="600" w:lineRule="exact"/>
      <w:outlineLvl w:val="0"/>
    </w:pPr>
    <w:rPr>
      <w:rFonts w:eastAsia="黑体"/>
      <w:b/>
      <w:bCs/>
      <w:kern w:val="44"/>
      <w:szCs w:val="44"/>
    </w:rPr>
  </w:style>
  <w:style w:type="paragraph" w:styleId="3">
    <w:name w:val="heading 2"/>
    <w:basedOn w:val="4"/>
    <w:next w:val="1"/>
    <w:link w:val="69"/>
    <w:qFormat/>
    <w:uiPriority w:val="0"/>
    <w:pPr>
      <w:spacing w:beforeLines="0" w:afterLines="0"/>
      <w:jc w:val="left"/>
    </w:pPr>
    <w:rPr>
      <w:rFonts w:ascii="Times New Roman" w:hAnsi="Times New Roman" w:eastAsia="方正黑体简体"/>
      <w:color w:val="000000"/>
    </w:rPr>
  </w:style>
  <w:style w:type="paragraph" w:styleId="5">
    <w:name w:val="heading 3"/>
    <w:basedOn w:val="1"/>
    <w:next w:val="1"/>
    <w:link w:val="86"/>
    <w:qFormat/>
    <w:uiPriority w:val="0"/>
    <w:pPr>
      <w:keepNext/>
      <w:keepLines/>
      <w:adjustRightInd/>
      <w:snapToGrid/>
      <w:spacing w:line="600" w:lineRule="exact"/>
      <w:outlineLvl w:val="2"/>
    </w:pPr>
    <w:rPr>
      <w:kern w:val="0"/>
    </w:rPr>
  </w:style>
  <w:style w:type="paragraph" w:styleId="6">
    <w:name w:val="heading 4"/>
    <w:basedOn w:val="1"/>
    <w:next w:val="1"/>
    <w:link w:val="64"/>
    <w:qFormat/>
    <w:uiPriority w:val="0"/>
    <w:pPr>
      <w:spacing w:line="600" w:lineRule="exact"/>
      <w:outlineLvl w:val="3"/>
    </w:pPr>
    <w:rPr>
      <w:kern w:val="2"/>
    </w:rPr>
  </w:style>
  <w:style w:type="character" w:default="1" w:styleId="33">
    <w:name w:val="Default Paragraph Font"/>
    <w:qFormat/>
    <w:uiPriority w:val="0"/>
  </w:style>
  <w:style w:type="table" w:default="1" w:styleId="31">
    <w:name w:val="Normal Table"/>
    <w:qFormat/>
    <w:uiPriority w:val="0"/>
    <w:tblPr>
      <w:tblCellMar>
        <w:top w:w="0" w:type="dxa"/>
        <w:left w:w="108" w:type="dxa"/>
        <w:bottom w:w="0" w:type="dxa"/>
        <w:right w:w="108" w:type="dxa"/>
      </w:tblCellMar>
    </w:tblPr>
  </w:style>
  <w:style w:type="paragraph" w:styleId="4">
    <w:name w:val="Subtitle"/>
    <w:basedOn w:val="1"/>
    <w:next w:val="1"/>
    <w:link w:val="67"/>
    <w:qFormat/>
    <w:uiPriority w:val="0"/>
    <w:pPr>
      <w:adjustRightInd/>
      <w:snapToGrid/>
      <w:spacing w:beforeLines="50" w:afterLines="50" w:line="600" w:lineRule="exact"/>
      <w:ind w:firstLine="200"/>
      <w:outlineLvl w:val="1"/>
    </w:pPr>
    <w:rPr>
      <w:rFonts w:ascii="Cambria" w:hAnsi="Cambria" w:eastAsia="方正楷体_GBK"/>
      <w:bCs/>
      <w:kern w:val="28"/>
    </w:rPr>
  </w:style>
  <w:style w:type="paragraph" w:styleId="7">
    <w:name w:val="toc 7"/>
    <w:basedOn w:val="1"/>
    <w:next w:val="1"/>
    <w:qFormat/>
    <w:uiPriority w:val="0"/>
    <w:pPr>
      <w:ind w:left="2520" w:leftChars="1200"/>
    </w:pPr>
  </w:style>
  <w:style w:type="paragraph" w:styleId="8">
    <w:name w:val="Normal Indent"/>
    <w:basedOn w:val="1"/>
    <w:link w:val="59"/>
    <w:qFormat/>
    <w:uiPriority w:val="0"/>
    <w:pPr>
      <w:adjustRightInd w:val="0"/>
      <w:snapToGrid w:val="0"/>
      <w:spacing w:line="480" w:lineRule="exact"/>
      <w:ind w:firstLine="420" w:firstLineChars="200"/>
    </w:pPr>
    <w:rPr>
      <w:rFonts w:ascii="宋体" w:hAnsi="宋体" w:eastAsia="宋体"/>
      <w:kern w:val="0"/>
      <w:sz w:val="26"/>
      <w:szCs w:val="26"/>
    </w:rPr>
  </w:style>
  <w:style w:type="paragraph" w:styleId="9">
    <w:name w:val="Document Map"/>
    <w:basedOn w:val="1"/>
    <w:link w:val="58"/>
    <w:qFormat/>
    <w:uiPriority w:val="0"/>
    <w:pPr>
      <w:shd w:val="clear" w:color="auto" w:fill="000080"/>
    </w:pPr>
    <w:rPr>
      <w:rFonts w:eastAsia="宋体"/>
      <w:kern w:val="0"/>
      <w:sz w:val="20"/>
      <w:szCs w:val="24"/>
      <w:shd w:val="clear" w:color="auto" w:fill="000080"/>
    </w:rPr>
  </w:style>
  <w:style w:type="paragraph" w:styleId="10">
    <w:name w:val="annotation text"/>
    <w:basedOn w:val="1"/>
    <w:link w:val="61"/>
    <w:qFormat/>
    <w:uiPriority w:val="0"/>
    <w:pPr>
      <w:jc w:val="left"/>
    </w:pPr>
    <w:rPr>
      <w:rFonts w:eastAsia="宋体"/>
      <w:kern w:val="0"/>
      <w:sz w:val="20"/>
      <w:szCs w:val="24"/>
    </w:rPr>
  </w:style>
  <w:style w:type="paragraph" w:styleId="11">
    <w:name w:val="Body Text"/>
    <w:basedOn w:val="1"/>
    <w:next w:val="12"/>
    <w:link w:val="87"/>
    <w:qFormat/>
    <w:uiPriority w:val="0"/>
    <w:pPr>
      <w:spacing w:after="120" w:afterLines="0"/>
    </w:pPr>
    <w:rPr>
      <w:rFonts w:eastAsia="宋体"/>
      <w:kern w:val="0"/>
      <w:sz w:val="20"/>
      <w:szCs w:val="24"/>
    </w:rPr>
  </w:style>
  <w:style w:type="paragraph" w:styleId="12">
    <w:name w:val="index 7"/>
    <w:basedOn w:val="1"/>
    <w:next w:val="1"/>
    <w:qFormat/>
    <w:uiPriority w:val="0"/>
    <w:pPr>
      <w:ind w:left="2520"/>
    </w:pPr>
  </w:style>
  <w:style w:type="paragraph" w:styleId="13">
    <w:name w:val="Body Text Indent"/>
    <w:basedOn w:val="1"/>
    <w:link w:val="79"/>
    <w:qFormat/>
    <w:uiPriority w:val="0"/>
    <w:pPr>
      <w:ind w:firstLine="560" w:firstLineChars="200"/>
    </w:pPr>
    <w:rPr>
      <w:rFonts w:eastAsia="宋体"/>
      <w:kern w:val="0"/>
      <w:sz w:val="28"/>
      <w:szCs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link w:val="66"/>
    <w:qFormat/>
    <w:uiPriority w:val="0"/>
    <w:rPr>
      <w:rFonts w:ascii="宋体" w:hAnsi="Courier New" w:eastAsia="宋体"/>
      <w:kern w:val="2"/>
      <w:sz w:val="21"/>
      <w:szCs w:val="21"/>
    </w:rPr>
  </w:style>
  <w:style w:type="paragraph" w:styleId="17">
    <w:name w:val="toc 8"/>
    <w:basedOn w:val="1"/>
    <w:next w:val="1"/>
    <w:qFormat/>
    <w:uiPriority w:val="0"/>
    <w:pPr>
      <w:ind w:left="2940" w:leftChars="1400"/>
    </w:pPr>
  </w:style>
  <w:style w:type="paragraph" w:styleId="18">
    <w:name w:val="Body Text Indent 2"/>
    <w:basedOn w:val="1"/>
    <w:link w:val="81"/>
    <w:qFormat/>
    <w:uiPriority w:val="0"/>
    <w:pPr>
      <w:spacing w:after="120" w:afterLines="0" w:line="480" w:lineRule="auto"/>
      <w:ind w:left="420" w:leftChars="200"/>
    </w:pPr>
    <w:rPr>
      <w:rFonts w:eastAsia="宋体"/>
      <w:kern w:val="2"/>
      <w:sz w:val="21"/>
      <w:szCs w:val="24"/>
    </w:rPr>
  </w:style>
  <w:style w:type="paragraph" w:styleId="19">
    <w:name w:val="Balloon Text"/>
    <w:basedOn w:val="1"/>
    <w:link w:val="88"/>
    <w:qFormat/>
    <w:uiPriority w:val="0"/>
    <w:rPr>
      <w:rFonts w:eastAsia="宋体"/>
      <w:kern w:val="0"/>
      <w:sz w:val="18"/>
      <w:szCs w:val="18"/>
    </w:rPr>
  </w:style>
  <w:style w:type="paragraph" w:styleId="20">
    <w:name w:val="footer"/>
    <w:basedOn w:val="1"/>
    <w:link w:val="55"/>
    <w:qFormat/>
    <w:uiPriority w:val="0"/>
    <w:pPr>
      <w:tabs>
        <w:tab w:val="center" w:pos="4153"/>
        <w:tab w:val="right" w:pos="8306"/>
      </w:tabs>
      <w:snapToGrid w:val="0"/>
      <w:jc w:val="left"/>
    </w:pPr>
    <w:rPr>
      <w:rFonts w:eastAsia="宋体"/>
      <w:kern w:val="0"/>
      <w:sz w:val="18"/>
      <w:szCs w:val="18"/>
    </w:rPr>
  </w:style>
  <w:style w:type="paragraph" w:styleId="21">
    <w:name w:val="header"/>
    <w:basedOn w:val="1"/>
    <w:link w:val="44"/>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80"/>
    <w:qFormat/>
    <w:uiPriority w:val="0"/>
    <w:pPr>
      <w:spacing w:after="120" w:afterLines="0"/>
      <w:ind w:left="420" w:leftChars="200"/>
    </w:pPr>
    <w:rPr>
      <w:rFonts w:eastAsia="宋体"/>
      <w:kern w:val="0"/>
      <w:sz w:val="16"/>
      <w:szCs w:val="20"/>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0"/>
    <w:pPr>
      <w:widowControl/>
      <w:spacing w:before="100" w:beforeLines="0" w:beforeAutospacing="1" w:after="100" w:afterLines="0" w:afterAutospacing="1" w:line="500" w:lineRule="exact"/>
      <w:jc w:val="left"/>
    </w:pPr>
    <w:rPr>
      <w:rFonts w:ascii="宋体" w:hAnsi="宋体"/>
      <w:kern w:val="0"/>
      <w:sz w:val="24"/>
    </w:rPr>
  </w:style>
  <w:style w:type="paragraph" w:styleId="29">
    <w:name w:val="Title"/>
    <w:basedOn w:val="2"/>
    <w:next w:val="1"/>
    <w:link w:val="85"/>
    <w:qFormat/>
    <w:uiPriority w:val="0"/>
    <w:pPr>
      <w:adjustRightInd/>
      <w:snapToGrid/>
      <w:spacing w:line="560" w:lineRule="exact"/>
      <w:ind w:firstLine="200"/>
    </w:pPr>
    <w:rPr>
      <w:rFonts w:eastAsia="方正小标宋_GBK"/>
      <w:b w:val="0"/>
      <w:sz w:val="36"/>
    </w:rPr>
  </w:style>
  <w:style w:type="paragraph" w:styleId="30">
    <w:name w:val="annotation subject"/>
    <w:basedOn w:val="10"/>
    <w:next w:val="10"/>
    <w:link w:val="82"/>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rFonts w:hint="eastAsia" w:ascii="仿宋_GB2312" w:eastAsia="仿宋_GB2312" w:cs="Arial"/>
      <w:iCs/>
      <w:sz w:val="24"/>
      <w:szCs w:val="28"/>
      <w:lang w:eastAsia="en-US" w:bidi="en-U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line number"/>
    <w:basedOn w:val="33"/>
    <w:qFormat/>
    <w:uiPriority w:val="0"/>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font31"/>
    <w:qFormat/>
    <w:uiPriority w:val="0"/>
    <w:rPr>
      <w:rFonts w:hint="eastAsia" w:ascii="仿宋" w:hAnsi="仿宋" w:eastAsia="仿宋" w:cs="仿宋"/>
      <w:color w:val="000000"/>
      <w:sz w:val="20"/>
      <w:szCs w:val="20"/>
      <w:u w:val="none"/>
    </w:rPr>
  </w:style>
  <w:style w:type="character" w:customStyle="1" w:styleId="42">
    <w:name w:val="标题 1 Char"/>
    <w:link w:val="2"/>
    <w:qFormat/>
    <w:uiPriority w:val="9"/>
    <w:rPr>
      <w:rFonts w:eastAsia="黑体"/>
      <w:b/>
      <w:bCs/>
      <w:kern w:val="44"/>
      <w:sz w:val="32"/>
      <w:szCs w:val="44"/>
    </w:rPr>
  </w:style>
  <w:style w:type="character" w:customStyle="1" w:styleId="43">
    <w:name w:val="纯文本 Char"/>
    <w:qFormat/>
    <w:uiPriority w:val="0"/>
    <w:rPr>
      <w:rFonts w:ascii="宋体" w:hAnsi="Courier New" w:cs="Courier New"/>
      <w:kern w:val="2"/>
      <w:sz w:val="21"/>
      <w:szCs w:val="21"/>
    </w:rPr>
  </w:style>
  <w:style w:type="character" w:customStyle="1" w:styleId="44">
    <w:name w:val="页眉 Char"/>
    <w:link w:val="21"/>
    <w:qFormat/>
    <w:uiPriority w:val="0"/>
    <w:rPr>
      <w:rFonts w:ascii="Times New Roman" w:hAnsi="Times New Roman" w:eastAsia="宋体" w:cs="Times New Roman"/>
      <w:sz w:val="18"/>
      <w:szCs w:val="18"/>
    </w:rPr>
  </w:style>
  <w:style w:type="character" w:customStyle="1" w:styleId="45">
    <w:name w:val="表号 Char2"/>
    <w:link w:val="46"/>
    <w:qFormat/>
    <w:uiPriority w:val="0"/>
    <w:rPr>
      <w:kern w:val="2"/>
      <w:sz w:val="21"/>
      <w:szCs w:val="22"/>
      <w:lang w:val="en-US" w:eastAsia="zh-CN" w:bidi="ar-SA"/>
    </w:rPr>
  </w:style>
  <w:style w:type="paragraph" w:customStyle="1" w:styleId="46">
    <w:name w:val="表号"/>
    <w:link w:val="45"/>
    <w:qFormat/>
    <w:uiPriority w:val="0"/>
    <w:pPr>
      <w:outlineLvl w:val="4"/>
    </w:pPr>
    <w:rPr>
      <w:rFonts w:ascii="Times New Roman" w:hAnsi="Times New Roman" w:eastAsia="宋体" w:cs="Times New Roman"/>
      <w:kern w:val="2"/>
      <w:sz w:val="21"/>
      <w:szCs w:val="22"/>
      <w:lang w:val="en-US" w:eastAsia="zh-CN" w:bidi="ar-SA"/>
    </w:rPr>
  </w:style>
  <w:style w:type="character" w:customStyle="1" w:styleId="47">
    <w:name w:val="标准样式 Char Char"/>
    <w:link w:val="48"/>
    <w:qFormat/>
    <w:uiPriority w:val="0"/>
    <w:rPr>
      <w:kern w:val="2"/>
      <w:sz w:val="28"/>
      <w:szCs w:val="22"/>
      <w:lang w:val="en-US" w:eastAsia="zh-CN" w:bidi="ar-SA"/>
    </w:rPr>
  </w:style>
  <w:style w:type="paragraph" w:customStyle="1" w:styleId="48">
    <w:name w:val="标准样式"/>
    <w:link w:val="47"/>
    <w:qFormat/>
    <w:uiPriority w:val="0"/>
    <w:pPr>
      <w:widowControl w:val="0"/>
      <w:spacing w:line="600" w:lineRule="exact"/>
      <w:ind w:firstLine="200" w:firstLineChars="200"/>
      <w:jc w:val="both"/>
    </w:pPr>
    <w:rPr>
      <w:rFonts w:ascii="Times New Roman" w:hAnsi="Times New Roman" w:eastAsia="宋体" w:cs="Times New Roman"/>
      <w:kern w:val="2"/>
      <w:sz w:val="28"/>
      <w:szCs w:val="22"/>
      <w:lang w:val="en-US" w:eastAsia="zh-CN" w:bidi="ar-SA"/>
    </w:rPr>
  </w:style>
  <w:style w:type="character" w:customStyle="1" w:styleId="49">
    <w:name w:val="图表 字符"/>
    <w:link w:val="50"/>
    <w:qFormat/>
    <w:uiPriority w:val="0"/>
    <w:rPr>
      <w:rFonts w:eastAsia="方正黑体简体"/>
      <w:kern w:val="2"/>
      <w:sz w:val="32"/>
      <w:szCs w:val="24"/>
    </w:rPr>
  </w:style>
  <w:style w:type="paragraph" w:customStyle="1" w:styleId="50">
    <w:name w:val="图表"/>
    <w:basedOn w:val="1"/>
    <w:link w:val="49"/>
    <w:qFormat/>
    <w:uiPriority w:val="0"/>
    <w:pPr>
      <w:spacing w:line="360" w:lineRule="exact"/>
      <w:ind w:firstLine="0" w:firstLineChars="0"/>
      <w:jc w:val="center"/>
    </w:pPr>
    <w:rPr>
      <w:rFonts w:eastAsia="方正黑体简体"/>
      <w:kern w:val="2"/>
      <w:szCs w:val="24"/>
    </w:rPr>
  </w:style>
  <w:style w:type="character" w:customStyle="1" w:styleId="51">
    <w:name w:val="表格内容"/>
    <w:qFormat/>
    <w:uiPriority w:val="0"/>
    <w:rPr>
      <w:rFonts w:ascii="Times New Roman" w:hAnsi="Times New Roman" w:eastAsia="仿宋_GB2312" w:cs="宋体"/>
      <w:color w:val="000000"/>
      <w:kern w:val="0"/>
      <w:sz w:val="24"/>
      <w:szCs w:val="22"/>
    </w:rPr>
  </w:style>
  <w:style w:type="character" w:customStyle="1" w:styleId="52">
    <w:name w:val="font101"/>
    <w:qFormat/>
    <w:uiPriority w:val="0"/>
    <w:rPr>
      <w:rFonts w:hint="default" w:ascii="Times New Roman" w:hAnsi="Times New Roman" w:cs="Times New Roman"/>
      <w:color w:val="000000"/>
      <w:sz w:val="21"/>
      <w:szCs w:val="21"/>
      <w:u w:val="none"/>
    </w:rPr>
  </w:style>
  <w:style w:type="character" w:customStyle="1" w:styleId="53">
    <w:name w:val="表格文字 字符"/>
    <w:link w:val="54"/>
    <w:qFormat/>
    <w:uiPriority w:val="0"/>
    <w:rPr>
      <w:rFonts w:eastAsia="方正仿宋_GBK" w:cs="宋体"/>
      <w:bCs/>
      <w:color w:val="000000"/>
      <w:sz w:val="22"/>
      <w:szCs w:val="22"/>
    </w:rPr>
  </w:style>
  <w:style w:type="paragraph" w:customStyle="1" w:styleId="54">
    <w:name w:val="表格文字"/>
    <w:basedOn w:val="1"/>
    <w:link w:val="53"/>
    <w:qFormat/>
    <w:uiPriority w:val="0"/>
    <w:pPr>
      <w:widowControl/>
      <w:adjustRightInd/>
      <w:snapToGrid/>
      <w:spacing w:line="240" w:lineRule="auto"/>
      <w:ind w:firstLine="0" w:firstLineChars="0"/>
    </w:pPr>
    <w:rPr>
      <w:bCs/>
      <w:color w:val="000000"/>
      <w:kern w:val="0"/>
      <w:sz w:val="22"/>
      <w:szCs w:val="22"/>
    </w:rPr>
  </w:style>
  <w:style w:type="character" w:customStyle="1" w:styleId="55">
    <w:name w:val="页脚 Char"/>
    <w:link w:val="20"/>
    <w:qFormat/>
    <w:uiPriority w:val="99"/>
    <w:rPr>
      <w:rFonts w:ascii="Times New Roman" w:hAnsi="Times New Roman" w:eastAsia="宋体" w:cs="Times New Roman"/>
      <w:sz w:val="18"/>
      <w:szCs w:val="18"/>
    </w:rPr>
  </w:style>
  <w:style w:type="character" w:customStyle="1" w:styleId="56">
    <w:name w:val="5正文 Char Char"/>
    <w:link w:val="57"/>
    <w:qFormat/>
    <w:uiPriority w:val="0"/>
    <w:rPr>
      <w:rFonts w:ascii="Times New Roman" w:hAnsi="Times New Roman"/>
      <w:kern w:val="2"/>
      <w:sz w:val="21"/>
      <w:szCs w:val="24"/>
    </w:rPr>
  </w:style>
  <w:style w:type="paragraph" w:customStyle="1" w:styleId="57">
    <w:name w:val="5正文"/>
    <w:basedOn w:val="1"/>
    <w:link w:val="56"/>
    <w:qFormat/>
    <w:uiPriority w:val="0"/>
    <w:pPr>
      <w:spacing w:line="360" w:lineRule="auto"/>
      <w:ind w:firstLine="420" w:firstLineChars="200"/>
    </w:pPr>
    <w:rPr>
      <w:rFonts w:eastAsia="宋体"/>
      <w:kern w:val="2"/>
      <w:sz w:val="21"/>
      <w:szCs w:val="24"/>
    </w:rPr>
  </w:style>
  <w:style w:type="character" w:customStyle="1" w:styleId="58">
    <w:name w:val="文档结构图 Char"/>
    <w:link w:val="9"/>
    <w:qFormat/>
    <w:uiPriority w:val="0"/>
    <w:rPr>
      <w:rFonts w:ascii="Times New Roman" w:hAnsi="Times New Roman" w:eastAsia="宋体" w:cs="Times New Roman"/>
      <w:szCs w:val="24"/>
      <w:shd w:val="clear" w:color="auto" w:fill="000080"/>
    </w:rPr>
  </w:style>
  <w:style w:type="character" w:customStyle="1" w:styleId="59">
    <w:name w:val="正文缩进 Char"/>
    <w:link w:val="8"/>
    <w:qFormat/>
    <w:uiPriority w:val="0"/>
    <w:rPr>
      <w:rFonts w:ascii="宋体" w:hAnsi="宋体" w:eastAsia="宋体"/>
      <w:sz w:val="26"/>
      <w:szCs w:val="26"/>
    </w:rPr>
  </w:style>
  <w:style w:type="character" w:customStyle="1" w:styleId="60">
    <w:name w:val="font41"/>
    <w:qFormat/>
    <w:uiPriority w:val="0"/>
    <w:rPr>
      <w:rFonts w:hint="default" w:ascii="Times New Roman" w:hAnsi="Times New Roman" w:cs="Times New Roman"/>
      <w:color w:val="000000"/>
      <w:sz w:val="20"/>
      <w:szCs w:val="20"/>
      <w:u w:val="none"/>
    </w:rPr>
  </w:style>
  <w:style w:type="character" w:customStyle="1" w:styleId="61">
    <w:name w:val="批注文字 Char"/>
    <w:link w:val="10"/>
    <w:qFormat/>
    <w:uiPriority w:val="0"/>
    <w:rPr>
      <w:rFonts w:ascii="Times New Roman" w:hAnsi="Times New Roman" w:eastAsia="宋体" w:cs="Times New Roman"/>
      <w:szCs w:val="24"/>
    </w:rPr>
  </w:style>
  <w:style w:type="character" w:customStyle="1" w:styleId="62">
    <w:name w:val="表文字 Char1"/>
    <w:link w:val="63"/>
    <w:qFormat/>
    <w:uiPriority w:val="0"/>
    <w:rPr>
      <w:kern w:val="2"/>
      <w:sz w:val="21"/>
      <w:szCs w:val="22"/>
      <w:lang w:val="en-US" w:eastAsia="zh-CN" w:bidi="ar-SA"/>
    </w:rPr>
  </w:style>
  <w:style w:type="paragraph" w:customStyle="1" w:styleId="63">
    <w:name w:val="表文字"/>
    <w:link w:val="62"/>
    <w:qFormat/>
    <w:uiPriority w:val="0"/>
    <w:pPr>
      <w:spacing w:line="240" w:lineRule="exact"/>
    </w:pPr>
    <w:rPr>
      <w:rFonts w:ascii="Times New Roman" w:hAnsi="Times New Roman" w:eastAsia="宋体" w:cs="Times New Roman"/>
      <w:kern w:val="2"/>
      <w:sz w:val="21"/>
      <w:szCs w:val="22"/>
      <w:lang w:val="en-US" w:eastAsia="zh-CN" w:bidi="ar-SA"/>
    </w:rPr>
  </w:style>
  <w:style w:type="character" w:customStyle="1" w:styleId="64">
    <w:name w:val="标题 4 Char"/>
    <w:link w:val="6"/>
    <w:qFormat/>
    <w:uiPriority w:val="0"/>
    <w:rPr>
      <w:rFonts w:eastAsia="方正仿宋_GBK"/>
      <w:kern w:val="2"/>
      <w:sz w:val="32"/>
      <w:szCs w:val="32"/>
    </w:rPr>
  </w:style>
  <w:style w:type="character" w:customStyle="1" w:styleId="65">
    <w:name w:val="NormalCharacter"/>
    <w:semiHidden/>
    <w:qFormat/>
    <w:uiPriority w:val="0"/>
    <w:rPr>
      <w:rFonts w:ascii="Calibri" w:hAnsi="Calibri"/>
      <w:kern w:val="2"/>
      <w:sz w:val="21"/>
      <w:szCs w:val="24"/>
      <w:lang w:val="en-US" w:eastAsia="zh-CN" w:bidi="ar-SA"/>
    </w:rPr>
  </w:style>
  <w:style w:type="character" w:customStyle="1" w:styleId="66">
    <w:name w:val="纯文本 Char1"/>
    <w:link w:val="16"/>
    <w:qFormat/>
    <w:uiPriority w:val="0"/>
    <w:rPr>
      <w:rFonts w:ascii="宋体" w:hAnsi="Courier New" w:cs="Courier New"/>
      <w:kern w:val="2"/>
      <w:sz w:val="21"/>
      <w:szCs w:val="21"/>
    </w:rPr>
  </w:style>
  <w:style w:type="character" w:customStyle="1" w:styleId="67">
    <w:name w:val="副标题 Char"/>
    <w:link w:val="4"/>
    <w:qFormat/>
    <w:uiPriority w:val="0"/>
    <w:rPr>
      <w:rFonts w:ascii="Cambria" w:hAnsi="Cambria" w:eastAsia="方正楷体_GBK"/>
      <w:bCs/>
      <w:kern w:val="28"/>
      <w:sz w:val="32"/>
      <w:szCs w:val="32"/>
    </w:rPr>
  </w:style>
  <w:style w:type="character" w:customStyle="1" w:styleId="68">
    <w:name w:val="apple-style-span"/>
    <w:basedOn w:val="33"/>
    <w:qFormat/>
    <w:uiPriority w:val="0"/>
  </w:style>
  <w:style w:type="character" w:customStyle="1" w:styleId="69">
    <w:name w:val="标题 2 Char"/>
    <w:link w:val="3"/>
    <w:qFormat/>
    <w:uiPriority w:val="0"/>
    <w:rPr>
      <w:rFonts w:eastAsia="方正黑体简体"/>
      <w:bCs/>
      <w:color w:val="000000"/>
      <w:kern w:val="28"/>
      <w:sz w:val="32"/>
      <w:szCs w:val="32"/>
    </w:rPr>
  </w:style>
  <w:style w:type="character" w:customStyle="1" w:styleId="70">
    <w:name w:val="样式 正文文本 + 宋体 黑色 Char Char"/>
    <w:link w:val="71"/>
    <w:qFormat/>
    <w:uiPriority w:val="0"/>
    <w:rPr>
      <w:rFonts w:ascii="宋体" w:hAnsi="宋体" w:eastAsia="宋体"/>
      <w:color w:val="000000"/>
      <w:sz w:val="28"/>
      <w:szCs w:val="24"/>
    </w:rPr>
  </w:style>
  <w:style w:type="paragraph" w:customStyle="1" w:styleId="71">
    <w:name w:val="样式 正文文本 + 宋体 黑色"/>
    <w:basedOn w:val="11"/>
    <w:link w:val="70"/>
    <w:qFormat/>
    <w:uiPriority w:val="0"/>
    <w:pPr>
      <w:spacing w:after="0" w:afterLines="0" w:line="360" w:lineRule="auto"/>
      <w:ind w:firstLine="200" w:firstLineChars="200"/>
    </w:pPr>
    <w:rPr>
      <w:rFonts w:ascii="宋体" w:hAnsi="宋体"/>
      <w:color w:val="000000"/>
      <w:sz w:val="28"/>
    </w:rPr>
  </w:style>
  <w:style w:type="character" w:customStyle="1" w:styleId="72">
    <w:name w:val="font11"/>
    <w:qFormat/>
    <w:uiPriority w:val="0"/>
    <w:rPr>
      <w:rFonts w:hint="eastAsia" w:ascii="仿宋" w:hAnsi="仿宋" w:eastAsia="仿宋" w:cs="仿宋"/>
      <w:color w:val="000000"/>
      <w:sz w:val="20"/>
      <w:szCs w:val="20"/>
      <w:u w:val="none"/>
      <w:vertAlign w:val="superscript"/>
    </w:rPr>
  </w:style>
  <w:style w:type="character" w:customStyle="1" w:styleId="73">
    <w:name w:val="页脚 字符"/>
    <w:basedOn w:val="33"/>
    <w:qFormat/>
    <w:uiPriority w:val="99"/>
  </w:style>
  <w:style w:type="character" w:customStyle="1" w:styleId="74">
    <w:name w:val="杨 Char Char"/>
    <w:link w:val="75"/>
    <w:qFormat/>
    <w:uiPriority w:val="0"/>
    <w:rPr>
      <w:rFonts w:ascii="宋体" w:hAnsi="宋体"/>
      <w:kern w:val="2"/>
      <w:sz w:val="24"/>
      <w:szCs w:val="24"/>
    </w:rPr>
  </w:style>
  <w:style w:type="paragraph" w:customStyle="1" w:styleId="75">
    <w:name w:val="杨"/>
    <w:basedOn w:val="1"/>
    <w:link w:val="74"/>
    <w:qFormat/>
    <w:uiPriority w:val="0"/>
    <w:pPr>
      <w:adjustRightInd w:val="0"/>
      <w:snapToGrid w:val="0"/>
      <w:spacing w:line="300" w:lineRule="auto"/>
      <w:ind w:firstLine="200" w:firstLineChars="200"/>
    </w:pPr>
    <w:rPr>
      <w:rFonts w:ascii="宋体" w:hAnsi="宋体" w:eastAsia="宋体"/>
      <w:kern w:val="2"/>
      <w:sz w:val="24"/>
      <w:szCs w:val="24"/>
    </w:rPr>
  </w:style>
  <w:style w:type="character" w:customStyle="1" w:styleId="76">
    <w:name w:val="zi41"/>
    <w:qFormat/>
    <w:uiPriority w:val="0"/>
    <w:rPr>
      <w:rFonts w:hint="default" w:ascii="΄֐ˎ" w:hAnsi="΄֐ˎ"/>
      <w:color w:val="FFFFFF"/>
      <w:sz w:val="24"/>
      <w:szCs w:val="24"/>
    </w:rPr>
  </w:style>
  <w:style w:type="character" w:customStyle="1" w:styleId="77">
    <w:name w:val="样式 段 + 首行缩进:  2 字符 Char Char"/>
    <w:link w:val="78"/>
    <w:qFormat/>
    <w:uiPriority w:val="0"/>
    <w:rPr>
      <w:rFonts w:ascii="宋体" w:hAnsi="宋体" w:eastAsia="宋体" w:cs="宋体"/>
      <w:szCs w:val="21"/>
    </w:rPr>
  </w:style>
  <w:style w:type="paragraph" w:customStyle="1" w:styleId="78">
    <w:name w:val="样式 段 + 首行缩进:  2 字符"/>
    <w:basedOn w:val="1"/>
    <w:link w:val="77"/>
    <w:qFormat/>
    <w:uiPriority w:val="0"/>
    <w:pPr>
      <w:widowControl/>
      <w:autoSpaceDE w:val="0"/>
      <w:autoSpaceDN w:val="0"/>
      <w:ind w:firstLine="420" w:firstLineChars="200"/>
    </w:pPr>
    <w:rPr>
      <w:rFonts w:ascii="宋体" w:hAnsi="宋体" w:eastAsia="宋体"/>
      <w:kern w:val="0"/>
      <w:sz w:val="20"/>
      <w:szCs w:val="21"/>
    </w:rPr>
  </w:style>
  <w:style w:type="character" w:customStyle="1" w:styleId="79">
    <w:name w:val="正文文本缩进 Char"/>
    <w:link w:val="13"/>
    <w:qFormat/>
    <w:uiPriority w:val="0"/>
    <w:rPr>
      <w:rFonts w:ascii="Times New Roman" w:hAnsi="Times New Roman" w:eastAsia="宋体" w:cs="Times New Roman"/>
      <w:sz w:val="28"/>
      <w:szCs w:val="20"/>
    </w:rPr>
  </w:style>
  <w:style w:type="character" w:customStyle="1" w:styleId="80">
    <w:name w:val="正文文本缩进 3 Char"/>
    <w:link w:val="25"/>
    <w:qFormat/>
    <w:uiPriority w:val="0"/>
    <w:rPr>
      <w:rFonts w:ascii="Times New Roman" w:hAnsi="Times New Roman" w:eastAsia="宋体" w:cs="Times New Roman"/>
      <w:sz w:val="16"/>
      <w:szCs w:val="20"/>
    </w:rPr>
  </w:style>
  <w:style w:type="character" w:customStyle="1" w:styleId="81">
    <w:name w:val="正文文本缩进 2 Char"/>
    <w:link w:val="18"/>
    <w:qFormat/>
    <w:uiPriority w:val="0"/>
    <w:rPr>
      <w:rFonts w:ascii="Times New Roman" w:hAnsi="Times New Roman"/>
      <w:kern w:val="2"/>
      <w:sz w:val="21"/>
      <w:szCs w:val="24"/>
    </w:rPr>
  </w:style>
  <w:style w:type="character" w:customStyle="1" w:styleId="82">
    <w:name w:val="批注主题 Char"/>
    <w:link w:val="30"/>
    <w:qFormat/>
    <w:uiPriority w:val="0"/>
    <w:rPr>
      <w:rFonts w:ascii="Times New Roman" w:hAnsi="Times New Roman" w:eastAsia="宋体" w:cs="Times New Roman"/>
      <w:b/>
      <w:bCs/>
      <w:szCs w:val="24"/>
    </w:rPr>
  </w:style>
  <w:style w:type="character" w:customStyle="1" w:styleId="83">
    <w:name w:val="段 Char Char"/>
    <w:link w:val="84"/>
    <w:qFormat/>
    <w:uiPriority w:val="0"/>
    <w:rPr>
      <w:rFonts w:ascii="宋体" w:hAnsi="宋体"/>
      <w:kern w:val="2"/>
      <w:sz w:val="21"/>
      <w:szCs w:val="22"/>
      <w:lang w:val="en-US" w:eastAsia="zh-CN" w:bidi="ar-SA"/>
    </w:rPr>
  </w:style>
  <w:style w:type="paragraph" w:customStyle="1" w:styleId="84">
    <w:name w:val="段"/>
    <w:link w:val="83"/>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85">
    <w:name w:val="标题 Char"/>
    <w:link w:val="29"/>
    <w:qFormat/>
    <w:uiPriority w:val="0"/>
    <w:rPr>
      <w:rFonts w:eastAsia="方正小标宋_GBK"/>
      <w:bCs/>
      <w:kern w:val="44"/>
      <w:sz w:val="36"/>
      <w:szCs w:val="44"/>
    </w:rPr>
  </w:style>
  <w:style w:type="character" w:customStyle="1" w:styleId="86">
    <w:name w:val="标题 3 Char"/>
    <w:link w:val="5"/>
    <w:qFormat/>
    <w:uiPriority w:val="0"/>
    <w:rPr>
      <w:rFonts w:eastAsia="方正仿宋_GBK"/>
      <w:sz w:val="32"/>
      <w:szCs w:val="32"/>
    </w:rPr>
  </w:style>
  <w:style w:type="character" w:customStyle="1" w:styleId="87">
    <w:name w:val="正文文本 Char"/>
    <w:link w:val="11"/>
    <w:qFormat/>
    <w:uiPriority w:val="0"/>
    <w:rPr>
      <w:rFonts w:ascii="Times New Roman" w:hAnsi="Times New Roman" w:eastAsia="宋体" w:cs="Times New Roman"/>
      <w:szCs w:val="24"/>
    </w:rPr>
  </w:style>
  <w:style w:type="character" w:customStyle="1" w:styleId="88">
    <w:name w:val="批注框文本 Char"/>
    <w:link w:val="19"/>
    <w:qFormat/>
    <w:uiPriority w:val="0"/>
    <w:rPr>
      <w:rFonts w:ascii="Times New Roman" w:hAnsi="Times New Roman" w:eastAsia="宋体" w:cs="Times New Roman"/>
      <w:sz w:val="18"/>
      <w:szCs w:val="18"/>
    </w:rPr>
  </w:style>
  <w:style w:type="paragraph" w:customStyle="1" w:styleId="89">
    <w:name w:val="xl104"/>
    <w:basedOn w:val="1"/>
    <w:qFormat/>
    <w:uiPriority w:val="0"/>
    <w:pPr>
      <w:widowControl/>
      <w:shd w:val="clear" w:color="000000" w:fill="FFFFFF"/>
      <w:spacing w:before="100" w:beforeLines="0" w:beforeAutospacing="1" w:after="100" w:afterLines="0" w:afterAutospacing="1"/>
      <w:jc w:val="center"/>
    </w:pPr>
    <w:rPr>
      <w:rFonts w:ascii="宋体" w:hAnsi="宋体" w:cs="宋体"/>
      <w:color w:val="000000"/>
      <w:kern w:val="0"/>
      <w:sz w:val="20"/>
      <w:szCs w:val="20"/>
    </w:rPr>
  </w:style>
  <w:style w:type="paragraph" w:customStyle="1" w:styleId="90">
    <w:name w:val="xl89"/>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Lines="0" w:beforeAutospacing="1" w:after="100" w:afterLines="0" w:afterAutospacing="1"/>
      <w:jc w:val="left"/>
      <w:textAlignment w:val="center"/>
    </w:pPr>
    <w:rPr>
      <w:rFonts w:ascii="宋体" w:hAnsi="宋体" w:cs="宋体"/>
      <w:color w:val="000000"/>
      <w:kern w:val="0"/>
      <w:sz w:val="18"/>
      <w:szCs w:val="18"/>
    </w:rPr>
  </w:style>
  <w:style w:type="paragraph" w:customStyle="1" w:styleId="91">
    <w:name w:val=" Char Char Char Char Char Char Char Char Char Char Char Char Char Char Char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92">
    <w:name w:val="xl2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500" w:lineRule="exact"/>
      <w:jc w:val="center"/>
    </w:pPr>
    <w:rPr>
      <w:rFonts w:eastAsia="Arial Unicode MS"/>
      <w:kern w:val="0"/>
      <w:sz w:val="24"/>
    </w:rPr>
  </w:style>
  <w:style w:type="paragraph" w:customStyle="1" w:styleId="93">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94">
    <w:name w:val="xl100"/>
    <w:basedOn w:val="1"/>
    <w:qFormat/>
    <w:uiPriority w:val="0"/>
    <w:pPr>
      <w:widowControl/>
      <w:pBdr>
        <w:top w:val="single" w:color="000000" w:sz="8" w:space="0"/>
        <w:left w:val="single" w:color="000000" w:sz="4" w:space="0"/>
        <w:bottom w:val="single" w:color="000000" w:sz="4" w:space="0"/>
        <w:right w:val="single" w:color="000000" w:sz="8" w:space="0"/>
      </w:pBdr>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95">
    <w:name w:val="标题3"/>
    <w:basedOn w:val="1"/>
    <w:qFormat/>
    <w:uiPriority w:val="0"/>
    <w:pPr>
      <w:adjustRightInd/>
      <w:snapToGrid/>
      <w:spacing w:line="600" w:lineRule="exact"/>
    </w:pPr>
    <w:rPr>
      <w:szCs w:val="24"/>
    </w:rPr>
  </w:style>
  <w:style w:type="paragraph" w:customStyle="1" w:styleId="96">
    <w:name w:val="xl77"/>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97">
    <w:name w:val="Body Text First Indent1"/>
    <w:basedOn w:val="11"/>
    <w:qFormat/>
    <w:uiPriority w:val="0"/>
  </w:style>
  <w:style w:type="paragraph" w:customStyle="1" w:styleId="98">
    <w:name w:val="xl84"/>
    <w:basedOn w:val="1"/>
    <w:qFormat/>
    <w:uiPriority w:val="0"/>
    <w:pPr>
      <w:widowControl/>
      <w:pBdr>
        <w:top w:val="single" w:color="000000" w:sz="4" w:space="0"/>
        <w:left w:val="single" w:color="000000" w:sz="4" w:space="0"/>
        <w:bottom w:val="single" w:color="000000" w:sz="4" w:space="0"/>
        <w:right w:val="single" w:color="000000" w:sz="8"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99">
    <w:name w:val="xl94"/>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100">
    <w:name w:val="xl102"/>
    <w:basedOn w:val="1"/>
    <w:qFormat/>
    <w:uiPriority w:val="0"/>
    <w:pPr>
      <w:widowControl/>
      <w:shd w:val="clear" w:color="000000" w:fill="FFFFFF"/>
      <w:spacing w:before="100" w:beforeLines="0" w:beforeAutospacing="1" w:after="100" w:afterLines="0" w:afterAutospacing="1"/>
      <w:jc w:val="center"/>
    </w:pPr>
    <w:rPr>
      <w:rFonts w:ascii="宋体" w:hAnsi="宋体" w:cs="宋体"/>
      <w:color w:val="000000"/>
      <w:kern w:val="0"/>
      <w:sz w:val="20"/>
      <w:szCs w:val="20"/>
    </w:rPr>
  </w:style>
  <w:style w:type="paragraph" w:customStyle="1" w:styleId="101">
    <w:name w:val="xl99"/>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102">
    <w:name w:val="xl101"/>
    <w:basedOn w:val="1"/>
    <w:qFormat/>
    <w:uiPriority w:val="0"/>
    <w:pPr>
      <w:widowControl/>
      <w:shd w:val="clear" w:color="000000" w:fill="FFFFFF"/>
      <w:spacing w:before="100" w:beforeLines="0" w:beforeAutospacing="1" w:after="100" w:afterLines="0" w:afterAutospacing="1"/>
      <w:jc w:val="center"/>
    </w:pPr>
    <w:rPr>
      <w:rFonts w:ascii="宋体" w:hAnsi="宋体" w:cs="宋体"/>
      <w:color w:val="000000"/>
      <w:kern w:val="0"/>
      <w:sz w:val="20"/>
      <w:szCs w:val="20"/>
    </w:rPr>
  </w:style>
  <w:style w:type="paragraph" w:customStyle="1" w:styleId="103">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04">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5">
    <w:name w:val="xl83"/>
    <w:basedOn w:val="1"/>
    <w:qFormat/>
    <w:uiPriority w:val="0"/>
    <w:pPr>
      <w:widowControl/>
      <w:pBdr>
        <w:top w:val="single" w:color="000000" w:sz="8" w:space="0"/>
        <w:left w:val="single" w:color="000000" w:sz="4" w:space="0"/>
        <w:bottom w:val="single" w:color="000000" w:sz="4" w:space="0"/>
        <w:right w:val="single" w:color="000000" w:sz="8"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06">
    <w:name w:val="xl81"/>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07">
    <w:name w:val="xl86"/>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08">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109">
    <w:name w:val="xl88"/>
    <w:basedOn w:val="1"/>
    <w:qFormat/>
    <w:uiPriority w:val="0"/>
    <w:pPr>
      <w:widowControl/>
      <w:shd w:val="clear" w:color="000000"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110">
    <w:name w:val="Char Char Char Char Char2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11">
    <w:name w:val="表名"/>
    <w:basedOn w:val="1"/>
    <w:qFormat/>
    <w:uiPriority w:val="0"/>
    <w:pPr>
      <w:autoSpaceDE w:val="0"/>
      <w:autoSpaceDN w:val="0"/>
      <w:adjustRightInd w:val="0"/>
      <w:snapToGrid w:val="0"/>
      <w:spacing w:line="360" w:lineRule="auto"/>
      <w:jc w:val="center"/>
      <w:textAlignment w:val="baseline"/>
    </w:pPr>
    <w:rPr>
      <w:rFonts w:ascii="黑体" w:eastAsia="黑体"/>
      <w:kern w:val="0"/>
      <w:sz w:val="24"/>
    </w:rPr>
  </w:style>
  <w:style w:type="paragraph" w:customStyle="1" w:styleId="112">
    <w:name w:val="xl103"/>
    <w:basedOn w:val="1"/>
    <w:qFormat/>
    <w:uiPriority w:val="0"/>
    <w:pPr>
      <w:widowControl/>
      <w:pBdr>
        <w:top w:val="single" w:color="000000" w:sz="8" w:space="0"/>
        <w:left w:val="single" w:color="000000" w:sz="4" w:space="0"/>
        <w:bottom w:val="single" w:color="000000" w:sz="4" w:space="0"/>
        <w:right w:val="single" w:color="000000" w:sz="8" w:space="0"/>
      </w:pBdr>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113">
    <w:name w:val="Char2"/>
    <w:basedOn w:val="1"/>
    <w:next w:val="1"/>
    <w:qFormat/>
    <w:uiPriority w:val="0"/>
    <w:pPr>
      <w:spacing w:line="360" w:lineRule="auto"/>
      <w:ind w:firstLine="200" w:firstLineChars="200"/>
    </w:pPr>
    <w:rPr>
      <w:rFonts w:ascii="宋体" w:hAnsi="宋体" w:cs="宋体"/>
      <w:sz w:val="24"/>
    </w:rPr>
  </w:style>
  <w:style w:type="paragraph" w:customStyle="1" w:styleId="114">
    <w:name w:val="xl91"/>
    <w:basedOn w:val="1"/>
    <w:qFormat/>
    <w:uiPriority w:val="0"/>
    <w:pPr>
      <w:widowControl/>
      <w:pBdr>
        <w:top w:val="single" w:color="000000" w:sz="8" w:space="0"/>
        <w:left w:val="single" w:color="000000" w:sz="4" w:space="0"/>
        <w:bottom w:val="single" w:color="000000" w:sz="4" w:space="0"/>
        <w:right w:val="single" w:color="000000" w:sz="8" w:space="0"/>
      </w:pBdr>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115">
    <w:name w:val="xl74"/>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16">
    <w:name w:val="xl80"/>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1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18">
    <w:name w:val="B3"/>
    <w:basedOn w:val="5"/>
    <w:next w:val="1"/>
    <w:qFormat/>
    <w:uiPriority w:val="0"/>
    <w:pPr>
      <w:keepNext/>
      <w:keepLines/>
      <w:spacing w:before="260" w:after="260"/>
      <w:ind w:firstLine="641" w:firstLineChars="0"/>
    </w:pPr>
    <w:rPr>
      <w:rFonts w:ascii="Times New Roman" w:hAnsi="Times New Roman" w:eastAsia="方正仿宋_GBK"/>
      <w:bCs/>
      <w:kern w:val="0"/>
    </w:rPr>
  </w:style>
  <w:style w:type="paragraph" w:customStyle="1" w:styleId="119">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20">
    <w:name w:val="正文（首行缩进两字）"/>
    <w:basedOn w:val="1"/>
    <w:qFormat/>
    <w:uiPriority w:val="0"/>
    <w:rPr>
      <w:szCs w:val="21"/>
    </w:rPr>
  </w:style>
  <w:style w:type="paragraph" w:customStyle="1" w:styleId="121">
    <w:name w:val="_Style 120"/>
    <w:basedOn w:val="2"/>
    <w:next w:val="1"/>
    <w:qFormat/>
    <w:uiPriority w:val="39"/>
    <w:pPr>
      <w:widowControl/>
      <w:adjustRightInd/>
      <w:snapToGrid/>
      <w:spacing w:before="240" w:line="259" w:lineRule="auto"/>
      <w:ind w:firstLine="0" w:firstLineChars="0"/>
      <w:jc w:val="left"/>
      <w:outlineLvl w:val="9"/>
    </w:pPr>
    <w:rPr>
      <w:rFonts w:ascii="等线 Light" w:hAnsi="等线 Light" w:eastAsia="等线 Light" w:cs="Times New Roman"/>
      <w:b w:val="0"/>
      <w:bCs w:val="0"/>
      <w:color w:val="2F5496"/>
      <w:kern w:val="0"/>
      <w:szCs w:val="32"/>
      <w:lang w:val="en-US" w:eastAsia="zh-CN"/>
    </w:rPr>
  </w:style>
  <w:style w:type="paragraph" w:customStyle="1" w:styleId="122">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123">
    <w:name w:val="样式 左侧:  0 厘米 首行缩进:  0.85 厘米"/>
    <w:basedOn w:val="1"/>
    <w:qFormat/>
    <w:uiPriority w:val="0"/>
    <w:pPr>
      <w:ind w:firstLine="480"/>
    </w:pPr>
    <w:rPr>
      <w:rFonts w:eastAsia="仿宋_GB2312"/>
      <w:sz w:val="24"/>
      <w:szCs w:val="20"/>
    </w:rPr>
  </w:style>
  <w:style w:type="paragraph" w:customStyle="1" w:styleId="124">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25">
    <w:name w:val="xl72"/>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126">
    <w:name w:val="xl7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27">
    <w:name w:val="样式 首行缩进:  0.85 厘米"/>
    <w:basedOn w:val="1"/>
    <w:qFormat/>
    <w:uiPriority w:val="0"/>
    <w:pPr>
      <w:autoSpaceDE w:val="0"/>
      <w:adjustRightInd w:val="0"/>
      <w:snapToGrid w:val="0"/>
      <w:spacing w:line="288" w:lineRule="auto"/>
      <w:ind w:firstLine="482"/>
    </w:pPr>
    <w:rPr>
      <w:sz w:val="28"/>
      <w:szCs w:val="20"/>
    </w:rPr>
  </w:style>
  <w:style w:type="paragraph" w:customStyle="1" w:styleId="128">
    <w:name w:val="x正文"/>
    <w:basedOn w:val="28"/>
    <w:qFormat/>
    <w:uiPriority w:val="0"/>
    <w:pPr>
      <w:widowControl w:val="0"/>
      <w:autoSpaceDE w:val="0"/>
      <w:autoSpaceDN w:val="0"/>
      <w:snapToGrid w:val="0"/>
      <w:spacing w:before="0" w:beforeLines="0" w:beforeAutospacing="0" w:after="0" w:afterLines="0" w:afterAutospacing="0" w:line="360" w:lineRule="auto"/>
      <w:ind w:firstLine="200" w:firstLineChars="200"/>
      <w:jc w:val="both"/>
    </w:pPr>
    <w:rPr>
      <w:rFonts w:ascii="Times New Roman" w:hAnsi="Times New Roman" w:eastAsia="仿宋_GB2312" w:cs="宋体"/>
    </w:rPr>
  </w:style>
  <w:style w:type="paragraph" w:customStyle="1" w:styleId="129">
    <w:name w:val="样式2"/>
    <w:basedOn w:val="1"/>
    <w:qFormat/>
    <w:uiPriority w:val="0"/>
    <w:pPr>
      <w:spacing w:line="560" w:lineRule="exact"/>
    </w:pPr>
    <w:rPr>
      <w:sz w:val="24"/>
      <w:szCs w:val="20"/>
    </w:rPr>
  </w:style>
  <w:style w:type="paragraph" w:customStyle="1" w:styleId="130">
    <w:name w:val="p0"/>
    <w:basedOn w:val="1"/>
    <w:qFormat/>
    <w:uiPriority w:val="0"/>
    <w:pPr>
      <w:widowControl/>
      <w:spacing w:line="360" w:lineRule="auto"/>
    </w:pPr>
    <w:rPr>
      <w:rFonts w:ascii="Calibri" w:hAnsi="Calibri" w:cs="Calibri"/>
      <w:kern w:val="0"/>
      <w:sz w:val="24"/>
    </w:rPr>
  </w:style>
  <w:style w:type="paragraph" w:customStyle="1" w:styleId="131">
    <w:name w:val="Char1"/>
    <w:basedOn w:val="1"/>
    <w:qFormat/>
    <w:uiPriority w:val="0"/>
  </w:style>
  <w:style w:type="paragraph" w:customStyle="1" w:styleId="132">
    <w:name w:val="xl63"/>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133">
    <w:name w:val="Char4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34">
    <w:name w:val=" Char Char Char Char Char Char Char Char Char1 Char Char Char Char Char Char Char"/>
    <w:basedOn w:val="1"/>
    <w:qFormat/>
    <w:uiPriority w:val="0"/>
    <w:pPr>
      <w:widowControl/>
      <w:spacing w:after="160" w:afterLines="0" w:line="240" w:lineRule="exact"/>
      <w:jc w:val="left"/>
    </w:pPr>
    <w:rPr>
      <w:sz w:val="30"/>
    </w:rPr>
  </w:style>
  <w:style w:type="paragraph" w:customStyle="1" w:styleId="135">
    <w:name w:val="xl92"/>
    <w:basedOn w:val="1"/>
    <w:qFormat/>
    <w:uiPriority w:val="0"/>
    <w:pPr>
      <w:widowControl/>
      <w:shd w:val="clear" w:color="000000" w:fill="FFFFFF"/>
      <w:spacing w:before="100" w:beforeLines="0" w:beforeAutospacing="1" w:after="100" w:afterLines="0" w:afterAutospacing="1"/>
      <w:jc w:val="center"/>
    </w:pPr>
    <w:rPr>
      <w:rFonts w:ascii="宋体" w:hAnsi="宋体" w:cs="宋体"/>
      <w:color w:val="000000"/>
      <w:kern w:val="0"/>
      <w:sz w:val="20"/>
      <w:szCs w:val="20"/>
    </w:rPr>
  </w:style>
  <w:style w:type="paragraph" w:customStyle="1" w:styleId="136">
    <w:name w:val="Char"/>
    <w:basedOn w:val="1"/>
    <w:qFormat/>
    <w:uiPriority w:val="0"/>
    <w:pPr>
      <w:spacing w:line="360" w:lineRule="auto"/>
      <w:ind w:firstLine="200" w:firstLineChars="200"/>
    </w:pPr>
    <w:rPr>
      <w:sz w:val="28"/>
    </w:rPr>
  </w:style>
  <w:style w:type="paragraph" w:customStyle="1" w:styleId="137">
    <w:name w:val="xl82"/>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38">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39">
    <w:name w:val=" Char Char1"/>
    <w:basedOn w:val="1"/>
    <w:qFormat/>
    <w:uiPriority w:val="0"/>
    <w:pPr>
      <w:adjustRightInd w:val="0"/>
      <w:snapToGrid w:val="0"/>
      <w:jc w:val="both"/>
    </w:pPr>
    <w:rPr>
      <w:sz w:val="28"/>
    </w:rPr>
  </w:style>
  <w:style w:type="paragraph" w:customStyle="1" w:styleId="1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1">
    <w:name w:val="xl98"/>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Lines="0" w:beforeAutospacing="1" w:after="100" w:afterLines="0" w:afterAutospacing="1"/>
      <w:jc w:val="left"/>
      <w:textAlignment w:val="center"/>
    </w:pPr>
    <w:rPr>
      <w:rFonts w:ascii="宋体" w:hAnsi="宋体" w:cs="宋体"/>
      <w:color w:val="000000"/>
      <w:kern w:val="0"/>
      <w:sz w:val="18"/>
      <w:szCs w:val="18"/>
    </w:rPr>
  </w:style>
  <w:style w:type="paragraph" w:customStyle="1" w:styleId="142">
    <w:name w:val="xl96"/>
    <w:basedOn w:val="1"/>
    <w:qFormat/>
    <w:uiPriority w:val="0"/>
    <w:pPr>
      <w:widowControl/>
      <w:shd w:val="clear" w:color="000000" w:fill="FFFFFF"/>
      <w:spacing w:before="100" w:beforeLines="0" w:beforeAutospacing="1" w:after="100" w:afterLines="0" w:afterAutospacing="1"/>
      <w:jc w:val="left"/>
      <w:textAlignment w:val="top"/>
    </w:pPr>
    <w:rPr>
      <w:rFonts w:ascii="宋体" w:hAnsi="宋体" w:cs="宋体"/>
      <w:b/>
      <w:bCs/>
      <w:color w:val="000000"/>
      <w:kern w:val="0"/>
      <w:sz w:val="18"/>
      <w:szCs w:val="18"/>
    </w:rPr>
  </w:style>
  <w:style w:type="paragraph" w:customStyle="1" w:styleId="143">
    <w:name w:val="表格文字1"/>
    <w:basedOn w:val="1"/>
    <w:qFormat/>
    <w:uiPriority w:val="0"/>
    <w:pPr>
      <w:snapToGrid w:val="0"/>
      <w:jc w:val="center"/>
    </w:pPr>
    <w:rPr>
      <w:kern w:val="32"/>
      <w:sz w:val="24"/>
      <w:szCs w:val="20"/>
      <w:lang w:val="de-DE"/>
    </w:rPr>
  </w:style>
  <w:style w:type="paragraph" w:customStyle="1" w:styleId="144">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45">
    <w:name w:val="xl45"/>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46">
    <w:name w:val="xl73"/>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147">
    <w:name w:val="font5"/>
    <w:basedOn w:val="1"/>
    <w:qFormat/>
    <w:uiPriority w:val="0"/>
    <w:pPr>
      <w:widowControl/>
      <w:spacing w:before="100" w:beforeAutospacing="1" w:after="100" w:afterAutospacing="1" w:line="240" w:lineRule="auto"/>
      <w:ind w:firstLine="0" w:firstLineChars="0"/>
    </w:pPr>
    <w:rPr>
      <w:kern w:val="0"/>
      <w:sz w:val="18"/>
      <w:szCs w:val="18"/>
    </w:rPr>
  </w:style>
  <w:style w:type="paragraph" w:customStyle="1" w:styleId="148">
    <w:name w:val="xl97"/>
    <w:basedOn w:val="1"/>
    <w:qFormat/>
    <w:uiPriority w:val="0"/>
    <w:pPr>
      <w:widowControl/>
      <w:shd w:val="clear" w:color="000000"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149">
    <w:name w:val="msonormal"/>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0">
    <w:name w:val="xl85"/>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51">
    <w:name w:val="正文1"/>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152">
    <w:name w:val="font10"/>
    <w:basedOn w:val="1"/>
    <w:qFormat/>
    <w:uiPriority w:val="0"/>
    <w:pPr>
      <w:widowControl/>
      <w:spacing w:before="100" w:beforeLines="0" w:beforeAutospacing="1" w:after="100" w:afterLines="0" w:afterAutospacing="1"/>
      <w:jc w:val="left"/>
    </w:pPr>
    <w:rPr>
      <w:rFonts w:eastAsia="Arial Unicode MS"/>
      <w:color w:val="000000"/>
      <w:kern w:val="0"/>
      <w:sz w:val="24"/>
    </w:rPr>
  </w:style>
  <w:style w:type="paragraph" w:customStyle="1" w:styleId="153">
    <w:name w:val="正文样式"/>
    <w:basedOn w:val="1"/>
    <w:qFormat/>
    <w:uiPriority w:val="0"/>
    <w:pPr>
      <w:spacing w:line="460" w:lineRule="exact"/>
      <w:ind w:firstLine="200" w:firstLineChars="200"/>
    </w:pPr>
    <w:rPr>
      <w:rFonts w:ascii="宋体" w:hAnsi="宋体"/>
      <w:sz w:val="24"/>
    </w:rPr>
  </w:style>
  <w:style w:type="paragraph" w:customStyle="1" w:styleId="154">
    <w:name w:val="Char Char Char Char Char Char"/>
    <w:basedOn w:val="1"/>
    <w:qFormat/>
    <w:uiPriority w:val="0"/>
    <w:pPr>
      <w:spacing w:line="560" w:lineRule="exact"/>
      <w:ind w:firstLine="632" w:firstLineChars="200"/>
    </w:pPr>
    <w:rPr>
      <w:sz w:val="28"/>
    </w:rPr>
  </w:style>
  <w:style w:type="paragraph" w:customStyle="1" w:styleId="155">
    <w:name w:val="xl95"/>
    <w:basedOn w:val="1"/>
    <w:qFormat/>
    <w:uiPriority w:val="0"/>
    <w:pPr>
      <w:widowControl/>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156">
    <w:name w:val="xl93"/>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Lines="0" w:beforeAutospacing="1" w:after="100" w:afterLines="0" w:afterAutospacing="1"/>
      <w:jc w:val="left"/>
      <w:textAlignment w:val="center"/>
    </w:pPr>
    <w:rPr>
      <w:rFonts w:ascii="宋体" w:hAnsi="宋体" w:cs="宋体"/>
      <w:color w:val="000000"/>
      <w:kern w:val="0"/>
      <w:sz w:val="18"/>
      <w:szCs w:val="18"/>
    </w:rPr>
  </w:style>
  <w:style w:type="paragraph" w:customStyle="1" w:styleId="157">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158">
    <w:name w:val="xl7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59">
    <w:name w:val="xl69"/>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160">
    <w:name w:val="xl90"/>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Lines="0" w:beforeAutospacing="1" w:after="100" w:afterLines="0" w:afterAutospacing="1"/>
      <w:jc w:val="center"/>
      <w:textAlignment w:val="center"/>
    </w:pPr>
    <w:rPr>
      <w:rFonts w:ascii="宋体" w:hAnsi="宋体" w:cs="宋体"/>
      <w:color w:val="000000"/>
      <w:kern w:val="0"/>
      <w:sz w:val="18"/>
      <w:szCs w:val="18"/>
    </w:rPr>
  </w:style>
  <w:style w:type="paragraph" w:customStyle="1" w:styleId="161">
    <w:name w:val="默认段落字体 Para Char"/>
    <w:basedOn w:val="1"/>
    <w:qFormat/>
    <w:uiPriority w:val="0"/>
    <w:pPr>
      <w:spacing w:line="360" w:lineRule="auto"/>
      <w:ind w:firstLine="200" w:firstLineChars="200"/>
    </w:pPr>
    <w:rPr>
      <w:szCs w:val="20"/>
    </w:rPr>
  </w:style>
  <w:style w:type="paragraph" w:customStyle="1" w:styleId="162">
    <w:name w:val=" Char Char Char Char Char Char1 Char Char Char Char Char Char 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textRotate="1"/>
    <customShpInfo spid="_x0000_s1032" textRotate="1"/>
    <customShpInfo spid="_x0000_s1027" textRotate="1"/>
    <customShpInfo spid="_x0000_s103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4368</Words>
  <Characters>24901</Characters>
  <Lines>207</Lines>
  <Paragraphs>58</Paragraphs>
  <TotalTime>4</TotalTime>
  <ScaleCrop>false</ScaleCrop>
  <LinksUpToDate>false</LinksUpToDate>
  <CharactersWithSpaces>29211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2022-01-12T16:53:00Z</dcterms:created>
  <dc:creator>se7en</dc:creator>
  <cp:lastModifiedBy> </cp:lastModifiedBy>
  <cp:lastPrinted>2022-02-15T01:11:00Z</cp:lastPrinted>
  <dcterms:modified xsi:type="dcterms:W3CDTF">2025-04-09T10:05:54Z</dcterms:modified>
  <dc:title>重庆勃达建材有限公司页岩矿矿山地质环境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