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76" w:lineRule="auto"/>
        <w:jc w:val="left"/>
        <w:rPr>
          <w:rFonts w:hint="eastAsia" w:ascii="方正仿宋_GBK" w:hAnsi="方正仿宋_GBK" w:eastAsia="方正仿宋_GBK" w:cs="方正仿宋_GBK"/>
          <w:sz w:val="32"/>
          <w:szCs w:val="32"/>
        </w:rPr>
      </w:pPr>
    </w:p>
    <w:p>
      <w:pPr>
        <w:snapToGrid w:val="0"/>
        <w:spacing w:line="276" w:lineRule="auto"/>
        <w:jc w:val="left"/>
        <w:rPr>
          <w:rFonts w:hint="eastAsia" w:ascii="方正仿宋_GBK" w:hAnsi="方正仿宋_GBK" w:eastAsia="方正仿宋_GBK" w:cs="方正仿宋_GBK"/>
          <w:sz w:val="32"/>
          <w:szCs w:val="32"/>
        </w:rPr>
      </w:pPr>
    </w:p>
    <w:p>
      <w:pPr>
        <w:snapToGrid w:val="0"/>
        <w:spacing w:line="276" w:lineRule="auto"/>
        <w:jc w:val="left"/>
        <w:rPr>
          <w:rFonts w:hint="eastAsia" w:ascii="方正仿宋_GBK" w:hAnsi="方正仿宋_GBK" w:eastAsia="方正仿宋_GBK" w:cs="方正仿宋_GBK"/>
          <w:sz w:val="32"/>
          <w:szCs w:val="32"/>
        </w:rPr>
      </w:pPr>
    </w:p>
    <w:p>
      <w:pPr>
        <w:snapToGrid w:val="0"/>
        <w:spacing w:line="276" w:lineRule="auto"/>
        <w:jc w:val="left"/>
        <w:rPr>
          <w:rFonts w:hint="eastAsia" w:ascii="方正仿宋_GBK" w:hAnsi="方正仿宋_GBK" w:eastAsia="方正仿宋_GBK" w:cs="方正仿宋_GBK"/>
          <w:sz w:val="32"/>
          <w:szCs w:val="32"/>
        </w:rPr>
      </w:pPr>
    </w:p>
    <w:p>
      <w:pPr>
        <w:snapToGrid w:val="0"/>
        <w:spacing w:line="276" w:lineRule="auto"/>
        <w:jc w:val="left"/>
        <w:rPr>
          <w:rFonts w:hint="eastAsia" w:ascii="方正仿宋_GBK" w:hAnsi="方正仿宋_GBK" w:eastAsia="方正仿宋_GBK" w:cs="方正仿宋_GBK"/>
          <w:sz w:val="32"/>
          <w:szCs w:val="32"/>
        </w:rPr>
      </w:pPr>
    </w:p>
    <w:p>
      <w:pPr>
        <w:snapToGrid w:val="0"/>
        <w:spacing w:line="276" w:lineRule="auto"/>
        <w:jc w:val="left"/>
        <w:rPr>
          <w:rFonts w:hint="eastAsia" w:ascii="方正仿宋_GBK" w:hAnsi="方正仿宋_GBK" w:eastAsia="方正仿宋_GBK" w:cs="方正仿宋_GBK"/>
          <w:sz w:val="32"/>
          <w:szCs w:val="32"/>
        </w:rPr>
      </w:pPr>
    </w:p>
    <w:p>
      <w:pPr>
        <w:snapToGrid w:val="0"/>
        <w:spacing w:line="276" w:lineRule="auto"/>
        <w:jc w:val="left"/>
        <w:rPr>
          <w:rFonts w:hint="eastAsia" w:ascii="方正仿宋_GBK" w:hAnsi="方正仿宋_GBK" w:eastAsia="方正仿宋_GBK" w:cs="方正仿宋_GBK"/>
          <w:sz w:val="32"/>
          <w:szCs w:val="32"/>
        </w:rPr>
      </w:pPr>
    </w:p>
    <w:p>
      <w:pPr>
        <w:snapToGrid w:val="0"/>
        <w:spacing w:line="276" w:lineRule="auto"/>
        <w:jc w:val="left"/>
        <w:rPr>
          <w:rFonts w:hint="eastAsia" w:ascii="方正仿宋_GBK" w:hAnsi="方正仿宋_GBK" w:eastAsia="方正仿宋_GBK" w:cs="方正仿宋_GBK"/>
          <w:sz w:val="32"/>
          <w:szCs w:val="32"/>
        </w:rPr>
      </w:pPr>
    </w:p>
    <w:p>
      <w:pPr>
        <w:snapToGrid w:val="0"/>
        <w:spacing w:line="276" w:lineRule="auto"/>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永川府办发〔2022〕2号</w:t>
      </w:r>
    </w:p>
    <w:p>
      <w:pPr>
        <w:snapToGrid w:val="0"/>
        <w:spacing w:line="276" w:lineRule="auto"/>
        <w:jc w:val="left"/>
        <w:rPr>
          <w:rFonts w:hint="eastAsia" w:ascii="方正仿宋_GBK" w:hAnsi="方正仿宋_GBK" w:eastAsia="方正仿宋_GBK" w:cs="方正仿宋_GBK"/>
          <w:sz w:val="32"/>
          <w:szCs w:val="32"/>
        </w:rPr>
      </w:pPr>
    </w:p>
    <w:p>
      <w:pPr>
        <w:snapToGrid w:val="0"/>
        <w:spacing w:line="276" w:lineRule="auto"/>
        <w:jc w:val="left"/>
        <w:rPr>
          <w:rFonts w:hint="eastAsia" w:ascii="方正仿宋_GBK" w:hAnsi="方正仿宋_GBK" w:eastAsia="方正仿宋_GBK" w:cs="方正仿宋_GBK"/>
          <w:color w:val="auto"/>
          <w:sz w:val="32"/>
          <w:szCs w:val="32"/>
        </w:rPr>
      </w:pPr>
    </w:p>
    <w:p>
      <w:pPr>
        <w:snapToGrid w:val="0"/>
        <w:spacing w:line="240" w:lineRule="auto"/>
        <w:jc w:val="center"/>
        <w:rPr>
          <w:rFonts w:ascii="方正小标宋_GBK" w:eastAsia="方正小标宋_GBK"/>
          <w:color w:val="auto"/>
          <w:sz w:val="44"/>
          <w:szCs w:val="44"/>
        </w:rPr>
      </w:pPr>
      <w:r>
        <w:rPr>
          <w:rFonts w:hint="eastAsia" w:ascii="方正小标宋_GBK" w:eastAsia="方正小标宋_GBK"/>
          <w:color w:val="auto"/>
          <w:sz w:val="44"/>
          <w:szCs w:val="44"/>
        </w:rPr>
        <w:t>重庆市永川区人民政府办公室</w:t>
      </w:r>
    </w:p>
    <w:p>
      <w:pPr>
        <w:snapToGrid w:val="0"/>
        <w:spacing w:line="240" w:lineRule="auto"/>
        <w:jc w:val="center"/>
        <w:rPr>
          <w:rFonts w:ascii="方正小标宋_GBK" w:eastAsia="方正小标宋_GBK"/>
          <w:color w:val="auto"/>
          <w:sz w:val="44"/>
          <w:szCs w:val="44"/>
        </w:rPr>
      </w:pPr>
      <w:r>
        <w:rPr>
          <w:rFonts w:hint="eastAsia" w:ascii="方正小标宋_GBK" w:eastAsia="方正小标宋_GBK"/>
          <w:color w:val="auto"/>
          <w:sz w:val="44"/>
          <w:szCs w:val="44"/>
        </w:rPr>
        <w:t>关于印发重庆市永川区地质灾害防治</w:t>
      </w:r>
    </w:p>
    <w:p>
      <w:pPr>
        <w:snapToGrid w:val="0"/>
        <w:spacing w:line="240" w:lineRule="auto"/>
        <w:jc w:val="center"/>
        <w:rPr>
          <w:rFonts w:ascii="方正小标宋_GBK" w:eastAsia="方正小标宋_GBK"/>
          <w:bCs/>
          <w:color w:val="auto"/>
          <w:sz w:val="44"/>
          <w:szCs w:val="44"/>
        </w:rPr>
      </w:pPr>
      <w:r>
        <w:rPr>
          <w:rFonts w:hint="eastAsia" w:ascii="方正小标宋_GBK" w:eastAsia="方正小标宋_GBK"/>
          <w:bCs/>
          <w:color w:val="auto"/>
          <w:sz w:val="44"/>
          <w:szCs w:val="44"/>
        </w:rPr>
        <w:t>“十四五”专项规划的通知</w:t>
      </w:r>
    </w:p>
    <w:p>
      <w:pPr>
        <w:snapToGrid w:val="0"/>
        <w:spacing w:line="240" w:lineRule="auto"/>
        <w:rPr>
          <w:rFonts w:ascii="方正仿宋_GBK" w:eastAsia="方正仿宋_GBK"/>
          <w:b/>
          <w:color w:val="auto"/>
          <w:sz w:val="32"/>
          <w:szCs w:val="32"/>
        </w:rPr>
      </w:pPr>
    </w:p>
    <w:p>
      <w:pPr>
        <w:adjustRightInd w:val="0"/>
        <w:snapToGrid w:val="0"/>
        <w:spacing w:line="240" w:lineRule="auto"/>
        <w:rPr>
          <w:rFonts w:ascii="方正仿宋_GBK" w:eastAsia="方正仿宋_GBK"/>
          <w:color w:val="auto"/>
          <w:sz w:val="32"/>
          <w:szCs w:val="32"/>
        </w:rPr>
      </w:pPr>
      <w:r>
        <w:rPr>
          <w:rFonts w:hint="eastAsia" w:ascii="方正仿宋_GBK" w:eastAsia="方正仿宋_GBK"/>
          <w:color w:val="auto"/>
          <w:sz w:val="32"/>
          <w:szCs w:val="32"/>
        </w:rPr>
        <w:t>各镇人民政府、街道办事处，区政府有关部门，有关单位：</w:t>
      </w:r>
    </w:p>
    <w:p>
      <w:pPr>
        <w:adjustRightInd w:val="0"/>
        <w:snapToGrid w:val="0"/>
        <w:spacing w:line="240" w:lineRule="auto"/>
        <w:ind w:firstLine="640" w:firstLineChars="200"/>
        <w:rPr>
          <w:rFonts w:ascii="方正仿宋_GBK" w:eastAsia="方正仿宋_GBK"/>
          <w:color w:val="auto"/>
          <w:sz w:val="32"/>
          <w:szCs w:val="32"/>
        </w:rPr>
      </w:pPr>
      <w:r>
        <w:rPr>
          <w:rFonts w:hint="eastAsia" w:ascii="方正仿宋_GBK" w:eastAsia="方正仿宋_GBK"/>
          <w:color w:val="auto"/>
          <w:sz w:val="32"/>
          <w:szCs w:val="32"/>
        </w:rPr>
        <w:t>《重庆市永川区地质灾害防治“十四五”专项规划》已经区政府</w:t>
      </w:r>
      <w:r>
        <w:rPr>
          <w:rFonts w:hint="eastAsia" w:ascii="方正仿宋_GBK" w:eastAsia="方正仿宋_GBK"/>
          <w:color w:val="auto"/>
          <w:sz w:val="32"/>
          <w:szCs w:val="32"/>
          <w:lang w:eastAsia="zh-CN"/>
        </w:rPr>
        <w:t>同意</w:t>
      </w:r>
      <w:r>
        <w:rPr>
          <w:rFonts w:hint="eastAsia" w:ascii="方正仿宋_GBK" w:eastAsia="方正仿宋_GBK"/>
          <w:color w:val="auto"/>
          <w:sz w:val="32"/>
          <w:szCs w:val="32"/>
        </w:rPr>
        <w:t>，现印发给你们，请认真贯彻执行。</w:t>
      </w:r>
    </w:p>
    <w:p>
      <w:pPr>
        <w:adjustRightInd w:val="0"/>
        <w:snapToGrid w:val="0"/>
        <w:spacing w:line="240" w:lineRule="auto"/>
        <w:rPr>
          <w:rFonts w:ascii="方正仿宋_GBK" w:eastAsia="方正仿宋_GBK"/>
          <w:color w:val="auto"/>
          <w:sz w:val="32"/>
          <w:szCs w:val="32"/>
        </w:rPr>
      </w:pPr>
    </w:p>
    <w:p>
      <w:pPr>
        <w:adjustRightInd w:val="0"/>
        <w:snapToGrid w:val="0"/>
        <w:spacing w:line="240" w:lineRule="auto"/>
        <w:rPr>
          <w:rFonts w:ascii="方正仿宋_GBK" w:eastAsia="方正仿宋_GBK"/>
          <w:color w:val="auto"/>
          <w:sz w:val="32"/>
          <w:szCs w:val="32"/>
        </w:rPr>
      </w:pPr>
    </w:p>
    <w:p>
      <w:pPr>
        <w:adjustRightInd w:val="0"/>
        <w:snapToGrid w:val="0"/>
        <w:spacing w:line="240" w:lineRule="auto"/>
        <w:jc w:val="center"/>
        <w:rPr>
          <w:rFonts w:ascii="方正仿宋_GBK" w:eastAsia="方正仿宋_GBK"/>
          <w:color w:val="auto"/>
          <w:sz w:val="32"/>
          <w:szCs w:val="32"/>
        </w:rPr>
      </w:pPr>
      <w:r>
        <w:rPr>
          <w:rFonts w:hint="eastAsia" w:ascii="方正仿宋_GBK" w:eastAsia="方正仿宋_GBK"/>
          <w:color w:val="auto"/>
          <w:sz w:val="32"/>
          <w:szCs w:val="32"/>
        </w:rPr>
        <w:t xml:space="preserve">               </w:t>
      </w:r>
      <w:r>
        <w:rPr>
          <w:rFonts w:hint="default" w:ascii="方正仿宋_GBK" w:eastAsia="方正仿宋_GBK"/>
          <w:color w:val="auto"/>
          <w:sz w:val="32"/>
          <w:szCs w:val="32"/>
          <w:lang w:val="en"/>
        </w:rPr>
        <w:t xml:space="preserve">        </w:t>
      </w:r>
      <w:r>
        <w:rPr>
          <w:rFonts w:hint="eastAsia" w:ascii="方正仿宋_GBK" w:eastAsia="方正仿宋_GBK"/>
          <w:color w:val="auto"/>
          <w:sz w:val="32"/>
          <w:szCs w:val="32"/>
        </w:rPr>
        <w:t xml:space="preserve"> 重庆市永川区人民政府办公室</w:t>
      </w:r>
    </w:p>
    <w:p>
      <w:pPr>
        <w:adjustRightInd w:val="0"/>
        <w:snapToGrid w:val="0"/>
        <w:spacing w:line="240" w:lineRule="auto"/>
        <w:jc w:val="center"/>
        <w:rPr>
          <w:rFonts w:ascii="方正仿宋_GBK" w:eastAsia="方正仿宋_GBK"/>
          <w:color w:val="auto"/>
          <w:sz w:val="32"/>
          <w:szCs w:val="32"/>
        </w:rPr>
      </w:pPr>
      <w:r>
        <w:rPr>
          <w:rFonts w:hint="eastAsia" w:ascii="方正仿宋_GBK" w:eastAsia="方正仿宋_GBK"/>
          <w:color w:val="auto"/>
          <w:sz w:val="32"/>
          <w:szCs w:val="32"/>
        </w:rPr>
        <w:t xml:space="preserve">               </w:t>
      </w:r>
      <w:r>
        <w:rPr>
          <w:rFonts w:hint="default" w:ascii="方正仿宋_GBK" w:eastAsia="方正仿宋_GBK"/>
          <w:color w:val="auto"/>
          <w:sz w:val="32"/>
          <w:szCs w:val="32"/>
          <w:lang w:val="en"/>
        </w:rPr>
        <w:t xml:space="preserve">   </w:t>
      </w:r>
      <w:r>
        <w:rPr>
          <w:rFonts w:hint="eastAsia" w:ascii="方正仿宋_GBK" w:eastAsia="方正仿宋_GBK"/>
          <w:color w:val="auto"/>
          <w:sz w:val="32"/>
          <w:szCs w:val="32"/>
        </w:rPr>
        <w:t xml:space="preserve">      202</w:t>
      </w:r>
      <w:r>
        <w:rPr>
          <w:rFonts w:hint="default" w:ascii="方正仿宋_GBK" w:eastAsia="方正仿宋_GBK"/>
          <w:color w:val="auto"/>
          <w:sz w:val="32"/>
          <w:szCs w:val="32"/>
          <w:lang w:val="en"/>
        </w:rPr>
        <w:t>2</w:t>
      </w:r>
      <w:r>
        <w:rPr>
          <w:rFonts w:hint="eastAsia" w:ascii="方正仿宋_GBK" w:eastAsia="方正仿宋_GBK"/>
          <w:color w:val="auto"/>
          <w:sz w:val="32"/>
          <w:szCs w:val="32"/>
        </w:rPr>
        <w:t>年1月</w:t>
      </w:r>
      <w:r>
        <w:rPr>
          <w:rFonts w:hint="default" w:ascii="方正仿宋_GBK" w:eastAsia="方正仿宋_GBK"/>
          <w:color w:val="auto"/>
          <w:sz w:val="32"/>
          <w:szCs w:val="32"/>
          <w:lang w:val="en"/>
        </w:rPr>
        <w:t>10</w:t>
      </w:r>
      <w:r>
        <w:rPr>
          <w:rFonts w:hint="eastAsia" w:ascii="方正仿宋_GBK" w:eastAsia="方正仿宋_GBK"/>
          <w:color w:val="auto"/>
          <w:sz w:val="32"/>
          <w:szCs w:val="32"/>
        </w:rPr>
        <w:t>日</w:t>
      </w:r>
    </w:p>
    <w:p>
      <w:pPr>
        <w:adjustRightInd w:val="0"/>
        <w:snapToGrid w:val="0"/>
        <w:spacing w:line="240" w:lineRule="auto"/>
        <w:ind w:firstLine="640" w:firstLineChars="200"/>
        <w:rPr>
          <w:rFonts w:ascii="方正仿宋_GBK" w:eastAsia="方正仿宋_GBK"/>
          <w:color w:val="auto"/>
          <w:sz w:val="32"/>
          <w:szCs w:val="32"/>
        </w:rPr>
      </w:pPr>
      <w:r>
        <w:rPr>
          <w:rFonts w:hint="eastAsia" w:ascii="方正仿宋_GBK" w:eastAsia="方正仿宋_GBK"/>
          <w:color w:val="auto"/>
          <w:sz w:val="32"/>
          <w:szCs w:val="32"/>
        </w:rPr>
        <w:t>（此件公开发布）</w:t>
      </w:r>
    </w:p>
    <w:p>
      <w:pPr>
        <w:spacing w:before="0" w:beforeAutospacing="0" w:after="0" w:afterAutospacing="0"/>
        <w:jc w:val="left"/>
        <w:rPr>
          <w:rFonts w:eastAsia="华文中宋"/>
          <w:color w:val="auto"/>
          <w:sz w:val="32"/>
          <w:szCs w:val="32"/>
        </w:rPr>
      </w:pPr>
      <w:r>
        <w:rPr>
          <w:rFonts w:eastAsia="华文中宋"/>
          <w:color w:val="auto"/>
          <w:sz w:val="32"/>
          <w:szCs w:val="32"/>
        </w:rPr>
        <w:br w:type="page"/>
      </w:r>
    </w:p>
    <w:p>
      <w:pPr>
        <w:spacing w:line="600" w:lineRule="exact"/>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重庆市永川区</w:t>
      </w:r>
    </w:p>
    <w:p>
      <w:pPr>
        <w:spacing w:line="600" w:lineRule="exact"/>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地质灾害防治</w:t>
      </w:r>
      <w:r>
        <w:rPr>
          <w:rFonts w:hint="eastAsia" w:ascii="方正小标宋_GBK" w:hAnsi="方正小标宋_GBK" w:eastAsia="方正小标宋_GBK" w:cs="方正小标宋_GBK"/>
          <w:color w:val="auto"/>
          <w:sz w:val="44"/>
          <w:szCs w:val="44"/>
          <w:lang w:eastAsia="zh-CN"/>
        </w:rPr>
        <w:t>“</w:t>
      </w:r>
      <w:r>
        <w:rPr>
          <w:rFonts w:hint="eastAsia" w:ascii="方正小标宋_GBK" w:hAnsi="方正小标宋_GBK" w:eastAsia="方正小标宋_GBK" w:cs="方正小标宋_GBK"/>
          <w:color w:val="auto"/>
          <w:sz w:val="44"/>
          <w:szCs w:val="44"/>
        </w:rPr>
        <w:t>十四五”专项规划</w:t>
      </w:r>
    </w:p>
    <w:p>
      <w:pPr>
        <w:adjustRightInd w:val="0"/>
        <w:snapToGrid w:val="0"/>
        <w:spacing w:beforeLines="50" w:afterLines="50" w:line="240" w:lineRule="auto"/>
        <w:jc w:val="center"/>
        <w:rPr>
          <w:rFonts w:hint="eastAsia" w:ascii="方正仿宋_GBK" w:hAnsi="Times New Roman" w:eastAsia="方正仿宋_GBK" w:cs="Times New Roman"/>
          <w:b w:val="0"/>
          <w:bCs w:val="0"/>
          <w:color w:val="auto"/>
          <w:sz w:val="32"/>
          <w:szCs w:val="32"/>
        </w:rPr>
      </w:pPr>
      <w:bookmarkStart w:id="0" w:name="_Toc80872497"/>
      <w:bookmarkStart w:id="1" w:name="_Toc81602507"/>
    </w:p>
    <w:p>
      <w:pPr>
        <w:spacing w:before="0" w:beforeLines="0" w:after="0" w:afterLines="0" w:line="240" w:lineRule="auto"/>
        <w:ind w:left="0" w:leftChars="0" w:right="0" w:rightChars="0" w:firstLine="0" w:firstLineChars="0"/>
        <w:jc w:val="center"/>
        <w:rPr>
          <w:rFonts w:hint="eastAsia" w:ascii="方正楷体_GBK" w:hAnsi="方正楷体_GBK" w:eastAsia="方正楷体_GBK" w:cs="方正楷体_GBK"/>
          <w:sz w:val="32"/>
          <w:szCs w:val="32"/>
        </w:rPr>
      </w:pPr>
      <w:bookmarkStart w:id="2" w:name="_Toc1891776624_WPSOffice_Type2"/>
      <w:r>
        <w:rPr>
          <w:rFonts w:hint="eastAsia" w:ascii="方正楷体_GBK" w:hAnsi="方正楷体_GBK" w:eastAsia="方正楷体_GBK" w:cs="方正楷体_GBK"/>
          <w:sz w:val="32"/>
          <w:szCs w:val="32"/>
        </w:rPr>
        <w:t>目</w:t>
      </w:r>
      <w:r>
        <w:rPr>
          <w:rFonts w:hint="eastAsia" w:ascii="方正楷体_GBK" w:hAnsi="方正楷体_GBK" w:eastAsia="方正楷体_GBK" w:cs="方正楷体_GBK"/>
          <w:sz w:val="32"/>
          <w:szCs w:val="32"/>
          <w:lang w:val="en-US" w:eastAsia="zh-CN"/>
        </w:rPr>
        <w:t xml:space="preserve">  </w:t>
      </w:r>
      <w:r>
        <w:rPr>
          <w:rFonts w:hint="eastAsia" w:ascii="方正楷体_GBK" w:hAnsi="方正楷体_GBK" w:eastAsia="方正楷体_GBK" w:cs="方正楷体_GBK"/>
          <w:sz w:val="32"/>
          <w:szCs w:val="32"/>
        </w:rPr>
        <w:t>录</w:t>
      </w:r>
    </w:p>
    <w:p>
      <w:pPr>
        <w:adjustRightInd w:val="0"/>
        <w:snapToGrid w:val="0"/>
        <w:spacing w:line="240" w:lineRule="auto"/>
        <w:rPr>
          <w:rFonts w:hint="eastAsia" w:ascii="方正仿宋_GBK" w:hAnsi="Times New Roman" w:eastAsia="方正仿宋_GBK" w:cs="Times New Roman"/>
          <w:b w:val="0"/>
          <w:bCs w:val="0"/>
          <w:color w:val="auto"/>
          <w:sz w:val="32"/>
          <w:szCs w:val="32"/>
        </w:rPr>
      </w:pPr>
    </w:p>
    <w:p>
      <w:pPr>
        <w:pStyle w:val="43"/>
        <w:tabs>
          <w:tab w:val="right" w:leader="dot" w:pos="8844"/>
        </w:tabs>
        <w:snapToGrid w:val="0"/>
        <w:spacing w:line="276" w:lineRule="auto"/>
        <w:rPr>
          <w:b w:val="0"/>
          <w:bCs w:val="0"/>
          <w:sz w:val="30"/>
          <w:szCs w:val="30"/>
        </w:rPr>
      </w:pPr>
      <w:r>
        <w:rPr>
          <w:b w:val="0"/>
          <w:bCs w:val="0"/>
          <w:sz w:val="30"/>
          <w:szCs w:val="30"/>
        </w:rPr>
        <w:fldChar w:fldCharType="begin"/>
      </w:r>
      <w:r>
        <w:rPr>
          <w:b w:val="0"/>
          <w:bCs w:val="0"/>
          <w:sz w:val="30"/>
          <w:szCs w:val="30"/>
        </w:rPr>
        <w:instrText xml:space="preserve"> HYPERLINK \l _Toc824738856_WPSOffice_Level1 </w:instrText>
      </w:r>
      <w:r>
        <w:rPr>
          <w:b w:val="0"/>
          <w:bCs w:val="0"/>
          <w:sz w:val="30"/>
          <w:szCs w:val="30"/>
        </w:rPr>
        <w:fldChar w:fldCharType="separate"/>
      </w:r>
      <w:r>
        <w:rPr>
          <w:rFonts w:hint="eastAsia" w:ascii="方正黑体_GBK" w:hAnsi="方正黑体_GBK" w:eastAsia="方正黑体_GBK" w:cs="方正黑体_GBK"/>
          <w:b w:val="0"/>
          <w:bCs w:val="0"/>
          <w:sz w:val="30"/>
          <w:szCs w:val="30"/>
        </w:rPr>
        <w:t>一、地质灾害防治现状与形势</w:t>
      </w:r>
      <w:r>
        <w:rPr>
          <w:b w:val="0"/>
          <w:bCs w:val="0"/>
          <w:sz w:val="30"/>
          <w:szCs w:val="30"/>
        </w:rPr>
        <w:tab/>
      </w:r>
      <w:bookmarkStart w:id="3" w:name="_Toc824738856_WPSOffice_Level1Page"/>
      <w:r>
        <w:rPr>
          <w:b w:val="0"/>
          <w:bCs w:val="0"/>
          <w:sz w:val="30"/>
          <w:szCs w:val="30"/>
        </w:rPr>
        <w:t>4</w:t>
      </w:r>
      <w:bookmarkEnd w:id="3"/>
      <w:r>
        <w:rPr>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_Toc1905273805_WPSOffice_Level2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（一）地质灾害现状</w:t>
      </w:r>
      <w:r>
        <w:rPr>
          <w:rFonts w:hint="eastAsia" w:ascii="方正仿宋_GBK" w:hAnsi="方正仿宋_GBK" w:eastAsia="方正仿宋_GBK" w:cs="方正仿宋_GBK"/>
          <w:b w:val="0"/>
          <w:bCs w:val="0"/>
          <w:sz w:val="30"/>
          <w:szCs w:val="30"/>
        </w:rPr>
        <w:tab/>
      </w:r>
      <w:bookmarkStart w:id="4" w:name="_Toc1905273805_WPSOffice_Level2Page"/>
      <w:r>
        <w:rPr>
          <w:rFonts w:hint="eastAsia" w:ascii="方正仿宋_GBK" w:hAnsi="方正仿宋_GBK" w:eastAsia="方正仿宋_GBK" w:cs="方正仿宋_GBK"/>
          <w:b w:val="0"/>
          <w:bCs w:val="0"/>
          <w:sz w:val="30"/>
          <w:szCs w:val="30"/>
        </w:rPr>
        <w:t>4</w:t>
      </w:r>
      <w:bookmarkEnd w:id="4"/>
      <w:r>
        <w:rPr>
          <w:rFonts w:hint="eastAsia" w:ascii="方正仿宋_GBK" w:hAnsi="方正仿宋_GBK" w:eastAsia="方正仿宋_GBK" w:cs="方正仿宋_GBK"/>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_Toc1658585376_WPSOffice_Level2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（二）“十三五”地质灾害防治成效</w:t>
      </w:r>
      <w:r>
        <w:rPr>
          <w:rFonts w:hint="eastAsia" w:ascii="方正仿宋_GBK" w:hAnsi="方正仿宋_GBK" w:eastAsia="方正仿宋_GBK" w:cs="方正仿宋_GBK"/>
          <w:b w:val="0"/>
          <w:bCs w:val="0"/>
          <w:sz w:val="30"/>
          <w:szCs w:val="30"/>
        </w:rPr>
        <w:tab/>
      </w:r>
      <w:bookmarkStart w:id="5" w:name="_Toc1658585376_WPSOffice_Level2Page"/>
      <w:r>
        <w:rPr>
          <w:rFonts w:hint="eastAsia" w:ascii="方正仿宋_GBK" w:hAnsi="方正仿宋_GBK" w:eastAsia="方正仿宋_GBK" w:cs="方正仿宋_GBK"/>
          <w:b w:val="0"/>
          <w:bCs w:val="0"/>
          <w:sz w:val="30"/>
          <w:szCs w:val="30"/>
        </w:rPr>
        <w:t>5</w:t>
      </w:r>
      <w:bookmarkEnd w:id="5"/>
      <w:r>
        <w:rPr>
          <w:rFonts w:hint="eastAsia" w:ascii="方正仿宋_GBK" w:hAnsi="方正仿宋_GBK" w:eastAsia="方正仿宋_GBK" w:cs="方正仿宋_GBK"/>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_Toc707654421_WPSOffice_Level2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（三）“十四五”面临的形势及存在的问题</w:t>
      </w:r>
      <w:r>
        <w:rPr>
          <w:rFonts w:hint="eastAsia" w:ascii="方正仿宋_GBK" w:hAnsi="方正仿宋_GBK" w:eastAsia="方正仿宋_GBK" w:cs="方正仿宋_GBK"/>
          <w:b w:val="0"/>
          <w:bCs w:val="0"/>
          <w:sz w:val="30"/>
          <w:szCs w:val="30"/>
        </w:rPr>
        <w:tab/>
      </w:r>
      <w:bookmarkStart w:id="6" w:name="_Toc707654421_WPSOffice_Level2Page"/>
      <w:r>
        <w:rPr>
          <w:rFonts w:hint="eastAsia" w:ascii="方正仿宋_GBK" w:hAnsi="方正仿宋_GBK" w:eastAsia="方正仿宋_GBK" w:cs="方正仿宋_GBK"/>
          <w:b w:val="0"/>
          <w:bCs w:val="0"/>
          <w:sz w:val="30"/>
          <w:szCs w:val="30"/>
        </w:rPr>
        <w:t>7</w:t>
      </w:r>
      <w:bookmarkEnd w:id="6"/>
      <w:r>
        <w:rPr>
          <w:rFonts w:hint="eastAsia" w:ascii="方正仿宋_GBK" w:hAnsi="方正仿宋_GBK" w:eastAsia="方正仿宋_GBK" w:cs="方正仿宋_GBK"/>
          <w:b w:val="0"/>
          <w:bCs w:val="0"/>
          <w:sz w:val="30"/>
          <w:szCs w:val="30"/>
        </w:rPr>
        <w:fldChar w:fldCharType="end"/>
      </w:r>
    </w:p>
    <w:p>
      <w:pPr>
        <w:pStyle w:val="43"/>
        <w:tabs>
          <w:tab w:val="right" w:leader="dot" w:pos="8844"/>
        </w:tabs>
        <w:snapToGrid w:val="0"/>
        <w:spacing w:line="276" w:lineRule="auto"/>
        <w:rPr>
          <w:b w:val="0"/>
          <w:bCs w:val="0"/>
          <w:sz w:val="30"/>
          <w:szCs w:val="30"/>
        </w:rPr>
      </w:pPr>
      <w:r>
        <w:rPr>
          <w:b w:val="0"/>
          <w:bCs w:val="0"/>
          <w:sz w:val="30"/>
          <w:szCs w:val="30"/>
        </w:rPr>
        <w:fldChar w:fldCharType="begin"/>
      </w:r>
      <w:r>
        <w:rPr>
          <w:b w:val="0"/>
          <w:bCs w:val="0"/>
          <w:sz w:val="30"/>
          <w:szCs w:val="30"/>
        </w:rPr>
        <w:instrText xml:space="preserve"> HYPERLINK \l _Toc2108107208_WPSOffice_Level1 </w:instrText>
      </w:r>
      <w:r>
        <w:rPr>
          <w:b w:val="0"/>
          <w:bCs w:val="0"/>
          <w:sz w:val="30"/>
          <w:szCs w:val="30"/>
        </w:rPr>
        <w:fldChar w:fldCharType="separate"/>
      </w:r>
      <w:r>
        <w:rPr>
          <w:rFonts w:hint="eastAsia" w:ascii="方正黑体_GBK" w:hAnsi="方正黑体_GBK" w:eastAsia="方正黑体_GBK" w:cs="方正黑体_GBK"/>
          <w:b w:val="0"/>
          <w:bCs w:val="0"/>
          <w:sz w:val="30"/>
          <w:szCs w:val="30"/>
        </w:rPr>
        <w:t>二、指导思想、基本原则、规划目标</w:t>
      </w:r>
      <w:r>
        <w:rPr>
          <w:b w:val="0"/>
          <w:bCs w:val="0"/>
          <w:sz w:val="30"/>
          <w:szCs w:val="30"/>
        </w:rPr>
        <w:tab/>
      </w:r>
      <w:bookmarkStart w:id="7" w:name="_Toc2108107208_WPSOffice_Level1Page"/>
      <w:r>
        <w:rPr>
          <w:b w:val="0"/>
          <w:bCs w:val="0"/>
          <w:sz w:val="30"/>
          <w:szCs w:val="30"/>
        </w:rPr>
        <w:t>10</w:t>
      </w:r>
      <w:bookmarkEnd w:id="7"/>
      <w:r>
        <w:rPr>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_Toc1550737137_WPSOffice_Level2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（一）指导思想</w:t>
      </w:r>
      <w:r>
        <w:rPr>
          <w:rFonts w:hint="eastAsia" w:ascii="方正仿宋_GBK" w:hAnsi="方正仿宋_GBK" w:eastAsia="方正仿宋_GBK" w:cs="方正仿宋_GBK"/>
          <w:b w:val="0"/>
          <w:bCs w:val="0"/>
          <w:sz w:val="30"/>
          <w:szCs w:val="30"/>
        </w:rPr>
        <w:tab/>
      </w:r>
      <w:bookmarkStart w:id="8" w:name="_Toc1550737137_WPSOffice_Level2Page"/>
      <w:r>
        <w:rPr>
          <w:rFonts w:hint="eastAsia" w:ascii="方正仿宋_GBK" w:hAnsi="方正仿宋_GBK" w:eastAsia="方正仿宋_GBK" w:cs="方正仿宋_GBK"/>
          <w:b w:val="0"/>
          <w:bCs w:val="0"/>
          <w:sz w:val="30"/>
          <w:szCs w:val="30"/>
        </w:rPr>
        <w:t>10</w:t>
      </w:r>
      <w:bookmarkEnd w:id="8"/>
      <w:r>
        <w:rPr>
          <w:rFonts w:hint="eastAsia" w:ascii="方正仿宋_GBK" w:hAnsi="方正仿宋_GBK" w:eastAsia="方正仿宋_GBK" w:cs="方正仿宋_GBK"/>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_Toc56371825_WPSOffice_Level2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（二）基本原则</w:t>
      </w:r>
      <w:r>
        <w:rPr>
          <w:rFonts w:hint="eastAsia" w:ascii="方正仿宋_GBK" w:hAnsi="方正仿宋_GBK" w:eastAsia="方正仿宋_GBK" w:cs="方正仿宋_GBK"/>
          <w:b w:val="0"/>
          <w:bCs w:val="0"/>
          <w:sz w:val="30"/>
          <w:szCs w:val="30"/>
        </w:rPr>
        <w:tab/>
      </w:r>
      <w:bookmarkStart w:id="9" w:name="_Toc56371825_WPSOffice_Level2Page"/>
      <w:r>
        <w:rPr>
          <w:rFonts w:hint="eastAsia" w:ascii="方正仿宋_GBK" w:hAnsi="方正仿宋_GBK" w:eastAsia="方正仿宋_GBK" w:cs="方正仿宋_GBK"/>
          <w:b w:val="0"/>
          <w:bCs w:val="0"/>
          <w:sz w:val="30"/>
          <w:szCs w:val="30"/>
        </w:rPr>
        <w:t>11</w:t>
      </w:r>
      <w:bookmarkEnd w:id="9"/>
      <w:r>
        <w:rPr>
          <w:rFonts w:hint="eastAsia" w:ascii="方正仿宋_GBK" w:hAnsi="方正仿宋_GBK" w:eastAsia="方正仿宋_GBK" w:cs="方正仿宋_GBK"/>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_Toc366084116_WPSOffice_Level2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（三）规划目标</w:t>
      </w:r>
      <w:r>
        <w:rPr>
          <w:rFonts w:hint="eastAsia" w:ascii="方正仿宋_GBK" w:hAnsi="方正仿宋_GBK" w:eastAsia="方正仿宋_GBK" w:cs="方正仿宋_GBK"/>
          <w:b w:val="0"/>
          <w:bCs w:val="0"/>
          <w:sz w:val="30"/>
          <w:szCs w:val="30"/>
        </w:rPr>
        <w:tab/>
      </w:r>
      <w:bookmarkStart w:id="10" w:name="_Toc366084116_WPSOffice_Level2Page"/>
      <w:r>
        <w:rPr>
          <w:rFonts w:hint="eastAsia" w:ascii="方正仿宋_GBK" w:hAnsi="方正仿宋_GBK" w:eastAsia="方正仿宋_GBK" w:cs="方正仿宋_GBK"/>
          <w:b w:val="0"/>
          <w:bCs w:val="0"/>
          <w:sz w:val="30"/>
          <w:szCs w:val="30"/>
        </w:rPr>
        <w:t>12</w:t>
      </w:r>
      <w:bookmarkEnd w:id="10"/>
      <w:r>
        <w:rPr>
          <w:rFonts w:hint="eastAsia" w:ascii="方正仿宋_GBK" w:hAnsi="方正仿宋_GBK" w:eastAsia="方正仿宋_GBK" w:cs="方正仿宋_GBK"/>
          <w:b w:val="0"/>
          <w:bCs w:val="0"/>
          <w:sz w:val="30"/>
          <w:szCs w:val="30"/>
        </w:rPr>
        <w:fldChar w:fldCharType="end"/>
      </w:r>
    </w:p>
    <w:p>
      <w:pPr>
        <w:pStyle w:val="43"/>
        <w:tabs>
          <w:tab w:val="right" w:leader="dot" w:pos="8844"/>
        </w:tabs>
        <w:snapToGrid w:val="0"/>
        <w:spacing w:line="276" w:lineRule="auto"/>
        <w:rPr>
          <w:b w:val="0"/>
          <w:bCs w:val="0"/>
          <w:sz w:val="30"/>
          <w:szCs w:val="30"/>
        </w:rPr>
      </w:pPr>
      <w:r>
        <w:rPr>
          <w:b w:val="0"/>
          <w:bCs w:val="0"/>
          <w:sz w:val="30"/>
          <w:szCs w:val="30"/>
        </w:rPr>
        <w:fldChar w:fldCharType="begin"/>
      </w:r>
      <w:r>
        <w:rPr>
          <w:b w:val="0"/>
          <w:bCs w:val="0"/>
          <w:sz w:val="30"/>
          <w:szCs w:val="30"/>
        </w:rPr>
        <w:instrText xml:space="preserve"> HYPERLINK \l _Toc1022508202_WPSOffice_Level1 </w:instrText>
      </w:r>
      <w:r>
        <w:rPr>
          <w:b w:val="0"/>
          <w:bCs w:val="0"/>
          <w:sz w:val="30"/>
          <w:szCs w:val="30"/>
        </w:rPr>
        <w:fldChar w:fldCharType="separate"/>
      </w:r>
      <w:r>
        <w:rPr>
          <w:rFonts w:hint="eastAsia" w:ascii="方正黑体_GBK" w:hAnsi="方正黑体_GBK" w:eastAsia="方正黑体_GBK" w:cs="方正黑体_GBK"/>
          <w:b w:val="0"/>
          <w:bCs w:val="0"/>
          <w:sz w:val="30"/>
          <w:szCs w:val="30"/>
        </w:rPr>
        <w:t>三、地质灾害风险与防治区划</w:t>
      </w:r>
      <w:r>
        <w:rPr>
          <w:b w:val="0"/>
          <w:bCs w:val="0"/>
          <w:sz w:val="30"/>
          <w:szCs w:val="30"/>
        </w:rPr>
        <w:tab/>
      </w:r>
      <w:bookmarkStart w:id="11" w:name="_Toc1022508202_WPSOffice_Level1Page"/>
      <w:r>
        <w:rPr>
          <w:b w:val="0"/>
          <w:bCs w:val="0"/>
          <w:sz w:val="30"/>
          <w:szCs w:val="30"/>
        </w:rPr>
        <w:t>13</w:t>
      </w:r>
      <w:bookmarkEnd w:id="11"/>
      <w:r>
        <w:rPr>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_Toc2088100788_WPSOffice_Level2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（一）地质灾害易发程度分区</w:t>
      </w:r>
      <w:r>
        <w:rPr>
          <w:rFonts w:hint="eastAsia" w:ascii="方正仿宋_GBK" w:hAnsi="方正仿宋_GBK" w:eastAsia="方正仿宋_GBK" w:cs="方正仿宋_GBK"/>
          <w:b w:val="0"/>
          <w:bCs w:val="0"/>
          <w:sz w:val="30"/>
          <w:szCs w:val="30"/>
        </w:rPr>
        <w:tab/>
      </w:r>
      <w:bookmarkStart w:id="12" w:name="_Toc2088100788_WPSOffice_Level2Page"/>
      <w:r>
        <w:rPr>
          <w:rFonts w:hint="eastAsia" w:ascii="方正仿宋_GBK" w:hAnsi="方正仿宋_GBK" w:eastAsia="方正仿宋_GBK" w:cs="方正仿宋_GBK"/>
          <w:b w:val="0"/>
          <w:bCs w:val="0"/>
          <w:sz w:val="30"/>
          <w:szCs w:val="30"/>
        </w:rPr>
        <w:t>13</w:t>
      </w:r>
      <w:bookmarkEnd w:id="12"/>
      <w:r>
        <w:rPr>
          <w:rFonts w:hint="eastAsia" w:ascii="方正仿宋_GBK" w:hAnsi="方正仿宋_GBK" w:eastAsia="方正仿宋_GBK" w:cs="方正仿宋_GBK"/>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_Toc1075251600_WPSOffice_Level2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（二）地质灾害风险分区</w:t>
      </w:r>
      <w:r>
        <w:rPr>
          <w:rFonts w:hint="eastAsia" w:ascii="方正仿宋_GBK" w:hAnsi="方正仿宋_GBK" w:eastAsia="方正仿宋_GBK" w:cs="方正仿宋_GBK"/>
          <w:b w:val="0"/>
          <w:bCs w:val="0"/>
          <w:sz w:val="30"/>
          <w:szCs w:val="30"/>
        </w:rPr>
        <w:tab/>
      </w:r>
      <w:bookmarkStart w:id="13" w:name="_Toc1075251600_WPSOffice_Level2Page"/>
      <w:r>
        <w:rPr>
          <w:rFonts w:hint="eastAsia" w:ascii="方正仿宋_GBK" w:hAnsi="方正仿宋_GBK" w:eastAsia="方正仿宋_GBK" w:cs="方正仿宋_GBK"/>
          <w:b w:val="0"/>
          <w:bCs w:val="0"/>
          <w:sz w:val="30"/>
          <w:szCs w:val="30"/>
        </w:rPr>
        <w:t>14</w:t>
      </w:r>
      <w:bookmarkEnd w:id="13"/>
      <w:r>
        <w:rPr>
          <w:rFonts w:hint="eastAsia" w:ascii="方正仿宋_GBK" w:hAnsi="方正仿宋_GBK" w:eastAsia="方正仿宋_GBK" w:cs="方正仿宋_GBK"/>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_Toc1811286728_WPSOffice_Level2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（三）地质灾害防治分区</w:t>
      </w:r>
      <w:r>
        <w:rPr>
          <w:rFonts w:hint="eastAsia" w:ascii="方正仿宋_GBK" w:hAnsi="方正仿宋_GBK" w:eastAsia="方正仿宋_GBK" w:cs="方正仿宋_GBK"/>
          <w:b w:val="0"/>
          <w:bCs w:val="0"/>
          <w:sz w:val="30"/>
          <w:szCs w:val="30"/>
        </w:rPr>
        <w:tab/>
      </w:r>
      <w:bookmarkStart w:id="14" w:name="_Toc1811286728_WPSOffice_Level2Page"/>
      <w:r>
        <w:rPr>
          <w:rFonts w:hint="eastAsia" w:ascii="方正仿宋_GBK" w:hAnsi="方正仿宋_GBK" w:eastAsia="方正仿宋_GBK" w:cs="方正仿宋_GBK"/>
          <w:b w:val="0"/>
          <w:bCs w:val="0"/>
          <w:sz w:val="30"/>
          <w:szCs w:val="30"/>
        </w:rPr>
        <w:t>14</w:t>
      </w:r>
      <w:bookmarkEnd w:id="14"/>
      <w:r>
        <w:rPr>
          <w:rFonts w:hint="eastAsia" w:ascii="方正仿宋_GBK" w:hAnsi="方正仿宋_GBK" w:eastAsia="方正仿宋_GBK" w:cs="方正仿宋_GBK"/>
          <w:b w:val="0"/>
          <w:bCs w:val="0"/>
          <w:sz w:val="30"/>
          <w:szCs w:val="30"/>
        </w:rPr>
        <w:fldChar w:fldCharType="end"/>
      </w:r>
    </w:p>
    <w:p>
      <w:pPr>
        <w:pStyle w:val="43"/>
        <w:tabs>
          <w:tab w:val="right" w:leader="dot" w:pos="8844"/>
        </w:tabs>
        <w:snapToGrid w:val="0"/>
        <w:spacing w:line="276" w:lineRule="auto"/>
        <w:rPr>
          <w:b w:val="0"/>
          <w:bCs w:val="0"/>
          <w:sz w:val="30"/>
          <w:szCs w:val="30"/>
        </w:rPr>
      </w:pPr>
      <w:r>
        <w:rPr>
          <w:b w:val="0"/>
          <w:bCs w:val="0"/>
          <w:sz w:val="30"/>
          <w:szCs w:val="30"/>
        </w:rPr>
        <w:fldChar w:fldCharType="begin"/>
      </w:r>
      <w:r>
        <w:rPr>
          <w:b w:val="0"/>
          <w:bCs w:val="0"/>
          <w:sz w:val="30"/>
          <w:szCs w:val="30"/>
        </w:rPr>
        <w:instrText xml:space="preserve"> HYPERLINK \l _Toc111592286_WPSOffice_Level1 </w:instrText>
      </w:r>
      <w:r>
        <w:rPr>
          <w:b w:val="0"/>
          <w:bCs w:val="0"/>
          <w:sz w:val="30"/>
          <w:szCs w:val="30"/>
        </w:rPr>
        <w:fldChar w:fldCharType="separate"/>
      </w:r>
      <w:r>
        <w:rPr>
          <w:rFonts w:hint="eastAsia" w:ascii="方正黑体_GBK" w:hAnsi="方正黑体_GBK" w:eastAsia="方正黑体_GBK" w:cs="方正黑体_GBK"/>
          <w:b w:val="0"/>
          <w:bCs w:val="0"/>
          <w:sz w:val="30"/>
          <w:szCs w:val="30"/>
        </w:rPr>
        <w:t>四、地质灾害防治任务</w:t>
      </w:r>
      <w:r>
        <w:rPr>
          <w:b w:val="0"/>
          <w:bCs w:val="0"/>
          <w:sz w:val="30"/>
          <w:szCs w:val="30"/>
        </w:rPr>
        <w:tab/>
      </w:r>
      <w:bookmarkStart w:id="15" w:name="_Toc111592286_WPSOffice_Level1Page"/>
      <w:r>
        <w:rPr>
          <w:b w:val="0"/>
          <w:bCs w:val="0"/>
          <w:sz w:val="30"/>
          <w:szCs w:val="30"/>
        </w:rPr>
        <w:t>15</w:t>
      </w:r>
      <w:bookmarkEnd w:id="15"/>
      <w:r>
        <w:rPr>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_Toc735583525_WPSOffice_Level2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（一）加强隐患识别与风险调查</w:t>
      </w:r>
      <w:r>
        <w:rPr>
          <w:rFonts w:hint="eastAsia" w:ascii="方正仿宋_GBK" w:hAnsi="方正仿宋_GBK" w:eastAsia="方正仿宋_GBK" w:cs="方正仿宋_GBK"/>
          <w:b w:val="0"/>
          <w:bCs w:val="0"/>
          <w:sz w:val="30"/>
          <w:szCs w:val="30"/>
        </w:rPr>
        <w:tab/>
      </w:r>
      <w:bookmarkStart w:id="16" w:name="_Toc735583525_WPSOffice_Level2Page"/>
      <w:r>
        <w:rPr>
          <w:rFonts w:hint="eastAsia" w:ascii="方正仿宋_GBK" w:hAnsi="方正仿宋_GBK" w:eastAsia="方正仿宋_GBK" w:cs="方正仿宋_GBK"/>
          <w:b w:val="0"/>
          <w:bCs w:val="0"/>
          <w:sz w:val="30"/>
          <w:szCs w:val="30"/>
        </w:rPr>
        <w:t>15</w:t>
      </w:r>
      <w:bookmarkEnd w:id="16"/>
      <w:r>
        <w:rPr>
          <w:rFonts w:hint="eastAsia" w:ascii="方正仿宋_GBK" w:hAnsi="方正仿宋_GBK" w:eastAsia="方正仿宋_GBK" w:cs="方正仿宋_GBK"/>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_Toc1130080622_WPSOffice_Level2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（二）完善人防与技防监测预警体系</w:t>
      </w:r>
      <w:r>
        <w:rPr>
          <w:rFonts w:hint="eastAsia" w:ascii="方正仿宋_GBK" w:hAnsi="方正仿宋_GBK" w:eastAsia="方正仿宋_GBK" w:cs="方正仿宋_GBK"/>
          <w:b w:val="0"/>
          <w:bCs w:val="0"/>
          <w:sz w:val="30"/>
          <w:szCs w:val="30"/>
        </w:rPr>
        <w:tab/>
      </w:r>
      <w:bookmarkStart w:id="17" w:name="_Toc1130080622_WPSOffice_Level2Page"/>
      <w:r>
        <w:rPr>
          <w:rFonts w:hint="eastAsia" w:ascii="方正仿宋_GBK" w:hAnsi="方正仿宋_GBK" w:eastAsia="方正仿宋_GBK" w:cs="方正仿宋_GBK"/>
          <w:b w:val="0"/>
          <w:bCs w:val="0"/>
          <w:sz w:val="30"/>
          <w:szCs w:val="30"/>
        </w:rPr>
        <w:t>16</w:t>
      </w:r>
      <w:bookmarkEnd w:id="17"/>
      <w:r>
        <w:rPr>
          <w:rFonts w:hint="eastAsia" w:ascii="方正仿宋_GBK" w:hAnsi="方正仿宋_GBK" w:eastAsia="方正仿宋_GBK" w:cs="方正仿宋_GBK"/>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_Toc1389971281_WPSOffice_Level2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（三）持续推进地质灾害防治工作</w:t>
      </w:r>
      <w:r>
        <w:rPr>
          <w:rFonts w:hint="eastAsia" w:ascii="方正仿宋_GBK" w:hAnsi="方正仿宋_GBK" w:eastAsia="方正仿宋_GBK" w:cs="方正仿宋_GBK"/>
          <w:b w:val="0"/>
          <w:bCs w:val="0"/>
          <w:sz w:val="30"/>
          <w:szCs w:val="30"/>
        </w:rPr>
        <w:tab/>
      </w:r>
      <w:bookmarkStart w:id="18" w:name="_Toc1389971281_WPSOffice_Level2Page"/>
      <w:r>
        <w:rPr>
          <w:rFonts w:hint="eastAsia" w:ascii="方正仿宋_GBK" w:hAnsi="方正仿宋_GBK" w:eastAsia="方正仿宋_GBK" w:cs="方正仿宋_GBK"/>
          <w:b w:val="0"/>
          <w:bCs w:val="0"/>
          <w:sz w:val="30"/>
          <w:szCs w:val="30"/>
        </w:rPr>
        <w:t>18</w:t>
      </w:r>
      <w:bookmarkEnd w:id="18"/>
      <w:r>
        <w:rPr>
          <w:rFonts w:hint="eastAsia" w:ascii="方正仿宋_GBK" w:hAnsi="方正仿宋_GBK" w:eastAsia="方正仿宋_GBK" w:cs="方正仿宋_GBK"/>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_Toc2126852564_WPSOffice_Level2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（四）提高应急救援水平</w:t>
      </w:r>
      <w:r>
        <w:rPr>
          <w:rFonts w:hint="eastAsia" w:ascii="方正仿宋_GBK" w:hAnsi="方正仿宋_GBK" w:eastAsia="方正仿宋_GBK" w:cs="方正仿宋_GBK"/>
          <w:b w:val="0"/>
          <w:bCs w:val="0"/>
          <w:sz w:val="30"/>
          <w:szCs w:val="30"/>
        </w:rPr>
        <w:tab/>
      </w:r>
      <w:bookmarkStart w:id="19" w:name="_Toc2126852564_WPSOffice_Level2Page"/>
      <w:r>
        <w:rPr>
          <w:rFonts w:hint="eastAsia" w:ascii="方正仿宋_GBK" w:hAnsi="方正仿宋_GBK" w:eastAsia="方正仿宋_GBK" w:cs="方正仿宋_GBK"/>
          <w:b w:val="0"/>
          <w:bCs w:val="0"/>
          <w:sz w:val="30"/>
          <w:szCs w:val="30"/>
        </w:rPr>
        <w:t>19</w:t>
      </w:r>
      <w:bookmarkEnd w:id="19"/>
      <w:r>
        <w:rPr>
          <w:rFonts w:hint="eastAsia" w:ascii="方正仿宋_GBK" w:hAnsi="方正仿宋_GBK" w:eastAsia="方正仿宋_GBK" w:cs="方正仿宋_GBK"/>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_Toc1224899919_WPSOffice_Level2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（五）加强基层风险防控能力建设</w:t>
      </w:r>
      <w:r>
        <w:rPr>
          <w:rFonts w:hint="eastAsia" w:ascii="方正仿宋_GBK" w:hAnsi="方正仿宋_GBK" w:eastAsia="方正仿宋_GBK" w:cs="方正仿宋_GBK"/>
          <w:b w:val="0"/>
          <w:bCs w:val="0"/>
          <w:sz w:val="30"/>
          <w:szCs w:val="30"/>
        </w:rPr>
        <w:tab/>
      </w:r>
      <w:bookmarkStart w:id="20" w:name="_Toc1224899919_WPSOffice_Level2Page"/>
      <w:r>
        <w:rPr>
          <w:rFonts w:hint="eastAsia" w:ascii="方正仿宋_GBK" w:hAnsi="方正仿宋_GBK" w:eastAsia="方正仿宋_GBK" w:cs="方正仿宋_GBK"/>
          <w:b w:val="0"/>
          <w:bCs w:val="0"/>
          <w:sz w:val="30"/>
          <w:szCs w:val="30"/>
        </w:rPr>
        <w:t>20</w:t>
      </w:r>
      <w:bookmarkEnd w:id="20"/>
      <w:r>
        <w:rPr>
          <w:rFonts w:hint="eastAsia" w:ascii="方正仿宋_GBK" w:hAnsi="方正仿宋_GBK" w:eastAsia="方正仿宋_GBK" w:cs="方正仿宋_GBK"/>
          <w:b w:val="0"/>
          <w:bCs w:val="0"/>
          <w:sz w:val="30"/>
          <w:szCs w:val="30"/>
        </w:rPr>
        <w:fldChar w:fldCharType="end"/>
      </w:r>
    </w:p>
    <w:p>
      <w:pPr>
        <w:pStyle w:val="43"/>
        <w:tabs>
          <w:tab w:val="right" w:leader="dot" w:pos="8844"/>
        </w:tabs>
        <w:snapToGrid w:val="0"/>
        <w:spacing w:line="276" w:lineRule="auto"/>
        <w:rPr>
          <w:b w:val="0"/>
          <w:bCs w:val="0"/>
          <w:sz w:val="30"/>
          <w:szCs w:val="30"/>
        </w:rPr>
      </w:pPr>
      <w:r>
        <w:rPr>
          <w:b w:val="0"/>
          <w:bCs w:val="0"/>
          <w:sz w:val="30"/>
          <w:szCs w:val="30"/>
        </w:rPr>
        <w:fldChar w:fldCharType="begin"/>
      </w:r>
      <w:r>
        <w:rPr>
          <w:b w:val="0"/>
          <w:bCs w:val="0"/>
          <w:sz w:val="30"/>
          <w:szCs w:val="30"/>
        </w:rPr>
        <w:instrText xml:space="preserve"> HYPERLINK \l _Toc1611261070_WPSOffice_Level1 </w:instrText>
      </w:r>
      <w:r>
        <w:rPr>
          <w:b w:val="0"/>
          <w:bCs w:val="0"/>
          <w:sz w:val="30"/>
          <w:szCs w:val="30"/>
        </w:rPr>
        <w:fldChar w:fldCharType="separate"/>
      </w:r>
      <w:r>
        <w:rPr>
          <w:rFonts w:hint="eastAsia" w:ascii="方正黑体_GBK" w:hAnsi="方正黑体_GBK" w:eastAsia="方正黑体_GBK" w:cs="方正黑体_GBK"/>
          <w:b w:val="0"/>
          <w:bCs w:val="0"/>
          <w:sz w:val="30"/>
          <w:szCs w:val="30"/>
        </w:rPr>
        <w:t>五、投资估算</w:t>
      </w:r>
      <w:r>
        <w:rPr>
          <w:b w:val="0"/>
          <w:bCs w:val="0"/>
          <w:sz w:val="30"/>
          <w:szCs w:val="30"/>
        </w:rPr>
        <w:tab/>
      </w:r>
      <w:bookmarkStart w:id="21" w:name="_Toc1611261070_WPSOffice_Level1Page"/>
      <w:r>
        <w:rPr>
          <w:b w:val="0"/>
          <w:bCs w:val="0"/>
          <w:sz w:val="30"/>
          <w:szCs w:val="30"/>
        </w:rPr>
        <w:t>21</w:t>
      </w:r>
      <w:bookmarkEnd w:id="21"/>
      <w:r>
        <w:rPr>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_Toc1338692934_WPSOffice_Level2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（一）估算依据</w:t>
      </w:r>
      <w:r>
        <w:rPr>
          <w:rFonts w:hint="eastAsia" w:ascii="方正仿宋_GBK" w:hAnsi="方正仿宋_GBK" w:eastAsia="方正仿宋_GBK" w:cs="方正仿宋_GBK"/>
          <w:b w:val="0"/>
          <w:bCs w:val="0"/>
          <w:sz w:val="30"/>
          <w:szCs w:val="30"/>
        </w:rPr>
        <w:tab/>
      </w:r>
      <w:bookmarkStart w:id="22" w:name="_Toc1338692934_WPSOffice_Level2Page"/>
      <w:r>
        <w:rPr>
          <w:rFonts w:hint="eastAsia" w:ascii="方正仿宋_GBK" w:hAnsi="方正仿宋_GBK" w:eastAsia="方正仿宋_GBK" w:cs="方正仿宋_GBK"/>
          <w:b w:val="0"/>
          <w:bCs w:val="0"/>
          <w:sz w:val="30"/>
          <w:szCs w:val="30"/>
        </w:rPr>
        <w:t>21</w:t>
      </w:r>
      <w:bookmarkEnd w:id="22"/>
      <w:r>
        <w:rPr>
          <w:rFonts w:hint="eastAsia" w:ascii="方正仿宋_GBK" w:hAnsi="方正仿宋_GBK" w:eastAsia="方正仿宋_GBK" w:cs="方正仿宋_GBK"/>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_Toc2036757608_WPSOffice_Level2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（二）经费估算</w:t>
      </w:r>
      <w:r>
        <w:rPr>
          <w:rFonts w:hint="eastAsia" w:ascii="方正仿宋_GBK" w:hAnsi="方正仿宋_GBK" w:eastAsia="方正仿宋_GBK" w:cs="方正仿宋_GBK"/>
          <w:b w:val="0"/>
          <w:bCs w:val="0"/>
          <w:sz w:val="30"/>
          <w:szCs w:val="30"/>
        </w:rPr>
        <w:tab/>
      </w:r>
      <w:bookmarkStart w:id="23" w:name="_Toc2036757608_WPSOffice_Level2Page"/>
      <w:r>
        <w:rPr>
          <w:rFonts w:hint="eastAsia" w:ascii="方正仿宋_GBK" w:hAnsi="方正仿宋_GBK" w:eastAsia="方正仿宋_GBK" w:cs="方正仿宋_GBK"/>
          <w:b w:val="0"/>
          <w:bCs w:val="0"/>
          <w:sz w:val="30"/>
          <w:szCs w:val="30"/>
        </w:rPr>
        <w:t>22</w:t>
      </w:r>
      <w:bookmarkEnd w:id="23"/>
      <w:r>
        <w:rPr>
          <w:rFonts w:hint="eastAsia" w:ascii="方正仿宋_GBK" w:hAnsi="方正仿宋_GBK" w:eastAsia="方正仿宋_GBK" w:cs="方正仿宋_GBK"/>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_Toc601007032_WPSOffice_Level2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（三）资金筹措</w:t>
      </w:r>
      <w:r>
        <w:rPr>
          <w:rFonts w:hint="eastAsia" w:ascii="方正仿宋_GBK" w:hAnsi="方正仿宋_GBK" w:eastAsia="方正仿宋_GBK" w:cs="方正仿宋_GBK"/>
          <w:b w:val="0"/>
          <w:bCs w:val="0"/>
          <w:sz w:val="30"/>
          <w:szCs w:val="30"/>
        </w:rPr>
        <w:tab/>
      </w:r>
      <w:bookmarkStart w:id="24" w:name="_Toc601007032_WPSOffice_Level2Page"/>
      <w:r>
        <w:rPr>
          <w:rFonts w:hint="eastAsia" w:ascii="方正仿宋_GBK" w:hAnsi="方正仿宋_GBK" w:eastAsia="方正仿宋_GBK" w:cs="方正仿宋_GBK"/>
          <w:b w:val="0"/>
          <w:bCs w:val="0"/>
          <w:sz w:val="30"/>
          <w:szCs w:val="30"/>
        </w:rPr>
        <w:t>23</w:t>
      </w:r>
      <w:bookmarkEnd w:id="24"/>
      <w:r>
        <w:rPr>
          <w:rFonts w:hint="eastAsia" w:ascii="方正仿宋_GBK" w:hAnsi="方正仿宋_GBK" w:eastAsia="方正仿宋_GBK" w:cs="方正仿宋_GBK"/>
          <w:b w:val="0"/>
          <w:bCs w:val="0"/>
          <w:sz w:val="30"/>
          <w:szCs w:val="30"/>
        </w:rPr>
        <w:fldChar w:fldCharType="end"/>
      </w:r>
    </w:p>
    <w:p>
      <w:pPr>
        <w:pStyle w:val="43"/>
        <w:tabs>
          <w:tab w:val="right" w:leader="dot" w:pos="8844"/>
        </w:tabs>
        <w:snapToGrid w:val="0"/>
        <w:spacing w:line="276" w:lineRule="auto"/>
        <w:rPr>
          <w:b w:val="0"/>
          <w:bCs w:val="0"/>
          <w:sz w:val="30"/>
          <w:szCs w:val="30"/>
        </w:rPr>
      </w:pPr>
      <w:r>
        <w:rPr>
          <w:b w:val="0"/>
          <w:bCs w:val="0"/>
          <w:sz w:val="30"/>
          <w:szCs w:val="30"/>
        </w:rPr>
        <w:fldChar w:fldCharType="begin"/>
      </w:r>
      <w:r>
        <w:rPr>
          <w:b w:val="0"/>
          <w:bCs w:val="0"/>
          <w:sz w:val="30"/>
          <w:szCs w:val="30"/>
        </w:rPr>
        <w:instrText xml:space="preserve"> HYPERLINK \l _Toc1118001559_WPSOffice_Level1 </w:instrText>
      </w:r>
      <w:r>
        <w:rPr>
          <w:b w:val="0"/>
          <w:bCs w:val="0"/>
          <w:sz w:val="30"/>
          <w:szCs w:val="30"/>
        </w:rPr>
        <w:fldChar w:fldCharType="separate"/>
      </w:r>
      <w:r>
        <w:rPr>
          <w:rFonts w:hint="eastAsia" w:ascii="方正黑体_GBK" w:hAnsi="方正黑体_GBK" w:eastAsia="方正黑体_GBK" w:cs="方正黑体_GBK"/>
          <w:b w:val="0"/>
          <w:bCs w:val="0"/>
          <w:sz w:val="30"/>
          <w:szCs w:val="30"/>
        </w:rPr>
        <w:t>六、保障措施</w:t>
      </w:r>
      <w:r>
        <w:rPr>
          <w:b w:val="0"/>
          <w:bCs w:val="0"/>
          <w:sz w:val="30"/>
          <w:szCs w:val="30"/>
        </w:rPr>
        <w:tab/>
      </w:r>
      <w:bookmarkStart w:id="25" w:name="_Toc1118001559_WPSOffice_Level1Page"/>
      <w:r>
        <w:rPr>
          <w:b w:val="0"/>
          <w:bCs w:val="0"/>
          <w:sz w:val="30"/>
          <w:szCs w:val="30"/>
        </w:rPr>
        <w:t>23</w:t>
      </w:r>
      <w:bookmarkEnd w:id="25"/>
      <w:r>
        <w:rPr>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_Toc1382687984_WPSOffice_Level2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（一）组织保障</w:t>
      </w:r>
      <w:r>
        <w:rPr>
          <w:rFonts w:hint="eastAsia" w:ascii="方正仿宋_GBK" w:hAnsi="方正仿宋_GBK" w:eastAsia="方正仿宋_GBK" w:cs="方正仿宋_GBK"/>
          <w:b w:val="0"/>
          <w:bCs w:val="0"/>
          <w:sz w:val="30"/>
          <w:szCs w:val="30"/>
        </w:rPr>
        <w:tab/>
      </w:r>
      <w:bookmarkStart w:id="26" w:name="_Toc1382687984_WPSOffice_Level2Page"/>
      <w:r>
        <w:rPr>
          <w:rFonts w:hint="eastAsia" w:ascii="方正仿宋_GBK" w:hAnsi="方正仿宋_GBK" w:eastAsia="方正仿宋_GBK" w:cs="方正仿宋_GBK"/>
          <w:b w:val="0"/>
          <w:bCs w:val="0"/>
          <w:sz w:val="30"/>
          <w:szCs w:val="30"/>
        </w:rPr>
        <w:t>23</w:t>
      </w:r>
      <w:bookmarkEnd w:id="26"/>
      <w:r>
        <w:rPr>
          <w:rFonts w:hint="eastAsia" w:ascii="方正仿宋_GBK" w:hAnsi="方正仿宋_GBK" w:eastAsia="方正仿宋_GBK" w:cs="方正仿宋_GBK"/>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_Toc482842789_WPSOffice_Level2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（二）制度保障</w:t>
      </w:r>
      <w:r>
        <w:rPr>
          <w:rFonts w:hint="eastAsia" w:ascii="方正仿宋_GBK" w:hAnsi="方正仿宋_GBK" w:eastAsia="方正仿宋_GBK" w:cs="方正仿宋_GBK"/>
          <w:b w:val="0"/>
          <w:bCs w:val="0"/>
          <w:sz w:val="30"/>
          <w:szCs w:val="30"/>
        </w:rPr>
        <w:tab/>
      </w:r>
      <w:bookmarkStart w:id="27" w:name="_Toc482842789_WPSOffice_Level2Page"/>
      <w:r>
        <w:rPr>
          <w:rFonts w:hint="eastAsia" w:ascii="方正仿宋_GBK" w:hAnsi="方正仿宋_GBK" w:eastAsia="方正仿宋_GBK" w:cs="方正仿宋_GBK"/>
          <w:b w:val="0"/>
          <w:bCs w:val="0"/>
          <w:sz w:val="30"/>
          <w:szCs w:val="30"/>
        </w:rPr>
        <w:t>24</w:t>
      </w:r>
      <w:bookmarkEnd w:id="27"/>
      <w:r>
        <w:rPr>
          <w:rFonts w:hint="eastAsia" w:ascii="方正仿宋_GBK" w:hAnsi="方正仿宋_GBK" w:eastAsia="方正仿宋_GBK" w:cs="方正仿宋_GBK"/>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_Toc200634512_WPSOffice_Level2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（三）资金保障</w:t>
      </w:r>
      <w:r>
        <w:rPr>
          <w:rFonts w:hint="eastAsia" w:ascii="方正仿宋_GBK" w:hAnsi="方正仿宋_GBK" w:eastAsia="方正仿宋_GBK" w:cs="方正仿宋_GBK"/>
          <w:b w:val="0"/>
          <w:bCs w:val="0"/>
          <w:sz w:val="30"/>
          <w:szCs w:val="30"/>
        </w:rPr>
        <w:tab/>
      </w:r>
      <w:bookmarkStart w:id="28" w:name="_Toc200634512_WPSOffice_Level2Page"/>
      <w:r>
        <w:rPr>
          <w:rFonts w:hint="eastAsia" w:ascii="方正仿宋_GBK" w:hAnsi="方正仿宋_GBK" w:eastAsia="方正仿宋_GBK" w:cs="方正仿宋_GBK"/>
          <w:b w:val="0"/>
          <w:bCs w:val="0"/>
          <w:sz w:val="30"/>
          <w:szCs w:val="30"/>
        </w:rPr>
        <w:t>24</w:t>
      </w:r>
      <w:bookmarkEnd w:id="28"/>
      <w:r>
        <w:rPr>
          <w:rFonts w:hint="eastAsia" w:ascii="方正仿宋_GBK" w:hAnsi="方正仿宋_GBK" w:eastAsia="方正仿宋_GBK" w:cs="方正仿宋_GBK"/>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_Toc1065497450_WPSOffice_Level2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（四）社会保障</w:t>
      </w:r>
      <w:r>
        <w:rPr>
          <w:rFonts w:hint="eastAsia" w:ascii="方正仿宋_GBK" w:hAnsi="方正仿宋_GBK" w:eastAsia="方正仿宋_GBK" w:cs="方正仿宋_GBK"/>
          <w:b w:val="0"/>
          <w:bCs w:val="0"/>
          <w:sz w:val="30"/>
          <w:szCs w:val="30"/>
        </w:rPr>
        <w:tab/>
      </w:r>
      <w:bookmarkStart w:id="29" w:name="_Toc1065497450_WPSOffice_Level2Page"/>
      <w:r>
        <w:rPr>
          <w:rFonts w:hint="eastAsia" w:ascii="方正仿宋_GBK" w:hAnsi="方正仿宋_GBK" w:eastAsia="方正仿宋_GBK" w:cs="方正仿宋_GBK"/>
          <w:b w:val="0"/>
          <w:bCs w:val="0"/>
          <w:sz w:val="30"/>
          <w:szCs w:val="30"/>
        </w:rPr>
        <w:t>25</w:t>
      </w:r>
      <w:bookmarkEnd w:id="29"/>
      <w:r>
        <w:rPr>
          <w:rFonts w:hint="eastAsia" w:ascii="方正仿宋_GBK" w:hAnsi="方正仿宋_GBK" w:eastAsia="方正仿宋_GBK" w:cs="方正仿宋_GBK"/>
          <w:b w:val="0"/>
          <w:bCs w:val="0"/>
          <w:sz w:val="30"/>
          <w:szCs w:val="30"/>
        </w:rPr>
        <w:fldChar w:fldCharType="end"/>
      </w:r>
    </w:p>
    <w:p>
      <w:pPr>
        <w:pStyle w:val="44"/>
        <w:tabs>
          <w:tab w:val="right" w:leader="dot" w:pos="8844"/>
        </w:tabs>
        <w:snapToGrid w:val="0"/>
        <w:spacing w:line="276" w:lineRule="auto"/>
        <w:rPr>
          <w:rFonts w:hint="eastAsia" w:ascii="方正仿宋_GBK" w:hAnsi="方正仿宋_GBK" w:eastAsia="方正仿宋_GBK" w:cs="方正仿宋_GBK"/>
          <w:b w:val="0"/>
          <w:bCs w:val="0"/>
          <w:sz w:val="30"/>
          <w:szCs w:val="30"/>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 HYPERLINK \l _Toc1399075442_WPSOffice_Level2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sz w:val="30"/>
          <w:szCs w:val="30"/>
        </w:rPr>
        <w:t>（五）机制保障</w:t>
      </w:r>
      <w:r>
        <w:rPr>
          <w:rFonts w:hint="eastAsia" w:ascii="方正仿宋_GBK" w:hAnsi="方正仿宋_GBK" w:eastAsia="方正仿宋_GBK" w:cs="方正仿宋_GBK"/>
          <w:b w:val="0"/>
          <w:bCs w:val="0"/>
          <w:sz w:val="30"/>
          <w:szCs w:val="30"/>
        </w:rPr>
        <w:tab/>
      </w:r>
      <w:bookmarkStart w:id="30" w:name="_Toc1399075442_WPSOffice_Level2Page"/>
      <w:r>
        <w:rPr>
          <w:rFonts w:hint="eastAsia" w:ascii="方正仿宋_GBK" w:hAnsi="方正仿宋_GBK" w:eastAsia="方正仿宋_GBK" w:cs="方正仿宋_GBK"/>
          <w:b w:val="0"/>
          <w:bCs w:val="0"/>
          <w:sz w:val="30"/>
          <w:szCs w:val="30"/>
        </w:rPr>
        <w:t>25</w:t>
      </w:r>
      <w:bookmarkEnd w:id="30"/>
      <w:r>
        <w:rPr>
          <w:rFonts w:hint="eastAsia" w:ascii="方正仿宋_GBK" w:hAnsi="方正仿宋_GBK" w:eastAsia="方正仿宋_GBK" w:cs="方正仿宋_GBK"/>
          <w:b w:val="0"/>
          <w:bCs w:val="0"/>
          <w:sz w:val="30"/>
          <w:szCs w:val="30"/>
        </w:rPr>
        <w:fldChar w:fldCharType="end"/>
      </w:r>
    </w:p>
    <w:p>
      <w:pPr>
        <w:pStyle w:val="43"/>
        <w:tabs>
          <w:tab w:val="right" w:leader="dot" w:pos="8844"/>
        </w:tabs>
        <w:snapToGrid w:val="0"/>
        <w:spacing w:line="276" w:lineRule="auto"/>
        <w:rPr>
          <w:rFonts w:hint="eastAsia" w:ascii="方正黑体_GBK" w:hAnsi="方正黑体_GBK" w:eastAsia="方正黑体_GBK" w:cs="方正黑体_GBK"/>
          <w:b w:val="0"/>
          <w:bCs w:val="0"/>
          <w:sz w:val="30"/>
          <w:szCs w:val="30"/>
        </w:rPr>
      </w:pPr>
      <w:r>
        <w:rPr>
          <w:rFonts w:hint="eastAsia" w:ascii="方正黑体_GBK" w:hAnsi="方正黑体_GBK" w:eastAsia="方正黑体_GBK" w:cs="方正黑体_GBK"/>
          <w:b w:val="0"/>
          <w:bCs w:val="0"/>
          <w:sz w:val="30"/>
          <w:szCs w:val="30"/>
          <w:lang w:eastAsia="zh-CN"/>
        </w:rPr>
        <w:t>附表</w:t>
      </w:r>
      <w:r>
        <w:rPr>
          <w:rFonts w:hint="eastAsia" w:ascii="方正黑体_GBK" w:hAnsi="方正黑体_GBK" w:eastAsia="方正黑体_GBK" w:cs="方正黑体_GBK"/>
          <w:b w:val="0"/>
          <w:bCs w:val="0"/>
          <w:sz w:val="30"/>
          <w:szCs w:val="30"/>
          <w:lang w:val="en-US" w:eastAsia="zh-CN"/>
        </w:rPr>
        <w:t>1：</w:t>
      </w:r>
      <w:r>
        <w:rPr>
          <w:rFonts w:hint="eastAsia" w:ascii="方正黑体_GBK" w:hAnsi="方正黑体_GBK" w:eastAsia="方正黑体_GBK" w:cs="方正黑体_GBK"/>
          <w:b w:val="0"/>
          <w:bCs w:val="0"/>
          <w:sz w:val="30"/>
          <w:szCs w:val="30"/>
        </w:rPr>
        <w:fldChar w:fldCharType="begin"/>
      </w:r>
      <w:r>
        <w:rPr>
          <w:rFonts w:hint="eastAsia" w:ascii="方正黑体_GBK" w:hAnsi="方正黑体_GBK" w:eastAsia="方正黑体_GBK" w:cs="方正黑体_GBK"/>
          <w:b w:val="0"/>
          <w:bCs w:val="0"/>
          <w:sz w:val="30"/>
          <w:szCs w:val="30"/>
        </w:rPr>
        <w:instrText xml:space="preserve"> HYPERLINK \l _Toc890270720_WPSOffice_Level1 </w:instrText>
      </w:r>
      <w:r>
        <w:rPr>
          <w:rFonts w:hint="eastAsia" w:ascii="方正黑体_GBK" w:hAnsi="方正黑体_GBK" w:eastAsia="方正黑体_GBK" w:cs="方正黑体_GBK"/>
          <w:b w:val="0"/>
          <w:bCs w:val="0"/>
          <w:sz w:val="30"/>
          <w:szCs w:val="30"/>
        </w:rPr>
        <w:fldChar w:fldCharType="separate"/>
      </w:r>
      <w:r>
        <w:rPr>
          <w:rFonts w:hint="eastAsia" w:ascii="方正黑体_GBK" w:hAnsi="方正黑体_GBK" w:eastAsia="方正黑体_GBK" w:cs="方正黑体_GBK"/>
          <w:b w:val="0"/>
          <w:bCs w:val="0"/>
          <w:sz w:val="30"/>
          <w:szCs w:val="30"/>
        </w:rPr>
        <w:t>上期工程治理项目规划分期及投资估算明细表</w:t>
      </w:r>
      <w:r>
        <w:rPr>
          <w:rFonts w:hint="eastAsia" w:ascii="方正黑体_GBK" w:hAnsi="方正黑体_GBK" w:eastAsia="方正黑体_GBK" w:cs="方正黑体_GBK"/>
          <w:b w:val="0"/>
          <w:bCs w:val="0"/>
          <w:sz w:val="30"/>
          <w:szCs w:val="30"/>
        </w:rPr>
        <w:tab/>
      </w:r>
      <w:bookmarkStart w:id="31" w:name="_Toc890270720_WPSOffice_Level1Page"/>
      <w:r>
        <w:rPr>
          <w:rFonts w:hint="eastAsia" w:ascii="方正黑体_GBK" w:hAnsi="方正黑体_GBK" w:eastAsia="方正黑体_GBK" w:cs="方正黑体_GBK"/>
          <w:b w:val="0"/>
          <w:bCs w:val="0"/>
          <w:sz w:val="30"/>
          <w:szCs w:val="30"/>
        </w:rPr>
        <w:t>27</w:t>
      </w:r>
      <w:bookmarkEnd w:id="31"/>
      <w:r>
        <w:rPr>
          <w:rFonts w:hint="eastAsia" w:ascii="方正黑体_GBK" w:hAnsi="方正黑体_GBK" w:eastAsia="方正黑体_GBK" w:cs="方正黑体_GBK"/>
          <w:b w:val="0"/>
          <w:bCs w:val="0"/>
          <w:sz w:val="30"/>
          <w:szCs w:val="30"/>
        </w:rPr>
        <w:fldChar w:fldCharType="end"/>
      </w:r>
    </w:p>
    <w:p>
      <w:pPr>
        <w:pStyle w:val="43"/>
        <w:tabs>
          <w:tab w:val="right" w:leader="dot" w:pos="8844"/>
        </w:tabs>
        <w:snapToGrid w:val="0"/>
        <w:spacing w:line="276" w:lineRule="auto"/>
        <w:rPr>
          <w:rFonts w:hint="eastAsia" w:ascii="方正黑体_GBK" w:hAnsi="方正黑体_GBK" w:eastAsia="方正黑体_GBK" w:cs="方正黑体_GBK"/>
          <w:b w:val="0"/>
          <w:bCs w:val="0"/>
          <w:sz w:val="30"/>
          <w:szCs w:val="30"/>
        </w:rPr>
      </w:pPr>
      <w:r>
        <w:rPr>
          <w:rFonts w:hint="eastAsia" w:ascii="方正黑体_GBK" w:hAnsi="方正黑体_GBK" w:eastAsia="方正黑体_GBK" w:cs="方正黑体_GBK"/>
          <w:b w:val="0"/>
          <w:bCs w:val="0"/>
          <w:sz w:val="30"/>
          <w:szCs w:val="30"/>
          <w:lang w:eastAsia="zh-CN"/>
        </w:rPr>
        <w:t>附表</w:t>
      </w:r>
      <w:r>
        <w:rPr>
          <w:rFonts w:hint="eastAsia" w:ascii="方正黑体_GBK" w:hAnsi="方正黑体_GBK" w:eastAsia="方正黑体_GBK" w:cs="方正黑体_GBK"/>
          <w:b w:val="0"/>
          <w:bCs w:val="0"/>
          <w:sz w:val="30"/>
          <w:szCs w:val="30"/>
          <w:lang w:val="en-US" w:eastAsia="zh-CN"/>
        </w:rPr>
        <w:t>2：</w:t>
      </w:r>
      <w:r>
        <w:rPr>
          <w:rFonts w:hint="eastAsia" w:ascii="方正黑体_GBK" w:hAnsi="方正黑体_GBK" w:eastAsia="方正黑体_GBK" w:cs="方正黑体_GBK"/>
          <w:b w:val="0"/>
          <w:bCs w:val="0"/>
          <w:sz w:val="30"/>
          <w:szCs w:val="30"/>
        </w:rPr>
        <w:fldChar w:fldCharType="begin"/>
      </w:r>
      <w:r>
        <w:rPr>
          <w:rFonts w:hint="eastAsia" w:ascii="方正黑体_GBK" w:hAnsi="方正黑体_GBK" w:eastAsia="方正黑体_GBK" w:cs="方正黑体_GBK"/>
          <w:b w:val="0"/>
          <w:bCs w:val="0"/>
          <w:sz w:val="30"/>
          <w:szCs w:val="30"/>
        </w:rPr>
        <w:instrText xml:space="preserve"> HYPERLINK \l _Toc1976943866_WPSOffice_Level1 </w:instrText>
      </w:r>
      <w:r>
        <w:rPr>
          <w:rFonts w:hint="eastAsia" w:ascii="方正黑体_GBK" w:hAnsi="方正黑体_GBK" w:eastAsia="方正黑体_GBK" w:cs="方正黑体_GBK"/>
          <w:b w:val="0"/>
          <w:bCs w:val="0"/>
          <w:sz w:val="30"/>
          <w:szCs w:val="30"/>
        </w:rPr>
        <w:fldChar w:fldCharType="separate"/>
      </w:r>
      <w:r>
        <w:rPr>
          <w:rFonts w:hint="eastAsia" w:ascii="方正黑体_GBK" w:hAnsi="方正黑体_GBK" w:eastAsia="方正黑体_GBK" w:cs="方正黑体_GBK"/>
          <w:b w:val="0"/>
          <w:bCs w:val="0"/>
          <w:sz w:val="30"/>
          <w:szCs w:val="30"/>
        </w:rPr>
        <w:t>上期完成治理项目一览表</w:t>
      </w:r>
      <w:r>
        <w:rPr>
          <w:rFonts w:hint="eastAsia" w:ascii="方正黑体_GBK" w:hAnsi="方正黑体_GBK" w:eastAsia="方正黑体_GBK" w:cs="方正黑体_GBK"/>
          <w:b w:val="0"/>
          <w:bCs w:val="0"/>
          <w:sz w:val="30"/>
          <w:szCs w:val="30"/>
        </w:rPr>
        <w:tab/>
      </w:r>
      <w:bookmarkStart w:id="32" w:name="_Toc1976943866_WPSOffice_Level1Page"/>
      <w:r>
        <w:rPr>
          <w:rFonts w:hint="eastAsia" w:ascii="方正黑体_GBK" w:hAnsi="方正黑体_GBK" w:eastAsia="方正黑体_GBK" w:cs="方正黑体_GBK"/>
          <w:b w:val="0"/>
          <w:bCs w:val="0"/>
          <w:sz w:val="30"/>
          <w:szCs w:val="30"/>
        </w:rPr>
        <w:t>29</w:t>
      </w:r>
      <w:bookmarkEnd w:id="32"/>
      <w:r>
        <w:rPr>
          <w:rFonts w:hint="eastAsia" w:ascii="方正黑体_GBK" w:hAnsi="方正黑体_GBK" w:eastAsia="方正黑体_GBK" w:cs="方正黑体_GBK"/>
          <w:b w:val="0"/>
          <w:bCs w:val="0"/>
          <w:sz w:val="30"/>
          <w:szCs w:val="30"/>
        </w:rPr>
        <w:fldChar w:fldCharType="end"/>
      </w:r>
    </w:p>
    <w:p>
      <w:pPr>
        <w:pStyle w:val="43"/>
        <w:tabs>
          <w:tab w:val="right" w:leader="dot" w:pos="8844"/>
        </w:tabs>
        <w:snapToGrid w:val="0"/>
        <w:spacing w:line="276" w:lineRule="auto"/>
        <w:rPr>
          <w:rFonts w:hint="eastAsia" w:ascii="方正黑体_GBK" w:hAnsi="方正黑体_GBK" w:eastAsia="方正黑体_GBK" w:cs="方正黑体_GBK"/>
          <w:b w:val="0"/>
          <w:bCs w:val="0"/>
          <w:sz w:val="30"/>
          <w:szCs w:val="30"/>
        </w:rPr>
      </w:pPr>
      <w:r>
        <w:rPr>
          <w:rFonts w:hint="eastAsia" w:ascii="方正黑体_GBK" w:hAnsi="方正黑体_GBK" w:eastAsia="方正黑体_GBK" w:cs="方正黑体_GBK"/>
          <w:b w:val="0"/>
          <w:bCs w:val="0"/>
          <w:sz w:val="30"/>
          <w:szCs w:val="30"/>
          <w:lang w:eastAsia="zh-CN"/>
        </w:rPr>
        <w:t>附表</w:t>
      </w:r>
      <w:r>
        <w:rPr>
          <w:rFonts w:hint="eastAsia" w:ascii="方正黑体_GBK" w:hAnsi="方正黑体_GBK" w:eastAsia="方正黑体_GBK" w:cs="方正黑体_GBK"/>
          <w:b w:val="0"/>
          <w:bCs w:val="0"/>
          <w:sz w:val="30"/>
          <w:szCs w:val="30"/>
          <w:lang w:val="en-US" w:eastAsia="zh-CN"/>
        </w:rPr>
        <w:t>3：</w:t>
      </w:r>
      <w:r>
        <w:rPr>
          <w:rFonts w:hint="eastAsia" w:ascii="方正黑体_GBK" w:hAnsi="方正黑体_GBK" w:eastAsia="方正黑体_GBK" w:cs="方正黑体_GBK"/>
          <w:b w:val="0"/>
          <w:bCs w:val="0"/>
          <w:sz w:val="30"/>
          <w:szCs w:val="30"/>
        </w:rPr>
        <w:fldChar w:fldCharType="begin"/>
      </w:r>
      <w:r>
        <w:rPr>
          <w:rFonts w:hint="eastAsia" w:ascii="方正黑体_GBK" w:hAnsi="方正黑体_GBK" w:eastAsia="方正黑体_GBK" w:cs="方正黑体_GBK"/>
          <w:b w:val="0"/>
          <w:bCs w:val="0"/>
          <w:sz w:val="30"/>
          <w:szCs w:val="30"/>
        </w:rPr>
        <w:instrText xml:space="preserve"> HYPERLINK \l _Toc829937759_WPSOffice_Level1 </w:instrText>
      </w:r>
      <w:r>
        <w:rPr>
          <w:rFonts w:hint="eastAsia" w:ascii="方正黑体_GBK" w:hAnsi="方正黑体_GBK" w:eastAsia="方正黑体_GBK" w:cs="方正黑体_GBK"/>
          <w:b w:val="0"/>
          <w:bCs w:val="0"/>
          <w:sz w:val="30"/>
          <w:szCs w:val="30"/>
        </w:rPr>
        <w:fldChar w:fldCharType="separate"/>
      </w:r>
      <w:r>
        <w:rPr>
          <w:rFonts w:hint="eastAsia" w:ascii="方正黑体_GBK" w:hAnsi="方正黑体_GBK" w:eastAsia="方正黑体_GBK" w:cs="方正黑体_GBK"/>
          <w:b w:val="0"/>
          <w:bCs w:val="0"/>
          <w:sz w:val="30"/>
          <w:szCs w:val="30"/>
        </w:rPr>
        <w:t>上期搬迁避让项目规划分期表</w:t>
      </w:r>
      <w:r>
        <w:rPr>
          <w:rFonts w:hint="eastAsia" w:ascii="方正黑体_GBK" w:hAnsi="方正黑体_GBK" w:eastAsia="方正黑体_GBK" w:cs="方正黑体_GBK"/>
          <w:b w:val="0"/>
          <w:bCs w:val="0"/>
          <w:sz w:val="30"/>
          <w:szCs w:val="30"/>
        </w:rPr>
        <w:tab/>
      </w:r>
      <w:bookmarkStart w:id="33" w:name="_Toc829937759_WPSOffice_Level1Page"/>
      <w:r>
        <w:rPr>
          <w:rFonts w:hint="eastAsia" w:ascii="方正黑体_GBK" w:hAnsi="方正黑体_GBK" w:eastAsia="方正黑体_GBK" w:cs="方正黑体_GBK"/>
          <w:b w:val="0"/>
          <w:bCs w:val="0"/>
          <w:sz w:val="30"/>
          <w:szCs w:val="30"/>
        </w:rPr>
        <w:t>33</w:t>
      </w:r>
      <w:bookmarkEnd w:id="33"/>
      <w:r>
        <w:rPr>
          <w:rFonts w:hint="eastAsia" w:ascii="方正黑体_GBK" w:hAnsi="方正黑体_GBK" w:eastAsia="方正黑体_GBK" w:cs="方正黑体_GBK"/>
          <w:b w:val="0"/>
          <w:bCs w:val="0"/>
          <w:sz w:val="30"/>
          <w:szCs w:val="30"/>
        </w:rPr>
        <w:fldChar w:fldCharType="end"/>
      </w:r>
    </w:p>
    <w:p>
      <w:pPr>
        <w:pStyle w:val="43"/>
        <w:tabs>
          <w:tab w:val="right" w:leader="dot" w:pos="8844"/>
        </w:tabs>
        <w:snapToGrid w:val="0"/>
        <w:spacing w:line="276" w:lineRule="auto"/>
        <w:rPr>
          <w:rFonts w:hint="eastAsia" w:ascii="方正黑体_GBK" w:hAnsi="方正黑体_GBK" w:eastAsia="方正黑体_GBK" w:cs="方正黑体_GBK"/>
          <w:b w:val="0"/>
          <w:bCs w:val="0"/>
          <w:sz w:val="30"/>
          <w:szCs w:val="30"/>
        </w:rPr>
      </w:pPr>
      <w:r>
        <w:rPr>
          <w:rFonts w:hint="eastAsia" w:ascii="方正黑体_GBK" w:hAnsi="方正黑体_GBK" w:eastAsia="方正黑体_GBK" w:cs="方正黑体_GBK"/>
          <w:b w:val="0"/>
          <w:bCs w:val="0"/>
          <w:sz w:val="30"/>
          <w:szCs w:val="30"/>
          <w:lang w:eastAsia="zh-CN"/>
        </w:rPr>
        <w:t>附表</w:t>
      </w:r>
      <w:r>
        <w:rPr>
          <w:rFonts w:hint="eastAsia" w:ascii="方正黑体_GBK" w:hAnsi="方正黑体_GBK" w:eastAsia="方正黑体_GBK" w:cs="方正黑体_GBK"/>
          <w:b w:val="0"/>
          <w:bCs w:val="0"/>
          <w:sz w:val="30"/>
          <w:szCs w:val="30"/>
          <w:lang w:val="en-US" w:eastAsia="zh-CN"/>
        </w:rPr>
        <w:t>4：</w:t>
      </w:r>
      <w:r>
        <w:rPr>
          <w:rFonts w:hint="eastAsia" w:ascii="方正黑体_GBK" w:hAnsi="方正黑体_GBK" w:eastAsia="方正黑体_GBK" w:cs="方正黑体_GBK"/>
          <w:b w:val="0"/>
          <w:bCs w:val="0"/>
          <w:sz w:val="30"/>
          <w:szCs w:val="30"/>
        </w:rPr>
        <w:fldChar w:fldCharType="begin"/>
      </w:r>
      <w:r>
        <w:rPr>
          <w:rFonts w:hint="eastAsia" w:ascii="方正黑体_GBK" w:hAnsi="方正黑体_GBK" w:eastAsia="方正黑体_GBK" w:cs="方正黑体_GBK"/>
          <w:b w:val="0"/>
          <w:bCs w:val="0"/>
          <w:sz w:val="30"/>
          <w:szCs w:val="30"/>
        </w:rPr>
        <w:instrText xml:space="preserve"> HYPERLINK \l _Toc1715009576_WPSOffice_Level1 </w:instrText>
      </w:r>
      <w:r>
        <w:rPr>
          <w:rFonts w:hint="eastAsia" w:ascii="方正黑体_GBK" w:hAnsi="方正黑体_GBK" w:eastAsia="方正黑体_GBK" w:cs="方正黑体_GBK"/>
          <w:b w:val="0"/>
          <w:bCs w:val="0"/>
          <w:sz w:val="30"/>
          <w:szCs w:val="30"/>
        </w:rPr>
        <w:fldChar w:fldCharType="separate"/>
      </w:r>
      <w:r>
        <w:rPr>
          <w:rFonts w:hint="eastAsia" w:ascii="方正黑体_GBK" w:hAnsi="方正黑体_GBK" w:eastAsia="方正黑体_GBK" w:cs="方正黑体_GBK"/>
          <w:b w:val="0"/>
          <w:bCs w:val="0"/>
          <w:sz w:val="30"/>
          <w:szCs w:val="30"/>
        </w:rPr>
        <w:t>永川区“十四五”地质灾害隐患点统计一览表</w:t>
      </w:r>
      <w:r>
        <w:rPr>
          <w:rFonts w:hint="eastAsia" w:ascii="方正黑体_GBK" w:hAnsi="方正黑体_GBK" w:eastAsia="方正黑体_GBK" w:cs="方正黑体_GBK"/>
          <w:b w:val="0"/>
          <w:bCs w:val="0"/>
          <w:sz w:val="30"/>
          <w:szCs w:val="30"/>
        </w:rPr>
        <w:tab/>
      </w:r>
      <w:bookmarkStart w:id="34" w:name="_Toc1715009576_WPSOffice_Level1Page"/>
      <w:r>
        <w:rPr>
          <w:rFonts w:hint="eastAsia" w:ascii="方正黑体_GBK" w:hAnsi="方正黑体_GBK" w:eastAsia="方正黑体_GBK" w:cs="方正黑体_GBK"/>
          <w:b w:val="0"/>
          <w:bCs w:val="0"/>
          <w:sz w:val="30"/>
          <w:szCs w:val="30"/>
        </w:rPr>
        <w:t>34</w:t>
      </w:r>
      <w:bookmarkEnd w:id="34"/>
      <w:r>
        <w:rPr>
          <w:rFonts w:hint="eastAsia" w:ascii="方正黑体_GBK" w:hAnsi="方正黑体_GBK" w:eastAsia="方正黑体_GBK" w:cs="方正黑体_GBK"/>
          <w:b w:val="0"/>
          <w:bCs w:val="0"/>
          <w:sz w:val="30"/>
          <w:szCs w:val="30"/>
        </w:rPr>
        <w:fldChar w:fldCharType="end"/>
      </w:r>
    </w:p>
    <w:p>
      <w:pPr>
        <w:pStyle w:val="43"/>
        <w:tabs>
          <w:tab w:val="right" w:leader="dot" w:pos="8844"/>
        </w:tabs>
        <w:snapToGrid w:val="0"/>
        <w:spacing w:line="276" w:lineRule="auto"/>
        <w:rPr>
          <w:rFonts w:hint="eastAsia" w:ascii="方正黑体_GBK" w:hAnsi="方正黑体_GBK" w:eastAsia="方正黑体_GBK" w:cs="方正黑体_GBK"/>
          <w:b w:val="0"/>
          <w:bCs w:val="0"/>
          <w:sz w:val="30"/>
          <w:szCs w:val="30"/>
        </w:rPr>
      </w:pPr>
      <w:r>
        <w:rPr>
          <w:rFonts w:hint="eastAsia" w:ascii="方正黑体_GBK" w:hAnsi="方正黑体_GBK" w:eastAsia="方正黑体_GBK" w:cs="方正黑体_GBK"/>
          <w:b w:val="0"/>
          <w:bCs w:val="0"/>
          <w:sz w:val="30"/>
          <w:szCs w:val="30"/>
          <w:lang w:eastAsia="zh-CN"/>
        </w:rPr>
        <w:t>附表</w:t>
      </w:r>
      <w:r>
        <w:rPr>
          <w:rFonts w:hint="eastAsia" w:ascii="方正黑体_GBK" w:hAnsi="方正黑体_GBK" w:eastAsia="方正黑体_GBK" w:cs="方正黑体_GBK"/>
          <w:b w:val="0"/>
          <w:bCs w:val="0"/>
          <w:sz w:val="30"/>
          <w:szCs w:val="30"/>
          <w:lang w:val="en-US" w:eastAsia="zh-CN"/>
        </w:rPr>
        <w:t>5：</w:t>
      </w:r>
      <w:r>
        <w:rPr>
          <w:rFonts w:hint="eastAsia" w:ascii="方正黑体_GBK" w:hAnsi="方正黑体_GBK" w:eastAsia="方正黑体_GBK" w:cs="方正黑体_GBK"/>
          <w:b w:val="0"/>
          <w:bCs w:val="0"/>
          <w:sz w:val="30"/>
          <w:szCs w:val="30"/>
        </w:rPr>
        <w:fldChar w:fldCharType="begin"/>
      </w:r>
      <w:r>
        <w:rPr>
          <w:rFonts w:hint="eastAsia" w:ascii="方正黑体_GBK" w:hAnsi="方正黑体_GBK" w:eastAsia="方正黑体_GBK" w:cs="方正黑体_GBK"/>
          <w:b w:val="0"/>
          <w:bCs w:val="0"/>
          <w:sz w:val="30"/>
          <w:szCs w:val="30"/>
        </w:rPr>
        <w:instrText xml:space="preserve"> HYPERLINK \l _Toc1734734023_WPSOffice_Level1 </w:instrText>
      </w:r>
      <w:r>
        <w:rPr>
          <w:rFonts w:hint="eastAsia" w:ascii="方正黑体_GBK" w:hAnsi="方正黑体_GBK" w:eastAsia="方正黑体_GBK" w:cs="方正黑体_GBK"/>
          <w:b w:val="0"/>
          <w:bCs w:val="0"/>
          <w:sz w:val="30"/>
          <w:szCs w:val="30"/>
        </w:rPr>
        <w:fldChar w:fldCharType="separate"/>
      </w:r>
      <w:r>
        <w:rPr>
          <w:rFonts w:hint="eastAsia" w:ascii="方正黑体_GBK" w:hAnsi="方正黑体_GBK" w:eastAsia="方正黑体_GBK" w:cs="方正黑体_GBK"/>
          <w:b w:val="0"/>
          <w:bCs w:val="0"/>
          <w:sz w:val="30"/>
          <w:szCs w:val="30"/>
        </w:rPr>
        <w:t>永川区“十四五”地质灾害隐患点工程治理项目规划表</w:t>
      </w:r>
      <w:r>
        <w:rPr>
          <w:rFonts w:hint="eastAsia" w:ascii="方正黑体_GBK" w:hAnsi="方正黑体_GBK" w:eastAsia="方正黑体_GBK" w:cs="方正黑体_GBK"/>
          <w:b w:val="0"/>
          <w:bCs w:val="0"/>
          <w:sz w:val="30"/>
          <w:szCs w:val="30"/>
        </w:rPr>
        <w:tab/>
      </w:r>
      <w:bookmarkStart w:id="35" w:name="_Toc1734734023_WPSOffice_Level1Page"/>
      <w:r>
        <w:rPr>
          <w:rFonts w:hint="eastAsia" w:ascii="方正黑体_GBK" w:hAnsi="方正黑体_GBK" w:eastAsia="方正黑体_GBK" w:cs="方正黑体_GBK"/>
          <w:b w:val="0"/>
          <w:bCs w:val="0"/>
          <w:sz w:val="30"/>
          <w:szCs w:val="30"/>
        </w:rPr>
        <w:t>37</w:t>
      </w:r>
      <w:bookmarkEnd w:id="35"/>
      <w:r>
        <w:rPr>
          <w:rFonts w:hint="eastAsia" w:ascii="方正黑体_GBK" w:hAnsi="方正黑体_GBK" w:eastAsia="方正黑体_GBK" w:cs="方正黑体_GBK"/>
          <w:b w:val="0"/>
          <w:bCs w:val="0"/>
          <w:sz w:val="30"/>
          <w:szCs w:val="30"/>
        </w:rPr>
        <w:fldChar w:fldCharType="end"/>
      </w:r>
    </w:p>
    <w:p>
      <w:pPr>
        <w:pStyle w:val="43"/>
        <w:tabs>
          <w:tab w:val="right" w:leader="dot" w:pos="8844"/>
        </w:tabs>
        <w:snapToGrid w:val="0"/>
        <w:spacing w:line="276" w:lineRule="auto"/>
        <w:rPr>
          <w:rFonts w:hint="eastAsia" w:ascii="方正黑体_GBK" w:hAnsi="方正黑体_GBK" w:eastAsia="方正黑体_GBK" w:cs="方正黑体_GBK"/>
          <w:b w:val="0"/>
          <w:bCs w:val="0"/>
          <w:sz w:val="30"/>
          <w:szCs w:val="30"/>
        </w:rPr>
      </w:pPr>
      <w:r>
        <w:rPr>
          <w:rFonts w:hint="eastAsia" w:ascii="方正黑体_GBK" w:hAnsi="方正黑体_GBK" w:eastAsia="方正黑体_GBK" w:cs="方正黑体_GBK"/>
          <w:b w:val="0"/>
          <w:bCs w:val="0"/>
          <w:spacing w:val="-11"/>
          <w:sz w:val="30"/>
          <w:szCs w:val="30"/>
          <w:lang w:eastAsia="zh-CN"/>
        </w:rPr>
        <w:t>附表</w:t>
      </w:r>
      <w:r>
        <w:rPr>
          <w:rFonts w:hint="eastAsia" w:ascii="方正黑体_GBK" w:hAnsi="方正黑体_GBK" w:eastAsia="方正黑体_GBK" w:cs="方正黑体_GBK"/>
          <w:b w:val="0"/>
          <w:bCs w:val="0"/>
          <w:spacing w:val="-11"/>
          <w:sz w:val="30"/>
          <w:szCs w:val="30"/>
          <w:lang w:val="en-US" w:eastAsia="zh-CN"/>
        </w:rPr>
        <w:t>6：</w:t>
      </w:r>
      <w:r>
        <w:rPr>
          <w:rFonts w:hint="eastAsia" w:ascii="方正黑体_GBK" w:hAnsi="方正黑体_GBK" w:eastAsia="方正黑体_GBK" w:cs="方正黑体_GBK"/>
          <w:b w:val="0"/>
          <w:bCs w:val="0"/>
          <w:spacing w:val="-11"/>
          <w:sz w:val="30"/>
          <w:szCs w:val="30"/>
        </w:rPr>
        <w:fldChar w:fldCharType="begin"/>
      </w:r>
      <w:r>
        <w:rPr>
          <w:rFonts w:hint="eastAsia" w:ascii="方正黑体_GBK" w:hAnsi="方正黑体_GBK" w:eastAsia="方正黑体_GBK" w:cs="方正黑体_GBK"/>
          <w:b w:val="0"/>
          <w:bCs w:val="0"/>
          <w:spacing w:val="-11"/>
          <w:sz w:val="30"/>
          <w:szCs w:val="30"/>
        </w:rPr>
        <w:instrText xml:space="preserve"> HYPERLINK \l _Toc341039487_WPSOffice_Level1 </w:instrText>
      </w:r>
      <w:r>
        <w:rPr>
          <w:rFonts w:hint="eastAsia" w:ascii="方正黑体_GBK" w:hAnsi="方正黑体_GBK" w:eastAsia="方正黑体_GBK" w:cs="方正黑体_GBK"/>
          <w:b w:val="0"/>
          <w:bCs w:val="0"/>
          <w:spacing w:val="-11"/>
          <w:sz w:val="30"/>
          <w:szCs w:val="30"/>
        </w:rPr>
        <w:fldChar w:fldCharType="separate"/>
      </w:r>
      <w:r>
        <w:rPr>
          <w:rFonts w:hint="eastAsia" w:ascii="方正黑体_GBK" w:hAnsi="方正黑体_GBK" w:eastAsia="方正黑体_GBK" w:cs="方正黑体_GBK"/>
          <w:b w:val="0"/>
          <w:bCs w:val="0"/>
          <w:spacing w:val="-11"/>
          <w:sz w:val="30"/>
          <w:szCs w:val="30"/>
        </w:rPr>
        <w:t>永川区</w:t>
      </w:r>
      <w:r>
        <w:rPr>
          <w:rFonts w:hint="eastAsia" w:ascii="方正黑体_GBK" w:hAnsi="方正黑体_GBK" w:eastAsia="方正黑体_GBK" w:cs="方正黑体_GBK"/>
          <w:b w:val="0"/>
          <w:bCs w:val="0"/>
          <w:spacing w:val="-11"/>
          <w:sz w:val="30"/>
          <w:szCs w:val="30"/>
          <w:lang w:eastAsia="zh-CN"/>
        </w:rPr>
        <w:t>“</w:t>
      </w:r>
      <w:r>
        <w:rPr>
          <w:rFonts w:hint="eastAsia" w:ascii="方正黑体_GBK" w:hAnsi="方正黑体_GBK" w:eastAsia="方正黑体_GBK" w:cs="方正黑体_GBK"/>
          <w:b w:val="0"/>
          <w:bCs w:val="0"/>
          <w:spacing w:val="-11"/>
          <w:sz w:val="30"/>
          <w:szCs w:val="30"/>
        </w:rPr>
        <w:t>十四五</w:t>
      </w:r>
      <w:r>
        <w:rPr>
          <w:rFonts w:hint="eastAsia" w:ascii="方正黑体_GBK" w:hAnsi="方正黑体_GBK" w:eastAsia="方正黑体_GBK" w:cs="方正黑体_GBK"/>
          <w:b w:val="0"/>
          <w:bCs w:val="0"/>
          <w:spacing w:val="-11"/>
          <w:sz w:val="30"/>
          <w:szCs w:val="30"/>
          <w:lang w:eastAsia="zh-CN"/>
        </w:rPr>
        <w:t>”</w:t>
      </w:r>
      <w:r>
        <w:rPr>
          <w:rFonts w:hint="eastAsia" w:ascii="方正黑体_GBK" w:hAnsi="方正黑体_GBK" w:eastAsia="方正黑体_GBK" w:cs="方正黑体_GBK"/>
          <w:b w:val="0"/>
          <w:bCs w:val="0"/>
          <w:spacing w:val="-11"/>
          <w:sz w:val="30"/>
          <w:szCs w:val="30"/>
        </w:rPr>
        <w:t>地质灾害隐患点避险移民搬迁项目规划表</w:t>
      </w:r>
      <w:r>
        <w:rPr>
          <w:rFonts w:hint="eastAsia" w:ascii="方正黑体_GBK" w:hAnsi="方正黑体_GBK" w:eastAsia="方正黑体_GBK" w:cs="方正黑体_GBK"/>
          <w:b w:val="0"/>
          <w:bCs w:val="0"/>
          <w:spacing w:val="-11"/>
          <w:sz w:val="30"/>
          <w:szCs w:val="30"/>
        </w:rPr>
        <w:tab/>
      </w:r>
      <w:bookmarkStart w:id="36" w:name="_Toc341039487_WPSOffice_Level1Page"/>
      <w:r>
        <w:rPr>
          <w:rFonts w:hint="eastAsia" w:ascii="方正黑体_GBK" w:hAnsi="方正黑体_GBK" w:eastAsia="方正黑体_GBK" w:cs="方正黑体_GBK"/>
          <w:b w:val="0"/>
          <w:bCs w:val="0"/>
          <w:spacing w:val="-11"/>
          <w:sz w:val="30"/>
          <w:szCs w:val="30"/>
        </w:rPr>
        <w:t>38</w:t>
      </w:r>
      <w:bookmarkEnd w:id="36"/>
      <w:r>
        <w:rPr>
          <w:rFonts w:hint="eastAsia" w:ascii="方正黑体_GBK" w:hAnsi="方正黑体_GBK" w:eastAsia="方正黑体_GBK" w:cs="方正黑体_GBK"/>
          <w:b w:val="0"/>
          <w:bCs w:val="0"/>
          <w:spacing w:val="-11"/>
          <w:sz w:val="30"/>
          <w:szCs w:val="30"/>
        </w:rPr>
        <w:fldChar w:fldCharType="end"/>
      </w:r>
    </w:p>
    <w:p>
      <w:pPr>
        <w:pStyle w:val="43"/>
        <w:tabs>
          <w:tab w:val="right" w:leader="dot" w:pos="8844"/>
        </w:tabs>
        <w:snapToGrid w:val="0"/>
        <w:spacing w:line="276" w:lineRule="auto"/>
        <w:rPr>
          <w:rFonts w:hint="eastAsia" w:ascii="方正黑体_GBK" w:hAnsi="方正黑体_GBK" w:eastAsia="方正黑体_GBK" w:cs="方正黑体_GBK"/>
          <w:b w:val="0"/>
          <w:bCs w:val="0"/>
          <w:sz w:val="30"/>
          <w:szCs w:val="30"/>
        </w:rPr>
      </w:pPr>
      <w:r>
        <w:rPr>
          <w:rFonts w:hint="eastAsia" w:ascii="方正黑体_GBK" w:hAnsi="方正黑体_GBK" w:eastAsia="方正黑体_GBK" w:cs="方正黑体_GBK"/>
          <w:b w:val="0"/>
          <w:bCs w:val="0"/>
          <w:sz w:val="30"/>
          <w:szCs w:val="30"/>
          <w:lang w:eastAsia="zh-CN"/>
        </w:rPr>
        <w:t>附表</w:t>
      </w:r>
      <w:r>
        <w:rPr>
          <w:rFonts w:hint="eastAsia" w:ascii="方正黑体_GBK" w:hAnsi="方正黑体_GBK" w:eastAsia="方正黑体_GBK" w:cs="方正黑体_GBK"/>
          <w:b w:val="0"/>
          <w:bCs w:val="0"/>
          <w:sz w:val="30"/>
          <w:szCs w:val="30"/>
          <w:lang w:val="en-US" w:eastAsia="zh-CN"/>
        </w:rPr>
        <w:t>7：</w:t>
      </w:r>
      <w:r>
        <w:rPr>
          <w:rFonts w:hint="eastAsia" w:ascii="方正黑体_GBK" w:hAnsi="方正黑体_GBK" w:eastAsia="方正黑体_GBK" w:cs="方正黑体_GBK"/>
          <w:b w:val="0"/>
          <w:bCs w:val="0"/>
          <w:sz w:val="30"/>
          <w:szCs w:val="30"/>
        </w:rPr>
        <w:fldChar w:fldCharType="begin"/>
      </w:r>
      <w:r>
        <w:rPr>
          <w:rFonts w:hint="eastAsia" w:ascii="方正黑体_GBK" w:hAnsi="方正黑体_GBK" w:eastAsia="方正黑体_GBK" w:cs="方正黑体_GBK"/>
          <w:b w:val="0"/>
          <w:bCs w:val="0"/>
          <w:sz w:val="30"/>
          <w:szCs w:val="30"/>
        </w:rPr>
        <w:instrText xml:space="preserve"> HYPERLINK \l _Toc275180350_WPSOffice_Level1 </w:instrText>
      </w:r>
      <w:r>
        <w:rPr>
          <w:rFonts w:hint="eastAsia" w:ascii="方正黑体_GBK" w:hAnsi="方正黑体_GBK" w:eastAsia="方正黑体_GBK" w:cs="方正黑体_GBK"/>
          <w:b w:val="0"/>
          <w:bCs w:val="0"/>
          <w:sz w:val="30"/>
          <w:szCs w:val="30"/>
        </w:rPr>
        <w:fldChar w:fldCharType="separate"/>
      </w:r>
      <w:r>
        <w:rPr>
          <w:rFonts w:hint="eastAsia" w:ascii="方正黑体_GBK" w:hAnsi="方正黑体_GBK" w:eastAsia="方正黑体_GBK" w:cs="方正黑体_GBK"/>
          <w:b w:val="0"/>
          <w:bCs w:val="0"/>
          <w:sz w:val="30"/>
          <w:szCs w:val="30"/>
        </w:rPr>
        <w:t>永川区地质灾害隐患点专业监测规划表</w:t>
      </w:r>
      <w:r>
        <w:rPr>
          <w:rFonts w:hint="eastAsia" w:ascii="方正黑体_GBK" w:hAnsi="方正黑体_GBK" w:eastAsia="方正黑体_GBK" w:cs="方正黑体_GBK"/>
          <w:b w:val="0"/>
          <w:bCs w:val="0"/>
          <w:sz w:val="30"/>
          <w:szCs w:val="30"/>
        </w:rPr>
        <w:tab/>
      </w:r>
      <w:bookmarkStart w:id="37" w:name="_Toc275180350_WPSOffice_Level1Page"/>
      <w:r>
        <w:rPr>
          <w:rFonts w:hint="eastAsia" w:ascii="方正黑体_GBK" w:hAnsi="方正黑体_GBK" w:eastAsia="方正黑体_GBK" w:cs="方正黑体_GBK"/>
          <w:b w:val="0"/>
          <w:bCs w:val="0"/>
          <w:sz w:val="30"/>
          <w:szCs w:val="30"/>
        </w:rPr>
        <w:t>39</w:t>
      </w:r>
      <w:bookmarkEnd w:id="37"/>
      <w:r>
        <w:rPr>
          <w:rFonts w:hint="eastAsia" w:ascii="方正黑体_GBK" w:hAnsi="方正黑体_GBK" w:eastAsia="方正黑体_GBK" w:cs="方正黑体_GBK"/>
          <w:b w:val="0"/>
          <w:bCs w:val="0"/>
          <w:sz w:val="30"/>
          <w:szCs w:val="30"/>
        </w:rPr>
        <w:fldChar w:fldCharType="end"/>
      </w:r>
    </w:p>
    <w:p>
      <w:pPr>
        <w:pStyle w:val="43"/>
        <w:tabs>
          <w:tab w:val="right" w:leader="dot" w:pos="8844"/>
        </w:tabs>
        <w:snapToGrid w:val="0"/>
        <w:spacing w:line="276" w:lineRule="auto"/>
        <w:rPr>
          <w:rFonts w:hint="eastAsia" w:ascii="方正黑体_GBK" w:hAnsi="方正黑体_GBK" w:eastAsia="方正黑体_GBK" w:cs="方正黑体_GBK"/>
          <w:b w:val="0"/>
          <w:bCs w:val="0"/>
          <w:sz w:val="30"/>
          <w:szCs w:val="30"/>
        </w:rPr>
      </w:pPr>
      <w:r>
        <w:rPr>
          <w:rFonts w:hint="eastAsia" w:ascii="方正黑体_GBK" w:hAnsi="方正黑体_GBK" w:eastAsia="方正黑体_GBK" w:cs="方正黑体_GBK"/>
          <w:b w:val="0"/>
          <w:bCs w:val="0"/>
          <w:sz w:val="30"/>
          <w:szCs w:val="30"/>
          <w:lang w:eastAsia="zh-CN"/>
        </w:rPr>
        <w:t>附表</w:t>
      </w:r>
      <w:r>
        <w:rPr>
          <w:rFonts w:hint="eastAsia" w:ascii="方正黑体_GBK" w:hAnsi="方正黑体_GBK" w:eastAsia="方正黑体_GBK" w:cs="方正黑体_GBK"/>
          <w:b w:val="0"/>
          <w:bCs w:val="0"/>
          <w:sz w:val="30"/>
          <w:szCs w:val="30"/>
          <w:lang w:val="en-US" w:eastAsia="zh-CN"/>
        </w:rPr>
        <w:t>8：</w:t>
      </w:r>
      <w:r>
        <w:rPr>
          <w:rFonts w:hint="eastAsia" w:ascii="方正黑体_GBK" w:hAnsi="方正黑体_GBK" w:eastAsia="方正黑体_GBK" w:cs="方正黑体_GBK"/>
          <w:b w:val="0"/>
          <w:bCs w:val="0"/>
          <w:sz w:val="30"/>
          <w:szCs w:val="30"/>
        </w:rPr>
        <w:fldChar w:fldCharType="begin"/>
      </w:r>
      <w:r>
        <w:rPr>
          <w:rFonts w:hint="eastAsia" w:ascii="方正黑体_GBK" w:hAnsi="方正黑体_GBK" w:eastAsia="方正黑体_GBK" w:cs="方正黑体_GBK"/>
          <w:b w:val="0"/>
          <w:bCs w:val="0"/>
          <w:sz w:val="30"/>
          <w:szCs w:val="30"/>
        </w:rPr>
        <w:instrText xml:space="preserve"> HYPERLINK \l _Toc1695357583_WPSOffice_Level1 </w:instrText>
      </w:r>
      <w:r>
        <w:rPr>
          <w:rFonts w:hint="eastAsia" w:ascii="方正黑体_GBK" w:hAnsi="方正黑体_GBK" w:eastAsia="方正黑体_GBK" w:cs="方正黑体_GBK"/>
          <w:b w:val="0"/>
          <w:bCs w:val="0"/>
          <w:sz w:val="30"/>
          <w:szCs w:val="30"/>
        </w:rPr>
        <w:fldChar w:fldCharType="separate"/>
      </w:r>
      <w:r>
        <w:rPr>
          <w:rFonts w:hint="eastAsia" w:ascii="方正黑体_GBK" w:hAnsi="方正黑体_GBK" w:eastAsia="方正黑体_GBK" w:cs="方正黑体_GBK"/>
          <w:b w:val="0"/>
          <w:bCs w:val="0"/>
          <w:sz w:val="30"/>
          <w:szCs w:val="30"/>
        </w:rPr>
        <w:t>永川区“十四五”地质灾害防治经费估算表</w:t>
      </w:r>
      <w:r>
        <w:rPr>
          <w:rFonts w:hint="eastAsia" w:ascii="方正黑体_GBK" w:hAnsi="方正黑体_GBK" w:eastAsia="方正黑体_GBK" w:cs="方正黑体_GBK"/>
          <w:b w:val="0"/>
          <w:bCs w:val="0"/>
          <w:sz w:val="30"/>
          <w:szCs w:val="30"/>
        </w:rPr>
        <w:tab/>
      </w:r>
      <w:bookmarkStart w:id="38" w:name="_Toc1695357583_WPSOffice_Level1Page"/>
      <w:r>
        <w:rPr>
          <w:rFonts w:hint="eastAsia" w:ascii="方正黑体_GBK" w:hAnsi="方正黑体_GBK" w:eastAsia="方正黑体_GBK" w:cs="方正黑体_GBK"/>
          <w:b w:val="0"/>
          <w:bCs w:val="0"/>
          <w:sz w:val="30"/>
          <w:szCs w:val="30"/>
        </w:rPr>
        <w:t>40</w:t>
      </w:r>
      <w:bookmarkEnd w:id="38"/>
      <w:r>
        <w:rPr>
          <w:rFonts w:hint="eastAsia" w:ascii="方正黑体_GBK" w:hAnsi="方正黑体_GBK" w:eastAsia="方正黑体_GBK" w:cs="方正黑体_GBK"/>
          <w:b w:val="0"/>
          <w:bCs w:val="0"/>
          <w:sz w:val="30"/>
          <w:szCs w:val="30"/>
        </w:rPr>
        <w:fldChar w:fldCharType="end"/>
      </w:r>
      <w:bookmarkEnd w:id="2"/>
    </w:p>
    <w:p>
      <w:pPr>
        <w:pStyle w:val="43"/>
        <w:widowControl w:val="0"/>
        <w:tabs>
          <w:tab w:val="right" w:leader="dot" w:pos="8844"/>
        </w:tabs>
        <w:snapToGrid w:val="0"/>
        <w:spacing w:line="276" w:lineRule="auto"/>
        <w:rPr>
          <w:rFonts w:hint="eastAsia" w:ascii="方正黑体_GBK" w:hAnsi="方正黑体_GBK" w:eastAsia="方正黑体_GBK" w:cs="方正黑体_GBK"/>
          <w:b w:val="0"/>
          <w:bCs w:val="0"/>
          <w:sz w:val="30"/>
          <w:szCs w:val="30"/>
          <w:lang w:val="en-US" w:eastAsia="zh-CN"/>
        </w:rPr>
      </w:pPr>
      <w:bookmarkStart w:id="39" w:name="_Toc916232653_WPSOffice_Level1"/>
      <w:r>
        <w:rPr>
          <w:rFonts w:hint="eastAsia" w:ascii="方正黑体_GBK" w:hAnsi="方正黑体_GBK" w:eastAsia="方正黑体_GBK" w:cs="方正黑体_GBK"/>
          <w:b w:val="0"/>
          <w:bCs w:val="0"/>
          <w:sz w:val="30"/>
          <w:szCs w:val="30"/>
          <w:lang w:eastAsia="zh-CN"/>
        </w:rPr>
        <w:t>附图</w:t>
      </w:r>
      <w:r>
        <w:rPr>
          <w:rFonts w:hint="eastAsia" w:ascii="方正黑体_GBK" w:hAnsi="方正黑体_GBK" w:eastAsia="方正黑体_GBK" w:cs="方正黑体_GBK"/>
          <w:b w:val="0"/>
          <w:bCs w:val="0"/>
          <w:sz w:val="30"/>
          <w:szCs w:val="30"/>
          <w:lang w:val="en-US" w:eastAsia="zh-CN"/>
        </w:rPr>
        <w:t>1</w:t>
      </w:r>
      <w:r>
        <w:rPr>
          <w:rFonts w:hint="eastAsia" w:ascii="方正黑体_GBK" w:hAnsi="方正黑体_GBK" w:eastAsia="方正黑体_GBK" w:cs="方正黑体_GBK"/>
          <w:b w:val="0"/>
          <w:bCs w:val="0"/>
          <w:sz w:val="30"/>
          <w:szCs w:val="30"/>
          <w:lang w:eastAsia="zh-CN"/>
        </w:rPr>
        <w:t>：重庆市永川区地质灾害隐患点分布图</w:t>
      </w:r>
      <w:r>
        <w:rPr>
          <w:rFonts w:hint="eastAsia" w:ascii="方正黑体_GBK" w:hAnsi="方正黑体_GBK" w:eastAsia="方正黑体_GBK" w:cs="方正黑体_GBK"/>
          <w:b w:val="0"/>
          <w:bCs w:val="0"/>
          <w:sz w:val="30"/>
          <w:szCs w:val="30"/>
        </w:rPr>
        <w:fldChar w:fldCharType="begin"/>
      </w:r>
      <w:r>
        <w:rPr>
          <w:rFonts w:hint="eastAsia" w:ascii="方正黑体_GBK" w:hAnsi="方正黑体_GBK" w:eastAsia="方正黑体_GBK" w:cs="方正黑体_GBK"/>
          <w:b w:val="0"/>
          <w:bCs w:val="0"/>
          <w:sz w:val="30"/>
          <w:szCs w:val="30"/>
        </w:rPr>
        <w:instrText xml:space="preserve"> HYP</w:instrText>
      </w:r>
      <w:bookmarkEnd w:id="39"/>
      <w:r>
        <w:rPr>
          <w:rFonts w:hint="eastAsia" w:ascii="方正黑体_GBK" w:hAnsi="方正黑体_GBK" w:eastAsia="方正黑体_GBK" w:cs="方正黑体_GBK"/>
          <w:b w:val="0"/>
          <w:bCs w:val="0"/>
          <w:sz w:val="30"/>
          <w:szCs w:val="30"/>
        </w:rPr>
        <w:instrText xml:space="preserve">ERLINK \l _Toc1092942521_WPSOffice_Level1 </w:instrText>
      </w:r>
      <w:r>
        <w:rPr>
          <w:rFonts w:hint="eastAsia" w:ascii="方正黑体_GBK" w:hAnsi="方正黑体_GBK" w:eastAsia="方正黑体_GBK" w:cs="方正黑体_GBK"/>
          <w:b w:val="0"/>
          <w:bCs w:val="0"/>
          <w:sz w:val="30"/>
          <w:szCs w:val="30"/>
        </w:rPr>
        <w:fldChar w:fldCharType="separate"/>
      </w:r>
      <w:r>
        <w:rPr>
          <w:rFonts w:hint="eastAsia" w:ascii="方正黑体_GBK" w:hAnsi="方正黑体_GBK" w:eastAsia="方正黑体_GBK" w:cs="方正黑体_GBK"/>
          <w:b w:val="0"/>
          <w:bCs w:val="0"/>
          <w:sz w:val="30"/>
          <w:szCs w:val="30"/>
        </w:rPr>
        <w:tab/>
      </w:r>
      <w:r>
        <w:rPr>
          <w:rFonts w:hint="eastAsia" w:ascii="方正黑体_GBK" w:hAnsi="方正黑体_GBK" w:eastAsia="方正黑体_GBK" w:cs="方正黑体_GBK"/>
          <w:b w:val="0"/>
          <w:bCs w:val="0"/>
          <w:sz w:val="30"/>
          <w:szCs w:val="30"/>
          <w:lang w:val="en-US" w:eastAsia="zh-CN"/>
        </w:rPr>
        <w:t>4</w:t>
      </w:r>
      <w:r>
        <w:rPr>
          <w:rFonts w:hint="eastAsia" w:ascii="方正黑体_GBK" w:hAnsi="方正黑体_GBK" w:eastAsia="方正黑体_GBK" w:cs="方正黑体_GBK"/>
          <w:b w:val="0"/>
          <w:bCs w:val="0"/>
          <w:sz w:val="30"/>
          <w:szCs w:val="30"/>
        </w:rPr>
        <w:fldChar w:fldCharType="end"/>
      </w:r>
      <w:r>
        <w:rPr>
          <w:rFonts w:hint="eastAsia" w:ascii="方正黑体_GBK" w:hAnsi="方正黑体_GBK" w:eastAsia="方正黑体_GBK" w:cs="方正黑体_GBK"/>
          <w:b w:val="0"/>
          <w:bCs w:val="0"/>
          <w:sz w:val="30"/>
          <w:szCs w:val="30"/>
          <w:lang w:val="en-US" w:eastAsia="zh-CN"/>
        </w:rPr>
        <w:t>2</w:t>
      </w:r>
    </w:p>
    <w:p>
      <w:pPr>
        <w:pStyle w:val="43"/>
        <w:widowControl w:val="0"/>
        <w:tabs>
          <w:tab w:val="right" w:leader="dot" w:pos="8844"/>
        </w:tabs>
        <w:snapToGrid w:val="0"/>
        <w:spacing w:line="276" w:lineRule="auto"/>
        <w:rPr>
          <w:rFonts w:hint="eastAsia" w:ascii="方正黑体_GBK" w:hAnsi="方正黑体_GBK" w:eastAsia="方正黑体_GBK" w:cs="方正黑体_GBK"/>
          <w:b w:val="0"/>
          <w:bCs w:val="0"/>
          <w:sz w:val="30"/>
          <w:szCs w:val="30"/>
          <w:lang w:val="en-US" w:eastAsia="zh-CN"/>
        </w:rPr>
      </w:pPr>
      <w:bookmarkStart w:id="40" w:name="_Toc689636208_WPSOffice_Level1"/>
      <w:r>
        <w:rPr>
          <w:rFonts w:hint="eastAsia" w:ascii="方正黑体_GBK" w:hAnsi="方正黑体_GBK" w:eastAsia="方正黑体_GBK" w:cs="方正黑体_GBK"/>
          <w:b w:val="0"/>
          <w:bCs w:val="0"/>
          <w:sz w:val="30"/>
          <w:szCs w:val="30"/>
          <w:lang w:val="en-US" w:eastAsia="zh-CN"/>
        </w:rPr>
        <w:t>附图2：</w:t>
      </w:r>
      <w:r>
        <w:rPr>
          <w:rFonts w:hint="eastAsia" w:ascii="方正黑体_GBK" w:hAnsi="方正黑体_GBK" w:eastAsia="方正黑体_GBK" w:cs="方正黑体_GBK"/>
          <w:b w:val="0"/>
          <w:bCs w:val="0"/>
          <w:sz w:val="30"/>
          <w:szCs w:val="30"/>
          <w:lang w:eastAsia="zh-CN"/>
        </w:rPr>
        <w:t>重庆市永川区地质灾害易发程度区划图</w:t>
      </w:r>
      <w:r>
        <w:rPr>
          <w:rFonts w:hint="eastAsia" w:ascii="方正黑体_GBK" w:hAnsi="方正黑体_GBK" w:eastAsia="方正黑体_GBK" w:cs="方正黑体_GBK"/>
          <w:b w:val="0"/>
          <w:bCs w:val="0"/>
          <w:sz w:val="30"/>
          <w:szCs w:val="30"/>
        </w:rPr>
        <w:fldChar w:fldCharType="begin"/>
      </w:r>
      <w:r>
        <w:rPr>
          <w:rFonts w:hint="eastAsia" w:ascii="方正黑体_GBK" w:hAnsi="方正黑体_GBK" w:eastAsia="方正黑体_GBK" w:cs="方正黑体_GBK"/>
          <w:b w:val="0"/>
          <w:bCs w:val="0"/>
          <w:sz w:val="30"/>
          <w:szCs w:val="30"/>
        </w:rPr>
        <w:instrText xml:space="preserve"> H</w:instrText>
      </w:r>
      <w:bookmarkEnd w:id="40"/>
      <w:r>
        <w:rPr>
          <w:rFonts w:hint="eastAsia" w:ascii="方正黑体_GBK" w:hAnsi="方正黑体_GBK" w:eastAsia="方正黑体_GBK" w:cs="方正黑体_GBK"/>
          <w:b w:val="0"/>
          <w:bCs w:val="0"/>
          <w:sz w:val="30"/>
          <w:szCs w:val="30"/>
        </w:rPr>
        <w:instrText xml:space="preserve">YPERLINK \l _Toc1092942521_WPSOffice_Level1 </w:instrText>
      </w:r>
      <w:r>
        <w:rPr>
          <w:rFonts w:hint="eastAsia" w:ascii="方正黑体_GBK" w:hAnsi="方正黑体_GBK" w:eastAsia="方正黑体_GBK" w:cs="方正黑体_GBK"/>
          <w:b w:val="0"/>
          <w:bCs w:val="0"/>
          <w:sz w:val="30"/>
          <w:szCs w:val="30"/>
        </w:rPr>
        <w:fldChar w:fldCharType="separate"/>
      </w:r>
      <w:r>
        <w:rPr>
          <w:rFonts w:hint="eastAsia" w:ascii="方正黑体_GBK" w:hAnsi="方正黑体_GBK" w:eastAsia="方正黑体_GBK" w:cs="方正黑体_GBK"/>
          <w:b w:val="0"/>
          <w:bCs w:val="0"/>
          <w:sz w:val="30"/>
          <w:szCs w:val="30"/>
        </w:rPr>
        <w:tab/>
      </w:r>
      <w:r>
        <w:rPr>
          <w:rFonts w:hint="eastAsia" w:ascii="方正黑体_GBK" w:hAnsi="方正黑体_GBK" w:eastAsia="方正黑体_GBK" w:cs="方正黑体_GBK"/>
          <w:b w:val="0"/>
          <w:bCs w:val="0"/>
          <w:sz w:val="30"/>
          <w:szCs w:val="30"/>
          <w:lang w:val="en-US" w:eastAsia="zh-CN"/>
        </w:rPr>
        <w:t>4</w:t>
      </w:r>
      <w:r>
        <w:rPr>
          <w:rFonts w:hint="eastAsia" w:ascii="方正黑体_GBK" w:hAnsi="方正黑体_GBK" w:eastAsia="方正黑体_GBK" w:cs="方正黑体_GBK"/>
          <w:b w:val="0"/>
          <w:bCs w:val="0"/>
          <w:sz w:val="30"/>
          <w:szCs w:val="30"/>
        </w:rPr>
        <w:fldChar w:fldCharType="end"/>
      </w:r>
      <w:r>
        <w:rPr>
          <w:rFonts w:hint="eastAsia" w:ascii="方正黑体_GBK" w:hAnsi="方正黑体_GBK" w:eastAsia="方正黑体_GBK" w:cs="方正黑体_GBK"/>
          <w:b w:val="0"/>
          <w:bCs w:val="0"/>
          <w:sz w:val="30"/>
          <w:szCs w:val="30"/>
          <w:lang w:val="en-US" w:eastAsia="zh-CN"/>
        </w:rPr>
        <w:t>3</w:t>
      </w:r>
    </w:p>
    <w:p>
      <w:pPr>
        <w:pStyle w:val="43"/>
        <w:widowControl w:val="0"/>
        <w:tabs>
          <w:tab w:val="right" w:leader="dot" w:pos="8844"/>
        </w:tabs>
        <w:snapToGrid w:val="0"/>
        <w:spacing w:line="276" w:lineRule="auto"/>
        <w:rPr>
          <w:rFonts w:hint="eastAsia" w:ascii="方正黑体_GBK" w:hAnsi="方正黑体_GBK" w:eastAsia="方正黑体_GBK" w:cs="方正黑体_GBK"/>
          <w:b w:val="0"/>
          <w:bCs w:val="0"/>
          <w:sz w:val="30"/>
          <w:szCs w:val="30"/>
          <w:lang w:val="en-US" w:eastAsia="zh-CN"/>
        </w:rPr>
      </w:pPr>
      <w:bookmarkStart w:id="41" w:name="_Toc911446415_WPSOffice_Level1"/>
      <w:r>
        <w:rPr>
          <w:rFonts w:hint="eastAsia" w:ascii="方正黑体_GBK" w:hAnsi="方正黑体_GBK" w:eastAsia="方正黑体_GBK" w:cs="方正黑体_GBK"/>
          <w:b w:val="0"/>
          <w:bCs w:val="0"/>
          <w:sz w:val="30"/>
          <w:szCs w:val="30"/>
          <w:lang w:val="en-US" w:eastAsia="zh-CN"/>
        </w:rPr>
        <w:t>附图3：</w:t>
      </w:r>
      <w:r>
        <w:rPr>
          <w:rFonts w:hint="eastAsia" w:ascii="方正黑体_GBK" w:hAnsi="方正黑体_GBK" w:eastAsia="方正黑体_GBK" w:cs="方正黑体_GBK"/>
          <w:b w:val="0"/>
          <w:bCs w:val="0"/>
          <w:sz w:val="30"/>
          <w:szCs w:val="30"/>
          <w:lang w:eastAsia="zh-CN"/>
        </w:rPr>
        <w:t>重庆市永川区地质灾害风险等级区划图</w:t>
      </w:r>
      <w:r>
        <w:rPr>
          <w:rFonts w:hint="eastAsia" w:ascii="方正黑体_GBK" w:hAnsi="方正黑体_GBK" w:eastAsia="方正黑体_GBK" w:cs="方正黑体_GBK"/>
          <w:b w:val="0"/>
          <w:bCs w:val="0"/>
          <w:sz w:val="30"/>
          <w:szCs w:val="30"/>
        </w:rPr>
        <w:fldChar w:fldCharType="begin"/>
      </w:r>
      <w:r>
        <w:rPr>
          <w:rFonts w:hint="eastAsia" w:ascii="方正黑体_GBK" w:hAnsi="方正黑体_GBK" w:eastAsia="方正黑体_GBK" w:cs="方正黑体_GBK"/>
          <w:b w:val="0"/>
          <w:bCs w:val="0"/>
          <w:sz w:val="30"/>
          <w:szCs w:val="30"/>
        </w:rPr>
        <w:instrText xml:space="preserve"> H</w:instrText>
      </w:r>
      <w:bookmarkEnd w:id="41"/>
      <w:r>
        <w:rPr>
          <w:rFonts w:hint="eastAsia" w:ascii="方正黑体_GBK" w:hAnsi="方正黑体_GBK" w:eastAsia="方正黑体_GBK" w:cs="方正黑体_GBK"/>
          <w:b w:val="0"/>
          <w:bCs w:val="0"/>
          <w:sz w:val="30"/>
          <w:szCs w:val="30"/>
        </w:rPr>
        <w:instrText xml:space="preserve">YPERLINK \l _Toc1092942521_WPSOffice_Level1 </w:instrText>
      </w:r>
      <w:r>
        <w:rPr>
          <w:rFonts w:hint="eastAsia" w:ascii="方正黑体_GBK" w:hAnsi="方正黑体_GBK" w:eastAsia="方正黑体_GBK" w:cs="方正黑体_GBK"/>
          <w:b w:val="0"/>
          <w:bCs w:val="0"/>
          <w:sz w:val="30"/>
          <w:szCs w:val="30"/>
        </w:rPr>
        <w:fldChar w:fldCharType="separate"/>
      </w:r>
      <w:r>
        <w:rPr>
          <w:rFonts w:hint="eastAsia" w:ascii="方正黑体_GBK" w:hAnsi="方正黑体_GBK" w:eastAsia="方正黑体_GBK" w:cs="方正黑体_GBK"/>
          <w:b w:val="0"/>
          <w:bCs w:val="0"/>
          <w:sz w:val="30"/>
          <w:szCs w:val="30"/>
        </w:rPr>
        <w:tab/>
      </w:r>
      <w:r>
        <w:rPr>
          <w:rFonts w:hint="eastAsia" w:ascii="方正黑体_GBK" w:hAnsi="方正黑体_GBK" w:eastAsia="方正黑体_GBK" w:cs="方正黑体_GBK"/>
          <w:b w:val="0"/>
          <w:bCs w:val="0"/>
          <w:sz w:val="30"/>
          <w:szCs w:val="30"/>
          <w:lang w:val="en-US" w:eastAsia="zh-CN"/>
        </w:rPr>
        <w:t>4</w:t>
      </w:r>
      <w:r>
        <w:rPr>
          <w:rFonts w:hint="eastAsia" w:ascii="方正黑体_GBK" w:hAnsi="方正黑体_GBK" w:eastAsia="方正黑体_GBK" w:cs="方正黑体_GBK"/>
          <w:b w:val="0"/>
          <w:bCs w:val="0"/>
          <w:sz w:val="30"/>
          <w:szCs w:val="30"/>
        </w:rPr>
        <w:fldChar w:fldCharType="end"/>
      </w:r>
      <w:r>
        <w:rPr>
          <w:rFonts w:hint="eastAsia" w:ascii="方正黑体_GBK" w:hAnsi="方正黑体_GBK" w:eastAsia="方正黑体_GBK" w:cs="方正黑体_GBK"/>
          <w:b w:val="0"/>
          <w:bCs w:val="0"/>
          <w:sz w:val="30"/>
          <w:szCs w:val="30"/>
          <w:lang w:val="en-US" w:eastAsia="zh-CN"/>
        </w:rPr>
        <w:t>4</w:t>
      </w:r>
    </w:p>
    <w:p>
      <w:pPr>
        <w:pStyle w:val="43"/>
        <w:widowControl w:val="0"/>
        <w:tabs>
          <w:tab w:val="right" w:leader="dot" w:pos="8844"/>
        </w:tabs>
        <w:snapToGrid w:val="0"/>
        <w:spacing w:line="276" w:lineRule="auto"/>
        <w:rPr>
          <w:rFonts w:hint="eastAsia" w:ascii="方正黑体_GBK" w:hAnsi="方正黑体_GBK" w:eastAsia="方正黑体_GBK" w:cs="方正黑体_GBK"/>
          <w:b w:val="0"/>
          <w:bCs w:val="0"/>
          <w:sz w:val="30"/>
          <w:szCs w:val="30"/>
          <w:lang w:val="en-US" w:eastAsia="zh-CN"/>
        </w:rPr>
      </w:pPr>
      <w:bookmarkStart w:id="42" w:name="_Toc1578345965_WPSOffice_Level1"/>
      <w:r>
        <w:rPr>
          <w:rFonts w:hint="eastAsia" w:ascii="方正黑体_GBK" w:hAnsi="方正黑体_GBK" w:eastAsia="方正黑体_GBK" w:cs="方正黑体_GBK"/>
          <w:b w:val="0"/>
          <w:bCs w:val="0"/>
          <w:sz w:val="30"/>
          <w:szCs w:val="30"/>
          <w:lang w:val="en-US" w:eastAsia="zh-CN"/>
        </w:rPr>
        <w:t>附图4：</w:t>
      </w:r>
      <w:r>
        <w:rPr>
          <w:rFonts w:hint="eastAsia" w:ascii="方正黑体_GBK" w:hAnsi="方正黑体_GBK" w:eastAsia="方正黑体_GBK" w:cs="方正黑体_GBK"/>
          <w:b w:val="0"/>
          <w:bCs w:val="0"/>
          <w:sz w:val="30"/>
          <w:szCs w:val="30"/>
          <w:lang w:eastAsia="zh-CN"/>
        </w:rPr>
        <w:t>重庆市永川区地质灾害防治区划图</w:t>
      </w:r>
      <w:r>
        <w:rPr>
          <w:rFonts w:hint="eastAsia" w:ascii="方正黑体_GBK" w:hAnsi="方正黑体_GBK" w:eastAsia="方正黑体_GBK" w:cs="方正黑体_GBK"/>
          <w:b w:val="0"/>
          <w:bCs w:val="0"/>
          <w:sz w:val="30"/>
          <w:szCs w:val="30"/>
        </w:rPr>
        <w:fldChar w:fldCharType="begin"/>
      </w:r>
      <w:r>
        <w:rPr>
          <w:rFonts w:hint="eastAsia" w:ascii="方正黑体_GBK" w:hAnsi="方正黑体_GBK" w:eastAsia="方正黑体_GBK" w:cs="方正黑体_GBK"/>
          <w:b w:val="0"/>
          <w:bCs w:val="0"/>
          <w:sz w:val="30"/>
          <w:szCs w:val="30"/>
        </w:rPr>
        <w:instrText xml:space="preserve"> H</w:instrText>
      </w:r>
      <w:bookmarkEnd w:id="42"/>
      <w:r>
        <w:rPr>
          <w:rFonts w:hint="eastAsia" w:ascii="方正黑体_GBK" w:hAnsi="方正黑体_GBK" w:eastAsia="方正黑体_GBK" w:cs="方正黑体_GBK"/>
          <w:b w:val="0"/>
          <w:bCs w:val="0"/>
          <w:sz w:val="30"/>
          <w:szCs w:val="30"/>
        </w:rPr>
        <w:instrText xml:space="preserve">YPERLINK \l _Toc1092942521_WPSOffice_Level1 </w:instrText>
      </w:r>
      <w:r>
        <w:rPr>
          <w:rFonts w:hint="eastAsia" w:ascii="方正黑体_GBK" w:hAnsi="方正黑体_GBK" w:eastAsia="方正黑体_GBK" w:cs="方正黑体_GBK"/>
          <w:b w:val="0"/>
          <w:bCs w:val="0"/>
          <w:sz w:val="30"/>
          <w:szCs w:val="30"/>
        </w:rPr>
        <w:fldChar w:fldCharType="separate"/>
      </w:r>
      <w:r>
        <w:rPr>
          <w:rFonts w:hint="eastAsia" w:ascii="方正黑体_GBK" w:hAnsi="方正黑体_GBK" w:eastAsia="方正黑体_GBK" w:cs="方正黑体_GBK"/>
          <w:b w:val="0"/>
          <w:bCs w:val="0"/>
          <w:sz w:val="30"/>
          <w:szCs w:val="30"/>
        </w:rPr>
        <w:tab/>
      </w:r>
      <w:r>
        <w:rPr>
          <w:rFonts w:hint="eastAsia" w:ascii="方正黑体_GBK" w:hAnsi="方正黑体_GBK" w:eastAsia="方正黑体_GBK" w:cs="方正黑体_GBK"/>
          <w:b w:val="0"/>
          <w:bCs w:val="0"/>
          <w:sz w:val="30"/>
          <w:szCs w:val="30"/>
          <w:lang w:val="en-US" w:eastAsia="zh-CN"/>
        </w:rPr>
        <w:t>4</w:t>
      </w:r>
      <w:r>
        <w:rPr>
          <w:rFonts w:hint="eastAsia" w:ascii="方正黑体_GBK" w:hAnsi="方正黑体_GBK" w:eastAsia="方正黑体_GBK" w:cs="方正黑体_GBK"/>
          <w:b w:val="0"/>
          <w:bCs w:val="0"/>
          <w:sz w:val="30"/>
          <w:szCs w:val="30"/>
        </w:rPr>
        <w:fldChar w:fldCharType="end"/>
      </w:r>
      <w:r>
        <w:rPr>
          <w:rFonts w:hint="eastAsia" w:ascii="方正黑体_GBK" w:hAnsi="方正黑体_GBK" w:eastAsia="方正黑体_GBK" w:cs="方正黑体_GBK"/>
          <w:b w:val="0"/>
          <w:bCs w:val="0"/>
          <w:sz w:val="30"/>
          <w:szCs w:val="30"/>
          <w:lang w:val="en-US" w:eastAsia="zh-CN"/>
        </w:rPr>
        <w:t>5</w:t>
      </w:r>
    </w:p>
    <w:bookmarkEnd w:id="0"/>
    <w:bookmarkEnd w:id="1"/>
    <w:p>
      <w:pPr>
        <w:spacing w:before="0" w:after="0" w:line="600" w:lineRule="exact"/>
        <w:ind w:firstLine="420" w:firstLineChars="200"/>
        <w:jc w:val="left"/>
        <w:rPr>
          <w:rFonts w:hint="eastAsia" w:ascii="方正黑体_GBK" w:hAnsi="方正黑体_GBK" w:eastAsia="方正黑体_GBK" w:cs="方正黑体_GBK"/>
          <w:b w:val="0"/>
          <w:bCs w:val="0"/>
          <w:color w:val="auto"/>
          <w:sz w:val="32"/>
          <w:szCs w:val="32"/>
        </w:rPr>
      </w:pPr>
      <w:bookmarkStart w:id="43" w:name="_Toc81602508"/>
      <w:r>
        <w:rPr>
          <w:rFonts w:hint="default" w:ascii="Times New Roman" w:hAnsi="Times New Roman" w:eastAsia="宋体" w:cs="Times New Roman"/>
          <w:b w:val="0"/>
          <w:bCs w:val="0"/>
          <w:color w:val="auto"/>
          <w:sz w:val="21"/>
          <w:szCs w:val="24"/>
        </w:rPr>
        <w:br w:type="page"/>
      </w:r>
    </w:p>
    <w:p>
      <w:pPr>
        <w:pStyle w:val="2"/>
        <w:snapToGrid w:val="0"/>
        <w:spacing w:before="0" w:after="0" w:line="288" w:lineRule="auto"/>
        <w:ind w:firstLine="640" w:firstLineChars="200"/>
        <w:jc w:val="left"/>
        <w:rPr>
          <w:rFonts w:ascii="方正黑体_GBK" w:hAnsi="方正黑体_GBK" w:eastAsia="方正黑体_GBK" w:cs="方正黑体_GBK"/>
          <w:b w:val="0"/>
          <w:bCs w:val="0"/>
          <w:color w:val="auto"/>
          <w:sz w:val="32"/>
          <w:szCs w:val="32"/>
        </w:rPr>
      </w:pPr>
      <w:bookmarkStart w:id="44" w:name="_Toc824738856_WPSOffice_Level1"/>
      <w:bookmarkStart w:id="45" w:name="_Toc5597994_WPSOffice_Level1"/>
      <w:bookmarkStart w:id="46" w:name="_Toc904993236_WPSOffice_Level1"/>
      <w:r>
        <w:rPr>
          <w:rFonts w:hint="eastAsia" w:ascii="方正黑体_GBK" w:hAnsi="方正黑体_GBK" w:eastAsia="方正黑体_GBK" w:cs="方正黑体_GBK"/>
          <w:b w:val="0"/>
          <w:bCs w:val="0"/>
          <w:color w:val="auto"/>
          <w:sz w:val="32"/>
          <w:szCs w:val="32"/>
        </w:rPr>
        <w:t>一、地质灾害防治现状与形势</w:t>
      </w:r>
      <w:bookmarkEnd w:id="43"/>
      <w:bookmarkEnd w:id="44"/>
      <w:bookmarkEnd w:id="45"/>
      <w:bookmarkEnd w:id="46"/>
    </w:p>
    <w:p>
      <w:pPr>
        <w:pStyle w:val="3"/>
        <w:snapToGrid w:val="0"/>
        <w:spacing w:before="0" w:after="0" w:line="288" w:lineRule="auto"/>
        <w:ind w:firstLine="640" w:firstLineChars="200"/>
        <w:rPr>
          <w:rFonts w:ascii="方正楷体_GBK" w:hAnsi="方正楷体_GBK" w:eastAsia="方正楷体_GBK" w:cs="方正楷体_GBK"/>
          <w:b w:val="0"/>
          <w:bCs w:val="0"/>
          <w:color w:val="auto"/>
        </w:rPr>
      </w:pPr>
      <w:bookmarkStart w:id="47" w:name="_Toc709437776_WPSOffice_Level2"/>
      <w:bookmarkStart w:id="48" w:name="_Toc1905273805_WPSOffice_Level2"/>
      <w:bookmarkStart w:id="49" w:name="_Toc1045609695_WPSOffice_Level2"/>
      <w:bookmarkStart w:id="50" w:name="_Toc81602509"/>
      <w:r>
        <w:rPr>
          <w:rFonts w:hint="eastAsia" w:ascii="方正楷体_GBK" w:hAnsi="方正楷体_GBK" w:eastAsia="方正楷体_GBK" w:cs="方正楷体_GBK"/>
          <w:b w:val="0"/>
          <w:bCs w:val="0"/>
          <w:color w:val="auto"/>
        </w:rPr>
        <w:t>（一）地质灾害现状</w:t>
      </w:r>
      <w:bookmarkEnd w:id="47"/>
      <w:bookmarkEnd w:id="48"/>
      <w:bookmarkEnd w:id="49"/>
      <w:bookmarkEnd w:id="50"/>
    </w:p>
    <w:p>
      <w:pPr>
        <w:snapToGrid w:val="0"/>
        <w:spacing w:line="288"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永川区位于渝西低山丘陵地区，地质灾害总体上不发育，地质灾害低易发区居多。由于受地形、地貌、地层岩性等自然条件及人类工程活动等因素的影响，</w:t>
      </w:r>
      <w:r>
        <w:rPr>
          <w:rFonts w:hint="eastAsia" w:ascii="方正仿宋_GBK" w:hAnsi="方正仿宋_GBK" w:eastAsia="方正仿宋_GBK" w:cs="方正仿宋_GBK"/>
          <w:color w:val="auto"/>
          <w:sz w:val="32"/>
          <w:szCs w:val="32"/>
          <w:lang w:eastAsia="zh-CN"/>
        </w:rPr>
        <w:t>全</w:t>
      </w:r>
      <w:r>
        <w:rPr>
          <w:rFonts w:hint="eastAsia" w:ascii="方正仿宋_GBK" w:hAnsi="方正仿宋_GBK" w:eastAsia="方正仿宋_GBK" w:cs="方正仿宋_GBK"/>
          <w:color w:val="auto"/>
          <w:sz w:val="32"/>
          <w:szCs w:val="32"/>
        </w:rPr>
        <w:t>区滑坡、危岩（崩塌）、不稳定斜坡等地质灾害</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对区内人民生命财产安全造成了潜在的威胁。截</w:t>
      </w:r>
      <w:r>
        <w:rPr>
          <w:rFonts w:hint="eastAsia" w:ascii="方正仿宋_GBK" w:hAnsi="方正仿宋_GBK" w:eastAsia="方正仿宋_GBK" w:cs="方正仿宋_GBK"/>
          <w:color w:val="auto"/>
          <w:sz w:val="32"/>
          <w:szCs w:val="32"/>
          <w:lang w:eastAsia="zh-CN"/>
        </w:rPr>
        <w:t>至</w:t>
      </w:r>
      <w:r>
        <w:rPr>
          <w:rFonts w:hint="eastAsia" w:ascii="方正仿宋_GBK" w:hAnsi="方正仿宋_GBK" w:eastAsia="方正仿宋_GBK" w:cs="方正仿宋_GBK"/>
          <w:color w:val="auto"/>
          <w:sz w:val="32"/>
          <w:szCs w:val="32"/>
        </w:rPr>
        <w:t>2021年10月</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我区地质灾害类型包括滑坡、危岩（崩塌）、不稳定斜（边）坡及地面塌陷4种，共有地质灾害隐患点52处（各地质灾害比例见图</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-1、表</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-1）。其中滑坡20个，占地质灾害总数的38.46％</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不稳定斜（边）坡8个，占地质灾害总数的15.39％；危岩崩塌23个，占地质灾害总数的44.23％；地面塌陷1个，占地质灾害总数的1.92％。共威胁居民群众</w:t>
      </w:r>
      <w:r>
        <w:rPr>
          <w:rFonts w:hint="eastAsia" w:ascii="方正仿宋_GBK" w:hAnsi="方正仿宋_GBK" w:eastAsia="方正仿宋_GBK" w:cs="方正仿宋_GBK"/>
          <w:color w:val="auto"/>
          <w:sz w:val="32"/>
          <w:szCs w:val="32"/>
          <w:lang w:eastAsia="zh-CN"/>
        </w:rPr>
        <w:t>约</w:t>
      </w:r>
      <w:r>
        <w:rPr>
          <w:rFonts w:hint="eastAsia" w:ascii="方正仿宋_GBK" w:hAnsi="方正仿宋_GBK" w:eastAsia="方正仿宋_GBK" w:cs="方正仿宋_GBK"/>
          <w:color w:val="auto"/>
          <w:sz w:val="32"/>
          <w:szCs w:val="32"/>
        </w:rPr>
        <w:t>300人生命财产安全，以及潜在经济损失约1200万元。</w:t>
      </w:r>
    </w:p>
    <w:p>
      <w:pPr>
        <w:snapToGrid w:val="0"/>
        <w:spacing w:line="288" w:lineRule="auto"/>
        <w:ind w:firstLine="421" w:firstLineChars="200"/>
        <w:jc w:val="center"/>
        <w:rPr>
          <w:rFonts w:hint="eastAsia" w:ascii="方正仿宋_GBK" w:hAnsi="方正仿宋_GBK" w:eastAsia="方正仿宋_GBK" w:cs="方正仿宋_GBK"/>
          <w:color w:val="auto"/>
          <w:sz w:val="32"/>
          <w:szCs w:val="32"/>
        </w:rPr>
      </w:pPr>
      <w:r>
        <w:rPr>
          <w:rFonts w:ascii="Times New Roman" w:hAnsi="Times New Roman" w:eastAsia="宋体" w:cs="Times New Roman"/>
          <w:b/>
          <w:color w:val="auto"/>
          <w:kern w:val="2"/>
          <w:sz w:val="21"/>
          <w:szCs w:val="24"/>
          <w:lang w:val="en-US" w:eastAsia="zh-CN" w:bidi="ar-SA"/>
        </w:rPr>
        <w:pict>
          <v:shape id="_x0000_i1025" o:spt="75" type="#_x0000_t75" style="height:238.45pt;width:390pt;" filled="f" o:preferrelative="t" stroked="f" coordsize="21600,21600">
            <v:path/>
            <v:fill on="f" focussize="0,0"/>
            <v:stroke on="f"/>
            <v:imagedata r:id="rId6" blacklevel="0f" o:title=""/>
            <o:lock v:ext="edit" aspectratio="t"/>
            <w10:wrap type="none"/>
            <w10:anchorlock/>
          </v:shape>
        </w:pict>
      </w:r>
    </w:p>
    <w:p>
      <w:pPr>
        <w:jc w:val="center"/>
        <w:rPr>
          <w:rFonts w:eastAsia="黑体"/>
          <w:color w:val="auto"/>
          <w:sz w:val="24"/>
        </w:rPr>
      </w:pPr>
      <w:r>
        <w:rPr>
          <w:rFonts w:eastAsia="黑体"/>
          <w:color w:val="auto"/>
          <w:sz w:val="24"/>
        </w:rPr>
        <w:t>图</w:t>
      </w:r>
      <w:r>
        <w:rPr>
          <w:rFonts w:hint="eastAsia" w:eastAsia="黑体"/>
          <w:color w:val="auto"/>
          <w:sz w:val="24"/>
          <w:lang w:val="en-US" w:eastAsia="zh-CN"/>
        </w:rPr>
        <w:t>1</w:t>
      </w:r>
      <w:r>
        <w:rPr>
          <w:rFonts w:eastAsia="黑体"/>
          <w:color w:val="auto"/>
          <w:sz w:val="24"/>
        </w:rPr>
        <w:t>-1 永川区地质灾害类型比例图</w:t>
      </w:r>
    </w:p>
    <w:p>
      <w:pPr>
        <w:spacing w:line="560" w:lineRule="exact"/>
        <w:jc w:val="center"/>
        <w:rPr>
          <w:rFonts w:eastAsia="黑体"/>
          <w:color w:val="auto"/>
          <w:sz w:val="24"/>
          <w:szCs w:val="28"/>
        </w:rPr>
      </w:pPr>
      <w:r>
        <w:rPr>
          <w:rFonts w:eastAsia="黑体"/>
          <w:color w:val="auto"/>
          <w:sz w:val="24"/>
          <w:szCs w:val="28"/>
        </w:rPr>
        <w:t>表</w:t>
      </w:r>
      <w:r>
        <w:rPr>
          <w:rFonts w:hint="eastAsia" w:eastAsia="黑体"/>
          <w:color w:val="auto"/>
          <w:sz w:val="24"/>
          <w:szCs w:val="28"/>
          <w:lang w:val="en-US" w:eastAsia="zh-CN"/>
        </w:rPr>
        <w:t>1</w:t>
      </w:r>
      <w:r>
        <w:rPr>
          <w:rFonts w:eastAsia="黑体"/>
          <w:color w:val="auto"/>
          <w:sz w:val="24"/>
          <w:szCs w:val="28"/>
        </w:rPr>
        <w:t>-1  永川区地质灾害点统计表</w:t>
      </w:r>
    </w:p>
    <w:tbl>
      <w:tblPr>
        <w:tblStyle w:val="17"/>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460"/>
        <w:gridCol w:w="1169"/>
        <w:gridCol w:w="1169"/>
        <w:gridCol w:w="1315"/>
        <w:gridCol w:w="1169"/>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033" w:type="dxa"/>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序号</w:t>
            </w:r>
          </w:p>
        </w:tc>
        <w:tc>
          <w:tcPr>
            <w:tcW w:w="1460" w:type="dxa"/>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镇街名称</w:t>
            </w:r>
          </w:p>
        </w:tc>
        <w:tc>
          <w:tcPr>
            <w:tcW w:w="1169" w:type="dxa"/>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滑坡</w:t>
            </w:r>
          </w:p>
        </w:tc>
        <w:tc>
          <w:tcPr>
            <w:tcW w:w="1169" w:type="dxa"/>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不稳定斜（边）坡</w:t>
            </w:r>
          </w:p>
        </w:tc>
        <w:tc>
          <w:tcPr>
            <w:tcW w:w="1315" w:type="dxa"/>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危岩崩塌体</w:t>
            </w:r>
          </w:p>
        </w:tc>
        <w:tc>
          <w:tcPr>
            <w:tcW w:w="1169" w:type="dxa"/>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地面塌陷</w:t>
            </w:r>
          </w:p>
        </w:tc>
        <w:tc>
          <w:tcPr>
            <w:tcW w:w="1022" w:type="dxa"/>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胜利路</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315"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center"/>
          </w:tcPr>
          <w:p>
            <w:pPr>
              <w:widowControl w:val="0"/>
              <w:snapToGrid w:val="0"/>
              <w:jc w:val="center"/>
              <w:rPr>
                <w:rFonts w:eastAsia="方正仿宋_GBK"/>
                <w:b/>
                <w:bCs/>
                <w:color w:val="auto"/>
                <w:kern w:val="0"/>
                <w:szCs w:val="21"/>
              </w:rPr>
            </w:pPr>
            <w:r>
              <w:rPr>
                <w:rFonts w:eastAsia="方正仿宋_GBK"/>
                <w:b/>
                <w:bCs/>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2</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中山路</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315"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center"/>
          </w:tcPr>
          <w:p>
            <w:pPr>
              <w:widowControl w:val="0"/>
              <w:snapToGrid w:val="0"/>
              <w:jc w:val="center"/>
              <w:rPr>
                <w:rFonts w:eastAsia="方正仿宋_GBK"/>
                <w:b/>
                <w:bCs/>
                <w:color w:val="auto"/>
                <w:kern w:val="0"/>
                <w:szCs w:val="21"/>
              </w:rPr>
            </w:pPr>
            <w:r>
              <w:rPr>
                <w:rFonts w:eastAsia="方正仿宋_GBK"/>
                <w:b/>
                <w:bCs/>
                <w:color w:val="auto"/>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3</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南大街</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315" w:type="dxa"/>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center"/>
          </w:tcPr>
          <w:p>
            <w:pPr>
              <w:widowControl w:val="0"/>
              <w:snapToGrid w:val="0"/>
              <w:jc w:val="center"/>
              <w:rPr>
                <w:rFonts w:eastAsia="方正仿宋_GBK"/>
                <w:b/>
                <w:bCs/>
                <w:color w:val="auto"/>
                <w:kern w:val="0"/>
                <w:szCs w:val="21"/>
              </w:rPr>
            </w:pPr>
            <w:r>
              <w:rPr>
                <w:rFonts w:eastAsia="方正仿宋_GBK"/>
                <w:b/>
                <w:bCs/>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4</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茶竹街道</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315" w:type="dxa"/>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center"/>
          </w:tcPr>
          <w:p>
            <w:pPr>
              <w:widowControl w:val="0"/>
              <w:snapToGrid w:val="0"/>
              <w:jc w:val="center"/>
              <w:rPr>
                <w:rFonts w:eastAsia="方正仿宋_GBK"/>
                <w:b/>
                <w:bCs/>
                <w:color w:val="auto"/>
                <w:kern w:val="0"/>
                <w:szCs w:val="21"/>
              </w:rPr>
            </w:pPr>
            <w:r>
              <w:rPr>
                <w:rFonts w:eastAsia="方正仿宋_GBK"/>
                <w:b/>
                <w:bCs/>
                <w:color w:val="auto"/>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5</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金龙镇</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315" w:type="dxa"/>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center"/>
          </w:tcPr>
          <w:p>
            <w:pPr>
              <w:widowControl w:val="0"/>
              <w:snapToGrid w:val="0"/>
              <w:jc w:val="center"/>
              <w:rPr>
                <w:rFonts w:eastAsia="方正仿宋_GBK"/>
                <w:b/>
                <w:bCs/>
                <w:color w:val="auto"/>
                <w:kern w:val="0"/>
                <w:szCs w:val="21"/>
              </w:rPr>
            </w:pPr>
            <w:r>
              <w:rPr>
                <w:rFonts w:eastAsia="方正仿宋_GBK"/>
                <w:b/>
                <w:bCs/>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6</w:t>
            </w:r>
          </w:p>
        </w:tc>
        <w:tc>
          <w:tcPr>
            <w:tcW w:w="1460" w:type="dxa"/>
            <w:vAlign w:val="center"/>
          </w:tcPr>
          <w:p>
            <w:pPr>
              <w:widowControl w:val="0"/>
              <w:snapToGrid w:val="0"/>
              <w:jc w:val="center"/>
              <w:rPr>
                <w:rFonts w:eastAsia="方正仿宋_GBK"/>
                <w:color w:val="auto"/>
                <w:kern w:val="0"/>
                <w:szCs w:val="21"/>
              </w:rPr>
            </w:pPr>
            <w:r>
              <w:rPr>
                <w:color w:val="auto"/>
                <w:szCs w:val="21"/>
              </w:rPr>
              <w:fldChar w:fldCharType="begin"/>
            </w:r>
            <w:r>
              <w:rPr>
                <w:color w:val="auto"/>
                <w:szCs w:val="21"/>
              </w:rPr>
              <w:instrText xml:space="preserve">HYPERLINK "http://baike.so.com/doc/4390729.html" \t "_blank" </w:instrText>
            </w:r>
            <w:r>
              <w:rPr>
                <w:color w:val="auto"/>
                <w:szCs w:val="21"/>
              </w:rPr>
              <w:fldChar w:fldCharType="separate"/>
            </w:r>
            <w:r>
              <w:rPr>
                <w:rFonts w:eastAsia="方正仿宋_GBK"/>
                <w:color w:val="auto"/>
                <w:kern w:val="0"/>
                <w:szCs w:val="21"/>
              </w:rPr>
              <w:t>大安街道</w:t>
            </w:r>
            <w:r>
              <w:rPr>
                <w:color w:val="auto"/>
                <w:szCs w:val="21"/>
              </w:rPr>
              <w:fldChar w:fldCharType="end"/>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315" w:type="dxa"/>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center"/>
          </w:tcPr>
          <w:p>
            <w:pPr>
              <w:widowControl w:val="0"/>
              <w:snapToGrid w:val="0"/>
              <w:jc w:val="center"/>
              <w:rPr>
                <w:rFonts w:eastAsia="方正仿宋_GBK"/>
                <w:b/>
                <w:bCs/>
                <w:color w:val="auto"/>
                <w:kern w:val="0"/>
                <w:szCs w:val="21"/>
              </w:rPr>
            </w:pPr>
            <w:r>
              <w:rPr>
                <w:rFonts w:eastAsia="方正仿宋_GBK"/>
                <w:b/>
                <w:bCs/>
                <w:color w:val="auto"/>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7</w:t>
            </w:r>
          </w:p>
        </w:tc>
        <w:tc>
          <w:tcPr>
            <w:tcW w:w="1460" w:type="dxa"/>
            <w:vAlign w:val="center"/>
          </w:tcPr>
          <w:p>
            <w:pPr>
              <w:widowControl w:val="0"/>
              <w:snapToGrid w:val="0"/>
              <w:jc w:val="center"/>
              <w:rPr>
                <w:rFonts w:eastAsia="方正仿宋_GBK"/>
                <w:color w:val="auto"/>
                <w:kern w:val="0"/>
                <w:szCs w:val="21"/>
              </w:rPr>
            </w:pPr>
            <w:r>
              <w:rPr>
                <w:color w:val="auto"/>
                <w:szCs w:val="21"/>
              </w:rPr>
              <w:fldChar w:fldCharType="begin"/>
            </w:r>
            <w:r>
              <w:rPr>
                <w:color w:val="auto"/>
                <w:szCs w:val="21"/>
              </w:rPr>
              <w:instrText xml:space="preserve">HYPERLINK "http://baike.so.com/doc/5348406.html" \t "_blank" </w:instrText>
            </w:r>
            <w:r>
              <w:rPr>
                <w:color w:val="auto"/>
                <w:szCs w:val="21"/>
              </w:rPr>
              <w:fldChar w:fldCharType="separate"/>
            </w:r>
            <w:r>
              <w:rPr>
                <w:rFonts w:eastAsia="方正仿宋_GBK"/>
                <w:color w:val="auto"/>
                <w:kern w:val="0"/>
                <w:szCs w:val="21"/>
              </w:rPr>
              <w:t>板桥镇</w:t>
            </w:r>
            <w:r>
              <w:rPr>
                <w:color w:val="auto"/>
                <w:szCs w:val="21"/>
              </w:rPr>
              <w:fldChar w:fldCharType="end"/>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315"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center"/>
          </w:tcPr>
          <w:p>
            <w:pPr>
              <w:widowControl w:val="0"/>
              <w:snapToGrid w:val="0"/>
              <w:jc w:val="center"/>
              <w:rPr>
                <w:rFonts w:eastAsia="方正仿宋_GBK"/>
                <w:b/>
                <w:bCs/>
                <w:color w:val="auto"/>
                <w:kern w:val="0"/>
                <w:szCs w:val="21"/>
              </w:rPr>
            </w:pPr>
            <w:r>
              <w:rPr>
                <w:rFonts w:eastAsia="方正仿宋_GBK"/>
                <w:b/>
                <w:bCs/>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8</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三教镇</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315"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center"/>
          </w:tcPr>
          <w:p>
            <w:pPr>
              <w:widowControl w:val="0"/>
              <w:snapToGrid w:val="0"/>
              <w:jc w:val="center"/>
              <w:rPr>
                <w:rFonts w:eastAsia="方正仿宋_GBK"/>
                <w:b/>
                <w:bCs/>
                <w:color w:val="auto"/>
                <w:kern w:val="0"/>
                <w:szCs w:val="21"/>
              </w:rPr>
            </w:pPr>
            <w:r>
              <w:rPr>
                <w:rFonts w:eastAsia="方正仿宋_GBK"/>
                <w:b/>
                <w:bCs/>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9</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双石镇</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315" w:type="dxa"/>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center"/>
          </w:tcPr>
          <w:p>
            <w:pPr>
              <w:widowControl w:val="0"/>
              <w:snapToGrid w:val="0"/>
              <w:jc w:val="center"/>
              <w:rPr>
                <w:rFonts w:eastAsia="方正仿宋_GBK"/>
                <w:b/>
                <w:bCs/>
                <w:color w:val="auto"/>
                <w:kern w:val="0"/>
                <w:szCs w:val="21"/>
              </w:rPr>
            </w:pPr>
            <w:r>
              <w:rPr>
                <w:rFonts w:eastAsia="方正仿宋_GBK"/>
                <w:b/>
                <w:bCs/>
                <w:color w:val="auto"/>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10</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仙龙镇</w:t>
            </w:r>
          </w:p>
        </w:tc>
        <w:tc>
          <w:tcPr>
            <w:tcW w:w="1169" w:type="dxa"/>
            <w:vAlign w:val="bottom"/>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169" w:type="dxa"/>
            <w:vAlign w:val="bottom"/>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315" w:type="dxa"/>
            <w:vAlign w:val="bottom"/>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bottom"/>
          </w:tcPr>
          <w:p>
            <w:pPr>
              <w:widowControl w:val="0"/>
              <w:snapToGrid w:val="0"/>
              <w:jc w:val="center"/>
              <w:rPr>
                <w:rFonts w:eastAsia="方正仿宋_GBK"/>
                <w:b/>
                <w:bCs/>
                <w:color w:val="auto"/>
                <w:kern w:val="0"/>
                <w:szCs w:val="21"/>
              </w:rPr>
            </w:pPr>
            <w:r>
              <w:rPr>
                <w:rFonts w:eastAsia="方正仿宋_GBK"/>
                <w:b/>
                <w:bCs/>
                <w:color w:val="auto"/>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11</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红炉镇</w:t>
            </w:r>
          </w:p>
        </w:tc>
        <w:tc>
          <w:tcPr>
            <w:tcW w:w="1169" w:type="dxa"/>
            <w:vAlign w:val="bottom"/>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169" w:type="dxa"/>
            <w:vAlign w:val="bottom"/>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315" w:type="dxa"/>
            <w:vAlign w:val="bottom"/>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022" w:type="dxa"/>
            <w:vAlign w:val="bottom"/>
          </w:tcPr>
          <w:p>
            <w:pPr>
              <w:widowControl w:val="0"/>
              <w:snapToGrid w:val="0"/>
              <w:jc w:val="center"/>
              <w:rPr>
                <w:rFonts w:eastAsia="方正仿宋_GBK"/>
                <w:b/>
                <w:bCs/>
                <w:color w:val="auto"/>
                <w:kern w:val="0"/>
                <w:szCs w:val="21"/>
              </w:rPr>
            </w:pPr>
            <w:r>
              <w:rPr>
                <w:rFonts w:eastAsia="方正仿宋_GBK"/>
                <w:b/>
                <w:bCs/>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12</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陈食街道</w:t>
            </w:r>
          </w:p>
        </w:tc>
        <w:tc>
          <w:tcPr>
            <w:tcW w:w="1169" w:type="dxa"/>
            <w:vAlign w:val="bottom"/>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169" w:type="dxa"/>
            <w:vAlign w:val="bottom"/>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315" w:type="dxa"/>
            <w:vAlign w:val="bottom"/>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bottom"/>
          </w:tcPr>
          <w:p>
            <w:pPr>
              <w:widowControl w:val="0"/>
              <w:snapToGrid w:val="0"/>
              <w:jc w:val="center"/>
              <w:rPr>
                <w:rFonts w:eastAsia="方正仿宋_GBK"/>
                <w:b/>
                <w:bCs/>
                <w:color w:val="auto"/>
                <w:kern w:val="0"/>
                <w:szCs w:val="21"/>
              </w:rPr>
            </w:pPr>
            <w:r>
              <w:rPr>
                <w:rFonts w:eastAsia="方正仿宋_GBK"/>
                <w:b/>
                <w:bCs/>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13</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临江镇</w:t>
            </w:r>
          </w:p>
        </w:tc>
        <w:tc>
          <w:tcPr>
            <w:tcW w:w="1169" w:type="dxa"/>
            <w:vAlign w:val="bottom"/>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169" w:type="dxa"/>
            <w:vAlign w:val="bottom"/>
          </w:tcPr>
          <w:p>
            <w:pPr>
              <w:widowControl w:val="0"/>
              <w:snapToGrid w:val="0"/>
              <w:jc w:val="center"/>
              <w:rPr>
                <w:rFonts w:eastAsia="方正仿宋_GBK"/>
                <w:color w:val="auto"/>
                <w:kern w:val="0"/>
                <w:szCs w:val="21"/>
              </w:rPr>
            </w:pPr>
            <w:r>
              <w:rPr>
                <w:rFonts w:eastAsia="方正仿宋_GBK"/>
                <w:color w:val="auto"/>
                <w:kern w:val="0"/>
                <w:szCs w:val="21"/>
              </w:rPr>
              <w:t>2</w:t>
            </w:r>
          </w:p>
        </w:tc>
        <w:tc>
          <w:tcPr>
            <w:tcW w:w="1315" w:type="dxa"/>
            <w:vAlign w:val="bottom"/>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bottom"/>
          </w:tcPr>
          <w:p>
            <w:pPr>
              <w:widowControl w:val="0"/>
              <w:snapToGrid w:val="0"/>
              <w:jc w:val="center"/>
              <w:rPr>
                <w:rFonts w:eastAsia="方正仿宋_GBK"/>
                <w:b/>
                <w:bCs/>
                <w:color w:val="auto"/>
                <w:kern w:val="0"/>
                <w:szCs w:val="21"/>
              </w:rPr>
            </w:pPr>
            <w:r>
              <w:rPr>
                <w:rFonts w:eastAsia="方正仿宋_GBK"/>
                <w:b/>
                <w:bCs/>
                <w:color w:val="auto"/>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14</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青峰镇</w:t>
            </w:r>
          </w:p>
        </w:tc>
        <w:tc>
          <w:tcPr>
            <w:tcW w:w="1169" w:type="dxa"/>
            <w:vAlign w:val="bottom"/>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169" w:type="dxa"/>
            <w:vAlign w:val="bottom"/>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315" w:type="dxa"/>
            <w:vAlign w:val="bottom"/>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169" w:type="dxa"/>
            <w:vAlign w:val="bottom"/>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bottom"/>
          </w:tcPr>
          <w:p>
            <w:pPr>
              <w:widowControl w:val="0"/>
              <w:snapToGrid w:val="0"/>
              <w:jc w:val="center"/>
              <w:rPr>
                <w:rFonts w:eastAsia="方正仿宋_GBK"/>
                <w:b/>
                <w:bCs/>
                <w:color w:val="auto"/>
                <w:kern w:val="0"/>
                <w:szCs w:val="21"/>
              </w:rPr>
            </w:pPr>
            <w:r>
              <w:rPr>
                <w:rFonts w:eastAsia="方正仿宋_GBK"/>
                <w:b/>
                <w:bCs/>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15</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吉安镇</w:t>
            </w:r>
          </w:p>
        </w:tc>
        <w:tc>
          <w:tcPr>
            <w:tcW w:w="1169" w:type="dxa"/>
            <w:vAlign w:val="bottom"/>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169" w:type="dxa"/>
            <w:vAlign w:val="bottom"/>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315" w:type="dxa"/>
            <w:vAlign w:val="bottom"/>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169" w:type="dxa"/>
            <w:vAlign w:val="bottom"/>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bottom"/>
          </w:tcPr>
          <w:p>
            <w:pPr>
              <w:widowControl w:val="0"/>
              <w:snapToGrid w:val="0"/>
              <w:jc w:val="center"/>
              <w:rPr>
                <w:rFonts w:eastAsia="方正仿宋_GBK"/>
                <w:b/>
                <w:bCs/>
                <w:color w:val="auto"/>
                <w:kern w:val="0"/>
                <w:szCs w:val="21"/>
              </w:rPr>
            </w:pPr>
            <w:r>
              <w:rPr>
                <w:rFonts w:eastAsia="方正仿宋_GBK"/>
                <w:b/>
                <w:bCs/>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16</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何埂镇</w:t>
            </w:r>
          </w:p>
        </w:tc>
        <w:tc>
          <w:tcPr>
            <w:tcW w:w="1169" w:type="dxa"/>
            <w:vAlign w:val="bottom"/>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169" w:type="dxa"/>
            <w:vAlign w:val="bottom"/>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315" w:type="dxa"/>
            <w:vAlign w:val="bottom"/>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bottom"/>
          </w:tcPr>
          <w:p>
            <w:pPr>
              <w:widowControl w:val="0"/>
              <w:snapToGrid w:val="0"/>
              <w:jc w:val="center"/>
              <w:rPr>
                <w:rFonts w:eastAsia="方正仿宋_GBK"/>
                <w:b/>
                <w:bCs/>
                <w:color w:val="auto"/>
                <w:kern w:val="0"/>
                <w:szCs w:val="21"/>
              </w:rPr>
            </w:pPr>
            <w:r>
              <w:rPr>
                <w:rFonts w:eastAsia="方正仿宋_GBK"/>
                <w:b/>
                <w:bCs/>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17</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朱沱镇</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315" w:type="dxa"/>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center"/>
          </w:tcPr>
          <w:p>
            <w:pPr>
              <w:widowControl w:val="0"/>
              <w:snapToGrid w:val="0"/>
              <w:jc w:val="center"/>
              <w:rPr>
                <w:rFonts w:eastAsia="方正仿宋_GBK"/>
                <w:b/>
                <w:bCs/>
                <w:color w:val="auto"/>
                <w:kern w:val="0"/>
                <w:szCs w:val="21"/>
              </w:rPr>
            </w:pPr>
            <w:r>
              <w:rPr>
                <w:rFonts w:eastAsia="方正仿宋_GBK"/>
                <w:b/>
                <w:bCs/>
                <w:color w:val="auto"/>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18</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卫星湖街道</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1315" w:type="dxa"/>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center"/>
          </w:tcPr>
          <w:p>
            <w:pPr>
              <w:widowControl w:val="0"/>
              <w:snapToGrid w:val="0"/>
              <w:jc w:val="center"/>
              <w:rPr>
                <w:rFonts w:eastAsia="方正仿宋_GBK"/>
                <w:b/>
                <w:bCs/>
                <w:color w:val="auto"/>
                <w:kern w:val="0"/>
                <w:szCs w:val="21"/>
              </w:rPr>
            </w:pPr>
            <w:r>
              <w:rPr>
                <w:rFonts w:eastAsia="方正仿宋_GBK"/>
                <w:b/>
                <w:bCs/>
                <w:color w:val="auto"/>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19</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来苏镇</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315" w:type="dxa"/>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center"/>
          </w:tcPr>
          <w:p>
            <w:pPr>
              <w:widowControl w:val="0"/>
              <w:snapToGrid w:val="0"/>
              <w:jc w:val="center"/>
              <w:rPr>
                <w:rFonts w:eastAsia="方正仿宋_GBK"/>
                <w:b/>
                <w:bCs/>
                <w:color w:val="auto"/>
                <w:kern w:val="0"/>
                <w:szCs w:val="21"/>
              </w:rPr>
            </w:pPr>
            <w:r>
              <w:rPr>
                <w:rFonts w:eastAsia="方正仿宋_GBK"/>
                <w:b/>
                <w:bCs/>
                <w:color w:val="auto"/>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20</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宝峰镇</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315" w:type="dxa"/>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center"/>
          </w:tcPr>
          <w:p>
            <w:pPr>
              <w:widowControl w:val="0"/>
              <w:snapToGrid w:val="0"/>
              <w:jc w:val="center"/>
              <w:rPr>
                <w:rFonts w:eastAsia="方正仿宋_GBK"/>
                <w:b/>
                <w:bCs/>
                <w:color w:val="auto"/>
                <w:kern w:val="0"/>
                <w:szCs w:val="21"/>
              </w:rPr>
            </w:pPr>
            <w:r>
              <w:rPr>
                <w:rFonts w:eastAsia="方正仿宋_GBK"/>
                <w:b/>
                <w:bCs/>
                <w:color w:val="auto"/>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vAlign w:val="bottom"/>
          </w:tcPr>
          <w:p>
            <w:pPr>
              <w:widowControl w:val="0"/>
              <w:snapToGrid w:val="0"/>
              <w:jc w:val="center"/>
              <w:rPr>
                <w:rFonts w:eastAsia="方正仿宋_GBK"/>
                <w:color w:val="auto"/>
                <w:kern w:val="0"/>
                <w:szCs w:val="21"/>
              </w:rPr>
            </w:pPr>
            <w:r>
              <w:rPr>
                <w:rFonts w:eastAsia="方正仿宋_GBK"/>
                <w:color w:val="auto"/>
                <w:kern w:val="0"/>
                <w:szCs w:val="21"/>
              </w:rPr>
              <w:t>21</w:t>
            </w:r>
          </w:p>
        </w:tc>
        <w:tc>
          <w:tcPr>
            <w:tcW w:w="1460" w:type="dxa"/>
            <w:vAlign w:val="center"/>
          </w:tcPr>
          <w:p>
            <w:pPr>
              <w:widowControl w:val="0"/>
              <w:snapToGrid w:val="0"/>
              <w:jc w:val="center"/>
              <w:rPr>
                <w:rFonts w:eastAsia="方正仿宋_GBK"/>
                <w:color w:val="auto"/>
                <w:kern w:val="0"/>
                <w:szCs w:val="21"/>
              </w:rPr>
            </w:pPr>
            <w:r>
              <w:rPr>
                <w:rFonts w:eastAsia="方正仿宋_GBK"/>
                <w:color w:val="auto"/>
                <w:kern w:val="0"/>
                <w:szCs w:val="21"/>
              </w:rPr>
              <w:t>松溉镇</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315" w:type="dxa"/>
            <w:vAlign w:val="center"/>
          </w:tcPr>
          <w:p>
            <w:pPr>
              <w:widowControl w:val="0"/>
              <w:snapToGrid w:val="0"/>
              <w:jc w:val="center"/>
              <w:rPr>
                <w:rFonts w:eastAsia="方正仿宋_GBK"/>
                <w:color w:val="auto"/>
                <w:kern w:val="0"/>
                <w:szCs w:val="21"/>
              </w:rPr>
            </w:pPr>
            <w:r>
              <w:rPr>
                <w:rFonts w:eastAsia="方正仿宋_GBK"/>
                <w:color w:val="auto"/>
                <w:kern w:val="0"/>
                <w:szCs w:val="21"/>
              </w:rPr>
              <w:t>4</w:t>
            </w:r>
          </w:p>
        </w:tc>
        <w:tc>
          <w:tcPr>
            <w:tcW w:w="1169" w:type="dxa"/>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022" w:type="dxa"/>
            <w:vAlign w:val="center"/>
          </w:tcPr>
          <w:p>
            <w:pPr>
              <w:widowControl w:val="0"/>
              <w:snapToGrid w:val="0"/>
              <w:jc w:val="center"/>
              <w:rPr>
                <w:rFonts w:eastAsia="方正仿宋_GBK"/>
                <w:b/>
                <w:bCs/>
                <w:color w:val="auto"/>
                <w:kern w:val="0"/>
                <w:szCs w:val="21"/>
              </w:rPr>
            </w:pPr>
            <w:r>
              <w:rPr>
                <w:rFonts w:eastAsia="方正仿宋_GBK"/>
                <w:b/>
                <w:bCs/>
                <w:color w:val="auto"/>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493" w:type="dxa"/>
            <w:gridSpan w:val="2"/>
            <w:vAlign w:val="bottom"/>
          </w:tcPr>
          <w:p>
            <w:pPr>
              <w:widowControl w:val="0"/>
              <w:snapToGrid w:val="0"/>
              <w:jc w:val="center"/>
              <w:rPr>
                <w:rFonts w:eastAsia="方正仿宋_GBK"/>
                <w:b/>
                <w:bCs/>
                <w:color w:val="auto"/>
                <w:kern w:val="0"/>
                <w:szCs w:val="21"/>
              </w:rPr>
            </w:pPr>
            <w:r>
              <w:rPr>
                <w:rFonts w:eastAsia="方正仿宋_GBK"/>
                <w:b/>
                <w:bCs/>
                <w:color w:val="auto"/>
                <w:kern w:val="0"/>
                <w:szCs w:val="21"/>
              </w:rPr>
              <w:t>合 计</w:t>
            </w:r>
          </w:p>
        </w:tc>
        <w:tc>
          <w:tcPr>
            <w:tcW w:w="1169" w:type="dxa"/>
            <w:vAlign w:val="center"/>
          </w:tcPr>
          <w:p>
            <w:pPr>
              <w:widowControl w:val="0"/>
              <w:snapToGrid w:val="0"/>
              <w:jc w:val="center"/>
              <w:rPr>
                <w:rFonts w:eastAsia="方正仿宋_GBK"/>
                <w:b/>
                <w:color w:val="auto"/>
                <w:kern w:val="0"/>
                <w:szCs w:val="21"/>
              </w:rPr>
            </w:pPr>
            <w:r>
              <w:rPr>
                <w:rFonts w:eastAsia="方正仿宋_GBK"/>
                <w:b/>
                <w:color w:val="auto"/>
                <w:kern w:val="0"/>
                <w:szCs w:val="21"/>
              </w:rPr>
              <w:t>20</w:t>
            </w:r>
          </w:p>
        </w:tc>
        <w:tc>
          <w:tcPr>
            <w:tcW w:w="1169" w:type="dxa"/>
            <w:vAlign w:val="center"/>
          </w:tcPr>
          <w:p>
            <w:pPr>
              <w:widowControl w:val="0"/>
              <w:snapToGrid w:val="0"/>
              <w:jc w:val="center"/>
              <w:rPr>
                <w:rFonts w:eastAsia="方正仿宋_GBK"/>
                <w:b/>
                <w:color w:val="auto"/>
                <w:kern w:val="0"/>
                <w:szCs w:val="21"/>
              </w:rPr>
            </w:pPr>
            <w:r>
              <w:rPr>
                <w:rFonts w:eastAsia="方正仿宋_GBK"/>
                <w:b/>
                <w:color w:val="auto"/>
                <w:kern w:val="0"/>
                <w:szCs w:val="21"/>
              </w:rPr>
              <w:t>8</w:t>
            </w:r>
          </w:p>
        </w:tc>
        <w:tc>
          <w:tcPr>
            <w:tcW w:w="1315" w:type="dxa"/>
            <w:vAlign w:val="center"/>
          </w:tcPr>
          <w:p>
            <w:pPr>
              <w:widowControl w:val="0"/>
              <w:snapToGrid w:val="0"/>
              <w:jc w:val="center"/>
              <w:rPr>
                <w:rFonts w:eastAsia="方正仿宋_GBK"/>
                <w:b/>
                <w:color w:val="auto"/>
                <w:kern w:val="0"/>
                <w:szCs w:val="21"/>
              </w:rPr>
            </w:pPr>
            <w:r>
              <w:rPr>
                <w:rFonts w:eastAsia="方正仿宋_GBK"/>
                <w:b/>
                <w:color w:val="auto"/>
                <w:kern w:val="0"/>
                <w:szCs w:val="21"/>
              </w:rPr>
              <w:t>23</w:t>
            </w:r>
          </w:p>
        </w:tc>
        <w:tc>
          <w:tcPr>
            <w:tcW w:w="1169" w:type="dxa"/>
            <w:vAlign w:val="center"/>
          </w:tcPr>
          <w:p>
            <w:pPr>
              <w:widowControl w:val="0"/>
              <w:snapToGrid w:val="0"/>
              <w:jc w:val="center"/>
              <w:rPr>
                <w:rFonts w:eastAsia="方正仿宋_GBK"/>
                <w:b/>
                <w:color w:val="auto"/>
                <w:kern w:val="0"/>
                <w:szCs w:val="21"/>
              </w:rPr>
            </w:pPr>
            <w:r>
              <w:rPr>
                <w:rFonts w:eastAsia="方正仿宋_GBK"/>
                <w:b/>
                <w:color w:val="auto"/>
                <w:kern w:val="0"/>
                <w:szCs w:val="21"/>
              </w:rPr>
              <w:t>1</w:t>
            </w:r>
          </w:p>
        </w:tc>
        <w:tc>
          <w:tcPr>
            <w:tcW w:w="1022" w:type="dxa"/>
            <w:vAlign w:val="center"/>
          </w:tcPr>
          <w:p>
            <w:pPr>
              <w:widowControl w:val="0"/>
              <w:snapToGrid w:val="0"/>
              <w:jc w:val="center"/>
              <w:rPr>
                <w:rFonts w:eastAsia="方正仿宋_GBK"/>
                <w:b/>
                <w:color w:val="auto"/>
                <w:kern w:val="0"/>
                <w:szCs w:val="21"/>
              </w:rPr>
            </w:pPr>
            <w:r>
              <w:rPr>
                <w:rFonts w:eastAsia="方正仿宋_GBK"/>
                <w:b/>
                <w:color w:val="auto"/>
                <w:kern w:val="0"/>
                <w:szCs w:val="21"/>
              </w:rPr>
              <w:t>52</w:t>
            </w:r>
          </w:p>
        </w:tc>
      </w:tr>
    </w:tbl>
    <w:p>
      <w:pPr>
        <w:pStyle w:val="3"/>
        <w:keepNext w:val="0"/>
        <w:keepLines w:val="0"/>
        <w:snapToGrid w:val="0"/>
        <w:spacing w:before="0" w:after="0" w:line="288" w:lineRule="auto"/>
        <w:ind w:firstLine="640" w:firstLineChars="200"/>
        <w:rPr>
          <w:rFonts w:ascii="方正楷体_GBK" w:hAnsi="方正楷体_GBK" w:eastAsia="方正楷体_GBK" w:cs="方正楷体_GBK"/>
          <w:b w:val="0"/>
          <w:bCs w:val="0"/>
          <w:color w:val="auto"/>
        </w:rPr>
      </w:pPr>
      <w:bookmarkStart w:id="51" w:name="_Toc1250106818_WPSOffice_Level2"/>
      <w:bookmarkStart w:id="52" w:name="_Toc1658585376_WPSOffice_Level2"/>
      <w:bookmarkStart w:id="53" w:name="_Toc116281472_WPSOffice_Level2"/>
      <w:bookmarkStart w:id="54" w:name="_Toc81602510"/>
      <w:r>
        <w:rPr>
          <w:rFonts w:hint="eastAsia" w:ascii="方正楷体_GBK" w:hAnsi="方正楷体_GBK" w:eastAsia="方正楷体_GBK" w:cs="方正楷体_GBK"/>
          <w:b w:val="0"/>
          <w:bCs w:val="0"/>
          <w:color w:val="auto"/>
        </w:rPr>
        <w:t>（二）</w:t>
      </w:r>
      <w:r>
        <w:rPr>
          <w:rFonts w:hint="eastAsia" w:ascii="方正楷体_GBK" w:hAnsi="方正楷体_GBK" w:eastAsia="方正楷体_GBK" w:cs="方正楷体_GBK"/>
          <w:b w:val="0"/>
          <w:bCs w:val="0"/>
          <w:color w:val="auto"/>
          <w:lang w:eastAsia="zh-CN"/>
        </w:rPr>
        <w:t>“</w:t>
      </w:r>
      <w:r>
        <w:rPr>
          <w:rFonts w:hint="eastAsia" w:ascii="方正楷体_GBK" w:hAnsi="方正楷体_GBK" w:eastAsia="方正楷体_GBK" w:cs="方正楷体_GBK"/>
          <w:b w:val="0"/>
          <w:bCs w:val="0"/>
          <w:color w:val="auto"/>
        </w:rPr>
        <w:t>十三五”地质灾害防治成效</w:t>
      </w:r>
      <w:bookmarkEnd w:id="51"/>
      <w:bookmarkEnd w:id="52"/>
      <w:bookmarkEnd w:id="53"/>
      <w:bookmarkEnd w:id="54"/>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“十三五”期间，</w:t>
      </w:r>
      <w:r>
        <w:rPr>
          <w:rFonts w:hint="eastAsia" w:ascii="方正仿宋_GBK" w:hAnsi="方正仿宋_GBK" w:eastAsia="方正仿宋_GBK" w:cs="方正仿宋_GBK"/>
          <w:color w:val="auto"/>
          <w:sz w:val="32"/>
          <w:szCs w:val="32"/>
          <w:lang w:eastAsia="zh-CN"/>
        </w:rPr>
        <w:t>区规划自然资源局组织驻守地质队会同相关镇（街）</w:t>
      </w:r>
      <w:r>
        <w:rPr>
          <w:rFonts w:hint="eastAsia" w:ascii="方正仿宋_GBK" w:hAnsi="方正仿宋_GBK" w:eastAsia="方正仿宋_GBK" w:cs="方正仿宋_GBK"/>
          <w:color w:val="auto"/>
          <w:sz w:val="32"/>
          <w:szCs w:val="32"/>
        </w:rPr>
        <w:t>对区内地灾隐患点展开</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拉网式”排查，并结合无人机勘查技术，对潜在地灾隐患提前摸排，及时更新群防群测监测系统数据库。</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十三五”期间全区共查明地质灾害隐患点265起（含新增地灾隐患点92起），据统计，通过开展搬迁避让和工程治理等工作，消除地质灾害安全隐患213处（15处治理后重新出现隐患，已重新纳入群测群防库），解除受地质灾害隐患威胁群众1800余人，避免直接经济损失约6000万元，地质灾害防治工作取得显著成效。</w:t>
      </w:r>
    </w:p>
    <w:p>
      <w:pPr>
        <w:pStyle w:val="7"/>
        <w:snapToGrid w:val="0"/>
        <w:spacing w:line="288" w:lineRule="auto"/>
        <w:ind w:firstLine="64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在区委、区政府的统一领导和各部门大力配合与协助下，我区在地质环境保护、地质灾害防治、保护人民生命财产安全、促进社会经济发展和进步等方面做了大量的工作，大力提升了本区地质灾害防治能力。</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一是地质灾害防治体系不断健全完善。</w:t>
      </w:r>
      <w:r>
        <w:rPr>
          <w:rFonts w:hint="eastAsia" w:ascii="方正仿宋_GBK" w:hAnsi="方正仿宋_GBK" w:eastAsia="方正仿宋_GBK" w:cs="方正仿宋_GBK"/>
          <w:color w:val="auto"/>
          <w:sz w:val="32"/>
          <w:szCs w:val="32"/>
        </w:rPr>
        <w:t>区委、区政府高度重视地质灾害防治工作，将地质灾害防治工作纳入</w:t>
      </w:r>
      <w:r>
        <w:rPr>
          <w:rFonts w:hint="eastAsia" w:ascii="方正仿宋_GBK" w:hAnsi="方正仿宋_GBK" w:eastAsia="方正仿宋_GBK" w:cs="方正仿宋_GBK"/>
          <w:color w:val="auto"/>
          <w:sz w:val="32"/>
          <w:szCs w:val="32"/>
          <w:lang w:eastAsia="zh-CN"/>
        </w:rPr>
        <w:t>全</w:t>
      </w:r>
      <w:r>
        <w:rPr>
          <w:rFonts w:hint="eastAsia" w:ascii="方正仿宋_GBK" w:hAnsi="方正仿宋_GBK" w:eastAsia="方正仿宋_GBK" w:cs="方正仿宋_GBK"/>
          <w:color w:val="auto"/>
          <w:sz w:val="32"/>
          <w:szCs w:val="32"/>
        </w:rPr>
        <w:t>区年度经济社会发展考核指标内容和重点专项督查。全面落实政府及规划自然资源、应急、建设、交通等相关专业部门防治责任，进一步健全</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党委</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政府领导、规划自然资源牵头、地勘支撑、部门协作、基层组织、全民参与”的地质灾害共同防治责任机制</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每年上旬组织全区地质灾害防治</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四重”网格化人员开展地质灾害防治工作培训，进行地灾防治知识、手持终端信息报送等相关业务知识培训，提高</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四重”网格人员的地灾防治能力，强化对区内地质灾害防治技术指导和技术支撑力度</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聘请地质灾害防治专家汛期长期指导、督促落实各级部门责任，协助开展趋势预测、巡查排查、监测预警等防灾工作，协助应对突发地质灾害。</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二是开展多种形式调</w:t>
      </w:r>
      <w:r>
        <w:rPr>
          <w:rFonts w:hint="eastAsia" w:ascii="方正仿宋_GBK" w:hAnsi="方正仿宋_GBK" w:eastAsia="方正仿宋_GBK" w:cs="方正仿宋_GBK"/>
          <w:b w:val="0"/>
          <w:bCs w:val="0"/>
          <w:color w:val="auto"/>
          <w:sz w:val="32"/>
          <w:szCs w:val="32"/>
          <w:lang w:eastAsia="zh-CN"/>
        </w:rPr>
        <w:t>查、</w:t>
      </w:r>
      <w:r>
        <w:rPr>
          <w:rFonts w:hint="eastAsia" w:ascii="方正仿宋_GBK" w:hAnsi="方正仿宋_GBK" w:eastAsia="方正仿宋_GBK" w:cs="方正仿宋_GBK"/>
          <w:b w:val="0"/>
          <w:bCs w:val="0"/>
          <w:color w:val="auto"/>
          <w:sz w:val="32"/>
          <w:szCs w:val="32"/>
        </w:rPr>
        <w:t>排查，进一步掌握风险隐患。</w:t>
      </w:r>
      <w:r>
        <w:rPr>
          <w:rFonts w:hint="eastAsia" w:ascii="方正仿宋_GBK" w:hAnsi="方正仿宋_GBK" w:eastAsia="方正仿宋_GBK" w:cs="方正仿宋_GBK"/>
          <w:color w:val="auto"/>
          <w:sz w:val="32"/>
          <w:szCs w:val="32"/>
        </w:rPr>
        <w:t>强化地质灾害隐患排查，建立健全了驻守地质队员汛期长期驻守区县乡镇制度，形成群专结合</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汛前排查、汛中巡查</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汛后核查”和日常</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雨前排查、雨中巡查</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雨后核查”工作机制，加强了医院、学校、公路沿线、新建农房周边等重点区域专项排查，对排查出的地质灾害隐患及时纳入监管，并督促责任单位及时制定防范措施</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强化区域地质调查，开展永川区地质灾害1：5万详细调查。</w:t>
      </w:r>
    </w:p>
    <w:p>
      <w:pPr>
        <w:snapToGrid w:val="0"/>
        <w:spacing w:line="288" w:lineRule="auto"/>
        <w:ind w:firstLine="640" w:firstLineChars="200"/>
        <w:rPr>
          <w:rFonts w:ascii="方正仿宋_GBK" w:hAnsi="方正仿宋_GBK" w:eastAsia="方正仿宋_GBK" w:cs="方正仿宋_GBK"/>
          <w:b/>
          <w:bCs/>
          <w:color w:val="auto"/>
          <w:sz w:val="32"/>
          <w:szCs w:val="32"/>
        </w:rPr>
      </w:pPr>
      <w:r>
        <w:rPr>
          <w:rFonts w:hint="eastAsia" w:ascii="方正仿宋_GBK" w:hAnsi="方正仿宋_GBK" w:eastAsia="方正仿宋_GBK" w:cs="方正仿宋_GBK"/>
          <w:b w:val="0"/>
          <w:bCs w:val="0"/>
          <w:color w:val="auto"/>
          <w:sz w:val="32"/>
          <w:szCs w:val="32"/>
        </w:rPr>
        <w:t>三是建立地质灾害群专结合监测预警体系。</w:t>
      </w:r>
      <w:r>
        <w:rPr>
          <w:rFonts w:hint="eastAsia" w:ascii="方正仿宋_GBK" w:hAnsi="方正仿宋_GBK" w:eastAsia="方正仿宋_GBK" w:cs="方正仿宋_GBK"/>
          <w:color w:val="auto"/>
          <w:sz w:val="32"/>
          <w:szCs w:val="32"/>
        </w:rPr>
        <w:t>建立完善了区、镇（街）、村、组四级群测群防体系，区内200余名群测群防员基本实现了对直接威胁人员安全的地质灾害隐患点全面监控，布设专业监测点2处，简易监测点263处</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及时关注市级发布的汛期地质灾害气象风险预警预报，并及时对应调整地质灾害防治部署工作。</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四是地质灾害搬迁避让和工程治理效果显著。</w:t>
      </w:r>
      <w:r>
        <w:rPr>
          <w:rFonts w:hint="eastAsia" w:ascii="方正仿宋_GBK" w:hAnsi="方正仿宋_GBK" w:eastAsia="方正仿宋_GBK" w:cs="方正仿宋_GBK"/>
          <w:color w:val="auto"/>
          <w:sz w:val="32"/>
          <w:szCs w:val="32"/>
        </w:rPr>
        <w:t>对不宜采取工程治理措施的、受地质灾害威胁严重的居民点，结合易地扶贫搬迁、生态移民等任务，实行主动避让，易地搬迁，共完成受地质灾害威胁的1559人搬迁避让</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对威胁人口众多、财产巨大，特别是威胁城区、镇街的地质灾害隐患点开展工程治理，共治理53处崩塌、滑坡、泥石流，有效解除300余人受地质灾害威胁</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通过搬迁避让和工程治理防治地质灾害成效显著。</w:t>
      </w:r>
    </w:p>
    <w:p>
      <w:pPr>
        <w:pStyle w:val="3"/>
        <w:keepNext w:val="0"/>
        <w:keepLines w:val="0"/>
        <w:snapToGrid w:val="0"/>
        <w:spacing w:before="0" w:after="0" w:line="288" w:lineRule="auto"/>
        <w:ind w:firstLine="640" w:firstLineChars="200"/>
        <w:rPr>
          <w:rFonts w:ascii="方正楷体_GBK" w:hAnsi="方正楷体_GBK" w:eastAsia="方正楷体_GBK" w:cs="方正楷体_GBK"/>
          <w:b w:val="0"/>
          <w:bCs w:val="0"/>
          <w:color w:val="auto"/>
        </w:rPr>
      </w:pPr>
      <w:bookmarkStart w:id="55" w:name="_Toc81602511"/>
      <w:bookmarkStart w:id="56" w:name="_Toc1598931473_WPSOffice_Level2"/>
      <w:bookmarkStart w:id="57" w:name="_Toc1657753065_WPSOffice_Level2"/>
      <w:bookmarkStart w:id="58" w:name="_Toc707654421_WPSOffice_Level2"/>
      <w:r>
        <w:rPr>
          <w:rFonts w:hint="eastAsia" w:ascii="方正楷体_GBK" w:hAnsi="方正楷体_GBK" w:eastAsia="方正楷体_GBK" w:cs="方正楷体_GBK"/>
          <w:b w:val="0"/>
          <w:bCs w:val="0"/>
          <w:color w:val="auto"/>
        </w:rPr>
        <w:t>（三）</w:t>
      </w:r>
      <w:r>
        <w:rPr>
          <w:rFonts w:hint="eastAsia" w:ascii="方正楷体_GBK" w:hAnsi="方正楷体_GBK" w:eastAsia="方正楷体_GBK" w:cs="方正楷体_GBK"/>
          <w:b w:val="0"/>
          <w:bCs w:val="0"/>
          <w:color w:val="auto"/>
          <w:lang w:eastAsia="zh-CN"/>
        </w:rPr>
        <w:t>“</w:t>
      </w:r>
      <w:r>
        <w:rPr>
          <w:rFonts w:hint="eastAsia" w:ascii="方正楷体_GBK" w:hAnsi="方正楷体_GBK" w:eastAsia="方正楷体_GBK" w:cs="方正楷体_GBK"/>
          <w:b w:val="0"/>
          <w:bCs w:val="0"/>
          <w:color w:val="auto"/>
        </w:rPr>
        <w:t>十四五”面临的形势及存在的问题</w:t>
      </w:r>
      <w:bookmarkEnd w:id="55"/>
      <w:bookmarkEnd w:id="56"/>
      <w:bookmarkEnd w:id="57"/>
      <w:bookmarkEnd w:id="58"/>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1、面临的形势</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国家历来重视地质灾害防治。2016年7月，习近平总书记在河北唐山市考察时针对国家综合防灾减灾救灾工作提出了</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两个坚持、三个转变”，即</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坚持以防为主、防抗救相结合；坚持常态减灾和非常态救灾相统一”“从注重灾后救助向注重灾前预防转变；从应对单一灾种向综合减灾转变；从减少灾害损失向减轻灾害风险转变”。党的十九大报告中明确提出</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加强地质灾害防治”。习近平总书记在中央财经委员会第三次会议上的讲话：</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提高自然灾害防治能力，是实现‘两个一百年’奋斗目标、实现中华民族伟大复兴中国梦的必然要求，是关系人民群众生命财产安全和国家安全的大事，也是对我们党执政能力的重大考验”。党的十九大将</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坚持人与自然和谐共生”纳入新时代坚持和发展中国特色社会主义的基本方略，指出</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建设生态文明是中华民族永续发展的千年大计”，具有划时代的意义。新时代的地质灾害防治工作努力践行</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尊重自然、顺应自然、保护自然”的生态文明理念，从保障资源安全、生态文明、脱贫攻坚、乡村振兴、区域协调发展、新型城镇化建设等方面做出新的发展，为社会主义现代化强国建设提供地质安全保障。</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地质灾害的诱发因素仍然存在。一是独特山地地形地貌。区内以山地、丘陵地形为主，地形地貌及地质构造条件复杂，孕灾条件充分。二是降雨等极端天气过程增多。我区是典型的亚热带季风性湿润气候，加之地形地貌多样，易产生暴雨、连阴雨、旱涝急转交替等多种灾害性天气，在全球气候变化大背景下，极端强降雨发生频率、强度和持续时间呈现上升趋势，因雨致灾风险进一步加大。三是人类工程活动影响增大。随着我区城市、交通、采矿等工程建设活动逐渐增多，加之新农村建设切坡建房增多，对地质环境影响增大。未来一段时期，我区独特的地形地貌叠加暴雨、工程、采矿活动等因素，地质灾害仍将呈高发频发态势。</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加强地质灾害防治工作是推进建设成渝地区双城经济圈</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打造</w:t>
      </w:r>
      <w:r>
        <w:rPr>
          <w:rFonts w:hint="eastAsia" w:ascii="方正仿宋_GBK" w:hAnsi="方正仿宋_GBK" w:eastAsia="方正仿宋_GBK" w:cs="方正仿宋_GBK"/>
          <w:color w:val="auto"/>
          <w:sz w:val="32"/>
          <w:szCs w:val="32"/>
          <w:lang w:eastAsia="zh-CN"/>
        </w:rPr>
        <w:t>现代制造业基地、西部职教基地、“两百”区域性中心城市</w:t>
      </w:r>
      <w:r>
        <w:rPr>
          <w:rFonts w:hint="eastAsia" w:ascii="方正仿宋_GBK" w:hAnsi="方正仿宋_GBK" w:eastAsia="方正仿宋_GBK" w:cs="方正仿宋_GBK"/>
          <w:color w:val="auto"/>
          <w:sz w:val="32"/>
          <w:szCs w:val="32"/>
        </w:rPr>
        <w:t>的重要保障。深入学习贯彻总书记视察重庆重要讲话和在中央财经委员会第六次会议上的重要讲话精神，认真落实好党中央决策部署，按照市委、市政府安排和陈敏尔书记要求，深刻领会把握建设成渝地区双城经济圈、</w:t>
      </w:r>
      <w:r>
        <w:rPr>
          <w:rFonts w:hint="eastAsia" w:ascii="方正仿宋_GBK" w:hAnsi="方正仿宋_GBK" w:eastAsia="方正仿宋_GBK" w:cs="方正仿宋_GBK"/>
          <w:color w:val="auto"/>
          <w:sz w:val="32"/>
          <w:szCs w:val="32"/>
          <w:lang w:eastAsia="zh-CN"/>
        </w:rPr>
        <w:t>重庆主城都市区</w:t>
      </w:r>
      <w:r>
        <w:rPr>
          <w:rFonts w:hint="eastAsia" w:ascii="方正仿宋_GBK" w:hAnsi="方正仿宋_GBK" w:eastAsia="方正仿宋_GBK" w:cs="方正仿宋_GBK"/>
          <w:color w:val="auto"/>
          <w:sz w:val="32"/>
          <w:szCs w:val="32"/>
        </w:rPr>
        <w:t>的战略意义、战略内涵、战略目标、战略重点，推动永川区经济在十四五期间形成高质量发展的重要增长极，为其提供自然资源有力支撑和基础保障，加强永川区综合防灾减灾能力建设，建立防灾减灾联动协作机制与联动监测预警管理体系，不断提高人民群众获得感、幸福感、安全感。</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2、存在的问题</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地质灾害隐患调查不够深入。地质灾害不仅受地质条件控制，还与降雨、人类工程等关系密切，具有很强的隐蔽性和复杂性，由于工作方法手段有限，目前尚有大量地质灾害隐患没有被发现或对其危害认识不清，还不能满足当前风险管控的需求，亟需运用新技术、新方法，开展地质灾害早期识别，通过高精度调查和评价，进一步查清隐患底数。</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监测预警工作精度需进一步提高。一是监测预警的结果分析人为因素较大，我区正逐渐展开已有地质灾害点智能化监测，实现监测数据同步传输，但数据传输和系统识别是在人为设定，人工判定影响较大，需要对地质灾害传输数据位置、影响因素、变形特征、变形过程、失稳模式等深入研究，利用大数据平台，可以更好地做到精准预警。二是地质灾害气象预警精度不够。降雨和地质环境条件是各类地质灾害频发的主要诱因，而目前我区尚未完成1：5万地质灾害详细调查，进行地质灾害气象预警主要是根据气象因素，这就造成地质灾害气象预警精度不够、准确性和时效性不高。</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中小地质灾害治理资金有限以及避险移民搬迁积极性不高。一是地质灾害治理资金压力大。全区需要市级资金支持的大型地质灾害多数已经进行工程治理，中小型地质灾害未全部得到有效根治，区财政资金紧张，投入地质灾害防治资金有限，资金压力较大。二是避险移民搬迁难度大。补助资金较低，无法充分调动群众地灾避险移民搬迁积极性，群众对现行避险移民搬迁补助政策认可度不高、积极性不高</w:t>
      </w:r>
      <w:r>
        <w:rPr>
          <w:rFonts w:hint="eastAsia" w:ascii="方正仿宋_GBK" w:hAnsi="方正仿宋_GBK" w:eastAsia="方正仿宋_GBK" w:cs="方正仿宋_GBK"/>
          <w:color w:val="auto"/>
          <w:sz w:val="32"/>
          <w:szCs w:val="32"/>
          <w:lang w:eastAsia="zh-CN"/>
        </w:rPr>
        <w:t>。此外，</w:t>
      </w:r>
      <w:r>
        <w:rPr>
          <w:rFonts w:hint="eastAsia" w:ascii="方正仿宋_GBK" w:hAnsi="方正仿宋_GBK" w:eastAsia="方正仿宋_GBK" w:cs="方正仿宋_GBK"/>
          <w:color w:val="auto"/>
          <w:sz w:val="32"/>
          <w:szCs w:val="32"/>
        </w:rPr>
        <w:t>补助政策结合不够，房屋选址难度大，也影响了避险移民搬迁工作开展。</w:t>
      </w:r>
    </w:p>
    <w:p>
      <w:pPr>
        <w:pStyle w:val="2"/>
        <w:snapToGrid w:val="0"/>
        <w:spacing w:before="0" w:after="0" w:line="288" w:lineRule="auto"/>
        <w:ind w:firstLine="640" w:firstLineChars="200"/>
        <w:jc w:val="left"/>
        <w:rPr>
          <w:rFonts w:ascii="方正黑体_GBK" w:hAnsi="方正黑体_GBK" w:eastAsia="方正黑体_GBK" w:cs="方正黑体_GBK"/>
          <w:b w:val="0"/>
          <w:bCs w:val="0"/>
          <w:color w:val="auto"/>
          <w:sz w:val="32"/>
          <w:szCs w:val="32"/>
        </w:rPr>
      </w:pPr>
      <w:bookmarkStart w:id="59" w:name="_Toc81602512"/>
      <w:bookmarkStart w:id="60" w:name="_Toc211167124_WPSOffice_Level1"/>
      <w:bookmarkStart w:id="61" w:name="_Toc2108107208_WPSOffice_Level1"/>
      <w:bookmarkStart w:id="62" w:name="_Toc1130019577_WPSOffice_Level1"/>
      <w:r>
        <w:rPr>
          <w:rFonts w:hint="eastAsia" w:ascii="方正黑体_GBK" w:hAnsi="方正黑体_GBK" w:eastAsia="方正黑体_GBK" w:cs="方正黑体_GBK"/>
          <w:b w:val="0"/>
          <w:bCs w:val="0"/>
          <w:color w:val="auto"/>
          <w:sz w:val="32"/>
          <w:szCs w:val="32"/>
        </w:rPr>
        <w:t>二、指导思想、基本原则、规划目标</w:t>
      </w:r>
      <w:bookmarkEnd w:id="59"/>
      <w:bookmarkEnd w:id="60"/>
      <w:bookmarkEnd w:id="61"/>
      <w:bookmarkEnd w:id="62"/>
    </w:p>
    <w:p>
      <w:pPr>
        <w:pStyle w:val="3"/>
        <w:keepNext w:val="0"/>
        <w:keepLines w:val="0"/>
        <w:snapToGrid w:val="0"/>
        <w:spacing w:before="0" w:after="0" w:line="288" w:lineRule="auto"/>
        <w:ind w:firstLine="640" w:firstLineChars="200"/>
        <w:rPr>
          <w:rFonts w:ascii="方正楷体_GBK" w:hAnsi="方正楷体_GBK" w:eastAsia="方正楷体_GBK" w:cs="方正楷体_GBK"/>
          <w:b w:val="0"/>
          <w:bCs w:val="0"/>
          <w:color w:val="auto"/>
        </w:rPr>
      </w:pPr>
      <w:bookmarkStart w:id="63" w:name="_Toc1516861953_WPSOffice_Level2"/>
      <w:bookmarkStart w:id="64" w:name="_Toc1520626106_WPSOffice_Level2"/>
      <w:bookmarkStart w:id="65" w:name="_Toc81602513"/>
      <w:bookmarkStart w:id="66" w:name="_Toc1550737137_WPSOffice_Level2"/>
      <w:r>
        <w:rPr>
          <w:rFonts w:hint="eastAsia" w:ascii="方正楷体_GBK" w:hAnsi="方正楷体_GBK" w:eastAsia="方正楷体_GBK" w:cs="方正楷体_GBK"/>
          <w:b w:val="0"/>
          <w:bCs w:val="0"/>
          <w:color w:val="auto"/>
        </w:rPr>
        <w:t>（一）指导思想</w:t>
      </w:r>
      <w:bookmarkEnd w:id="63"/>
      <w:bookmarkEnd w:id="64"/>
      <w:bookmarkEnd w:id="65"/>
      <w:bookmarkEnd w:id="66"/>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以习近平新时代中国特色社会主义思想为指导，全面贯彻党的十九大和十九届二中、三中、四中、五中</w:t>
      </w:r>
      <w:r>
        <w:rPr>
          <w:rFonts w:hint="eastAsia" w:ascii="方正仿宋_GBK" w:hAnsi="方正仿宋_GBK" w:eastAsia="方正仿宋_GBK" w:cs="方正仿宋_GBK"/>
          <w:color w:val="auto"/>
          <w:sz w:val="32"/>
          <w:szCs w:val="32"/>
          <w:lang w:eastAsia="zh-CN"/>
        </w:rPr>
        <w:t>、六中</w:t>
      </w:r>
      <w:r>
        <w:rPr>
          <w:rFonts w:hint="eastAsia" w:ascii="方正仿宋_GBK" w:hAnsi="方正仿宋_GBK" w:eastAsia="方正仿宋_GBK" w:cs="方正仿宋_GBK"/>
          <w:color w:val="auto"/>
          <w:sz w:val="32"/>
          <w:szCs w:val="32"/>
        </w:rPr>
        <w:t>全会精神，统筹推进</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五位一体”总体布局，协调推进</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四个全面”战略布局，坚定不移贯彻新发展理念、构建新发展格局，深入贯彻习近平总书记视察重庆时关于防范重特大自然灾害的重要论述和在中央政治局第十九次集体学习时的重要讲话精神，以及中央财经委员会第三次会议精神，落实习近平总书记对重庆提出的营造良好政治生态</w:t>
      </w:r>
      <w:r>
        <w:rPr>
          <w:rFonts w:hint="default" w:ascii="方正仿宋_GBK" w:hAnsi="方正仿宋_GBK" w:eastAsia="方正仿宋_GBK" w:cs="方正仿宋_GBK"/>
          <w:color w:val="auto"/>
          <w:sz w:val="32"/>
          <w:szCs w:val="32"/>
          <w:lang w:val="en"/>
        </w:rPr>
        <w:t>,</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两点”定位、</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两地”“两高”目标、发挥</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三个作用”的重要指示要求。秉承</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两个坚持、三个转变”防灾减灾新理念，牢固树立人民至上、生命至上理念，坚持属地管理、分级负责，以防为主、群专结合，避让优先、综合治理的原则，结合自然灾害防治</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九大工程”紧紧围绕地质灾害防治领域的关键问题和迫切需求，部署全区地质灾害综合防治体系建设</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十四五”时期重大项目、重大改革和重大政策，为</w:t>
      </w:r>
      <w:r>
        <w:rPr>
          <w:rFonts w:hint="eastAsia" w:ascii="方正仿宋_GBK" w:hAnsi="方正仿宋_GBK" w:eastAsia="方正仿宋_GBK" w:cs="方正仿宋_GBK"/>
          <w:color w:val="auto"/>
          <w:sz w:val="32"/>
          <w:szCs w:val="32"/>
          <w:lang w:eastAsia="zh-CN"/>
        </w:rPr>
        <w:t>打造高质量发展先行区、高品质生活示范区</w:t>
      </w:r>
      <w:r>
        <w:rPr>
          <w:rFonts w:hint="eastAsia" w:ascii="方正仿宋_GBK" w:hAnsi="方正仿宋_GBK" w:eastAsia="方正仿宋_GBK" w:cs="方正仿宋_GBK"/>
          <w:color w:val="auto"/>
          <w:sz w:val="32"/>
          <w:szCs w:val="32"/>
        </w:rPr>
        <w:t>提供坚实的地质安全保障。</w:t>
      </w:r>
    </w:p>
    <w:p>
      <w:pPr>
        <w:pStyle w:val="3"/>
        <w:keepNext w:val="0"/>
        <w:keepLines w:val="0"/>
        <w:snapToGrid w:val="0"/>
        <w:spacing w:before="0" w:after="0" w:line="288" w:lineRule="auto"/>
        <w:ind w:firstLine="640" w:firstLineChars="200"/>
        <w:rPr>
          <w:rFonts w:ascii="方正楷体_GBK" w:hAnsi="方正楷体_GBK" w:eastAsia="方正楷体_GBK" w:cs="方正楷体_GBK"/>
          <w:b w:val="0"/>
          <w:bCs w:val="0"/>
          <w:color w:val="auto"/>
        </w:rPr>
      </w:pPr>
      <w:bookmarkStart w:id="67" w:name="_Toc56371825_WPSOffice_Level2"/>
      <w:bookmarkStart w:id="68" w:name="_Toc81602514"/>
      <w:bookmarkStart w:id="69" w:name="_Toc397258805_WPSOffice_Level2"/>
      <w:bookmarkStart w:id="70" w:name="_Toc523882064_WPSOffice_Level2"/>
      <w:r>
        <w:rPr>
          <w:rFonts w:hint="eastAsia" w:ascii="方正楷体_GBK" w:hAnsi="方正楷体_GBK" w:eastAsia="方正楷体_GBK" w:cs="方正楷体_GBK"/>
          <w:b w:val="0"/>
          <w:bCs w:val="0"/>
          <w:color w:val="auto"/>
        </w:rPr>
        <w:t>（二）基本原则</w:t>
      </w:r>
      <w:bookmarkEnd w:id="67"/>
      <w:bookmarkEnd w:id="68"/>
      <w:bookmarkEnd w:id="69"/>
      <w:bookmarkEnd w:id="70"/>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一是人民至上、预防为主。</w:t>
      </w:r>
      <w:r>
        <w:rPr>
          <w:rFonts w:hint="eastAsia" w:ascii="方正仿宋_GBK" w:hAnsi="方正仿宋_GBK" w:eastAsia="方正仿宋_GBK" w:cs="方正仿宋_GBK"/>
          <w:color w:val="auto"/>
          <w:sz w:val="32"/>
          <w:szCs w:val="32"/>
        </w:rPr>
        <w:t>地质灾害防治事关民生，责任重大，要始终坚持以人民为中心的发展思想，坚持人民至上、生命至上，把保护人民群众生命财产安全作为地质灾害防治的出发点和落脚点。坚持以防为主，防抗救相结合，从注重灾后救助向注重灾前预防转变，强化隐患调查排查，完善群测群防，推进人防技防相结合，提高预警的准确性和时效性，增强全民防灾减灾意识，提升群众自救互救能力，切实减少人员伤亡和财产损失。</w:t>
      </w:r>
    </w:p>
    <w:p>
      <w:pPr>
        <w:pStyle w:val="7"/>
        <w:snapToGrid w:val="0"/>
        <w:spacing w:line="288" w:lineRule="auto"/>
        <w:ind w:firstLine="643"/>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二是统筹规划、注重协调。</w:t>
      </w:r>
      <w:r>
        <w:rPr>
          <w:rFonts w:hint="eastAsia" w:ascii="方正仿宋_GBK" w:hAnsi="方正仿宋_GBK" w:eastAsia="方正仿宋_GBK" w:cs="方正仿宋_GBK"/>
          <w:color w:val="auto"/>
          <w:sz w:val="32"/>
          <w:szCs w:val="32"/>
        </w:rPr>
        <w:t>统筹地质灾害防治规划与国民经济发展规划、国土空间规划相互衔接、相互融合，统筹推进地质灾害防治与国土用途管制、生态修护相互促进，统筹推进地质灾害防治与各项建设活动相互结合、共同发展。整合资源，充分发挥规划自然资源等部门的专业优势和应急管理部门的综合优势，衔接好</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防</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和</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救</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的责任链条，形成地质灾害防治整体合力。</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三是避让优先、综合防治。</w:t>
      </w:r>
      <w:r>
        <w:rPr>
          <w:rFonts w:hint="eastAsia" w:ascii="方正仿宋_GBK" w:hAnsi="方正仿宋_GBK" w:eastAsia="方正仿宋_GBK" w:cs="方正仿宋_GBK"/>
          <w:color w:val="auto"/>
          <w:sz w:val="32"/>
          <w:szCs w:val="32"/>
        </w:rPr>
        <w:t>强化早发现、早避让，由被动防灾向主动防灾转变，由应急处置为主向调查评价和监测预警为主转变，结合生态脱贫攻坚，有序推进避险移民搬迁，确保群众搬得出、留得住、能致富。加强地质灾害综合防治，坚持谁主管、谁负责，分级管理与属地管理相结合的原则，加快推进地质灾害工程治理，及时消除安全隐患，确保人民群众生命财产安全。</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四是依法依规，科学减灾。</w:t>
      </w:r>
      <w:r>
        <w:rPr>
          <w:rFonts w:hint="eastAsia" w:ascii="方正仿宋_GBK" w:hAnsi="方正仿宋_GBK" w:eastAsia="方正仿宋_GBK" w:cs="方正仿宋_GBK"/>
          <w:color w:val="auto"/>
          <w:sz w:val="32"/>
          <w:szCs w:val="32"/>
        </w:rPr>
        <w:t>健全完善地质灾害防治法律法规体系和标准体系，牢固树立法治理念，把法治思维运用到地质灾害防治工作中，坚持依法依规，提高防治工作的法治化和规范化水平。注重科技创新，强化基础研究，把握其发生变化规律，促进高新技术的应用和推广，科学防灾减灾，提高地质灾害防治工作的技术水平。</w:t>
      </w:r>
    </w:p>
    <w:p>
      <w:pPr>
        <w:pStyle w:val="3"/>
        <w:keepNext w:val="0"/>
        <w:keepLines w:val="0"/>
        <w:snapToGrid w:val="0"/>
        <w:spacing w:before="0" w:after="0" w:line="288" w:lineRule="auto"/>
        <w:ind w:firstLine="640" w:firstLineChars="200"/>
        <w:rPr>
          <w:rFonts w:ascii="方正楷体_GBK" w:hAnsi="方正楷体_GBK" w:eastAsia="方正楷体_GBK" w:cs="方正楷体_GBK"/>
          <w:b w:val="0"/>
          <w:bCs w:val="0"/>
          <w:color w:val="auto"/>
        </w:rPr>
      </w:pPr>
      <w:bookmarkStart w:id="71" w:name="_Toc1990879938_WPSOffice_Level2"/>
      <w:bookmarkStart w:id="72" w:name="_Toc366084116_WPSOffice_Level2"/>
      <w:bookmarkStart w:id="73" w:name="_Toc2095852056_WPSOffice_Level2"/>
      <w:bookmarkStart w:id="74" w:name="_Toc81602515"/>
      <w:r>
        <w:rPr>
          <w:rFonts w:hint="eastAsia" w:ascii="方正楷体_GBK" w:hAnsi="方正楷体_GBK" w:eastAsia="方正楷体_GBK" w:cs="方正楷体_GBK"/>
          <w:b w:val="0"/>
          <w:bCs w:val="0"/>
          <w:color w:val="auto"/>
        </w:rPr>
        <w:t>（三）规划目标</w:t>
      </w:r>
      <w:bookmarkEnd w:id="71"/>
      <w:bookmarkEnd w:id="72"/>
      <w:bookmarkEnd w:id="73"/>
      <w:bookmarkEnd w:id="74"/>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总体目标：</w:t>
      </w:r>
      <w:r>
        <w:rPr>
          <w:rFonts w:hint="eastAsia" w:ascii="方正仿宋_GBK" w:hAnsi="方正仿宋_GBK" w:eastAsia="方正仿宋_GBK" w:cs="方正仿宋_GBK"/>
          <w:color w:val="auto"/>
          <w:sz w:val="32"/>
          <w:szCs w:val="32"/>
        </w:rPr>
        <w:t>以全面提升防灾减灾救灾能力、最大限度避免和减少人员伤亡及财产损失为目标，到2025年，全面完成地质灾害调查评价、监测预警、综合防治、应急救援、能力建设等综合防治体系建设</w:t>
      </w:r>
      <w:r>
        <w:rPr>
          <w:rFonts w:hint="eastAsia" w:ascii="方正仿宋_GBK" w:hAnsi="方正仿宋_GBK" w:eastAsia="方正仿宋_GBK" w:cs="方正仿宋_GBK"/>
          <w:color w:val="auto"/>
          <w:sz w:val="32"/>
          <w:szCs w:val="32"/>
          <w:lang w:eastAsia="zh-CN"/>
        </w:rPr>
        <w:t>（祥见表</w:t>
      </w:r>
      <w:r>
        <w:rPr>
          <w:rFonts w:hint="eastAsia" w:ascii="方正仿宋_GBK" w:hAnsi="方正仿宋_GBK" w:eastAsia="方正仿宋_GBK" w:cs="方正仿宋_GBK"/>
          <w:color w:val="auto"/>
          <w:sz w:val="32"/>
          <w:szCs w:val="32"/>
          <w:lang w:val="en-US" w:eastAsia="zh-CN"/>
        </w:rPr>
        <w:t>2-1</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地质灾害综合防治能力得到明显提升，地质灾害危害得到进一步防控，地质灾害对经济社会和生态环境影响显著减轻，全区地质灾害综合防范能力和水平显著提升，有力支撑重庆市与全区重大发展战略实施和重大工程建设，为全区经济社会发展提供地质安全保障。</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具体目标：</w:t>
      </w:r>
      <w:r>
        <w:rPr>
          <w:rFonts w:hint="eastAsia" w:ascii="方正仿宋_GBK" w:hAnsi="方正仿宋_GBK" w:eastAsia="方正仿宋_GBK" w:cs="方正仿宋_GBK"/>
          <w:color w:val="auto"/>
          <w:sz w:val="32"/>
          <w:szCs w:val="32"/>
        </w:rPr>
        <w:t>全面完成全区地质灾害详细调查工作，地质灾害早期识别能力得到进一步加强；完善群专结合的</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四重”网格化监测预警体系，实现智能化监测预警全覆盖，显著提高地质灾害监测预警精准度。实施</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有重点、分层次、多手段”的综合防治，加强避险移民搬迁工作，基本完成威胁人员密集区重大地质灾害隐患的工程治理，减少受地质灾害威胁人员300人左右。结合地质灾害风险防控智慧服务平台基础数据，及时发布不同条件下区域地质灾害危害性等级，进一步确定区域风险等级，并采取相应防范措施。推进应急救援体系建设，增强化解重大地质灾害风险能力。推进大数据、人工智能、综合遥感等在地质灾害防治工作中的应用，大幅提高我区地质灾害防治科技支撑能力。多重探索地质灾害风险管控措施，提升我区地质灾害防治管理水平。</w:t>
      </w:r>
    </w:p>
    <w:p>
      <w:pPr>
        <w:spacing w:line="400" w:lineRule="exact"/>
        <w:jc w:val="center"/>
        <w:rPr>
          <w:rFonts w:ascii="黑体" w:hAnsi="黑体" w:eastAsia="黑体"/>
          <w:color w:val="auto"/>
          <w:sz w:val="24"/>
        </w:rPr>
      </w:pPr>
      <w:r>
        <w:rPr>
          <w:rFonts w:hint="eastAsia" w:ascii="黑体" w:hAnsi="黑体" w:eastAsia="黑体"/>
          <w:color w:val="auto"/>
          <w:sz w:val="24"/>
        </w:rPr>
        <w:t>表</w:t>
      </w:r>
      <w:r>
        <w:rPr>
          <w:rFonts w:hint="eastAsia" w:ascii="黑体" w:hAnsi="黑体" w:eastAsia="黑体"/>
          <w:color w:val="auto"/>
          <w:sz w:val="24"/>
          <w:lang w:val="en-US" w:eastAsia="zh-CN"/>
        </w:rPr>
        <w:t>2-1</w:t>
      </w:r>
      <w:r>
        <w:rPr>
          <w:rFonts w:hint="eastAsia" w:ascii="黑体" w:hAnsi="黑体" w:eastAsia="黑体"/>
          <w:color w:val="auto"/>
          <w:sz w:val="24"/>
        </w:rPr>
        <w:t>永川区地质灾害综合防治体系建设</w:t>
      </w:r>
      <w:r>
        <w:rPr>
          <w:rFonts w:hint="eastAsia" w:ascii="黑体" w:hAnsi="黑体" w:eastAsia="黑体"/>
          <w:color w:val="auto"/>
          <w:sz w:val="24"/>
          <w:lang w:eastAsia="zh-CN"/>
        </w:rPr>
        <w:t>“</w:t>
      </w:r>
      <w:r>
        <w:rPr>
          <w:rFonts w:hint="eastAsia" w:ascii="黑体" w:hAnsi="黑体" w:eastAsia="黑体"/>
          <w:color w:val="auto"/>
          <w:sz w:val="24"/>
        </w:rPr>
        <w:t>十四五</w:t>
      </w:r>
      <w:r>
        <w:rPr>
          <w:rFonts w:hint="eastAsia" w:ascii="黑体" w:hAnsi="黑体" w:eastAsia="黑体"/>
          <w:color w:val="auto"/>
          <w:sz w:val="24"/>
          <w:lang w:eastAsia="zh-CN"/>
        </w:rPr>
        <w:t>”</w:t>
      </w:r>
      <w:r>
        <w:rPr>
          <w:rFonts w:hint="eastAsia" w:ascii="黑体" w:hAnsi="黑体" w:eastAsia="黑体"/>
          <w:color w:val="auto"/>
          <w:sz w:val="24"/>
        </w:rPr>
        <w:t>规划主要指标</w:t>
      </w:r>
    </w:p>
    <w:tbl>
      <w:tblPr>
        <w:tblStyle w:val="18"/>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723"/>
        <w:gridCol w:w="2506"/>
        <w:gridCol w:w="674"/>
        <w:gridCol w:w="868"/>
        <w:gridCol w:w="1106"/>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18" w:type="dxa"/>
            <w:vAlign w:val="center"/>
          </w:tcPr>
          <w:p>
            <w:pPr>
              <w:snapToGrid w:val="0"/>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类型</w:t>
            </w:r>
          </w:p>
        </w:tc>
        <w:tc>
          <w:tcPr>
            <w:tcW w:w="723" w:type="dxa"/>
            <w:vAlign w:val="center"/>
          </w:tcPr>
          <w:p>
            <w:pPr>
              <w:snapToGrid w:val="0"/>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序号</w:t>
            </w:r>
          </w:p>
        </w:tc>
        <w:tc>
          <w:tcPr>
            <w:tcW w:w="2506" w:type="dxa"/>
            <w:vAlign w:val="center"/>
          </w:tcPr>
          <w:p>
            <w:pPr>
              <w:snapToGrid w:val="0"/>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指标名称</w:t>
            </w:r>
          </w:p>
        </w:tc>
        <w:tc>
          <w:tcPr>
            <w:tcW w:w="674" w:type="dxa"/>
            <w:vAlign w:val="center"/>
          </w:tcPr>
          <w:p>
            <w:pPr>
              <w:snapToGrid w:val="0"/>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单位</w:t>
            </w:r>
          </w:p>
        </w:tc>
        <w:tc>
          <w:tcPr>
            <w:tcW w:w="868" w:type="dxa"/>
            <w:vAlign w:val="center"/>
          </w:tcPr>
          <w:p>
            <w:pPr>
              <w:snapToGrid w:val="0"/>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指标值</w:t>
            </w:r>
          </w:p>
        </w:tc>
        <w:tc>
          <w:tcPr>
            <w:tcW w:w="1106" w:type="dxa"/>
            <w:vAlign w:val="center"/>
          </w:tcPr>
          <w:p>
            <w:pPr>
              <w:snapToGrid w:val="0"/>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指标属性</w:t>
            </w:r>
          </w:p>
        </w:tc>
        <w:tc>
          <w:tcPr>
            <w:tcW w:w="2142" w:type="dxa"/>
            <w:vAlign w:val="center"/>
          </w:tcPr>
          <w:p>
            <w:pPr>
              <w:snapToGrid w:val="0"/>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18" w:type="dxa"/>
            <w:vMerge w:val="restart"/>
            <w:vAlign w:val="center"/>
          </w:tcPr>
          <w:p>
            <w:pPr>
              <w:snapToGrid w:val="0"/>
              <w:jc w:val="center"/>
              <w:rPr>
                <w:rFonts w:eastAsia="方正仿宋_GBK"/>
                <w:color w:val="auto"/>
                <w:szCs w:val="21"/>
              </w:rPr>
            </w:pPr>
            <w:r>
              <w:rPr>
                <w:rFonts w:eastAsia="方正仿宋_GBK"/>
                <w:color w:val="auto"/>
                <w:szCs w:val="21"/>
              </w:rPr>
              <w:t>调查评价</w:t>
            </w:r>
          </w:p>
        </w:tc>
        <w:tc>
          <w:tcPr>
            <w:tcW w:w="723" w:type="dxa"/>
            <w:vAlign w:val="center"/>
          </w:tcPr>
          <w:p>
            <w:pPr>
              <w:snapToGrid w:val="0"/>
              <w:jc w:val="center"/>
              <w:rPr>
                <w:rFonts w:eastAsia="方正仿宋_GBK"/>
                <w:color w:val="auto"/>
                <w:szCs w:val="21"/>
              </w:rPr>
            </w:pPr>
            <w:r>
              <w:rPr>
                <w:rFonts w:eastAsia="方正仿宋_GBK"/>
                <w:color w:val="auto"/>
                <w:szCs w:val="21"/>
              </w:rPr>
              <w:t>1</w:t>
            </w:r>
          </w:p>
        </w:tc>
        <w:tc>
          <w:tcPr>
            <w:tcW w:w="2506" w:type="dxa"/>
            <w:vAlign w:val="center"/>
          </w:tcPr>
          <w:p>
            <w:pPr>
              <w:snapToGrid w:val="0"/>
              <w:rPr>
                <w:rFonts w:eastAsia="方正仿宋_GBK"/>
                <w:color w:val="auto"/>
                <w:szCs w:val="21"/>
              </w:rPr>
            </w:pPr>
            <w:r>
              <w:rPr>
                <w:rFonts w:eastAsia="方正仿宋_GBK"/>
                <w:color w:val="auto"/>
                <w:szCs w:val="21"/>
              </w:rPr>
              <w:t>地质灾害”三查”</w:t>
            </w:r>
          </w:p>
        </w:tc>
        <w:tc>
          <w:tcPr>
            <w:tcW w:w="674" w:type="dxa"/>
            <w:vAlign w:val="center"/>
          </w:tcPr>
          <w:p>
            <w:pPr>
              <w:snapToGrid w:val="0"/>
              <w:jc w:val="center"/>
              <w:rPr>
                <w:rFonts w:eastAsia="方正仿宋_GBK"/>
                <w:color w:val="auto"/>
                <w:szCs w:val="21"/>
              </w:rPr>
            </w:pPr>
            <w:r>
              <w:rPr>
                <w:rFonts w:eastAsia="方正仿宋_GBK"/>
                <w:color w:val="auto"/>
                <w:szCs w:val="21"/>
              </w:rPr>
              <w:t>次</w:t>
            </w:r>
          </w:p>
        </w:tc>
        <w:tc>
          <w:tcPr>
            <w:tcW w:w="868" w:type="dxa"/>
            <w:vAlign w:val="center"/>
          </w:tcPr>
          <w:p>
            <w:pPr>
              <w:snapToGrid w:val="0"/>
              <w:jc w:val="center"/>
              <w:rPr>
                <w:rFonts w:eastAsia="方正仿宋_GBK"/>
                <w:color w:val="auto"/>
                <w:szCs w:val="21"/>
              </w:rPr>
            </w:pPr>
            <w:r>
              <w:rPr>
                <w:rFonts w:eastAsia="方正仿宋_GBK"/>
                <w:color w:val="auto"/>
                <w:szCs w:val="21"/>
              </w:rPr>
              <w:t>5</w:t>
            </w:r>
          </w:p>
        </w:tc>
        <w:tc>
          <w:tcPr>
            <w:tcW w:w="1106" w:type="dxa"/>
            <w:vAlign w:val="center"/>
          </w:tcPr>
          <w:p>
            <w:pPr>
              <w:snapToGrid w:val="0"/>
              <w:jc w:val="center"/>
              <w:rPr>
                <w:rFonts w:eastAsia="方正仿宋_GBK"/>
                <w:color w:val="auto"/>
                <w:szCs w:val="21"/>
              </w:rPr>
            </w:pPr>
            <w:r>
              <w:rPr>
                <w:rFonts w:eastAsia="方正仿宋_GBK"/>
                <w:color w:val="auto"/>
                <w:szCs w:val="21"/>
              </w:rPr>
              <w:t>约束性</w:t>
            </w:r>
          </w:p>
        </w:tc>
        <w:tc>
          <w:tcPr>
            <w:tcW w:w="2142" w:type="dxa"/>
            <w:vAlign w:val="center"/>
          </w:tcPr>
          <w:p>
            <w:pPr>
              <w:snapToGrid w:val="0"/>
              <w:rPr>
                <w:rFonts w:eastAsia="方正仿宋_GBK"/>
                <w:color w:val="auto"/>
                <w:szCs w:val="21"/>
              </w:rPr>
            </w:pPr>
            <w:r>
              <w:rPr>
                <w:rFonts w:eastAsia="方正仿宋_GBK"/>
                <w:color w:val="auto"/>
                <w:szCs w:val="21"/>
              </w:rPr>
              <w:t>每年一次，覆盖全区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18" w:type="dxa"/>
            <w:vMerge w:val="continue"/>
            <w:vAlign w:val="center"/>
          </w:tcPr>
          <w:p>
            <w:pPr>
              <w:snapToGrid w:val="0"/>
              <w:jc w:val="center"/>
              <w:rPr>
                <w:rFonts w:eastAsia="方正仿宋_GBK"/>
                <w:color w:val="auto"/>
                <w:szCs w:val="21"/>
              </w:rPr>
            </w:pPr>
          </w:p>
        </w:tc>
        <w:tc>
          <w:tcPr>
            <w:tcW w:w="723" w:type="dxa"/>
            <w:vAlign w:val="center"/>
          </w:tcPr>
          <w:p>
            <w:pPr>
              <w:snapToGrid w:val="0"/>
              <w:jc w:val="center"/>
              <w:rPr>
                <w:rFonts w:eastAsia="方正仿宋_GBK"/>
                <w:color w:val="auto"/>
                <w:szCs w:val="21"/>
              </w:rPr>
            </w:pPr>
            <w:r>
              <w:rPr>
                <w:rFonts w:eastAsia="方正仿宋_GBK"/>
                <w:color w:val="auto"/>
                <w:szCs w:val="21"/>
              </w:rPr>
              <w:t>2</w:t>
            </w:r>
          </w:p>
        </w:tc>
        <w:tc>
          <w:tcPr>
            <w:tcW w:w="2506" w:type="dxa"/>
            <w:vAlign w:val="center"/>
          </w:tcPr>
          <w:p>
            <w:pPr>
              <w:snapToGrid w:val="0"/>
              <w:rPr>
                <w:rFonts w:eastAsia="方正仿宋_GBK"/>
                <w:color w:val="auto"/>
                <w:szCs w:val="21"/>
              </w:rPr>
            </w:pPr>
            <w:r>
              <w:rPr>
                <w:rFonts w:eastAsia="方正仿宋_GBK"/>
                <w:color w:val="auto"/>
                <w:szCs w:val="21"/>
              </w:rPr>
              <w:t>地质灾害隐患综合遥感识别与调查</w:t>
            </w:r>
          </w:p>
        </w:tc>
        <w:tc>
          <w:tcPr>
            <w:tcW w:w="674" w:type="dxa"/>
            <w:vAlign w:val="center"/>
          </w:tcPr>
          <w:p>
            <w:pPr>
              <w:snapToGrid w:val="0"/>
              <w:jc w:val="center"/>
              <w:rPr>
                <w:rFonts w:eastAsia="方正仿宋_GBK"/>
                <w:color w:val="auto"/>
                <w:szCs w:val="21"/>
              </w:rPr>
            </w:pPr>
          </w:p>
        </w:tc>
        <w:tc>
          <w:tcPr>
            <w:tcW w:w="868" w:type="dxa"/>
            <w:vAlign w:val="center"/>
          </w:tcPr>
          <w:p>
            <w:pPr>
              <w:snapToGrid w:val="0"/>
              <w:jc w:val="center"/>
              <w:rPr>
                <w:rFonts w:eastAsia="方正仿宋_GBK"/>
                <w:color w:val="auto"/>
                <w:szCs w:val="21"/>
              </w:rPr>
            </w:pPr>
          </w:p>
        </w:tc>
        <w:tc>
          <w:tcPr>
            <w:tcW w:w="1106" w:type="dxa"/>
            <w:vAlign w:val="center"/>
          </w:tcPr>
          <w:p>
            <w:pPr>
              <w:snapToGrid w:val="0"/>
              <w:jc w:val="center"/>
              <w:rPr>
                <w:rFonts w:eastAsia="方正仿宋_GBK"/>
                <w:color w:val="auto"/>
                <w:szCs w:val="21"/>
              </w:rPr>
            </w:pPr>
            <w:r>
              <w:rPr>
                <w:rFonts w:eastAsia="方正仿宋_GBK"/>
                <w:color w:val="auto"/>
                <w:szCs w:val="21"/>
              </w:rPr>
              <w:t>约束性</w:t>
            </w:r>
          </w:p>
        </w:tc>
        <w:tc>
          <w:tcPr>
            <w:tcW w:w="2142" w:type="dxa"/>
            <w:vAlign w:val="center"/>
          </w:tcPr>
          <w:p>
            <w:pPr>
              <w:snapToGrid w:val="0"/>
              <w:rPr>
                <w:rFonts w:eastAsia="方正仿宋_GBK"/>
                <w:color w:val="auto"/>
                <w:szCs w:val="21"/>
              </w:rPr>
            </w:pPr>
            <w:r>
              <w:rPr>
                <w:rFonts w:eastAsia="方正仿宋_GBK"/>
                <w:color w:val="auto"/>
                <w:szCs w:val="21"/>
              </w:rPr>
              <w:t>每年一次，覆盖全区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snapToGrid w:val="0"/>
              <w:jc w:val="center"/>
              <w:rPr>
                <w:rFonts w:eastAsia="方正仿宋_GBK"/>
                <w:color w:val="auto"/>
                <w:szCs w:val="21"/>
              </w:rPr>
            </w:pPr>
          </w:p>
        </w:tc>
        <w:tc>
          <w:tcPr>
            <w:tcW w:w="723" w:type="dxa"/>
            <w:vAlign w:val="center"/>
          </w:tcPr>
          <w:p>
            <w:pPr>
              <w:snapToGrid w:val="0"/>
              <w:jc w:val="center"/>
              <w:rPr>
                <w:rFonts w:eastAsia="方正仿宋_GBK"/>
                <w:color w:val="auto"/>
                <w:szCs w:val="21"/>
              </w:rPr>
            </w:pPr>
            <w:r>
              <w:rPr>
                <w:rFonts w:eastAsia="方正仿宋_GBK"/>
                <w:color w:val="auto"/>
                <w:szCs w:val="21"/>
              </w:rPr>
              <w:t>3</w:t>
            </w:r>
          </w:p>
        </w:tc>
        <w:tc>
          <w:tcPr>
            <w:tcW w:w="2506" w:type="dxa"/>
            <w:vAlign w:val="center"/>
          </w:tcPr>
          <w:p>
            <w:pPr>
              <w:snapToGrid w:val="0"/>
              <w:rPr>
                <w:rFonts w:eastAsia="方正仿宋_GBK"/>
                <w:color w:val="auto"/>
                <w:szCs w:val="21"/>
              </w:rPr>
            </w:pPr>
            <w:r>
              <w:rPr>
                <w:rFonts w:eastAsia="方正仿宋_GBK"/>
                <w:color w:val="auto"/>
                <w:szCs w:val="21"/>
              </w:rPr>
              <w:t>1：5万地质灾害详细调查</w:t>
            </w:r>
          </w:p>
        </w:tc>
        <w:tc>
          <w:tcPr>
            <w:tcW w:w="674" w:type="dxa"/>
            <w:vAlign w:val="center"/>
          </w:tcPr>
          <w:p>
            <w:pPr>
              <w:snapToGrid w:val="0"/>
              <w:jc w:val="center"/>
              <w:rPr>
                <w:rFonts w:eastAsia="方正仿宋_GBK"/>
                <w:color w:val="auto"/>
                <w:szCs w:val="21"/>
              </w:rPr>
            </w:pPr>
          </w:p>
        </w:tc>
        <w:tc>
          <w:tcPr>
            <w:tcW w:w="868" w:type="dxa"/>
            <w:vAlign w:val="center"/>
          </w:tcPr>
          <w:p>
            <w:pPr>
              <w:snapToGrid w:val="0"/>
              <w:jc w:val="center"/>
              <w:rPr>
                <w:rFonts w:eastAsia="方正仿宋_GBK"/>
                <w:color w:val="auto"/>
                <w:szCs w:val="21"/>
              </w:rPr>
            </w:pPr>
          </w:p>
        </w:tc>
        <w:tc>
          <w:tcPr>
            <w:tcW w:w="1106" w:type="dxa"/>
            <w:vAlign w:val="center"/>
          </w:tcPr>
          <w:p>
            <w:pPr>
              <w:snapToGrid w:val="0"/>
              <w:jc w:val="center"/>
              <w:rPr>
                <w:rFonts w:eastAsia="方正仿宋_GBK"/>
                <w:color w:val="auto"/>
                <w:szCs w:val="21"/>
              </w:rPr>
            </w:pPr>
            <w:r>
              <w:rPr>
                <w:rFonts w:eastAsia="方正仿宋_GBK"/>
                <w:color w:val="auto"/>
                <w:szCs w:val="21"/>
              </w:rPr>
              <w:t>约束性</w:t>
            </w:r>
          </w:p>
        </w:tc>
        <w:tc>
          <w:tcPr>
            <w:tcW w:w="2142" w:type="dxa"/>
            <w:vAlign w:val="center"/>
          </w:tcPr>
          <w:p>
            <w:pPr>
              <w:snapToGrid w:val="0"/>
              <w:rPr>
                <w:rFonts w:eastAsia="方正仿宋_GBK"/>
                <w:color w:val="auto"/>
                <w:szCs w:val="21"/>
              </w:rPr>
            </w:pPr>
            <w:r>
              <w:rPr>
                <w:rFonts w:eastAsia="方正仿宋_GBK"/>
                <w:color w:val="auto"/>
                <w:szCs w:val="21"/>
              </w:rPr>
              <w:t>覆盖全区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18" w:type="dxa"/>
            <w:vMerge w:val="continue"/>
            <w:vAlign w:val="center"/>
          </w:tcPr>
          <w:p>
            <w:pPr>
              <w:snapToGrid w:val="0"/>
              <w:jc w:val="center"/>
              <w:rPr>
                <w:rFonts w:eastAsia="方正仿宋_GBK"/>
                <w:color w:val="auto"/>
                <w:szCs w:val="21"/>
              </w:rPr>
            </w:pPr>
          </w:p>
        </w:tc>
        <w:tc>
          <w:tcPr>
            <w:tcW w:w="723" w:type="dxa"/>
            <w:vAlign w:val="center"/>
          </w:tcPr>
          <w:p>
            <w:pPr>
              <w:snapToGrid w:val="0"/>
              <w:jc w:val="center"/>
              <w:rPr>
                <w:rFonts w:eastAsia="方正仿宋_GBK"/>
                <w:color w:val="auto"/>
                <w:szCs w:val="21"/>
              </w:rPr>
            </w:pPr>
            <w:r>
              <w:rPr>
                <w:rFonts w:eastAsia="方正仿宋_GBK"/>
                <w:color w:val="auto"/>
                <w:szCs w:val="21"/>
              </w:rPr>
              <w:t>4</w:t>
            </w:r>
          </w:p>
        </w:tc>
        <w:tc>
          <w:tcPr>
            <w:tcW w:w="2506" w:type="dxa"/>
            <w:vAlign w:val="center"/>
          </w:tcPr>
          <w:p>
            <w:pPr>
              <w:snapToGrid w:val="0"/>
              <w:rPr>
                <w:rFonts w:eastAsia="方正仿宋_GBK"/>
                <w:color w:val="auto"/>
                <w:szCs w:val="21"/>
              </w:rPr>
            </w:pPr>
            <w:r>
              <w:rPr>
                <w:rFonts w:eastAsia="方正仿宋_GBK"/>
                <w:color w:val="auto"/>
                <w:szCs w:val="21"/>
              </w:rPr>
              <w:t>重点地质灾害隐患点勘查</w:t>
            </w:r>
          </w:p>
        </w:tc>
        <w:tc>
          <w:tcPr>
            <w:tcW w:w="674" w:type="dxa"/>
            <w:vAlign w:val="center"/>
          </w:tcPr>
          <w:p>
            <w:pPr>
              <w:snapToGrid w:val="0"/>
              <w:jc w:val="center"/>
              <w:rPr>
                <w:rFonts w:eastAsia="方正仿宋_GBK"/>
                <w:color w:val="auto"/>
                <w:szCs w:val="21"/>
              </w:rPr>
            </w:pPr>
            <w:r>
              <w:rPr>
                <w:rFonts w:eastAsia="方正仿宋_GBK"/>
                <w:color w:val="auto"/>
                <w:szCs w:val="21"/>
              </w:rPr>
              <w:t>个</w:t>
            </w:r>
          </w:p>
        </w:tc>
        <w:tc>
          <w:tcPr>
            <w:tcW w:w="868" w:type="dxa"/>
            <w:vAlign w:val="center"/>
          </w:tcPr>
          <w:p>
            <w:pPr>
              <w:snapToGrid w:val="0"/>
              <w:jc w:val="center"/>
              <w:rPr>
                <w:rFonts w:eastAsia="方正仿宋_GBK"/>
                <w:color w:val="auto"/>
                <w:szCs w:val="21"/>
              </w:rPr>
            </w:pPr>
            <w:r>
              <w:rPr>
                <w:rFonts w:eastAsia="方正仿宋_GBK"/>
                <w:color w:val="auto"/>
                <w:szCs w:val="21"/>
              </w:rPr>
              <w:t>1</w:t>
            </w:r>
          </w:p>
        </w:tc>
        <w:tc>
          <w:tcPr>
            <w:tcW w:w="1106" w:type="dxa"/>
            <w:vAlign w:val="center"/>
          </w:tcPr>
          <w:p>
            <w:pPr>
              <w:snapToGrid w:val="0"/>
              <w:jc w:val="center"/>
              <w:rPr>
                <w:rFonts w:eastAsia="方正仿宋_GBK"/>
                <w:color w:val="auto"/>
                <w:szCs w:val="21"/>
              </w:rPr>
            </w:pPr>
            <w:r>
              <w:rPr>
                <w:rFonts w:eastAsia="方正仿宋_GBK"/>
                <w:color w:val="auto"/>
                <w:szCs w:val="21"/>
              </w:rPr>
              <w:t>约束性</w:t>
            </w:r>
          </w:p>
        </w:tc>
        <w:tc>
          <w:tcPr>
            <w:tcW w:w="2142" w:type="dxa"/>
            <w:vAlign w:val="center"/>
          </w:tcPr>
          <w:p>
            <w:pPr>
              <w:snapToGrid w:val="0"/>
              <w:rPr>
                <w:rFonts w:eastAsia="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18" w:type="dxa"/>
            <w:vMerge w:val="restart"/>
            <w:vAlign w:val="center"/>
          </w:tcPr>
          <w:p>
            <w:pPr>
              <w:snapToGrid w:val="0"/>
              <w:jc w:val="center"/>
              <w:rPr>
                <w:rFonts w:eastAsia="方正仿宋_GBK"/>
                <w:color w:val="auto"/>
                <w:szCs w:val="21"/>
              </w:rPr>
            </w:pPr>
            <w:r>
              <w:rPr>
                <w:rFonts w:eastAsia="方正仿宋_GBK"/>
                <w:color w:val="auto"/>
                <w:szCs w:val="21"/>
              </w:rPr>
              <w:t>监测预警</w:t>
            </w:r>
          </w:p>
        </w:tc>
        <w:tc>
          <w:tcPr>
            <w:tcW w:w="723" w:type="dxa"/>
            <w:vAlign w:val="center"/>
          </w:tcPr>
          <w:p>
            <w:pPr>
              <w:snapToGrid w:val="0"/>
              <w:jc w:val="center"/>
              <w:rPr>
                <w:rFonts w:eastAsia="方正仿宋_GBK"/>
                <w:color w:val="auto"/>
                <w:szCs w:val="21"/>
              </w:rPr>
            </w:pPr>
            <w:r>
              <w:rPr>
                <w:rFonts w:eastAsia="方正仿宋_GBK"/>
                <w:color w:val="auto"/>
                <w:szCs w:val="21"/>
              </w:rPr>
              <w:t>5</w:t>
            </w:r>
          </w:p>
        </w:tc>
        <w:tc>
          <w:tcPr>
            <w:tcW w:w="2506" w:type="dxa"/>
            <w:vAlign w:val="center"/>
          </w:tcPr>
          <w:p>
            <w:pPr>
              <w:snapToGrid w:val="0"/>
              <w:rPr>
                <w:rFonts w:eastAsia="方正仿宋_GBK"/>
                <w:color w:val="auto"/>
                <w:szCs w:val="21"/>
              </w:rPr>
            </w:pPr>
            <w:r>
              <w:rPr>
                <w:rFonts w:eastAsia="方正仿宋_GBK"/>
                <w:color w:val="auto"/>
                <w:szCs w:val="21"/>
              </w:rPr>
              <w:t>地质灾害群测群防覆盖率</w:t>
            </w:r>
          </w:p>
        </w:tc>
        <w:tc>
          <w:tcPr>
            <w:tcW w:w="674" w:type="dxa"/>
            <w:vAlign w:val="center"/>
          </w:tcPr>
          <w:p>
            <w:pPr>
              <w:snapToGrid w:val="0"/>
              <w:jc w:val="center"/>
              <w:rPr>
                <w:rFonts w:eastAsia="方正仿宋_GBK"/>
                <w:color w:val="auto"/>
                <w:szCs w:val="21"/>
              </w:rPr>
            </w:pPr>
            <w:r>
              <w:rPr>
                <w:rFonts w:eastAsia="方正仿宋_GBK"/>
                <w:color w:val="auto"/>
                <w:szCs w:val="21"/>
              </w:rPr>
              <w:t>%</w:t>
            </w:r>
          </w:p>
        </w:tc>
        <w:tc>
          <w:tcPr>
            <w:tcW w:w="868" w:type="dxa"/>
            <w:vAlign w:val="center"/>
          </w:tcPr>
          <w:p>
            <w:pPr>
              <w:snapToGrid w:val="0"/>
              <w:jc w:val="center"/>
              <w:rPr>
                <w:rFonts w:eastAsia="方正仿宋_GBK"/>
                <w:color w:val="auto"/>
                <w:szCs w:val="21"/>
              </w:rPr>
            </w:pPr>
            <w:r>
              <w:rPr>
                <w:rFonts w:eastAsia="方正仿宋_GBK"/>
                <w:color w:val="auto"/>
                <w:szCs w:val="21"/>
              </w:rPr>
              <w:t>100</w:t>
            </w:r>
          </w:p>
        </w:tc>
        <w:tc>
          <w:tcPr>
            <w:tcW w:w="1106" w:type="dxa"/>
            <w:vAlign w:val="center"/>
          </w:tcPr>
          <w:p>
            <w:pPr>
              <w:snapToGrid w:val="0"/>
              <w:jc w:val="center"/>
              <w:rPr>
                <w:rFonts w:eastAsia="方正仿宋_GBK"/>
                <w:color w:val="auto"/>
                <w:szCs w:val="21"/>
              </w:rPr>
            </w:pPr>
            <w:r>
              <w:rPr>
                <w:rFonts w:eastAsia="方正仿宋_GBK"/>
                <w:color w:val="auto"/>
                <w:szCs w:val="21"/>
              </w:rPr>
              <w:t>约束性</w:t>
            </w:r>
          </w:p>
        </w:tc>
        <w:tc>
          <w:tcPr>
            <w:tcW w:w="2142" w:type="dxa"/>
            <w:vAlign w:val="center"/>
          </w:tcPr>
          <w:p>
            <w:pPr>
              <w:snapToGrid w:val="0"/>
              <w:rPr>
                <w:rFonts w:eastAsia="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18" w:type="dxa"/>
            <w:vMerge w:val="continue"/>
            <w:vAlign w:val="center"/>
          </w:tcPr>
          <w:p>
            <w:pPr>
              <w:snapToGrid w:val="0"/>
              <w:jc w:val="center"/>
              <w:rPr>
                <w:rFonts w:eastAsia="方正仿宋_GBK"/>
                <w:color w:val="auto"/>
                <w:szCs w:val="21"/>
              </w:rPr>
            </w:pPr>
          </w:p>
        </w:tc>
        <w:tc>
          <w:tcPr>
            <w:tcW w:w="723" w:type="dxa"/>
            <w:vAlign w:val="center"/>
          </w:tcPr>
          <w:p>
            <w:pPr>
              <w:snapToGrid w:val="0"/>
              <w:jc w:val="center"/>
              <w:rPr>
                <w:rFonts w:eastAsia="方正仿宋_GBK"/>
                <w:color w:val="auto"/>
                <w:szCs w:val="21"/>
              </w:rPr>
            </w:pPr>
            <w:r>
              <w:rPr>
                <w:rFonts w:eastAsia="方正仿宋_GBK"/>
                <w:color w:val="auto"/>
                <w:szCs w:val="21"/>
              </w:rPr>
              <w:t>6</w:t>
            </w:r>
          </w:p>
        </w:tc>
        <w:tc>
          <w:tcPr>
            <w:tcW w:w="2506" w:type="dxa"/>
            <w:vAlign w:val="center"/>
          </w:tcPr>
          <w:p>
            <w:pPr>
              <w:snapToGrid w:val="0"/>
              <w:rPr>
                <w:rFonts w:eastAsia="方正仿宋_GBK"/>
                <w:color w:val="auto"/>
                <w:szCs w:val="21"/>
              </w:rPr>
            </w:pPr>
            <w:r>
              <w:rPr>
                <w:rFonts w:eastAsia="方正仿宋_GBK"/>
                <w:color w:val="auto"/>
                <w:szCs w:val="21"/>
              </w:rPr>
              <w:t>地质灾害专业监测</w:t>
            </w:r>
          </w:p>
        </w:tc>
        <w:tc>
          <w:tcPr>
            <w:tcW w:w="674" w:type="dxa"/>
            <w:vAlign w:val="center"/>
          </w:tcPr>
          <w:p>
            <w:pPr>
              <w:snapToGrid w:val="0"/>
              <w:jc w:val="center"/>
              <w:rPr>
                <w:rFonts w:eastAsia="方正仿宋_GBK"/>
                <w:color w:val="auto"/>
                <w:szCs w:val="21"/>
              </w:rPr>
            </w:pPr>
            <w:r>
              <w:rPr>
                <w:rFonts w:eastAsia="方正仿宋_GBK"/>
                <w:color w:val="auto"/>
                <w:szCs w:val="21"/>
              </w:rPr>
              <w:t>个</w:t>
            </w:r>
          </w:p>
        </w:tc>
        <w:tc>
          <w:tcPr>
            <w:tcW w:w="868" w:type="dxa"/>
            <w:vAlign w:val="center"/>
          </w:tcPr>
          <w:p>
            <w:pPr>
              <w:snapToGrid w:val="0"/>
              <w:jc w:val="center"/>
              <w:rPr>
                <w:rFonts w:eastAsia="方正仿宋_GBK"/>
                <w:color w:val="auto"/>
                <w:szCs w:val="21"/>
              </w:rPr>
            </w:pPr>
            <w:r>
              <w:rPr>
                <w:rFonts w:eastAsia="方正仿宋_GBK"/>
                <w:color w:val="auto"/>
                <w:szCs w:val="21"/>
              </w:rPr>
              <w:t>1</w:t>
            </w:r>
          </w:p>
        </w:tc>
        <w:tc>
          <w:tcPr>
            <w:tcW w:w="1106" w:type="dxa"/>
            <w:vAlign w:val="center"/>
          </w:tcPr>
          <w:p>
            <w:pPr>
              <w:snapToGrid w:val="0"/>
              <w:jc w:val="center"/>
              <w:rPr>
                <w:rFonts w:eastAsia="方正仿宋_GBK"/>
                <w:color w:val="auto"/>
                <w:szCs w:val="21"/>
              </w:rPr>
            </w:pPr>
            <w:r>
              <w:rPr>
                <w:rFonts w:eastAsia="方正仿宋_GBK"/>
                <w:color w:val="auto"/>
                <w:szCs w:val="21"/>
              </w:rPr>
              <w:t>约束性</w:t>
            </w:r>
          </w:p>
        </w:tc>
        <w:tc>
          <w:tcPr>
            <w:tcW w:w="2142" w:type="dxa"/>
            <w:vAlign w:val="center"/>
          </w:tcPr>
          <w:p>
            <w:pPr>
              <w:snapToGrid w:val="0"/>
              <w:rPr>
                <w:rFonts w:eastAsia="方正仿宋_GBK"/>
                <w:color w:val="auto"/>
                <w:szCs w:val="21"/>
              </w:rPr>
            </w:pPr>
            <w:r>
              <w:rPr>
                <w:rFonts w:eastAsia="方正仿宋_GBK"/>
                <w:color w:val="auto"/>
                <w:szCs w:val="21"/>
              </w:rPr>
              <w:t>开展专业监测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18" w:type="dxa"/>
            <w:vMerge w:val="restart"/>
            <w:vAlign w:val="center"/>
          </w:tcPr>
          <w:p>
            <w:pPr>
              <w:snapToGrid w:val="0"/>
              <w:jc w:val="center"/>
              <w:rPr>
                <w:rFonts w:eastAsia="方正仿宋_GBK"/>
                <w:color w:val="auto"/>
                <w:szCs w:val="21"/>
              </w:rPr>
            </w:pPr>
            <w:r>
              <w:rPr>
                <w:rFonts w:eastAsia="方正仿宋_GBK"/>
                <w:color w:val="auto"/>
                <w:szCs w:val="21"/>
              </w:rPr>
              <w:t>综合防治</w:t>
            </w:r>
          </w:p>
        </w:tc>
        <w:tc>
          <w:tcPr>
            <w:tcW w:w="723" w:type="dxa"/>
            <w:vAlign w:val="center"/>
          </w:tcPr>
          <w:p>
            <w:pPr>
              <w:snapToGrid w:val="0"/>
              <w:jc w:val="center"/>
              <w:rPr>
                <w:rFonts w:eastAsia="方正仿宋_GBK"/>
                <w:color w:val="auto"/>
                <w:szCs w:val="21"/>
              </w:rPr>
            </w:pPr>
            <w:r>
              <w:rPr>
                <w:rFonts w:eastAsia="方正仿宋_GBK"/>
                <w:color w:val="auto"/>
                <w:szCs w:val="21"/>
              </w:rPr>
              <w:t>7</w:t>
            </w:r>
          </w:p>
        </w:tc>
        <w:tc>
          <w:tcPr>
            <w:tcW w:w="2506" w:type="dxa"/>
            <w:vAlign w:val="center"/>
          </w:tcPr>
          <w:p>
            <w:pPr>
              <w:snapToGrid w:val="0"/>
              <w:rPr>
                <w:rFonts w:eastAsia="方正仿宋_GBK"/>
                <w:color w:val="auto"/>
                <w:szCs w:val="21"/>
              </w:rPr>
            </w:pPr>
            <w:r>
              <w:rPr>
                <w:rFonts w:eastAsia="方正仿宋_GBK"/>
                <w:color w:val="auto"/>
                <w:szCs w:val="21"/>
              </w:rPr>
              <w:t>地质灾害工程治理</w:t>
            </w:r>
          </w:p>
        </w:tc>
        <w:tc>
          <w:tcPr>
            <w:tcW w:w="674" w:type="dxa"/>
            <w:vAlign w:val="center"/>
          </w:tcPr>
          <w:p>
            <w:pPr>
              <w:snapToGrid w:val="0"/>
              <w:jc w:val="center"/>
              <w:rPr>
                <w:rFonts w:eastAsia="方正仿宋_GBK"/>
                <w:color w:val="auto"/>
                <w:szCs w:val="21"/>
              </w:rPr>
            </w:pPr>
            <w:r>
              <w:rPr>
                <w:rFonts w:eastAsia="方正仿宋_GBK"/>
                <w:color w:val="auto"/>
                <w:szCs w:val="21"/>
              </w:rPr>
              <w:t>个</w:t>
            </w:r>
          </w:p>
        </w:tc>
        <w:tc>
          <w:tcPr>
            <w:tcW w:w="868" w:type="dxa"/>
            <w:vAlign w:val="center"/>
          </w:tcPr>
          <w:p>
            <w:pPr>
              <w:snapToGrid w:val="0"/>
              <w:jc w:val="center"/>
              <w:rPr>
                <w:rFonts w:eastAsia="方正仿宋_GBK"/>
                <w:color w:val="auto"/>
                <w:szCs w:val="21"/>
              </w:rPr>
            </w:pPr>
            <w:r>
              <w:rPr>
                <w:rFonts w:eastAsia="方正仿宋_GBK"/>
                <w:color w:val="auto"/>
                <w:szCs w:val="21"/>
              </w:rPr>
              <w:t>8</w:t>
            </w:r>
          </w:p>
        </w:tc>
        <w:tc>
          <w:tcPr>
            <w:tcW w:w="1106" w:type="dxa"/>
            <w:vAlign w:val="center"/>
          </w:tcPr>
          <w:p>
            <w:pPr>
              <w:snapToGrid w:val="0"/>
              <w:jc w:val="center"/>
              <w:rPr>
                <w:rFonts w:eastAsia="方正仿宋_GBK"/>
                <w:color w:val="auto"/>
                <w:szCs w:val="21"/>
              </w:rPr>
            </w:pPr>
            <w:r>
              <w:rPr>
                <w:rFonts w:eastAsia="方正仿宋_GBK"/>
                <w:color w:val="auto"/>
                <w:szCs w:val="21"/>
              </w:rPr>
              <w:t>约束性</w:t>
            </w:r>
          </w:p>
        </w:tc>
        <w:tc>
          <w:tcPr>
            <w:tcW w:w="2142" w:type="dxa"/>
            <w:vAlign w:val="center"/>
          </w:tcPr>
          <w:p>
            <w:pPr>
              <w:snapToGrid w:val="0"/>
              <w:rPr>
                <w:rFonts w:eastAsia="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18" w:type="dxa"/>
            <w:vMerge w:val="continue"/>
            <w:vAlign w:val="center"/>
          </w:tcPr>
          <w:p>
            <w:pPr>
              <w:snapToGrid w:val="0"/>
              <w:jc w:val="center"/>
              <w:rPr>
                <w:rFonts w:eastAsia="方正仿宋_GBK"/>
                <w:color w:val="auto"/>
                <w:szCs w:val="21"/>
              </w:rPr>
            </w:pPr>
          </w:p>
        </w:tc>
        <w:tc>
          <w:tcPr>
            <w:tcW w:w="723" w:type="dxa"/>
            <w:vAlign w:val="center"/>
          </w:tcPr>
          <w:p>
            <w:pPr>
              <w:snapToGrid w:val="0"/>
              <w:jc w:val="center"/>
              <w:rPr>
                <w:rFonts w:eastAsia="方正仿宋_GBK"/>
                <w:color w:val="auto"/>
                <w:szCs w:val="21"/>
              </w:rPr>
            </w:pPr>
            <w:r>
              <w:rPr>
                <w:rFonts w:eastAsia="方正仿宋_GBK"/>
                <w:color w:val="auto"/>
                <w:szCs w:val="21"/>
              </w:rPr>
              <w:t>8</w:t>
            </w:r>
          </w:p>
        </w:tc>
        <w:tc>
          <w:tcPr>
            <w:tcW w:w="2506" w:type="dxa"/>
            <w:vAlign w:val="center"/>
          </w:tcPr>
          <w:p>
            <w:pPr>
              <w:snapToGrid w:val="0"/>
              <w:rPr>
                <w:rFonts w:eastAsia="方正仿宋_GBK"/>
                <w:color w:val="auto"/>
                <w:szCs w:val="21"/>
              </w:rPr>
            </w:pPr>
            <w:r>
              <w:rPr>
                <w:rFonts w:eastAsia="方正仿宋_GBK"/>
                <w:color w:val="auto"/>
                <w:szCs w:val="21"/>
              </w:rPr>
              <w:t>地质灾害避险移民搬迁</w:t>
            </w:r>
          </w:p>
        </w:tc>
        <w:tc>
          <w:tcPr>
            <w:tcW w:w="674" w:type="dxa"/>
            <w:vAlign w:val="center"/>
          </w:tcPr>
          <w:p>
            <w:pPr>
              <w:snapToGrid w:val="0"/>
              <w:jc w:val="center"/>
              <w:rPr>
                <w:rFonts w:eastAsia="方正仿宋_GBK"/>
                <w:color w:val="auto"/>
                <w:szCs w:val="21"/>
              </w:rPr>
            </w:pPr>
            <w:r>
              <w:rPr>
                <w:rFonts w:eastAsia="方正仿宋_GBK"/>
                <w:color w:val="auto"/>
                <w:szCs w:val="21"/>
              </w:rPr>
              <w:t>个</w:t>
            </w:r>
          </w:p>
        </w:tc>
        <w:tc>
          <w:tcPr>
            <w:tcW w:w="868" w:type="dxa"/>
            <w:vAlign w:val="center"/>
          </w:tcPr>
          <w:p>
            <w:pPr>
              <w:snapToGrid w:val="0"/>
              <w:jc w:val="center"/>
              <w:rPr>
                <w:rFonts w:eastAsia="方正仿宋_GBK"/>
                <w:color w:val="auto"/>
                <w:szCs w:val="21"/>
              </w:rPr>
            </w:pPr>
            <w:r>
              <w:rPr>
                <w:rFonts w:eastAsia="方正仿宋_GBK"/>
                <w:color w:val="auto"/>
                <w:szCs w:val="21"/>
              </w:rPr>
              <w:t>16</w:t>
            </w:r>
          </w:p>
        </w:tc>
        <w:tc>
          <w:tcPr>
            <w:tcW w:w="1106" w:type="dxa"/>
            <w:vAlign w:val="center"/>
          </w:tcPr>
          <w:p>
            <w:pPr>
              <w:snapToGrid w:val="0"/>
              <w:jc w:val="center"/>
              <w:rPr>
                <w:rFonts w:eastAsia="方正仿宋_GBK"/>
                <w:color w:val="auto"/>
                <w:szCs w:val="21"/>
              </w:rPr>
            </w:pPr>
            <w:r>
              <w:rPr>
                <w:rFonts w:eastAsia="方正仿宋_GBK"/>
                <w:color w:val="auto"/>
                <w:szCs w:val="21"/>
              </w:rPr>
              <w:t>约束性</w:t>
            </w:r>
          </w:p>
        </w:tc>
        <w:tc>
          <w:tcPr>
            <w:tcW w:w="2142" w:type="dxa"/>
            <w:vAlign w:val="center"/>
          </w:tcPr>
          <w:p>
            <w:pPr>
              <w:snapToGrid w:val="0"/>
              <w:rPr>
                <w:rFonts w:eastAsia="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18" w:type="dxa"/>
            <w:vMerge w:val="restart"/>
            <w:vAlign w:val="center"/>
          </w:tcPr>
          <w:p>
            <w:pPr>
              <w:snapToGrid w:val="0"/>
              <w:jc w:val="center"/>
              <w:rPr>
                <w:rFonts w:eastAsia="方正仿宋_GBK"/>
                <w:color w:val="auto"/>
                <w:szCs w:val="21"/>
              </w:rPr>
            </w:pPr>
            <w:r>
              <w:rPr>
                <w:rFonts w:eastAsia="方正仿宋_GBK"/>
                <w:color w:val="auto"/>
                <w:szCs w:val="21"/>
              </w:rPr>
              <w:t>能力建设</w:t>
            </w:r>
          </w:p>
        </w:tc>
        <w:tc>
          <w:tcPr>
            <w:tcW w:w="723" w:type="dxa"/>
            <w:vAlign w:val="center"/>
          </w:tcPr>
          <w:p>
            <w:pPr>
              <w:snapToGrid w:val="0"/>
              <w:jc w:val="center"/>
              <w:rPr>
                <w:rFonts w:eastAsia="方正仿宋_GBK"/>
                <w:color w:val="auto"/>
                <w:szCs w:val="21"/>
              </w:rPr>
            </w:pPr>
            <w:r>
              <w:rPr>
                <w:rFonts w:eastAsia="方正仿宋_GBK"/>
                <w:color w:val="auto"/>
                <w:szCs w:val="21"/>
              </w:rPr>
              <w:t>9</w:t>
            </w:r>
          </w:p>
        </w:tc>
        <w:tc>
          <w:tcPr>
            <w:tcW w:w="2506" w:type="dxa"/>
            <w:vAlign w:val="center"/>
          </w:tcPr>
          <w:p>
            <w:pPr>
              <w:snapToGrid w:val="0"/>
              <w:rPr>
                <w:rFonts w:eastAsia="方正仿宋_GBK"/>
                <w:color w:val="auto"/>
                <w:szCs w:val="21"/>
              </w:rPr>
            </w:pPr>
            <w:r>
              <w:rPr>
                <w:rFonts w:eastAsia="方正仿宋_GBK"/>
                <w:color w:val="auto"/>
                <w:szCs w:val="21"/>
              </w:rPr>
              <w:t>地质灾害汛期驻守</w:t>
            </w:r>
          </w:p>
        </w:tc>
        <w:tc>
          <w:tcPr>
            <w:tcW w:w="674" w:type="dxa"/>
            <w:vAlign w:val="center"/>
          </w:tcPr>
          <w:p>
            <w:pPr>
              <w:snapToGrid w:val="0"/>
              <w:jc w:val="center"/>
              <w:rPr>
                <w:rFonts w:eastAsia="方正仿宋_GBK"/>
                <w:color w:val="auto"/>
                <w:szCs w:val="21"/>
              </w:rPr>
            </w:pPr>
            <w:r>
              <w:rPr>
                <w:rFonts w:eastAsia="方正仿宋_GBK"/>
                <w:color w:val="auto"/>
                <w:szCs w:val="21"/>
              </w:rPr>
              <w:t>人</w:t>
            </w:r>
          </w:p>
        </w:tc>
        <w:tc>
          <w:tcPr>
            <w:tcW w:w="868" w:type="dxa"/>
            <w:vAlign w:val="center"/>
          </w:tcPr>
          <w:p>
            <w:pPr>
              <w:snapToGrid w:val="0"/>
              <w:jc w:val="center"/>
              <w:rPr>
                <w:rFonts w:eastAsia="方正仿宋_GBK"/>
                <w:color w:val="auto"/>
                <w:szCs w:val="21"/>
              </w:rPr>
            </w:pPr>
            <w:r>
              <w:rPr>
                <w:rFonts w:eastAsia="方正仿宋_GBK"/>
                <w:color w:val="auto"/>
                <w:szCs w:val="21"/>
              </w:rPr>
              <w:t>1</w:t>
            </w:r>
          </w:p>
        </w:tc>
        <w:tc>
          <w:tcPr>
            <w:tcW w:w="1106" w:type="dxa"/>
            <w:vAlign w:val="center"/>
          </w:tcPr>
          <w:p>
            <w:pPr>
              <w:snapToGrid w:val="0"/>
              <w:jc w:val="center"/>
              <w:rPr>
                <w:rFonts w:eastAsia="方正仿宋_GBK"/>
                <w:color w:val="auto"/>
                <w:szCs w:val="21"/>
              </w:rPr>
            </w:pPr>
            <w:r>
              <w:rPr>
                <w:rFonts w:eastAsia="方正仿宋_GBK"/>
                <w:color w:val="auto"/>
                <w:szCs w:val="21"/>
              </w:rPr>
              <w:t>约束性</w:t>
            </w:r>
          </w:p>
        </w:tc>
        <w:tc>
          <w:tcPr>
            <w:tcW w:w="2142" w:type="dxa"/>
            <w:vAlign w:val="center"/>
          </w:tcPr>
          <w:p>
            <w:pPr>
              <w:snapToGrid w:val="0"/>
              <w:rPr>
                <w:rFonts w:eastAsia="方正仿宋_GBK"/>
                <w:color w:val="auto"/>
                <w:szCs w:val="21"/>
              </w:rPr>
            </w:pPr>
            <w:r>
              <w:rPr>
                <w:rFonts w:eastAsia="方正仿宋_GBK"/>
                <w:color w:val="auto"/>
                <w:szCs w:val="21"/>
              </w:rPr>
              <w:t>镇街为单位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18" w:type="dxa"/>
            <w:vMerge w:val="continue"/>
            <w:vAlign w:val="center"/>
          </w:tcPr>
          <w:p>
            <w:pPr>
              <w:snapToGrid w:val="0"/>
              <w:jc w:val="center"/>
              <w:rPr>
                <w:rFonts w:eastAsia="方正仿宋_GBK"/>
                <w:color w:val="auto"/>
                <w:szCs w:val="21"/>
              </w:rPr>
            </w:pPr>
          </w:p>
        </w:tc>
        <w:tc>
          <w:tcPr>
            <w:tcW w:w="723" w:type="dxa"/>
            <w:vAlign w:val="center"/>
          </w:tcPr>
          <w:p>
            <w:pPr>
              <w:snapToGrid w:val="0"/>
              <w:jc w:val="center"/>
              <w:rPr>
                <w:rFonts w:eastAsia="方正仿宋_GBK"/>
                <w:color w:val="auto"/>
                <w:szCs w:val="21"/>
              </w:rPr>
            </w:pPr>
            <w:r>
              <w:rPr>
                <w:rFonts w:eastAsia="方正仿宋_GBK"/>
                <w:color w:val="auto"/>
                <w:szCs w:val="21"/>
              </w:rPr>
              <w:t>10</w:t>
            </w:r>
          </w:p>
        </w:tc>
        <w:tc>
          <w:tcPr>
            <w:tcW w:w="2506" w:type="dxa"/>
            <w:vAlign w:val="center"/>
          </w:tcPr>
          <w:p>
            <w:pPr>
              <w:snapToGrid w:val="0"/>
              <w:rPr>
                <w:rFonts w:eastAsia="方正仿宋_GBK"/>
                <w:color w:val="auto"/>
                <w:szCs w:val="21"/>
              </w:rPr>
            </w:pPr>
            <w:r>
              <w:rPr>
                <w:rFonts w:eastAsia="方正仿宋_GBK"/>
                <w:color w:val="auto"/>
                <w:szCs w:val="21"/>
              </w:rPr>
              <w:t>地质灾害避险演练覆盖率</w:t>
            </w:r>
          </w:p>
        </w:tc>
        <w:tc>
          <w:tcPr>
            <w:tcW w:w="674" w:type="dxa"/>
            <w:vAlign w:val="center"/>
          </w:tcPr>
          <w:p>
            <w:pPr>
              <w:snapToGrid w:val="0"/>
              <w:jc w:val="center"/>
              <w:rPr>
                <w:rFonts w:eastAsia="方正仿宋_GBK"/>
                <w:color w:val="auto"/>
                <w:szCs w:val="21"/>
              </w:rPr>
            </w:pPr>
            <w:r>
              <w:rPr>
                <w:rFonts w:eastAsia="方正仿宋_GBK"/>
                <w:color w:val="auto"/>
                <w:szCs w:val="21"/>
              </w:rPr>
              <w:t>%</w:t>
            </w:r>
          </w:p>
        </w:tc>
        <w:tc>
          <w:tcPr>
            <w:tcW w:w="868" w:type="dxa"/>
            <w:vAlign w:val="center"/>
          </w:tcPr>
          <w:p>
            <w:pPr>
              <w:snapToGrid w:val="0"/>
              <w:jc w:val="center"/>
              <w:rPr>
                <w:rFonts w:eastAsia="方正仿宋_GBK"/>
                <w:color w:val="auto"/>
                <w:szCs w:val="21"/>
              </w:rPr>
            </w:pPr>
            <w:r>
              <w:rPr>
                <w:rFonts w:eastAsia="方正仿宋_GBK"/>
                <w:color w:val="auto"/>
                <w:szCs w:val="21"/>
              </w:rPr>
              <w:t>100</w:t>
            </w:r>
          </w:p>
        </w:tc>
        <w:tc>
          <w:tcPr>
            <w:tcW w:w="1106" w:type="dxa"/>
            <w:vAlign w:val="center"/>
          </w:tcPr>
          <w:p>
            <w:pPr>
              <w:snapToGrid w:val="0"/>
              <w:jc w:val="center"/>
              <w:rPr>
                <w:rFonts w:eastAsia="方正仿宋_GBK"/>
                <w:color w:val="auto"/>
                <w:szCs w:val="21"/>
              </w:rPr>
            </w:pPr>
            <w:r>
              <w:rPr>
                <w:rFonts w:eastAsia="方正仿宋_GBK"/>
                <w:color w:val="auto"/>
                <w:szCs w:val="21"/>
              </w:rPr>
              <w:t>约束性</w:t>
            </w:r>
          </w:p>
        </w:tc>
        <w:tc>
          <w:tcPr>
            <w:tcW w:w="2142" w:type="dxa"/>
            <w:vAlign w:val="center"/>
          </w:tcPr>
          <w:p>
            <w:pPr>
              <w:snapToGrid w:val="0"/>
              <w:rPr>
                <w:rFonts w:eastAsia="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18" w:type="dxa"/>
            <w:vMerge w:val="continue"/>
            <w:vAlign w:val="center"/>
          </w:tcPr>
          <w:p>
            <w:pPr>
              <w:snapToGrid w:val="0"/>
              <w:jc w:val="center"/>
              <w:rPr>
                <w:rFonts w:eastAsia="方正仿宋_GBK"/>
                <w:color w:val="auto"/>
                <w:szCs w:val="21"/>
              </w:rPr>
            </w:pPr>
          </w:p>
        </w:tc>
        <w:tc>
          <w:tcPr>
            <w:tcW w:w="723" w:type="dxa"/>
            <w:vAlign w:val="center"/>
          </w:tcPr>
          <w:p>
            <w:pPr>
              <w:snapToGrid w:val="0"/>
              <w:jc w:val="center"/>
              <w:rPr>
                <w:rFonts w:eastAsia="方正仿宋_GBK"/>
                <w:color w:val="auto"/>
                <w:szCs w:val="21"/>
              </w:rPr>
            </w:pPr>
            <w:r>
              <w:rPr>
                <w:rFonts w:eastAsia="方正仿宋_GBK"/>
                <w:color w:val="auto"/>
                <w:szCs w:val="21"/>
              </w:rPr>
              <w:t>11</w:t>
            </w:r>
          </w:p>
        </w:tc>
        <w:tc>
          <w:tcPr>
            <w:tcW w:w="2506" w:type="dxa"/>
            <w:vAlign w:val="center"/>
          </w:tcPr>
          <w:p>
            <w:pPr>
              <w:snapToGrid w:val="0"/>
              <w:rPr>
                <w:rFonts w:eastAsia="方正仿宋_GBK"/>
                <w:color w:val="auto"/>
                <w:szCs w:val="21"/>
              </w:rPr>
            </w:pPr>
            <w:r>
              <w:rPr>
                <w:rFonts w:eastAsia="方正仿宋_GBK"/>
                <w:color w:val="auto"/>
                <w:szCs w:val="21"/>
              </w:rPr>
              <w:t>地质灾害防治培训</w:t>
            </w:r>
          </w:p>
        </w:tc>
        <w:tc>
          <w:tcPr>
            <w:tcW w:w="674" w:type="dxa"/>
            <w:vAlign w:val="center"/>
          </w:tcPr>
          <w:p>
            <w:pPr>
              <w:snapToGrid w:val="0"/>
              <w:jc w:val="center"/>
              <w:rPr>
                <w:rFonts w:eastAsia="方正仿宋_GBK"/>
                <w:color w:val="auto"/>
                <w:szCs w:val="21"/>
              </w:rPr>
            </w:pPr>
            <w:r>
              <w:rPr>
                <w:rFonts w:eastAsia="方正仿宋_GBK"/>
                <w:color w:val="auto"/>
                <w:szCs w:val="21"/>
              </w:rPr>
              <w:t>人次</w:t>
            </w:r>
          </w:p>
        </w:tc>
        <w:tc>
          <w:tcPr>
            <w:tcW w:w="868" w:type="dxa"/>
            <w:vAlign w:val="center"/>
          </w:tcPr>
          <w:p>
            <w:pPr>
              <w:snapToGrid w:val="0"/>
              <w:jc w:val="center"/>
              <w:rPr>
                <w:rFonts w:eastAsia="方正仿宋_GBK"/>
                <w:color w:val="auto"/>
                <w:szCs w:val="21"/>
              </w:rPr>
            </w:pPr>
            <w:r>
              <w:rPr>
                <w:rFonts w:eastAsia="方正仿宋_GBK"/>
                <w:color w:val="auto"/>
                <w:szCs w:val="21"/>
              </w:rPr>
              <w:t>100</w:t>
            </w:r>
          </w:p>
        </w:tc>
        <w:tc>
          <w:tcPr>
            <w:tcW w:w="1106" w:type="dxa"/>
            <w:vAlign w:val="center"/>
          </w:tcPr>
          <w:p>
            <w:pPr>
              <w:snapToGrid w:val="0"/>
              <w:jc w:val="center"/>
              <w:rPr>
                <w:rFonts w:eastAsia="方正仿宋_GBK"/>
                <w:color w:val="auto"/>
                <w:szCs w:val="21"/>
              </w:rPr>
            </w:pPr>
            <w:r>
              <w:rPr>
                <w:rFonts w:eastAsia="方正仿宋_GBK"/>
                <w:color w:val="auto"/>
                <w:szCs w:val="21"/>
              </w:rPr>
              <w:t>预期性</w:t>
            </w:r>
          </w:p>
        </w:tc>
        <w:tc>
          <w:tcPr>
            <w:tcW w:w="2142" w:type="dxa"/>
            <w:vAlign w:val="center"/>
          </w:tcPr>
          <w:p>
            <w:pPr>
              <w:snapToGrid w:val="0"/>
              <w:rPr>
                <w:rFonts w:eastAsia="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18" w:type="dxa"/>
            <w:vMerge w:val="restart"/>
            <w:vAlign w:val="center"/>
          </w:tcPr>
          <w:p>
            <w:pPr>
              <w:snapToGrid w:val="0"/>
              <w:jc w:val="center"/>
              <w:rPr>
                <w:rFonts w:eastAsia="方正仿宋_GBK"/>
                <w:color w:val="auto"/>
                <w:szCs w:val="21"/>
              </w:rPr>
            </w:pPr>
            <w:r>
              <w:rPr>
                <w:rFonts w:eastAsia="方正仿宋_GBK"/>
                <w:color w:val="auto"/>
                <w:szCs w:val="21"/>
              </w:rPr>
              <w:t>经济社会</w:t>
            </w:r>
          </w:p>
        </w:tc>
        <w:tc>
          <w:tcPr>
            <w:tcW w:w="723" w:type="dxa"/>
            <w:vAlign w:val="center"/>
          </w:tcPr>
          <w:p>
            <w:pPr>
              <w:snapToGrid w:val="0"/>
              <w:jc w:val="center"/>
              <w:rPr>
                <w:rFonts w:eastAsia="方正仿宋_GBK"/>
                <w:color w:val="auto"/>
                <w:szCs w:val="21"/>
              </w:rPr>
            </w:pPr>
            <w:r>
              <w:rPr>
                <w:rFonts w:eastAsia="方正仿宋_GBK"/>
                <w:color w:val="auto"/>
                <w:szCs w:val="21"/>
              </w:rPr>
              <w:t>12</w:t>
            </w:r>
          </w:p>
        </w:tc>
        <w:tc>
          <w:tcPr>
            <w:tcW w:w="2506" w:type="dxa"/>
            <w:vAlign w:val="center"/>
          </w:tcPr>
          <w:p>
            <w:pPr>
              <w:snapToGrid w:val="0"/>
              <w:rPr>
                <w:rFonts w:eastAsia="方正仿宋_GBK"/>
                <w:color w:val="auto"/>
                <w:szCs w:val="21"/>
              </w:rPr>
            </w:pPr>
            <w:r>
              <w:rPr>
                <w:rFonts w:eastAsia="方正仿宋_GBK"/>
                <w:color w:val="auto"/>
                <w:szCs w:val="21"/>
              </w:rPr>
              <w:t>减少受威胁人数</w:t>
            </w:r>
          </w:p>
        </w:tc>
        <w:tc>
          <w:tcPr>
            <w:tcW w:w="674" w:type="dxa"/>
            <w:vAlign w:val="center"/>
          </w:tcPr>
          <w:p>
            <w:pPr>
              <w:snapToGrid w:val="0"/>
              <w:jc w:val="center"/>
              <w:rPr>
                <w:rFonts w:eastAsia="方正仿宋_GBK"/>
                <w:color w:val="auto"/>
                <w:szCs w:val="21"/>
              </w:rPr>
            </w:pPr>
            <w:r>
              <w:rPr>
                <w:rFonts w:eastAsia="方正仿宋_GBK"/>
                <w:color w:val="auto"/>
                <w:szCs w:val="21"/>
              </w:rPr>
              <w:t>人</w:t>
            </w:r>
          </w:p>
        </w:tc>
        <w:tc>
          <w:tcPr>
            <w:tcW w:w="868" w:type="dxa"/>
            <w:vAlign w:val="center"/>
          </w:tcPr>
          <w:p>
            <w:pPr>
              <w:snapToGrid w:val="0"/>
              <w:jc w:val="center"/>
              <w:rPr>
                <w:rFonts w:eastAsia="方正仿宋_GBK"/>
                <w:color w:val="auto"/>
                <w:szCs w:val="21"/>
              </w:rPr>
            </w:pPr>
            <w:r>
              <w:rPr>
                <w:rFonts w:eastAsia="方正仿宋_GBK"/>
                <w:color w:val="auto"/>
                <w:szCs w:val="21"/>
              </w:rPr>
              <w:t>300</w:t>
            </w:r>
          </w:p>
        </w:tc>
        <w:tc>
          <w:tcPr>
            <w:tcW w:w="1106" w:type="dxa"/>
            <w:vAlign w:val="center"/>
          </w:tcPr>
          <w:p>
            <w:pPr>
              <w:snapToGrid w:val="0"/>
              <w:jc w:val="center"/>
              <w:rPr>
                <w:rFonts w:eastAsia="方正仿宋_GBK"/>
                <w:color w:val="auto"/>
                <w:szCs w:val="21"/>
              </w:rPr>
            </w:pPr>
            <w:r>
              <w:rPr>
                <w:rFonts w:eastAsia="方正仿宋_GBK"/>
                <w:color w:val="auto"/>
                <w:szCs w:val="21"/>
              </w:rPr>
              <w:t>预期性</w:t>
            </w:r>
          </w:p>
        </w:tc>
        <w:tc>
          <w:tcPr>
            <w:tcW w:w="2142" w:type="dxa"/>
            <w:vAlign w:val="center"/>
          </w:tcPr>
          <w:p>
            <w:pPr>
              <w:snapToGrid w:val="0"/>
              <w:rPr>
                <w:rFonts w:eastAsia="方正仿宋_GBK"/>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18" w:type="dxa"/>
            <w:vMerge w:val="continue"/>
            <w:vAlign w:val="center"/>
          </w:tcPr>
          <w:p>
            <w:pPr>
              <w:snapToGrid w:val="0"/>
              <w:rPr>
                <w:rFonts w:eastAsia="方正仿宋_GBK"/>
                <w:color w:val="auto"/>
                <w:szCs w:val="21"/>
              </w:rPr>
            </w:pPr>
          </w:p>
        </w:tc>
        <w:tc>
          <w:tcPr>
            <w:tcW w:w="723" w:type="dxa"/>
            <w:vAlign w:val="center"/>
          </w:tcPr>
          <w:p>
            <w:pPr>
              <w:snapToGrid w:val="0"/>
              <w:jc w:val="center"/>
              <w:rPr>
                <w:rFonts w:eastAsia="方正仿宋_GBK"/>
                <w:color w:val="auto"/>
                <w:szCs w:val="21"/>
              </w:rPr>
            </w:pPr>
            <w:r>
              <w:rPr>
                <w:rFonts w:eastAsia="方正仿宋_GBK"/>
                <w:color w:val="auto"/>
                <w:szCs w:val="21"/>
              </w:rPr>
              <w:t>13</w:t>
            </w:r>
          </w:p>
        </w:tc>
        <w:tc>
          <w:tcPr>
            <w:tcW w:w="2506" w:type="dxa"/>
            <w:vAlign w:val="center"/>
          </w:tcPr>
          <w:p>
            <w:pPr>
              <w:snapToGrid w:val="0"/>
              <w:rPr>
                <w:rFonts w:eastAsia="方正仿宋_GBK"/>
                <w:color w:val="auto"/>
                <w:szCs w:val="21"/>
              </w:rPr>
            </w:pPr>
            <w:r>
              <w:rPr>
                <w:rFonts w:eastAsia="方正仿宋_GBK"/>
                <w:color w:val="auto"/>
                <w:szCs w:val="21"/>
              </w:rPr>
              <w:t>地质灾害防治保护财产</w:t>
            </w:r>
          </w:p>
        </w:tc>
        <w:tc>
          <w:tcPr>
            <w:tcW w:w="674" w:type="dxa"/>
            <w:vAlign w:val="center"/>
          </w:tcPr>
          <w:p>
            <w:pPr>
              <w:snapToGrid w:val="0"/>
              <w:jc w:val="center"/>
              <w:rPr>
                <w:rFonts w:eastAsia="方正仿宋_GBK"/>
                <w:color w:val="auto"/>
                <w:szCs w:val="21"/>
              </w:rPr>
            </w:pPr>
            <w:r>
              <w:rPr>
                <w:rFonts w:eastAsia="方正仿宋_GBK"/>
                <w:color w:val="auto"/>
                <w:szCs w:val="21"/>
              </w:rPr>
              <w:t>万元</w:t>
            </w:r>
          </w:p>
        </w:tc>
        <w:tc>
          <w:tcPr>
            <w:tcW w:w="868" w:type="dxa"/>
            <w:vAlign w:val="center"/>
          </w:tcPr>
          <w:p>
            <w:pPr>
              <w:snapToGrid w:val="0"/>
              <w:jc w:val="center"/>
              <w:rPr>
                <w:rFonts w:eastAsia="方正仿宋_GBK"/>
                <w:color w:val="auto"/>
                <w:szCs w:val="21"/>
              </w:rPr>
            </w:pPr>
            <w:r>
              <w:rPr>
                <w:rFonts w:eastAsia="方正仿宋_GBK"/>
                <w:color w:val="auto"/>
                <w:szCs w:val="21"/>
              </w:rPr>
              <w:t>1200</w:t>
            </w:r>
          </w:p>
        </w:tc>
        <w:tc>
          <w:tcPr>
            <w:tcW w:w="1106" w:type="dxa"/>
            <w:vAlign w:val="center"/>
          </w:tcPr>
          <w:p>
            <w:pPr>
              <w:snapToGrid w:val="0"/>
              <w:jc w:val="center"/>
              <w:rPr>
                <w:rFonts w:eastAsia="方正仿宋_GBK"/>
                <w:color w:val="auto"/>
                <w:szCs w:val="21"/>
              </w:rPr>
            </w:pPr>
            <w:r>
              <w:rPr>
                <w:rFonts w:eastAsia="方正仿宋_GBK"/>
                <w:color w:val="auto"/>
                <w:szCs w:val="21"/>
              </w:rPr>
              <w:t>预期性</w:t>
            </w:r>
          </w:p>
        </w:tc>
        <w:tc>
          <w:tcPr>
            <w:tcW w:w="2142" w:type="dxa"/>
            <w:vAlign w:val="center"/>
          </w:tcPr>
          <w:p>
            <w:pPr>
              <w:snapToGrid w:val="0"/>
              <w:rPr>
                <w:rFonts w:eastAsia="方正仿宋_GBK"/>
                <w:color w:val="auto"/>
                <w:szCs w:val="21"/>
              </w:rPr>
            </w:pPr>
          </w:p>
        </w:tc>
      </w:tr>
    </w:tbl>
    <w:p>
      <w:pPr>
        <w:pStyle w:val="2"/>
        <w:snapToGrid w:val="0"/>
        <w:spacing w:before="0" w:after="0" w:line="288" w:lineRule="auto"/>
        <w:ind w:firstLine="640" w:firstLineChars="200"/>
        <w:jc w:val="left"/>
        <w:rPr>
          <w:rFonts w:ascii="方正黑体_GBK" w:hAnsi="方正黑体_GBK" w:eastAsia="方正黑体_GBK" w:cs="方正黑体_GBK"/>
          <w:b w:val="0"/>
          <w:bCs w:val="0"/>
          <w:color w:val="auto"/>
          <w:sz w:val="32"/>
          <w:szCs w:val="32"/>
        </w:rPr>
      </w:pPr>
      <w:bookmarkStart w:id="75" w:name="_Toc905840073_WPSOffice_Level1"/>
      <w:bookmarkStart w:id="76" w:name="_Toc1722476369_WPSOffice_Level1"/>
      <w:bookmarkStart w:id="77" w:name="_Toc1022508202_WPSOffice_Level1"/>
      <w:bookmarkStart w:id="78" w:name="_Toc81602516"/>
      <w:r>
        <w:rPr>
          <w:rFonts w:hint="eastAsia" w:ascii="方正黑体_GBK" w:hAnsi="方正黑体_GBK" w:eastAsia="方正黑体_GBK" w:cs="方正黑体_GBK"/>
          <w:b w:val="0"/>
          <w:bCs w:val="0"/>
          <w:color w:val="auto"/>
          <w:sz w:val="32"/>
          <w:szCs w:val="32"/>
        </w:rPr>
        <w:t>三、地质灾害风险与防治区划</w:t>
      </w:r>
      <w:bookmarkEnd w:id="75"/>
      <w:bookmarkEnd w:id="76"/>
      <w:bookmarkEnd w:id="77"/>
      <w:bookmarkEnd w:id="78"/>
    </w:p>
    <w:p>
      <w:pPr>
        <w:pStyle w:val="3"/>
        <w:keepNext w:val="0"/>
        <w:keepLines w:val="0"/>
        <w:snapToGrid w:val="0"/>
        <w:spacing w:before="0" w:after="0" w:line="288" w:lineRule="auto"/>
        <w:ind w:firstLine="640" w:firstLineChars="200"/>
        <w:rPr>
          <w:rFonts w:ascii="方正楷体_GBK" w:hAnsi="方正楷体_GBK" w:eastAsia="方正楷体_GBK" w:cs="方正楷体_GBK"/>
          <w:b w:val="0"/>
          <w:bCs w:val="0"/>
          <w:color w:val="auto"/>
        </w:rPr>
      </w:pPr>
      <w:bookmarkStart w:id="79" w:name="_Toc81602517"/>
      <w:bookmarkStart w:id="80" w:name="_Toc2088100788_WPSOffice_Level2"/>
      <w:bookmarkStart w:id="81" w:name="_Toc1778681542_WPSOffice_Level2"/>
      <w:bookmarkStart w:id="82" w:name="_Toc817822019_WPSOffice_Level2"/>
      <w:r>
        <w:rPr>
          <w:rFonts w:hint="eastAsia" w:ascii="方正楷体_GBK" w:hAnsi="方正楷体_GBK" w:eastAsia="方正楷体_GBK" w:cs="方正楷体_GBK"/>
          <w:b w:val="0"/>
          <w:bCs w:val="0"/>
          <w:color w:val="auto"/>
        </w:rPr>
        <w:t>（一）地质灾害易发程度分区</w:t>
      </w:r>
      <w:bookmarkEnd w:id="79"/>
      <w:bookmarkEnd w:id="80"/>
      <w:bookmarkEnd w:id="81"/>
      <w:bookmarkEnd w:id="82"/>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根据地形地貌、岩土类型、地质构造、水文地质等自然条件及人类工程活动等因素，将全区划分为地质灾害高易发、中易发、低易发三级。全区分为4个地质灾害高易发区、9个中易发区和1个低易发区。其中高易发区面积约25.69平方公里，主要包括茶山竹海街道、卫星湖街道、永荣镇等地区；中易发区面积约272.20平方公里，主要包括三教镇、茶山竹海街道、金龙镇、红炉镇、宝峰镇、卫星湖街道、陈食街道、临江镇、松溉镇等地区；低易发区为以上区域以外区域，面积约1278.11平方公里，主要包括板桥镇、三教镇、金龙镇、大安街道、双石镇、永荣镇、青峰镇、宝峰镇、来苏镇、胜利路街道、陈食街道、临江镇、吉安镇、卫星湖街道、五间镇、仙龙镇、何埂镇、松溉镇等地区。</w:t>
      </w:r>
    </w:p>
    <w:p>
      <w:pPr>
        <w:pStyle w:val="3"/>
        <w:keepNext w:val="0"/>
        <w:keepLines w:val="0"/>
        <w:snapToGrid w:val="0"/>
        <w:spacing w:before="0" w:after="0" w:line="288" w:lineRule="auto"/>
        <w:ind w:firstLine="640" w:firstLineChars="200"/>
        <w:rPr>
          <w:rFonts w:ascii="方正楷体_GBK" w:hAnsi="方正楷体_GBK" w:eastAsia="方正楷体_GBK" w:cs="方正楷体_GBK"/>
          <w:b w:val="0"/>
          <w:bCs w:val="0"/>
          <w:color w:val="auto"/>
        </w:rPr>
      </w:pPr>
      <w:bookmarkStart w:id="83" w:name="_Toc982954957_WPSOffice_Level2"/>
      <w:bookmarkStart w:id="84" w:name="_Toc742208993_WPSOffice_Level2"/>
      <w:bookmarkStart w:id="85" w:name="_Toc1075251600_WPSOffice_Level2"/>
      <w:bookmarkStart w:id="86" w:name="_Toc81602518"/>
      <w:r>
        <w:rPr>
          <w:rFonts w:hint="eastAsia" w:ascii="方正楷体_GBK" w:hAnsi="方正楷体_GBK" w:eastAsia="方正楷体_GBK" w:cs="方正楷体_GBK"/>
          <w:b w:val="0"/>
          <w:bCs w:val="0"/>
          <w:color w:val="auto"/>
        </w:rPr>
        <w:t>（二）地质灾害风险分区</w:t>
      </w:r>
      <w:bookmarkEnd w:id="83"/>
      <w:bookmarkEnd w:id="84"/>
      <w:bookmarkEnd w:id="85"/>
      <w:bookmarkEnd w:id="86"/>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在地质灾害易发性基础上，叠加降雨诱发因素进行危险性分区。根据建筑物类型、交通设施等的不同级别、人口密度等确定遭受灾害破坏和损失的容易程度，评价灾害易损性。在地质灾害的危险性和易损性评价结果基础上，进行叠加计算，确定永川区地质灾害风险等级。将全区地质灾害风险等级划分为高风险区、中风险区和低风险区三类。</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全区分为3个地质灾害高风险区、9个中风险区和1个低风险区。其中高风险区面积约19.23平方公里，主要包括茶山竹海街道、卫星湖街道等地区；中风险区面积约278.66平方公里，主要包括茶山竹海街道、卫星湖街道、永荣镇等地区；低风险区为以上区域以外区域，面积约1278.11平方公里，主要包括板桥镇、三教镇、金龙镇、大安街道、双石镇、永荣镇、青峰镇、宝峰镇、来苏镇、胜利路街道、陈食街道、临江镇、吉安镇、卫星湖街道、五间镇、仙龙镇、何埂镇、松溉镇等地区。</w:t>
      </w:r>
    </w:p>
    <w:p>
      <w:pPr>
        <w:pStyle w:val="3"/>
        <w:keepNext w:val="0"/>
        <w:keepLines w:val="0"/>
        <w:snapToGrid w:val="0"/>
        <w:spacing w:before="0" w:after="0" w:line="288" w:lineRule="auto"/>
        <w:ind w:firstLine="640" w:firstLineChars="200"/>
        <w:rPr>
          <w:rFonts w:ascii="方正楷体_GBK" w:hAnsi="方正楷体_GBK" w:eastAsia="方正楷体_GBK" w:cs="方正楷体_GBK"/>
          <w:b w:val="0"/>
          <w:bCs w:val="0"/>
          <w:color w:val="auto"/>
        </w:rPr>
      </w:pPr>
      <w:bookmarkStart w:id="87" w:name="_Toc367665130_WPSOffice_Level2"/>
      <w:bookmarkStart w:id="88" w:name="_Toc1811286728_WPSOffice_Level2"/>
      <w:bookmarkStart w:id="89" w:name="_Toc81602519"/>
      <w:bookmarkStart w:id="90" w:name="_Toc1584026631_WPSOffice_Level2"/>
      <w:r>
        <w:rPr>
          <w:rFonts w:hint="eastAsia" w:ascii="方正楷体_GBK" w:hAnsi="方正楷体_GBK" w:eastAsia="方正楷体_GBK" w:cs="方正楷体_GBK"/>
          <w:b w:val="0"/>
          <w:bCs w:val="0"/>
          <w:color w:val="auto"/>
        </w:rPr>
        <w:t>（三）地质灾害防治分区</w:t>
      </w:r>
      <w:bookmarkEnd w:id="87"/>
      <w:bookmarkEnd w:id="88"/>
      <w:bookmarkEnd w:id="89"/>
      <w:bookmarkEnd w:id="90"/>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在地质灾害风险分区基础上，将地质灾害高易发、中易发的人口密集区、社会经济财富集中区、重要基础设施区和国民经济发展重要规划区划分为地质灾害重点防治区，其他为一般防治区。全区分为9个重点防治区和1个一般防治区。重点防治区面积为297.89平方公里，占全区总面积的18.90%。重点防治区主要分布于茶山竹海街道、卫星湖街道、茶山竹海街道、卫星湖街道、永荣镇等地区。一般防治区为以上区域外的区域，面积约1278.11平方公里。</w:t>
      </w:r>
    </w:p>
    <w:p>
      <w:pPr>
        <w:pStyle w:val="2"/>
        <w:snapToGrid w:val="0"/>
        <w:spacing w:before="0" w:after="0" w:line="288" w:lineRule="auto"/>
        <w:ind w:firstLine="640" w:firstLineChars="200"/>
        <w:jc w:val="left"/>
        <w:rPr>
          <w:rFonts w:ascii="方正黑体_GBK" w:hAnsi="方正黑体_GBK" w:eastAsia="方正黑体_GBK" w:cs="方正黑体_GBK"/>
          <w:b w:val="0"/>
          <w:bCs w:val="0"/>
          <w:color w:val="auto"/>
          <w:sz w:val="32"/>
          <w:szCs w:val="32"/>
        </w:rPr>
      </w:pPr>
      <w:bookmarkStart w:id="91" w:name="_Toc2084775510_WPSOffice_Level1"/>
      <w:bookmarkStart w:id="92" w:name="_Toc1159495377_WPSOffice_Level1"/>
      <w:bookmarkStart w:id="93" w:name="_Toc81602520"/>
      <w:bookmarkStart w:id="94" w:name="_Toc111592286_WPSOffice_Level1"/>
      <w:r>
        <w:rPr>
          <w:rFonts w:hint="eastAsia" w:ascii="方正黑体_GBK" w:hAnsi="方正黑体_GBK" w:eastAsia="方正黑体_GBK" w:cs="方正黑体_GBK"/>
          <w:b w:val="0"/>
          <w:bCs w:val="0"/>
          <w:color w:val="auto"/>
          <w:sz w:val="32"/>
          <w:szCs w:val="32"/>
        </w:rPr>
        <w:t>四、地质灾害防治任务</w:t>
      </w:r>
      <w:bookmarkEnd w:id="91"/>
      <w:bookmarkEnd w:id="92"/>
      <w:bookmarkEnd w:id="93"/>
      <w:bookmarkEnd w:id="94"/>
    </w:p>
    <w:p>
      <w:pPr>
        <w:pStyle w:val="3"/>
        <w:keepNext w:val="0"/>
        <w:keepLines w:val="0"/>
        <w:snapToGrid w:val="0"/>
        <w:spacing w:before="0" w:after="0" w:line="288" w:lineRule="auto"/>
        <w:ind w:firstLine="640" w:firstLineChars="200"/>
        <w:rPr>
          <w:rFonts w:ascii="方正楷体_GBK" w:hAnsi="方正楷体_GBK" w:eastAsia="方正楷体_GBK" w:cs="方正楷体_GBK"/>
          <w:b w:val="0"/>
          <w:bCs w:val="0"/>
          <w:color w:val="auto"/>
        </w:rPr>
      </w:pPr>
      <w:bookmarkStart w:id="95" w:name="_Toc2023915651_WPSOffice_Level2"/>
      <w:bookmarkStart w:id="96" w:name="_Toc1778109637_WPSOffice_Level2"/>
      <w:bookmarkStart w:id="97" w:name="_Toc81602521"/>
      <w:bookmarkStart w:id="98" w:name="_Toc735583525_WPSOffice_Level2"/>
      <w:r>
        <w:rPr>
          <w:rFonts w:hint="eastAsia" w:ascii="方正楷体_GBK" w:hAnsi="方正楷体_GBK" w:eastAsia="方正楷体_GBK" w:cs="方正楷体_GBK"/>
          <w:b w:val="0"/>
          <w:bCs w:val="0"/>
          <w:color w:val="auto"/>
        </w:rPr>
        <w:t>（一）加强隐患识别与风险调查</w:t>
      </w:r>
      <w:bookmarkEnd w:id="95"/>
      <w:bookmarkEnd w:id="96"/>
      <w:bookmarkEnd w:id="97"/>
      <w:bookmarkEnd w:id="98"/>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1</w:t>
      </w:r>
      <w:r>
        <w:rPr>
          <w:rFonts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rPr>
        <w:t>建立地质灾害隐患识别技术方法体系。</w:t>
      </w:r>
      <w:r>
        <w:rPr>
          <w:rFonts w:hint="eastAsia" w:ascii="方正仿宋_GBK" w:hAnsi="方正仿宋_GBK" w:eastAsia="方正仿宋_GBK" w:cs="方正仿宋_GBK"/>
          <w:color w:val="auto"/>
          <w:sz w:val="32"/>
          <w:szCs w:val="32"/>
        </w:rPr>
        <w:t>实现全区地质灾害隐患综合遥感识别全覆盖。地质灾害排查及1:5万风险调查全覆盖，及时更新全区地质灾害数据库，编制完成全区地质灾害风险区划图和防治区划图，基本掌握我区地质灾害风险底数，为综合制订防灾减灾对策提供依据。</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为支撑成渝地区双城经济圈和</w:t>
      </w:r>
      <w:r>
        <w:rPr>
          <w:rFonts w:hint="eastAsia" w:ascii="方正仿宋_GBK" w:hAnsi="方正仿宋_GBK" w:eastAsia="方正仿宋_GBK" w:cs="方正仿宋_GBK"/>
          <w:color w:val="auto"/>
          <w:sz w:val="32"/>
          <w:szCs w:val="32"/>
          <w:lang w:eastAsia="zh-CN"/>
        </w:rPr>
        <w:t>重庆主城都市区</w:t>
      </w:r>
      <w:r>
        <w:rPr>
          <w:rFonts w:hint="eastAsia" w:ascii="方正仿宋_GBK" w:hAnsi="方正仿宋_GBK" w:eastAsia="方正仿宋_GBK" w:cs="方正仿宋_GBK"/>
          <w:color w:val="auto"/>
          <w:sz w:val="32"/>
          <w:szCs w:val="32"/>
        </w:rPr>
        <w:t>建设，亟需开展永川区1:5万地质灾害详细调查，并对黄瓜山等地区的隧道工程建设区开展工程地质及稳定性综合调查评价工作，进一步查明和解决区内易发生岩溶坍塌、地表水疏干等相关工程地质问题，为区内重大交通设施工程建设提供依据。</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2</w:t>
      </w:r>
      <w:r>
        <w:rPr>
          <w:rFonts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rPr>
        <w:t>地质灾害</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三查”。</w:t>
      </w:r>
      <w:r>
        <w:rPr>
          <w:rFonts w:hint="eastAsia" w:ascii="方正仿宋_GBK" w:hAnsi="方正仿宋_GBK" w:eastAsia="方正仿宋_GBK" w:cs="方正仿宋_GBK"/>
          <w:color w:val="auto"/>
          <w:sz w:val="32"/>
          <w:szCs w:val="32"/>
        </w:rPr>
        <w:t>区政府组织乡镇街道及相关部门每年开展地质灾害汛前排查、汛中巡查和汛后核查，规划自然资源部门组织驻守地质队协助开展工作，实现地质灾害</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三查”全市覆盖率100%。对排查发现的地质灾害隐患点，及时纳入地质灾害防治体系。</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3</w:t>
      </w:r>
      <w:r>
        <w:rPr>
          <w:rFonts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rPr>
        <w:t>地质灾害专业排查。</w:t>
      </w:r>
      <w:r>
        <w:rPr>
          <w:rFonts w:hint="eastAsia" w:ascii="方正仿宋_GBK" w:hAnsi="方正仿宋_GBK" w:eastAsia="方正仿宋_GBK" w:cs="方正仿宋_GBK"/>
          <w:color w:val="auto"/>
          <w:sz w:val="32"/>
          <w:szCs w:val="32"/>
        </w:rPr>
        <w:t>区规划自然资源局组织技术支撑队伍每年开展一次全区地质灾害专业排查工作，对排查的地质灾害隐患点分类提出处置建议，动态更新地质灾害数据库。</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4</w:t>
      </w:r>
      <w:r>
        <w:rPr>
          <w:rFonts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rPr>
        <w:t>重点地质灾害隐患点风险勘察(1：2</w:t>
      </w:r>
      <w:r>
        <w:rPr>
          <w:rFonts w:hint="eastAsia" w:ascii="方正仿宋_GBK" w:hAnsi="方正仿宋_GBK" w:eastAsia="方正仿宋_GBK" w:cs="方正仿宋_GBK"/>
          <w:b w:val="0"/>
          <w:bCs w:val="0"/>
          <w:color w:val="auto"/>
          <w:sz w:val="32"/>
          <w:szCs w:val="32"/>
          <w:lang w:eastAsia="zh-CN"/>
        </w:rPr>
        <w:t>千</w:t>
      </w:r>
      <w:r>
        <w:rPr>
          <w:rFonts w:hint="eastAsia"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color w:val="auto"/>
          <w:sz w:val="32"/>
          <w:szCs w:val="32"/>
        </w:rPr>
        <w:t>对区内重点地质灾害隐患（古家坳不稳定斜坡）开展1:1</w:t>
      </w:r>
      <w:r>
        <w:rPr>
          <w:rFonts w:hint="eastAsia" w:ascii="方正仿宋_GBK" w:hAnsi="方正仿宋_GBK" w:eastAsia="方正仿宋_GBK" w:cs="方正仿宋_GBK"/>
          <w:color w:val="auto"/>
          <w:sz w:val="32"/>
          <w:szCs w:val="32"/>
          <w:lang w:eastAsia="zh-CN"/>
        </w:rPr>
        <w:t>千</w:t>
      </w:r>
      <w:r>
        <w:rPr>
          <w:rFonts w:hint="eastAsia" w:ascii="方正仿宋_GBK" w:hAnsi="方正仿宋_GBK" w:eastAsia="方正仿宋_GBK" w:cs="方正仿宋_GBK"/>
          <w:color w:val="auto"/>
          <w:sz w:val="32"/>
          <w:szCs w:val="32"/>
        </w:rPr>
        <w:t>-1:2</w:t>
      </w:r>
      <w:r>
        <w:rPr>
          <w:rFonts w:hint="eastAsia" w:ascii="方正仿宋_GBK" w:hAnsi="方正仿宋_GBK" w:eastAsia="方正仿宋_GBK" w:cs="方正仿宋_GBK"/>
          <w:color w:val="auto"/>
          <w:sz w:val="32"/>
          <w:szCs w:val="32"/>
          <w:lang w:eastAsia="zh-CN"/>
        </w:rPr>
        <w:t>千</w:t>
      </w:r>
      <w:r>
        <w:rPr>
          <w:rFonts w:hint="eastAsia" w:ascii="方正仿宋_GBK" w:hAnsi="方正仿宋_GBK" w:eastAsia="方正仿宋_GBK" w:cs="方正仿宋_GBK"/>
          <w:color w:val="auto"/>
          <w:sz w:val="32"/>
          <w:szCs w:val="32"/>
        </w:rPr>
        <w:t>勘查，查明地质灾害基本特征，掌握风险底数，根据风险评价制定针对性防控措施。</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5</w:t>
      </w:r>
      <w:r>
        <w:rPr>
          <w:rFonts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rPr>
        <w:t>农村居民房前屋后地质灾害风险调查。</w:t>
      </w:r>
      <w:r>
        <w:rPr>
          <w:rFonts w:hint="eastAsia" w:ascii="方正仿宋_GBK" w:hAnsi="方正仿宋_GBK" w:eastAsia="方正仿宋_GBK" w:cs="方正仿宋_GBK"/>
          <w:color w:val="auto"/>
          <w:sz w:val="32"/>
          <w:szCs w:val="32"/>
        </w:rPr>
        <w:t>对区内高、中易发区的农村居民房前屋后开展地质灾害风险调查，初步查明</w:t>
      </w:r>
      <w:r>
        <w:rPr>
          <w:rFonts w:hint="eastAsia" w:ascii="方正仿宋_GBK" w:hAnsi="方正仿宋_GBK" w:eastAsia="方正仿宋_GBK" w:cs="方正仿宋_GBK"/>
          <w:color w:val="auto"/>
          <w:sz w:val="32"/>
          <w:szCs w:val="32"/>
          <w:lang w:eastAsia="zh-CN"/>
        </w:rPr>
        <w:t>农</w:t>
      </w:r>
      <w:r>
        <w:rPr>
          <w:rFonts w:hint="eastAsia" w:ascii="方正仿宋_GBK" w:hAnsi="方正仿宋_GBK" w:eastAsia="方正仿宋_GBK" w:cs="方正仿宋_GBK"/>
          <w:color w:val="auto"/>
          <w:sz w:val="32"/>
          <w:szCs w:val="32"/>
        </w:rPr>
        <w:t>村房前屋后边坡地质灾害</w:t>
      </w:r>
      <w:r>
        <w:rPr>
          <w:rFonts w:hint="eastAsia" w:ascii="方正仿宋_GBK" w:hAnsi="方正仿宋_GBK" w:eastAsia="方正仿宋_GBK" w:cs="方正仿宋_GBK"/>
          <w:color w:val="auto"/>
          <w:sz w:val="32"/>
          <w:szCs w:val="32"/>
          <w:lang w:eastAsia="zh-CN"/>
        </w:rPr>
        <w:t>隐患</w:t>
      </w:r>
      <w:r>
        <w:rPr>
          <w:rFonts w:hint="eastAsia" w:ascii="方正仿宋_GBK" w:hAnsi="方正仿宋_GBK" w:eastAsia="方正仿宋_GBK" w:cs="方正仿宋_GBK"/>
          <w:color w:val="auto"/>
          <w:sz w:val="32"/>
          <w:szCs w:val="32"/>
        </w:rPr>
        <w:t>，开展风险评价，提出地质灾害风险管理，主动防灾减灾措施建议。</w:t>
      </w:r>
    </w:p>
    <w:p>
      <w:pPr>
        <w:spacing w:line="400" w:lineRule="exact"/>
        <w:jc w:val="center"/>
        <w:rPr>
          <w:rFonts w:ascii="黑体" w:hAnsi="黑体" w:eastAsia="黑体"/>
          <w:color w:val="auto"/>
          <w:sz w:val="24"/>
        </w:rPr>
      </w:pPr>
      <w:r>
        <w:rPr>
          <w:rFonts w:hint="eastAsia" w:ascii="黑体" w:hAnsi="黑体" w:eastAsia="黑体"/>
          <w:color w:val="auto"/>
          <w:sz w:val="24"/>
        </w:rPr>
        <w:t>表4-1   地质灾害隐患识别与风险调查工作部署</w:t>
      </w:r>
    </w:p>
    <w:tbl>
      <w:tblPr>
        <w:tblStyle w:val="18"/>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2218"/>
        <w:gridCol w:w="5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54" w:type="dxa"/>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序号</w:t>
            </w:r>
          </w:p>
        </w:tc>
        <w:tc>
          <w:tcPr>
            <w:tcW w:w="2218" w:type="dxa"/>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项目名称</w:t>
            </w:r>
          </w:p>
        </w:tc>
        <w:tc>
          <w:tcPr>
            <w:tcW w:w="5413" w:type="dxa"/>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snapToGrid w:val="0"/>
              <w:spacing w:line="240" w:lineRule="auto"/>
              <w:jc w:val="center"/>
              <w:rPr>
                <w:rFonts w:eastAsia="方正仿宋_GBK"/>
                <w:color w:val="auto"/>
                <w:szCs w:val="21"/>
              </w:rPr>
            </w:pPr>
            <w:r>
              <w:rPr>
                <w:rFonts w:eastAsia="方正仿宋_GBK"/>
                <w:color w:val="auto"/>
                <w:szCs w:val="21"/>
              </w:rPr>
              <w:t>1</w:t>
            </w:r>
          </w:p>
        </w:tc>
        <w:tc>
          <w:tcPr>
            <w:tcW w:w="2218" w:type="dxa"/>
            <w:vAlign w:val="center"/>
          </w:tcPr>
          <w:p>
            <w:pPr>
              <w:snapToGrid w:val="0"/>
              <w:rPr>
                <w:rFonts w:eastAsia="方正仿宋_GBK"/>
                <w:color w:val="auto"/>
                <w:szCs w:val="21"/>
              </w:rPr>
            </w:pPr>
            <w:r>
              <w:rPr>
                <w:rFonts w:eastAsia="方正仿宋_GBK"/>
                <w:color w:val="auto"/>
                <w:szCs w:val="21"/>
              </w:rPr>
              <w:t>建立地质灾害隐患识别技术方法体系</w:t>
            </w:r>
          </w:p>
        </w:tc>
        <w:tc>
          <w:tcPr>
            <w:tcW w:w="5413" w:type="dxa"/>
            <w:vAlign w:val="center"/>
          </w:tcPr>
          <w:p>
            <w:pPr>
              <w:snapToGrid w:val="0"/>
              <w:rPr>
                <w:rFonts w:eastAsia="方正仿宋_GBK"/>
                <w:color w:val="auto"/>
                <w:szCs w:val="21"/>
              </w:rPr>
            </w:pPr>
            <w:r>
              <w:rPr>
                <w:rFonts w:eastAsia="方正仿宋_GBK"/>
                <w:color w:val="auto"/>
                <w:szCs w:val="21"/>
              </w:rPr>
              <w:t>实现全区地质灾害隐患综合遥感识别全覆盖；开展永川区地质灾害1:5万风险调查</w:t>
            </w:r>
            <w:r>
              <w:rPr>
                <w:rFonts w:hint="eastAsia" w:eastAsia="方正仿宋_GBK"/>
                <w:color w:val="auto"/>
                <w:szCs w:val="21"/>
                <w:lang w:eastAsia="zh-CN"/>
              </w:rPr>
              <w:t>；</w:t>
            </w:r>
            <w:r>
              <w:rPr>
                <w:rFonts w:eastAsia="方正仿宋_GBK"/>
                <w:color w:val="auto"/>
                <w:szCs w:val="21"/>
              </w:rPr>
              <w:t>对黄瓜山隧道工程建设区开展工程地质及稳定性综合调查评价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snapToGrid w:val="0"/>
              <w:spacing w:line="240" w:lineRule="auto"/>
              <w:jc w:val="center"/>
              <w:rPr>
                <w:rFonts w:eastAsia="方正仿宋_GBK"/>
                <w:color w:val="auto"/>
                <w:szCs w:val="21"/>
              </w:rPr>
            </w:pPr>
            <w:r>
              <w:rPr>
                <w:rFonts w:eastAsia="方正仿宋_GBK"/>
                <w:color w:val="auto"/>
                <w:szCs w:val="21"/>
              </w:rPr>
              <w:t>2</w:t>
            </w:r>
          </w:p>
        </w:tc>
        <w:tc>
          <w:tcPr>
            <w:tcW w:w="2218" w:type="dxa"/>
            <w:vAlign w:val="center"/>
          </w:tcPr>
          <w:p>
            <w:pPr>
              <w:snapToGrid w:val="0"/>
              <w:rPr>
                <w:rFonts w:eastAsia="方正仿宋_GBK"/>
                <w:color w:val="auto"/>
                <w:szCs w:val="21"/>
              </w:rPr>
            </w:pPr>
            <w:r>
              <w:rPr>
                <w:rFonts w:eastAsia="方正仿宋_GBK"/>
                <w:color w:val="auto"/>
                <w:szCs w:val="21"/>
              </w:rPr>
              <w:t>地质灾害</w:t>
            </w:r>
            <w:r>
              <w:rPr>
                <w:rFonts w:hint="eastAsia" w:eastAsia="方正仿宋_GBK"/>
                <w:color w:val="auto"/>
                <w:szCs w:val="21"/>
                <w:lang w:eastAsia="zh-CN"/>
              </w:rPr>
              <w:t>“</w:t>
            </w:r>
            <w:r>
              <w:rPr>
                <w:rFonts w:eastAsia="方正仿宋_GBK"/>
                <w:color w:val="auto"/>
                <w:szCs w:val="21"/>
              </w:rPr>
              <w:t>三查”</w:t>
            </w:r>
          </w:p>
        </w:tc>
        <w:tc>
          <w:tcPr>
            <w:tcW w:w="5413" w:type="dxa"/>
            <w:vAlign w:val="center"/>
          </w:tcPr>
          <w:p>
            <w:pPr>
              <w:snapToGrid w:val="0"/>
              <w:rPr>
                <w:rFonts w:eastAsia="方正仿宋_GBK"/>
                <w:color w:val="auto"/>
                <w:szCs w:val="21"/>
              </w:rPr>
            </w:pPr>
            <w:r>
              <w:rPr>
                <w:rFonts w:eastAsia="方正仿宋_GBK"/>
                <w:color w:val="auto"/>
                <w:szCs w:val="21"/>
              </w:rPr>
              <w:t>组织相关镇街每年开展一次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snapToGrid w:val="0"/>
              <w:spacing w:line="240" w:lineRule="auto"/>
              <w:jc w:val="center"/>
              <w:rPr>
                <w:rFonts w:eastAsia="方正仿宋_GBK"/>
                <w:color w:val="auto"/>
                <w:szCs w:val="21"/>
              </w:rPr>
            </w:pPr>
            <w:r>
              <w:rPr>
                <w:rFonts w:eastAsia="方正仿宋_GBK"/>
                <w:color w:val="auto"/>
                <w:szCs w:val="21"/>
              </w:rPr>
              <w:t>3</w:t>
            </w:r>
          </w:p>
        </w:tc>
        <w:tc>
          <w:tcPr>
            <w:tcW w:w="2218" w:type="dxa"/>
            <w:vAlign w:val="center"/>
          </w:tcPr>
          <w:p>
            <w:pPr>
              <w:snapToGrid w:val="0"/>
              <w:rPr>
                <w:rFonts w:eastAsia="方正仿宋_GBK"/>
                <w:color w:val="auto"/>
                <w:szCs w:val="21"/>
              </w:rPr>
            </w:pPr>
            <w:r>
              <w:rPr>
                <w:rFonts w:eastAsia="方正仿宋_GBK"/>
                <w:color w:val="auto"/>
                <w:szCs w:val="21"/>
              </w:rPr>
              <w:t>地质灾害专业排查</w:t>
            </w:r>
          </w:p>
        </w:tc>
        <w:tc>
          <w:tcPr>
            <w:tcW w:w="5413" w:type="dxa"/>
            <w:vAlign w:val="center"/>
          </w:tcPr>
          <w:p>
            <w:pPr>
              <w:snapToGrid w:val="0"/>
              <w:rPr>
                <w:rFonts w:eastAsia="方正仿宋_GBK"/>
                <w:color w:val="auto"/>
                <w:szCs w:val="21"/>
              </w:rPr>
            </w:pPr>
            <w:r>
              <w:rPr>
                <w:rFonts w:eastAsia="方正仿宋_GBK"/>
                <w:color w:val="auto"/>
                <w:szCs w:val="21"/>
              </w:rPr>
              <w:t>组织专业地勘单位每年开展全区地质灾害排查一次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snapToGrid w:val="0"/>
              <w:spacing w:line="240" w:lineRule="auto"/>
              <w:jc w:val="center"/>
              <w:rPr>
                <w:rFonts w:eastAsia="方正仿宋_GBK"/>
                <w:color w:val="auto"/>
                <w:szCs w:val="21"/>
              </w:rPr>
            </w:pPr>
            <w:r>
              <w:rPr>
                <w:rFonts w:eastAsia="方正仿宋_GBK"/>
                <w:color w:val="auto"/>
                <w:szCs w:val="21"/>
              </w:rPr>
              <w:t>4</w:t>
            </w:r>
          </w:p>
        </w:tc>
        <w:tc>
          <w:tcPr>
            <w:tcW w:w="2218" w:type="dxa"/>
            <w:vAlign w:val="center"/>
          </w:tcPr>
          <w:p>
            <w:pPr>
              <w:snapToGrid w:val="0"/>
              <w:rPr>
                <w:rFonts w:eastAsia="方正仿宋_GBK"/>
                <w:color w:val="auto"/>
                <w:szCs w:val="21"/>
              </w:rPr>
            </w:pPr>
            <w:r>
              <w:rPr>
                <w:rFonts w:eastAsia="方正仿宋_GBK"/>
                <w:color w:val="auto"/>
                <w:szCs w:val="21"/>
              </w:rPr>
              <w:t>重点地质灾害隐患点风险勘察</w:t>
            </w:r>
          </w:p>
        </w:tc>
        <w:tc>
          <w:tcPr>
            <w:tcW w:w="5413" w:type="dxa"/>
            <w:vAlign w:val="center"/>
          </w:tcPr>
          <w:p>
            <w:pPr>
              <w:snapToGrid w:val="0"/>
              <w:rPr>
                <w:rFonts w:eastAsia="方正仿宋_GBK"/>
                <w:color w:val="auto"/>
                <w:szCs w:val="21"/>
              </w:rPr>
            </w:pPr>
            <w:r>
              <w:rPr>
                <w:rFonts w:eastAsia="方正仿宋_GBK"/>
                <w:color w:val="auto"/>
                <w:szCs w:val="21"/>
              </w:rPr>
              <w:t>对重点地质灾害隐患点（古家坳不稳定斜坡）开展1:1</w:t>
            </w:r>
            <w:r>
              <w:rPr>
                <w:rFonts w:hint="eastAsia" w:eastAsia="方正仿宋_GBK"/>
                <w:color w:val="auto"/>
                <w:szCs w:val="21"/>
                <w:lang w:eastAsia="zh-CN"/>
              </w:rPr>
              <w:t>千</w:t>
            </w:r>
            <w:r>
              <w:rPr>
                <w:rFonts w:eastAsia="方正仿宋_GBK"/>
                <w:color w:val="auto"/>
                <w:szCs w:val="21"/>
              </w:rPr>
              <w:t>-1:2</w:t>
            </w:r>
            <w:r>
              <w:rPr>
                <w:rFonts w:hint="eastAsia" w:eastAsia="方正仿宋_GBK"/>
                <w:color w:val="auto"/>
                <w:szCs w:val="21"/>
                <w:lang w:eastAsia="zh-CN"/>
              </w:rPr>
              <w:t>千</w:t>
            </w:r>
            <w:r>
              <w:rPr>
                <w:rFonts w:eastAsia="方正仿宋_GBK"/>
                <w:color w:val="auto"/>
                <w:szCs w:val="21"/>
              </w:rPr>
              <w:t>勘查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snapToGrid w:val="0"/>
              <w:spacing w:line="240" w:lineRule="auto"/>
              <w:jc w:val="center"/>
              <w:rPr>
                <w:rFonts w:eastAsia="方正仿宋_GBK"/>
                <w:color w:val="auto"/>
                <w:szCs w:val="21"/>
              </w:rPr>
            </w:pPr>
            <w:r>
              <w:rPr>
                <w:rFonts w:eastAsia="方正仿宋_GBK"/>
                <w:color w:val="auto"/>
                <w:szCs w:val="21"/>
              </w:rPr>
              <w:t>5</w:t>
            </w:r>
          </w:p>
        </w:tc>
        <w:tc>
          <w:tcPr>
            <w:tcW w:w="2218" w:type="dxa"/>
            <w:vAlign w:val="center"/>
          </w:tcPr>
          <w:p>
            <w:pPr>
              <w:snapToGrid w:val="0"/>
              <w:rPr>
                <w:rFonts w:eastAsia="方正仿宋_GBK"/>
                <w:color w:val="auto"/>
                <w:szCs w:val="21"/>
              </w:rPr>
            </w:pPr>
            <w:r>
              <w:rPr>
                <w:rFonts w:eastAsia="方正仿宋_GBK"/>
                <w:color w:val="auto"/>
                <w:szCs w:val="21"/>
              </w:rPr>
              <w:t>农村居民房前屋后地质灾害风险调查</w:t>
            </w:r>
          </w:p>
        </w:tc>
        <w:tc>
          <w:tcPr>
            <w:tcW w:w="5413" w:type="dxa"/>
            <w:vAlign w:val="center"/>
          </w:tcPr>
          <w:p>
            <w:pPr>
              <w:snapToGrid w:val="0"/>
              <w:rPr>
                <w:rFonts w:eastAsia="方正仿宋_GBK"/>
                <w:color w:val="auto"/>
                <w:szCs w:val="21"/>
              </w:rPr>
            </w:pPr>
            <w:r>
              <w:rPr>
                <w:rFonts w:eastAsia="方正仿宋_GBK"/>
                <w:color w:val="auto"/>
                <w:szCs w:val="21"/>
              </w:rPr>
              <w:t>对区内高、中易发区的农村居民房前屋后开展地质灾害风险调查，并提出风险管理与防灾减灾措施</w:t>
            </w:r>
          </w:p>
        </w:tc>
      </w:tr>
    </w:tbl>
    <w:p>
      <w:pPr>
        <w:pStyle w:val="3"/>
        <w:keepNext w:val="0"/>
        <w:keepLines w:val="0"/>
        <w:snapToGrid w:val="0"/>
        <w:spacing w:before="0" w:after="0" w:line="288" w:lineRule="auto"/>
        <w:ind w:firstLine="640" w:firstLineChars="200"/>
        <w:rPr>
          <w:rFonts w:ascii="方正楷体_GBK" w:hAnsi="方正楷体_GBK" w:eastAsia="方正楷体_GBK" w:cs="方正楷体_GBK"/>
          <w:b w:val="0"/>
          <w:bCs w:val="0"/>
          <w:color w:val="auto"/>
        </w:rPr>
      </w:pPr>
      <w:bookmarkStart w:id="99" w:name="_Toc1342879210_WPSOffice_Level2"/>
      <w:bookmarkStart w:id="100" w:name="_Toc81602522"/>
      <w:bookmarkStart w:id="101" w:name="_Toc1477077123_WPSOffice_Level2"/>
      <w:bookmarkStart w:id="102" w:name="_Toc1130080622_WPSOffice_Level2"/>
      <w:r>
        <w:rPr>
          <w:rFonts w:hint="eastAsia" w:ascii="方正楷体_GBK" w:hAnsi="方正楷体_GBK" w:eastAsia="方正楷体_GBK" w:cs="方正楷体_GBK"/>
          <w:b w:val="0"/>
          <w:bCs w:val="0"/>
          <w:color w:val="auto"/>
        </w:rPr>
        <w:t>（二）完善人防与技防监测预警体系</w:t>
      </w:r>
      <w:bookmarkEnd w:id="99"/>
      <w:bookmarkEnd w:id="100"/>
      <w:bookmarkEnd w:id="101"/>
      <w:bookmarkEnd w:id="102"/>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十四五”期间，应在人防的基础上加强技防，完善新型高效的群专结合监测预警网络建设，提升自动化智能化监测预警的应用率。以智能化为引领，运用现代信息技术，建立完善全区地质灾害监测预警智能化信息系统，可以显著提升我区地质灾害监测预警能力和水平。</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1</w:t>
      </w:r>
      <w:r>
        <w:rPr>
          <w:rFonts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rPr>
        <w:t>全面完成地质灾害监测预警设施建设。</w:t>
      </w:r>
      <w:r>
        <w:rPr>
          <w:rFonts w:hint="eastAsia" w:ascii="方正仿宋_GBK" w:hAnsi="方正仿宋_GBK" w:eastAsia="方正仿宋_GBK" w:cs="方正仿宋_GBK"/>
          <w:color w:val="auto"/>
          <w:sz w:val="32"/>
          <w:szCs w:val="32"/>
        </w:rPr>
        <w:t>在已完成的专业监测和群测群防基础上，全面完成全区范围内已查明地质灾害监测预警设施建设。</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2</w:t>
      </w:r>
      <w:r>
        <w:rPr>
          <w:rFonts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rPr>
        <w:t>加大专群结合GNSS监测仪器应用。</w:t>
      </w:r>
      <w:r>
        <w:rPr>
          <w:rFonts w:hint="eastAsia" w:ascii="方正仿宋_GBK" w:hAnsi="方正仿宋_GBK" w:eastAsia="方正仿宋_GBK" w:cs="方正仿宋_GBK"/>
          <w:color w:val="auto"/>
          <w:sz w:val="32"/>
          <w:szCs w:val="32"/>
        </w:rPr>
        <w:t>根据市级规划，在对我区重点地灾隐患点古家坳不稳定斜坡安装二级监测设备基础上，对每年新生的重要地质灾害点安装专群结合GNSS监测仪器，并接入地质灾害实时监测早期预警系统，实现同步监测预警。</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3</w:t>
      </w:r>
      <w:r>
        <w:rPr>
          <w:rFonts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rPr>
        <w:t>群测群防监测。</w:t>
      </w:r>
      <w:r>
        <w:rPr>
          <w:rFonts w:hint="eastAsia" w:ascii="方正仿宋_GBK" w:hAnsi="方正仿宋_GBK" w:eastAsia="方正仿宋_GBK" w:cs="方正仿宋_GBK"/>
          <w:color w:val="auto"/>
          <w:sz w:val="32"/>
          <w:szCs w:val="32"/>
        </w:rPr>
        <w:t>在对全区已查明的51处地质灾害（古家坳不稳定斜坡已安装二级监测）及每年新生地质灾害开展技防的同时，继续做好群测群防监测。</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4</w:t>
      </w:r>
      <w:r>
        <w:rPr>
          <w:rFonts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rPr>
        <w:t>加强智能化地质灾害预警系统应用。</w:t>
      </w:r>
      <w:r>
        <w:rPr>
          <w:rFonts w:hint="eastAsia" w:ascii="方正仿宋_GBK" w:hAnsi="方正仿宋_GBK" w:eastAsia="方正仿宋_GBK" w:cs="方正仿宋_GBK"/>
          <w:color w:val="auto"/>
          <w:sz w:val="32"/>
          <w:szCs w:val="32"/>
        </w:rPr>
        <w:t>根据市级规划，</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十四五”期间将对不同地质灾害隐患点，根据不同地区、不同地质灾害种类以及地质灾害不同的变形阶段，分别建立相对应的地质灾害人工智能分析模型，充分利用和集成云计算、大数据、物</w:t>
      </w:r>
      <w:r>
        <w:rPr>
          <w:rFonts w:hint="eastAsia" w:ascii="方正仿宋_GBK" w:hAnsi="方正仿宋_GBK" w:eastAsia="方正仿宋_GBK" w:cs="方正仿宋_GBK"/>
          <w:color w:val="auto"/>
          <w:sz w:val="32"/>
          <w:szCs w:val="32"/>
          <w:lang w:eastAsia="zh-CN"/>
        </w:rPr>
        <w:t>联</w:t>
      </w:r>
      <w:r>
        <w:rPr>
          <w:rFonts w:hint="eastAsia" w:ascii="方正仿宋_GBK" w:hAnsi="方正仿宋_GBK" w:eastAsia="方正仿宋_GBK" w:cs="方正仿宋_GBK"/>
          <w:color w:val="auto"/>
          <w:sz w:val="32"/>
          <w:szCs w:val="32"/>
        </w:rPr>
        <w:t>网、移动互连网、人工智能等现代信息技术，建立完善全市地质灾害监测预警智能化信息系统。并在原来的地质灾害气象预警系统基础上，根据全市地质灾害调查成果，加入精度更高的孕灾环境条件，提升地质史害气象预警精度，建设地质灾害气象预警快速智能化计算模型。地质灾害智能化预警和气象监测预警系统的建立将大大提升对地质灾害早期识别能力和处置效率，并大幅提高预警精度，有助于全区地质灾害防治能力的提升。</w:t>
      </w:r>
    </w:p>
    <w:p>
      <w:pPr>
        <w:snapToGrid w:val="0"/>
        <w:spacing w:line="276" w:lineRule="auto"/>
        <w:jc w:val="center"/>
        <w:rPr>
          <w:rFonts w:ascii="黑体" w:hAnsi="黑体" w:eastAsia="黑体"/>
          <w:color w:val="auto"/>
          <w:sz w:val="24"/>
        </w:rPr>
      </w:pPr>
      <w:r>
        <w:rPr>
          <w:rFonts w:hint="eastAsia" w:ascii="黑体" w:hAnsi="黑体" w:eastAsia="黑体"/>
          <w:color w:val="auto"/>
          <w:sz w:val="24"/>
        </w:rPr>
        <w:t>表4-</w:t>
      </w:r>
      <w:r>
        <w:rPr>
          <w:rFonts w:ascii="黑体" w:hAnsi="黑体" w:eastAsia="黑体"/>
          <w:color w:val="auto"/>
          <w:sz w:val="24"/>
        </w:rPr>
        <w:t xml:space="preserve">2   </w:t>
      </w:r>
      <w:r>
        <w:rPr>
          <w:rFonts w:hint="eastAsia" w:ascii="黑体" w:hAnsi="黑体" w:eastAsia="黑体"/>
          <w:color w:val="auto"/>
          <w:sz w:val="24"/>
        </w:rPr>
        <w:t>人防与技防监测预警体系建设工作部署</w:t>
      </w:r>
    </w:p>
    <w:tbl>
      <w:tblPr>
        <w:tblStyle w:val="18"/>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126"/>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序号</w:t>
            </w:r>
          </w:p>
        </w:tc>
        <w:tc>
          <w:tcPr>
            <w:tcW w:w="2126" w:type="dxa"/>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项目名称</w:t>
            </w:r>
          </w:p>
        </w:tc>
        <w:tc>
          <w:tcPr>
            <w:tcW w:w="5670" w:type="dxa"/>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napToGrid w:val="0"/>
              <w:spacing w:line="240" w:lineRule="auto"/>
              <w:jc w:val="center"/>
              <w:rPr>
                <w:rFonts w:eastAsia="方正仿宋_GBK"/>
                <w:color w:val="auto"/>
                <w:szCs w:val="21"/>
              </w:rPr>
            </w:pPr>
            <w:r>
              <w:rPr>
                <w:rFonts w:eastAsia="方正仿宋_GBK"/>
                <w:color w:val="auto"/>
                <w:szCs w:val="21"/>
              </w:rPr>
              <w:t>1</w:t>
            </w:r>
          </w:p>
        </w:tc>
        <w:tc>
          <w:tcPr>
            <w:tcW w:w="2126" w:type="dxa"/>
            <w:vAlign w:val="center"/>
          </w:tcPr>
          <w:p>
            <w:pPr>
              <w:snapToGrid w:val="0"/>
              <w:rPr>
                <w:rFonts w:eastAsia="方正仿宋_GBK"/>
                <w:color w:val="auto"/>
                <w:szCs w:val="21"/>
              </w:rPr>
            </w:pPr>
            <w:r>
              <w:rPr>
                <w:rFonts w:eastAsia="方正仿宋_GBK"/>
                <w:color w:val="auto"/>
                <w:szCs w:val="21"/>
              </w:rPr>
              <w:t>建设地质灾害监测预警设施</w:t>
            </w:r>
          </w:p>
        </w:tc>
        <w:tc>
          <w:tcPr>
            <w:tcW w:w="5670" w:type="dxa"/>
            <w:vAlign w:val="center"/>
          </w:tcPr>
          <w:p>
            <w:pPr>
              <w:snapToGrid w:val="0"/>
              <w:rPr>
                <w:rFonts w:eastAsia="方正仿宋_GBK"/>
                <w:color w:val="auto"/>
                <w:szCs w:val="21"/>
              </w:rPr>
            </w:pPr>
            <w:r>
              <w:rPr>
                <w:rFonts w:eastAsia="方正仿宋_GBK"/>
                <w:color w:val="auto"/>
                <w:szCs w:val="21"/>
              </w:rPr>
              <w:t>目前已建设二级专业监测预警1处，后期需群测群防监测预警51处，全面完成全区范围内已查明地质灾害监测预警设施建设。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napToGrid w:val="0"/>
              <w:spacing w:line="240" w:lineRule="auto"/>
              <w:jc w:val="center"/>
              <w:rPr>
                <w:rFonts w:eastAsia="方正仿宋_GBK"/>
                <w:color w:val="auto"/>
                <w:szCs w:val="21"/>
              </w:rPr>
            </w:pPr>
            <w:r>
              <w:rPr>
                <w:rFonts w:eastAsia="方正仿宋_GBK"/>
                <w:color w:val="auto"/>
                <w:szCs w:val="21"/>
              </w:rPr>
              <w:t>2</w:t>
            </w:r>
          </w:p>
        </w:tc>
        <w:tc>
          <w:tcPr>
            <w:tcW w:w="2126" w:type="dxa"/>
            <w:vAlign w:val="center"/>
          </w:tcPr>
          <w:p>
            <w:pPr>
              <w:snapToGrid w:val="0"/>
              <w:rPr>
                <w:rFonts w:eastAsia="方正仿宋_GBK"/>
                <w:color w:val="auto"/>
                <w:szCs w:val="21"/>
              </w:rPr>
            </w:pPr>
            <w:r>
              <w:rPr>
                <w:rFonts w:eastAsia="方正仿宋_GBK"/>
                <w:color w:val="auto"/>
                <w:szCs w:val="21"/>
              </w:rPr>
              <w:t>加大专群结合GNSS监测仪器应用</w:t>
            </w:r>
          </w:p>
        </w:tc>
        <w:tc>
          <w:tcPr>
            <w:tcW w:w="5670" w:type="dxa"/>
            <w:vAlign w:val="center"/>
          </w:tcPr>
          <w:p>
            <w:pPr>
              <w:snapToGrid w:val="0"/>
              <w:rPr>
                <w:rFonts w:eastAsia="方正仿宋_GBK"/>
                <w:color w:val="auto"/>
                <w:szCs w:val="21"/>
              </w:rPr>
            </w:pPr>
            <w:r>
              <w:rPr>
                <w:rFonts w:eastAsia="方正仿宋_GBK"/>
                <w:color w:val="auto"/>
                <w:szCs w:val="21"/>
              </w:rPr>
              <w:t>对每年新生的重要地质灾害点安装专群结合GNSS监测仪器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napToGrid w:val="0"/>
              <w:spacing w:line="240" w:lineRule="auto"/>
              <w:jc w:val="center"/>
              <w:rPr>
                <w:rFonts w:eastAsia="方正仿宋_GBK"/>
                <w:color w:val="auto"/>
                <w:szCs w:val="21"/>
              </w:rPr>
            </w:pPr>
            <w:r>
              <w:rPr>
                <w:rFonts w:eastAsia="方正仿宋_GBK"/>
                <w:color w:val="auto"/>
                <w:szCs w:val="21"/>
              </w:rPr>
              <w:t>3</w:t>
            </w:r>
          </w:p>
        </w:tc>
        <w:tc>
          <w:tcPr>
            <w:tcW w:w="2126" w:type="dxa"/>
            <w:vAlign w:val="center"/>
          </w:tcPr>
          <w:p>
            <w:pPr>
              <w:snapToGrid w:val="0"/>
              <w:rPr>
                <w:rFonts w:eastAsia="方正仿宋_GBK"/>
                <w:color w:val="auto"/>
                <w:szCs w:val="21"/>
              </w:rPr>
            </w:pPr>
            <w:r>
              <w:rPr>
                <w:rFonts w:eastAsia="方正仿宋_GBK"/>
                <w:color w:val="auto"/>
                <w:szCs w:val="21"/>
              </w:rPr>
              <w:t>群测群防监测</w:t>
            </w:r>
          </w:p>
        </w:tc>
        <w:tc>
          <w:tcPr>
            <w:tcW w:w="5670" w:type="dxa"/>
            <w:vAlign w:val="center"/>
          </w:tcPr>
          <w:p>
            <w:pPr>
              <w:snapToGrid w:val="0"/>
              <w:rPr>
                <w:rFonts w:eastAsia="方正仿宋_GBK"/>
                <w:color w:val="auto"/>
                <w:szCs w:val="21"/>
              </w:rPr>
            </w:pPr>
            <w:r>
              <w:rPr>
                <w:rFonts w:eastAsia="方正仿宋_GBK"/>
                <w:color w:val="auto"/>
                <w:szCs w:val="21"/>
              </w:rPr>
              <w:t>对全区已查明的51处地质灾害（古家坳不稳定斜坡已安装二级监测）及每年新生地质灾害开展群测群防监测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napToGrid w:val="0"/>
              <w:spacing w:line="240" w:lineRule="auto"/>
              <w:jc w:val="center"/>
              <w:rPr>
                <w:rFonts w:eastAsia="方正仿宋_GBK"/>
                <w:color w:val="auto"/>
                <w:szCs w:val="21"/>
              </w:rPr>
            </w:pPr>
            <w:r>
              <w:rPr>
                <w:rFonts w:eastAsia="方正仿宋_GBK"/>
                <w:color w:val="auto"/>
                <w:szCs w:val="21"/>
              </w:rPr>
              <w:t>4</w:t>
            </w:r>
          </w:p>
        </w:tc>
        <w:tc>
          <w:tcPr>
            <w:tcW w:w="2126" w:type="dxa"/>
            <w:vAlign w:val="center"/>
          </w:tcPr>
          <w:p>
            <w:pPr>
              <w:snapToGrid w:val="0"/>
              <w:rPr>
                <w:rFonts w:eastAsia="方正仿宋_GBK"/>
                <w:color w:val="auto"/>
                <w:szCs w:val="21"/>
              </w:rPr>
            </w:pPr>
            <w:r>
              <w:rPr>
                <w:rFonts w:eastAsia="方正仿宋_GBK"/>
                <w:color w:val="auto"/>
                <w:szCs w:val="21"/>
              </w:rPr>
              <w:t>加强智能化地质灾害预警系统应用</w:t>
            </w:r>
          </w:p>
        </w:tc>
        <w:tc>
          <w:tcPr>
            <w:tcW w:w="5670" w:type="dxa"/>
            <w:vAlign w:val="center"/>
          </w:tcPr>
          <w:p>
            <w:pPr>
              <w:snapToGrid w:val="0"/>
              <w:rPr>
                <w:rFonts w:eastAsia="方正仿宋_GBK"/>
                <w:color w:val="auto"/>
                <w:szCs w:val="21"/>
              </w:rPr>
            </w:pPr>
            <w:r>
              <w:rPr>
                <w:rFonts w:eastAsia="方正仿宋_GBK"/>
                <w:color w:val="auto"/>
                <w:szCs w:val="21"/>
              </w:rPr>
              <w:t>加强对地质灾害智能化预警和气象监测预警系统的应用</w:t>
            </w:r>
          </w:p>
        </w:tc>
      </w:tr>
    </w:tbl>
    <w:p>
      <w:pPr>
        <w:pStyle w:val="3"/>
        <w:keepNext w:val="0"/>
        <w:keepLines w:val="0"/>
        <w:snapToGrid w:val="0"/>
        <w:spacing w:before="0" w:after="0" w:line="288" w:lineRule="auto"/>
        <w:ind w:firstLine="640" w:firstLineChars="200"/>
        <w:rPr>
          <w:rFonts w:ascii="方正楷体_GBK" w:hAnsi="方正楷体_GBK" w:eastAsia="方正楷体_GBK" w:cs="方正楷体_GBK"/>
          <w:b w:val="0"/>
          <w:bCs w:val="0"/>
          <w:color w:val="auto"/>
        </w:rPr>
      </w:pPr>
      <w:bookmarkStart w:id="103" w:name="_Toc1389971281_WPSOffice_Level2"/>
      <w:bookmarkStart w:id="104" w:name="_Toc1484938120_WPSOffice_Level2"/>
      <w:bookmarkStart w:id="105" w:name="_Toc567884937_WPSOffice_Level2"/>
      <w:bookmarkStart w:id="106" w:name="_Toc81602523"/>
      <w:r>
        <w:rPr>
          <w:rFonts w:hint="eastAsia" w:ascii="方正楷体_GBK" w:hAnsi="方正楷体_GBK" w:eastAsia="方正楷体_GBK" w:cs="方正楷体_GBK"/>
          <w:b w:val="0"/>
          <w:bCs w:val="0"/>
          <w:color w:val="auto"/>
        </w:rPr>
        <w:t>（三）持续推进地质灾害防治工作</w:t>
      </w:r>
      <w:bookmarkEnd w:id="103"/>
      <w:bookmarkEnd w:id="104"/>
      <w:bookmarkEnd w:id="105"/>
      <w:bookmarkEnd w:id="106"/>
    </w:p>
    <w:p>
      <w:pPr>
        <w:pStyle w:val="7"/>
        <w:snapToGrid w:val="0"/>
        <w:spacing w:line="288" w:lineRule="auto"/>
        <w:ind w:firstLine="64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灾害防治工作是以消除地质灾害隐患威胁、减少受威胁人口、显著降低地质灾害风险为出发点，加大资金投入，基本完成威胁人员密集区重大地质灾害隐患的综合治理。持续推进地质灾害防治工程，有助于最大限度保障人民群众生命安全，最大化降低地质灾害造成的损失，提升人民群众的幸福感和安全感。</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1</w:t>
      </w:r>
      <w:r>
        <w:rPr>
          <w:rFonts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rPr>
        <w:t>工程治理工程：</w:t>
      </w:r>
      <w:r>
        <w:rPr>
          <w:rFonts w:hint="eastAsia" w:ascii="方正仿宋_GBK" w:hAnsi="方正仿宋_GBK" w:eastAsia="方正仿宋_GBK" w:cs="方正仿宋_GBK"/>
          <w:color w:val="auto"/>
          <w:sz w:val="32"/>
          <w:szCs w:val="32"/>
        </w:rPr>
        <w:t>选择威胁人口多、财产大、稳定性较差、风险等级高、不宜避险移民搬迁的地质灾害隐患点开展工程治理，同时对威胁集镇的地质灾害隐患点开展集中治理。</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十四五”期间，目前区内无大型地质灾害隐患点，规划部署8处中小地质灾害的工程治理（其中1处正在简易治理、2处建议简易治理）。并开展治理工程效果评估，对其中受损或防治能力降低的地质灾害治理工程实施维修。</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2</w:t>
      </w:r>
      <w:r>
        <w:rPr>
          <w:rFonts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rPr>
        <w:t>避险移民搬迁工程：</w:t>
      </w:r>
      <w:r>
        <w:rPr>
          <w:rFonts w:hint="eastAsia" w:ascii="方正仿宋_GBK" w:hAnsi="方正仿宋_GBK" w:eastAsia="方正仿宋_GBK" w:cs="方正仿宋_GBK"/>
          <w:color w:val="auto"/>
          <w:sz w:val="32"/>
          <w:szCs w:val="32"/>
        </w:rPr>
        <w:t>以消除地质灾害隐患威胁、减少受威胁人口为出发点，结合国土空间规划和城乡规划，加强源头管控，加大地质灾害避险移民搬迁工作力度和资金投入，最大限度保障人民群众生命安全。规划部署16处地质灾害的避险移民搬迁工程。</w:t>
      </w:r>
    </w:p>
    <w:p>
      <w:pPr>
        <w:jc w:val="center"/>
        <w:rPr>
          <w:rFonts w:eastAsia="黑体"/>
          <w:color w:val="auto"/>
          <w:sz w:val="24"/>
        </w:rPr>
      </w:pPr>
      <w:r>
        <w:rPr>
          <w:rFonts w:eastAsia="黑体"/>
          <w:color w:val="auto"/>
          <w:sz w:val="24"/>
        </w:rPr>
        <w:t>表4</w:t>
      </w:r>
      <w:r>
        <w:rPr>
          <w:rFonts w:hint="eastAsia" w:eastAsia="黑体"/>
          <w:color w:val="auto"/>
          <w:sz w:val="24"/>
        </w:rPr>
        <w:t>-</w:t>
      </w:r>
      <w:r>
        <w:rPr>
          <w:rFonts w:eastAsia="黑体"/>
          <w:color w:val="auto"/>
          <w:sz w:val="24"/>
        </w:rPr>
        <w:t>3   “十四五”</w:t>
      </w:r>
      <w:r>
        <w:rPr>
          <w:rFonts w:hint="eastAsia" w:eastAsia="黑体"/>
          <w:color w:val="auto"/>
          <w:sz w:val="24"/>
        </w:rPr>
        <w:t>地质灾害防治</w:t>
      </w:r>
      <w:r>
        <w:rPr>
          <w:rFonts w:eastAsia="黑体"/>
          <w:color w:val="auto"/>
          <w:sz w:val="24"/>
        </w:rPr>
        <w:t>工作部署</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85"/>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 w:type="dxa"/>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序号</w:t>
            </w:r>
          </w:p>
        </w:tc>
        <w:tc>
          <w:tcPr>
            <w:tcW w:w="1985" w:type="dxa"/>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项目名称</w:t>
            </w:r>
          </w:p>
        </w:tc>
        <w:tc>
          <w:tcPr>
            <w:tcW w:w="5953" w:type="dxa"/>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 w:type="dxa"/>
            <w:vAlign w:val="center"/>
          </w:tcPr>
          <w:p>
            <w:pPr>
              <w:spacing w:line="520" w:lineRule="exact"/>
              <w:jc w:val="center"/>
              <w:rPr>
                <w:rFonts w:eastAsia="方正仿宋_GBK"/>
                <w:color w:val="auto"/>
                <w:szCs w:val="21"/>
              </w:rPr>
            </w:pPr>
            <w:r>
              <w:rPr>
                <w:rFonts w:eastAsia="方正仿宋_GBK"/>
                <w:color w:val="auto"/>
                <w:szCs w:val="21"/>
              </w:rPr>
              <w:t>1</w:t>
            </w:r>
          </w:p>
        </w:tc>
        <w:tc>
          <w:tcPr>
            <w:tcW w:w="1985" w:type="dxa"/>
            <w:vAlign w:val="center"/>
          </w:tcPr>
          <w:p>
            <w:pPr>
              <w:rPr>
                <w:rFonts w:eastAsia="方正仿宋_GBK"/>
                <w:color w:val="auto"/>
                <w:szCs w:val="21"/>
              </w:rPr>
            </w:pPr>
            <w:r>
              <w:rPr>
                <w:rFonts w:eastAsia="方正仿宋_GBK"/>
                <w:color w:val="auto"/>
                <w:szCs w:val="21"/>
              </w:rPr>
              <w:t>工程治理工程</w:t>
            </w:r>
          </w:p>
        </w:tc>
        <w:tc>
          <w:tcPr>
            <w:tcW w:w="5953" w:type="dxa"/>
            <w:vAlign w:val="center"/>
          </w:tcPr>
          <w:p>
            <w:pPr>
              <w:rPr>
                <w:rFonts w:eastAsia="方正仿宋_GBK"/>
                <w:color w:val="auto"/>
                <w:szCs w:val="21"/>
              </w:rPr>
            </w:pPr>
            <w:r>
              <w:rPr>
                <w:rFonts w:eastAsia="方正仿宋_GBK"/>
                <w:color w:val="auto"/>
                <w:szCs w:val="21"/>
              </w:rPr>
              <w:t>规划部署8处中小地质灾害的工程治理（其中1处正在简易治理、2处建议简易治理）。并开展治理工程效果评估，对其中受损或防治能力降低的地质灾害治理工程实施维修。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 w:type="dxa"/>
            <w:vAlign w:val="center"/>
          </w:tcPr>
          <w:p>
            <w:pPr>
              <w:spacing w:line="520" w:lineRule="exact"/>
              <w:jc w:val="center"/>
              <w:rPr>
                <w:rFonts w:eastAsia="方正仿宋_GBK"/>
                <w:color w:val="auto"/>
                <w:szCs w:val="21"/>
              </w:rPr>
            </w:pPr>
            <w:r>
              <w:rPr>
                <w:rFonts w:eastAsia="方正仿宋_GBK"/>
                <w:color w:val="auto"/>
                <w:szCs w:val="21"/>
              </w:rPr>
              <w:t>2</w:t>
            </w:r>
          </w:p>
        </w:tc>
        <w:tc>
          <w:tcPr>
            <w:tcW w:w="1985" w:type="dxa"/>
            <w:vAlign w:val="center"/>
          </w:tcPr>
          <w:p>
            <w:pPr>
              <w:rPr>
                <w:rFonts w:eastAsia="方正仿宋_GBK"/>
                <w:color w:val="auto"/>
                <w:szCs w:val="21"/>
              </w:rPr>
            </w:pPr>
            <w:r>
              <w:rPr>
                <w:rFonts w:eastAsia="方正仿宋_GBK"/>
                <w:color w:val="auto"/>
                <w:szCs w:val="21"/>
              </w:rPr>
              <w:t>避险移民搬迁工程</w:t>
            </w:r>
          </w:p>
        </w:tc>
        <w:tc>
          <w:tcPr>
            <w:tcW w:w="5953" w:type="dxa"/>
            <w:vAlign w:val="center"/>
          </w:tcPr>
          <w:p>
            <w:pPr>
              <w:rPr>
                <w:rFonts w:eastAsia="方正仿宋_GBK"/>
                <w:color w:val="auto"/>
                <w:szCs w:val="21"/>
              </w:rPr>
            </w:pPr>
            <w:r>
              <w:rPr>
                <w:rFonts w:eastAsia="方正仿宋_GBK"/>
                <w:color w:val="auto"/>
                <w:szCs w:val="21"/>
              </w:rPr>
              <w:t>规划部署16处地质灾害的避险移民搬迁工程。</w:t>
            </w:r>
          </w:p>
        </w:tc>
      </w:tr>
    </w:tbl>
    <w:p>
      <w:pPr>
        <w:pStyle w:val="3"/>
        <w:keepNext w:val="0"/>
        <w:keepLines w:val="0"/>
        <w:snapToGrid w:val="0"/>
        <w:spacing w:before="0" w:after="0" w:line="288" w:lineRule="auto"/>
        <w:ind w:firstLine="640" w:firstLineChars="200"/>
        <w:rPr>
          <w:rFonts w:ascii="方正楷体_GBK" w:hAnsi="方正楷体_GBK" w:eastAsia="方正楷体_GBK" w:cs="方正楷体_GBK"/>
          <w:b w:val="0"/>
          <w:bCs w:val="0"/>
          <w:color w:val="auto"/>
        </w:rPr>
      </w:pPr>
      <w:bookmarkStart w:id="107" w:name="_Toc2126852564_WPSOffice_Level2"/>
      <w:bookmarkStart w:id="108" w:name="_Toc81602524"/>
      <w:bookmarkStart w:id="109" w:name="_Toc1560018243_WPSOffice_Level2"/>
      <w:bookmarkStart w:id="110" w:name="_Toc48615806_WPSOffice_Level2"/>
      <w:r>
        <w:rPr>
          <w:rFonts w:hint="eastAsia" w:ascii="方正楷体_GBK" w:hAnsi="方正楷体_GBK" w:eastAsia="方正楷体_GBK" w:cs="方正楷体_GBK"/>
          <w:b w:val="0"/>
          <w:bCs w:val="0"/>
          <w:color w:val="auto"/>
        </w:rPr>
        <w:t>（四）提高应急救援水平</w:t>
      </w:r>
      <w:bookmarkEnd w:id="107"/>
      <w:bookmarkEnd w:id="108"/>
      <w:bookmarkEnd w:id="109"/>
      <w:bookmarkEnd w:id="110"/>
    </w:p>
    <w:p>
      <w:pPr>
        <w:pStyle w:val="7"/>
        <w:snapToGrid w:val="0"/>
        <w:spacing w:line="288" w:lineRule="auto"/>
        <w:ind w:firstLine="64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完善应急管理制度建设，加快构建应急管理联动协同体制，加强地质灾害应急救援队伍建设，补强应急管理人员、技术及资源短板，强化应急保障，推动应急救援中心建设，完善应急救援信息系统建设，显著提升地质灾害应急救援能力与水平。</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w:t>
      </w:r>
      <w:r>
        <w:rPr>
          <w:rFonts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rPr>
        <w:t>应急救援中心建设：完善地质灾害应急救援体制机制，加强对市级地质灾害应急救援信息系统应用和区应急救援中心建设。</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w:t>
      </w:r>
      <w:r>
        <w:rPr>
          <w:rFonts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rPr>
        <w:t>应急救援队伍建设：加强区地质灾害应急救援队伍建设，应急救援队伍工作人员不低于30人。完善应急救援队伍制度建设，规范工作程序，强化日常培训训练。</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3</w:t>
      </w:r>
      <w:r>
        <w:rPr>
          <w:rFonts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rPr>
        <w:t>加强应急救援装备配置：加强搜救装备、交通装备、保障装备、通讯装备、医疗装备及个人防护装备等应急救援装备配置，提升应急救援能力。</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4</w:t>
      </w:r>
      <w:r>
        <w:rPr>
          <w:rFonts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rPr>
        <w:t>做好应急救援物资储备：在地质灾害高易发区和重点地质灾害隐患点选择地质安全、条件相对较好的区域建设应急避险场所，确保临时避险搬迁群众能撤得出、住得稳。</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5</w:t>
      </w:r>
      <w:r>
        <w:rPr>
          <w:rFonts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rPr>
        <w:t>应急避险场所建设：做好帐篷、棉被、睡袋、折叠床、折叠桌椅、场地照明设备、应急灯等生活类应急救援物资储备工作，确保应急救援工作不脱节。</w:t>
      </w:r>
    </w:p>
    <w:p>
      <w:pPr>
        <w:snapToGrid w:val="0"/>
        <w:spacing w:line="288" w:lineRule="auto"/>
        <w:ind w:firstLine="640" w:firstLineChars="200"/>
        <w:rPr>
          <w:rFonts w:eastAsia="仿宋_GB2312"/>
          <w:color w:val="auto"/>
          <w:sz w:val="24"/>
        </w:rPr>
      </w:pPr>
      <w:r>
        <w:rPr>
          <w:rFonts w:hint="eastAsia" w:ascii="方正仿宋_GBK" w:hAnsi="方正仿宋_GBK" w:eastAsia="方正仿宋_GBK" w:cs="方正仿宋_GBK"/>
          <w:color w:val="auto"/>
          <w:sz w:val="32"/>
          <w:szCs w:val="32"/>
        </w:rPr>
        <w:t>6</w:t>
      </w:r>
      <w:r>
        <w:rPr>
          <w:rFonts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rPr>
        <w:t>加强应急救援演练：完善应急救援预案，不定期分类分级组织开展各类地质灾害灾险情应急救援演练，提升突发地质灾害应急救援能力。</w:t>
      </w:r>
    </w:p>
    <w:p>
      <w:pPr>
        <w:jc w:val="center"/>
        <w:rPr>
          <w:rFonts w:eastAsia="黑体"/>
          <w:color w:val="auto"/>
          <w:sz w:val="24"/>
        </w:rPr>
      </w:pPr>
      <w:r>
        <w:rPr>
          <w:rFonts w:hint="eastAsia" w:eastAsia="黑体"/>
          <w:color w:val="auto"/>
          <w:sz w:val="24"/>
        </w:rPr>
        <w:t>表4-4   应急救援水平建设工作部署</w:t>
      </w:r>
    </w:p>
    <w:tbl>
      <w:tblPr>
        <w:tblStyle w:val="18"/>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2058"/>
        <w:gridCol w:w="5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58" w:type="dxa"/>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序号</w:t>
            </w:r>
          </w:p>
        </w:tc>
        <w:tc>
          <w:tcPr>
            <w:tcW w:w="2058" w:type="dxa"/>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项目名称</w:t>
            </w:r>
          </w:p>
        </w:tc>
        <w:tc>
          <w:tcPr>
            <w:tcW w:w="5503" w:type="dxa"/>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8" w:type="dxa"/>
            <w:vAlign w:val="center"/>
          </w:tcPr>
          <w:p>
            <w:pPr>
              <w:snapToGrid w:val="0"/>
              <w:spacing w:line="240" w:lineRule="auto"/>
              <w:jc w:val="center"/>
              <w:rPr>
                <w:rFonts w:eastAsia="方正仿宋_GBK"/>
                <w:color w:val="auto"/>
                <w:szCs w:val="21"/>
              </w:rPr>
            </w:pPr>
            <w:r>
              <w:rPr>
                <w:rFonts w:eastAsia="方正仿宋_GBK"/>
                <w:color w:val="auto"/>
                <w:szCs w:val="21"/>
              </w:rPr>
              <w:t>1</w:t>
            </w:r>
          </w:p>
        </w:tc>
        <w:tc>
          <w:tcPr>
            <w:tcW w:w="2058" w:type="dxa"/>
            <w:vAlign w:val="center"/>
          </w:tcPr>
          <w:p>
            <w:pPr>
              <w:snapToGrid w:val="0"/>
              <w:spacing w:line="240" w:lineRule="auto"/>
              <w:rPr>
                <w:rFonts w:eastAsia="方正仿宋_GBK"/>
                <w:color w:val="auto"/>
                <w:szCs w:val="21"/>
              </w:rPr>
            </w:pPr>
            <w:r>
              <w:rPr>
                <w:rFonts w:eastAsia="方正仿宋_GBK"/>
                <w:color w:val="auto"/>
                <w:szCs w:val="21"/>
              </w:rPr>
              <w:t>应急救援中心建设</w:t>
            </w:r>
          </w:p>
        </w:tc>
        <w:tc>
          <w:tcPr>
            <w:tcW w:w="5503" w:type="dxa"/>
            <w:vAlign w:val="center"/>
          </w:tcPr>
          <w:p>
            <w:pPr>
              <w:snapToGrid w:val="0"/>
              <w:spacing w:line="240" w:lineRule="auto"/>
              <w:rPr>
                <w:rFonts w:eastAsia="方正仿宋_GBK"/>
                <w:color w:val="auto"/>
                <w:szCs w:val="21"/>
              </w:rPr>
            </w:pPr>
            <w:r>
              <w:rPr>
                <w:rFonts w:eastAsia="方正仿宋_GBK"/>
                <w:color w:val="auto"/>
                <w:szCs w:val="21"/>
              </w:rPr>
              <w:t>加强对市级地质灾害应急救援信息系统应用和区应急救援中心建设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58" w:type="dxa"/>
            <w:vAlign w:val="center"/>
          </w:tcPr>
          <w:p>
            <w:pPr>
              <w:snapToGrid w:val="0"/>
              <w:spacing w:line="240" w:lineRule="auto"/>
              <w:jc w:val="center"/>
              <w:rPr>
                <w:rFonts w:eastAsia="方正仿宋_GBK"/>
                <w:color w:val="auto"/>
                <w:szCs w:val="21"/>
              </w:rPr>
            </w:pPr>
            <w:r>
              <w:rPr>
                <w:rFonts w:eastAsia="方正仿宋_GBK"/>
                <w:color w:val="auto"/>
                <w:szCs w:val="21"/>
              </w:rPr>
              <w:t>2</w:t>
            </w:r>
          </w:p>
        </w:tc>
        <w:tc>
          <w:tcPr>
            <w:tcW w:w="2058" w:type="dxa"/>
            <w:vAlign w:val="center"/>
          </w:tcPr>
          <w:p>
            <w:pPr>
              <w:snapToGrid w:val="0"/>
              <w:spacing w:line="240" w:lineRule="auto"/>
              <w:rPr>
                <w:rFonts w:eastAsia="方正仿宋_GBK"/>
                <w:color w:val="auto"/>
                <w:szCs w:val="21"/>
              </w:rPr>
            </w:pPr>
            <w:r>
              <w:rPr>
                <w:rFonts w:eastAsia="方正仿宋_GBK"/>
                <w:color w:val="auto"/>
                <w:szCs w:val="21"/>
              </w:rPr>
              <w:t>应急救援队伍建设</w:t>
            </w:r>
          </w:p>
        </w:tc>
        <w:tc>
          <w:tcPr>
            <w:tcW w:w="5503" w:type="dxa"/>
            <w:vAlign w:val="center"/>
          </w:tcPr>
          <w:p>
            <w:pPr>
              <w:snapToGrid w:val="0"/>
              <w:spacing w:line="240" w:lineRule="auto"/>
              <w:rPr>
                <w:rFonts w:eastAsia="方正仿宋_GBK"/>
                <w:color w:val="auto"/>
                <w:szCs w:val="21"/>
              </w:rPr>
            </w:pPr>
            <w:r>
              <w:rPr>
                <w:rFonts w:eastAsia="方正仿宋_GBK"/>
                <w:color w:val="auto"/>
                <w:szCs w:val="21"/>
              </w:rPr>
              <w:t>应急救援队伍工作人员不低于30人。完善应急救援队伍制度建设，规范工作程序，强化日常培训训练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jc w:val="center"/>
        </w:trPr>
        <w:tc>
          <w:tcPr>
            <w:tcW w:w="858" w:type="dxa"/>
            <w:vAlign w:val="center"/>
          </w:tcPr>
          <w:p>
            <w:pPr>
              <w:snapToGrid w:val="0"/>
              <w:spacing w:line="240" w:lineRule="auto"/>
              <w:jc w:val="center"/>
              <w:rPr>
                <w:rFonts w:eastAsia="方正仿宋_GBK"/>
                <w:color w:val="auto"/>
                <w:szCs w:val="21"/>
              </w:rPr>
            </w:pPr>
            <w:r>
              <w:rPr>
                <w:rFonts w:eastAsia="方正仿宋_GBK"/>
                <w:color w:val="auto"/>
                <w:szCs w:val="21"/>
              </w:rPr>
              <w:t>3</w:t>
            </w:r>
          </w:p>
        </w:tc>
        <w:tc>
          <w:tcPr>
            <w:tcW w:w="2058" w:type="dxa"/>
            <w:vAlign w:val="center"/>
          </w:tcPr>
          <w:p>
            <w:pPr>
              <w:snapToGrid w:val="0"/>
              <w:spacing w:line="240" w:lineRule="auto"/>
              <w:rPr>
                <w:rFonts w:eastAsia="方正仿宋_GBK"/>
                <w:color w:val="auto"/>
                <w:szCs w:val="21"/>
              </w:rPr>
            </w:pPr>
            <w:r>
              <w:rPr>
                <w:rFonts w:eastAsia="方正仿宋_GBK"/>
                <w:color w:val="auto"/>
                <w:szCs w:val="21"/>
              </w:rPr>
              <w:t>加强应急救援装备配置</w:t>
            </w:r>
          </w:p>
        </w:tc>
        <w:tc>
          <w:tcPr>
            <w:tcW w:w="5503" w:type="dxa"/>
            <w:vAlign w:val="center"/>
          </w:tcPr>
          <w:p>
            <w:pPr>
              <w:snapToGrid w:val="0"/>
              <w:spacing w:line="240" w:lineRule="auto"/>
              <w:rPr>
                <w:rFonts w:eastAsia="方正仿宋_GBK"/>
                <w:color w:val="auto"/>
                <w:szCs w:val="21"/>
              </w:rPr>
            </w:pPr>
            <w:r>
              <w:rPr>
                <w:rFonts w:eastAsia="方正仿宋_GBK"/>
                <w:color w:val="auto"/>
                <w:szCs w:val="21"/>
              </w:rPr>
              <w:t>加强搜救装备、交通装备、保障装备、通讯装备、医疗装备及个人防护装备等应急救援装备配置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58" w:type="dxa"/>
            <w:vAlign w:val="center"/>
          </w:tcPr>
          <w:p>
            <w:pPr>
              <w:snapToGrid w:val="0"/>
              <w:spacing w:line="240" w:lineRule="auto"/>
              <w:jc w:val="center"/>
              <w:rPr>
                <w:rFonts w:eastAsia="方正仿宋_GBK"/>
                <w:color w:val="auto"/>
                <w:szCs w:val="21"/>
              </w:rPr>
            </w:pPr>
            <w:r>
              <w:rPr>
                <w:rFonts w:eastAsia="方正仿宋_GBK"/>
                <w:color w:val="auto"/>
                <w:szCs w:val="21"/>
              </w:rPr>
              <w:t>4</w:t>
            </w:r>
          </w:p>
        </w:tc>
        <w:tc>
          <w:tcPr>
            <w:tcW w:w="2058" w:type="dxa"/>
            <w:vAlign w:val="center"/>
          </w:tcPr>
          <w:p>
            <w:pPr>
              <w:snapToGrid w:val="0"/>
              <w:spacing w:line="240" w:lineRule="auto"/>
              <w:rPr>
                <w:rFonts w:eastAsia="方正仿宋_GBK"/>
                <w:color w:val="auto"/>
                <w:szCs w:val="21"/>
              </w:rPr>
            </w:pPr>
            <w:r>
              <w:rPr>
                <w:rFonts w:eastAsia="方正仿宋_GBK"/>
                <w:color w:val="auto"/>
                <w:szCs w:val="21"/>
              </w:rPr>
              <w:t>做好应急救援物资储备</w:t>
            </w:r>
          </w:p>
        </w:tc>
        <w:tc>
          <w:tcPr>
            <w:tcW w:w="5503" w:type="dxa"/>
            <w:vAlign w:val="center"/>
          </w:tcPr>
          <w:p>
            <w:pPr>
              <w:snapToGrid w:val="0"/>
              <w:spacing w:line="240" w:lineRule="auto"/>
              <w:rPr>
                <w:rFonts w:eastAsia="方正仿宋_GBK"/>
                <w:color w:val="auto"/>
                <w:szCs w:val="21"/>
              </w:rPr>
            </w:pPr>
            <w:r>
              <w:rPr>
                <w:rFonts w:eastAsia="方正仿宋_GBK"/>
                <w:color w:val="auto"/>
                <w:szCs w:val="21"/>
              </w:rPr>
              <w:t>在地质灾害高易发区和重点地质灾害隐患点选择地质安全、条件相对较好的区域建设应急避险场所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58" w:type="dxa"/>
            <w:vAlign w:val="center"/>
          </w:tcPr>
          <w:p>
            <w:pPr>
              <w:snapToGrid w:val="0"/>
              <w:spacing w:line="240" w:lineRule="auto"/>
              <w:jc w:val="center"/>
              <w:rPr>
                <w:rFonts w:eastAsia="方正仿宋_GBK"/>
                <w:color w:val="auto"/>
                <w:szCs w:val="21"/>
              </w:rPr>
            </w:pPr>
            <w:r>
              <w:rPr>
                <w:rFonts w:eastAsia="方正仿宋_GBK"/>
                <w:color w:val="auto"/>
                <w:szCs w:val="21"/>
              </w:rPr>
              <w:t>5</w:t>
            </w:r>
          </w:p>
        </w:tc>
        <w:tc>
          <w:tcPr>
            <w:tcW w:w="2058" w:type="dxa"/>
            <w:vAlign w:val="center"/>
          </w:tcPr>
          <w:p>
            <w:pPr>
              <w:snapToGrid w:val="0"/>
              <w:spacing w:line="240" w:lineRule="auto"/>
              <w:rPr>
                <w:rFonts w:eastAsia="方正仿宋_GBK"/>
                <w:color w:val="auto"/>
                <w:szCs w:val="21"/>
              </w:rPr>
            </w:pPr>
            <w:r>
              <w:rPr>
                <w:rFonts w:eastAsia="方正仿宋_GBK"/>
                <w:color w:val="auto"/>
                <w:szCs w:val="21"/>
              </w:rPr>
              <w:t>应急避险场所建设</w:t>
            </w:r>
          </w:p>
        </w:tc>
        <w:tc>
          <w:tcPr>
            <w:tcW w:w="5503" w:type="dxa"/>
            <w:vAlign w:val="center"/>
          </w:tcPr>
          <w:p>
            <w:pPr>
              <w:snapToGrid w:val="0"/>
              <w:spacing w:line="240" w:lineRule="auto"/>
              <w:rPr>
                <w:rFonts w:eastAsia="方正仿宋_GBK"/>
                <w:color w:val="auto"/>
                <w:szCs w:val="21"/>
              </w:rPr>
            </w:pPr>
            <w:r>
              <w:rPr>
                <w:rFonts w:eastAsia="方正仿宋_GBK"/>
                <w:color w:val="auto"/>
                <w:szCs w:val="21"/>
              </w:rPr>
              <w:t>做好帐篷、棉被、睡袋、折叠床、折叠桌椅、场地照明设备、应急灯等生活类应急救援物资储备工作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58" w:type="dxa"/>
            <w:vAlign w:val="center"/>
          </w:tcPr>
          <w:p>
            <w:pPr>
              <w:snapToGrid w:val="0"/>
              <w:spacing w:line="240" w:lineRule="auto"/>
              <w:jc w:val="center"/>
              <w:rPr>
                <w:rFonts w:eastAsia="方正仿宋_GBK"/>
                <w:color w:val="auto"/>
                <w:szCs w:val="21"/>
              </w:rPr>
            </w:pPr>
            <w:r>
              <w:rPr>
                <w:rFonts w:eastAsia="方正仿宋_GBK"/>
                <w:color w:val="auto"/>
                <w:szCs w:val="21"/>
              </w:rPr>
              <w:t>6</w:t>
            </w:r>
          </w:p>
        </w:tc>
        <w:tc>
          <w:tcPr>
            <w:tcW w:w="2058" w:type="dxa"/>
            <w:vAlign w:val="center"/>
          </w:tcPr>
          <w:p>
            <w:pPr>
              <w:snapToGrid w:val="0"/>
              <w:spacing w:line="240" w:lineRule="auto"/>
              <w:rPr>
                <w:rFonts w:eastAsia="方正仿宋_GBK"/>
                <w:color w:val="auto"/>
                <w:szCs w:val="21"/>
              </w:rPr>
            </w:pPr>
            <w:r>
              <w:rPr>
                <w:rFonts w:eastAsia="方正仿宋_GBK"/>
                <w:color w:val="auto"/>
                <w:szCs w:val="21"/>
              </w:rPr>
              <w:t>加强应急救援演练</w:t>
            </w:r>
          </w:p>
        </w:tc>
        <w:tc>
          <w:tcPr>
            <w:tcW w:w="5503" w:type="dxa"/>
            <w:vAlign w:val="center"/>
          </w:tcPr>
          <w:p>
            <w:pPr>
              <w:snapToGrid w:val="0"/>
              <w:spacing w:line="240" w:lineRule="auto"/>
              <w:rPr>
                <w:rFonts w:eastAsia="方正仿宋_GBK"/>
                <w:color w:val="auto"/>
                <w:szCs w:val="21"/>
              </w:rPr>
            </w:pPr>
            <w:r>
              <w:rPr>
                <w:rFonts w:eastAsia="方正仿宋_GBK"/>
                <w:color w:val="auto"/>
                <w:szCs w:val="21"/>
              </w:rPr>
              <w:t>完善应急救援预案，不定期分类分级组织开展各类地质灾害灾险情应急救援演练</w:t>
            </w:r>
          </w:p>
        </w:tc>
      </w:tr>
    </w:tbl>
    <w:p>
      <w:pPr>
        <w:pStyle w:val="3"/>
        <w:keepNext w:val="0"/>
        <w:keepLines w:val="0"/>
        <w:snapToGrid w:val="0"/>
        <w:spacing w:before="0" w:after="0" w:line="288" w:lineRule="auto"/>
        <w:ind w:firstLine="640" w:firstLineChars="200"/>
        <w:rPr>
          <w:rFonts w:ascii="方正楷体_GBK" w:hAnsi="方正楷体_GBK" w:eastAsia="方正楷体_GBK" w:cs="方正楷体_GBK"/>
          <w:b w:val="0"/>
          <w:bCs w:val="0"/>
          <w:color w:val="auto"/>
        </w:rPr>
      </w:pPr>
      <w:bookmarkStart w:id="111" w:name="_Toc236556719_WPSOffice_Level2"/>
      <w:bookmarkStart w:id="112" w:name="_Toc81602525"/>
      <w:bookmarkStart w:id="113" w:name="_Toc1224899919_WPSOffice_Level2"/>
      <w:bookmarkStart w:id="114" w:name="_Toc1416454203_WPSOffice_Level2"/>
      <w:r>
        <w:rPr>
          <w:rFonts w:hint="eastAsia" w:ascii="方正楷体_GBK" w:hAnsi="方正楷体_GBK" w:eastAsia="方正楷体_GBK" w:cs="方正楷体_GBK"/>
          <w:b w:val="0"/>
          <w:bCs w:val="0"/>
          <w:color w:val="auto"/>
        </w:rPr>
        <w:t>（五）加强基层风险防控能力建设</w:t>
      </w:r>
      <w:bookmarkEnd w:id="111"/>
      <w:bookmarkEnd w:id="112"/>
      <w:bookmarkEnd w:id="113"/>
      <w:bookmarkEnd w:id="114"/>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加强基层风险防控能力建设，应进一步加强</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四重</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网格员、技术支撑队伍和各级地质防治机构能力建设，推进地质灾害防治技术装备现代化和专用设备配置，提升我市防灾能力和水平。通过强化宣传培训、避险演练等工作，增加全民减灾防灾意识和应对地质灾害灾险情能力。</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1</w:t>
      </w:r>
      <w:r>
        <w:rPr>
          <w:rFonts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rPr>
        <w:t>“四重”网格员建设:</w:t>
      </w:r>
      <w:r>
        <w:rPr>
          <w:rFonts w:hint="eastAsia" w:ascii="方正仿宋_GBK" w:hAnsi="方正仿宋_GBK" w:eastAsia="方正仿宋_GBK" w:cs="方正仿宋_GBK"/>
          <w:color w:val="auto"/>
          <w:sz w:val="32"/>
          <w:szCs w:val="32"/>
        </w:rPr>
        <w:t>加强片区负责人和群测群防员能力建设，配备简易地质灾害防治设备，群测群防员和片区负责人每年不少于1次集中培训，驻守地质队员不定期给群测群防员和片区负责人开展地灾知识培训。加强驻守地质队员的管理和驻守制度建设，确保汛期驻守区县地质灾害防治覆盖率100%，保障驻守地质队员手持GPS、激光测距仪、无人机、野外数据采集系统等基本设备配置，定期开展驻守地质队员驻守工作培训。每个镇街按防灾需求配备一定数量专业技术人员（1~2名），配备手持GPS、数码摄像机、对讲机、便携式计算机等常用专用设备。</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2</w:t>
      </w:r>
      <w:r>
        <w:rPr>
          <w:rFonts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rPr>
        <w:t>技术支撑队伍建设:</w:t>
      </w:r>
      <w:r>
        <w:rPr>
          <w:rFonts w:hint="eastAsia" w:ascii="方正仿宋_GBK" w:hAnsi="方正仿宋_GBK" w:eastAsia="方正仿宋_GBK" w:cs="方正仿宋_GBK"/>
          <w:color w:val="auto"/>
          <w:sz w:val="32"/>
          <w:szCs w:val="32"/>
        </w:rPr>
        <w:t>一是对技术支撑单位专业队伍及专家实行动态管理，加强业务培训，按市级要求，每年集中1-2次业务知识学习，提升专业队伍技术支撑能力。二是对地质灾害防治技术支撑单位配备排查调查、监测预警、野外工作专业设备。</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b w:val="0"/>
          <w:bCs w:val="0"/>
          <w:color w:val="auto"/>
          <w:sz w:val="32"/>
          <w:szCs w:val="32"/>
        </w:rPr>
        <w:t>3</w:t>
      </w:r>
      <w:r>
        <w:rPr>
          <w:rFonts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rPr>
        <w:t>加大地质灾害防治人员业务培训:</w:t>
      </w:r>
      <w:r>
        <w:rPr>
          <w:rFonts w:hint="eastAsia" w:ascii="方正仿宋_GBK" w:hAnsi="方正仿宋_GBK" w:eastAsia="方正仿宋_GBK" w:cs="方正仿宋_GBK"/>
          <w:color w:val="auto"/>
          <w:sz w:val="32"/>
          <w:szCs w:val="32"/>
        </w:rPr>
        <w:t>定期组织地质灾害防治管理人员及技术人员开展业务培训、技术交流，开展地质灾害防治工作表彰及经验交流会，可定期向市级申请派驻专家进行地质灾害防治工作技术指导。</w:t>
      </w:r>
    </w:p>
    <w:p>
      <w:pPr>
        <w:jc w:val="center"/>
        <w:rPr>
          <w:rFonts w:eastAsia="黑体"/>
          <w:color w:val="auto"/>
          <w:sz w:val="24"/>
        </w:rPr>
      </w:pPr>
      <w:r>
        <w:rPr>
          <w:rFonts w:eastAsia="黑体"/>
          <w:color w:val="auto"/>
          <w:sz w:val="24"/>
        </w:rPr>
        <w:t>表4</w:t>
      </w:r>
      <w:r>
        <w:rPr>
          <w:rFonts w:hint="eastAsia" w:eastAsia="黑体"/>
          <w:color w:val="auto"/>
          <w:sz w:val="24"/>
        </w:rPr>
        <w:t>-</w:t>
      </w:r>
      <w:r>
        <w:rPr>
          <w:rFonts w:eastAsia="黑体"/>
          <w:color w:val="auto"/>
          <w:sz w:val="24"/>
        </w:rPr>
        <w:t xml:space="preserve">5   </w:t>
      </w:r>
      <w:r>
        <w:rPr>
          <w:rFonts w:hint="eastAsia" w:eastAsia="黑体"/>
          <w:color w:val="auto"/>
          <w:sz w:val="24"/>
        </w:rPr>
        <w:t>基层风险防控能力建设</w:t>
      </w:r>
      <w:r>
        <w:rPr>
          <w:rFonts w:eastAsia="黑体"/>
          <w:color w:val="auto"/>
          <w:sz w:val="24"/>
        </w:rPr>
        <w:t>工作部署</w:t>
      </w:r>
    </w:p>
    <w:tbl>
      <w:tblPr>
        <w:tblStyle w:val="18"/>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2115"/>
        <w:gridCol w:w="5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42" w:type="dxa"/>
            <w:vAlign w:val="center"/>
          </w:tcPr>
          <w:p>
            <w:pPr>
              <w:snapToGrid w:val="0"/>
              <w:spacing w:line="276" w:lineRule="auto"/>
              <w:jc w:val="center"/>
              <w:rPr>
                <w:rFonts w:eastAsia="方正仿宋_GBK"/>
                <w:color w:val="auto"/>
                <w:szCs w:val="21"/>
              </w:rPr>
            </w:pPr>
            <w:r>
              <w:rPr>
                <w:rFonts w:eastAsia="方正仿宋_GBK"/>
                <w:color w:val="auto"/>
                <w:szCs w:val="21"/>
              </w:rPr>
              <w:t>序号</w:t>
            </w:r>
          </w:p>
        </w:tc>
        <w:tc>
          <w:tcPr>
            <w:tcW w:w="2115" w:type="dxa"/>
            <w:vAlign w:val="center"/>
          </w:tcPr>
          <w:p>
            <w:pPr>
              <w:snapToGrid w:val="0"/>
              <w:spacing w:line="276" w:lineRule="auto"/>
              <w:jc w:val="center"/>
              <w:rPr>
                <w:rFonts w:eastAsia="方正仿宋_GBK"/>
                <w:color w:val="auto"/>
                <w:szCs w:val="21"/>
              </w:rPr>
            </w:pPr>
            <w:r>
              <w:rPr>
                <w:rFonts w:eastAsia="方正仿宋_GBK"/>
                <w:color w:val="auto"/>
                <w:szCs w:val="21"/>
              </w:rPr>
              <w:t>项目名称</w:t>
            </w:r>
          </w:p>
        </w:tc>
        <w:tc>
          <w:tcPr>
            <w:tcW w:w="5462" w:type="dxa"/>
            <w:vAlign w:val="center"/>
          </w:tcPr>
          <w:p>
            <w:pPr>
              <w:snapToGrid w:val="0"/>
              <w:spacing w:line="276" w:lineRule="auto"/>
              <w:jc w:val="center"/>
              <w:rPr>
                <w:rFonts w:eastAsia="方正仿宋_GBK"/>
                <w:color w:val="auto"/>
                <w:szCs w:val="21"/>
              </w:rPr>
            </w:pPr>
            <w:r>
              <w:rPr>
                <w:rFonts w:eastAsia="方正仿宋_GBK"/>
                <w:color w:val="auto"/>
                <w:szCs w:val="21"/>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42" w:type="dxa"/>
            <w:vAlign w:val="center"/>
          </w:tcPr>
          <w:p>
            <w:pPr>
              <w:snapToGrid w:val="0"/>
              <w:spacing w:line="276" w:lineRule="auto"/>
              <w:jc w:val="center"/>
              <w:rPr>
                <w:rFonts w:eastAsia="方正仿宋_GBK"/>
                <w:color w:val="auto"/>
                <w:szCs w:val="21"/>
              </w:rPr>
            </w:pPr>
            <w:r>
              <w:rPr>
                <w:rFonts w:eastAsia="方正仿宋_GBK"/>
                <w:color w:val="auto"/>
                <w:szCs w:val="21"/>
              </w:rPr>
              <w:t>1</w:t>
            </w:r>
          </w:p>
        </w:tc>
        <w:tc>
          <w:tcPr>
            <w:tcW w:w="2115" w:type="dxa"/>
            <w:vAlign w:val="center"/>
          </w:tcPr>
          <w:p>
            <w:pPr>
              <w:snapToGrid w:val="0"/>
              <w:spacing w:line="276" w:lineRule="auto"/>
              <w:rPr>
                <w:rFonts w:eastAsia="方正仿宋_GBK"/>
                <w:color w:val="auto"/>
                <w:szCs w:val="21"/>
              </w:rPr>
            </w:pPr>
            <w:r>
              <w:rPr>
                <w:rFonts w:eastAsia="方正仿宋_GBK"/>
                <w:color w:val="auto"/>
                <w:szCs w:val="21"/>
              </w:rPr>
              <w:t>“四重”网格员建设</w:t>
            </w:r>
          </w:p>
        </w:tc>
        <w:tc>
          <w:tcPr>
            <w:tcW w:w="5462" w:type="dxa"/>
            <w:vAlign w:val="center"/>
          </w:tcPr>
          <w:p>
            <w:pPr>
              <w:snapToGrid w:val="0"/>
              <w:spacing w:line="276" w:lineRule="auto"/>
              <w:rPr>
                <w:rFonts w:eastAsia="方正仿宋_GBK"/>
                <w:color w:val="auto"/>
                <w:szCs w:val="21"/>
              </w:rPr>
            </w:pPr>
            <w:r>
              <w:rPr>
                <w:rFonts w:eastAsia="方正仿宋_GBK"/>
                <w:color w:val="auto"/>
                <w:szCs w:val="21"/>
              </w:rPr>
              <w:t>加强片区负责人和群测群防员能力建设，配备简易地质灾害防治设备，群测群防员和片区负责人每年不少于1次集中培训，驻守地质队员不定期给群测群防员和片区负责人开展地灾知识培训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842" w:type="dxa"/>
            <w:vAlign w:val="center"/>
          </w:tcPr>
          <w:p>
            <w:pPr>
              <w:snapToGrid w:val="0"/>
              <w:spacing w:line="276" w:lineRule="auto"/>
              <w:jc w:val="center"/>
              <w:rPr>
                <w:rFonts w:eastAsia="方正仿宋_GBK"/>
                <w:color w:val="auto"/>
                <w:szCs w:val="21"/>
              </w:rPr>
            </w:pPr>
            <w:r>
              <w:rPr>
                <w:rFonts w:eastAsia="方正仿宋_GBK"/>
                <w:color w:val="auto"/>
                <w:szCs w:val="21"/>
              </w:rPr>
              <w:t>2</w:t>
            </w:r>
          </w:p>
        </w:tc>
        <w:tc>
          <w:tcPr>
            <w:tcW w:w="2115" w:type="dxa"/>
            <w:vAlign w:val="center"/>
          </w:tcPr>
          <w:p>
            <w:pPr>
              <w:snapToGrid w:val="0"/>
              <w:spacing w:line="276" w:lineRule="auto"/>
              <w:rPr>
                <w:rFonts w:eastAsia="方正仿宋_GBK"/>
                <w:color w:val="auto"/>
                <w:szCs w:val="21"/>
              </w:rPr>
            </w:pPr>
            <w:r>
              <w:rPr>
                <w:rFonts w:eastAsia="方正仿宋_GBK"/>
                <w:color w:val="auto"/>
                <w:szCs w:val="21"/>
              </w:rPr>
              <w:t>技术支撑队伍建设</w:t>
            </w:r>
          </w:p>
        </w:tc>
        <w:tc>
          <w:tcPr>
            <w:tcW w:w="5462" w:type="dxa"/>
            <w:vAlign w:val="center"/>
          </w:tcPr>
          <w:p>
            <w:pPr>
              <w:snapToGrid w:val="0"/>
              <w:spacing w:line="276" w:lineRule="auto"/>
              <w:rPr>
                <w:rFonts w:eastAsia="方正仿宋_GBK"/>
                <w:color w:val="auto"/>
                <w:szCs w:val="21"/>
              </w:rPr>
            </w:pPr>
            <w:r>
              <w:rPr>
                <w:rFonts w:eastAsia="方正仿宋_GBK"/>
                <w:color w:val="auto"/>
                <w:szCs w:val="21"/>
              </w:rPr>
              <w:t>技术支撑单位专业队伍每年集中1-2次业务知识学习；对地质灾害防治技术支撑单位配备排查调查、监测预警、野外工作专业设备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42" w:type="dxa"/>
            <w:vAlign w:val="center"/>
          </w:tcPr>
          <w:p>
            <w:pPr>
              <w:snapToGrid w:val="0"/>
              <w:spacing w:line="276" w:lineRule="auto"/>
              <w:jc w:val="center"/>
              <w:rPr>
                <w:rFonts w:eastAsia="方正仿宋_GBK"/>
                <w:color w:val="auto"/>
                <w:szCs w:val="21"/>
              </w:rPr>
            </w:pPr>
            <w:r>
              <w:rPr>
                <w:rFonts w:eastAsia="方正仿宋_GBK"/>
                <w:color w:val="auto"/>
                <w:szCs w:val="21"/>
              </w:rPr>
              <w:t>3</w:t>
            </w:r>
          </w:p>
        </w:tc>
        <w:tc>
          <w:tcPr>
            <w:tcW w:w="2115" w:type="dxa"/>
            <w:vAlign w:val="center"/>
          </w:tcPr>
          <w:p>
            <w:pPr>
              <w:snapToGrid w:val="0"/>
              <w:spacing w:line="276" w:lineRule="auto"/>
              <w:rPr>
                <w:rFonts w:eastAsia="方正仿宋_GBK"/>
                <w:color w:val="auto"/>
                <w:szCs w:val="21"/>
              </w:rPr>
            </w:pPr>
            <w:r>
              <w:rPr>
                <w:rFonts w:eastAsia="方正仿宋_GBK"/>
                <w:color w:val="auto"/>
                <w:szCs w:val="21"/>
              </w:rPr>
              <w:t>加大地质灾害防治人员业务培训</w:t>
            </w:r>
          </w:p>
        </w:tc>
        <w:tc>
          <w:tcPr>
            <w:tcW w:w="5462" w:type="dxa"/>
            <w:vAlign w:val="center"/>
          </w:tcPr>
          <w:p>
            <w:pPr>
              <w:snapToGrid w:val="0"/>
              <w:spacing w:line="276" w:lineRule="auto"/>
              <w:rPr>
                <w:rFonts w:eastAsia="方正仿宋_GBK"/>
                <w:color w:val="auto"/>
                <w:szCs w:val="21"/>
              </w:rPr>
            </w:pPr>
            <w:r>
              <w:rPr>
                <w:rFonts w:eastAsia="方正仿宋_GBK"/>
                <w:color w:val="auto"/>
                <w:szCs w:val="21"/>
              </w:rPr>
              <w:t>定期组织地质灾害防治管理人员及技术人员开展业务培训、技术交流，开展地质灾害防治工作表彰及经验交流会</w:t>
            </w:r>
          </w:p>
        </w:tc>
      </w:tr>
    </w:tbl>
    <w:p>
      <w:pPr>
        <w:pStyle w:val="2"/>
        <w:snapToGrid w:val="0"/>
        <w:spacing w:before="0" w:after="0" w:line="288" w:lineRule="auto"/>
        <w:ind w:firstLine="640" w:firstLineChars="200"/>
        <w:jc w:val="left"/>
        <w:rPr>
          <w:rFonts w:ascii="方正黑体_GBK" w:hAnsi="方正黑体_GBK" w:eastAsia="方正黑体_GBK" w:cs="方正黑体_GBK"/>
          <w:b w:val="0"/>
          <w:bCs w:val="0"/>
          <w:color w:val="auto"/>
          <w:sz w:val="32"/>
          <w:szCs w:val="32"/>
        </w:rPr>
      </w:pPr>
      <w:bookmarkStart w:id="115" w:name="_Toc1611261070_WPSOffice_Level1"/>
      <w:bookmarkStart w:id="116" w:name="_Toc1281048522_WPSOffice_Level1"/>
      <w:bookmarkStart w:id="117" w:name="_Toc184827894_WPSOffice_Level1"/>
      <w:bookmarkStart w:id="118" w:name="_Toc81602526"/>
      <w:r>
        <w:rPr>
          <w:rFonts w:hint="eastAsia" w:ascii="方正黑体_GBK" w:hAnsi="方正黑体_GBK" w:eastAsia="方正黑体_GBK" w:cs="方正黑体_GBK"/>
          <w:b w:val="0"/>
          <w:bCs w:val="0"/>
          <w:color w:val="auto"/>
          <w:sz w:val="32"/>
          <w:szCs w:val="32"/>
        </w:rPr>
        <w:t>五、投资估算</w:t>
      </w:r>
      <w:bookmarkEnd w:id="115"/>
      <w:bookmarkEnd w:id="116"/>
      <w:bookmarkEnd w:id="117"/>
      <w:bookmarkEnd w:id="118"/>
    </w:p>
    <w:p>
      <w:pPr>
        <w:pStyle w:val="3"/>
        <w:keepNext w:val="0"/>
        <w:keepLines w:val="0"/>
        <w:snapToGrid w:val="0"/>
        <w:spacing w:before="0" w:after="0" w:line="288" w:lineRule="auto"/>
        <w:ind w:firstLine="640" w:firstLineChars="200"/>
        <w:rPr>
          <w:rFonts w:ascii="方正楷体_GBK" w:hAnsi="方正楷体_GBK" w:eastAsia="方正楷体_GBK" w:cs="方正楷体_GBK"/>
          <w:b w:val="0"/>
          <w:bCs w:val="0"/>
          <w:color w:val="auto"/>
        </w:rPr>
      </w:pPr>
      <w:bookmarkStart w:id="119" w:name="_Toc594407022_WPSOffice_Level2"/>
      <w:bookmarkStart w:id="120" w:name="_Toc1338692934_WPSOffice_Level2"/>
      <w:bookmarkStart w:id="121" w:name="_Toc81602527"/>
      <w:bookmarkStart w:id="122" w:name="_Toc81952230_WPSOffice_Level2"/>
      <w:r>
        <w:rPr>
          <w:rFonts w:hint="eastAsia" w:ascii="方正楷体_GBK" w:hAnsi="方正楷体_GBK" w:eastAsia="方正楷体_GBK" w:cs="方正楷体_GBK"/>
          <w:b w:val="0"/>
          <w:bCs w:val="0"/>
          <w:color w:val="auto"/>
        </w:rPr>
        <w:t>（一）估算依据</w:t>
      </w:r>
      <w:bookmarkEnd w:id="119"/>
      <w:bookmarkEnd w:id="120"/>
      <w:bookmarkEnd w:id="121"/>
      <w:bookmarkEnd w:id="122"/>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按2021年静态物价水平进行估算，随时间延续，物价水平波动，具体费用可能会有变化，以工程实施当年计算为准。费用估算依据国土资源部、财政部有关项目管理的相关要求执行:</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w:t>
      </w:r>
      <w:r>
        <w:rPr>
          <w:rFonts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rPr>
        <w:t>《特大型地质灾害防治资金管理办法》(财资环〔20</w:t>
      </w:r>
      <w:r>
        <w:rPr>
          <w:rFonts w:ascii="方正仿宋_GBK" w:hAnsi="方正仿宋_GBK" w:eastAsia="方正仿宋_GBK" w:cs="方正仿宋_GBK"/>
          <w:color w:val="auto"/>
          <w:sz w:val="32"/>
          <w:szCs w:val="32"/>
        </w:rPr>
        <w:t>19</w:t>
      </w:r>
      <w:r>
        <w:rPr>
          <w:rFonts w:hint="eastAsia" w:ascii="方正仿宋_GBK" w:hAnsi="方正仿宋_GBK" w:eastAsia="方正仿宋_GBK" w:cs="方正仿宋_GBK"/>
          <w:color w:val="auto"/>
          <w:sz w:val="32"/>
          <w:szCs w:val="32"/>
        </w:rPr>
        <w:t>〕44号)；</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w:t>
      </w:r>
      <w:r>
        <w:rPr>
          <w:rFonts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rPr>
        <w:t>重庆市国土房管局重庆市财政局关于印发《重庆市市级地质灾害防治项目及资金管理办法》的通知(渝国土房管〔20</w:t>
      </w:r>
      <w:r>
        <w:rPr>
          <w:rFonts w:ascii="方正仿宋_GBK" w:hAnsi="方正仿宋_GBK" w:eastAsia="方正仿宋_GBK" w:cs="方正仿宋_GBK"/>
          <w:color w:val="auto"/>
          <w:sz w:val="32"/>
          <w:szCs w:val="32"/>
        </w:rPr>
        <w:t>17</w:t>
      </w:r>
      <w:r>
        <w:rPr>
          <w:rFonts w:hint="eastAsia" w:ascii="方正仿宋_GBK" w:hAnsi="方正仿宋_GBK" w:eastAsia="方正仿宋_GBK" w:cs="方正仿宋_GBK"/>
          <w:color w:val="auto"/>
          <w:sz w:val="32"/>
          <w:szCs w:val="32"/>
        </w:rPr>
        <w:t>〕1080号)；</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3</w:t>
      </w:r>
      <w:r>
        <w:rPr>
          <w:rFonts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rPr>
        <w:t>《中国地质调查局关于地质矿产调查评价项目预算编制和审查要求(试行)的通知》(中地调函〔20</w:t>
      </w:r>
      <w:r>
        <w:rPr>
          <w:rFonts w:ascii="方正仿宋_GBK" w:hAnsi="方正仿宋_GBK" w:eastAsia="方正仿宋_GBK" w:cs="方正仿宋_GBK"/>
          <w:color w:val="auto"/>
          <w:sz w:val="32"/>
          <w:szCs w:val="32"/>
        </w:rPr>
        <w:t>10</w:t>
      </w:r>
      <w:r>
        <w:rPr>
          <w:rFonts w:hint="eastAsia" w:ascii="方正仿宋_GBK" w:hAnsi="方正仿宋_GBK" w:eastAsia="方正仿宋_GBK" w:cs="方正仿宋_GBK"/>
          <w:color w:val="auto"/>
          <w:sz w:val="32"/>
          <w:szCs w:val="32"/>
        </w:rPr>
        <w:t>〕88号文)；</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4</w:t>
      </w:r>
      <w:r>
        <w:rPr>
          <w:rFonts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rPr>
        <w:t>《地质调查项目预算标准(2010年试用)》(中国地质调查局)；</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5</w:t>
      </w:r>
      <w:r>
        <w:rPr>
          <w:rFonts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rPr>
        <w:t>《工程勘察与设计收费标准》(2002年修订本)；</w:t>
      </w:r>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6</w:t>
      </w:r>
      <w:r>
        <w:rPr>
          <w:rFonts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rPr>
        <w:t>永川区已有类似地质灾害防治项目实施情况。</w:t>
      </w:r>
    </w:p>
    <w:p>
      <w:pPr>
        <w:pStyle w:val="3"/>
        <w:keepNext w:val="0"/>
        <w:keepLines w:val="0"/>
        <w:snapToGrid w:val="0"/>
        <w:spacing w:before="0" w:after="0" w:line="288" w:lineRule="auto"/>
        <w:ind w:firstLine="640" w:firstLineChars="200"/>
        <w:rPr>
          <w:rFonts w:ascii="方正楷体_GBK" w:hAnsi="方正楷体_GBK" w:eastAsia="方正楷体_GBK" w:cs="方正楷体_GBK"/>
          <w:b w:val="0"/>
          <w:bCs w:val="0"/>
          <w:color w:val="auto"/>
        </w:rPr>
      </w:pPr>
      <w:bookmarkStart w:id="123" w:name="_Toc2036757608_WPSOffice_Level2"/>
      <w:bookmarkStart w:id="124" w:name="_Toc81602528"/>
      <w:bookmarkStart w:id="125" w:name="_Toc1344783084_WPSOffice_Level2"/>
      <w:bookmarkStart w:id="126" w:name="_Toc1364710120_WPSOffice_Level2"/>
      <w:r>
        <w:rPr>
          <w:rFonts w:hint="eastAsia" w:ascii="方正楷体_GBK" w:hAnsi="方正楷体_GBK" w:eastAsia="方正楷体_GBK" w:cs="方正楷体_GBK"/>
          <w:b w:val="0"/>
          <w:bCs w:val="0"/>
          <w:color w:val="auto"/>
        </w:rPr>
        <w:t>（二）经费估算</w:t>
      </w:r>
      <w:bookmarkEnd w:id="123"/>
      <w:bookmarkEnd w:id="124"/>
      <w:bookmarkEnd w:id="125"/>
      <w:bookmarkEnd w:id="126"/>
    </w:p>
    <w:p>
      <w:pPr>
        <w:snapToGrid w:val="0"/>
        <w:spacing w:line="288"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永川区地质灾害防治规划经费估算主要包括: 加强隐患识别与风险调查、完善人防与技防监测预警体系、持续推进地质灾害防治工程、加强基层风险防控能力建设、提高应急救援水平等工程项目和工作经费，经估算，永川区”十四五”地质灾害防治总经费约4220万元</w:t>
      </w:r>
      <w:r>
        <w:rPr>
          <w:rFonts w:hint="eastAsia" w:ascii="方正仿宋_GBK" w:hAnsi="方正仿宋_GBK" w:eastAsia="方正仿宋_GBK" w:cs="方正仿宋_GBK"/>
          <w:color w:val="auto"/>
          <w:sz w:val="32"/>
          <w:szCs w:val="32"/>
          <w:lang w:eastAsia="zh-CN"/>
        </w:rPr>
        <w:t>（详见表</w:t>
      </w:r>
      <w:r>
        <w:rPr>
          <w:rFonts w:hint="eastAsia" w:ascii="方正仿宋_GBK" w:hAnsi="方正仿宋_GBK" w:eastAsia="方正仿宋_GBK" w:cs="方正仿宋_GBK"/>
          <w:color w:val="auto"/>
          <w:sz w:val="32"/>
          <w:szCs w:val="32"/>
          <w:lang w:val="en-US" w:eastAsia="zh-CN"/>
        </w:rPr>
        <w:t>5-1</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w:t>
      </w:r>
    </w:p>
    <w:p>
      <w:pPr>
        <w:spacing w:line="400" w:lineRule="exact"/>
        <w:jc w:val="center"/>
        <w:rPr>
          <w:rFonts w:eastAsia="黑体"/>
          <w:color w:val="auto"/>
          <w:sz w:val="24"/>
        </w:rPr>
      </w:pPr>
      <w:r>
        <w:rPr>
          <w:rFonts w:eastAsia="黑体"/>
          <w:color w:val="auto"/>
          <w:sz w:val="24"/>
        </w:rPr>
        <w:t>表5-</w:t>
      </w:r>
      <w:r>
        <w:rPr>
          <w:rFonts w:hint="eastAsia" w:eastAsia="黑体"/>
          <w:color w:val="auto"/>
          <w:sz w:val="24"/>
          <w:lang w:val="en-US" w:eastAsia="zh-CN"/>
        </w:rPr>
        <w:t>1</w:t>
      </w:r>
      <w:r>
        <w:rPr>
          <w:rFonts w:eastAsia="黑体"/>
          <w:color w:val="auto"/>
          <w:sz w:val="24"/>
        </w:rPr>
        <w:t xml:space="preserve">   “十四五”地质灾害防治经费估算表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5119"/>
        <w:gridCol w:w="1280"/>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00" w:type="dxa"/>
            <w:vAlign w:val="center"/>
          </w:tcPr>
          <w:p>
            <w:pPr>
              <w:snapToGrid w:val="0"/>
              <w:spacing w:line="240" w:lineRule="auto"/>
              <w:jc w:val="center"/>
              <w:rPr>
                <w:rFonts w:eastAsia="方正仿宋_GBK"/>
                <w:color w:val="auto"/>
                <w:szCs w:val="21"/>
              </w:rPr>
            </w:pPr>
            <w:r>
              <w:rPr>
                <w:rFonts w:eastAsia="方正仿宋_GBK"/>
                <w:color w:val="auto"/>
                <w:szCs w:val="21"/>
              </w:rPr>
              <w:t>序号</w:t>
            </w:r>
          </w:p>
        </w:tc>
        <w:tc>
          <w:tcPr>
            <w:tcW w:w="5119" w:type="dxa"/>
            <w:vAlign w:val="center"/>
          </w:tcPr>
          <w:p>
            <w:pPr>
              <w:snapToGrid w:val="0"/>
              <w:spacing w:line="240" w:lineRule="auto"/>
              <w:jc w:val="center"/>
              <w:rPr>
                <w:rFonts w:eastAsia="方正仿宋_GBK"/>
                <w:color w:val="auto"/>
                <w:szCs w:val="21"/>
              </w:rPr>
            </w:pPr>
            <w:r>
              <w:rPr>
                <w:rFonts w:eastAsia="方正仿宋_GBK"/>
                <w:color w:val="auto"/>
                <w:szCs w:val="21"/>
              </w:rPr>
              <w:t>工作任务</w:t>
            </w:r>
          </w:p>
        </w:tc>
        <w:tc>
          <w:tcPr>
            <w:tcW w:w="1280" w:type="dxa"/>
            <w:vAlign w:val="center"/>
          </w:tcPr>
          <w:p>
            <w:pPr>
              <w:snapToGrid w:val="0"/>
              <w:jc w:val="center"/>
              <w:rPr>
                <w:rFonts w:eastAsia="方正仿宋_GBK"/>
                <w:color w:val="auto"/>
                <w:szCs w:val="21"/>
              </w:rPr>
            </w:pPr>
            <w:r>
              <w:rPr>
                <w:rFonts w:eastAsia="方正仿宋_GBK"/>
                <w:color w:val="auto"/>
                <w:szCs w:val="21"/>
              </w:rPr>
              <w:t>经费估算（万元）</w:t>
            </w:r>
          </w:p>
        </w:tc>
        <w:tc>
          <w:tcPr>
            <w:tcW w:w="1120" w:type="dxa"/>
            <w:vAlign w:val="center"/>
          </w:tcPr>
          <w:p>
            <w:pPr>
              <w:snapToGrid w:val="0"/>
              <w:jc w:val="center"/>
              <w:rPr>
                <w:rFonts w:eastAsia="方正仿宋_GBK"/>
                <w:color w:val="auto"/>
                <w:szCs w:val="21"/>
              </w:rPr>
            </w:pPr>
            <w:r>
              <w:rPr>
                <w:rFonts w:eastAsia="方正仿宋_GBK"/>
                <w:color w:val="auto"/>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00" w:type="dxa"/>
            <w:vAlign w:val="top"/>
          </w:tcPr>
          <w:p>
            <w:pPr>
              <w:snapToGrid w:val="0"/>
              <w:spacing w:line="240" w:lineRule="auto"/>
              <w:jc w:val="center"/>
              <w:rPr>
                <w:rFonts w:eastAsia="方正仿宋_GBK"/>
                <w:color w:val="auto"/>
                <w:szCs w:val="21"/>
              </w:rPr>
            </w:pPr>
            <w:r>
              <w:rPr>
                <w:rFonts w:eastAsia="方正仿宋_GBK"/>
                <w:color w:val="auto"/>
                <w:szCs w:val="21"/>
              </w:rPr>
              <w:t>1</w:t>
            </w:r>
          </w:p>
        </w:tc>
        <w:tc>
          <w:tcPr>
            <w:tcW w:w="5119" w:type="dxa"/>
            <w:vAlign w:val="top"/>
          </w:tcPr>
          <w:p>
            <w:pPr>
              <w:snapToGrid w:val="0"/>
              <w:spacing w:line="240" w:lineRule="auto"/>
              <w:rPr>
                <w:rFonts w:eastAsia="方正仿宋_GBK"/>
                <w:color w:val="auto"/>
                <w:szCs w:val="21"/>
              </w:rPr>
            </w:pPr>
            <w:r>
              <w:rPr>
                <w:rFonts w:eastAsia="方正仿宋_GBK"/>
                <w:color w:val="auto"/>
                <w:szCs w:val="21"/>
              </w:rPr>
              <w:t>加强隐患识别与风险调查</w:t>
            </w:r>
          </w:p>
        </w:tc>
        <w:tc>
          <w:tcPr>
            <w:tcW w:w="1280" w:type="dxa"/>
            <w:vAlign w:val="center"/>
          </w:tcPr>
          <w:p>
            <w:pPr>
              <w:snapToGrid w:val="0"/>
              <w:spacing w:line="240" w:lineRule="auto"/>
              <w:jc w:val="center"/>
              <w:rPr>
                <w:rFonts w:eastAsia="方正仿宋_GBK"/>
                <w:color w:val="auto"/>
                <w:szCs w:val="21"/>
              </w:rPr>
            </w:pPr>
            <w:r>
              <w:rPr>
                <w:rFonts w:eastAsia="方正仿宋_GBK"/>
                <w:color w:val="auto"/>
                <w:szCs w:val="21"/>
              </w:rPr>
              <w:t>1530</w:t>
            </w:r>
          </w:p>
        </w:tc>
        <w:tc>
          <w:tcPr>
            <w:tcW w:w="1120" w:type="dxa"/>
            <w:vAlign w:val="center"/>
          </w:tcPr>
          <w:p>
            <w:pPr>
              <w:snapToGrid w:val="0"/>
              <w:spacing w:line="240" w:lineRule="auto"/>
              <w:jc w:val="center"/>
              <w:rPr>
                <w:rFonts w:eastAsia="方正仿宋_GBK"/>
                <w:color w:val="auto"/>
                <w:szCs w:val="21"/>
              </w:rPr>
            </w:pPr>
            <w:r>
              <w:rPr>
                <w:rFonts w:eastAsia="方正仿宋_GBK"/>
                <w:color w:val="auto"/>
                <w:szCs w:val="21"/>
              </w:rPr>
              <w:t xml:space="preserve">36.26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00" w:type="dxa"/>
            <w:vAlign w:val="top"/>
          </w:tcPr>
          <w:p>
            <w:pPr>
              <w:snapToGrid w:val="0"/>
              <w:spacing w:line="240" w:lineRule="auto"/>
              <w:jc w:val="center"/>
              <w:rPr>
                <w:rFonts w:eastAsia="方正仿宋_GBK"/>
                <w:color w:val="auto"/>
                <w:szCs w:val="21"/>
              </w:rPr>
            </w:pPr>
            <w:r>
              <w:rPr>
                <w:rFonts w:eastAsia="方正仿宋_GBK"/>
                <w:color w:val="auto"/>
                <w:szCs w:val="21"/>
              </w:rPr>
              <w:t>2</w:t>
            </w:r>
          </w:p>
        </w:tc>
        <w:tc>
          <w:tcPr>
            <w:tcW w:w="5119" w:type="dxa"/>
            <w:vAlign w:val="top"/>
          </w:tcPr>
          <w:p>
            <w:pPr>
              <w:snapToGrid w:val="0"/>
              <w:spacing w:line="240" w:lineRule="auto"/>
              <w:rPr>
                <w:rFonts w:eastAsia="方正仿宋_GBK"/>
                <w:color w:val="auto"/>
                <w:szCs w:val="21"/>
              </w:rPr>
            </w:pPr>
            <w:r>
              <w:rPr>
                <w:rFonts w:eastAsia="方正仿宋_GBK"/>
                <w:color w:val="auto"/>
                <w:szCs w:val="21"/>
              </w:rPr>
              <w:t>完善人防与技防监测预警体系</w:t>
            </w:r>
          </w:p>
        </w:tc>
        <w:tc>
          <w:tcPr>
            <w:tcW w:w="1280" w:type="dxa"/>
            <w:vAlign w:val="center"/>
          </w:tcPr>
          <w:p>
            <w:pPr>
              <w:snapToGrid w:val="0"/>
              <w:spacing w:line="240" w:lineRule="auto"/>
              <w:jc w:val="center"/>
              <w:rPr>
                <w:rFonts w:eastAsia="方正仿宋_GBK"/>
                <w:color w:val="auto"/>
                <w:szCs w:val="21"/>
              </w:rPr>
            </w:pPr>
            <w:r>
              <w:rPr>
                <w:rFonts w:eastAsia="方正仿宋_GBK"/>
                <w:color w:val="auto"/>
                <w:szCs w:val="21"/>
              </w:rPr>
              <w:t>760</w:t>
            </w:r>
          </w:p>
        </w:tc>
        <w:tc>
          <w:tcPr>
            <w:tcW w:w="1120" w:type="dxa"/>
            <w:vAlign w:val="center"/>
          </w:tcPr>
          <w:p>
            <w:pPr>
              <w:snapToGrid w:val="0"/>
              <w:spacing w:line="240" w:lineRule="auto"/>
              <w:jc w:val="center"/>
              <w:rPr>
                <w:rFonts w:eastAsia="方正仿宋_GBK"/>
                <w:color w:val="auto"/>
                <w:szCs w:val="21"/>
              </w:rPr>
            </w:pPr>
            <w:r>
              <w:rPr>
                <w:rFonts w:eastAsia="方正仿宋_GBK"/>
                <w:color w:val="auto"/>
                <w:szCs w:val="21"/>
              </w:rPr>
              <w:t xml:space="preserve">18.01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00" w:type="dxa"/>
            <w:vAlign w:val="top"/>
          </w:tcPr>
          <w:p>
            <w:pPr>
              <w:snapToGrid w:val="0"/>
              <w:spacing w:line="240" w:lineRule="auto"/>
              <w:jc w:val="center"/>
              <w:rPr>
                <w:rFonts w:eastAsia="方正仿宋_GBK"/>
                <w:color w:val="auto"/>
                <w:szCs w:val="21"/>
              </w:rPr>
            </w:pPr>
            <w:r>
              <w:rPr>
                <w:rFonts w:eastAsia="方正仿宋_GBK"/>
                <w:color w:val="auto"/>
                <w:szCs w:val="21"/>
              </w:rPr>
              <w:t>3</w:t>
            </w:r>
          </w:p>
        </w:tc>
        <w:tc>
          <w:tcPr>
            <w:tcW w:w="5119" w:type="dxa"/>
            <w:vAlign w:val="top"/>
          </w:tcPr>
          <w:p>
            <w:pPr>
              <w:snapToGrid w:val="0"/>
              <w:spacing w:line="240" w:lineRule="auto"/>
              <w:rPr>
                <w:rFonts w:eastAsia="方正仿宋_GBK"/>
                <w:color w:val="auto"/>
                <w:szCs w:val="21"/>
              </w:rPr>
            </w:pPr>
            <w:r>
              <w:rPr>
                <w:rFonts w:eastAsia="方正仿宋_GBK"/>
                <w:color w:val="auto"/>
                <w:szCs w:val="21"/>
              </w:rPr>
              <w:t>持续推进地质灾害防治工程</w:t>
            </w:r>
          </w:p>
        </w:tc>
        <w:tc>
          <w:tcPr>
            <w:tcW w:w="1280" w:type="dxa"/>
            <w:vAlign w:val="center"/>
          </w:tcPr>
          <w:p>
            <w:pPr>
              <w:snapToGrid w:val="0"/>
              <w:spacing w:line="240" w:lineRule="auto"/>
              <w:jc w:val="center"/>
              <w:rPr>
                <w:rFonts w:eastAsia="方正仿宋_GBK"/>
                <w:color w:val="auto"/>
                <w:szCs w:val="21"/>
              </w:rPr>
            </w:pPr>
            <w:r>
              <w:rPr>
                <w:rFonts w:eastAsia="方正仿宋_GBK"/>
                <w:color w:val="auto"/>
                <w:szCs w:val="21"/>
              </w:rPr>
              <w:t>930</w:t>
            </w:r>
          </w:p>
        </w:tc>
        <w:tc>
          <w:tcPr>
            <w:tcW w:w="1120" w:type="dxa"/>
            <w:vAlign w:val="center"/>
          </w:tcPr>
          <w:p>
            <w:pPr>
              <w:snapToGrid w:val="0"/>
              <w:spacing w:line="240" w:lineRule="auto"/>
              <w:jc w:val="center"/>
              <w:rPr>
                <w:rFonts w:eastAsia="方正仿宋_GBK"/>
                <w:color w:val="auto"/>
                <w:szCs w:val="21"/>
              </w:rPr>
            </w:pPr>
            <w:r>
              <w:rPr>
                <w:rFonts w:eastAsia="方正仿宋_GBK"/>
                <w:color w:val="auto"/>
                <w:szCs w:val="21"/>
              </w:rPr>
              <w:t xml:space="preserve">22.04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00" w:type="dxa"/>
            <w:vAlign w:val="top"/>
          </w:tcPr>
          <w:p>
            <w:pPr>
              <w:snapToGrid w:val="0"/>
              <w:spacing w:line="240" w:lineRule="auto"/>
              <w:jc w:val="center"/>
              <w:rPr>
                <w:rFonts w:eastAsia="方正仿宋_GBK"/>
                <w:color w:val="auto"/>
                <w:szCs w:val="21"/>
              </w:rPr>
            </w:pPr>
            <w:r>
              <w:rPr>
                <w:rFonts w:eastAsia="方正仿宋_GBK"/>
                <w:color w:val="auto"/>
                <w:szCs w:val="21"/>
              </w:rPr>
              <w:t>4</w:t>
            </w:r>
          </w:p>
        </w:tc>
        <w:tc>
          <w:tcPr>
            <w:tcW w:w="5119" w:type="dxa"/>
            <w:vAlign w:val="top"/>
          </w:tcPr>
          <w:p>
            <w:pPr>
              <w:snapToGrid w:val="0"/>
              <w:spacing w:line="240" w:lineRule="auto"/>
              <w:rPr>
                <w:rFonts w:eastAsia="方正仿宋_GBK"/>
                <w:color w:val="auto"/>
                <w:szCs w:val="21"/>
              </w:rPr>
            </w:pPr>
            <w:r>
              <w:rPr>
                <w:rFonts w:eastAsia="方正仿宋_GBK"/>
                <w:color w:val="auto"/>
                <w:szCs w:val="21"/>
              </w:rPr>
              <w:t>提高应急救援水平</w:t>
            </w:r>
          </w:p>
        </w:tc>
        <w:tc>
          <w:tcPr>
            <w:tcW w:w="1280" w:type="dxa"/>
            <w:vAlign w:val="center"/>
          </w:tcPr>
          <w:p>
            <w:pPr>
              <w:snapToGrid w:val="0"/>
              <w:spacing w:line="240" w:lineRule="auto"/>
              <w:jc w:val="center"/>
              <w:rPr>
                <w:rFonts w:eastAsia="方正仿宋_GBK"/>
                <w:color w:val="auto"/>
                <w:szCs w:val="21"/>
              </w:rPr>
            </w:pPr>
            <w:r>
              <w:rPr>
                <w:rFonts w:eastAsia="方正仿宋_GBK"/>
                <w:color w:val="auto"/>
                <w:szCs w:val="21"/>
              </w:rPr>
              <w:t>680</w:t>
            </w:r>
          </w:p>
        </w:tc>
        <w:tc>
          <w:tcPr>
            <w:tcW w:w="1120" w:type="dxa"/>
            <w:vAlign w:val="center"/>
          </w:tcPr>
          <w:p>
            <w:pPr>
              <w:snapToGrid w:val="0"/>
              <w:spacing w:line="240" w:lineRule="auto"/>
              <w:jc w:val="center"/>
              <w:rPr>
                <w:rFonts w:eastAsia="方正仿宋_GBK"/>
                <w:color w:val="auto"/>
                <w:szCs w:val="21"/>
              </w:rPr>
            </w:pPr>
            <w:r>
              <w:rPr>
                <w:rFonts w:eastAsia="方正仿宋_GBK"/>
                <w:color w:val="auto"/>
                <w:szCs w:val="21"/>
              </w:rPr>
              <w:t xml:space="preserve">16.11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00" w:type="dxa"/>
            <w:vAlign w:val="top"/>
          </w:tcPr>
          <w:p>
            <w:pPr>
              <w:snapToGrid w:val="0"/>
              <w:spacing w:line="240" w:lineRule="auto"/>
              <w:jc w:val="center"/>
              <w:rPr>
                <w:rFonts w:eastAsia="方正仿宋_GBK"/>
                <w:color w:val="auto"/>
                <w:szCs w:val="21"/>
              </w:rPr>
            </w:pPr>
            <w:r>
              <w:rPr>
                <w:rFonts w:eastAsia="方正仿宋_GBK"/>
                <w:color w:val="auto"/>
                <w:szCs w:val="21"/>
              </w:rPr>
              <w:t>5</w:t>
            </w:r>
          </w:p>
        </w:tc>
        <w:tc>
          <w:tcPr>
            <w:tcW w:w="5119" w:type="dxa"/>
            <w:vAlign w:val="top"/>
          </w:tcPr>
          <w:p>
            <w:pPr>
              <w:snapToGrid w:val="0"/>
              <w:spacing w:line="240" w:lineRule="auto"/>
              <w:rPr>
                <w:rFonts w:eastAsia="方正仿宋_GBK"/>
                <w:color w:val="auto"/>
                <w:szCs w:val="21"/>
              </w:rPr>
            </w:pPr>
            <w:r>
              <w:rPr>
                <w:rFonts w:eastAsia="方正仿宋_GBK"/>
                <w:color w:val="auto"/>
                <w:szCs w:val="21"/>
              </w:rPr>
              <w:t>加强基层风险防控能力建设</w:t>
            </w:r>
          </w:p>
        </w:tc>
        <w:tc>
          <w:tcPr>
            <w:tcW w:w="1280" w:type="dxa"/>
            <w:vAlign w:val="center"/>
          </w:tcPr>
          <w:p>
            <w:pPr>
              <w:snapToGrid w:val="0"/>
              <w:spacing w:line="240" w:lineRule="auto"/>
              <w:jc w:val="center"/>
              <w:rPr>
                <w:rFonts w:eastAsia="方正仿宋_GBK"/>
                <w:color w:val="auto"/>
                <w:szCs w:val="21"/>
              </w:rPr>
            </w:pPr>
            <w:r>
              <w:rPr>
                <w:rFonts w:eastAsia="方正仿宋_GBK"/>
                <w:color w:val="auto"/>
                <w:szCs w:val="21"/>
              </w:rPr>
              <w:t>320</w:t>
            </w:r>
          </w:p>
        </w:tc>
        <w:tc>
          <w:tcPr>
            <w:tcW w:w="1120" w:type="dxa"/>
            <w:vAlign w:val="center"/>
          </w:tcPr>
          <w:p>
            <w:pPr>
              <w:snapToGrid w:val="0"/>
              <w:spacing w:line="240" w:lineRule="auto"/>
              <w:jc w:val="center"/>
              <w:rPr>
                <w:rFonts w:eastAsia="方正仿宋_GBK"/>
                <w:color w:val="auto"/>
                <w:szCs w:val="21"/>
              </w:rPr>
            </w:pPr>
            <w:r>
              <w:rPr>
                <w:rFonts w:eastAsia="方正仿宋_GBK"/>
                <w:color w:val="auto"/>
                <w:szCs w:val="21"/>
              </w:rPr>
              <w:t xml:space="preserve">7.58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5919" w:type="dxa"/>
            <w:gridSpan w:val="2"/>
            <w:vAlign w:val="top"/>
          </w:tcPr>
          <w:p>
            <w:pPr>
              <w:snapToGrid w:val="0"/>
              <w:spacing w:line="240" w:lineRule="auto"/>
              <w:jc w:val="center"/>
              <w:rPr>
                <w:rFonts w:eastAsia="方正仿宋_GBK"/>
                <w:color w:val="auto"/>
                <w:szCs w:val="21"/>
              </w:rPr>
            </w:pPr>
            <w:r>
              <w:rPr>
                <w:rFonts w:eastAsia="方正仿宋_GBK"/>
                <w:color w:val="auto"/>
                <w:szCs w:val="21"/>
              </w:rPr>
              <w:t>合计</w:t>
            </w:r>
          </w:p>
        </w:tc>
        <w:tc>
          <w:tcPr>
            <w:tcW w:w="1280" w:type="dxa"/>
            <w:vAlign w:val="center"/>
          </w:tcPr>
          <w:p>
            <w:pPr>
              <w:snapToGrid w:val="0"/>
              <w:spacing w:line="240" w:lineRule="auto"/>
              <w:jc w:val="center"/>
              <w:rPr>
                <w:rFonts w:eastAsia="方正仿宋_GBK"/>
                <w:color w:val="auto"/>
                <w:szCs w:val="21"/>
              </w:rPr>
            </w:pPr>
            <w:r>
              <w:rPr>
                <w:rFonts w:eastAsia="方正仿宋_GBK"/>
                <w:color w:val="auto"/>
                <w:szCs w:val="21"/>
              </w:rPr>
              <w:t>4220</w:t>
            </w:r>
          </w:p>
        </w:tc>
        <w:tc>
          <w:tcPr>
            <w:tcW w:w="1120" w:type="dxa"/>
            <w:vAlign w:val="top"/>
          </w:tcPr>
          <w:p>
            <w:pPr>
              <w:snapToGrid w:val="0"/>
              <w:spacing w:line="240" w:lineRule="auto"/>
              <w:jc w:val="center"/>
              <w:rPr>
                <w:rFonts w:eastAsia="方正仿宋_GBK"/>
                <w:color w:val="auto"/>
                <w:szCs w:val="21"/>
              </w:rPr>
            </w:pPr>
            <w:r>
              <w:rPr>
                <w:rFonts w:eastAsia="方正仿宋_GBK"/>
                <w:color w:val="auto"/>
                <w:szCs w:val="21"/>
              </w:rPr>
              <w:t>100</w:t>
            </w:r>
          </w:p>
        </w:tc>
      </w:tr>
    </w:tbl>
    <w:p>
      <w:pPr>
        <w:pStyle w:val="3"/>
        <w:keepNext w:val="0"/>
        <w:keepLines w:val="0"/>
        <w:snapToGrid w:val="0"/>
        <w:spacing w:before="0" w:after="0" w:line="300" w:lineRule="auto"/>
        <w:ind w:firstLine="640" w:firstLineChars="200"/>
        <w:rPr>
          <w:rFonts w:ascii="方正楷体_GBK" w:hAnsi="方正楷体_GBK" w:eastAsia="方正楷体_GBK" w:cs="方正楷体_GBK"/>
          <w:b w:val="0"/>
          <w:bCs w:val="0"/>
          <w:color w:val="auto"/>
        </w:rPr>
      </w:pPr>
      <w:bookmarkStart w:id="127" w:name="_Toc601007032_WPSOffice_Level2"/>
      <w:bookmarkStart w:id="128" w:name="_Toc81602529"/>
      <w:bookmarkStart w:id="129" w:name="_Toc152066216_WPSOffice_Level2"/>
      <w:bookmarkStart w:id="130" w:name="_Toc1104179210_WPSOffice_Level2"/>
      <w:r>
        <w:rPr>
          <w:rFonts w:hint="eastAsia" w:ascii="方正楷体_GBK" w:hAnsi="方正楷体_GBK" w:eastAsia="方正楷体_GBK" w:cs="方正楷体_GBK"/>
          <w:b w:val="0"/>
          <w:bCs w:val="0"/>
          <w:color w:val="auto"/>
        </w:rPr>
        <w:t>（三）资金筹措</w:t>
      </w:r>
      <w:bookmarkEnd w:id="127"/>
      <w:bookmarkEnd w:id="128"/>
      <w:bookmarkEnd w:id="129"/>
      <w:bookmarkEnd w:id="130"/>
    </w:p>
    <w:p>
      <w:pPr>
        <w:snapToGrid w:val="0"/>
        <w:spacing w:line="300"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永川区</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十四五”地质灾害综合防治体系建设资金总计4220万元，5年内平均每年筹措专项资金844万元，通过申请中央与市级财政补助、区预算专项安排、区自筹及吸纳社会资金解决。其中申请中央资金1610万元，市级资金1500万元，区地方资金610万元，社会资金500万元。中央财政资金主要用于地质灾害调查、监测预警应用、能力建设等基础性、公益性、专业性的工作以及重点地质灾害工程治理。市级财政资金主要用于全区地质灾害排查调查、监测预警建设、大型地质灾害工程治理、避险移民搬迁补助、群测群防和驻守地质工作补贴、科普宣传。区财政资金主要用于年度地质灾害排查巡查、中小地质灾害工程治理、监测预警运行维护、</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四重”网格员工作补助、避险移民搬迁、科普宣传和避险演练。区自筹及社会资金主要用于与城市建设相结合的工程治理项目，以及威胁高速公路、隧道工程、旅游景区、基础设施等地质灾害隐患的工程治理。</w:t>
      </w:r>
    </w:p>
    <w:p>
      <w:pPr>
        <w:pStyle w:val="2"/>
        <w:snapToGrid w:val="0"/>
        <w:spacing w:before="0" w:after="0" w:line="300" w:lineRule="auto"/>
        <w:ind w:firstLine="640" w:firstLineChars="200"/>
        <w:jc w:val="left"/>
        <w:rPr>
          <w:rFonts w:ascii="方正黑体_GBK" w:hAnsi="方正黑体_GBK" w:eastAsia="方正黑体_GBK" w:cs="方正黑体_GBK"/>
          <w:b w:val="0"/>
          <w:bCs w:val="0"/>
          <w:color w:val="auto"/>
          <w:sz w:val="32"/>
          <w:szCs w:val="32"/>
        </w:rPr>
      </w:pPr>
      <w:bookmarkStart w:id="131" w:name="_Toc1118001559_WPSOffice_Level1"/>
      <w:bookmarkStart w:id="132" w:name="_Toc732508425_WPSOffice_Level1"/>
      <w:bookmarkStart w:id="133" w:name="_Toc81602530"/>
      <w:bookmarkStart w:id="134" w:name="_Toc413389819_WPSOffice_Level1"/>
      <w:r>
        <w:rPr>
          <w:rFonts w:hint="eastAsia" w:ascii="方正黑体_GBK" w:hAnsi="方正黑体_GBK" w:eastAsia="方正黑体_GBK" w:cs="方正黑体_GBK"/>
          <w:b w:val="0"/>
          <w:bCs w:val="0"/>
          <w:color w:val="auto"/>
          <w:sz w:val="32"/>
          <w:szCs w:val="32"/>
        </w:rPr>
        <w:t>六、保障措施</w:t>
      </w:r>
      <w:bookmarkEnd w:id="131"/>
      <w:bookmarkEnd w:id="132"/>
      <w:bookmarkEnd w:id="133"/>
      <w:bookmarkEnd w:id="134"/>
    </w:p>
    <w:p>
      <w:pPr>
        <w:pStyle w:val="3"/>
        <w:keepNext w:val="0"/>
        <w:keepLines w:val="0"/>
        <w:snapToGrid w:val="0"/>
        <w:spacing w:before="0" w:after="0" w:line="300" w:lineRule="auto"/>
        <w:ind w:firstLine="640" w:firstLineChars="200"/>
        <w:rPr>
          <w:rFonts w:ascii="方正楷体_GBK" w:hAnsi="方正楷体_GBK" w:eastAsia="方正楷体_GBK" w:cs="方正楷体_GBK"/>
          <w:b w:val="0"/>
          <w:bCs w:val="0"/>
          <w:color w:val="auto"/>
        </w:rPr>
      </w:pPr>
      <w:bookmarkStart w:id="135" w:name="_Toc1708553595_WPSOffice_Level2"/>
      <w:bookmarkStart w:id="136" w:name="_Toc1780361345_WPSOffice_Level2"/>
      <w:bookmarkStart w:id="137" w:name="_Toc1382687984_WPSOffice_Level2"/>
      <w:bookmarkStart w:id="138" w:name="_Toc81602531"/>
      <w:r>
        <w:rPr>
          <w:rFonts w:hint="eastAsia" w:ascii="方正楷体_GBK" w:hAnsi="方正楷体_GBK" w:eastAsia="方正楷体_GBK" w:cs="方正楷体_GBK"/>
          <w:b w:val="0"/>
          <w:bCs w:val="0"/>
          <w:color w:val="auto"/>
        </w:rPr>
        <w:t>（一）组织保障</w:t>
      </w:r>
      <w:bookmarkEnd w:id="135"/>
      <w:bookmarkEnd w:id="136"/>
      <w:bookmarkEnd w:id="137"/>
      <w:bookmarkEnd w:id="138"/>
    </w:p>
    <w:p>
      <w:pPr>
        <w:snapToGrid w:val="0"/>
        <w:spacing w:line="300"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我区将严格按照《重庆市地质灾害防治条例》和《重庆市人民政府贯彻落实国务院关于加强地质灾害防治工作决定的实施意见》的要求，进一步加强组织领导，坚持地质灾害综合防治体系建设由区政府总负责，区政府是方案实施的责任主体，把综合防治体系建设工作纳入各级政府政绩考核。区政府制定切实可行的地质灾害综合防治体系建设</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十四五”规划实施方案，细化保障措施，严格落实部门及乡镇综合防治体系建设责任，各部门要依据职责分工做好本部门综合防治体系建设相关工作，努力构建</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党委领导、政府主抓、部门牵头、分工合作、社会力量和市场机制广泛参与”的防灾新局面，积极推进地质灾害综合防治体系建设</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十四五</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规划的顺利实施。</w:t>
      </w:r>
    </w:p>
    <w:p>
      <w:pPr>
        <w:pStyle w:val="3"/>
        <w:keepNext w:val="0"/>
        <w:keepLines w:val="0"/>
        <w:snapToGrid w:val="0"/>
        <w:spacing w:before="0" w:after="0" w:line="300" w:lineRule="auto"/>
        <w:ind w:firstLine="640" w:firstLineChars="200"/>
        <w:rPr>
          <w:rFonts w:ascii="方正楷体_GBK" w:hAnsi="方正楷体_GBK" w:eastAsia="方正楷体_GBK" w:cs="方正楷体_GBK"/>
          <w:b w:val="0"/>
          <w:bCs w:val="0"/>
          <w:color w:val="auto"/>
        </w:rPr>
      </w:pPr>
      <w:bookmarkStart w:id="139" w:name="_Toc486950114_WPSOffice_Level2"/>
      <w:bookmarkStart w:id="140" w:name="_Toc482842789_WPSOffice_Level2"/>
      <w:bookmarkStart w:id="141" w:name="_Toc81602532"/>
      <w:bookmarkStart w:id="142" w:name="_Toc871464012_WPSOffice_Level2"/>
      <w:r>
        <w:rPr>
          <w:rFonts w:hint="eastAsia" w:ascii="方正楷体_GBK" w:hAnsi="方正楷体_GBK" w:eastAsia="方正楷体_GBK" w:cs="方正楷体_GBK"/>
          <w:b w:val="0"/>
          <w:bCs w:val="0"/>
          <w:color w:val="auto"/>
        </w:rPr>
        <w:t>（二）制度保障</w:t>
      </w:r>
      <w:bookmarkEnd w:id="139"/>
      <w:bookmarkEnd w:id="140"/>
      <w:bookmarkEnd w:id="141"/>
      <w:bookmarkEnd w:id="142"/>
    </w:p>
    <w:p>
      <w:pPr>
        <w:snapToGrid w:val="0"/>
        <w:spacing w:line="300"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我区将加大规划执行力度，狠抓措施落实，在此基础上进一步细化落实镇街实施方案，把地质灾害综合防治体系建设绩效作为区政府及各管理部门目标任务考核的重要内容和年度项目资金支持的重要依据。规范项目运行，强化监督管理，严格责任追究。完善绩效评估、考核、责任追</w:t>
      </w:r>
      <w:r>
        <w:rPr>
          <w:rFonts w:hint="eastAsia" w:ascii="方正仿宋_GBK" w:hAnsi="方正仿宋_GBK" w:eastAsia="方正仿宋_GBK" w:cs="方正仿宋_GBK"/>
          <w:color w:val="auto"/>
          <w:sz w:val="32"/>
          <w:szCs w:val="32"/>
          <w:lang w:eastAsia="zh-CN"/>
        </w:rPr>
        <w:t>究</w:t>
      </w:r>
      <w:bookmarkStart w:id="178" w:name="_GoBack"/>
      <w:bookmarkEnd w:id="178"/>
      <w:r>
        <w:rPr>
          <w:rFonts w:hint="eastAsia" w:ascii="方正仿宋_GBK" w:hAnsi="方正仿宋_GBK" w:eastAsia="方正仿宋_GBK" w:cs="方正仿宋_GBK"/>
          <w:color w:val="auto"/>
          <w:sz w:val="32"/>
          <w:szCs w:val="32"/>
        </w:rPr>
        <w:t>制度，确保建设目标落到实处。严格项目立项审批、投资控制、建设程序、工程质量、建设进度等各个环节的管理。</w:t>
      </w:r>
    </w:p>
    <w:p>
      <w:pPr>
        <w:pStyle w:val="3"/>
        <w:keepNext w:val="0"/>
        <w:keepLines w:val="0"/>
        <w:snapToGrid w:val="0"/>
        <w:spacing w:before="0" w:after="0" w:line="300" w:lineRule="auto"/>
        <w:ind w:firstLine="640" w:firstLineChars="200"/>
        <w:rPr>
          <w:rFonts w:ascii="方正楷体_GBK" w:hAnsi="方正楷体_GBK" w:eastAsia="方正楷体_GBK" w:cs="方正楷体_GBK"/>
          <w:b w:val="0"/>
          <w:bCs w:val="0"/>
          <w:color w:val="auto"/>
        </w:rPr>
      </w:pPr>
      <w:bookmarkStart w:id="143" w:name="_Toc81602533"/>
      <w:bookmarkStart w:id="144" w:name="_Toc1310126424_WPSOffice_Level2"/>
      <w:bookmarkStart w:id="145" w:name="_Toc1703452446_WPSOffice_Level2"/>
      <w:bookmarkStart w:id="146" w:name="_Toc200634512_WPSOffice_Level2"/>
      <w:r>
        <w:rPr>
          <w:rFonts w:hint="eastAsia" w:ascii="方正楷体_GBK" w:hAnsi="方正楷体_GBK" w:eastAsia="方正楷体_GBK" w:cs="方正楷体_GBK"/>
          <w:b w:val="0"/>
          <w:bCs w:val="0"/>
          <w:color w:val="auto"/>
        </w:rPr>
        <w:t>（三）资金保障</w:t>
      </w:r>
      <w:bookmarkEnd w:id="143"/>
      <w:bookmarkEnd w:id="144"/>
      <w:bookmarkEnd w:id="145"/>
      <w:bookmarkEnd w:id="146"/>
    </w:p>
    <w:p>
      <w:pPr>
        <w:snapToGrid w:val="0"/>
        <w:spacing w:line="300"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在利用好中央资金的同时，区政府将加强资金整合，多渠道筹措资金，及时足额落实地方配套资金，保障地质灾害综合防治体系建设</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十四五”规划得以有效实施。在资金分配上，按照突出重点、兼顾一般的原则首先对重点防治区项目、险情重大项目等项目优先安排</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同时兼顾好调查评价、监测预警、能力建设等基础性、常规性工作的资金安排，确保综合防治工作整体推进。在资金分配方式上，对调查评价、工程治理项目根据项目评审情况安排经费</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对监测预警、能力建设等项目按标准进行补助。要加强资金监管，落实专项资金监管责任，确保专款专用，项目实施依法、规范、高效，发挥最大效益。</w:t>
      </w:r>
    </w:p>
    <w:p>
      <w:pPr>
        <w:pStyle w:val="3"/>
        <w:keepNext w:val="0"/>
        <w:keepLines w:val="0"/>
        <w:snapToGrid w:val="0"/>
        <w:spacing w:before="0" w:after="0" w:line="300" w:lineRule="auto"/>
        <w:ind w:firstLine="640" w:firstLineChars="200"/>
        <w:rPr>
          <w:rFonts w:ascii="方正楷体_GBK" w:hAnsi="方正楷体_GBK" w:eastAsia="方正楷体_GBK" w:cs="方正楷体_GBK"/>
          <w:b w:val="0"/>
          <w:bCs w:val="0"/>
          <w:color w:val="auto"/>
        </w:rPr>
      </w:pPr>
      <w:bookmarkStart w:id="147" w:name="_Toc2029531967_WPSOffice_Level2"/>
      <w:bookmarkStart w:id="148" w:name="_Toc384367205_WPSOffice_Level2"/>
      <w:bookmarkStart w:id="149" w:name="_Toc81602534"/>
      <w:bookmarkStart w:id="150" w:name="_Toc1065497450_WPSOffice_Level2"/>
      <w:r>
        <w:rPr>
          <w:rFonts w:hint="eastAsia" w:ascii="方正楷体_GBK" w:hAnsi="方正楷体_GBK" w:eastAsia="方正楷体_GBK" w:cs="方正楷体_GBK"/>
          <w:b w:val="0"/>
          <w:bCs w:val="0"/>
          <w:color w:val="auto"/>
        </w:rPr>
        <w:t>（四）社会保障</w:t>
      </w:r>
      <w:bookmarkEnd w:id="147"/>
      <w:bookmarkEnd w:id="148"/>
      <w:bookmarkEnd w:id="149"/>
      <w:bookmarkEnd w:id="150"/>
    </w:p>
    <w:p>
      <w:pPr>
        <w:snapToGrid w:val="0"/>
        <w:spacing w:line="300" w:lineRule="auto"/>
        <w:ind w:firstLine="640" w:firstLineChars="20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广泛发动社会各方面力量积极参与</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十四五”地质灾害综合防治体系建设工作，通过多形式、多</w:t>
      </w:r>
      <w:r>
        <w:rPr>
          <w:rFonts w:hint="eastAsia" w:ascii="方正仿宋_GBK" w:hAnsi="方正仿宋_GBK" w:eastAsia="方正仿宋_GBK" w:cs="方正仿宋_GBK"/>
          <w:color w:val="auto"/>
          <w:sz w:val="32"/>
          <w:szCs w:val="32"/>
          <w:lang w:eastAsia="zh-CN"/>
        </w:rPr>
        <w:t>途径</w:t>
      </w:r>
      <w:r>
        <w:rPr>
          <w:rFonts w:hint="eastAsia" w:ascii="方正仿宋_GBK" w:hAnsi="方正仿宋_GBK" w:eastAsia="方正仿宋_GBK" w:cs="方正仿宋_GBK"/>
          <w:color w:val="auto"/>
          <w:sz w:val="32"/>
          <w:szCs w:val="32"/>
        </w:rPr>
        <w:t>，加强地质灾害防灾减灾、避险自救等知识的宣传教育。普及基层地质灾害防灾知识，提高社会各界及广大干部群众的防灾减灾意识，提高全社会对开展地质灾害防治的认知度，赢得全社会的积极支持与广泛参与。使地质灾害防治成为全社会的自觉行动，进一步增强全社会抵御地质灾害的意识和自我保护能力。习近平总书记在十九大报告中明确提出</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加快生态文明体制改革，建设美丽新中国，加大生态保护力度，加强地质灾害防治”。我们要坚持地质灾害防治工作与生态保护的紧密融合，打造让人民满意的全市地质灾害综合防治体系。</w:t>
      </w:r>
    </w:p>
    <w:p>
      <w:pPr>
        <w:pStyle w:val="3"/>
        <w:keepNext w:val="0"/>
        <w:keepLines w:val="0"/>
        <w:snapToGrid w:val="0"/>
        <w:spacing w:before="0" w:after="0" w:line="300" w:lineRule="auto"/>
        <w:ind w:firstLine="640" w:firstLineChars="200"/>
        <w:rPr>
          <w:rFonts w:ascii="方正楷体_GBK" w:hAnsi="方正楷体_GBK" w:eastAsia="方正楷体_GBK" w:cs="方正楷体_GBK"/>
          <w:b w:val="0"/>
          <w:bCs w:val="0"/>
          <w:color w:val="auto"/>
        </w:rPr>
      </w:pPr>
      <w:bookmarkStart w:id="151" w:name="_Toc1399075442_WPSOffice_Level2"/>
      <w:bookmarkStart w:id="152" w:name="_Toc1764651869_WPSOffice_Level2"/>
      <w:bookmarkStart w:id="153" w:name="_Toc81602535"/>
      <w:bookmarkStart w:id="154" w:name="_Toc775508429_WPSOffice_Level2"/>
      <w:r>
        <w:rPr>
          <w:rFonts w:hint="eastAsia" w:ascii="方正楷体_GBK" w:hAnsi="方正楷体_GBK" w:eastAsia="方正楷体_GBK" w:cs="方正楷体_GBK"/>
          <w:b w:val="0"/>
          <w:bCs w:val="0"/>
          <w:color w:val="auto"/>
        </w:rPr>
        <w:t>（五）机制保障</w:t>
      </w:r>
      <w:bookmarkEnd w:id="151"/>
      <w:bookmarkEnd w:id="152"/>
      <w:bookmarkEnd w:id="153"/>
      <w:bookmarkEnd w:id="154"/>
    </w:p>
    <w:p>
      <w:pPr>
        <w:snapToGrid w:val="0"/>
        <w:spacing w:line="300" w:lineRule="auto"/>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充分利用新技术新方法，进一步完善地质灾害调查核查及监测预警机制。结合本区国土空间规划与布局，探索地质灾害风险管控方式方法，推进地质灾害管理工作再上新台阶。积极探索出台新政策新办法进一步加大地质灾害避险移民搬迁工作力度，确保工程治理项目进度和质量。结合各单位部门机构改革，创新地勘单位技术支撑工作机制，充分发挥驻守地质队员的作用，着力提升广大群众防灾意识和全社会防灾能力。</w:t>
      </w:r>
    </w:p>
    <w:p>
      <w:pPr>
        <w:spacing w:line="300" w:lineRule="auto"/>
        <w:ind w:firstLine="0" w:firstLineChars="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br w:type="page"/>
      </w:r>
    </w:p>
    <w:p>
      <w:pPr>
        <w:pStyle w:val="2"/>
        <w:snapToGrid w:val="0"/>
        <w:spacing w:before="0" w:after="0" w:line="240" w:lineRule="auto"/>
        <w:ind w:firstLine="0" w:firstLineChars="0"/>
        <w:jc w:val="left"/>
        <w:rPr>
          <w:rFonts w:hint="eastAsia" w:ascii="方正黑体_GBK" w:hAnsi="方正黑体_GBK" w:eastAsia="方正黑体_GBK" w:cs="方正黑体_GBK"/>
          <w:b w:val="0"/>
          <w:bCs w:val="0"/>
          <w:color w:val="auto"/>
          <w:sz w:val="32"/>
          <w:szCs w:val="32"/>
        </w:rPr>
      </w:pPr>
      <w:bookmarkStart w:id="155" w:name="_Toc1635896701_WPSOffice_Level1"/>
      <w:bookmarkStart w:id="156" w:name="_Toc2089545610_WPSOffice_Level1"/>
      <w:r>
        <w:rPr>
          <w:rFonts w:hint="eastAsia" w:ascii="方正黑体_GBK" w:hAnsi="方正黑体_GBK" w:eastAsia="方正黑体_GBK" w:cs="方正黑体_GBK"/>
          <w:b w:val="0"/>
          <w:bCs w:val="0"/>
          <w:color w:val="auto"/>
          <w:sz w:val="32"/>
          <w:szCs w:val="32"/>
        </w:rPr>
        <w:t>附表</w:t>
      </w:r>
      <w:r>
        <w:rPr>
          <w:rFonts w:hint="eastAsia" w:ascii="方正黑体_GBK" w:hAnsi="方正黑体_GBK" w:eastAsia="方正黑体_GBK" w:cs="方正黑体_GBK"/>
          <w:b w:val="0"/>
          <w:bCs w:val="0"/>
          <w:color w:val="auto"/>
          <w:sz w:val="32"/>
          <w:szCs w:val="32"/>
          <w:lang w:val="en-US" w:eastAsia="zh-CN"/>
        </w:rPr>
        <w:t>1</w:t>
      </w:r>
    </w:p>
    <w:p>
      <w:pPr>
        <w:pStyle w:val="2"/>
        <w:snapToGrid w:val="0"/>
        <w:spacing w:before="0" w:after="0" w:line="276" w:lineRule="auto"/>
        <w:ind w:firstLine="0" w:firstLineChars="0"/>
        <w:jc w:val="center"/>
        <w:rPr>
          <w:rFonts w:hint="eastAsia" w:ascii="方正小标宋_GBK" w:hAnsi="方正小标宋_GBK" w:eastAsia="方正小标宋_GBK" w:cs="方正小标宋_GBK"/>
          <w:b w:val="0"/>
          <w:bCs w:val="0"/>
          <w:color w:val="auto"/>
          <w:sz w:val="36"/>
          <w:szCs w:val="36"/>
        </w:rPr>
      </w:pPr>
      <w:bookmarkStart w:id="157" w:name="_Toc890270720_WPSOffice_Level1"/>
      <w:r>
        <w:rPr>
          <w:rFonts w:hint="eastAsia" w:ascii="方正小标宋_GBK" w:hAnsi="方正小标宋_GBK" w:eastAsia="方正小标宋_GBK" w:cs="方正小标宋_GBK"/>
          <w:b w:val="0"/>
          <w:bCs w:val="0"/>
          <w:color w:val="auto"/>
          <w:sz w:val="36"/>
          <w:szCs w:val="36"/>
        </w:rPr>
        <w:t>上期工程治理项目</w:t>
      </w:r>
      <w:bookmarkEnd w:id="157"/>
      <w:r>
        <w:rPr>
          <w:rFonts w:hint="eastAsia" w:ascii="方正小标宋_GBK" w:hAnsi="方正小标宋_GBK" w:eastAsia="方正小标宋_GBK" w:cs="方正小标宋_GBK"/>
          <w:b w:val="0"/>
          <w:bCs w:val="0"/>
          <w:color w:val="auto"/>
          <w:sz w:val="36"/>
          <w:szCs w:val="36"/>
        </w:rPr>
        <w:t>规划分期及投资估算</w:t>
      </w:r>
      <w:bookmarkEnd w:id="155"/>
      <w:bookmarkEnd w:id="156"/>
      <w:r>
        <w:rPr>
          <w:rFonts w:hint="eastAsia" w:ascii="方正小标宋_GBK" w:hAnsi="方正小标宋_GBK" w:eastAsia="方正小标宋_GBK" w:cs="方正小标宋_GBK"/>
          <w:b w:val="0"/>
          <w:bCs w:val="0"/>
          <w:color w:val="auto"/>
          <w:sz w:val="36"/>
          <w:szCs w:val="36"/>
        </w:rPr>
        <w:t>明细表</w:t>
      </w:r>
    </w:p>
    <w:tbl>
      <w:tblPr>
        <w:tblStyle w:val="17"/>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3059"/>
        <w:gridCol w:w="123"/>
        <w:gridCol w:w="936"/>
        <w:gridCol w:w="166"/>
        <w:gridCol w:w="1861"/>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分期</w:t>
            </w:r>
          </w:p>
        </w:tc>
        <w:tc>
          <w:tcPr>
            <w:tcW w:w="3182" w:type="dxa"/>
            <w:gridSpan w:val="2"/>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名称</w:t>
            </w:r>
          </w:p>
        </w:tc>
        <w:tc>
          <w:tcPr>
            <w:tcW w:w="1102" w:type="dxa"/>
            <w:gridSpan w:val="2"/>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规模</w:t>
            </w:r>
          </w:p>
        </w:tc>
        <w:tc>
          <w:tcPr>
            <w:tcW w:w="1861" w:type="dxa"/>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危害</w:t>
            </w:r>
          </w:p>
        </w:tc>
        <w:tc>
          <w:tcPr>
            <w:tcW w:w="1369" w:type="dxa"/>
            <w:vAlign w:val="center"/>
          </w:tcPr>
          <w:p>
            <w:pPr>
              <w:snapToGrid w:val="0"/>
              <w:spacing w:line="240" w:lineRule="auto"/>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restart"/>
            <w:vAlign w:val="center"/>
          </w:tcPr>
          <w:p>
            <w:pPr>
              <w:snapToGrid w:val="0"/>
              <w:spacing w:line="240" w:lineRule="auto"/>
              <w:jc w:val="center"/>
              <w:rPr>
                <w:rFonts w:eastAsia="方正仿宋_GBK"/>
                <w:color w:val="auto"/>
                <w:szCs w:val="21"/>
              </w:rPr>
            </w:pPr>
            <w:r>
              <w:rPr>
                <w:rFonts w:eastAsia="方正仿宋_GBK"/>
                <w:color w:val="auto"/>
                <w:szCs w:val="21"/>
              </w:rPr>
              <w:t>2016年</w:t>
            </w:r>
          </w:p>
          <w:p>
            <w:pPr>
              <w:snapToGrid w:val="0"/>
              <w:spacing w:line="240" w:lineRule="auto"/>
              <w:jc w:val="center"/>
              <w:rPr>
                <w:rFonts w:eastAsia="方正仿宋_GBK"/>
                <w:color w:val="auto"/>
                <w:szCs w:val="21"/>
              </w:rPr>
            </w:pPr>
            <w:r>
              <w:rPr>
                <w:rFonts w:eastAsia="方正仿宋_GBK"/>
                <w:color w:val="auto"/>
                <w:szCs w:val="21"/>
              </w:rPr>
              <w:t>（8处）</w:t>
            </w: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七井农贸市场北侧滑坡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0.09</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48户200人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彭代友屋后滑坡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0.37</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2户5人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梁家院子滑坡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0.24</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1户4人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邓秀权屋后滑坡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0.03</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1户6人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李治良屋后崩塌</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0.03</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1户3人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蛮子洞崩塌</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0.48</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3户12人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水井湾屋基滑坡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0.03</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5户20人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中心街7号楼后山滑坡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0.35</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8户32人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6145" w:type="dxa"/>
            <w:gridSpan w:val="5"/>
            <w:vAlign w:val="center"/>
          </w:tcPr>
          <w:p>
            <w:pPr>
              <w:widowControl w:val="0"/>
              <w:snapToGrid w:val="0"/>
              <w:spacing w:line="240" w:lineRule="auto"/>
              <w:jc w:val="center"/>
              <w:rPr>
                <w:rFonts w:eastAsia="方正仿宋_GBK"/>
                <w:color w:val="auto"/>
                <w:kern w:val="0"/>
                <w:szCs w:val="21"/>
              </w:rPr>
            </w:pPr>
            <w:r>
              <w:rPr>
                <w:rFonts w:eastAsia="方正仿宋_GBK"/>
                <w:color w:val="auto"/>
                <w:szCs w:val="21"/>
              </w:rPr>
              <w:t>工程治理投资共计</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82.46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restart"/>
            <w:vAlign w:val="center"/>
          </w:tcPr>
          <w:p>
            <w:pPr>
              <w:snapToGrid w:val="0"/>
              <w:spacing w:line="240" w:lineRule="auto"/>
              <w:rPr>
                <w:rFonts w:eastAsia="方正仿宋_GBK"/>
                <w:color w:val="auto"/>
                <w:szCs w:val="21"/>
              </w:rPr>
            </w:pPr>
            <w:r>
              <w:rPr>
                <w:rFonts w:eastAsia="方正仿宋_GBK"/>
                <w:color w:val="auto"/>
                <w:szCs w:val="21"/>
              </w:rPr>
              <w:t>2017年</w:t>
            </w:r>
          </w:p>
          <w:p>
            <w:pPr>
              <w:snapToGrid w:val="0"/>
              <w:spacing w:line="240" w:lineRule="auto"/>
              <w:rPr>
                <w:rFonts w:eastAsia="方正仿宋_GBK"/>
                <w:color w:val="auto"/>
                <w:szCs w:val="21"/>
              </w:rPr>
            </w:pPr>
            <w:r>
              <w:rPr>
                <w:rFonts w:eastAsia="方正仿宋_GBK"/>
                <w:color w:val="auto"/>
                <w:szCs w:val="21"/>
              </w:rPr>
              <w:t>（28处）</w:t>
            </w: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法院家属院后山滑坡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0.02</w:t>
            </w:r>
          </w:p>
        </w:tc>
        <w:tc>
          <w:tcPr>
            <w:tcW w:w="1861" w:type="dxa"/>
            <w:vAlign w:val="center"/>
          </w:tcPr>
          <w:p>
            <w:pPr>
              <w:widowControl w:val="0"/>
              <w:snapToGrid w:val="0"/>
              <w:spacing w:line="240" w:lineRule="auto"/>
              <w:jc w:val="center"/>
              <w:rPr>
                <w:rFonts w:eastAsia="方正仿宋_GBK"/>
                <w:color w:val="auto"/>
                <w:kern w:val="0"/>
                <w:szCs w:val="21"/>
              </w:rPr>
            </w:pP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kern w:val="0"/>
                <w:szCs w:val="21"/>
              </w:rPr>
            </w:pPr>
            <w:r>
              <w:rPr>
                <w:rFonts w:eastAsia="方正仿宋_GBK"/>
                <w:color w:val="auto"/>
                <w:kern w:val="0"/>
                <w:szCs w:val="21"/>
              </w:rPr>
              <w:t>化工路298号4号楼堡坎滑坡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0.0247</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40户76人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87.26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kern w:val="0"/>
                <w:szCs w:val="21"/>
              </w:rPr>
            </w:pPr>
            <w:r>
              <w:rPr>
                <w:rFonts w:eastAsia="方正仿宋_GBK"/>
                <w:color w:val="auto"/>
                <w:kern w:val="0"/>
                <w:szCs w:val="21"/>
              </w:rPr>
              <w:t>狮子岩崩塌</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0.04</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4户16人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66.49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kern w:val="0"/>
                <w:szCs w:val="21"/>
              </w:rPr>
            </w:pPr>
            <w:r>
              <w:rPr>
                <w:rFonts w:eastAsia="方正仿宋_GBK"/>
                <w:color w:val="auto"/>
                <w:kern w:val="0"/>
                <w:szCs w:val="21"/>
              </w:rPr>
              <w:t>大涧口村双丰农药厂滑坡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0.6</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1户4人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周公滩大院子不稳定边坡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0.49</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一栋6层现价房楼层及院坝</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张冬基屋后滑坡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0.0332</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2户9人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肖富良屋后滑坡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0.1</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1户6人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王世华屋后滑坡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0.15</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1户5人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肖家书屋后滑坡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0.12</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1户1人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古华英屋后滑坡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0.12</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1户6人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宋中禄屋后滑坡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0.14</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2户3人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 xml:space="preserve">5.40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杨元楷屋后滑坡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0.24</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1户3人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下厂沟滑坡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0.24</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3户8人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彭孝林屋后滑坡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0.12</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2户9人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 xml:space="preserve">4.77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姜通富屋后滑坡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0.4</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1户3人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 xml:space="preserve">9.06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陈碧银屋后滑坡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0.16</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3户7人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 xml:space="preserve">5.58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周善银屋后滑坡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0.24</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1户3人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 xml:space="preserve">5.40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上鹅湾煤矿后山滑坡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0.28</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10户34人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 xml:space="preserve">16.08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刘家院子滑坡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0.6</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5户24人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 xml:space="preserve">5.73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康朝军屋后滑坡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0.16</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1户4人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 xml:space="preserve">5.97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彭显木屋后滑坡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0.3</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2户8人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 xml:space="preserve">13.35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油房沟煤矿北侧滑坡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9.36</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1户2人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 xml:space="preserve">26.34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油房沟煤矿滑坡堆积体（滑坡）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7.2</w:t>
            </w:r>
          </w:p>
        </w:tc>
        <w:tc>
          <w:tcPr>
            <w:tcW w:w="1861"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煤矿南侧溪沟两侧农田</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 xml:space="preserve">18.00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新米湾滑坡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0.06</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spacing w:val="-6"/>
                <w:kern w:val="0"/>
                <w:szCs w:val="21"/>
              </w:rPr>
              <w:t>公路、过往行人和车辆</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 xml:space="preserve">6.36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新桥不稳定边坡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1</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2户8人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 xml:space="preserve">26.00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王益明屋后滑坡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0.2</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3户11人</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 xml:space="preserve">10.44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杨家槽滑坡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0.63</w:t>
            </w:r>
          </w:p>
        </w:tc>
        <w:tc>
          <w:tcPr>
            <w:tcW w:w="1861" w:type="dxa"/>
            <w:vAlign w:val="center"/>
          </w:tcPr>
          <w:p>
            <w:pPr>
              <w:widowControl w:val="0"/>
              <w:snapToGrid w:val="0"/>
              <w:spacing w:line="240" w:lineRule="auto"/>
              <w:jc w:val="center"/>
              <w:rPr>
                <w:rFonts w:eastAsia="方正仿宋_GBK"/>
                <w:color w:val="auto"/>
                <w:spacing w:val="-6"/>
                <w:kern w:val="0"/>
                <w:szCs w:val="21"/>
              </w:rPr>
            </w:pPr>
            <w:r>
              <w:rPr>
                <w:rFonts w:eastAsia="方正仿宋_GBK"/>
                <w:color w:val="auto"/>
                <w:spacing w:val="-6"/>
                <w:kern w:val="0"/>
                <w:szCs w:val="21"/>
              </w:rPr>
              <w:t>乡村公路、行人、车辆</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 xml:space="preserve">8.39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宝王公路K3+400滑坡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0.03</w:t>
            </w:r>
          </w:p>
        </w:tc>
        <w:tc>
          <w:tcPr>
            <w:tcW w:w="1861"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公路、行人、车辆</w:t>
            </w:r>
          </w:p>
        </w:tc>
        <w:tc>
          <w:tcPr>
            <w:tcW w:w="1369"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 xml:space="preserve">8.13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ind w:firstLine="560"/>
              <w:jc w:val="center"/>
              <w:rPr>
                <w:rFonts w:eastAsia="方正仿宋_GBK"/>
                <w:color w:val="auto"/>
                <w:szCs w:val="21"/>
              </w:rPr>
            </w:pPr>
          </w:p>
        </w:tc>
        <w:tc>
          <w:tcPr>
            <w:tcW w:w="6145" w:type="dxa"/>
            <w:gridSpan w:val="5"/>
            <w:vAlign w:val="center"/>
          </w:tcPr>
          <w:p>
            <w:pPr>
              <w:snapToGrid w:val="0"/>
              <w:spacing w:line="240" w:lineRule="auto"/>
              <w:jc w:val="center"/>
              <w:rPr>
                <w:rFonts w:eastAsia="方正仿宋_GBK"/>
                <w:color w:val="auto"/>
                <w:szCs w:val="21"/>
              </w:rPr>
            </w:pPr>
            <w:r>
              <w:rPr>
                <w:rFonts w:eastAsia="方正仿宋_GBK"/>
                <w:color w:val="auto"/>
                <w:szCs w:val="21"/>
              </w:rPr>
              <w:t>工程治理估算投资共计</w:t>
            </w:r>
          </w:p>
        </w:tc>
        <w:tc>
          <w:tcPr>
            <w:tcW w:w="1369" w:type="dxa"/>
            <w:vAlign w:val="center"/>
          </w:tcPr>
          <w:p>
            <w:pPr>
              <w:snapToGrid w:val="0"/>
              <w:spacing w:line="240" w:lineRule="auto"/>
              <w:jc w:val="center"/>
              <w:rPr>
                <w:rFonts w:eastAsia="方正仿宋_GBK"/>
                <w:color w:val="auto"/>
                <w:szCs w:val="21"/>
              </w:rPr>
            </w:pPr>
            <w:r>
              <w:rPr>
                <w:rFonts w:eastAsia="方正仿宋_GBK"/>
                <w:color w:val="auto"/>
                <w:szCs w:val="21"/>
              </w:rPr>
              <w:t>462.86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restart"/>
            <w:vAlign w:val="center"/>
          </w:tcPr>
          <w:p>
            <w:pPr>
              <w:snapToGrid w:val="0"/>
              <w:spacing w:line="240" w:lineRule="auto"/>
              <w:rPr>
                <w:rFonts w:eastAsia="方正仿宋_GBK"/>
                <w:color w:val="auto"/>
                <w:szCs w:val="21"/>
              </w:rPr>
            </w:pPr>
            <w:r>
              <w:rPr>
                <w:rFonts w:eastAsia="方正仿宋_GBK"/>
                <w:color w:val="auto"/>
                <w:szCs w:val="21"/>
              </w:rPr>
              <w:t>2018年</w:t>
            </w:r>
          </w:p>
          <w:p>
            <w:pPr>
              <w:snapToGrid w:val="0"/>
              <w:spacing w:line="240" w:lineRule="auto"/>
              <w:rPr>
                <w:rFonts w:eastAsia="方正仿宋_GBK"/>
                <w:color w:val="auto"/>
                <w:szCs w:val="21"/>
              </w:rPr>
            </w:pPr>
            <w:r>
              <w:rPr>
                <w:rFonts w:eastAsia="方正仿宋_GBK"/>
                <w:color w:val="auto"/>
                <w:szCs w:val="21"/>
              </w:rPr>
              <w:t>（11处）</w:t>
            </w: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官禄岩深沟滑坡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0.5</w:t>
            </w:r>
          </w:p>
        </w:tc>
        <w:tc>
          <w:tcPr>
            <w:tcW w:w="1861"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5户19人</w:t>
            </w:r>
          </w:p>
        </w:tc>
        <w:tc>
          <w:tcPr>
            <w:tcW w:w="1369" w:type="dxa"/>
            <w:vAlign w:val="center"/>
          </w:tcPr>
          <w:p>
            <w:pPr>
              <w:widowControl w:val="0"/>
              <w:snapToGrid w:val="0"/>
              <w:spacing w:line="240" w:lineRule="auto"/>
              <w:jc w:val="center"/>
              <w:textAlignment w:val="center"/>
              <w:rPr>
                <w:rFonts w:eastAsia="方正仿宋_GBK"/>
                <w:color w:val="auto"/>
                <w:szCs w:val="21"/>
              </w:rPr>
            </w:pPr>
            <w:r>
              <w:rPr>
                <w:rFonts w:eastAsia="方正仿宋_GBK"/>
                <w:color w:val="auto"/>
                <w:kern w:val="0"/>
                <w:szCs w:val="21"/>
              </w:rPr>
              <w:t>341.84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喻家坡滑坡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2.75</w:t>
            </w:r>
          </w:p>
        </w:tc>
        <w:tc>
          <w:tcPr>
            <w:tcW w:w="1861" w:type="dxa"/>
            <w:vAlign w:val="center"/>
          </w:tcPr>
          <w:p>
            <w:pPr>
              <w:widowControl w:val="0"/>
              <w:snapToGrid w:val="0"/>
              <w:spacing w:line="240" w:lineRule="auto"/>
              <w:rPr>
                <w:rFonts w:eastAsia="方正仿宋_GBK"/>
                <w:color w:val="auto"/>
                <w:szCs w:val="21"/>
              </w:rPr>
            </w:pPr>
            <w:r>
              <w:rPr>
                <w:rFonts w:eastAsia="方正仿宋_GBK"/>
                <w:color w:val="auto"/>
                <w:kern w:val="0"/>
                <w:szCs w:val="21"/>
              </w:rPr>
              <w:t>1户3人</w:t>
            </w:r>
          </w:p>
        </w:tc>
        <w:tc>
          <w:tcPr>
            <w:tcW w:w="1369" w:type="dxa"/>
            <w:vAlign w:val="center"/>
          </w:tcPr>
          <w:p>
            <w:pPr>
              <w:widowControl w:val="0"/>
              <w:snapToGrid w:val="0"/>
              <w:spacing w:line="240" w:lineRule="auto"/>
              <w:jc w:val="center"/>
              <w:textAlignment w:val="center"/>
              <w:rPr>
                <w:rFonts w:eastAsia="方正仿宋_GBK"/>
                <w:color w:val="auto"/>
                <w:szCs w:val="21"/>
              </w:rPr>
            </w:pPr>
            <w:r>
              <w:rPr>
                <w:rFonts w:eastAsia="方正仿宋_GBK"/>
                <w:color w:val="auto"/>
                <w:kern w:val="0"/>
                <w:szCs w:val="21"/>
              </w:rPr>
              <w:t>126.94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唐昌利屋后危岩</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0.31</w:t>
            </w:r>
          </w:p>
        </w:tc>
        <w:tc>
          <w:tcPr>
            <w:tcW w:w="1861"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6户19人</w:t>
            </w:r>
          </w:p>
        </w:tc>
        <w:tc>
          <w:tcPr>
            <w:tcW w:w="1369" w:type="dxa"/>
            <w:vAlign w:val="center"/>
          </w:tcPr>
          <w:p>
            <w:pPr>
              <w:widowControl w:val="0"/>
              <w:snapToGrid w:val="0"/>
              <w:spacing w:line="240" w:lineRule="auto"/>
              <w:jc w:val="center"/>
              <w:textAlignment w:val="center"/>
              <w:rPr>
                <w:rFonts w:eastAsia="方正仿宋_GBK"/>
                <w:color w:val="auto"/>
                <w:szCs w:val="21"/>
              </w:rPr>
            </w:pPr>
            <w:r>
              <w:rPr>
                <w:rFonts w:eastAsia="方正仿宋_GBK"/>
                <w:color w:val="auto"/>
                <w:kern w:val="0"/>
                <w:szCs w:val="21"/>
              </w:rPr>
              <w:t>156.65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九龙寺滑坡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0.3</w:t>
            </w:r>
          </w:p>
        </w:tc>
        <w:tc>
          <w:tcPr>
            <w:tcW w:w="1861"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九龙山庄农家乐</w:t>
            </w:r>
          </w:p>
        </w:tc>
        <w:tc>
          <w:tcPr>
            <w:tcW w:w="1369"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41.34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万寿桥崩塌</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0.01</w:t>
            </w:r>
          </w:p>
        </w:tc>
        <w:tc>
          <w:tcPr>
            <w:tcW w:w="1861"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5户23人</w:t>
            </w:r>
          </w:p>
        </w:tc>
        <w:tc>
          <w:tcPr>
            <w:tcW w:w="1369"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162.08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石牛寺村殷家湾社崩塌</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w:t>
            </w:r>
          </w:p>
        </w:tc>
        <w:tc>
          <w:tcPr>
            <w:tcW w:w="1861"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2户7人</w:t>
            </w:r>
          </w:p>
        </w:tc>
        <w:tc>
          <w:tcPr>
            <w:tcW w:w="1369"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126.38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大水沟滑坡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0.036</w:t>
            </w:r>
          </w:p>
        </w:tc>
        <w:tc>
          <w:tcPr>
            <w:tcW w:w="1861"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1户5人</w:t>
            </w:r>
          </w:p>
        </w:tc>
        <w:tc>
          <w:tcPr>
            <w:tcW w:w="1369"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247.95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神道碑危岩</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w:t>
            </w:r>
          </w:p>
        </w:tc>
        <w:tc>
          <w:tcPr>
            <w:tcW w:w="1861"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3户10人</w:t>
            </w:r>
          </w:p>
        </w:tc>
        <w:tc>
          <w:tcPr>
            <w:tcW w:w="1369"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23.31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半边街后山滑坡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20</w:t>
            </w:r>
          </w:p>
        </w:tc>
        <w:tc>
          <w:tcPr>
            <w:tcW w:w="1861"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58户86人</w:t>
            </w:r>
          </w:p>
        </w:tc>
        <w:tc>
          <w:tcPr>
            <w:tcW w:w="1369"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439.54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赵世润屋后崩塌</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0.033</w:t>
            </w:r>
          </w:p>
        </w:tc>
        <w:tc>
          <w:tcPr>
            <w:tcW w:w="1861"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6户18人</w:t>
            </w:r>
          </w:p>
        </w:tc>
        <w:tc>
          <w:tcPr>
            <w:tcW w:w="1369"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锅印岩崩塌（危岩）</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w:t>
            </w:r>
          </w:p>
        </w:tc>
        <w:tc>
          <w:tcPr>
            <w:tcW w:w="1861"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3户8人</w:t>
            </w:r>
          </w:p>
        </w:tc>
        <w:tc>
          <w:tcPr>
            <w:tcW w:w="1369"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Align w:val="center"/>
          </w:tcPr>
          <w:p>
            <w:pPr>
              <w:snapToGrid w:val="0"/>
              <w:spacing w:line="240" w:lineRule="auto"/>
              <w:ind w:firstLine="560"/>
              <w:jc w:val="center"/>
              <w:rPr>
                <w:rFonts w:eastAsia="方正仿宋_GBK"/>
                <w:color w:val="auto"/>
                <w:szCs w:val="21"/>
              </w:rPr>
            </w:pPr>
          </w:p>
        </w:tc>
        <w:tc>
          <w:tcPr>
            <w:tcW w:w="6145" w:type="dxa"/>
            <w:gridSpan w:val="5"/>
            <w:vAlign w:val="center"/>
          </w:tcPr>
          <w:p>
            <w:pPr>
              <w:snapToGrid w:val="0"/>
              <w:spacing w:line="240" w:lineRule="auto"/>
              <w:jc w:val="center"/>
              <w:rPr>
                <w:rFonts w:eastAsia="方正仿宋_GBK"/>
                <w:color w:val="auto"/>
                <w:szCs w:val="21"/>
              </w:rPr>
            </w:pPr>
            <w:r>
              <w:rPr>
                <w:rFonts w:eastAsia="方正仿宋_GBK"/>
                <w:color w:val="auto"/>
                <w:szCs w:val="21"/>
              </w:rPr>
              <w:t>工程治理估算投资共计</w:t>
            </w:r>
          </w:p>
        </w:tc>
        <w:tc>
          <w:tcPr>
            <w:tcW w:w="1369" w:type="dxa"/>
            <w:vAlign w:val="center"/>
          </w:tcPr>
          <w:p>
            <w:pPr>
              <w:snapToGrid w:val="0"/>
              <w:spacing w:line="240" w:lineRule="auto"/>
              <w:jc w:val="center"/>
              <w:rPr>
                <w:rFonts w:eastAsia="方正仿宋_GBK"/>
                <w:color w:val="auto"/>
                <w:szCs w:val="21"/>
              </w:rPr>
            </w:pPr>
            <w:r>
              <w:rPr>
                <w:rFonts w:eastAsia="方正仿宋_GBK"/>
                <w:color w:val="auto"/>
                <w:szCs w:val="21"/>
              </w:rPr>
              <w:t>2016.03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restart"/>
            <w:vAlign w:val="center"/>
          </w:tcPr>
          <w:p>
            <w:pPr>
              <w:snapToGrid w:val="0"/>
              <w:spacing w:line="240" w:lineRule="auto"/>
              <w:rPr>
                <w:rFonts w:eastAsia="方正仿宋_GBK"/>
                <w:color w:val="auto"/>
                <w:szCs w:val="21"/>
              </w:rPr>
            </w:pPr>
            <w:r>
              <w:rPr>
                <w:rFonts w:eastAsia="方正仿宋_GBK"/>
                <w:color w:val="auto"/>
                <w:szCs w:val="21"/>
              </w:rPr>
              <w:t>2019年</w:t>
            </w:r>
          </w:p>
          <w:p>
            <w:pPr>
              <w:snapToGrid w:val="0"/>
              <w:spacing w:line="240" w:lineRule="auto"/>
              <w:rPr>
                <w:rFonts w:eastAsia="方正仿宋_GBK"/>
                <w:color w:val="auto"/>
                <w:szCs w:val="21"/>
              </w:rPr>
            </w:pPr>
            <w:r>
              <w:rPr>
                <w:rFonts w:eastAsia="方正仿宋_GBK"/>
                <w:color w:val="auto"/>
                <w:szCs w:val="21"/>
              </w:rPr>
              <w:t>（5处）</w:t>
            </w: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胥世炳屋后滑坡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0.85</w:t>
            </w:r>
          </w:p>
        </w:tc>
        <w:tc>
          <w:tcPr>
            <w:tcW w:w="1861"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2户6人</w:t>
            </w:r>
          </w:p>
        </w:tc>
        <w:tc>
          <w:tcPr>
            <w:tcW w:w="1369"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张天华屋侧滑坡</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0.04</w:t>
            </w:r>
          </w:p>
        </w:tc>
        <w:tc>
          <w:tcPr>
            <w:tcW w:w="1861" w:type="dxa"/>
            <w:vAlign w:val="center"/>
          </w:tcPr>
          <w:p>
            <w:pPr>
              <w:widowControl w:val="0"/>
              <w:snapToGrid w:val="0"/>
              <w:spacing w:line="240" w:lineRule="auto"/>
              <w:rPr>
                <w:rFonts w:eastAsia="方正仿宋_GBK"/>
                <w:color w:val="auto"/>
                <w:szCs w:val="21"/>
              </w:rPr>
            </w:pPr>
            <w:r>
              <w:rPr>
                <w:rFonts w:eastAsia="方正仿宋_GBK"/>
                <w:color w:val="auto"/>
                <w:kern w:val="0"/>
                <w:szCs w:val="21"/>
              </w:rPr>
              <w:t>2户9人</w:t>
            </w:r>
          </w:p>
        </w:tc>
        <w:tc>
          <w:tcPr>
            <w:tcW w:w="1369"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何家岩崩塌（危岩）</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15</w:t>
            </w:r>
          </w:p>
        </w:tc>
        <w:tc>
          <w:tcPr>
            <w:tcW w:w="1861" w:type="dxa"/>
            <w:vAlign w:val="center"/>
          </w:tcPr>
          <w:p>
            <w:pPr>
              <w:widowControl w:val="0"/>
              <w:snapToGrid w:val="0"/>
              <w:spacing w:line="240" w:lineRule="auto"/>
              <w:rPr>
                <w:rFonts w:eastAsia="方正仿宋_GBK"/>
                <w:color w:val="auto"/>
                <w:szCs w:val="21"/>
              </w:rPr>
            </w:pPr>
            <w:r>
              <w:rPr>
                <w:rFonts w:eastAsia="方正仿宋_GBK"/>
                <w:color w:val="auto"/>
                <w:kern w:val="0"/>
                <w:szCs w:val="21"/>
              </w:rPr>
              <w:t>205户725人</w:t>
            </w:r>
          </w:p>
        </w:tc>
        <w:tc>
          <w:tcPr>
            <w:tcW w:w="1369"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达牛坎崩塌</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0.011</w:t>
            </w:r>
          </w:p>
        </w:tc>
        <w:tc>
          <w:tcPr>
            <w:tcW w:w="1861" w:type="dxa"/>
            <w:vAlign w:val="center"/>
          </w:tcPr>
          <w:p>
            <w:pPr>
              <w:widowControl w:val="0"/>
              <w:snapToGrid w:val="0"/>
              <w:spacing w:line="240" w:lineRule="auto"/>
              <w:rPr>
                <w:rFonts w:eastAsia="方正仿宋_GBK"/>
                <w:color w:val="auto"/>
                <w:szCs w:val="21"/>
              </w:rPr>
            </w:pPr>
            <w:r>
              <w:rPr>
                <w:rFonts w:eastAsia="方正仿宋_GBK"/>
                <w:color w:val="auto"/>
                <w:kern w:val="0"/>
                <w:szCs w:val="21"/>
              </w:rPr>
              <w:t>1户6人</w:t>
            </w:r>
          </w:p>
        </w:tc>
        <w:tc>
          <w:tcPr>
            <w:tcW w:w="1369"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ind w:firstLine="560"/>
              <w:jc w:val="center"/>
              <w:rPr>
                <w:rFonts w:eastAsia="方正仿宋_GBK"/>
                <w:color w:val="auto"/>
                <w:szCs w:val="21"/>
              </w:rPr>
            </w:pPr>
          </w:p>
        </w:tc>
        <w:tc>
          <w:tcPr>
            <w:tcW w:w="3182" w:type="dxa"/>
            <w:gridSpan w:val="2"/>
            <w:vAlign w:val="center"/>
          </w:tcPr>
          <w:p>
            <w:pPr>
              <w:widowControl w:val="0"/>
              <w:snapToGrid w:val="0"/>
              <w:spacing w:line="240" w:lineRule="auto"/>
              <w:jc w:val="left"/>
              <w:rPr>
                <w:rFonts w:eastAsia="方正仿宋_GBK"/>
                <w:color w:val="auto"/>
                <w:szCs w:val="21"/>
              </w:rPr>
            </w:pPr>
            <w:r>
              <w:rPr>
                <w:rFonts w:eastAsia="方正仿宋_GBK"/>
                <w:color w:val="auto"/>
                <w:kern w:val="0"/>
                <w:szCs w:val="21"/>
              </w:rPr>
              <w:t>鸡公咀崩塌</w:t>
            </w:r>
          </w:p>
        </w:tc>
        <w:tc>
          <w:tcPr>
            <w:tcW w:w="1102" w:type="dxa"/>
            <w:gridSpan w:val="2"/>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3</w:t>
            </w:r>
          </w:p>
        </w:tc>
        <w:tc>
          <w:tcPr>
            <w:tcW w:w="1861" w:type="dxa"/>
            <w:vAlign w:val="center"/>
          </w:tcPr>
          <w:p>
            <w:pPr>
              <w:widowControl w:val="0"/>
              <w:snapToGrid w:val="0"/>
              <w:spacing w:line="240" w:lineRule="auto"/>
              <w:rPr>
                <w:rFonts w:eastAsia="方正仿宋_GBK"/>
                <w:color w:val="auto"/>
                <w:szCs w:val="21"/>
              </w:rPr>
            </w:pPr>
            <w:r>
              <w:rPr>
                <w:rFonts w:eastAsia="方正仿宋_GBK"/>
                <w:color w:val="auto"/>
                <w:kern w:val="0"/>
                <w:szCs w:val="21"/>
              </w:rPr>
              <w:t>29户93人</w:t>
            </w:r>
          </w:p>
        </w:tc>
        <w:tc>
          <w:tcPr>
            <w:tcW w:w="1369" w:type="dxa"/>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ind w:firstLine="560"/>
              <w:jc w:val="center"/>
              <w:rPr>
                <w:rFonts w:eastAsia="方正仿宋_GBK"/>
                <w:color w:val="auto"/>
                <w:szCs w:val="21"/>
              </w:rPr>
            </w:pPr>
          </w:p>
        </w:tc>
        <w:tc>
          <w:tcPr>
            <w:tcW w:w="6145" w:type="dxa"/>
            <w:gridSpan w:val="5"/>
            <w:vAlign w:val="center"/>
          </w:tcPr>
          <w:p>
            <w:pPr>
              <w:snapToGrid w:val="0"/>
              <w:spacing w:line="240" w:lineRule="auto"/>
              <w:jc w:val="center"/>
              <w:rPr>
                <w:rFonts w:eastAsia="方正仿宋_GBK"/>
                <w:color w:val="auto"/>
                <w:szCs w:val="21"/>
              </w:rPr>
            </w:pPr>
            <w:r>
              <w:rPr>
                <w:rFonts w:eastAsia="方正仿宋_GBK"/>
                <w:color w:val="auto"/>
                <w:szCs w:val="21"/>
              </w:rPr>
              <w:t>工程治理估算投资共计</w:t>
            </w:r>
          </w:p>
        </w:tc>
        <w:tc>
          <w:tcPr>
            <w:tcW w:w="1369" w:type="dxa"/>
            <w:vAlign w:val="center"/>
          </w:tcPr>
          <w:p>
            <w:pPr>
              <w:snapToGrid w:val="0"/>
              <w:spacing w:line="240" w:lineRule="auto"/>
              <w:jc w:val="center"/>
              <w:rPr>
                <w:rFonts w:eastAsia="方正仿宋_GBK"/>
                <w:color w:val="auto"/>
                <w:szCs w:val="21"/>
              </w:rPr>
            </w:pPr>
            <w:r>
              <w:rPr>
                <w:rFonts w:eastAsia="方正仿宋_GBK"/>
                <w:color w:val="auto"/>
                <w:szCs w:val="21"/>
              </w:rPr>
              <w:t>1164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64" w:type="dxa"/>
            <w:vMerge w:val="restart"/>
            <w:tcBorders>
              <w:bottom w:val="single" w:color="auto" w:sz="4" w:space="0"/>
            </w:tcBorders>
            <w:vAlign w:val="center"/>
          </w:tcPr>
          <w:p>
            <w:pPr>
              <w:snapToGrid w:val="0"/>
              <w:spacing w:line="240" w:lineRule="auto"/>
              <w:rPr>
                <w:rFonts w:eastAsia="方正仿宋_GBK"/>
                <w:color w:val="auto"/>
                <w:szCs w:val="21"/>
              </w:rPr>
            </w:pPr>
            <w:r>
              <w:rPr>
                <w:rFonts w:eastAsia="方正仿宋_GBK"/>
                <w:color w:val="auto"/>
                <w:szCs w:val="21"/>
              </w:rPr>
              <w:t>2020年</w:t>
            </w:r>
          </w:p>
          <w:p>
            <w:pPr>
              <w:snapToGrid w:val="0"/>
              <w:spacing w:line="240" w:lineRule="auto"/>
              <w:rPr>
                <w:rFonts w:eastAsia="方正仿宋_GBK"/>
                <w:color w:val="auto"/>
                <w:szCs w:val="21"/>
              </w:rPr>
            </w:pPr>
            <w:r>
              <w:rPr>
                <w:rFonts w:hint="eastAsia" w:eastAsia="方正仿宋_GBK"/>
                <w:color w:val="auto"/>
                <w:szCs w:val="21"/>
                <w:lang w:val="en" w:eastAsia="zh-CN"/>
              </w:rPr>
              <w:t>（</w:t>
            </w:r>
            <w:r>
              <w:rPr>
                <w:rFonts w:eastAsia="方正仿宋_GBK"/>
                <w:color w:val="auto"/>
                <w:szCs w:val="21"/>
              </w:rPr>
              <w:t>1处)</w:t>
            </w:r>
          </w:p>
        </w:tc>
        <w:tc>
          <w:tcPr>
            <w:tcW w:w="3059" w:type="dxa"/>
            <w:tcBorders>
              <w:bottom w:val="single" w:color="auto" w:sz="4" w:space="0"/>
            </w:tcBorders>
            <w:vAlign w:val="center"/>
          </w:tcPr>
          <w:p>
            <w:pPr>
              <w:snapToGrid w:val="0"/>
              <w:spacing w:line="240" w:lineRule="auto"/>
              <w:jc w:val="left"/>
              <w:rPr>
                <w:rFonts w:eastAsia="方正仿宋_GBK"/>
                <w:color w:val="auto"/>
                <w:szCs w:val="21"/>
              </w:rPr>
            </w:pPr>
            <w:r>
              <w:rPr>
                <w:rFonts w:eastAsia="方正仿宋_GBK"/>
                <w:color w:val="auto"/>
                <w:kern w:val="0"/>
                <w:szCs w:val="21"/>
              </w:rPr>
              <w:t>S205线K173+900m处滑坡</w:t>
            </w:r>
          </w:p>
        </w:tc>
        <w:tc>
          <w:tcPr>
            <w:tcW w:w="1059" w:type="dxa"/>
            <w:gridSpan w:val="2"/>
            <w:tcBorders>
              <w:bottom w:val="single" w:color="auto" w:sz="4" w:space="0"/>
            </w:tcBorders>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0.25</w:t>
            </w:r>
          </w:p>
        </w:tc>
        <w:tc>
          <w:tcPr>
            <w:tcW w:w="2027" w:type="dxa"/>
            <w:gridSpan w:val="2"/>
            <w:tcBorders>
              <w:bottom w:val="single" w:color="auto" w:sz="4" w:space="0"/>
            </w:tcBorders>
            <w:vAlign w:val="center"/>
          </w:tcPr>
          <w:p>
            <w:pPr>
              <w:widowControl w:val="0"/>
              <w:snapToGrid w:val="0"/>
              <w:spacing w:line="240" w:lineRule="auto"/>
              <w:jc w:val="center"/>
              <w:rPr>
                <w:rFonts w:eastAsia="方正仿宋_GBK"/>
                <w:color w:val="auto"/>
                <w:szCs w:val="21"/>
              </w:rPr>
            </w:pPr>
            <w:r>
              <w:rPr>
                <w:rFonts w:eastAsia="方正仿宋_GBK"/>
                <w:color w:val="auto"/>
                <w:kern w:val="0"/>
                <w:szCs w:val="21"/>
              </w:rPr>
              <w:t>S205线K173+900m、</w:t>
            </w:r>
            <w:r>
              <w:rPr>
                <w:rFonts w:eastAsia="方正仿宋_GBK"/>
                <w:color w:val="auto"/>
                <w:kern w:val="0"/>
                <w:szCs w:val="21"/>
              </w:rPr>
              <w:br w:type="textWrapping"/>
            </w:r>
            <w:r>
              <w:rPr>
                <w:rFonts w:eastAsia="方正仿宋_GBK"/>
                <w:color w:val="auto"/>
                <w:kern w:val="0"/>
                <w:szCs w:val="21"/>
              </w:rPr>
              <w:t>山京建材采石场</w:t>
            </w:r>
          </w:p>
        </w:tc>
        <w:tc>
          <w:tcPr>
            <w:tcW w:w="1369" w:type="dxa"/>
            <w:tcBorders>
              <w:bottom w:val="single" w:color="auto" w:sz="4" w:space="0"/>
            </w:tcBorders>
            <w:vAlign w:val="center"/>
          </w:tcPr>
          <w:p>
            <w:pPr>
              <w:snapToGrid w:val="0"/>
              <w:spacing w:line="240" w:lineRule="auto"/>
              <w:jc w:val="center"/>
              <w:rPr>
                <w:rFonts w:eastAsia="方正仿宋_GBK"/>
                <w:color w:val="auto"/>
                <w:szCs w:val="21"/>
              </w:rPr>
            </w:pPr>
            <w:r>
              <w:rPr>
                <w:rFonts w:eastAsia="方正仿宋_GBK"/>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64" w:type="dxa"/>
            <w:vMerge w:val="continue"/>
            <w:vAlign w:val="center"/>
          </w:tcPr>
          <w:p>
            <w:pPr>
              <w:snapToGrid w:val="0"/>
              <w:spacing w:line="240" w:lineRule="auto"/>
              <w:ind w:firstLine="560"/>
              <w:jc w:val="center"/>
              <w:rPr>
                <w:rFonts w:eastAsia="方正仿宋_GBK"/>
                <w:color w:val="auto"/>
                <w:szCs w:val="21"/>
              </w:rPr>
            </w:pPr>
          </w:p>
        </w:tc>
        <w:tc>
          <w:tcPr>
            <w:tcW w:w="6145" w:type="dxa"/>
            <w:gridSpan w:val="5"/>
            <w:vAlign w:val="center"/>
          </w:tcPr>
          <w:p>
            <w:pPr>
              <w:snapToGrid w:val="0"/>
              <w:spacing w:line="240" w:lineRule="auto"/>
              <w:jc w:val="center"/>
              <w:rPr>
                <w:rFonts w:eastAsia="方正仿宋_GBK"/>
                <w:color w:val="auto"/>
                <w:szCs w:val="21"/>
              </w:rPr>
            </w:pPr>
            <w:r>
              <w:rPr>
                <w:rFonts w:eastAsia="方正仿宋_GBK"/>
                <w:color w:val="auto"/>
                <w:szCs w:val="21"/>
              </w:rPr>
              <w:t>工程治理估算投资共计</w:t>
            </w:r>
          </w:p>
        </w:tc>
        <w:tc>
          <w:tcPr>
            <w:tcW w:w="1369" w:type="dxa"/>
            <w:vAlign w:val="center"/>
          </w:tcPr>
          <w:p>
            <w:pPr>
              <w:snapToGrid w:val="0"/>
              <w:spacing w:line="240" w:lineRule="auto"/>
              <w:jc w:val="center"/>
              <w:rPr>
                <w:rFonts w:eastAsia="方正仿宋_GBK"/>
                <w:color w:val="auto"/>
                <w:szCs w:val="21"/>
              </w:rPr>
            </w:pPr>
            <w:r>
              <w:rPr>
                <w:rFonts w:eastAsia="方正仿宋_GBK"/>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264" w:type="dxa"/>
            <w:vAlign w:val="center"/>
          </w:tcPr>
          <w:p>
            <w:pPr>
              <w:snapToGrid w:val="0"/>
              <w:spacing w:line="240" w:lineRule="auto"/>
              <w:rPr>
                <w:rFonts w:eastAsia="方正仿宋_GBK"/>
                <w:color w:val="auto"/>
                <w:spacing w:val="-11"/>
                <w:szCs w:val="21"/>
              </w:rPr>
            </w:pPr>
            <w:r>
              <w:rPr>
                <w:rFonts w:eastAsia="方正仿宋_GBK"/>
                <w:color w:val="auto"/>
                <w:spacing w:val="-11"/>
                <w:szCs w:val="21"/>
              </w:rPr>
              <w:t>2016-2020年</w:t>
            </w:r>
          </w:p>
        </w:tc>
        <w:tc>
          <w:tcPr>
            <w:tcW w:w="6145" w:type="dxa"/>
            <w:gridSpan w:val="5"/>
            <w:vAlign w:val="center"/>
          </w:tcPr>
          <w:p>
            <w:pPr>
              <w:snapToGrid w:val="0"/>
              <w:spacing w:line="240" w:lineRule="auto"/>
              <w:jc w:val="center"/>
              <w:rPr>
                <w:rFonts w:eastAsia="方正仿宋_GBK"/>
                <w:color w:val="auto"/>
                <w:szCs w:val="21"/>
              </w:rPr>
            </w:pPr>
            <w:r>
              <w:rPr>
                <w:rFonts w:eastAsia="方正仿宋_GBK"/>
                <w:color w:val="auto"/>
                <w:szCs w:val="21"/>
              </w:rPr>
              <w:t>合计</w:t>
            </w:r>
          </w:p>
        </w:tc>
        <w:tc>
          <w:tcPr>
            <w:tcW w:w="1369" w:type="dxa"/>
            <w:vAlign w:val="center"/>
          </w:tcPr>
          <w:p>
            <w:pPr>
              <w:snapToGrid w:val="0"/>
              <w:spacing w:line="240" w:lineRule="auto"/>
              <w:jc w:val="center"/>
              <w:rPr>
                <w:rFonts w:eastAsia="方正仿宋_GBK"/>
                <w:color w:val="auto"/>
                <w:szCs w:val="21"/>
              </w:rPr>
            </w:pPr>
            <w:r>
              <w:rPr>
                <w:rFonts w:eastAsia="方正仿宋_GBK"/>
                <w:color w:val="auto"/>
                <w:kern w:val="0"/>
                <w:szCs w:val="21"/>
              </w:rPr>
              <w:t>3755.35</w:t>
            </w:r>
          </w:p>
        </w:tc>
      </w:tr>
    </w:tbl>
    <w:p>
      <w:pPr>
        <w:spacing w:beforeLines="-2147483648" w:line="240" w:lineRule="auto"/>
        <w:jc w:val="left"/>
        <w:rPr>
          <w:rFonts w:hint="eastAsia" w:eastAsia="黑体"/>
          <w:color w:val="auto"/>
          <w:kern w:val="0"/>
          <w:sz w:val="24"/>
        </w:rPr>
      </w:pPr>
      <w:r>
        <w:rPr>
          <w:rFonts w:hint="eastAsia" w:eastAsia="黑体"/>
          <w:color w:val="auto"/>
          <w:kern w:val="0"/>
          <w:sz w:val="24"/>
        </w:rPr>
        <w:br w:type="page"/>
      </w:r>
    </w:p>
    <w:p>
      <w:pPr>
        <w:pStyle w:val="2"/>
        <w:snapToGrid w:val="0"/>
        <w:spacing w:before="0" w:beforeLines="50" w:after="0" w:line="240" w:lineRule="auto"/>
        <w:ind w:firstLine="0" w:firstLineChars="0"/>
        <w:jc w:val="left"/>
        <w:rPr>
          <w:rFonts w:hint="eastAsia" w:ascii="方正黑体_GBK" w:hAnsi="方正黑体_GBK" w:eastAsia="方正黑体_GBK" w:cs="方正黑体_GBK"/>
          <w:b w:val="0"/>
          <w:bCs w:val="0"/>
          <w:color w:val="auto"/>
          <w:kern w:val="44"/>
          <w:sz w:val="32"/>
          <w:szCs w:val="32"/>
        </w:rPr>
      </w:pPr>
      <w:bookmarkStart w:id="158" w:name="_Toc1289950777_WPSOffice_Level1"/>
      <w:bookmarkStart w:id="159" w:name="_Toc218922819_WPSOffice_Level1"/>
      <w:r>
        <w:rPr>
          <w:rFonts w:hint="eastAsia" w:ascii="方正黑体_GBK" w:hAnsi="方正黑体_GBK" w:eastAsia="方正黑体_GBK" w:cs="方正黑体_GBK"/>
          <w:b w:val="0"/>
          <w:bCs w:val="0"/>
          <w:color w:val="auto"/>
          <w:kern w:val="44"/>
          <w:sz w:val="32"/>
          <w:szCs w:val="32"/>
        </w:rPr>
        <w:t>附表2</w:t>
      </w:r>
    </w:p>
    <w:p>
      <w:pPr>
        <w:pStyle w:val="2"/>
        <w:snapToGrid w:val="0"/>
        <w:spacing w:before="0" w:beforeLines="50" w:after="0" w:line="276" w:lineRule="auto"/>
        <w:ind w:firstLine="0" w:firstLineChars="0"/>
        <w:jc w:val="center"/>
        <w:rPr>
          <w:rFonts w:hint="eastAsia" w:ascii="方正小标宋_GBK" w:hAnsi="方正小标宋_GBK" w:eastAsia="方正小标宋_GBK" w:cs="方正小标宋_GBK"/>
          <w:b w:val="0"/>
          <w:bCs w:val="0"/>
          <w:color w:val="auto"/>
          <w:sz w:val="36"/>
          <w:szCs w:val="36"/>
        </w:rPr>
      </w:pPr>
      <w:bookmarkStart w:id="160" w:name="_Toc1976943866_WPSOffice_Level1"/>
      <w:r>
        <w:rPr>
          <w:rFonts w:hint="eastAsia" w:ascii="方正小标宋_GBK" w:hAnsi="方正小标宋_GBK" w:eastAsia="方正小标宋_GBK" w:cs="方正小标宋_GBK"/>
          <w:b w:val="0"/>
          <w:bCs w:val="0"/>
          <w:color w:val="auto"/>
          <w:kern w:val="44"/>
          <w:sz w:val="36"/>
          <w:szCs w:val="36"/>
        </w:rPr>
        <w:t>上期</w:t>
      </w:r>
      <w:bookmarkEnd w:id="160"/>
      <w:r>
        <w:rPr>
          <w:rFonts w:hint="eastAsia" w:ascii="方正小标宋_GBK" w:hAnsi="方正小标宋_GBK" w:eastAsia="方正小标宋_GBK" w:cs="方正小标宋_GBK"/>
          <w:b w:val="0"/>
          <w:bCs w:val="0"/>
          <w:color w:val="auto"/>
          <w:kern w:val="44"/>
          <w:sz w:val="36"/>
          <w:szCs w:val="36"/>
        </w:rPr>
        <w:t>完成治理项目一</w:t>
      </w:r>
      <w:bookmarkEnd w:id="158"/>
      <w:bookmarkEnd w:id="159"/>
      <w:r>
        <w:rPr>
          <w:rFonts w:hint="eastAsia" w:ascii="方正小标宋_GBK" w:hAnsi="方正小标宋_GBK" w:eastAsia="方正小标宋_GBK" w:cs="方正小标宋_GBK"/>
          <w:b w:val="0"/>
          <w:bCs w:val="0"/>
          <w:color w:val="auto"/>
          <w:kern w:val="44"/>
          <w:sz w:val="36"/>
          <w:szCs w:val="36"/>
        </w:rPr>
        <w:t>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980"/>
        <w:gridCol w:w="947"/>
        <w:gridCol w:w="1130"/>
        <w:gridCol w:w="564"/>
        <w:gridCol w:w="1738"/>
        <w:gridCol w:w="798"/>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序号</w:t>
            </w:r>
          </w:p>
        </w:tc>
        <w:tc>
          <w:tcPr>
            <w:tcW w:w="1980" w:type="dxa"/>
            <w:vAlign w:val="center"/>
          </w:tcPr>
          <w:p>
            <w:pPr>
              <w:widowControl w:val="0"/>
              <w:snapToGrid w:val="0"/>
              <w:spacing w:line="240" w:lineRule="auto"/>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灾害点名称</w:t>
            </w:r>
          </w:p>
        </w:tc>
        <w:tc>
          <w:tcPr>
            <w:tcW w:w="947" w:type="dxa"/>
            <w:vAlign w:val="center"/>
          </w:tcPr>
          <w:p>
            <w:pPr>
              <w:widowControl w:val="0"/>
              <w:snapToGrid w:val="0"/>
              <w:spacing w:line="240" w:lineRule="auto"/>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施工时间（年）</w:t>
            </w:r>
          </w:p>
        </w:tc>
        <w:tc>
          <w:tcPr>
            <w:tcW w:w="1130" w:type="dxa"/>
            <w:vAlign w:val="center"/>
          </w:tcPr>
          <w:p>
            <w:pPr>
              <w:widowControl w:val="0"/>
              <w:snapToGrid w:val="0"/>
              <w:spacing w:line="240" w:lineRule="auto"/>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Cs w:val="21"/>
              </w:rPr>
              <w:t>治理项目</w:t>
            </w:r>
          </w:p>
          <w:p>
            <w:pPr>
              <w:widowControl w:val="0"/>
              <w:snapToGrid w:val="0"/>
              <w:spacing w:line="240" w:lineRule="auto"/>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方案</w:t>
            </w:r>
          </w:p>
        </w:tc>
        <w:tc>
          <w:tcPr>
            <w:tcW w:w="564" w:type="dxa"/>
            <w:vAlign w:val="center"/>
          </w:tcPr>
          <w:p>
            <w:pPr>
              <w:widowControl w:val="0"/>
              <w:snapToGrid w:val="0"/>
              <w:spacing w:line="240" w:lineRule="auto"/>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序号</w:t>
            </w:r>
          </w:p>
        </w:tc>
        <w:tc>
          <w:tcPr>
            <w:tcW w:w="1738" w:type="dxa"/>
            <w:vAlign w:val="center"/>
          </w:tcPr>
          <w:p>
            <w:pPr>
              <w:widowControl w:val="0"/>
              <w:snapToGrid w:val="0"/>
              <w:spacing w:line="240" w:lineRule="auto"/>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灾害点名称</w:t>
            </w:r>
          </w:p>
        </w:tc>
        <w:tc>
          <w:tcPr>
            <w:tcW w:w="798" w:type="dxa"/>
            <w:vAlign w:val="center"/>
          </w:tcPr>
          <w:p>
            <w:pPr>
              <w:widowControl w:val="0"/>
              <w:snapToGrid w:val="0"/>
              <w:spacing w:line="240" w:lineRule="auto"/>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施工时间（年）</w:t>
            </w:r>
          </w:p>
        </w:tc>
        <w:tc>
          <w:tcPr>
            <w:tcW w:w="996" w:type="dxa"/>
            <w:vAlign w:val="center"/>
          </w:tcPr>
          <w:p>
            <w:pPr>
              <w:widowControl w:val="0"/>
              <w:snapToGrid w:val="0"/>
              <w:spacing w:line="240" w:lineRule="auto"/>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治理项目方案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旺城大厦后山滑坡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2016</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86</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姜通富屋后滑坡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李仕连屋基滑坡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2016</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87</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彭孝林屋后滑坡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3</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花果山村杨柳村民小组滑坡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2016</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88</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古华英屋后滑坡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4</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邹家院子崩塌</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2016</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89</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周善银屋后滑坡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槽房坡滑坡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2016</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90</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莫中碧屋后滑坡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6</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spacing w:val="-11"/>
                <w:kern w:val="0"/>
                <w:szCs w:val="21"/>
              </w:rPr>
              <w:t>乙仙阁茶楼后山崩塌</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91</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陈碧银屋后滑坡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7</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长城大厦背后不稳定边坡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92</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王世华屋后滑坡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8</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永荣加气站滑坡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93</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宋中禄屋后滑坡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9</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花朝门滑坡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94</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肖家书屋后滑坡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10</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水库山不稳定边坡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95</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肖富良屋后滑坡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11</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李廷员屋后滑坡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96</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下厂沟滑坡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12</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狮子堡岩下滑坡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97</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中心街7号楼后山滑坡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13</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新街薛六屋后不稳定边坡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98</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张吉洲屋后滑坡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14</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天香楼屋后崩塌</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99</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七井农贸市场北侧滑坡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15</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新房子滑坡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100</w:t>
            </w:r>
          </w:p>
        </w:tc>
        <w:tc>
          <w:tcPr>
            <w:tcW w:w="1738" w:type="dxa"/>
            <w:vAlign w:val="center"/>
          </w:tcPr>
          <w:p>
            <w:pPr>
              <w:widowControl w:val="0"/>
              <w:snapToGrid w:val="0"/>
              <w:spacing w:line="240" w:lineRule="auto"/>
              <w:jc w:val="center"/>
              <w:rPr>
                <w:rFonts w:eastAsia="方正仿宋_GBK"/>
                <w:color w:val="auto"/>
                <w:spacing w:val="-6"/>
                <w:kern w:val="0"/>
                <w:szCs w:val="21"/>
              </w:rPr>
            </w:pPr>
            <w:r>
              <w:rPr>
                <w:rFonts w:eastAsia="方正仿宋_GBK"/>
                <w:color w:val="auto"/>
                <w:spacing w:val="-6"/>
                <w:kern w:val="0"/>
                <w:szCs w:val="21"/>
              </w:rPr>
              <w:t>上鹅湾煤矿后山滑坡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16</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楠竹林不稳定边坡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101</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邓秀权屋后滑坡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17</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大山坡四社危岩</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102</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童发号滑坡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18</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酢房湾煤矿泥石流</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103</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梁家院子滑坡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19</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唐德建屋后崩塌</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104</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刘家院子滑坡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周世富屋后崩塌</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105</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康朝军屋后滑坡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21</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农办集资房滑坡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106</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杨昌会屋后滑坡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22</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罗家坳口滑坡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107</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彭显木屋后滑坡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23</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邓文举屋后崩塌</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108</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spacing w:val="-6"/>
                <w:kern w:val="0"/>
                <w:szCs w:val="21"/>
              </w:rPr>
              <w:t>油坊沟煤矿山体滑坡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24</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李国秀屋后崩塌</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109</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油坊沟煤矿滑坡堆积体</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25</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碾子沟院子滑坡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110</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李承福屋侧滑坡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26</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spacing w:val="-6"/>
                <w:kern w:val="0"/>
                <w:szCs w:val="21"/>
              </w:rPr>
              <w:t>石朝路楠木湾地段滑坡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111</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中间房子滑坡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27</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殷家湾社崩塌</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112</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扇子坡崩塌</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28</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张口岩崩塌（危岩）</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113</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石屋基滑坡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29</w:t>
            </w:r>
          </w:p>
        </w:tc>
        <w:tc>
          <w:tcPr>
            <w:tcW w:w="1980" w:type="dxa"/>
            <w:vAlign w:val="center"/>
          </w:tcPr>
          <w:p>
            <w:pPr>
              <w:widowControl w:val="0"/>
              <w:snapToGrid w:val="0"/>
              <w:spacing w:line="240" w:lineRule="auto"/>
              <w:jc w:val="center"/>
              <w:rPr>
                <w:rFonts w:eastAsia="方正仿宋_GBK"/>
                <w:color w:val="auto"/>
                <w:spacing w:val="-6"/>
                <w:kern w:val="0"/>
                <w:szCs w:val="21"/>
              </w:rPr>
            </w:pPr>
            <w:r>
              <w:rPr>
                <w:rFonts w:eastAsia="方正仿宋_GBK"/>
                <w:color w:val="auto"/>
                <w:spacing w:val="-6"/>
                <w:kern w:val="0"/>
                <w:szCs w:val="21"/>
              </w:rPr>
              <w:t>侯云超屋后滑坡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114</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大头山滑坡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30</w:t>
            </w:r>
          </w:p>
        </w:tc>
        <w:tc>
          <w:tcPr>
            <w:tcW w:w="1980" w:type="dxa"/>
            <w:shd w:val="clear" w:color="auto" w:fill="auto"/>
            <w:vAlign w:val="center"/>
          </w:tcPr>
          <w:p>
            <w:pPr>
              <w:widowControl w:val="0"/>
              <w:snapToGrid w:val="0"/>
              <w:spacing w:line="240" w:lineRule="auto"/>
              <w:jc w:val="center"/>
              <w:rPr>
                <w:rFonts w:eastAsia="方正仿宋_GBK"/>
                <w:color w:val="auto"/>
                <w:spacing w:val="-6"/>
                <w:kern w:val="0"/>
                <w:szCs w:val="21"/>
              </w:rPr>
            </w:pPr>
            <w:r>
              <w:rPr>
                <w:rFonts w:eastAsia="方正仿宋_GBK"/>
                <w:color w:val="auto"/>
                <w:spacing w:val="-6"/>
                <w:kern w:val="0"/>
                <w:szCs w:val="21"/>
              </w:rPr>
              <w:t>尖山村红山水库挡水坝</w:t>
            </w:r>
          </w:p>
        </w:tc>
        <w:tc>
          <w:tcPr>
            <w:tcW w:w="947"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115</w:t>
            </w:r>
          </w:p>
        </w:tc>
        <w:tc>
          <w:tcPr>
            <w:tcW w:w="1738" w:type="dxa"/>
            <w:shd w:val="clear" w:color="000000" w:fill="FFFFFF"/>
            <w:vAlign w:val="center"/>
          </w:tcPr>
          <w:p>
            <w:pPr>
              <w:widowControl w:val="0"/>
              <w:snapToGrid w:val="0"/>
              <w:spacing w:line="240" w:lineRule="auto"/>
              <w:jc w:val="center"/>
              <w:rPr>
                <w:rFonts w:eastAsia="方正仿宋_GBK"/>
                <w:color w:val="auto"/>
                <w:kern w:val="0"/>
                <w:szCs w:val="21"/>
              </w:rPr>
            </w:pPr>
            <w:r>
              <w:rPr>
                <w:rFonts w:eastAsia="方正仿宋_GBK"/>
                <w:color w:val="auto"/>
                <w:spacing w:val="-6"/>
                <w:kern w:val="0"/>
                <w:szCs w:val="21"/>
              </w:rPr>
              <w:t>兰家八社望月庵崩塌</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31</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桂山路居民楼房后边坡垮塌</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116</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皂桷屋基滑坡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32</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spacing w:val="-6"/>
                <w:kern w:val="0"/>
                <w:szCs w:val="21"/>
              </w:rPr>
              <w:t>岩湾煤矿煤矸石堆积体</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117</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杨胜友屋后滑坡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33</w:t>
            </w:r>
          </w:p>
        </w:tc>
        <w:tc>
          <w:tcPr>
            <w:tcW w:w="1980"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谭良刚屋后滑坡</w:t>
            </w:r>
          </w:p>
        </w:tc>
        <w:tc>
          <w:tcPr>
            <w:tcW w:w="947"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118</w:t>
            </w:r>
          </w:p>
        </w:tc>
        <w:tc>
          <w:tcPr>
            <w:tcW w:w="1738" w:type="dxa"/>
            <w:shd w:val="clear" w:color="000000" w:fill="FFFFFF"/>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莿湾沟滑坡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34</w:t>
            </w:r>
          </w:p>
        </w:tc>
        <w:tc>
          <w:tcPr>
            <w:tcW w:w="1980"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何家湾公路滑坡</w:t>
            </w:r>
          </w:p>
        </w:tc>
        <w:tc>
          <w:tcPr>
            <w:tcW w:w="947"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119</w:t>
            </w:r>
          </w:p>
        </w:tc>
        <w:tc>
          <w:tcPr>
            <w:tcW w:w="1738" w:type="dxa"/>
            <w:shd w:val="clear" w:color="000000" w:fill="FFFFFF"/>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韩家石坝滑坡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35</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油坊沟煤矿北侧山体滑坡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120</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廖发玖屋后滑坡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36</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spacing w:val="-6"/>
                <w:kern w:val="0"/>
                <w:szCs w:val="21"/>
              </w:rPr>
              <w:t>油坊沟煤矿滑坡堆积体</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121</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罗从树屋后不稳定斜坡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37</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李承福屋侧滑坡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122</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陈青华屋基滑坡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38</w:t>
            </w:r>
          </w:p>
        </w:tc>
        <w:tc>
          <w:tcPr>
            <w:tcW w:w="1980"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张天华屋侧滑坡</w:t>
            </w:r>
          </w:p>
        </w:tc>
        <w:tc>
          <w:tcPr>
            <w:tcW w:w="947"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shd w:val="clear" w:color="auto" w:fill="auto"/>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123</w:t>
            </w:r>
          </w:p>
        </w:tc>
        <w:tc>
          <w:tcPr>
            <w:tcW w:w="1738" w:type="dxa"/>
            <w:shd w:val="clear" w:color="000000" w:fill="FFFFFF"/>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新房子屋基滑坡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39</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spacing w:val="-11"/>
                <w:kern w:val="0"/>
                <w:szCs w:val="21"/>
              </w:rPr>
              <w:t>上鹅湾煤矿后山边坡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124</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改匠沟滑坡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40</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新桥不稳定边坡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125</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鹿家坡崩塌</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41</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陈祥斌屋后滑坡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126</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会龙桥滑坡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42</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张天华屋侧滑坡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127</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柏林湾滑坡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43</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spacing w:val="-6"/>
                <w:kern w:val="0"/>
                <w:szCs w:val="21"/>
              </w:rPr>
              <w:t>唐莲云屋前不稳定边坡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128</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龙方君屋基滑坡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44</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宝峰公路滑坡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129</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李家林院子滑坡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45</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胡享俊屋后边坡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130</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杨太山屋后滑坡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46</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spacing w:val="-6"/>
                <w:kern w:val="0"/>
                <w:szCs w:val="21"/>
              </w:rPr>
              <w:t>卧龙凼社区看守所滑坡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131</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管邦位屋后崩塌</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47</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吊脚楼滑坡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132</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王汝其屋前滑坡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48</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蒋瑞全屋后滑坡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133</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小河坝泥石流</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49</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化工路298号4号楼堡坎垮塌</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134</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周兴奎屋后滑坡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50</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张天雨屋后滑坡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135</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易国富屋后滑坡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51</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达牛坎崩塌</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136</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李万祥屋后滑坡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52</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桥坡滑坡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137</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傅明珠屋后滑坡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53</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狮子岩崩塌</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138</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邓贤超屋前滑坡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54</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水井湾屋基滑坡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139</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胥世炳屋后滑坡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55</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冷德才屋前滑坡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140</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南瓜山回龙庙不稳定斜坡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2018</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56</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周公滩大院子不稳定边坡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141</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李兴华屋后滑坡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2018</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57</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杨家槽滑坡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142</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沟头滑坡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2018</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58</w:t>
            </w:r>
          </w:p>
        </w:tc>
        <w:tc>
          <w:tcPr>
            <w:tcW w:w="1980"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松山别韵不稳定边坡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143</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四望山村独树高石坎滑坡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2018</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59</w:t>
            </w:r>
          </w:p>
        </w:tc>
        <w:tc>
          <w:tcPr>
            <w:tcW w:w="1980"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法院家属院后山滑坡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144</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周世连屋后边坡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2018</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60</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金佳沟泥石流</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145</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新桥不稳定边坡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2018</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61</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王富凤屋后滑坡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146</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周家院子滑坡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2018</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62</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长条沟滑坡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147</w:t>
            </w:r>
          </w:p>
        </w:tc>
        <w:tc>
          <w:tcPr>
            <w:tcW w:w="1738"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叶家老院子泥石流</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2018</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63</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黄家陈门洞崩塌</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148</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万家湾坎上滑坡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2018</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64</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杨俊成屋后滑坡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149</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童廷华屋前滑坡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2018</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65</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陈祥兵屋后滑坡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150</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唐昌利屋后危岩</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2019</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66</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小湾滑坡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151</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九龙寺滑坡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2019</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67</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温家院子滑坡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152</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四望山村独树高石坎滑坡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2019</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68</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潘兴全屋后滑坡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153</w:t>
            </w:r>
          </w:p>
        </w:tc>
        <w:tc>
          <w:tcPr>
            <w:tcW w:w="1738" w:type="dxa"/>
            <w:vAlign w:val="center"/>
          </w:tcPr>
          <w:p>
            <w:pPr>
              <w:widowControl w:val="0"/>
              <w:snapToGrid w:val="0"/>
              <w:spacing w:line="240" w:lineRule="auto"/>
              <w:jc w:val="center"/>
              <w:rPr>
                <w:rFonts w:eastAsia="方正仿宋_GBK"/>
                <w:color w:val="auto"/>
                <w:kern w:val="0"/>
                <w:sz w:val="21"/>
                <w:szCs w:val="21"/>
              </w:rPr>
            </w:pPr>
            <w:r>
              <w:rPr>
                <w:rFonts w:eastAsia="方正仿宋_GBK"/>
                <w:color w:val="auto"/>
                <w:kern w:val="0"/>
                <w:szCs w:val="21"/>
              </w:rPr>
              <w:t>四合水库不稳定</w:t>
            </w:r>
          </w:p>
          <w:p>
            <w:pPr>
              <w:widowControl w:val="0"/>
              <w:snapToGrid w:val="0"/>
              <w:spacing w:line="240" w:lineRule="auto"/>
              <w:jc w:val="center"/>
              <w:rPr>
                <w:rFonts w:eastAsia="方正仿宋_GBK"/>
                <w:color w:val="auto"/>
                <w:kern w:val="0"/>
                <w:szCs w:val="21"/>
              </w:rPr>
            </w:pPr>
            <w:r>
              <w:rPr>
                <w:rFonts w:eastAsia="方正仿宋_GBK"/>
                <w:color w:val="auto"/>
                <w:kern w:val="0"/>
                <w:szCs w:val="21"/>
              </w:rPr>
              <w:t>斜坡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2019</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69</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新桥村民小组滑坡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154</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赵世润屋后崩塌</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2019</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金土工程搬迁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70</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铜包碑滑坡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155</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曹本文屋后滑坡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2019</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金土工程搬迁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71</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王益明屋后滑坡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156</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马正江屋后危岩</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2019</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金土工程搬迁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72</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吴家湾滑坡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157</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田坝屋基滑坡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2019</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金土工程搬迁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73</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大涧口村双丰农药厂滑坡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158</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谢家刚屋侧滑坡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2019</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金土工程搬迁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74</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丁家岩村二社望天冲滑坡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159</w:t>
            </w:r>
          </w:p>
        </w:tc>
        <w:tc>
          <w:tcPr>
            <w:tcW w:w="1738"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锅印岩崩塌（危岩）</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2019</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75</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大峰公路K1+800崩塌</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160</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袁家湾滑坡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2019</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76</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宾有才屋后滑坡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161</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喻家坡滑坡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2020</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77</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李思全屋后崩塌</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162</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S207省道930米处崩塌</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2020</w:t>
            </w:r>
          </w:p>
        </w:tc>
        <w:tc>
          <w:tcPr>
            <w:tcW w:w="996" w:type="dxa"/>
            <w:vAlign w:val="center"/>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工程整治及搬迁避让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78</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冬水沟老屋基滑坡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163</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陈祥华屋后滑坡</w:t>
            </w:r>
          </w:p>
        </w:tc>
        <w:tc>
          <w:tcPr>
            <w:tcW w:w="79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2020</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79</w:t>
            </w:r>
          </w:p>
        </w:tc>
        <w:tc>
          <w:tcPr>
            <w:tcW w:w="1980" w:type="dxa"/>
            <w:vAlign w:val="center"/>
          </w:tcPr>
          <w:p>
            <w:pPr>
              <w:widowControl w:val="0"/>
              <w:snapToGrid w:val="0"/>
              <w:spacing w:line="240" w:lineRule="auto"/>
              <w:jc w:val="center"/>
              <w:rPr>
                <w:rFonts w:eastAsia="方正仿宋_GBK"/>
                <w:color w:val="auto"/>
                <w:spacing w:val="-6"/>
                <w:kern w:val="0"/>
                <w:szCs w:val="21"/>
              </w:rPr>
            </w:pPr>
            <w:r>
              <w:rPr>
                <w:rFonts w:eastAsia="方正仿宋_GBK"/>
                <w:color w:val="auto"/>
                <w:spacing w:val="-6"/>
                <w:kern w:val="0"/>
                <w:szCs w:val="21"/>
              </w:rPr>
              <w:t>唐莲云屋前不稳定边坡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164</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尹廷学屋后不稳定边坡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2020</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80</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彭代友屋后滑坡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165</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黄泥坡滑坡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2020</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81</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大圆屋基滑坡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166</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冷远忠屋后不稳定边坡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2020</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82</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李治秀屋后滑坡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167</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唐世华屋后危岩</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2020</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83</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三块田滑坡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168</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吕祥里屋前滑坡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2020</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84</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新米湾滑坡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169</w:t>
            </w:r>
          </w:p>
        </w:tc>
        <w:tc>
          <w:tcPr>
            <w:tcW w:w="1738"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唐关学屋前滑坡</w:t>
            </w:r>
          </w:p>
        </w:tc>
        <w:tc>
          <w:tcPr>
            <w:tcW w:w="798" w:type="dxa"/>
            <w:vAlign w:val="top"/>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2020</w:t>
            </w:r>
          </w:p>
        </w:tc>
        <w:tc>
          <w:tcPr>
            <w:tcW w:w="996" w:type="dxa"/>
            <w:vAlign w:val="top"/>
          </w:tcPr>
          <w:p>
            <w:pPr>
              <w:widowControl w:val="0"/>
              <w:snapToGrid w:val="0"/>
              <w:spacing w:line="240" w:lineRule="auto"/>
              <w:jc w:val="center"/>
              <w:rPr>
                <w:rFonts w:eastAsia="方正仿宋_GBK"/>
                <w:color w:val="auto"/>
                <w:spacing w:val="-11"/>
                <w:kern w:val="0"/>
                <w:szCs w:val="21"/>
              </w:rPr>
            </w:pPr>
            <w:r>
              <w:rPr>
                <w:rFonts w:eastAsia="方正仿宋_GBK"/>
                <w:color w:val="auto"/>
                <w:spacing w:val="-11"/>
                <w:kern w:val="0"/>
                <w:szCs w:val="21"/>
              </w:rPr>
              <w:t>搬迁避让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64"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85</w:t>
            </w:r>
          </w:p>
        </w:tc>
        <w:tc>
          <w:tcPr>
            <w:tcW w:w="198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邓亨军屋后滑坡</w:t>
            </w:r>
          </w:p>
        </w:tc>
        <w:tc>
          <w:tcPr>
            <w:tcW w:w="947"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2017</w:t>
            </w:r>
          </w:p>
        </w:tc>
        <w:tc>
          <w:tcPr>
            <w:tcW w:w="1130" w:type="dxa"/>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工程治理</w:t>
            </w:r>
          </w:p>
        </w:tc>
        <w:tc>
          <w:tcPr>
            <w:tcW w:w="564" w:type="dxa"/>
            <w:vAlign w:val="center"/>
          </w:tcPr>
          <w:p>
            <w:pPr>
              <w:widowControl w:val="0"/>
              <w:snapToGrid w:val="0"/>
              <w:spacing w:line="240" w:lineRule="auto"/>
              <w:jc w:val="center"/>
              <w:rPr>
                <w:rFonts w:eastAsia="方正仿宋_GBK"/>
                <w:color w:val="auto"/>
                <w:kern w:val="0"/>
                <w:szCs w:val="21"/>
              </w:rPr>
            </w:pPr>
          </w:p>
        </w:tc>
        <w:tc>
          <w:tcPr>
            <w:tcW w:w="1738" w:type="dxa"/>
            <w:vAlign w:val="center"/>
          </w:tcPr>
          <w:p>
            <w:pPr>
              <w:widowControl w:val="0"/>
              <w:snapToGrid w:val="0"/>
              <w:spacing w:line="240" w:lineRule="auto"/>
              <w:jc w:val="center"/>
              <w:rPr>
                <w:rFonts w:eastAsia="方正仿宋_GBK"/>
                <w:color w:val="auto"/>
                <w:kern w:val="0"/>
                <w:szCs w:val="21"/>
              </w:rPr>
            </w:pPr>
          </w:p>
        </w:tc>
        <w:tc>
          <w:tcPr>
            <w:tcW w:w="798" w:type="dxa"/>
            <w:vAlign w:val="top"/>
          </w:tcPr>
          <w:p>
            <w:pPr>
              <w:widowControl w:val="0"/>
              <w:snapToGrid w:val="0"/>
              <w:spacing w:line="240" w:lineRule="auto"/>
              <w:jc w:val="center"/>
              <w:rPr>
                <w:rFonts w:eastAsia="方正仿宋_GBK"/>
                <w:color w:val="auto"/>
                <w:kern w:val="0"/>
                <w:szCs w:val="21"/>
              </w:rPr>
            </w:pPr>
          </w:p>
        </w:tc>
        <w:tc>
          <w:tcPr>
            <w:tcW w:w="996" w:type="dxa"/>
            <w:vAlign w:val="top"/>
          </w:tcPr>
          <w:p>
            <w:pPr>
              <w:widowControl w:val="0"/>
              <w:snapToGrid w:val="0"/>
              <w:spacing w:line="240" w:lineRule="auto"/>
              <w:jc w:val="center"/>
              <w:rPr>
                <w:rFonts w:eastAsia="方正仿宋_GBK"/>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4" w:type="dxa"/>
            <w:gridSpan w:val="2"/>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费用合计</w:t>
            </w:r>
          </w:p>
        </w:tc>
        <w:tc>
          <w:tcPr>
            <w:tcW w:w="6173" w:type="dxa"/>
            <w:gridSpan w:val="6"/>
            <w:vAlign w:val="center"/>
          </w:tcPr>
          <w:p>
            <w:pPr>
              <w:widowControl w:val="0"/>
              <w:snapToGrid w:val="0"/>
              <w:spacing w:line="240" w:lineRule="auto"/>
              <w:jc w:val="center"/>
              <w:rPr>
                <w:rFonts w:eastAsia="方正仿宋_GBK"/>
                <w:color w:val="auto"/>
                <w:kern w:val="0"/>
                <w:szCs w:val="21"/>
              </w:rPr>
            </w:pPr>
            <w:r>
              <w:rPr>
                <w:rFonts w:eastAsia="方正仿宋_GBK"/>
                <w:color w:val="auto"/>
                <w:kern w:val="0"/>
                <w:szCs w:val="21"/>
              </w:rPr>
              <w:t>约8600万元</w:t>
            </w:r>
          </w:p>
        </w:tc>
      </w:tr>
    </w:tbl>
    <w:p>
      <w:pPr>
        <w:spacing w:line="240" w:lineRule="auto"/>
        <w:jc w:val="left"/>
        <w:rPr>
          <w:rFonts w:hint="eastAsia" w:eastAsia="黑体"/>
          <w:color w:val="auto"/>
          <w:sz w:val="24"/>
        </w:rPr>
      </w:pPr>
      <w:r>
        <w:rPr>
          <w:rFonts w:hint="eastAsia" w:eastAsia="黑体"/>
          <w:color w:val="auto"/>
          <w:sz w:val="24"/>
        </w:rPr>
        <w:br w:type="page"/>
      </w:r>
    </w:p>
    <w:p>
      <w:pPr>
        <w:pStyle w:val="2"/>
        <w:snapToGrid w:val="0"/>
        <w:spacing w:before="0" w:after="0" w:line="240" w:lineRule="auto"/>
        <w:ind w:firstLine="0" w:firstLineChars="0"/>
        <w:jc w:val="left"/>
        <w:rPr>
          <w:rFonts w:hint="eastAsia" w:ascii="方正黑体_GBK" w:hAnsi="方正黑体_GBK" w:eastAsia="方正黑体_GBK" w:cs="方正黑体_GBK"/>
          <w:b w:val="0"/>
          <w:bCs w:val="0"/>
          <w:color w:val="auto"/>
          <w:sz w:val="32"/>
          <w:szCs w:val="32"/>
        </w:rPr>
      </w:pPr>
      <w:bookmarkStart w:id="161" w:name="_Toc304825441_WPSOffice_Level1"/>
      <w:bookmarkStart w:id="162" w:name="_Toc535366551_WPSOffice_Level1"/>
      <w:r>
        <w:rPr>
          <w:rFonts w:hint="eastAsia" w:ascii="方正黑体_GBK" w:hAnsi="方正黑体_GBK" w:eastAsia="方正黑体_GBK" w:cs="方正黑体_GBK"/>
          <w:b w:val="0"/>
          <w:bCs w:val="0"/>
          <w:color w:val="auto"/>
          <w:sz w:val="32"/>
          <w:szCs w:val="32"/>
        </w:rPr>
        <w:t>附表3</w:t>
      </w:r>
    </w:p>
    <w:p>
      <w:pPr>
        <w:pStyle w:val="2"/>
        <w:snapToGrid w:val="0"/>
        <w:spacing w:before="0" w:after="0" w:line="276" w:lineRule="auto"/>
        <w:ind w:firstLine="0" w:firstLineChars="0"/>
        <w:jc w:val="center"/>
        <w:rPr>
          <w:rFonts w:hint="eastAsia" w:ascii="方正小标宋_GBK" w:hAnsi="方正小标宋_GBK" w:eastAsia="方正小标宋_GBK" w:cs="方正小标宋_GBK"/>
          <w:b w:val="0"/>
          <w:bCs w:val="0"/>
          <w:color w:val="auto"/>
          <w:sz w:val="36"/>
          <w:szCs w:val="36"/>
        </w:rPr>
      </w:pPr>
      <w:bookmarkStart w:id="163" w:name="_Toc829937759_WPSOffice_Level1"/>
      <w:r>
        <w:rPr>
          <w:rFonts w:hint="eastAsia" w:ascii="方正小标宋_GBK" w:hAnsi="方正小标宋_GBK" w:eastAsia="方正小标宋_GBK" w:cs="方正小标宋_GBK"/>
          <w:b w:val="0"/>
          <w:bCs w:val="0"/>
          <w:color w:val="auto"/>
          <w:sz w:val="36"/>
          <w:szCs w:val="36"/>
        </w:rPr>
        <w:t>上期</w:t>
      </w:r>
      <w:bookmarkEnd w:id="163"/>
      <w:r>
        <w:rPr>
          <w:rFonts w:hint="eastAsia" w:ascii="方正小标宋_GBK" w:hAnsi="方正小标宋_GBK" w:eastAsia="方正小标宋_GBK" w:cs="方正小标宋_GBK"/>
          <w:b w:val="0"/>
          <w:bCs w:val="0"/>
          <w:color w:val="auto"/>
          <w:sz w:val="36"/>
          <w:szCs w:val="36"/>
        </w:rPr>
        <w:t>搬迁避让项目规划分</w:t>
      </w:r>
      <w:bookmarkEnd w:id="161"/>
      <w:bookmarkEnd w:id="162"/>
      <w:r>
        <w:rPr>
          <w:rFonts w:hint="eastAsia" w:ascii="方正小标宋_GBK" w:hAnsi="方正小标宋_GBK" w:eastAsia="方正小标宋_GBK" w:cs="方正小标宋_GBK"/>
          <w:b w:val="0"/>
          <w:bCs w:val="0"/>
          <w:color w:val="auto"/>
          <w:sz w:val="36"/>
          <w:szCs w:val="36"/>
        </w:rPr>
        <w:t>期表</w:t>
      </w:r>
    </w:p>
    <w:tbl>
      <w:tblPr>
        <w:tblStyle w:val="17"/>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837"/>
        <w:gridCol w:w="2707"/>
        <w:gridCol w:w="1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00" w:type="dxa"/>
            <w:vAlign w:val="center"/>
          </w:tcPr>
          <w:p>
            <w:pPr>
              <w:jc w:val="center"/>
              <w:rPr>
                <w:rFonts w:eastAsia="方正仿宋_GBK"/>
                <w:color w:val="auto"/>
                <w:kern w:val="0"/>
                <w:szCs w:val="21"/>
              </w:rPr>
            </w:pPr>
            <w:r>
              <w:rPr>
                <w:rFonts w:eastAsia="方正仿宋_GBK"/>
                <w:color w:val="auto"/>
                <w:kern w:val="0"/>
                <w:szCs w:val="21"/>
              </w:rPr>
              <w:t>分期</w:t>
            </w:r>
          </w:p>
        </w:tc>
        <w:tc>
          <w:tcPr>
            <w:tcW w:w="2837" w:type="dxa"/>
            <w:vAlign w:val="center"/>
          </w:tcPr>
          <w:p>
            <w:pPr>
              <w:jc w:val="center"/>
              <w:rPr>
                <w:rFonts w:eastAsia="方正仿宋_GBK"/>
                <w:color w:val="auto"/>
                <w:kern w:val="0"/>
                <w:szCs w:val="21"/>
              </w:rPr>
            </w:pPr>
            <w:r>
              <w:rPr>
                <w:rFonts w:eastAsia="方正仿宋_GBK"/>
                <w:color w:val="auto"/>
                <w:kern w:val="0"/>
                <w:szCs w:val="21"/>
              </w:rPr>
              <w:t>数目</w:t>
            </w:r>
          </w:p>
        </w:tc>
        <w:tc>
          <w:tcPr>
            <w:tcW w:w="2707" w:type="dxa"/>
            <w:vAlign w:val="center"/>
          </w:tcPr>
          <w:p>
            <w:pPr>
              <w:jc w:val="center"/>
              <w:rPr>
                <w:rFonts w:eastAsia="方正仿宋_GBK"/>
                <w:color w:val="auto"/>
                <w:kern w:val="0"/>
                <w:szCs w:val="21"/>
              </w:rPr>
            </w:pPr>
            <w:r>
              <w:rPr>
                <w:rFonts w:eastAsia="方正仿宋_GBK"/>
                <w:color w:val="auto"/>
                <w:kern w:val="0"/>
                <w:szCs w:val="21"/>
              </w:rPr>
              <w:t>人数</w:t>
            </w:r>
          </w:p>
        </w:tc>
        <w:tc>
          <w:tcPr>
            <w:tcW w:w="1954" w:type="dxa"/>
            <w:vAlign w:val="center"/>
          </w:tcPr>
          <w:p>
            <w:pPr>
              <w:jc w:val="center"/>
              <w:rPr>
                <w:rFonts w:eastAsia="方正仿宋_GBK"/>
                <w:color w:val="auto"/>
                <w:kern w:val="0"/>
                <w:szCs w:val="21"/>
              </w:rPr>
            </w:pPr>
            <w:r>
              <w:rPr>
                <w:rFonts w:eastAsia="方正仿宋_GBK"/>
                <w:color w:val="auto"/>
                <w:kern w:val="0"/>
                <w:szCs w:val="21"/>
              </w:rPr>
              <w:t>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00" w:type="dxa"/>
            <w:vAlign w:val="center"/>
          </w:tcPr>
          <w:p>
            <w:pPr>
              <w:jc w:val="center"/>
              <w:rPr>
                <w:rFonts w:eastAsia="方正仿宋_GBK"/>
                <w:color w:val="auto"/>
                <w:kern w:val="0"/>
                <w:szCs w:val="21"/>
              </w:rPr>
            </w:pPr>
            <w:r>
              <w:rPr>
                <w:rFonts w:eastAsia="方正仿宋_GBK"/>
                <w:color w:val="auto"/>
                <w:kern w:val="0"/>
                <w:szCs w:val="21"/>
              </w:rPr>
              <w:t>2016年</w:t>
            </w:r>
          </w:p>
        </w:tc>
        <w:tc>
          <w:tcPr>
            <w:tcW w:w="5544" w:type="dxa"/>
            <w:gridSpan w:val="2"/>
            <w:vAlign w:val="center"/>
          </w:tcPr>
          <w:p>
            <w:pPr>
              <w:widowControl/>
              <w:jc w:val="center"/>
              <w:rPr>
                <w:rFonts w:eastAsia="方正仿宋_GBK"/>
                <w:color w:val="auto"/>
                <w:kern w:val="0"/>
                <w:szCs w:val="21"/>
              </w:rPr>
            </w:pPr>
            <w:r>
              <w:rPr>
                <w:rFonts w:eastAsia="方正仿宋_GBK"/>
                <w:color w:val="auto"/>
                <w:kern w:val="0"/>
                <w:szCs w:val="21"/>
              </w:rPr>
              <w:t>地质灾害点调查阶段</w:t>
            </w:r>
          </w:p>
        </w:tc>
        <w:tc>
          <w:tcPr>
            <w:tcW w:w="1954" w:type="dxa"/>
            <w:vAlign w:val="center"/>
          </w:tcPr>
          <w:p>
            <w:pPr>
              <w:widowControl/>
              <w:jc w:val="center"/>
              <w:rPr>
                <w:rFonts w:eastAsia="方正仿宋_GBK"/>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00" w:type="dxa"/>
            <w:vAlign w:val="center"/>
          </w:tcPr>
          <w:p>
            <w:pPr>
              <w:jc w:val="center"/>
              <w:rPr>
                <w:rFonts w:eastAsia="方正仿宋_GBK"/>
                <w:color w:val="auto"/>
                <w:kern w:val="0"/>
                <w:szCs w:val="21"/>
              </w:rPr>
            </w:pPr>
            <w:r>
              <w:rPr>
                <w:rFonts w:eastAsia="方正仿宋_GBK"/>
                <w:color w:val="auto"/>
                <w:kern w:val="0"/>
                <w:szCs w:val="21"/>
              </w:rPr>
              <w:t>2017年</w:t>
            </w:r>
          </w:p>
        </w:tc>
        <w:tc>
          <w:tcPr>
            <w:tcW w:w="2837" w:type="dxa"/>
            <w:vAlign w:val="center"/>
          </w:tcPr>
          <w:p>
            <w:pPr>
              <w:jc w:val="center"/>
              <w:rPr>
                <w:rFonts w:eastAsia="方正仿宋_GBK"/>
                <w:color w:val="auto"/>
                <w:kern w:val="0"/>
                <w:szCs w:val="21"/>
              </w:rPr>
            </w:pPr>
            <w:r>
              <w:rPr>
                <w:rFonts w:eastAsia="方正仿宋_GBK"/>
                <w:color w:val="auto"/>
                <w:kern w:val="0"/>
                <w:szCs w:val="21"/>
              </w:rPr>
              <w:t>7处</w:t>
            </w:r>
          </w:p>
        </w:tc>
        <w:tc>
          <w:tcPr>
            <w:tcW w:w="2707" w:type="dxa"/>
            <w:vAlign w:val="center"/>
          </w:tcPr>
          <w:p>
            <w:pPr>
              <w:jc w:val="center"/>
              <w:rPr>
                <w:rFonts w:eastAsia="方正仿宋_GBK"/>
                <w:color w:val="auto"/>
                <w:kern w:val="0"/>
                <w:szCs w:val="21"/>
              </w:rPr>
            </w:pPr>
            <w:r>
              <w:rPr>
                <w:rFonts w:eastAsia="方正仿宋_GBK"/>
                <w:color w:val="auto"/>
                <w:kern w:val="0"/>
                <w:szCs w:val="21"/>
              </w:rPr>
              <w:t>62人</w:t>
            </w:r>
          </w:p>
        </w:tc>
        <w:tc>
          <w:tcPr>
            <w:tcW w:w="1954" w:type="dxa"/>
            <w:vAlign w:val="center"/>
          </w:tcPr>
          <w:p>
            <w:pPr>
              <w:jc w:val="center"/>
              <w:rPr>
                <w:rFonts w:eastAsia="方正仿宋_GBK"/>
                <w:color w:val="auto"/>
                <w:kern w:val="0"/>
                <w:szCs w:val="21"/>
              </w:rPr>
            </w:pPr>
            <w:r>
              <w:rPr>
                <w:rFonts w:eastAsia="方正仿宋_GBK"/>
                <w:color w:val="auto"/>
                <w:kern w:val="0"/>
                <w:szCs w:val="21"/>
              </w:rPr>
              <w:t>49.60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1200" w:type="dxa"/>
            <w:vAlign w:val="center"/>
          </w:tcPr>
          <w:p>
            <w:pPr>
              <w:jc w:val="center"/>
              <w:rPr>
                <w:rFonts w:eastAsia="方正仿宋_GBK"/>
                <w:color w:val="auto"/>
                <w:kern w:val="0"/>
                <w:szCs w:val="21"/>
              </w:rPr>
            </w:pPr>
            <w:r>
              <w:rPr>
                <w:rFonts w:eastAsia="方正仿宋_GBK"/>
                <w:color w:val="auto"/>
                <w:kern w:val="0"/>
                <w:szCs w:val="21"/>
              </w:rPr>
              <w:t>2018年</w:t>
            </w:r>
          </w:p>
        </w:tc>
        <w:tc>
          <w:tcPr>
            <w:tcW w:w="2837" w:type="dxa"/>
            <w:vAlign w:val="center"/>
          </w:tcPr>
          <w:p>
            <w:pPr>
              <w:jc w:val="center"/>
              <w:rPr>
                <w:rFonts w:eastAsia="方正仿宋_GBK"/>
                <w:color w:val="auto"/>
                <w:kern w:val="0"/>
                <w:szCs w:val="21"/>
              </w:rPr>
            </w:pPr>
            <w:r>
              <w:rPr>
                <w:rFonts w:eastAsia="方正仿宋_GBK"/>
                <w:color w:val="auto"/>
                <w:kern w:val="0"/>
                <w:szCs w:val="21"/>
              </w:rPr>
              <w:t>24处</w:t>
            </w:r>
          </w:p>
        </w:tc>
        <w:tc>
          <w:tcPr>
            <w:tcW w:w="2707" w:type="dxa"/>
            <w:vAlign w:val="center"/>
          </w:tcPr>
          <w:p>
            <w:pPr>
              <w:jc w:val="center"/>
              <w:rPr>
                <w:rFonts w:eastAsia="方正仿宋_GBK"/>
                <w:color w:val="auto"/>
                <w:kern w:val="0"/>
                <w:szCs w:val="21"/>
              </w:rPr>
            </w:pPr>
            <w:r>
              <w:rPr>
                <w:rFonts w:eastAsia="方正仿宋_GBK"/>
                <w:color w:val="auto"/>
                <w:kern w:val="0"/>
                <w:szCs w:val="21"/>
              </w:rPr>
              <w:t>388人</w:t>
            </w:r>
          </w:p>
        </w:tc>
        <w:tc>
          <w:tcPr>
            <w:tcW w:w="1954" w:type="dxa"/>
            <w:vAlign w:val="center"/>
          </w:tcPr>
          <w:p>
            <w:pPr>
              <w:jc w:val="center"/>
              <w:rPr>
                <w:rFonts w:eastAsia="方正仿宋_GBK"/>
                <w:color w:val="auto"/>
                <w:kern w:val="0"/>
                <w:szCs w:val="21"/>
              </w:rPr>
            </w:pPr>
            <w:r>
              <w:rPr>
                <w:rFonts w:eastAsia="方正仿宋_GBK"/>
                <w:color w:val="auto"/>
                <w:kern w:val="0"/>
                <w:szCs w:val="21"/>
              </w:rPr>
              <w:t>310.40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00" w:type="dxa"/>
            <w:vAlign w:val="center"/>
          </w:tcPr>
          <w:p>
            <w:pPr>
              <w:jc w:val="center"/>
              <w:rPr>
                <w:rFonts w:eastAsia="方正仿宋_GBK"/>
                <w:color w:val="auto"/>
                <w:kern w:val="0"/>
                <w:szCs w:val="21"/>
              </w:rPr>
            </w:pPr>
            <w:r>
              <w:rPr>
                <w:rFonts w:eastAsia="方正仿宋_GBK"/>
                <w:color w:val="auto"/>
                <w:kern w:val="0"/>
                <w:szCs w:val="21"/>
              </w:rPr>
              <w:t>2019年</w:t>
            </w:r>
          </w:p>
        </w:tc>
        <w:tc>
          <w:tcPr>
            <w:tcW w:w="2837" w:type="dxa"/>
            <w:vAlign w:val="center"/>
          </w:tcPr>
          <w:p>
            <w:pPr>
              <w:jc w:val="center"/>
              <w:rPr>
                <w:rFonts w:eastAsia="方正仿宋_GBK"/>
                <w:color w:val="auto"/>
                <w:kern w:val="0"/>
                <w:szCs w:val="21"/>
              </w:rPr>
            </w:pPr>
            <w:r>
              <w:rPr>
                <w:rFonts w:eastAsia="方正仿宋_GBK"/>
                <w:color w:val="auto"/>
                <w:kern w:val="0"/>
                <w:szCs w:val="21"/>
              </w:rPr>
              <w:t>23处</w:t>
            </w:r>
          </w:p>
        </w:tc>
        <w:tc>
          <w:tcPr>
            <w:tcW w:w="2707" w:type="dxa"/>
            <w:vAlign w:val="center"/>
          </w:tcPr>
          <w:p>
            <w:pPr>
              <w:jc w:val="center"/>
              <w:rPr>
                <w:rFonts w:eastAsia="方正仿宋_GBK"/>
                <w:color w:val="auto"/>
                <w:kern w:val="0"/>
                <w:szCs w:val="21"/>
              </w:rPr>
            </w:pPr>
            <w:r>
              <w:rPr>
                <w:rFonts w:eastAsia="方正仿宋_GBK"/>
                <w:color w:val="auto"/>
                <w:kern w:val="0"/>
                <w:szCs w:val="21"/>
              </w:rPr>
              <w:t>337人</w:t>
            </w:r>
          </w:p>
        </w:tc>
        <w:tc>
          <w:tcPr>
            <w:tcW w:w="1954" w:type="dxa"/>
            <w:vAlign w:val="center"/>
          </w:tcPr>
          <w:p>
            <w:pPr>
              <w:jc w:val="center"/>
              <w:rPr>
                <w:rFonts w:eastAsia="方正仿宋_GBK"/>
                <w:color w:val="auto"/>
                <w:kern w:val="0"/>
                <w:szCs w:val="21"/>
              </w:rPr>
            </w:pPr>
            <w:r>
              <w:rPr>
                <w:rFonts w:eastAsia="方正仿宋_GBK"/>
                <w:color w:val="auto"/>
                <w:kern w:val="0"/>
                <w:szCs w:val="21"/>
              </w:rPr>
              <w:t>269.6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00" w:type="dxa"/>
            <w:vAlign w:val="center"/>
          </w:tcPr>
          <w:p>
            <w:pPr>
              <w:jc w:val="center"/>
              <w:rPr>
                <w:rFonts w:eastAsia="方正仿宋_GBK"/>
                <w:color w:val="auto"/>
                <w:kern w:val="0"/>
                <w:szCs w:val="21"/>
              </w:rPr>
            </w:pPr>
            <w:r>
              <w:rPr>
                <w:rFonts w:eastAsia="方正仿宋_GBK"/>
                <w:color w:val="auto"/>
                <w:kern w:val="0"/>
                <w:szCs w:val="21"/>
              </w:rPr>
              <w:t>2020年</w:t>
            </w:r>
          </w:p>
        </w:tc>
        <w:tc>
          <w:tcPr>
            <w:tcW w:w="2837" w:type="dxa"/>
            <w:vAlign w:val="center"/>
          </w:tcPr>
          <w:p>
            <w:pPr>
              <w:jc w:val="center"/>
              <w:rPr>
                <w:rFonts w:eastAsia="方正仿宋_GBK"/>
                <w:color w:val="auto"/>
                <w:kern w:val="0"/>
                <w:szCs w:val="21"/>
              </w:rPr>
            </w:pPr>
            <w:r>
              <w:rPr>
                <w:rFonts w:eastAsia="方正仿宋_GBK"/>
                <w:color w:val="auto"/>
                <w:kern w:val="0"/>
                <w:szCs w:val="21"/>
              </w:rPr>
              <w:t>21处</w:t>
            </w:r>
          </w:p>
        </w:tc>
        <w:tc>
          <w:tcPr>
            <w:tcW w:w="2707" w:type="dxa"/>
            <w:vAlign w:val="center"/>
          </w:tcPr>
          <w:p>
            <w:pPr>
              <w:jc w:val="center"/>
              <w:rPr>
                <w:rFonts w:eastAsia="方正仿宋_GBK"/>
                <w:color w:val="auto"/>
                <w:kern w:val="0"/>
                <w:szCs w:val="21"/>
              </w:rPr>
            </w:pPr>
            <w:r>
              <w:rPr>
                <w:rFonts w:eastAsia="方正仿宋_GBK"/>
                <w:color w:val="auto"/>
                <w:kern w:val="0"/>
                <w:szCs w:val="21"/>
              </w:rPr>
              <w:t>772人</w:t>
            </w:r>
          </w:p>
        </w:tc>
        <w:tc>
          <w:tcPr>
            <w:tcW w:w="1954" w:type="dxa"/>
            <w:vAlign w:val="center"/>
          </w:tcPr>
          <w:p>
            <w:pPr>
              <w:jc w:val="center"/>
              <w:rPr>
                <w:rFonts w:eastAsia="方正仿宋_GBK"/>
                <w:color w:val="auto"/>
                <w:kern w:val="0"/>
                <w:szCs w:val="21"/>
              </w:rPr>
            </w:pPr>
            <w:r>
              <w:rPr>
                <w:rFonts w:eastAsia="方正仿宋_GBK"/>
                <w:color w:val="auto"/>
                <w:kern w:val="0"/>
                <w:szCs w:val="21"/>
              </w:rPr>
              <w:t>617.6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00" w:type="dxa"/>
            <w:vAlign w:val="center"/>
          </w:tcPr>
          <w:p>
            <w:pPr>
              <w:jc w:val="center"/>
              <w:rPr>
                <w:rFonts w:eastAsia="方正仿宋_GBK"/>
                <w:color w:val="auto"/>
                <w:kern w:val="0"/>
                <w:szCs w:val="21"/>
              </w:rPr>
            </w:pPr>
            <w:r>
              <w:rPr>
                <w:rFonts w:eastAsia="方正仿宋_GBK"/>
                <w:color w:val="auto"/>
                <w:kern w:val="0"/>
                <w:szCs w:val="21"/>
              </w:rPr>
              <w:t>合计</w:t>
            </w:r>
          </w:p>
        </w:tc>
        <w:tc>
          <w:tcPr>
            <w:tcW w:w="2837" w:type="dxa"/>
            <w:vAlign w:val="center"/>
          </w:tcPr>
          <w:p>
            <w:pPr>
              <w:jc w:val="center"/>
              <w:rPr>
                <w:rFonts w:eastAsia="方正仿宋_GBK"/>
                <w:color w:val="auto"/>
                <w:kern w:val="0"/>
                <w:szCs w:val="21"/>
              </w:rPr>
            </w:pPr>
            <w:r>
              <w:rPr>
                <w:rFonts w:eastAsia="方正仿宋_GBK"/>
                <w:color w:val="auto"/>
                <w:kern w:val="0"/>
                <w:szCs w:val="21"/>
              </w:rPr>
              <w:t>72处</w:t>
            </w:r>
          </w:p>
        </w:tc>
        <w:tc>
          <w:tcPr>
            <w:tcW w:w="2707" w:type="dxa"/>
            <w:vAlign w:val="center"/>
          </w:tcPr>
          <w:p>
            <w:pPr>
              <w:jc w:val="center"/>
              <w:rPr>
                <w:rFonts w:eastAsia="方正仿宋_GBK"/>
                <w:color w:val="auto"/>
                <w:kern w:val="0"/>
                <w:szCs w:val="21"/>
              </w:rPr>
            </w:pPr>
            <w:r>
              <w:rPr>
                <w:rFonts w:eastAsia="方正仿宋_GBK"/>
                <w:color w:val="auto"/>
                <w:kern w:val="0"/>
                <w:szCs w:val="21"/>
              </w:rPr>
              <w:t>1559人</w:t>
            </w:r>
          </w:p>
        </w:tc>
        <w:tc>
          <w:tcPr>
            <w:tcW w:w="1954" w:type="dxa"/>
            <w:vAlign w:val="center"/>
          </w:tcPr>
          <w:p>
            <w:pPr>
              <w:jc w:val="center"/>
              <w:rPr>
                <w:rFonts w:eastAsia="方正仿宋_GBK"/>
                <w:color w:val="auto"/>
                <w:kern w:val="0"/>
                <w:szCs w:val="21"/>
              </w:rPr>
            </w:pPr>
            <w:r>
              <w:rPr>
                <w:rFonts w:eastAsia="方正仿宋_GBK"/>
                <w:color w:val="auto"/>
                <w:kern w:val="0"/>
                <w:szCs w:val="21"/>
              </w:rPr>
              <w:t>1247.20</w:t>
            </w:r>
          </w:p>
        </w:tc>
      </w:tr>
    </w:tbl>
    <w:p>
      <w:pPr>
        <w:widowControl/>
        <w:spacing w:afterLines="50"/>
        <w:jc w:val="center"/>
        <w:rPr>
          <w:rFonts w:eastAsia="黑体"/>
          <w:color w:val="auto"/>
          <w:sz w:val="24"/>
        </w:rPr>
      </w:pPr>
    </w:p>
    <w:p>
      <w:pPr>
        <w:widowControl/>
        <w:jc w:val="center"/>
        <w:rPr>
          <w:b/>
          <w:bCs/>
          <w:color w:val="auto"/>
          <w:sz w:val="24"/>
        </w:rPr>
        <w:sectPr>
          <w:headerReference r:id="rId3" w:type="default"/>
          <w:footerReference r:id="rId4" w:type="default"/>
          <w:pgSz w:w="11905" w:h="16838"/>
          <w:pgMar w:top="2098" w:right="1474" w:bottom="1984" w:left="1587" w:header="720" w:footer="1474" w:gutter="0"/>
          <w:pgNumType w:fmt="numberInDash"/>
          <w:cols w:space="0" w:num="1"/>
          <w:rtlGutter w:val="0"/>
          <w:docGrid w:type="lines" w:linePitch="319" w:charSpace="0"/>
        </w:sectPr>
      </w:pPr>
    </w:p>
    <w:p>
      <w:pPr>
        <w:pStyle w:val="2"/>
        <w:snapToGrid w:val="0"/>
        <w:spacing w:before="0" w:after="0" w:line="240" w:lineRule="auto"/>
        <w:ind w:firstLine="0" w:firstLineChars="0"/>
        <w:jc w:val="left"/>
        <w:rPr>
          <w:rFonts w:hint="eastAsia" w:ascii="方正黑体_GBK" w:hAnsi="方正黑体_GBK" w:eastAsia="方正黑体_GBK" w:cs="方正黑体_GBK"/>
          <w:b w:val="0"/>
          <w:bCs w:val="0"/>
          <w:color w:val="auto"/>
          <w:sz w:val="32"/>
          <w:szCs w:val="32"/>
        </w:rPr>
      </w:pPr>
      <w:bookmarkStart w:id="164" w:name="_Toc847055198_WPSOffice_Level1"/>
      <w:bookmarkStart w:id="165" w:name="_Toc1641494696_WPSOffice_Level1"/>
      <w:r>
        <w:rPr>
          <w:rFonts w:hint="eastAsia" w:ascii="方正黑体_GBK" w:hAnsi="方正黑体_GBK" w:eastAsia="方正黑体_GBK" w:cs="方正黑体_GBK"/>
          <w:b w:val="0"/>
          <w:bCs w:val="0"/>
          <w:color w:val="auto"/>
          <w:sz w:val="32"/>
          <w:szCs w:val="32"/>
        </w:rPr>
        <w:t>附表4</w:t>
      </w:r>
    </w:p>
    <w:p>
      <w:pPr>
        <w:pStyle w:val="2"/>
        <w:snapToGrid w:val="0"/>
        <w:spacing w:before="0" w:after="0" w:line="276" w:lineRule="auto"/>
        <w:ind w:firstLine="0" w:firstLineChars="0"/>
        <w:jc w:val="center"/>
        <w:rPr>
          <w:rFonts w:hint="eastAsia" w:ascii="方正小标宋_GBK" w:hAnsi="方正小标宋_GBK" w:eastAsia="方正小标宋_GBK" w:cs="方正小标宋_GBK"/>
          <w:b w:val="0"/>
          <w:bCs w:val="0"/>
          <w:color w:val="auto"/>
          <w:sz w:val="36"/>
          <w:szCs w:val="36"/>
        </w:rPr>
      </w:pPr>
      <w:bookmarkStart w:id="166" w:name="_Toc1715009576_WPSOffice_Level1"/>
      <w:r>
        <w:rPr>
          <w:rFonts w:hint="eastAsia" w:ascii="方正小标宋_GBK" w:hAnsi="方正小标宋_GBK" w:eastAsia="方正小标宋_GBK" w:cs="方正小标宋_GBK"/>
          <w:b w:val="0"/>
          <w:bCs w:val="0"/>
          <w:color w:val="auto"/>
          <w:sz w:val="36"/>
          <w:szCs w:val="36"/>
        </w:rPr>
        <w:t>永川区</w:t>
      </w:r>
      <w:r>
        <w:rPr>
          <w:rFonts w:hint="eastAsia" w:ascii="方正小标宋_GBK" w:hAnsi="方正小标宋_GBK" w:eastAsia="方正小标宋_GBK" w:cs="方正小标宋_GBK"/>
          <w:b w:val="0"/>
          <w:bCs w:val="0"/>
          <w:color w:val="auto"/>
          <w:sz w:val="36"/>
          <w:szCs w:val="36"/>
          <w:lang w:eastAsia="zh-CN"/>
        </w:rPr>
        <w:t>“</w:t>
      </w:r>
      <w:r>
        <w:rPr>
          <w:rFonts w:hint="eastAsia" w:ascii="方正小标宋_GBK" w:hAnsi="方正小标宋_GBK" w:eastAsia="方正小标宋_GBK" w:cs="方正小标宋_GBK"/>
          <w:b w:val="0"/>
          <w:bCs w:val="0"/>
          <w:color w:val="auto"/>
          <w:sz w:val="36"/>
          <w:szCs w:val="36"/>
        </w:rPr>
        <w:t>十四五”地质灾害隐患点统计一览表</w:t>
      </w:r>
      <w:bookmarkEnd w:id="164"/>
      <w:bookmarkEnd w:id="165"/>
      <w:bookmarkEnd w:id="166"/>
    </w:p>
    <w:tbl>
      <w:tblPr>
        <w:tblStyle w:val="17"/>
        <w:tblW w:w="13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638"/>
        <w:gridCol w:w="1087"/>
        <w:gridCol w:w="2419"/>
        <w:gridCol w:w="2925"/>
        <w:gridCol w:w="787"/>
        <w:gridCol w:w="663"/>
        <w:gridCol w:w="1512"/>
        <w:gridCol w:w="2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restart"/>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镇街</w:t>
            </w:r>
          </w:p>
        </w:tc>
        <w:tc>
          <w:tcPr>
            <w:tcW w:w="638" w:type="dxa"/>
            <w:vMerge w:val="restart"/>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序号</w:t>
            </w:r>
          </w:p>
        </w:tc>
        <w:tc>
          <w:tcPr>
            <w:tcW w:w="1087" w:type="dxa"/>
            <w:vMerge w:val="restart"/>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编号</w:t>
            </w:r>
          </w:p>
        </w:tc>
        <w:tc>
          <w:tcPr>
            <w:tcW w:w="2419" w:type="dxa"/>
            <w:vMerge w:val="restart"/>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灾害点名称</w:t>
            </w:r>
          </w:p>
        </w:tc>
        <w:tc>
          <w:tcPr>
            <w:tcW w:w="2925" w:type="dxa"/>
            <w:vMerge w:val="restart"/>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地点</w:t>
            </w:r>
          </w:p>
        </w:tc>
        <w:tc>
          <w:tcPr>
            <w:tcW w:w="1450" w:type="dxa"/>
            <w:gridSpan w:val="2"/>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受灾或受威胁情况</w:t>
            </w:r>
          </w:p>
        </w:tc>
        <w:tc>
          <w:tcPr>
            <w:tcW w:w="1512" w:type="dxa"/>
            <w:vMerge w:val="restart"/>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影响对象</w:t>
            </w:r>
          </w:p>
        </w:tc>
        <w:tc>
          <w:tcPr>
            <w:tcW w:w="2173" w:type="dxa"/>
            <w:vMerge w:val="restart"/>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防治措施建议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vAlign w:val="center"/>
          </w:tcPr>
          <w:p>
            <w:pPr>
              <w:widowControl w:val="0"/>
              <w:snapToGrid w:val="0"/>
              <w:jc w:val="center"/>
              <w:rPr>
                <w:rFonts w:eastAsia="方正仿宋_GBK"/>
                <w:color w:val="auto"/>
                <w:kern w:val="0"/>
                <w:szCs w:val="21"/>
              </w:rPr>
            </w:pPr>
          </w:p>
        </w:tc>
        <w:tc>
          <w:tcPr>
            <w:tcW w:w="638" w:type="dxa"/>
            <w:vMerge w:val="continue"/>
            <w:vAlign w:val="center"/>
          </w:tcPr>
          <w:p>
            <w:pPr>
              <w:widowControl w:val="0"/>
              <w:snapToGrid w:val="0"/>
              <w:jc w:val="center"/>
              <w:rPr>
                <w:rFonts w:eastAsia="方正仿宋_GBK"/>
                <w:color w:val="auto"/>
                <w:kern w:val="0"/>
                <w:szCs w:val="21"/>
              </w:rPr>
            </w:pPr>
          </w:p>
        </w:tc>
        <w:tc>
          <w:tcPr>
            <w:tcW w:w="1087" w:type="dxa"/>
            <w:vMerge w:val="continue"/>
            <w:vAlign w:val="center"/>
          </w:tcPr>
          <w:p>
            <w:pPr>
              <w:widowControl w:val="0"/>
              <w:snapToGrid w:val="0"/>
              <w:jc w:val="center"/>
              <w:rPr>
                <w:rFonts w:eastAsia="方正仿宋_GBK"/>
                <w:color w:val="auto"/>
                <w:kern w:val="0"/>
                <w:szCs w:val="21"/>
              </w:rPr>
            </w:pPr>
          </w:p>
        </w:tc>
        <w:tc>
          <w:tcPr>
            <w:tcW w:w="2419" w:type="dxa"/>
            <w:vMerge w:val="continue"/>
            <w:vAlign w:val="center"/>
          </w:tcPr>
          <w:p>
            <w:pPr>
              <w:widowControl w:val="0"/>
              <w:snapToGrid w:val="0"/>
              <w:jc w:val="center"/>
              <w:rPr>
                <w:rFonts w:eastAsia="方正仿宋_GBK"/>
                <w:color w:val="auto"/>
                <w:kern w:val="0"/>
                <w:szCs w:val="21"/>
              </w:rPr>
            </w:pPr>
          </w:p>
        </w:tc>
        <w:tc>
          <w:tcPr>
            <w:tcW w:w="2925" w:type="dxa"/>
            <w:vMerge w:val="continue"/>
            <w:vAlign w:val="center"/>
          </w:tcPr>
          <w:p>
            <w:pPr>
              <w:widowControl w:val="0"/>
              <w:snapToGrid w:val="0"/>
              <w:jc w:val="center"/>
              <w:rPr>
                <w:rFonts w:eastAsia="方正仿宋_GBK"/>
                <w:color w:val="auto"/>
                <w:kern w:val="0"/>
                <w:szCs w:val="21"/>
              </w:rPr>
            </w:pPr>
          </w:p>
        </w:tc>
        <w:tc>
          <w:tcPr>
            <w:tcW w:w="787" w:type="dxa"/>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户</w:t>
            </w:r>
          </w:p>
        </w:tc>
        <w:tc>
          <w:tcPr>
            <w:tcW w:w="663" w:type="dxa"/>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人</w:t>
            </w:r>
          </w:p>
        </w:tc>
        <w:tc>
          <w:tcPr>
            <w:tcW w:w="1512" w:type="dxa"/>
            <w:vMerge w:val="continue"/>
            <w:vAlign w:val="center"/>
          </w:tcPr>
          <w:p>
            <w:pPr>
              <w:widowControl w:val="0"/>
              <w:snapToGrid w:val="0"/>
              <w:jc w:val="center"/>
              <w:rPr>
                <w:rFonts w:eastAsia="方正仿宋_GBK"/>
                <w:color w:val="auto"/>
                <w:kern w:val="0"/>
                <w:szCs w:val="21"/>
              </w:rPr>
            </w:pPr>
          </w:p>
        </w:tc>
        <w:tc>
          <w:tcPr>
            <w:tcW w:w="2173" w:type="dxa"/>
            <w:vMerge w:val="continue"/>
            <w:vAlign w:val="center"/>
          </w:tcPr>
          <w:p>
            <w:pPr>
              <w:widowControl w:val="0"/>
              <w:snapToGrid w:val="0"/>
              <w:jc w:val="center"/>
              <w:rPr>
                <w:rFonts w:eastAsia="方正仿宋_GBK"/>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胜利路（1处）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XP1</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古家坳不稳定斜坡</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永钢村古家坳村民小组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26</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127</w:t>
            </w:r>
          </w:p>
        </w:tc>
        <w:tc>
          <w:tcPr>
            <w:tcW w:w="1512" w:type="dxa"/>
            <w:shd w:val="clear" w:color="000000" w:fill="FFFFFF"/>
            <w:vAlign w:val="center"/>
          </w:tcPr>
          <w:p>
            <w:pPr>
              <w:widowControl w:val="0"/>
              <w:snapToGrid w:val="0"/>
              <w:jc w:val="center"/>
              <w:rPr>
                <w:rFonts w:eastAsia="方正仿宋_GBK"/>
                <w:color w:val="auto"/>
                <w:spacing w:val="-6"/>
                <w:kern w:val="0"/>
                <w:szCs w:val="21"/>
              </w:rPr>
            </w:pPr>
            <w:r>
              <w:rPr>
                <w:rFonts w:eastAsia="方正仿宋_GBK"/>
                <w:color w:val="auto"/>
                <w:spacing w:val="-6"/>
                <w:kern w:val="0"/>
                <w:szCs w:val="21"/>
              </w:rPr>
              <w:t>乡村公路、房屋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已安装二级监测设备并连网，建议控勘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restart"/>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中山路</w:t>
            </w:r>
            <w:r>
              <w:rPr>
                <w:rFonts w:hint="eastAsia" w:eastAsia="方正仿宋_GBK"/>
                <w:color w:val="auto"/>
                <w:kern w:val="0"/>
                <w:szCs w:val="21"/>
                <w:lang w:eastAsia="zh-CN"/>
              </w:rPr>
              <w:t>（</w:t>
            </w:r>
            <w:r>
              <w:rPr>
                <w:rFonts w:eastAsia="方正仿宋_GBK"/>
                <w:color w:val="auto"/>
                <w:kern w:val="0"/>
                <w:szCs w:val="21"/>
              </w:rPr>
              <w:t>3处）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H1</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玉青寺滑坡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双龙村东岳桥村民小组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1512" w:type="dxa"/>
            <w:shd w:val="clear" w:color="000000" w:fill="FFFFFF"/>
            <w:vAlign w:val="center"/>
          </w:tcPr>
          <w:p>
            <w:pPr>
              <w:widowControl w:val="0"/>
              <w:snapToGrid w:val="0"/>
              <w:jc w:val="center"/>
              <w:rPr>
                <w:rFonts w:eastAsia="方正仿宋_GBK"/>
                <w:color w:val="auto"/>
                <w:spacing w:val="-6"/>
                <w:kern w:val="0"/>
                <w:szCs w:val="21"/>
              </w:rPr>
            </w:pPr>
            <w:r>
              <w:rPr>
                <w:rFonts w:eastAsia="方正仿宋_GBK"/>
                <w:color w:val="auto"/>
                <w:spacing w:val="-6"/>
                <w:kern w:val="0"/>
                <w:szCs w:val="21"/>
              </w:rPr>
              <w:t>公路、过往香客</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H2</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岩洞湾滑坡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三星村九道拐村民小组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6</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避险移民搬迁+监测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4</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H3</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狮子桥滑坡</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双龙村狮子桥村民小组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6</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南大街（1处）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5</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B1</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踏蹄沟崩塌</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兴隆村</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威胁煤矿房屋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避险移民搬迁+监测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restart"/>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茶竹（6处）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6</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B2</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大桥村一社猫儿梁崩塌</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大桥村雷公嘴社</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8</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景区公路 、车辆、行人</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7</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B3</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大桥村一社手爬岩崩塌</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大桥村莲花寺社</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景区公路 、车辆、行人</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8</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H4</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莲花坝屋基滑坡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茶园村清明田社</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5</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15</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避险移民搬迁+监测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9</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B4</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王家山崩塌</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桂花村石笋社</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8</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公路、车辆、行人</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避险移民搬迁+监测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10</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H5</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果园坡滑坡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大桥村跳墩社</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公路、车辆、行人</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已简易整治+监测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11</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H6</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张天华屋侧滑坡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茶竹村花岩村民小组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9</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spacing w:val="-6"/>
                <w:kern w:val="0"/>
                <w:szCs w:val="21"/>
              </w:rPr>
              <w:t>已避险移民搬迁+监测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金龙</w:t>
            </w:r>
            <w:r>
              <w:rPr>
                <w:rFonts w:hint="eastAsia" w:eastAsia="方正仿宋_GBK"/>
                <w:color w:val="auto"/>
                <w:kern w:val="0"/>
                <w:szCs w:val="21"/>
                <w:lang w:eastAsia="zh-CN"/>
              </w:rPr>
              <w:t>（</w:t>
            </w:r>
            <w:r>
              <w:rPr>
                <w:rFonts w:eastAsia="方正仿宋_GBK"/>
                <w:color w:val="auto"/>
                <w:kern w:val="0"/>
                <w:szCs w:val="21"/>
              </w:rPr>
              <w:t>1处)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12</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B5</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何家岩崩塌（危岩）</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洞子口村红岩社-水口寺社</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205</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725</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公路、车辆、行人</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restart"/>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大安（4处）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13</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B6</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鸡公咀崩塌</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官禄岩村沙坝小组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29</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93</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公路、车辆、行人</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已简易整治+监测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14</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B7</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沙坝社手爬岩危岩</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官禄岩村沙坝小组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6</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21</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15</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H7</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官禄岩深沟滑坡</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官禄岩村深沟小组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5</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19</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16</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XP2</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廖兴德屋后不稳定边坡</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高坡村民小组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已简易整治+监测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板桥（1处）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17</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H8</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彭家湾滑坡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古佛村高堡坡村民小组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6</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28</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已部分搬迁+监测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三教（1处）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18</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H9</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刘兴友屋后滑坡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郝家坝村花园社</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16</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正在简易整治+监测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restart"/>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双石（5处）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19</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H10</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蒋家院子滑坡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中心桥村</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6</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28</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避险移民搬迁+监测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20</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B8</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丁家岩村梨山坡危岩</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丁家岩村</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10</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30</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避险移民搬迁+监测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21</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B9</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岩湾危岩</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丁家岩村天灯坡村民小组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10</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26</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spacing w:val="-6"/>
                <w:kern w:val="0"/>
                <w:szCs w:val="21"/>
              </w:rPr>
              <w:t>乡村公路、房屋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22</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XP3</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刘文超屋后不稳定边坡</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大涧口村</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4</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简易整治+监测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23</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H11</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计生服务站屋后滑坡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丁家岩村</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9</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25</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河道、房屋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restart"/>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仙龙（2处）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24</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B10</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罗忠良屋后危岩（崩塌）</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金宝山村尖石头村民小组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11</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已部分搬迁+监测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25</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H12</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何家湾公路滑坡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牛门口村苏家祠堂村民小组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4</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6</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公路、行人</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简易整治+监测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红炉（1处）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26</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T1</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新店地面塌陷</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会龙桥村</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农地、水塘</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陈食（1处）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27</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B11</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唐昌利屋后危岩</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冯家坪村大山坡村民小组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6</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19</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restart"/>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临江（3处）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28</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XP4</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洋厂湾不稳定斜坡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普安村10社</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如渝再生铅厂及永津老公路</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29</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B12</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神道碑危岩</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隆顺村4社</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10</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房屋、永津公路、车辆</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30</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XP5</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大水沟不稳定边坡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普安村沙湾村民小组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乡村公路、车辆和行人</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青峰（1处）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31</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H13</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王家院子滑坡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胡豆坪村王家龙社</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6</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避险移民搬迁+监测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吉安（1处）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H14</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S205线K173+900m处滑坡</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铜梁村S205线K173+900m处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公路、车辆、行人</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何埂（1处）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33</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H15</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白石槽滑坡</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石笋山村白石槽村民小组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公路、车辆、行人</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restart"/>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朱沱</w:t>
            </w:r>
            <w:r>
              <w:rPr>
                <w:rFonts w:hint="eastAsia" w:eastAsia="方正仿宋_GBK"/>
                <w:color w:val="auto"/>
                <w:kern w:val="0"/>
                <w:szCs w:val="21"/>
                <w:lang w:eastAsia="zh-CN"/>
              </w:rPr>
              <w:t>（</w:t>
            </w:r>
            <w:r>
              <w:rPr>
                <w:rFonts w:eastAsia="方正仿宋_GBK"/>
                <w:color w:val="auto"/>
                <w:kern w:val="0"/>
                <w:szCs w:val="21"/>
              </w:rPr>
              <w:t>3处)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34</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H16</w:t>
            </w:r>
          </w:p>
        </w:tc>
        <w:tc>
          <w:tcPr>
            <w:tcW w:w="2419" w:type="dxa"/>
            <w:shd w:val="clear" w:color="000000" w:fill="FFFFFF"/>
            <w:vAlign w:val="center"/>
          </w:tcPr>
          <w:p>
            <w:pPr>
              <w:widowControl w:val="0"/>
              <w:snapToGrid w:val="0"/>
              <w:jc w:val="center"/>
              <w:rPr>
                <w:rFonts w:eastAsia="方正仿宋_GBK"/>
                <w:color w:val="auto"/>
                <w:spacing w:val="-6"/>
                <w:kern w:val="0"/>
                <w:szCs w:val="21"/>
              </w:rPr>
            </w:pPr>
            <w:r>
              <w:rPr>
                <w:rFonts w:eastAsia="方正仿宋_GBK"/>
                <w:color w:val="auto"/>
                <w:spacing w:val="-6"/>
                <w:kern w:val="0"/>
                <w:szCs w:val="21"/>
              </w:rPr>
              <w:t>四望山村独树高石坎滑坡</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四望山村独树子村民小组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98</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350</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公路、车辆、行人</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B13</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伍德清屋后崩塌</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笋桥村浸娅村民小组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5</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spacing w:val="-6"/>
                <w:kern w:val="0"/>
                <w:szCs w:val="21"/>
              </w:rPr>
              <w:t>房屋、乡村公路</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避险移民搬迁+监测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36</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B14</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牟光权屋后崩塌</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四明村养人湾村民小组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5</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25</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已简易整治+监测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restart"/>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卫星湖（3处）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37</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B15</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蒋洪财屋后崩塌</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石脚迹村高坎村民小组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已简易整治+监测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38</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XP6</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四合水库不稳定斜坡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四合水库敬老院屋后</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敬老院</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39</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XP7</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涂家坳不稳定边坡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中坝大街</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人行道过往行人、电杆</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已简易整治+监测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restart"/>
            <w:shd w:val="clear" w:color="auto" w:fill="auto"/>
            <w:vAlign w:val="center"/>
          </w:tcPr>
          <w:p>
            <w:pPr>
              <w:widowControl w:val="0"/>
              <w:snapToGrid w:val="0"/>
              <w:jc w:val="center"/>
              <w:rPr>
                <w:rFonts w:hint="eastAsia" w:eastAsia="方正仿宋_GBK"/>
                <w:color w:val="auto"/>
                <w:kern w:val="0"/>
                <w:szCs w:val="21"/>
              </w:rPr>
            </w:pPr>
            <w:r>
              <w:rPr>
                <w:rFonts w:eastAsia="方正仿宋_GBK"/>
                <w:color w:val="auto"/>
                <w:kern w:val="0"/>
                <w:szCs w:val="21"/>
              </w:rPr>
              <w:t>来苏</w:t>
            </w:r>
            <w:r>
              <w:rPr>
                <w:rFonts w:hint="eastAsia" w:eastAsia="方正仿宋_GBK"/>
                <w:color w:val="auto"/>
                <w:kern w:val="0"/>
                <w:szCs w:val="21"/>
                <w:lang w:eastAsia="zh-CN"/>
              </w:rPr>
              <w:t>（</w:t>
            </w:r>
            <w:r>
              <w:rPr>
                <w:rFonts w:eastAsia="方正仿宋_GBK"/>
                <w:color w:val="auto"/>
                <w:kern w:val="0"/>
                <w:szCs w:val="21"/>
              </w:rPr>
              <w:t>3处</w:t>
            </w:r>
            <w:r>
              <w:rPr>
                <w:rFonts w:hint="eastAsia" w:eastAsia="方正仿宋_GBK"/>
                <w:color w:val="auto"/>
                <w:kern w:val="0"/>
                <w:szCs w:val="21"/>
                <w:lang w:eastAsia="zh-CN"/>
              </w:rPr>
              <w:t>）</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40</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B16</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石牛寺村石盘寺崩塌</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石牛寺村石盘寺村民小组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4</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14</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spacing w:val="-6"/>
                <w:kern w:val="0"/>
                <w:szCs w:val="21"/>
              </w:rPr>
              <w:t>乡村公路、房屋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避险移民搬迁+监测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41</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B17</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殷家湾社崩塌</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石牛寺村殷家湾村民小组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7</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永泸公路、行人和车辆</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42</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B18</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万寿桥崩塌</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梳妆台村万寿桥村民小组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5</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23</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restart"/>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宝峰（4处）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43</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B19</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骑龙坳崩塌</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天星桥骑龙坳村民小组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公路、车辆、行人</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44</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H17</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瓦厂坎上滑坡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龙凤桥堰水沟村民小组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6</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避险移民搬迁+监测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45</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H18</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权光照屋后滑坡</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龙凤桥村堰水沟山村民小组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4</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避险移民搬迁+监测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46</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XP8</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连房碥不稳定斜坡</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泸永桥村四方井社</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公路、车辆、行人</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restart"/>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松溉 (6处)</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47</w:t>
            </w:r>
          </w:p>
        </w:tc>
        <w:tc>
          <w:tcPr>
            <w:tcW w:w="1087" w:type="dxa"/>
            <w:shd w:val="clear" w:color="auto" w:fill="auto"/>
            <w:vAlign w:val="center"/>
          </w:tcPr>
          <w:p>
            <w:pPr>
              <w:widowControl w:val="0"/>
              <w:snapToGrid w:val="0"/>
              <w:jc w:val="center"/>
              <w:rPr>
                <w:rFonts w:eastAsia="方正仿宋_GBK"/>
                <w:color w:val="auto"/>
                <w:spacing w:val="-6"/>
                <w:kern w:val="0"/>
                <w:szCs w:val="21"/>
              </w:rPr>
            </w:pPr>
            <w:r>
              <w:rPr>
                <w:rFonts w:eastAsia="方正仿宋_GBK"/>
                <w:color w:val="auto"/>
                <w:spacing w:val="-6"/>
                <w:kern w:val="0"/>
                <w:szCs w:val="21"/>
              </w:rPr>
              <w:t>B20</w:t>
            </w:r>
          </w:p>
        </w:tc>
        <w:tc>
          <w:tcPr>
            <w:tcW w:w="2419" w:type="dxa"/>
            <w:shd w:val="clear" w:color="000000" w:fill="FFFFFF"/>
            <w:vAlign w:val="center"/>
          </w:tcPr>
          <w:p>
            <w:pPr>
              <w:widowControl w:val="0"/>
              <w:snapToGrid w:val="0"/>
              <w:jc w:val="center"/>
              <w:rPr>
                <w:rFonts w:eastAsia="方正仿宋_GBK"/>
                <w:color w:val="auto"/>
                <w:spacing w:val="-6"/>
                <w:kern w:val="0"/>
                <w:szCs w:val="21"/>
              </w:rPr>
            </w:pPr>
            <w:r>
              <w:rPr>
                <w:rFonts w:eastAsia="方正仿宋_GBK"/>
                <w:color w:val="auto"/>
                <w:spacing w:val="-6"/>
                <w:kern w:val="0"/>
                <w:szCs w:val="21"/>
              </w:rPr>
              <w:t>旗山村碾子坪吞口崖崩塌</w:t>
            </w:r>
          </w:p>
        </w:tc>
        <w:tc>
          <w:tcPr>
            <w:tcW w:w="2925"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旗山村碾子坪小组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14</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45</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码头、车辆、行人</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48</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B21</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青紫山崩塌（危岩）</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茅园村青紫山小组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避险移民搬迁+监测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49</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H19</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碾子坪滑坡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旗山村碾子坪小组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9</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50</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B22</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后溪河桥头上危岩</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旗山村后溪河小组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9</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房屋、公路</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已部分搬迁+监测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51</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H20</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半边街后山滑坡</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文昌宫社区半边街</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58</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86</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已工程治理+监测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vMerge w:val="continue"/>
            <w:shd w:val="clear" w:color="auto" w:fill="auto"/>
            <w:vAlign w:val="center"/>
          </w:tcPr>
          <w:p>
            <w:pPr>
              <w:widowControl w:val="0"/>
              <w:snapToGrid w:val="0"/>
              <w:jc w:val="center"/>
              <w:rPr>
                <w:rFonts w:eastAsia="方正仿宋_GBK"/>
                <w:color w:val="auto"/>
                <w:kern w:val="0"/>
                <w:szCs w:val="21"/>
              </w:rPr>
            </w:pP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52</w:t>
            </w:r>
          </w:p>
        </w:tc>
        <w:tc>
          <w:tcPr>
            <w:tcW w:w="10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B23</w:t>
            </w:r>
          </w:p>
        </w:tc>
        <w:tc>
          <w:tcPr>
            <w:tcW w:w="2419"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竹林湾崩塌</w:t>
            </w:r>
          </w:p>
        </w:tc>
        <w:tc>
          <w:tcPr>
            <w:tcW w:w="2925"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鱼岭村李家林村民小组</w:t>
            </w:r>
          </w:p>
        </w:tc>
        <w:tc>
          <w:tcPr>
            <w:tcW w:w="787"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12</w:t>
            </w:r>
          </w:p>
        </w:tc>
        <w:tc>
          <w:tcPr>
            <w:tcW w:w="1512"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房屋</w:t>
            </w:r>
          </w:p>
        </w:tc>
        <w:tc>
          <w:tcPr>
            <w:tcW w:w="2173" w:type="dxa"/>
            <w:vAlign w:val="center"/>
          </w:tcPr>
          <w:p>
            <w:pPr>
              <w:widowControl w:val="0"/>
              <w:snapToGrid w:val="0"/>
              <w:jc w:val="center"/>
              <w:rPr>
                <w:rFonts w:eastAsia="方正仿宋_GBK"/>
                <w:color w:val="auto"/>
                <w:kern w:val="0"/>
                <w:szCs w:val="21"/>
              </w:rPr>
            </w:pPr>
            <w:r>
              <w:rPr>
                <w:rFonts w:eastAsia="方正仿宋_GBK"/>
                <w:color w:val="auto"/>
                <w:kern w:val="0"/>
                <w:szCs w:val="21"/>
              </w:rPr>
              <w:t>避险移民搬迁+监测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4"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合计</w:t>
            </w:r>
          </w:p>
        </w:tc>
        <w:tc>
          <w:tcPr>
            <w:tcW w:w="638"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52</w:t>
            </w:r>
          </w:p>
        </w:tc>
        <w:tc>
          <w:tcPr>
            <w:tcW w:w="1087" w:type="dxa"/>
            <w:shd w:val="clear" w:color="auto" w:fill="auto"/>
            <w:vAlign w:val="center"/>
          </w:tcPr>
          <w:p>
            <w:pPr>
              <w:widowControl w:val="0"/>
              <w:snapToGrid w:val="0"/>
              <w:jc w:val="center"/>
              <w:rPr>
                <w:rFonts w:eastAsia="方正仿宋_GBK"/>
                <w:color w:val="auto"/>
                <w:kern w:val="0"/>
                <w:szCs w:val="21"/>
              </w:rPr>
            </w:pPr>
          </w:p>
        </w:tc>
        <w:tc>
          <w:tcPr>
            <w:tcW w:w="2419" w:type="dxa"/>
            <w:shd w:val="clear" w:color="000000" w:fill="FFFFFF"/>
            <w:vAlign w:val="center"/>
          </w:tcPr>
          <w:p>
            <w:pPr>
              <w:widowControl w:val="0"/>
              <w:snapToGrid w:val="0"/>
              <w:jc w:val="center"/>
              <w:rPr>
                <w:rFonts w:eastAsia="方正仿宋_GBK"/>
                <w:color w:val="auto"/>
                <w:kern w:val="0"/>
                <w:szCs w:val="21"/>
              </w:rPr>
            </w:pPr>
          </w:p>
        </w:tc>
        <w:tc>
          <w:tcPr>
            <w:tcW w:w="2925" w:type="dxa"/>
            <w:shd w:val="clear" w:color="000000" w:fill="FFFFFF"/>
            <w:vAlign w:val="center"/>
          </w:tcPr>
          <w:p>
            <w:pPr>
              <w:widowControl w:val="0"/>
              <w:snapToGrid w:val="0"/>
              <w:jc w:val="center"/>
              <w:rPr>
                <w:rFonts w:eastAsia="方正仿宋_GBK"/>
                <w:color w:val="auto"/>
                <w:kern w:val="0"/>
                <w:szCs w:val="21"/>
              </w:rPr>
            </w:pPr>
          </w:p>
        </w:tc>
        <w:tc>
          <w:tcPr>
            <w:tcW w:w="787" w:type="dxa"/>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553</w:t>
            </w:r>
          </w:p>
        </w:tc>
        <w:tc>
          <w:tcPr>
            <w:tcW w:w="663" w:type="dxa"/>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1853</w:t>
            </w:r>
          </w:p>
        </w:tc>
        <w:tc>
          <w:tcPr>
            <w:tcW w:w="1512" w:type="dxa"/>
            <w:shd w:val="clear" w:color="000000" w:fill="FFFFFF"/>
            <w:vAlign w:val="center"/>
          </w:tcPr>
          <w:p>
            <w:pPr>
              <w:widowControl w:val="0"/>
              <w:snapToGrid w:val="0"/>
              <w:jc w:val="center"/>
              <w:rPr>
                <w:rFonts w:eastAsia="方正仿宋_GBK"/>
                <w:color w:val="auto"/>
                <w:kern w:val="0"/>
                <w:szCs w:val="21"/>
              </w:rPr>
            </w:pPr>
          </w:p>
        </w:tc>
        <w:tc>
          <w:tcPr>
            <w:tcW w:w="2173" w:type="dxa"/>
            <w:vAlign w:val="center"/>
          </w:tcPr>
          <w:p>
            <w:pPr>
              <w:widowControl w:val="0"/>
              <w:snapToGrid w:val="0"/>
              <w:jc w:val="center"/>
              <w:rPr>
                <w:rFonts w:eastAsia="方正仿宋_GBK"/>
                <w:color w:val="auto"/>
                <w:kern w:val="0"/>
                <w:szCs w:val="21"/>
              </w:rPr>
            </w:pPr>
          </w:p>
        </w:tc>
      </w:tr>
    </w:tbl>
    <w:p>
      <w:pPr>
        <w:spacing w:line="240" w:lineRule="auto"/>
        <w:jc w:val="left"/>
        <w:rPr>
          <w:rFonts w:hint="eastAsia" w:eastAsia="黑体"/>
          <w:color w:val="auto"/>
          <w:sz w:val="24"/>
          <w:lang w:eastAsia="zh-CN"/>
        </w:rPr>
      </w:pPr>
    </w:p>
    <w:p>
      <w:pPr>
        <w:spacing w:line="240" w:lineRule="auto"/>
        <w:jc w:val="left"/>
        <w:rPr>
          <w:rFonts w:hint="eastAsia" w:ascii="方正黑体_GBK" w:hAnsi="方正黑体_GBK" w:eastAsia="方正黑体_GBK" w:cs="方正黑体_GBK"/>
          <w:color w:val="auto"/>
          <w:sz w:val="24"/>
        </w:rPr>
      </w:pPr>
      <w:r>
        <w:rPr>
          <w:rFonts w:hint="eastAsia" w:ascii="方正黑体_GBK" w:hAnsi="方正黑体_GBK" w:eastAsia="方正黑体_GBK" w:cs="方正黑体_GBK"/>
          <w:color w:val="auto"/>
          <w:sz w:val="24"/>
        </w:rPr>
        <w:br w:type="page"/>
      </w:r>
    </w:p>
    <w:p>
      <w:pPr>
        <w:pStyle w:val="2"/>
        <w:snapToGrid w:val="0"/>
        <w:spacing w:before="0" w:after="0" w:line="240" w:lineRule="auto"/>
        <w:ind w:firstLine="0" w:firstLineChars="0"/>
        <w:jc w:val="left"/>
        <w:rPr>
          <w:rFonts w:hint="eastAsia" w:ascii="方正黑体_GBK" w:hAnsi="方正黑体_GBK" w:eastAsia="方正黑体_GBK" w:cs="方正黑体_GBK"/>
          <w:b w:val="0"/>
          <w:bCs w:val="0"/>
          <w:color w:val="auto"/>
          <w:sz w:val="32"/>
          <w:szCs w:val="32"/>
        </w:rPr>
      </w:pPr>
      <w:bookmarkStart w:id="167" w:name="_Toc1999388553_WPSOffice_Level1"/>
      <w:bookmarkStart w:id="168" w:name="_Toc1264532514_WPSOffice_Level1"/>
      <w:r>
        <w:rPr>
          <w:rFonts w:hint="eastAsia" w:ascii="方正黑体_GBK" w:hAnsi="方正黑体_GBK" w:eastAsia="方正黑体_GBK" w:cs="方正黑体_GBK"/>
          <w:b w:val="0"/>
          <w:bCs w:val="0"/>
          <w:color w:val="auto"/>
          <w:sz w:val="32"/>
          <w:szCs w:val="32"/>
        </w:rPr>
        <w:t>附表5</w:t>
      </w:r>
    </w:p>
    <w:p>
      <w:pPr>
        <w:pStyle w:val="2"/>
        <w:snapToGrid w:val="0"/>
        <w:spacing w:before="0" w:after="0" w:line="276" w:lineRule="auto"/>
        <w:ind w:firstLine="0" w:firstLineChars="0"/>
        <w:jc w:val="center"/>
        <w:rPr>
          <w:rFonts w:hint="eastAsia" w:ascii="方正小标宋_GBK" w:hAnsi="方正小标宋_GBK" w:eastAsia="方正小标宋_GBK" w:cs="方正小标宋_GBK"/>
          <w:b w:val="0"/>
          <w:bCs w:val="0"/>
          <w:color w:val="auto"/>
          <w:sz w:val="36"/>
          <w:szCs w:val="36"/>
        </w:rPr>
      </w:pPr>
      <w:bookmarkStart w:id="169" w:name="_Toc1734734023_WPSOffice_Level1"/>
      <w:r>
        <w:rPr>
          <w:rFonts w:hint="eastAsia" w:ascii="方正小标宋_GBK" w:hAnsi="方正小标宋_GBK" w:eastAsia="方正小标宋_GBK" w:cs="方正小标宋_GBK"/>
          <w:b w:val="0"/>
          <w:bCs w:val="0"/>
          <w:color w:val="auto"/>
          <w:sz w:val="36"/>
          <w:szCs w:val="36"/>
        </w:rPr>
        <w:t>永川区</w:t>
      </w:r>
      <w:r>
        <w:rPr>
          <w:rFonts w:hint="eastAsia" w:ascii="方正小标宋_GBK" w:hAnsi="方正小标宋_GBK" w:eastAsia="方正小标宋_GBK" w:cs="方正小标宋_GBK"/>
          <w:b w:val="0"/>
          <w:bCs w:val="0"/>
          <w:color w:val="auto"/>
          <w:sz w:val="36"/>
          <w:szCs w:val="36"/>
          <w:lang w:eastAsia="zh-CN"/>
        </w:rPr>
        <w:t>“</w:t>
      </w:r>
      <w:r>
        <w:rPr>
          <w:rFonts w:hint="eastAsia" w:ascii="方正小标宋_GBK" w:hAnsi="方正小标宋_GBK" w:eastAsia="方正小标宋_GBK" w:cs="方正小标宋_GBK"/>
          <w:b w:val="0"/>
          <w:bCs w:val="0"/>
          <w:color w:val="auto"/>
          <w:sz w:val="36"/>
          <w:szCs w:val="36"/>
        </w:rPr>
        <w:t>十四五</w:t>
      </w:r>
      <w:r>
        <w:rPr>
          <w:rFonts w:hint="eastAsia" w:ascii="方正小标宋_GBK" w:hAnsi="方正小标宋_GBK" w:eastAsia="方正小标宋_GBK" w:cs="方正小标宋_GBK"/>
          <w:b w:val="0"/>
          <w:bCs w:val="0"/>
          <w:color w:val="auto"/>
          <w:sz w:val="36"/>
          <w:szCs w:val="36"/>
          <w:lang w:eastAsia="zh-CN"/>
        </w:rPr>
        <w:t>”</w:t>
      </w:r>
      <w:r>
        <w:rPr>
          <w:rFonts w:hint="eastAsia" w:ascii="方正小标宋_GBK" w:hAnsi="方正小标宋_GBK" w:eastAsia="方正小标宋_GBK" w:cs="方正小标宋_GBK"/>
          <w:b w:val="0"/>
          <w:bCs w:val="0"/>
          <w:color w:val="auto"/>
          <w:sz w:val="36"/>
          <w:szCs w:val="36"/>
        </w:rPr>
        <w:t>地质灾害隐患点工程治理项目规划表</w:t>
      </w:r>
      <w:bookmarkEnd w:id="167"/>
      <w:bookmarkEnd w:id="168"/>
      <w:bookmarkEnd w:id="169"/>
    </w:p>
    <w:tbl>
      <w:tblPr>
        <w:tblStyle w:val="17"/>
        <w:tblW w:w="137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0"/>
        <w:gridCol w:w="746"/>
        <w:gridCol w:w="737"/>
        <w:gridCol w:w="2602"/>
        <w:gridCol w:w="1428"/>
        <w:gridCol w:w="1428"/>
        <w:gridCol w:w="1142"/>
        <w:gridCol w:w="1947"/>
        <w:gridCol w:w="27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0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年度</w:t>
            </w:r>
          </w:p>
        </w:tc>
        <w:tc>
          <w:tcPr>
            <w:tcW w:w="74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序号</w:t>
            </w:r>
          </w:p>
        </w:tc>
        <w:tc>
          <w:tcPr>
            <w:tcW w:w="73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编号</w:t>
            </w:r>
          </w:p>
        </w:tc>
        <w:tc>
          <w:tcPr>
            <w:tcW w:w="260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名称</w:t>
            </w:r>
          </w:p>
        </w:tc>
        <w:tc>
          <w:tcPr>
            <w:tcW w:w="2856" w:type="dxa"/>
            <w:gridSpan w:val="2"/>
            <w:tcBorders>
              <w:top w:val="single" w:color="auto" w:sz="4" w:space="0"/>
              <w:left w:val="nil"/>
              <w:bottom w:val="single" w:color="auto" w:sz="4" w:space="0"/>
              <w:right w:val="single" w:color="000000" w:sz="4" w:space="0"/>
            </w:tcBorders>
            <w:vAlign w:val="center"/>
          </w:tcPr>
          <w:p>
            <w:pPr>
              <w:widowControl/>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坐标</w:t>
            </w:r>
          </w:p>
        </w:tc>
        <w:tc>
          <w:tcPr>
            <w:tcW w:w="1142" w:type="dxa"/>
            <w:tcBorders>
              <w:top w:val="single" w:color="auto" w:sz="4" w:space="0"/>
              <w:left w:val="nil"/>
              <w:bottom w:val="single" w:color="auto" w:sz="4" w:space="0"/>
              <w:right w:val="single" w:color="auto" w:sz="4" w:space="0"/>
            </w:tcBorders>
            <w:vAlign w:val="center"/>
          </w:tcPr>
          <w:p>
            <w:pPr>
              <w:widowControl/>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规模</w:t>
            </w:r>
          </w:p>
        </w:tc>
        <w:tc>
          <w:tcPr>
            <w:tcW w:w="194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危害</w:t>
            </w:r>
          </w:p>
        </w:tc>
        <w:tc>
          <w:tcPr>
            <w:tcW w:w="270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防治措施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b/>
                <w:bCs/>
                <w:color w:val="auto"/>
                <w:kern w:val="0"/>
                <w:szCs w:val="21"/>
              </w:rPr>
            </w:pPr>
          </w:p>
        </w:tc>
        <w:tc>
          <w:tcPr>
            <w:tcW w:w="7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b/>
                <w:bCs/>
                <w:color w:val="auto"/>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b/>
                <w:bCs/>
                <w:color w:val="auto"/>
                <w:kern w:val="0"/>
                <w:szCs w:val="21"/>
              </w:rPr>
            </w:pPr>
          </w:p>
        </w:tc>
        <w:tc>
          <w:tcPr>
            <w:tcW w:w="260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b/>
                <w:bCs/>
                <w:color w:val="auto"/>
                <w:kern w:val="0"/>
                <w:szCs w:val="21"/>
              </w:rPr>
            </w:pPr>
          </w:p>
        </w:tc>
        <w:tc>
          <w:tcPr>
            <w:tcW w:w="1428" w:type="dxa"/>
            <w:tcBorders>
              <w:top w:val="single" w:color="auto" w:sz="4" w:space="0"/>
              <w:left w:val="nil"/>
              <w:bottom w:val="single" w:color="auto" w:sz="4" w:space="0"/>
              <w:right w:val="single" w:color="auto" w:sz="4" w:space="0"/>
            </w:tcBorders>
            <w:vAlign w:val="center"/>
          </w:tcPr>
          <w:p>
            <w:pPr>
              <w:widowControl/>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X</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Y</w:t>
            </w:r>
          </w:p>
        </w:tc>
        <w:tc>
          <w:tcPr>
            <w:tcW w:w="1142" w:type="dxa"/>
            <w:tcBorders>
              <w:top w:val="single" w:color="auto" w:sz="4" w:space="0"/>
              <w:left w:val="nil"/>
              <w:bottom w:val="single" w:color="auto" w:sz="4" w:space="0"/>
              <w:right w:val="single" w:color="auto" w:sz="4" w:space="0"/>
            </w:tcBorders>
            <w:vAlign w:val="center"/>
          </w:tcPr>
          <w:p>
            <w:pPr>
              <w:widowControl/>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(×10</w:t>
            </w:r>
            <w:r>
              <w:rPr>
                <w:rFonts w:hint="eastAsia" w:ascii="方正黑体_GBK" w:hAnsi="方正黑体_GBK" w:eastAsia="方正黑体_GBK" w:cs="方正黑体_GBK"/>
                <w:color w:val="auto"/>
                <w:kern w:val="0"/>
                <w:szCs w:val="21"/>
                <w:vertAlign w:val="superscript"/>
              </w:rPr>
              <w:t>4</w:t>
            </w:r>
            <w:r>
              <w:rPr>
                <w:rFonts w:hint="eastAsia" w:ascii="方正黑体_GBK" w:hAnsi="方正黑体_GBK" w:eastAsia="方正黑体_GBK" w:cs="方正黑体_GBK"/>
                <w:color w:val="auto"/>
                <w:kern w:val="0"/>
                <w:szCs w:val="21"/>
              </w:rPr>
              <w:t>m</w:t>
            </w:r>
            <w:r>
              <w:rPr>
                <w:rFonts w:hint="eastAsia" w:ascii="方正黑体_GBK" w:hAnsi="方正黑体_GBK" w:eastAsia="方正黑体_GBK" w:cs="方正黑体_GBK"/>
                <w:color w:val="auto"/>
                <w:kern w:val="0"/>
                <w:szCs w:val="21"/>
                <w:vertAlign w:val="superscript"/>
              </w:rPr>
              <w:t>3</w:t>
            </w:r>
            <w:r>
              <w:rPr>
                <w:rFonts w:hint="eastAsia" w:ascii="方正黑体_GBK" w:hAnsi="方正黑体_GBK" w:eastAsia="方正黑体_GBK" w:cs="方正黑体_GBK"/>
                <w:color w:val="auto"/>
                <w:kern w:val="0"/>
                <w:szCs w:val="21"/>
              </w:rPr>
              <w:t>)</w:t>
            </w:r>
          </w:p>
        </w:tc>
        <w:tc>
          <w:tcPr>
            <w:tcW w:w="194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b/>
                <w:bCs/>
                <w:color w:val="auto"/>
                <w:kern w:val="0"/>
                <w:szCs w:val="21"/>
              </w:rPr>
            </w:pPr>
          </w:p>
        </w:tc>
        <w:tc>
          <w:tcPr>
            <w:tcW w:w="270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b/>
                <w:bCs/>
                <w:color w:val="auto"/>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2021</w:t>
            </w:r>
          </w:p>
        </w:tc>
        <w:tc>
          <w:tcPr>
            <w:tcW w:w="74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1</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XP3</w:t>
            </w:r>
          </w:p>
        </w:tc>
        <w:tc>
          <w:tcPr>
            <w:tcW w:w="2602"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玉青寺滑坡</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3250365.56</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35588102.89</w:t>
            </w:r>
          </w:p>
        </w:tc>
        <w:tc>
          <w:tcPr>
            <w:tcW w:w="1142"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0.025</w:t>
            </w:r>
          </w:p>
        </w:tc>
        <w:tc>
          <w:tcPr>
            <w:tcW w:w="194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1户3人</w:t>
            </w:r>
          </w:p>
        </w:tc>
        <w:tc>
          <w:tcPr>
            <w:tcW w:w="270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szCs w:val="21"/>
              </w:rPr>
            </w:pPr>
            <w:r>
              <w:rPr>
                <w:rFonts w:eastAsia="方正仿宋_GBK"/>
                <w:color w:val="auto"/>
                <w:szCs w:val="21"/>
              </w:rPr>
              <w:t>工程治理+群测群防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2021</w:t>
            </w:r>
          </w:p>
        </w:tc>
        <w:tc>
          <w:tcPr>
            <w:tcW w:w="74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2</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H3</w:t>
            </w:r>
          </w:p>
        </w:tc>
        <w:tc>
          <w:tcPr>
            <w:tcW w:w="2602"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狮子桥滑坡</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3250411.56</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35587839.98</w:t>
            </w:r>
          </w:p>
        </w:tc>
        <w:tc>
          <w:tcPr>
            <w:tcW w:w="1142"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0.05</w:t>
            </w:r>
          </w:p>
        </w:tc>
        <w:tc>
          <w:tcPr>
            <w:tcW w:w="194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3户6人</w:t>
            </w:r>
          </w:p>
        </w:tc>
        <w:tc>
          <w:tcPr>
            <w:tcW w:w="270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szCs w:val="21"/>
              </w:rPr>
            </w:pPr>
            <w:r>
              <w:rPr>
                <w:rFonts w:eastAsia="方正仿宋_GBK"/>
                <w:color w:val="auto"/>
                <w:szCs w:val="21"/>
              </w:rPr>
              <w:t>工程治理+群测群防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2021</w:t>
            </w:r>
          </w:p>
        </w:tc>
        <w:tc>
          <w:tcPr>
            <w:tcW w:w="74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H9</w:t>
            </w:r>
          </w:p>
        </w:tc>
        <w:tc>
          <w:tcPr>
            <w:tcW w:w="2602"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刘兴友屋后滑坡</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3263250.56</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35581015.98</w:t>
            </w:r>
          </w:p>
        </w:tc>
        <w:tc>
          <w:tcPr>
            <w:tcW w:w="1142"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0.12</w:t>
            </w:r>
          </w:p>
        </w:tc>
        <w:tc>
          <w:tcPr>
            <w:tcW w:w="194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3户16人</w:t>
            </w:r>
          </w:p>
        </w:tc>
        <w:tc>
          <w:tcPr>
            <w:tcW w:w="270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正在简易整治+群测群防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2021</w:t>
            </w:r>
          </w:p>
        </w:tc>
        <w:tc>
          <w:tcPr>
            <w:tcW w:w="74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4</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B9</w:t>
            </w:r>
          </w:p>
        </w:tc>
        <w:tc>
          <w:tcPr>
            <w:tcW w:w="2602"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岩湾危岩</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3255196.56</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35582663.98</w:t>
            </w:r>
          </w:p>
        </w:tc>
        <w:tc>
          <w:tcPr>
            <w:tcW w:w="1142"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1</w:t>
            </w:r>
          </w:p>
        </w:tc>
        <w:tc>
          <w:tcPr>
            <w:tcW w:w="194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10户26人</w:t>
            </w:r>
          </w:p>
        </w:tc>
        <w:tc>
          <w:tcPr>
            <w:tcW w:w="270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szCs w:val="21"/>
              </w:rPr>
            </w:pPr>
            <w:r>
              <w:rPr>
                <w:rFonts w:eastAsia="方正仿宋_GBK"/>
                <w:color w:val="auto"/>
                <w:szCs w:val="21"/>
              </w:rPr>
              <w:t>工程治理+群测群防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2021</w:t>
            </w:r>
          </w:p>
        </w:tc>
        <w:tc>
          <w:tcPr>
            <w:tcW w:w="74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5</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XP3</w:t>
            </w:r>
          </w:p>
        </w:tc>
        <w:tc>
          <w:tcPr>
            <w:tcW w:w="2602"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刘文超屋后不稳定边坡</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3252747.56</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35578795.98</w:t>
            </w:r>
          </w:p>
        </w:tc>
        <w:tc>
          <w:tcPr>
            <w:tcW w:w="1142"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0.14</w:t>
            </w:r>
          </w:p>
        </w:tc>
        <w:tc>
          <w:tcPr>
            <w:tcW w:w="194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1户4人</w:t>
            </w:r>
          </w:p>
        </w:tc>
        <w:tc>
          <w:tcPr>
            <w:tcW w:w="270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简易整治+群测群防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2022</w:t>
            </w:r>
          </w:p>
        </w:tc>
        <w:tc>
          <w:tcPr>
            <w:tcW w:w="74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6</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H12</w:t>
            </w:r>
          </w:p>
        </w:tc>
        <w:tc>
          <w:tcPr>
            <w:tcW w:w="2602"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何家湾公路滑坡</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3219191.56</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35575186.98</w:t>
            </w:r>
          </w:p>
        </w:tc>
        <w:tc>
          <w:tcPr>
            <w:tcW w:w="1142"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0.52</w:t>
            </w:r>
          </w:p>
        </w:tc>
        <w:tc>
          <w:tcPr>
            <w:tcW w:w="194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4户6人</w:t>
            </w:r>
          </w:p>
        </w:tc>
        <w:tc>
          <w:tcPr>
            <w:tcW w:w="270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简易整治+群测群防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2022</w:t>
            </w:r>
          </w:p>
        </w:tc>
        <w:tc>
          <w:tcPr>
            <w:tcW w:w="74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7</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B12</w:t>
            </w:r>
          </w:p>
        </w:tc>
        <w:tc>
          <w:tcPr>
            <w:tcW w:w="2602"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神道碑危岩</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3237122.56</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35593090.98</w:t>
            </w:r>
          </w:p>
        </w:tc>
        <w:tc>
          <w:tcPr>
            <w:tcW w:w="1142"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0.01</w:t>
            </w:r>
          </w:p>
        </w:tc>
        <w:tc>
          <w:tcPr>
            <w:tcW w:w="194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3户10人</w:t>
            </w:r>
          </w:p>
        </w:tc>
        <w:tc>
          <w:tcPr>
            <w:tcW w:w="2706" w:type="dxa"/>
            <w:tcBorders>
              <w:top w:val="single" w:color="auto" w:sz="4" w:space="0"/>
              <w:left w:val="single" w:color="auto" w:sz="4" w:space="0"/>
              <w:bottom w:val="single" w:color="auto" w:sz="4" w:space="0"/>
              <w:right w:val="single" w:color="auto" w:sz="4" w:space="0"/>
            </w:tcBorders>
            <w:vAlign w:val="top"/>
          </w:tcPr>
          <w:p>
            <w:pPr>
              <w:widowControl/>
              <w:jc w:val="center"/>
              <w:rPr>
                <w:rFonts w:eastAsia="方正仿宋_GBK"/>
                <w:color w:val="auto"/>
                <w:szCs w:val="21"/>
              </w:rPr>
            </w:pPr>
            <w:r>
              <w:rPr>
                <w:rFonts w:eastAsia="方正仿宋_GBK"/>
                <w:color w:val="auto"/>
                <w:szCs w:val="21"/>
              </w:rPr>
              <w:t>工程治理</w:t>
            </w:r>
            <w:r>
              <w:rPr>
                <w:rFonts w:eastAsia="方正仿宋_GBK"/>
                <w:color w:val="auto"/>
                <w:kern w:val="0"/>
                <w:szCs w:val="21"/>
              </w:rPr>
              <w:t>+群测群防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2022</w:t>
            </w:r>
          </w:p>
        </w:tc>
        <w:tc>
          <w:tcPr>
            <w:tcW w:w="74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8</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B19</w:t>
            </w:r>
          </w:p>
        </w:tc>
        <w:tc>
          <w:tcPr>
            <w:tcW w:w="2602"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骑龙坳崩塌</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3236668.56</w:t>
            </w:r>
          </w:p>
        </w:tc>
        <w:tc>
          <w:tcPr>
            <w:tcW w:w="1428"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35572150.98</w:t>
            </w:r>
          </w:p>
        </w:tc>
        <w:tc>
          <w:tcPr>
            <w:tcW w:w="1142" w:type="dxa"/>
            <w:tcBorders>
              <w:top w:val="single" w:color="auto" w:sz="4" w:space="0"/>
              <w:left w:val="nil"/>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0.04</w:t>
            </w:r>
          </w:p>
        </w:tc>
        <w:tc>
          <w:tcPr>
            <w:tcW w:w="194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方正仿宋_GBK"/>
                <w:color w:val="auto"/>
                <w:kern w:val="0"/>
                <w:szCs w:val="21"/>
              </w:rPr>
            </w:pPr>
            <w:r>
              <w:rPr>
                <w:rFonts w:eastAsia="方正仿宋_GBK"/>
                <w:color w:val="auto"/>
                <w:kern w:val="0"/>
                <w:szCs w:val="21"/>
              </w:rPr>
              <w:t>公路</w:t>
            </w:r>
          </w:p>
        </w:tc>
        <w:tc>
          <w:tcPr>
            <w:tcW w:w="2706" w:type="dxa"/>
            <w:tcBorders>
              <w:top w:val="single" w:color="auto" w:sz="4" w:space="0"/>
              <w:left w:val="single" w:color="auto" w:sz="4" w:space="0"/>
              <w:bottom w:val="single" w:color="auto" w:sz="4" w:space="0"/>
              <w:right w:val="single" w:color="auto" w:sz="4" w:space="0"/>
            </w:tcBorders>
            <w:vAlign w:val="top"/>
          </w:tcPr>
          <w:p>
            <w:pPr>
              <w:widowControl/>
              <w:jc w:val="center"/>
              <w:rPr>
                <w:rFonts w:eastAsia="方正仿宋_GBK"/>
                <w:color w:val="auto"/>
                <w:szCs w:val="21"/>
              </w:rPr>
            </w:pPr>
            <w:r>
              <w:rPr>
                <w:rFonts w:eastAsia="方正仿宋_GBK"/>
                <w:color w:val="auto"/>
                <w:szCs w:val="21"/>
              </w:rPr>
              <w:t>工程治理</w:t>
            </w:r>
            <w:r>
              <w:rPr>
                <w:rFonts w:eastAsia="方正仿宋_GBK"/>
                <w:color w:val="auto"/>
                <w:kern w:val="0"/>
                <w:szCs w:val="21"/>
              </w:rPr>
              <w:t>+群测群防</w:t>
            </w:r>
          </w:p>
        </w:tc>
      </w:tr>
    </w:tbl>
    <w:p>
      <w:pPr>
        <w:spacing w:line="240" w:lineRule="auto"/>
        <w:jc w:val="left"/>
        <w:rPr>
          <w:rFonts w:eastAsia="黑体"/>
          <w:color w:val="auto"/>
          <w:sz w:val="24"/>
        </w:rPr>
      </w:pPr>
      <w:r>
        <w:rPr>
          <w:rFonts w:eastAsia="黑体"/>
          <w:color w:val="auto"/>
          <w:sz w:val="24"/>
        </w:rPr>
        <w:br w:type="page"/>
      </w:r>
    </w:p>
    <w:p>
      <w:pPr>
        <w:pStyle w:val="2"/>
        <w:snapToGrid w:val="0"/>
        <w:spacing w:before="0" w:after="0" w:line="240" w:lineRule="auto"/>
        <w:ind w:firstLine="0" w:firstLineChars="0"/>
        <w:jc w:val="left"/>
        <w:rPr>
          <w:rFonts w:hint="eastAsia" w:ascii="方正黑体_GBK" w:hAnsi="方正黑体_GBK" w:eastAsia="方正黑体_GBK" w:cs="方正黑体_GBK"/>
          <w:b w:val="0"/>
          <w:bCs w:val="0"/>
          <w:color w:val="auto"/>
          <w:sz w:val="32"/>
          <w:szCs w:val="32"/>
        </w:rPr>
      </w:pPr>
      <w:bookmarkStart w:id="170" w:name="_Toc651648023_WPSOffice_Level1"/>
      <w:bookmarkStart w:id="171" w:name="_Toc1554932259_WPSOffice_Level1"/>
      <w:r>
        <w:rPr>
          <w:rFonts w:hint="eastAsia" w:ascii="方正黑体_GBK" w:hAnsi="方正黑体_GBK" w:eastAsia="方正黑体_GBK" w:cs="方正黑体_GBK"/>
          <w:b w:val="0"/>
          <w:bCs w:val="0"/>
          <w:color w:val="auto"/>
          <w:sz w:val="32"/>
          <w:szCs w:val="32"/>
        </w:rPr>
        <w:t>附表6</w:t>
      </w:r>
    </w:p>
    <w:p>
      <w:pPr>
        <w:pStyle w:val="2"/>
        <w:snapToGrid w:val="0"/>
        <w:spacing w:before="0" w:after="0" w:line="276" w:lineRule="auto"/>
        <w:ind w:firstLine="0" w:firstLineChars="0"/>
        <w:jc w:val="center"/>
        <w:rPr>
          <w:rFonts w:hint="eastAsia" w:ascii="方正小标宋_GBK" w:hAnsi="方正小标宋_GBK" w:eastAsia="方正小标宋_GBK" w:cs="方正小标宋_GBK"/>
          <w:b w:val="0"/>
          <w:bCs w:val="0"/>
          <w:color w:val="auto"/>
          <w:sz w:val="36"/>
          <w:szCs w:val="36"/>
        </w:rPr>
      </w:pPr>
      <w:bookmarkStart w:id="172" w:name="_Toc341039487_WPSOffice_Level1"/>
      <w:r>
        <w:rPr>
          <w:rFonts w:hint="eastAsia" w:ascii="方正小标宋_GBK" w:hAnsi="方正小标宋_GBK" w:eastAsia="方正小标宋_GBK" w:cs="方正小标宋_GBK"/>
          <w:b w:val="0"/>
          <w:bCs w:val="0"/>
          <w:color w:val="auto"/>
          <w:sz w:val="36"/>
          <w:szCs w:val="36"/>
        </w:rPr>
        <w:t>永川区</w:t>
      </w:r>
      <w:r>
        <w:rPr>
          <w:rFonts w:hint="eastAsia" w:ascii="方正小标宋_GBK" w:hAnsi="方正小标宋_GBK" w:eastAsia="方正小标宋_GBK" w:cs="方正小标宋_GBK"/>
          <w:b w:val="0"/>
          <w:bCs w:val="0"/>
          <w:color w:val="auto"/>
          <w:sz w:val="36"/>
          <w:szCs w:val="36"/>
          <w:lang w:eastAsia="zh-CN"/>
        </w:rPr>
        <w:t>“</w:t>
      </w:r>
      <w:r>
        <w:rPr>
          <w:rFonts w:hint="eastAsia" w:ascii="方正小标宋_GBK" w:hAnsi="方正小标宋_GBK" w:eastAsia="方正小标宋_GBK" w:cs="方正小标宋_GBK"/>
          <w:b w:val="0"/>
          <w:bCs w:val="0"/>
          <w:color w:val="auto"/>
          <w:sz w:val="36"/>
          <w:szCs w:val="36"/>
        </w:rPr>
        <w:t>十四五</w:t>
      </w:r>
      <w:r>
        <w:rPr>
          <w:rFonts w:hint="eastAsia" w:ascii="方正小标宋_GBK" w:hAnsi="方正小标宋_GBK" w:eastAsia="方正小标宋_GBK" w:cs="方正小标宋_GBK"/>
          <w:b w:val="0"/>
          <w:bCs w:val="0"/>
          <w:color w:val="auto"/>
          <w:sz w:val="36"/>
          <w:szCs w:val="36"/>
          <w:lang w:eastAsia="zh-CN"/>
        </w:rPr>
        <w:t>”</w:t>
      </w:r>
      <w:r>
        <w:rPr>
          <w:rFonts w:hint="eastAsia" w:ascii="方正小标宋_GBK" w:hAnsi="方正小标宋_GBK" w:eastAsia="方正小标宋_GBK" w:cs="方正小标宋_GBK"/>
          <w:b w:val="0"/>
          <w:bCs w:val="0"/>
          <w:color w:val="auto"/>
          <w:sz w:val="36"/>
          <w:szCs w:val="36"/>
        </w:rPr>
        <w:t>地质灾害隐患点避险移民搬迁项目规划表</w:t>
      </w:r>
      <w:bookmarkEnd w:id="170"/>
      <w:bookmarkEnd w:id="171"/>
      <w:bookmarkEnd w:id="172"/>
    </w:p>
    <w:tbl>
      <w:tblPr>
        <w:tblStyle w:val="17"/>
        <w:tblW w:w="137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7"/>
        <w:gridCol w:w="709"/>
        <w:gridCol w:w="753"/>
        <w:gridCol w:w="2332"/>
        <w:gridCol w:w="2771"/>
        <w:gridCol w:w="1314"/>
        <w:gridCol w:w="1319"/>
        <w:gridCol w:w="1194"/>
        <w:gridCol w:w="791"/>
        <w:gridCol w:w="15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77" w:type="dxa"/>
            <w:vMerge w:val="restar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年度</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序号</w:t>
            </w:r>
          </w:p>
        </w:tc>
        <w:tc>
          <w:tcPr>
            <w:tcW w:w="753" w:type="dxa"/>
            <w:vMerge w:val="restar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编号</w:t>
            </w:r>
          </w:p>
        </w:tc>
        <w:tc>
          <w:tcPr>
            <w:tcW w:w="2332" w:type="dxa"/>
            <w:vMerge w:val="restar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灾害点名称</w:t>
            </w:r>
          </w:p>
        </w:tc>
        <w:tc>
          <w:tcPr>
            <w:tcW w:w="2771" w:type="dxa"/>
            <w:vMerge w:val="restar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地点</w:t>
            </w:r>
          </w:p>
        </w:tc>
        <w:tc>
          <w:tcPr>
            <w:tcW w:w="2633"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坐标</w:t>
            </w:r>
          </w:p>
        </w:tc>
        <w:tc>
          <w:tcPr>
            <w:tcW w:w="1985"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受灾或受威胁情况</w:t>
            </w:r>
          </w:p>
        </w:tc>
        <w:tc>
          <w:tcPr>
            <w:tcW w:w="1598" w:type="dxa"/>
            <w:vMerge w:val="restart"/>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防治措施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77" w:type="dxa"/>
            <w:vMerge w:val="continue"/>
            <w:tcBorders>
              <w:top w:val="nil"/>
              <w:left w:val="single" w:color="auto" w:sz="4" w:space="0"/>
              <w:bottom w:val="single" w:color="auto" w:sz="4" w:space="0"/>
              <w:right w:val="single" w:color="auto" w:sz="4" w:space="0"/>
            </w:tcBorders>
            <w:vAlign w:val="center"/>
          </w:tcPr>
          <w:p>
            <w:pPr>
              <w:widowControl w:val="0"/>
              <w:snapToGrid w:val="0"/>
              <w:jc w:val="center"/>
              <w:rPr>
                <w:rFonts w:eastAsia="方正仿宋_GBK"/>
                <w:color w:val="auto"/>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val="0"/>
              <w:snapToGrid w:val="0"/>
              <w:jc w:val="center"/>
              <w:rPr>
                <w:rFonts w:eastAsia="方正仿宋_GBK"/>
                <w:color w:val="auto"/>
                <w:kern w:val="0"/>
                <w:szCs w:val="21"/>
              </w:rPr>
            </w:pPr>
          </w:p>
        </w:tc>
        <w:tc>
          <w:tcPr>
            <w:tcW w:w="753" w:type="dxa"/>
            <w:vMerge w:val="continue"/>
            <w:tcBorders>
              <w:top w:val="nil"/>
              <w:left w:val="single" w:color="auto" w:sz="4" w:space="0"/>
              <w:bottom w:val="single" w:color="auto" w:sz="4" w:space="0"/>
              <w:right w:val="single" w:color="auto" w:sz="4" w:space="0"/>
            </w:tcBorders>
            <w:vAlign w:val="center"/>
          </w:tcPr>
          <w:p>
            <w:pPr>
              <w:widowControl w:val="0"/>
              <w:snapToGrid w:val="0"/>
              <w:jc w:val="center"/>
              <w:rPr>
                <w:rFonts w:eastAsia="方正仿宋_GBK"/>
                <w:color w:val="auto"/>
                <w:kern w:val="0"/>
                <w:szCs w:val="21"/>
              </w:rPr>
            </w:pPr>
          </w:p>
        </w:tc>
        <w:tc>
          <w:tcPr>
            <w:tcW w:w="2332" w:type="dxa"/>
            <w:vMerge w:val="continue"/>
            <w:tcBorders>
              <w:top w:val="nil"/>
              <w:left w:val="single" w:color="auto" w:sz="4" w:space="0"/>
              <w:bottom w:val="single" w:color="auto" w:sz="4" w:space="0"/>
              <w:right w:val="single" w:color="auto" w:sz="4" w:space="0"/>
            </w:tcBorders>
            <w:vAlign w:val="center"/>
          </w:tcPr>
          <w:p>
            <w:pPr>
              <w:widowControl w:val="0"/>
              <w:snapToGrid w:val="0"/>
              <w:jc w:val="center"/>
              <w:rPr>
                <w:rFonts w:eastAsia="方正仿宋_GBK"/>
                <w:color w:val="auto"/>
                <w:kern w:val="0"/>
                <w:szCs w:val="21"/>
              </w:rPr>
            </w:pPr>
          </w:p>
        </w:tc>
        <w:tc>
          <w:tcPr>
            <w:tcW w:w="2771" w:type="dxa"/>
            <w:vMerge w:val="continue"/>
            <w:tcBorders>
              <w:top w:val="nil"/>
              <w:left w:val="single" w:color="auto" w:sz="4" w:space="0"/>
              <w:bottom w:val="single" w:color="auto" w:sz="4" w:space="0"/>
              <w:right w:val="single" w:color="auto" w:sz="4" w:space="0"/>
            </w:tcBorders>
            <w:vAlign w:val="center"/>
          </w:tcPr>
          <w:p>
            <w:pPr>
              <w:widowControl w:val="0"/>
              <w:snapToGrid w:val="0"/>
              <w:jc w:val="center"/>
              <w:rPr>
                <w:rFonts w:eastAsia="方正仿宋_GBK"/>
                <w:color w:val="auto"/>
                <w:kern w:val="0"/>
                <w:szCs w:val="21"/>
              </w:rPr>
            </w:pPr>
          </w:p>
        </w:tc>
        <w:tc>
          <w:tcPr>
            <w:tcW w:w="263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eastAsia="方正仿宋_GBK"/>
                <w:color w:val="auto"/>
                <w:kern w:val="0"/>
                <w:szCs w:val="21"/>
              </w:rPr>
            </w:pPr>
          </w:p>
        </w:tc>
        <w:tc>
          <w:tcPr>
            <w:tcW w:w="198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val="0"/>
              <w:snapToGrid w:val="0"/>
              <w:jc w:val="center"/>
              <w:rPr>
                <w:rFonts w:eastAsia="方正仿宋_GBK"/>
                <w:color w:val="auto"/>
                <w:kern w:val="0"/>
                <w:szCs w:val="21"/>
              </w:rPr>
            </w:pPr>
          </w:p>
        </w:tc>
        <w:tc>
          <w:tcPr>
            <w:tcW w:w="1598" w:type="dxa"/>
            <w:vMerge w:val="continue"/>
            <w:tcBorders>
              <w:top w:val="nil"/>
              <w:left w:val="single" w:color="auto" w:sz="4" w:space="0"/>
              <w:bottom w:val="single" w:color="auto" w:sz="4" w:space="0"/>
              <w:right w:val="single" w:color="auto" w:sz="4" w:space="0"/>
            </w:tcBorders>
            <w:vAlign w:val="center"/>
          </w:tcPr>
          <w:p>
            <w:pPr>
              <w:widowControl w:val="0"/>
              <w:snapToGrid w:val="0"/>
              <w:jc w:val="center"/>
              <w:rPr>
                <w:rFonts w:eastAsia="方正仿宋_GBK"/>
                <w:color w:val="auto"/>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77" w:type="dxa"/>
            <w:vMerge w:val="continue"/>
            <w:tcBorders>
              <w:top w:val="nil"/>
              <w:left w:val="single" w:color="auto" w:sz="4" w:space="0"/>
              <w:bottom w:val="single" w:color="auto" w:sz="4" w:space="0"/>
              <w:right w:val="single" w:color="auto" w:sz="4" w:space="0"/>
            </w:tcBorders>
            <w:vAlign w:val="center"/>
          </w:tcPr>
          <w:p>
            <w:pPr>
              <w:widowControl w:val="0"/>
              <w:snapToGrid w:val="0"/>
              <w:jc w:val="center"/>
              <w:rPr>
                <w:rFonts w:eastAsia="方正仿宋_GBK"/>
                <w:color w:val="auto"/>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val="0"/>
              <w:snapToGrid w:val="0"/>
              <w:jc w:val="center"/>
              <w:rPr>
                <w:rFonts w:eastAsia="方正仿宋_GBK"/>
                <w:color w:val="auto"/>
                <w:kern w:val="0"/>
                <w:szCs w:val="21"/>
              </w:rPr>
            </w:pPr>
          </w:p>
        </w:tc>
        <w:tc>
          <w:tcPr>
            <w:tcW w:w="753" w:type="dxa"/>
            <w:vMerge w:val="continue"/>
            <w:tcBorders>
              <w:top w:val="nil"/>
              <w:left w:val="single" w:color="auto" w:sz="4" w:space="0"/>
              <w:bottom w:val="single" w:color="auto" w:sz="4" w:space="0"/>
              <w:right w:val="single" w:color="auto" w:sz="4" w:space="0"/>
            </w:tcBorders>
            <w:vAlign w:val="center"/>
          </w:tcPr>
          <w:p>
            <w:pPr>
              <w:widowControl w:val="0"/>
              <w:snapToGrid w:val="0"/>
              <w:jc w:val="center"/>
              <w:rPr>
                <w:rFonts w:eastAsia="方正仿宋_GBK"/>
                <w:color w:val="auto"/>
                <w:kern w:val="0"/>
                <w:szCs w:val="21"/>
              </w:rPr>
            </w:pPr>
          </w:p>
        </w:tc>
        <w:tc>
          <w:tcPr>
            <w:tcW w:w="2332" w:type="dxa"/>
            <w:vMerge w:val="continue"/>
            <w:tcBorders>
              <w:top w:val="nil"/>
              <w:left w:val="single" w:color="auto" w:sz="4" w:space="0"/>
              <w:bottom w:val="single" w:color="auto" w:sz="4" w:space="0"/>
              <w:right w:val="single" w:color="auto" w:sz="4" w:space="0"/>
            </w:tcBorders>
            <w:vAlign w:val="center"/>
          </w:tcPr>
          <w:p>
            <w:pPr>
              <w:widowControl w:val="0"/>
              <w:snapToGrid w:val="0"/>
              <w:jc w:val="center"/>
              <w:rPr>
                <w:rFonts w:eastAsia="方正仿宋_GBK"/>
                <w:color w:val="auto"/>
                <w:kern w:val="0"/>
                <w:szCs w:val="21"/>
              </w:rPr>
            </w:pPr>
          </w:p>
        </w:tc>
        <w:tc>
          <w:tcPr>
            <w:tcW w:w="2771" w:type="dxa"/>
            <w:vMerge w:val="continue"/>
            <w:tcBorders>
              <w:top w:val="nil"/>
              <w:left w:val="single" w:color="auto" w:sz="4" w:space="0"/>
              <w:bottom w:val="single" w:color="auto" w:sz="4" w:space="0"/>
              <w:right w:val="single" w:color="auto" w:sz="4" w:space="0"/>
            </w:tcBorders>
            <w:vAlign w:val="center"/>
          </w:tcPr>
          <w:p>
            <w:pPr>
              <w:widowControl w:val="0"/>
              <w:snapToGrid w:val="0"/>
              <w:jc w:val="center"/>
              <w:rPr>
                <w:rFonts w:eastAsia="方正仿宋_GBK"/>
                <w:color w:val="auto"/>
                <w:kern w:val="0"/>
                <w:szCs w:val="21"/>
              </w:rPr>
            </w:pPr>
          </w:p>
        </w:tc>
        <w:tc>
          <w:tcPr>
            <w:tcW w:w="1314" w:type="dxa"/>
            <w:tcBorders>
              <w:top w:val="nil"/>
              <w:left w:val="nil"/>
              <w:bottom w:val="single" w:color="auto" w:sz="4" w:space="0"/>
              <w:right w:val="single" w:color="auto" w:sz="4" w:space="0"/>
            </w:tcBorders>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X</w:t>
            </w:r>
          </w:p>
        </w:tc>
        <w:tc>
          <w:tcPr>
            <w:tcW w:w="1319" w:type="dxa"/>
            <w:tcBorders>
              <w:top w:val="nil"/>
              <w:left w:val="nil"/>
              <w:bottom w:val="single" w:color="auto" w:sz="4" w:space="0"/>
              <w:right w:val="single" w:color="auto" w:sz="4" w:space="0"/>
            </w:tcBorders>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Y</w:t>
            </w:r>
          </w:p>
        </w:tc>
        <w:tc>
          <w:tcPr>
            <w:tcW w:w="1194" w:type="dxa"/>
            <w:tcBorders>
              <w:top w:val="nil"/>
              <w:left w:val="nil"/>
              <w:bottom w:val="single" w:color="auto" w:sz="4" w:space="0"/>
              <w:right w:val="single" w:color="auto" w:sz="4" w:space="0"/>
            </w:tcBorders>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户</w:t>
            </w:r>
          </w:p>
        </w:tc>
        <w:tc>
          <w:tcPr>
            <w:tcW w:w="791" w:type="dxa"/>
            <w:tcBorders>
              <w:top w:val="nil"/>
              <w:left w:val="nil"/>
              <w:bottom w:val="single" w:color="auto" w:sz="4" w:space="0"/>
              <w:right w:val="single" w:color="auto" w:sz="4" w:space="0"/>
            </w:tcBorders>
            <w:vAlign w:val="center"/>
          </w:tcPr>
          <w:p>
            <w:pPr>
              <w:widowControl w:val="0"/>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人</w:t>
            </w:r>
          </w:p>
        </w:tc>
        <w:tc>
          <w:tcPr>
            <w:tcW w:w="1598" w:type="dxa"/>
            <w:vMerge w:val="continue"/>
            <w:tcBorders>
              <w:top w:val="nil"/>
              <w:left w:val="single" w:color="auto" w:sz="4" w:space="0"/>
              <w:bottom w:val="single" w:color="auto" w:sz="4" w:space="0"/>
              <w:right w:val="single" w:color="auto" w:sz="4" w:space="0"/>
            </w:tcBorders>
            <w:vAlign w:val="center"/>
          </w:tcPr>
          <w:p>
            <w:pPr>
              <w:widowControl w:val="0"/>
              <w:snapToGrid w:val="0"/>
              <w:jc w:val="center"/>
              <w:rPr>
                <w:rFonts w:eastAsia="方正仿宋_GBK"/>
                <w:color w:val="auto"/>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77" w:type="dxa"/>
            <w:tcBorders>
              <w:top w:val="nil"/>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2022</w:t>
            </w:r>
          </w:p>
        </w:tc>
        <w:tc>
          <w:tcPr>
            <w:tcW w:w="70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753"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H2</w:t>
            </w:r>
          </w:p>
        </w:tc>
        <w:tc>
          <w:tcPr>
            <w:tcW w:w="2332"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岩洞湾滑坡</w:t>
            </w:r>
          </w:p>
        </w:tc>
        <w:tc>
          <w:tcPr>
            <w:tcW w:w="2771"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三星村九道拐村民小组</w:t>
            </w:r>
          </w:p>
        </w:tc>
        <w:tc>
          <w:tcPr>
            <w:tcW w:w="1314"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3248261.56</w:t>
            </w:r>
          </w:p>
        </w:tc>
        <w:tc>
          <w:tcPr>
            <w:tcW w:w="131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35592315.98</w:t>
            </w:r>
          </w:p>
        </w:tc>
        <w:tc>
          <w:tcPr>
            <w:tcW w:w="1194"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79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6</w:t>
            </w:r>
          </w:p>
        </w:tc>
        <w:tc>
          <w:tcPr>
            <w:tcW w:w="1598" w:type="dxa"/>
            <w:tcBorders>
              <w:top w:val="nil"/>
              <w:left w:val="nil"/>
              <w:bottom w:val="single" w:color="auto" w:sz="4" w:space="0"/>
              <w:right w:val="single" w:color="auto" w:sz="4" w:space="0"/>
            </w:tcBorders>
            <w:vAlign w:val="center"/>
          </w:tcPr>
          <w:p>
            <w:pPr>
              <w:widowControl w:val="0"/>
              <w:snapToGrid w:val="0"/>
              <w:jc w:val="center"/>
              <w:rPr>
                <w:rFonts w:eastAsia="方正仿宋_GBK"/>
                <w:color w:val="auto"/>
                <w:kern w:val="0"/>
                <w:szCs w:val="21"/>
              </w:rPr>
            </w:pPr>
            <w:r>
              <w:rPr>
                <w:rFonts w:eastAsia="方正仿宋_GBK"/>
                <w:color w:val="auto"/>
                <w:kern w:val="0"/>
                <w:szCs w:val="21"/>
              </w:rPr>
              <w:t>搬迁+群测群防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77" w:type="dxa"/>
            <w:tcBorders>
              <w:top w:val="nil"/>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2022</w:t>
            </w:r>
          </w:p>
        </w:tc>
        <w:tc>
          <w:tcPr>
            <w:tcW w:w="70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753"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B1</w:t>
            </w:r>
          </w:p>
        </w:tc>
        <w:tc>
          <w:tcPr>
            <w:tcW w:w="2332"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踏蹄沟崩塌</w:t>
            </w:r>
          </w:p>
        </w:tc>
        <w:tc>
          <w:tcPr>
            <w:tcW w:w="277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兴隆村</w:t>
            </w:r>
          </w:p>
        </w:tc>
        <w:tc>
          <w:tcPr>
            <w:tcW w:w="1314"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3237884.56</w:t>
            </w:r>
          </w:p>
        </w:tc>
        <w:tc>
          <w:tcPr>
            <w:tcW w:w="131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35581544.98</w:t>
            </w:r>
          </w:p>
        </w:tc>
        <w:tc>
          <w:tcPr>
            <w:tcW w:w="1194"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1（威胁煤矿房屋）</w:t>
            </w:r>
          </w:p>
        </w:tc>
        <w:tc>
          <w:tcPr>
            <w:tcW w:w="79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0</w:t>
            </w:r>
          </w:p>
        </w:tc>
        <w:tc>
          <w:tcPr>
            <w:tcW w:w="1598" w:type="dxa"/>
            <w:tcBorders>
              <w:top w:val="nil"/>
              <w:left w:val="nil"/>
              <w:bottom w:val="single" w:color="auto" w:sz="4" w:space="0"/>
              <w:right w:val="single" w:color="auto" w:sz="4" w:space="0"/>
            </w:tcBorders>
            <w:vAlign w:val="center"/>
          </w:tcPr>
          <w:p>
            <w:pPr>
              <w:widowControl w:val="0"/>
              <w:snapToGrid w:val="0"/>
              <w:jc w:val="center"/>
              <w:rPr>
                <w:rFonts w:eastAsia="方正仿宋_GBK"/>
                <w:color w:val="auto"/>
                <w:kern w:val="0"/>
                <w:szCs w:val="21"/>
              </w:rPr>
            </w:pPr>
            <w:r>
              <w:rPr>
                <w:rFonts w:eastAsia="方正仿宋_GBK"/>
                <w:color w:val="auto"/>
                <w:kern w:val="0"/>
                <w:szCs w:val="21"/>
              </w:rPr>
              <w:t>搬迁+群测群防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7" w:type="dxa"/>
            <w:tcBorders>
              <w:top w:val="nil"/>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2022</w:t>
            </w:r>
          </w:p>
        </w:tc>
        <w:tc>
          <w:tcPr>
            <w:tcW w:w="70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753"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H4</w:t>
            </w:r>
          </w:p>
        </w:tc>
        <w:tc>
          <w:tcPr>
            <w:tcW w:w="2332"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莲花坝屋基滑坡</w:t>
            </w:r>
          </w:p>
        </w:tc>
        <w:tc>
          <w:tcPr>
            <w:tcW w:w="277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茶园村清明田社</w:t>
            </w:r>
          </w:p>
        </w:tc>
        <w:tc>
          <w:tcPr>
            <w:tcW w:w="1314"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3263332.56</w:t>
            </w:r>
          </w:p>
        </w:tc>
        <w:tc>
          <w:tcPr>
            <w:tcW w:w="131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35593580.98</w:t>
            </w:r>
          </w:p>
        </w:tc>
        <w:tc>
          <w:tcPr>
            <w:tcW w:w="1194"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5</w:t>
            </w:r>
          </w:p>
        </w:tc>
        <w:tc>
          <w:tcPr>
            <w:tcW w:w="79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15</w:t>
            </w:r>
          </w:p>
        </w:tc>
        <w:tc>
          <w:tcPr>
            <w:tcW w:w="1598" w:type="dxa"/>
            <w:tcBorders>
              <w:top w:val="nil"/>
              <w:left w:val="nil"/>
              <w:bottom w:val="single" w:color="auto" w:sz="4" w:space="0"/>
              <w:right w:val="single" w:color="auto" w:sz="4" w:space="0"/>
            </w:tcBorders>
            <w:vAlign w:val="top"/>
          </w:tcPr>
          <w:p>
            <w:pPr>
              <w:widowControl w:val="0"/>
              <w:snapToGrid w:val="0"/>
              <w:jc w:val="center"/>
              <w:rPr>
                <w:rFonts w:eastAsia="方正仿宋_GBK"/>
                <w:color w:val="auto"/>
                <w:kern w:val="0"/>
                <w:szCs w:val="21"/>
              </w:rPr>
            </w:pPr>
            <w:r>
              <w:rPr>
                <w:rFonts w:eastAsia="方正仿宋_GBK"/>
                <w:color w:val="auto"/>
                <w:kern w:val="0"/>
                <w:szCs w:val="21"/>
              </w:rPr>
              <w:t>搬迁+群测群防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77" w:type="dxa"/>
            <w:tcBorders>
              <w:top w:val="nil"/>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2023</w:t>
            </w:r>
          </w:p>
        </w:tc>
        <w:tc>
          <w:tcPr>
            <w:tcW w:w="70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4</w:t>
            </w:r>
          </w:p>
        </w:tc>
        <w:tc>
          <w:tcPr>
            <w:tcW w:w="753"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B4</w:t>
            </w:r>
          </w:p>
        </w:tc>
        <w:tc>
          <w:tcPr>
            <w:tcW w:w="2332"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王家山崩塌</w:t>
            </w:r>
          </w:p>
        </w:tc>
        <w:tc>
          <w:tcPr>
            <w:tcW w:w="277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桂花村石笋社</w:t>
            </w:r>
          </w:p>
        </w:tc>
        <w:tc>
          <w:tcPr>
            <w:tcW w:w="1314"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3263248.56</w:t>
            </w:r>
          </w:p>
        </w:tc>
        <w:tc>
          <w:tcPr>
            <w:tcW w:w="131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35595950.98</w:t>
            </w:r>
          </w:p>
        </w:tc>
        <w:tc>
          <w:tcPr>
            <w:tcW w:w="1194"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79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8</w:t>
            </w:r>
          </w:p>
        </w:tc>
        <w:tc>
          <w:tcPr>
            <w:tcW w:w="1598" w:type="dxa"/>
            <w:tcBorders>
              <w:top w:val="nil"/>
              <w:left w:val="nil"/>
              <w:bottom w:val="single" w:color="auto" w:sz="4" w:space="0"/>
              <w:right w:val="single" w:color="auto" w:sz="4" w:space="0"/>
            </w:tcBorders>
            <w:vAlign w:val="top"/>
          </w:tcPr>
          <w:p>
            <w:pPr>
              <w:widowControl w:val="0"/>
              <w:snapToGrid w:val="0"/>
              <w:jc w:val="center"/>
              <w:rPr>
                <w:rFonts w:eastAsia="方正仿宋_GBK"/>
                <w:color w:val="auto"/>
                <w:kern w:val="0"/>
                <w:szCs w:val="21"/>
              </w:rPr>
            </w:pPr>
            <w:r>
              <w:rPr>
                <w:rFonts w:eastAsia="方正仿宋_GBK"/>
                <w:color w:val="auto"/>
                <w:kern w:val="0"/>
                <w:szCs w:val="21"/>
              </w:rPr>
              <w:t>搬迁+群测群防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77" w:type="dxa"/>
            <w:tcBorders>
              <w:top w:val="nil"/>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2023</w:t>
            </w:r>
          </w:p>
        </w:tc>
        <w:tc>
          <w:tcPr>
            <w:tcW w:w="70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5</w:t>
            </w:r>
          </w:p>
        </w:tc>
        <w:tc>
          <w:tcPr>
            <w:tcW w:w="753"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H8</w:t>
            </w:r>
          </w:p>
        </w:tc>
        <w:tc>
          <w:tcPr>
            <w:tcW w:w="2332"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彭家湾滑坡</w:t>
            </w:r>
          </w:p>
        </w:tc>
        <w:tc>
          <w:tcPr>
            <w:tcW w:w="277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古佛村高堡坡村民小组</w:t>
            </w:r>
          </w:p>
        </w:tc>
        <w:tc>
          <w:tcPr>
            <w:tcW w:w="1314"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3264156.56</w:t>
            </w:r>
          </w:p>
        </w:tc>
        <w:tc>
          <w:tcPr>
            <w:tcW w:w="131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35592940.98</w:t>
            </w:r>
          </w:p>
        </w:tc>
        <w:tc>
          <w:tcPr>
            <w:tcW w:w="1194"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6</w:t>
            </w:r>
          </w:p>
        </w:tc>
        <w:tc>
          <w:tcPr>
            <w:tcW w:w="79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28</w:t>
            </w:r>
          </w:p>
        </w:tc>
        <w:tc>
          <w:tcPr>
            <w:tcW w:w="1598" w:type="dxa"/>
            <w:tcBorders>
              <w:top w:val="nil"/>
              <w:left w:val="nil"/>
              <w:bottom w:val="single" w:color="auto" w:sz="4" w:space="0"/>
              <w:right w:val="single" w:color="auto" w:sz="4" w:space="0"/>
            </w:tcBorders>
            <w:vAlign w:val="top"/>
          </w:tcPr>
          <w:p>
            <w:pPr>
              <w:widowControl w:val="0"/>
              <w:snapToGrid w:val="0"/>
              <w:jc w:val="center"/>
              <w:rPr>
                <w:rFonts w:eastAsia="方正仿宋_GBK"/>
                <w:color w:val="auto"/>
                <w:kern w:val="0"/>
                <w:szCs w:val="21"/>
              </w:rPr>
            </w:pPr>
            <w:r>
              <w:rPr>
                <w:rFonts w:eastAsia="方正仿宋_GBK"/>
                <w:color w:val="auto"/>
                <w:kern w:val="0"/>
                <w:szCs w:val="21"/>
              </w:rPr>
              <w:t>搬迁+群测群防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77" w:type="dxa"/>
            <w:tcBorders>
              <w:top w:val="nil"/>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2023</w:t>
            </w:r>
          </w:p>
        </w:tc>
        <w:tc>
          <w:tcPr>
            <w:tcW w:w="70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6</w:t>
            </w:r>
          </w:p>
        </w:tc>
        <w:tc>
          <w:tcPr>
            <w:tcW w:w="753"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H10</w:t>
            </w:r>
          </w:p>
        </w:tc>
        <w:tc>
          <w:tcPr>
            <w:tcW w:w="2332"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蒋家院子滑坡</w:t>
            </w:r>
          </w:p>
        </w:tc>
        <w:tc>
          <w:tcPr>
            <w:tcW w:w="277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中心桥村</w:t>
            </w:r>
          </w:p>
        </w:tc>
        <w:tc>
          <w:tcPr>
            <w:tcW w:w="1314"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3257656.56</w:t>
            </w:r>
          </w:p>
        </w:tc>
        <w:tc>
          <w:tcPr>
            <w:tcW w:w="131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35578070.98</w:t>
            </w:r>
          </w:p>
        </w:tc>
        <w:tc>
          <w:tcPr>
            <w:tcW w:w="1194"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6</w:t>
            </w:r>
          </w:p>
        </w:tc>
        <w:tc>
          <w:tcPr>
            <w:tcW w:w="79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28</w:t>
            </w:r>
          </w:p>
        </w:tc>
        <w:tc>
          <w:tcPr>
            <w:tcW w:w="1598" w:type="dxa"/>
            <w:tcBorders>
              <w:top w:val="nil"/>
              <w:left w:val="nil"/>
              <w:bottom w:val="single" w:color="auto" w:sz="4" w:space="0"/>
              <w:right w:val="single" w:color="auto" w:sz="4" w:space="0"/>
            </w:tcBorders>
            <w:vAlign w:val="top"/>
          </w:tcPr>
          <w:p>
            <w:pPr>
              <w:widowControl w:val="0"/>
              <w:snapToGrid w:val="0"/>
              <w:jc w:val="center"/>
              <w:rPr>
                <w:rFonts w:eastAsia="方正仿宋_GBK"/>
                <w:color w:val="auto"/>
                <w:kern w:val="0"/>
                <w:szCs w:val="21"/>
              </w:rPr>
            </w:pPr>
            <w:r>
              <w:rPr>
                <w:rFonts w:eastAsia="方正仿宋_GBK"/>
                <w:color w:val="auto"/>
                <w:kern w:val="0"/>
                <w:szCs w:val="21"/>
              </w:rPr>
              <w:t>搬迁+群测群防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77" w:type="dxa"/>
            <w:tcBorders>
              <w:top w:val="nil"/>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2024</w:t>
            </w:r>
          </w:p>
        </w:tc>
        <w:tc>
          <w:tcPr>
            <w:tcW w:w="70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7</w:t>
            </w:r>
          </w:p>
        </w:tc>
        <w:tc>
          <w:tcPr>
            <w:tcW w:w="753"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B8</w:t>
            </w:r>
          </w:p>
        </w:tc>
        <w:tc>
          <w:tcPr>
            <w:tcW w:w="2332"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丁家岩村梨山坡危岩</w:t>
            </w:r>
          </w:p>
        </w:tc>
        <w:tc>
          <w:tcPr>
            <w:tcW w:w="2771"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丁家岩村</w:t>
            </w:r>
          </w:p>
        </w:tc>
        <w:tc>
          <w:tcPr>
            <w:tcW w:w="1314"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3255140.56</w:t>
            </w:r>
          </w:p>
        </w:tc>
        <w:tc>
          <w:tcPr>
            <w:tcW w:w="131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35581830.98</w:t>
            </w:r>
          </w:p>
        </w:tc>
        <w:tc>
          <w:tcPr>
            <w:tcW w:w="1194"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10</w:t>
            </w:r>
          </w:p>
        </w:tc>
        <w:tc>
          <w:tcPr>
            <w:tcW w:w="79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30</w:t>
            </w:r>
          </w:p>
        </w:tc>
        <w:tc>
          <w:tcPr>
            <w:tcW w:w="1598" w:type="dxa"/>
            <w:tcBorders>
              <w:top w:val="nil"/>
              <w:left w:val="nil"/>
              <w:bottom w:val="single" w:color="auto" w:sz="4" w:space="0"/>
              <w:right w:val="single" w:color="auto" w:sz="4" w:space="0"/>
            </w:tcBorders>
            <w:vAlign w:val="top"/>
          </w:tcPr>
          <w:p>
            <w:pPr>
              <w:widowControl w:val="0"/>
              <w:snapToGrid w:val="0"/>
              <w:jc w:val="center"/>
              <w:rPr>
                <w:rFonts w:eastAsia="方正仿宋_GBK"/>
                <w:color w:val="auto"/>
                <w:kern w:val="0"/>
                <w:szCs w:val="21"/>
              </w:rPr>
            </w:pPr>
            <w:r>
              <w:rPr>
                <w:rFonts w:eastAsia="方正仿宋_GBK"/>
                <w:color w:val="auto"/>
                <w:kern w:val="0"/>
                <w:szCs w:val="21"/>
              </w:rPr>
              <w:t>搬迁+群测群防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77" w:type="dxa"/>
            <w:tcBorders>
              <w:top w:val="nil"/>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2024</w:t>
            </w:r>
          </w:p>
        </w:tc>
        <w:tc>
          <w:tcPr>
            <w:tcW w:w="70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8</w:t>
            </w:r>
          </w:p>
        </w:tc>
        <w:tc>
          <w:tcPr>
            <w:tcW w:w="753"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B10</w:t>
            </w:r>
          </w:p>
        </w:tc>
        <w:tc>
          <w:tcPr>
            <w:tcW w:w="2332"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罗忠良屋后危岩（崩塌）</w:t>
            </w:r>
          </w:p>
        </w:tc>
        <w:tc>
          <w:tcPr>
            <w:tcW w:w="277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金宝山村尖石头村民小组</w:t>
            </w:r>
          </w:p>
        </w:tc>
        <w:tc>
          <w:tcPr>
            <w:tcW w:w="1314"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3218524.56</w:t>
            </w:r>
          </w:p>
        </w:tc>
        <w:tc>
          <w:tcPr>
            <w:tcW w:w="131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35575001.89</w:t>
            </w:r>
          </w:p>
        </w:tc>
        <w:tc>
          <w:tcPr>
            <w:tcW w:w="1194"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79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11</w:t>
            </w:r>
          </w:p>
        </w:tc>
        <w:tc>
          <w:tcPr>
            <w:tcW w:w="1598" w:type="dxa"/>
            <w:tcBorders>
              <w:top w:val="nil"/>
              <w:left w:val="nil"/>
              <w:bottom w:val="single" w:color="auto" w:sz="4" w:space="0"/>
              <w:right w:val="single" w:color="auto" w:sz="4" w:space="0"/>
            </w:tcBorders>
            <w:vAlign w:val="top"/>
          </w:tcPr>
          <w:p>
            <w:pPr>
              <w:widowControl w:val="0"/>
              <w:snapToGrid w:val="0"/>
              <w:jc w:val="center"/>
              <w:rPr>
                <w:rFonts w:eastAsia="方正仿宋_GBK"/>
                <w:color w:val="auto"/>
                <w:kern w:val="0"/>
                <w:szCs w:val="21"/>
              </w:rPr>
            </w:pPr>
            <w:r>
              <w:rPr>
                <w:rFonts w:eastAsia="方正仿宋_GBK"/>
                <w:color w:val="auto"/>
                <w:kern w:val="0"/>
                <w:szCs w:val="21"/>
              </w:rPr>
              <w:t>搬迁+群测群防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77" w:type="dxa"/>
            <w:tcBorders>
              <w:top w:val="nil"/>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2024</w:t>
            </w:r>
          </w:p>
        </w:tc>
        <w:tc>
          <w:tcPr>
            <w:tcW w:w="70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9</w:t>
            </w:r>
          </w:p>
        </w:tc>
        <w:tc>
          <w:tcPr>
            <w:tcW w:w="753"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H13</w:t>
            </w:r>
          </w:p>
        </w:tc>
        <w:tc>
          <w:tcPr>
            <w:tcW w:w="2332"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王家院子滑坡</w:t>
            </w:r>
          </w:p>
        </w:tc>
        <w:tc>
          <w:tcPr>
            <w:tcW w:w="277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胡豆坪村王家龙社</w:t>
            </w:r>
          </w:p>
        </w:tc>
        <w:tc>
          <w:tcPr>
            <w:tcW w:w="1314"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3247178.56</w:t>
            </w:r>
          </w:p>
        </w:tc>
        <w:tc>
          <w:tcPr>
            <w:tcW w:w="131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35581767.98</w:t>
            </w:r>
          </w:p>
        </w:tc>
        <w:tc>
          <w:tcPr>
            <w:tcW w:w="1194"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79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6</w:t>
            </w:r>
          </w:p>
        </w:tc>
        <w:tc>
          <w:tcPr>
            <w:tcW w:w="1598" w:type="dxa"/>
            <w:tcBorders>
              <w:top w:val="nil"/>
              <w:left w:val="nil"/>
              <w:bottom w:val="single" w:color="auto" w:sz="4" w:space="0"/>
              <w:right w:val="single" w:color="auto" w:sz="4" w:space="0"/>
            </w:tcBorders>
            <w:vAlign w:val="top"/>
          </w:tcPr>
          <w:p>
            <w:pPr>
              <w:widowControl w:val="0"/>
              <w:snapToGrid w:val="0"/>
              <w:jc w:val="center"/>
              <w:rPr>
                <w:rFonts w:eastAsia="方正仿宋_GBK"/>
                <w:color w:val="auto"/>
                <w:kern w:val="0"/>
                <w:szCs w:val="21"/>
              </w:rPr>
            </w:pPr>
            <w:r>
              <w:rPr>
                <w:rFonts w:eastAsia="方正仿宋_GBK"/>
                <w:color w:val="auto"/>
                <w:kern w:val="0"/>
                <w:szCs w:val="21"/>
              </w:rPr>
              <w:t>搬迁+群测群防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77" w:type="dxa"/>
            <w:tcBorders>
              <w:top w:val="nil"/>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2024</w:t>
            </w:r>
          </w:p>
        </w:tc>
        <w:tc>
          <w:tcPr>
            <w:tcW w:w="70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10</w:t>
            </w:r>
          </w:p>
        </w:tc>
        <w:tc>
          <w:tcPr>
            <w:tcW w:w="753"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B13</w:t>
            </w:r>
          </w:p>
        </w:tc>
        <w:tc>
          <w:tcPr>
            <w:tcW w:w="2332"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伍德清屋后崩塌</w:t>
            </w:r>
          </w:p>
        </w:tc>
        <w:tc>
          <w:tcPr>
            <w:tcW w:w="277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笋桥村浸娅村民小组</w:t>
            </w:r>
          </w:p>
        </w:tc>
        <w:tc>
          <w:tcPr>
            <w:tcW w:w="1314"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3214122.56</w:t>
            </w:r>
          </w:p>
        </w:tc>
        <w:tc>
          <w:tcPr>
            <w:tcW w:w="131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35582001.98</w:t>
            </w:r>
          </w:p>
        </w:tc>
        <w:tc>
          <w:tcPr>
            <w:tcW w:w="1194"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79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5</w:t>
            </w:r>
          </w:p>
        </w:tc>
        <w:tc>
          <w:tcPr>
            <w:tcW w:w="1598" w:type="dxa"/>
            <w:tcBorders>
              <w:top w:val="nil"/>
              <w:left w:val="nil"/>
              <w:bottom w:val="single" w:color="auto" w:sz="4" w:space="0"/>
              <w:right w:val="single" w:color="auto" w:sz="4" w:space="0"/>
            </w:tcBorders>
            <w:vAlign w:val="top"/>
          </w:tcPr>
          <w:p>
            <w:pPr>
              <w:widowControl w:val="0"/>
              <w:snapToGrid w:val="0"/>
              <w:jc w:val="center"/>
              <w:rPr>
                <w:rFonts w:eastAsia="方正仿宋_GBK"/>
                <w:color w:val="auto"/>
                <w:kern w:val="0"/>
                <w:szCs w:val="21"/>
              </w:rPr>
            </w:pPr>
            <w:r>
              <w:rPr>
                <w:rFonts w:eastAsia="方正仿宋_GBK"/>
                <w:color w:val="auto"/>
                <w:kern w:val="0"/>
                <w:szCs w:val="21"/>
              </w:rPr>
              <w:t>搬迁+群测群防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77" w:type="dxa"/>
            <w:tcBorders>
              <w:top w:val="nil"/>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2024</w:t>
            </w:r>
          </w:p>
        </w:tc>
        <w:tc>
          <w:tcPr>
            <w:tcW w:w="70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11</w:t>
            </w:r>
          </w:p>
        </w:tc>
        <w:tc>
          <w:tcPr>
            <w:tcW w:w="753"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B16</w:t>
            </w:r>
          </w:p>
        </w:tc>
        <w:tc>
          <w:tcPr>
            <w:tcW w:w="2332"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石牛寺村石盘寺崩塌</w:t>
            </w:r>
          </w:p>
        </w:tc>
        <w:tc>
          <w:tcPr>
            <w:tcW w:w="277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石牛寺村石盘寺村民小组</w:t>
            </w:r>
          </w:p>
        </w:tc>
        <w:tc>
          <w:tcPr>
            <w:tcW w:w="1314"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3234969.56</w:t>
            </w:r>
          </w:p>
        </w:tc>
        <w:tc>
          <w:tcPr>
            <w:tcW w:w="131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35578954.98</w:t>
            </w:r>
          </w:p>
        </w:tc>
        <w:tc>
          <w:tcPr>
            <w:tcW w:w="1194"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4</w:t>
            </w:r>
          </w:p>
        </w:tc>
        <w:tc>
          <w:tcPr>
            <w:tcW w:w="79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14</w:t>
            </w:r>
          </w:p>
        </w:tc>
        <w:tc>
          <w:tcPr>
            <w:tcW w:w="1598" w:type="dxa"/>
            <w:tcBorders>
              <w:top w:val="nil"/>
              <w:left w:val="nil"/>
              <w:bottom w:val="single" w:color="auto" w:sz="4" w:space="0"/>
              <w:right w:val="single" w:color="auto" w:sz="4" w:space="0"/>
            </w:tcBorders>
            <w:vAlign w:val="top"/>
          </w:tcPr>
          <w:p>
            <w:pPr>
              <w:widowControl w:val="0"/>
              <w:snapToGrid w:val="0"/>
              <w:jc w:val="center"/>
              <w:rPr>
                <w:rFonts w:eastAsia="方正仿宋_GBK"/>
                <w:color w:val="auto"/>
                <w:kern w:val="0"/>
                <w:szCs w:val="21"/>
              </w:rPr>
            </w:pPr>
            <w:r>
              <w:rPr>
                <w:rFonts w:eastAsia="方正仿宋_GBK"/>
                <w:color w:val="auto"/>
                <w:kern w:val="0"/>
                <w:szCs w:val="21"/>
              </w:rPr>
              <w:t>搬迁+群测群防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77" w:type="dxa"/>
            <w:vMerge w:val="restart"/>
            <w:tcBorders>
              <w:top w:val="nil"/>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2025</w:t>
            </w:r>
          </w:p>
        </w:tc>
        <w:tc>
          <w:tcPr>
            <w:tcW w:w="70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12</w:t>
            </w:r>
          </w:p>
        </w:tc>
        <w:tc>
          <w:tcPr>
            <w:tcW w:w="753"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H17</w:t>
            </w:r>
          </w:p>
        </w:tc>
        <w:tc>
          <w:tcPr>
            <w:tcW w:w="2332"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瓦厂坎上滑坡</w:t>
            </w:r>
          </w:p>
        </w:tc>
        <w:tc>
          <w:tcPr>
            <w:tcW w:w="277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龙凤桥堰水沟村民小组</w:t>
            </w:r>
          </w:p>
        </w:tc>
        <w:tc>
          <w:tcPr>
            <w:tcW w:w="1314"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3242108.56</w:t>
            </w:r>
          </w:p>
        </w:tc>
        <w:tc>
          <w:tcPr>
            <w:tcW w:w="131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35569984.98</w:t>
            </w:r>
          </w:p>
        </w:tc>
        <w:tc>
          <w:tcPr>
            <w:tcW w:w="1194"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79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6</w:t>
            </w:r>
          </w:p>
        </w:tc>
        <w:tc>
          <w:tcPr>
            <w:tcW w:w="1598" w:type="dxa"/>
            <w:tcBorders>
              <w:top w:val="nil"/>
              <w:left w:val="nil"/>
              <w:bottom w:val="single" w:color="auto" w:sz="4" w:space="0"/>
              <w:right w:val="single" w:color="auto" w:sz="4" w:space="0"/>
            </w:tcBorders>
            <w:vAlign w:val="top"/>
          </w:tcPr>
          <w:p>
            <w:pPr>
              <w:widowControl w:val="0"/>
              <w:snapToGrid w:val="0"/>
              <w:jc w:val="center"/>
              <w:rPr>
                <w:rFonts w:eastAsia="方正仿宋_GBK"/>
                <w:color w:val="auto"/>
                <w:kern w:val="0"/>
                <w:szCs w:val="21"/>
              </w:rPr>
            </w:pPr>
            <w:r>
              <w:rPr>
                <w:rFonts w:eastAsia="方正仿宋_GBK"/>
                <w:color w:val="auto"/>
                <w:kern w:val="0"/>
                <w:szCs w:val="21"/>
              </w:rPr>
              <w:t>搬迁+群测群防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77" w:type="dxa"/>
            <w:vMerge w:val="continue"/>
            <w:tcBorders>
              <w:top w:val="nil"/>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13</w:t>
            </w:r>
          </w:p>
        </w:tc>
        <w:tc>
          <w:tcPr>
            <w:tcW w:w="753"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H18</w:t>
            </w:r>
          </w:p>
        </w:tc>
        <w:tc>
          <w:tcPr>
            <w:tcW w:w="2332"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权光照屋后滑坡</w:t>
            </w:r>
          </w:p>
        </w:tc>
        <w:tc>
          <w:tcPr>
            <w:tcW w:w="2771"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龙凤桥村堰水沟山村民小组</w:t>
            </w:r>
          </w:p>
        </w:tc>
        <w:tc>
          <w:tcPr>
            <w:tcW w:w="1314"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3241766.56</w:t>
            </w:r>
          </w:p>
        </w:tc>
        <w:tc>
          <w:tcPr>
            <w:tcW w:w="1319" w:type="dxa"/>
            <w:tcBorders>
              <w:top w:val="nil"/>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35570663.98</w:t>
            </w:r>
          </w:p>
        </w:tc>
        <w:tc>
          <w:tcPr>
            <w:tcW w:w="1194"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791" w:type="dxa"/>
            <w:tcBorders>
              <w:top w:val="nil"/>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4</w:t>
            </w:r>
          </w:p>
        </w:tc>
        <w:tc>
          <w:tcPr>
            <w:tcW w:w="1598" w:type="dxa"/>
            <w:tcBorders>
              <w:top w:val="nil"/>
              <w:left w:val="nil"/>
              <w:bottom w:val="single" w:color="auto" w:sz="4" w:space="0"/>
              <w:right w:val="single" w:color="auto" w:sz="4" w:space="0"/>
            </w:tcBorders>
            <w:vAlign w:val="top"/>
          </w:tcPr>
          <w:p>
            <w:pPr>
              <w:widowControl w:val="0"/>
              <w:snapToGrid w:val="0"/>
              <w:jc w:val="center"/>
              <w:rPr>
                <w:rFonts w:eastAsia="方正仿宋_GBK"/>
                <w:color w:val="auto"/>
                <w:kern w:val="0"/>
                <w:szCs w:val="21"/>
              </w:rPr>
            </w:pPr>
            <w:r>
              <w:rPr>
                <w:rFonts w:eastAsia="方正仿宋_GBK"/>
                <w:color w:val="auto"/>
                <w:kern w:val="0"/>
                <w:szCs w:val="21"/>
              </w:rPr>
              <w:t>搬迁+群测群防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2025</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14</w:t>
            </w:r>
          </w:p>
        </w:tc>
        <w:tc>
          <w:tcPr>
            <w:tcW w:w="753" w:type="dxa"/>
            <w:tcBorders>
              <w:top w:val="single" w:color="auto" w:sz="4" w:space="0"/>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B21</w:t>
            </w:r>
          </w:p>
        </w:tc>
        <w:tc>
          <w:tcPr>
            <w:tcW w:w="2332" w:type="dxa"/>
            <w:tcBorders>
              <w:top w:val="single" w:color="auto" w:sz="4" w:space="0"/>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青紫山崩塌（危岩）</w:t>
            </w:r>
          </w:p>
        </w:tc>
        <w:tc>
          <w:tcPr>
            <w:tcW w:w="2771" w:type="dxa"/>
            <w:tcBorders>
              <w:top w:val="single" w:color="auto" w:sz="4" w:space="0"/>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茅园村青紫山小组</w:t>
            </w:r>
          </w:p>
        </w:tc>
        <w:tc>
          <w:tcPr>
            <w:tcW w:w="1314" w:type="dxa"/>
            <w:tcBorders>
              <w:top w:val="single" w:color="auto" w:sz="4" w:space="0"/>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3215813.56</w:t>
            </w:r>
          </w:p>
        </w:tc>
        <w:tc>
          <w:tcPr>
            <w:tcW w:w="1319" w:type="dxa"/>
            <w:tcBorders>
              <w:top w:val="single" w:color="auto" w:sz="4" w:space="0"/>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35584960.98</w:t>
            </w:r>
          </w:p>
        </w:tc>
        <w:tc>
          <w:tcPr>
            <w:tcW w:w="1194" w:type="dxa"/>
            <w:tcBorders>
              <w:top w:val="single" w:color="auto" w:sz="4" w:space="0"/>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w:t>
            </w:r>
          </w:p>
        </w:tc>
        <w:tc>
          <w:tcPr>
            <w:tcW w:w="791" w:type="dxa"/>
            <w:tcBorders>
              <w:top w:val="single" w:color="auto" w:sz="4" w:space="0"/>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1598" w:type="dxa"/>
            <w:tcBorders>
              <w:top w:val="single" w:color="auto" w:sz="4" w:space="0"/>
              <w:left w:val="nil"/>
              <w:bottom w:val="single" w:color="auto" w:sz="4" w:space="0"/>
              <w:right w:val="single" w:color="auto" w:sz="4" w:space="0"/>
            </w:tcBorders>
            <w:vAlign w:val="top"/>
          </w:tcPr>
          <w:p>
            <w:pPr>
              <w:widowControl w:val="0"/>
              <w:snapToGrid w:val="0"/>
              <w:jc w:val="center"/>
              <w:rPr>
                <w:rFonts w:eastAsia="方正仿宋_GBK"/>
                <w:color w:val="auto"/>
                <w:kern w:val="0"/>
                <w:szCs w:val="21"/>
              </w:rPr>
            </w:pPr>
            <w:r>
              <w:rPr>
                <w:rFonts w:eastAsia="方正仿宋_GBK"/>
                <w:color w:val="auto"/>
                <w:kern w:val="0"/>
                <w:szCs w:val="21"/>
              </w:rPr>
              <w:t>搬迁+群测群防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15</w:t>
            </w:r>
          </w:p>
        </w:tc>
        <w:tc>
          <w:tcPr>
            <w:tcW w:w="753" w:type="dxa"/>
            <w:tcBorders>
              <w:top w:val="single" w:color="auto" w:sz="4" w:space="0"/>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B22</w:t>
            </w:r>
          </w:p>
        </w:tc>
        <w:tc>
          <w:tcPr>
            <w:tcW w:w="2332" w:type="dxa"/>
            <w:tcBorders>
              <w:top w:val="single" w:color="auto" w:sz="4" w:space="0"/>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后溪河桥头上危岩</w:t>
            </w:r>
          </w:p>
        </w:tc>
        <w:tc>
          <w:tcPr>
            <w:tcW w:w="2771" w:type="dxa"/>
            <w:tcBorders>
              <w:top w:val="single" w:color="auto" w:sz="4" w:space="0"/>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旗山村后溪河小组</w:t>
            </w:r>
          </w:p>
        </w:tc>
        <w:tc>
          <w:tcPr>
            <w:tcW w:w="1314" w:type="dxa"/>
            <w:tcBorders>
              <w:top w:val="single" w:color="auto" w:sz="4" w:space="0"/>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3217505.56</w:t>
            </w:r>
          </w:p>
        </w:tc>
        <w:tc>
          <w:tcPr>
            <w:tcW w:w="1319" w:type="dxa"/>
            <w:tcBorders>
              <w:top w:val="single" w:color="auto" w:sz="4" w:space="0"/>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35588277.98</w:t>
            </w:r>
          </w:p>
        </w:tc>
        <w:tc>
          <w:tcPr>
            <w:tcW w:w="1194" w:type="dxa"/>
            <w:tcBorders>
              <w:top w:val="single" w:color="auto" w:sz="4" w:space="0"/>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2</w:t>
            </w:r>
          </w:p>
        </w:tc>
        <w:tc>
          <w:tcPr>
            <w:tcW w:w="791" w:type="dxa"/>
            <w:tcBorders>
              <w:top w:val="single" w:color="auto" w:sz="4" w:space="0"/>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9</w:t>
            </w:r>
          </w:p>
        </w:tc>
        <w:tc>
          <w:tcPr>
            <w:tcW w:w="1598" w:type="dxa"/>
            <w:tcBorders>
              <w:top w:val="single" w:color="auto" w:sz="4" w:space="0"/>
              <w:left w:val="nil"/>
              <w:bottom w:val="single" w:color="auto" w:sz="4" w:space="0"/>
              <w:right w:val="single" w:color="auto" w:sz="4" w:space="0"/>
            </w:tcBorders>
            <w:vAlign w:val="top"/>
          </w:tcPr>
          <w:p>
            <w:pPr>
              <w:widowControl w:val="0"/>
              <w:snapToGrid w:val="0"/>
              <w:jc w:val="center"/>
              <w:rPr>
                <w:rFonts w:eastAsia="方正仿宋_GBK"/>
                <w:color w:val="auto"/>
                <w:kern w:val="0"/>
                <w:szCs w:val="21"/>
              </w:rPr>
            </w:pPr>
            <w:r>
              <w:rPr>
                <w:rFonts w:eastAsia="方正仿宋_GBK"/>
                <w:color w:val="auto"/>
                <w:kern w:val="0"/>
                <w:szCs w:val="21"/>
              </w:rPr>
              <w:t>搬迁+群测群防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16</w:t>
            </w:r>
          </w:p>
        </w:tc>
        <w:tc>
          <w:tcPr>
            <w:tcW w:w="753" w:type="dxa"/>
            <w:tcBorders>
              <w:top w:val="single" w:color="auto" w:sz="4" w:space="0"/>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B23</w:t>
            </w:r>
          </w:p>
        </w:tc>
        <w:tc>
          <w:tcPr>
            <w:tcW w:w="2332" w:type="dxa"/>
            <w:tcBorders>
              <w:top w:val="single" w:color="auto" w:sz="4" w:space="0"/>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竹林湾崩塌</w:t>
            </w:r>
          </w:p>
        </w:tc>
        <w:tc>
          <w:tcPr>
            <w:tcW w:w="2771" w:type="dxa"/>
            <w:tcBorders>
              <w:top w:val="single" w:color="auto" w:sz="4" w:space="0"/>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鱼岭村李家林村民小组</w:t>
            </w:r>
          </w:p>
        </w:tc>
        <w:tc>
          <w:tcPr>
            <w:tcW w:w="1314" w:type="dxa"/>
            <w:tcBorders>
              <w:top w:val="single" w:color="auto" w:sz="4" w:space="0"/>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3220967.56</w:t>
            </w:r>
          </w:p>
        </w:tc>
        <w:tc>
          <w:tcPr>
            <w:tcW w:w="1319" w:type="dxa"/>
            <w:tcBorders>
              <w:top w:val="single" w:color="auto" w:sz="4" w:space="0"/>
              <w:left w:val="nil"/>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35586337.98</w:t>
            </w:r>
          </w:p>
        </w:tc>
        <w:tc>
          <w:tcPr>
            <w:tcW w:w="1194" w:type="dxa"/>
            <w:tcBorders>
              <w:top w:val="single" w:color="auto" w:sz="4" w:space="0"/>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3</w:t>
            </w:r>
          </w:p>
        </w:tc>
        <w:tc>
          <w:tcPr>
            <w:tcW w:w="791" w:type="dxa"/>
            <w:tcBorders>
              <w:top w:val="single" w:color="auto" w:sz="4" w:space="0"/>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12</w:t>
            </w:r>
          </w:p>
        </w:tc>
        <w:tc>
          <w:tcPr>
            <w:tcW w:w="1598" w:type="dxa"/>
            <w:tcBorders>
              <w:top w:val="single" w:color="auto" w:sz="4" w:space="0"/>
              <w:left w:val="nil"/>
              <w:bottom w:val="single" w:color="auto" w:sz="4" w:space="0"/>
              <w:right w:val="single" w:color="auto" w:sz="4" w:space="0"/>
            </w:tcBorders>
            <w:vAlign w:val="top"/>
          </w:tcPr>
          <w:p>
            <w:pPr>
              <w:widowControl w:val="0"/>
              <w:snapToGrid w:val="0"/>
              <w:jc w:val="center"/>
              <w:rPr>
                <w:rFonts w:eastAsia="方正仿宋_GBK"/>
                <w:color w:val="auto"/>
                <w:kern w:val="0"/>
                <w:szCs w:val="21"/>
              </w:rPr>
            </w:pPr>
            <w:r>
              <w:rPr>
                <w:rFonts w:eastAsia="方正仿宋_GBK"/>
                <w:color w:val="auto"/>
                <w:kern w:val="0"/>
                <w:szCs w:val="21"/>
              </w:rPr>
              <w:t>搬迁+群测群防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17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napToGrid w:val="0"/>
              <w:jc w:val="center"/>
              <w:rPr>
                <w:rFonts w:eastAsia="方正仿宋_GBK"/>
                <w:color w:val="auto"/>
                <w:kern w:val="0"/>
                <w:szCs w:val="21"/>
              </w:rPr>
            </w:pPr>
            <w:r>
              <w:rPr>
                <w:rFonts w:eastAsia="方正仿宋_GBK"/>
                <w:color w:val="auto"/>
                <w:kern w:val="0"/>
                <w:szCs w:val="21"/>
              </w:rPr>
              <w:t>合计</w:t>
            </w:r>
          </w:p>
        </w:tc>
        <w:tc>
          <w:tcPr>
            <w:tcW w:w="1194" w:type="dxa"/>
            <w:tcBorders>
              <w:top w:val="single" w:color="auto" w:sz="4" w:space="0"/>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51</w:t>
            </w:r>
          </w:p>
        </w:tc>
        <w:tc>
          <w:tcPr>
            <w:tcW w:w="791" w:type="dxa"/>
            <w:tcBorders>
              <w:top w:val="single" w:color="auto" w:sz="4" w:space="0"/>
              <w:left w:val="nil"/>
              <w:bottom w:val="single" w:color="auto" w:sz="4" w:space="0"/>
              <w:right w:val="single" w:color="auto" w:sz="4" w:space="0"/>
            </w:tcBorders>
            <w:shd w:val="clear" w:color="000000" w:fill="FFFFFF"/>
            <w:vAlign w:val="center"/>
          </w:tcPr>
          <w:p>
            <w:pPr>
              <w:widowControl w:val="0"/>
              <w:snapToGrid w:val="0"/>
              <w:jc w:val="center"/>
              <w:rPr>
                <w:rFonts w:eastAsia="方正仿宋_GBK"/>
                <w:color w:val="auto"/>
                <w:kern w:val="0"/>
                <w:szCs w:val="21"/>
              </w:rPr>
            </w:pPr>
            <w:r>
              <w:rPr>
                <w:rFonts w:eastAsia="方正仿宋_GBK"/>
                <w:color w:val="auto"/>
                <w:kern w:val="0"/>
                <w:szCs w:val="21"/>
              </w:rPr>
              <w:t>184</w:t>
            </w:r>
          </w:p>
        </w:tc>
        <w:tc>
          <w:tcPr>
            <w:tcW w:w="1598" w:type="dxa"/>
            <w:tcBorders>
              <w:top w:val="single" w:color="auto" w:sz="4" w:space="0"/>
              <w:left w:val="nil"/>
              <w:bottom w:val="single" w:color="auto" w:sz="4" w:space="0"/>
              <w:right w:val="single" w:color="auto" w:sz="4" w:space="0"/>
            </w:tcBorders>
            <w:vAlign w:val="top"/>
          </w:tcPr>
          <w:p>
            <w:pPr>
              <w:widowControl w:val="0"/>
              <w:snapToGrid w:val="0"/>
              <w:jc w:val="center"/>
              <w:rPr>
                <w:rFonts w:eastAsia="方正仿宋_GBK"/>
                <w:color w:val="auto"/>
                <w:kern w:val="0"/>
                <w:szCs w:val="21"/>
              </w:rPr>
            </w:pPr>
          </w:p>
        </w:tc>
      </w:tr>
    </w:tbl>
    <w:p>
      <w:pPr>
        <w:spacing w:line="240" w:lineRule="auto"/>
        <w:jc w:val="left"/>
        <w:rPr>
          <w:rFonts w:eastAsia="黑体"/>
          <w:color w:val="auto"/>
          <w:sz w:val="24"/>
        </w:rPr>
      </w:pPr>
      <w:r>
        <w:rPr>
          <w:rFonts w:eastAsia="黑体"/>
          <w:color w:val="auto"/>
          <w:sz w:val="24"/>
        </w:rPr>
        <w:br w:type="page"/>
      </w:r>
    </w:p>
    <w:p>
      <w:pPr>
        <w:pStyle w:val="2"/>
        <w:snapToGrid w:val="0"/>
        <w:spacing w:before="0" w:after="0" w:line="240" w:lineRule="auto"/>
        <w:ind w:firstLine="0" w:firstLineChars="0"/>
        <w:jc w:val="left"/>
        <w:rPr>
          <w:rFonts w:hint="eastAsia" w:ascii="方正黑体_GBK" w:hAnsi="方正黑体_GBK" w:eastAsia="方正黑体_GBK" w:cs="方正黑体_GBK"/>
          <w:b w:val="0"/>
          <w:bCs w:val="0"/>
          <w:color w:val="auto"/>
          <w:sz w:val="32"/>
          <w:szCs w:val="32"/>
        </w:rPr>
      </w:pPr>
      <w:bookmarkStart w:id="173" w:name="_Toc357324615_WPSOffice_Level1"/>
      <w:bookmarkStart w:id="174" w:name="_Toc1092942521_WPSOffice_Level1"/>
      <w:r>
        <w:rPr>
          <w:rFonts w:hint="eastAsia" w:ascii="方正黑体_GBK" w:hAnsi="方正黑体_GBK" w:eastAsia="方正黑体_GBK" w:cs="方正黑体_GBK"/>
          <w:b w:val="0"/>
          <w:bCs w:val="0"/>
          <w:color w:val="auto"/>
          <w:sz w:val="32"/>
          <w:szCs w:val="32"/>
        </w:rPr>
        <w:t>附表7</w:t>
      </w:r>
    </w:p>
    <w:p>
      <w:pPr>
        <w:pStyle w:val="2"/>
        <w:spacing w:before="0" w:after="0" w:line="276" w:lineRule="auto"/>
        <w:ind w:firstLine="0" w:firstLineChars="0"/>
        <w:jc w:val="center"/>
        <w:rPr>
          <w:rFonts w:hint="eastAsia" w:ascii="方正小标宋_GBK" w:hAnsi="方正小标宋_GBK" w:eastAsia="方正小标宋_GBK" w:cs="方正小标宋_GBK"/>
          <w:b w:val="0"/>
          <w:bCs w:val="0"/>
          <w:color w:val="auto"/>
          <w:sz w:val="36"/>
          <w:szCs w:val="36"/>
        </w:rPr>
      </w:pPr>
      <w:bookmarkStart w:id="175" w:name="_Toc275180350_WPSOffice_Level1"/>
      <w:r>
        <w:rPr>
          <w:rFonts w:hint="eastAsia" w:ascii="方正小标宋_GBK" w:hAnsi="方正小标宋_GBK" w:eastAsia="方正小标宋_GBK" w:cs="方正小标宋_GBK"/>
          <w:b w:val="0"/>
          <w:bCs w:val="0"/>
          <w:color w:val="auto"/>
          <w:sz w:val="36"/>
          <w:szCs w:val="36"/>
        </w:rPr>
        <w:t>永川区地质灾害隐患点专业监测规划表</w:t>
      </w:r>
      <w:bookmarkEnd w:id="173"/>
      <w:bookmarkEnd w:id="174"/>
      <w:bookmarkEnd w:id="175"/>
    </w:p>
    <w:tbl>
      <w:tblPr>
        <w:tblStyle w:val="17"/>
        <w:tblW w:w="13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697"/>
        <w:gridCol w:w="1023"/>
        <w:gridCol w:w="1221"/>
        <w:gridCol w:w="1985"/>
        <w:gridCol w:w="2519"/>
        <w:gridCol w:w="2080"/>
        <w:gridCol w:w="1416"/>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984" w:type="dxa"/>
            <w:gridSpan w:val="9"/>
            <w:vAlign w:val="center"/>
          </w:tcPr>
          <w:p>
            <w:pPr>
              <w:widowControl/>
              <w:snapToGrid w:val="0"/>
              <w:jc w:val="center"/>
              <w:rPr>
                <w:rFonts w:hint="eastAsia" w:ascii="方正黑体_GBK" w:hAnsi="方正黑体_GBK" w:eastAsia="方正黑体_GBK" w:cs="方正黑体_GBK"/>
                <w:b/>
                <w:bCs/>
                <w:color w:val="auto"/>
                <w:kern w:val="0"/>
                <w:sz w:val="32"/>
                <w:szCs w:val="32"/>
              </w:rPr>
            </w:pPr>
            <w:r>
              <w:rPr>
                <w:rFonts w:hint="eastAsia" w:ascii="方正黑体_GBK" w:hAnsi="方正黑体_GBK" w:eastAsia="方正黑体_GBK" w:cs="方正黑体_GBK"/>
                <w:color w:val="auto"/>
                <w:kern w:val="0"/>
                <w:szCs w:val="21"/>
              </w:rPr>
              <w:t>（2021～2025年）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55" w:type="dxa"/>
            <w:vMerge w:val="restart"/>
            <w:shd w:val="clear" w:color="auto" w:fill="auto"/>
            <w:vAlign w:val="center"/>
          </w:tcPr>
          <w:p>
            <w:pPr>
              <w:widowControl/>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年度</w:t>
            </w:r>
          </w:p>
        </w:tc>
        <w:tc>
          <w:tcPr>
            <w:tcW w:w="697" w:type="dxa"/>
            <w:vMerge w:val="restart"/>
            <w:shd w:val="clear" w:color="auto" w:fill="auto"/>
            <w:vAlign w:val="center"/>
          </w:tcPr>
          <w:p>
            <w:pPr>
              <w:widowControl/>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序号</w:t>
            </w:r>
          </w:p>
        </w:tc>
        <w:tc>
          <w:tcPr>
            <w:tcW w:w="1023" w:type="dxa"/>
            <w:vMerge w:val="restart"/>
            <w:shd w:val="clear" w:color="auto" w:fill="auto"/>
            <w:vAlign w:val="center"/>
          </w:tcPr>
          <w:p>
            <w:pPr>
              <w:widowControl/>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编号</w:t>
            </w:r>
          </w:p>
        </w:tc>
        <w:tc>
          <w:tcPr>
            <w:tcW w:w="1221" w:type="dxa"/>
            <w:vMerge w:val="restart"/>
            <w:shd w:val="clear" w:color="auto" w:fill="auto"/>
            <w:vAlign w:val="center"/>
          </w:tcPr>
          <w:p>
            <w:pPr>
              <w:widowControl/>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名称</w:t>
            </w:r>
          </w:p>
        </w:tc>
        <w:tc>
          <w:tcPr>
            <w:tcW w:w="4504" w:type="dxa"/>
            <w:gridSpan w:val="2"/>
            <w:shd w:val="clear" w:color="000000" w:fill="FFFFFF"/>
            <w:vAlign w:val="center"/>
          </w:tcPr>
          <w:p>
            <w:pPr>
              <w:widowControl/>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坐标</w:t>
            </w:r>
          </w:p>
        </w:tc>
        <w:tc>
          <w:tcPr>
            <w:tcW w:w="2080" w:type="dxa"/>
            <w:vAlign w:val="center"/>
          </w:tcPr>
          <w:p>
            <w:pPr>
              <w:widowControl/>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规模</w:t>
            </w:r>
          </w:p>
        </w:tc>
        <w:tc>
          <w:tcPr>
            <w:tcW w:w="1416" w:type="dxa"/>
            <w:vMerge w:val="restart"/>
            <w:vAlign w:val="center"/>
          </w:tcPr>
          <w:p>
            <w:pPr>
              <w:widowControl/>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危害</w:t>
            </w:r>
          </w:p>
        </w:tc>
        <w:tc>
          <w:tcPr>
            <w:tcW w:w="1588" w:type="dxa"/>
            <w:vMerge w:val="restart"/>
            <w:vAlign w:val="center"/>
          </w:tcPr>
          <w:p>
            <w:pPr>
              <w:widowControl/>
              <w:snapToGrid w:val="0"/>
              <w:jc w:val="center"/>
              <w:rPr>
                <w:rFonts w:hint="eastAsia" w:ascii="方正黑体_GBK" w:hAnsi="方正黑体_GBK" w:eastAsia="方正黑体_GBK" w:cs="方正黑体_GBK"/>
                <w:color w:val="auto"/>
                <w:kern w:val="0"/>
                <w:szCs w:val="21"/>
              </w:rPr>
            </w:pPr>
            <w:r>
              <w:rPr>
                <w:rFonts w:hint="eastAsia" w:ascii="方正黑体_GBK" w:hAnsi="方正黑体_GBK" w:eastAsia="方正黑体_GBK" w:cs="方正黑体_GBK"/>
                <w:color w:val="auto"/>
                <w:kern w:val="0"/>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55" w:type="dxa"/>
            <w:vMerge w:val="continue"/>
            <w:shd w:val="clear" w:color="auto" w:fill="auto"/>
            <w:vAlign w:val="center"/>
          </w:tcPr>
          <w:p>
            <w:pPr>
              <w:widowControl/>
              <w:snapToGrid w:val="0"/>
              <w:jc w:val="center"/>
              <w:rPr>
                <w:rFonts w:hint="eastAsia" w:ascii="方正黑体_GBK" w:hAnsi="方正黑体_GBK" w:eastAsia="方正黑体_GBK" w:cs="方正黑体_GBK"/>
                <w:b/>
                <w:bCs/>
                <w:color w:val="auto"/>
                <w:kern w:val="0"/>
                <w:szCs w:val="21"/>
              </w:rPr>
            </w:pPr>
          </w:p>
        </w:tc>
        <w:tc>
          <w:tcPr>
            <w:tcW w:w="697" w:type="dxa"/>
            <w:vMerge w:val="continue"/>
            <w:shd w:val="clear" w:color="auto" w:fill="auto"/>
            <w:vAlign w:val="center"/>
          </w:tcPr>
          <w:p>
            <w:pPr>
              <w:widowControl/>
              <w:snapToGrid w:val="0"/>
              <w:jc w:val="center"/>
              <w:rPr>
                <w:rFonts w:hint="eastAsia" w:ascii="方正黑体_GBK" w:hAnsi="方正黑体_GBK" w:eastAsia="方正黑体_GBK" w:cs="方正黑体_GBK"/>
                <w:b/>
                <w:bCs/>
                <w:color w:val="auto"/>
                <w:kern w:val="0"/>
                <w:szCs w:val="21"/>
              </w:rPr>
            </w:pPr>
          </w:p>
        </w:tc>
        <w:tc>
          <w:tcPr>
            <w:tcW w:w="1023" w:type="dxa"/>
            <w:vMerge w:val="continue"/>
            <w:shd w:val="clear" w:color="auto" w:fill="auto"/>
            <w:vAlign w:val="center"/>
          </w:tcPr>
          <w:p>
            <w:pPr>
              <w:widowControl/>
              <w:snapToGrid w:val="0"/>
              <w:jc w:val="center"/>
              <w:rPr>
                <w:rFonts w:hint="eastAsia" w:ascii="方正黑体_GBK" w:hAnsi="方正黑体_GBK" w:eastAsia="方正黑体_GBK" w:cs="方正黑体_GBK"/>
                <w:b/>
                <w:bCs/>
                <w:color w:val="auto"/>
                <w:kern w:val="0"/>
                <w:szCs w:val="21"/>
              </w:rPr>
            </w:pPr>
          </w:p>
        </w:tc>
        <w:tc>
          <w:tcPr>
            <w:tcW w:w="1221" w:type="dxa"/>
            <w:vMerge w:val="continue"/>
            <w:shd w:val="clear" w:color="auto" w:fill="auto"/>
            <w:vAlign w:val="center"/>
          </w:tcPr>
          <w:p>
            <w:pPr>
              <w:widowControl/>
              <w:snapToGrid w:val="0"/>
              <w:jc w:val="center"/>
              <w:rPr>
                <w:rFonts w:hint="eastAsia" w:ascii="方正黑体_GBK" w:hAnsi="方正黑体_GBK" w:eastAsia="方正黑体_GBK" w:cs="方正黑体_GBK"/>
                <w:b/>
                <w:bCs/>
                <w:color w:val="auto"/>
                <w:kern w:val="0"/>
                <w:szCs w:val="21"/>
              </w:rPr>
            </w:pPr>
          </w:p>
        </w:tc>
        <w:tc>
          <w:tcPr>
            <w:tcW w:w="1985" w:type="dxa"/>
            <w:shd w:val="clear" w:color="000000" w:fill="FFFFFF"/>
            <w:vAlign w:val="center"/>
          </w:tcPr>
          <w:p>
            <w:pPr>
              <w:widowControl/>
              <w:snapToGrid w:val="0"/>
              <w:jc w:val="center"/>
              <w:rPr>
                <w:rFonts w:hint="eastAsia" w:ascii="方正黑体_GBK" w:hAnsi="方正黑体_GBK" w:eastAsia="方正黑体_GBK" w:cs="方正黑体_GBK"/>
                <w:b/>
                <w:bCs/>
                <w:color w:val="auto"/>
                <w:kern w:val="0"/>
                <w:szCs w:val="21"/>
              </w:rPr>
            </w:pPr>
            <w:r>
              <w:rPr>
                <w:rFonts w:hint="eastAsia" w:ascii="方正黑体_GBK" w:hAnsi="方正黑体_GBK" w:eastAsia="方正黑体_GBK" w:cs="方正黑体_GBK"/>
                <w:b/>
                <w:bCs/>
                <w:color w:val="auto"/>
                <w:kern w:val="0"/>
                <w:szCs w:val="21"/>
              </w:rPr>
              <w:t>X</w:t>
            </w:r>
          </w:p>
        </w:tc>
        <w:tc>
          <w:tcPr>
            <w:tcW w:w="2519" w:type="dxa"/>
            <w:shd w:val="clear" w:color="000000" w:fill="FFFFFF"/>
            <w:vAlign w:val="center"/>
          </w:tcPr>
          <w:p>
            <w:pPr>
              <w:widowControl/>
              <w:snapToGrid w:val="0"/>
              <w:jc w:val="center"/>
              <w:rPr>
                <w:rFonts w:hint="eastAsia" w:ascii="方正黑体_GBK" w:hAnsi="方正黑体_GBK" w:eastAsia="方正黑体_GBK" w:cs="方正黑体_GBK"/>
                <w:b/>
                <w:bCs/>
                <w:color w:val="auto"/>
                <w:kern w:val="0"/>
                <w:szCs w:val="21"/>
              </w:rPr>
            </w:pPr>
            <w:r>
              <w:rPr>
                <w:rFonts w:hint="eastAsia" w:ascii="方正黑体_GBK" w:hAnsi="方正黑体_GBK" w:eastAsia="方正黑体_GBK" w:cs="方正黑体_GBK"/>
                <w:b/>
                <w:bCs/>
                <w:color w:val="auto"/>
                <w:kern w:val="0"/>
                <w:szCs w:val="21"/>
              </w:rPr>
              <w:t>Y</w:t>
            </w:r>
          </w:p>
        </w:tc>
        <w:tc>
          <w:tcPr>
            <w:tcW w:w="2080" w:type="dxa"/>
            <w:vAlign w:val="center"/>
          </w:tcPr>
          <w:p>
            <w:pPr>
              <w:widowControl/>
              <w:snapToGrid w:val="0"/>
              <w:jc w:val="center"/>
              <w:rPr>
                <w:rFonts w:hint="eastAsia" w:ascii="方正黑体_GBK" w:hAnsi="方正黑体_GBK" w:eastAsia="方正黑体_GBK" w:cs="方正黑体_GBK"/>
                <w:b/>
                <w:bCs/>
                <w:color w:val="auto"/>
                <w:kern w:val="0"/>
                <w:szCs w:val="21"/>
              </w:rPr>
            </w:pPr>
            <w:r>
              <w:rPr>
                <w:rFonts w:hint="eastAsia" w:ascii="方正黑体_GBK" w:hAnsi="方正黑体_GBK" w:eastAsia="方正黑体_GBK" w:cs="方正黑体_GBK"/>
                <w:b/>
                <w:bCs/>
                <w:color w:val="auto"/>
                <w:kern w:val="0"/>
                <w:szCs w:val="21"/>
              </w:rPr>
              <w:t>(×10</w:t>
            </w:r>
            <w:r>
              <w:rPr>
                <w:rFonts w:hint="eastAsia" w:ascii="方正黑体_GBK" w:hAnsi="方正黑体_GBK" w:eastAsia="方正黑体_GBK" w:cs="方正黑体_GBK"/>
                <w:b/>
                <w:bCs/>
                <w:color w:val="auto"/>
                <w:kern w:val="0"/>
                <w:szCs w:val="21"/>
                <w:vertAlign w:val="superscript"/>
              </w:rPr>
              <w:t>4</w:t>
            </w:r>
            <w:r>
              <w:rPr>
                <w:rFonts w:hint="eastAsia" w:ascii="方正黑体_GBK" w:hAnsi="方正黑体_GBK" w:eastAsia="方正黑体_GBK" w:cs="方正黑体_GBK"/>
                <w:b/>
                <w:bCs/>
                <w:color w:val="auto"/>
                <w:kern w:val="0"/>
                <w:szCs w:val="21"/>
              </w:rPr>
              <w:t>m</w:t>
            </w:r>
            <w:r>
              <w:rPr>
                <w:rFonts w:hint="eastAsia" w:ascii="方正黑体_GBK" w:hAnsi="方正黑体_GBK" w:eastAsia="方正黑体_GBK" w:cs="方正黑体_GBK"/>
                <w:b/>
                <w:bCs/>
                <w:color w:val="auto"/>
                <w:kern w:val="0"/>
                <w:szCs w:val="21"/>
                <w:vertAlign w:val="superscript"/>
              </w:rPr>
              <w:t>3</w:t>
            </w:r>
            <w:r>
              <w:rPr>
                <w:rFonts w:hint="eastAsia" w:ascii="方正黑体_GBK" w:hAnsi="方正黑体_GBK" w:eastAsia="方正黑体_GBK" w:cs="方正黑体_GBK"/>
                <w:b/>
                <w:bCs/>
                <w:color w:val="auto"/>
                <w:kern w:val="0"/>
                <w:szCs w:val="21"/>
              </w:rPr>
              <w:t>)</w:t>
            </w:r>
          </w:p>
        </w:tc>
        <w:tc>
          <w:tcPr>
            <w:tcW w:w="1416" w:type="dxa"/>
            <w:vMerge w:val="continue"/>
            <w:vAlign w:val="center"/>
          </w:tcPr>
          <w:p>
            <w:pPr>
              <w:widowControl/>
              <w:snapToGrid w:val="0"/>
              <w:jc w:val="center"/>
              <w:rPr>
                <w:rFonts w:hint="eastAsia" w:ascii="方正黑体_GBK" w:hAnsi="方正黑体_GBK" w:eastAsia="方正黑体_GBK" w:cs="方正黑体_GBK"/>
                <w:b/>
                <w:bCs/>
                <w:color w:val="auto"/>
                <w:kern w:val="0"/>
                <w:szCs w:val="21"/>
              </w:rPr>
            </w:pPr>
          </w:p>
        </w:tc>
        <w:tc>
          <w:tcPr>
            <w:tcW w:w="1588" w:type="dxa"/>
            <w:vMerge w:val="continue"/>
            <w:vAlign w:val="center"/>
          </w:tcPr>
          <w:p>
            <w:pPr>
              <w:widowControl/>
              <w:snapToGrid w:val="0"/>
              <w:jc w:val="center"/>
              <w:rPr>
                <w:rFonts w:hint="eastAsia" w:ascii="方正黑体_GBK" w:hAnsi="方正黑体_GBK" w:eastAsia="方正黑体_GBK" w:cs="方正黑体_GBK"/>
                <w:b/>
                <w:b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455" w:type="dxa"/>
            <w:vAlign w:val="center"/>
          </w:tcPr>
          <w:p>
            <w:pPr>
              <w:widowControl/>
              <w:snapToGrid w:val="0"/>
              <w:jc w:val="center"/>
              <w:rPr>
                <w:rFonts w:eastAsia="方正仿宋_GBK"/>
                <w:color w:val="auto"/>
                <w:kern w:val="0"/>
                <w:szCs w:val="21"/>
              </w:rPr>
            </w:pPr>
            <w:r>
              <w:rPr>
                <w:rFonts w:eastAsia="方正仿宋_GBK"/>
                <w:color w:val="auto"/>
                <w:kern w:val="0"/>
                <w:szCs w:val="21"/>
              </w:rPr>
              <w:t>2021～2025</w:t>
            </w:r>
          </w:p>
        </w:tc>
        <w:tc>
          <w:tcPr>
            <w:tcW w:w="697" w:type="dxa"/>
            <w:vAlign w:val="center"/>
          </w:tcPr>
          <w:p>
            <w:pPr>
              <w:widowControl/>
              <w:snapToGrid w:val="0"/>
              <w:jc w:val="center"/>
              <w:rPr>
                <w:rFonts w:eastAsia="方正仿宋_GBK"/>
                <w:color w:val="auto"/>
                <w:kern w:val="0"/>
                <w:szCs w:val="21"/>
              </w:rPr>
            </w:pPr>
            <w:r>
              <w:rPr>
                <w:rFonts w:eastAsia="方正仿宋_GBK"/>
                <w:color w:val="auto"/>
                <w:kern w:val="0"/>
                <w:szCs w:val="21"/>
              </w:rPr>
              <w:t>1</w:t>
            </w:r>
          </w:p>
        </w:tc>
        <w:tc>
          <w:tcPr>
            <w:tcW w:w="1023" w:type="dxa"/>
            <w:vAlign w:val="center"/>
          </w:tcPr>
          <w:p>
            <w:pPr>
              <w:widowControl/>
              <w:snapToGrid w:val="0"/>
              <w:jc w:val="center"/>
              <w:rPr>
                <w:rFonts w:eastAsia="方正仿宋_GBK"/>
                <w:color w:val="auto"/>
                <w:kern w:val="0"/>
                <w:szCs w:val="21"/>
              </w:rPr>
            </w:pPr>
            <w:r>
              <w:rPr>
                <w:rFonts w:eastAsia="方正仿宋_GBK"/>
                <w:color w:val="auto"/>
                <w:kern w:val="0"/>
                <w:szCs w:val="21"/>
              </w:rPr>
              <w:t>BP1</w:t>
            </w:r>
          </w:p>
        </w:tc>
        <w:tc>
          <w:tcPr>
            <w:tcW w:w="1221" w:type="dxa"/>
            <w:vAlign w:val="center"/>
          </w:tcPr>
          <w:p>
            <w:pPr>
              <w:widowControl/>
              <w:snapToGrid w:val="0"/>
              <w:jc w:val="center"/>
              <w:rPr>
                <w:rFonts w:eastAsia="方正仿宋_GBK"/>
                <w:color w:val="auto"/>
                <w:kern w:val="0"/>
                <w:szCs w:val="21"/>
              </w:rPr>
            </w:pPr>
            <w:r>
              <w:rPr>
                <w:rFonts w:eastAsia="方正仿宋_GBK"/>
                <w:color w:val="auto"/>
                <w:kern w:val="0"/>
                <w:szCs w:val="21"/>
              </w:rPr>
              <w:t>古家坳不稳定斜坡</w:t>
            </w:r>
          </w:p>
        </w:tc>
        <w:tc>
          <w:tcPr>
            <w:tcW w:w="1985" w:type="dxa"/>
            <w:vAlign w:val="center"/>
          </w:tcPr>
          <w:p>
            <w:pPr>
              <w:widowControl/>
              <w:snapToGrid w:val="0"/>
              <w:jc w:val="center"/>
              <w:rPr>
                <w:rFonts w:eastAsia="方正仿宋_GBK"/>
                <w:color w:val="auto"/>
                <w:kern w:val="0"/>
                <w:szCs w:val="21"/>
              </w:rPr>
            </w:pPr>
            <w:r>
              <w:rPr>
                <w:rFonts w:eastAsia="方正仿宋_GBK"/>
                <w:color w:val="auto"/>
                <w:kern w:val="0"/>
                <w:szCs w:val="21"/>
              </w:rPr>
              <w:t>3251883.56</w:t>
            </w:r>
          </w:p>
        </w:tc>
        <w:tc>
          <w:tcPr>
            <w:tcW w:w="2519" w:type="dxa"/>
            <w:vAlign w:val="center"/>
          </w:tcPr>
          <w:p>
            <w:pPr>
              <w:widowControl/>
              <w:snapToGrid w:val="0"/>
              <w:jc w:val="center"/>
              <w:rPr>
                <w:rFonts w:eastAsia="方正仿宋_GBK"/>
                <w:color w:val="auto"/>
                <w:kern w:val="0"/>
                <w:szCs w:val="21"/>
              </w:rPr>
            </w:pPr>
            <w:r>
              <w:rPr>
                <w:rFonts w:eastAsia="方正仿宋_GBK"/>
                <w:color w:val="auto"/>
                <w:kern w:val="0"/>
                <w:szCs w:val="21"/>
              </w:rPr>
              <w:t>35585617.89</w:t>
            </w:r>
          </w:p>
        </w:tc>
        <w:tc>
          <w:tcPr>
            <w:tcW w:w="2080" w:type="dxa"/>
            <w:vAlign w:val="center"/>
          </w:tcPr>
          <w:p>
            <w:pPr>
              <w:widowControl/>
              <w:snapToGrid w:val="0"/>
              <w:jc w:val="center"/>
              <w:rPr>
                <w:rFonts w:eastAsia="方正仿宋_GBK"/>
                <w:color w:val="auto"/>
                <w:kern w:val="0"/>
                <w:szCs w:val="21"/>
              </w:rPr>
            </w:pPr>
            <w:r>
              <w:rPr>
                <w:rFonts w:eastAsia="方正仿宋_GBK"/>
                <w:color w:val="auto"/>
                <w:kern w:val="0"/>
                <w:szCs w:val="21"/>
              </w:rPr>
              <w:t>8.225</w:t>
            </w:r>
          </w:p>
        </w:tc>
        <w:tc>
          <w:tcPr>
            <w:tcW w:w="1416" w:type="dxa"/>
            <w:vAlign w:val="center"/>
          </w:tcPr>
          <w:p>
            <w:pPr>
              <w:widowControl/>
              <w:snapToGrid w:val="0"/>
              <w:rPr>
                <w:rFonts w:eastAsia="方正仿宋_GBK"/>
                <w:color w:val="auto"/>
                <w:kern w:val="0"/>
                <w:szCs w:val="21"/>
              </w:rPr>
            </w:pPr>
            <w:r>
              <w:rPr>
                <w:rFonts w:eastAsia="方正仿宋_GBK"/>
                <w:color w:val="auto"/>
                <w:kern w:val="0"/>
                <w:szCs w:val="21"/>
              </w:rPr>
              <w:t>26户127人</w:t>
            </w:r>
          </w:p>
        </w:tc>
        <w:tc>
          <w:tcPr>
            <w:tcW w:w="1588" w:type="dxa"/>
            <w:vAlign w:val="center"/>
          </w:tcPr>
          <w:p>
            <w:pPr>
              <w:widowControl/>
              <w:snapToGrid w:val="0"/>
              <w:jc w:val="center"/>
              <w:rPr>
                <w:rFonts w:eastAsia="方正仿宋_GBK"/>
                <w:color w:val="auto"/>
                <w:kern w:val="0"/>
                <w:szCs w:val="21"/>
              </w:rPr>
            </w:pPr>
            <w:r>
              <w:rPr>
                <w:rFonts w:eastAsia="方正仿宋_GBK"/>
                <w:color w:val="auto"/>
                <w:kern w:val="0"/>
                <w:szCs w:val="21"/>
              </w:rPr>
              <w:t>已安装二级监测设备并连网，建议控勘</w:t>
            </w:r>
          </w:p>
        </w:tc>
      </w:tr>
    </w:tbl>
    <w:p>
      <w:pPr>
        <w:spacing w:line="640" w:lineRule="exact"/>
        <w:jc w:val="center"/>
        <w:rPr>
          <w:rFonts w:eastAsia="仿宋_GB2312"/>
          <w:color w:val="auto"/>
          <w:sz w:val="28"/>
        </w:rPr>
      </w:pPr>
    </w:p>
    <w:p>
      <w:pPr>
        <w:spacing w:line="640" w:lineRule="exact"/>
        <w:jc w:val="center"/>
        <w:rPr>
          <w:rFonts w:eastAsia="仿宋_GB2312"/>
          <w:color w:val="auto"/>
          <w:sz w:val="28"/>
        </w:rPr>
        <w:sectPr>
          <w:pgSz w:w="16838" w:h="11905" w:orient="landscape"/>
          <w:pgMar w:top="1417" w:right="1134" w:bottom="1134" w:left="1134" w:header="720" w:footer="1474" w:gutter="0"/>
          <w:pgNumType w:fmt="numberInDash"/>
          <w:cols w:space="0" w:num="1"/>
          <w:rtlGutter w:val="0"/>
          <w:docGrid w:type="lines" w:linePitch="322" w:charSpace="0"/>
        </w:sectPr>
      </w:pPr>
    </w:p>
    <w:p>
      <w:pPr>
        <w:pStyle w:val="2"/>
        <w:snapToGrid w:val="0"/>
        <w:spacing w:before="0" w:after="0" w:line="240" w:lineRule="auto"/>
        <w:ind w:firstLine="0" w:firstLineChars="0"/>
        <w:jc w:val="left"/>
        <w:rPr>
          <w:rFonts w:hint="eastAsia" w:ascii="方正黑体_GBK" w:hAnsi="方正黑体_GBK" w:eastAsia="方正黑体_GBK" w:cs="方正黑体_GBK"/>
          <w:b w:val="0"/>
          <w:bCs w:val="0"/>
          <w:color w:val="auto"/>
          <w:sz w:val="32"/>
          <w:szCs w:val="32"/>
        </w:rPr>
      </w:pPr>
      <w:bookmarkStart w:id="176" w:name="_Toc981924482_WPSOffice_Level1"/>
      <w:r>
        <w:rPr>
          <w:rFonts w:hint="eastAsia" w:ascii="方正黑体_GBK" w:hAnsi="方正黑体_GBK" w:eastAsia="方正黑体_GBK" w:cs="方正黑体_GBK"/>
          <w:b w:val="0"/>
          <w:bCs w:val="0"/>
          <w:color w:val="auto"/>
          <w:sz w:val="32"/>
          <w:szCs w:val="32"/>
          <w:lang w:eastAsia="zh-CN"/>
        </w:rPr>
        <w:t>附</w:t>
      </w:r>
      <w:r>
        <w:rPr>
          <w:rFonts w:hint="eastAsia" w:ascii="方正黑体_GBK" w:hAnsi="方正黑体_GBK" w:eastAsia="方正黑体_GBK" w:cs="方正黑体_GBK"/>
          <w:b w:val="0"/>
          <w:bCs w:val="0"/>
          <w:color w:val="auto"/>
          <w:sz w:val="32"/>
          <w:szCs w:val="32"/>
        </w:rPr>
        <w:t>表8</w:t>
      </w:r>
    </w:p>
    <w:p>
      <w:pPr>
        <w:pStyle w:val="2"/>
        <w:spacing w:before="0" w:after="0" w:line="276" w:lineRule="auto"/>
        <w:ind w:firstLine="0" w:firstLineChars="0"/>
        <w:jc w:val="center"/>
        <w:rPr>
          <w:rFonts w:hint="eastAsia" w:ascii="方正小标宋_GBK" w:hAnsi="方正小标宋_GBK" w:eastAsia="方正小标宋_GBK" w:cs="方正小标宋_GBK"/>
          <w:b w:val="0"/>
          <w:bCs w:val="0"/>
          <w:color w:val="auto"/>
          <w:sz w:val="36"/>
          <w:szCs w:val="36"/>
        </w:rPr>
      </w:pPr>
      <w:bookmarkStart w:id="177" w:name="_Toc1695357583_WPSOffice_Level1"/>
      <w:r>
        <w:rPr>
          <w:rFonts w:hint="eastAsia" w:ascii="方正小标宋_GBK" w:hAnsi="方正小标宋_GBK" w:eastAsia="方正小标宋_GBK" w:cs="方正小标宋_GBK"/>
          <w:b w:val="0"/>
          <w:bCs w:val="0"/>
          <w:color w:val="auto"/>
          <w:sz w:val="36"/>
          <w:szCs w:val="36"/>
        </w:rPr>
        <w:t>永川区</w:t>
      </w:r>
      <w:r>
        <w:rPr>
          <w:rFonts w:hint="eastAsia" w:ascii="方正小标宋_GBK" w:hAnsi="方正小标宋_GBK" w:eastAsia="方正小标宋_GBK" w:cs="方正小标宋_GBK"/>
          <w:b w:val="0"/>
          <w:bCs w:val="0"/>
          <w:color w:val="auto"/>
          <w:sz w:val="36"/>
          <w:szCs w:val="36"/>
          <w:lang w:eastAsia="zh-CN"/>
        </w:rPr>
        <w:t>“</w:t>
      </w:r>
      <w:r>
        <w:rPr>
          <w:rFonts w:hint="eastAsia" w:ascii="方正小标宋_GBK" w:hAnsi="方正小标宋_GBK" w:eastAsia="方正小标宋_GBK" w:cs="方正小标宋_GBK"/>
          <w:b w:val="0"/>
          <w:bCs w:val="0"/>
          <w:color w:val="auto"/>
          <w:sz w:val="36"/>
          <w:szCs w:val="36"/>
        </w:rPr>
        <w:t>十四五</w:t>
      </w:r>
      <w:r>
        <w:rPr>
          <w:rFonts w:hint="eastAsia" w:ascii="方正小标宋_GBK" w:hAnsi="方正小标宋_GBK" w:eastAsia="方正小标宋_GBK" w:cs="方正小标宋_GBK"/>
          <w:b w:val="0"/>
          <w:bCs w:val="0"/>
          <w:color w:val="auto"/>
          <w:sz w:val="36"/>
          <w:szCs w:val="36"/>
          <w:lang w:eastAsia="zh-CN"/>
        </w:rPr>
        <w:t>”</w:t>
      </w:r>
      <w:r>
        <w:rPr>
          <w:rFonts w:hint="eastAsia" w:ascii="方正小标宋_GBK" w:hAnsi="方正小标宋_GBK" w:eastAsia="方正小标宋_GBK" w:cs="方正小标宋_GBK"/>
          <w:b w:val="0"/>
          <w:bCs w:val="0"/>
          <w:color w:val="auto"/>
          <w:sz w:val="36"/>
          <w:szCs w:val="36"/>
        </w:rPr>
        <w:t>地质灾害防治经费</w:t>
      </w:r>
      <w:bookmarkEnd w:id="176"/>
      <w:r>
        <w:rPr>
          <w:rFonts w:hint="eastAsia" w:ascii="方正小标宋_GBK" w:hAnsi="方正小标宋_GBK" w:eastAsia="方正小标宋_GBK" w:cs="方正小标宋_GBK"/>
          <w:b w:val="0"/>
          <w:bCs w:val="0"/>
          <w:color w:val="auto"/>
          <w:sz w:val="36"/>
          <w:szCs w:val="36"/>
        </w:rPr>
        <w:t>估算表</w:t>
      </w:r>
      <w:bookmarkEnd w:id="177"/>
    </w:p>
    <w:tbl>
      <w:tblPr>
        <w:tblStyle w:val="18"/>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979"/>
        <w:gridCol w:w="439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277" w:type="dxa"/>
            <w:vAlign w:val="center"/>
          </w:tcPr>
          <w:p>
            <w:pPr>
              <w:snapToGrid w:val="0"/>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项目类型</w:t>
            </w:r>
          </w:p>
        </w:tc>
        <w:tc>
          <w:tcPr>
            <w:tcW w:w="1979" w:type="dxa"/>
            <w:vAlign w:val="center"/>
          </w:tcPr>
          <w:p>
            <w:pPr>
              <w:snapToGrid w:val="0"/>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项目名称</w:t>
            </w:r>
          </w:p>
        </w:tc>
        <w:tc>
          <w:tcPr>
            <w:tcW w:w="4394" w:type="dxa"/>
            <w:vAlign w:val="center"/>
          </w:tcPr>
          <w:p>
            <w:pPr>
              <w:snapToGrid w:val="0"/>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工作内容</w:t>
            </w:r>
          </w:p>
        </w:tc>
        <w:tc>
          <w:tcPr>
            <w:tcW w:w="1134" w:type="dxa"/>
            <w:vAlign w:val="top"/>
          </w:tcPr>
          <w:p>
            <w:pPr>
              <w:snapToGrid w:val="0"/>
              <w:jc w:val="center"/>
              <w:rPr>
                <w:rFonts w:hint="eastAsia" w:ascii="方正黑体_GBK" w:hAnsi="方正黑体_GBK" w:eastAsia="方正黑体_GBK" w:cs="方正黑体_GBK"/>
                <w:color w:val="auto"/>
                <w:szCs w:val="21"/>
              </w:rPr>
            </w:pPr>
            <w:r>
              <w:rPr>
                <w:rFonts w:hint="eastAsia" w:ascii="方正黑体_GBK" w:hAnsi="方正黑体_GBK" w:eastAsia="方正黑体_GBK" w:cs="方正黑体_GBK"/>
                <w:color w:val="auto"/>
                <w:szCs w:val="21"/>
              </w:rPr>
              <w:t>经费估算（万元）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restart"/>
            <w:vAlign w:val="center"/>
          </w:tcPr>
          <w:p>
            <w:pPr>
              <w:snapToGrid w:val="0"/>
              <w:spacing w:line="240" w:lineRule="auto"/>
              <w:jc w:val="center"/>
              <w:rPr>
                <w:rFonts w:eastAsia="方正仿宋_GBK"/>
                <w:color w:val="auto"/>
                <w:szCs w:val="21"/>
              </w:rPr>
            </w:pPr>
            <w:r>
              <w:rPr>
                <w:rFonts w:eastAsia="方正仿宋_GBK"/>
                <w:color w:val="auto"/>
                <w:szCs w:val="21"/>
              </w:rPr>
              <w:t>地质灾害隐患识别与风险调查</w:t>
            </w:r>
          </w:p>
        </w:tc>
        <w:tc>
          <w:tcPr>
            <w:tcW w:w="1979" w:type="dxa"/>
            <w:vAlign w:val="center"/>
          </w:tcPr>
          <w:p>
            <w:pPr>
              <w:snapToGrid w:val="0"/>
              <w:rPr>
                <w:rFonts w:eastAsia="方正仿宋_GBK"/>
                <w:color w:val="auto"/>
                <w:szCs w:val="21"/>
              </w:rPr>
            </w:pPr>
            <w:r>
              <w:rPr>
                <w:rFonts w:eastAsia="方正仿宋_GBK"/>
                <w:color w:val="auto"/>
                <w:szCs w:val="21"/>
              </w:rPr>
              <w:t>建立地质灾害隐患识别技术方法体系</w:t>
            </w:r>
          </w:p>
        </w:tc>
        <w:tc>
          <w:tcPr>
            <w:tcW w:w="4394" w:type="dxa"/>
            <w:vAlign w:val="center"/>
          </w:tcPr>
          <w:p>
            <w:pPr>
              <w:snapToGrid w:val="0"/>
              <w:rPr>
                <w:rFonts w:eastAsia="方正仿宋_GBK"/>
                <w:color w:val="auto"/>
                <w:szCs w:val="21"/>
              </w:rPr>
            </w:pPr>
            <w:r>
              <w:rPr>
                <w:rFonts w:eastAsia="方正仿宋_GBK"/>
                <w:color w:val="auto"/>
                <w:szCs w:val="21"/>
              </w:rPr>
              <w:t>实现全区地质灾害隐患综合遥感识别全覆盖；开展永川区地质灾害1:5万风险调查；对黄瓜山隧道工程建设区开展工程地质及稳定性综合调查评价</w:t>
            </w:r>
          </w:p>
        </w:tc>
        <w:tc>
          <w:tcPr>
            <w:tcW w:w="1134" w:type="dxa"/>
            <w:vAlign w:val="center"/>
          </w:tcPr>
          <w:p>
            <w:pPr>
              <w:snapToGrid w:val="0"/>
              <w:jc w:val="center"/>
              <w:rPr>
                <w:rFonts w:eastAsia="方正仿宋_GBK"/>
                <w:color w:val="auto"/>
                <w:szCs w:val="21"/>
              </w:rPr>
            </w:pPr>
            <w:r>
              <w:rPr>
                <w:rFonts w:eastAsia="方正仿宋_GBK"/>
                <w:color w:val="auto"/>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pPr>
              <w:snapToGrid w:val="0"/>
              <w:spacing w:line="240" w:lineRule="auto"/>
              <w:jc w:val="center"/>
              <w:rPr>
                <w:rFonts w:eastAsia="方正仿宋_GBK"/>
                <w:color w:val="auto"/>
                <w:szCs w:val="21"/>
              </w:rPr>
            </w:pPr>
          </w:p>
        </w:tc>
        <w:tc>
          <w:tcPr>
            <w:tcW w:w="1979" w:type="dxa"/>
            <w:vAlign w:val="center"/>
          </w:tcPr>
          <w:p>
            <w:pPr>
              <w:snapToGrid w:val="0"/>
              <w:rPr>
                <w:rFonts w:eastAsia="方正仿宋_GBK"/>
                <w:color w:val="auto"/>
                <w:szCs w:val="21"/>
              </w:rPr>
            </w:pPr>
            <w:r>
              <w:rPr>
                <w:rFonts w:eastAsia="方正仿宋_GBK"/>
                <w:color w:val="auto"/>
                <w:szCs w:val="21"/>
              </w:rPr>
              <w:t>地质灾害”三查”</w:t>
            </w:r>
          </w:p>
        </w:tc>
        <w:tc>
          <w:tcPr>
            <w:tcW w:w="4394" w:type="dxa"/>
            <w:vAlign w:val="center"/>
          </w:tcPr>
          <w:p>
            <w:pPr>
              <w:snapToGrid w:val="0"/>
              <w:rPr>
                <w:rFonts w:eastAsia="方正仿宋_GBK"/>
                <w:color w:val="auto"/>
                <w:szCs w:val="21"/>
              </w:rPr>
            </w:pPr>
            <w:r>
              <w:rPr>
                <w:rFonts w:eastAsia="方正仿宋_GBK"/>
                <w:color w:val="auto"/>
                <w:szCs w:val="21"/>
              </w:rPr>
              <w:t>组织相关镇街每年开展一次</w:t>
            </w:r>
          </w:p>
        </w:tc>
        <w:tc>
          <w:tcPr>
            <w:tcW w:w="1134" w:type="dxa"/>
            <w:vAlign w:val="center"/>
          </w:tcPr>
          <w:p>
            <w:pPr>
              <w:snapToGrid w:val="0"/>
              <w:jc w:val="center"/>
              <w:rPr>
                <w:rFonts w:eastAsia="方正仿宋_GBK"/>
                <w:color w:val="auto"/>
                <w:szCs w:val="21"/>
              </w:rPr>
            </w:pPr>
            <w:r>
              <w:rPr>
                <w:rFonts w:eastAsia="方正仿宋_GBK"/>
                <w:color w:val="auto"/>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pPr>
              <w:snapToGrid w:val="0"/>
              <w:spacing w:line="240" w:lineRule="auto"/>
              <w:jc w:val="center"/>
              <w:rPr>
                <w:rFonts w:eastAsia="方正仿宋_GBK"/>
                <w:color w:val="auto"/>
                <w:szCs w:val="21"/>
              </w:rPr>
            </w:pPr>
          </w:p>
        </w:tc>
        <w:tc>
          <w:tcPr>
            <w:tcW w:w="1979" w:type="dxa"/>
            <w:vAlign w:val="center"/>
          </w:tcPr>
          <w:p>
            <w:pPr>
              <w:snapToGrid w:val="0"/>
              <w:rPr>
                <w:rFonts w:eastAsia="方正仿宋_GBK"/>
                <w:color w:val="auto"/>
                <w:szCs w:val="21"/>
              </w:rPr>
            </w:pPr>
            <w:r>
              <w:rPr>
                <w:rFonts w:eastAsia="方正仿宋_GBK"/>
                <w:color w:val="auto"/>
                <w:szCs w:val="21"/>
              </w:rPr>
              <w:t>地质灾害专业排查</w:t>
            </w:r>
          </w:p>
        </w:tc>
        <w:tc>
          <w:tcPr>
            <w:tcW w:w="4394" w:type="dxa"/>
            <w:vAlign w:val="center"/>
          </w:tcPr>
          <w:p>
            <w:pPr>
              <w:snapToGrid w:val="0"/>
              <w:rPr>
                <w:rFonts w:eastAsia="方正仿宋_GBK"/>
                <w:color w:val="auto"/>
                <w:szCs w:val="21"/>
              </w:rPr>
            </w:pPr>
            <w:r>
              <w:rPr>
                <w:rFonts w:eastAsia="方正仿宋_GBK"/>
                <w:color w:val="auto"/>
                <w:szCs w:val="21"/>
              </w:rPr>
              <w:t>组织专业地勘单位每年开展全区地质灾害排查一次</w:t>
            </w:r>
          </w:p>
        </w:tc>
        <w:tc>
          <w:tcPr>
            <w:tcW w:w="1134" w:type="dxa"/>
            <w:vAlign w:val="center"/>
          </w:tcPr>
          <w:p>
            <w:pPr>
              <w:snapToGrid w:val="0"/>
              <w:jc w:val="center"/>
              <w:rPr>
                <w:rFonts w:eastAsia="方正仿宋_GBK"/>
                <w:color w:val="auto"/>
                <w:szCs w:val="21"/>
              </w:rPr>
            </w:pPr>
            <w:r>
              <w:rPr>
                <w:rFonts w:eastAsia="方正仿宋_GBK"/>
                <w:color w:val="auto"/>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pPr>
              <w:snapToGrid w:val="0"/>
              <w:spacing w:line="240" w:lineRule="auto"/>
              <w:jc w:val="center"/>
              <w:rPr>
                <w:rFonts w:eastAsia="方正仿宋_GBK"/>
                <w:color w:val="auto"/>
                <w:szCs w:val="21"/>
              </w:rPr>
            </w:pPr>
          </w:p>
        </w:tc>
        <w:tc>
          <w:tcPr>
            <w:tcW w:w="1979" w:type="dxa"/>
            <w:vAlign w:val="center"/>
          </w:tcPr>
          <w:p>
            <w:pPr>
              <w:snapToGrid w:val="0"/>
              <w:rPr>
                <w:rFonts w:eastAsia="方正仿宋_GBK"/>
                <w:color w:val="auto"/>
                <w:szCs w:val="21"/>
              </w:rPr>
            </w:pPr>
            <w:r>
              <w:rPr>
                <w:rFonts w:eastAsia="方正仿宋_GBK"/>
                <w:color w:val="auto"/>
                <w:szCs w:val="21"/>
              </w:rPr>
              <w:t>重点地质灾害隐患点风险勘察</w:t>
            </w:r>
          </w:p>
        </w:tc>
        <w:tc>
          <w:tcPr>
            <w:tcW w:w="4394" w:type="dxa"/>
            <w:vAlign w:val="center"/>
          </w:tcPr>
          <w:p>
            <w:pPr>
              <w:snapToGrid w:val="0"/>
              <w:rPr>
                <w:rFonts w:eastAsia="方正仿宋_GBK"/>
                <w:color w:val="auto"/>
                <w:szCs w:val="21"/>
              </w:rPr>
            </w:pPr>
            <w:r>
              <w:rPr>
                <w:rFonts w:eastAsia="方正仿宋_GBK"/>
                <w:color w:val="auto"/>
                <w:szCs w:val="21"/>
              </w:rPr>
              <w:t>对重点地质灾害隐患点（古家坳不稳定斜坡）开展1:1千-1:2千勘查</w:t>
            </w:r>
          </w:p>
        </w:tc>
        <w:tc>
          <w:tcPr>
            <w:tcW w:w="1134" w:type="dxa"/>
            <w:vAlign w:val="center"/>
          </w:tcPr>
          <w:p>
            <w:pPr>
              <w:snapToGrid w:val="0"/>
              <w:jc w:val="center"/>
              <w:rPr>
                <w:rFonts w:eastAsia="方正仿宋_GBK"/>
                <w:color w:val="auto"/>
                <w:szCs w:val="21"/>
              </w:rPr>
            </w:pPr>
            <w:r>
              <w:rPr>
                <w:rFonts w:eastAsia="方正仿宋_GBK"/>
                <w:color w:val="auto"/>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pPr>
              <w:snapToGrid w:val="0"/>
              <w:spacing w:line="240" w:lineRule="auto"/>
              <w:jc w:val="center"/>
              <w:rPr>
                <w:rFonts w:eastAsia="方正仿宋_GBK"/>
                <w:color w:val="auto"/>
                <w:szCs w:val="21"/>
              </w:rPr>
            </w:pPr>
          </w:p>
        </w:tc>
        <w:tc>
          <w:tcPr>
            <w:tcW w:w="1979" w:type="dxa"/>
            <w:vAlign w:val="center"/>
          </w:tcPr>
          <w:p>
            <w:pPr>
              <w:snapToGrid w:val="0"/>
              <w:rPr>
                <w:rFonts w:eastAsia="方正仿宋_GBK"/>
                <w:color w:val="auto"/>
                <w:szCs w:val="21"/>
              </w:rPr>
            </w:pPr>
            <w:r>
              <w:rPr>
                <w:rFonts w:eastAsia="方正仿宋_GBK"/>
                <w:color w:val="auto"/>
                <w:szCs w:val="21"/>
              </w:rPr>
              <w:t>农村居民房前屋后地质灾害风险调查</w:t>
            </w:r>
          </w:p>
        </w:tc>
        <w:tc>
          <w:tcPr>
            <w:tcW w:w="4394" w:type="dxa"/>
            <w:vAlign w:val="center"/>
          </w:tcPr>
          <w:p>
            <w:pPr>
              <w:snapToGrid w:val="0"/>
              <w:rPr>
                <w:rFonts w:eastAsia="方正仿宋_GBK"/>
                <w:color w:val="auto"/>
                <w:szCs w:val="21"/>
              </w:rPr>
            </w:pPr>
            <w:r>
              <w:rPr>
                <w:rFonts w:eastAsia="方正仿宋_GBK"/>
                <w:color w:val="auto"/>
                <w:szCs w:val="21"/>
              </w:rPr>
              <w:t>对区内高、中易发区的农村居民房前屋后开展地质灾害风险调查，并提出风险管理与防灾减灾措施</w:t>
            </w:r>
          </w:p>
        </w:tc>
        <w:tc>
          <w:tcPr>
            <w:tcW w:w="1134" w:type="dxa"/>
            <w:vAlign w:val="center"/>
          </w:tcPr>
          <w:p>
            <w:pPr>
              <w:snapToGrid w:val="0"/>
              <w:jc w:val="center"/>
              <w:rPr>
                <w:rFonts w:eastAsia="方正仿宋_GBK"/>
                <w:color w:val="auto"/>
                <w:szCs w:val="21"/>
              </w:rPr>
            </w:pPr>
            <w:r>
              <w:rPr>
                <w:rFonts w:eastAsia="方正仿宋_GBK"/>
                <w:color w:val="auto"/>
                <w:szCs w:val="21"/>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7" w:type="dxa"/>
            <w:vAlign w:val="center"/>
          </w:tcPr>
          <w:p>
            <w:pPr>
              <w:snapToGrid w:val="0"/>
              <w:spacing w:line="240" w:lineRule="auto"/>
              <w:jc w:val="center"/>
              <w:rPr>
                <w:rFonts w:eastAsia="方正仿宋_GBK"/>
                <w:color w:val="auto"/>
                <w:szCs w:val="21"/>
              </w:rPr>
            </w:pPr>
          </w:p>
        </w:tc>
        <w:tc>
          <w:tcPr>
            <w:tcW w:w="6373" w:type="dxa"/>
            <w:gridSpan w:val="2"/>
            <w:vAlign w:val="center"/>
          </w:tcPr>
          <w:p>
            <w:pPr>
              <w:snapToGrid w:val="0"/>
              <w:jc w:val="center"/>
              <w:rPr>
                <w:rFonts w:eastAsia="方正仿宋_GBK"/>
                <w:color w:val="auto"/>
                <w:szCs w:val="21"/>
              </w:rPr>
            </w:pPr>
            <w:r>
              <w:rPr>
                <w:rFonts w:eastAsia="方正仿宋_GBK"/>
                <w:color w:val="auto"/>
                <w:szCs w:val="21"/>
              </w:rPr>
              <w:t>合计</w:t>
            </w:r>
          </w:p>
        </w:tc>
        <w:tc>
          <w:tcPr>
            <w:tcW w:w="1134" w:type="dxa"/>
            <w:vAlign w:val="center"/>
          </w:tcPr>
          <w:p>
            <w:pPr>
              <w:snapToGrid w:val="0"/>
              <w:jc w:val="center"/>
              <w:rPr>
                <w:rFonts w:eastAsia="方正仿宋_GBK"/>
                <w:color w:val="auto"/>
                <w:szCs w:val="21"/>
              </w:rPr>
            </w:pPr>
            <w:r>
              <w:rPr>
                <w:rFonts w:eastAsia="方正仿宋_GBK"/>
                <w:color w:val="auto"/>
                <w:szCs w:val="21"/>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7" w:type="dxa"/>
            <w:vMerge w:val="restart"/>
            <w:vAlign w:val="center"/>
          </w:tcPr>
          <w:p>
            <w:pPr>
              <w:snapToGrid w:val="0"/>
              <w:spacing w:line="240" w:lineRule="auto"/>
              <w:jc w:val="center"/>
              <w:rPr>
                <w:rFonts w:eastAsia="方正仿宋_GBK"/>
                <w:color w:val="auto"/>
                <w:szCs w:val="21"/>
              </w:rPr>
            </w:pPr>
            <w:r>
              <w:rPr>
                <w:rFonts w:eastAsia="方正仿宋_GBK"/>
                <w:color w:val="auto"/>
                <w:szCs w:val="21"/>
              </w:rPr>
              <w:t>人防与技防监测预警体系建设</w:t>
            </w:r>
          </w:p>
        </w:tc>
        <w:tc>
          <w:tcPr>
            <w:tcW w:w="1979" w:type="dxa"/>
            <w:vAlign w:val="center"/>
          </w:tcPr>
          <w:p>
            <w:pPr>
              <w:snapToGrid w:val="0"/>
              <w:rPr>
                <w:rFonts w:eastAsia="方正仿宋_GBK"/>
                <w:color w:val="auto"/>
                <w:szCs w:val="21"/>
              </w:rPr>
            </w:pPr>
            <w:r>
              <w:rPr>
                <w:rFonts w:eastAsia="方正仿宋_GBK"/>
                <w:color w:val="auto"/>
                <w:szCs w:val="21"/>
              </w:rPr>
              <w:t>建设地质灾害监测预警设施</w:t>
            </w:r>
          </w:p>
        </w:tc>
        <w:tc>
          <w:tcPr>
            <w:tcW w:w="4394" w:type="dxa"/>
            <w:vAlign w:val="center"/>
          </w:tcPr>
          <w:p>
            <w:pPr>
              <w:snapToGrid w:val="0"/>
              <w:rPr>
                <w:rFonts w:eastAsia="方正仿宋_GBK"/>
                <w:color w:val="auto"/>
                <w:szCs w:val="21"/>
              </w:rPr>
            </w:pPr>
            <w:r>
              <w:rPr>
                <w:rFonts w:eastAsia="方正仿宋_GBK"/>
                <w:color w:val="auto"/>
                <w:szCs w:val="21"/>
              </w:rPr>
              <w:t>已建设二级专业监测预警1处（古家坳不稳定斜坡），全面完成全区范围内已查明地质灾害监测预警设施建设</w:t>
            </w:r>
          </w:p>
        </w:tc>
        <w:tc>
          <w:tcPr>
            <w:tcW w:w="1134" w:type="dxa"/>
            <w:vAlign w:val="center"/>
          </w:tcPr>
          <w:p>
            <w:pPr>
              <w:snapToGrid w:val="0"/>
              <w:jc w:val="center"/>
              <w:rPr>
                <w:rFonts w:eastAsia="方正仿宋_GBK"/>
                <w:color w:val="auto"/>
                <w:szCs w:val="21"/>
              </w:rPr>
            </w:pPr>
            <w:r>
              <w:rPr>
                <w:rFonts w:eastAsia="方正仿宋_GBK"/>
                <w:color w:val="auto"/>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pPr>
              <w:snapToGrid w:val="0"/>
              <w:spacing w:line="240" w:lineRule="auto"/>
              <w:jc w:val="center"/>
              <w:rPr>
                <w:rFonts w:eastAsia="方正仿宋_GBK"/>
                <w:color w:val="auto"/>
                <w:szCs w:val="21"/>
              </w:rPr>
            </w:pPr>
          </w:p>
        </w:tc>
        <w:tc>
          <w:tcPr>
            <w:tcW w:w="1979" w:type="dxa"/>
            <w:vAlign w:val="center"/>
          </w:tcPr>
          <w:p>
            <w:pPr>
              <w:snapToGrid w:val="0"/>
              <w:rPr>
                <w:rFonts w:eastAsia="方正仿宋_GBK"/>
                <w:color w:val="auto"/>
                <w:szCs w:val="21"/>
              </w:rPr>
            </w:pPr>
            <w:r>
              <w:rPr>
                <w:rFonts w:eastAsia="方正仿宋_GBK"/>
                <w:color w:val="auto"/>
                <w:szCs w:val="21"/>
              </w:rPr>
              <w:t>加大专群结合GNSS监测仪器应用</w:t>
            </w:r>
          </w:p>
        </w:tc>
        <w:tc>
          <w:tcPr>
            <w:tcW w:w="4394" w:type="dxa"/>
            <w:vAlign w:val="center"/>
          </w:tcPr>
          <w:p>
            <w:pPr>
              <w:snapToGrid w:val="0"/>
              <w:rPr>
                <w:rFonts w:eastAsia="方正仿宋_GBK"/>
                <w:color w:val="auto"/>
                <w:szCs w:val="21"/>
              </w:rPr>
            </w:pPr>
            <w:r>
              <w:rPr>
                <w:rFonts w:eastAsia="方正仿宋_GBK"/>
                <w:color w:val="auto"/>
                <w:szCs w:val="21"/>
              </w:rPr>
              <w:t>对每年新生重点地质灾害隐患点安装专群结合GNSS监测仪器</w:t>
            </w:r>
          </w:p>
        </w:tc>
        <w:tc>
          <w:tcPr>
            <w:tcW w:w="1134" w:type="dxa"/>
            <w:vAlign w:val="center"/>
          </w:tcPr>
          <w:p>
            <w:pPr>
              <w:snapToGrid w:val="0"/>
              <w:jc w:val="center"/>
              <w:rPr>
                <w:rFonts w:eastAsia="方正仿宋_GBK"/>
                <w:color w:val="auto"/>
                <w:szCs w:val="21"/>
              </w:rPr>
            </w:pPr>
            <w:r>
              <w:rPr>
                <w:rFonts w:eastAsia="方正仿宋_GBK"/>
                <w:color w:val="auto"/>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pPr>
              <w:snapToGrid w:val="0"/>
              <w:spacing w:line="240" w:lineRule="auto"/>
              <w:jc w:val="center"/>
              <w:rPr>
                <w:rFonts w:eastAsia="方正仿宋_GBK"/>
                <w:color w:val="auto"/>
                <w:szCs w:val="21"/>
              </w:rPr>
            </w:pPr>
          </w:p>
        </w:tc>
        <w:tc>
          <w:tcPr>
            <w:tcW w:w="1979" w:type="dxa"/>
            <w:vAlign w:val="center"/>
          </w:tcPr>
          <w:p>
            <w:pPr>
              <w:snapToGrid w:val="0"/>
              <w:rPr>
                <w:rFonts w:eastAsia="方正仿宋_GBK"/>
                <w:color w:val="auto"/>
                <w:szCs w:val="21"/>
              </w:rPr>
            </w:pPr>
            <w:r>
              <w:rPr>
                <w:rFonts w:eastAsia="方正仿宋_GBK"/>
                <w:color w:val="auto"/>
                <w:szCs w:val="21"/>
              </w:rPr>
              <w:t>群测群防监测</w:t>
            </w:r>
          </w:p>
        </w:tc>
        <w:tc>
          <w:tcPr>
            <w:tcW w:w="4394" w:type="dxa"/>
            <w:vAlign w:val="center"/>
          </w:tcPr>
          <w:p>
            <w:pPr>
              <w:snapToGrid w:val="0"/>
              <w:rPr>
                <w:rFonts w:eastAsia="方正仿宋_GBK"/>
                <w:color w:val="auto"/>
                <w:szCs w:val="21"/>
              </w:rPr>
            </w:pPr>
            <w:r>
              <w:rPr>
                <w:rFonts w:eastAsia="方正仿宋_GBK"/>
                <w:color w:val="auto"/>
                <w:szCs w:val="21"/>
              </w:rPr>
              <w:t>对全区已查明的51处地质灾害（除古家坳不稳定斜坡）及每年新生地质灾害开展群测群防监测</w:t>
            </w:r>
          </w:p>
        </w:tc>
        <w:tc>
          <w:tcPr>
            <w:tcW w:w="1134" w:type="dxa"/>
            <w:vAlign w:val="center"/>
          </w:tcPr>
          <w:p>
            <w:pPr>
              <w:snapToGrid w:val="0"/>
              <w:jc w:val="center"/>
              <w:rPr>
                <w:rFonts w:eastAsia="方正仿宋_GBK"/>
                <w:color w:val="auto"/>
                <w:szCs w:val="21"/>
              </w:rPr>
            </w:pPr>
            <w:r>
              <w:rPr>
                <w:rFonts w:eastAsia="方正仿宋_GBK"/>
                <w:color w:val="auto"/>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pPr>
              <w:snapToGrid w:val="0"/>
              <w:spacing w:line="240" w:lineRule="auto"/>
              <w:jc w:val="center"/>
              <w:rPr>
                <w:rFonts w:eastAsia="方正仿宋_GBK"/>
                <w:color w:val="auto"/>
                <w:szCs w:val="21"/>
              </w:rPr>
            </w:pPr>
          </w:p>
        </w:tc>
        <w:tc>
          <w:tcPr>
            <w:tcW w:w="1979" w:type="dxa"/>
            <w:vAlign w:val="center"/>
          </w:tcPr>
          <w:p>
            <w:pPr>
              <w:snapToGrid w:val="0"/>
              <w:rPr>
                <w:rFonts w:eastAsia="方正仿宋_GBK"/>
                <w:color w:val="auto"/>
                <w:szCs w:val="21"/>
              </w:rPr>
            </w:pPr>
            <w:r>
              <w:rPr>
                <w:rFonts w:eastAsia="方正仿宋_GBK"/>
                <w:color w:val="auto"/>
                <w:szCs w:val="21"/>
              </w:rPr>
              <w:t>加强智能化地质灾害预警系统应用</w:t>
            </w:r>
          </w:p>
        </w:tc>
        <w:tc>
          <w:tcPr>
            <w:tcW w:w="4394" w:type="dxa"/>
            <w:vAlign w:val="center"/>
          </w:tcPr>
          <w:p>
            <w:pPr>
              <w:snapToGrid w:val="0"/>
              <w:rPr>
                <w:rFonts w:eastAsia="方正仿宋_GBK"/>
                <w:color w:val="auto"/>
                <w:szCs w:val="21"/>
              </w:rPr>
            </w:pPr>
            <w:r>
              <w:rPr>
                <w:rFonts w:eastAsia="方正仿宋_GBK"/>
                <w:color w:val="auto"/>
                <w:szCs w:val="21"/>
              </w:rPr>
              <w:t>加强对地质灾害智能化预警和气象监测预警系统的应用</w:t>
            </w:r>
          </w:p>
        </w:tc>
        <w:tc>
          <w:tcPr>
            <w:tcW w:w="1134" w:type="dxa"/>
            <w:vAlign w:val="center"/>
          </w:tcPr>
          <w:p>
            <w:pPr>
              <w:snapToGrid w:val="0"/>
              <w:jc w:val="center"/>
              <w:rPr>
                <w:rFonts w:eastAsia="方正仿宋_GBK"/>
                <w:color w:val="auto"/>
                <w:szCs w:val="21"/>
              </w:rPr>
            </w:pPr>
            <w:r>
              <w:rPr>
                <w:rFonts w:eastAsia="方正仿宋_GBK"/>
                <w:color w:val="auto"/>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7" w:type="dxa"/>
            <w:vAlign w:val="center"/>
          </w:tcPr>
          <w:p>
            <w:pPr>
              <w:snapToGrid w:val="0"/>
              <w:spacing w:line="240" w:lineRule="auto"/>
              <w:jc w:val="center"/>
              <w:rPr>
                <w:rFonts w:eastAsia="方正仿宋_GBK"/>
                <w:color w:val="auto"/>
                <w:szCs w:val="21"/>
              </w:rPr>
            </w:pPr>
          </w:p>
        </w:tc>
        <w:tc>
          <w:tcPr>
            <w:tcW w:w="6373" w:type="dxa"/>
            <w:gridSpan w:val="2"/>
            <w:vAlign w:val="center"/>
          </w:tcPr>
          <w:p>
            <w:pPr>
              <w:snapToGrid w:val="0"/>
              <w:jc w:val="center"/>
              <w:rPr>
                <w:rFonts w:eastAsia="方正仿宋_GBK"/>
                <w:color w:val="auto"/>
                <w:szCs w:val="21"/>
              </w:rPr>
            </w:pPr>
            <w:r>
              <w:rPr>
                <w:rFonts w:eastAsia="方正仿宋_GBK"/>
                <w:color w:val="auto"/>
                <w:szCs w:val="21"/>
              </w:rPr>
              <w:t>合计</w:t>
            </w:r>
          </w:p>
        </w:tc>
        <w:tc>
          <w:tcPr>
            <w:tcW w:w="1134" w:type="dxa"/>
            <w:vAlign w:val="center"/>
          </w:tcPr>
          <w:p>
            <w:pPr>
              <w:snapToGrid w:val="0"/>
              <w:jc w:val="center"/>
              <w:rPr>
                <w:rFonts w:eastAsia="方正仿宋_GBK"/>
                <w:color w:val="auto"/>
                <w:szCs w:val="21"/>
              </w:rPr>
            </w:pPr>
            <w:r>
              <w:rPr>
                <w:rFonts w:eastAsia="方正仿宋_GBK"/>
                <w:color w:val="auto"/>
                <w:szCs w:val="21"/>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restart"/>
            <w:vAlign w:val="center"/>
          </w:tcPr>
          <w:p>
            <w:pPr>
              <w:snapToGrid w:val="0"/>
              <w:spacing w:line="240" w:lineRule="auto"/>
              <w:jc w:val="center"/>
              <w:rPr>
                <w:rFonts w:eastAsia="方正仿宋_GBK"/>
                <w:color w:val="auto"/>
                <w:szCs w:val="21"/>
              </w:rPr>
            </w:pPr>
            <w:r>
              <w:rPr>
                <w:rFonts w:eastAsia="方正仿宋_GBK"/>
                <w:color w:val="auto"/>
                <w:szCs w:val="21"/>
              </w:rPr>
              <w:t>地质灾害防治工作</w:t>
            </w:r>
          </w:p>
        </w:tc>
        <w:tc>
          <w:tcPr>
            <w:tcW w:w="1979" w:type="dxa"/>
            <w:vAlign w:val="center"/>
          </w:tcPr>
          <w:p>
            <w:pPr>
              <w:snapToGrid w:val="0"/>
              <w:rPr>
                <w:rFonts w:eastAsia="方正仿宋_GBK"/>
                <w:color w:val="auto"/>
                <w:szCs w:val="21"/>
              </w:rPr>
            </w:pPr>
            <w:r>
              <w:rPr>
                <w:rFonts w:eastAsia="方正仿宋_GBK"/>
                <w:color w:val="auto"/>
                <w:szCs w:val="21"/>
              </w:rPr>
              <w:t>工程治理工程</w:t>
            </w:r>
          </w:p>
        </w:tc>
        <w:tc>
          <w:tcPr>
            <w:tcW w:w="4394" w:type="dxa"/>
            <w:vAlign w:val="center"/>
          </w:tcPr>
          <w:p>
            <w:pPr>
              <w:snapToGrid w:val="0"/>
              <w:rPr>
                <w:rFonts w:eastAsia="方正仿宋_GBK"/>
                <w:color w:val="auto"/>
                <w:szCs w:val="21"/>
              </w:rPr>
            </w:pPr>
            <w:r>
              <w:rPr>
                <w:rFonts w:eastAsia="方正仿宋_GBK"/>
                <w:color w:val="auto"/>
                <w:szCs w:val="21"/>
              </w:rPr>
              <w:t>规划部署8处中小型地质灾害的工程治理，并开展治理工程效果评估，对其中受损或防治能力降低的地质灾害治理工程实施维修</w:t>
            </w:r>
          </w:p>
        </w:tc>
        <w:tc>
          <w:tcPr>
            <w:tcW w:w="1134" w:type="dxa"/>
            <w:vAlign w:val="center"/>
          </w:tcPr>
          <w:p>
            <w:pPr>
              <w:snapToGrid w:val="0"/>
              <w:jc w:val="center"/>
              <w:rPr>
                <w:rFonts w:eastAsia="方正仿宋_GBK"/>
                <w:color w:val="auto"/>
                <w:szCs w:val="21"/>
              </w:rPr>
            </w:pPr>
            <w:r>
              <w:rPr>
                <w:rFonts w:eastAsia="方正仿宋_GBK"/>
                <w:color w:val="auto"/>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pPr>
              <w:snapToGrid w:val="0"/>
              <w:spacing w:line="240" w:lineRule="auto"/>
              <w:jc w:val="center"/>
              <w:rPr>
                <w:rFonts w:eastAsia="方正仿宋_GBK"/>
                <w:color w:val="auto"/>
                <w:szCs w:val="21"/>
              </w:rPr>
            </w:pPr>
          </w:p>
        </w:tc>
        <w:tc>
          <w:tcPr>
            <w:tcW w:w="1979" w:type="dxa"/>
            <w:vAlign w:val="center"/>
          </w:tcPr>
          <w:p>
            <w:pPr>
              <w:snapToGrid w:val="0"/>
              <w:rPr>
                <w:rFonts w:eastAsia="方正仿宋_GBK"/>
                <w:color w:val="auto"/>
                <w:szCs w:val="21"/>
              </w:rPr>
            </w:pPr>
            <w:r>
              <w:rPr>
                <w:rFonts w:eastAsia="方正仿宋_GBK"/>
                <w:color w:val="auto"/>
                <w:szCs w:val="21"/>
              </w:rPr>
              <w:t>避险移民搬迁工程</w:t>
            </w:r>
          </w:p>
        </w:tc>
        <w:tc>
          <w:tcPr>
            <w:tcW w:w="4394" w:type="dxa"/>
            <w:vAlign w:val="center"/>
          </w:tcPr>
          <w:p>
            <w:pPr>
              <w:snapToGrid w:val="0"/>
              <w:rPr>
                <w:rFonts w:eastAsia="方正仿宋_GBK"/>
                <w:color w:val="auto"/>
                <w:szCs w:val="21"/>
              </w:rPr>
            </w:pPr>
            <w:r>
              <w:rPr>
                <w:rFonts w:eastAsia="方正仿宋_GBK"/>
                <w:color w:val="auto"/>
                <w:szCs w:val="21"/>
              </w:rPr>
              <w:t>规划部署16处地质灾害的避险移民搬迁工程</w:t>
            </w:r>
          </w:p>
        </w:tc>
        <w:tc>
          <w:tcPr>
            <w:tcW w:w="1134" w:type="dxa"/>
            <w:vAlign w:val="center"/>
          </w:tcPr>
          <w:p>
            <w:pPr>
              <w:snapToGrid w:val="0"/>
              <w:jc w:val="center"/>
              <w:rPr>
                <w:rFonts w:eastAsia="方正仿宋_GBK"/>
                <w:color w:val="auto"/>
                <w:szCs w:val="21"/>
              </w:rPr>
            </w:pPr>
            <w:r>
              <w:rPr>
                <w:rFonts w:eastAsia="方正仿宋_GBK"/>
                <w:color w:val="auto"/>
                <w:szCs w:val="21"/>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Align w:val="center"/>
          </w:tcPr>
          <w:p>
            <w:pPr>
              <w:snapToGrid w:val="0"/>
              <w:spacing w:line="240" w:lineRule="auto"/>
              <w:jc w:val="center"/>
              <w:rPr>
                <w:rFonts w:eastAsia="方正仿宋_GBK"/>
                <w:color w:val="auto"/>
                <w:szCs w:val="21"/>
              </w:rPr>
            </w:pPr>
          </w:p>
        </w:tc>
        <w:tc>
          <w:tcPr>
            <w:tcW w:w="6373" w:type="dxa"/>
            <w:gridSpan w:val="2"/>
            <w:vAlign w:val="center"/>
          </w:tcPr>
          <w:p>
            <w:pPr>
              <w:snapToGrid w:val="0"/>
              <w:jc w:val="center"/>
              <w:rPr>
                <w:rFonts w:eastAsia="方正仿宋_GBK"/>
                <w:color w:val="auto"/>
                <w:szCs w:val="21"/>
              </w:rPr>
            </w:pPr>
            <w:r>
              <w:rPr>
                <w:rFonts w:eastAsia="方正仿宋_GBK"/>
                <w:color w:val="auto"/>
                <w:szCs w:val="21"/>
              </w:rPr>
              <w:t>合计</w:t>
            </w:r>
          </w:p>
        </w:tc>
        <w:tc>
          <w:tcPr>
            <w:tcW w:w="1134" w:type="dxa"/>
            <w:vAlign w:val="center"/>
          </w:tcPr>
          <w:p>
            <w:pPr>
              <w:snapToGrid w:val="0"/>
              <w:jc w:val="center"/>
              <w:rPr>
                <w:rFonts w:eastAsia="方正仿宋_GBK"/>
                <w:color w:val="auto"/>
                <w:szCs w:val="21"/>
              </w:rPr>
            </w:pPr>
            <w:r>
              <w:rPr>
                <w:rFonts w:eastAsia="方正仿宋_GBK"/>
                <w:color w:val="auto"/>
                <w:szCs w:val="21"/>
              </w:rPr>
              <w:t>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7" w:type="dxa"/>
            <w:vMerge w:val="restart"/>
            <w:vAlign w:val="center"/>
          </w:tcPr>
          <w:p>
            <w:pPr>
              <w:snapToGrid w:val="0"/>
              <w:spacing w:line="240" w:lineRule="auto"/>
              <w:jc w:val="center"/>
              <w:rPr>
                <w:rFonts w:eastAsia="方正仿宋_GBK"/>
                <w:color w:val="auto"/>
                <w:szCs w:val="21"/>
              </w:rPr>
            </w:pPr>
            <w:r>
              <w:rPr>
                <w:rFonts w:eastAsia="方正仿宋_GBK"/>
                <w:color w:val="auto"/>
                <w:szCs w:val="21"/>
              </w:rPr>
              <w:t>应急救援水平建设</w:t>
            </w:r>
          </w:p>
        </w:tc>
        <w:tc>
          <w:tcPr>
            <w:tcW w:w="1979" w:type="dxa"/>
            <w:vAlign w:val="center"/>
          </w:tcPr>
          <w:p>
            <w:pPr>
              <w:snapToGrid w:val="0"/>
              <w:rPr>
                <w:rFonts w:eastAsia="方正仿宋_GBK"/>
                <w:color w:val="auto"/>
                <w:szCs w:val="21"/>
              </w:rPr>
            </w:pPr>
            <w:r>
              <w:rPr>
                <w:rFonts w:eastAsia="方正仿宋_GBK"/>
                <w:color w:val="auto"/>
                <w:szCs w:val="21"/>
              </w:rPr>
              <w:t>应急救援中心建设</w:t>
            </w:r>
          </w:p>
        </w:tc>
        <w:tc>
          <w:tcPr>
            <w:tcW w:w="4394" w:type="dxa"/>
            <w:vAlign w:val="center"/>
          </w:tcPr>
          <w:p>
            <w:pPr>
              <w:snapToGrid w:val="0"/>
              <w:rPr>
                <w:rFonts w:eastAsia="方正仿宋_GBK"/>
                <w:color w:val="auto"/>
                <w:szCs w:val="21"/>
              </w:rPr>
            </w:pPr>
            <w:r>
              <w:rPr>
                <w:rFonts w:eastAsia="方正仿宋_GBK"/>
                <w:color w:val="auto"/>
                <w:szCs w:val="21"/>
              </w:rPr>
              <w:t>加强对市级地质灾害应急救援信息系统应用和区应急救援中心建设</w:t>
            </w:r>
          </w:p>
        </w:tc>
        <w:tc>
          <w:tcPr>
            <w:tcW w:w="1134" w:type="dxa"/>
            <w:vAlign w:val="center"/>
          </w:tcPr>
          <w:p>
            <w:pPr>
              <w:snapToGrid w:val="0"/>
              <w:jc w:val="center"/>
              <w:rPr>
                <w:rFonts w:eastAsia="方正仿宋_GBK"/>
                <w:color w:val="auto"/>
                <w:szCs w:val="21"/>
              </w:rPr>
            </w:pPr>
            <w:r>
              <w:rPr>
                <w:rFonts w:eastAsia="方正仿宋_GBK"/>
                <w:color w:val="auto"/>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pPr>
              <w:snapToGrid w:val="0"/>
              <w:spacing w:line="240" w:lineRule="auto"/>
              <w:jc w:val="center"/>
              <w:rPr>
                <w:rFonts w:eastAsia="方正仿宋_GBK"/>
                <w:color w:val="auto"/>
                <w:szCs w:val="21"/>
              </w:rPr>
            </w:pPr>
          </w:p>
        </w:tc>
        <w:tc>
          <w:tcPr>
            <w:tcW w:w="1979" w:type="dxa"/>
            <w:vAlign w:val="center"/>
          </w:tcPr>
          <w:p>
            <w:pPr>
              <w:snapToGrid w:val="0"/>
              <w:rPr>
                <w:rFonts w:eastAsia="方正仿宋_GBK"/>
                <w:color w:val="auto"/>
                <w:szCs w:val="21"/>
              </w:rPr>
            </w:pPr>
            <w:r>
              <w:rPr>
                <w:rFonts w:eastAsia="方正仿宋_GBK"/>
                <w:color w:val="auto"/>
                <w:szCs w:val="21"/>
              </w:rPr>
              <w:t>应急救援队伍建设</w:t>
            </w:r>
          </w:p>
        </w:tc>
        <w:tc>
          <w:tcPr>
            <w:tcW w:w="4394" w:type="dxa"/>
            <w:vAlign w:val="center"/>
          </w:tcPr>
          <w:p>
            <w:pPr>
              <w:snapToGrid w:val="0"/>
              <w:rPr>
                <w:rFonts w:eastAsia="方正仿宋_GBK"/>
                <w:color w:val="auto"/>
                <w:szCs w:val="21"/>
              </w:rPr>
            </w:pPr>
            <w:r>
              <w:rPr>
                <w:rFonts w:eastAsia="方正仿宋_GBK"/>
                <w:color w:val="auto"/>
                <w:szCs w:val="21"/>
              </w:rPr>
              <w:t>应急救援队伍工作人员不低于30人。完善应急救援队伍制度建设，规范工作程序，强化日常培训训练</w:t>
            </w:r>
          </w:p>
        </w:tc>
        <w:tc>
          <w:tcPr>
            <w:tcW w:w="1134" w:type="dxa"/>
            <w:vAlign w:val="center"/>
          </w:tcPr>
          <w:p>
            <w:pPr>
              <w:snapToGrid w:val="0"/>
              <w:jc w:val="center"/>
              <w:rPr>
                <w:rFonts w:eastAsia="方正仿宋_GBK"/>
                <w:color w:val="auto"/>
                <w:szCs w:val="21"/>
              </w:rPr>
            </w:pPr>
            <w:r>
              <w:rPr>
                <w:rFonts w:eastAsia="方正仿宋_GBK"/>
                <w:color w:val="auto"/>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pPr>
              <w:snapToGrid w:val="0"/>
              <w:spacing w:line="240" w:lineRule="auto"/>
              <w:jc w:val="center"/>
              <w:rPr>
                <w:rFonts w:eastAsia="方正仿宋_GBK"/>
                <w:color w:val="auto"/>
                <w:szCs w:val="21"/>
              </w:rPr>
            </w:pPr>
          </w:p>
        </w:tc>
        <w:tc>
          <w:tcPr>
            <w:tcW w:w="1979" w:type="dxa"/>
            <w:vAlign w:val="center"/>
          </w:tcPr>
          <w:p>
            <w:pPr>
              <w:snapToGrid w:val="0"/>
              <w:rPr>
                <w:rFonts w:eastAsia="方正仿宋_GBK"/>
                <w:color w:val="auto"/>
                <w:szCs w:val="21"/>
              </w:rPr>
            </w:pPr>
            <w:r>
              <w:rPr>
                <w:rFonts w:eastAsia="方正仿宋_GBK"/>
                <w:color w:val="auto"/>
                <w:szCs w:val="21"/>
              </w:rPr>
              <w:t>加强应急救援装备配置</w:t>
            </w:r>
          </w:p>
        </w:tc>
        <w:tc>
          <w:tcPr>
            <w:tcW w:w="4394" w:type="dxa"/>
            <w:vAlign w:val="center"/>
          </w:tcPr>
          <w:p>
            <w:pPr>
              <w:snapToGrid w:val="0"/>
              <w:rPr>
                <w:rFonts w:eastAsia="方正仿宋_GBK"/>
                <w:color w:val="auto"/>
                <w:szCs w:val="21"/>
              </w:rPr>
            </w:pPr>
            <w:r>
              <w:rPr>
                <w:rFonts w:eastAsia="方正仿宋_GBK"/>
                <w:color w:val="auto"/>
                <w:szCs w:val="21"/>
              </w:rPr>
              <w:t>加强搜救装备、交通装备、保障装备、通讯装备、医疗装备及个人防护装备等应急救援装备配置</w:t>
            </w:r>
          </w:p>
        </w:tc>
        <w:tc>
          <w:tcPr>
            <w:tcW w:w="1134" w:type="dxa"/>
            <w:vAlign w:val="center"/>
          </w:tcPr>
          <w:p>
            <w:pPr>
              <w:snapToGrid w:val="0"/>
              <w:jc w:val="center"/>
              <w:rPr>
                <w:rFonts w:eastAsia="方正仿宋_GBK"/>
                <w:color w:val="auto"/>
                <w:szCs w:val="21"/>
              </w:rPr>
            </w:pPr>
            <w:r>
              <w:rPr>
                <w:rFonts w:eastAsia="方正仿宋_GBK"/>
                <w:color w:val="auto"/>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pPr>
              <w:snapToGrid w:val="0"/>
              <w:spacing w:line="240" w:lineRule="auto"/>
              <w:jc w:val="center"/>
              <w:rPr>
                <w:rFonts w:eastAsia="方正仿宋_GBK"/>
                <w:color w:val="auto"/>
                <w:szCs w:val="21"/>
              </w:rPr>
            </w:pPr>
          </w:p>
        </w:tc>
        <w:tc>
          <w:tcPr>
            <w:tcW w:w="1979" w:type="dxa"/>
            <w:vAlign w:val="center"/>
          </w:tcPr>
          <w:p>
            <w:pPr>
              <w:snapToGrid w:val="0"/>
              <w:rPr>
                <w:rFonts w:eastAsia="方正仿宋_GBK"/>
                <w:color w:val="auto"/>
                <w:szCs w:val="21"/>
              </w:rPr>
            </w:pPr>
            <w:r>
              <w:rPr>
                <w:rFonts w:eastAsia="方正仿宋_GBK"/>
                <w:color w:val="auto"/>
                <w:szCs w:val="21"/>
              </w:rPr>
              <w:t>做好应急救援物资储备</w:t>
            </w:r>
          </w:p>
        </w:tc>
        <w:tc>
          <w:tcPr>
            <w:tcW w:w="4394" w:type="dxa"/>
            <w:vAlign w:val="center"/>
          </w:tcPr>
          <w:p>
            <w:pPr>
              <w:snapToGrid w:val="0"/>
              <w:rPr>
                <w:rFonts w:eastAsia="方正仿宋_GBK"/>
                <w:color w:val="auto"/>
                <w:szCs w:val="21"/>
              </w:rPr>
            </w:pPr>
            <w:r>
              <w:rPr>
                <w:rFonts w:eastAsia="方正仿宋_GBK"/>
                <w:color w:val="auto"/>
                <w:szCs w:val="21"/>
              </w:rPr>
              <w:t>在地质灾害高易发区和重点地质灾害隐患点选择地质安全、条件相对较好的区域建设应急避险场所</w:t>
            </w:r>
          </w:p>
        </w:tc>
        <w:tc>
          <w:tcPr>
            <w:tcW w:w="1134" w:type="dxa"/>
            <w:vAlign w:val="center"/>
          </w:tcPr>
          <w:p>
            <w:pPr>
              <w:snapToGrid w:val="0"/>
              <w:jc w:val="center"/>
              <w:rPr>
                <w:rFonts w:eastAsia="方正仿宋_GBK"/>
                <w:color w:val="auto"/>
                <w:szCs w:val="21"/>
              </w:rPr>
            </w:pPr>
            <w:r>
              <w:rPr>
                <w:rFonts w:eastAsia="方正仿宋_GBK"/>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7" w:type="dxa"/>
            <w:vMerge w:val="continue"/>
            <w:vAlign w:val="center"/>
          </w:tcPr>
          <w:p>
            <w:pPr>
              <w:snapToGrid w:val="0"/>
              <w:spacing w:line="240" w:lineRule="auto"/>
              <w:jc w:val="center"/>
              <w:rPr>
                <w:rFonts w:eastAsia="方正仿宋_GBK"/>
                <w:color w:val="auto"/>
                <w:szCs w:val="21"/>
              </w:rPr>
            </w:pPr>
          </w:p>
        </w:tc>
        <w:tc>
          <w:tcPr>
            <w:tcW w:w="1979" w:type="dxa"/>
            <w:vAlign w:val="center"/>
          </w:tcPr>
          <w:p>
            <w:pPr>
              <w:snapToGrid w:val="0"/>
              <w:rPr>
                <w:rFonts w:eastAsia="方正仿宋_GBK"/>
                <w:color w:val="auto"/>
                <w:szCs w:val="21"/>
              </w:rPr>
            </w:pPr>
            <w:r>
              <w:rPr>
                <w:rFonts w:eastAsia="方正仿宋_GBK"/>
                <w:color w:val="auto"/>
                <w:szCs w:val="21"/>
              </w:rPr>
              <w:t>应急避险场所建设</w:t>
            </w:r>
          </w:p>
        </w:tc>
        <w:tc>
          <w:tcPr>
            <w:tcW w:w="4394" w:type="dxa"/>
            <w:vAlign w:val="center"/>
          </w:tcPr>
          <w:p>
            <w:pPr>
              <w:snapToGrid w:val="0"/>
              <w:rPr>
                <w:rFonts w:eastAsia="方正仿宋_GBK"/>
                <w:color w:val="auto"/>
                <w:szCs w:val="21"/>
              </w:rPr>
            </w:pPr>
            <w:r>
              <w:rPr>
                <w:rFonts w:eastAsia="方正仿宋_GBK"/>
                <w:color w:val="auto"/>
                <w:szCs w:val="21"/>
              </w:rPr>
              <w:t>做好帐篷、棉被、睡袋、折叠床、折叠桌椅、场地照明设备、应急灯等生活类应急救援物资储备工作</w:t>
            </w:r>
          </w:p>
        </w:tc>
        <w:tc>
          <w:tcPr>
            <w:tcW w:w="1134" w:type="dxa"/>
            <w:vAlign w:val="center"/>
          </w:tcPr>
          <w:p>
            <w:pPr>
              <w:snapToGrid w:val="0"/>
              <w:jc w:val="center"/>
              <w:rPr>
                <w:rFonts w:eastAsia="方正仿宋_GBK"/>
                <w:color w:val="auto"/>
                <w:szCs w:val="21"/>
              </w:rPr>
            </w:pPr>
            <w:r>
              <w:rPr>
                <w:rFonts w:eastAsia="方正仿宋_GBK"/>
                <w:color w:val="auto"/>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pPr>
              <w:snapToGrid w:val="0"/>
              <w:spacing w:line="240" w:lineRule="auto"/>
              <w:jc w:val="center"/>
              <w:rPr>
                <w:rFonts w:eastAsia="方正仿宋_GBK"/>
                <w:color w:val="auto"/>
                <w:szCs w:val="21"/>
              </w:rPr>
            </w:pPr>
          </w:p>
        </w:tc>
        <w:tc>
          <w:tcPr>
            <w:tcW w:w="1979" w:type="dxa"/>
            <w:vAlign w:val="center"/>
          </w:tcPr>
          <w:p>
            <w:pPr>
              <w:snapToGrid w:val="0"/>
              <w:rPr>
                <w:rFonts w:eastAsia="方正仿宋_GBK"/>
                <w:color w:val="auto"/>
                <w:szCs w:val="21"/>
              </w:rPr>
            </w:pPr>
            <w:r>
              <w:rPr>
                <w:rFonts w:eastAsia="方正仿宋_GBK"/>
                <w:color w:val="auto"/>
                <w:szCs w:val="21"/>
              </w:rPr>
              <w:t>加强应急救援演练</w:t>
            </w:r>
          </w:p>
        </w:tc>
        <w:tc>
          <w:tcPr>
            <w:tcW w:w="4394" w:type="dxa"/>
            <w:vAlign w:val="center"/>
          </w:tcPr>
          <w:p>
            <w:pPr>
              <w:snapToGrid w:val="0"/>
              <w:rPr>
                <w:rFonts w:eastAsia="方正仿宋_GBK"/>
                <w:color w:val="auto"/>
                <w:szCs w:val="21"/>
              </w:rPr>
            </w:pPr>
            <w:r>
              <w:rPr>
                <w:rFonts w:eastAsia="方正仿宋_GBK"/>
                <w:color w:val="auto"/>
                <w:szCs w:val="21"/>
              </w:rPr>
              <w:t>完善应急救援预案，不定期分类分级组织开展各类地质灾害灾险情应急救援演练</w:t>
            </w:r>
          </w:p>
        </w:tc>
        <w:tc>
          <w:tcPr>
            <w:tcW w:w="1134" w:type="dxa"/>
            <w:vAlign w:val="center"/>
          </w:tcPr>
          <w:p>
            <w:pPr>
              <w:snapToGrid w:val="0"/>
              <w:jc w:val="center"/>
              <w:rPr>
                <w:rFonts w:eastAsia="方正仿宋_GBK"/>
                <w:color w:val="auto"/>
                <w:szCs w:val="21"/>
              </w:rPr>
            </w:pPr>
            <w:r>
              <w:rPr>
                <w:rFonts w:eastAsia="方正仿宋_GBK"/>
                <w:color w:val="auto"/>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Align w:val="center"/>
          </w:tcPr>
          <w:p>
            <w:pPr>
              <w:snapToGrid w:val="0"/>
              <w:spacing w:line="240" w:lineRule="auto"/>
              <w:jc w:val="center"/>
              <w:rPr>
                <w:rFonts w:eastAsia="方正仿宋_GBK"/>
                <w:color w:val="auto"/>
                <w:szCs w:val="21"/>
              </w:rPr>
            </w:pPr>
          </w:p>
        </w:tc>
        <w:tc>
          <w:tcPr>
            <w:tcW w:w="6373" w:type="dxa"/>
            <w:gridSpan w:val="2"/>
            <w:vAlign w:val="center"/>
          </w:tcPr>
          <w:p>
            <w:pPr>
              <w:snapToGrid w:val="0"/>
              <w:jc w:val="center"/>
              <w:rPr>
                <w:rFonts w:eastAsia="方正仿宋_GBK"/>
                <w:color w:val="auto"/>
                <w:szCs w:val="21"/>
              </w:rPr>
            </w:pPr>
            <w:r>
              <w:rPr>
                <w:rFonts w:eastAsia="方正仿宋_GBK"/>
                <w:color w:val="auto"/>
                <w:szCs w:val="21"/>
              </w:rPr>
              <w:t>合计</w:t>
            </w:r>
          </w:p>
        </w:tc>
        <w:tc>
          <w:tcPr>
            <w:tcW w:w="1134" w:type="dxa"/>
            <w:vAlign w:val="center"/>
          </w:tcPr>
          <w:p>
            <w:pPr>
              <w:snapToGrid w:val="0"/>
              <w:jc w:val="center"/>
              <w:rPr>
                <w:rFonts w:eastAsia="方正仿宋_GBK"/>
                <w:color w:val="auto"/>
                <w:szCs w:val="21"/>
              </w:rPr>
            </w:pPr>
            <w:r>
              <w:rPr>
                <w:rFonts w:eastAsia="方正仿宋_GBK"/>
                <w:color w:val="auto"/>
                <w:szCs w:val="21"/>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restart"/>
            <w:vAlign w:val="center"/>
          </w:tcPr>
          <w:p>
            <w:pPr>
              <w:snapToGrid w:val="0"/>
              <w:spacing w:line="240" w:lineRule="auto"/>
              <w:jc w:val="center"/>
              <w:rPr>
                <w:rFonts w:eastAsia="方正仿宋_GBK"/>
                <w:color w:val="auto"/>
                <w:szCs w:val="21"/>
              </w:rPr>
            </w:pPr>
            <w:r>
              <w:rPr>
                <w:rFonts w:eastAsia="方正仿宋_GBK"/>
                <w:color w:val="auto"/>
                <w:szCs w:val="21"/>
              </w:rPr>
              <w:t>基层风险防控能力建设</w:t>
            </w:r>
          </w:p>
        </w:tc>
        <w:tc>
          <w:tcPr>
            <w:tcW w:w="1979" w:type="dxa"/>
            <w:vAlign w:val="center"/>
          </w:tcPr>
          <w:p>
            <w:pPr>
              <w:snapToGrid w:val="0"/>
              <w:rPr>
                <w:rFonts w:eastAsia="方正仿宋_GBK"/>
                <w:color w:val="auto"/>
                <w:szCs w:val="21"/>
              </w:rPr>
            </w:pPr>
            <w:r>
              <w:rPr>
                <w:rFonts w:eastAsia="方正仿宋_GBK"/>
                <w:color w:val="auto"/>
                <w:szCs w:val="21"/>
              </w:rPr>
              <w:t>“四重”网格员建设</w:t>
            </w:r>
          </w:p>
        </w:tc>
        <w:tc>
          <w:tcPr>
            <w:tcW w:w="4394" w:type="dxa"/>
            <w:vAlign w:val="center"/>
          </w:tcPr>
          <w:p>
            <w:pPr>
              <w:snapToGrid w:val="0"/>
              <w:rPr>
                <w:rFonts w:eastAsia="方正仿宋_GBK"/>
                <w:color w:val="auto"/>
                <w:szCs w:val="21"/>
              </w:rPr>
            </w:pPr>
            <w:r>
              <w:rPr>
                <w:rFonts w:eastAsia="方正仿宋_GBK"/>
                <w:color w:val="auto"/>
                <w:szCs w:val="21"/>
              </w:rPr>
              <w:t>加强片区负责人和群测群防员能力建设，配备简易地质灾害防治设备，群测群防员和片区负责人每年不少于1次集中培训，驻守地质队员不定期给群测群防员和片区负责人开展地灾知识培训</w:t>
            </w:r>
          </w:p>
        </w:tc>
        <w:tc>
          <w:tcPr>
            <w:tcW w:w="1134" w:type="dxa"/>
            <w:vAlign w:val="center"/>
          </w:tcPr>
          <w:p>
            <w:pPr>
              <w:snapToGrid w:val="0"/>
              <w:jc w:val="center"/>
              <w:rPr>
                <w:rFonts w:eastAsia="方正仿宋_GBK"/>
                <w:color w:val="auto"/>
                <w:szCs w:val="21"/>
              </w:rPr>
            </w:pPr>
            <w:r>
              <w:rPr>
                <w:rFonts w:eastAsia="方正仿宋_GBK"/>
                <w:color w:val="auto"/>
                <w:szCs w:val="21"/>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7" w:type="dxa"/>
            <w:vMerge w:val="continue"/>
            <w:vAlign w:val="center"/>
          </w:tcPr>
          <w:p>
            <w:pPr>
              <w:snapToGrid w:val="0"/>
              <w:spacing w:line="240" w:lineRule="auto"/>
              <w:jc w:val="center"/>
              <w:rPr>
                <w:rFonts w:eastAsia="方正仿宋_GBK"/>
                <w:color w:val="auto"/>
                <w:szCs w:val="21"/>
              </w:rPr>
            </w:pPr>
          </w:p>
        </w:tc>
        <w:tc>
          <w:tcPr>
            <w:tcW w:w="1979" w:type="dxa"/>
            <w:vAlign w:val="center"/>
          </w:tcPr>
          <w:p>
            <w:pPr>
              <w:snapToGrid w:val="0"/>
              <w:rPr>
                <w:rFonts w:eastAsia="方正仿宋_GBK"/>
                <w:color w:val="auto"/>
                <w:szCs w:val="21"/>
              </w:rPr>
            </w:pPr>
            <w:r>
              <w:rPr>
                <w:rFonts w:eastAsia="方正仿宋_GBK"/>
                <w:color w:val="auto"/>
                <w:szCs w:val="21"/>
              </w:rPr>
              <w:t>技术支撑队伍建设</w:t>
            </w:r>
          </w:p>
        </w:tc>
        <w:tc>
          <w:tcPr>
            <w:tcW w:w="4394" w:type="dxa"/>
            <w:vAlign w:val="center"/>
          </w:tcPr>
          <w:p>
            <w:pPr>
              <w:snapToGrid w:val="0"/>
              <w:rPr>
                <w:rFonts w:eastAsia="方正仿宋_GBK"/>
                <w:color w:val="auto"/>
                <w:szCs w:val="21"/>
              </w:rPr>
            </w:pPr>
            <w:r>
              <w:rPr>
                <w:rFonts w:eastAsia="方正仿宋_GBK"/>
                <w:color w:val="auto"/>
                <w:szCs w:val="21"/>
              </w:rPr>
              <w:t>技术支撑单位专业队伍每年集中1-2次业务知识学习；对地质灾害防治技术支撑单位配备排查调查、监测预警、野外工作专业设备</w:t>
            </w:r>
          </w:p>
        </w:tc>
        <w:tc>
          <w:tcPr>
            <w:tcW w:w="1134" w:type="dxa"/>
            <w:vAlign w:val="center"/>
          </w:tcPr>
          <w:p>
            <w:pPr>
              <w:snapToGrid w:val="0"/>
              <w:jc w:val="center"/>
              <w:rPr>
                <w:rFonts w:eastAsia="方正仿宋_GBK"/>
                <w:color w:val="auto"/>
                <w:szCs w:val="21"/>
              </w:rPr>
            </w:pPr>
            <w:r>
              <w:rPr>
                <w:rFonts w:eastAsia="方正仿宋_GBK"/>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pPr>
              <w:snapToGrid w:val="0"/>
              <w:spacing w:line="240" w:lineRule="auto"/>
              <w:jc w:val="center"/>
              <w:rPr>
                <w:rFonts w:eastAsia="方正仿宋_GBK"/>
                <w:color w:val="auto"/>
                <w:szCs w:val="21"/>
              </w:rPr>
            </w:pPr>
          </w:p>
        </w:tc>
        <w:tc>
          <w:tcPr>
            <w:tcW w:w="1979" w:type="dxa"/>
            <w:vAlign w:val="center"/>
          </w:tcPr>
          <w:p>
            <w:pPr>
              <w:snapToGrid w:val="0"/>
              <w:rPr>
                <w:rFonts w:eastAsia="方正仿宋_GBK"/>
                <w:color w:val="auto"/>
                <w:szCs w:val="21"/>
              </w:rPr>
            </w:pPr>
            <w:r>
              <w:rPr>
                <w:rFonts w:eastAsia="方正仿宋_GBK"/>
                <w:color w:val="auto"/>
                <w:szCs w:val="21"/>
              </w:rPr>
              <w:t>加大地质灾害防治人员业务培训</w:t>
            </w:r>
          </w:p>
        </w:tc>
        <w:tc>
          <w:tcPr>
            <w:tcW w:w="4394" w:type="dxa"/>
            <w:vAlign w:val="center"/>
          </w:tcPr>
          <w:p>
            <w:pPr>
              <w:snapToGrid w:val="0"/>
              <w:rPr>
                <w:rFonts w:eastAsia="方正仿宋_GBK"/>
                <w:color w:val="auto"/>
                <w:szCs w:val="21"/>
              </w:rPr>
            </w:pPr>
            <w:r>
              <w:rPr>
                <w:rFonts w:eastAsia="方正仿宋_GBK"/>
                <w:color w:val="auto"/>
                <w:szCs w:val="21"/>
              </w:rPr>
              <w:t>定期组织地质灾害防治管理人员及技术人员开展业务培训、技术交流，开展地质灾害防治工作表彰及经验交流会</w:t>
            </w:r>
          </w:p>
        </w:tc>
        <w:tc>
          <w:tcPr>
            <w:tcW w:w="1134" w:type="dxa"/>
            <w:vAlign w:val="center"/>
          </w:tcPr>
          <w:p>
            <w:pPr>
              <w:snapToGrid w:val="0"/>
              <w:jc w:val="center"/>
              <w:rPr>
                <w:rFonts w:eastAsia="方正仿宋_GBK"/>
                <w:color w:val="auto"/>
                <w:szCs w:val="21"/>
              </w:rPr>
            </w:pPr>
            <w:r>
              <w:rPr>
                <w:rFonts w:eastAsia="方正仿宋_GBK"/>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Align w:val="center"/>
          </w:tcPr>
          <w:p>
            <w:pPr>
              <w:snapToGrid w:val="0"/>
              <w:spacing w:line="240" w:lineRule="auto"/>
              <w:jc w:val="center"/>
              <w:rPr>
                <w:rFonts w:eastAsia="方正仿宋_GBK"/>
                <w:color w:val="auto"/>
                <w:szCs w:val="21"/>
              </w:rPr>
            </w:pPr>
          </w:p>
        </w:tc>
        <w:tc>
          <w:tcPr>
            <w:tcW w:w="6373" w:type="dxa"/>
            <w:gridSpan w:val="2"/>
            <w:vAlign w:val="center"/>
          </w:tcPr>
          <w:p>
            <w:pPr>
              <w:snapToGrid w:val="0"/>
              <w:jc w:val="center"/>
              <w:rPr>
                <w:rFonts w:eastAsia="方正仿宋_GBK"/>
                <w:color w:val="auto"/>
                <w:szCs w:val="21"/>
              </w:rPr>
            </w:pPr>
            <w:r>
              <w:rPr>
                <w:rFonts w:eastAsia="方正仿宋_GBK"/>
                <w:color w:val="auto"/>
                <w:szCs w:val="21"/>
              </w:rPr>
              <w:t>合计</w:t>
            </w:r>
          </w:p>
        </w:tc>
        <w:tc>
          <w:tcPr>
            <w:tcW w:w="1134" w:type="dxa"/>
            <w:vAlign w:val="center"/>
          </w:tcPr>
          <w:p>
            <w:pPr>
              <w:snapToGrid w:val="0"/>
              <w:jc w:val="center"/>
              <w:rPr>
                <w:rFonts w:eastAsia="方正仿宋_GBK"/>
                <w:color w:val="auto"/>
                <w:szCs w:val="21"/>
              </w:rPr>
            </w:pPr>
            <w:r>
              <w:rPr>
                <w:rFonts w:eastAsia="方正仿宋_GBK"/>
                <w:color w:val="auto"/>
                <w:szCs w:val="21"/>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0" w:type="dxa"/>
            <w:gridSpan w:val="3"/>
            <w:vAlign w:val="center"/>
          </w:tcPr>
          <w:p>
            <w:pPr>
              <w:snapToGrid w:val="0"/>
              <w:jc w:val="center"/>
              <w:rPr>
                <w:rFonts w:eastAsia="方正仿宋_GBK"/>
                <w:color w:val="auto"/>
                <w:szCs w:val="21"/>
              </w:rPr>
            </w:pPr>
            <w:r>
              <w:rPr>
                <w:rFonts w:eastAsia="方正仿宋_GBK"/>
                <w:color w:val="auto"/>
                <w:szCs w:val="21"/>
              </w:rPr>
              <w:t>总计</w:t>
            </w:r>
          </w:p>
        </w:tc>
        <w:tc>
          <w:tcPr>
            <w:tcW w:w="1134" w:type="dxa"/>
            <w:vAlign w:val="center"/>
          </w:tcPr>
          <w:p>
            <w:pPr>
              <w:snapToGrid w:val="0"/>
              <w:jc w:val="center"/>
              <w:rPr>
                <w:rFonts w:eastAsia="方正仿宋_GBK"/>
                <w:color w:val="auto"/>
                <w:szCs w:val="21"/>
              </w:rPr>
            </w:pPr>
            <w:r>
              <w:rPr>
                <w:rFonts w:eastAsia="方正仿宋_GBK"/>
                <w:color w:val="auto"/>
                <w:szCs w:val="21"/>
              </w:rPr>
              <w:t>4220</w:t>
            </w:r>
          </w:p>
        </w:tc>
      </w:tr>
    </w:tbl>
    <w:p>
      <w:pPr>
        <w:spacing w:line="640" w:lineRule="exact"/>
        <w:jc w:val="center"/>
        <w:rPr>
          <w:rFonts w:eastAsia="仿宋_GB2312"/>
          <w:color w:val="auto"/>
          <w:sz w:val="28"/>
        </w:rPr>
      </w:pPr>
    </w:p>
    <w:p>
      <w:pPr>
        <w:spacing w:line="640" w:lineRule="exact"/>
        <w:ind w:firstLine="630"/>
        <w:jc w:val="center"/>
        <w:rPr>
          <w:rFonts w:eastAsia="仿宋_GB2312"/>
          <w:color w:val="auto"/>
          <w:sz w:val="28"/>
        </w:rPr>
        <w:sectPr>
          <w:pgSz w:w="11905" w:h="16838"/>
          <w:pgMar w:top="2098" w:right="1474" w:bottom="1984" w:left="1587" w:header="720" w:footer="1474" w:gutter="0"/>
          <w:pgNumType w:fmt="numberInDash"/>
          <w:cols w:space="0" w:num="1"/>
          <w:rtlGutter w:val="0"/>
          <w:docGrid w:type="lines" w:linePitch="322" w:charSpace="0"/>
        </w:sectPr>
      </w:pPr>
    </w:p>
    <w:p>
      <w:pPr>
        <w:pStyle w:val="2"/>
        <w:snapToGrid w:val="0"/>
        <w:spacing w:before="0" w:after="0" w:line="276" w:lineRule="auto"/>
        <w:ind w:firstLine="0" w:firstLineChars="0"/>
        <w:jc w:val="left"/>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附图1</w:t>
      </w:r>
    </w:p>
    <w:p>
      <w:pPr>
        <w:pStyle w:val="23"/>
        <w:spacing w:line="520" w:lineRule="atLeast"/>
        <w:ind w:firstLine="0" w:firstLineChars="0"/>
        <w:jc w:val="center"/>
        <w:rPr>
          <w:color w:val="auto"/>
        </w:rPr>
      </w:pPr>
      <w:r>
        <w:rPr>
          <w:rFonts w:ascii="Times New Roman" w:hAnsi="Times New Roman" w:eastAsia="宋体" w:cs="Times New Roman"/>
          <w:color w:val="auto"/>
          <w:kern w:val="2"/>
          <w:sz w:val="21"/>
          <w:szCs w:val="24"/>
          <w:lang w:val="en-US" w:eastAsia="zh-CN" w:bidi="ar-SA"/>
        </w:rPr>
        <w:pict>
          <v:shape id="_x0000_i1026" o:spt="75" type="#_x0000_t75" style="height:376.05pt;width:555.55pt;" filled="f" o:preferrelative="t" stroked="f" coordsize="21600,21600">
            <v:path/>
            <v:fill on="f" focussize="0,0"/>
            <v:stroke on="f"/>
            <v:imagedata r:id="rId7" blacklevel="0f" o:title=""/>
            <o:lock v:ext="edit" aspectratio="t"/>
            <w10:wrap type="none"/>
            <w10:anchorlock/>
          </v:shape>
        </w:pict>
      </w:r>
    </w:p>
    <w:p>
      <w:pPr>
        <w:tabs>
          <w:tab w:val="left" w:pos="24620"/>
        </w:tabs>
        <w:jc w:val="left"/>
        <w:rPr>
          <w:color w:val="auto"/>
        </w:rPr>
      </w:pPr>
      <w:r>
        <w:rPr>
          <w:rFonts w:hint="eastAsia"/>
          <w:color w:val="auto"/>
        </w:rPr>
        <w:tab/>
      </w:r>
    </w:p>
    <w:p>
      <w:pPr>
        <w:pStyle w:val="2"/>
        <w:snapToGrid w:val="0"/>
        <w:spacing w:before="0" w:after="0" w:line="276" w:lineRule="auto"/>
        <w:ind w:firstLine="0" w:firstLineChars="0"/>
        <w:jc w:val="left"/>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附图2</w:t>
      </w:r>
    </w:p>
    <w:p>
      <w:pPr>
        <w:pStyle w:val="23"/>
        <w:spacing w:line="520" w:lineRule="atLeast"/>
        <w:ind w:firstLine="0" w:firstLineChars="0"/>
        <w:jc w:val="center"/>
        <w:rPr>
          <w:color w:val="auto"/>
        </w:rPr>
      </w:pPr>
      <w:r>
        <w:rPr>
          <w:rFonts w:ascii="Times New Roman" w:hAnsi="Times New Roman" w:eastAsia="宋体" w:cs="Times New Roman"/>
          <w:color w:val="auto"/>
          <w:kern w:val="2"/>
          <w:sz w:val="21"/>
          <w:szCs w:val="24"/>
          <w:lang w:val="en-US" w:eastAsia="zh-CN" w:bidi="ar-SA"/>
        </w:rPr>
        <w:pict>
          <v:shape id="_x0000_i1027" o:spt="75" type="#_x0000_t75" style="height:390.9pt;width:595.4pt;" filled="f" o:preferrelative="t" stroked="f" coordsize="21600,21600">
            <v:path/>
            <v:fill on="f" focussize="0,0"/>
            <v:stroke on="f"/>
            <v:imagedata r:id="rId8" blacklevel="0f" o:title=""/>
            <o:lock v:ext="edit" aspectratio="t"/>
            <w10:wrap type="none"/>
            <w10:anchorlock/>
          </v:shape>
        </w:pict>
      </w:r>
    </w:p>
    <w:p>
      <w:pPr>
        <w:pStyle w:val="2"/>
        <w:snapToGrid w:val="0"/>
        <w:spacing w:before="0" w:after="0" w:line="276" w:lineRule="auto"/>
        <w:ind w:firstLine="0" w:firstLineChars="0"/>
        <w:jc w:val="left"/>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附图3</w:t>
      </w:r>
    </w:p>
    <w:p>
      <w:pPr>
        <w:jc w:val="center"/>
        <w:rPr>
          <w:color w:val="auto"/>
        </w:rPr>
      </w:pPr>
      <w:r>
        <w:rPr>
          <w:rFonts w:ascii="Times New Roman" w:hAnsi="Times New Roman" w:eastAsia="宋体" w:cs="Times New Roman"/>
          <w:color w:val="auto"/>
          <w:kern w:val="2"/>
          <w:sz w:val="21"/>
          <w:szCs w:val="24"/>
          <w:lang w:val="en-US" w:eastAsia="zh-CN" w:bidi="ar-SA"/>
        </w:rPr>
        <w:pict>
          <v:shape id="_x0000_i1028" o:spt="75" type="#_x0000_t75" style="height:381.5pt;width:590.45pt;" filled="f" o:preferrelative="t" stroked="f" coordsize="21600,21600">
            <v:path/>
            <v:fill on="f" focussize="0,0"/>
            <v:stroke on="f"/>
            <v:imagedata r:id="rId9" blacklevel="0f" o:title=""/>
            <o:lock v:ext="edit" aspectratio="t"/>
            <w10:wrap type="none"/>
            <w10:anchorlock/>
          </v:shape>
        </w:pict>
      </w:r>
    </w:p>
    <w:p>
      <w:pPr>
        <w:rPr>
          <w:color w:val="auto"/>
        </w:rPr>
      </w:pPr>
      <w:r>
        <w:rPr>
          <w:color w:val="auto"/>
        </w:rPr>
        <w:br w:type="page"/>
      </w:r>
    </w:p>
    <w:p>
      <w:pPr>
        <w:pStyle w:val="2"/>
        <w:snapToGrid w:val="0"/>
        <w:spacing w:before="0" w:after="0" w:line="276" w:lineRule="auto"/>
        <w:ind w:firstLine="0" w:firstLineChars="0"/>
        <w:jc w:val="left"/>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附图4</w:t>
      </w:r>
    </w:p>
    <w:p>
      <w:pPr>
        <w:pStyle w:val="23"/>
        <w:spacing w:line="520" w:lineRule="atLeast"/>
        <w:ind w:firstLine="0" w:firstLineChars="0"/>
        <w:jc w:val="center"/>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pict>
          <v:shape id="_x0000_i1029" o:spt="75" type="#_x0000_t75" style="height:355.2pt;width:548.5pt;" filled="f" o:preferrelative="t" stroked="f" coordsize="21600,21600">
            <v:path/>
            <v:fill on="f" focussize="0,0"/>
            <v:stroke on="f"/>
            <v:imagedata r:id="rId10" blacklevel="0f" o:title=""/>
            <o:lock v:ext="edit" aspectratio="t"/>
            <w10:wrap type="none"/>
            <w10:anchorlock/>
          </v:shape>
        </w:pict>
      </w:r>
    </w:p>
    <w:p>
      <w:pPr>
        <w:spacing w:line="520" w:lineRule="atLeast"/>
        <w:ind w:firstLine="0" w:firstLineChars="0"/>
        <w:jc w:val="center"/>
        <w:rPr>
          <w:rFonts w:ascii="Times New Roman" w:hAnsi="Times New Roman" w:eastAsia="宋体" w:cs="Times New Roman"/>
          <w:color w:val="auto"/>
          <w:kern w:val="2"/>
          <w:sz w:val="21"/>
          <w:szCs w:val="24"/>
          <w:lang w:val="en-US" w:eastAsia="zh-CN" w:bidi="ar-SA"/>
        </w:rPr>
        <w:sectPr>
          <w:pgSz w:w="16838" w:h="11905" w:orient="landscape"/>
          <w:pgMar w:top="1417" w:right="1134" w:bottom="1134" w:left="1134" w:header="720" w:footer="1474" w:gutter="0"/>
          <w:pgNumType w:fmt="numberInDash"/>
          <w:cols w:space="0" w:num="1"/>
          <w:rtlGutter w:val="0"/>
          <w:docGrid w:type="lines" w:linePitch="322" w:charSpace="0"/>
        </w:sectPr>
      </w:pPr>
    </w:p>
    <w:p>
      <w:pPr>
        <w:pStyle w:val="23"/>
        <w:snapToGrid w:val="0"/>
        <w:spacing w:line="276" w:lineRule="auto"/>
        <w:ind w:firstLine="0" w:firstLineChars="0"/>
        <w:jc w:val="left"/>
        <w:rPr>
          <w:rFonts w:hint="eastAsia" w:ascii="方正仿宋_GBK" w:hAnsi="方正仿宋_GBK" w:eastAsia="方正仿宋_GBK" w:cs="方正仿宋_GBK"/>
          <w:color w:val="auto"/>
          <w:kern w:val="2"/>
          <w:sz w:val="32"/>
          <w:szCs w:val="32"/>
          <w:lang w:val="en-US" w:eastAsia="zh-CN" w:bidi="ar-SA"/>
        </w:rPr>
      </w:pPr>
    </w:p>
    <w:sectPr>
      <w:pgSz w:w="11905" w:h="16838"/>
      <w:pgMar w:top="2098" w:right="1474" w:bottom="1984" w:left="1587" w:header="720" w:footer="1474" w:gutter="0"/>
      <w:pgNumType w:fmt="numberInDash"/>
      <w:cols w:space="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Light">
    <w:altName w:val="华文中宋"/>
    <w:panose1 w:val="02010600030101010101"/>
    <w:charset w:val="86"/>
    <w:family w:val="auto"/>
    <w:pitch w:val="default"/>
    <w:sig w:usb0="00000000" w:usb1="00000000" w:usb2="00000016" w:usb3="00000000" w:csb0="0004000F" w:csb1="00000000"/>
  </w:font>
  <w:font w:name="等线">
    <w:altName w:val="华文中宋"/>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隶书">
    <w:altName w:val="方正隶书_GBK"/>
    <w:panose1 w:val="02010509060101010101"/>
    <w:charset w:val="86"/>
    <w:family w:val="auto"/>
    <w:pitch w:val="default"/>
    <w:sig w:usb0="00000000" w:usb1="00000000" w:usb2="00000000" w:usb3="00000000" w:csb0="00040000" w:csb1="00000000"/>
  </w:font>
  <w:font w:name="Microsoft YaHei UI">
    <w:altName w:val="Droid Sans Fallback"/>
    <w:panose1 w:val="020B0503020204020204"/>
    <w:charset w:val="86"/>
    <w:family w:val="auto"/>
    <w:pitch w:val="default"/>
    <w:sig w:usb0="00000000" w:usb1="00000000" w:usb2="00000016" w:usb3="00000000" w:csb0="0004001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4097" o:spid="_x0000_s4097"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1"/>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- 1 -</w:t>
                </w:r>
                <w:r>
                  <w:rPr>
                    <w:rFonts w:hint="eastAsia" w:ascii="仿宋" w:hAnsi="仿宋" w:eastAsia="仿宋" w:cs="仿宋"/>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true"/>
  <w:bordersDoNotSurroundFooter w:val="true"/>
  <w:documentProtection w:edit="readOnly" w:enforcement="0"/>
  <w:defaultTabStop w:val="420"/>
  <w:drawingGridHorizontalSpacing w:val="210"/>
  <w:drawingGridVerticalSpacing w:val="161"/>
  <w:displayHorizontalDrawingGridEvery w:val="1"/>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KGWebUrl" w:val="http://23.211.169.62:80/seeyon/officeservlet"/>
  </w:docVars>
  <w:rsids>
    <w:rsidRoot w:val="00CE3AB1"/>
    <w:rsid w:val="00000382"/>
    <w:rsid w:val="00003093"/>
    <w:rsid w:val="00003251"/>
    <w:rsid w:val="0000329F"/>
    <w:rsid w:val="00007FC6"/>
    <w:rsid w:val="000116DA"/>
    <w:rsid w:val="00013335"/>
    <w:rsid w:val="00014B91"/>
    <w:rsid w:val="000153DF"/>
    <w:rsid w:val="00015E64"/>
    <w:rsid w:val="000163F8"/>
    <w:rsid w:val="00017121"/>
    <w:rsid w:val="0002140D"/>
    <w:rsid w:val="0002225C"/>
    <w:rsid w:val="0002331B"/>
    <w:rsid w:val="0002393A"/>
    <w:rsid w:val="00023F61"/>
    <w:rsid w:val="0002417D"/>
    <w:rsid w:val="00024B01"/>
    <w:rsid w:val="00025D48"/>
    <w:rsid w:val="00026F0E"/>
    <w:rsid w:val="0002715E"/>
    <w:rsid w:val="000274E9"/>
    <w:rsid w:val="00030168"/>
    <w:rsid w:val="00031173"/>
    <w:rsid w:val="00031C22"/>
    <w:rsid w:val="00032977"/>
    <w:rsid w:val="00032B25"/>
    <w:rsid w:val="00033BC7"/>
    <w:rsid w:val="000352CB"/>
    <w:rsid w:val="00035E05"/>
    <w:rsid w:val="00037023"/>
    <w:rsid w:val="00037849"/>
    <w:rsid w:val="0004032B"/>
    <w:rsid w:val="000415C6"/>
    <w:rsid w:val="00041ABB"/>
    <w:rsid w:val="00041B53"/>
    <w:rsid w:val="00041E75"/>
    <w:rsid w:val="0004373C"/>
    <w:rsid w:val="00043866"/>
    <w:rsid w:val="00043AB3"/>
    <w:rsid w:val="00044492"/>
    <w:rsid w:val="00044588"/>
    <w:rsid w:val="000460AE"/>
    <w:rsid w:val="000475A4"/>
    <w:rsid w:val="000476FF"/>
    <w:rsid w:val="000514B0"/>
    <w:rsid w:val="00051EA7"/>
    <w:rsid w:val="00052DCB"/>
    <w:rsid w:val="00053452"/>
    <w:rsid w:val="00054DB7"/>
    <w:rsid w:val="00055746"/>
    <w:rsid w:val="00056F10"/>
    <w:rsid w:val="00057F7E"/>
    <w:rsid w:val="000604B2"/>
    <w:rsid w:val="0006085E"/>
    <w:rsid w:val="00060E1C"/>
    <w:rsid w:val="00063AD5"/>
    <w:rsid w:val="0006409C"/>
    <w:rsid w:val="000644E7"/>
    <w:rsid w:val="00065EDA"/>
    <w:rsid w:val="000660AB"/>
    <w:rsid w:val="00066D40"/>
    <w:rsid w:val="0006739C"/>
    <w:rsid w:val="00067F0D"/>
    <w:rsid w:val="00070408"/>
    <w:rsid w:val="00070489"/>
    <w:rsid w:val="000709E3"/>
    <w:rsid w:val="00070FF1"/>
    <w:rsid w:val="000713E8"/>
    <w:rsid w:val="000714DF"/>
    <w:rsid w:val="00071E64"/>
    <w:rsid w:val="000726F9"/>
    <w:rsid w:val="000729F4"/>
    <w:rsid w:val="0007420E"/>
    <w:rsid w:val="000749FB"/>
    <w:rsid w:val="000761F2"/>
    <w:rsid w:val="000767F3"/>
    <w:rsid w:val="00084781"/>
    <w:rsid w:val="000849FC"/>
    <w:rsid w:val="000858A8"/>
    <w:rsid w:val="00086DA4"/>
    <w:rsid w:val="00087E2C"/>
    <w:rsid w:val="000901C2"/>
    <w:rsid w:val="000910FB"/>
    <w:rsid w:val="00091529"/>
    <w:rsid w:val="00094F8C"/>
    <w:rsid w:val="0009670D"/>
    <w:rsid w:val="00096AB3"/>
    <w:rsid w:val="000A0611"/>
    <w:rsid w:val="000A1A7B"/>
    <w:rsid w:val="000A24B2"/>
    <w:rsid w:val="000A2D60"/>
    <w:rsid w:val="000A31C7"/>
    <w:rsid w:val="000A4164"/>
    <w:rsid w:val="000A49B6"/>
    <w:rsid w:val="000A7351"/>
    <w:rsid w:val="000A7420"/>
    <w:rsid w:val="000A76F1"/>
    <w:rsid w:val="000A79DD"/>
    <w:rsid w:val="000B1C0C"/>
    <w:rsid w:val="000B1CE9"/>
    <w:rsid w:val="000B2C35"/>
    <w:rsid w:val="000B43B8"/>
    <w:rsid w:val="000B4781"/>
    <w:rsid w:val="000B5FDB"/>
    <w:rsid w:val="000B66C5"/>
    <w:rsid w:val="000B67CC"/>
    <w:rsid w:val="000B6C65"/>
    <w:rsid w:val="000B7566"/>
    <w:rsid w:val="000B7B3D"/>
    <w:rsid w:val="000C1639"/>
    <w:rsid w:val="000C2038"/>
    <w:rsid w:val="000C2609"/>
    <w:rsid w:val="000C384E"/>
    <w:rsid w:val="000C3C38"/>
    <w:rsid w:val="000C3CA1"/>
    <w:rsid w:val="000C5763"/>
    <w:rsid w:val="000C622A"/>
    <w:rsid w:val="000C648D"/>
    <w:rsid w:val="000C6AF8"/>
    <w:rsid w:val="000C6B0C"/>
    <w:rsid w:val="000C6B21"/>
    <w:rsid w:val="000C6CD6"/>
    <w:rsid w:val="000C702E"/>
    <w:rsid w:val="000C7DF8"/>
    <w:rsid w:val="000D0C96"/>
    <w:rsid w:val="000D2B51"/>
    <w:rsid w:val="000D2BEE"/>
    <w:rsid w:val="000D2C2B"/>
    <w:rsid w:val="000D3116"/>
    <w:rsid w:val="000D3F02"/>
    <w:rsid w:val="000D43AC"/>
    <w:rsid w:val="000D5654"/>
    <w:rsid w:val="000D6290"/>
    <w:rsid w:val="000D6346"/>
    <w:rsid w:val="000D63AE"/>
    <w:rsid w:val="000D70C0"/>
    <w:rsid w:val="000D71B3"/>
    <w:rsid w:val="000E00E2"/>
    <w:rsid w:val="000E0E10"/>
    <w:rsid w:val="000E0E39"/>
    <w:rsid w:val="000E20BE"/>
    <w:rsid w:val="000E235B"/>
    <w:rsid w:val="000E25DC"/>
    <w:rsid w:val="000E2E8F"/>
    <w:rsid w:val="000E3696"/>
    <w:rsid w:val="000E4D8A"/>
    <w:rsid w:val="000E5323"/>
    <w:rsid w:val="000E534A"/>
    <w:rsid w:val="000E6B4B"/>
    <w:rsid w:val="000E7D4F"/>
    <w:rsid w:val="000F045B"/>
    <w:rsid w:val="000F2923"/>
    <w:rsid w:val="000F3311"/>
    <w:rsid w:val="000F33BB"/>
    <w:rsid w:val="000F365A"/>
    <w:rsid w:val="000F36EC"/>
    <w:rsid w:val="000F4295"/>
    <w:rsid w:val="000F51C7"/>
    <w:rsid w:val="000F54A2"/>
    <w:rsid w:val="000F5C1E"/>
    <w:rsid w:val="000F5CCF"/>
    <w:rsid w:val="000F6B74"/>
    <w:rsid w:val="00101007"/>
    <w:rsid w:val="001028FC"/>
    <w:rsid w:val="00102A5C"/>
    <w:rsid w:val="00105475"/>
    <w:rsid w:val="00105DA3"/>
    <w:rsid w:val="00106917"/>
    <w:rsid w:val="001109EF"/>
    <w:rsid w:val="00111E09"/>
    <w:rsid w:val="00113397"/>
    <w:rsid w:val="001139DD"/>
    <w:rsid w:val="00114574"/>
    <w:rsid w:val="0011527B"/>
    <w:rsid w:val="00115884"/>
    <w:rsid w:val="0011669C"/>
    <w:rsid w:val="001169FE"/>
    <w:rsid w:val="0012036C"/>
    <w:rsid w:val="001206FF"/>
    <w:rsid w:val="001215D9"/>
    <w:rsid w:val="00122F31"/>
    <w:rsid w:val="001230FC"/>
    <w:rsid w:val="00124DD7"/>
    <w:rsid w:val="0012540E"/>
    <w:rsid w:val="00125E08"/>
    <w:rsid w:val="00125E3B"/>
    <w:rsid w:val="0012609C"/>
    <w:rsid w:val="00126520"/>
    <w:rsid w:val="00130780"/>
    <w:rsid w:val="0013201D"/>
    <w:rsid w:val="00132A20"/>
    <w:rsid w:val="0013317C"/>
    <w:rsid w:val="0014002A"/>
    <w:rsid w:val="00140220"/>
    <w:rsid w:val="001411E4"/>
    <w:rsid w:val="00142AA9"/>
    <w:rsid w:val="00145DF4"/>
    <w:rsid w:val="00145E1D"/>
    <w:rsid w:val="00145F70"/>
    <w:rsid w:val="0014629C"/>
    <w:rsid w:val="00146E21"/>
    <w:rsid w:val="00147A80"/>
    <w:rsid w:val="001503D9"/>
    <w:rsid w:val="001508A5"/>
    <w:rsid w:val="001509A5"/>
    <w:rsid w:val="0015389A"/>
    <w:rsid w:val="00153A3D"/>
    <w:rsid w:val="00156285"/>
    <w:rsid w:val="0015683E"/>
    <w:rsid w:val="0015694C"/>
    <w:rsid w:val="001606F1"/>
    <w:rsid w:val="00160E8A"/>
    <w:rsid w:val="00160F7A"/>
    <w:rsid w:val="00161CBA"/>
    <w:rsid w:val="00161E3B"/>
    <w:rsid w:val="001622FE"/>
    <w:rsid w:val="00162BCA"/>
    <w:rsid w:val="00162C80"/>
    <w:rsid w:val="00162CE2"/>
    <w:rsid w:val="00162F75"/>
    <w:rsid w:val="00162FB4"/>
    <w:rsid w:val="00164230"/>
    <w:rsid w:val="001644EB"/>
    <w:rsid w:val="001645BA"/>
    <w:rsid w:val="00164BC3"/>
    <w:rsid w:val="001664CE"/>
    <w:rsid w:val="00166911"/>
    <w:rsid w:val="00166912"/>
    <w:rsid w:val="00166EAB"/>
    <w:rsid w:val="00167510"/>
    <w:rsid w:val="00170182"/>
    <w:rsid w:val="00170889"/>
    <w:rsid w:val="00170B49"/>
    <w:rsid w:val="00171295"/>
    <w:rsid w:val="00171FC6"/>
    <w:rsid w:val="00172537"/>
    <w:rsid w:val="0017288E"/>
    <w:rsid w:val="001735CF"/>
    <w:rsid w:val="00175982"/>
    <w:rsid w:val="00175C23"/>
    <w:rsid w:val="0017677B"/>
    <w:rsid w:val="00180B55"/>
    <w:rsid w:val="00181320"/>
    <w:rsid w:val="00181AC4"/>
    <w:rsid w:val="00182365"/>
    <w:rsid w:val="001866B2"/>
    <w:rsid w:val="00187E75"/>
    <w:rsid w:val="00187F9D"/>
    <w:rsid w:val="00190910"/>
    <w:rsid w:val="00190B5C"/>
    <w:rsid w:val="00192486"/>
    <w:rsid w:val="00192BD7"/>
    <w:rsid w:val="001948AA"/>
    <w:rsid w:val="00195B35"/>
    <w:rsid w:val="0019633C"/>
    <w:rsid w:val="00196394"/>
    <w:rsid w:val="00196D55"/>
    <w:rsid w:val="00197446"/>
    <w:rsid w:val="001A0CE8"/>
    <w:rsid w:val="001A0CEB"/>
    <w:rsid w:val="001A2255"/>
    <w:rsid w:val="001A280B"/>
    <w:rsid w:val="001A30A8"/>
    <w:rsid w:val="001A35F7"/>
    <w:rsid w:val="001A368C"/>
    <w:rsid w:val="001A3C53"/>
    <w:rsid w:val="001A3EB5"/>
    <w:rsid w:val="001A3EDE"/>
    <w:rsid w:val="001A4C1B"/>
    <w:rsid w:val="001A6B60"/>
    <w:rsid w:val="001A75C9"/>
    <w:rsid w:val="001A7BC4"/>
    <w:rsid w:val="001B1339"/>
    <w:rsid w:val="001B1681"/>
    <w:rsid w:val="001B232D"/>
    <w:rsid w:val="001B232E"/>
    <w:rsid w:val="001B236F"/>
    <w:rsid w:val="001B269D"/>
    <w:rsid w:val="001B4581"/>
    <w:rsid w:val="001B5281"/>
    <w:rsid w:val="001B5FA3"/>
    <w:rsid w:val="001B6564"/>
    <w:rsid w:val="001B6981"/>
    <w:rsid w:val="001B796D"/>
    <w:rsid w:val="001C0AE4"/>
    <w:rsid w:val="001C185B"/>
    <w:rsid w:val="001C23D4"/>
    <w:rsid w:val="001C387C"/>
    <w:rsid w:val="001C436D"/>
    <w:rsid w:val="001C43B5"/>
    <w:rsid w:val="001C586A"/>
    <w:rsid w:val="001C664E"/>
    <w:rsid w:val="001C69ED"/>
    <w:rsid w:val="001C6D8F"/>
    <w:rsid w:val="001C7F40"/>
    <w:rsid w:val="001D01DF"/>
    <w:rsid w:val="001D12AB"/>
    <w:rsid w:val="001D1323"/>
    <w:rsid w:val="001D1853"/>
    <w:rsid w:val="001D1889"/>
    <w:rsid w:val="001D328C"/>
    <w:rsid w:val="001D3641"/>
    <w:rsid w:val="001D4EDF"/>
    <w:rsid w:val="001D518E"/>
    <w:rsid w:val="001D6275"/>
    <w:rsid w:val="001D735E"/>
    <w:rsid w:val="001D75CD"/>
    <w:rsid w:val="001D7777"/>
    <w:rsid w:val="001E0EAC"/>
    <w:rsid w:val="001E14DC"/>
    <w:rsid w:val="001E1567"/>
    <w:rsid w:val="001E20DC"/>
    <w:rsid w:val="001E3E01"/>
    <w:rsid w:val="001E56EE"/>
    <w:rsid w:val="001E56F0"/>
    <w:rsid w:val="001E5DD4"/>
    <w:rsid w:val="001E6849"/>
    <w:rsid w:val="001E752F"/>
    <w:rsid w:val="001E7EA3"/>
    <w:rsid w:val="001F345D"/>
    <w:rsid w:val="001F5290"/>
    <w:rsid w:val="001F5A35"/>
    <w:rsid w:val="001F5C55"/>
    <w:rsid w:val="001F6064"/>
    <w:rsid w:val="001F6855"/>
    <w:rsid w:val="001F6DA4"/>
    <w:rsid w:val="001F76DB"/>
    <w:rsid w:val="00200EFD"/>
    <w:rsid w:val="002010AD"/>
    <w:rsid w:val="002010BC"/>
    <w:rsid w:val="0020136C"/>
    <w:rsid w:val="0020427E"/>
    <w:rsid w:val="002045EA"/>
    <w:rsid w:val="00204C4A"/>
    <w:rsid w:val="002052BE"/>
    <w:rsid w:val="00206690"/>
    <w:rsid w:val="0020705B"/>
    <w:rsid w:val="0020768E"/>
    <w:rsid w:val="002100A8"/>
    <w:rsid w:val="0021037F"/>
    <w:rsid w:val="002103C1"/>
    <w:rsid w:val="002137BE"/>
    <w:rsid w:val="0021392F"/>
    <w:rsid w:val="002140CF"/>
    <w:rsid w:val="002140D8"/>
    <w:rsid w:val="00214A94"/>
    <w:rsid w:val="00215036"/>
    <w:rsid w:val="00215108"/>
    <w:rsid w:val="00215824"/>
    <w:rsid w:val="002166FA"/>
    <w:rsid w:val="00216C56"/>
    <w:rsid w:val="0021707D"/>
    <w:rsid w:val="00220483"/>
    <w:rsid w:val="0022084D"/>
    <w:rsid w:val="002209C1"/>
    <w:rsid w:val="00220DF3"/>
    <w:rsid w:val="00221354"/>
    <w:rsid w:val="002220F6"/>
    <w:rsid w:val="00222EB0"/>
    <w:rsid w:val="0022355D"/>
    <w:rsid w:val="00224040"/>
    <w:rsid w:val="00224147"/>
    <w:rsid w:val="0022439F"/>
    <w:rsid w:val="00226B53"/>
    <w:rsid w:val="00226F12"/>
    <w:rsid w:val="0023028B"/>
    <w:rsid w:val="002316B7"/>
    <w:rsid w:val="00235010"/>
    <w:rsid w:val="002359C7"/>
    <w:rsid w:val="00235DBE"/>
    <w:rsid w:val="00236CC9"/>
    <w:rsid w:val="00236D56"/>
    <w:rsid w:val="00237E75"/>
    <w:rsid w:val="00241FEE"/>
    <w:rsid w:val="002428FF"/>
    <w:rsid w:val="00242AFD"/>
    <w:rsid w:val="00242EE9"/>
    <w:rsid w:val="00245352"/>
    <w:rsid w:val="00245F32"/>
    <w:rsid w:val="0024744C"/>
    <w:rsid w:val="00247742"/>
    <w:rsid w:val="00250124"/>
    <w:rsid w:val="00251358"/>
    <w:rsid w:val="00251669"/>
    <w:rsid w:val="00251899"/>
    <w:rsid w:val="002519E9"/>
    <w:rsid w:val="0025305C"/>
    <w:rsid w:val="002532B2"/>
    <w:rsid w:val="0025354C"/>
    <w:rsid w:val="002540A8"/>
    <w:rsid w:val="00256678"/>
    <w:rsid w:val="00257070"/>
    <w:rsid w:val="00260827"/>
    <w:rsid w:val="0026223F"/>
    <w:rsid w:val="0026233C"/>
    <w:rsid w:val="0026342D"/>
    <w:rsid w:val="00263F43"/>
    <w:rsid w:val="00264224"/>
    <w:rsid w:val="00265878"/>
    <w:rsid w:val="002664A2"/>
    <w:rsid w:val="002669DB"/>
    <w:rsid w:val="002678DD"/>
    <w:rsid w:val="00267B54"/>
    <w:rsid w:val="00270046"/>
    <w:rsid w:val="00270AF8"/>
    <w:rsid w:val="00271879"/>
    <w:rsid w:val="00274062"/>
    <w:rsid w:val="00274F8B"/>
    <w:rsid w:val="00275090"/>
    <w:rsid w:val="00277583"/>
    <w:rsid w:val="002802D2"/>
    <w:rsid w:val="00281399"/>
    <w:rsid w:val="00281B08"/>
    <w:rsid w:val="00281BDD"/>
    <w:rsid w:val="00282903"/>
    <w:rsid w:val="0028300F"/>
    <w:rsid w:val="002834FF"/>
    <w:rsid w:val="002838C6"/>
    <w:rsid w:val="0028529E"/>
    <w:rsid w:val="002868A7"/>
    <w:rsid w:val="002901CB"/>
    <w:rsid w:val="00290500"/>
    <w:rsid w:val="0029229C"/>
    <w:rsid w:val="00292AD6"/>
    <w:rsid w:val="00294488"/>
    <w:rsid w:val="00294F1E"/>
    <w:rsid w:val="00295286"/>
    <w:rsid w:val="002953B2"/>
    <w:rsid w:val="00295FDC"/>
    <w:rsid w:val="0029604E"/>
    <w:rsid w:val="002963BC"/>
    <w:rsid w:val="00296961"/>
    <w:rsid w:val="002970A7"/>
    <w:rsid w:val="00297666"/>
    <w:rsid w:val="002A04DB"/>
    <w:rsid w:val="002A05F8"/>
    <w:rsid w:val="002A0EE7"/>
    <w:rsid w:val="002A1127"/>
    <w:rsid w:val="002A1DED"/>
    <w:rsid w:val="002A1E93"/>
    <w:rsid w:val="002A1ED7"/>
    <w:rsid w:val="002A2098"/>
    <w:rsid w:val="002A452E"/>
    <w:rsid w:val="002A5F80"/>
    <w:rsid w:val="002A6544"/>
    <w:rsid w:val="002A663B"/>
    <w:rsid w:val="002A69F6"/>
    <w:rsid w:val="002A6D6E"/>
    <w:rsid w:val="002A7176"/>
    <w:rsid w:val="002B00EF"/>
    <w:rsid w:val="002B112B"/>
    <w:rsid w:val="002B170F"/>
    <w:rsid w:val="002B190E"/>
    <w:rsid w:val="002B2343"/>
    <w:rsid w:val="002B2777"/>
    <w:rsid w:val="002B30AD"/>
    <w:rsid w:val="002B32B3"/>
    <w:rsid w:val="002B6370"/>
    <w:rsid w:val="002B6601"/>
    <w:rsid w:val="002B6A2F"/>
    <w:rsid w:val="002B7A47"/>
    <w:rsid w:val="002C0520"/>
    <w:rsid w:val="002C1113"/>
    <w:rsid w:val="002C14C2"/>
    <w:rsid w:val="002C293B"/>
    <w:rsid w:val="002C359A"/>
    <w:rsid w:val="002C4884"/>
    <w:rsid w:val="002C5979"/>
    <w:rsid w:val="002C667B"/>
    <w:rsid w:val="002C7793"/>
    <w:rsid w:val="002C79F6"/>
    <w:rsid w:val="002D00D5"/>
    <w:rsid w:val="002D1241"/>
    <w:rsid w:val="002D1BA3"/>
    <w:rsid w:val="002D1CC1"/>
    <w:rsid w:val="002D3AF1"/>
    <w:rsid w:val="002D4B8F"/>
    <w:rsid w:val="002D7964"/>
    <w:rsid w:val="002E0ED3"/>
    <w:rsid w:val="002E1618"/>
    <w:rsid w:val="002E3E4F"/>
    <w:rsid w:val="002E3E9F"/>
    <w:rsid w:val="002E415C"/>
    <w:rsid w:val="002E42DF"/>
    <w:rsid w:val="002E5373"/>
    <w:rsid w:val="002E5DDE"/>
    <w:rsid w:val="002E5E4E"/>
    <w:rsid w:val="002E792F"/>
    <w:rsid w:val="002F07E9"/>
    <w:rsid w:val="002F09B2"/>
    <w:rsid w:val="002F0EDC"/>
    <w:rsid w:val="002F1C37"/>
    <w:rsid w:val="002F2D7E"/>
    <w:rsid w:val="002F2DE9"/>
    <w:rsid w:val="002F2EF8"/>
    <w:rsid w:val="002F3DE6"/>
    <w:rsid w:val="002F55CE"/>
    <w:rsid w:val="002F7604"/>
    <w:rsid w:val="002F7853"/>
    <w:rsid w:val="002F78BD"/>
    <w:rsid w:val="002F7CF4"/>
    <w:rsid w:val="003001CF"/>
    <w:rsid w:val="003017A6"/>
    <w:rsid w:val="003018F7"/>
    <w:rsid w:val="00301CB0"/>
    <w:rsid w:val="00302648"/>
    <w:rsid w:val="00304155"/>
    <w:rsid w:val="00306347"/>
    <w:rsid w:val="00306435"/>
    <w:rsid w:val="003102BA"/>
    <w:rsid w:val="00312B2A"/>
    <w:rsid w:val="00313459"/>
    <w:rsid w:val="00314E9E"/>
    <w:rsid w:val="003155FC"/>
    <w:rsid w:val="00315C61"/>
    <w:rsid w:val="00315E67"/>
    <w:rsid w:val="00316BBC"/>
    <w:rsid w:val="00316D18"/>
    <w:rsid w:val="00317A16"/>
    <w:rsid w:val="00322B66"/>
    <w:rsid w:val="00323594"/>
    <w:rsid w:val="003247B9"/>
    <w:rsid w:val="00325703"/>
    <w:rsid w:val="00325D4E"/>
    <w:rsid w:val="00327B38"/>
    <w:rsid w:val="00327FAD"/>
    <w:rsid w:val="00330574"/>
    <w:rsid w:val="003319E3"/>
    <w:rsid w:val="00331F3D"/>
    <w:rsid w:val="00332A67"/>
    <w:rsid w:val="00333F1D"/>
    <w:rsid w:val="00334517"/>
    <w:rsid w:val="00335632"/>
    <w:rsid w:val="00336B22"/>
    <w:rsid w:val="00336D04"/>
    <w:rsid w:val="00336F8C"/>
    <w:rsid w:val="00336FE1"/>
    <w:rsid w:val="00340685"/>
    <w:rsid w:val="00340D1E"/>
    <w:rsid w:val="003422A9"/>
    <w:rsid w:val="00342B1E"/>
    <w:rsid w:val="00343C1B"/>
    <w:rsid w:val="00343CE0"/>
    <w:rsid w:val="0034442D"/>
    <w:rsid w:val="00344BEE"/>
    <w:rsid w:val="00346317"/>
    <w:rsid w:val="00346A58"/>
    <w:rsid w:val="0035056D"/>
    <w:rsid w:val="00350DEA"/>
    <w:rsid w:val="0035179E"/>
    <w:rsid w:val="00351C14"/>
    <w:rsid w:val="003530C5"/>
    <w:rsid w:val="00353278"/>
    <w:rsid w:val="00355240"/>
    <w:rsid w:val="00355705"/>
    <w:rsid w:val="003558F1"/>
    <w:rsid w:val="003566E5"/>
    <w:rsid w:val="003570D8"/>
    <w:rsid w:val="00357D61"/>
    <w:rsid w:val="0036009E"/>
    <w:rsid w:val="00360572"/>
    <w:rsid w:val="00360684"/>
    <w:rsid w:val="00360E8E"/>
    <w:rsid w:val="00360F7A"/>
    <w:rsid w:val="003611A8"/>
    <w:rsid w:val="0036123E"/>
    <w:rsid w:val="00361F30"/>
    <w:rsid w:val="00363066"/>
    <w:rsid w:val="00370091"/>
    <w:rsid w:val="00371B13"/>
    <w:rsid w:val="00372810"/>
    <w:rsid w:val="00374010"/>
    <w:rsid w:val="00374E92"/>
    <w:rsid w:val="00375130"/>
    <w:rsid w:val="003770C7"/>
    <w:rsid w:val="0037719B"/>
    <w:rsid w:val="00377849"/>
    <w:rsid w:val="003801E0"/>
    <w:rsid w:val="00380BB0"/>
    <w:rsid w:val="00380D5A"/>
    <w:rsid w:val="00380EB5"/>
    <w:rsid w:val="0038208F"/>
    <w:rsid w:val="0038255D"/>
    <w:rsid w:val="003828E5"/>
    <w:rsid w:val="00384420"/>
    <w:rsid w:val="0038527A"/>
    <w:rsid w:val="0038564B"/>
    <w:rsid w:val="003877B1"/>
    <w:rsid w:val="003903E3"/>
    <w:rsid w:val="003913F0"/>
    <w:rsid w:val="00391D5A"/>
    <w:rsid w:val="00392691"/>
    <w:rsid w:val="00392F1C"/>
    <w:rsid w:val="00393D71"/>
    <w:rsid w:val="003958FD"/>
    <w:rsid w:val="00395F25"/>
    <w:rsid w:val="00396429"/>
    <w:rsid w:val="0039737B"/>
    <w:rsid w:val="003975A3"/>
    <w:rsid w:val="003A0277"/>
    <w:rsid w:val="003A09FD"/>
    <w:rsid w:val="003A1B25"/>
    <w:rsid w:val="003A29DE"/>
    <w:rsid w:val="003A2A8E"/>
    <w:rsid w:val="003A3427"/>
    <w:rsid w:val="003A3CA9"/>
    <w:rsid w:val="003A4168"/>
    <w:rsid w:val="003A5412"/>
    <w:rsid w:val="003A54DB"/>
    <w:rsid w:val="003A55D3"/>
    <w:rsid w:val="003A6062"/>
    <w:rsid w:val="003A643F"/>
    <w:rsid w:val="003A7989"/>
    <w:rsid w:val="003A7B14"/>
    <w:rsid w:val="003A7B17"/>
    <w:rsid w:val="003B0E74"/>
    <w:rsid w:val="003B3200"/>
    <w:rsid w:val="003B32E3"/>
    <w:rsid w:val="003B3D8A"/>
    <w:rsid w:val="003B42C6"/>
    <w:rsid w:val="003B4FE4"/>
    <w:rsid w:val="003B5622"/>
    <w:rsid w:val="003B611E"/>
    <w:rsid w:val="003C0386"/>
    <w:rsid w:val="003C0792"/>
    <w:rsid w:val="003C0A11"/>
    <w:rsid w:val="003C0DA0"/>
    <w:rsid w:val="003C188C"/>
    <w:rsid w:val="003C5134"/>
    <w:rsid w:val="003C5813"/>
    <w:rsid w:val="003C5DAC"/>
    <w:rsid w:val="003C730F"/>
    <w:rsid w:val="003D010F"/>
    <w:rsid w:val="003D1148"/>
    <w:rsid w:val="003D1EFD"/>
    <w:rsid w:val="003D3543"/>
    <w:rsid w:val="003D3ABF"/>
    <w:rsid w:val="003D4B1E"/>
    <w:rsid w:val="003D5138"/>
    <w:rsid w:val="003D5597"/>
    <w:rsid w:val="003D5C9C"/>
    <w:rsid w:val="003D5CA0"/>
    <w:rsid w:val="003D61DD"/>
    <w:rsid w:val="003D67C4"/>
    <w:rsid w:val="003D74A6"/>
    <w:rsid w:val="003D7775"/>
    <w:rsid w:val="003E0FD8"/>
    <w:rsid w:val="003E1DD6"/>
    <w:rsid w:val="003E32EC"/>
    <w:rsid w:val="003E4469"/>
    <w:rsid w:val="003E5593"/>
    <w:rsid w:val="003E696F"/>
    <w:rsid w:val="003E79BC"/>
    <w:rsid w:val="003F0225"/>
    <w:rsid w:val="003F0938"/>
    <w:rsid w:val="003F4E5F"/>
    <w:rsid w:val="003F5A03"/>
    <w:rsid w:val="003F5E8A"/>
    <w:rsid w:val="003F6764"/>
    <w:rsid w:val="003F7C4A"/>
    <w:rsid w:val="004002C1"/>
    <w:rsid w:val="00401638"/>
    <w:rsid w:val="00401FD1"/>
    <w:rsid w:val="004055D9"/>
    <w:rsid w:val="00406782"/>
    <w:rsid w:val="00406E0E"/>
    <w:rsid w:val="00407B6E"/>
    <w:rsid w:val="00407FDD"/>
    <w:rsid w:val="00410789"/>
    <w:rsid w:val="00411962"/>
    <w:rsid w:val="00411D13"/>
    <w:rsid w:val="00412BB8"/>
    <w:rsid w:val="00413109"/>
    <w:rsid w:val="004134F0"/>
    <w:rsid w:val="004148F8"/>
    <w:rsid w:val="0041595F"/>
    <w:rsid w:val="00415A2B"/>
    <w:rsid w:val="00415B16"/>
    <w:rsid w:val="00416796"/>
    <w:rsid w:val="00416B67"/>
    <w:rsid w:val="00416C1B"/>
    <w:rsid w:val="00416E30"/>
    <w:rsid w:val="00420158"/>
    <w:rsid w:val="00422B22"/>
    <w:rsid w:val="00422ED4"/>
    <w:rsid w:val="0042331F"/>
    <w:rsid w:val="00424654"/>
    <w:rsid w:val="00425080"/>
    <w:rsid w:val="0042580B"/>
    <w:rsid w:val="00426909"/>
    <w:rsid w:val="004271EF"/>
    <w:rsid w:val="00430559"/>
    <w:rsid w:val="00430EA4"/>
    <w:rsid w:val="00430F7F"/>
    <w:rsid w:val="00432138"/>
    <w:rsid w:val="00432546"/>
    <w:rsid w:val="00432DDA"/>
    <w:rsid w:val="00433CAD"/>
    <w:rsid w:val="00435C43"/>
    <w:rsid w:val="00435ECE"/>
    <w:rsid w:val="00436211"/>
    <w:rsid w:val="0044037B"/>
    <w:rsid w:val="00440D64"/>
    <w:rsid w:val="004422E1"/>
    <w:rsid w:val="00442BEA"/>
    <w:rsid w:val="00443407"/>
    <w:rsid w:val="00444608"/>
    <w:rsid w:val="00446F3A"/>
    <w:rsid w:val="00450B70"/>
    <w:rsid w:val="00450EF7"/>
    <w:rsid w:val="00451491"/>
    <w:rsid w:val="00452A7D"/>
    <w:rsid w:val="00452C5B"/>
    <w:rsid w:val="00452DB4"/>
    <w:rsid w:val="004536C2"/>
    <w:rsid w:val="0045392B"/>
    <w:rsid w:val="00454696"/>
    <w:rsid w:val="004563B2"/>
    <w:rsid w:val="00456D92"/>
    <w:rsid w:val="00456F24"/>
    <w:rsid w:val="00456FE6"/>
    <w:rsid w:val="00457997"/>
    <w:rsid w:val="00461E38"/>
    <w:rsid w:val="004635D5"/>
    <w:rsid w:val="00463F4E"/>
    <w:rsid w:val="004641F1"/>
    <w:rsid w:val="004648E5"/>
    <w:rsid w:val="00466CDC"/>
    <w:rsid w:val="004670BA"/>
    <w:rsid w:val="0047035B"/>
    <w:rsid w:val="004707C9"/>
    <w:rsid w:val="00471146"/>
    <w:rsid w:val="00472AA6"/>
    <w:rsid w:val="004730AE"/>
    <w:rsid w:val="004735E9"/>
    <w:rsid w:val="00473DA3"/>
    <w:rsid w:val="0047536F"/>
    <w:rsid w:val="004756FE"/>
    <w:rsid w:val="004757F9"/>
    <w:rsid w:val="00475856"/>
    <w:rsid w:val="0047618E"/>
    <w:rsid w:val="00476FEC"/>
    <w:rsid w:val="00477240"/>
    <w:rsid w:val="00480A11"/>
    <w:rsid w:val="00480ADB"/>
    <w:rsid w:val="004813F7"/>
    <w:rsid w:val="00482441"/>
    <w:rsid w:val="004831FA"/>
    <w:rsid w:val="00484A69"/>
    <w:rsid w:val="0048562D"/>
    <w:rsid w:val="00485E82"/>
    <w:rsid w:val="00486664"/>
    <w:rsid w:val="00486B4A"/>
    <w:rsid w:val="00490278"/>
    <w:rsid w:val="00490890"/>
    <w:rsid w:val="00490AE8"/>
    <w:rsid w:val="004918FD"/>
    <w:rsid w:val="00493354"/>
    <w:rsid w:val="00493C06"/>
    <w:rsid w:val="00496C2D"/>
    <w:rsid w:val="004975BA"/>
    <w:rsid w:val="00497655"/>
    <w:rsid w:val="004A05BA"/>
    <w:rsid w:val="004A09B0"/>
    <w:rsid w:val="004A1974"/>
    <w:rsid w:val="004A1B93"/>
    <w:rsid w:val="004A22B3"/>
    <w:rsid w:val="004A276A"/>
    <w:rsid w:val="004A27F8"/>
    <w:rsid w:val="004A4E91"/>
    <w:rsid w:val="004A5289"/>
    <w:rsid w:val="004A55B2"/>
    <w:rsid w:val="004A55BD"/>
    <w:rsid w:val="004A5A3E"/>
    <w:rsid w:val="004A6E4F"/>
    <w:rsid w:val="004B00B2"/>
    <w:rsid w:val="004B034D"/>
    <w:rsid w:val="004B05C2"/>
    <w:rsid w:val="004B1AA9"/>
    <w:rsid w:val="004B1AE8"/>
    <w:rsid w:val="004B22A6"/>
    <w:rsid w:val="004B2A16"/>
    <w:rsid w:val="004B353B"/>
    <w:rsid w:val="004B3AF9"/>
    <w:rsid w:val="004B4747"/>
    <w:rsid w:val="004B4798"/>
    <w:rsid w:val="004B77ED"/>
    <w:rsid w:val="004C1292"/>
    <w:rsid w:val="004C1396"/>
    <w:rsid w:val="004C150F"/>
    <w:rsid w:val="004C1BB7"/>
    <w:rsid w:val="004C2358"/>
    <w:rsid w:val="004C2568"/>
    <w:rsid w:val="004C30D1"/>
    <w:rsid w:val="004C3DED"/>
    <w:rsid w:val="004C5C11"/>
    <w:rsid w:val="004C602E"/>
    <w:rsid w:val="004C6794"/>
    <w:rsid w:val="004C6C3F"/>
    <w:rsid w:val="004C7B58"/>
    <w:rsid w:val="004D0001"/>
    <w:rsid w:val="004D05A4"/>
    <w:rsid w:val="004D0E29"/>
    <w:rsid w:val="004D2B5A"/>
    <w:rsid w:val="004D2FAE"/>
    <w:rsid w:val="004D37D9"/>
    <w:rsid w:val="004D3B31"/>
    <w:rsid w:val="004D3DB1"/>
    <w:rsid w:val="004D53E2"/>
    <w:rsid w:val="004D5AB9"/>
    <w:rsid w:val="004D73FD"/>
    <w:rsid w:val="004E045E"/>
    <w:rsid w:val="004E2003"/>
    <w:rsid w:val="004E34B5"/>
    <w:rsid w:val="004E4451"/>
    <w:rsid w:val="004E4AB6"/>
    <w:rsid w:val="004E4E2A"/>
    <w:rsid w:val="004E509C"/>
    <w:rsid w:val="004E5941"/>
    <w:rsid w:val="004E5B19"/>
    <w:rsid w:val="004E6476"/>
    <w:rsid w:val="004F2846"/>
    <w:rsid w:val="004F2EF7"/>
    <w:rsid w:val="004F4E03"/>
    <w:rsid w:val="004F4E3A"/>
    <w:rsid w:val="004F4E6A"/>
    <w:rsid w:val="004F61A3"/>
    <w:rsid w:val="004F632C"/>
    <w:rsid w:val="004F6672"/>
    <w:rsid w:val="004F750B"/>
    <w:rsid w:val="004F7E2F"/>
    <w:rsid w:val="0050024D"/>
    <w:rsid w:val="0050028E"/>
    <w:rsid w:val="00500B70"/>
    <w:rsid w:val="00501FED"/>
    <w:rsid w:val="00503BC0"/>
    <w:rsid w:val="0050495F"/>
    <w:rsid w:val="00504D06"/>
    <w:rsid w:val="00505CF1"/>
    <w:rsid w:val="00506344"/>
    <w:rsid w:val="005063E2"/>
    <w:rsid w:val="005075C4"/>
    <w:rsid w:val="00511117"/>
    <w:rsid w:val="00511CF8"/>
    <w:rsid w:val="00515D7B"/>
    <w:rsid w:val="00517738"/>
    <w:rsid w:val="00517887"/>
    <w:rsid w:val="00517C76"/>
    <w:rsid w:val="00520C66"/>
    <w:rsid w:val="0052143D"/>
    <w:rsid w:val="00521A8B"/>
    <w:rsid w:val="00521D36"/>
    <w:rsid w:val="00523D39"/>
    <w:rsid w:val="0052454C"/>
    <w:rsid w:val="005247B5"/>
    <w:rsid w:val="0052484A"/>
    <w:rsid w:val="00525073"/>
    <w:rsid w:val="0052522F"/>
    <w:rsid w:val="00526832"/>
    <w:rsid w:val="00527BE2"/>
    <w:rsid w:val="00527C67"/>
    <w:rsid w:val="00531D3F"/>
    <w:rsid w:val="005326FF"/>
    <w:rsid w:val="005328D8"/>
    <w:rsid w:val="0053294D"/>
    <w:rsid w:val="00533CF4"/>
    <w:rsid w:val="0053488A"/>
    <w:rsid w:val="00534AB0"/>
    <w:rsid w:val="005355AE"/>
    <w:rsid w:val="00536975"/>
    <w:rsid w:val="00540B9F"/>
    <w:rsid w:val="00541744"/>
    <w:rsid w:val="0054216A"/>
    <w:rsid w:val="005429D6"/>
    <w:rsid w:val="00542BF7"/>
    <w:rsid w:val="00544048"/>
    <w:rsid w:val="0054409A"/>
    <w:rsid w:val="005455DA"/>
    <w:rsid w:val="00545E94"/>
    <w:rsid w:val="00546DAE"/>
    <w:rsid w:val="005474F9"/>
    <w:rsid w:val="00547913"/>
    <w:rsid w:val="00547D6C"/>
    <w:rsid w:val="005506F4"/>
    <w:rsid w:val="0055088D"/>
    <w:rsid w:val="00552ABE"/>
    <w:rsid w:val="00553517"/>
    <w:rsid w:val="005537DE"/>
    <w:rsid w:val="00554A11"/>
    <w:rsid w:val="005550A0"/>
    <w:rsid w:val="0055528E"/>
    <w:rsid w:val="00555808"/>
    <w:rsid w:val="005558B0"/>
    <w:rsid w:val="00555C9A"/>
    <w:rsid w:val="00556A67"/>
    <w:rsid w:val="00557726"/>
    <w:rsid w:val="0056303B"/>
    <w:rsid w:val="005633B2"/>
    <w:rsid w:val="005645AA"/>
    <w:rsid w:val="00564F93"/>
    <w:rsid w:val="00565090"/>
    <w:rsid w:val="00565258"/>
    <w:rsid w:val="00566096"/>
    <w:rsid w:val="00566C60"/>
    <w:rsid w:val="00566F19"/>
    <w:rsid w:val="005676C9"/>
    <w:rsid w:val="00567AB2"/>
    <w:rsid w:val="00567E6D"/>
    <w:rsid w:val="0057164C"/>
    <w:rsid w:val="00571B7E"/>
    <w:rsid w:val="00572219"/>
    <w:rsid w:val="0057299E"/>
    <w:rsid w:val="005735B2"/>
    <w:rsid w:val="00575610"/>
    <w:rsid w:val="00575B2E"/>
    <w:rsid w:val="00575C2E"/>
    <w:rsid w:val="00575FE2"/>
    <w:rsid w:val="005768CC"/>
    <w:rsid w:val="005769EF"/>
    <w:rsid w:val="00576B02"/>
    <w:rsid w:val="00576BF2"/>
    <w:rsid w:val="00576EDF"/>
    <w:rsid w:val="00580288"/>
    <w:rsid w:val="0058062E"/>
    <w:rsid w:val="005813FC"/>
    <w:rsid w:val="00581979"/>
    <w:rsid w:val="00582E9D"/>
    <w:rsid w:val="00584AFF"/>
    <w:rsid w:val="005854FA"/>
    <w:rsid w:val="00586EDE"/>
    <w:rsid w:val="00586EE6"/>
    <w:rsid w:val="00587561"/>
    <w:rsid w:val="00587BF5"/>
    <w:rsid w:val="00590FF3"/>
    <w:rsid w:val="00591049"/>
    <w:rsid w:val="005920B6"/>
    <w:rsid w:val="00592181"/>
    <w:rsid w:val="005923EF"/>
    <w:rsid w:val="0059296C"/>
    <w:rsid w:val="00593251"/>
    <w:rsid w:val="005935FE"/>
    <w:rsid w:val="005936BB"/>
    <w:rsid w:val="00593B26"/>
    <w:rsid w:val="00594305"/>
    <w:rsid w:val="00594FC3"/>
    <w:rsid w:val="00595909"/>
    <w:rsid w:val="00595EB6"/>
    <w:rsid w:val="00596BB5"/>
    <w:rsid w:val="005A1063"/>
    <w:rsid w:val="005A1AB2"/>
    <w:rsid w:val="005A1D46"/>
    <w:rsid w:val="005A2AEF"/>
    <w:rsid w:val="005A36D7"/>
    <w:rsid w:val="005A5A33"/>
    <w:rsid w:val="005A64F6"/>
    <w:rsid w:val="005A6EB6"/>
    <w:rsid w:val="005B030E"/>
    <w:rsid w:val="005B0E4B"/>
    <w:rsid w:val="005B2CD4"/>
    <w:rsid w:val="005B3681"/>
    <w:rsid w:val="005C0731"/>
    <w:rsid w:val="005C0E5C"/>
    <w:rsid w:val="005C176B"/>
    <w:rsid w:val="005C2AB0"/>
    <w:rsid w:val="005C31F3"/>
    <w:rsid w:val="005C361D"/>
    <w:rsid w:val="005C3DA5"/>
    <w:rsid w:val="005C5515"/>
    <w:rsid w:val="005C5C9F"/>
    <w:rsid w:val="005C666C"/>
    <w:rsid w:val="005C70BA"/>
    <w:rsid w:val="005C771F"/>
    <w:rsid w:val="005C7D0F"/>
    <w:rsid w:val="005D06DD"/>
    <w:rsid w:val="005D15F1"/>
    <w:rsid w:val="005D3089"/>
    <w:rsid w:val="005D38FC"/>
    <w:rsid w:val="005D5244"/>
    <w:rsid w:val="005D5D3F"/>
    <w:rsid w:val="005D6544"/>
    <w:rsid w:val="005D765C"/>
    <w:rsid w:val="005D78D1"/>
    <w:rsid w:val="005E0D10"/>
    <w:rsid w:val="005E15AF"/>
    <w:rsid w:val="005E1E4B"/>
    <w:rsid w:val="005E2129"/>
    <w:rsid w:val="005E2EB3"/>
    <w:rsid w:val="005E3589"/>
    <w:rsid w:val="005E4146"/>
    <w:rsid w:val="005E4D94"/>
    <w:rsid w:val="005E5396"/>
    <w:rsid w:val="005E5545"/>
    <w:rsid w:val="005F01D9"/>
    <w:rsid w:val="005F124B"/>
    <w:rsid w:val="005F1BA9"/>
    <w:rsid w:val="005F2796"/>
    <w:rsid w:val="005F2A66"/>
    <w:rsid w:val="005F3987"/>
    <w:rsid w:val="005F3F80"/>
    <w:rsid w:val="005F4EF1"/>
    <w:rsid w:val="005F5B0E"/>
    <w:rsid w:val="005F5B7C"/>
    <w:rsid w:val="005F6171"/>
    <w:rsid w:val="005F62A3"/>
    <w:rsid w:val="005F7336"/>
    <w:rsid w:val="005F7742"/>
    <w:rsid w:val="005F7C32"/>
    <w:rsid w:val="00601AEE"/>
    <w:rsid w:val="00601C12"/>
    <w:rsid w:val="00603CE1"/>
    <w:rsid w:val="0060501D"/>
    <w:rsid w:val="00605038"/>
    <w:rsid w:val="00606B42"/>
    <w:rsid w:val="00606BBB"/>
    <w:rsid w:val="00607B3F"/>
    <w:rsid w:val="00610419"/>
    <w:rsid w:val="0061083F"/>
    <w:rsid w:val="00611EEE"/>
    <w:rsid w:val="00612373"/>
    <w:rsid w:val="00612772"/>
    <w:rsid w:val="00612FF7"/>
    <w:rsid w:val="00613EBA"/>
    <w:rsid w:val="00615CA2"/>
    <w:rsid w:val="00615DC8"/>
    <w:rsid w:val="006162DD"/>
    <w:rsid w:val="00616B00"/>
    <w:rsid w:val="00617191"/>
    <w:rsid w:val="00617CF7"/>
    <w:rsid w:val="00621730"/>
    <w:rsid w:val="0062280C"/>
    <w:rsid w:val="006230A9"/>
    <w:rsid w:val="006231AB"/>
    <w:rsid w:val="006238C0"/>
    <w:rsid w:val="0062542F"/>
    <w:rsid w:val="006265EB"/>
    <w:rsid w:val="0062703C"/>
    <w:rsid w:val="006275AA"/>
    <w:rsid w:val="006277CF"/>
    <w:rsid w:val="00627F80"/>
    <w:rsid w:val="00631106"/>
    <w:rsid w:val="00631FFA"/>
    <w:rsid w:val="006332A5"/>
    <w:rsid w:val="006353E4"/>
    <w:rsid w:val="00636B85"/>
    <w:rsid w:val="0063717F"/>
    <w:rsid w:val="006400EF"/>
    <w:rsid w:val="00640E01"/>
    <w:rsid w:val="00640E56"/>
    <w:rsid w:val="00640FC0"/>
    <w:rsid w:val="00641C93"/>
    <w:rsid w:val="00642FD9"/>
    <w:rsid w:val="00643053"/>
    <w:rsid w:val="00645102"/>
    <w:rsid w:val="0064596F"/>
    <w:rsid w:val="006461FA"/>
    <w:rsid w:val="00646FA8"/>
    <w:rsid w:val="00647779"/>
    <w:rsid w:val="006507D1"/>
    <w:rsid w:val="00652324"/>
    <w:rsid w:val="006526DA"/>
    <w:rsid w:val="00652C44"/>
    <w:rsid w:val="00655BFB"/>
    <w:rsid w:val="00656152"/>
    <w:rsid w:val="006568D4"/>
    <w:rsid w:val="006573E7"/>
    <w:rsid w:val="0066022F"/>
    <w:rsid w:val="00660332"/>
    <w:rsid w:val="0066095C"/>
    <w:rsid w:val="00661102"/>
    <w:rsid w:val="00662C3F"/>
    <w:rsid w:val="00663278"/>
    <w:rsid w:val="006637B3"/>
    <w:rsid w:val="00665338"/>
    <w:rsid w:val="00665C05"/>
    <w:rsid w:val="0066777D"/>
    <w:rsid w:val="00670E8E"/>
    <w:rsid w:val="006718B7"/>
    <w:rsid w:val="00671B8C"/>
    <w:rsid w:val="006725A0"/>
    <w:rsid w:val="00672B57"/>
    <w:rsid w:val="00672C11"/>
    <w:rsid w:val="006734B4"/>
    <w:rsid w:val="006743CD"/>
    <w:rsid w:val="00674AF6"/>
    <w:rsid w:val="00674C3A"/>
    <w:rsid w:val="00674F34"/>
    <w:rsid w:val="00674FA0"/>
    <w:rsid w:val="006766CA"/>
    <w:rsid w:val="00676982"/>
    <w:rsid w:val="00677696"/>
    <w:rsid w:val="00680191"/>
    <w:rsid w:val="006812CB"/>
    <w:rsid w:val="00681372"/>
    <w:rsid w:val="00681591"/>
    <w:rsid w:val="0068243F"/>
    <w:rsid w:val="00683589"/>
    <w:rsid w:val="00683F31"/>
    <w:rsid w:val="00685C1D"/>
    <w:rsid w:val="00687CBB"/>
    <w:rsid w:val="00687F2F"/>
    <w:rsid w:val="00690C61"/>
    <w:rsid w:val="00690EA9"/>
    <w:rsid w:val="006912AB"/>
    <w:rsid w:val="0069222E"/>
    <w:rsid w:val="00693360"/>
    <w:rsid w:val="00693B1C"/>
    <w:rsid w:val="006960B6"/>
    <w:rsid w:val="006971F2"/>
    <w:rsid w:val="00697865"/>
    <w:rsid w:val="006A0171"/>
    <w:rsid w:val="006A0687"/>
    <w:rsid w:val="006A1264"/>
    <w:rsid w:val="006A2A41"/>
    <w:rsid w:val="006A37F9"/>
    <w:rsid w:val="006A5983"/>
    <w:rsid w:val="006A6056"/>
    <w:rsid w:val="006A6FD9"/>
    <w:rsid w:val="006A72DD"/>
    <w:rsid w:val="006A732E"/>
    <w:rsid w:val="006A7719"/>
    <w:rsid w:val="006B0914"/>
    <w:rsid w:val="006B0CB0"/>
    <w:rsid w:val="006B0D39"/>
    <w:rsid w:val="006B0E56"/>
    <w:rsid w:val="006B2BBC"/>
    <w:rsid w:val="006B402B"/>
    <w:rsid w:val="006B42D1"/>
    <w:rsid w:val="006B5071"/>
    <w:rsid w:val="006B52BB"/>
    <w:rsid w:val="006B678E"/>
    <w:rsid w:val="006B7A0D"/>
    <w:rsid w:val="006C10DA"/>
    <w:rsid w:val="006C3501"/>
    <w:rsid w:val="006C36C2"/>
    <w:rsid w:val="006C538D"/>
    <w:rsid w:val="006C6213"/>
    <w:rsid w:val="006C6C44"/>
    <w:rsid w:val="006C708A"/>
    <w:rsid w:val="006C7961"/>
    <w:rsid w:val="006D1279"/>
    <w:rsid w:val="006D165E"/>
    <w:rsid w:val="006D210F"/>
    <w:rsid w:val="006D2A94"/>
    <w:rsid w:val="006D3523"/>
    <w:rsid w:val="006D3E0D"/>
    <w:rsid w:val="006D3FE7"/>
    <w:rsid w:val="006D4CBB"/>
    <w:rsid w:val="006D571F"/>
    <w:rsid w:val="006D6265"/>
    <w:rsid w:val="006D678D"/>
    <w:rsid w:val="006D6E15"/>
    <w:rsid w:val="006D7E39"/>
    <w:rsid w:val="006E0FF2"/>
    <w:rsid w:val="006E10FF"/>
    <w:rsid w:val="006E35BD"/>
    <w:rsid w:val="006E3745"/>
    <w:rsid w:val="006E470F"/>
    <w:rsid w:val="006E5C8E"/>
    <w:rsid w:val="006E5EF3"/>
    <w:rsid w:val="006E644B"/>
    <w:rsid w:val="006E65FF"/>
    <w:rsid w:val="006E6AB3"/>
    <w:rsid w:val="006E75A6"/>
    <w:rsid w:val="006E77BD"/>
    <w:rsid w:val="006E794F"/>
    <w:rsid w:val="006F020D"/>
    <w:rsid w:val="006F028C"/>
    <w:rsid w:val="006F0ECC"/>
    <w:rsid w:val="006F1165"/>
    <w:rsid w:val="006F2093"/>
    <w:rsid w:val="006F233F"/>
    <w:rsid w:val="006F292D"/>
    <w:rsid w:val="006F3067"/>
    <w:rsid w:val="006F3F21"/>
    <w:rsid w:val="006F42C2"/>
    <w:rsid w:val="006F59BF"/>
    <w:rsid w:val="006F5B19"/>
    <w:rsid w:val="006F6CDC"/>
    <w:rsid w:val="006F787F"/>
    <w:rsid w:val="00700DB7"/>
    <w:rsid w:val="00701690"/>
    <w:rsid w:val="00703681"/>
    <w:rsid w:val="0070368B"/>
    <w:rsid w:val="007058C0"/>
    <w:rsid w:val="007069BB"/>
    <w:rsid w:val="00711E71"/>
    <w:rsid w:val="00711FF0"/>
    <w:rsid w:val="00712141"/>
    <w:rsid w:val="007123DE"/>
    <w:rsid w:val="00712D38"/>
    <w:rsid w:val="007130AE"/>
    <w:rsid w:val="00713337"/>
    <w:rsid w:val="007144F4"/>
    <w:rsid w:val="007164B9"/>
    <w:rsid w:val="007164FB"/>
    <w:rsid w:val="007204ED"/>
    <w:rsid w:val="00721D23"/>
    <w:rsid w:val="00721FD5"/>
    <w:rsid w:val="00722905"/>
    <w:rsid w:val="0072376D"/>
    <w:rsid w:val="0072529B"/>
    <w:rsid w:val="00725E29"/>
    <w:rsid w:val="007260CA"/>
    <w:rsid w:val="00726AB0"/>
    <w:rsid w:val="00727335"/>
    <w:rsid w:val="0072764A"/>
    <w:rsid w:val="00727DBE"/>
    <w:rsid w:val="00727EBE"/>
    <w:rsid w:val="007303B8"/>
    <w:rsid w:val="00732BE8"/>
    <w:rsid w:val="00733008"/>
    <w:rsid w:val="007332DE"/>
    <w:rsid w:val="007350D8"/>
    <w:rsid w:val="0073644F"/>
    <w:rsid w:val="00737AE4"/>
    <w:rsid w:val="00740AAD"/>
    <w:rsid w:val="00741CB4"/>
    <w:rsid w:val="00742385"/>
    <w:rsid w:val="00742491"/>
    <w:rsid w:val="00743812"/>
    <w:rsid w:val="00745ADA"/>
    <w:rsid w:val="00746629"/>
    <w:rsid w:val="00747577"/>
    <w:rsid w:val="0075029B"/>
    <w:rsid w:val="00750430"/>
    <w:rsid w:val="00750D0E"/>
    <w:rsid w:val="00751475"/>
    <w:rsid w:val="007517B2"/>
    <w:rsid w:val="0075193E"/>
    <w:rsid w:val="00751F74"/>
    <w:rsid w:val="00752483"/>
    <w:rsid w:val="007527F6"/>
    <w:rsid w:val="007527FC"/>
    <w:rsid w:val="007534DB"/>
    <w:rsid w:val="00753CF7"/>
    <w:rsid w:val="00754ECE"/>
    <w:rsid w:val="00756EC3"/>
    <w:rsid w:val="00757405"/>
    <w:rsid w:val="007606E8"/>
    <w:rsid w:val="00760B19"/>
    <w:rsid w:val="00760E60"/>
    <w:rsid w:val="0076159F"/>
    <w:rsid w:val="00761B44"/>
    <w:rsid w:val="00762B08"/>
    <w:rsid w:val="00763801"/>
    <w:rsid w:val="00764952"/>
    <w:rsid w:val="00764F3C"/>
    <w:rsid w:val="00766BBE"/>
    <w:rsid w:val="00770632"/>
    <w:rsid w:val="0077072E"/>
    <w:rsid w:val="00770B22"/>
    <w:rsid w:val="00770CB0"/>
    <w:rsid w:val="0077352A"/>
    <w:rsid w:val="00773980"/>
    <w:rsid w:val="007741CD"/>
    <w:rsid w:val="00774A71"/>
    <w:rsid w:val="00774FF8"/>
    <w:rsid w:val="00775CA4"/>
    <w:rsid w:val="00775F80"/>
    <w:rsid w:val="00775F81"/>
    <w:rsid w:val="00776216"/>
    <w:rsid w:val="00776453"/>
    <w:rsid w:val="00776CF2"/>
    <w:rsid w:val="007802B6"/>
    <w:rsid w:val="007805EA"/>
    <w:rsid w:val="00780F81"/>
    <w:rsid w:val="0078243E"/>
    <w:rsid w:val="00782A04"/>
    <w:rsid w:val="00783418"/>
    <w:rsid w:val="007835AD"/>
    <w:rsid w:val="00784862"/>
    <w:rsid w:val="0078545D"/>
    <w:rsid w:val="00785F13"/>
    <w:rsid w:val="00785FBA"/>
    <w:rsid w:val="00786386"/>
    <w:rsid w:val="0078785D"/>
    <w:rsid w:val="00787B1F"/>
    <w:rsid w:val="007916DF"/>
    <w:rsid w:val="0079195B"/>
    <w:rsid w:val="007919A3"/>
    <w:rsid w:val="00791C06"/>
    <w:rsid w:val="00793E8E"/>
    <w:rsid w:val="0079556B"/>
    <w:rsid w:val="007959AF"/>
    <w:rsid w:val="00796335"/>
    <w:rsid w:val="00796DA4"/>
    <w:rsid w:val="007976E3"/>
    <w:rsid w:val="007A00C5"/>
    <w:rsid w:val="007A0B84"/>
    <w:rsid w:val="007A0E2B"/>
    <w:rsid w:val="007A1B95"/>
    <w:rsid w:val="007A243D"/>
    <w:rsid w:val="007A3691"/>
    <w:rsid w:val="007A433B"/>
    <w:rsid w:val="007A46C8"/>
    <w:rsid w:val="007A493E"/>
    <w:rsid w:val="007A4BB6"/>
    <w:rsid w:val="007A4C5B"/>
    <w:rsid w:val="007A4C6D"/>
    <w:rsid w:val="007A4D7E"/>
    <w:rsid w:val="007A5611"/>
    <w:rsid w:val="007A61AE"/>
    <w:rsid w:val="007A6266"/>
    <w:rsid w:val="007A6CE0"/>
    <w:rsid w:val="007A73F1"/>
    <w:rsid w:val="007A7771"/>
    <w:rsid w:val="007A7A0D"/>
    <w:rsid w:val="007A7B33"/>
    <w:rsid w:val="007A7E11"/>
    <w:rsid w:val="007B007A"/>
    <w:rsid w:val="007B0A9C"/>
    <w:rsid w:val="007B174C"/>
    <w:rsid w:val="007B1F4F"/>
    <w:rsid w:val="007B244B"/>
    <w:rsid w:val="007B3344"/>
    <w:rsid w:val="007B3D02"/>
    <w:rsid w:val="007B3D6D"/>
    <w:rsid w:val="007B407E"/>
    <w:rsid w:val="007B4F58"/>
    <w:rsid w:val="007B52AE"/>
    <w:rsid w:val="007B5FB5"/>
    <w:rsid w:val="007C02CA"/>
    <w:rsid w:val="007C1885"/>
    <w:rsid w:val="007C1BA0"/>
    <w:rsid w:val="007C1C0A"/>
    <w:rsid w:val="007C3278"/>
    <w:rsid w:val="007C369F"/>
    <w:rsid w:val="007C3A3B"/>
    <w:rsid w:val="007C41E1"/>
    <w:rsid w:val="007C4A27"/>
    <w:rsid w:val="007C5489"/>
    <w:rsid w:val="007C5DD4"/>
    <w:rsid w:val="007C63C4"/>
    <w:rsid w:val="007C67A8"/>
    <w:rsid w:val="007C6A57"/>
    <w:rsid w:val="007C725F"/>
    <w:rsid w:val="007D0C2A"/>
    <w:rsid w:val="007D21BC"/>
    <w:rsid w:val="007D3B6F"/>
    <w:rsid w:val="007D4241"/>
    <w:rsid w:val="007D493E"/>
    <w:rsid w:val="007D49BB"/>
    <w:rsid w:val="007D50E5"/>
    <w:rsid w:val="007D5AE9"/>
    <w:rsid w:val="007E01E1"/>
    <w:rsid w:val="007E04A2"/>
    <w:rsid w:val="007E0DD6"/>
    <w:rsid w:val="007E1C1B"/>
    <w:rsid w:val="007E25A3"/>
    <w:rsid w:val="007E2840"/>
    <w:rsid w:val="007E29C9"/>
    <w:rsid w:val="007E2BA6"/>
    <w:rsid w:val="007E2F66"/>
    <w:rsid w:val="007E4AD3"/>
    <w:rsid w:val="007E4C12"/>
    <w:rsid w:val="007E6206"/>
    <w:rsid w:val="007E77F4"/>
    <w:rsid w:val="007E7945"/>
    <w:rsid w:val="007F2486"/>
    <w:rsid w:val="007F2B98"/>
    <w:rsid w:val="007F4F76"/>
    <w:rsid w:val="007F7679"/>
    <w:rsid w:val="007F796B"/>
    <w:rsid w:val="0080287E"/>
    <w:rsid w:val="008045A0"/>
    <w:rsid w:val="0080486D"/>
    <w:rsid w:val="00804B4D"/>
    <w:rsid w:val="00805354"/>
    <w:rsid w:val="00805493"/>
    <w:rsid w:val="00806AF2"/>
    <w:rsid w:val="00806B02"/>
    <w:rsid w:val="008073F7"/>
    <w:rsid w:val="00810D10"/>
    <w:rsid w:val="008149ED"/>
    <w:rsid w:val="0081716C"/>
    <w:rsid w:val="00820065"/>
    <w:rsid w:val="008202E9"/>
    <w:rsid w:val="008203D2"/>
    <w:rsid w:val="00820AB7"/>
    <w:rsid w:val="0082111A"/>
    <w:rsid w:val="00821D6E"/>
    <w:rsid w:val="0082220E"/>
    <w:rsid w:val="0082239C"/>
    <w:rsid w:val="00822CC3"/>
    <w:rsid w:val="00823612"/>
    <w:rsid w:val="00823BB0"/>
    <w:rsid w:val="00824D3F"/>
    <w:rsid w:val="008263A4"/>
    <w:rsid w:val="00826A52"/>
    <w:rsid w:val="00826C16"/>
    <w:rsid w:val="0083061C"/>
    <w:rsid w:val="0083075F"/>
    <w:rsid w:val="00830995"/>
    <w:rsid w:val="008310EE"/>
    <w:rsid w:val="00831184"/>
    <w:rsid w:val="00831CF3"/>
    <w:rsid w:val="008322B8"/>
    <w:rsid w:val="00832878"/>
    <w:rsid w:val="00832B54"/>
    <w:rsid w:val="00832C0E"/>
    <w:rsid w:val="00832ECA"/>
    <w:rsid w:val="00833566"/>
    <w:rsid w:val="00833904"/>
    <w:rsid w:val="008339C6"/>
    <w:rsid w:val="0083504D"/>
    <w:rsid w:val="008361FB"/>
    <w:rsid w:val="00836356"/>
    <w:rsid w:val="00836DD7"/>
    <w:rsid w:val="0083732A"/>
    <w:rsid w:val="008374B1"/>
    <w:rsid w:val="00837A0C"/>
    <w:rsid w:val="00840B80"/>
    <w:rsid w:val="00841519"/>
    <w:rsid w:val="00841635"/>
    <w:rsid w:val="00841A65"/>
    <w:rsid w:val="00841C7D"/>
    <w:rsid w:val="00842651"/>
    <w:rsid w:val="00842899"/>
    <w:rsid w:val="00843D0D"/>
    <w:rsid w:val="00845950"/>
    <w:rsid w:val="00845ED6"/>
    <w:rsid w:val="00847A9C"/>
    <w:rsid w:val="00847C59"/>
    <w:rsid w:val="008517AE"/>
    <w:rsid w:val="00851896"/>
    <w:rsid w:val="00851F85"/>
    <w:rsid w:val="0085205A"/>
    <w:rsid w:val="00852839"/>
    <w:rsid w:val="00852DC8"/>
    <w:rsid w:val="00852F08"/>
    <w:rsid w:val="0085322F"/>
    <w:rsid w:val="00854165"/>
    <w:rsid w:val="00854C78"/>
    <w:rsid w:val="008565DA"/>
    <w:rsid w:val="00856BE7"/>
    <w:rsid w:val="00857730"/>
    <w:rsid w:val="00857C9F"/>
    <w:rsid w:val="00860505"/>
    <w:rsid w:val="00860B75"/>
    <w:rsid w:val="00862B68"/>
    <w:rsid w:val="00863847"/>
    <w:rsid w:val="0086411B"/>
    <w:rsid w:val="0086638B"/>
    <w:rsid w:val="008665F7"/>
    <w:rsid w:val="0086665C"/>
    <w:rsid w:val="008709B8"/>
    <w:rsid w:val="00870B53"/>
    <w:rsid w:val="008710F2"/>
    <w:rsid w:val="00871138"/>
    <w:rsid w:val="00875631"/>
    <w:rsid w:val="00875F96"/>
    <w:rsid w:val="008767A9"/>
    <w:rsid w:val="00876994"/>
    <w:rsid w:val="00876998"/>
    <w:rsid w:val="00876A75"/>
    <w:rsid w:val="0087741D"/>
    <w:rsid w:val="008774E1"/>
    <w:rsid w:val="00877690"/>
    <w:rsid w:val="00882B46"/>
    <w:rsid w:val="00882CAF"/>
    <w:rsid w:val="008831D5"/>
    <w:rsid w:val="008832FB"/>
    <w:rsid w:val="00883A9E"/>
    <w:rsid w:val="00883F82"/>
    <w:rsid w:val="00884364"/>
    <w:rsid w:val="00884726"/>
    <w:rsid w:val="00885D0A"/>
    <w:rsid w:val="008868F0"/>
    <w:rsid w:val="0088792D"/>
    <w:rsid w:val="008905FF"/>
    <w:rsid w:val="00891775"/>
    <w:rsid w:val="008917FC"/>
    <w:rsid w:val="00891951"/>
    <w:rsid w:val="008921A7"/>
    <w:rsid w:val="0089281F"/>
    <w:rsid w:val="0089368F"/>
    <w:rsid w:val="00894DA4"/>
    <w:rsid w:val="00895441"/>
    <w:rsid w:val="00895C31"/>
    <w:rsid w:val="00896538"/>
    <w:rsid w:val="008966AE"/>
    <w:rsid w:val="00897AE2"/>
    <w:rsid w:val="008A1198"/>
    <w:rsid w:val="008A16C7"/>
    <w:rsid w:val="008A1FC1"/>
    <w:rsid w:val="008A2021"/>
    <w:rsid w:val="008A2069"/>
    <w:rsid w:val="008A2367"/>
    <w:rsid w:val="008A31AB"/>
    <w:rsid w:val="008A3431"/>
    <w:rsid w:val="008A37BF"/>
    <w:rsid w:val="008A3AFB"/>
    <w:rsid w:val="008A4020"/>
    <w:rsid w:val="008A4F67"/>
    <w:rsid w:val="008A5C48"/>
    <w:rsid w:val="008A64E8"/>
    <w:rsid w:val="008B0970"/>
    <w:rsid w:val="008B0D6F"/>
    <w:rsid w:val="008B11F2"/>
    <w:rsid w:val="008B2305"/>
    <w:rsid w:val="008B2F2B"/>
    <w:rsid w:val="008B3C55"/>
    <w:rsid w:val="008B5BED"/>
    <w:rsid w:val="008B6175"/>
    <w:rsid w:val="008B6422"/>
    <w:rsid w:val="008B67A6"/>
    <w:rsid w:val="008B7C55"/>
    <w:rsid w:val="008C0F4D"/>
    <w:rsid w:val="008C0F68"/>
    <w:rsid w:val="008C2766"/>
    <w:rsid w:val="008C3995"/>
    <w:rsid w:val="008C48DA"/>
    <w:rsid w:val="008C5684"/>
    <w:rsid w:val="008C654B"/>
    <w:rsid w:val="008C6BCA"/>
    <w:rsid w:val="008C6E8B"/>
    <w:rsid w:val="008C715E"/>
    <w:rsid w:val="008C7550"/>
    <w:rsid w:val="008C7983"/>
    <w:rsid w:val="008C7EB9"/>
    <w:rsid w:val="008C7EC8"/>
    <w:rsid w:val="008D031A"/>
    <w:rsid w:val="008D0DAC"/>
    <w:rsid w:val="008D0FFD"/>
    <w:rsid w:val="008D19C7"/>
    <w:rsid w:val="008D1FF5"/>
    <w:rsid w:val="008D36F6"/>
    <w:rsid w:val="008D4809"/>
    <w:rsid w:val="008E0C57"/>
    <w:rsid w:val="008E1C6E"/>
    <w:rsid w:val="008E3E59"/>
    <w:rsid w:val="008E3FD9"/>
    <w:rsid w:val="008E403C"/>
    <w:rsid w:val="008E46EB"/>
    <w:rsid w:val="008E525D"/>
    <w:rsid w:val="008E5D86"/>
    <w:rsid w:val="008E6156"/>
    <w:rsid w:val="008E6565"/>
    <w:rsid w:val="008F0689"/>
    <w:rsid w:val="008F1D73"/>
    <w:rsid w:val="008F29F8"/>
    <w:rsid w:val="008F2FEB"/>
    <w:rsid w:val="008F3177"/>
    <w:rsid w:val="008F37A9"/>
    <w:rsid w:val="008F3EB1"/>
    <w:rsid w:val="008F45C8"/>
    <w:rsid w:val="008F4AF5"/>
    <w:rsid w:val="008F5C01"/>
    <w:rsid w:val="008F5EFC"/>
    <w:rsid w:val="008F7840"/>
    <w:rsid w:val="008F7E9A"/>
    <w:rsid w:val="00900059"/>
    <w:rsid w:val="00900F59"/>
    <w:rsid w:val="009010D0"/>
    <w:rsid w:val="0090222F"/>
    <w:rsid w:val="00902252"/>
    <w:rsid w:val="00902353"/>
    <w:rsid w:val="00903D00"/>
    <w:rsid w:val="00905624"/>
    <w:rsid w:val="0090597F"/>
    <w:rsid w:val="00910F05"/>
    <w:rsid w:val="009127E4"/>
    <w:rsid w:val="00912D37"/>
    <w:rsid w:val="009144A2"/>
    <w:rsid w:val="009145B6"/>
    <w:rsid w:val="00915305"/>
    <w:rsid w:val="0091584A"/>
    <w:rsid w:val="00915BDF"/>
    <w:rsid w:val="00915C93"/>
    <w:rsid w:val="00917804"/>
    <w:rsid w:val="00917811"/>
    <w:rsid w:val="00920BFE"/>
    <w:rsid w:val="00921A98"/>
    <w:rsid w:val="009220AD"/>
    <w:rsid w:val="00923EAB"/>
    <w:rsid w:val="00924F1A"/>
    <w:rsid w:val="00924FA4"/>
    <w:rsid w:val="00925447"/>
    <w:rsid w:val="00925D10"/>
    <w:rsid w:val="00925FAE"/>
    <w:rsid w:val="00926E54"/>
    <w:rsid w:val="009275E5"/>
    <w:rsid w:val="009278C2"/>
    <w:rsid w:val="0093094B"/>
    <w:rsid w:val="009312AE"/>
    <w:rsid w:val="00931811"/>
    <w:rsid w:val="00932605"/>
    <w:rsid w:val="009326C6"/>
    <w:rsid w:val="00933535"/>
    <w:rsid w:val="0093397A"/>
    <w:rsid w:val="009343FB"/>
    <w:rsid w:val="009359A2"/>
    <w:rsid w:val="00935A3A"/>
    <w:rsid w:val="00935F67"/>
    <w:rsid w:val="00935FDB"/>
    <w:rsid w:val="0093693A"/>
    <w:rsid w:val="00937477"/>
    <w:rsid w:val="00937A22"/>
    <w:rsid w:val="00940C90"/>
    <w:rsid w:val="009414AC"/>
    <w:rsid w:val="0094338D"/>
    <w:rsid w:val="0094342A"/>
    <w:rsid w:val="00943FFD"/>
    <w:rsid w:val="009442CF"/>
    <w:rsid w:val="00944A1B"/>
    <w:rsid w:val="00944BD9"/>
    <w:rsid w:val="00944F5A"/>
    <w:rsid w:val="00944F66"/>
    <w:rsid w:val="00945A5F"/>
    <w:rsid w:val="00946B69"/>
    <w:rsid w:val="00947BB4"/>
    <w:rsid w:val="00950A2A"/>
    <w:rsid w:val="0095109A"/>
    <w:rsid w:val="00951B21"/>
    <w:rsid w:val="009527A0"/>
    <w:rsid w:val="00952FF8"/>
    <w:rsid w:val="0095359D"/>
    <w:rsid w:val="00953BA8"/>
    <w:rsid w:val="00955C97"/>
    <w:rsid w:val="009565C1"/>
    <w:rsid w:val="00956B46"/>
    <w:rsid w:val="00957152"/>
    <w:rsid w:val="00957BAC"/>
    <w:rsid w:val="00960845"/>
    <w:rsid w:val="009608AB"/>
    <w:rsid w:val="00960CBA"/>
    <w:rsid w:val="00961201"/>
    <w:rsid w:val="0096176B"/>
    <w:rsid w:val="009636F2"/>
    <w:rsid w:val="00963F82"/>
    <w:rsid w:val="009645A2"/>
    <w:rsid w:val="00966DE0"/>
    <w:rsid w:val="009671F5"/>
    <w:rsid w:val="009677B5"/>
    <w:rsid w:val="00967A48"/>
    <w:rsid w:val="00970FB1"/>
    <w:rsid w:val="00971A64"/>
    <w:rsid w:val="00971B4F"/>
    <w:rsid w:val="0097211F"/>
    <w:rsid w:val="009730B8"/>
    <w:rsid w:val="009738C6"/>
    <w:rsid w:val="00973C5F"/>
    <w:rsid w:val="00974996"/>
    <w:rsid w:val="009753CC"/>
    <w:rsid w:val="0097553C"/>
    <w:rsid w:val="009766D9"/>
    <w:rsid w:val="00976D3F"/>
    <w:rsid w:val="009778FB"/>
    <w:rsid w:val="009802C4"/>
    <w:rsid w:val="00981720"/>
    <w:rsid w:val="00983D67"/>
    <w:rsid w:val="0098484C"/>
    <w:rsid w:val="00985D94"/>
    <w:rsid w:val="00987EAF"/>
    <w:rsid w:val="00990553"/>
    <w:rsid w:val="00990EA0"/>
    <w:rsid w:val="00991F30"/>
    <w:rsid w:val="009953B0"/>
    <w:rsid w:val="0099578F"/>
    <w:rsid w:val="00996294"/>
    <w:rsid w:val="009A0002"/>
    <w:rsid w:val="009A0286"/>
    <w:rsid w:val="009A17CF"/>
    <w:rsid w:val="009A2369"/>
    <w:rsid w:val="009A278C"/>
    <w:rsid w:val="009A326B"/>
    <w:rsid w:val="009A4A18"/>
    <w:rsid w:val="009A4DA9"/>
    <w:rsid w:val="009A5FAA"/>
    <w:rsid w:val="009A60CC"/>
    <w:rsid w:val="009B0912"/>
    <w:rsid w:val="009B3011"/>
    <w:rsid w:val="009B33D7"/>
    <w:rsid w:val="009B3F6C"/>
    <w:rsid w:val="009B4213"/>
    <w:rsid w:val="009B474D"/>
    <w:rsid w:val="009B51B7"/>
    <w:rsid w:val="009B5ABC"/>
    <w:rsid w:val="009B7BD8"/>
    <w:rsid w:val="009C2F60"/>
    <w:rsid w:val="009C48DC"/>
    <w:rsid w:val="009C6F52"/>
    <w:rsid w:val="009C7518"/>
    <w:rsid w:val="009C7F74"/>
    <w:rsid w:val="009D07B0"/>
    <w:rsid w:val="009D089F"/>
    <w:rsid w:val="009D15D5"/>
    <w:rsid w:val="009D1802"/>
    <w:rsid w:val="009D3705"/>
    <w:rsid w:val="009D3DCE"/>
    <w:rsid w:val="009D4D56"/>
    <w:rsid w:val="009D5B4E"/>
    <w:rsid w:val="009E1DFA"/>
    <w:rsid w:val="009E1FEE"/>
    <w:rsid w:val="009E249A"/>
    <w:rsid w:val="009E2A91"/>
    <w:rsid w:val="009E32E7"/>
    <w:rsid w:val="009E33E1"/>
    <w:rsid w:val="009E3E3D"/>
    <w:rsid w:val="009E45EB"/>
    <w:rsid w:val="009E4BC8"/>
    <w:rsid w:val="009E5789"/>
    <w:rsid w:val="009E64C4"/>
    <w:rsid w:val="009E7151"/>
    <w:rsid w:val="009E7DBD"/>
    <w:rsid w:val="009F27B2"/>
    <w:rsid w:val="009F2A89"/>
    <w:rsid w:val="009F3481"/>
    <w:rsid w:val="009F38B0"/>
    <w:rsid w:val="009F4BB8"/>
    <w:rsid w:val="009F4DE8"/>
    <w:rsid w:val="009F4E73"/>
    <w:rsid w:val="009F52B4"/>
    <w:rsid w:val="009F5677"/>
    <w:rsid w:val="009F5CFD"/>
    <w:rsid w:val="009F7AF9"/>
    <w:rsid w:val="00A0006A"/>
    <w:rsid w:val="00A005B3"/>
    <w:rsid w:val="00A00825"/>
    <w:rsid w:val="00A01204"/>
    <w:rsid w:val="00A03A5F"/>
    <w:rsid w:val="00A03B72"/>
    <w:rsid w:val="00A03D46"/>
    <w:rsid w:val="00A0508B"/>
    <w:rsid w:val="00A056F7"/>
    <w:rsid w:val="00A05B28"/>
    <w:rsid w:val="00A06095"/>
    <w:rsid w:val="00A06A61"/>
    <w:rsid w:val="00A076CA"/>
    <w:rsid w:val="00A07A64"/>
    <w:rsid w:val="00A12963"/>
    <w:rsid w:val="00A13258"/>
    <w:rsid w:val="00A144FC"/>
    <w:rsid w:val="00A14577"/>
    <w:rsid w:val="00A14D9B"/>
    <w:rsid w:val="00A14DDA"/>
    <w:rsid w:val="00A167FB"/>
    <w:rsid w:val="00A1689A"/>
    <w:rsid w:val="00A17216"/>
    <w:rsid w:val="00A20758"/>
    <w:rsid w:val="00A21BAC"/>
    <w:rsid w:val="00A23BA5"/>
    <w:rsid w:val="00A248B8"/>
    <w:rsid w:val="00A24E28"/>
    <w:rsid w:val="00A255AD"/>
    <w:rsid w:val="00A25EB1"/>
    <w:rsid w:val="00A26337"/>
    <w:rsid w:val="00A26F75"/>
    <w:rsid w:val="00A27759"/>
    <w:rsid w:val="00A307AE"/>
    <w:rsid w:val="00A30B34"/>
    <w:rsid w:val="00A31C9B"/>
    <w:rsid w:val="00A322EF"/>
    <w:rsid w:val="00A3266C"/>
    <w:rsid w:val="00A32952"/>
    <w:rsid w:val="00A335C8"/>
    <w:rsid w:val="00A34CCD"/>
    <w:rsid w:val="00A34E90"/>
    <w:rsid w:val="00A376C8"/>
    <w:rsid w:val="00A378F3"/>
    <w:rsid w:val="00A43770"/>
    <w:rsid w:val="00A4401E"/>
    <w:rsid w:val="00A475F1"/>
    <w:rsid w:val="00A47AAA"/>
    <w:rsid w:val="00A508F6"/>
    <w:rsid w:val="00A51228"/>
    <w:rsid w:val="00A5130D"/>
    <w:rsid w:val="00A51AA8"/>
    <w:rsid w:val="00A52521"/>
    <w:rsid w:val="00A52DE5"/>
    <w:rsid w:val="00A54276"/>
    <w:rsid w:val="00A54AED"/>
    <w:rsid w:val="00A54E80"/>
    <w:rsid w:val="00A55473"/>
    <w:rsid w:val="00A566FA"/>
    <w:rsid w:val="00A56F21"/>
    <w:rsid w:val="00A607D0"/>
    <w:rsid w:val="00A60EDC"/>
    <w:rsid w:val="00A60F4E"/>
    <w:rsid w:val="00A61252"/>
    <w:rsid w:val="00A61F4B"/>
    <w:rsid w:val="00A621AE"/>
    <w:rsid w:val="00A624AF"/>
    <w:rsid w:val="00A62796"/>
    <w:rsid w:val="00A62E0E"/>
    <w:rsid w:val="00A6475B"/>
    <w:rsid w:val="00A648CA"/>
    <w:rsid w:val="00A64F69"/>
    <w:rsid w:val="00A65D57"/>
    <w:rsid w:val="00A65FE0"/>
    <w:rsid w:val="00A6669C"/>
    <w:rsid w:val="00A6684E"/>
    <w:rsid w:val="00A670B3"/>
    <w:rsid w:val="00A67198"/>
    <w:rsid w:val="00A70862"/>
    <w:rsid w:val="00A70D5A"/>
    <w:rsid w:val="00A710F6"/>
    <w:rsid w:val="00A71A6C"/>
    <w:rsid w:val="00A72ACD"/>
    <w:rsid w:val="00A72C3A"/>
    <w:rsid w:val="00A72FB9"/>
    <w:rsid w:val="00A741DC"/>
    <w:rsid w:val="00A74D00"/>
    <w:rsid w:val="00A750AE"/>
    <w:rsid w:val="00A7520F"/>
    <w:rsid w:val="00A76F43"/>
    <w:rsid w:val="00A80907"/>
    <w:rsid w:val="00A81210"/>
    <w:rsid w:val="00A81B04"/>
    <w:rsid w:val="00A8279C"/>
    <w:rsid w:val="00A82ACC"/>
    <w:rsid w:val="00A8306F"/>
    <w:rsid w:val="00A83412"/>
    <w:rsid w:val="00A83961"/>
    <w:rsid w:val="00A857C2"/>
    <w:rsid w:val="00A86049"/>
    <w:rsid w:val="00A86D2B"/>
    <w:rsid w:val="00A879E4"/>
    <w:rsid w:val="00A87BCF"/>
    <w:rsid w:val="00A87F01"/>
    <w:rsid w:val="00A87F05"/>
    <w:rsid w:val="00A90E98"/>
    <w:rsid w:val="00A92905"/>
    <w:rsid w:val="00A93088"/>
    <w:rsid w:val="00A9318A"/>
    <w:rsid w:val="00A942B2"/>
    <w:rsid w:val="00A94393"/>
    <w:rsid w:val="00A95AF7"/>
    <w:rsid w:val="00A95E83"/>
    <w:rsid w:val="00A961F2"/>
    <w:rsid w:val="00A96327"/>
    <w:rsid w:val="00A96AF4"/>
    <w:rsid w:val="00A9736E"/>
    <w:rsid w:val="00A97375"/>
    <w:rsid w:val="00AA037D"/>
    <w:rsid w:val="00AA054B"/>
    <w:rsid w:val="00AA05E0"/>
    <w:rsid w:val="00AA2B73"/>
    <w:rsid w:val="00AA3A50"/>
    <w:rsid w:val="00AA44CD"/>
    <w:rsid w:val="00AA5DCF"/>
    <w:rsid w:val="00AA5F3B"/>
    <w:rsid w:val="00AA7028"/>
    <w:rsid w:val="00AA7BAC"/>
    <w:rsid w:val="00AA7FF3"/>
    <w:rsid w:val="00AB021E"/>
    <w:rsid w:val="00AB1FF0"/>
    <w:rsid w:val="00AB22A2"/>
    <w:rsid w:val="00AB2B4D"/>
    <w:rsid w:val="00AB33DD"/>
    <w:rsid w:val="00AB3A0B"/>
    <w:rsid w:val="00AB47D5"/>
    <w:rsid w:val="00AB47DB"/>
    <w:rsid w:val="00AB49AD"/>
    <w:rsid w:val="00AB6040"/>
    <w:rsid w:val="00AB6417"/>
    <w:rsid w:val="00AB653F"/>
    <w:rsid w:val="00AB68C2"/>
    <w:rsid w:val="00AB6EC4"/>
    <w:rsid w:val="00AC06CA"/>
    <w:rsid w:val="00AC0A9E"/>
    <w:rsid w:val="00AC0AED"/>
    <w:rsid w:val="00AC23E1"/>
    <w:rsid w:val="00AC2503"/>
    <w:rsid w:val="00AC251B"/>
    <w:rsid w:val="00AC432C"/>
    <w:rsid w:val="00AC4354"/>
    <w:rsid w:val="00AC48F1"/>
    <w:rsid w:val="00AC4B6F"/>
    <w:rsid w:val="00AC6105"/>
    <w:rsid w:val="00AC7A6E"/>
    <w:rsid w:val="00AD0939"/>
    <w:rsid w:val="00AD1EAE"/>
    <w:rsid w:val="00AD3BEB"/>
    <w:rsid w:val="00AD4150"/>
    <w:rsid w:val="00AD5CCB"/>
    <w:rsid w:val="00AD644C"/>
    <w:rsid w:val="00AD6B03"/>
    <w:rsid w:val="00AD75A8"/>
    <w:rsid w:val="00AD7ED1"/>
    <w:rsid w:val="00AE165D"/>
    <w:rsid w:val="00AE1C2B"/>
    <w:rsid w:val="00AE2C63"/>
    <w:rsid w:val="00AE2DB9"/>
    <w:rsid w:val="00AE34B5"/>
    <w:rsid w:val="00AE37B5"/>
    <w:rsid w:val="00AE4491"/>
    <w:rsid w:val="00AE48FF"/>
    <w:rsid w:val="00AE4AE8"/>
    <w:rsid w:val="00AE593A"/>
    <w:rsid w:val="00AE5F9C"/>
    <w:rsid w:val="00AE6345"/>
    <w:rsid w:val="00AE73E5"/>
    <w:rsid w:val="00AE7C66"/>
    <w:rsid w:val="00AF0302"/>
    <w:rsid w:val="00AF05BC"/>
    <w:rsid w:val="00AF090D"/>
    <w:rsid w:val="00AF1F6F"/>
    <w:rsid w:val="00AF241B"/>
    <w:rsid w:val="00AF3B5C"/>
    <w:rsid w:val="00AF3E65"/>
    <w:rsid w:val="00AF3EC2"/>
    <w:rsid w:val="00AF4B25"/>
    <w:rsid w:val="00AF4E45"/>
    <w:rsid w:val="00AF515F"/>
    <w:rsid w:val="00AF65A5"/>
    <w:rsid w:val="00AF7345"/>
    <w:rsid w:val="00B005D1"/>
    <w:rsid w:val="00B00972"/>
    <w:rsid w:val="00B010DC"/>
    <w:rsid w:val="00B026FC"/>
    <w:rsid w:val="00B037D2"/>
    <w:rsid w:val="00B03D3D"/>
    <w:rsid w:val="00B04492"/>
    <w:rsid w:val="00B04CD4"/>
    <w:rsid w:val="00B04F9D"/>
    <w:rsid w:val="00B06BD3"/>
    <w:rsid w:val="00B0712E"/>
    <w:rsid w:val="00B1012C"/>
    <w:rsid w:val="00B123D2"/>
    <w:rsid w:val="00B143E1"/>
    <w:rsid w:val="00B1562F"/>
    <w:rsid w:val="00B15AFB"/>
    <w:rsid w:val="00B1717E"/>
    <w:rsid w:val="00B21660"/>
    <w:rsid w:val="00B21F0D"/>
    <w:rsid w:val="00B23F03"/>
    <w:rsid w:val="00B2418F"/>
    <w:rsid w:val="00B25152"/>
    <w:rsid w:val="00B25D7F"/>
    <w:rsid w:val="00B25DA1"/>
    <w:rsid w:val="00B2603F"/>
    <w:rsid w:val="00B2702F"/>
    <w:rsid w:val="00B3034E"/>
    <w:rsid w:val="00B30576"/>
    <w:rsid w:val="00B31AEC"/>
    <w:rsid w:val="00B33937"/>
    <w:rsid w:val="00B33F68"/>
    <w:rsid w:val="00B34D3C"/>
    <w:rsid w:val="00B363E3"/>
    <w:rsid w:val="00B370B3"/>
    <w:rsid w:val="00B37873"/>
    <w:rsid w:val="00B4069F"/>
    <w:rsid w:val="00B40EC6"/>
    <w:rsid w:val="00B41FE2"/>
    <w:rsid w:val="00B423FA"/>
    <w:rsid w:val="00B43540"/>
    <w:rsid w:val="00B44189"/>
    <w:rsid w:val="00B443A7"/>
    <w:rsid w:val="00B45963"/>
    <w:rsid w:val="00B467AD"/>
    <w:rsid w:val="00B46E1C"/>
    <w:rsid w:val="00B46EAC"/>
    <w:rsid w:val="00B4716B"/>
    <w:rsid w:val="00B47497"/>
    <w:rsid w:val="00B5025A"/>
    <w:rsid w:val="00B50F27"/>
    <w:rsid w:val="00B519D5"/>
    <w:rsid w:val="00B51B69"/>
    <w:rsid w:val="00B521BE"/>
    <w:rsid w:val="00B5316B"/>
    <w:rsid w:val="00B53B73"/>
    <w:rsid w:val="00B5403C"/>
    <w:rsid w:val="00B54524"/>
    <w:rsid w:val="00B5461D"/>
    <w:rsid w:val="00B5566A"/>
    <w:rsid w:val="00B55C17"/>
    <w:rsid w:val="00B56547"/>
    <w:rsid w:val="00B568CA"/>
    <w:rsid w:val="00B5729B"/>
    <w:rsid w:val="00B615D8"/>
    <w:rsid w:val="00B618AC"/>
    <w:rsid w:val="00B621AB"/>
    <w:rsid w:val="00B62302"/>
    <w:rsid w:val="00B6232D"/>
    <w:rsid w:val="00B625AC"/>
    <w:rsid w:val="00B63F7C"/>
    <w:rsid w:val="00B64CB4"/>
    <w:rsid w:val="00B65B8E"/>
    <w:rsid w:val="00B6690F"/>
    <w:rsid w:val="00B67A84"/>
    <w:rsid w:val="00B67B40"/>
    <w:rsid w:val="00B67BCA"/>
    <w:rsid w:val="00B71001"/>
    <w:rsid w:val="00B72FA8"/>
    <w:rsid w:val="00B7536B"/>
    <w:rsid w:val="00B763A1"/>
    <w:rsid w:val="00B76F0E"/>
    <w:rsid w:val="00B826EB"/>
    <w:rsid w:val="00B8349F"/>
    <w:rsid w:val="00B83563"/>
    <w:rsid w:val="00B84751"/>
    <w:rsid w:val="00B8494A"/>
    <w:rsid w:val="00B85110"/>
    <w:rsid w:val="00B870C1"/>
    <w:rsid w:val="00B9069B"/>
    <w:rsid w:val="00B90C17"/>
    <w:rsid w:val="00B90C61"/>
    <w:rsid w:val="00B91C2D"/>
    <w:rsid w:val="00B91D9C"/>
    <w:rsid w:val="00B93A30"/>
    <w:rsid w:val="00B94AB3"/>
    <w:rsid w:val="00B96140"/>
    <w:rsid w:val="00BA0986"/>
    <w:rsid w:val="00BA2005"/>
    <w:rsid w:val="00BA28A7"/>
    <w:rsid w:val="00BA3266"/>
    <w:rsid w:val="00BA3E91"/>
    <w:rsid w:val="00BA3EE3"/>
    <w:rsid w:val="00BA416C"/>
    <w:rsid w:val="00BA5C07"/>
    <w:rsid w:val="00BA60DC"/>
    <w:rsid w:val="00BA6B34"/>
    <w:rsid w:val="00BA6D7F"/>
    <w:rsid w:val="00BA75AE"/>
    <w:rsid w:val="00BB04EE"/>
    <w:rsid w:val="00BB1534"/>
    <w:rsid w:val="00BB290D"/>
    <w:rsid w:val="00BB3215"/>
    <w:rsid w:val="00BB403C"/>
    <w:rsid w:val="00BB40E4"/>
    <w:rsid w:val="00BB4AFB"/>
    <w:rsid w:val="00BB4E1C"/>
    <w:rsid w:val="00BB53AD"/>
    <w:rsid w:val="00BB56C5"/>
    <w:rsid w:val="00BC1653"/>
    <w:rsid w:val="00BC18BD"/>
    <w:rsid w:val="00BC1FCD"/>
    <w:rsid w:val="00BC36E9"/>
    <w:rsid w:val="00BC3715"/>
    <w:rsid w:val="00BC3D94"/>
    <w:rsid w:val="00BC5266"/>
    <w:rsid w:val="00BC5BFA"/>
    <w:rsid w:val="00BC67BD"/>
    <w:rsid w:val="00BC6EAF"/>
    <w:rsid w:val="00BD09B6"/>
    <w:rsid w:val="00BD1F5E"/>
    <w:rsid w:val="00BD2187"/>
    <w:rsid w:val="00BD2C23"/>
    <w:rsid w:val="00BD32EC"/>
    <w:rsid w:val="00BD376E"/>
    <w:rsid w:val="00BD5308"/>
    <w:rsid w:val="00BD585E"/>
    <w:rsid w:val="00BD6BD3"/>
    <w:rsid w:val="00BD6FF8"/>
    <w:rsid w:val="00BD73AB"/>
    <w:rsid w:val="00BD7A0E"/>
    <w:rsid w:val="00BE17EC"/>
    <w:rsid w:val="00BE2B93"/>
    <w:rsid w:val="00BE3107"/>
    <w:rsid w:val="00BE38D2"/>
    <w:rsid w:val="00BE42C6"/>
    <w:rsid w:val="00BE4897"/>
    <w:rsid w:val="00BE5059"/>
    <w:rsid w:val="00BE5F12"/>
    <w:rsid w:val="00BE5F7A"/>
    <w:rsid w:val="00BE73AC"/>
    <w:rsid w:val="00BF028B"/>
    <w:rsid w:val="00BF0494"/>
    <w:rsid w:val="00BF31F8"/>
    <w:rsid w:val="00BF33BE"/>
    <w:rsid w:val="00BF38D6"/>
    <w:rsid w:val="00BF3C1E"/>
    <w:rsid w:val="00BF3E2A"/>
    <w:rsid w:val="00BF3F05"/>
    <w:rsid w:val="00BF4FDE"/>
    <w:rsid w:val="00BF5429"/>
    <w:rsid w:val="00BF5967"/>
    <w:rsid w:val="00BF5E3C"/>
    <w:rsid w:val="00BF6395"/>
    <w:rsid w:val="00BF664F"/>
    <w:rsid w:val="00BF6AE5"/>
    <w:rsid w:val="00BF6B85"/>
    <w:rsid w:val="00BF7610"/>
    <w:rsid w:val="00BF7E24"/>
    <w:rsid w:val="00C005B0"/>
    <w:rsid w:val="00C00784"/>
    <w:rsid w:val="00C025C0"/>
    <w:rsid w:val="00C025CF"/>
    <w:rsid w:val="00C031B0"/>
    <w:rsid w:val="00C03838"/>
    <w:rsid w:val="00C046EE"/>
    <w:rsid w:val="00C0530B"/>
    <w:rsid w:val="00C05878"/>
    <w:rsid w:val="00C059EF"/>
    <w:rsid w:val="00C05BE8"/>
    <w:rsid w:val="00C068AF"/>
    <w:rsid w:val="00C07B55"/>
    <w:rsid w:val="00C10863"/>
    <w:rsid w:val="00C10869"/>
    <w:rsid w:val="00C10C4D"/>
    <w:rsid w:val="00C13F06"/>
    <w:rsid w:val="00C14FC6"/>
    <w:rsid w:val="00C15C4B"/>
    <w:rsid w:val="00C16C53"/>
    <w:rsid w:val="00C2090D"/>
    <w:rsid w:val="00C20921"/>
    <w:rsid w:val="00C2092F"/>
    <w:rsid w:val="00C219A6"/>
    <w:rsid w:val="00C21F6C"/>
    <w:rsid w:val="00C225F8"/>
    <w:rsid w:val="00C22CAC"/>
    <w:rsid w:val="00C230F0"/>
    <w:rsid w:val="00C2344D"/>
    <w:rsid w:val="00C23ACF"/>
    <w:rsid w:val="00C24086"/>
    <w:rsid w:val="00C259E3"/>
    <w:rsid w:val="00C26F06"/>
    <w:rsid w:val="00C271FA"/>
    <w:rsid w:val="00C309D2"/>
    <w:rsid w:val="00C323DD"/>
    <w:rsid w:val="00C32707"/>
    <w:rsid w:val="00C33CAD"/>
    <w:rsid w:val="00C3502E"/>
    <w:rsid w:val="00C35DC4"/>
    <w:rsid w:val="00C40344"/>
    <w:rsid w:val="00C4048E"/>
    <w:rsid w:val="00C4077B"/>
    <w:rsid w:val="00C4121F"/>
    <w:rsid w:val="00C41547"/>
    <w:rsid w:val="00C41E2C"/>
    <w:rsid w:val="00C41F3F"/>
    <w:rsid w:val="00C42176"/>
    <w:rsid w:val="00C42A94"/>
    <w:rsid w:val="00C436F3"/>
    <w:rsid w:val="00C43896"/>
    <w:rsid w:val="00C43FD9"/>
    <w:rsid w:val="00C4461E"/>
    <w:rsid w:val="00C44ABD"/>
    <w:rsid w:val="00C44B4C"/>
    <w:rsid w:val="00C44CD0"/>
    <w:rsid w:val="00C45D46"/>
    <w:rsid w:val="00C45EAC"/>
    <w:rsid w:val="00C463BE"/>
    <w:rsid w:val="00C46540"/>
    <w:rsid w:val="00C50448"/>
    <w:rsid w:val="00C5060F"/>
    <w:rsid w:val="00C506EA"/>
    <w:rsid w:val="00C50B27"/>
    <w:rsid w:val="00C512E0"/>
    <w:rsid w:val="00C51825"/>
    <w:rsid w:val="00C51FA5"/>
    <w:rsid w:val="00C52073"/>
    <w:rsid w:val="00C52331"/>
    <w:rsid w:val="00C54853"/>
    <w:rsid w:val="00C56F34"/>
    <w:rsid w:val="00C5777E"/>
    <w:rsid w:val="00C57940"/>
    <w:rsid w:val="00C57F41"/>
    <w:rsid w:val="00C609E9"/>
    <w:rsid w:val="00C61799"/>
    <w:rsid w:val="00C61B0B"/>
    <w:rsid w:val="00C61F68"/>
    <w:rsid w:val="00C62314"/>
    <w:rsid w:val="00C633D2"/>
    <w:rsid w:val="00C63AE6"/>
    <w:rsid w:val="00C700EA"/>
    <w:rsid w:val="00C70FF3"/>
    <w:rsid w:val="00C74178"/>
    <w:rsid w:val="00C80207"/>
    <w:rsid w:val="00C81540"/>
    <w:rsid w:val="00C81BA6"/>
    <w:rsid w:val="00C820D0"/>
    <w:rsid w:val="00C84829"/>
    <w:rsid w:val="00C86716"/>
    <w:rsid w:val="00C86C66"/>
    <w:rsid w:val="00C86CBC"/>
    <w:rsid w:val="00C90238"/>
    <w:rsid w:val="00C91605"/>
    <w:rsid w:val="00C92A4B"/>
    <w:rsid w:val="00C9346F"/>
    <w:rsid w:val="00C93652"/>
    <w:rsid w:val="00C942A4"/>
    <w:rsid w:val="00C94455"/>
    <w:rsid w:val="00C9497A"/>
    <w:rsid w:val="00C94C33"/>
    <w:rsid w:val="00C957C9"/>
    <w:rsid w:val="00C9630F"/>
    <w:rsid w:val="00C963C8"/>
    <w:rsid w:val="00C9728B"/>
    <w:rsid w:val="00C97C81"/>
    <w:rsid w:val="00CA03B8"/>
    <w:rsid w:val="00CA0828"/>
    <w:rsid w:val="00CA0E01"/>
    <w:rsid w:val="00CA102E"/>
    <w:rsid w:val="00CA1CEC"/>
    <w:rsid w:val="00CA40B0"/>
    <w:rsid w:val="00CA4E7A"/>
    <w:rsid w:val="00CA501F"/>
    <w:rsid w:val="00CA615B"/>
    <w:rsid w:val="00CA68B9"/>
    <w:rsid w:val="00CA6977"/>
    <w:rsid w:val="00CA6A3D"/>
    <w:rsid w:val="00CA6D37"/>
    <w:rsid w:val="00CB271C"/>
    <w:rsid w:val="00CB2D6D"/>
    <w:rsid w:val="00CB3070"/>
    <w:rsid w:val="00CB3596"/>
    <w:rsid w:val="00CB40FF"/>
    <w:rsid w:val="00CB4639"/>
    <w:rsid w:val="00CB4FA8"/>
    <w:rsid w:val="00CB5040"/>
    <w:rsid w:val="00CB531B"/>
    <w:rsid w:val="00CB7034"/>
    <w:rsid w:val="00CC07B5"/>
    <w:rsid w:val="00CC0FBA"/>
    <w:rsid w:val="00CC125E"/>
    <w:rsid w:val="00CC14CA"/>
    <w:rsid w:val="00CC1892"/>
    <w:rsid w:val="00CC262F"/>
    <w:rsid w:val="00CC28B5"/>
    <w:rsid w:val="00CC2B6F"/>
    <w:rsid w:val="00CC2D9B"/>
    <w:rsid w:val="00CC41B9"/>
    <w:rsid w:val="00CC6BF9"/>
    <w:rsid w:val="00CD05B6"/>
    <w:rsid w:val="00CD1289"/>
    <w:rsid w:val="00CD13F0"/>
    <w:rsid w:val="00CD1563"/>
    <w:rsid w:val="00CD215C"/>
    <w:rsid w:val="00CD278A"/>
    <w:rsid w:val="00CD2B45"/>
    <w:rsid w:val="00CD30CA"/>
    <w:rsid w:val="00CD4451"/>
    <w:rsid w:val="00CD5423"/>
    <w:rsid w:val="00CD6589"/>
    <w:rsid w:val="00CD7567"/>
    <w:rsid w:val="00CD766D"/>
    <w:rsid w:val="00CD7D8D"/>
    <w:rsid w:val="00CE1850"/>
    <w:rsid w:val="00CE19D2"/>
    <w:rsid w:val="00CE21FB"/>
    <w:rsid w:val="00CE2DB9"/>
    <w:rsid w:val="00CE3AB1"/>
    <w:rsid w:val="00CE4C45"/>
    <w:rsid w:val="00CE60E7"/>
    <w:rsid w:val="00CE70F4"/>
    <w:rsid w:val="00CF0644"/>
    <w:rsid w:val="00CF160A"/>
    <w:rsid w:val="00CF1F4C"/>
    <w:rsid w:val="00CF3694"/>
    <w:rsid w:val="00CF4BFB"/>
    <w:rsid w:val="00CF50F4"/>
    <w:rsid w:val="00CF53A0"/>
    <w:rsid w:val="00CF64DE"/>
    <w:rsid w:val="00CF7916"/>
    <w:rsid w:val="00D003A7"/>
    <w:rsid w:val="00D003C4"/>
    <w:rsid w:val="00D0076A"/>
    <w:rsid w:val="00D01BBC"/>
    <w:rsid w:val="00D0481F"/>
    <w:rsid w:val="00D04A3B"/>
    <w:rsid w:val="00D0591C"/>
    <w:rsid w:val="00D059C4"/>
    <w:rsid w:val="00D067F1"/>
    <w:rsid w:val="00D06CD4"/>
    <w:rsid w:val="00D06CFB"/>
    <w:rsid w:val="00D074CE"/>
    <w:rsid w:val="00D07713"/>
    <w:rsid w:val="00D10662"/>
    <w:rsid w:val="00D137AA"/>
    <w:rsid w:val="00D149EA"/>
    <w:rsid w:val="00D149EF"/>
    <w:rsid w:val="00D1696F"/>
    <w:rsid w:val="00D170F9"/>
    <w:rsid w:val="00D17447"/>
    <w:rsid w:val="00D17BCF"/>
    <w:rsid w:val="00D2106F"/>
    <w:rsid w:val="00D24C94"/>
    <w:rsid w:val="00D266AA"/>
    <w:rsid w:val="00D2753C"/>
    <w:rsid w:val="00D306E9"/>
    <w:rsid w:val="00D3095B"/>
    <w:rsid w:val="00D31737"/>
    <w:rsid w:val="00D317CE"/>
    <w:rsid w:val="00D318A3"/>
    <w:rsid w:val="00D3260C"/>
    <w:rsid w:val="00D32E49"/>
    <w:rsid w:val="00D32EB9"/>
    <w:rsid w:val="00D33422"/>
    <w:rsid w:val="00D345C2"/>
    <w:rsid w:val="00D35C13"/>
    <w:rsid w:val="00D36772"/>
    <w:rsid w:val="00D3709F"/>
    <w:rsid w:val="00D3719E"/>
    <w:rsid w:val="00D37FDF"/>
    <w:rsid w:val="00D406EB"/>
    <w:rsid w:val="00D42685"/>
    <w:rsid w:val="00D43C59"/>
    <w:rsid w:val="00D440AF"/>
    <w:rsid w:val="00D44201"/>
    <w:rsid w:val="00D449A0"/>
    <w:rsid w:val="00D45301"/>
    <w:rsid w:val="00D458C9"/>
    <w:rsid w:val="00D51B3F"/>
    <w:rsid w:val="00D528DE"/>
    <w:rsid w:val="00D5529B"/>
    <w:rsid w:val="00D56306"/>
    <w:rsid w:val="00D57320"/>
    <w:rsid w:val="00D57352"/>
    <w:rsid w:val="00D62837"/>
    <w:rsid w:val="00D629FE"/>
    <w:rsid w:val="00D63098"/>
    <w:rsid w:val="00D6422E"/>
    <w:rsid w:val="00D64930"/>
    <w:rsid w:val="00D6531C"/>
    <w:rsid w:val="00D66062"/>
    <w:rsid w:val="00D66ED6"/>
    <w:rsid w:val="00D670CB"/>
    <w:rsid w:val="00D67285"/>
    <w:rsid w:val="00D70611"/>
    <w:rsid w:val="00D71EB8"/>
    <w:rsid w:val="00D729CA"/>
    <w:rsid w:val="00D72A74"/>
    <w:rsid w:val="00D750C2"/>
    <w:rsid w:val="00D7510F"/>
    <w:rsid w:val="00D76291"/>
    <w:rsid w:val="00D80C4C"/>
    <w:rsid w:val="00D821D8"/>
    <w:rsid w:val="00D82C34"/>
    <w:rsid w:val="00D83C6D"/>
    <w:rsid w:val="00D83E69"/>
    <w:rsid w:val="00D852CF"/>
    <w:rsid w:val="00D85485"/>
    <w:rsid w:val="00D856F4"/>
    <w:rsid w:val="00D856F8"/>
    <w:rsid w:val="00D87744"/>
    <w:rsid w:val="00D87DDB"/>
    <w:rsid w:val="00D90CC0"/>
    <w:rsid w:val="00D9153C"/>
    <w:rsid w:val="00D92E19"/>
    <w:rsid w:val="00D93A82"/>
    <w:rsid w:val="00D93A98"/>
    <w:rsid w:val="00D93FF7"/>
    <w:rsid w:val="00D941AB"/>
    <w:rsid w:val="00D95B31"/>
    <w:rsid w:val="00D960DF"/>
    <w:rsid w:val="00D96A6F"/>
    <w:rsid w:val="00D9789E"/>
    <w:rsid w:val="00D9793F"/>
    <w:rsid w:val="00D97E6F"/>
    <w:rsid w:val="00DA00D5"/>
    <w:rsid w:val="00DA0622"/>
    <w:rsid w:val="00DA0667"/>
    <w:rsid w:val="00DA0EB1"/>
    <w:rsid w:val="00DA105E"/>
    <w:rsid w:val="00DA1465"/>
    <w:rsid w:val="00DA1609"/>
    <w:rsid w:val="00DA21F5"/>
    <w:rsid w:val="00DA35B9"/>
    <w:rsid w:val="00DA429D"/>
    <w:rsid w:val="00DA478B"/>
    <w:rsid w:val="00DA4A04"/>
    <w:rsid w:val="00DA5ACC"/>
    <w:rsid w:val="00DA5D2D"/>
    <w:rsid w:val="00DA60EF"/>
    <w:rsid w:val="00DA6DB4"/>
    <w:rsid w:val="00DB09F4"/>
    <w:rsid w:val="00DB1E63"/>
    <w:rsid w:val="00DB2EB6"/>
    <w:rsid w:val="00DB347E"/>
    <w:rsid w:val="00DB3BEE"/>
    <w:rsid w:val="00DB4529"/>
    <w:rsid w:val="00DB58A0"/>
    <w:rsid w:val="00DB58CB"/>
    <w:rsid w:val="00DB6506"/>
    <w:rsid w:val="00DB69B6"/>
    <w:rsid w:val="00DB7B65"/>
    <w:rsid w:val="00DC0E81"/>
    <w:rsid w:val="00DC1D19"/>
    <w:rsid w:val="00DC24C3"/>
    <w:rsid w:val="00DC4402"/>
    <w:rsid w:val="00DC5A62"/>
    <w:rsid w:val="00DC69E4"/>
    <w:rsid w:val="00DC7C74"/>
    <w:rsid w:val="00DD19A5"/>
    <w:rsid w:val="00DD3D7D"/>
    <w:rsid w:val="00DD517B"/>
    <w:rsid w:val="00DD5508"/>
    <w:rsid w:val="00DD5BEF"/>
    <w:rsid w:val="00DD5EBE"/>
    <w:rsid w:val="00DD6602"/>
    <w:rsid w:val="00DE0422"/>
    <w:rsid w:val="00DE0530"/>
    <w:rsid w:val="00DE05A3"/>
    <w:rsid w:val="00DE0DF8"/>
    <w:rsid w:val="00DE13CB"/>
    <w:rsid w:val="00DE23C5"/>
    <w:rsid w:val="00DE23CB"/>
    <w:rsid w:val="00DE320C"/>
    <w:rsid w:val="00DE33E1"/>
    <w:rsid w:val="00DE43AF"/>
    <w:rsid w:val="00DE4C9C"/>
    <w:rsid w:val="00DE683E"/>
    <w:rsid w:val="00DF0E0A"/>
    <w:rsid w:val="00DF1864"/>
    <w:rsid w:val="00DF1BF3"/>
    <w:rsid w:val="00DF4C16"/>
    <w:rsid w:val="00DF65E5"/>
    <w:rsid w:val="00DF66B4"/>
    <w:rsid w:val="00DF7206"/>
    <w:rsid w:val="00E024B3"/>
    <w:rsid w:val="00E0268B"/>
    <w:rsid w:val="00E0443C"/>
    <w:rsid w:val="00E05A14"/>
    <w:rsid w:val="00E06582"/>
    <w:rsid w:val="00E06B88"/>
    <w:rsid w:val="00E07100"/>
    <w:rsid w:val="00E076A9"/>
    <w:rsid w:val="00E12418"/>
    <w:rsid w:val="00E13385"/>
    <w:rsid w:val="00E13489"/>
    <w:rsid w:val="00E14146"/>
    <w:rsid w:val="00E14E42"/>
    <w:rsid w:val="00E14E9B"/>
    <w:rsid w:val="00E15DFA"/>
    <w:rsid w:val="00E20280"/>
    <w:rsid w:val="00E20AAE"/>
    <w:rsid w:val="00E21842"/>
    <w:rsid w:val="00E21F17"/>
    <w:rsid w:val="00E22566"/>
    <w:rsid w:val="00E2589E"/>
    <w:rsid w:val="00E27582"/>
    <w:rsid w:val="00E30C6E"/>
    <w:rsid w:val="00E31A4F"/>
    <w:rsid w:val="00E31AC5"/>
    <w:rsid w:val="00E31C29"/>
    <w:rsid w:val="00E356F8"/>
    <w:rsid w:val="00E3733F"/>
    <w:rsid w:val="00E375C2"/>
    <w:rsid w:val="00E37F9A"/>
    <w:rsid w:val="00E40291"/>
    <w:rsid w:val="00E40317"/>
    <w:rsid w:val="00E41162"/>
    <w:rsid w:val="00E4144F"/>
    <w:rsid w:val="00E42020"/>
    <w:rsid w:val="00E435D2"/>
    <w:rsid w:val="00E44203"/>
    <w:rsid w:val="00E44F19"/>
    <w:rsid w:val="00E4513F"/>
    <w:rsid w:val="00E460EF"/>
    <w:rsid w:val="00E46AC7"/>
    <w:rsid w:val="00E46C01"/>
    <w:rsid w:val="00E47ED6"/>
    <w:rsid w:val="00E51548"/>
    <w:rsid w:val="00E51F52"/>
    <w:rsid w:val="00E529E1"/>
    <w:rsid w:val="00E54141"/>
    <w:rsid w:val="00E54DCB"/>
    <w:rsid w:val="00E54DCC"/>
    <w:rsid w:val="00E54ED2"/>
    <w:rsid w:val="00E56384"/>
    <w:rsid w:val="00E56B85"/>
    <w:rsid w:val="00E5783E"/>
    <w:rsid w:val="00E60C18"/>
    <w:rsid w:val="00E6122D"/>
    <w:rsid w:val="00E635BE"/>
    <w:rsid w:val="00E63703"/>
    <w:rsid w:val="00E6378F"/>
    <w:rsid w:val="00E64996"/>
    <w:rsid w:val="00E650B4"/>
    <w:rsid w:val="00E659A6"/>
    <w:rsid w:val="00E67216"/>
    <w:rsid w:val="00E67469"/>
    <w:rsid w:val="00E70704"/>
    <w:rsid w:val="00E70DCC"/>
    <w:rsid w:val="00E71307"/>
    <w:rsid w:val="00E7204A"/>
    <w:rsid w:val="00E72113"/>
    <w:rsid w:val="00E72D46"/>
    <w:rsid w:val="00E75662"/>
    <w:rsid w:val="00E766D5"/>
    <w:rsid w:val="00E76B34"/>
    <w:rsid w:val="00E7720F"/>
    <w:rsid w:val="00E77355"/>
    <w:rsid w:val="00E77419"/>
    <w:rsid w:val="00E81D50"/>
    <w:rsid w:val="00E834CC"/>
    <w:rsid w:val="00E84742"/>
    <w:rsid w:val="00E84778"/>
    <w:rsid w:val="00E8643F"/>
    <w:rsid w:val="00E87BF1"/>
    <w:rsid w:val="00E87F7E"/>
    <w:rsid w:val="00E87FC5"/>
    <w:rsid w:val="00E90435"/>
    <w:rsid w:val="00E9287C"/>
    <w:rsid w:val="00E92B24"/>
    <w:rsid w:val="00E92BE7"/>
    <w:rsid w:val="00E9367F"/>
    <w:rsid w:val="00E93E5A"/>
    <w:rsid w:val="00E9438F"/>
    <w:rsid w:val="00E94B31"/>
    <w:rsid w:val="00E94E93"/>
    <w:rsid w:val="00E95D27"/>
    <w:rsid w:val="00E96C3A"/>
    <w:rsid w:val="00E96E31"/>
    <w:rsid w:val="00E97C0B"/>
    <w:rsid w:val="00E97E09"/>
    <w:rsid w:val="00EA0914"/>
    <w:rsid w:val="00EA1BEF"/>
    <w:rsid w:val="00EA1CF8"/>
    <w:rsid w:val="00EA243C"/>
    <w:rsid w:val="00EA2742"/>
    <w:rsid w:val="00EA27C7"/>
    <w:rsid w:val="00EA29CF"/>
    <w:rsid w:val="00EA3E69"/>
    <w:rsid w:val="00EA7885"/>
    <w:rsid w:val="00EB17A5"/>
    <w:rsid w:val="00EB1BE5"/>
    <w:rsid w:val="00EB1D9D"/>
    <w:rsid w:val="00EB63DB"/>
    <w:rsid w:val="00EB6D2E"/>
    <w:rsid w:val="00EB6F33"/>
    <w:rsid w:val="00EB780E"/>
    <w:rsid w:val="00EB79E0"/>
    <w:rsid w:val="00EB7CCE"/>
    <w:rsid w:val="00EC00A4"/>
    <w:rsid w:val="00EC00B4"/>
    <w:rsid w:val="00EC0927"/>
    <w:rsid w:val="00EC2B26"/>
    <w:rsid w:val="00EC2B8B"/>
    <w:rsid w:val="00EC31D5"/>
    <w:rsid w:val="00EC3225"/>
    <w:rsid w:val="00EC33C3"/>
    <w:rsid w:val="00EC35AD"/>
    <w:rsid w:val="00EC48F5"/>
    <w:rsid w:val="00EC551F"/>
    <w:rsid w:val="00EC5EFB"/>
    <w:rsid w:val="00EC715C"/>
    <w:rsid w:val="00EC766B"/>
    <w:rsid w:val="00EC79E3"/>
    <w:rsid w:val="00ED0537"/>
    <w:rsid w:val="00ED07A0"/>
    <w:rsid w:val="00ED0C25"/>
    <w:rsid w:val="00ED13D8"/>
    <w:rsid w:val="00ED1821"/>
    <w:rsid w:val="00ED1F8A"/>
    <w:rsid w:val="00ED258D"/>
    <w:rsid w:val="00ED2697"/>
    <w:rsid w:val="00ED312F"/>
    <w:rsid w:val="00ED3B7D"/>
    <w:rsid w:val="00ED3ED3"/>
    <w:rsid w:val="00ED4623"/>
    <w:rsid w:val="00ED579A"/>
    <w:rsid w:val="00ED59ED"/>
    <w:rsid w:val="00ED6047"/>
    <w:rsid w:val="00ED6521"/>
    <w:rsid w:val="00ED65C3"/>
    <w:rsid w:val="00ED6CFE"/>
    <w:rsid w:val="00ED7A52"/>
    <w:rsid w:val="00ED7F6F"/>
    <w:rsid w:val="00EE0584"/>
    <w:rsid w:val="00EE06C4"/>
    <w:rsid w:val="00EE24C6"/>
    <w:rsid w:val="00EE31E5"/>
    <w:rsid w:val="00EE3534"/>
    <w:rsid w:val="00EE568F"/>
    <w:rsid w:val="00EE6657"/>
    <w:rsid w:val="00EE67AA"/>
    <w:rsid w:val="00EE682F"/>
    <w:rsid w:val="00EE6B56"/>
    <w:rsid w:val="00EE6C1D"/>
    <w:rsid w:val="00EE6C60"/>
    <w:rsid w:val="00EE6EBD"/>
    <w:rsid w:val="00EE788D"/>
    <w:rsid w:val="00EE7911"/>
    <w:rsid w:val="00EF2CE5"/>
    <w:rsid w:val="00EF3299"/>
    <w:rsid w:val="00EF3886"/>
    <w:rsid w:val="00EF7852"/>
    <w:rsid w:val="00F010BE"/>
    <w:rsid w:val="00F016F6"/>
    <w:rsid w:val="00F0170C"/>
    <w:rsid w:val="00F01AE7"/>
    <w:rsid w:val="00F04047"/>
    <w:rsid w:val="00F0498F"/>
    <w:rsid w:val="00F051E3"/>
    <w:rsid w:val="00F0523F"/>
    <w:rsid w:val="00F056D3"/>
    <w:rsid w:val="00F1152A"/>
    <w:rsid w:val="00F11B1B"/>
    <w:rsid w:val="00F121C4"/>
    <w:rsid w:val="00F1262F"/>
    <w:rsid w:val="00F12BCF"/>
    <w:rsid w:val="00F12FC9"/>
    <w:rsid w:val="00F131C3"/>
    <w:rsid w:val="00F13BE6"/>
    <w:rsid w:val="00F150D1"/>
    <w:rsid w:val="00F15134"/>
    <w:rsid w:val="00F15AE7"/>
    <w:rsid w:val="00F17245"/>
    <w:rsid w:val="00F17912"/>
    <w:rsid w:val="00F20252"/>
    <w:rsid w:val="00F20AE0"/>
    <w:rsid w:val="00F21631"/>
    <w:rsid w:val="00F21D33"/>
    <w:rsid w:val="00F2217D"/>
    <w:rsid w:val="00F22A55"/>
    <w:rsid w:val="00F23101"/>
    <w:rsid w:val="00F234EF"/>
    <w:rsid w:val="00F240FC"/>
    <w:rsid w:val="00F2506F"/>
    <w:rsid w:val="00F2577F"/>
    <w:rsid w:val="00F26226"/>
    <w:rsid w:val="00F26537"/>
    <w:rsid w:val="00F27A08"/>
    <w:rsid w:val="00F27FB2"/>
    <w:rsid w:val="00F30799"/>
    <w:rsid w:val="00F3133C"/>
    <w:rsid w:val="00F31C78"/>
    <w:rsid w:val="00F32897"/>
    <w:rsid w:val="00F32D25"/>
    <w:rsid w:val="00F33D5B"/>
    <w:rsid w:val="00F341A9"/>
    <w:rsid w:val="00F36364"/>
    <w:rsid w:val="00F36B44"/>
    <w:rsid w:val="00F40CB8"/>
    <w:rsid w:val="00F42AE3"/>
    <w:rsid w:val="00F44932"/>
    <w:rsid w:val="00F4630A"/>
    <w:rsid w:val="00F46708"/>
    <w:rsid w:val="00F46CA7"/>
    <w:rsid w:val="00F47994"/>
    <w:rsid w:val="00F47D50"/>
    <w:rsid w:val="00F47EAE"/>
    <w:rsid w:val="00F521B0"/>
    <w:rsid w:val="00F52CC4"/>
    <w:rsid w:val="00F53612"/>
    <w:rsid w:val="00F53B51"/>
    <w:rsid w:val="00F540A8"/>
    <w:rsid w:val="00F54212"/>
    <w:rsid w:val="00F55FE9"/>
    <w:rsid w:val="00F56DB0"/>
    <w:rsid w:val="00F57C4C"/>
    <w:rsid w:val="00F57E39"/>
    <w:rsid w:val="00F60282"/>
    <w:rsid w:val="00F630F6"/>
    <w:rsid w:val="00F63C7A"/>
    <w:rsid w:val="00F64453"/>
    <w:rsid w:val="00F654FA"/>
    <w:rsid w:val="00F66E71"/>
    <w:rsid w:val="00F67769"/>
    <w:rsid w:val="00F67AF9"/>
    <w:rsid w:val="00F7002E"/>
    <w:rsid w:val="00F7023B"/>
    <w:rsid w:val="00F705E7"/>
    <w:rsid w:val="00F70D6C"/>
    <w:rsid w:val="00F7348A"/>
    <w:rsid w:val="00F73653"/>
    <w:rsid w:val="00F74A75"/>
    <w:rsid w:val="00F74EED"/>
    <w:rsid w:val="00F74F38"/>
    <w:rsid w:val="00F7530B"/>
    <w:rsid w:val="00F758DF"/>
    <w:rsid w:val="00F76DF5"/>
    <w:rsid w:val="00F7733F"/>
    <w:rsid w:val="00F8076B"/>
    <w:rsid w:val="00F81A1F"/>
    <w:rsid w:val="00F82061"/>
    <w:rsid w:val="00F82C7D"/>
    <w:rsid w:val="00F8450C"/>
    <w:rsid w:val="00F85534"/>
    <w:rsid w:val="00F85A25"/>
    <w:rsid w:val="00F85BAC"/>
    <w:rsid w:val="00F87669"/>
    <w:rsid w:val="00F87913"/>
    <w:rsid w:val="00F90088"/>
    <w:rsid w:val="00F92410"/>
    <w:rsid w:val="00F9290F"/>
    <w:rsid w:val="00F92D15"/>
    <w:rsid w:val="00F92DC1"/>
    <w:rsid w:val="00F93083"/>
    <w:rsid w:val="00F93C6E"/>
    <w:rsid w:val="00F94373"/>
    <w:rsid w:val="00F94F7A"/>
    <w:rsid w:val="00F95420"/>
    <w:rsid w:val="00F95B2C"/>
    <w:rsid w:val="00F95BF4"/>
    <w:rsid w:val="00F97404"/>
    <w:rsid w:val="00F97567"/>
    <w:rsid w:val="00F97706"/>
    <w:rsid w:val="00FA033A"/>
    <w:rsid w:val="00FA043E"/>
    <w:rsid w:val="00FA04D6"/>
    <w:rsid w:val="00FA10F8"/>
    <w:rsid w:val="00FA1703"/>
    <w:rsid w:val="00FA1A07"/>
    <w:rsid w:val="00FA1E25"/>
    <w:rsid w:val="00FA1F6D"/>
    <w:rsid w:val="00FA2205"/>
    <w:rsid w:val="00FA3857"/>
    <w:rsid w:val="00FA3B5D"/>
    <w:rsid w:val="00FA45C2"/>
    <w:rsid w:val="00FA5815"/>
    <w:rsid w:val="00FA6564"/>
    <w:rsid w:val="00FA6AF6"/>
    <w:rsid w:val="00FA7966"/>
    <w:rsid w:val="00FB1572"/>
    <w:rsid w:val="00FB18EA"/>
    <w:rsid w:val="00FB2049"/>
    <w:rsid w:val="00FB2323"/>
    <w:rsid w:val="00FB2363"/>
    <w:rsid w:val="00FB2583"/>
    <w:rsid w:val="00FB2CCC"/>
    <w:rsid w:val="00FB30B9"/>
    <w:rsid w:val="00FB3269"/>
    <w:rsid w:val="00FB37E8"/>
    <w:rsid w:val="00FB45D2"/>
    <w:rsid w:val="00FB50D8"/>
    <w:rsid w:val="00FB54E0"/>
    <w:rsid w:val="00FB6857"/>
    <w:rsid w:val="00FB7005"/>
    <w:rsid w:val="00FB74AC"/>
    <w:rsid w:val="00FB7547"/>
    <w:rsid w:val="00FC02D5"/>
    <w:rsid w:val="00FC0459"/>
    <w:rsid w:val="00FC0A73"/>
    <w:rsid w:val="00FC12A9"/>
    <w:rsid w:val="00FC1449"/>
    <w:rsid w:val="00FC18E4"/>
    <w:rsid w:val="00FC246C"/>
    <w:rsid w:val="00FC2CDD"/>
    <w:rsid w:val="00FC2E38"/>
    <w:rsid w:val="00FC3414"/>
    <w:rsid w:val="00FC3C5C"/>
    <w:rsid w:val="00FC42E0"/>
    <w:rsid w:val="00FC456C"/>
    <w:rsid w:val="00FC4779"/>
    <w:rsid w:val="00FC52F1"/>
    <w:rsid w:val="00FC5561"/>
    <w:rsid w:val="00FC5672"/>
    <w:rsid w:val="00FC5835"/>
    <w:rsid w:val="00FC5F2B"/>
    <w:rsid w:val="00FC6196"/>
    <w:rsid w:val="00FC68C8"/>
    <w:rsid w:val="00FC6FFC"/>
    <w:rsid w:val="00FC70AE"/>
    <w:rsid w:val="00FC729F"/>
    <w:rsid w:val="00FD0E83"/>
    <w:rsid w:val="00FD1038"/>
    <w:rsid w:val="00FD18F1"/>
    <w:rsid w:val="00FD1F6A"/>
    <w:rsid w:val="00FD2509"/>
    <w:rsid w:val="00FD25F5"/>
    <w:rsid w:val="00FD348B"/>
    <w:rsid w:val="00FD371D"/>
    <w:rsid w:val="00FD3A28"/>
    <w:rsid w:val="00FD423B"/>
    <w:rsid w:val="00FD50CC"/>
    <w:rsid w:val="00FD5F7F"/>
    <w:rsid w:val="00FD64CE"/>
    <w:rsid w:val="00FD67EC"/>
    <w:rsid w:val="00FD7758"/>
    <w:rsid w:val="00FE0149"/>
    <w:rsid w:val="00FE0C99"/>
    <w:rsid w:val="00FE0FC6"/>
    <w:rsid w:val="00FE2D57"/>
    <w:rsid w:val="00FE3772"/>
    <w:rsid w:val="00FE5C93"/>
    <w:rsid w:val="00FE5EF8"/>
    <w:rsid w:val="00FF4347"/>
    <w:rsid w:val="00FF43E0"/>
    <w:rsid w:val="00FF464C"/>
    <w:rsid w:val="00FF4C39"/>
    <w:rsid w:val="00FF7727"/>
    <w:rsid w:val="025110A5"/>
    <w:rsid w:val="03C13301"/>
    <w:rsid w:val="04775C0E"/>
    <w:rsid w:val="09B23C0C"/>
    <w:rsid w:val="09BD530B"/>
    <w:rsid w:val="0E347FDD"/>
    <w:rsid w:val="0E534B70"/>
    <w:rsid w:val="0FFD3476"/>
    <w:rsid w:val="101504F3"/>
    <w:rsid w:val="12F833CA"/>
    <w:rsid w:val="141971D7"/>
    <w:rsid w:val="18923D5F"/>
    <w:rsid w:val="1A875A3A"/>
    <w:rsid w:val="1AACB6EC"/>
    <w:rsid w:val="1B644CCC"/>
    <w:rsid w:val="1B8C1891"/>
    <w:rsid w:val="1BF15C0C"/>
    <w:rsid w:val="1C292BE8"/>
    <w:rsid w:val="1D6806A9"/>
    <w:rsid w:val="1EBD532D"/>
    <w:rsid w:val="211D624F"/>
    <w:rsid w:val="21A174E4"/>
    <w:rsid w:val="23052B6D"/>
    <w:rsid w:val="244F38B4"/>
    <w:rsid w:val="25075360"/>
    <w:rsid w:val="254C0DDD"/>
    <w:rsid w:val="263F5B97"/>
    <w:rsid w:val="27B16DAB"/>
    <w:rsid w:val="2A9E51B3"/>
    <w:rsid w:val="2CEE5FC0"/>
    <w:rsid w:val="2E0D2037"/>
    <w:rsid w:val="2E1113A3"/>
    <w:rsid w:val="31CA113F"/>
    <w:rsid w:val="32946609"/>
    <w:rsid w:val="357E1B1B"/>
    <w:rsid w:val="36DE6AA1"/>
    <w:rsid w:val="374B3740"/>
    <w:rsid w:val="37852284"/>
    <w:rsid w:val="379FDC24"/>
    <w:rsid w:val="3AAE7BD3"/>
    <w:rsid w:val="3B8C7CDE"/>
    <w:rsid w:val="3DEEBE5D"/>
    <w:rsid w:val="3E685E25"/>
    <w:rsid w:val="3E9F16A1"/>
    <w:rsid w:val="3EF236CB"/>
    <w:rsid w:val="3FC01B69"/>
    <w:rsid w:val="403458E6"/>
    <w:rsid w:val="44C76229"/>
    <w:rsid w:val="46CC200A"/>
    <w:rsid w:val="485C3F32"/>
    <w:rsid w:val="4AFD41E3"/>
    <w:rsid w:val="4CAC54C2"/>
    <w:rsid w:val="4F7A16F8"/>
    <w:rsid w:val="52347B6B"/>
    <w:rsid w:val="546E7091"/>
    <w:rsid w:val="54F724B6"/>
    <w:rsid w:val="564D4859"/>
    <w:rsid w:val="579F5C65"/>
    <w:rsid w:val="585C0985"/>
    <w:rsid w:val="596DA985"/>
    <w:rsid w:val="59E11A5F"/>
    <w:rsid w:val="5A9809C7"/>
    <w:rsid w:val="5B4F6759"/>
    <w:rsid w:val="5B7524C5"/>
    <w:rsid w:val="5CDD04E9"/>
    <w:rsid w:val="5DB36ACB"/>
    <w:rsid w:val="5E7E2AD8"/>
    <w:rsid w:val="5F69474F"/>
    <w:rsid w:val="5FCDAA73"/>
    <w:rsid w:val="606A4AF8"/>
    <w:rsid w:val="61B81747"/>
    <w:rsid w:val="625C5B8D"/>
    <w:rsid w:val="65D674B0"/>
    <w:rsid w:val="6663200A"/>
    <w:rsid w:val="68122C4A"/>
    <w:rsid w:val="69A27D6F"/>
    <w:rsid w:val="6BB516C6"/>
    <w:rsid w:val="711247B3"/>
    <w:rsid w:val="752F123D"/>
    <w:rsid w:val="75BFE640"/>
    <w:rsid w:val="75BFF3D5"/>
    <w:rsid w:val="77D54F9D"/>
    <w:rsid w:val="788F5A85"/>
    <w:rsid w:val="790A4622"/>
    <w:rsid w:val="797E49E5"/>
    <w:rsid w:val="79E95B38"/>
    <w:rsid w:val="7AFCF803"/>
    <w:rsid w:val="7B0669E6"/>
    <w:rsid w:val="7BAC0672"/>
    <w:rsid w:val="7F5E347E"/>
    <w:rsid w:val="7F613461"/>
    <w:rsid w:val="7FD60253"/>
    <w:rsid w:val="7FF3F82D"/>
    <w:rsid w:val="AFFD4260"/>
    <w:rsid w:val="B7DA812A"/>
    <w:rsid w:val="BA7B23C6"/>
    <w:rsid w:val="BDFB1BD3"/>
    <w:rsid w:val="BEBC10A7"/>
    <w:rsid w:val="BFBF63D9"/>
    <w:rsid w:val="D21DDCB3"/>
    <w:rsid w:val="D7F58DCF"/>
    <w:rsid w:val="DD7D457A"/>
    <w:rsid w:val="EEA78EC7"/>
    <w:rsid w:val="F3B9E377"/>
    <w:rsid w:val="F6D20C15"/>
    <w:rsid w:val="FBEF4DEE"/>
    <w:rsid w:val="FDDFF122"/>
    <w:rsid w:val="FDEFB088"/>
    <w:rsid w:val="FF77E9D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spacing w:before="260" w:after="260" w:line="416" w:lineRule="auto"/>
      <w:outlineLvl w:val="1"/>
    </w:pPr>
    <w:rPr>
      <w:rFonts w:ascii="等线 Light" w:hAnsi="等线 Light" w:eastAsia="黑体" w:cs="黑体"/>
      <w:b/>
      <w:bCs/>
      <w:sz w:val="32"/>
      <w:szCs w:val="32"/>
    </w:rPr>
  </w:style>
  <w:style w:type="character" w:default="1" w:styleId="19">
    <w:name w:val="Default Paragraph Font"/>
    <w:qFormat/>
    <w:uiPriority w:val="0"/>
  </w:style>
  <w:style w:type="table" w:default="1" w:styleId="17">
    <w:name w:val="Normal Table"/>
    <w:qFormat/>
    <w:uiPriority w:val="0"/>
    <w:tblPr>
      <w:tblCellMar>
        <w:top w:w="0" w:type="dxa"/>
        <w:left w:w="108" w:type="dxa"/>
        <w:bottom w:w="0" w:type="dxa"/>
        <w:right w:w="108" w:type="dxa"/>
      </w:tblCellMar>
    </w:tblPr>
  </w:style>
  <w:style w:type="paragraph" w:styleId="4">
    <w:name w:val="Normal Indent"/>
    <w:basedOn w:val="1"/>
    <w:link w:val="41"/>
    <w:qFormat/>
    <w:uiPriority w:val="0"/>
    <w:pPr>
      <w:ind w:firstLine="420"/>
    </w:pPr>
    <w:rPr>
      <w:szCs w:val="20"/>
    </w:rPr>
  </w:style>
  <w:style w:type="paragraph" w:styleId="5">
    <w:name w:val="Document Map"/>
    <w:basedOn w:val="1"/>
    <w:link w:val="32"/>
    <w:qFormat/>
    <w:uiPriority w:val="0"/>
    <w:rPr>
      <w:rFonts w:ascii="宋体" w:hAnsi="等线" w:eastAsia="宋体" w:cs="黑体"/>
      <w:sz w:val="18"/>
      <w:szCs w:val="18"/>
    </w:rPr>
  </w:style>
  <w:style w:type="paragraph" w:styleId="6">
    <w:name w:val="Body Text"/>
    <w:basedOn w:val="1"/>
    <w:link w:val="36"/>
    <w:qFormat/>
    <w:uiPriority w:val="0"/>
    <w:pPr>
      <w:adjustRightInd w:val="0"/>
      <w:snapToGrid w:val="0"/>
      <w:spacing w:line="240" w:lineRule="atLeast"/>
      <w:jc w:val="center"/>
    </w:pPr>
    <w:rPr>
      <w:b/>
      <w:bCs/>
      <w:sz w:val="44"/>
    </w:rPr>
  </w:style>
  <w:style w:type="paragraph" w:styleId="7">
    <w:name w:val="Body Text Indent"/>
    <w:basedOn w:val="1"/>
    <w:link w:val="31"/>
    <w:qFormat/>
    <w:uiPriority w:val="0"/>
    <w:pPr>
      <w:spacing w:line="520" w:lineRule="exact"/>
      <w:ind w:firstLine="480" w:firstLineChars="200"/>
    </w:pPr>
    <w:rPr>
      <w:rFonts w:eastAsia="仿宋_GB2312"/>
      <w:sz w:val="24"/>
    </w:rPr>
  </w:style>
  <w:style w:type="paragraph" w:styleId="8">
    <w:name w:val="toc 3"/>
    <w:basedOn w:val="1"/>
    <w:next w:val="1"/>
    <w:qFormat/>
    <w:uiPriority w:val="0"/>
    <w:pPr>
      <w:widowControl/>
      <w:spacing w:after="100" w:line="259" w:lineRule="auto"/>
      <w:ind w:left="440"/>
      <w:jc w:val="left"/>
    </w:pPr>
    <w:rPr>
      <w:rFonts w:ascii="等线" w:hAnsi="等线" w:eastAsia="宋体"/>
      <w:kern w:val="0"/>
      <w:sz w:val="22"/>
      <w:szCs w:val="22"/>
    </w:rPr>
  </w:style>
  <w:style w:type="paragraph" w:styleId="9">
    <w:name w:val="Body Text Indent 2"/>
    <w:basedOn w:val="1"/>
    <w:link w:val="28"/>
    <w:qFormat/>
    <w:uiPriority w:val="0"/>
    <w:pPr>
      <w:spacing w:line="640" w:lineRule="exact"/>
      <w:ind w:firstLine="560"/>
    </w:pPr>
    <w:rPr>
      <w:rFonts w:ascii="仿宋_GB2312" w:eastAsia="仿宋_GB2312"/>
      <w:sz w:val="28"/>
    </w:rPr>
  </w:style>
  <w:style w:type="paragraph" w:styleId="10">
    <w:name w:val="Balloon Text"/>
    <w:basedOn w:val="1"/>
    <w:link w:val="42"/>
    <w:qFormat/>
    <w:uiPriority w:val="0"/>
    <w:rPr>
      <w:sz w:val="18"/>
      <w:szCs w:val="18"/>
    </w:rPr>
  </w:style>
  <w:style w:type="paragraph" w:styleId="11">
    <w:name w:val="footer"/>
    <w:basedOn w:val="1"/>
    <w:link w:val="34"/>
    <w:qFormat/>
    <w:uiPriority w:val="0"/>
    <w:pPr>
      <w:tabs>
        <w:tab w:val="center" w:pos="4153"/>
        <w:tab w:val="right" w:pos="8306"/>
      </w:tabs>
      <w:snapToGrid w:val="0"/>
      <w:jc w:val="left"/>
    </w:pPr>
    <w:rPr>
      <w:rFonts w:ascii="等线" w:hAnsi="等线" w:eastAsia="宋体" w:cs="黑体"/>
      <w:sz w:val="18"/>
      <w:szCs w:val="18"/>
    </w:rPr>
  </w:style>
  <w:style w:type="paragraph" w:styleId="12">
    <w:name w:val="header"/>
    <w:basedOn w:val="1"/>
    <w:link w:val="39"/>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pPr>
      <w:widowControl/>
      <w:spacing w:after="100" w:line="259" w:lineRule="auto"/>
      <w:jc w:val="left"/>
    </w:pPr>
    <w:rPr>
      <w:rFonts w:ascii="等线" w:hAnsi="等线" w:eastAsia="宋体"/>
      <w:kern w:val="0"/>
      <w:sz w:val="22"/>
      <w:szCs w:val="22"/>
    </w:rPr>
  </w:style>
  <w:style w:type="paragraph" w:styleId="14">
    <w:name w:val="Body Text Indent 3"/>
    <w:basedOn w:val="1"/>
    <w:link w:val="38"/>
    <w:qFormat/>
    <w:uiPriority w:val="0"/>
    <w:pPr>
      <w:spacing w:line="640" w:lineRule="exact"/>
      <w:ind w:firstLine="560" w:firstLineChars="200"/>
    </w:pPr>
    <w:rPr>
      <w:rFonts w:ascii="仿宋_GB2312" w:eastAsia="仿宋_GB2312"/>
      <w:color w:val="008000"/>
      <w:sz w:val="28"/>
    </w:rPr>
  </w:style>
  <w:style w:type="paragraph" w:styleId="15">
    <w:name w:val="toc 2"/>
    <w:basedOn w:val="1"/>
    <w:next w:val="1"/>
    <w:qFormat/>
    <w:uiPriority w:val="0"/>
    <w:pPr>
      <w:widowControl/>
      <w:spacing w:after="100" w:line="259" w:lineRule="auto"/>
      <w:ind w:left="220"/>
      <w:jc w:val="left"/>
    </w:pPr>
    <w:rPr>
      <w:rFonts w:ascii="等线" w:hAnsi="等线" w:eastAsia="宋体"/>
      <w:kern w:val="0"/>
      <w:sz w:val="22"/>
      <w:szCs w:val="22"/>
    </w:rPr>
  </w:style>
  <w:style w:type="paragraph" w:styleId="16">
    <w:name w:val="Normal (Web)"/>
    <w:basedOn w:val="1"/>
    <w:qFormat/>
    <w:uiPriority w:val="0"/>
    <w:pPr>
      <w:widowControl/>
      <w:spacing w:before="100" w:beforeAutospacing="1" w:after="100" w:afterAutospacing="1"/>
      <w:jc w:val="left"/>
    </w:pPr>
    <w:rPr>
      <w:rFonts w:ascii="宋体" w:hAnsi="宋体"/>
      <w:kern w:val="0"/>
      <w:sz w:val="24"/>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Hyperlink"/>
    <w:basedOn w:val="19"/>
    <w:qFormat/>
    <w:uiPriority w:val="0"/>
    <w:rPr>
      <w:color w:val="0563C1"/>
      <w:u w:val="single"/>
    </w:rPr>
  </w:style>
  <w:style w:type="paragraph" w:customStyle="1" w:styleId="23">
    <w:name w:val="List Paragraph"/>
    <w:basedOn w:val="1"/>
    <w:qFormat/>
    <w:uiPriority w:val="34"/>
    <w:pPr>
      <w:ind w:firstLine="420" w:firstLineChars="200"/>
    </w:pPr>
  </w:style>
  <w:style w:type="paragraph" w:customStyle="1" w:styleId="24">
    <w:name w:val="TOC 标题1"/>
    <w:basedOn w:val="2"/>
    <w:next w:val="1"/>
    <w:unhideWhenUsed/>
    <w:qFormat/>
    <w:uiPriority w:val="39"/>
    <w:pPr>
      <w:widowControl/>
      <w:spacing w:before="240" w:after="0" w:line="259" w:lineRule="auto"/>
      <w:jc w:val="left"/>
      <w:outlineLvl w:val="9"/>
    </w:pPr>
    <w:rPr>
      <w:rFonts w:ascii="等线 Light" w:hAnsi="等线 Light" w:eastAsia="黑体" w:cs="黑体"/>
      <w:b w:val="0"/>
      <w:bCs w:val="0"/>
      <w:color w:val="2E5394"/>
      <w:kern w:val="0"/>
      <w:sz w:val="32"/>
      <w:szCs w:val="32"/>
    </w:rPr>
  </w:style>
  <w:style w:type="paragraph" w:customStyle="1" w:styleId="25">
    <w:name w:val="规划大纲正文"/>
    <w:basedOn w:val="1"/>
    <w:link w:val="33"/>
    <w:qFormat/>
    <w:uiPriority w:val="0"/>
    <w:pPr>
      <w:spacing w:line="560" w:lineRule="exact"/>
      <w:ind w:firstLine="200" w:firstLineChars="200"/>
    </w:pPr>
    <w:rPr>
      <w:rFonts w:ascii="等线" w:hAnsi="等线" w:eastAsia="仿宋_GB2312" w:cs="黑体"/>
      <w:sz w:val="30"/>
      <w:szCs w:val="30"/>
    </w:rPr>
  </w:style>
  <w:style w:type="paragraph" w:customStyle="1" w:styleId="26">
    <w:name w:val="font7"/>
    <w:basedOn w:val="1"/>
    <w:qFormat/>
    <w:uiPriority w:val="0"/>
    <w:pPr>
      <w:widowControl/>
      <w:spacing w:before="100" w:beforeAutospacing="1" w:after="100" w:afterAutospacing="1"/>
      <w:jc w:val="left"/>
    </w:pPr>
    <w:rPr>
      <w:rFonts w:hint="eastAsia" w:ascii="隶书" w:hAnsi="宋体" w:eastAsia="隶书"/>
      <w:kern w:val="0"/>
      <w:sz w:val="28"/>
      <w:szCs w:val="28"/>
    </w:rPr>
  </w:style>
  <w:style w:type="paragraph" w:customStyle="1" w:styleId="27">
    <w:name w:val="cardlist-value"/>
    <w:basedOn w:val="1"/>
    <w:qFormat/>
    <w:uiPriority w:val="0"/>
    <w:pPr>
      <w:widowControl/>
      <w:spacing w:before="100" w:beforeAutospacing="1" w:after="100" w:afterAutospacing="1"/>
      <w:jc w:val="left"/>
    </w:pPr>
    <w:rPr>
      <w:rFonts w:ascii="宋体" w:hAnsi="宋体" w:cs="宋体"/>
      <w:kern w:val="0"/>
      <w:sz w:val="24"/>
    </w:rPr>
  </w:style>
  <w:style w:type="character" w:customStyle="1" w:styleId="28">
    <w:name w:val="正文文本缩进 2 Char"/>
    <w:basedOn w:val="19"/>
    <w:link w:val="9"/>
    <w:qFormat/>
    <w:uiPriority w:val="0"/>
    <w:rPr>
      <w:rFonts w:ascii="仿宋_GB2312" w:hAnsi="Times New Roman" w:eastAsia="仿宋_GB2312" w:cs="Times New Roman"/>
      <w:sz w:val="28"/>
      <w:szCs w:val="24"/>
    </w:rPr>
  </w:style>
  <w:style w:type="character" w:customStyle="1" w:styleId="29">
    <w:name w:val="标题 1 Char"/>
    <w:basedOn w:val="19"/>
    <w:link w:val="2"/>
    <w:qFormat/>
    <w:uiPriority w:val="0"/>
    <w:rPr>
      <w:rFonts w:ascii="Times New Roman" w:hAnsi="Times New Roman" w:eastAsia="宋体" w:cs="Times New Roman"/>
      <w:b/>
      <w:bCs/>
      <w:kern w:val="44"/>
      <w:sz w:val="44"/>
      <w:szCs w:val="44"/>
    </w:rPr>
  </w:style>
  <w:style w:type="character" w:customStyle="1" w:styleId="30">
    <w:name w:val="标题 2 Char"/>
    <w:basedOn w:val="19"/>
    <w:link w:val="3"/>
    <w:qFormat/>
    <w:uiPriority w:val="0"/>
    <w:rPr>
      <w:rFonts w:ascii="等线 Light" w:hAnsi="等线 Light" w:eastAsia="黑体" w:cs="黑体"/>
      <w:b/>
      <w:bCs/>
      <w:sz w:val="32"/>
      <w:szCs w:val="32"/>
    </w:rPr>
  </w:style>
  <w:style w:type="character" w:customStyle="1" w:styleId="31">
    <w:name w:val="正文文本缩进 Char"/>
    <w:basedOn w:val="19"/>
    <w:link w:val="7"/>
    <w:qFormat/>
    <w:uiPriority w:val="99"/>
    <w:rPr>
      <w:rFonts w:ascii="Times New Roman" w:hAnsi="Times New Roman" w:eastAsia="仿宋_GB2312" w:cs="Times New Roman"/>
      <w:sz w:val="24"/>
      <w:szCs w:val="24"/>
    </w:rPr>
  </w:style>
  <w:style w:type="character" w:customStyle="1" w:styleId="32">
    <w:name w:val="文档结构图 Char"/>
    <w:link w:val="5"/>
    <w:qFormat/>
    <w:uiPriority w:val="0"/>
    <w:rPr>
      <w:rFonts w:ascii="宋体"/>
      <w:sz w:val="18"/>
      <w:szCs w:val="18"/>
    </w:rPr>
  </w:style>
  <w:style w:type="character" w:customStyle="1" w:styleId="33">
    <w:name w:val="规划大纲正文 Char"/>
    <w:link w:val="25"/>
    <w:qFormat/>
    <w:uiPriority w:val="0"/>
    <w:rPr>
      <w:rFonts w:eastAsia="仿宋_GB2312"/>
      <w:sz w:val="30"/>
      <w:szCs w:val="30"/>
    </w:rPr>
  </w:style>
  <w:style w:type="character" w:customStyle="1" w:styleId="34">
    <w:name w:val="页脚 Char"/>
    <w:link w:val="11"/>
    <w:qFormat/>
    <w:uiPriority w:val="99"/>
    <w:rPr>
      <w:sz w:val="18"/>
      <w:szCs w:val="18"/>
    </w:rPr>
  </w:style>
  <w:style w:type="character" w:customStyle="1" w:styleId="35">
    <w:name w:val="页脚 字符1"/>
    <w:basedOn w:val="19"/>
    <w:semiHidden/>
    <w:qFormat/>
    <w:uiPriority w:val="99"/>
    <w:rPr>
      <w:rFonts w:ascii="Times New Roman" w:hAnsi="Times New Roman" w:eastAsia="宋体" w:cs="Times New Roman"/>
      <w:sz w:val="18"/>
      <w:szCs w:val="18"/>
    </w:rPr>
  </w:style>
  <w:style w:type="character" w:customStyle="1" w:styleId="36">
    <w:name w:val="正文文本 Char"/>
    <w:basedOn w:val="19"/>
    <w:link w:val="6"/>
    <w:qFormat/>
    <w:uiPriority w:val="0"/>
    <w:rPr>
      <w:rFonts w:ascii="Times New Roman" w:hAnsi="Times New Roman" w:eastAsia="宋体" w:cs="Times New Roman"/>
      <w:b/>
      <w:bCs/>
      <w:sz w:val="44"/>
      <w:szCs w:val="24"/>
    </w:rPr>
  </w:style>
  <w:style w:type="character" w:customStyle="1" w:styleId="37">
    <w:name w:val="文档结构图 字符1"/>
    <w:basedOn w:val="19"/>
    <w:semiHidden/>
    <w:qFormat/>
    <w:uiPriority w:val="99"/>
    <w:rPr>
      <w:rFonts w:ascii="Microsoft YaHei UI" w:hAnsi="Times New Roman" w:eastAsia="Microsoft YaHei UI" w:cs="Times New Roman"/>
      <w:sz w:val="18"/>
      <w:szCs w:val="18"/>
    </w:rPr>
  </w:style>
  <w:style w:type="character" w:customStyle="1" w:styleId="38">
    <w:name w:val="正文文本缩进 3 Char"/>
    <w:basedOn w:val="19"/>
    <w:link w:val="14"/>
    <w:qFormat/>
    <w:uiPriority w:val="0"/>
    <w:rPr>
      <w:rFonts w:ascii="仿宋_GB2312" w:hAnsi="Times New Roman" w:eastAsia="仿宋_GB2312" w:cs="Times New Roman"/>
      <w:color w:val="008000"/>
      <w:sz w:val="28"/>
      <w:szCs w:val="24"/>
    </w:rPr>
  </w:style>
  <w:style w:type="character" w:customStyle="1" w:styleId="39">
    <w:name w:val="页眉 Char"/>
    <w:basedOn w:val="19"/>
    <w:link w:val="12"/>
    <w:qFormat/>
    <w:uiPriority w:val="0"/>
    <w:rPr>
      <w:rFonts w:ascii="Times New Roman" w:hAnsi="Times New Roman" w:eastAsia="宋体" w:cs="Times New Roman"/>
      <w:sz w:val="18"/>
      <w:szCs w:val="18"/>
    </w:rPr>
  </w:style>
  <w:style w:type="character" w:customStyle="1" w:styleId="40">
    <w:name w:val="批注文字 字符"/>
    <w:qFormat/>
    <w:uiPriority w:val="0"/>
    <w:rPr>
      <w:kern w:val="2"/>
      <w:sz w:val="21"/>
      <w:szCs w:val="24"/>
    </w:rPr>
  </w:style>
  <w:style w:type="character" w:customStyle="1" w:styleId="41">
    <w:name w:val="正文缩进 Char"/>
    <w:link w:val="4"/>
    <w:qFormat/>
    <w:uiPriority w:val="0"/>
    <w:rPr>
      <w:rFonts w:ascii="Times New Roman" w:hAnsi="Times New Roman" w:eastAsia="宋体" w:cs="Times New Roman"/>
      <w:szCs w:val="20"/>
    </w:rPr>
  </w:style>
  <w:style w:type="character" w:customStyle="1" w:styleId="42">
    <w:name w:val="批注框文本 Char"/>
    <w:basedOn w:val="19"/>
    <w:link w:val="10"/>
    <w:semiHidden/>
    <w:qFormat/>
    <w:uiPriority w:val="99"/>
    <w:rPr>
      <w:rFonts w:ascii="Times New Roman" w:hAnsi="Times New Roman" w:eastAsia="宋体" w:cs="Times New Roman"/>
      <w:kern w:val="2"/>
      <w:sz w:val="18"/>
      <w:szCs w:val="18"/>
    </w:rPr>
  </w:style>
  <w:style w:type="paragraph" w:customStyle="1" w:styleId="43">
    <w:name w:val="WPSOffice手动目录 1"/>
    <w:qFormat/>
    <w:uiPriority w:val="0"/>
    <w:pPr>
      <w:ind w:leftChars="0"/>
    </w:pPr>
    <w:rPr>
      <w:rFonts w:ascii="Times New Roman" w:hAnsi="Times New Roman" w:eastAsia="宋体" w:cs="Times New Roman"/>
      <w:sz w:val="20"/>
      <w:szCs w:val="20"/>
    </w:rPr>
  </w:style>
  <w:style w:type="paragraph" w:customStyle="1" w:styleId="44">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4262</Words>
  <Characters>24294</Characters>
  <Lines>202</Lines>
  <Paragraphs>56</Paragraphs>
  <TotalTime>3</TotalTime>
  <ScaleCrop>false</ScaleCrop>
  <LinksUpToDate>false</LinksUpToDate>
  <CharactersWithSpaces>0</CharactersWithSpaces>
  <Application>WPS Office_11.8.2.10587_F1E327BC-269C-435d-A152-05C5408002CA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2021-12-21T02:46:00Z</dcterms:created>
  <dc:creator>1</dc:creator>
  <cp:lastModifiedBy> </cp:lastModifiedBy>
  <cp:lastPrinted>2022-01-16T10:19:00Z</cp:lastPrinted>
  <dcterms:modified xsi:type="dcterms:W3CDTF">2024-02-22T17:40:36Z</dcterms:modified>
  <dc:title>重庆市永川区人民政府办公室</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2052-11.8.2.10587</vt:lpwstr>
  </property>
  <property fmtid="{D5CDD505-2E9C-101B-9397-08002B2CF9AE}" pid="3" name="ICV">
    <vt:lpwstr>A33418B2AE4A477998CBBB935243EBB2</vt:lpwstr>
  </property>
</Properties>
</file>