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val="0"/>
        <w:topLinePunct w:val="0"/>
        <w:autoSpaceDE/>
        <w:autoSpaceDN/>
        <w:bidi w:val="0"/>
        <w:adjustRightInd/>
        <w:snapToGrid w:val="0"/>
        <w:spacing w:afterLines="0" w:line="276" w:lineRule="auto"/>
        <w:jc w:val="left"/>
        <w:textAlignment w:val="auto"/>
        <w:rPr>
          <w:rFonts w:hint="eastAsia" w:ascii="方正仿宋_GBK" w:hAnsi="方正仿宋_GBK" w:eastAsia="方正仿宋_GBK" w:cs="方正仿宋_GBK"/>
          <w:b w:val="0"/>
          <w:bCs/>
          <w:sz w:val="32"/>
          <w:szCs w:val="32"/>
        </w:rPr>
      </w:pPr>
    </w:p>
    <w:p>
      <w:pPr>
        <w:keepNext w:val="0"/>
        <w:keepLines w:val="0"/>
        <w:pageBreakBefore w:val="0"/>
        <w:widowControl w:val="0"/>
        <w:kinsoku/>
        <w:wordWrap/>
        <w:topLinePunct w:val="0"/>
        <w:autoSpaceDE/>
        <w:autoSpaceDN/>
        <w:bidi w:val="0"/>
        <w:adjustRightInd/>
        <w:snapToGrid w:val="0"/>
        <w:spacing w:afterLines="0" w:line="276" w:lineRule="auto"/>
        <w:jc w:val="left"/>
        <w:textAlignment w:val="auto"/>
        <w:rPr>
          <w:rFonts w:hint="eastAsia" w:ascii="方正仿宋_GBK" w:hAnsi="方正仿宋_GBK" w:eastAsia="方正仿宋_GBK" w:cs="方正仿宋_GBK"/>
          <w:b w:val="0"/>
          <w:bCs/>
          <w:sz w:val="32"/>
          <w:szCs w:val="32"/>
        </w:rPr>
      </w:pPr>
    </w:p>
    <w:p>
      <w:pPr>
        <w:snapToGrid w:val="0"/>
        <w:spacing w:afterLines="0" w:line="276" w:lineRule="auto"/>
        <w:jc w:val="left"/>
        <w:rPr>
          <w:rFonts w:hint="eastAsia" w:ascii="方正仿宋_GBK" w:hAnsi="方正仿宋_GBK" w:eastAsia="方正仿宋_GBK" w:cs="方正仿宋_GBK"/>
          <w:b w:val="0"/>
          <w:bCs/>
          <w:sz w:val="32"/>
          <w:szCs w:val="32"/>
        </w:rPr>
      </w:pPr>
    </w:p>
    <w:p>
      <w:pPr>
        <w:snapToGrid w:val="0"/>
        <w:spacing w:afterLines="0" w:line="276" w:lineRule="auto"/>
        <w:jc w:val="left"/>
        <w:rPr>
          <w:rFonts w:hint="eastAsia" w:ascii="方正仿宋_GBK" w:hAnsi="方正仿宋_GBK" w:eastAsia="方正仿宋_GBK" w:cs="方正仿宋_GBK"/>
          <w:b w:val="0"/>
          <w:bCs/>
          <w:sz w:val="32"/>
          <w:szCs w:val="32"/>
        </w:rPr>
      </w:pPr>
    </w:p>
    <w:p>
      <w:pPr>
        <w:snapToGrid w:val="0"/>
        <w:spacing w:afterLines="0" w:line="276" w:lineRule="auto"/>
        <w:jc w:val="left"/>
        <w:rPr>
          <w:rFonts w:hint="eastAsia" w:ascii="方正仿宋_GBK" w:hAnsi="方正仿宋_GBK" w:eastAsia="方正仿宋_GBK" w:cs="方正仿宋_GBK"/>
          <w:b w:val="0"/>
          <w:bCs/>
          <w:sz w:val="32"/>
          <w:szCs w:val="32"/>
        </w:rPr>
      </w:pPr>
    </w:p>
    <w:p>
      <w:pPr>
        <w:snapToGrid w:val="0"/>
        <w:spacing w:afterLines="0" w:line="276" w:lineRule="auto"/>
        <w:jc w:val="left"/>
        <w:rPr>
          <w:rFonts w:hint="eastAsia" w:ascii="方正仿宋_GBK" w:hAnsi="方正仿宋_GBK" w:eastAsia="方正仿宋_GBK" w:cs="方正仿宋_GBK"/>
          <w:b w:val="0"/>
          <w:bCs/>
          <w:sz w:val="32"/>
          <w:szCs w:val="32"/>
        </w:rPr>
      </w:pPr>
    </w:p>
    <w:p>
      <w:pPr>
        <w:snapToGrid w:val="0"/>
        <w:spacing w:afterLines="0" w:line="276" w:lineRule="auto"/>
        <w:jc w:val="left"/>
        <w:rPr>
          <w:rFonts w:hint="eastAsia" w:ascii="方正仿宋_GBK" w:hAnsi="方正仿宋_GBK" w:eastAsia="方正仿宋_GBK" w:cs="方正仿宋_GBK"/>
          <w:b w:val="0"/>
          <w:bCs/>
          <w:sz w:val="32"/>
          <w:szCs w:val="32"/>
        </w:rPr>
      </w:pPr>
    </w:p>
    <w:p>
      <w:pPr>
        <w:snapToGrid w:val="0"/>
        <w:spacing w:afterLines="0" w:line="276" w:lineRule="auto"/>
        <w:jc w:val="left"/>
        <w:rPr>
          <w:rFonts w:hint="eastAsia" w:ascii="方正仿宋_GBK" w:hAnsi="方正仿宋_GBK" w:eastAsia="方正仿宋_GBK" w:cs="方正仿宋_GBK"/>
          <w:b w:val="0"/>
          <w:bCs/>
          <w:sz w:val="32"/>
          <w:szCs w:val="32"/>
        </w:rPr>
      </w:pPr>
    </w:p>
    <w:p>
      <w:pPr>
        <w:snapToGrid w:val="0"/>
        <w:spacing w:afterLines="0" w:line="276" w:lineRule="auto"/>
        <w:jc w:val="center"/>
        <w:rPr>
          <w:rFonts w:hint="eastAsia" w:ascii="方正仿宋_GBK" w:hAnsi="方正仿宋_GBK" w:eastAsia="方正仿宋_GBK" w:cs="方正仿宋_GBK"/>
          <w:b w:val="0"/>
          <w:bCs/>
          <w:sz w:val="32"/>
          <w:szCs w:val="32"/>
        </w:rPr>
      </w:pPr>
      <w:r>
        <w:rPr>
          <w:rFonts w:hint="eastAsia" w:ascii="方正仿宋_GBK" w:hAnsi="方正仿宋_GBK" w:eastAsia="方正仿宋_GBK" w:cs="方正仿宋_GBK"/>
          <w:b w:val="0"/>
          <w:bCs/>
          <w:sz w:val="32"/>
          <w:szCs w:val="32"/>
        </w:rPr>
        <w:t>永川府办发〔2021〕107号</w:t>
      </w:r>
    </w:p>
    <w:p>
      <w:pPr>
        <w:keepNext w:val="0"/>
        <w:keepLines w:val="0"/>
        <w:pageBreakBefore w:val="0"/>
        <w:widowControl w:val="0"/>
        <w:kinsoku/>
        <w:wordWrap/>
        <w:overflowPunct w:val="0"/>
        <w:topLinePunct w:val="0"/>
        <w:autoSpaceDE/>
        <w:autoSpaceDN/>
        <w:bidi w:val="0"/>
        <w:adjustRightInd/>
        <w:snapToGrid w:val="0"/>
        <w:spacing w:afterLines="0" w:line="276" w:lineRule="auto"/>
        <w:jc w:val="left"/>
        <w:textAlignment w:val="auto"/>
        <w:rPr>
          <w:rFonts w:hint="eastAsia" w:ascii="方正仿宋_GBK" w:hAnsi="方正仿宋_GBK" w:eastAsia="方正仿宋_GBK" w:cs="方正仿宋_GBK"/>
          <w:b w:val="0"/>
          <w:bCs/>
          <w:sz w:val="32"/>
          <w:szCs w:val="32"/>
        </w:rPr>
      </w:pPr>
    </w:p>
    <w:p>
      <w:pPr>
        <w:keepNext w:val="0"/>
        <w:keepLines w:val="0"/>
        <w:pageBreakBefore w:val="0"/>
        <w:widowControl w:val="0"/>
        <w:kinsoku/>
        <w:wordWrap/>
        <w:overflowPunct w:val="0"/>
        <w:topLinePunct w:val="0"/>
        <w:autoSpaceDE/>
        <w:autoSpaceDN/>
        <w:bidi w:val="0"/>
        <w:adjustRightInd/>
        <w:snapToGrid w:val="0"/>
        <w:spacing w:afterLines="0" w:line="276" w:lineRule="auto"/>
        <w:jc w:val="left"/>
        <w:textAlignment w:val="auto"/>
        <w:rPr>
          <w:rFonts w:hint="eastAsia" w:ascii="方正仿宋_GBK" w:hAnsi="方正仿宋_GBK" w:eastAsia="方正仿宋_GBK" w:cs="方正仿宋_GBK"/>
          <w:b w:val="0"/>
          <w:bCs/>
          <w:sz w:val="32"/>
          <w:szCs w:val="32"/>
        </w:rPr>
      </w:pPr>
    </w:p>
    <w:p>
      <w:pPr>
        <w:keepNext w:val="0"/>
        <w:keepLines w:val="0"/>
        <w:pageBreakBefore w:val="0"/>
        <w:widowControl w:val="0"/>
        <w:kinsoku/>
        <w:wordWrap/>
        <w:overflowPunct w:val="0"/>
        <w:topLinePunct w:val="0"/>
        <w:autoSpaceDE/>
        <w:autoSpaceDN/>
        <w:bidi w:val="0"/>
        <w:adjustRightInd w:val="0"/>
        <w:snapToGrid w:val="0"/>
        <w:spacing w:afterLines="0" w:line="240" w:lineRule="auto"/>
        <w:jc w:val="center"/>
        <w:textAlignment w:val="auto"/>
        <w:rPr>
          <w:rFonts w:ascii="Times New Roman" w:hAnsi="Times New Roman" w:eastAsia="方正小标宋_GBK"/>
          <w:b w:val="0"/>
          <w:bCs/>
          <w:sz w:val="44"/>
          <w:szCs w:val="44"/>
        </w:rPr>
      </w:pPr>
      <w:r>
        <w:rPr>
          <w:rFonts w:ascii="Times New Roman" w:hAnsi="Times New Roman" w:eastAsia="方正小标宋_GBK"/>
          <w:b w:val="0"/>
          <w:bCs/>
          <w:sz w:val="44"/>
          <w:szCs w:val="44"/>
        </w:rPr>
        <w:t>重庆市永川区人民政府办公室</w:t>
      </w:r>
    </w:p>
    <w:p>
      <w:pPr>
        <w:keepNext w:val="0"/>
        <w:keepLines w:val="0"/>
        <w:pageBreakBefore w:val="0"/>
        <w:widowControl w:val="0"/>
        <w:kinsoku/>
        <w:wordWrap/>
        <w:overflowPunct w:val="0"/>
        <w:topLinePunct w:val="0"/>
        <w:autoSpaceDE/>
        <w:autoSpaceDN/>
        <w:bidi w:val="0"/>
        <w:adjustRightInd w:val="0"/>
        <w:snapToGrid w:val="0"/>
        <w:spacing w:afterLines="0" w:line="240" w:lineRule="auto"/>
        <w:jc w:val="center"/>
        <w:textAlignment w:val="auto"/>
        <w:rPr>
          <w:rFonts w:ascii="Times New Roman" w:hAnsi="Times New Roman" w:eastAsia="方正小标宋_GBK"/>
          <w:b w:val="0"/>
          <w:bCs/>
          <w:sz w:val="44"/>
          <w:szCs w:val="44"/>
        </w:rPr>
      </w:pPr>
      <w:r>
        <w:rPr>
          <w:rFonts w:ascii="Times New Roman" w:hAnsi="Times New Roman" w:eastAsia="方正小标宋_GBK"/>
          <w:b w:val="0"/>
          <w:bCs/>
          <w:sz w:val="44"/>
          <w:szCs w:val="44"/>
        </w:rPr>
        <w:t>关于印发重庆市永川区综合交通运输</w:t>
      </w:r>
    </w:p>
    <w:p>
      <w:pPr>
        <w:keepNext w:val="0"/>
        <w:keepLines w:val="0"/>
        <w:pageBreakBefore w:val="0"/>
        <w:widowControl w:val="0"/>
        <w:kinsoku/>
        <w:wordWrap/>
        <w:overflowPunct w:val="0"/>
        <w:topLinePunct w:val="0"/>
        <w:autoSpaceDE/>
        <w:autoSpaceDN/>
        <w:bidi w:val="0"/>
        <w:adjustRightInd w:val="0"/>
        <w:snapToGrid w:val="0"/>
        <w:spacing w:afterLines="0" w:line="240" w:lineRule="auto"/>
        <w:jc w:val="center"/>
        <w:textAlignment w:val="auto"/>
        <w:rPr>
          <w:rFonts w:ascii="Times New Roman" w:hAnsi="Times New Roman" w:eastAsia="方正小标宋_GBK"/>
          <w:b w:val="0"/>
          <w:bCs/>
          <w:sz w:val="44"/>
          <w:szCs w:val="44"/>
        </w:rPr>
      </w:pPr>
      <w:r>
        <w:rPr>
          <w:rFonts w:eastAsia="方正小标宋_GBK"/>
          <w:b w:val="0"/>
          <w:bCs/>
          <w:sz w:val="44"/>
          <w:szCs w:val="44"/>
          <w:lang w:val="en"/>
        </w:rPr>
        <w:t>“</w:t>
      </w:r>
      <w:r>
        <w:rPr>
          <w:rFonts w:ascii="Times New Roman" w:hAnsi="Times New Roman" w:eastAsia="方正小标宋_GBK"/>
          <w:b w:val="0"/>
          <w:bCs/>
          <w:sz w:val="44"/>
          <w:szCs w:val="44"/>
        </w:rPr>
        <w:t>十四五</w:t>
      </w:r>
      <w:r>
        <w:rPr>
          <w:rFonts w:ascii="Times New Roman" w:hAnsi="Times New Roman" w:eastAsia="方正小标宋_GBK"/>
          <w:b w:val="0"/>
          <w:bCs/>
          <w:sz w:val="44"/>
          <w:szCs w:val="44"/>
          <w:lang w:val="en"/>
        </w:rPr>
        <w:t>”</w:t>
      </w:r>
      <w:r>
        <w:rPr>
          <w:rFonts w:ascii="Times New Roman" w:hAnsi="Times New Roman" w:eastAsia="方正小标宋_GBK"/>
          <w:b w:val="0"/>
          <w:bCs/>
          <w:sz w:val="44"/>
          <w:szCs w:val="44"/>
        </w:rPr>
        <w:t>发展规划的通知</w:t>
      </w:r>
    </w:p>
    <w:p>
      <w:pPr>
        <w:keepNext w:val="0"/>
        <w:keepLines w:val="0"/>
        <w:pageBreakBefore w:val="0"/>
        <w:widowControl w:val="0"/>
        <w:kinsoku/>
        <w:wordWrap/>
        <w:overflowPunct w:val="0"/>
        <w:topLinePunct w:val="0"/>
        <w:autoSpaceDE/>
        <w:autoSpaceDN/>
        <w:bidi w:val="0"/>
        <w:adjustRightInd/>
        <w:snapToGrid w:val="0"/>
        <w:spacing w:afterLines="0" w:line="276" w:lineRule="auto"/>
        <w:jc w:val="left"/>
        <w:textAlignment w:val="auto"/>
        <w:rPr>
          <w:rFonts w:ascii="Times New Roman" w:hAnsi="Times New Roman" w:eastAsia="方正仿宋_GBK"/>
          <w:b w:val="0"/>
          <w:bCs/>
          <w:sz w:val="32"/>
          <w:szCs w:val="32"/>
        </w:rPr>
      </w:pPr>
    </w:p>
    <w:p>
      <w:pPr>
        <w:keepNext w:val="0"/>
        <w:keepLines w:val="0"/>
        <w:pageBreakBefore w:val="0"/>
        <w:widowControl w:val="0"/>
        <w:kinsoku/>
        <w:wordWrap/>
        <w:overflowPunct w:val="0"/>
        <w:topLinePunct w:val="0"/>
        <w:autoSpaceDE/>
        <w:autoSpaceDN/>
        <w:bidi w:val="0"/>
        <w:adjustRightInd w:val="0"/>
        <w:snapToGrid w:val="0"/>
        <w:spacing w:afterLines="0" w:line="276" w:lineRule="auto"/>
        <w:jc w:val="left"/>
        <w:textAlignment w:val="auto"/>
        <w:rPr>
          <w:rFonts w:ascii="Times New Roman" w:hAnsi="Times New Roman" w:eastAsia="方正仿宋_GBK"/>
          <w:b w:val="0"/>
          <w:bCs/>
          <w:sz w:val="32"/>
          <w:szCs w:val="32"/>
        </w:rPr>
      </w:pPr>
      <w:r>
        <w:rPr>
          <w:rFonts w:ascii="Times New Roman" w:hAnsi="Times New Roman" w:eastAsia="方正仿宋_GBK"/>
          <w:b w:val="0"/>
          <w:bCs/>
          <w:sz w:val="32"/>
          <w:szCs w:val="32"/>
        </w:rPr>
        <w:t>各镇人民政府、街道办事处，区政府</w:t>
      </w:r>
      <w:r>
        <w:rPr>
          <w:rFonts w:hint="eastAsia" w:ascii="Times New Roman" w:hAnsi="Times New Roman" w:eastAsia="方正仿宋_GBK"/>
          <w:b w:val="0"/>
          <w:bCs/>
          <w:sz w:val="32"/>
          <w:szCs w:val="32"/>
          <w:lang w:eastAsia="zh-CN"/>
        </w:rPr>
        <w:t>各</w:t>
      </w:r>
      <w:r>
        <w:rPr>
          <w:rFonts w:ascii="Times New Roman" w:hAnsi="Times New Roman" w:eastAsia="方正仿宋_GBK"/>
          <w:b w:val="0"/>
          <w:bCs/>
          <w:sz w:val="32"/>
          <w:szCs w:val="32"/>
        </w:rPr>
        <w:t>部门，有关单位：</w:t>
      </w:r>
    </w:p>
    <w:p>
      <w:pPr>
        <w:keepNext w:val="0"/>
        <w:keepLines w:val="0"/>
        <w:pageBreakBefore w:val="0"/>
        <w:widowControl w:val="0"/>
        <w:kinsoku/>
        <w:wordWrap/>
        <w:overflowPunct w:val="0"/>
        <w:topLinePunct w:val="0"/>
        <w:autoSpaceDE/>
        <w:autoSpaceDN/>
        <w:bidi w:val="0"/>
        <w:adjustRightInd w:val="0"/>
        <w:snapToGrid w:val="0"/>
        <w:spacing w:afterLines="0" w:line="276" w:lineRule="auto"/>
        <w:ind w:firstLine="640" w:firstLineChars="200"/>
        <w:jc w:val="left"/>
        <w:textAlignment w:val="auto"/>
        <w:rPr>
          <w:rFonts w:ascii="Times New Roman" w:hAnsi="Times New Roman" w:eastAsia="方正仿宋_GBK"/>
          <w:b w:val="0"/>
          <w:bCs/>
          <w:sz w:val="32"/>
          <w:szCs w:val="32"/>
        </w:rPr>
      </w:pPr>
      <w:r>
        <w:rPr>
          <w:rFonts w:ascii="Times New Roman" w:hAnsi="Times New Roman" w:eastAsia="方正仿宋_GBK"/>
          <w:b w:val="0"/>
          <w:bCs/>
          <w:sz w:val="32"/>
          <w:szCs w:val="32"/>
        </w:rPr>
        <w:t>《重庆市永川区综合交通运输</w:t>
      </w:r>
      <w:r>
        <w:rPr>
          <w:rFonts w:eastAsia="方正仿宋_GBK"/>
          <w:b w:val="0"/>
          <w:bCs/>
          <w:sz w:val="32"/>
          <w:szCs w:val="32"/>
          <w:lang w:val="en"/>
        </w:rPr>
        <w:t>“</w:t>
      </w:r>
      <w:r>
        <w:rPr>
          <w:rFonts w:ascii="Times New Roman" w:hAnsi="Times New Roman" w:eastAsia="方正仿宋_GBK"/>
          <w:b w:val="0"/>
          <w:bCs/>
          <w:sz w:val="32"/>
          <w:szCs w:val="32"/>
        </w:rPr>
        <w:t>十四五</w:t>
      </w:r>
      <w:r>
        <w:rPr>
          <w:rFonts w:ascii="Times New Roman" w:hAnsi="Times New Roman" w:eastAsia="方正仿宋_GBK"/>
          <w:b w:val="0"/>
          <w:bCs/>
          <w:sz w:val="32"/>
          <w:szCs w:val="32"/>
          <w:lang w:val="en"/>
        </w:rPr>
        <w:t>”</w:t>
      </w:r>
      <w:r>
        <w:rPr>
          <w:rFonts w:ascii="Times New Roman" w:hAnsi="Times New Roman" w:eastAsia="方正仿宋_GBK"/>
          <w:b w:val="0"/>
          <w:bCs/>
          <w:sz w:val="32"/>
          <w:szCs w:val="32"/>
        </w:rPr>
        <w:t>发展规划》已经区政府同意，现印发给你们，请认真贯彻执行。</w:t>
      </w:r>
    </w:p>
    <w:p>
      <w:pPr>
        <w:keepNext w:val="0"/>
        <w:keepLines w:val="0"/>
        <w:pageBreakBefore w:val="0"/>
        <w:widowControl w:val="0"/>
        <w:kinsoku/>
        <w:wordWrap/>
        <w:overflowPunct w:val="0"/>
        <w:topLinePunct w:val="0"/>
        <w:autoSpaceDE/>
        <w:autoSpaceDN/>
        <w:bidi w:val="0"/>
        <w:adjustRightInd w:val="0"/>
        <w:snapToGrid w:val="0"/>
        <w:spacing w:afterLines="0" w:line="276" w:lineRule="auto"/>
        <w:ind w:firstLine="640" w:firstLineChars="200"/>
        <w:jc w:val="left"/>
        <w:textAlignment w:val="auto"/>
        <w:rPr>
          <w:rFonts w:ascii="Times New Roman" w:hAnsi="Times New Roman" w:eastAsia="方正仿宋_GBK"/>
          <w:b w:val="0"/>
          <w:bCs/>
          <w:sz w:val="32"/>
          <w:szCs w:val="32"/>
        </w:rPr>
      </w:pPr>
    </w:p>
    <w:p>
      <w:pPr>
        <w:keepNext w:val="0"/>
        <w:keepLines w:val="0"/>
        <w:pageBreakBefore w:val="0"/>
        <w:widowControl w:val="0"/>
        <w:kinsoku/>
        <w:wordWrap/>
        <w:overflowPunct w:val="0"/>
        <w:topLinePunct w:val="0"/>
        <w:autoSpaceDE/>
        <w:autoSpaceDN/>
        <w:bidi w:val="0"/>
        <w:adjustRightInd w:val="0"/>
        <w:snapToGrid w:val="0"/>
        <w:spacing w:afterLines="0" w:line="276" w:lineRule="auto"/>
        <w:ind w:firstLine="640" w:firstLineChars="200"/>
        <w:jc w:val="left"/>
        <w:textAlignment w:val="auto"/>
        <w:rPr>
          <w:rFonts w:ascii="Times New Roman" w:hAnsi="Times New Roman" w:eastAsia="方正仿宋_GBK"/>
          <w:b w:val="0"/>
          <w:bCs/>
          <w:sz w:val="32"/>
          <w:szCs w:val="32"/>
        </w:rPr>
      </w:pPr>
    </w:p>
    <w:p>
      <w:pPr>
        <w:keepNext w:val="0"/>
        <w:keepLines w:val="0"/>
        <w:pageBreakBefore w:val="0"/>
        <w:widowControl w:val="0"/>
        <w:kinsoku/>
        <w:wordWrap/>
        <w:overflowPunct w:val="0"/>
        <w:topLinePunct w:val="0"/>
        <w:autoSpaceDE/>
        <w:autoSpaceDN/>
        <w:bidi w:val="0"/>
        <w:adjustRightInd w:val="0"/>
        <w:snapToGrid w:val="0"/>
        <w:spacing w:afterLines="0" w:line="276" w:lineRule="auto"/>
        <w:ind w:firstLine="4640" w:firstLineChars="1450"/>
        <w:jc w:val="left"/>
        <w:textAlignment w:val="auto"/>
        <w:rPr>
          <w:rFonts w:ascii="Times New Roman" w:hAnsi="Times New Roman" w:eastAsia="方正仿宋_GBK"/>
          <w:b w:val="0"/>
          <w:bCs/>
          <w:sz w:val="32"/>
          <w:szCs w:val="32"/>
        </w:rPr>
      </w:pPr>
      <w:r>
        <w:rPr>
          <w:rFonts w:ascii="Times New Roman" w:hAnsi="Times New Roman" w:eastAsia="方正仿宋_GBK"/>
          <w:b w:val="0"/>
          <w:bCs/>
          <w:sz w:val="32"/>
          <w:szCs w:val="32"/>
        </w:rPr>
        <w:t>重庆市永川区人民政府</w:t>
      </w:r>
    </w:p>
    <w:p>
      <w:pPr>
        <w:keepNext w:val="0"/>
        <w:keepLines w:val="0"/>
        <w:pageBreakBefore w:val="0"/>
        <w:widowControl w:val="0"/>
        <w:kinsoku/>
        <w:wordWrap/>
        <w:overflowPunct w:val="0"/>
        <w:topLinePunct w:val="0"/>
        <w:autoSpaceDE/>
        <w:autoSpaceDN/>
        <w:bidi w:val="0"/>
        <w:adjustRightInd w:val="0"/>
        <w:snapToGrid w:val="0"/>
        <w:spacing w:afterLines="0" w:line="276" w:lineRule="auto"/>
        <w:ind w:firstLine="4960" w:firstLineChars="1550"/>
        <w:jc w:val="left"/>
        <w:textAlignment w:val="auto"/>
        <w:rPr>
          <w:rFonts w:ascii="Times New Roman" w:hAnsi="Times New Roman" w:eastAsia="方正仿宋_GBK"/>
          <w:b w:val="0"/>
          <w:bCs/>
          <w:sz w:val="32"/>
          <w:szCs w:val="32"/>
        </w:rPr>
      </w:pPr>
      <w:r>
        <w:rPr>
          <w:rFonts w:ascii="Times New Roman" w:hAnsi="Times New Roman" w:eastAsia="方正仿宋_GBK"/>
          <w:b w:val="0"/>
          <w:bCs/>
          <w:sz w:val="32"/>
          <w:szCs w:val="32"/>
        </w:rPr>
        <w:t>2021年</w:t>
      </w:r>
      <w:r>
        <w:rPr>
          <w:rFonts w:hint="default" w:ascii="Times New Roman" w:hAnsi="Times New Roman" w:eastAsia="方正仿宋_GBK"/>
          <w:b w:val="0"/>
          <w:bCs/>
          <w:sz w:val="32"/>
          <w:szCs w:val="32"/>
          <w:lang w:val="en" w:eastAsia="zh-CN"/>
        </w:rPr>
        <w:t>10</w:t>
      </w:r>
      <w:r>
        <w:rPr>
          <w:rFonts w:ascii="Times New Roman" w:hAnsi="Times New Roman" w:eastAsia="方正仿宋_GBK"/>
          <w:b w:val="0"/>
          <w:bCs/>
          <w:sz w:val="32"/>
          <w:szCs w:val="32"/>
        </w:rPr>
        <w:t>月</w:t>
      </w:r>
      <w:r>
        <w:rPr>
          <w:rFonts w:hint="default" w:ascii="Times New Roman" w:hAnsi="Times New Roman" w:eastAsia="方正仿宋_GBK"/>
          <w:b w:val="0"/>
          <w:bCs/>
          <w:sz w:val="32"/>
          <w:szCs w:val="32"/>
          <w:lang w:val="en"/>
        </w:rPr>
        <w:t>15</w:t>
      </w:r>
      <w:r>
        <w:rPr>
          <w:rFonts w:ascii="Times New Roman" w:hAnsi="Times New Roman" w:eastAsia="方正仿宋_GBK"/>
          <w:b w:val="0"/>
          <w:bCs/>
          <w:sz w:val="32"/>
          <w:szCs w:val="32"/>
        </w:rPr>
        <w:t>日</w:t>
      </w:r>
    </w:p>
    <w:p>
      <w:pPr>
        <w:keepNext w:val="0"/>
        <w:keepLines w:val="0"/>
        <w:pageBreakBefore w:val="0"/>
        <w:widowControl w:val="0"/>
        <w:kinsoku/>
        <w:wordWrap/>
        <w:overflowPunct w:val="0"/>
        <w:topLinePunct w:val="0"/>
        <w:autoSpaceDE/>
        <w:autoSpaceDN/>
        <w:bidi w:val="0"/>
        <w:adjustRightInd w:val="0"/>
        <w:snapToGrid w:val="0"/>
        <w:spacing w:afterLines="0" w:line="276" w:lineRule="auto"/>
        <w:ind w:firstLine="640" w:firstLineChars="200"/>
        <w:jc w:val="left"/>
        <w:textAlignment w:val="auto"/>
        <w:rPr>
          <w:rFonts w:ascii="Times New Roman" w:hAnsi="Times New Roman" w:eastAsia="方正小标宋_GBK"/>
          <w:b w:val="0"/>
          <w:bCs/>
          <w:sz w:val="48"/>
          <w:szCs w:val="48"/>
        </w:rPr>
      </w:pPr>
      <w:r>
        <w:rPr>
          <w:rFonts w:ascii="Times New Roman" w:hAnsi="Times New Roman" w:eastAsia="方正仿宋_GBK"/>
          <w:b w:val="0"/>
          <w:bCs/>
          <w:sz w:val="32"/>
          <w:szCs w:val="32"/>
        </w:rPr>
        <w:t>（</w:t>
      </w:r>
      <w:r>
        <w:rPr>
          <w:rFonts w:hint="eastAsia" w:ascii="Times New Roman" w:hAnsi="Times New Roman" w:eastAsia="方正仿宋_GBK"/>
          <w:b w:val="0"/>
          <w:bCs/>
          <w:sz w:val="32"/>
          <w:szCs w:val="32"/>
        </w:rPr>
        <w:t>此件公开发布</w:t>
      </w:r>
      <w:r>
        <w:rPr>
          <w:rFonts w:ascii="Times New Roman" w:hAnsi="Times New Roman" w:eastAsia="方正仿宋_GBK"/>
          <w:b w:val="0"/>
          <w:bCs/>
          <w:sz w:val="32"/>
          <w:szCs w:val="32"/>
        </w:rPr>
        <w:t>）</w:t>
      </w:r>
    </w:p>
    <w:p>
      <w:pPr>
        <w:keepNext w:val="0"/>
        <w:keepLines w:val="0"/>
        <w:pageBreakBefore w:val="0"/>
        <w:widowControl w:val="0"/>
        <w:kinsoku/>
        <w:wordWrap/>
        <w:overflowPunct w:val="0"/>
        <w:topLinePunct w:val="0"/>
        <w:autoSpaceDE/>
        <w:autoSpaceDN/>
        <w:bidi w:val="0"/>
        <w:adjustRightInd w:val="0"/>
        <w:snapToGrid w:val="0"/>
        <w:spacing w:afterLines="0" w:line="240" w:lineRule="auto"/>
        <w:jc w:val="center"/>
        <w:textAlignment w:val="auto"/>
        <w:rPr>
          <w:rFonts w:hint="default" w:ascii="方正小标宋_GBK" w:hAnsi="方正小标宋_GBK" w:eastAsia="方正小标宋_GBK" w:cs="方正小标宋_GBK"/>
          <w:b w:val="0"/>
          <w:bCs/>
          <w:color w:val="000000"/>
          <w:sz w:val="44"/>
          <w:szCs w:val="44"/>
          <w:lang w:val="en"/>
        </w:rPr>
      </w:pPr>
      <w:r>
        <w:rPr>
          <w:rFonts w:ascii="Times New Roman" w:hAnsi="Times New Roman" w:eastAsia="方正小标宋_GBK"/>
          <w:b w:val="0"/>
          <w:bCs/>
          <w:color w:val="000000"/>
          <w:sz w:val="44"/>
          <w:szCs w:val="44"/>
        </w:rPr>
        <w:br w:type="page"/>
      </w:r>
      <w:r>
        <w:rPr>
          <w:rFonts w:hint="eastAsia" w:ascii="方正小标宋_GBK" w:hAnsi="方正小标宋_GBK" w:eastAsia="方正小标宋_GBK" w:cs="方正小标宋_GBK"/>
          <w:b w:val="0"/>
          <w:bCs/>
          <w:color w:val="000000"/>
          <w:sz w:val="44"/>
          <w:szCs w:val="44"/>
        </w:rPr>
        <w:t>重庆市永川区综合交通运输</w:t>
      </w:r>
      <w:r>
        <w:rPr>
          <w:rFonts w:hint="default" w:ascii="方正小标宋_GBK" w:hAnsi="方正小标宋_GBK" w:eastAsia="方正小标宋_GBK" w:cs="方正小标宋_GBK"/>
          <w:b w:val="0"/>
          <w:bCs/>
          <w:color w:val="000000"/>
          <w:sz w:val="44"/>
          <w:szCs w:val="44"/>
          <w:lang w:val="en"/>
        </w:rPr>
        <w:t>“</w:t>
      </w:r>
      <w:r>
        <w:rPr>
          <w:rFonts w:hint="eastAsia" w:ascii="方正小标宋_GBK" w:hAnsi="方正小标宋_GBK" w:eastAsia="方正小标宋_GBK" w:cs="方正小标宋_GBK"/>
          <w:b w:val="0"/>
          <w:bCs/>
          <w:color w:val="000000"/>
          <w:sz w:val="44"/>
          <w:szCs w:val="44"/>
        </w:rPr>
        <w:t>十四五</w:t>
      </w:r>
      <w:r>
        <w:rPr>
          <w:rFonts w:hint="default" w:ascii="方正小标宋_GBK" w:hAnsi="方正小标宋_GBK" w:eastAsia="方正小标宋_GBK" w:cs="方正小标宋_GBK"/>
          <w:b w:val="0"/>
          <w:bCs/>
          <w:color w:val="000000"/>
          <w:sz w:val="44"/>
          <w:szCs w:val="44"/>
          <w:lang w:val="en"/>
        </w:rPr>
        <w:t>”</w:t>
      </w:r>
    </w:p>
    <w:p>
      <w:pPr>
        <w:keepNext w:val="0"/>
        <w:keepLines w:val="0"/>
        <w:pageBreakBefore w:val="0"/>
        <w:widowControl w:val="0"/>
        <w:kinsoku/>
        <w:wordWrap/>
        <w:overflowPunct w:val="0"/>
        <w:topLinePunct w:val="0"/>
        <w:autoSpaceDE/>
        <w:autoSpaceDN/>
        <w:bidi w:val="0"/>
        <w:adjustRightInd w:val="0"/>
        <w:snapToGrid w:val="0"/>
        <w:spacing w:afterLines="0" w:line="240" w:lineRule="auto"/>
        <w:jc w:val="center"/>
        <w:textAlignment w:val="auto"/>
        <w:rPr>
          <w:rFonts w:hint="eastAsia" w:ascii="方正小标宋_GBK" w:hAnsi="方正小标宋_GBK" w:eastAsia="方正小标宋_GBK" w:cs="方正小标宋_GBK"/>
          <w:b w:val="0"/>
          <w:bCs/>
          <w:color w:val="000000"/>
          <w:sz w:val="44"/>
          <w:szCs w:val="44"/>
        </w:rPr>
      </w:pPr>
      <w:r>
        <w:rPr>
          <w:rFonts w:hint="eastAsia" w:ascii="方正小标宋_GBK" w:hAnsi="方正小标宋_GBK" w:eastAsia="方正小标宋_GBK" w:cs="方正小标宋_GBK"/>
          <w:b w:val="0"/>
          <w:bCs/>
          <w:color w:val="000000"/>
          <w:sz w:val="44"/>
          <w:szCs w:val="44"/>
        </w:rPr>
        <w:t>发展规划（2021-2025）</w:t>
      </w:r>
    </w:p>
    <w:p>
      <w:pPr>
        <w:snapToGrid w:val="0"/>
        <w:spacing w:afterLines="0"/>
      </w:pPr>
    </w:p>
    <w:p>
      <w:pPr>
        <w:keepNext w:val="0"/>
        <w:keepLines w:val="0"/>
        <w:pageBreakBefore w:val="0"/>
        <w:widowControl w:val="0"/>
        <w:kinsoku/>
        <w:wordWrap/>
        <w:overflowPunct w:val="0"/>
        <w:topLinePunct w:val="0"/>
        <w:autoSpaceDE/>
        <w:autoSpaceDN/>
        <w:bidi w:val="0"/>
        <w:adjustRightInd w:val="0"/>
        <w:snapToGrid w:val="0"/>
        <w:spacing w:afterLines="0" w:line="240" w:lineRule="auto"/>
        <w:jc w:val="center"/>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color w:val="000000"/>
          <w:sz w:val="32"/>
          <w:szCs w:val="32"/>
          <w:lang w:val="zh-CN"/>
        </w:rPr>
        <w:t>目  录</w:t>
      </w:r>
    </w:p>
    <w:p>
      <w:pPr>
        <w:spacing w:before="0" w:beforeLines="0" w:after="0" w:afterLines="0" w:line="240" w:lineRule="auto"/>
        <w:ind w:left="0" w:leftChars="0" w:right="0" w:rightChars="0" w:firstLine="0" w:firstLineChars="0"/>
        <w:jc w:val="both"/>
      </w:pPr>
      <w:bookmarkStart w:id="0" w:name="_Toc2004226707_WPSOffice_Type2"/>
    </w:p>
    <w:p>
      <w:pPr>
        <w:pStyle w:val="51"/>
        <w:widowControl w:val="0"/>
        <w:tabs>
          <w:tab w:val="right" w:leader="dot" w:pos="8845"/>
        </w:tabs>
        <w:snapToGrid w:val="0"/>
        <w:rPr>
          <w:b w:val="0"/>
          <w:bCs w:val="0"/>
          <w:sz w:val="28"/>
          <w:szCs w:val="28"/>
        </w:rPr>
      </w:pPr>
      <w:r>
        <w:rPr>
          <w:b w:val="0"/>
          <w:bCs w:val="0"/>
          <w:sz w:val="28"/>
          <w:szCs w:val="28"/>
        </w:rPr>
        <w:fldChar w:fldCharType="begin"/>
      </w:r>
      <w:r>
        <w:rPr>
          <w:b w:val="0"/>
          <w:bCs w:val="0"/>
          <w:sz w:val="28"/>
          <w:szCs w:val="28"/>
        </w:rPr>
        <w:instrText xml:space="preserve"> HYPERLINK \l _Toc636394971_WPSOffice_Level1 </w:instrText>
      </w:r>
      <w:r>
        <w:rPr>
          <w:b w:val="0"/>
          <w:bCs w:val="0"/>
          <w:sz w:val="28"/>
          <w:szCs w:val="28"/>
        </w:rPr>
        <w:fldChar w:fldCharType="separate"/>
      </w:r>
      <w:r>
        <w:rPr>
          <w:rFonts w:hint="eastAsia" w:ascii="Times New Roman" w:hAnsi="Times New Roman" w:eastAsia="方正黑体_GBK" w:cs="Times New Roman"/>
          <w:b w:val="0"/>
          <w:bCs w:val="0"/>
          <w:sz w:val="28"/>
          <w:szCs w:val="28"/>
        </w:rPr>
        <w:t>第一章  发展基础</w:t>
      </w:r>
      <w:r>
        <w:rPr>
          <w:b w:val="0"/>
          <w:bCs w:val="0"/>
          <w:sz w:val="28"/>
          <w:szCs w:val="28"/>
        </w:rPr>
        <w:tab/>
      </w:r>
      <w:bookmarkStart w:id="1" w:name="_Toc636394971_WPSOffice_Level1Page"/>
      <w:r>
        <w:rPr>
          <w:b w:val="0"/>
          <w:bCs w:val="0"/>
          <w:sz w:val="28"/>
          <w:szCs w:val="28"/>
        </w:rPr>
        <w:t>4</w:t>
      </w:r>
      <w:bookmarkEnd w:id="1"/>
      <w:r>
        <w:rPr>
          <w:b w:val="0"/>
          <w:bCs w:val="0"/>
          <w:sz w:val="28"/>
          <w:szCs w:val="28"/>
        </w:rPr>
        <w:fldChar w:fldCharType="end"/>
      </w:r>
    </w:p>
    <w:p>
      <w:pPr>
        <w:pStyle w:val="52"/>
        <w:widowControl w:val="0"/>
        <w:tabs>
          <w:tab w:val="right" w:leader="dot" w:pos="8845"/>
        </w:tabs>
        <w:snapToGrid w:val="0"/>
        <w:rPr>
          <w:b w:val="0"/>
          <w:bCs w:val="0"/>
          <w:sz w:val="28"/>
          <w:szCs w:val="28"/>
        </w:rPr>
      </w:pPr>
      <w:r>
        <w:rPr>
          <w:b w:val="0"/>
          <w:bCs w:val="0"/>
          <w:sz w:val="28"/>
          <w:szCs w:val="28"/>
        </w:rPr>
        <w:fldChar w:fldCharType="begin"/>
      </w:r>
      <w:r>
        <w:rPr>
          <w:b w:val="0"/>
          <w:bCs w:val="0"/>
          <w:sz w:val="28"/>
          <w:szCs w:val="28"/>
        </w:rPr>
        <w:instrText xml:space="preserve"> HYPERLINK \l _Toc1832715107_WPSOffice_Level2 </w:instrText>
      </w:r>
      <w:r>
        <w:rPr>
          <w:b w:val="0"/>
          <w:bCs w:val="0"/>
          <w:sz w:val="28"/>
          <w:szCs w:val="28"/>
        </w:rPr>
        <w:fldChar w:fldCharType="separate"/>
      </w:r>
      <w:r>
        <w:rPr>
          <w:rFonts w:hint="eastAsia" w:ascii="方正楷体_GBK" w:hAnsi="方正楷体_GBK" w:eastAsia="方正楷体_GBK" w:cs="方正楷体_GBK"/>
          <w:b w:val="0"/>
          <w:bCs w:val="0"/>
          <w:sz w:val="28"/>
          <w:szCs w:val="28"/>
        </w:rPr>
        <w:t xml:space="preserve">第一节 </w:t>
      </w:r>
      <w:r>
        <w:rPr>
          <w:rFonts w:hint="default" w:ascii="方正楷体_GBK" w:hAnsi="方正楷体_GBK" w:eastAsia="方正楷体_GBK" w:cs="方正楷体_GBK"/>
          <w:b w:val="0"/>
          <w:bCs w:val="0"/>
          <w:sz w:val="28"/>
          <w:szCs w:val="28"/>
        </w:rPr>
        <w:t xml:space="preserve"> </w:t>
      </w:r>
      <w:r>
        <w:rPr>
          <w:rFonts w:hint="eastAsia" w:ascii="方正楷体_GBK" w:hAnsi="方正楷体_GBK" w:eastAsia="方正楷体_GBK" w:cs="方正楷体_GBK"/>
          <w:b w:val="0"/>
          <w:bCs w:val="0"/>
          <w:sz w:val="28"/>
          <w:szCs w:val="28"/>
        </w:rPr>
        <w:t>发展成就</w:t>
      </w:r>
      <w:r>
        <w:rPr>
          <w:b w:val="0"/>
          <w:bCs w:val="0"/>
          <w:sz w:val="28"/>
          <w:szCs w:val="28"/>
        </w:rPr>
        <w:tab/>
      </w:r>
      <w:bookmarkStart w:id="2" w:name="_Toc1832715107_WPSOffice_Level2Page"/>
      <w:r>
        <w:rPr>
          <w:b w:val="0"/>
          <w:bCs w:val="0"/>
          <w:sz w:val="28"/>
          <w:szCs w:val="28"/>
        </w:rPr>
        <w:t>4</w:t>
      </w:r>
      <w:bookmarkEnd w:id="2"/>
      <w:r>
        <w:rPr>
          <w:b w:val="0"/>
          <w:bCs w:val="0"/>
          <w:sz w:val="28"/>
          <w:szCs w:val="28"/>
        </w:rPr>
        <w:fldChar w:fldCharType="end"/>
      </w:r>
    </w:p>
    <w:p>
      <w:pPr>
        <w:pStyle w:val="52"/>
        <w:widowControl w:val="0"/>
        <w:tabs>
          <w:tab w:val="right" w:leader="dot" w:pos="8845"/>
        </w:tabs>
        <w:snapToGrid w:val="0"/>
        <w:rPr>
          <w:b w:val="0"/>
          <w:bCs w:val="0"/>
          <w:sz w:val="28"/>
          <w:szCs w:val="28"/>
        </w:rPr>
      </w:pPr>
      <w:r>
        <w:rPr>
          <w:b w:val="0"/>
          <w:bCs w:val="0"/>
          <w:sz w:val="28"/>
          <w:szCs w:val="28"/>
        </w:rPr>
        <w:fldChar w:fldCharType="begin"/>
      </w:r>
      <w:r>
        <w:rPr>
          <w:b w:val="0"/>
          <w:bCs w:val="0"/>
          <w:sz w:val="28"/>
          <w:szCs w:val="28"/>
        </w:rPr>
        <w:instrText xml:space="preserve"> HYPERLINK \l _Toc1668762729_WPSOffice_Level2 </w:instrText>
      </w:r>
      <w:r>
        <w:rPr>
          <w:b w:val="0"/>
          <w:bCs w:val="0"/>
          <w:sz w:val="28"/>
          <w:szCs w:val="28"/>
        </w:rPr>
        <w:fldChar w:fldCharType="separate"/>
      </w:r>
      <w:r>
        <w:rPr>
          <w:rFonts w:hint="eastAsia" w:ascii="方正楷体_GBK" w:hAnsi="方正楷体_GBK" w:eastAsia="方正楷体_GBK" w:cs="方正楷体_GBK"/>
          <w:b w:val="0"/>
          <w:bCs w:val="0"/>
          <w:sz w:val="28"/>
          <w:szCs w:val="28"/>
        </w:rPr>
        <w:t xml:space="preserve">第二节 </w:t>
      </w:r>
      <w:r>
        <w:rPr>
          <w:rFonts w:hint="default" w:ascii="方正楷体_GBK" w:hAnsi="方正楷体_GBK" w:eastAsia="方正楷体_GBK" w:cs="方正楷体_GBK"/>
          <w:b w:val="0"/>
          <w:bCs w:val="0"/>
          <w:sz w:val="28"/>
          <w:szCs w:val="28"/>
        </w:rPr>
        <w:t xml:space="preserve"> </w:t>
      </w:r>
      <w:r>
        <w:rPr>
          <w:rFonts w:hint="eastAsia" w:ascii="方正楷体_GBK" w:hAnsi="方正楷体_GBK" w:eastAsia="方正楷体_GBK" w:cs="方正楷体_GBK"/>
          <w:b w:val="0"/>
          <w:bCs w:val="0"/>
          <w:sz w:val="28"/>
          <w:szCs w:val="28"/>
        </w:rPr>
        <w:t>发展差距</w:t>
      </w:r>
      <w:r>
        <w:rPr>
          <w:b w:val="0"/>
          <w:bCs w:val="0"/>
          <w:sz w:val="28"/>
          <w:szCs w:val="28"/>
        </w:rPr>
        <w:tab/>
      </w:r>
      <w:bookmarkStart w:id="3" w:name="_Toc1668762729_WPSOffice_Level2Page"/>
      <w:r>
        <w:rPr>
          <w:b w:val="0"/>
          <w:bCs w:val="0"/>
          <w:sz w:val="28"/>
          <w:szCs w:val="28"/>
        </w:rPr>
        <w:t>10</w:t>
      </w:r>
      <w:bookmarkEnd w:id="3"/>
      <w:r>
        <w:rPr>
          <w:b w:val="0"/>
          <w:bCs w:val="0"/>
          <w:sz w:val="28"/>
          <w:szCs w:val="28"/>
        </w:rPr>
        <w:fldChar w:fldCharType="end"/>
      </w:r>
    </w:p>
    <w:p>
      <w:pPr>
        <w:pStyle w:val="51"/>
        <w:widowControl w:val="0"/>
        <w:tabs>
          <w:tab w:val="right" w:leader="dot" w:pos="8845"/>
        </w:tabs>
        <w:snapToGrid w:val="0"/>
        <w:rPr>
          <w:b w:val="0"/>
          <w:bCs w:val="0"/>
          <w:sz w:val="28"/>
          <w:szCs w:val="28"/>
        </w:rPr>
      </w:pPr>
      <w:r>
        <w:rPr>
          <w:b w:val="0"/>
          <w:bCs w:val="0"/>
          <w:sz w:val="28"/>
          <w:szCs w:val="28"/>
        </w:rPr>
        <w:fldChar w:fldCharType="begin"/>
      </w:r>
      <w:r>
        <w:rPr>
          <w:b w:val="0"/>
          <w:bCs w:val="0"/>
          <w:sz w:val="28"/>
          <w:szCs w:val="28"/>
        </w:rPr>
        <w:instrText xml:space="preserve"> HYPERLINK \l _Toc1248030540_WPSOffice_Level1 </w:instrText>
      </w:r>
      <w:r>
        <w:rPr>
          <w:b w:val="0"/>
          <w:bCs w:val="0"/>
          <w:sz w:val="28"/>
          <w:szCs w:val="28"/>
        </w:rPr>
        <w:fldChar w:fldCharType="separate"/>
      </w:r>
      <w:r>
        <w:rPr>
          <w:rFonts w:ascii="Times New Roman" w:hAnsi="Times New Roman" w:eastAsia="方正黑体_GBK" w:cs="Times New Roman"/>
          <w:b w:val="0"/>
          <w:bCs w:val="0"/>
          <w:sz w:val="28"/>
          <w:szCs w:val="28"/>
        </w:rPr>
        <w:t>第二章  发展形势</w:t>
      </w:r>
      <w:r>
        <w:rPr>
          <w:b w:val="0"/>
          <w:bCs w:val="0"/>
          <w:sz w:val="28"/>
          <w:szCs w:val="28"/>
        </w:rPr>
        <w:tab/>
      </w:r>
      <w:bookmarkStart w:id="4" w:name="_Toc1248030540_WPSOffice_Level1Page"/>
      <w:r>
        <w:rPr>
          <w:b w:val="0"/>
          <w:bCs w:val="0"/>
          <w:sz w:val="28"/>
          <w:szCs w:val="28"/>
        </w:rPr>
        <w:t>13</w:t>
      </w:r>
      <w:bookmarkEnd w:id="4"/>
      <w:r>
        <w:rPr>
          <w:b w:val="0"/>
          <w:bCs w:val="0"/>
          <w:sz w:val="28"/>
          <w:szCs w:val="28"/>
        </w:rPr>
        <w:fldChar w:fldCharType="end"/>
      </w:r>
    </w:p>
    <w:p>
      <w:pPr>
        <w:pStyle w:val="52"/>
        <w:widowControl w:val="0"/>
        <w:tabs>
          <w:tab w:val="right" w:leader="dot" w:pos="8845"/>
        </w:tabs>
        <w:snapToGrid w:val="0"/>
        <w:rPr>
          <w:b w:val="0"/>
          <w:bCs w:val="0"/>
          <w:sz w:val="28"/>
          <w:szCs w:val="28"/>
        </w:rPr>
      </w:pPr>
      <w:r>
        <w:rPr>
          <w:b w:val="0"/>
          <w:bCs w:val="0"/>
          <w:sz w:val="28"/>
          <w:szCs w:val="28"/>
        </w:rPr>
        <w:fldChar w:fldCharType="begin"/>
      </w:r>
      <w:r>
        <w:rPr>
          <w:b w:val="0"/>
          <w:bCs w:val="0"/>
          <w:sz w:val="28"/>
          <w:szCs w:val="28"/>
        </w:rPr>
        <w:instrText xml:space="preserve"> HYPERLINK \l _Toc1551429946_WPSOffice_Level2 </w:instrText>
      </w:r>
      <w:r>
        <w:rPr>
          <w:b w:val="0"/>
          <w:bCs w:val="0"/>
          <w:sz w:val="28"/>
          <w:szCs w:val="28"/>
        </w:rPr>
        <w:fldChar w:fldCharType="separate"/>
      </w:r>
      <w:r>
        <w:rPr>
          <w:rFonts w:hint="eastAsia" w:ascii="方正楷体_GBK" w:hAnsi="方正楷体_GBK" w:eastAsia="方正楷体_GBK" w:cs="方正楷体_GBK"/>
          <w:b w:val="0"/>
          <w:bCs w:val="0"/>
          <w:sz w:val="28"/>
          <w:szCs w:val="28"/>
        </w:rPr>
        <w:t xml:space="preserve">第一节 </w:t>
      </w:r>
      <w:r>
        <w:rPr>
          <w:rFonts w:hint="default" w:ascii="方正楷体_GBK" w:hAnsi="方正楷体_GBK" w:eastAsia="方正楷体_GBK" w:cs="方正楷体_GBK"/>
          <w:b w:val="0"/>
          <w:bCs w:val="0"/>
          <w:sz w:val="28"/>
          <w:szCs w:val="28"/>
        </w:rPr>
        <w:t xml:space="preserve"> </w:t>
      </w:r>
      <w:r>
        <w:rPr>
          <w:rFonts w:hint="eastAsia" w:ascii="方正楷体_GBK" w:hAnsi="方正楷体_GBK" w:eastAsia="方正楷体_GBK" w:cs="方正楷体_GBK"/>
          <w:b w:val="0"/>
          <w:bCs w:val="0"/>
          <w:sz w:val="28"/>
          <w:szCs w:val="28"/>
        </w:rPr>
        <w:t>形势要求</w:t>
      </w:r>
      <w:r>
        <w:rPr>
          <w:b w:val="0"/>
          <w:bCs w:val="0"/>
          <w:sz w:val="28"/>
          <w:szCs w:val="28"/>
        </w:rPr>
        <w:tab/>
      </w:r>
      <w:bookmarkStart w:id="5" w:name="_Toc1551429946_WPSOffice_Level2Page"/>
      <w:r>
        <w:rPr>
          <w:b w:val="0"/>
          <w:bCs w:val="0"/>
          <w:sz w:val="28"/>
          <w:szCs w:val="28"/>
        </w:rPr>
        <w:t>14</w:t>
      </w:r>
      <w:bookmarkEnd w:id="5"/>
      <w:r>
        <w:rPr>
          <w:b w:val="0"/>
          <w:bCs w:val="0"/>
          <w:sz w:val="28"/>
          <w:szCs w:val="28"/>
        </w:rPr>
        <w:fldChar w:fldCharType="end"/>
      </w:r>
    </w:p>
    <w:p>
      <w:pPr>
        <w:pStyle w:val="52"/>
        <w:widowControl w:val="0"/>
        <w:tabs>
          <w:tab w:val="right" w:leader="dot" w:pos="8845"/>
        </w:tabs>
        <w:snapToGrid w:val="0"/>
        <w:rPr>
          <w:b w:val="0"/>
          <w:bCs w:val="0"/>
          <w:sz w:val="28"/>
          <w:szCs w:val="28"/>
        </w:rPr>
      </w:pPr>
      <w:r>
        <w:rPr>
          <w:b w:val="0"/>
          <w:bCs w:val="0"/>
          <w:sz w:val="28"/>
          <w:szCs w:val="28"/>
        </w:rPr>
        <w:fldChar w:fldCharType="begin"/>
      </w:r>
      <w:r>
        <w:rPr>
          <w:b w:val="0"/>
          <w:bCs w:val="0"/>
          <w:sz w:val="28"/>
          <w:szCs w:val="28"/>
        </w:rPr>
        <w:instrText xml:space="preserve"> HYPERLINK \l _Toc252496404_WPSOffice_Level2 </w:instrText>
      </w:r>
      <w:r>
        <w:rPr>
          <w:b w:val="0"/>
          <w:bCs w:val="0"/>
          <w:sz w:val="28"/>
          <w:szCs w:val="28"/>
        </w:rPr>
        <w:fldChar w:fldCharType="separate"/>
      </w:r>
      <w:r>
        <w:rPr>
          <w:rFonts w:hint="eastAsia" w:ascii="方正楷体_GBK" w:hAnsi="方正楷体_GBK" w:eastAsia="方正楷体_GBK" w:cs="方正楷体_GBK"/>
          <w:b w:val="0"/>
          <w:bCs w:val="0"/>
          <w:sz w:val="28"/>
          <w:szCs w:val="28"/>
        </w:rPr>
        <w:t xml:space="preserve">第二节  </w:t>
      </w:r>
      <w:r>
        <w:rPr>
          <w:rFonts w:hint="default" w:ascii="方正楷体_GBK" w:hAnsi="方正楷体_GBK" w:eastAsia="方正楷体_GBK" w:cs="方正楷体_GBK"/>
          <w:b w:val="0"/>
          <w:bCs w:val="0"/>
          <w:sz w:val="28"/>
          <w:szCs w:val="28"/>
        </w:rPr>
        <w:t>“</w:t>
      </w:r>
      <w:r>
        <w:rPr>
          <w:rFonts w:hint="eastAsia" w:ascii="方正楷体_GBK" w:hAnsi="方正楷体_GBK" w:eastAsia="方正楷体_GBK" w:cs="方正楷体_GBK"/>
          <w:b w:val="0"/>
          <w:bCs w:val="0"/>
          <w:sz w:val="28"/>
          <w:szCs w:val="28"/>
        </w:rPr>
        <w:t>十四五</w:t>
      </w:r>
      <w:r>
        <w:rPr>
          <w:rFonts w:hint="default" w:ascii="方正楷体_GBK" w:hAnsi="方正楷体_GBK" w:eastAsia="方正楷体_GBK" w:cs="方正楷体_GBK"/>
          <w:b w:val="0"/>
          <w:bCs w:val="0"/>
          <w:sz w:val="28"/>
          <w:szCs w:val="28"/>
        </w:rPr>
        <w:t>”</w:t>
      </w:r>
      <w:r>
        <w:rPr>
          <w:rFonts w:hint="eastAsia" w:ascii="方正楷体_GBK" w:hAnsi="方正楷体_GBK" w:eastAsia="方正楷体_GBK" w:cs="方正楷体_GBK"/>
          <w:b w:val="0"/>
          <w:bCs w:val="0"/>
          <w:sz w:val="28"/>
          <w:szCs w:val="28"/>
        </w:rPr>
        <w:t>阶段特征</w:t>
      </w:r>
      <w:r>
        <w:rPr>
          <w:b w:val="0"/>
          <w:bCs w:val="0"/>
          <w:sz w:val="28"/>
          <w:szCs w:val="28"/>
        </w:rPr>
        <w:tab/>
      </w:r>
      <w:bookmarkStart w:id="6" w:name="_Toc252496404_WPSOffice_Level2Page"/>
      <w:r>
        <w:rPr>
          <w:b w:val="0"/>
          <w:bCs w:val="0"/>
          <w:sz w:val="28"/>
          <w:szCs w:val="28"/>
        </w:rPr>
        <w:t>19</w:t>
      </w:r>
      <w:bookmarkEnd w:id="6"/>
      <w:r>
        <w:rPr>
          <w:b w:val="0"/>
          <w:bCs w:val="0"/>
          <w:sz w:val="28"/>
          <w:szCs w:val="28"/>
        </w:rPr>
        <w:fldChar w:fldCharType="end"/>
      </w:r>
    </w:p>
    <w:p>
      <w:pPr>
        <w:pStyle w:val="51"/>
        <w:widowControl w:val="0"/>
        <w:tabs>
          <w:tab w:val="right" w:leader="dot" w:pos="8845"/>
        </w:tabs>
        <w:snapToGrid w:val="0"/>
        <w:rPr>
          <w:b w:val="0"/>
          <w:bCs w:val="0"/>
          <w:sz w:val="28"/>
          <w:szCs w:val="28"/>
        </w:rPr>
      </w:pPr>
      <w:r>
        <w:rPr>
          <w:b w:val="0"/>
          <w:bCs w:val="0"/>
          <w:sz w:val="28"/>
          <w:szCs w:val="28"/>
        </w:rPr>
        <w:fldChar w:fldCharType="begin"/>
      </w:r>
      <w:r>
        <w:rPr>
          <w:b w:val="0"/>
          <w:bCs w:val="0"/>
          <w:sz w:val="28"/>
          <w:szCs w:val="28"/>
        </w:rPr>
        <w:instrText xml:space="preserve"> HYPERLINK \l _Toc1138465084_WPSOffice_Level1 </w:instrText>
      </w:r>
      <w:r>
        <w:rPr>
          <w:b w:val="0"/>
          <w:bCs w:val="0"/>
          <w:sz w:val="28"/>
          <w:szCs w:val="28"/>
        </w:rPr>
        <w:fldChar w:fldCharType="separate"/>
      </w:r>
      <w:r>
        <w:rPr>
          <w:rFonts w:ascii="Times New Roman" w:hAnsi="Times New Roman" w:eastAsia="方正黑体_GBK" w:cs="Times New Roman"/>
          <w:b w:val="0"/>
          <w:bCs w:val="0"/>
          <w:sz w:val="28"/>
          <w:szCs w:val="28"/>
        </w:rPr>
        <w:t>第三章  中长期布局规划</w:t>
      </w:r>
      <w:r>
        <w:rPr>
          <w:b w:val="0"/>
          <w:bCs w:val="0"/>
          <w:sz w:val="28"/>
          <w:szCs w:val="28"/>
        </w:rPr>
        <w:tab/>
      </w:r>
      <w:bookmarkStart w:id="7" w:name="_Toc1138465084_WPSOffice_Level1Page"/>
      <w:r>
        <w:rPr>
          <w:b w:val="0"/>
          <w:bCs w:val="0"/>
          <w:sz w:val="28"/>
          <w:szCs w:val="28"/>
        </w:rPr>
        <w:t>20</w:t>
      </w:r>
      <w:bookmarkEnd w:id="7"/>
      <w:r>
        <w:rPr>
          <w:b w:val="0"/>
          <w:bCs w:val="0"/>
          <w:sz w:val="28"/>
          <w:szCs w:val="28"/>
        </w:rPr>
        <w:fldChar w:fldCharType="end"/>
      </w:r>
    </w:p>
    <w:p>
      <w:pPr>
        <w:pStyle w:val="52"/>
        <w:widowControl w:val="0"/>
        <w:tabs>
          <w:tab w:val="right" w:leader="dot" w:pos="8845"/>
        </w:tabs>
        <w:snapToGrid w:val="0"/>
        <w:rPr>
          <w:b w:val="0"/>
          <w:bCs w:val="0"/>
          <w:sz w:val="28"/>
          <w:szCs w:val="28"/>
        </w:rPr>
      </w:pPr>
      <w:r>
        <w:rPr>
          <w:b w:val="0"/>
          <w:bCs w:val="0"/>
          <w:sz w:val="28"/>
          <w:szCs w:val="28"/>
        </w:rPr>
        <w:fldChar w:fldCharType="begin"/>
      </w:r>
      <w:r>
        <w:rPr>
          <w:b w:val="0"/>
          <w:bCs w:val="0"/>
          <w:sz w:val="28"/>
          <w:szCs w:val="28"/>
        </w:rPr>
        <w:instrText xml:space="preserve"> HYPERLINK \l _Toc2050941761_WPSOffice_Level2 </w:instrText>
      </w:r>
      <w:r>
        <w:rPr>
          <w:b w:val="0"/>
          <w:bCs w:val="0"/>
          <w:sz w:val="28"/>
          <w:szCs w:val="28"/>
        </w:rPr>
        <w:fldChar w:fldCharType="separate"/>
      </w:r>
      <w:r>
        <w:rPr>
          <w:rFonts w:hint="eastAsia" w:ascii="方正楷体_GBK" w:hAnsi="方正楷体_GBK" w:eastAsia="方正楷体_GBK" w:cs="方正楷体_GBK"/>
          <w:b w:val="0"/>
          <w:bCs w:val="0"/>
          <w:sz w:val="28"/>
          <w:szCs w:val="28"/>
        </w:rPr>
        <w:t>第一节  发展定位</w:t>
      </w:r>
      <w:r>
        <w:rPr>
          <w:b w:val="0"/>
          <w:bCs w:val="0"/>
          <w:sz w:val="28"/>
          <w:szCs w:val="28"/>
        </w:rPr>
        <w:tab/>
      </w:r>
      <w:bookmarkStart w:id="8" w:name="_Toc2050941761_WPSOffice_Level2Page"/>
      <w:r>
        <w:rPr>
          <w:b w:val="0"/>
          <w:bCs w:val="0"/>
          <w:sz w:val="28"/>
          <w:szCs w:val="28"/>
        </w:rPr>
        <w:t>20</w:t>
      </w:r>
      <w:bookmarkEnd w:id="8"/>
      <w:r>
        <w:rPr>
          <w:b w:val="0"/>
          <w:bCs w:val="0"/>
          <w:sz w:val="28"/>
          <w:szCs w:val="28"/>
        </w:rPr>
        <w:fldChar w:fldCharType="end"/>
      </w:r>
    </w:p>
    <w:p>
      <w:pPr>
        <w:pStyle w:val="52"/>
        <w:widowControl w:val="0"/>
        <w:tabs>
          <w:tab w:val="right" w:leader="dot" w:pos="8845"/>
        </w:tabs>
        <w:snapToGrid w:val="0"/>
        <w:rPr>
          <w:b w:val="0"/>
          <w:bCs w:val="0"/>
          <w:sz w:val="28"/>
          <w:szCs w:val="28"/>
        </w:rPr>
      </w:pPr>
      <w:r>
        <w:rPr>
          <w:b w:val="0"/>
          <w:bCs w:val="0"/>
          <w:sz w:val="28"/>
          <w:szCs w:val="28"/>
        </w:rPr>
        <w:fldChar w:fldCharType="begin"/>
      </w:r>
      <w:r>
        <w:rPr>
          <w:b w:val="0"/>
          <w:bCs w:val="0"/>
          <w:sz w:val="28"/>
          <w:szCs w:val="28"/>
        </w:rPr>
        <w:instrText xml:space="preserve"> HYPERLINK \l _Toc811388579_WPSOffice_Level2 </w:instrText>
      </w:r>
      <w:r>
        <w:rPr>
          <w:b w:val="0"/>
          <w:bCs w:val="0"/>
          <w:sz w:val="28"/>
          <w:szCs w:val="28"/>
        </w:rPr>
        <w:fldChar w:fldCharType="separate"/>
      </w:r>
      <w:r>
        <w:rPr>
          <w:rFonts w:hint="eastAsia" w:ascii="方正楷体_GBK" w:hAnsi="方正楷体_GBK" w:eastAsia="方正楷体_GBK" w:cs="方正楷体_GBK"/>
          <w:b w:val="0"/>
          <w:bCs w:val="0"/>
          <w:sz w:val="28"/>
          <w:szCs w:val="28"/>
        </w:rPr>
        <w:t>第二节  发展理念</w:t>
      </w:r>
      <w:r>
        <w:rPr>
          <w:b w:val="0"/>
          <w:bCs w:val="0"/>
          <w:sz w:val="28"/>
          <w:szCs w:val="28"/>
        </w:rPr>
        <w:tab/>
      </w:r>
      <w:bookmarkStart w:id="9" w:name="_Toc811388579_WPSOffice_Level2Page"/>
      <w:r>
        <w:rPr>
          <w:b w:val="0"/>
          <w:bCs w:val="0"/>
          <w:sz w:val="28"/>
          <w:szCs w:val="28"/>
        </w:rPr>
        <w:t>21</w:t>
      </w:r>
      <w:bookmarkEnd w:id="9"/>
      <w:r>
        <w:rPr>
          <w:b w:val="0"/>
          <w:bCs w:val="0"/>
          <w:sz w:val="28"/>
          <w:szCs w:val="28"/>
        </w:rPr>
        <w:fldChar w:fldCharType="end"/>
      </w:r>
    </w:p>
    <w:p>
      <w:pPr>
        <w:pStyle w:val="52"/>
        <w:widowControl w:val="0"/>
        <w:tabs>
          <w:tab w:val="right" w:leader="dot" w:pos="8845"/>
        </w:tabs>
        <w:snapToGrid w:val="0"/>
        <w:rPr>
          <w:b w:val="0"/>
          <w:bCs w:val="0"/>
          <w:sz w:val="28"/>
          <w:szCs w:val="28"/>
        </w:rPr>
      </w:pPr>
      <w:r>
        <w:rPr>
          <w:b w:val="0"/>
          <w:bCs w:val="0"/>
          <w:sz w:val="28"/>
          <w:szCs w:val="28"/>
        </w:rPr>
        <w:fldChar w:fldCharType="begin"/>
      </w:r>
      <w:r>
        <w:rPr>
          <w:b w:val="0"/>
          <w:bCs w:val="0"/>
          <w:sz w:val="28"/>
          <w:szCs w:val="28"/>
        </w:rPr>
        <w:instrText xml:space="preserve"> HYPERLINK \l _Toc1799445692_WPSOffice_Level2 </w:instrText>
      </w:r>
      <w:r>
        <w:rPr>
          <w:b w:val="0"/>
          <w:bCs w:val="0"/>
          <w:sz w:val="28"/>
          <w:szCs w:val="28"/>
        </w:rPr>
        <w:fldChar w:fldCharType="separate"/>
      </w:r>
      <w:r>
        <w:rPr>
          <w:rFonts w:hint="eastAsia" w:ascii="方正楷体_GBK" w:hAnsi="方正楷体_GBK" w:eastAsia="方正楷体_GBK" w:cs="方正楷体_GBK"/>
          <w:b w:val="0"/>
          <w:bCs w:val="0"/>
          <w:sz w:val="28"/>
          <w:szCs w:val="28"/>
        </w:rPr>
        <w:t>第三节 发展战略</w:t>
      </w:r>
      <w:r>
        <w:rPr>
          <w:b w:val="0"/>
          <w:bCs w:val="0"/>
          <w:sz w:val="28"/>
          <w:szCs w:val="28"/>
        </w:rPr>
        <w:tab/>
      </w:r>
      <w:bookmarkStart w:id="10" w:name="_Toc1799445692_WPSOffice_Level2Page"/>
      <w:r>
        <w:rPr>
          <w:b w:val="0"/>
          <w:bCs w:val="0"/>
          <w:sz w:val="28"/>
          <w:szCs w:val="28"/>
        </w:rPr>
        <w:t>21</w:t>
      </w:r>
      <w:bookmarkEnd w:id="10"/>
      <w:r>
        <w:rPr>
          <w:b w:val="0"/>
          <w:bCs w:val="0"/>
          <w:sz w:val="28"/>
          <w:szCs w:val="28"/>
        </w:rPr>
        <w:fldChar w:fldCharType="end"/>
      </w:r>
    </w:p>
    <w:p>
      <w:pPr>
        <w:pStyle w:val="52"/>
        <w:widowControl w:val="0"/>
        <w:tabs>
          <w:tab w:val="right" w:leader="dot" w:pos="8845"/>
        </w:tabs>
        <w:snapToGrid w:val="0"/>
        <w:rPr>
          <w:b w:val="0"/>
          <w:bCs w:val="0"/>
          <w:sz w:val="28"/>
          <w:szCs w:val="28"/>
        </w:rPr>
      </w:pPr>
      <w:r>
        <w:rPr>
          <w:b w:val="0"/>
          <w:bCs w:val="0"/>
          <w:sz w:val="28"/>
          <w:szCs w:val="28"/>
        </w:rPr>
        <w:fldChar w:fldCharType="begin"/>
      </w:r>
      <w:r>
        <w:rPr>
          <w:b w:val="0"/>
          <w:bCs w:val="0"/>
          <w:sz w:val="28"/>
          <w:szCs w:val="28"/>
        </w:rPr>
        <w:instrText xml:space="preserve"> HYPERLINK \l _Toc475391464_WPSOffice_Level2 </w:instrText>
      </w:r>
      <w:r>
        <w:rPr>
          <w:b w:val="0"/>
          <w:bCs w:val="0"/>
          <w:sz w:val="28"/>
          <w:szCs w:val="28"/>
        </w:rPr>
        <w:fldChar w:fldCharType="separate"/>
      </w:r>
      <w:r>
        <w:rPr>
          <w:rFonts w:ascii="Times New Roman" w:hAnsi="Times New Roman" w:eastAsia="方正仿宋_GBK" w:cs="Times New Roman"/>
          <w:b w:val="0"/>
          <w:bCs w:val="0"/>
          <w:sz w:val="28"/>
          <w:szCs w:val="28"/>
        </w:rPr>
        <w:t>表</w:t>
      </w:r>
      <w:r>
        <w:rPr>
          <w:rFonts w:hint="eastAsia" w:ascii="Times New Roman" w:hAnsi="Times New Roman" w:eastAsia="方正仿宋_GBK" w:cs="Times New Roman"/>
          <w:b w:val="0"/>
          <w:bCs w:val="0"/>
          <w:sz w:val="28"/>
          <w:szCs w:val="28"/>
        </w:rPr>
        <w:t>3-</w:t>
      </w:r>
      <w:r>
        <w:rPr>
          <w:rFonts w:ascii="Times New Roman" w:hAnsi="Times New Roman" w:eastAsia="方正仿宋_GBK" w:cs="Times New Roman"/>
          <w:b w:val="0"/>
          <w:bCs w:val="0"/>
          <w:sz w:val="28"/>
          <w:szCs w:val="28"/>
        </w:rPr>
        <w:t>1  永川“十字</w:t>
      </w:r>
      <w:r>
        <w:rPr>
          <w:rFonts w:hint="eastAsia" w:ascii="Times New Roman" w:hAnsi="Times New Roman" w:eastAsia="方正仿宋_GBK" w:cs="Times New Roman"/>
          <w:b w:val="0"/>
          <w:bCs w:val="0"/>
          <w:sz w:val="28"/>
          <w:szCs w:val="28"/>
        </w:rPr>
        <w:t>型</w:t>
      </w:r>
      <w:r>
        <w:rPr>
          <w:rFonts w:ascii="Times New Roman" w:hAnsi="Times New Roman" w:eastAsia="方正仿宋_GBK" w:cs="Times New Roman"/>
          <w:b w:val="0"/>
          <w:bCs w:val="0"/>
          <w:sz w:val="28"/>
          <w:szCs w:val="28"/>
        </w:rPr>
        <w:t>”对外大通道</w:t>
      </w:r>
      <w:r>
        <w:rPr>
          <w:b w:val="0"/>
          <w:bCs w:val="0"/>
          <w:sz w:val="28"/>
          <w:szCs w:val="28"/>
        </w:rPr>
        <w:tab/>
      </w:r>
      <w:bookmarkStart w:id="11" w:name="_Toc475391464_WPSOffice_Level2Page"/>
      <w:r>
        <w:rPr>
          <w:b w:val="0"/>
          <w:bCs w:val="0"/>
          <w:sz w:val="28"/>
          <w:szCs w:val="28"/>
        </w:rPr>
        <w:t>22</w:t>
      </w:r>
      <w:bookmarkEnd w:id="11"/>
      <w:r>
        <w:rPr>
          <w:b w:val="0"/>
          <w:bCs w:val="0"/>
          <w:sz w:val="28"/>
          <w:szCs w:val="28"/>
        </w:rPr>
        <w:fldChar w:fldCharType="end"/>
      </w:r>
    </w:p>
    <w:p>
      <w:pPr>
        <w:pStyle w:val="51"/>
        <w:widowControl w:val="0"/>
        <w:tabs>
          <w:tab w:val="right" w:leader="dot" w:pos="8845"/>
        </w:tabs>
        <w:snapToGrid w:val="0"/>
        <w:rPr>
          <w:b w:val="0"/>
          <w:bCs w:val="0"/>
          <w:sz w:val="28"/>
          <w:szCs w:val="28"/>
        </w:rPr>
      </w:pPr>
      <w:r>
        <w:rPr>
          <w:b w:val="0"/>
          <w:bCs w:val="0"/>
          <w:sz w:val="28"/>
          <w:szCs w:val="28"/>
        </w:rPr>
        <w:fldChar w:fldCharType="begin"/>
      </w:r>
      <w:r>
        <w:rPr>
          <w:b w:val="0"/>
          <w:bCs w:val="0"/>
          <w:sz w:val="28"/>
          <w:szCs w:val="28"/>
        </w:rPr>
        <w:instrText xml:space="preserve"> HYPERLINK \l _Toc703437855_WPSOffice_Level1 </w:instrText>
      </w:r>
      <w:r>
        <w:rPr>
          <w:b w:val="0"/>
          <w:bCs w:val="0"/>
          <w:sz w:val="28"/>
          <w:szCs w:val="28"/>
        </w:rPr>
        <w:fldChar w:fldCharType="separate"/>
      </w:r>
      <w:r>
        <w:rPr>
          <w:rFonts w:ascii="Times New Roman" w:hAnsi="Times New Roman" w:eastAsia="方正黑体_GBK" w:cs="Times New Roman"/>
          <w:b w:val="0"/>
          <w:bCs w:val="0"/>
          <w:sz w:val="28"/>
          <w:szCs w:val="28"/>
        </w:rPr>
        <w:t>第四章  发展思路</w:t>
      </w:r>
      <w:r>
        <w:rPr>
          <w:b w:val="0"/>
          <w:bCs w:val="0"/>
          <w:sz w:val="28"/>
          <w:szCs w:val="28"/>
        </w:rPr>
        <w:tab/>
      </w:r>
      <w:bookmarkStart w:id="12" w:name="_Toc703437855_WPSOffice_Level1Page"/>
      <w:r>
        <w:rPr>
          <w:b w:val="0"/>
          <w:bCs w:val="0"/>
          <w:sz w:val="28"/>
          <w:szCs w:val="28"/>
        </w:rPr>
        <w:t>23</w:t>
      </w:r>
      <w:bookmarkEnd w:id="12"/>
      <w:r>
        <w:rPr>
          <w:b w:val="0"/>
          <w:bCs w:val="0"/>
          <w:sz w:val="28"/>
          <w:szCs w:val="28"/>
        </w:rPr>
        <w:fldChar w:fldCharType="end"/>
      </w:r>
    </w:p>
    <w:p>
      <w:pPr>
        <w:pStyle w:val="52"/>
        <w:widowControl w:val="0"/>
        <w:tabs>
          <w:tab w:val="right" w:leader="dot" w:pos="8845"/>
        </w:tabs>
        <w:snapToGrid w:val="0"/>
        <w:rPr>
          <w:b w:val="0"/>
          <w:bCs w:val="0"/>
          <w:sz w:val="28"/>
          <w:szCs w:val="28"/>
        </w:rPr>
      </w:pPr>
      <w:r>
        <w:rPr>
          <w:b w:val="0"/>
          <w:bCs w:val="0"/>
          <w:sz w:val="28"/>
          <w:szCs w:val="28"/>
        </w:rPr>
        <w:fldChar w:fldCharType="begin"/>
      </w:r>
      <w:r>
        <w:rPr>
          <w:b w:val="0"/>
          <w:bCs w:val="0"/>
          <w:sz w:val="28"/>
          <w:szCs w:val="28"/>
        </w:rPr>
        <w:instrText xml:space="preserve"> HYPERLINK \l _Toc1434147115_WPSOffice_Level2 </w:instrText>
      </w:r>
      <w:r>
        <w:rPr>
          <w:b w:val="0"/>
          <w:bCs w:val="0"/>
          <w:sz w:val="28"/>
          <w:szCs w:val="28"/>
        </w:rPr>
        <w:fldChar w:fldCharType="separate"/>
      </w:r>
      <w:r>
        <w:rPr>
          <w:rFonts w:hint="eastAsia" w:ascii="方正楷体_GBK" w:hAnsi="方正楷体_GBK" w:eastAsia="方正楷体_GBK" w:cs="方正楷体_GBK"/>
          <w:b w:val="0"/>
          <w:bCs w:val="0"/>
          <w:sz w:val="28"/>
          <w:szCs w:val="28"/>
        </w:rPr>
        <w:t>第一节  指导思想</w:t>
      </w:r>
      <w:r>
        <w:rPr>
          <w:b w:val="0"/>
          <w:bCs w:val="0"/>
          <w:sz w:val="28"/>
          <w:szCs w:val="28"/>
        </w:rPr>
        <w:tab/>
      </w:r>
      <w:bookmarkStart w:id="13" w:name="_Toc1434147115_WPSOffice_Level2Page"/>
      <w:r>
        <w:rPr>
          <w:b w:val="0"/>
          <w:bCs w:val="0"/>
          <w:sz w:val="28"/>
          <w:szCs w:val="28"/>
        </w:rPr>
        <w:t>23</w:t>
      </w:r>
      <w:bookmarkEnd w:id="13"/>
      <w:r>
        <w:rPr>
          <w:b w:val="0"/>
          <w:bCs w:val="0"/>
          <w:sz w:val="28"/>
          <w:szCs w:val="28"/>
        </w:rPr>
        <w:fldChar w:fldCharType="end"/>
      </w:r>
    </w:p>
    <w:p>
      <w:pPr>
        <w:pStyle w:val="52"/>
        <w:widowControl w:val="0"/>
        <w:tabs>
          <w:tab w:val="right" w:leader="dot" w:pos="8845"/>
        </w:tabs>
        <w:snapToGrid w:val="0"/>
        <w:rPr>
          <w:b w:val="0"/>
          <w:bCs w:val="0"/>
          <w:sz w:val="28"/>
          <w:szCs w:val="28"/>
        </w:rPr>
      </w:pPr>
      <w:r>
        <w:rPr>
          <w:b w:val="0"/>
          <w:bCs w:val="0"/>
          <w:sz w:val="28"/>
          <w:szCs w:val="28"/>
        </w:rPr>
        <w:fldChar w:fldCharType="begin"/>
      </w:r>
      <w:r>
        <w:rPr>
          <w:b w:val="0"/>
          <w:bCs w:val="0"/>
          <w:sz w:val="28"/>
          <w:szCs w:val="28"/>
        </w:rPr>
        <w:instrText xml:space="preserve"> HYPERLINK \l _Toc99772905_WPSOffice_Level2 </w:instrText>
      </w:r>
      <w:r>
        <w:rPr>
          <w:b w:val="0"/>
          <w:bCs w:val="0"/>
          <w:sz w:val="28"/>
          <w:szCs w:val="28"/>
        </w:rPr>
        <w:fldChar w:fldCharType="separate"/>
      </w:r>
      <w:r>
        <w:rPr>
          <w:rFonts w:hint="eastAsia" w:ascii="方正楷体_GBK" w:hAnsi="方正楷体_GBK" w:eastAsia="方正楷体_GBK" w:cs="方正楷体_GBK"/>
          <w:b w:val="0"/>
          <w:bCs w:val="0"/>
          <w:sz w:val="28"/>
          <w:szCs w:val="28"/>
        </w:rPr>
        <w:t>第二节  基本原则</w:t>
      </w:r>
      <w:r>
        <w:rPr>
          <w:b w:val="0"/>
          <w:bCs w:val="0"/>
          <w:sz w:val="28"/>
          <w:szCs w:val="28"/>
        </w:rPr>
        <w:tab/>
      </w:r>
      <w:bookmarkStart w:id="14" w:name="_Toc99772905_WPSOffice_Level2Page"/>
      <w:r>
        <w:rPr>
          <w:b w:val="0"/>
          <w:bCs w:val="0"/>
          <w:sz w:val="28"/>
          <w:szCs w:val="28"/>
        </w:rPr>
        <w:t>24</w:t>
      </w:r>
      <w:bookmarkEnd w:id="14"/>
      <w:r>
        <w:rPr>
          <w:b w:val="0"/>
          <w:bCs w:val="0"/>
          <w:sz w:val="28"/>
          <w:szCs w:val="28"/>
        </w:rPr>
        <w:fldChar w:fldCharType="end"/>
      </w:r>
    </w:p>
    <w:p>
      <w:pPr>
        <w:pStyle w:val="52"/>
        <w:widowControl w:val="0"/>
        <w:tabs>
          <w:tab w:val="right" w:leader="dot" w:pos="8845"/>
        </w:tabs>
        <w:snapToGrid w:val="0"/>
        <w:rPr>
          <w:b w:val="0"/>
          <w:bCs w:val="0"/>
          <w:sz w:val="28"/>
          <w:szCs w:val="28"/>
        </w:rPr>
      </w:pPr>
      <w:r>
        <w:rPr>
          <w:b w:val="0"/>
          <w:bCs w:val="0"/>
          <w:sz w:val="28"/>
          <w:szCs w:val="28"/>
        </w:rPr>
        <w:fldChar w:fldCharType="begin"/>
      </w:r>
      <w:r>
        <w:rPr>
          <w:b w:val="0"/>
          <w:bCs w:val="0"/>
          <w:sz w:val="28"/>
          <w:szCs w:val="28"/>
        </w:rPr>
        <w:instrText xml:space="preserve"> HYPERLINK \l _Toc134203070_WPSOffice_Level2 </w:instrText>
      </w:r>
      <w:r>
        <w:rPr>
          <w:b w:val="0"/>
          <w:bCs w:val="0"/>
          <w:sz w:val="28"/>
          <w:szCs w:val="28"/>
        </w:rPr>
        <w:fldChar w:fldCharType="separate"/>
      </w:r>
      <w:r>
        <w:rPr>
          <w:rFonts w:hint="eastAsia" w:ascii="方正楷体_GBK" w:hAnsi="方正楷体_GBK" w:eastAsia="方正楷体_GBK" w:cs="方正楷体_GBK"/>
          <w:b w:val="0"/>
          <w:bCs w:val="0"/>
          <w:sz w:val="28"/>
          <w:szCs w:val="28"/>
        </w:rPr>
        <w:t>第三节  发展目标</w:t>
      </w:r>
      <w:r>
        <w:rPr>
          <w:b w:val="0"/>
          <w:bCs w:val="0"/>
          <w:sz w:val="28"/>
          <w:szCs w:val="28"/>
        </w:rPr>
        <w:tab/>
      </w:r>
      <w:bookmarkStart w:id="15" w:name="_Toc134203070_WPSOffice_Level2Page"/>
      <w:r>
        <w:rPr>
          <w:b w:val="0"/>
          <w:bCs w:val="0"/>
          <w:sz w:val="28"/>
          <w:szCs w:val="28"/>
        </w:rPr>
        <w:t>25</w:t>
      </w:r>
      <w:bookmarkEnd w:id="15"/>
      <w:r>
        <w:rPr>
          <w:b w:val="0"/>
          <w:bCs w:val="0"/>
          <w:sz w:val="28"/>
          <w:szCs w:val="28"/>
        </w:rPr>
        <w:fldChar w:fldCharType="end"/>
      </w:r>
    </w:p>
    <w:p>
      <w:pPr>
        <w:pStyle w:val="52"/>
        <w:widowControl w:val="0"/>
        <w:tabs>
          <w:tab w:val="right" w:leader="dot" w:pos="8845"/>
        </w:tabs>
        <w:snapToGrid w:val="0"/>
        <w:rPr>
          <w:b w:val="0"/>
          <w:bCs w:val="0"/>
          <w:sz w:val="28"/>
          <w:szCs w:val="28"/>
        </w:rPr>
      </w:pPr>
      <w:r>
        <w:rPr>
          <w:b w:val="0"/>
          <w:bCs w:val="0"/>
          <w:sz w:val="28"/>
          <w:szCs w:val="28"/>
        </w:rPr>
        <w:fldChar w:fldCharType="begin"/>
      </w:r>
      <w:r>
        <w:rPr>
          <w:b w:val="0"/>
          <w:bCs w:val="0"/>
          <w:sz w:val="28"/>
          <w:szCs w:val="28"/>
        </w:rPr>
        <w:instrText xml:space="preserve"> HYPERLINK \l _Toc833210914_WPSOffice_Level2 </w:instrText>
      </w:r>
      <w:r>
        <w:rPr>
          <w:b w:val="0"/>
          <w:bCs w:val="0"/>
          <w:sz w:val="28"/>
          <w:szCs w:val="28"/>
        </w:rPr>
        <w:fldChar w:fldCharType="separate"/>
      </w:r>
      <w:r>
        <w:rPr>
          <w:rFonts w:ascii="Times New Roman" w:hAnsi="Times New Roman" w:eastAsia="方正仿宋_GBK" w:cs="Times New Roman"/>
          <w:b w:val="0"/>
          <w:bCs w:val="0"/>
          <w:sz w:val="28"/>
          <w:szCs w:val="28"/>
        </w:rPr>
        <w:t>表4-1 “十四五”发展主要指标</w:t>
      </w:r>
      <w:r>
        <w:rPr>
          <w:b w:val="0"/>
          <w:bCs w:val="0"/>
          <w:sz w:val="28"/>
          <w:szCs w:val="28"/>
        </w:rPr>
        <w:tab/>
      </w:r>
      <w:bookmarkStart w:id="16" w:name="_Toc833210914_WPSOffice_Level2Page"/>
      <w:r>
        <w:rPr>
          <w:b w:val="0"/>
          <w:bCs w:val="0"/>
          <w:sz w:val="28"/>
          <w:szCs w:val="28"/>
        </w:rPr>
        <w:t>27</w:t>
      </w:r>
      <w:bookmarkEnd w:id="16"/>
      <w:r>
        <w:rPr>
          <w:b w:val="0"/>
          <w:bCs w:val="0"/>
          <w:sz w:val="28"/>
          <w:szCs w:val="28"/>
        </w:rPr>
        <w:fldChar w:fldCharType="end"/>
      </w:r>
    </w:p>
    <w:p>
      <w:pPr>
        <w:pStyle w:val="51"/>
        <w:widowControl w:val="0"/>
        <w:tabs>
          <w:tab w:val="right" w:leader="dot" w:pos="8845"/>
        </w:tabs>
        <w:snapToGrid w:val="0"/>
        <w:rPr>
          <w:b w:val="0"/>
          <w:bCs w:val="0"/>
          <w:sz w:val="28"/>
          <w:szCs w:val="28"/>
        </w:rPr>
      </w:pPr>
      <w:r>
        <w:rPr>
          <w:b w:val="0"/>
          <w:bCs w:val="0"/>
          <w:sz w:val="28"/>
          <w:szCs w:val="28"/>
        </w:rPr>
        <w:fldChar w:fldCharType="begin"/>
      </w:r>
      <w:r>
        <w:rPr>
          <w:b w:val="0"/>
          <w:bCs w:val="0"/>
          <w:sz w:val="28"/>
          <w:szCs w:val="28"/>
        </w:rPr>
        <w:instrText xml:space="preserve"> HYPERLINK \l _Toc61698556_WPSOffice_Level1 </w:instrText>
      </w:r>
      <w:r>
        <w:rPr>
          <w:b w:val="0"/>
          <w:bCs w:val="0"/>
          <w:sz w:val="28"/>
          <w:szCs w:val="28"/>
        </w:rPr>
        <w:fldChar w:fldCharType="separate"/>
      </w:r>
      <w:r>
        <w:rPr>
          <w:rFonts w:ascii="Times New Roman" w:hAnsi="Times New Roman" w:eastAsia="方正黑体_GBK" w:cs="Times New Roman"/>
          <w:b w:val="0"/>
          <w:bCs w:val="0"/>
          <w:sz w:val="28"/>
          <w:szCs w:val="28"/>
        </w:rPr>
        <w:t>第五章  着眼外部联通，构建多向出永综合立体网</w:t>
      </w:r>
      <w:r>
        <w:rPr>
          <w:b w:val="0"/>
          <w:bCs w:val="0"/>
          <w:sz w:val="28"/>
          <w:szCs w:val="28"/>
        </w:rPr>
        <w:tab/>
      </w:r>
      <w:bookmarkStart w:id="17" w:name="_Toc61698556_WPSOffice_Level1Page"/>
      <w:r>
        <w:rPr>
          <w:b w:val="0"/>
          <w:bCs w:val="0"/>
          <w:sz w:val="28"/>
          <w:szCs w:val="28"/>
        </w:rPr>
        <w:t>27</w:t>
      </w:r>
      <w:bookmarkEnd w:id="17"/>
      <w:r>
        <w:rPr>
          <w:b w:val="0"/>
          <w:bCs w:val="0"/>
          <w:sz w:val="28"/>
          <w:szCs w:val="28"/>
        </w:rPr>
        <w:fldChar w:fldCharType="end"/>
      </w:r>
    </w:p>
    <w:p>
      <w:pPr>
        <w:pStyle w:val="52"/>
        <w:widowControl w:val="0"/>
        <w:tabs>
          <w:tab w:val="right" w:leader="dot" w:pos="8845"/>
        </w:tabs>
        <w:snapToGrid w:val="0"/>
        <w:rPr>
          <w:b w:val="0"/>
          <w:bCs w:val="0"/>
          <w:sz w:val="28"/>
          <w:szCs w:val="28"/>
        </w:rPr>
      </w:pPr>
      <w:r>
        <w:rPr>
          <w:b w:val="0"/>
          <w:bCs w:val="0"/>
          <w:sz w:val="28"/>
          <w:szCs w:val="28"/>
        </w:rPr>
        <w:fldChar w:fldCharType="begin"/>
      </w:r>
      <w:r>
        <w:rPr>
          <w:b w:val="0"/>
          <w:bCs w:val="0"/>
          <w:sz w:val="28"/>
          <w:szCs w:val="28"/>
        </w:rPr>
        <w:instrText xml:space="preserve"> HYPERLINK \l _Toc493087112_WPSOffice_Level2 </w:instrText>
      </w:r>
      <w:r>
        <w:rPr>
          <w:b w:val="0"/>
          <w:bCs w:val="0"/>
          <w:sz w:val="28"/>
          <w:szCs w:val="28"/>
        </w:rPr>
        <w:fldChar w:fldCharType="separate"/>
      </w:r>
      <w:r>
        <w:rPr>
          <w:rFonts w:hint="eastAsia" w:ascii="方正楷体_GBK" w:hAnsi="方正楷体_GBK" w:eastAsia="方正楷体_GBK" w:cs="方正楷体_GBK"/>
          <w:b w:val="0"/>
          <w:bCs w:val="0"/>
          <w:sz w:val="28"/>
          <w:szCs w:val="28"/>
        </w:rPr>
        <w:t>第一节  打造区域性铁路枢纽</w:t>
      </w:r>
      <w:r>
        <w:rPr>
          <w:b w:val="0"/>
          <w:bCs w:val="0"/>
          <w:sz w:val="28"/>
          <w:szCs w:val="28"/>
        </w:rPr>
        <w:tab/>
      </w:r>
      <w:bookmarkStart w:id="18" w:name="_Toc493087112_WPSOffice_Level2Page"/>
      <w:r>
        <w:rPr>
          <w:b w:val="0"/>
          <w:bCs w:val="0"/>
          <w:sz w:val="28"/>
          <w:szCs w:val="28"/>
        </w:rPr>
        <w:t>28</w:t>
      </w:r>
      <w:bookmarkEnd w:id="18"/>
      <w:r>
        <w:rPr>
          <w:b w:val="0"/>
          <w:bCs w:val="0"/>
          <w:sz w:val="28"/>
          <w:szCs w:val="28"/>
        </w:rPr>
        <w:fldChar w:fldCharType="end"/>
      </w:r>
    </w:p>
    <w:p>
      <w:pPr>
        <w:pStyle w:val="52"/>
        <w:widowControl w:val="0"/>
        <w:tabs>
          <w:tab w:val="right" w:leader="dot" w:pos="8845"/>
        </w:tabs>
        <w:snapToGrid w:val="0"/>
        <w:rPr>
          <w:b w:val="0"/>
          <w:bCs w:val="0"/>
          <w:sz w:val="28"/>
          <w:szCs w:val="28"/>
        </w:rPr>
      </w:pPr>
      <w:r>
        <w:rPr>
          <w:b w:val="0"/>
          <w:bCs w:val="0"/>
          <w:sz w:val="28"/>
          <w:szCs w:val="28"/>
        </w:rPr>
        <w:fldChar w:fldCharType="begin"/>
      </w:r>
      <w:r>
        <w:rPr>
          <w:b w:val="0"/>
          <w:bCs w:val="0"/>
          <w:sz w:val="28"/>
          <w:szCs w:val="28"/>
        </w:rPr>
        <w:instrText xml:space="preserve"> HYPERLINK \l _Toc1541286797_WPSOffice_Level2 </w:instrText>
      </w:r>
      <w:r>
        <w:rPr>
          <w:b w:val="0"/>
          <w:bCs w:val="0"/>
          <w:sz w:val="28"/>
          <w:szCs w:val="28"/>
        </w:rPr>
        <w:fldChar w:fldCharType="separate"/>
      </w:r>
      <w:r>
        <w:rPr>
          <w:rFonts w:hint="eastAsia" w:ascii="方正楷体_GBK" w:hAnsi="方正楷体_GBK" w:eastAsia="方正楷体_GBK" w:cs="方正楷体_GBK"/>
          <w:b w:val="0"/>
          <w:bCs w:val="0"/>
          <w:sz w:val="28"/>
          <w:szCs w:val="28"/>
        </w:rPr>
        <w:t>第二节  打造区域性公路枢纽</w:t>
      </w:r>
      <w:r>
        <w:rPr>
          <w:b w:val="0"/>
          <w:bCs w:val="0"/>
          <w:sz w:val="28"/>
          <w:szCs w:val="28"/>
        </w:rPr>
        <w:tab/>
      </w:r>
      <w:bookmarkStart w:id="19" w:name="_Toc1541286797_WPSOffice_Level2Page"/>
      <w:r>
        <w:rPr>
          <w:b w:val="0"/>
          <w:bCs w:val="0"/>
          <w:sz w:val="28"/>
          <w:szCs w:val="28"/>
        </w:rPr>
        <w:t>30</w:t>
      </w:r>
      <w:bookmarkEnd w:id="19"/>
      <w:r>
        <w:rPr>
          <w:b w:val="0"/>
          <w:bCs w:val="0"/>
          <w:sz w:val="28"/>
          <w:szCs w:val="28"/>
        </w:rPr>
        <w:fldChar w:fldCharType="end"/>
      </w:r>
    </w:p>
    <w:p>
      <w:pPr>
        <w:pStyle w:val="52"/>
        <w:widowControl w:val="0"/>
        <w:tabs>
          <w:tab w:val="right" w:leader="dot" w:pos="8845"/>
        </w:tabs>
        <w:snapToGrid w:val="0"/>
        <w:rPr>
          <w:b w:val="0"/>
          <w:bCs w:val="0"/>
          <w:sz w:val="28"/>
          <w:szCs w:val="28"/>
        </w:rPr>
      </w:pPr>
      <w:r>
        <w:rPr>
          <w:b w:val="0"/>
          <w:bCs w:val="0"/>
          <w:sz w:val="28"/>
          <w:szCs w:val="28"/>
        </w:rPr>
        <w:fldChar w:fldCharType="begin"/>
      </w:r>
      <w:r>
        <w:rPr>
          <w:b w:val="0"/>
          <w:bCs w:val="0"/>
          <w:sz w:val="28"/>
          <w:szCs w:val="28"/>
        </w:rPr>
        <w:instrText xml:space="preserve"> HYPERLINK \l _Toc1830082735_WPSOffice_Level2 </w:instrText>
      </w:r>
      <w:r>
        <w:rPr>
          <w:b w:val="0"/>
          <w:bCs w:val="0"/>
          <w:sz w:val="28"/>
          <w:szCs w:val="28"/>
        </w:rPr>
        <w:fldChar w:fldCharType="separate"/>
      </w:r>
      <w:r>
        <w:rPr>
          <w:rFonts w:hint="eastAsia" w:ascii="方正楷体_GBK" w:hAnsi="方正楷体_GBK" w:eastAsia="方正楷体_GBK" w:cs="方正楷体_GBK"/>
          <w:b w:val="0"/>
          <w:bCs w:val="0"/>
          <w:sz w:val="28"/>
          <w:szCs w:val="28"/>
        </w:rPr>
        <w:t>第三节 打造区域性航运枢纽</w:t>
      </w:r>
      <w:r>
        <w:rPr>
          <w:b w:val="0"/>
          <w:bCs w:val="0"/>
          <w:sz w:val="28"/>
          <w:szCs w:val="28"/>
        </w:rPr>
        <w:tab/>
      </w:r>
      <w:bookmarkStart w:id="20" w:name="_Toc1830082735_WPSOffice_Level2Page"/>
      <w:r>
        <w:rPr>
          <w:b w:val="0"/>
          <w:bCs w:val="0"/>
          <w:sz w:val="28"/>
          <w:szCs w:val="28"/>
        </w:rPr>
        <w:t>31</w:t>
      </w:r>
      <w:bookmarkEnd w:id="20"/>
      <w:r>
        <w:rPr>
          <w:b w:val="0"/>
          <w:bCs w:val="0"/>
          <w:sz w:val="28"/>
          <w:szCs w:val="28"/>
        </w:rPr>
        <w:fldChar w:fldCharType="end"/>
      </w:r>
    </w:p>
    <w:p>
      <w:pPr>
        <w:pStyle w:val="52"/>
        <w:widowControl w:val="0"/>
        <w:tabs>
          <w:tab w:val="right" w:leader="dot" w:pos="8845"/>
        </w:tabs>
        <w:snapToGrid w:val="0"/>
        <w:rPr>
          <w:b w:val="0"/>
          <w:bCs w:val="0"/>
          <w:sz w:val="28"/>
          <w:szCs w:val="28"/>
        </w:rPr>
      </w:pPr>
      <w:r>
        <w:rPr>
          <w:b w:val="0"/>
          <w:bCs w:val="0"/>
          <w:sz w:val="28"/>
          <w:szCs w:val="28"/>
        </w:rPr>
        <w:fldChar w:fldCharType="begin"/>
      </w:r>
      <w:r>
        <w:rPr>
          <w:b w:val="0"/>
          <w:bCs w:val="0"/>
          <w:sz w:val="28"/>
          <w:szCs w:val="28"/>
        </w:rPr>
        <w:instrText xml:space="preserve"> HYPERLINK \l _Toc1364936270_WPSOffice_Level2 </w:instrText>
      </w:r>
      <w:r>
        <w:rPr>
          <w:b w:val="0"/>
          <w:bCs w:val="0"/>
          <w:sz w:val="28"/>
          <w:szCs w:val="28"/>
        </w:rPr>
        <w:fldChar w:fldCharType="separate"/>
      </w:r>
      <w:r>
        <w:rPr>
          <w:rFonts w:hint="eastAsia" w:ascii="方正楷体_GBK" w:hAnsi="方正楷体_GBK" w:eastAsia="方正楷体_GBK" w:cs="方正楷体_GBK"/>
          <w:b w:val="0"/>
          <w:bCs w:val="0"/>
          <w:sz w:val="28"/>
          <w:szCs w:val="28"/>
        </w:rPr>
        <w:t>第四节  打造区域性通用航空基地</w:t>
      </w:r>
      <w:r>
        <w:rPr>
          <w:b w:val="0"/>
          <w:bCs w:val="0"/>
          <w:sz w:val="28"/>
          <w:szCs w:val="28"/>
        </w:rPr>
        <w:tab/>
      </w:r>
      <w:bookmarkStart w:id="21" w:name="_Toc1364936270_WPSOffice_Level2Page"/>
      <w:r>
        <w:rPr>
          <w:b w:val="0"/>
          <w:bCs w:val="0"/>
          <w:sz w:val="28"/>
          <w:szCs w:val="28"/>
        </w:rPr>
        <w:t>32</w:t>
      </w:r>
      <w:bookmarkEnd w:id="21"/>
      <w:r>
        <w:rPr>
          <w:b w:val="0"/>
          <w:bCs w:val="0"/>
          <w:sz w:val="28"/>
          <w:szCs w:val="28"/>
        </w:rPr>
        <w:fldChar w:fldCharType="end"/>
      </w:r>
    </w:p>
    <w:p>
      <w:pPr>
        <w:pStyle w:val="51"/>
        <w:widowControl w:val="0"/>
        <w:tabs>
          <w:tab w:val="right" w:leader="dot" w:pos="8845"/>
        </w:tabs>
        <w:snapToGrid w:val="0"/>
        <w:rPr>
          <w:b w:val="0"/>
          <w:bCs w:val="0"/>
          <w:sz w:val="28"/>
          <w:szCs w:val="28"/>
        </w:rPr>
      </w:pPr>
      <w:r>
        <w:rPr>
          <w:b w:val="0"/>
          <w:bCs w:val="0"/>
          <w:sz w:val="28"/>
          <w:szCs w:val="28"/>
        </w:rPr>
        <w:fldChar w:fldCharType="begin"/>
      </w:r>
      <w:r>
        <w:rPr>
          <w:b w:val="0"/>
          <w:bCs w:val="0"/>
          <w:sz w:val="28"/>
          <w:szCs w:val="28"/>
        </w:rPr>
        <w:instrText xml:space="preserve"> HYPERLINK \l _Toc1515291154_WPSOffice_Level1 </w:instrText>
      </w:r>
      <w:r>
        <w:rPr>
          <w:b w:val="0"/>
          <w:bCs w:val="0"/>
          <w:sz w:val="28"/>
          <w:szCs w:val="28"/>
        </w:rPr>
        <w:fldChar w:fldCharType="separate"/>
      </w:r>
      <w:r>
        <w:rPr>
          <w:rFonts w:ascii="Times New Roman" w:hAnsi="Times New Roman" w:eastAsia="方正黑体_GBK" w:cs="Times New Roman"/>
          <w:b w:val="0"/>
          <w:bCs w:val="0"/>
          <w:sz w:val="28"/>
          <w:szCs w:val="28"/>
        </w:rPr>
        <w:t>第六章  着眼内部畅通，构建产城景融合发展网</w:t>
      </w:r>
      <w:r>
        <w:rPr>
          <w:b w:val="0"/>
          <w:bCs w:val="0"/>
          <w:sz w:val="28"/>
          <w:szCs w:val="28"/>
        </w:rPr>
        <w:tab/>
      </w:r>
      <w:bookmarkStart w:id="22" w:name="_Toc1515291154_WPSOffice_Level1Page"/>
      <w:r>
        <w:rPr>
          <w:b w:val="0"/>
          <w:bCs w:val="0"/>
          <w:sz w:val="28"/>
          <w:szCs w:val="28"/>
        </w:rPr>
        <w:t>34</w:t>
      </w:r>
      <w:bookmarkEnd w:id="22"/>
      <w:r>
        <w:rPr>
          <w:b w:val="0"/>
          <w:bCs w:val="0"/>
          <w:sz w:val="28"/>
          <w:szCs w:val="28"/>
        </w:rPr>
        <w:fldChar w:fldCharType="end"/>
      </w:r>
    </w:p>
    <w:p>
      <w:pPr>
        <w:pStyle w:val="52"/>
        <w:widowControl w:val="0"/>
        <w:tabs>
          <w:tab w:val="right" w:leader="dot" w:pos="8845"/>
        </w:tabs>
        <w:snapToGrid w:val="0"/>
        <w:rPr>
          <w:b w:val="0"/>
          <w:bCs w:val="0"/>
          <w:sz w:val="28"/>
          <w:szCs w:val="28"/>
        </w:rPr>
      </w:pPr>
      <w:r>
        <w:rPr>
          <w:b w:val="0"/>
          <w:bCs w:val="0"/>
          <w:sz w:val="28"/>
          <w:szCs w:val="28"/>
        </w:rPr>
        <w:fldChar w:fldCharType="begin"/>
      </w:r>
      <w:r>
        <w:rPr>
          <w:b w:val="0"/>
          <w:bCs w:val="0"/>
          <w:sz w:val="28"/>
          <w:szCs w:val="28"/>
        </w:rPr>
        <w:instrText xml:space="preserve"> HYPERLINK \l _Toc517864410_WPSOffice_Level2 </w:instrText>
      </w:r>
      <w:r>
        <w:rPr>
          <w:b w:val="0"/>
          <w:bCs w:val="0"/>
          <w:sz w:val="28"/>
          <w:szCs w:val="28"/>
        </w:rPr>
        <w:fldChar w:fldCharType="separate"/>
      </w:r>
      <w:r>
        <w:rPr>
          <w:rFonts w:hint="eastAsia" w:ascii="方正楷体_GBK" w:hAnsi="方正楷体_GBK" w:eastAsia="方正楷体_GBK" w:cs="方正楷体_GBK"/>
          <w:b w:val="0"/>
          <w:bCs w:val="0"/>
          <w:sz w:val="28"/>
          <w:szCs w:val="28"/>
        </w:rPr>
        <w:t xml:space="preserve">第一节 </w:t>
      </w:r>
      <w:r>
        <w:rPr>
          <w:rFonts w:hint="default" w:ascii="方正楷体_GBK" w:hAnsi="方正楷体_GBK" w:eastAsia="方正楷体_GBK" w:cs="方正楷体_GBK"/>
          <w:b w:val="0"/>
          <w:bCs w:val="0"/>
          <w:sz w:val="28"/>
          <w:szCs w:val="28"/>
        </w:rPr>
        <w:t xml:space="preserve"> </w:t>
      </w:r>
      <w:r>
        <w:rPr>
          <w:rFonts w:hint="eastAsia" w:ascii="方正楷体_GBK" w:hAnsi="方正楷体_GBK" w:eastAsia="方正楷体_GBK" w:cs="方正楷体_GBK"/>
          <w:b w:val="0"/>
          <w:bCs w:val="0"/>
          <w:sz w:val="28"/>
          <w:szCs w:val="28"/>
        </w:rPr>
        <w:t>强化交通对产业的支撑</w:t>
      </w:r>
      <w:r>
        <w:rPr>
          <w:b w:val="0"/>
          <w:bCs w:val="0"/>
          <w:sz w:val="28"/>
          <w:szCs w:val="28"/>
        </w:rPr>
        <w:tab/>
      </w:r>
      <w:bookmarkStart w:id="23" w:name="_Toc517864410_WPSOffice_Level2Page"/>
      <w:r>
        <w:rPr>
          <w:b w:val="0"/>
          <w:bCs w:val="0"/>
          <w:sz w:val="28"/>
          <w:szCs w:val="28"/>
        </w:rPr>
        <w:t>34</w:t>
      </w:r>
      <w:bookmarkEnd w:id="23"/>
      <w:r>
        <w:rPr>
          <w:b w:val="0"/>
          <w:bCs w:val="0"/>
          <w:sz w:val="28"/>
          <w:szCs w:val="28"/>
        </w:rPr>
        <w:fldChar w:fldCharType="end"/>
      </w:r>
    </w:p>
    <w:p>
      <w:pPr>
        <w:pStyle w:val="52"/>
        <w:widowControl w:val="0"/>
        <w:tabs>
          <w:tab w:val="right" w:leader="dot" w:pos="8845"/>
        </w:tabs>
        <w:snapToGrid w:val="0"/>
        <w:rPr>
          <w:b w:val="0"/>
          <w:bCs w:val="0"/>
          <w:sz w:val="28"/>
          <w:szCs w:val="28"/>
        </w:rPr>
      </w:pPr>
      <w:r>
        <w:rPr>
          <w:b w:val="0"/>
          <w:bCs w:val="0"/>
          <w:sz w:val="28"/>
          <w:szCs w:val="28"/>
        </w:rPr>
        <w:fldChar w:fldCharType="begin"/>
      </w:r>
      <w:r>
        <w:rPr>
          <w:b w:val="0"/>
          <w:bCs w:val="0"/>
          <w:sz w:val="28"/>
          <w:szCs w:val="28"/>
        </w:rPr>
        <w:instrText xml:space="preserve"> HYPERLINK \l _Toc1124430096_WPSOffice_Level2 </w:instrText>
      </w:r>
      <w:r>
        <w:rPr>
          <w:b w:val="0"/>
          <w:bCs w:val="0"/>
          <w:sz w:val="28"/>
          <w:szCs w:val="28"/>
        </w:rPr>
        <w:fldChar w:fldCharType="separate"/>
      </w:r>
      <w:r>
        <w:rPr>
          <w:rFonts w:hint="eastAsia" w:ascii="方正楷体_GBK" w:hAnsi="方正楷体_GBK" w:eastAsia="方正楷体_GBK" w:cs="方正楷体_GBK"/>
          <w:b w:val="0"/>
          <w:bCs w:val="0"/>
          <w:sz w:val="28"/>
          <w:szCs w:val="28"/>
        </w:rPr>
        <w:t xml:space="preserve">第二节 </w:t>
      </w:r>
      <w:r>
        <w:rPr>
          <w:rFonts w:hint="default" w:ascii="方正楷体_GBK" w:hAnsi="方正楷体_GBK" w:eastAsia="方正楷体_GBK" w:cs="方正楷体_GBK"/>
          <w:b w:val="0"/>
          <w:bCs w:val="0"/>
          <w:sz w:val="28"/>
          <w:szCs w:val="28"/>
        </w:rPr>
        <w:t xml:space="preserve"> </w:t>
      </w:r>
      <w:r>
        <w:rPr>
          <w:rFonts w:hint="eastAsia" w:ascii="方正楷体_GBK" w:hAnsi="方正楷体_GBK" w:eastAsia="方正楷体_GBK" w:cs="方正楷体_GBK"/>
          <w:b w:val="0"/>
          <w:bCs w:val="0"/>
          <w:sz w:val="28"/>
          <w:szCs w:val="28"/>
        </w:rPr>
        <w:t>强化交通对城镇的支撑</w:t>
      </w:r>
      <w:r>
        <w:rPr>
          <w:b w:val="0"/>
          <w:bCs w:val="0"/>
          <w:sz w:val="28"/>
          <w:szCs w:val="28"/>
        </w:rPr>
        <w:tab/>
      </w:r>
      <w:bookmarkStart w:id="24" w:name="_Toc1124430096_WPSOffice_Level2Page"/>
      <w:r>
        <w:rPr>
          <w:b w:val="0"/>
          <w:bCs w:val="0"/>
          <w:sz w:val="28"/>
          <w:szCs w:val="28"/>
        </w:rPr>
        <w:t>35</w:t>
      </w:r>
      <w:bookmarkEnd w:id="24"/>
      <w:r>
        <w:rPr>
          <w:b w:val="0"/>
          <w:bCs w:val="0"/>
          <w:sz w:val="28"/>
          <w:szCs w:val="28"/>
        </w:rPr>
        <w:fldChar w:fldCharType="end"/>
      </w:r>
    </w:p>
    <w:p>
      <w:pPr>
        <w:pStyle w:val="52"/>
        <w:widowControl w:val="0"/>
        <w:tabs>
          <w:tab w:val="right" w:leader="dot" w:pos="8845"/>
        </w:tabs>
        <w:snapToGrid w:val="0"/>
        <w:rPr>
          <w:b w:val="0"/>
          <w:bCs w:val="0"/>
          <w:sz w:val="28"/>
          <w:szCs w:val="28"/>
        </w:rPr>
      </w:pPr>
      <w:r>
        <w:rPr>
          <w:b w:val="0"/>
          <w:bCs w:val="0"/>
          <w:sz w:val="28"/>
          <w:szCs w:val="28"/>
        </w:rPr>
        <w:fldChar w:fldCharType="begin"/>
      </w:r>
      <w:r>
        <w:rPr>
          <w:b w:val="0"/>
          <w:bCs w:val="0"/>
          <w:sz w:val="28"/>
          <w:szCs w:val="28"/>
        </w:rPr>
        <w:instrText xml:space="preserve"> HYPERLINK \l _Toc337658731_WPSOffice_Level2 </w:instrText>
      </w:r>
      <w:r>
        <w:rPr>
          <w:b w:val="0"/>
          <w:bCs w:val="0"/>
          <w:sz w:val="28"/>
          <w:szCs w:val="28"/>
        </w:rPr>
        <w:fldChar w:fldCharType="separate"/>
      </w:r>
      <w:r>
        <w:rPr>
          <w:rFonts w:hint="eastAsia" w:ascii="方正楷体_GBK" w:hAnsi="方正楷体_GBK" w:eastAsia="方正楷体_GBK" w:cs="方正楷体_GBK"/>
          <w:b w:val="0"/>
          <w:bCs w:val="0"/>
          <w:sz w:val="28"/>
          <w:szCs w:val="28"/>
        </w:rPr>
        <w:t xml:space="preserve">第三节 </w:t>
      </w:r>
      <w:r>
        <w:rPr>
          <w:rFonts w:hint="default" w:ascii="方正楷体_GBK" w:hAnsi="方正楷体_GBK" w:eastAsia="方正楷体_GBK" w:cs="方正楷体_GBK"/>
          <w:b w:val="0"/>
          <w:bCs w:val="0"/>
          <w:sz w:val="28"/>
          <w:szCs w:val="28"/>
        </w:rPr>
        <w:t xml:space="preserve"> </w:t>
      </w:r>
      <w:r>
        <w:rPr>
          <w:rFonts w:hint="eastAsia" w:ascii="方正楷体_GBK" w:hAnsi="方正楷体_GBK" w:eastAsia="方正楷体_GBK" w:cs="方正楷体_GBK"/>
          <w:b w:val="0"/>
          <w:bCs w:val="0"/>
          <w:sz w:val="28"/>
          <w:szCs w:val="28"/>
        </w:rPr>
        <w:t>强化交通对旅游的支撑</w:t>
      </w:r>
      <w:r>
        <w:rPr>
          <w:b w:val="0"/>
          <w:bCs w:val="0"/>
          <w:sz w:val="28"/>
          <w:szCs w:val="28"/>
        </w:rPr>
        <w:tab/>
      </w:r>
      <w:bookmarkStart w:id="25" w:name="_Toc337658731_WPSOffice_Level2Page"/>
      <w:r>
        <w:rPr>
          <w:b w:val="0"/>
          <w:bCs w:val="0"/>
          <w:sz w:val="28"/>
          <w:szCs w:val="28"/>
        </w:rPr>
        <w:t>36</w:t>
      </w:r>
      <w:bookmarkEnd w:id="25"/>
      <w:r>
        <w:rPr>
          <w:b w:val="0"/>
          <w:bCs w:val="0"/>
          <w:sz w:val="28"/>
          <w:szCs w:val="28"/>
        </w:rPr>
        <w:fldChar w:fldCharType="end"/>
      </w:r>
    </w:p>
    <w:p>
      <w:pPr>
        <w:pStyle w:val="52"/>
        <w:widowControl w:val="0"/>
        <w:tabs>
          <w:tab w:val="right" w:leader="dot" w:pos="8845"/>
        </w:tabs>
        <w:snapToGrid w:val="0"/>
        <w:rPr>
          <w:b w:val="0"/>
          <w:bCs w:val="0"/>
          <w:sz w:val="28"/>
          <w:szCs w:val="28"/>
        </w:rPr>
      </w:pPr>
      <w:r>
        <w:rPr>
          <w:b w:val="0"/>
          <w:bCs w:val="0"/>
          <w:sz w:val="28"/>
          <w:szCs w:val="28"/>
        </w:rPr>
        <w:fldChar w:fldCharType="begin"/>
      </w:r>
      <w:r>
        <w:rPr>
          <w:b w:val="0"/>
          <w:bCs w:val="0"/>
          <w:sz w:val="28"/>
          <w:szCs w:val="28"/>
        </w:rPr>
        <w:instrText xml:space="preserve"> HYPERLINK \l _Toc1347488140_WPSOffice_Level2 </w:instrText>
      </w:r>
      <w:r>
        <w:rPr>
          <w:b w:val="0"/>
          <w:bCs w:val="0"/>
          <w:sz w:val="28"/>
          <w:szCs w:val="28"/>
        </w:rPr>
        <w:fldChar w:fldCharType="separate"/>
      </w:r>
      <w:r>
        <w:rPr>
          <w:rFonts w:hint="eastAsia" w:ascii="方正楷体_GBK" w:hAnsi="方正楷体_GBK" w:eastAsia="方正楷体_GBK" w:cs="方正楷体_GBK"/>
          <w:b w:val="0"/>
          <w:bCs w:val="0"/>
          <w:sz w:val="28"/>
          <w:szCs w:val="28"/>
        </w:rPr>
        <w:t xml:space="preserve">第四节 </w:t>
      </w:r>
      <w:r>
        <w:rPr>
          <w:rFonts w:hint="default" w:ascii="方正楷体_GBK" w:hAnsi="方正楷体_GBK" w:eastAsia="方正楷体_GBK" w:cs="方正楷体_GBK"/>
          <w:b w:val="0"/>
          <w:bCs w:val="0"/>
          <w:sz w:val="28"/>
          <w:szCs w:val="28"/>
        </w:rPr>
        <w:t xml:space="preserve"> </w:t>
      </w:r>
      <w:r>
        <w:rPr>
          <w:rFonts w:hint="eastAsia" w:ascii="方正楷体_GBK" w:hAnsi="方正楷体_GBK" w:eastAsia="方正楷体_GBK" w:cs="方正楷体_GBK"/>
          <w:b w:val="0"/>
          <w:bCs w:val="0"/>
          <w:sz w:val="28"/>
          <w:szCs w:val="28"/>
        </w:rPr>
        <w:t>强化交通对乡村振兴的支撑</w:t>
      </w:r>
      <w:r>
        <w:rPr>
          <w:b w:val="0"/>
          <w:bCs w:val="0"/>
          <w:sz w:val="28"/>
          <w:szCs w:val="28"/>
        </w:rPr>
        <w:tab/>
      </w:r>
      <w:bookmarkStart w:id="26" w:name="_Toc1347488140_WPSOffice_Level2Page"/>
      <w:r>
        <w:rPr>
          <w:b w:val="0"/>
          <w:bCs w:val="0"/>
          <w:sz w:val="28"/>
          <w:szCs w:val="28"/>
        </w:rPr>
        <w:t>37</w:t>
      </w:r>
      <w:bookmarkEnd w:id="26"/>
      <w:r>
        <w:rPr>
          <w:b w:val="0"/>
          <w:bCs w:val="0"/>
          <w:sz w:val="28"/>
          <w:szCs w:val="28"/>
        </w:rPr>
        <w:fldChar w:fldCharType="end"/>
      </w:r>
    </w:p>
    <w:p>
      <w:pPr>
        <w:pStyle w:val="51"/>
        <w:widowControl w:val="0"/>
        <w:tabs>
          <w:tab w:val="right" w:leader="dot" w:pos="8845"/>
        </w:tabs>
        <w:snapToGrid w:val="0"/>
        <w:rPr>
          <w:b w:val="0"/>
          <w:bCs w:val="0"/>
          <w:sz w:val="28"/>
          <w:szCs w:val="28"/>
        </w:rPr>
      </w:pPr>
      <w:r>
        <w:rPr>
          <w:b w:val="0"/>
          <w:bCs w:val="0"/>
          <w:sz w:val="28"/>
          <w:szCs w:val="28"/>
        </w:rPr>
        <w:fldChar w:fldCharType="begin"/>
      </w:r>
      <w:r>
        <w:rPr>
          <w:b w:val="0"/>
          <w:bCs w:val="0"/>
          <w:sz w:val="28"/>
          <w:szCs w:val="28"/>
        </w:rPr>
        <w:instrText xml:space="preserve"> HYPERLINK \l _Toc1857719158_WPSOffice_Level1 </w:instrText>
      </w:r>
      <w:r>
        <w:rPr>
          <w:b w:val="0"/>
          <w:bCs w:val="0"/>
          <w:sz w:val="28"/>
          <w:szCs w:val="28"/>
        </w:rPr>
        <w:fldChar w:fldCharType="separate"/>
      </w:r>
      <w:r>
        <w:rPr>
          <w:rFonts w:ascii="Times New Roman" w:hAnsi="Times New Roman" w:eastAsia="方正黑体_GBK" w:cs="Times New Roman"/>
          <w:b w:val="0"/>
          <w:bCs w:val="0"/>
          <w:sz w:val="28"/>
          <w:szCs w:val="28"/>
        </w:rPr>
        <w:t xml:space="preserve">第七章 </w:t>
      </w:r>
      <w:r>
        <w:rPr>
          <w:rFonts w:hint="eastAsia" w:ascii="Times New Roman" w:hAnsi="Times New Roman" w:eastAsia="方正黑体_GBK" w:cs="Times New Roman"/>
          <w:b w:val="0"/>
          <w:bCs w:val="0"/>
          <w:sz w:val="28"/>
          <w:szCs w:val="28"/>
        </w:rPr>
        <w:t xml:space="preserve"> </w:t>
      </w:r>
      <w:r>
        <w:rPr>
          <w:rFonts w:ascii="Times New Roman" w:hAnsi="Times New Roman" w:eastAsia="方正黑体_GBK" w:cs="Times New Roman"/>
          <w:b w:val="0"/>
          <w:bCs w:val="0"/>
          <w:sz w:val="28"/>
          <w:szCs w:val="28"/>
        </w:rPr>
        <w:t>着眼枢纽贯通，构建一体衔接综合枢纽网</w:t>
      </w:r>
      <w:r>
        <w:rPr>
          <w:b w:val="0"/>
          <w:bCs w:val="0"/>
          <w:sz w:val="28"/>
          <w:szCs w:val="28"/>
        </w:rPr>
        <w:tab/>
      </w:r>
      <w:bookmarkStart w:id="27" w:name="_Toc1857719158_WPSOffice_Level1Page"/>
      <w:r>
        <w:rPr>
          <w:b w:val="0"/>
          <w:bCs w:val="0"/>
          <w:sz w:val="28"/>
          <w:szCs w:val="28"/>
        </w:rPr>
        <w:t>38</w:t>
      </w:r>
      <w:bookmarkEnd w:id="27"/>
      <w:r>
        <w:rPr>
          <w:b w:val="0"/>
          <w:bCs w:val="0"/>
          <w:sz w:val="28"/>
          <w:szCs w:val="28"/>
        </w:rPr>
        <w:fldChar w:fldCharType="end"/>
      </w:r>
    </w:p>
    <w:p>
      <w:pPr>
        <w:pStyle w:val="52"/>
        <w:widowControl w:val="0"/>
        <w:tabs>
          <w:tab w:val="right" w:leader="dot" w:pos="8845"/>
        </w:tabs>
        <w:snapToGrid w:val="0"/>
        <w:rPr>
          <w:b w:val="0"/>
          <w:bCs w:val="0"/>
          <w:sz w:val="28"/>
          <w:szCs w:val="28"/>
        </w:rPr>
      </w:pPr>
      <w:r>
        <w:rPr>
          <w:b w:val="0"/>
          <w:bCs w:val="0"/>
          <w:sz w:val="28"/>
          <w:szCs w:val="28"/>
        </w:rPr>
        <w:fldChar w:fldCharType="begin"/>
      </w:r>
      <w:r>
        <w:rPr>
          <w:b w:val="0"/>
          <w:bCs w:val="0"/>
          <w:sz w:val="28"/>
          <w:szCs w:val="28"/>
        </w:rPr>
        <w:instrText xml:space="preserve"> HYPERLINK \l _Toc116386693_WPSOffice_Level2 </w:instrText>
      </w:r>
      <w:r>
        <w:rPr>
          <w:b w:val="0"/>
          <w:bCs w:val="0"/>
          <w:sz w:val="28"/>
          <w:szCs w:val="28"/>
        </w:rPr>
        <w:fldChar w:fldCharType="separate"/>
      </w:r>
      <w:r>
        <w:rPr>
          <w:rFonts w:hint="eastAsia" w:ascii="方正楷体_GBK" w:hAnsi="方正楷体_GBK" w:eastAsia="方正楷体_GBK" w:cs="方正楷体_GBK"/>
          <w:b w:val="0"/>
          <w:bCs w:val="0"/>
          <w:sz w:val="28"/>
          <w:szCs w:val="28"/>
        </w:rPr>
        <w:t xml:space="preserve">第一节 </w:t>
      </w:r>
      <w:r>
        <w:rPr>
          <w:rFonts w:hint="default" w:ascii="方正楷体_GBK" w:hAnsi="方正楷体_GBK" w:eastAsia="方正楷体_GBK" w:cs="方正楷体_GBK"/>
          <w:b w:val="0"/>
          <w:bCs w:val="0"/>
          <w:sz w:val="28"/>
          <w:szCs w:val="28"/>
        </w:rPr>
        <w:t xml:space="preserve"> </w:t>
      </w:r>
      <w:r>
        <w:rPr>
          <w:rFonts w:hint="eastAsia" w:ascii="方正楷体_GBK" w:hAnsi="方正楷体_GBK" w:eastAsia="方正楷体_GBK" w:cs="方正楷体_GBK"/>
          <w:b w:val="0"/>
          <w:bCs w:val="0"/>
          <w:sz w:val="28"/>
          <w:szCs w:val="28"/>
        </w:rPr>
        <w:t>构建高品质客运枢纽</w:t>
      </w:r>
      <w:r>
        <w:rPr>
          <w:b w:val="0"/>
          <w:bCs w:val="0"/>
          <w:sz w:val="28"/>
          <w:szCs w:val="28"/>
        </w:rPr>
        <w:tab/>
      </w:r>
      <w:bookmarkStart w:id="28" w:name="_Toc116386693_WPSOffice_Level2Page"/>
      <w:r>
        <w:rPr>
          <w:b w:val="0"/>
          <w:bCs w:val="0"/>
          <w:sz w:val="28"/>
          <w:szCs w:val="28"/>
        </w:rPr>
        <w:t>38</w:t>
      </w:r>
      <w:bookmarkEnd w:id="28"/>
      <w:r>
        <w:rPr>
          <w:b w:val="0"/>
          <w:bCs w:val="0"/>
          <w:sz w:val="28"/>
          <w:szCs w:val="28"/>
        </w:rPr>
        <w:fldChar w:fldCharType="end"/>
      </w:r>
    </w:p>
    <w:p>
      <w:pPr>
        <w:pStyle w:val="52"/>
        <w:widowControl w:val="0"/>
        <w:tabs>
          <w:tab w:val="right" w:leader="dot" w:pos="8845"/>
        </w:tabs>
        <w:snapToGrid w:val="0"/>
        <w:rPr>
          <w:b w:val="0"/>
          <w:bCs w:val="0"/>
          <w:sz w:val="28"/>
          <w:szCs w:val="28"/>
        </w:rPr>
      </w:pPr>
      <w:r>
        <w:rPr>
          <w:b w:val="0"/>
          <w:bCs w:val="0"/>
          <w:sz w:val="28"/>
          <w:szCs w:val="28"/>
        </w:rPr>
        <w:fldChar w:fldCharType="begin"/>
      </w:r>
      <w:r>
        <w:rPr>
          <w:b w:val="0"/>
          <w:bCs w:val="0"/>
          <w:sz w:val="28"/>
          <w:szCs w:val="28"/>
        </w:rPr>
        <w:instrText xml:space="preserve"> HYPERLINK \l _Toc1597976921_WPSOffice_Level2 </w:instrText>
      </w:r>
      <w:r>
        <w:rPr>
          <w:b w:val="0"/>
          <w:bCs w:val="0"/>
          <w:sz w:val="28"/>
          <w:szCs w:val="28"/>
        </w:rPr>
        <w:fldChar w:fldCharType="separate"/>
      </w:r>
      <w:r>
        <w:rPr>
          <w:rFonts w:hint="eastAsia" w:ascii="方正楷体_GBK" w:hAnsi="方正楷体_GBK" w:eastAsia="方正楷体_GBK" w:cs="方正楷体_GBK"/>
          <w:b w:val="0"/>
          <w:bCs w:val="0"/>
          <w:sz w:val="28"/>
          <w:szCs w:val="28"/>
        </w:rPr>
        <w:t xml:space="preserve">第二节 </w:t>
      </w:r>
      <w:r>
        <w:rPr>
          <w:rFonts w:hint="default" w:ascii="方正楷体_GBK" w:hAnsi="方正楷体_GBK" w:eastAsia="方正楷体_GBK" w:cs="方正楷体_GBK"/>
          <w:b w:val="0"/>
          <w:bCs w:val="0"/>
          <w:sz w:val="28"/>
          <w:szCs w:val="28"/>
        </w:rPr>
        <w:t xml:space="preserve"> </w:t>
      </w:r>
      <w:r>
        <w:rPr>
          <w:rFonts w:hint="eastAsia" w:ascii="方正楷体_GBK" w:hAnsi="方正楷体_GBK" w:eastAsia="方正楷体_GBK" w:cs="方正楷体_GBK"/>
          <w:b w:val="0"/>
          <w:bCs w:val="0"/>
          <w:sz w:val="28"/>
          <w:szCs w:val="28"/>
        </w:rPr>
        <w:t>构建高效率物流枢纽</w:t>
      </w:r>
      <w:r>
        <w:rPr>
          <w:b w:val="0"/>
          <w:bCs w:val="0"/>
          <w:sz w:val="28"/>
          <w:szCs w:val="28"/>
        </w:rPr>
        <w:tab/>
      </w:r>
      <w:bookmarkStart w:id="29" w:name="_Toc1597976921_WPSOffice_Level2Page"/>
      <w:r>
        <w:rPr>
          <w:b w:val="0"/>
          <w:bCs w:val="0"/>
          <w:sz w:val="28"/>
          <w:szCs w:val="28"/>
        </w:rPr>
        <w:t>39</w:t>
      </w:r>
      <w:bookmarkEnd w:id="29"/>
      <w:r>
        <w:rPr>
          <w:b w:val="0"/>
          <w:bCs w:val="0"/>
          <w:sz w:val="28"/>
          <w:szCs w:val="28"/>
        </w:rPr>
        <w:fldChar w:fldCharType="end"/>
      </w:r>
    </w:p>
    <w:p>
      <w:pPr>
        <w:pStyle w:val="51"/>
        <w:widowControl w:val="0"/>
        <w:tabs>
          <w:tab w:val="right" w:leader="dot" w:pos="8845"/>
        </w:tabs>
        <w:snapToGrid w:val="0"/>
        <w:rPr>
          <w:b w:val="0"/>
          <w:bCs w:val="0"/>
          <w:sz w:val="28"/>
          <w:szCs w:val="28"/>
        </w:rPr>
      </w:pPr>
      <w:r>
        <w:rPr>
          <w:b w:val="0"/>
          <w:bCs w:val="0"/>
          <w:sz w:val="28"/>
          <w:szCs w:val="28"/>
        </w:rPr>
        <w:fldChar w:fldCharType="begin"/>
      </w:r>
      <w:r>
        <w:rPr>
          <w:b w:val="0"/>
          <w:bCs w:val="0"/>
          <w:sz w:val="28"/>
          <w:szCs w:val="28"/>
        </w:rPr>
        <w:instrText xml:space="preserve"> HYPERLINK \l _Toc826776273_WPSOffice_Level1 </w:instrText>
      </w:r>
      <w:r>
        <w:rPr>
          <w:b w:val="0"/>
          <w:bCs w:val="0"/>
          <w:sz w:val="28"/>
          <w:szCs w:val="28"/>
        </w:rPr>
        <w:fldChar w:fldCharType="separate"/>
      </w:r>
      <w:r>
        <w:rPr>
          <w:rFonts w:ascii="Times New Roman" w:hAnsi="Times New Roman" w:eastAsia="方正黑体_GBK" w:cs="Times New Roman"/>
          <w:b w:val="0"/>
          <w:bCs w:val="0"/>
          <w:sz w:val="28"/>
          <w:szCs w:val="28"/>
        </w:rPr>
        <w:t xml:space="preserve">第八章 </w:t>
      </w:r>
      <w:r>
        <w:rPr>
          <w:rFonts w:hint="eastAsia" w:ascii="Times New Roman" w:hAnsi="Times New Roman" w:eastAsia="方正黑体_GBK" w:cs="Times New Roman"/>
          <w:b w:val="0"/>
          <w:bCs w:val="0"/>
          <w:sz w:val="28"/>
          <w:szCs w:val="28"/>
        </w:rPr>
        <w:t xml:space="preserve"> </w:t>
      </w:r>
      <w:r>
        <w:rPr>
          <w:rFonts w:ascii="Times New Roman" w:hAnsi="Times New Roman" w:eastAsia="方正黑体_GBK" w:cs="Times New Roman"/>
          <w:b w:val="0"/>
          <w:bCs w:val="0"/>
          <w:sz w:val="28"/>
          <w:szCs w:val="28"/>
        </w:rPr>
        <w:t>着眼服务互通，构建便捷高效运输服务体系</w:t>
      </w:r>
      <w:r>
        <w:rPr>
          <w:b w:val="0"/>
          <w:bCs w:val="0"/>
          <w:sz w:val="28"/>
          <w:szCs w:val="28"/>
        </w:rPr>
        <w:tab/>
      </w:r>
      <w:bookmarkStart w:id="30" w:name="_Toc826776273_WPSOffice_Level1Page"/>
      <w:r>
        <w:rPr>
          <w:b w:val="0"/>
          <w:bCs w:val="0"/>
          <w:sz w:val="28"/>
          <w:szCs w:val="28"/>
        </w:rPr>
        <w:t>40</w:t>
      </w:r>
      <w:bookmarkEnd w:id="30"/>
      <w:r>
        <w:rPr>
          <w:b w:val="0"/>
          <w:bCs w:val="0"/>
          <w:sz w:val="28"/>
          <w:szCs w:val="28"/>
        </w:rPr>
        <w:fldChar w:fldCharType="end"/>
      </w:r>
    </w:p>
    <w:p>
      <w:pPr>
        <w:pStyle w:val="52"/>
        <w:widowControl w:val="0"/>
        <w:tabs>
          <w:tab w:val="right" w:leader="dot" w:pos="8845"/>
        </w:tabs>
        <w:snapToGrid w:val="0"/>
        <w:rPr>
          <w:b w:val="0"/>
          <w:bCs w:val="0"/>
          <w:sz w:val="28"/>
          <w:szCs w:val="28"/>
        </w:rPr>
      </w:pPr>
      <w:r>
        <w:rPr>
          <w:b w:val="0"/>
          <w:bCs w:val="0"/>
          <w:sz w:val="28"/>
          <w:szCs w:val="28"/>
        </w:rPr>
        <w:fldChar w:fldCharType="begin"/>
      </w:r>
      <w:r>
        <w:rPr>
          <w:b w:val="0"/>
          <w:bCs w:val="0"/>
          <w:sz w:val="28"/>
          <w:szCs w:val="28"/>
        </w:rPr>
        <w:instrText xml:space="preserve"> HYPERLINK \l _Toc895920756_WPSOffice_Level2 </w:instrText>
      </w:r>
      <w:r>
        <w:rPr>
          <w:b w:val="0"/>
          <w:bCs w:val="0"/>
          <w:sz w:val="28"/>
          <w:szCs w:val="28"/>
        </w:rPr>
        <w:fldChar w:fldCharType="separate"/>
      </w:r>
      <w:r>
        <w:rPr>
          <w:rFonts w:hint="eastAsia" w:ascii="方正楷体_GBK" w:hAnsi="方正楷体_GBK" w:eastAsia="方正楷体_GBK" w:cs="方正楷体_GBK"/>
          <w:b w:val="0"/>
          <w:bCs w:val="0"/>
          <w:sz w:val="28"/>
          <w:szCs w:val="28"/>
        </w:rPr>
        <w:t>第一节</w:t>
      </w:r>
      <w:r>
        <w:rPr>
          <w:rFonts w:hint="default" w:ascii="方正楷体_GBK" w:hAnsi="方正楷体_GBK" w:eastAsia="方正楷体_GBK" w:cs="方正楷体_GBK"/>
          <w:b w:val="0"/>
          <w:bCs w:val="0"/>
          <w:sz w:val="28"/>
          <w:szCs w:val="28"/>
        </w:rPr>
        <w:t xml:space="preserve"> </w:t>
      </w:r>
      <w:r>
        <w:rPr>
          <w:rFonts w:hint="eastAsia" w:ascii="方正楷体_GBK" w:hAnsi="方正楷体_GBK" w:eastAsia="方正楷体_GBK" w:cs="方正楷体_GBK"/>
          <w:b w:val="0"/>
          <w:bCs w:val="0"/>
          <w:sz w:val="28"/>
          <w:szCs w:val="28"/>
        </w:rPr>
        <w:t xml:space="preserve"> 打造多样化客运服务</w:t>
      </w:r>
      <w:r>
        <w:rPr>
          <w:b w:val="0"/>
          <w:bCs w:val="0"/>
          <w:sz w:val="28"/>
          <w:szCs w:val="28"/>
        </w:rPr>
        <w:tab/>
      </w:r>
      <w:bookmarkStart w:id="31" w:name="_Toc895920756_WPSOffice_Level2Page"/>
      <w:r>
        <w:rPr>
          <w:b w:val="0"/>
          <w:bCs w:val="0"/>
          <w:sz w:val="28"/>
          <w:szCs w:val="28"/>
        </w:rPr>
        <w:t>40</w:t>
      </w:r>
      <w:bookmarkEnd w:id="31"/>
      <w:r>
        <w:rPr>
          <w:b w:val="0"/>
          <w:bCs w:val="0"/>
          <w:sz w:val="28"/>
          <w:szCs w:val="28"/>
        </w:rPr>
        <w:fldChar w:fldCharType="end"/>
      </w:r>
    </w:p>
    <w:p>
      <w:pPr>
        <w:pStyle w:val="52"/>
        <w:widowControl w:val="0"/>
        <w:tabs>
          <w:tab w:val="right" w:leader="dot" w:pos="8845"/>
        </w:tabs>
        <w:snapToGrid w:val="0"/>
        <w:rPr>
          <w:b w:val="0"/>
          <w:bCs w:val="0"/>
          <w:sz w:val="28"/>
          <w:szCs w:val="28"/>
        </w:rPr>
      </w:pPr>
      <w:r>
        <w:rPr>
          <w:b w:val="0"/>
          <w:bCs w:val="0"/>
          <w:sz w:val="28"/>
          <w:szCs w:val="28"/>
        </w:rPr>
        <w:fldChar w:fldCharType="begin"/>
      </w:r>
      <w:r>
        <w:rPr>
          <w:b w:val="0"/>
          <w:bCs w:val="0"/>
          <w:sz w:val="28"/>
          <w:szCs w:val="28"/>
        </w:rPr>
        <w:instrText xml:space="preserve"> HYPERLINK \l _Toc86888245_WPSOffice_Level2 </w:instrText>
      </w:r>
      <w:r>
        <w:rPr>
          <w:b w:val="0"/>
          <w:bCs w:val="0"/>
          <w:sz w:val="28"/>
          <w:szCs w:val="28"/>
        </w:rPr>
        <w:fldChar w:fldCharType="separate"/>
      </w:r>
      <w:r>
        <w:rPr>
          <w:rFonts w:hint="eastAsia" w:ascii="方正楷体_GBK" w:hAnsi="方正楷体_GBK" w:eastAsia="方正楷体_GBK" w:cs="方正楷体_GBK"/>
          <w:b w:val="0"/>
          <w:bCs w:val="0"/>
          <w:sz w:val="28"/>
          <w:szCs w:val="28"/>
        </w:rPr>
        <w:t>第二节</w:t>
      </w:r>
      <w:r>
        <w:rPr>
          <w:rFonts w:hint="default" w:ascii="方正楷体_GBK" w:hAnsi="方正楷体_GBK" w:eastAsia="方正楷体_GBK" w:cs="方正楷体_GBK"/>
          <w:b w:val="0"/>
          <w:bCs w:val="0"/>
          <w:sz w:val="28"/>
          <w:szCs w:val="28"/>
        </w:rPr>
        <w:t xml:space="preserve"> </w:t>
      </w:r>
      <w:r>
        <w:rPr>
          <w:rFonts w:hint="eastAsia" w:ascii="方正楷体_GBK" w:hAnsi="方正楷体_GBK" w:eastAsia="方正楷体_GBK" w:cs="方正楷体_GBK"/>
          <w:b w:val="0"/>
          <w:bCs w:val="0"/>
          <w:sz w:val="28"/>
          <w:szCs w:val="28"/>
        </w:rPr>
        <w:t xml:space="preserve"> 打造集约化货运服务</w:t>
      </w:r>
      <w:r>
        <w:rPr>
          <w:b w:val="0"/>
          <w:bCs w:val="0"/>
          <w:sz w:val="28"/>
          <w:szCs w:val="28"/>
        </w:rPr>
        <w:tab/>
      </w:r>
      <w:bookmarkStart w:id="32" w:name="_Toc86888245_WPSOffice_Level2Page"/>
      <w:r>
        <w:rPr>
          <w:b w:val="0"/>
          <w:bCs w:val="0"/>
          <w:sz w:val="28"/>
          <w:szCs w:val="28"/>
        </w:rPr>
        <w:t>42</w:t>
      </w:r>
      <w:bookmarkEnd w:id="32"/>
      <w:r>
        <w:rPr>
          <w:b w:val="0"/>
          <w:bCs w:val="0"/>
          <w:sz w:val="28"/>
          <w:szCs w:val="28"/>
        </w:rPr>
        <w:fldChar w:fldCharType="end"/>
      </w:r>
    </w:p>
    <w:p>
      <w:pPr>
        <w:pStyle w:val="51"/>
        <w:widowControl w:val="0"/>
        <w:tabs>
          <w:tab w:val="right" w:leader="dot" w:pos="8845"/>
        </w:tabs>
        <w:snapToGrid w:val="0"/>
        <w:rPr>
          <w:b w:val="0"/>
          <w:bCs w:val="0"/>
          <w:sz w:val="28"/>
          <w:szCs w:val="28"/>
        </w:rPr>
      </w:pPr>
      <w:r>
        <w:rPr>
          <w:b w:val="0"/>
          <w:bCs w:val="0"/>
          <w:sz w:val="28"/>
          <w:szCs w:val="28"/>
        </w:rPr>
        <w:fldChar w:fldCharType="begin"/>
      </w:r>
      <w:r>
        <w:rPr>
          <w:b w:val="0"/>
          <w:bCs w:val="0"/>
          <w:sz w:val="28"/>
          <w:szCs w:val="28"/>
        </w:rPr>
        <w:instrText xml:space="preserve"> HYPERLINK \l _Toc512007733_WPSOffice_Level1 </w:instrText>
      </w:r>
      <w:r>
        <w:rPr>
          <w:b w:val="0"/>
          <w:bCs w:val="0"/>
          <w:sz w:val="28"/>
          <w:szCs w:val="28"/>
        </w:rPr>
        <w:fldChar w:fldCharType="separate"/>
      </w:r>
      <w:r>
        <w:rPr>
          <w:rFonts w:ascii="Times New Roman" w:hAnsi="Times New Roman" w:eastAsia="方正黑体_GBK" w:cs="Times New Roman"/>
          <w:b w:val="0"/>
          <w:bCs w:val="0"/>
          <w:sz w:val="28"/>
          <w:szCs w:val="28"/>
        </w:rPr>
        <w:t xml:space="preserve">第九章 </w:t>
      </w:r>
      <w:r>
        <w:rPr>
          <w:rFonts w:hint="eastAsia" w:ascii="Times New Roman" w:hAnsi="Times New Roman" w:eastAsia="方正黑体_GBK" w:cs="Times New Roman"/>
          <w:b w:val="0"/>
          <w:bCs w:val="0"/>
          <w:sz w:val="28"/>
          <w:szCs w:val="28"/>
        </w:rPr>
        <w:t xml:space="preserve"> </w:t>
      </w:r>
      <w:r>
        <w:rPr>
          <w:rFonts w:ascii="Times New Roman" w:hAnsi="Times New Roman" w:eastAsia="方正黑体_GBK" w:cs="Times New Roman"/>
          <w:b w:val="0"/>
          <w:bCs w:val="0"/>
          <w:sz w:val="28"/>
          <w:szCs w:val="28"/>
        </w:rPr>
        <w:t>着眼创新驱动，</w:t>
      </w:r>
      <w:r>
        <w:rPr>
          <w:rFonts w:hint="eastAsia" w:ascii="Times New Roman" w:hAnsi="Times New Roman" w:eastAsia="方正黑体_GBK" w:cs="Times New Roman"/>
          <w:b w:val="0"/>
          <w:bCs w:val="0"/>
          <w:sz w:val="28"/>
          <w:szCs w:val="28"/>
        </w:rPr>
        <w:t>打造永川智慧交通样板区</w:t>
      </w:r>
      <w:r>
        <w:rPr>
          <w:b w:val="0"/>
          <w:bCs w:val="0"/>
          <w:sz w:val="28"/>
          <w:szCs w:val="28"/>
        </w:rPr>
        <w:tab/>
      </w:r>
      <w:bookmarkStart w:id="33" w:name="_Toc512007733_WPSOffice_Level1Page"/>
      <w:r>
        <w:rPr>
          <w:b w:val="0"/>
          <w:bCs w:val="0"/>
          <w:sz w:val="28"/>
          <w:szCs w:val="28"/>
        </w:rPr>
        <w:t>43</w:t>
      </w:r>
      <w:bookmarkEnd w:id="33"/>
      <w:r>
        <w:rPr>
          <w:b w:val="0"/>
          <w:bCs w:val="0"/>
          <w:sz w:val="28"/>
          <w:szCs w:val="28"/>
        </w:rPr>
        <w:fldChar w:fldCharType="end"/>
      </w:r>
    </w:p>
    <w:p>
      <w:pPr>
        <w:pStyle w:val="52"/>
        <w:widowControl w:val="0"/>
        <w:tabs>
          <w:tab w:val="right" w:leader="dot" w:pos="8845"/>
        </w:tabs>
        <w:snapToGrid w:val="0"/>
        <w:rPr>
          <w:b w:val="0"/>
          <w:bCs w:val="0"/>
          <w:sz w:val="28"/>
          <w:szCs w:val="28"/>
        </w:rPr>
      </w:pPr>
      <w:r>
        <w:rPr>
          <w:b w:val="0"/>
          <w:bCs w:val="0"/>
          <w:sz w:val="28"/>
          <w:szCs w:val="28"/>
        </w:rPr>
        <w:fldChar w:fldCharType="begin"/>
      </w:r>
      <w:r>
        <w:rPr>
          <w:b w:val="0"/>
          <w:bCs w:val="0"/>
          <w:sz w:val="28"/>
          <w:szCs w:val="28"/>
        </w:rPr>
        <w:instrText xml:space="preserve"> HYPERLINK \l _Toc417199837_WPSOffice_Level2 </w:instrText>
      </w:r>
      <w:r>
        <w:rPr>
          <w:b w:val="0"/>
          <w:bCs w:val="0"/>
          <w:sz w:val="28"/>
          <w:szCs w:val="28"/>
        </w:rPr>
        <w:fldChar w:fldCharType="separate"/>
      </w:r>
      <w:r>
        <w:rPr>
          <w:rFonts w:hint="eastAsia" w:ascii="方正楷体_GBK" w:hAnsi="方正楷体_GBK" w:eastAsia="方正楷体_GBK" w:cs="方正楷体_GBK"/>
          <w:b w:val="0"/>
          <w:bCs w:val="0"/>
          <w:sz w:val="28"/>
          <w:szCs w:val="28"/>
        </w:rPr>
        <w:t>第一节 推动基础设施智能化应用</w:t>
      </w:r>
      <w:r>
        <w:rPr>
          <w:b w:val="0"/>
          <w:bCs w:val="0"/>
          <w:sz w:val="28"/>
          <w:szCs w:val="28"/>
        </w:rPr>
        <w:tab/>
      </w:r>
      <w:bookmarkStart w:id="34" w:name="_Toc417199837_WPSOffice_Level2Page"/>
      <w:r>
        <w:rPr>
          <w:b w:val="0"/>
          <w:bCs w:val="0"/>
          <w:sz w:val="28"/>
          <w:szCs w:val="28"/>
        </w:rPr>
        <w:t>43</w:t>
      </w:r>
      <w:bookmarkEnd w:id="34"/>
      <w:r>
        <w:rPr>
          <w:b w:val="0"/>
          <w:bCs w:val="0"/>
          <w:sz w:val="28"/>
          <w:szCs w:val="28"/>
        </w:rPr>
        <w:fldChar w:fldCharType="end"/>
      </w:r>
    </w:p>
    <w:p>
      <w:pPr>
        <w:pStyle w:val="52"/>
        <w:widowControl w:val="0"/>
        <w:tabs>
          <w:tab w:val="right" w:leader="dot" w:pos="8845"/>
        </w:tabs>
        <w:snapToGrid w:val="0"/>
        <w:rPr>
          <w:b w:val="0"/>
          <w:bCs w:val="0"/>
          <w:sz w:val="28"/>
          <w:szCs w:val="28"/>
        </w:rPr>
      </w:pPr>
      <w:r>
        <w:rPr>
          <w:b w:val="0"/>
          <w:bCs w:val="0"/>
          <w:sz w:val="28"/>
          <w:szCs w:val="28"/>
        </w:rPr>
        <w:fldChar w:fldCharType="begin"/>
      </w:r>
      <w:r>
        <w:rPr>
          <w:b w:val="0"/>
          <w:bCs w:val="0"/>
          <w:sz w:val="28"/>
          <w:szCs w:val="28"/>
        </w:rPr>
        <w:instrText xml:space="preserve"> HYPERLINK \l _Toc1334918785_WPSOffice_Level2 </w:instrText>
      </w:r>
      <w:r>
        <w:rPr>
          <w:b w:val="0"/>
          <w:bCs w:val="0"/>
          <w:sz w:val="28"/>
          <w:szCs w:val="28"/>
        </w:rPr>
        <w:fldChar w:fldCharType="separate"/>
      </w:r>
      <w:r>
        <w:rPr>
          <w:rFonts w:hint="eastAsia" w:ascii="方正楷体_GBK" w:hAnsi="方正楷体_GBK" w:eastAsia="方正楷体_GBK" w:cs="方正楷体_GBK"/>
          <w:b w:val="0"/>
          <w:bCs w:val="0"/>
          <w:sz w:val="28"/>
          <w:szCs w:val="28"/>
        </w:rPr>
        <w:t>第二节</w:t>
      </w:r>
      <w:r>
        <w:rPr>
          <w:rFonts w:hint="default" w:ascii="方正楷体_GBK" w:hAnsi="方正楷体_GBK" w:eastAsia="方正楷体_GBK" w:cs="方正楷体_GBK"/>
          <w:b w:val="0"/>
          <w:bCs w:val="0"/>
          <w:sz w:val="28"/>
          <w:szCs w:val="28"/>
        </w:rPr>
        <w:t xml:space="preserve"> </w:t>
      </w:r>
      <w:r>
        <w:rPr>
          <w:rFonts w:hint="eastAsia" w:ascii="方正楷体_GBK" w:hAnsi="方正楷体_GBK" w:eastAsia="方正楷体_GBK" w:cs="方正楷体_GBK"/>
          <w:b w:val="0"/>
          <w:bCs w:val="0"/>
          <w:sz w:val="28"/>
          <w:szCs w:val="28"/>
        </w:rPr>
        <w:t xml:space="preserve"> 提升运输服务信息化水平</w:t>
      </w:r>
      <w:r>
        <w:rPr>
          <w:b w:val="0"/>
          <w:bCs w:val="0"/>
          <w:sz w:val="28"/>
          <w:szCs w:val="28"/>
        </w:rPr>
        <w:tab/>
      </w:r>
      <w:bookmarkStart w:id="35" w:name="_Toc1334918785_WPSOffice_Level2Page"/>
      <w:r>
        <w:rPr>
          <w:b w:val="0"/>
          <w:bCs w:val="0"/>
          <w:sz w:val="28"/>
          <w:szCs w:val="28"/>
        </w:rPr>
        <w:t>44</w:t>
      </w:r>
      <w:bookmarkEnd w:id="35"/>
      <w:r>
        <w:rPr>
          <w:b w:val="0"/>
          <w:bCs w:val="0"/>
          <w:sz w:val="28"/>
          <w:szCs w:val="28"/>
        </w:rPr>
        <w:fldChar w:fldCharType="end"/>
      </w:r>
    </w:p>
    <w:p>
      <w:pPr>
        <w:pStyle w:val="52"/>
        <w:widowControl w:val="0"/>
        <w:tabs>
          <w:tab w:val="right" w:leader="dot" w:pos="8845"/>
        </w:tabs>
        <w:snapToGrid w:val="0"/>
        <w:rPr>
          <w:b w:val="0"/>
          <w:bCs w:val="0"/>
          <w:sz w:val="28"/>
          <w:szCs w:val="28"/>
        </w:rPr>
      </w:pPr>
      <w:r>
        <w:rPr>
          <w:b w:val="0"/>
          <w:bCs w:val="0"/>
          <w:sz w:val="28"/>
          <w:szCs w:val="28"/>
        </w:rPr>
        <w:fldChar w:fldCharType="begin"/>
      </w:r>
      <w:r>
        <w:rPr>
          <w:b w:val="0"/>
          <w:bCs w:val="0"/>
          <w:sz w:val="28"/>
          <w:szCs w:val="28"/>
        </w:rPr>
        <w:instrText xml:space="preserve"> HYPERLINK \l _Toc2063437679_WPSOffice_Level2 </w:instrText>
      </w:r>
      <w:r>
        <w:rPr>
          <w:b w:val="0"/>
          <w:bCs w:val="0"/>
          <w:sz w:val="28"/>
          <w:szCs w:val="28"/>
        </w:rPr>
        <w:fldChar w:fldCharType="separate"/>
      </w:r>
      <w:r>
        <w:rPr>
          <w:rFonts w:hint="eastAsia" w:ascii="方正楷体_GBK" w:hAnsi="方正楷体_GBK" w:eastAsia="方正楷体_GBK" w:cs="方正楷体_GBK"/>
          <w:b w:val="0"/>
          <w:bCs w:val="0"/>
          <w:sz w:val="28"/>
          <w:szCs w:val="28"/>
        </w:rPr>
        <w:t>第三节</w:t>
      </w:r>
      <w:r>
        <w:rPr>
          <w:rFonts w:hint="default" w:ascii="方正楷体_GBK" w:hAnsi="方正楷体_GBK" w:eastAsia="方正楷体_GBK" w:cs="方正楷体_GBK"/>
          <w:b w:val="0"/>
          <w:bCs w:val="0"/>
          <w:sz w:val="28"/>
          <w:szCs w:val="28"/>
        </w:rPr>
        <w:t xml:space="preserve"> </w:t>
      </w:r>
      <w:r>
        <w:rPr>
          <w:rFonts w:hint="eastAsia" w:ascii="方正楷体_GBK" w:hAnsi="方正楷体_GBK" w:eastAsia="方正楷体_GBK" w:cs="方正楷体_GBK"/>
          <w:b w:val="0"/>
          <w:bCs w:val="0"/>
          <w:sz w:val="28"/>
          <w:szCs w:val="28"/>
        </w:rPr>
        <w:t xml:space="preserve"> 强化决策监管数字化支撑</w:t>
      </w:r>
      <w:r>
        <w:rPr>
          <w:b w:val="0"/>
          <w:bCs w:val="0"/>
          <w:sz w:val="28"/>
          <w:szCs w:val="28"/>
        </w:rPr>
        <w:tab/>
      </w:r>
      <w:bookmarkStart w:id="36" w:name="_Toc2063437679_WPSOffice_Level2Page"/>
      <w:r>
        <w:rPr>
          <w:b w:val="0"/>
          <w:bCs w:val="0"/>
          <w:sz w:val="28"/>
          <w:szCs w:val="28"/>
        </w:rPr>
        <w:t>45</w:t>
      </w:r>
      <w:bookmarkEnd w:id="36"/>
      <w:r>
        <w:rPr>
          <w:b w:val="0"/>
          <w:bCs w:val="0"/>
          <w:sz w:val="28"/>
          <w:szCs w:val="28"/>
        </w:rPr>
        <w:fldChar w:fldCharType="end"/>
      </w:r>
    </w:p>
    <w:p>
      <w:pPr>
        <w:pStyle w:val="51"/>
        <w:widowControl w:val="0"/>
        <w:tabs>
          <w:tab w:val="right" w:leader="dot" w:pos="8845"/>
        </w:tabs>
        <w:snapToGrid w:val="0"/>
        <w:rPr>
          <w:b w:val="0"/>
          <w:bCs w:val="0"/>
          <w:sz w:val="28"/>
          <w:szCs w:val="28"/>
        </w:rPr>
      </w:pPr>
      <w:r>
        <w:rPr>
          <w:b w:val="0"/>
          <w:bCs w:val="0"/>
          <w:sz w:val="28"/>
          <w:szCs w:val="28"/>
        </w:rPr>
        <w:fldChar w:fldCharType="begin"/>
      </w:r>
      <w:r>
        <w:rPr>
          <w:b w:val="0"/>
          <w:bCs w:val="0"/>
          <w:sz w:val="28"/>
          <w:szCs w:val="28"/>
        </w:rPr>
        <w:instrText xml:space="preserve"> HYPERLINK \l _Toc669696242_WPSOffice_Level1 </w:instrText>
      </w:r>
      <w:r>
        <w:rPr>
          <w:b w:val="0"/>
          <w:bCs w:val="0"/>
          <w:sz w:val="28"/>
          <w:szCs w:val="28"/>
        </w:rPr>
        <w:fldChar w:fldCharType="separate"/>
      </w:r>
      <w:r>
        <w:rPr>
          <w:rFonts w:ascii="Times New Roman" w:hAnsi="Times New Roman" w:eastAsia="方正黑体_GBK" w:cs="Times New Roman"/>
          <w:b w:val="0"/>
          <w:bCs w:val="0"/>
          <w:sz w:val="28"/>
          <w:szCs w:val="28"/>
        </w:rPr>
        <w:t xml:space="preserve">第十章 </w:t>
      </w:r>
      <w:r>
        <w:rPr>
          <w:rFonts w:hint="eastAsia" w:ascii="Times New Roman" w:hAnsi="Times New Roman" w:eastAsia="方正黑体_GBK" w:cs="Times New Roman"/>
          <w:b w:val="0"/>
          <w:bCs w:val="0"/>
          <w:sz w:val="28"/>
          <w:szCs w:val="28"/>
        </w:rPr>
        <w:t xml:space="preserve"> </w:t>
      </w:r>
      <w:r>
        <w:rPr>
          <w:rFonts w:ascii="Times New Roman" w:hAnsi="Times New Roman" w:eastAsia="方正黑体_GBK" w:cs="Times New Roman"/>
          <w:b w:val="0"/>
          <w:bCs w:val="0"/>
          <w:sz w:val="28"/>
          <w:szCs w:val="28"/>
        </w:rPr>
        <w:t>着眼持续发展，构建安全绿色保障体系</w:t>
      </w:r>
      <w:r>
        <w:rPr>
          <w:b w:val="0"/>
          <w:bCs w:val="0"/>
          <w:sz w:val="28"/>
          <w:szCs w:val="28"/>
        </w:rPr>
        <w:tab/>
      </w:r>
      <w:bookmarkStart w:id="37" w:name="_Toc669696242_WPSOffice_Level1Page"/>
      <w:r>
        <w:rPr>
          <w:b w:val="0"/>
          <w:bCs w:val="0"/>
          <w:sz w:val="28"/>
          <w:szCs w:val="28"/>
        </w:rPr>
        <w:t>46</w:t>
      </w:r>
      <w:bookmarkEnd w:id="37"/>
      <w:r>
        <w:rPr>
          <w:b w:val="0"/>
          <w:bCs w:val="0"/>
          <w:sz w:val="28"/>
          <w:szCs w:val="28"/>
        </w:rPr>
        <w:fldChar w:fldCharType="end"/>
      </w:r>
    </w:p>
    <w:p>
      <w:pPr>
        <w:pStyle w:val="52"/>
        <w:widowControl w:val="0"/>
        <w:tabs>
          <w:tab w:val="right" w:leader="dot" w:pos="8845"/>
        </w:tabs>
        <w:snapToGrid w:val="0"/>
        <w:rPr>
          <w:b w:val="0"/>
          <w:bCs w:val="0"/>
          <w:sz w:val="28"/>
          <w:szCs w:val="28"/>
        </w:rPr>
      </w:pPr>
      <w:r>
        <w:rPr>
          <w:b w:val="0"/>
          <w:bCs w:val="0"/>
          <w:sz w:val="28"/>
          <w:szCs w:val="28"/>
        </w:rPr>
        <w:fldChar w:fldCharType="begin"/>
      </w:r>
      <w:r>
        <w:rPr>
          <w:b w:val="0"/>
          <w:bCs w:val="0"/>
          <w:sz w:val="28"/>
          <w:szCs w:val="28"/>
        </w:rPr>
        <w:instrText xml:space="preserve"> HYPERLINK \l _Toc325900221_WPSOffice_Level2 </w:instrText>
      </w:r>
      <w:r>
        <w:rPr>
          <w:b w:val="0"/>
          <w:bCs w:val="0"/>
          <w:sz w:val="28"/>
          <w:szCs w:val="28"/>
        </w:rPr>
        <w:fldChar w:fldCharType="separate"/>
      </w:r>
      <w:r>
        <w:rPr>
          <w:rFonts w:hint="eastAsia" w:ascii="方正楷体_GBK" w:hAnsi="方正楷体_GBK" w:eastAsia="方正楷体_GBK" w:cs="方正楷体_GBK"/>
          <w:b w:val="0"/>
          <w:bCs w:val="0"/>
          <w:sz w:val="28"/>
          <w:szCs w:val="28"/>
        </w:rPr>
        <w:t>第一节</w:t>
      </w:r>
      <w:r>
        <w:rPr>
          <w:rFonts w:hint="default" w:ascii="方正楷体_GBK" w:hAnsi="方正楷体_GBK" w:eastAsia="方正楷体_GBK" w:cs="方正楷体_GBK"/>
          <w:b w:val="0"/>
          <w:bCs w:val="0"/>
          <w:sz w:val="28"/>
          <w:szCs w:val="28"/>
        </w:rPr>
        <w:t xml:space="preserve"> </w:t>
      </w:r>
      <w:r>
        <w:rPr>
          <w:rFonts w:hint="eastAsia" w:ascii="方正楷体_GBK" w:hAnsi="方正楷体_GBK" w:eastAsia="方正楷体_GBK" w:cs="方正楷体_GBK"/>
          <w:b w:val="0"/>
          <w:bCs w:val="0"/>
          <w:sz w:val="28"/>
          <w:szCs w:val="28"/>
        </w:rPr>
        <w:t xml:space="preserve"> 建设安全可靠的平安交通</w:t>
      </w:r>
      <w:r>
        <w:rPr>
          <w:b w:val="0"/>
          <w:bCs w:val="0"/>
          <w:sz w:val="28"/>
          <w:szCs w:val="28"/>
        </w:rPr>
        <w:tab/>
      </w:r>
      <w:bookmarkStart w:id="38" w:name="_Toc325900221_WPSOffice_Level2Page"/>
      <w:r>
        <w:rPr>
          <w:b w:val="0"/>
          <w:bCs w:val="0"/>
          <w:sz w:val="28"/>
          <w:szCs w:val="28"/>
        </w:rPr>
        <w:t>46</w:t>
      </w:r>
      <w:bookmarkEnd w:id="38"/>
      <w:r>
        <w:rPr>
          <w:b w:val="0"/>
          <w:bCs w:val="0"/>
          <w:sz w:val="28"/>
          <w:szCs w:val="28"/>
        </w:rPr>
        <w:fldChar w:fldCharType="end"/>
      </w:r>
    </w:p>
    <w:p>
      <w:pPr>
        <w:pStyle w:val="52"/>
        <w:widowControl w:val="0"/>
        <w:tabs>
          <w:tab w:val="right" w:leader="dot" w:pos="8845"/>
        </w:tabs>
        <w:snapToGrid w:val="0"/>
        <w:rPr>
          <w:b w:val="0"/>
          <w:bCs w:val="0"/>
          <w:sz w:val="28"/>
          <w:szCs w:val="28"/>
        </w:rPr>
      </w:pPr>
      <w:r>
        <w:rPr>
          <w:b w:val="0"/>
          <w:bCs w:val="0"/>
          <w:sz w:val="28"/>
          <w:szCs w:val="28"/>
        </w:rPr>
        <w:fldChar w:fldCharType="begin"/>
      </w:r>
      <w:r>
        <w:rPr>
          <w:b w:val="0"/>
          <w:bCs w:val="0"/>
          <w:sz w:val="28"/>
          <w:szCs w:val="28"/>
        </w:rPr>
        <w:instrText xml:space="preserve"> HYPERLINK \l _Toc1966895792_WPSOffice_Level2 </w:instrText>
      </w:r>
      <w:r>
        <w:rPr>
          <w:b w:val="0"/>
          <w:bCs w:val="0"/>
          <w:sz w:val="28"/>
          <w:szCs w:val="28"/>
        </w:rPr>
        <w:fldChar w:fldCharType="separate"/>
      </w:r>
      <w:r>
        <w:rPr>
          <w:rFonts w:hint="eastAsia" w:ascii="方正楷体_GBK" w:hAnsi="方正楷体_GBK" w:eastAsia="方正楷体_GBK" w:cs="方正楷体_GBK"/>
          <w:b w:val="0"/>
          <w:bCs w:val="0"/>
          <w:sz w:val="28"/>
          <w:szCs w:val="28"/>
        </w:rPr>
        <w:t>第二节 建设节能环保的绿色交通</w:t>
      </w:r>
      <w:r>
        <w:rPr>
          <w:b w:val="0"/>
          <w:bCs w:val="0"/>
          <w:sz w:val="28"/>
          <w:szCs w:val="28"/>
        </w:rPr>
        <w:tab/>
      </w:r>
      <w:bookmarkStart w:id="39" w:name="_Toc1966895792_WPSOffice_Level2Page"/>
      <w:r>
        <w:rPr>
          <w:b w:val="0"/>
          <w:bCs w:val="0"/>
          <w:sz w:val="28"/>
          <w:szCs w:val="28"/>
        </w:rPr>
        <w:t>47</w:t>
      </w:r>
      <w:bookmarkEnd w:id="39"/>
      <w:r>
        <w:rPr>
          <w:b w:val="0"/>
          <w:bCs w:val="0"/>
          <w:sz w:val="28"/>
          <w:szCs w:val="28"/>
        </w:rPr>
        <w:fldChar w:fldCharType="end"/>
      </w:r>
    </w:p>
    <w:p>
      <w:pPr>
        <w:pStyle w:val="51"/>
        <w:widowControl w:val="0"/>
        <w:tabs>
          <w:tab w:val="right" w:leader="dot" w:pos="8845"/>
        </w:tabs>
        <w:snapToGrid w:val="0"/>
        <w:rPr>
          <w:b w:val="0"/>
          <w:bCs w:val="0"/>
          <w:sz w:val="28"/>
          <w:szCs w:val="28"/>
        </w:rPr>
      </w:pPr>
      <w:r>
        <w:rPr>
          <w:b w:val="0"/>
          <w:bCs w:val="0"/>
          <w:sz w:val="28"/>
          <w:szCs w:val="28"/>
        </w:rPr>
        <w:fldChar w:fldCharType="begin"/>
      </w:r>
      <w:r>
        <w:rPr>
          <w:b w:val="0"/>
          <w:bCs w:val="0"/>
          <w:sz w:val="28"/>
          <w:szCs w:val="28"/>
        </w:rPr>
        <w:instrText xml:space="preserve"> HYPERLINK \l _Toc1481084821_WPSOffice_Level1 </w:instrText>
      </w:r>
      <w:r>
        <w:rPr>
          <w:b w:val="0"/>
          <w:bCs w:val="0"/>
          <w:sz w:val="28"/>
          <w:szCs w:val="28"/>
        </w:rPr>
        <w:fldChar w:fldCharType="separate"/>
      </w:r>
      <w:r>
        <w:rPr>
          <w:rFonts w:hint="eastAsia" w:ascii="方正黑体_GBK" w:hAnsi="方正黑体_GBK" w:eastAsia="方正黑体_GBK" w:cs="方正黑体_GBK"/>
          <w:b w:val="0"/>
          <w:bCs w:val="0"/>
          <w:sz w:val="28"/>
          <w:szCs w:val="28"/>
        </w:rPr>
        <w:t>第十一章  着眼深化改革，构建协同规范现代治理体系</w:t>
      </w:r>
      <w:r>
        <w:rPr>
          <w:b w:val="0"/>
          <w:bCs w:val="0"/>
          <w:sz w:val="28"/>
          <w:szCs w:val="28"/>
        </w:rPr>
        <w:tab/>
      </w:r>
      <w:bookmarkStart w:id="40" w:name="_Toc1481084821_WPSOffice_Level1Page"/>
      <w:r>
        <w:rPr>
          <w:b w:val="0"/>
          <w:bCs w:val="0"/>
          <w:sz w:val="28"/>
          <w:szCs w:val="28"/>
        </w:rPr>
        <w:t>49</w:t>
      </w:r>
      <w:bookmarkEnd w:id="40"/>
      <w:r>
        <w:rPr>
          <w:b w:val="0"/>
          <w:bCs w:val="0"/>
          <w:sz w:val="28"/>
          <w:szCs w:val="28"/>
        </w:rPr>
        <w:fldChar w:fldCharType="end"/>
      </w:r>
    </w:p>
    <w:p>
      <w:pPr>
        <w:pStyle w:val="52"/>
        <w:widowControl w:val="0"/>
        <w:tabs>
          <w:tab w:val="right" w:leader="dot" w:pos="8845"/>
        </w:tabs>
        <w:snapToGrid w:val="0"/>
        <w:rPr>
          <w:b w:val="0"/>
          <w:bCs w:val="0"/>
          <w:sz w:val="28"/>
          <w:szCs w:val="28"/>
        </w:rPr>
      </w:pPr>
      <w:r>
        <w:rPr>
          <w:b w:val="0"/>
          <w:bCs w:val="0"/>
          <w:sz w:val="28"/>
          <w:szCs w:val="28"/>
        </w:rPr>
        <w:fldChar w:fldCharType="begin"/>
      </w:r>
      <w:r>
        <w:rPr>
          <w:b w:val="0"/>
          <w:bCs w:val="0"/>
          <w:sz w:val="28"/>
          <w:szCs w:val="28"/>
        </w:rPr>
        <w:instrText xml:space="preserve"> HYPERLINK \l _Toc2125345914_WPSOffice_Level2 </w:instrText>
      </w:r>
      <w:r>
        <w:rPr>
          <w:b w:val="0"/>
          <w:bCs w:val="0"/>
          <w:sz w:val="28"/>
          <w:szCs w:val="28"/>
        </w:rPr>
        <w:fldChar w:fldCharType="separate"/>
      </w:r>
      <w:r>
        <w:rPr>
          <w:rFonts w:hint="eastAsia" w:ascii="方正楷体_GBK" w:hAnsi="方正楷体_GBK" w:eastAsia="方正楷体_GBK" w:cs="方正楷体_GBK"/>
          <w:b w:val="0"/>
          <w:bCs w:val="0"/>
          <w:sz w:val="28"/>
          <w:szCs w:val="28"/>
        </w:rPr>
        <w:t xml:space="preserve">第一节 </w:t>
      </w:r>
      <w:r>
        <w:rPr>
          <w:rFonts w:hint="default" w:ascii="方正楷体_GBK" w:hAnsi="方正楷体_GBK" w:eastAsia="方正楷体_GBK" w:cs="方正楷体_GBK"/>
          <w:b w:val="0"/>
          <w:bCs w:val="0"/>
          <w:sz w:val="28"/>
          <w:szCs w:val="28"/>
        </w:rPr>
        <w:t xml:space="preserve"> </w:t>
      </w:r>
      <w:r>
        <w:rPr>
          <w:rFonts w:hint="eastAsia" w:ascii="方正楷体_GBK" w:hAnsi="方正楷体_GBK" w:eastAsia="方正楷体_GBK" w:cs="方正楷体_GBK"/>
          <w:b w:val="0"/>
          <w:bCs w:val="0"/>
          <w:sz w:val="28"/>
          <w:szCs w:val="28"/>
        </w:rPr>
        <w:t>持续推进重大领域改革</w:t>
      </w:r>
      <w:r>
        <w:rPr>
          <w:b w:val="0"/>
          <w:bCs w:val="0"/>
          <w:sz w:val="28"/>
          <w:szCs w:val="28"/>
        </w:rPr>
        <w:tab/>
      </w:r>
      <w:bookmarkStart w:id="41" w:name="_Toc2125345914_WPSOffice_Level2Page"/>
      <w:r>
        <w:rPr>
          <w:b w:val="0"/>
          <w:bCs w:val="0"/>
          <w:sz w:val="28"/>
          <w:szCs w:val="28"/>
        </w:rPr>
        <w:t>49</w:t>
      </w:r>
      <w:bookmarkEnd w:id="41"/>
      <w:r>
        <w:rPr>
          <w:b w:val="0"/>
          <w:bCs w:val="0"/>
          <w:sz w:val="28"/>
          <w:szCs w:val="28"/>
        </w:rPr>
        <w:fldChar w:fldCharType="end"/>
      </w:r>
    </w:p>
    <w:p>
      <w:pPr>
        <w:pStyle w:val="52"/>
        <w:widowControl w:val="0"/>
        <w:tabs>
          <w:tab w:val="right" w:leader="dot" w:pos="8845"/>
        </w:tabs>
        <w:snapToGrid w:val="0"/>
        <w:rPr>
          <w:b w:val="0"/>
          <w:bCs w:val="0"/>
          <w:sz w:val="28"/>
          <w:szCs w:val="28"/>
        </w:rPr>
      </w:pPr>
      <w:r>
        <w:rPr>
          <w:b w:val="0"/>
          <w:bCs w:val="0"/>
          <w:sz w:val="28"/>
          <w:szCs w:val="28"/>
        </w:rPr>
        <w:fldChar w:fldCharType="begin"/>
      </w:r>
      <w:r>
        <w:rPr>
          <w:b w:val="0"/>
          <w:bCs w:val="0"/>
          <w:sz w:val="28"/>
          <w:szCs w:val="28"/>
        </w:rPr>
        <w:instrText xml:space="preserve"> HYPERLINK \l _Toc294803609_WPSOffice_Level2 </w:instrText>
      </w:r>
      <w:r>
        <w:rPr>
          <w:b w:val="0"/>
          <w:bCs w:val="0"/>
          <w:sz w:val="28"/>
          <w:szCs w:val="28"/>
        </w:rPr>
        <w:fldChar w:fldCharType="separate"/>
      </w:r>
      <w:r>
        <w:rPr>
          <w:rFonts w:hint="eastAsia" w:ascii="方正楷体_GBK" w:hAnsi="方正楷体_GBK" w:eastAsia="方正楷体_GBK" w:cs="方正楷体_GBK"/>
          <w:b w:val="0"/>
          <w:bCs w:val="0"/>
          <w:sz w:val="28"/>
          <w:szCs w:val="28"/>
        </w:rPr>
        <w:t>第二节</w:t>
      </w:r>
      <w:r>
        <w:rPr>
          <w:rFonts w:hint="default" w:ascii="方正楷体_GBK" w:hAnsi="方正楷体_GBK" w:eastAsia="方正楷体_GBK" w:cs="方正楷体_GBK"/>
          <w:b w:val="0"/>
          <w:bCs w:val="0"/>
          <w:sz w:val="28"/>
          <w:szCs w:val="28"/>
        </w:rPr>
        <w:t xml:space="preserve"> </w:t>
      </w:r>
      <w:r>
        <w:rPr>
          <w:rFonts w:hint="eastAsia" w:ascii="方正楷体_GBK" w:hAnsi="方正楷体_GBK" w:eastAsia="方正楷体_GBK" w:cs="方正楷体_GBK"/>
          <w:b w:val="0"/>
          <w:bCs w:val="0"/>
          <w:sz w:val="28"/>
          <w:szCs w:val="28"/>
        </w:rPr>
        <w:t xml:space="preserve"> 持续推进信用体系建设</w:t>
      </w:r>
      <w:r>
        <w:rPr>
          <w:b w:val="0"/>
          <w:bCs w:val="0"/>
          <w:sz w:val="28"/>
          <w:szCs w:val="28"/>
        </w:rPr>
        <w:tab/>
      </w:r>
      <w:bookmarkStart w:id="42" w:name="_Toc294803609_WPSOffice_Level2Page"/>
      <w:r>
        <w:rPr>
          <w:b w:val="0"/>
          <w:bCs w:val="0"/>
          <w:sz w:val="28"/>
          <w:szCs w:val="28"/>
        </w:rPr>
        <w:t>50</w:t>
      </w:r>
      <w:bookmarkEnd w:id="42"/>
      <w:r>
        <w:rPr>
          <w:b w:val="0"/>
          <w:bCs w:val="0"/>
          <w:sz w:val="28"/>
          <w:szCs w:val="28"/>
        </w:rPr>
        <w:fldChar w:fldCharType="end"/>
      </w:r>
    </w:p>
    <w:p>
      <w:pPr>
        <w:pStyle w:val="52"/>
        <w:widowControl w:val="0"/>
        <w:tabs>
          <w:tab w:val="right" w:leader="dot" w:pos="8845"/>
        </w:tabs>
        <w:snapToGrid w:val="0"/>
        <w:rPr>
          <w:b w:val="0"/>
          <w:bCs w:val="0"/>
          <w:sz w:val="28"/>
          <w:szCs w:val="28"/>
        </w:rPr>
      </w:pPr>
      <w:r>
        <w:rPr>
          <w:b w:val="0"/>
          <w:bCs w:val="0"/>
          <w:sz w:val="28"/>
          <w:szCs w:val="28"/>
        </w:rPr>
        <w:fldChar w:fldCharType="begin"/>
      </w:r>
      <w:r>
        <w:rPr>
          <w:b w:val="0"/>
          <w:bCs w:val="0"/>
          <w:sz w:val="28"/>
          <w:szCs w:val="28"/>
        </w:rPr>
        <w:instrText xml:space="preserve"> HYPERLINK \l _Toc37039028_WPSOffice_Level2 </w:instrText>
      </w:r>
      <w:r>
        <w:rPr>
          <w:b w:val="0"/>
          <w:bCs w:val="0"/>
          <w:sz w:val="28"/>
          <w:szCs w:val="28"/>
        </w:rPr>
        <w:fldChar w:fldCharType="separate"/>
      </w:r>
      <w:r>
        <w:rPr>
          <w:rFonts w:hint="eastAsia" w:ascii="方正楷体_GBK" w:hAnsi="方正楷体_GBK" w:eastAsia="方正楷体_GBK" w:cs="方正楷体_GBK"/>
          <w:b w:val="0"/>
          <w:bCs w:val="0"/>
          <w:sz w:val="28"/>
          <w:szCs w:val="28"/>
        </w:rPr>
        <w:t xml:space="preserve">第三节 </w:t>
      </w:r>
      <w:r>
        <w:rPr>
          <w:rFonts w:hint="default" w:ascii="方正楷体_GBK" w:hAnsi="方正楷体_GBK" w:eastAsia="方正楷体_GBK" w:cs="方正楷体_GBK"/>
          <w:b w:val="0"/>
          <w:bCs w:val="0"/>
          <w:sz w:val="28"/>
          <w:szCs w:val="28"/>
        </w:rPr>
        <w:t xml:space="preserve"> </w:t>
      </w:r>
      <w:r>
        <w:rPr>
          <w:rFonts w:hint="eastAsia" w:ascii="方正楷体_GBK" w:hAnsi="方正楷体_GBK" w:eastAsia="方正楷体_GBK" w:cs="方正楷体_GBK"/>
          <w:b w:val="0"/>
          <w:bCs w:val="0"/>
          <w:sz w:val="28"/>
          <w:szCs w:val="28"/>
        </w:rPr>
        <w:t>持续加强交通文明建设</w:t>
      </w:r>
      <w:r>
        <w:rPr>
          <w:b w:val="0"/>
          <w:bCs w:val="0"/>
          <w:sz w:val="28"/>
          <w:szCs w:val="28"/>
        </w:rPr>
        <w:tab/>
      </w:r>
      <w:bookmarkStart w:id="43" w:name="_Toc37039028_WPSOffice_Level2Page"/>
      <w:r>
        <w:rPr>
          <w:b w:val="0"/>
          <w:bCs w:val="0"/>
          <w:sz w:val="28"/>
          <w:szCs w:val="28"/>
        </w:rPr>
        <w:t>51</w:t>
      </w:r>
      <w:bookmarkEnd w:id="43"/>
      <w:r>
        <w:rPr>
          <w:b w:val="0"/>
          <w:bCs w:val="0"/>
          <w:sz w:val="28"/>
          <w:szCs w:val="28"/>
        </w:rPr>
        <w:fldChar w:fldCharType="end"/>
      </w:r>
    </w:p>
    <w:p>
      <w:pPr>
        <w:pStyle w:val="51"/>
        <w:widowControl w:val="0"/>
        <w:tabs>
          <w:tab w:val="right" w:leader="dot" w:pos="8845"/>
        </w:tabs>
        <w:snapToGrid w:val="0"/>
        <w:rPr>
          <w:b w:val="0"/>
          <w:bCs w:val="0"/>
          <w:sz w:val="28"/>
          <w:szCs w:val="28"/>
        </w:rPr>
      </w:pPr>
      <w:r>
        <w:rPr>
          <w:b w:val="0"/>
          <w:bCs w:val="0"/>
          <w:sz w:val="28"/>
          <w:szCs w:val="28"/>
        </w:rPr>
        <w:fldChar w:fldCharType="begin"/>
      </w:r>
      <w:r>
        <w:rPr>
          <w:b w:val="0"/>
          <w:bCs w:val="0"/>
          <w:sz w:val="28"/>
          <w:szCs w:val="28"/>
        </w:rPr>
        <w:instrText xml:space="preserve"> HYPERLINK \l _Toc1412009381_WPSOffice_Level1 </w:instrText>
      </w:r>
      <w:r>
        <w:rPr>
          <w:b w:val="0"/>
          <w:bCs w:val="0"/>
          <w:sz w:val="28"/>
          <w:szCs w:val="28"/>
        </w:rPr>
        <w:fldChar w:fldCharType="separate"/>
      </w:r>
      <w:r>
        <w:rPr>
          <w:rFonts w:hint="eastAsia" w:ascii="方正黑体_GBK" w:hAnsi="方正黑体_GBK" w:eastAsia="方正黑体_GBK" w:cs="方正黑体_GBK"/>
          <w:b w:val="0"/>
          <w:bCs w:val="0"/>
          <w:sz w:val="28"/>
          <w:szCs w:val="28"/>
        </w:rPr>
        <w:t>第十二章  环境评价</w:t>
      </w:r>
      <w:r>
        <w:rPr>
          <w:b w:val="0"/>
          <w:bCs w:val="0"/>
          <w:sz w:val="28"/>
          <w:szCs w:val="28"/>
        </w:rPr>
        <w:tab/>
      </w:r>
      <w:bookmarkStart w:id="44" w:name="_Toc1412009381_WPSOffice_Level1Page"/>
      <w:r>
        <w:rPr>
          <w:b w:val="0"/>
          <w:bCs w:val="0"/>
          <w:sz w:val="28"/>
          <w:szCs w:val="28"/>
        </w:rPr>
        <w:t>52</w:t>
      </w:r>
      <w:bookmarkEnd w:id="44"/>
      <w:r>
        <w:rPr>
          <w:b w:val="0"/>
          <w:bCs w:val="0"/>
          <w:sz w:val="28"/>
          <w:szCs w:val="28"/>
        </w:rPr>
        <w:fldChar w:fldCharType="end"/>
      </w:r>
    </w:p>
    <w:p>
      <w:pPr>
        <w:pStyle w:val="52"/>
        <w:widowControl w:val="0"/>
        <w:tabs>
          <w:tab w:val="right" w:leader="dot" w:pos="8845"/>
        </w:tabs>
        <w:snapToGrid w:val="0"/>
        <w:rPr>
          <w:b w:val="0"/>
          <w:bCs w:val="0"/>
          <w:sz w:val="28"/>
          <w:szCs w:val="28"/>
        </w:rPr>
      </w:pPr>
      <w:r>
        <w:rPr>
          <w:b w:val="0"/>
          <w:bCs w:val="0"/>
          <w:sz w:val="28"/>
          <w:szCs w:val="28"/>
        </w:rPr>
        <w:fldChar w:fldCharType="begin"/>
      </w:r>
      <w:r>
        <w:rPr>
          <w:b w:val="0"/>
          <w:bCs w:val="0"/>
          <w:sz w:val="28"/>
          <w:szCs w:val="28"/>
        </w:rPr>
        <w:instrText xml:space="preserve"> HYPERLINK \l _Toc394576514_WPSOffice_Level2 </w:instrText>
      </w:r>
      <w:r>
        <w:rPr>
          <w:b w:val="0"/>
          <w:bCs w:val="0"/>
          <w:sz w:val="28"/>
          <w:szCs w:val="28"/>
        </w:rPr>
        <w:fldChar w:fldCharType="separate"/>
      </w:r>
      <w:r>
        <w:rPr>
          <w:rFonts w:hint="eastAsia" w:ascii="方正楷体_GBK" w:hAnsi="方正楷体_GBK" w:eastAsia="方正楷体_GBK" w:cs="方正楷体_GBK"/>
          <w:b w:val="0"/>
          <w:bCs w:val="0"/>
          <w:sz w:val="28"/>
          <w:szCs w:val="28"/>
        </w:rPr>
        <w:t xml:space="preserve">第一节 </w:t>
      </w:r>
      <w:r>
        <w:rPr>
          <w:rFonts w:hint="default" w:ascii="方正楷体_GBK" w:hAnsi="方正楷体_GBK" w:eastAsia="方正楷体_GBK" w:cs="方正楷体_GBK"/>
          <w:b w:val="0"/>
          <w:bCs w:val="0"/>
          <w:sz w:val="28"/>
          <w:szCs w:val="28"/>
        </w:rPr>
        <w:t xml:space="preserve"> </w:t>
      </w:r>
      <w:r>
        <w:rPr>
          <w:rFonts w:hint="eastAsia" w:ascii="方正楷体_GBK" w:hAnsi="方正楷体_GBK" w:eastAsia="方正楷体_GBK" w:cs="方正楷体_GBK"/>
          <w:b w:val="0"/>
          <w:bCs w:val="0"/>
          <w:sz w:val="28"/>
          <w:szCs w:val="28"/>
        </w:rPr>
        <w:t>环境影响分析</w:t>
      </w:r>
      <w:r>
        <w:rPr>
          <w:b w:val="0"/>
          <w:bCs w:val="0"/>
          <w:sz w:val="28"/>
          <w:szCs w:val="28"/>
        </w:rPr>
        <w:tab/>
      </w:r>
      <w:bookmarkStart w:id="45" w:name="_Toc394576514_WPSOffice_Level2Page"/>
      <w:r>
        <w:rPr>
          <w:b w:val="0"/>
          <w:bCs w:val="0"/>
          <w:sz w:val="28"/>
          <w:szCs w:val="28"/>
        </w:rPr>
        <w:t>52</w:t>
      </w:r>
      <w:bookmarkEnd w:id="45"/>
      <w:r>
        <w:rPr>
          <w:b w:val="0"/>
          <w:bCs w:val="0"/>
          <w:sz w:val="28"/>
          <w:szCs w:val="28"/>
        </w:rPr>
        <w:fldChar w:fldCharType="end"/>
      </w:r>
    </w:p>
    <w:p>
      <w:pPr>
        <w:pStyle w:val="52"/>
        <w:widowControl w:val="0"/>
        <w:tabs>
          <w:tab w:val="right" w:leader="dot" w:pos="8845"/>
        </w:tabs>
        <w:snapToGrid w:val="0"/>
        <w:rPr>
          <w:b w:val="0"/>
          <w:bCs w:val="0"/>
          <w:sz w:val="28"/>
          <w:szCs w:val="28"/>
        </w:rPr>
      </w:pPr>
      <w:r>
        <w:rPr>
          <w:b w:val="0"/>
          <w:bCs w:val="0"/>
          <w:sz w:val="28"/>
          <w:szCs w:val="28"/>
        </w:rPr>
        <w:fldChar w:fldCharType="begin"/>
      </w:r>
      <w:r>
        <w:rPr>
          <w:b w:val="0"/>
          <w:bCs w:val="0"/>
          <w:sz w:val="28"/>
          <w:szCs w:val="28"/>
        </w:rPr>
        <w:instrText xml:space="preserve"> HYPERLINK \l _Toc171242099_WPSOffice_Level2 </w:instrText>
      </w:r>
      <w:r>
        <w:rPr>
          <w:b w:val="0"/>
          <w:bCs w:val="0"/>
          <w:sz w:val="28"/>
          <w:szCs w:val="28"/>
        </w:rPr>
        <w:fldChar w:fldCharType="separate"/>
      </w:r>
      <w:r>
        <w:rPr>
          <w:rFonts w:hint="eastAsia" w:ascii="方正楷体_GBK" w:hAnsi="方正楷体_GBK" w:eastAsia="方正楷体_GBK" w:cs="方正楷体_GBK"/>
          <w:b w:val="0"/>
          <w:bCs w:val="0"/>
          <w:sz w:val="28"/>
          <w:szCs w:val="28"/>
        </w:rPr>
        <w:t xml:space="preserve">第二节 </w:t>
      </w:r>
      <w:r>
        <w:rPr>
          <w:rFonts w:hint="default" w:ascii="方正楷体_GBK" w:hAnsi="方正楷体_GBK" w:eastAsia="方正楷体_GBK" w:cs="方正楷体_GBK"/>
          <w:b w:val="0"/>
          <w:bCs w:val="0"/>
          <w:sz w:val="28"/>
          <w:szCs w:val="28"/>
        </w:rPr>
        <w:t xml:space="preserve"> </w:t>
      </w:r>
      <w:r>
        <w:rPr>
          <w:rFonts w:hint="eastAsia" w:ascii="方正楷体_GBK" w:hAnsi="方正楷体_GBK" w:eastAsia="方正楷体_GBK" w:cs="方正楷体_GBK"/>
          <w:b w:val="0"/>
          <w:bCs w:val="0"/>
          <w:sz w:val="28"/>
          <w:szCs w:val="28"/>
        </w:rPr>
        <w:t>环境影响对策</w:t>
      </w:r>
      <w:r>
        <w:rPr>
          <w:b w:val="0"/>
          <w:bCs w:val="0"/>
          <w:sz w:val="28"/>
          <w:szCs w:val="28"/>
        </w:rPr>
        <w:tab/>
      </w:r>
      <w:bookmarkStart w:id="46" w:name="_Toc171242099_WPSOffice_Level2Page"/>
      <w:r>
        <w:rPr>
          <w:b w:val="0"/>
          <w:bCs w:val="0"/>
          <w:sz w:val="28"/>
          <w:szCs w:val="28"/>
        </w:rPr>
        <w:t>53</w:t>
      </w:r>
      <w:bookmarkEnd w:id="46"/>
      <w:r>
        <w:rPr>
          <w:b w:val="0"/>
          <w:bCs w:val="0"/>
          <w:sz w:val="28"/>
          <w:szCs w:val="28"/>
        </w:rPr>
        <w:fldChar w:fldCharType="end"/>
      </w:r>
    </w:p>
    <w:p>
      <w:pPr>
        <w:pStyle w:val="51"/>
        <w:widowControl w:val="0"/>
        <w:tabs>
          <w:tab w:val="right" w:leader="dot" w:pos="8845"/>
        </w:tabs>
        <w:snapToGrid w:val="0"/>
        <w:rPr>
          <w:b w:val="0"/>
          <w:bCs w:val="0"/>
          <w:sz w:val="28"/>
          <w:szCs w:val="28"/>
        </w:rPr>
      </w:pPr>
      <w:r>
        <w:rPr>
          <w:b w:val="0"/>
          <w:bCs w:val="0"/>
          <w:sz w:val="28"/>
          <w:szCs w:val="28"/>
        </w:rPr>
        <w:fldChar w:fldCharType="begin"/>
      </w:r>
      <w:r>
        <w:rPr>
          <w:b w:val="0"/>
          <w:bCs w:val="0"/>
          <w:sz w:val="28"/>
          <w:szCs w:val="28"/>
        </w:rPr>
        <w:instrText xml:space="preserve"> HYPERLINK \l _Toc97736647_WPSOffice_Level1 </w:instrText>
      </w:r>
      <w:r>
        <w:rPr>
          <w:b w:val="0"/>
          <w:bCs w:val="0"/>
          <w:sz w:val="28"/>
          <w:szCs w:val="28"/>
        </w:rPr>
        <w:fldChar w:fldCharType="separate"/>
      </w:r>
      <w:r>
        <w:rPr>
          <w:rFonts w:hint="eastAsia" w:ascii="方正黑体_GBK" w:hAnsi="方正黑体_GBK" w:eastAsia="方正黑体_GBK" w:cs="方正黑体_GBK"/>
          <w:b w:val="0"/>
          <w:bCs w:val="0"/>
          <w:sz w:val="28"/>
          <w:szCs w:val="28"/>
        </w:rPr>
        <w:t>第十三章  “十四五”资金匡算与规划效果</w:t>
      </w:r>
      <w:r>
        <w:rPr>
          <w:b w:val="0"/>
          <w:bCs w:val="0"/>
          <w:sz w:val="28"/>
          <w:szCs w:val="28"/>
        </w:rPr>
        <w:tab/>
      </w:r>
      <w:bookmarkStart w:id="47" w:name="_Toc97736647_WPSOffice_Level1Page"/>
      <w:r>
        <w:rPr>
          <w:b w:val="0"/>
          <w:bCs w:val="0"/>
          <w:sz w:val="28"/>
          <w:szCs w:val="28"/>
        </w:rPr>
        <w:t>55</w:t>
      </w:r>
      <w:bookmarkEnd w:id="47"/>
      <w:r>
        <w:rPr>
          <w:b w:val="0"/>
          <w:bCs w:val="0"/>
          <w:sz w:val="28"/>
          <w:szCs w:val="28"/>
        </w:rPr>
        <w:fldChar w:fldCharType="end"/>
      </w:r>
    </w:p>
    <w:p>
      <w:pPr>
        <w:pStyle w:val="52"/>
        <w:widowControl w:val="0"/>
        <w:tabs>
          <w:tab w:val="right" w:leader="dot" w:pos="8845"/>
        </w:tabs>
        <w:snapToGrid w:val="0"/>
        <w:rPr>
          <w:b w:val="0"/>
          <w:bCs w:val="0"/>
          <w:sz w:val="28"/>
          <w:szCs w:val="28"/>
        </w:rPr>
      </w:pPr>
      <w:r>
        <w:rPr>
          <w:b w:val="0"/>
          <w:bCs w:val="0"/>
          <w:sz w:val="28"/>
          <w:szCs w:val="28"/>
        </w:rPr>
        <w:fldChar w:fldCharType="begin"/>
      </w:r>
      <w:r>
        <w:rPr>
          <w:b w:val="0"/>
          <w:bCs w:val="0"/>
          <w:sz w:val="28"/>
          <w:szCs w:val="28"/>
        </w:rPr>
        <w:instrText xml:space="preserve"> HYPERLINK \l _Toc456275070_WPSOffice_Level2 </w:instrText>
      </w:r>
      <w:r>
        <w:rPr>
          <w:b w:val="0"/>
          <w:bCs w:val="0"/>
          <w:sz w:val="28"/>
          <w:szCs w:val="28"/>
        </w:rPr>
        <w:fldChar w:fldCharType="separate"/>
      </w:r>
      <w:r>
        <w:rPr>
          <w:rFonts w:hint="eastAsia" w:ascii="方正楷体_GBK" w:hAnsi="方正楷体_GBK" w:eastAsia="方正楷体_GBK" w:cs="方正楷体_GBK"/>
          <w:b w:val="0"/>
          <w:bCs w:val="0"/>
          <w:sz w:val="28"/>
          <w:szCs w:val="28"/>
        </w:rPr>
        <w:t>第一节</w:t>
      </w:r>
      <w:r>
        <w:rPr>
          <w:rFonts w:hint="default" w:ascii="方正楷体_GBK" w:hAnsi="方正楷体_GBK" w:eastAsia="方正楷体_GBK" w:cs="方正楷体_GBK"/>
          <w:b w:val="0"/>
          <w:bCs w:val="0"/>
          <w:sz w:val="28"/>
          <w:szCs w:val="28"/>
        </w:rPr>
        <w:t xml:space="preserve"> </w:t>
      </w:r>
      <w:r>
        <w:rPr>
          <w:rFonts w:hint="eastAsia" w:ascii="方正楷体_GBK" w:hAnsi="方正楷体_GBK" w:eastAsia="方正楷体_GBK" w:cs="方正楷体_GBK"/>
          <w:b w:val="0"/>
          <w:bCs w:val="0"/>
          <w:sz w:val="28"/>
          <w:szCs w:val="28"/>
        </w:rPr>
        <w:t xml:space="preserve"> 资金需求</w:t>
      </w:r>
      <w:r>
        <w:rPr>
          <w:b w:val="0"/>
          <w:bCs w:val="0"/>
          <w:sz w:val="28"/>
          <w:szCs w:val="28"/>
        </w:rPr>
        <w:tab/>
      </w:r>
      <w:bookmarkStart w:id="48" w:name="_Toc456275070_WPSOffice_Level2Page"/>
      <w:r>
        <w:rPr>
          <w:b w:val="0"/>
          <w:bCs w:val="0"/>
          <w:sz w:val="28"/>
          <w:szCs w:val="28"/>
        </w:rPr>
        <w:t>55</w:t>
      </w:r>
      <w:bookmarkEnd w:id="48"/>
      <w:r>
        <w:rPr>
          <w:b w:val="0"/>
          <w:bCs w:val="0"/>
          <w:sz w:val="28"/>
          <w:szCs w:val="28"/>
        </w:rPr>
        <w:fldChar w:fldCharType="end"/>
      </w:r>
    </w:p>
    <w:p>
      <w:pPr>
        <w:pStyle w:val="52"/>
        <w:widowControl w:val="0"/>
        <w:tabs>
          <w:tab w:val="right" w:leader="dot" w:pos="8845"/>
        </w:tabs>
        <w:snapToGrid w:val="0"/>
        <w:rPr>
          <w:b w:val="0"/>
          <w:bCs w:val="0"/>
          <w:sz w:val="28"/>
          <w:szCs w:val="28"/>
        </w:rPr>
      </w:pPr>
      <w:r>
        <w:rPr>
          <w:b w:val="0"/>
          <w:bCs w:val="0"/>
          <w:sz w:val="28"/>
          <w:szCs w:val="28"/>
        </w:rPr>
        <w:fldChar w:fldCharType="begin"/>
      </w:r>
      <w:r>
        <w:rPr>
          <w:b w:val="0"/>
          <w:bCs w:val="0"/>
          <w:sz w:val="28"/>
          <w:szCs w:val="28"/>
        </w:rPr>
        <w:instrText xml:space="preserve"> HYPERLINK \l _Toc664329211_WPSOffice_Level2 </w:instrText>
      </w:r>
      <w:r>
        <w:rPr>
          <w:b w:val="0"/>
          <w:bCs w:val="0"/>
          <w:sz w:val="28"/>
          <w:szCs w:val="28"/>
        </w:rPr>
        <w:fldChar w:fldCharType="separate"/>
      </w:r>
      <w:r>
        <w:rPr>
          <w:rFonts w:hint="eastAsia" w:ascii="方正楷体_GBK" w:hAnsi="方正楷体_GBK" w:eastAsia="方正楷体_GBK" w:cs="方正楷体_GBK"/>
          <w:b w:val="0"/>
          <w:bCs w:val="0"/>
          <w:sz w:val="28"/>
          <w:szCs w:val="28"/>
        </w:rPr>
        <w:t>第二节</w:t>
      </w:r>
      <w:r>
        <w:rPr>
          <w:rFonts w:hint="default" w:ascii="方正楷体_GBK" w:hAnsi="方正楷体_GBK" w:eastAsia="方正楷体_GBK" w:cs="方正楷体_GBK"/>
          <w:b w:val="0"/>
          <w:bCs w:val="0"/>
          <w:sz w:val="28"/>
          <w:szCs w:val="28"/>
        </w:rPr>
        <w:t xml:space="preserve"> </w:t>
      </w:r>
      <w:r>
        <w:rPr>
          <w:rFonts w:hint="eastAsia" w:ascii="方正楷体_GBK" w:hAnsi="方正楷体_GBK" w:eastAsia="方正楷体_GBK" w:cs="方正楷体_GBK"/>
          <w:b w:val="0"/>
          <w:bCs w:val="0"/>
          <w:sz w:val="28"/>
          <w:szCs w:val="28"/>
        </w:rPr>
        <w:t xml:space="preserve"> 规划效果</w:t>
      </w:r>
      <w:r>
        <w:rPr>
          <w:b w:val="0"/>
          <w:bCs w:val="0"/>
          <w:sz w:val="28"/>
          <w:szCs w:val="28"/>
        </w:rPr>
        <w:tab/>
      </w:r>
      <w:bookmarkStart w:id="49" w:name="_Toc664329211_WPSOffice_Level2Page"/>
      <w:r>
        <w:rPr>
          <w:b w:val="0"/>
          <w:bCs w:val="0"/>
          <w:sz w:val="28"/>
          <w:szCs w:val="28"/>
        </w:rPr>
        <w:t>55</w:t>
      </w:r>
      <w:bookmarkEnd w:id="49"/>
      <w:r>
        <w:rPr>
          <w:b w:val="0"/>
          <w:bCs w:val="0"/>
          <w:sz w:val="28"/>
          <w:szCs w:val="28"/>
        </w:rPr>
        <w:fldChar w:fldCharType="end"/>
      </w:r>
    </w:p>
    <w:p>
      <w:pPr>
        <w:pStyle w:val="51"/>
        <w:widowControl w:val="0"/>
        <w:tabs>
          <w:tab w:val="right" w:leader="dot" w:pos="8845"/>
        </w:tabs>
        <w:snapToGrid w:val="0"/>
        <w:rPr>
          <w:b w:val="0"/>
          <w:bCs w:val="0"/>
          <w:sz w:val="28"/>
          <w:szCs w:val="28"/>
        </w:rPr>
      </w:pPr>
      <w:r>
        <w:rPr>
          <w:b w:val="0"/>
          <w:bCs w:val="0"/>
          <w:sz w:val="28"/>
          <w:szCs w:val="28"/>
        </w:rPr>
        <w:fldChar w:fldCharType="begin"/>
      </w:r>
      <w:r>
        <w:rPr>
          <w:b w:val="0"/>
          <w:bCs w:val="0"/>
          <w:sz w:val="28"/>
          <w:szCs w:val="28"/>
        </w:rPr>
        <w:instrText xml:space="preserve"> HYPERLINK \l _Toc1639023445_WPSOffice_Level1 </w:instrText>
      </w:r>
      <w:r>
        <w:rPr>
          <w:b w:val="0"/>
          <w:bCs w:val="0"/>
          <w:sz w:val="28"/>
          <w:szCs w:val="28"/>
        </w:rPr>
        <w:fldChar w:fldCharType="separate"/>
      </w:r>
      <w:r>
        <w:rPr>
          <w:rFonts w:hint="eastAsia" w:ascii="方正黑体_GBK" w:hAnsi="方正黑体_GBK" w:eastAsia="方正黑体_GBK" w:cs="方正黑体_GBK"/>
          <w:b w:val="0"/>
          <w:bCs w:val="0"/>
          <w:sz w:val="28"/>
          <w:szCs w:val="28"/>
        </w:rPr>
        <w:t>第十四章  保障措施</w:t>
      </w:r>
      <w:r>
        <w:rPr>
          <w:b w:val="0"/>
          <w:bCs w:val="0"/>
          <w:sz w:val="28"/>
          <w:szCs w:val="28"/>
        </w:rPr>
        <w:tab/>
      </w:r>
      <w:bookmarkStart w:id="50" w:name="_Toc1639023445_WPSOffice_Level1Page"/>
      <w:r>
        <w:rPr>
          <w:b w:val="0"/>
          <w:bCs w:val="0"/>
          <w:sz w:val="28"/>
          <w:szCs w:val="28"/>
        </w:rPr>
        <w:t>57</w:t>
      </w:r>
      <w:bookmarkEnd w:id="50"/>
      <w:r>
        <w:rPr>
          <w:b w:val="0"/>
          <w:bCs w:val="0"/>
          <w:sz w:val="28"/>
          <w:szCs w:val="28"/>
        </w:rPr>
        <w:fldChar w:fldCharType="end"/>
      </w:r>
    </w:p>
    <w:p>
      <w:pPr>
        <w:pStyle w:val="51"/>
        <w:widowControl w:val="0"/>
        <w:tabs>
          <w:tab w:val="right" w:leader="dot" w:pos="8845"/>
        </w:tabs>
        <w:snapToGrid w:val="0"/>
        <w:rPr>
          <w:b w:val="0"/>
          <w:bCs w:val="0"/>
          <w:sz w:val="28"/>
          <w:szCs w:val="28"/>
        </w:rPr>
      </w:pPr>
      <w:r>
        <w:rPr>
          <w:rFonts w:hint="eastAsia"/>
          <w:b w:val="0"/>
          <w:bCs w:val="0"/>
          <w:sz w:val="28"/>
          <w:szCs w:val="28"/>
          <w:lang w:eastAsia="zh-CN"/>
        </w:rPr>
        <w:t>附件：</w:t>
      </w:r>
      <w:r>
        <w:rPr>
          <w:rFonts w:hint="eastAsia"/>
          <w:b w:val="0"/>
          <w:bCs w:val="0"/>
          <w:sz w:val="28"/>
          <w:szCs w:val="28"/>
          <w:lang w:val="en-US" w:eastAsia="zh-CN"/>
        </w:rPr>
        <w:t>1.</w:t>
      </w:r>
      <w:r>
        <w:rPr>
          <w:b w:val="0"/>
          <w:bCs w:val="0"/>
          <w:sz w:val="28"/>
          <w:szCs w:val="28"/>
        </w:rPr>
        <w:fldChar w:fldCharType="begin"/>
      </w:r>
      <w:r>
        <w:rPr>
          <w:b w:val="0"/>
          <w:bCs w:val="0"/>
          <w:sz w:val="28"/>
          <w:szCs w:val="28"/>
        </w:rPr>
        <w:instrText xml:space="preserve"> HYPERLINK \l _Toc138874157_WPSOffice_Level1 </w:instrText>
      </w:r>
      <w:r>
        <w:rPr>
          <w:b w:val="0"/>
          <w:bCs w:val="0"/>
          <w:sz w:val="28"/>
          <w:szCs w:val="28"/>
        </w:rPr>
        <w:fldChar w:fldCharType="separate"/>
      </w:r>
      <w:r>
        <w:rPr>
          <w:rFonts w:hint="eastAsia" w:ascii="方正小标宋_GBK" w:hAnsi="方正小标宋_GBK" w:eastAsia="方正小标宋_GBK" w:cs="方正小标宋_GBK"/>
          <w:b w:val="0"/>
          <w:bCs w:val="0"/>
          <w:sz w:val="28"/>
          <w:szCs w:val="28"/>
        </w:rPr>
        <w:t>永川区综合交通运输</w:t>
      </w:r>
      <w:r>
        <w:rPr>
          <w:rFonts w:hint="default" w:ascii="方正小标宋_GBK" w:hAnsi="方正小标宋_GBK" w:eastAsia="方正小标宋_GBK" w:cs="方正小标宋_GBK"/>
          <w:b w:val="0"/>
          <w:bCs w:val="0"/>
          <w:sz w:val="28"/>
          <w:szCs w:val="28"/>
        </w:rPr>
        <w:t>“</w:t>
      </w:r>
      <w:r>
        <w:rPr>
          <w:rFonts w:hint="eastAsia" w:ascii="方正小标宋_GBK" w:hAnsi="方正小标宋_GBK" w:eastAsia="方正小标宋_GBK" w:cs="方正小标宋_GBK"/>
          <w:b w:val="0"/>
          <w:bCs w:val="0"/>
          <w:sz w:val="28"/>
          <w:szCs w:val="28"/>
        </w:rPr>
        <w:t>十四五”重大项目表</w:t>
      </w:r>
      <w:r>
        <w:rPr>
          <w:b w:val="0"/>
          <w:bCs w:val="0"/>
          <w:sz w:val="28"/>
          <w:szCs w:val="28"/>
        </w:rPr>
        <w:tab/>
      </w:r>
      <w:bookmarkStart w:id="51" w:name="_Toc138874157_WPSOffice_Level1Page"/>
      <w:r>
        <w:rPr>
          <w:b w:val="0"/>
          <w:bCs w:val="0"/>
          <w:sz w:val="28"/>
          <w:szCs w:val="28"/>
        </w:rPr>
        <w:t>59</w:t>
      </w:r>
      <w:bookmarkEnd w:id="51"/>
      <w:r>
        <w:rPr>
          <w:b w:val="0"/>
          <w:bCs w:val="0"/>
          <w:sz w:val="28"/>
          <w:szCs w:val="28"/>
        </w:rPr>
        <w:fldChar w:fldCharType="end"/>
      </w:r>
    </w:p>
    <w:p>
      <w:pPr>
        <w:pStyle w:val="51"/>
        <w:widowControl w:val="0"/>
        <w:tabs>
          <w:tab w:val="right" w:leader="dot" w:pos="8845"/>
        </w:tabs>
        <w:snapToGrid w:val="0"/>
        <w:ind w:firstLine="840" w:firstLineChars="300"/>
        <w:rPr>
          <w:b w:val="0"/>
          <w:bCs w:val="0"/>
          <w:sz w:val="28"/>
          <w:szCs w:val="28"/>
        </w:rPr>
      </w:pPr>
      <w:r>
        <w:rPr>
          <w:rFonts w:hint="eastAsia"/>
          <w:b w:val="0"/>
          <w:bCs w:val="0"/>
          <w:sz w:val="28"/>
          <w:szCs w:val="28"/>
          <w:lang w:val="en-US" w:eastAsia="zh-CN"/>
        </w:rPr>
        <w:t>2.</w:t>
      </w:r>
      <w:r>
        <w:rPr>
          <w:b w:val="0"/>
          <w:bCs w:val="0"/>
          <w:sz w:val="28"/>
          <w:szCs w:val="28"/>
        </w:rPr>
        <w:fldChar w:fldCharType="begin"/>
      </w:r>
      <w:r>
        <w:rPr>
          <w:b w:val="0"/>
          <w:bCs w:val="0"/>
          <w:sz w:val="28"/>
          <w:szCs w:val="28"/>
        </w:rPr>
        <w:instrText xml:space="preserve"> HYPERLINK \l _Toc2029265481_WPSOffice_Level1 </w:instrText>
      </w:r>
      <w:r>
        <w:rPr>
          <w:b w:val="0"/>
          <w:bCs w:val="0"/>
          <w:sz w:val="28"/>
          <w:szCs w:val="28"/>
        </w:rPr>
        <w:fldChar w:fldCharType="separate"/>
      </w:r>
      <w:r>
        <w:rPr>
          <w:rFonts w:hint="eastAsia" w:ascii="方正小标宋_GBK" w:hAnsi="方正小标宋_GBK" w:eastAsia="方正小标宋_GBK" w:cs="方正小标宋_GBK"/>
          <w:b w:val="0"/>
          <w:bCs w:val="0"/>
          <w:sz w:val="28"/>
          <w:szCs w:val="28"/>
        </w:rPr>
        <w:t>永川区综合交通现状图（2020年）</w:t>
      </w:r>
      <w:r>
        <w:rPr>
          <w:b w:val="0"/>
          <w:bCs w:val="0"/>
          <w:sz w:val="28"/>
          <w:szCs w:val="28"/>
        </w:rPr>
        <w:tab/>
      </w:r>
      <w:bookmarkStart w:id="52" w:name="_Toc2029265481_WPSOffice_Level1Page"/>
      <w:r>
        <w:rPr>
          <w:b w:val="0"/>
          <w:bCs w:val="0"/>
          <w:sz w:val="28"/>
          <w:szCs w:val="28"/>
        </w:rPr>
        <w:t>65</w:t>
      </w:r>
      <w:bookmarkEnd w:id="52"/>
      <w:r>
        <w:rPr>
          <w:b w:val="0"/>
          <w:bCs w:val="0"/>
          <w:sz w:val="28"/>
          <w:szCs w:val="28"/>
        </w:rPr>
        <w:fldChar w:fldCharType="end"/>
      </w:r>
    </w:p>
    <w:p>
      <w:pPr>
        <w:pStyle w:val="51"/>
        <w:widowControl w:val="0"/>
        <w:tabs>
          <w:tab w:val="right" w:leader="dot" w:pos="8845"/>
        </w:tabs>
        <w:snapToGrid w:val="0"/>
        <w:ind w:firstLine="840" w:firstLineChars="300"/>
        <w:rPr>
          <w:b w:val="0"/>
          <w:bCs w:val="0"/>
          <w:sz w:val="28"/>
          <w:szCs w:val="28"/>
        </w:rPr>
      </w:pPr>
      <w:r>
        <w:rPr>
          <w:rFonts w:hint="eastAsia"/>
          <w:b w:val="0"/>
          <w:bCs w:val="0"/>
          <w:sz w:val="28"/>
          <w:szCs w:val="28"/>
          <w:lang w:val="en-US" w:eastAsia="zh-CN"/>
        </w:rPr>
        <w:t>3.</w:t>
      </w:r>
      <w:r>
        <w:rPr>
          <w:b w:val="0"/>
          <w:bCs w:val="0"/>
          <w:sz w:val="28"/>
          <w:szCs w:val="28"/>
        </w:rPr>
        <w:fldChar w:fldCharType="begin"/>
      </w:r>
      <w:r>
        <w:rPr>
          <w:b w:val="0"/>
          <w:bCs w:val="0"/>
          <w:sz w:val="28"/>
          <w:szCs w:val="28"/>
        </w:rPr>
        <w:instrText xml:space="preserve"> HYPERLINK \l _Toc1006830951_WPSOffice_Level1 </w:instrText>
      </w:r>
      <w:r>
        <w:rPr>
          <w:b w:val="0"/>
          <w:bCs w:val="0"/>
          <w:sz w:val="28"/>
          <w:szCs w:val="28"/>
        </w:rPr>
        <w:fldChar w:fldCharType="separate"/>
      </w:r>
      <w:r>
        <w:rPr>
          <w:rFonts w:hint="eastAsia" w:ascii="方正小标宋_GBK" w:hAnsi="方正小标宋_GBK" w:eastAsia="方正小标宋_GBK" w:cs="方正小标宋_GBK"/>
          <w:b w:val="0"/>
          <w:bCs w:val="0"/>
          <w:sz w:val="28"/>
          <w:szCs w:val="28"/>
        </w:rPr>
        <w:t>永川区中长期综合交通规划图</w:t>
      </w:r>
      <w:r>
        <w:rPr>
          <w:b w:val="0"/>
          <w:bCs w:val="0"/>
          <w:sz w:val="28"/>
          <w:szCs w:val="28"/>
        </w:rPr>
        <w:tab/>
      </w:r>
      <w:bookmarkStart w:id="53" w:name="_Toc1006830951_WPSOffice_Level1Page"/>
      <w:r>
        <w:rPr>
          <w:b w:val="0"/>
          <w:bCs w:val="0"/>
          <w:sz w:val="28"/>
          <w:szCs w:val="28"/>
        </w:rPr>
        <w:t>66</w:t>
      </w:r>
      <w:bookmarkEnd w:id="53"/>
      <w:r>
        <w:rPr>
          <w:b w:val="0"/>
          <w:bCs w:val="0"/>
          <w:sz w:val="28"/>
          <w:szCs w:val="28"/>
        </w:rPr>
        <w:fldChar w:fldCharType="end"/>
      </w:r>
    </w:p>
    <w:p>
      <w:pPr>
        <w:pStyle w:val="51"/>
        <w:widowControl w:val="0"/>
        <w:tabs>
          <w:tab w:val="right" w:leader="dot" w:pos="8845"/>
        </w:tabs>
        <w:snapToGrid w:val="0"/>
        <w:ind w:firstLine="840" w:firstLineChars="300"/>
        <w:rPr>
          <w:b w:val="0"/>
          <w:bCs w:val="0"/>
          <w:sz w:val="28"/>
          <w:szCs w:val="28"/>
        </w:rPr>
      </w:pPr>
      <w:r>
        <w:rPr>
          <w:rFonts w:hint="eastAsia"/>
          <w:b w:val="0"/>
          <w:bCs w:val="0"/>
          <w:sz w:val="28"/>
          <w:szCs w:val="28"/>
          <w:lang w:val="en-US" w:eastAsia="zh-CN"/>
        </w:rPr>
        <w:t>4.</w:t>
      </w:r>
      <w:r>
        <w:rPr>
          <w:b w:val="0"/>
          <w:bCs w:val="0"/>
          <w:sz w:val="28"/>
          <w:szCs w:val="28"/>
        </w:rPr>
        <w:fldChar w:fldCharType="begin"/>
      </w:r>
      <w:r>
        <w:rPr>
          <w:b w:val="0"/>
          <w:bCs w:val="0"/>
          <w:sz w:val="28"/>
          <w:szCs w:val="28"/>
        </w:rPr>
        <w:instrText xml:space="preserve"> HYPERLINK \l _Toc656738567_WPSOffice_Level1 </w:instrText>
      </w:r>
      <w:r>
        <w:rPr>
          <w:b w:val="0"/>
          <w:bCs w:val="0"/>
          <w:sz w:val="28"/>
          <w:szCs w:val="28"/>
        </w:rPr>
        <w:fldChar w:fldCharType="separate"/>
      </w:r>
      <w:r>
        <w:rPr>
          <w:rFonts w:hint="eastAsia" w:ascii="方正小标宋_GBK" w:hAnsi="方正小标宋_GBK" w:eastAsia="方正小标宋_GBK" w:cs="方正小标宋_GBK"/>
          <w:b w:val="0"/>
          <w:bCs w:val="0"/>
          <w:sz w:val="28"/>
          <w:szCs w:val="28"/>
        </w:rPr>
        <w:t>永川区综合交通</w:t>
      </w:r>
      <w:r>
        <w:rPr>
          <w:rFonts w:hint="default" w:ascii="方正小标宋_GBK" w:hAnsi="方正小标宋_GBK" w:eastAsia="方正小标宋_GBK" w:cs="方正小标宋_GBK"/>
          <w:b w:val="0"/>
          <w:bCs w:val="0"/>
          <w:sz w:val="28"/>
          <w:szCs w:val="28"/>
        </w:rPr>
        <w:t>“</w:t>
      </w:r>
      <w:r>
        <w:rPr>
          <w:rFonts w:hint="eastAsia" w:ascii="方正小标宋_GBK" w:hAnsi="方正小标宋_GBK" w:eastAsia="方正小标宋_GBK" w:cs="方正小标宋_GBK"/>
          <w:b w:val="0"/>
          <w:bCs w:val="0"/>
          <w:sz w:val="28"/>
          <w:szCs w:val="28"/>
        </w:rPr>
        <w:t>十四五”规划布局图</w:t>
      </w:r>
      <w:r>
        <w:rPr>
          <w:b w:val="0"/>
          <w:bCs w:val="0"/>
          <w:sz w:val="28"/>
          <w:szCs w:val="28"/>
        </w:rPr>
        <w:tab/>
      </w:r>
      <w:bookmarkStart w:id="54" w:name="_Toc656738567_WPSOffice_Level1Page"/>
      <w:r>
        <w:rPr>
          <w:b w:val="0"/>
          <w:bCs w:val="0"/>
          <w:sz w:val="28"/>
          <w:szCs w:val="28"/>
        </w:rPr>
        <w:t>67</w:t>
      </w:r>
      <w:bookmarkEnd w:id="54"/>
      <w:r>
        <w:rPr>
          <w:b w:val="0"/>
          <w:bCs w:val="0"/>
          <w:sz w:val="28"/>
          <w:szCs w:val="28"/>
        </w:rPr>
        <w:fldChar w:fldCharType="end"/>
      </w:r>
    </w:p>
    <w:p>
      <w:pPr>
        <w:pStyle w:val="51"/>
        <w:widowControl w:val="0"/>
        <w:tabs>
          <w:tab w:val="right" w:leader="dot" w:pos="8845"/>
        </w:tabs>
        <w:snapToGrid w:val="0"/>
        <w:ind w:firstLine="840" w:firstLineChars="300"/>
        <w:rPr>
          <w:b w:val="0"/>
          <w:bCs w:val="0"/>
          <w:sz w:val="28"/>
          <w:szCs w:val="28"/>
        </w:rPr>
      </w:pPr>
      <w:r>
        <w:rPr>
          <w:rFonts w:hint="eastAsia"/>
          <w:b w:val="0"/>
          <w:bCs w:val="0"/>
          <w:sz w:val="28"/>
          <w:szCs w:val="28"/>
          <w:lang w:val="en-US" w:eastAsia="zh-CN"/>
        </w:rPr>
        <w:t>5.</w:t>
      </w:r>
      <w:r>
        <w:rPr>
          <w:b w:val="0"/>
          <w:bCs w:val="0"/>
          <w:sz w:val="28"/>
          <w:szCs w:val="28"/>
        </w:rPr>
        <w:fldChar w:fldCharType="begin"/>
      </w:r>
      <w:r>
        <w:rPr>
          <w:b w:val="0"/>
          <w:bCs w:val="0"/>
          <w:sz w:val="28"/>
          <w:szCs w:val="28"/>
        </w:rPr>
        <w:instrText xml:space="preserve"> HYPERLINK \l _Toc1006211929_WPSOffice_Level1 </w:instrText>
      </w:r>
      <w:r>
        <w:rPr>
          <w:b w:val="0"/>
          <w:bCs w:val="0"/>
          <w:sz w:val="28"/>
          <w:szCs w:val="28"/>
        </w:rPr>
        <w:fldChar w:fldCharType="separate"/>
      </w:r>
      <w:r>
        <w:rPr>
          <w:rFonts w:hint="eastAsia" w:ascii="方正小标宋_GBK" w:hAnsi="方正小标宋_GBK" w:eastAsia="方正小标宋_GBK" w:cs="方正小标宋_GBK"/>
          <w:b w:val="0"/>
          <w:bCs w:val="0"/>
          <w:sz w:val="28"/>
          <w:szCs w:val="28"/>
        </w:rPr>
        <w:t>永川区铁路</w:t>
      </w:r>
      <w:r>
        <w:rPr>
          <w:rFonts w:hint="default" w:ascii="方正小标宋_GBK" w:hAnsi="方正小标宋_GBK" w:eastAsia="方正小标宋_GBK" w:cs="方正小标宋_GBK"/>
          <w:b w:val="0"/>
          <w:bCs w:val="0"/>
          <w:sz w:val="28"/>
          <w:szCs w:val="28"/>
        </w:rPr>
        <w:t>“</w:t>
      </w:r>
      <w:r>
        <w:rPr>
          <w:rFonts w:hint="eastAsia" w:ascii="方正小标宋_GBK" w:hAnsi="方正小标宋_GBK" w:eastAsia="方正小标宋_GBK" w:cs="方正小标宋_GBK"/>
          <w:b w:val="0"/>
          <w:bCs w:val="0"/>
          <w:sz w:val="28"/>
          <w:szCs w:val="28"/>
        </w:rPr>
        <w:t>十四五”规划布局图</w:t>
      </w:r>
      <w:r>
        <w:rPr>
          <w:b w:val="0"/>
          <w:bCs w:val="0"/>
          <w:sz w:val="28"/>
          <w:szCs w:val="28"/>
        </w:rPr>
        <w:tab/>
      </w:r>
      <w:bookmarkStart w:id="55" w:name="_Toc1006211929_WPSOffice_Level1Page"/>
      <w:r>
        <w:rPr>
          <w:b w:val="0"/>
          <w:bCs w:val="0"/>
          <w:sz w:val="28"/>
          <w:szCs w:val="28"/>
        </w:rPr>
        <w:t>68</w:t>
      </w:r>
      <w:bookmarkEnd w:id="55"/>
      <w:r>
        <w:rPr>
          <w:b w:val="0"/>
          <w:bCs w:val="0"/>
          <w:sz w:val="28"/>
          <w:szCs w:val="28"/>
        </w:rPr>
        <w:fldChar w:fldCharType="end"/>
      </w:r>
    </w:p>
    <w:p>
      <w:pPr>
        <w:pStyle w:val="51"/>
        <w:widowControl w:val="0"/>
        <w:tabs>
          <w:tab w:val="right" w:leader="dot" w:pos="8845"/>
        </w:tabs>
        <w:snapToGrid w:val="0"/>
        <w:ind w:firstLine="840" w:firstLineChars="300"/>
        <w:rPr>
          <w:b w:val="0"/>
          <w:bCs w:val="0"/>
          <w:sz w:val="28"/>
          <w:szCs w:val="28"/>
        </w:rPr>
      </w:pPr>
      <w:r>
        <w:rPr>
          <w:rFonts w:hint="eastAsia"/>
          <w:b w:val="0"/>
          <w:bCs w:val="0"/>
          <w:sz w:val="28"/>
          <w:szCs w:val="28"/>
          <w:lang w:val="en-US" w:eastAsia="zh-CN"/>
        </w:rPr>
        <w:t>6.</w:t>
      </w:r>
      <w:r>
        <w:rPr>
          <w:b w:val="0"/>
          <w:bCs w:val="0"/>
          <w:sz w:val="28"/>
          <w:szCs w:val="28"/>
        </w:rPr>
        <w:fldChar w:fldCharType="begin"/>
      </w:r>
      <w:r>
        <w:rPr>
          <w:b w:val="0"/>
          <w:bCs w:val="0"/>
          <w:sz w:val="28"/>
          <w:szCs w:val="28"/>
        </w:rPr>
        <w:instrText xml:space="preserve"> HYPERLINK \l _Toc1344489682_WPSOffice_Level1 </w:instrText>
      </w:r>
      <w:r>
        <w:rPr>
          <w:b w:val="0"/>
          <w:bCs w:val="0"/>
          <w:sz w:val="28"/>
          <w:szCs w:val="28"/>
        </w:rPr>
        <w:fldChar w:fldCharType="separate"/>
      </w:r>
      <w:r>
        <w:rPr>
          <w:rFonts w:hint="eastAsia" w:ascii="方正小标宋_GBK" w:hAnsi="方正小标宋_GBK" w:eastAsia="方正小标宋_GBK" w:cs="方正小标宋_GBK"/>
          <w:b w:val="0"/>
          <w:bCs w:val="0"/>
          <w:sz w:val="28"/>
          <w:szCs w:val="28"/>
        </w:rPr>
        <w:t>永川区高速公路</w:t>
      </w:r>
      <w:r>
        <w:rPr>
          <w:rFonts w:hint="default" w:ascii="方正小标宋_GBK" w:hAnsi="方正小标宋_GBK" w:eastAsia="方正小标宋_GBK" w:cs="方正小标宋_GBK"/>
          <w:b w:val="0"/>
          <w:bCs w:val="0"/>
          <w:sz w:val="28"/>
          <w:szCs w:val="28"/>
        </w:rPr>
        <w:t>“</w:t>
      </w:r>
      <w:r>
        <w:rPr>
          <w:rFonts w:hint="eastAsia" w:ascii="方正小标宋_GBK" w:hAnsi="方正小标宋_GBK" w:eastAsia="方正小标宋_GBK" w:cs="方正小标宋_GBK"/>
          <w:b w:val="0"/>
          <w:bCs w:val="0"/>
          <w:sz w:val="28"/>
          <w:szCs w:val="28"/>
        </w:rPr>
        <w:t>十四五”规划布局图</w:t>
      </w:r>
      <w:r>
        <w:rPr>
          <w:b w:val="0"/>
          <w:bCs w:val="0"/>
          <w:sz w:val="28"/>
          <w:szCs w:val="28"/>
        </w:rPr>
        <w:tab/>
      </w:r>
      <w:bookmarkStart w:id="56" w:name="_Toc1344489682_WPSOffice_Level1Page"/>
      <w:r>
        <w:rPr>
          <w:b w:val="0"/>
          <w:bCs w:val="0"/>
          <w:sz w:val="28"/>
          <w:szCs w:val="28"/>
        </w:rPr>
        <w:t>69</w:t>
      </w:r>
      <w:bookmarkEnd w:id="56"/>
      <w:r>
        <w:rPr>
          <w:b w:val="0"/>
          <w:bCs w:val="0"/>
          <w:sz w:val="28"/>
          <w:szCs w:val="28"/>
        </w:rPr>
        <w:fldChar w:fldCharType="end"/>
      </w:r>
      <w:bookmarkEnd w:id="0"/>
    </w:p>
    <w:p>
      <w:pPr>
        <w:pStyle w:val="51"/>
        <w:tabs>
          <w:tab w:val="right" w:leader="dot" w:pos="8845"/>
        </w:tabs>
        <w:ind w:firstLine="1120" w:firstLineChars="400"/>
        <w:rPr>
          <w:rFonts w:hint="eastAsia" w:ascii="方正仿宋_GBK" w:hAnsi="方正仿宋_GBK" w:eastAsia="方正仿宋_GBK" w:cs="方正仿宋_GBK"/>
          <w:b w:val="0"/>
          <w:bCs/>
          <w:szCs w:val="32"/>
        </w:rPr>
      </w:pPr>
      <w:r>
        <w:rPr>
          <w:rFonts w:hint="default" w:ascii="方正小标宋_GBK" w:hAnsi="方正小标宋_GBK" w:eastAsia="方正小标宋_GBK" w:cs="方正小标宋_GBK"/>
          <w:sz w:val="28"/>
          <w:szCs w:val="28"/>
          <w:lang w:val="en"/>
        </w:rPr>
        <w:t>7.</w:t>
      </w:r>
      <w:r>
        <w:rPr>
          <w:rFonts w:hint="eastAsia" w:ascii="方正小标宋_GBK" w:hAnsi="方正小标宋_GBK" w:eastAsia="方正小标宋_GBK" w:cs="方正小标宋_GBK"/>
          <w:sz w:val="28"/>
          <w:szCs w:val="28"/>
        </w:rPr>
        <w:t>永川区国省干线“十四五”建设示意图</w:t>
      </w:r>
      <w:r>
        <w:rPr>
          <w:b w:val="0"/>
          <w:bCs w:val="0"/>
          <w:sz w:val="28"/>
          <w:szCs w:val="28"/>
        </w:rPr>
        <w:tab/>
      </w:r>
      <w:r>
        <w:rPr>
          <w:rFonts w:hint="default"/>
          <w:b w:val="0"/>
          <w:bCs w:val="0"/>
          <w:sz w:val="28"/>
          <w:szCs w:val="28"/>
          <w:lang w:val="en"/>
        </w:rPr>
        <w:t>70</w:t>
      </w:r>
    </w:p>
    <w:p>
      <w:pPr>
        <w:keepNext w:val="0"/>
        <w:keepLines w:val="0"/>
        <w:pageBreakBefore w:val="0"/>
        <w:widowControl w:val="0"/>
        <w:kinsoku/>
        <w:wordWrap/>
        <w:overflowPunct/>
        <w:topLinePunct w:val="0"/>
        <w:autoSpaceDE/>
        <w:autoSpaceDN/>
        <w:bidi w:val="0"/>
        <w:adjustRightInd w:val="0"/>
        <w:snapToGrid w:val="0"/>
        <w:spacing w:afterLines="0" w:line="276" w:lineRule="auto"/>
        <w:jc w:val="center"/>
        <w:textAlignment w:val="auto"/>
        <w:rPr>
          <w:rFonts w:hint="eastAsia" w:ascii="Times New Roman" w:hAnsi="Times New Roman" w:eastAsia="方正仿宋_GBK"/>
          <w:b w:val="0"/>
          <w:bCs/>
          <w:sz w:val="32"/>
          <w:szCs w:val="32"/>
        </w:rPr>
      </w:pPr>
      <w:bookmarkStart w:id="57" w:name="_Toc26447"/>
      <w:bookmarkStart w:id="58" w:name="_Toc511472081"/>
      <w:bookmarkStart w:id="59" w:name="_Toc509229310"/>
      <w:r>
        <w:rPr>
          <w:rFonts w:hint="eastAsia" w:ascii="方正小标宋_GBK" w:hAnsi="方正小标宋_GBK" w:eastAsia="方正小标宋_GBK" w:cs="方正小标宋_GBK"/>
          <w:b w:val="0"/>
          <w:bCs/>
          <w:sz w:val="32"/>
          <w:szCs w:val="32"/>
        </w:rPr>
        <w:br w:type="page"/>
      </w:r>
      <w:bookmarkStart w:id="60" w:name="_Toc636394971_WPSOffice_Level1"/>
      <w:r>
        <w:rPr>
          <w:rFonts w:hint="eastAsia" w:ascii="Times New Roman" w:hAnsi="Times New Roman" w:eastAsia="方正黑体_GBK"/>
          <w:b w:val="0"/>
          <w:bCs/>
          <w:sz w:val="32"/>
          <w:szCs w:val="32"/>
        </w:rPr>
        <w:t>第一章  发展基础</w:t>
      </w:r>
      <w:bookmarkEnd w:id="60"/>
    </w:p>
    <w:p>
      <w:pPr>
        <w:keepNext w:val="0"/>
        <w:keepLines w:val="0"/>
        <w:pageBreakBefore w:val="0"/>
        <w:widowControl w:val="0"/>
        <w:kinsoku/>
        <w:wordWrap/>
        <w:overflowPunct/>
        <w:topLinePunct w:val="0"/>
        <w:autoSpaceDE/>
        <w:autoSpaceDN/>
        <w:bidi w:val="0"/>
        <w:adjustRightInd w:val="0"/>
        <w:snapToGrid w:val="0"/>
        <w:spacing w:before="0" w:after="0" w:afterLines="0" w:line="276" w:lineRule="auto"/>
        <w:ind w:firstLine="640" w:firstLineChars="200"/>
        <w:textAlignment w:val="auto"/>
        <w:rPr>
          <w:rFonts w:hint="default" w:ascii="Times New Roman" w:hAnsi="Times New Roman" w:eastAsia="方正仿宋_GBK" w:cs="Times New Roman"/>
          <w:b w:val="0"/>
          <w:bCs/>
          <w:kern w:val="2"/>
          <w:sz w:val="32"/>
          <w:szCs w:val="32"/>
        </w:rPr>
      </w:pPr>
    </w:p>
    <w:p>
      <w:pPr>
        <w:pStyle w:val="16"/>
        <w:keepNext w:val="0"/>
        <w:keepLines w:val="0"/>
        <w:pageBreakBefore w:val="0"/>
        <w:widowControl w:val="0"/>
        <w:kinsoku/>
        <w:wordWrap/>
        <w:overflowPunct/>
        <w:topLinePunct w:val="0"/>
        <w:autoSpaceDE/>
        <w:autoSpaceDN/>
        <w:bidi w:val="0"/>
        <w:adjustRightInd w:val="0"/>
        <w:snapToGrid w:val="0"/>
        <w:spacing w:before="0" w:after="0" w:afterLines="0" w:line="276" w:lineRule="auto"/>
        <w:textAlignment w:val="auto"/>
        <w:rPr>
          <w:rFonts w:ascii="Times New Roman" w:hAnsi="Times New Roman"/>
          <w:b w:val="0"/>
          <w:sz w:val="32"/>
          <w:szCs w:val="32"/>
        </w:rPr>
      </w:pPr>
      <w:bookmarkStart w:id="61" w:name="_Toc1305878140"/>
      <w:bookmarkStart w:id="62" w:name="_Toc1832715107_WPSOffice_Level2"/>
      <w:bookmarkStart w:id="63" w:name="_Toc1232125756"/>
      <w:r>
        <w:rPr>
          <w:rFonts w:hint="eastAsia" w:ascii="方正楷体_GBK" w:hAnsi="方正楷体_GBK" w:eastAsia="方正楷体_GBK" w:cs="方正楷体_GBK"/>
          <w:b w:val="0"/>
          <w:bCs/>
          <w:kern w:val="2"/>
          <w:sz w:val="32"/>
          <w:szCs w:val="32"/>
        </w:rPr>
        <w:t xml:space="preserve">第一节 </w:t>
      </w:r>
      <w:r>
        <w:rPr>
          <w:rFonts w:hint="default" w:ascii="方正楷体_GBK" w:hAnsi="方正楷体_GBK" w:eastAsia="方正楷体_GBK" w:cs="方正楷体_GBK"/>
          <w:b w:val="0"/>
          <w:bCs/>
          <w:kern w:val="2"/>
          <w:sz w:val="32"/>
          <w:szCs w:val="32"/>
          <w:lang w:val="en"/>
        </w:rPr>
        <w:t xml:space="preserve"> </w:t>
      </w:r>
      <w:r>
        <w:rPr>
          <w:rFonts w:hint="eastAsia" w:ascii="方正楷体_GBK" w:hAnsi="方正楷体_GBK" w:eastAsia="方正楷体_GBK" w:cs="方正楷体_GBK"/>
          <w:b w:val="0"/>
          <w:bCs/>
          <w:kern w:val="2"/>
          <w:sz w:val="32"/>
          <w:szCs w:val="32"/>
        </w:rPr>
        <w:t>发展成就</w:t>
      </w:r>
      <w:bookmarkEnd w:id="57"/>
      <w:bookmarkEnd w:id="61"/>
      <w:bookmarkEnd w:id="62"/>
      <w:bookmarkEnd w:id="63"/>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仿宋_GBK"/>
          <w:b w:val="0"/>
          <w:bCs/>
          <w:sz w:val="32"/>
          <w:szCs w:val="32"/>
        </w:rPr>
      </w:pP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仿宋_GBK"/>
          <w:b w:val="0"/>
          <w:bCs/>
          <w:sz w:val="32"/>
          <w:szCs w:val="32"/>
        </w:rPr>
      </w:pPr>
      <w:r>
        <w:rPr>
          <w:rFonts w:eastAsia="方正仿宋_GBK"/>
          <w:b w:val="0"/>
          <w:bCs/>
          <w:sz w:val="32"/>
          <w:szCs w:val="32"/>
          <w:lang w:val="en"/>
        </w:rPr>
        <w:t>“</w:t>
      </w:r>
      <w:r>
        <w:rPr>
          <w:rFonts w:eastAsia="方正仿宋_GBK"/>
          <w:b w:val="0"/>
          <w:bCs/>
          <w:sz w:val="32"/>
          <w:szCs w:val="32"/>
        </w:rPr>
        <w:t>十三五</w:t>
      </w:r>
      <w:r>
        <w:rPr>
          <w:rFonts w:eastAsia="方正仿宋_GBK"/>
          <w:b w:val="0"/>
          <w:bCs/>
          <w:sz w:val="32"/>
          <w:szCs w:val="32"/>
          <w:lang w:val="en"/>
        </w:rPr>
        <w:t>”</w:t>
      </w:r>
      <w:r>
        <w:rPr>
          <w:rFonts w:eastAsia="方正仿宋_GBK"/>
          <w:b w:val="0"/>
          <w:bCs/>
          <w:sz w:val="32"/>
          <w:szCs w:val="32"/>
        </w:rPr>
        <w:t>以来，在区委、区政府的坚强领导和各级相关部门的关心支持下，永川交通始终以供给侧结构性改革为主线，牢牢把握交通高质量发展要求，大力实施交通建设</w:t>
      </w:r>
      <w:r>
        <w:rPr>
          <w:rFonts w:eastAsia="方正仿宋_GBK"/>
          <w:b w:val="0"/>
          <w:bCs/>
          <w:sz w:val="32"/>
          <w:szCs w:val="32"/>
          <w:lang w:val="en"/>
        </w:rPr>
        <w:t>“</w:t>
      </w:r>
      <w:r>
        <w:rPr>
          <w:rFonts w:eastAsia="方正仿宋_GBK"/>
          <w:b w:val="0"/>
          <w:bCs/>
          <w:sz w:val="32"/>
          <w:szCs w:val="32"/>
        </w:rPr>
        <w:t>三年行动计划</w:t>
      </w:r>
      <w:r>
        <w:rPr>
          <w:rFonts w:eastAsia="方正仿宋_GBK"/>
          <w:b w:val="0"/>
          <w:bCs/>
          <w:sz w:val="32"/>
          <w:szCs w:val="32"/>
          <w:lang w:val="en"/>
        </w:rPr>
        <w:t>”</w:t>
      </w:r>
      <w:r>
        <w:rPr>
          <w:rFonts w:eastAsia="方正仿宋_GBK"/>
          <w:b w:val="0"/>
          <w:bCs/>
          <w:sz w:val="32"/>
          <w:szCs w:val="32"/>
        </w:rPr>
        <w:t>，加大基础设施补短板力度，为加快建设区域</w:t>
      </w:r>
      <w:r>
        <w:rPr>
          <w:rFonts w:hint="eastAsia" w:eastAsia="方正仿宋_GBK"/>
          <w:b w:val="0"/>
          <w:bCs/>
          <w:sz w:val="32"/>
          <w:szCs w:val="32"/>
        </w:rPr>
        <w:t>性</w:t>
      </w:r>
      <w:r>
        <w:rPr>
          <w:rFonts w:eastAsia="方正仿宋_GBK"/>
          <w:b w:val="0"/>
          <w:bCs/>
          <w:sz w:val="32"/>
          <w:szCs w:val="32"/>
        </w:rPr>
        <w:t>综合交通</w:t>
      </w:r>
      <w:r>
        <w:rPr>
          <w:rFonts w:hint="eastAsia" w:eastAsia="方正仿宋_GBK"/>
          <w:b w:val="0"/>
          <w:bCs/>
          <w:sz w:val="32"/>
          <w:szCs w:val="32"/>
        </w:rPr>
        <w:t>物流</w:t>
      </w:r>
      <w:r>
        <w:rPr>
          <w:rFonts w:eastAsia="方正仿宋_GBK"/>
          <w:b w:val="0"/>
          <w:bCs/>
          <w:sz w:val="32"/>
          <w:szCs w:val="32"/>
        </w:rPr>
        <w:t>枢纽打下了坚实基础。</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562"/>
        <w:textAlignment w:val="auto"/>
        <w:rPr>
          <w:rFonts w:eastAsia="方正仿宋_GBK"/>
          <w:b w:val="0"/>
          <w:bCs/>
          <w:kern w:val="52"/>
          <w:sz w:val="32"/>
          <w:szCs w:val="32"/>
        </w:rPr>
      </w:pPr>
      <w:r>
        <w:rPr>
          <w:rFonts w:eastAsia="方正楷体_GBK"/>
          <w:b w:val="0"/>
          <w:bCs/>
          <w:color w:val="000000"/>
          <w:sz w:val="32"/>
          <w:szCs w:val="32"/>
        </w:rPr>
        <w:t>（一）交通投资再创新高，</w:t>
      </w:r>
      <w:r>
        <w:rPr>
          <w:rFonts w:hint="eastAsia" w:eastAsia="方正楷体_GBK"/>
          <w:b w:val="0"/>
          <w:bCs/>
          <w:color w:val="000000"/>
          <w:sz w:val="32"/>
          <w:szCs w:val="32"/>
        </w:rPr>
        <w:t>有力</w:t>
      </w:r>
      <w:r>
        <w:rPr>
          <w:rFonts w:eastAsia="方正楷体_GBK"/>
          <w:b w:val="0"/>
          <w:bCs/>
          <w:color w:val="000000"/>
          <w:sz w:val="32"/>
          <w:szCs w:val="32"/>
        </w:rPr>
        <w:t>推动区域经济快速发展</w:t>
      </w:r>
      <w:r>
        <w:rPr>
          <w:rFonts w:eastAsia="方正楷体_GBK"/>
          <w:b w:val="0"/>
          <w:bCs/>
          <w:sz w:val="32"/>
          <w:szCs w:val="32"/>
        </w:rPr>
        <w:t>。</w:t>
      </w:r>
      <w:r>
        <w:rPr>
          <w:rFonts w:eastAsia="方正仿宋_GBK"/>
          <w:b w:val="0"/>
          <w:bCs/>
          <w:kern w:val="52"/>
          <w:sz w:val="32"/>
          <w:szCs w:val="32"/>
        </w:rPr>
        <w:t xml:space="preserve">坚持把资金保障作为交通发展的关键因素来抓，积极通过多种渠道，集聚各方财力、汇聚各方资源，全力筹集交通建设资金，努力满足交通发展需要。 </w:t>
      </w:r>
      <w:r>
        <w:rPr>
          <w:rFonts w:eastAsia="方正仿宋_GBK"/>
          <w:b w:val="0"/>
          <w:bCs/>
          <w:kern w:val="52"/>
          <w:sz w:val="32"/>
          <w:szCs w:val="32"/>
          <w:lang w:val="en"/>
        </w:rPr>
        <w:t>“</w:t>
      </w:r>
      <w:r>
        <w:rPr>
          <w:rFonts w:eastAsia="方正仿宋_GBK"/>
          <w:b w:val="0"/>
          <w:bCs/>
          <w:kern w:val="52"/>
          <w:sz w:val="32"/>
          <w:szCs w:val="32"/>
        </w:rPr>
        <w:t>十三五</w:t>
      </w:r>
      <w:r>
        <w:rPr>
          <w:rFonts w:eastAsia="方正仿宋_GBK"/>
          <w:b w:val="0"/>
          <w:bCs/>
          <w:kern w:val="52"/>
          <w:sz w:val="32"/>
          <w:szCs w:val="32"/>
          <w:lang w:val="en"/>
        </w:rPr>
        <w:t>”</w:t>
      </w:r>
      <w:r>
        <w:rPr>
          <w:rFonts w:eastAsia="方正仿宋_GBK"/>
          <w:b w:val="0"/>
          <w:bCs/>
          <w:kern w:val="52"/>
          <w:sz w:val="32"/>
          <w:szCs w:val="32"/>
        </w:rPr>
        <w:t>规划投资超额完成，全区交通完成各类投资201.4亿元，超额完成</w:t>
      </w:r>
      <w:r>
        <w:rPr>
          <w:rFonts w:eastAsia="方正仿宋_GBK"/>
          <w:b w:val="0"/>
          <w:bCs/>
          <w:kern w:val="52"/>
          <w:sz w:val="32"/>
          <w:szCs w:val="32"/>
          <w:lang w:val="en"/>
        </w:rPr>
        <w:t>“</w:t>
      </w:r>
      <w:r>
        <w:rPr>
          <w:rFonts w:eastAsia="方正仿宋_GBK"/>
          <w:b w:val="0"/>
          <w:bCs/>
          <w:kern w:val="52"/>
          <w:sz w:val="32"/>
          <w:szCs w:val="32"/>
        </w:rPr>
        <w:t>十三五</w:t>
      </w:r>
      <w:r>
        <w:rPr>
          <w:rFonts w:eastAsia="方正仿宋_GBK"/>
          <w:b w:val="0"/>
          <w:bCs/>
          <w:kern w:val="52"/>
          <w:sz w:val="32"/>
          <w:szCs w:val="32"/>
          <w:lang w:val="en"/>
        </w:rPr>
        <w:t>”</w:t>
      </w:r>
      <w:r>
        <w:rPr>
          <w:rFonts w:eastAsia="方正仿宋_GBK"/>
          <w:b w:val="0"/>
          <w:bCs/>
          <w:kern w:val="52"/>
          <w:sz w:val="32"/>
          <w:szCs w:val="32"/>
        </w:rPr>
        <w:t>规划投资任务。交通投资已成为有效投资的重要组成部分，已成为拉动经济增长的重要力量，有效发挥了交通投资的关键性、撬动性作用，对促进全区经济增长起到了强有力的拉动作用。</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仿宋_GBK"/>
          <w:b w:val="0"/>
          <w:bCs/>
          <w:snapToGrid w:val="0"/>
          <w:kern w:val="0"/>
          <w:sz w:val="32"/>
          <w:szCs w:val="32"/>
        </w:rPr>
      </w:pPr>
      <w:r>
        <w:rPr>
          <w:rFonts w:eastAsia="方正楷体_GBK"/>
          <w:b w:val="0"/>
          <w:bCs/>
          <w:color w:val="000000"/>
          <w:sz w:val="32"/>
          <w:szCs w:val="32"/>
        </w:rPr>
        <w:t>（二）</w:t>
      </w:r>
      <w:r>
        <w:rPr>
          <w:rFonts w:hint="eastAsia" w:eastAsia="方正楷体_GBK"/>
          <w:b w:val="0"/>
          <w:bCs/>
          <w:color w:val="000000"/>
          <w:sz w:val="32"/>
          <w:szCs w:val="32"/>
        </w:rPr>
        <w:t>大力实施交通建设</w:t>
      </w:r>
      <w:r>
        <w:rPr>
          <w:rFonts w:hint="default" w:eastAsia="方正楷体_GBK"/>
          <w:b w:val="0"/>
          <w:bCs/>
          <w:color w:val="000000"/>
          <w:sz w:val="32"/>
          <w:szCs w:val="32"/>
          <w:lang w:val="en"/>
        </w:rPr>
        <w:t>“</w:t>
      </w:r>
      <w:r>
        <w:rPr>
          <w:rFonts w:hint="eastAsia" w:eastAsia="方正楷体_GBK"/>
          <w:b w:val="0"/>
          <w:bCs/>
          <w:color w:val="000000"/>
          <w:sz w:val="32"/>
          <w:szCs w:val="32"/>
        </w:rPr>
        <w:t>三年行动计划</w:t>
      </w:r>
      <w:r>
        <w:rPr>
          <w:rFonts w:hint="default" w:eastAsia="方正楷体_GBK"/>
          <w:b w:val="0"/>
          <w:bCs/>
          <w:color w:val="000000"/>
          <w:sz w:val="32"/>
          <w:szCs w:val="32"/>
          <w:lang w:val="en"/>
        </w:rPr>
        <w:t>”</w:t>
      </w:r>
      <w:r>
        <w:rPr>
          <w:rFonts w:eastAsia="方正楷体_GBK"/>
          <w:b w:val="0"/>
          <w:bCs/>
          <w:color w:val="000000"/>
          <w:sz w:val="32"/>
          <w:szCs w:val="32"/>
        </w:rPr>
        <w:t>，</w:t>
      </w:r>
      <w:r>
        <w:rPr>
          <w:rFonts w:hint="eastAsia" w:eastAsia="方正楷体_GBK"/>
          <w:b w:val="0"/>
          <w:bCs/>
          <w:color w:val="000000"/>
          <w:sz w:val="32"/>
          <w:szCs w:val="32"/>
        </w:rPr>
        <w:t>持续巩固</w:t>
      </w:r>
      <w:r>
        <w:rPr>
          <w:rFonts w:eastAsia="方正楷体_GBK"/>
          <w:b w:val="0"/>
          <w:bCs/>
          <w:color w:val="000000"/>
          <w:sz w:val="32"/>
          <w:szCs w:val="32"/>
        </w:rPr>
        <w:t>区域交通枢纽地位。</w:t>
      </w:r>
      <w:r>
        <w:rPr>
          <w:rFonts w:eastAsia="方正仿宋_GBK"/>
          <w:b w:val="0"/>
          <w:bCs/>
          <w:color w:val="000000"/>
          <w:sz w:val="32"/>
          <w:szCs w:val="32"/>
        </w:rPr>
        <w:t>抢抓国家</w:t>
      </w:r>
      <w:r>
        <w:rPr>
          <w:rFonts w:eastAsia="方正仿宋_GBK"/>
          <w:b w:val="0"/>
          <w:bCs/>
          <w:color w:val="000000"/>
          <w:sz w:val="32"/>
          <w:szCs w:val="32"/>
          <w:lang w:val="en"/>
        </w:rPr>
        <w:t>“</w:t>
      </w:r>
      <w:r>
        <w:rPr>
          <w:rFonts w:eastAsia="方正仿宋_GBK"/>
          <w:b w:val="0"/>
          <w:bCs/>
          <w:color w:val="000000"/>
          <w:sz w:val="32"/>
          <w:szCs w:val="32"/>
        </w:rPr>
        <w:t>加大基础设施领域补短板的力度</w:t>
      </w:r>
      <w:r>
        <w:rPr>
          <w:rFonts w:eastAsia="方正仿宋_GBK"/>
          <w:b w:val="0"/>
          <w:bCs/>
          <w:color w:val="000000"/>
          <w:sz w:val="32"/>
          <w:szCs w:val="32"/>
          <w:lang w:val="en"/>
        </w:rPr>
        <w:t>”</w:t>
      </w:r>
      <w:r>
        <w:rPr>
          <w:rFonts w:eastAsia="方正仿宋_GBK"/>
          <w:b w:val="0"/>
          <w:bCs/>
          <w:color w:val="000000"/>
          <w:sz w:val="32"/>
          <w:szCs w:val="32"/>
        </w:rPr>
        <w:t xml:space="preserve"> </w:t>
      </w:r>
      <w:r>
        <w:rPr>
          <w:rFonts w:eastAsia="方正仿宋_GBK"/>
          <w:b w:val="0"/>
          <w:bCs/>
          <w:color w:val="000000"/>
          <w:sz w:val="32"/>
          <w:szCs w:val="32"/>
          <w:lang w:val="en"/>
        </w:rPr>
        <w:t>“</w:t>
      </w:r>
      <w:r>
        <w:rPr>
          <w:rFonts w:eastAsia="方正仿宋_GBK"/>
          <w:b w:val="0"/>
          <w:bCs/>
          <w:color w:val="000000"/>
          <w:sz w:val="32"/>
          <w:szCs w:val="32"/>
        </w:rPr>
        <w:t>重大基础设施建设继续向中西部地区倾斜</w:t>
      </w:r>
      <w:r>
        <w:rPr>
          <w:rFonts w:eastAsia="方正仿宋_GBK"/>
          <w:b w:val="0"/>
          <w:bCs/>
          <w:color w:val="000000"/>
          <w:sz w:val="32"/>
          <w:szCs w:val="32"/>
          <w:lang w:val="en"/>
        </w:rPr>
        <w:t>”</w:t>
      </w:r>
      <w:r>
        <w:rPr>
          <w:rFonts w:eastAsia="方正仿宋_GBK"/>
          <w:b w:val="0"/>
          <w:bCs/>
          <w:color w:val="000000"/>
          <w:sz w:val="32"/>
          <w:szCs w:val="32"/>
        </w:rPr>
        <w:t>等重大机遇，突出抓重点、补短板、强弱项，加快完善交通基础设施网络，提升基础设施供给效率，</w:t>
      </w:r>
      <w:r>
        <w:rPr>
          <w:rFonts w:eastAsia="方正仿宋_GBK"/>
          <w:b w:val="0"/>
          <w:bCs/>
          <w:color w:val="000000"/>
          <w:sz w:val="32"/>
          <w:szCs w:val="32"/>
          <w:lang w:val="en"/>
        </w:rPr>
        <w:t>“</w:t>
      </w:r>
      <w:r>
        <w:rPr>
          <w:rFonts w:eastAsia="方正仿宋_GBK"/>
          <w:b w:val="0"/>
          <w:bCs/>
          <w:color w:val="000000"/>
          <w:sz w:val="32"/>
          <w:szCs w:val="32"/>
        </w:rPr>
        <w:t>铁公水空</w:t>
      </w:r>
      <w:r>
        <w:rPr>
          <w:rFonts w:eastAsia="方正仿宋_GBK"/>
          <w:b w:val="0"/>
          <w:bCs/>
          <w:color w:val="000000"/>
          <w:sz w:val="32"/>
          <w:szCs w:val="32"/>
          <w:lang w:val="en"/>
        </w:rPr>
        <w:t>”</w:t>
      </w:r>
      <w:r>
        <w:rPr>
          <w:rFonts w:eastAsia="方正仿宋_GBK"/>
          <w:b w:val="0"/>
          <w:bCs/>
          <w:color w:val="000000"/>
          <w:sz w:val="32"/>
          <w:szCs w:val="32"/>
        </w:rPr>
        <w:t>区域</w:t>
      </w:r>
      <w:r>
        <w:rPr>
          <w:rFonts w:hint="eastAsia" w:eastAsia="方正仿宋_GBK"/>
          <w:b w:val="0"/>
          <w:bCs/>
          <w:color w:val="000000"/>
          <w:sz w:val="32"/>
          <w:szCs w:val="32"/>
        </w:rPr>
        <w:t>性</w:t>
      </w:r>
      <w:r>
        <w:rPr>
          <w:rFonts w:eastAsia="方正仿宋_GBK"/>
          <w:b w:val="0"/>
          <w:bCs/>
          <w:color w:val="000000"/>
          <w:sz w:val="32"/>
          <w:szCs w:val="32"/>
        </w:rPr>
        <w:t>综合交通</w:t>
      </w:r>
      <w:r>
        <w:rPr>
          <w:rFonts w:hint="eastAsia" w:eastAsia="方正仿宋_GBK"/>
          <w:b w:val="0"/>
          <w:bCs/>
          <w:color w:val="000000"/>
          <w:sz w:val="32"/>
          <w:szCs w:val="32"/>
        </w:rPr>
        <w:t>物流</w:t>
      </w:r>
      <w:r>
        <w:rPr>
          <w:rFonts w:eastAsia="方正仿宋_GBK"/>
          <w:b w:val="0"/>
          <w:bCs/>
          <w:color w:val="000000"/>
          <w:sz w:val="32"/>
          <w:szCs w:val="32"/>
        </w:rPr>
        <w:t>枢纽地位凸显。</w:t>
      </w:r>
      <w:r>
        <w:rPr>
          <w:rFonts w:eastAsia="方正楷体_GBK"/>
          <w:b w:val="0"/>
          <w:bCs/>
          <w:snapToGrid w:val="0"/>
          <w:kern w:val="0"/>
          <w:sz w:val="32"/>
          <w:szCs w:val="32"/>
        </w:rPr>
        <w:t>铁路，</w:t>
      </w:r>
      <w:r>
        <w:rPr>
          <w:rFonts w:eastAsia="方正仿宋_GBK"/>
          <w:b w:val="0"/>
          <w:bCs/>
          <w:kern w:val="52"/>
          <w:sz w:val="32"/>
          <w:szCs w:val="32"/>
        </w:rPr>
        <w:t>成渝高铁融入全国高</w:t>
      </w:r>
      <w:r>
        <w:rPr>
          <w:rFonts w:hint="eastAsia" w:eastAsia="方正仿宋_GBK"/>
          <w:b w:val="0"/>
          <w:bCs/>
          <w:kern w:val="52"/>
          <w:sz w:val="32"/>
          <w:szCs w:val="32"/>
        </w:rPr>
        <w:t>铁</w:t>
      </w:r>
      <w:r>
        <w:rPr>
          <w:rFonts w:eastAsia="方正仿宋_GBK"/>
          <w:b w:val="0"/>
          <w:bCs/>
          <w:kern w:val="52"/>
          <w:sz w:val="32"/>
          <w:szCs w:val="32"/>
        </w:rPr>
        <w:t>客运网，直达北、上、广、津等大城市，</w:t>
      </w:r>
      <w:r>
        <w:rPr>
          <w:rFonts w:hint="eastAsia" w:eastAsia="方正仿宋_GBK"/>
          <w:b w:val="0"/>
          <w:bCs/>
          <w:kern w:val="52"/>
          <w:sz w:val="32"/>
          <w:szCs w:val="32"/>
        </w:rPr>
        <w:t>进出永川旅客量突破500万人次/年。</w:t>
      </w:r>
      <w:r>
        <w:rPr>
          <w:rFonts w:eastAsia="方正仿宋_GBK"/>
          <w:b w:val="0"/>
          <w:bCs/>
          <w:kern w:val="52"/>
          <w:sz w:val="32"/>
          <w:szCs w:val="32"/>
        </w:rPr>
        <w:t>渝昆高铁开工建设，加快形成</w:t>
      </w:r>
      <w:r>
        <w:rPr>
          <w:rFonts w:eastAsia="方正仿宋_GBK"/>
          <w:b w:val="0"/>
          <w:bCs/>
          <w:kern w:val="52"/>
          <w:sz w:val="32"/>
          <w:szCs w:val="32"/>
          <w:lang w:val="en"/>
        </w:rPr>
        <w:t>“</w:t>
      </w:r>
      <w:r>
        <w:rPr>
          <w:rFonts w:eastAsia="方正仿宋_GBK"/>
          <w:b w:val="0"/>
          <w:bCs/>
          <w:kern w:val="52"/>
          <w:sz w:val="32"/>
          <w:szCs w:val="32"/>
        </w:rPr>
        <w:t>一纵一横</w:t>
      </w:r>
      <w:r>
        <w:rPr>
          <w:rFonts w:eastAsia="方正仿宋_GBK"/>
          <w:b w:val="0"/>
          <w:bCs/>
          <w:kern w:val="52"/>
          <w:sz w:val="32"/>
          <w:szCs w:val="32"/>
          <w:lang w:val="en"/>
        </w:rPr>
        <w:t>”</w:t>
      </w:r>
      <w:r>
        <w:rPr>
          <w:rFonts w:eastAsia="方正仿宋_GBK"/>
          <w:b w:val="0"/>
          <w:bCs/>
          <w:kern w:val="52"/>
          <w:sz w:val="32"/>
          <w:szCs w:val="32"/>
        </w:rPr>
        <w:t>高铁双通道，铁路通车里程达到90公里。</w:t>
      </w:r>
      <w:r>
        <w:rPr>
          <w:rFonts w:eastAsia="方正楷体_GBK"/>
          <w:b w:val="0"/>
          <w:bCs/>
          <w:snapToGrid w:val="0"/>
          <w:kern w:val="0"/>
          <w:sz w:val="32"/>
          <w:szCs w:val="32"/>
        </w:rPr>
        <w:t>高速公路，</w:t>
      </w:r>
      <w:r>
        <w:rPr>
          <w:rFonts w:eastAsia="方正仿宋_GBK"/>
          <w:b w:val="0"/>
          <w:bCs/>
          <w:sz w:val="32"/>
          <w:szCs w:val="32"/>
        </w:rPr>
        <w:t>九永高速建成通车，同步完成兴业大道连接线建设，强化永川科技生态城对外通道布局。永泸高速建成</w:t>
      </w:r>
      <w:r>
        <w:rPr>
          <w:rFonts w:hint="eastAsia" w:eastAsia="方正仿宋_GBK"/>
          <w:b w:val="0"/>
          <w:bCs/>
          <w:sz w:val="32"/>
          <w:szCs w:val="32"/>
        </w:rPr>
        <w:t>通车</w:t>
      </w:r>
      <w:r>
        <w:rPr>
          <w:rFonts w:eastAsia="方正仿宋_GBK"/>
          <w:b w:val="0"/>
          <w:bCs/>
          <w:sz w:val="32"/>
          <w:szCs w:val="32"/>
        </w:rPr>
        <w:t>，全区高速公路通车里程达到133公里，比2015年增加了42公里，高速公路骨架由</w:t>
      </w:r>
      <w:r>
        <w:rPr>
          <w:rFonts w:eastAsia="方正仿宋_GBK"/>
          <w:b w:val="0"/>
          <w:bCs/>
          <w:sz w:val="32"/>
          <w:szCs w:val="32"/>
          <w:lang w:val="en"/>
        </w:rPr>
        <w:t>“</w:t>
      </w:r>
      <w:r>
        <w:rPr>
          <w:rFonts w:eastAsia="方正仿宋_GBK"/>
          <w:b w:val="0"/>
          <w:bCs/>
          <w:sz w:val="32"/>
          <w:szCs w:val="32"/>
        </w:rPr>
        <w:t>十</w:t>
      </w:r>
      <w:r>
        <w:rPr>
          <w:rFonts w:eastAsia="方正仿宋_GBK"/>
          <w:b w:val="0"/>
          <w:bCs/>
          <w:sz w:val="32"/>
          <w:szCs w:val="32"/>
          <w:lang w:val="en"/>
        </w:rPr>
        <w:t>”</w:t>
      </w:r>
      <w:r>
        <w:rPr>
          <w:rFonts w:eastAsia="方正仿宋_GBK"/>
          <w:b w:val="0"/>
          <w:bCs/>
          <w:sz w:val="32"/>
          <w:szCs w:val="32"/>
        </w:rPr>
        <w:t>字型扩展为</w:t>
      </w:r>
      <w:r>
        <w:rPr>
          <w:rFonts w:eastAsia="方正仿宋_GBK"/>
          <w:b w:val="0"/>
          <w:bCs/>
          <w:sz w:val="32"/>
          <w:szCs w:val="32"/>
          <w:lang w:val="en"/>
        </w:rPr>
        <w:t>“</w:t>
      </w:r>
      <w:r>
        <w:rPr>
          <w:rFonts w:eastAsia="方正仿宋_GBK"/>
          <w:b w:val="0"/>
          <w:bCs/>
          <w:sz w:val="32"/>
          <w:szCs w:val="32"/>
        </w:rPr>
        <w:t>一环六射</w:t>
      </w:r>
      <w:r>
        <w:rPr>
          <w:rFonts w:eastAsia="方正仿宋_GBK"/>
          <w:b w:val="0"/>
          <w:bCs/>
          <w:sz w:val="32"/>
          <w:szCs w:val="32"/>
          <w:lang w:val="en"/>
        </w:rPr>
        <w:t>”</w:t>
      </w:r>
      <w:r>
        <w:rPr>
          <w:rFonts w:eastAsia="方正仿宋_GBK"/>
          <w:b w:val="0"/>
          <w:bCs/>
          <w:sz w:val="32"/>
          <w:szCs w:val="32"/>
        </w:rPr>
        <w:t>，永川成为全市除</w:t>
      </w:r>
      <w:r>
        <w:rPr>
          <w:rFonts w:hint="eastAsia" w:eastAsia="方正仿宋_GBK"/>
          <w:b w:val="0"/>
          <w:bCs/>
          <w:sz w:val="32"/>
          <w:szCs w:val="32"/>
        </w:rPr>
        <w:t>中心城</w:t>
      </w:r>
      <w:r>
        <w:rPr>
          <w:rFonts w:eastAsia="方正仿宋_GBK"/>
          <w:b w:val="0"/>
          <w:bCs/>
          <w:sz w:val="32"/>
          <w:szCs w:val="32"/>
        </w:rPr>
        <w:t>区外第一个拥有高速公路环线的区县，镇街高速公路覆盖率提升至95%。江津</w:t>
      </w:r>
      <w:r>
        <w:rPr>
          <w:rFonts w:hint="eastAsia" w:eastAsia="方正仿宋_GBK"/>
          <w:b w:val="0"/>
          <w:bCs/>
          <w:sz w:val="32"/>
          <w:szCs w:val="32"/>
        </w:rPr>
        <w:t>至</w:t>
      </w:r>
      <w:r>
        <w:rPr>
          <w:rFonts w:eastAsia="方正仿宋_GBK"/>
          <w:b w:val="0"/>
          <w:bCs/>
          <w:sz w:val="32"/>
          <w:szCs w:val="32"/>
        </w:rPr>
        <w:t>泸州</w:t>
      </w:r>
      <w:r>
        <w:rPr>
          <w:rFonts w:hint="eastAsia" w:eastAsia="方正仿宋_GBK"/>
          <w:b w:val="0"/>
          <w:bCs/>
          <w:sz w:val="32"/>
          <w:szCs w:val="32"/>
        </w:rPr>
        <w:t>北线高速（永川段）开工建设，</w:t>
      </w:r>
      <w:r>
        <w:rPr>
          <w:rFonts w:eastAsia="方正仿宋_GBK"/>
          <w:b w:val="0"/>
          <w:bCs/>
          <w:sz w:val="32"/>
          <w:szCs w:val="32"/>
        </w:rPr>
        <w:t>成渝高速</w:t>
      </w:r>
      <w:r>
        <w:rPr>
          <w:rFonts w:hint="eastAsia" w:eastAsia="方正仿宋_GBK"/>
          <w:b w:val="0"/>
          <w:bCs/>
          <w:sz w:val="32"/>
          <w:szCs w:val="32"/>
        </w:rPr>
        <w:t>加宽</w:t>
      </w:r>
      <w:r>
        <w:rPr>
          <w:rFonts w:eastAsia="方正仿宋_GBK"/>
          <w:b w:val="0"/>
          <w:bCs/>
          <w:sz w:val="32"/>
          <w:szCs w:val="32"/>
        </w:rPr>
        <w:t>、永川至璧山、三环高速陈食至油溪段等高速公路项目均纳入市级规划盘子，为早日开工创造了条件。</w:t>
      </w:r>
      <w:r>
        <w:rPr>
          <w:rFonts w:eastAsia="方正楷体_GBK"/>
          <w:b w:val="0"/>
          <w:bCs/>
          <w:snapToGrid w:val="0"/>
          <w:kern w:val="0"/>
          <w:sz w:val="32"/>
          <w:szCs w:val="32"/>
        </w:rPr>
        <w:t>水运，</w:t>
      </w:r>
      <w:r>
        <w:rPr>
          <w:rFonts w:eastAsia="方正仿宋_GBK"/>
          <w:b w:val="0"/>
          <w:bCs/>
          <w:sz w:val="32"/>
          <w:szCs w:val="32"/>
        </w:rPr>
        <w:t>长江</w:t>
      </w:r>
      <w:r>
        <w:rPr>
          <w:rFonts w:hint="eastAsia" w:eastAsia="方正仿宋_GBK"/>
          <w:b w:val="0"/>
          <w:bCs/>
          <w:sz w:val="32"/>
          <w:szCs w:val="32"/>
        </w:rPr>
        <w:t>干线航道</w:t>
      </w:r>
      <w:r>
        <w:rPr>
          <w:rFonts w:eastAsia="方正仿宋_GBK"/>
          <w:b w:val="0"/>
          <w:bCs/>
          <w:sz w:val="32"/>
          <w:szCs w:val="32"/>
        </w:rPr>
        <w:t>里程21.5公里</w:t>
      </w:r>
      <w:r>
        <w:rPr>
          <w:rFonts w:hint="eastAsia" w:eastAsia="方正仿宋_GBK"/>
          <w:b w:val="0"/>
          <w:bCs/>
          <w:sz w:val="32"/>
          <w:szCs w:val="32"/>
        </w:rPr>
        <w:t>达到</w:t>
      </w:r>
      <w:r>
        <w:rPr>
          <w:rFonts w:eastAsia="方正仿宋_GBK"/>
          <w:b w:val="0"/>
          <w:bCs/>
          <w:sz w:val="32"/>
          <w:szCs w:val="32"/>
        </w:rPr>
        <w:t>三级航道</w:t>
      </w:r>
      <w:r>
        <w:rPr>
          <w:rFonts w:hint="eastAsia" w:eastAsia="方正仿宋_GBK"/>
          <w:b w:val="0"/>
          <w:bCs/>
          <w:sz w:val="32"/>
          <w:szCs w:val="32"/>
        </w:rPr>
        <w:t>标准，</w:t>
      </w:r>
      <w:r>
        <w:rPr>
          <w:rFonts w:eastAsia="方正仿宋_GBK"/>
          <w:b w:val="0"/>
          <w:bCs/>
          <w:sz w:val="32"/>
          <w:szCs w:val="32"/>
        </w:rPr>
        <w:t>常年可通航6000吨级船队。积极推进朱沱作业区建设，</w:t>
      </w:r>
      <w:r>
        <w:rPr>
          <w:rFonts w:hint="eastAsia" w:eastAsia="方正仿宋_GBK"/>
          <w:b w:val="0"/>
          <w:bCs/>
          <w:sz w:val="32"/>
          <w:szCs w:val="32"/>
        </w:rPr>
        <w:t>已建成1</w:t>
      </w:r>
      <w:r>
        <w:rPr>
          <w:rFonts w:eastAsia="方正仿宋_GBK"/>
          <w:b w:val="0"/>
          <w:bCs/>
          <w:sz w:val="32"/>
          <w:szCs w:val="32"/>
        </w:rPr>
        <w:t>000吨级泊位2个，港口货物吞吐能力</w:t>
      </w:r>
      <w:r>
        <w:rPr>
          <w:rFonts w:hint="eastAsia" w:eastAsia="方正仿宋_GBK"/>
          <w:b w:val="0"/>
          <w:bCs/>
          <w:sz w:val="32"/>
          <w:szCs w:val="32"/>
        </w:rPr>
        <w:t>7</w:t>
      </w:r>
      <w:r>
        <w:rPr>
          <w:rFonts w:eastAsia="方正仿宋_GBK"/>
          <w:b w:val="0"/>
          <w:bCs/>
          <w:sz w:val="32"/>
          <w:szCs w:val="32"/>
        </w:rPr>
        <w:t>6万吨</w:t>
      </w:r>
      <w:r>
        <w:rPr>
          <w:rFonts w:hint="eastAsia" w:eastAsia="方正仿宋_GBK"/>
          <w:b w:val="0"/>
          <w:bCs/>
          <w:sz w:val="32"/>
          <w:szCs w:val="32"/>
        </w:rPr>
        <w:t>，将打造成为</w:t>
      </w:r>
      <w:r>
        <w:rPr>
          <w:rFonts w:eastAsia="方正仿宋_GBK"/>
          <w:b w:val="0"/>
          <w:bCs/>
          <w:sz w:val="32"/>
          <w:szCs w:val="32"/>
        </w:rPr>
        <w:t>长江进入重庆的第一个深水港</w:t>
      </w:r>
      <w:r>
        <w:rPr>
          <w:rFonts w:hint="eastAsia" w:eastAsia="方正仿宋_GBK"/>
          <w:b w:val="0"/>
          <w:bCs/>
          <w:sz w:val="32"/>
          <w:szCs w:val="32"/>
        </w:rPr>
        <w:t>。</w:t>
      </w:r>
      <w:r>
        <w:rPr>
          <w:rFonts w:eastAsia="方正楷体_GBK"/>
          <w:b w:val="0"/>
          <w:bCs/>
          <w:snapToGrid w:val="0"/>
          <w:kern w:val="0"/>
          <w:sz w:val="32"/>
          <w:szCs w:val="32"/>
        </w:rPr>
        <w:t>民航，</w:t>
      </w:r>
      <w:r>
        <w:rPr>
          <w:rFonts w:eastAsia="方正仿宋_GBK"/>
          <w:b w:val="0"/>
          <w:bCs/>
          <w:sz w:val="32"/>
          <w:szCs w:val="32"/>
        </w:rPr>
        <w:t>2017年永川大安通用机场开工建设，2019年11月正式建成投用并率先在全市首飞，取得国际航协（IATA）颁发的机场三字代码</w:t>
      </w:r>
      <w:r>
        <w:rPr>
          <w:rFonts w:eastAsia="方正仿宋_GBK"/>
          <w:b w:val="0"/>
          <w:bCs/>
          <w:sz w:val="32"/>
          <w:szCs w:val="32"/>
          <w:lang w:val="en"/>
        </w:rPr>
        <w:t>“</w:t>
      </w:r>
      <w:r>
        <w:rPr>
          <w:rFonts w:eastAsia="方正仿宋_GBK"/>
          <w:b w:val="0"/>
          <w:bCs/>
          <w:sz w:val="32"/>
          <w:szCs w:val="32"/>
        </w:rPr>
        <w:t>YGA</w:t>
      </w:r>
      <w:r>
        <w:rPr>
          <w:rFonts w:eastAsia="方正仿宋_GBK"/>
          <w:b w:val="0"/>
          <w:bCs/>
          <w:sz w:val="32"/>
          <w:szCs w:val="32"/>
          <w:lang w:val="en"/>
        </w:rPr>
        <w:t>”</w:t>
      </w:r>
      <w:r>
        <w:rPr>
          <w:rFonts w:eastAsia="方正仿宋_GBK"/>
          <w:b w:val="0"/>
          <w:bCs/>
          <w:sz w:val="32"/>
          <w:szCs w:val="32"/>
        </w:rPr>
        <w:t>，成为西南地区第二、重庆首座获得机场三字代码的手续完备、设施齐全的A1类通用机场。</w:t>
      </w:r>
      <w:r>
        <w:rPr>
          <w:rFonts w:eastAsia="方正楷体_GBK"/>
          <w:b w:val="0"/>
          <w:bCs/>
          <w:snapToGrid w:val="0"/>
          <w:color w:val="000000"/>
          <w:kern w:val="0"/>
          <w:sz w:val="32"/>
          <w:szCs w:val="32"/>
        </w:rPr>
        <w:t>枢纽，</w:t>
      </w:r>
      <w:r>
        <w:rPr>
          <w:rFonts w:eastAsia="方正仿宋_GBK"/>
          <w:b w:val="0"/>
          <w:bCs/>
          <w:sz w:val="32"/>
          <w:szCs w:val="32"/>
        </w:rPr>
        <w:t>渝昆高铁永川南站综合客运枢纽稳步实施。建成瓦子铺公交枢纽站、凤凰湖公交停保场、127公交首末站等公交专用站场。城区拥有一级汽车客运站2个，其中永川客运中心为</w:t>
      </w:r>
      <w:r>
        <w:rPr>
          <w:rFonts w:eastAsia="方正仿宋_GBK"/>
          <w:b w:val="0"/>
          <w:bCs/>
          <w:sz w:val="32"/>
          <w:szCs w:val="32"/>
          <w:lang w:val="en"/>
        </w:rPr>
        <w:t>“</w:t>
      </w:r>
      <w:r>
        <w:rPr>
          <w:rFonts w:eastAsia="方正仿宋_GBK"/>
          <w:b w:val="0"/>
          <w:bCs/>
          <w:sz w:val="32"/>
          <w:szCs w:val="32"/>
        </w:rPr>
        <w:t>重庆市十佳客运站</w:t>
      </w:r>
      <w:r>
        <w:rPr>
          <w:rFonts w:eastAsia="方正仿宋_GBK"/>
          <w:b w:val="0"/>
          <w:bCs/>
          <w:sz w:val="32"/>
          <w:szCs w:val="32"/>
          <w:lang w:val="en"/>
        </w:rPr>
        <w:t>”</w:t>
      </w:r>
      <w:r>
        <w:rPr>
          <w:rFonts w:eastAsia="方正仿宋_GBK"/>
          <w:b w:val="0"/>
          <w:bCs/>
          <w:sz w:val="32"/>
          <w:szCs w:val="32"/>
        </w:rPr>
        <w:t>；乡镇客运站覆盖率达到100%。铁公水多式联运、现代智慧物流园区—港桥物流园区加快建设，</w:t>
      </w:r>
      <w:r>
        <w:rPr>
          <w:rFonts w:eastAsia="方正仿宋_GBK"/>
          <w:b w:val="0"/>
          <w:bCs/>
          <w:color w:val="000000"/>
          <w:sz w:val="32"/>
          <w:szCs w:val="32"/>
        </w:rPr>
        <w:t>物流园区</w:t>
      </w:r>
      <w:r>
        <w:rPr>
          <w:rFonts w:eastAsia="方正仿宋_GBK"/>
          <w:b w:val="0"/>
          <w:bCs/>
          <w:sz w:val="32"/>
          <w:szCs w:val="32"/>
        </w:rPr>
        <w:t>与朱沱作业区进港铁路、物流大道等集疏运道路同步跟进。</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仿宋_GBK"/>
          <w:b w:val="0"/>
          <w:bCs/>
          <w:sz w:val="32"/>
          <w:szCs w:val="32"/>
        </w:rPr>
      </w:pPr>
      <w:r>
        <w:rPr>
          <w:rFonts w:eastAsia="方正楷体_GBK"/>
          <w:b w:val="0"/>
          <w:bCs/>
          <w:color w:val="000000"/>
          <w:sz w:val="32"/>
          <w:szCs w:val="32"/>
        </w:rPr>
        <w:t>（三）</w:t>
      </w:r>
      <w:r>
        <w:rPr>
          <w:rFonts w:hint="eastAsia" w:eastAsia="方正楷体_GBK"/>
          <w:b w:val="0"/>
          <w:bCs/>
          <w:color w:val="000000"/>
          <w:sz w:val="32"/>
          <w:szCs w:val="32"/>
        </w:rPr>
        <w:t>打赢</w:t>
      </w:r>
      <w:r>
        <w:rPr>
          <w:rFonts w:eastAsia="方正楷体_GBK"/>
          <w:b w:val="0"/>
          <w:bCs/>
          <w:color w:val="000000"/>
          <w:sz w:val="32"/>
          <w:szCs w:val="32"/>
        </w:rPr>
        <w:t>交通脱贫攻坚</w:t>
      </w:r>
      <w:r>
        <w:rPr>
          <w:rFonts w:hint="eastAsia" w:eastAsia="方正楷体_GBK"/>
          <w:b w:val="0"/>
          <w:bCs/>
          <w:color w:val="000000"/>
          <w:sz w:val="32"/>
          <w:szCs w:val="32"/>
        </w:rPr>
        <w:t>战</w:t>
      </w:r>
      <w:r>
        <w:rPr>
          <w:rFonts w:eastAsia="方正楷体_GBK"/>
          <w:b w:val="0"/>
          <w:bCs/>
          <w:color w:val="000000"/>
          <w:sz w:val="32"/>
          <w:szCs w:val="32"/>
        </w:rPr>
        <w:t>，</w:t>
      </w:r>
      <w:r>
        <w:rPr>
          <w:rFonts w:hint="eastAsia" w:eastAsia="方正楷体_GBK"/>
          <w:b w:val="0"/>
          <w:bCs/>
          <w:color w:val="000000"/>
          <w:sz w:val="32"/>
          <w:szCs w:val="32"/>
        </w:rPr>
        <w:t>助推全面建成小康社会</w:t>
      </w:r>
      <w:r>
        <w:rPr>
          <w:rFonts w:eastAsia="方正楷体_GBK"/>
          <w:b w:val="0"/>
          <w:bCs/>
          <w:color w:val="000000"/>
          <w:sz w:val="32"/>
          <w:szCs w:val="32"/>
        </w:rPr>
        <w:t>。</w:t>
      </w:r>
      <w:r>
        <w:rPr>
          <w:rFonts w:eastAsia="方正仿宋_GBK"/>
          <w:b w:val="0"/>
          <w:bCs/>
          <w:color w:val="000000"/>
          <w:sz w:val="32"/>
          <w:szCs w:val="32"/>
        </w:rPr>
        <w:t>认真落实习近平总书记关于</w:t>
      </w:r>
      <w:r>
        <w:rPr>
          <w:rFonts w:eastAsia="方正仿宋_GBK"/>
          <w:b w:val="0"/>
          <w:bCs/>
          <w:color w:val="000000"/>
          <w:sz w:val="32"/>
          <w:szCs w:val="32"/>
          <w:lang w:val="en"/>
        </w:rPr>
        <w:t>“</w:t>
      </w:r>
      <w:r>
        <w:rPr>
          <w:rFonts w:eastAsia="方正仿宋_GBK"/>
          <w:b w:val="0"/>
          <w:bCs/>
          <w:color w:val="000000"/>
          <w:sz w:val="32"/>
          <w:szCs w:val="32"/>
        </w:rPr>
        <w:t>四好农村路</w:t>
      </w:r>
      <w:r>
        <w:rPr>
          <w:rFonts w:eastAsia="方正仿宋_GBK"/>
          <w:b w:val="0"/>
          <w:bCs/>
          <w:color w:val="000000"/>
          <w:sz w:val="32"/>
          <w:szCs w:val="32"/>
          <w:lang w:val="en"/>
        </w:rPr>
        <w:t>”</w:t>
      </w:r>
      <w:r>
        <w:rPr>
          <w:rFonts w:eastAsia="方正仿宋_GBK"/>
          <w:b w:val="0"/>
          <w:bCs/>
          <w:color w:val="000000"/>
          <w:sz w:val="32"/>
          <w:szCs w:val="32"/>
        </w:rPr>
        <w:t>、精准脱贫等系列重要指示精神，按照交通运输部《关于推进</w:t>
      </w:r>
      <w:r>
        <w:rPr>
          <w:rFonts w:eastAsia="方正仿宋_GBK"/>
          <w:b w:val="0"/>
          <w:bCs/>
          <w:color w:val="000000"/>
          <w:sz w:val="32"/>
          <w:szCs w:val="32"/>
          <w:lang w:val="en"/>
        </w:rPr>
        <w:t>“</w:t>
      </w:r>
      <w:r>
        <w:rPr>
          <w:rFonts w:eastAsia="方正仿宋_GBK"/>
          <w:b w:val="0"/>
          <w:bCs/>
          <w:color w:val="000000"/>
          <w:sz w:val="32"/>
          <w:szCs w:val="32"/>
        </w:rPr>
        <w:t>四好农村路</w:t>
      </w:r>
      <w:r>
        <w:rPr>
          <w:rFonts w:eastAsia="方正仿宋_GBK"/>
          <w:b w:val="0"/>
          <w:bCs/>
          <w:color w:val="000000"/>
          <w:sz w:val="32"/>
          <w:szCs w:val="32"/>
          <w:lang w:val="en"/>
        </w:rPr>
        <w:t>”</w:t>
      </w:r>
      <w:r>
        <w:rPr>
          <w:rFonts w:eastAsia="方正仿宋_GBK"/>
          <w:b w:val="0"/>
          <w:bCs/>
          <w:color w:val="000000"/>
          <w:sz w:val="32"/>
          <w:szCs w:val="32"/>
        </w:rPr>
        <w:t>高质量发展的指导意见》（交公便字〔2018〕315号）要求，紧紧围绕服务脱贫攻坚、全面小康和乡村</w:t>
      </w:r>
      <w:r>
        <w:rPr>
          <w:rFonts w:eastAsia="方正仿宋_GBK"/>
          <w:b w:val="0"/>
          <w:bCs/>
          <w:sz w:val="32"/>
          <w:szCs w:val="32"/>
        </w:rPr>
        <w:t>振兴战略，加快推动干线</w:t>
      </w:r>
      <w:r>
        <w:rPr>
          <w:rFonts w:hint="eastAsia" w:eastAsia="方正仿宋_GBK"/>
          <w:b w:val="0"/>
          <w:bCs/>
          <w:sz w:val="32"/>
          <w:szCs w:val="32"/>
        </w:rPr>
        <w:t>公路</w:t>
      </w:r>
      <w:r>
        <w:rPr>
          <w:rFonts w:eastAsia="方正仿宋_GBK"/>
          <w:b w:val="0"/>
          <w:bCs/>
          <w:sz w:val="32"/>
          <w:szCs w:val="32"/>
        </w:rPr>
        <w:t>升级改造，努力建设</w:t>
      </w:r>
      <w:r>
        <w:rPr>
          <w:rFonts w:eastAsia="方正仿宋_GBK"/>
          <w:b w:val="0"/>
          <w:bCs/>
          <w:sz w:val="32"/>
          <w:szCs w:val="32"/>
          <w:lang w:val="en"/>
        </w:rPr>
        <w:t>“</w:t>
      </w:r>
      <w:r>
        <w:rPr>
          <w:rFonts w:eastAsia="方正仿宋_GBK"/>
          <w:b w:val="0"/>
          <w:bCs/>
          <w:sz w:val="32"/>
          <w:szCs w:val="32"/>
        </w:rPr>
        <w:t>四好农村路</w:t>
      </w:r>
      <w:r>
        <w:rPr>
          <w:rFonts w:eastAsia="方正仿宋_GBK"/>
          <w:b w:val="0"/>
          <w:bCs/>
          <w:sz w:val="32"/>
          <w:szCs w:val="32"/>
          <w:lang w:val="en"/>
        </w:rPr>
        <w:t>”</w:t>
      </w:r>
      <w:r>
        <w:rPr>
          <w:rFonts w:eastAsia="方正仿宋_GBK"/>
          <w:b w:val="0"/>
          <w:bCs/>
          <w:sz w:val="32"/>
          <w:szCs w:val="32"/>
        </w:rPr>
        <w:t>，加快完善贫困地区交通网络。2018年永川区被交通运输部、农业农村部、国家扶贫办授予</w:t>
      </w:r>
      <w:r>
        <w:rPr>
          <w:rFonts w:eastAsia="方正仿宋_GBK"/>
          <w:b w:val="0"/>
          <w:bCs/>
          <w:sz w:val="32"/>
          <w:szCs w:val="32"/>
          <w:lang w:val="en"/>
        </w:rPr>
        <w:t>“</w:t>
      </w:r>
      <w:r>
        <w:rPr>
          <w:rFonts w:eastAsia="方正仿宋_GBK"/>
          <w:b w:val="0"/>
          <w:bCs/>
          <w:sz w:val="32"/>
          <w:szCs w:val="32"/>
        </w:rPr>
        <w:t>四好农村路</w:t>
      </w:r>
      <w:r>
        <w:rPr>
          <w:rFonts w:eastAsia="方正仿宋_GBK"/>
          <w:b w:val="0"/>
          <w:bCs/>
          <w:sz w:val="32"/>
          <w:szCs w:val="32"/>
          <w:lang w:val="en"/>
        </w:rPr>
        <w:t>”</w:t>
      </w:r>
      <w:r>
        <w:rPr>
          <w:rFonts w:eastAsia="方正仿宋_GBK"/>
          <w:b w:val="0"/>
          <w:bCs/>
          <w:sz w:val="32"/>
          <w:szCs w:val="32"/>
        </w:rPr>
        <w:t>全国示范区。</w:t>
      </w:r>
      <w:r>
        <w:rPr>
          <w:rFonts w:hint="eastAsia" w:eastAsia="方正仿宋_GBK"/>
          <w:b w:val="0"/>
          <w:bCs/>
          <w:sz w:val="32"/>
          <w:szCs w:val="32"/>
        </w:rPr>
        <w:t>2</w:t>
      </w:r>
      <w:r>
        <w:rPr>
          <w:rFonts w:eastAsia="方正仿宋_GBK"/>
          <w:b w:val="0"/>
          <w:bCs/>
          <w:sz w:val="32"/>
          <w:szCs w:val="32"/>
        </w:rPr>
        <w:t>020</w:t>
      </w:r>
      <w:r>
        <w:rPr>
          <w:rFonts w:hint="eastAsia" w:eastAsia="方正仿宋_GBK"/>
          <w:b w:val="0"/>
          <w:bCs/>
          <w:sz w:val="32"/>
          <w:szCs w:val="32"/>
        </w:rPr>
        <w:t>年永川区由交通运输部、财政部遴选为农村公路管理养护体制改革试点地区。</w:t>
      </w:r>
      <w:r>
        <w:rPr>
          <w:rFonts w:eastAsia="方正楷体_GBK"/>
          <w:b w:val="0"/>
          <w:bCs/>
          <w:snapToGrid w:val="0"/>
          <w:kern w:val="0"/>
          <w:sz w:val="32"/>
          <w:szCs w:val="32"/>
        </w:rPr>
        <w:t>提质升级国省干线路网，</w:t>
      </w:r>
      <w:r>
        <w:rPr>
          <w:rFonts w:eastAsia="方正仿宋_GBK"/>
          <w:b w:val="0"/>
          <w:bCs/>
          <w:sz w:val="32"/>
          <w:szCs w:val="32"/>
        </w:rPr>
        <w:t>改造普通国省道378.8公里，国道二级及以上</w:t>
      </w:r>
      <w:r>
        <w:rPr>
          <w:rFonts w:hint="eastAsia" w:eastAsia="方正仿宋_GBK"/>
          <w:b w:val="0"/>
          <w:bCs/>
          <w:sz w:val="32"/>
          <w:szCs w:val="32"/>
        </w:rPr>
        <w:t>比例达到1</w:t>
      </w:r>
      <w:r>
        <w:rPr>
          <w:rFonts w:eastAsia="方正仿宋_GBK"/>
          <w:b w:val="0"/>
          <w:bCs/>
          <w:sz w:val="32"/>
          <w:szCs w:val="32"/>
        </w:rPr>
        <w:t>00%</w:t>
      </w:r>
      <w:r>
        <w:rPr>
          <w:rFonts w:hint="eastAsia" w:eastAsia="方正仿宋_GBK"/>
          <w:b w:val="0"/>
          <w:bCs/>
          <w:sz w:val="32"/>
          <w:szCs w:val="32"/>
        </w:rPr>
        <w:t>、</w:t>
      </w:r>
      <w:r>
        <w:rPr>
          <w:rFonts w:eastAsia="方正仿宋_GBK"/>
          <w:b w:val="0"/>
          <w:bCs/>
          <w:sz w:val="32"/>
          <w:szCs w:val="32"/>
        </w:rPr>
        <w:t>省道三级及以上比例</w:t>
      </w:r>
      <w:r>
        <w:rPr>
          <w:rFonts w:hint="eastAsia" w:eastAsia="方正仿宋_GBK"/>
          <w:b w:val="0"/>
          <w:bCs/>
          <w:sz w:val="32"/>
          <w:szCs w:val="32"/>
        </w:rPr>
        <w:t>为</w:t>
      </w:r>
      <w:r>
        <w:rPr>
          <w:rFonts w:eastAsia="方正仿宋_GBK"/>
          <w:b w:val="0"/>
          <w:bCs/>
          <w:sz w:val="32"/>
          <w:szCs w:val="32"/>
        </w:rPr>
        <w:t>90.2%，比2015年分别提高21.4和</w:t>
      </w:r>
      <w:r>
        <w:rPr>
          <w:rFonts w:hint="eastAsia" w:eastAsia="方正仿宋_GBK"/>
          <w:b w:val="0"/>
          <w:bCs/>
          <w:sz w:val="32"/>
          <w:szCs w:val="32"/>
        </w:rPr>
        <w:t>27</w:t>
      </w:r>
      <w:r>
        <w:rPr>
          <w:rFonts w:eastAsia="方正仿宋_GBK"/>
          <w:b w:val="0"/>
          <w:bCs/>
          <w:sz w:val="32"/>
          <w:szCs w:val="32"/>
        </w:rPr>
        <w:t>个百分点。全区公路里程4958.9公里，公路密度</w:t>
      </w:r>
      <w:r>
        <w:rPr>
          <w:rFonts w:hint="eastAsia" w:eastAsia="方正仿宋_GBK"/>
          <w:b w:val="0"/>
          <w:bCs/>
          <w:sz w:val="32"/>
          <w:szCs w:val="32"/>
        </w:rPr>
        <w:t>3</w:t>
      </w:r>
      <w:r>
        <w:rPr>
          <w:rFonts w:eastAsia="方正仿宋_GBK"/>
          <w:b w:val="0"/>
          <w:bCs/>
          <w:sz w:val="32"/>
          <w:szCs w:val="32"/>
        </w:rPr>
        <w:t>14.7公里/百平方公里，居渝西第一位，比2015年增长了34.3%。</w:t>
      </w:r>
      <w:r>
        <w:rPr>
          <w:rFonts w:hint="eastAsia" w:eastAsia="方正仿宋_GBK"/>
          <w:b w:val="0"/>
          <w:bCs/>
          <w:sz w:val="32"/>
          <w:szCs w:val="32"/>
        </w:rPr>
        <w:t>依托国省干线连接，</w:t>
      </w:r>
      <w:r>
        <w:rPr>
          <w:rFonts w:eastAsia="方正仿宋_GBK"/>
          <w:b w:val="0"/>
          <w:bCs/>
          <w:sz w:val="32"/>
          <w:szCs w:val="32"/>
        </w:rPr>
        <w:t>区内港桥、凤凰湖、三教三大产业园和所有4A级景区实现15分钟</w:t>
      </w:r>
      <w:r>
        <w:rPr>
          <w:rFonts w:hint="eastAsia" w:eastAsia="方正仿宋_GBK"/>
          <w:b w:val="0"/>
          <w:bCs/>
          <w:sz w:val="32"/>
          <w:szCs w:val="32"/>
        </w:rPr>
        <w:t>上</w:t>
      </w:r>
      <w:r>
        <w:rPr>
          <w:rFonts w:eastAsia="方正仿宋_GBK"/>
          <w:b w:val="0"/>
          <w:bCs/>
          <w:sz w:val="32"/>
          <w:szCs w:val="32"/>
        </w:rPr>
        <w:t>高速公路，服务区域经济发展能力不断增强。</w:t>
      </w:r>
      <w:r>
        <w:rPr>
          <w:rFonts w:eastAsia="方正楷体_GBK"/>
          <w:b w:val="0"/>
          <w:bCs/>
          <w:snapToGrid w:val="0"/>
          <w:kern w:val="0"/>
          <w:sz w:val="32"/>
          <w:szCs w:val="32"/>
          <w:lang w:val="en"/>
        </w:rPr>
        <w:t>“</w:t>
      </w:r>
      <w:r>
        <w:rPr>
          <w:rFonts w:eastAsia="方正楷体_GBK"/>
          <w:b w:val="0"/>
          <w:bCs/>
          <w:snapToGrid w:val="0"/>
          <w:kern w:val="0"/>
          <w:sz w:val="32"/>
          <w:szCs w:val="32"/>
        </w:rPr>
        <w:t>建好</w:t>
      </w:r>
      <w:r>
        <w:rPr>
          <w:rFonts w:eastAsia="方正楷体_GBK"/>
          <w:b w:val="0"/>
          <w:bCs/>
          <w:snapToGrid w:val="0"/>
          <w:kern w:val="0"/>
          <w:sz w:val="32"/>
          <w:szCs w:val="32"/>
          <w:lang w:val="en"/>
        </w:rPr>
        <w:t>”</w:t>
      </w:r>
      <w:r>
        <w:rPr>
          <w:rFonts w:eastAsia="方正楷体_GBK"/>
          <w:b w:val="0"/>
          <w:bCs/>
          <w:snapToGrid w:val="0"/>
          <w:kern w:val="0"/>
          <w:sz w:val="32"/>
          <w:szCs w:val="32"/>
        </w:rPr>
        <w:t>农村公路，</w:t>
      </w:r>
      <w:r>
        <w:rPr>
          <w:rFonts w:eastAsia="方正仿宋_GBK"/>
          <w:b w:val="0"/>
          <w:bCs/>
          <w:sz w:val="32"/>
          <w:szCs w:val="32"/>
        </w:rPr>
        <w:t>以</w:t>
      </w:r>
      <w:r>
        <w:rPr>
          <w:rFonts w:eastAsia="方正仿宋_GBK"/>
          <w:b w:val="0"/>
          <w:bCs/>
          <w:sz w:val="32"/>
          <w:szCs w:val="32"/>
          <w:lang w:val="en"/>
        </w:rPr>
        <w:t>“</w:t>
      </w:r>
      <w:r>
        <w:rPr>
          <w:rFonts w:eastAsia="方正仿宋_GBK"/>
          <w:b w:val="0"/>
          <w:bCs/>
          <w:sz w:val="32"/>
          <w:szCs w:val="32"/>
        </w:rPr>
        <w:t>交通进村入户、助推精准脱贫</w:t>
      </w:r>
      <w:r>
        <w:rPr>
          <w:rFonts w:eastAsia="方正仿宋_GBK"/>
          <w:b w:val="0"/>
          <w:bCs/>
          <w:sz w:val="32"/>
          <w:szCs w:val="32"/>
          <w:lang w:val="en"/>
        </w:rPr>
        <w:t>”</w:t>
      </w:r>
      <w:r>
        <w:rPr>
          <w:rFonts w:eastAsia="方正仿宋_GBK"/>
          <w:b w:val="0"/>
          <w:bCs/>
          <w:sz w:val="32"/>
          <w:szCs w:val="32"/>
        </w:rPr>
        <w:t>为统揽，突出</w:t>
      </w:r>
      <w:r>
        <w:rPr>
          <w:rFonts w:eastAsia="方正仿宋_GBK"/>
          <w:b w:val="0"/>
          <w:bCs/>
          <w:sz w:val="32"/>
          <w:szCs w:val="32"/>
          <w:lang w:val="en"/>
        </w:rPr>
        <w:t>“</w:t>
      </w:r>
      <w:r>
        <w:rPr>
          <w:rFonts w:eastAsia="方正仿宋_GBK"/>
          <w:b w:val="0"/>
          <w:bCs/>
          <w:sz w:val="32"/>
          <w:szCs w:val="32"/>
        </w:rPr>
        <w:t>加硬度</w:t>
      </w:r>
      <w:r>
        <w:rPr>
          <w:rFonts w:eastAsia="方正仿宋_GBK"/>
          <w:b w:val="0"/>
          <w:bCs/>
          <w:sz w:val="32"/>
          <w:szCs w:val="32"/>
          <w:lang w:val="en"/>
        </w:rPr>
        <w:t>”</w:t>
      </w:r>
      <w:r>
        <w:rPr>
          <w:rFonts w:eastAsia="方正仿宋_GBK"/>
          <w:b w:val="0"/>
          <w:bCs/>
          <w:sz w:val="32"/>
          <w:szCs w:val="32"/>
        </w:rPr>
        <w:t>，5年完成</w:t>
      </w:r>
      <w:r>
        <w:rPr>
          <w:rFonts w:eastAsia="方正仿宋_GBK"/>
          <w:b w:val="0"/>
          <w:bCs/>
          <w:sz w:val="32"/>
          <w:szCs w:val="32"/>
          <w:lang w:val="en"/>
        </w:rPr>
        <w:t>“</w:t>
      </w:r>
      <w:r>
        <w:rPr>
          <w:rFonts w:eastAsia="方正仿宋_GBK"/>
          <w:b w:val="0"/>
          <w:bCs/>
          <w:sz w:val="32"/>
          <w:szCs w:val="32"/>
        </w:rPr>
        <w:t>四好农村路</w:t>
      </w:r>
      <w:r>
        <w:rPr>
          <w:rFonts w:eastAsia="方正仿宋_GBK"/>
          <w:b w:val="0"/>
          <w:bCs/>
          <w:sz w:val="32"/>
          <w:szCs w:val="32"/>
          <w:lang w:val="en"/>
        </w:rPr>
        <w:t>”</w:t>
      </w:r>
      <w:r>
        <w:rPr>
          <w:rFonts w:eastAsia="方正仿宋_GBK"/>
          <w:b w:val="0"/>
          <w:bCs/>
          <w:sz w:val="32"/>
          <w:szCs w:val="32"/>
        </w:rPr>
        <w:t>建设3394公里，其中5个市级贫困村、5个区级相对滞后村完成通组公路253公里，实现村民小组通畅率100%，比2015年提高了60个百分点。</w:t>
      </w:r>
      <w:r>
        <w:rPr>
          <w:rFonts w:eastAsia="方正楷体_GBK"/>
          <w:b w:val="0"/>
          <w:bCs/>
          <w:snapToGrid w:val="0"/>
          <w:kern w:val="0"/>
          <w:sz w:val="32"/>
          <w:szCs w:val="32"/>
          <w:lang w:val="en"/>
        </w:rPr>
        <w:t>“</w:t>
      </w:r>
      <w:r>
        <w:rPr>
          <w:rFonts w:eastAsia="方正楷体_GBK"/>
          <w:b w:val="0"/>
          <w:bCs/>
          <w:snapToGrid w:val="0"/>
          <w:kern w:val="0"/>
          <w:sz w:val="32"/>
          <w:szCs w:val="32"/>
        </w:rPr>
        <w:t>管好</w:t>
      </w:r>
      <w:r>
        <w:rPr>
          <w:rFonts w:eastAsia="方正楷体_GBK"/>
          <w:b w:val="0"/>
          <w:bCs/>
          <w:snapToGrid w:val="0"/>
          <w:kern w:val="0"/>
          <w:sz w:val="32"/>
          <w:szCs w:val="32"/>
          <w:lang w:val="en"/>
        </w:rPr>
        <w:t>”</w:t>
      </w:r>
      <w:r>
        <w:rPr>
          <w:rFonts w:eastAsia="方正楷体_GBK"/>
          <w:b w:val="0"/>
          <w:bCs/>
          <w:snapToGrid w:val="0"/>
          <w:kern w:val="0"/>
          <w:sz w:val="32"/>
          <w:szCs w:val="32"/>
        </w:rPr>
        <w:t>农村公路，</w:t>
      </w:r>
      <w:r>
        <w:rPr>
          <w:rFonts w:eastAsia="方正仿宋_GBK"/>
          <w:b w:val="0"/>
          <w:bCs/>
          <w:sz w:val="32"/>
          <w:szCs w:val="32"/>
        </w:rPr>
        <w:t>完善管理制度体系，规范农村公路建设管理程序。每年开展农村公路路况综合检测评定工作，县乡道及通客车村道安防设施覆盖率达100%。爱路护路乡规民约、村规民约制定率达100%。建立部门联动执法监管体系，常态</w:t>
      </w:r>
      <w:r>
        <w:rPr>
          <w:rFonts w:hint="eastAsia" w:eastAsia="方正仿宋_GBK"/>
          <w:b w:val="0"/>
          <w:bCs/>
          <w:sz w:val="32"/>
          <w:szCs w:val="32"/>
        </w:rPr>
        <w:t>化</w:t>
      </w:r>
      <w:r>
        <w:rPr>
          <w:rFonts w:eastAsia="方正仿宋_GBK"/>
          <w:b w:val="0"/>
          <w:bCs/>
          <w:sz w:val="32"/>
          <w:szCs w:val="32"/>
        </w:rPr>
        <w:t>开展道路交通综合执法和安全监管，巩固建设成果。</w:t>
      </w:r>
      <w:r>
        <w:rPr>
          <w:rFonts w:eastAsia="方正楷体_GBK"/>
          <w:b w:val="0"/>
          <w:bCs/>
          <w:snapToGrid w:val="0"/>
          <w:kern w:val="0"/>
          <w:sz w:val="32"/>
          <w:szCs w:val="32"/>
          <w:lang w:val="en"/>
        </w:rPr>
        <w:t>“</w:t>
      </w:r>
      <w:r>
        <w:rPr>
          <w:rFonts w:eastAsia="方正楷体_GBK"/>
          <w:b w:val="0"/>
          <w:bCs/>
          <w:snapToGrid w:val="0"/>
          <w:kern w:val="0"/>
          <w:sz w:val="32"/>
          <w:szCs w:val="32"/>
        </w:rPr>
        <w:t>护好</w:t>
      </w:r>
      <w:r>
        <w:rPr>
          <w:rFonts w:eastAsia="方正楷体_GBK"/>
          <w:b w:val="0"/>
          <w:bCs/>
          <w:snapToGrid w:val="0"/>
          <w:kern w:val="0"/>
          <w:sz w:val="32"/>
          <w:szCs w:val="32"/>
          <w:lang w:val="en"/>
        </w:rPr>
        <w:t>”</w:t>
      </w:r>
      <w:r>
        <w:rPr>
          <w:rFonts w:eastAsia="方正楷体_GBK"/>
          <w:b w:val="0"/>
          <w:bCs/>
          <w:snapToGrid w:val="0"/>
          <w:kern w:val="0"/>
          <w:sz w:val="32"/>
          <w:szCs w:val="32"/>
        </w:rPr>
        <w:t>农村公路，</w:t>
      </w:r>
      <w:r>
        <w:rPr>
          <w:rFonts w:eastAsia="方正仿宋_GBK"/>
          <w:b w:val="0"/>
          <w:bCs/>
          <w:sz w:val="32"/>
          <w:szCs w:val="32"/>
        </w:rPr>
        <w:t>全部镇（街）建立农村公路养护管理站，专门负责制定养护规划，督查养护工作，基本做到机构、人员和资金</w:t>
      </w:r>
      <w:r>
        <w:rPr>
          <w:rFonts w:eastAsia="方正仿宋_GBK"/>
          <w:b w:val="0"/>
          <w:bCs/>
          <w:sz w:val="32"/>
          <w:szCs w:val="32"/>
          <w:lang w:val="en"/>
        </w:rPr>
        <w:t>“</w:t>
      </w:r>
      <w:r>
        <w:rPr>
          <w:rFonts w:eastAsia="方正仿宋_GBK"/>
          <w:b w:val="0"/>
          <w:bCs/>
          <w:sz w:val="32"/>
          <w:szCs w:val="32"/>
        </w:rPr>
        <w:t>三落实</w:t>
      </w:r>
      <w:r>
        <w:rPr>
          <w:rFonts w:eastAsia="方正仿宋_GBK"/>
          <w:b w:val="0"/>
          <w:bCs/>
          <w:sz w:val="32"/>
          <w:szCs w:val="32"/>
          <w:lang w:val="en"/>
        </w:rPr>
        <w:t>”</w:t>
      </w:r>
      <w:r>
        <w:rPr>
          <w:rFonts w:eastAsia="方正仿宋_GBK"/>
          <w:b w:val="0"/>
          <w:bCs/>
          <w:sz w:val="32"/>
          <w:szCs w:val="32"/>
        </w:rPr>
        <w:t>，基本实现了</w:t>
      </w:r>
      <w:r>
        <w:rPr>
          <w:rFonts w:eastAsia="方正仿宋_GBK"/>
          <w:b w:val="0"/>
          <w:bCs/>
          <w:sz w:val="32"/>
          <w:szCs w:val="32"/>
          <w:lang w:val="en"/>
        </w:rPr>
        <w:t>“</w:t>
      </w:r>
      <w:r>
        <w:rPr>
          <w:rFonts w:eastAsia="方正仿宋_GBK"/>
          <w:b w:val="0"/>
          <w:bCs/>
          <w:sz w:val="32"/>
          <w:szCs w:val="32"/>
        </w:rPr>
        <w:t>有路必养、养必到位</w:t>
      </w:r>
      <w:r>
        <w:rPr>
          <w:rFonts w:eastAsia="方正仿宋_GBK"/>
          <w:b w:val="0"/>
          <w:bCs/>
          <w:sz w:val="32"/>
          <w:szCs w:val="32"/>
          <w:lang w:val="en"/>
        </w:rPr>
        <w:t>”</w:t>
      </w:r>
      <w:r>
        <w:rPr>
          <w:rFonts w:eastAsia="方正仿宋_GBK"/>
          <w:b w:val="0"/>
          <w:bCs/>
          <w:sz w:val="32"/>
          <w:szCs w:val="32"/>
        </w:rPr>
        <w:t>。</w:t>
      </w:r>
      <w:r>
        <w:rPr>
          <w:rFonts w:eastAsia="方正楷体_GBK"/>
          <w:b w:val="0"/>
          <w:bCs/>
          <w:snapToGrid w:val="0"/>
          <w:kern w:val="0"/>
          <w:sz w:val="32"/>
          <w:szCs w:val="32"/>
          <w:lang w:val="en"/>
        </w:rPr>
        <w:t>“</w:t>
      </w:r>
      <w:r>
        <w:rPr>
          <w:rFonts w:eastAsia="方正楷体_GBK"/>
          <w:b w:val="0"/>
          <w:bCs/>
          <w:snapToGrid w:val="0"/>
          <w:kern w:val="0"/>
          <w:sz w:val="32"/>
          <w:szCs w:val="32"/>
        </w:rPr>
        <w:t>运营好</w:t>
      </w:r>
      <w:r>
        <w:rPr>
          <w:rFonts w:eastAsia="方正楷体_GBK"/>
          <w:b w:val="0"/>
          <w:bCs/>
          <w:snapToGrid w:val="0"/>
          <w:kern w:val="0"/>
          <w:sz w:val="32"/>
          <w:szCs w:val="32"/>
          <w:lang w:val="en"/>
        </w:rPr>
        <w:t>”</w:t>
      </w:r>
      <w:r>
        <w:rPr>
          <w:rFonts w:eastAsia="方正楷体_GBK"/>
          <w:b w:val="0"/>
          <w:bCs/>
          <w:snapToGrid w:val="0"/>
          <w:kern w:val="0"/>
          <w:sz w:val="32"/>
          <w:szCs w:val="32"/>
        </w:rPr>
        <w:t>农村公路，</w:t>
      </w:r>
      <w:r>
        <w:rPr>
          <w:rFonts w:eastAsia="方正仿宋_GBK"/>
          <w:b w:val="0"/>
          <w:bCs/>
          <w:sz w:val="32"/>
          <w:szCs w:val="32"/>
        </w:rPr>
        <w:t>统筹推进城乡客运一体化发展，加快推进</w:t>
      </w:r>
      <w:r>
        <w:rPr>
          <w:rFonts w:eastAsia="方正仿宋_GBK"/>
          <w:b w:val="0"/>
          <w:bCs/>
          <w:sz w:val="32"/>
          <w:szCs w:val="32"/>
          <w:lang w:val="en"/>
        </w:rPr>
        <w:t>“</w:t>
      </w:r>
      <w:r>
        <w:rPr>
          <w:rFonts w:eastAsia="方正仿宋_GBK"/>
          <w:b w:val="0"/>
          <w:bCs/>
          <w:sz w:val="32"/>
          <w:szCs w:val="32"/>
        </w:rPr>
        <w:t>快递下乡</w:t>
      </w:r>
      <w:r>
        <w:rPr>
          <w:rFonts w:eastAsia="方正仿宋_GBK"/>
          <w:b w:val="0"/>
          <w:bCs/>
          <w:sz w:val="32"/>
          <w:szCs w:val="32"/>
          <w:lang w:val="en"/>
        </w:rPr>
        <w:t>”“</w:t>
      </w:r>
      <w:r>
        <w:rPr>
          <w:rFonts w:eastAsia="方正仿宋_GBK"/>
          <w:b w:val="0"/>
          <w:bCs/>
          <w:sz w:val="32"/>
          <w:szCs w:val="32"/>
        </w:rPr>
        <w:t>邮政在乡</w:t>
      </w:r>
      <w:r>
        <w:rPr>
          <w:rFonts w:eastAsia="方正仿宋_GBK"/>
          <w:b w:val="0"/>
          <w:bCs/>
          <w:sz w:val="32"/>
          <w:szCs w:val="32"/>
          <w:lang w:val="en"/>
        </w:rPr>
        <w:t>”</w:t>
      </w:r>
      <w:r>
        <w:rPr>
          <w:rFonts w:eastAsia="方正仿宋_GBK"/>
          <w:b w:val="0"/>
          <w:bCs/>
          <w:sz w:val="32"/>
          <w:szCs w:val="32"/>
        </w:rPr>
        <w:t>，全区镇（街）及行政村通客车率达到100%。</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textAlignment w:val="auto"/>
        <w:rPr>
          <w:rFonts w:eastAsia="方正仿宋_GBK"/>
          <w:b w:val="0"/>
          <w:bCs/>
          <w:sz w:val="32"/>
          <w:szCs w:val="32"/>
        </w:rPr>
      </w:pPr>
      <w:r>
        <w:rPr>
          <w:rFonts w:eastAsia="方正楷体_GBK"/>
          <w:b w:val="0"/>
          <w:bCs/>
          <w:color w:val="000000"/>
          <w:sz w:val="32"/>
          <w:szCs w:val="32"/>
        </w:rPr>
        <w:t>（四）</w:t>
      </w:r>
      <w:r>
        <w:rPr>
          <w:rFonts w:hint="eastAsia" w:eastAsia="方正楷体_GBK"/>
          <w:b w:val="0"/>
          <w:bCs/>
          <w:color w:val="000000"/>
          <w:sz w:val="32"/>
          <w:szCs w:val="32"/>
        </w:rPr>
        <w:t>推动</w:t>
      </w:r>
      <w:r>
        <w:rPr>
          <w:rFonts w:eastAsia="方正楷体_GBK"/>
          <w:b w:val="0"/>
          <w:bCs/>
          <w:color w:val="000000"/>
          <w:sz w:val="32"/>
          <w:szCs w:val="32"/>
        </w:rPr>
        <w:t>客货运输服务提质，人民满意度稳步攀升。</w:t>
      </w:r>
      <w:r>
        <w:rPr>
          <w:rFonts w:eastAsia="方正仿宋_GBK"/>
          <w:b w:val="0"/>
          <w:bCs/>
          <w:sz w:val="32"/>
          <w:szCs w:val="32"/>
        </w:rPr>
        <w:t>坚持以人民为中心的发展思想，始终恪守为民情怀，立足群众所需、所盼、所求，着力解决人民群众最关心最直接最现实的交通问题，不断提升运输服务品质，努力让群众出行更加高效、便捷，努力让人民生活更美好。</w:t>
      </w:r>
      <w:r>
        <w:rPr>
          <w:rFonts w:eastAsia="方正楷体_GBK"/>
          <w:b w:val="0"/>
          <w:bCs/>
          <w:sz w:val="32"/>
          <w:szCs w:val="32"/>
        </w:rPr>
        <w:t>城乡客运一体化水平明显提升，</w:t>
      </w:r>
      <w:r>
        <w:rPr>
          <w:rFonts w:eastAsia="方正仿宋_GBK"/>
          <w:b w:val="0"/>
          <w:bCs/>
          <w:sz w:val="32"/>
          <w:szCs w:val="32"/>
        </w:rPr>
        <w:t>优先发展城市公共交通，</w:t>
      </w:r>
      <w:r>
        <w:rPr>
          <w:rFonts w:hint="eastAsia" w:eastAsia="方正仿宋_GBK"/>
          <w:b w:val="0"/>
          <w:bCs/>
          <w:sz w:val="32"/>
          <w:szCs w:val="32"/>
        </w:rPr>
        <w:t>积极推进</w:t>
      </w:r>
      <w:r>
        <w:rPr>
          <w:rFonts w:eastAsia="方正仿宋_GBK"/>
          <w:b w:val="0"/>
          <w:bCs/>
          <w:sz w:val="32"/>
          <w:szCs w:val="32"/>
        </w:rPr>
        <w:t>公交首末站和停保场</w:t>
      </w:r>
      <w:r>
        <w:rPr>
          <w:rFonts w:hint="eastAsia" w:eastAsia="方正仿宋_GBK"/>
          <w:b w:val="0"/>
          <w:bCs/>
          <w:sz w:val="32"/>
          <w:szCs w:val="32"/>
        </w:rPr>
        <w:t>建设，</w:t>
      </w:r>
      <w:r>
        <w:rPr>
          <w:rFonts w:eastAsia="方正仿宋_GBK"/>
          <w:b w:val="0"/>
          <w:bCs/>
          <w:sz w:val="32"/>
          <w:szCs w:val="32"/>
        </w:rPr>
        <w:t>开行园区公交、节假日专线等便民公交线路，新增公交线路7条、优化调整24条，增设公交站点126个，新增或更新公交车辆199台，全区公交车辆保有量达到331台，比2015年增加了67台。平稳实施65岁以上老年人免费乘坐公共交通政策，5年累计办理公交IC卡26.9万张，累计为市民减免车费1.78亿元。依法办理网约车道路运输证787个、网约车驾驶员从业资格许可1720人。班线客运转型升级取得突破，完成永川至重庆线99辆挂靠经营车辆回购，实现</w:t>
      </w:r>
      <w:r>
        <w:rPr>
          <w:rFonts w:eastAsia="方正仿宋_GBK"/>
          <w:b w:val="0"/>
          <w:bCs/>
          <w:sz w:val="32"/>
          <w:szCs w:val="32"/>
          <w:lang w:val="en"/>
        </w:rPr>
        <w:t>“</w:t>
      </w:r>
      <w:r>
        <w:rPr>
          <w:rFonts w:eastAsia="方正仿宋_GBK"/>
          <w:b w:val="0"/>
          <w:bCs/>
          <w:sz w:val="32"/>
          <w:szCs w:val="32"/>
        </w:rPr>
        <w:t>公车公营</w:t>
      </w:r>
      <w:r>
        <w:rPr>
          <w:rFonts w:eastAsia="方正仿宋_GBK"/>
          <w:b w:val="0"/>
          <w:bCs/>
          <w:sz w:val="32"/>
          <w:szCs w:val="32"/>
          <w:lang w:val="en"/>
        </w:rPr>
        <w:t>”</w:t>
      </w:r>
      <w:r>
        <w:rPr>
          <w:rFonts w:eastAsia="方正仿宋_GBK"/>
          <w:b w:val="0"/>
          <w:bCs/>
          <w:sz w:val="32"/>
          <w:szCs w:val="32"/>
        </w:rPr>
        <w:t>。完成9条线路城乡公交化改造，投放城乡公交99辆，城乡交通一体化</w:t>
      </w:r>
      <w:r>
        <w:rPr>
          <w:rFonts w:hint="eastAsia" w:eastAsia="方正仿宋_GBK"/>
          <w:b w:val="0"/>
          <w:bCs/>
          <w:sz w:val="32"/>
          <w:szCs w:val="32"/>
        </w:rPr>
        <w:t>稳步推进</w:t>
      </w:r>
      <w:r>
        <w:rPr>
          <w:rFonts w:eastAsia="方正仿宋_GBK"/>
          <w:b w:val="0"/>
          <w:bCs/>
          <w:sz w:val="32"/>
          <w:szCs w:val="32"/>
        </w:rPr>
        <w:t>。</w:t>
      </w:r>
      <w:r>
        <w:rPr>
          <w:rFonts w:eastAsia="方正楷体_GBK"/>
          <w:b w:val="0"/>
          <w:bCs/>
          <w:sz w:val="32"/>
          <w:szCs w:val="32"/>
        </w:rPr>
        <w:t>省际公交先行引领</w:t>
      </w:r>
      <w:r>
        <w:rPr>
          <w:rFonts w:hint="eastAsia" w:eastAsia="方正楷体_GBK"/>
          <w:b w:val="0"/>
          <w:bCs/>
          <w:sz w:val="32"/>
          <w:szCs w:val="32"/>
        </w:rPr>
        <w:t>，</w:t>
      </w:r>
      <w:r>
        <w:rPr>
          <w:rFonts w:eastAsia="方正仿宋_GBK"/>
          <w:b w:val="0"/>
          <w:bCs/>
          <w:sz w:val="32"/>
          <w:szCs w:val="32"/>
        </w:rPr>
        <w:t>成功开行朱沱镇至四川泸州市云锦镇省际公交线路，是川渝首条对开省际公交线路，填补了泸县和朱沱两地没有直达公交线路的空白，有效推动了川渝两地交通运输一体化发展，提高了人民群众交通运输获得感和满意度，进一步促进了两地社会经济发展，为推动泸州永川共建</w:t>
      </w:r>
      <w:r>
        <w:rPr>
          <w:rFonts w:eastAsia="方正仿宋_GBK"/>
          <w:b w:val="0"/>
          <w:bCs/>
          <w:sz w:val="32"/>
          <w:szCs w:val="32"/>
          <w:lang w:val="en"/>
        </w:rPr>
        <w:t>“</w:t>
      </w:r>
      <w:r>
        <w:rPr>
          <w:rFonts w:eastAsia="方正仿宋_GBK"/>
          <w:b w:val="0"/>
          <w:bCs/>
          <w:sz w:val="32"/>
          <w:szCs w:val="32"/>
        </w:rPr>
        <w:t>川渝合作示范区</w:t>
      </w:r>
      <w:r>
        <w:rPr>
          <w:rFonts w:eastAsia="方正仿宋_GBK"/>
          <w:b w:val="0"/>
          <w:bCs/>
          <w:sz w:val="32"/>
          <w:szCs w:val="32"/>
          <w:lang w:val="en"/>
        </w:rPr>
        <w:t>”</w:t>
      </w:r>
      <w:r>
        <w:rPr>
          <w:rFonts w:eastAsia="方正仿宋_GBK"/>
          <w:b w:val="0"/>
          <w:bCs/>
          <w:sz w:val="32"/>
          <w:szCs w:val="32"/>
        </w:rPr>
        <w:t>提供了坚实的交通保障。</w:t>
      </w:r>
      <w:r>
        <w:rPr>
          <w:rFonts w:eastAsia="方正楷体_GBK"/>
          <w:b w:val="0"/>
          <w:bCs/>
          <w:sz w:val="32"/>
          <w:szCs w:val="32"/>
        </w:rPr>
        <w:t>客货运输蓬勃发展，</w:t>
      </w:r>
      <w:r>
        <w:rPr>
          <w:rFonts w:eastAsia="方正仿宋_GBK"/>
          <w:b w:val="0"/>
          <w:bCs/>
          <w:sz w:val="32"/>
          <w:szCs w:val="32"/>
        </w:rPr>
        <w:t>全区货运企业114家，其中100台车辆以上货运企业13家、50台以上货运企业22家；货运车辆7600辆，其中危货车辆314辆；从业人员17000余人，货物运输规模化、专业化水平不断提升。加大货运车辆超限治理力度，在全市率先推广源头、非现场、固定治超相结合，强化路警联合执法，严格实施</w:t>
      </w:r>
      <w:r>
        <w:rPr>
          <w:rFonts w:eastAsia="方正仿宋_GBK"/>
          <w:b w:val="0"/>
          <w:bCs/>
          <w:sz w:val="32"/>
          <w:szCs w:val="32"/>
          <w:lang w:val="en"/>
        </w:rPr>
        <w:t>“</w:t>
      </w:r>
      <w:r>
        <w:rPr>
          <w:rFonts w:eastAsia="方正仿宋_GBK"/>
          <w:b w:val="0"/>
          <w:bCs/>
          <w:sz w:val="32"/>
          <w:szCs w:val="32"/>
        </w:rPr>
        <w:t>一超四罚</w:t>
      </w:r>
      <w:r>
        <w:rPr>
          <w:rFonts w:eastAsia="方正仿宋_GBK"/>
          <w:b w:val="0"/>
          <w:bCs/>
          <w:sz w:val="32"/>
          <w:szCs w:val="32"/>
          <w:lang w:val="en"/>
        </w:rPr>
        <w:t>”</w:t>
      </w:r>
      <w:r>
        <w:rPr>
          <w:rFonts w:eastAsia="方正仿宋_GBK"/>
          <w:b w:val="0"/>
          <w:bCs/>
          <w:sz w:val="32"/>
          <w:szCs w:val="32"/>
        </w:rPr>
        <w:t>。6个固定超限检测站共检测货车557万车次，依法查处超限运输车辆2923车次，超限率0.05%，远低于交通运输部不高于0.2%的标准，被评为全市治超工作先进单位。</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仿宋_GBK"/>
          <w:b w:val="0"/>
          <w:bCs/>
          <w:sz w:val="32"/>
          <w:szCs w:val="32"/>
        </w:rPr>
      </w:pPr>
      <w:r>
        <w:rPr>
          <w:rFonts w:eastAsia="方正楷体_GBK"/>
          <w:b w:val="0"/>
          <w:bCs/>
          <w:color w:val="000000"/>
          <w:sz w:val="32"/>
          <w:szCs w:val="32"/>
        </w:rPr>
        <w:t>（五）</w:t>
      </w:r>
      <w:r>
        <w:rPr>
          <w:rFonts w:hint="eastAsia" w:eastAsia="方正楷体_GBK"/>
          <w:b w:val="0"/>
          <w:bCs/>
          <w:color w:val="000000"/>
          <w:sz w:val="32"/>
          <w:szCs w:val="32"/>
        </w:rPr>
        <w:t>坚持</w:t>
      </w:r>
      <w:r>
        <w:rPr>
          <w:rFonts w:eastAsia="方正楷体_GBK"/>
          <w:b w:val="0"/>
          <w:bCs/>
          <w:color w:val="000000"/>
          <w:sz w:val="32"/>
          <w:szCs w:val="32"/>
        </w:rPr>
        <w:t>创新驱动先行引领，</w:t>
      </w:r>
      <w:r>
        <w:rPr>
          <w:rFonts w:hint="eastAsia" w:eastAsia="方正楷体_GBK"/>
          <w:b w:val="0"/>
          <w:bCs/>
          <w:color w:val="000000"/>
          <w:sz w:val="32"/>
          <w:szCs w:val="32"/>
        </w:rPr>
        <w:t>智慧绿色平安交通稳步发展</w:t>
      </w:r>
      <w:r>
        <w:rPr>
          <w:rFonts w:eastAsia="方正楷体_GBK"/>
          <w:b w:val="0"/>
          <w:bCs/>
          <w:color w:val="000000"/>
          <w:sz w:val="32"/>
          <w:szCs w:val="32"/>
        </w:rPr>
        <w:t>。</w:t>
      </w:r>
      <w:r>
        <w:rPr>
          <w:rFonts w:eastAsia="方正仿宋_GBK"/>
          <w:b w:val="0"/>
          <w:bCs/>
          <w:sz w:val="32"/>
          <w:szCs w:val="32"/>
        </w:rPr>
        <w:t>坚持把发展的基点放在创新上，积极探索协同推进生态优先和绿色发展的新路子，牢固树立生命至上、安全第一的发展思想，全力推动全区交通高质量发展，努力让交通发展更加智能、绿色、安全。</w:t>
      </w:r>
      <w:r>
        <w:rPr>
          <w:rFonts w:eastAsia="方正楷体_GBK"/>
          <w:b w:val="0"/>
          <w:bCs/>
          <w:sz w:val="32"/>
          <w:szCs w:val="32"/>
        </w:rPr>
        <w:t>智慧交通发展取得突破，</w:t>
      </w:r>
      <w:r>
        <w:rPr>
          <w:rFonts w:eastAsia="方正仿宋_GBK"/>
          <w:b w:val="0"/>
          <w:bCs/>
          <w:sz w:val="32"/>
          <w:szCs w:val="32"/>
        </w:rPr>
        <w:t>全力打造永川区综合交通运输管理平台，交通基础设施、运行动态信息、基础性数据库等资源整合初见成效，为形成大交通信息化格局奠定了基础。</w:t>
      </w:r>
      <w:r>
        <w:rPr>
          <w:rFonts w:hint="eastAsia" w:eastAsia="方正仿宋_GBK"/>
          <w:b w:val="0"/>
          <w:bCs/>
          <w:sz w:val="32"/>
          <w:szCs w:val="32"/>
        </w:rPr>
        <w:t>开通西部第一条无人驾驶公交线路。基本建成永川城区20平方公里车路协同测试示范区和西部自动驾驶开放测试基地，自动驾驶小巴、自动驾驶出租车、自动驾驶公交车示范运行。</w:t>
      </w:r>
      <w:r>
        <w:rPr>
          <w:rFonts w:eastAsia="方正仿宋_GBK"/>
          <w:b w:val="0"/>
          <w:bCs/>
          <w:sz w:val="32"/>
          <w:szCs w:val="32"/>
        </w:rPr>
        <w:t>全区331台公交车安装使用IC卡终端，已实现</w:t>
      </w:r>
      <w:r>
        <w:rPr>
          <w:rFonts w:eastAsia="方正仿宋_GBK"/>
          <w:b w:val="0"/>
          <w:bCs/>
          <w:sz w:val="32"/>
          <w:szCs w:val="32"/>
          <w:lang w:val="en"/>
        </w:rPr>
        <w:t>“</w:t>
      </w:r>
      <w:r>
        <w:rPr>
          <w:rFonts w:eastAsia="方正仿宋_GBK"/>
          <w:b w:val="0"/>
          <w:bCs/>
          <w:sz w:val="32"/>
          <w:szCs w:val="32"/>
        </w:rPr>
        <w:t>闪付</w:t>
      </w:r>
      <w:r>
        <w:rPr>
          <w:rFonts w:eastAsia="方正仿宋_GBK"/>
          <w:b w:val="0"/>
          <w:bCs/>
          <w:sz w:val="32"/>
          <w:szCs w:val="32"/>
          <w:lang w:val="en"/>
        </w:rPr>
        <w:t>”</w:t>
      </w:r>
      <w:r>
        <w:rPr>
          <w:rFonts w:eastAsia="方正仿宋_GBK"/>
          <w:b w:val="0"/>
          <w:bCs/>
          <w:sz w:val="32"/>
          <w:szCs w:val="32"/>
        </w:rPr>
        <w:t>、手机移动支付等功能。全区安装公交电子站牌130个，提供公交到站信息等服务。城区3大客运站实现全市联网，旅客可通过网页、微信、手机APP等多种方式购票、退票。</w:t>
      </w:r>
      <w:r>
        <w:rPr>
          <w:rFonts w:eastAsia="方正楷体_GBK"/>
          <w:b w:val="0"/>
          <w:bCs/>
          <w:sz w:val="32"/>
          <w:szCs w:val="32"/>
        </w:rPr>
        <w:t>绿色交通发展成效显著，</w:t>
      </w:r>
      <w:r>
        <w:rPr>
          <w:rFonts w:eastAsia="方正仿宋_GBK"/>
          <w:b w:val="0"/>
          <w:bCs/>
          <w:sz w:val="32"/>
          <w:szCs w:val="32"/>
        </w:rPr>
        <w:t>投入纯电动公交车辆209台、插电式混动公交车78台，新能源车辆占城乡公交总数的66.7%。大力实施内河船型标准化工程，拆解货船25艘、客船2艘、老旧餐饮船舶2艘，</w:t>
      </w:r>
      <w:r>
        <w:rPr>
          <w:rFonts w:eastAsia="方正仿宋_GBK"/>
          <w:b w:val="0"/>
          <w:bCs/>
          <w:sz w:val="32"/>
          <w:szCs w:val="32"/>
          <w:lang w:val="en"/>
        </w:rPr>
        <w:t>“</w:t>
      </w:r>
      <w:r>
        <w:rPr>
          <w:rFonts w:eastAsia="方正仿宋_GBK"/>
          <w:b w:val="0"/>
          <w:bCs/>
          <w:sz w:val="32"/>
          <w:szCs w:val="32"/>
        </w:rPr>
        <w:t>量减质增</w:t>
      </w:r>
      <w:r>
        <w:rPr>
          <w:rFonts w:eastAsia="方正仿宋_GBK"/>
          <w:b w:val="0"/>
          <w:bCs/>
          <w:sz w:val="32"/>
          <w:szCs w:val="32"/>
          <w:lang w:val="en"/>
        </w:rPr>
        <w:t>”</w:t>
      </w:r>
      <w:r>
        <w:rPr>
          <w:rFonts w:eastAsia="方正仿宋_GBK"/>
          <w:b w:val="0"/>
          <w:bCs/>
          <w:sz w:val="32"/>
          <w:szCs w:val="32"/>
        </w:rPr>
        <w:t>趋势明显。积极开展维修行业污染防治工作，统一回收维修废油、固体废物，清退营运黄标车1168辆。</w:t>
      </w:r>
      <w:r>
        <w:rPr>
          <w:rFonts w:eastAsia="方正楷体_GBK"/>
          <w:b w:val="0"/>
          <w:bCs/>
          <w:sz w:val="32"/>
          <w:szCs w:val="32"/>
        </w:rPr>
        <w:t>交通安全保障能力大幅提升，</w:t>
      </w:r>
      <w:r>
        <w:rPr>
          <w:rFonts w:eastAsia="方正仿宋_GBK"/>
          <w:b w:val="0"/>
          <w:bCs/>
          <w:sz w:val="32"/>
          <w:szCs w:val="32"/>
        </w:rPr>
        <w:t>强化安全基础设施建设，5年完成公路安防工程861公里，整治公路安全隐患1500余处，危桥改造85座。全区所有29艘船舶、701辆班线客车和331辆公交车、314辆危货运输车已全部安装了GPS或视频监控系统，安装率、上线率、发布率、查处率均为100%。强化安全责任落实，大力运用第三方服务机构，广泛开展安全督查、安全培训等工作，进一步强化对行业监管责任和企业主体责任</w:t>
      </w:r>
      <w:r>
        <w:rPr>
          <w:rFonts w:eastAsia="方正仿宋_GBK"/>
          <w:b w:val="0"/>
          <w:bCs/>
          <w:sz w:val="32"/>
          <w:szCs w:val="32"/>
          <w:lang w:val="en"/>
        </w:rPr>
        <w:t>“</w:t>
      </w:r>
      <w:r>
        <w:rPr>
          <w:rFonts w:eastAsia="方正仿宋_GBK"/>
          <w:b w:val="0"/>
          <w:bCs/>
          <w:sz w:val="32"/>
          <w:szCs w:val="32"/>
        </w:rPr>
        <w:t>双监督</w:t>
      </w:r>
      <w:r>
        <w:rPr>
          <w:rFonts w:eastAsia="方正仿宋_GBK"/>
          <w:b w:val="0"/>
          <w:bCs/>
          <w:sz w:val="32"/>
          <w:szCs w:val="32"/>
          <w:lang w:val="en"/>
        </w:rPr>
        <w:t>”</w:t>
      </w:r>
      <w:r>
        <w:rPr>
          <w:rFonts w:eastAsia="方正仿宋_GBK"/>
          <w:b w:val="0"/>
          <w:bCs/>
          <w:sz w:val="32"/>
          <w:szCs w:val="32"/>
        </w:rPr>
        <w:t>。强化事故防控，深入开展</w:t>
      </w:r>
      <w:r>
        <w:rPr>
          <w:rFonts w:eastAsia="方正仿宋_GBK"/>
          <w:b w:val="0"/>
          <w:bCs/>
          <w:sz w:val="32"/>
          <w:szCs w:val="32"/>
          <w:lang w:val="en"/>
        </w:rPr>
        <w:t>“</w:t>
      </w:r>
      <w:r>
        <w:rPr>
          <w:rFonts w:eastAsia="方正仿宋_GBK"/>
          <w:b w:val="0"/>
          <w:bCs/>
          <w:sz w:val="32"/>
          <w:szCs w:val="32"/>
        </w:rPr>
        <w:t>大排查大整治</w:t>
      </w:r>
      <w:r>
        <w:rPr>
          <w:rFonts w:eastAsia="方正仿宋_GBK"/>
          <w:b w:val="0"/>
          <w:bCs/>
          <w:sz w:val="32"/>
          <w:szCs w:val="32"/>
          <w:lang w:val="en"/>
        </w:rPr>
        <w:t>”</w:t>
      </w:r>
      <w:r>
        <w:rPr>
          <w:rFonts w:eastAsia="方正仿宋_GBK"/>
          <w:b w:val="0"/>
          <w:bCs/>
          <w:sz w:val="32"/>
          <w:szCs w:val="32"/>
        </w:rPr>
        <w:t>、安全监管、风险源评估和应急演练、检查督查和隐患治理等工作，道路、水运、交通建设施工均未发生较大及以上安全生产责任事故。</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仿宋_GBK"/>
          <w:b w:val="0"/>
          <w:bCs/>
          <w:kern w:val="52"/>
          <w:sz w:val="32"/>
          <w:szCs w:val="32"/>
        </w:rPr>
      </w:pPr>
      <w:r>
        <w:rPr>
          <w:rFonts w:eastAsia="方正楷体_GBK"/>
          <w:b w:val="0"/>
          <w:bCs/>
          <w:color w:val="000000"/>
          <w:sz w:val="32"/>
          <w:szCs w:val="32"/>
        </w:rPr>
        <w:t>（六）</w:t>
      </w:r>
      <w:r>
        <w:rPr>
          <w:rFonts w:hint="eastAsia" w:eastAsia="方正楷体_GBK"/>
          <w:b w:val="0"/>
          <w:bCs/>
          <w:color w:val="000000"/>
          <w:sz w:val="32"/>
          <w:szCs w:val="32"/>
        </w:rPr>
        <w:t>持续推动</w:t>
      </w:r>
      <w:r>
        <w:rPr>
          <w:rFonts w:eastAsia="方正楷体_GBK"/>
          <w:b w:val="0"/>
          <w:bCs/>
          <w:color w:val="000000"/>
          <w:sz w:val="32"/>
          <w:szCs w:val="32"/>
        </w:rPr>
        <w:t>重大领域改革，行业治理体系深化完善。</w:t>
      </w:r>
      <w:r>
        <w:rPr>
          <w:rFonts w:eastAsia="方正仿宋_GBK"/>
          <w:b w:val="0"/>
          <w:bCs/>
          <w:kern w:val="52"/>
          <w:sz w:val="32"/>
          <w:szCs w:val="32"/>
        </w:rPr>
        <w:t>严格按照区委、区政府工作要求，大力推进交通重点领域改革，取得积极成效。</w:t>
      </w:r>
      <w:r>
        <w:rPr>
          <w:rFonts w:eastAsia="方正楷体_GBK"/>
          <w:b w:val="0"/>
          <w:bCs/>
          <w:sz w:val="32"/>
          <w:szCs w:val="32"/>
        </w:rPr>
        <w:t>交通运输管理体制、机制改革全面推进，</w:t>
      </w:r>
      <w:r>
        <w:rPr>
          <w:rFonts w:eastAsia="方正仿宋_GBK"/>
          <w:b w:val="0"/>
          <w:bCs/>
          <w:kern w:val="52"/>
          <w:sz w:val="32"/>
          <w:szCs w:val="32"/>
        </w:rPr>
        <w:t>严格落实机构改革三定方案，永川区交通委员会更名为永川区交通局，道路运输、公路、港航等事业单位政事分离，形成了职责更为清晰、机构更加合理、岗位更高效的交通运输管理体制。</w:t>
      </w:r>
      <w:r>
        <w:rPr>
          <w:rFonts w:eastAsia="方正楷体_GBK"/>
          <w:b w:val="0"/>
          <w:bCs/>
          <w:sz w:val="32"/>
          <w:szCs w:val="32"/>
        </w:rPr>
        <w:t>行政审批改革深化，</w:t>
      </w:r>
      <w:r>
        <w:rPr>
          <w:rFonts w:eastAsia="方正仿宋_GBK"/>
          <w:b w:val="0"/>
          <w:bCs/>
          <w:kern w:val="52"/>
          <w:sz w:val="32"/>
          <w:szCs w:val="32"/>
        </w:rPr>
        <w:t>积极落实</w:t>
      </w:r>
      <w:r>
        <w:rPr>
          <w:rFonts w:eastAsia="方正仿宋_GBK"/>
          <w:b w:val="0"/>
          <w:bCs/>
          <w:kern w:val="52"/>
          <w:sz w:val="32"/>
          <w:szCs w:val="32"/>
          <w:lang w:val="en"/>
        </w:rPr>
        <w:t>“</w:t>
      </w:r>
      <w:r>
        <w:rPr>
          <w:rFonts w:eastAsia="方正仿宋_GBK"/>
          <w:b w:val="0"/>
          <w:bCs/>
          <w:kern w:val="52"/>
          <w:sz w:val="32"/>
          <w:szCs w:val="32"/>
        </w:rPr>
        <w:t>最多跑一次</w:t>
      </w:r>
      <w:r>
        <w:rPr>
          <w:rFonts w:eastAsia="方正仿宋_GBK"/>
          <w:b w:val="0"/>
          <w:bCs/>
          <w:kern w:val="52"/>
          <w:sz w:val="32"/>
          <w:szCs w:val="32"/>
          <w:lang w:val="en"/>
        </w:rPr>
        <w:t>”“</w:t>
      </w:r>
      <w:r>
        <w:rPr>
          <w:rFonts w:eastAsia="方正仿宋_GBK"/>
          <w:b w:val="0"/>
          <w:bCs/>
          <w:kern w:val="52"/>
          <w:sz w:val="32"/>
          <w:szCs w:val="32"/>
        </w:rPr>
        <w:t>一网通办</w:t>
      </w:r>
      <w:r>
        <w:rPr>
          <w:rFonts w:eastAsia="方正仿宋_GBK"/>
          <w:b w:val="0"/>
          <w:bCs/>
          <w:kern w:val="52"/>
          <w:sz w:val="32"/>
          <w:szCs w:val="32"/>
          <w:lang w:val="en"/>
        </w:rPr>
        <w:t>”“</w:t>
      </w:r>
      <w:r>
        <w:rPr>
          <w:rFonts w:eastAsia="方正仿宋_GBK"/>
          <w:b w:val="0"/>
          <w:bCs/>
          <w:kern w:val="52"/>
          <w:sz w:val="32"/>
          <w:szCs w:val="32"/>
        </w:rPr>
        <w:t>一窗综办</w:t>
      </w:r>
      <w:r>
        <w:rPr>
          <w:rFonts w:eastAsia="方正仿宋_GBK"/>
          <w:b w:val="0"/>
          <w:bCs/>
          <w:kern w:val="52"/>
          <w:sz w:val="32"/>
          <w:szCs w:val="32"/>
          <w:lang w:val="en"/>
        </w:rPr>
        <w:t>”</w:t>
      </w:r>
      <w:r>
        <w:rPr>
          <w:rFonts w:eastAsia="方正仿宋_GBK"/>
          <w:b w:val="0"/>
          <w:bCs/>
          <w:kern w:val="52"/>
          <w:sz w:val="32"/>
          <w:szCs w:val="32"/>
        </w:rPr>
        <w:t>等制度，减时间、减环节、减材料、减跑动，承诺办理时限、平均办事环节、申报材料、平均跑动次数大幅缩减，</w:t>
      </w:r>
      <w:r>
        <w:rPr>
          <w:rFonts w:hint="eastAsia" w:eastAsia="方正仿宋_GBK"/>
          <w:b w:val="0"/>
          <w:bCs/>
          <w:kern w:val="52"/>
          <w:sz w:val="32"/>
          <w:szCs w:val="32"/>
        </w:rPr>
        <w:t>基本</w:t>
      </w:r>
      <w:r>
        <w:rPr>
          <w:rFonts w:eastAsia="方正仿宋_GBK"/>
          <w:b w:val="0"/>
          <w:bCs/>
          <w:kern w:val="52"/>
          <w:sz w:val="32"/>
          <w:szCs w:val="32"/>
        </w:rPr>
        <w:t>实现全市、全区</w:t>
      </w:r>
      <w:r>
        <w:rPr>
          <w:rFonts w:eastAsia="方正仿宋_GBK"/>
          <w:b w:val="0"/>
          <w:bCs/>
          <w:kern w:val="52"/>
          <w:sz w:val="32"/>
          <w:szCs w:val="32"/>
          <w:lang w:val="en"/>
        </w:rPr>
        <w:t>“</w:t>
      </w:r>
      <w:r>
        <w:rPr>
          <w:rFonts w:eastAsia="方正仿宋_GBK"/>
          <w:b w:val="0"/>
          <w:bCs/>
          <w:kern w:val="52"/>
          <w:sz w:val="32"/>
          <w:szCs w:val="32"/>
        </w:rPr>
        <w:t>一窗综办</w:t>
      </w:r>
      <w:r>
        <w:rPr>
          <w:rFonts w:eastAsia="方正仿宋_GBK"/>
          <w:b w:val="0"/>
          <w:bCs/>
          <w:kern w:val="52"/>
          <w:sz w:val="32"/>
          <w:szCs w:val="32"/>
          <w:lang w:val="en"/>
        </w:rPr>
        <w:t>”“</w:t>
      </w:r>
      <w:r>
        <w:rPr>
          <w:rFonts w:eastAsia="方正仿宋_GBK"/>
          <w:b w:val="0"/>
          <w:bCs/>
          <w:kern w:val="52"/>
          <w:sz w:val="32"/>
          <w:szCs w:val="32"/>
        </w:rPr>
        <w:t>一网通办</w:t>
      </w:r>
      <w:r>
        <w:rPr>
          <w:rFonts w:eastAsia="方正仿宋_GBK"/>
          <w:b w:val="0"/>
          <w:bCs/>
          <w:kern w:val="52"/>
          <w:sz w:val="32"/>
          <w:szCs w:val="32"/>
          <w:lang w:val="en"/>
        </w:rPr>
        <w:t>”</w:t>
      </w:r>
      <w:r>
        <w:rPr>
          <w:rFonts w:eastAsia="方正仿宋_GBK"/>
          <w:b w:val="0"/>
          <w:bCs/>
          <w:kern w:val="52"/>
          <w:sz w:val="32"/>
          <w:szCs w:val="32"/>
        </w:rPr>
        <w:t>的行政服务目标。</w:t>
      </w:r>
      <w:r>
        <w:rPr>
          <w:rFonts w:eastAsia="方正楷体_GBK"/>
          <w:b w:val="0"/>
          <w:bCs/>
          <w:sz w:val="32"/>
          <w:szCs w:val="32"/>
        </w:rPr>
        <w:t>交通执法扎实推进，</w:t>
      </w:r>
      <w:r>
        <w:rPr>
          <w:rFonts w:eastAsia="方正仿宋_GBK"/>
          <w:b w:val="0"/>
          <w:bCs/>
          <w:kern w:val="52"/>
          <w:sz w:val="32"/>
          <w:szCs w:val="32"/>
        </w:rPr>
        <w:t>按照</w:t>
      </w:r>
      <w:r>
        <w:rPr>
          <w:rFonts w:eastAsia="方正仿宋_GBK"/>
          <w:b w:val="0"/>
          <w:bCs/>
          <w:kern w:val="52"/>
          <w:sz w:val="32"/>
          <w:szCs w:val="32"/>
          <w:lang w:val="en"/>
        </w:rPr>
        <w:t>“</w:t>
      </w:r>
      <w:r>
        <w:rPr>
          <w:rFonts w:eastAsia="方正仿宋_GBK"/>
          <w:b w:val="0"/>
          <w:bCs/>
          <w:kern w:val="52"/>
          <w:sz w:val="32"/>
          <w:szCs w:val="32"/>
        </w:rPr>
        <w:t>一月一侧重点</w:t>
      </w:r>
      <w:r>
        <w:rPr>
          <w:rFonts w:hint="eastAsia" w:eastAsia="方正仿宋_GBK"/>
          <w:b w:val="0"/>
          <w:bCs/>
          <w:kern w:val="52"/>
          <w:sz w:val="32"/>
          <w:szCs w:val="32"/>
        </w:rPr>
        <w:t>、</w:t>
      </w:r>
      <w:r>
        <w:rPr>
          <w:rFonts w:eastAsia="方正仿宋_GBK"/>
          <w:b w:val="0"/>
          <w:bCs/>
          <w:kern w:val="52"/>
          <w:sz w:val="32"/>
          <w:szCs w:val="32"/>
        </w:rPr>
        <w:t>一季度一整治</w:t>
      </w:r>
      <w:r>
        <w:rPr>
          <w:rFonts w:eastAsia="方正仿宋_GBK"/>
          <w:b w:val="0"/>
          <w:bCs/>
          <w:kern w:val="52"/>
          <w:sz w:val="32"/>
          <w:szCs w:val="32"/>
          <w:lang w:val="en"/>
        </w:rPr>
        <w:t>”</w:t>
      </w:r>
      <w:r>
        <w:rPr>
          <w:rFonts w:eastAsia="方正仿宋_GBK"/>
          <w:b w:val="0"/>
          <w:bCs/>
          <w:kern w:val="52"/>
          <w:sz w:val="32"/>
          <w:szCs w:val="32"/>
        </w:rPr>
        <w:t>要求，持续用力开展城区客运市场、路政违法、交通运输违法突出问题等专项整治，5年查处各类违章案件10624件，办理各类投诉举报7583件，无一起行政复议撤回、行政诉讼败诉案件。认真开展扫黑除恶专项斗争，重拳整治交通行业乱象。</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仿宋_GBK"/>
          <w:b w:val="0"/>
          <w:bCs/>
          <w:kern w:val="52"/>
          <w:sz w:val="32"/>
          <w:szCs w:val="32"/>
        </w:rPr>
      </w:pPr>
      <w:r>
        <w:rPr>
          <w:rFonts w:eastAsia="方正仿宋_GBK"/>
          <w:b w:val="0"/>
          <w:bCs/>
          <w:kern w:val="52"/>
          <w:sz w:val="32"/>
          <w:szCs w:val="32"/>
        </w:rPr>
        <w:t>总体而言，</w:t>
      </w:r>
      <w:r>
        <w:rPr>
          <w:rFonts w:eastAsia="方正仿宋_GBK" w:cs="Times New Roman"/>
          <w:b w:val="0"/>
          <w:bCs/>
          <w:kern w:val="52"/>
          <w:sz w:val="32"/>
          <w:szCs w:val="32"/>
          <w:lang w:val="en"/>
        </w:rPr>
        <w:t>“</w:t>
      </w:r>
      <w:r>
        <w:rPr>
          <w:rFonts w:eastAsia="方正仿宋_GBK"/>
          <w:b w:val="0"/>
          <w:bCs/>
          <w:kern w:val="52"/>
          <w:sz w:val="32"/>
          <w:szCs w:val="32"/>
        </w:rPr>
        <w:t>十三五</w:t>
      </w:r>
      <w:r>
        <w:rPr>
          <w:rFonts w:ascii="Times New Roman" w:hAnsi="Times New Roman" w:eastAsia="方正仿宋_GBK" w:cs="Times New Roman"/>
          <w:b w:val="0"/>
          <w:bCs/>
          <w:kern w:val="52"/>
          <w:sz w:val="32"/>
          <w:szCs w:val="32"/>
          <w:lang w:val="en"/>
        </w:rPr>
        <w:t>”</w:t>
      </w:r>
      <w:r>
        <w:rPr>
          <w:rFonts w:eastAsia="方正仿宋_GBK"/>
          <w:b w:val="0"/>
          <w:bCs/>
          <w:kern w:val="52"/>
          <w:sz w:val="32"/>
          <w:szCs w:val="32"/>
        </w:rPr>
        <w:t>期</w:t>
      </w:r>
      <w:r>
        <w:rPr>
          <w:rFonts w:hint="default" w:eastAsia="方正仿宋_GBK"/>
          <w:b w:val="0"/>
          <w:bCs/>
          <w:kern w:val="52"/>
          <w:sz w:val="32"/>
          <w:szCs w:val="32"/>
        </w:rPr>
        <w:t>是</w:t>
      </w:r>
      <w:r>
        <w:rPr>
          <w:rFonts w:eastAsia="方正仿宋_GBK"/>
          <w:b w:val="0"/>
          <w:bCs/>
          <w:kern w:val="52"/>
          <w:sz w:val="32"/>
          <w:szCs w:val="32"/>
        </w:rPr>
        <w:t>永川交通投资</w:t>
      </w:r>
      <w:r>
        <w:rPr>
          <w:rFonts w:hint="default" w:eastAsia="方正仿宋_GBK"/>
          <w:b w:val="0"/>
          <w:bCs/>
          <w:kern w:val="52"/>
          <w:sz w:val="32"/>
          <w:szCs w:val="32"/>
        </w:rPr>
        <w:t>最</w:t>
      </w:r>
      <w:r>
        <w:rPr>
          <w:rFonts w:eastAsia="方正仿宋_GBK"/>
          <w:b w:val="0"/>
          <w:bCs/>
          <w:kern w:val="52"/>
          <w:sz w:val="32"/>
          <w:szCs w:val="32"/>
        </w:rPr>
        <w:t>大、建设成效</w:t>
      </w:r>
      <w:r>
        <w:rPr>
          <w:rFonts w:hint="default" w:eastAsia="方正仿宋_GBK"/>
          <w:b w:val="0"/>
          <w:bCs/>
          <w:kern w:val="52"/>
          <w:sz w:val="32"/>
          <w:szCs w:val="32"/>
        </w:rPr>
        <w:t>最</w:t>
      </w:r>
      <w:r>
        <w:rPr>
          <w:rFonts w:eastAsia="方正仿宋_GBK"/>
          <w:b w:val="0"/>
          <w:bCs/>
          <w:kern w:val="52"/>
          <w:sz w:val="32"/>
          <w:szCs w:val="32"/>
        </w:rPr>
        <w:t>好、群众受益</w:t>
      </w:r>
      <w:r>
        <w:rPr>
          <w:rFonts w:hint="default" w:eastAsia="方正仿宋_GBK"/>
          <w:b w:val="0"/>
          <w:bCs/>
          <w:kern w:val="52"/>
          <w:sz w:val="32"/>
          <w:szCs w:val="32"/>
        </w:rPr>
        <w:t>最</w:t>
      </w:r>
      <w:r>
        <w:rPr>
          <w:rFonts w:eastAsia="方正仿宋_GBK"/>
          <w:b w:val="0"/>
          <w:bCs/>
          <w:kern w:val="52"/>
          <w:sz w:val="32"/>
          <w:szCs w:val="32"/>
        </w:rPr>
        <w:t>多</w:t>
      </w:r>
      <w:r>
        <w:rPr>
          <w:rFonts w:hint="default" w:eastAsia="方正仿宋_GBK"/>
          <w:b w:val="0"/>
          <w:bCs/>
          <w:kern w:val="52"/>
          <w:sz w:val="32"/>
          <w:szCs w:val="32"/>
        </w:rPr>
        <w:t>的五年</w:t>
      </w:r>
      <w:r>
        <w:rPr>
          <w:rFonts w:eastAsia="方正仿宋_GBK"/>
          <w:b w:val="0"/>
          <w:bCs/>
          <w:kern w:val="52"/>
          <w:sz w:val="32"/>
          <w:szCs w:val="32"/>
        </w:rPr>
        <w:t>。通过五年来的努力，永川成为全市除</w:t>
      </w:r>
      <w:r>
        <w:rPr>
          <w:rFonts w:hint="default" w:eastAsia="方正仿宋_GBK"/>
          <w:b w:val="0"/>
          <w:bCs/>
          <w:kern w:val="52"/>
          <w:sz w:val="32"/>
          <w:szCs w:val="32"/>
        </w:rPr>
        <w:t>中心城</w:t>
      </w:r>
      <w:r>
        <w:rPr>
          <w:rFonts w:eastAsia="方正仿宋_GBK"/>
          <w:b w:val="0"/>
          <w:bCs/>
          <w:kern w:val="52"/>
          <w:sz w:val="32"/>
          <w:szCs w:val="32"/>
        </w:rPr>
        <w:t>区外第一个拥有高速公路环线的区县，成为全市唯一拥有高铁双通道</w:t>
      </w:r>
      <w:r>
        <w:rPr>
          <w:rFonts w:hint="default" w:eastAsia="方正仿宋_GBK"/>
          <w:b w:val="0"/>
          <w:bCs/>
          <w:kern w:val="52"/>
          <w:sz w:val="32"/>
          <w:szCs w:val="32"/>
        </w:rPr>
        <w:t>（建成及在建）</w:t>
      </w:r>
      <w:r>
        <w:rPr>
          <w:rFonts w:eastAsia="方正仿宋_GBK"/>
          <w:b w:val="0"/>
          <w:bCs/>
          <w:kern w:val="52"/>
          <w:sz w:val="32"/>
          <w:szCs w:val="32"/>
        </w:rPr>
        <w:t>的远郊区县，成为全市率先建成并运营通用机场的</w:t>
      </w:r>
      <w:r>
        <w:rPr>
          <w:rFonts w:hint="default" w:eastAsia="方正仿宋_GBK"/>
          <w:b w:val="0"/>
          <w:bCs/>
          <w:kern w:val="52"/>
          <w:sz w:val="32"/>
          <w:szCs w:val="32"/>
        </w:rPr>
        <w:t>远郊</w:t>
      </w:r>
      <w:r>
        <w:rPr>
          <w:rFonts w:eastAsia="方正仿宋_GBK"/>
          <w:b w:val="0"/>
          <w:bCs/>
          <w:kern w:val="52"/>
          <w:sz w:val="32"/>
          <w:szCs w:val="32"/>
        </w:rPr>
        <w:t>区县，成为</w:t>
      </w:r>
      <w:r>
        <w:rPr>
          <w:rFonts w:eastAsia="方正仿宋_GBK" w:cs="Times New Roman"/>
          <w:b w:val="0"/>
          <w:bCs/>
          <w:kern w:val="52"/>
          <w:sz w:val="32"/>
          <w:szCs w:val="32"/>
          <w:lang w:val="en"/>
        </w:rPr>
        <w:t>“</w:t>
      </w:r>
      <w:r>
        <w:rPr>
          <w:rFonts w:eastAsia="方正仿宋_GBK"/>
          <w:b w:val="0"/>
          <w:bCs/>
          <w:kern w:val="52"/>
          <w:sz w:val="32"/>
          <w:szCs w:val="32"/>
        </w:rPr>
        <w:t>四好农村路</w:t>
      </w:r>
      <w:r>
        <w:rPr>
          <w:rFonts w:ascii="Times New Roman" w:hAnsi="Times New Roman" w:eastAsia="方正仿宋_GBK" w:cs="Times New Roman"/>
          <w:b w:val="0"/>
          <w:bCs/>
          <w:kern w:val="52"/>
          <w:sz w:val="32"/>
          <w:szCs w:val="32"/>
          <w:lang w:val="en"/>
        </w:rPr>
        <w:t>”</w:t>
      </w:r>
      <w:r>
        <w:rPr>
          <w:rFonts w:eastAsia="方正仿宋_GBK"/>
          <w:b w:val="0"/>
          <w:bCs/>
          <w:kern w:val="52"/>
          <w:sz w:val="32"/>
          <w:szCs w:val="32"/>
        </w:rPr>
        <w:t>全国示范县（区）</w:t>
      </w:r>
      <w:r>
        <w:rPr>
          <w:rFonts w:hint="default" w:eastAsia="方正仿宋_GBK"/>
          <w:b w:val="0"/>
          <w:bCs/>
          <w:kern w:val="52"/>
          <w:sz w:val="32"/>
          <w:szCs w:val="32"/>
        </w:rPr>
        <w:t>、农村公路管理养护体制改革试点地区</w:t>
      </w:r>
      <w:r>
        <w:rPr>
          <w:rFonts w:eastAsia="方正仿宋_GBK"/>
          <w:b w:val="0"/>
          <w:bCs/>
          <w:kern w:val="52"/>
          <w:sz w:val="32"/>
          <w:szCs w:val="32"/>
        </w:rPr>
        <w:t>，</w:t>
      </w:r>
      <w:r>
        <w:rPr>
          <w:rFonts w:eastAsia="方正仿宋_GBK" w:cs="Times New Roman"/>
          <w:b w:val="0"/>
          <w:bCs/>
          <w:kern w:val="52"/>
          <w:sz w:val="32"/>
          <w:szCs w:val="32"/>
          <w:lang w:val="en"/>
        </w:rPr>
        <w:t>“</w:t>
      </w:r>
      <w:r>
        <w:rPr>
          <w:rFonts w:eastAsia="方正仿宋_GBK"/>
          <w:b w:val="0"/>
          <w:bCs/>
          <w:kern w:val="52"/>
          <w:sz w:val="32"/>
          <w:szCs w:val="32"/>
        </w:rPr>
        <w:t>铁公水空</w:t>
      </w:r>
      <w:r>
        <w:rPr>
          <w:rFonts w:ascii="Times New Roman" w:hAnsi="Times New Roman" w:eastAsia="方正仿宋_GBK" w:cs="Times New Roman"/>
          <w:b w:val="0"/>
          <w:bCs/>
          <w:kern w:val="52"/>
          <w:sz w:val="32"/>
          <w:szCs w:val="32"/>
          <w:lang w:val="en"/>
        </w:rPr>
        <w:t>”</w:t>
      </w:r>
      <w:r>
        <w:rPr>
          <w:rFonts w:eastAsia="方正仿宋_GBK"/>
          <w:b w:val="0"/>
          <w:bCs/>
          <w:kern w:val="52"/>
          <w:sz w:val="32"/>
          <w:szCs w:val="32"/>
        </w:rPr>
        <w:t>综合立体交通网络基本形成，区域性综合交通</w:t>
      </w:r>
      <w:r>
        <w:rPr>
          <w:rFonts w:hint="default" w:eastAsia="方正仿宋_GBK"/>
          <w:b w:val="0"/>
          <w:bCs/>
          <w:kern w:val="52"/>
          <w:sz w:val="32"/>
          <w:szCs w:val="32"/>
        </w:rPr>
        <w:t>物流</w:t>
      </w:r>
      <w:r>
        <w:rPr>
          <w:rFonts w:eastAsia="方正仿宋_GBK"/>
          <w:b w:val="0"/>
          <w:bCs/>
          <w:kern w:val="52"/>
          <w:sz w:val="32"/>
          <w:szCs w:val="32"/>
        </w:rPr>
        <w:t>枢纽</w:t>
      </w:r>
      <w:r>
        <w:rPr>
          <w:rFonts w:hint="default" w:eastAsia="方正仿宋_GBK"/>
          <w:b w:val="0"/>
          <w:bCs/>
          <w:kern w:val="52"/>
          <w:sz w:val="32"/>
          <w:szCs w:val="32"/>
        </w:rPr>
        <w:t>加快形成</w:t>
      </w:r>
      <w:r>
        <w:rPr>
          <w:rFonts w:eastAsia="方正仿宋_GBK"/>
          <w:b w:val="0"/>
          <w:bCs/>
          <w:kern w:val="52"/>
          <w:sz w:val="32"/>
          <w:szCs w:val="32"/>
        </w:rPr>
        <w:t>，有力保障了全区经济社会发展和人民群众出行需要。</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hint="default" w:eastAsia="方正黑体_GBK"/>
          <w:b w:val="0"/>
          <w:bCs/>
          <w:kern w:val="52"/>
          <w:sz w:val="32"/>
          <w:szCs w:val="32"/>
        </w:rPr>
      </w:pPr>
    </w:p>
    <w:p>
      <w:pPr>
        <w:pStyle w:val="16"/>
        <w:keepNext w:val="0"/>
        <w:keepLines w:val="0"/>
        <w:pageBreakBefore w:val="0"/>
        <w:widowControl w:val="0"/>
        <w:kinsoku/>
        <w:wordWrap/>
        <w:overflowPunct/>
        <w:topLinePunct w:val="0"/>
        <w:autoSpaceDE/>
        <w:autoSpaceDN/>
        <w:bidi w:val="0"/>
        <w:adjustRightInd w:val="0"/>
        <w:snapToGrid w:val="0"/>
        <w:spacing w:before="0" w:after="0" w:afterLines="0" w:line="276" w:lineRule="auto"/>
        <w:textAlignment w:val="auto"/>
        <w:rPr>
          <w:rFonts w:hint="eastAsia" w:ascii="方正楷体_GBK" w:hAnsi="方正楷体_GBK" w:eastAsia="方正楷体_GBK" w:cs="方正楷体_GBK"/>
          <w:b w:val="0"/>
          <w:bCs/>
          <w:sz w:val="32"/>
          <w:szCs w:val="32"/>
        </w:rPr>
      </w:pPr>
      <w:bookmarkStart w:id="64" w:name="_Toc1668762729_WPSOffice_Level2"/>
      <w:bookmarkStart w:id="65" w:name="_Toc301904846"/>
      <w:bookmarkStart w:id="66" w:name="_Toc19740"/>
      <w:bookmarkStart w:id="67" w:name="_Toc1509267478"/>
      <w:r>
        <w:rPr>
          <w:rFonts w:hint="eastAsia" w:ascii="方正楷体_GBK" w:hAnsi="方正楷体_GBK" w:eastAsia="方正楷体_GBK" w:cs="方正楷体_GBK"/>
          <w:b w:val="0"/>
          <w:bCs/>
          <w:kern w:val="2"/>
          <w:sz w:val="32"/>
          <w:szCs w:val="32"/>
        </w:rPr>
        <w:t xml:space="preserve">第二节 </w:t>
      </w:r>
      <w:r>
        <w:rPr>
          <w:rFonts w:hint="default" w:ascii="方正楷体_GBK" w:hAnsi="方正楷体_GBK" w:eastAsia="方正楷体_GBK" w:cs="方正楷体_GBK"/>
          <w:b w:val="0"/>
          <w:bCs/>
          <w:kern w:val="2"/>
          <w:sz w:val="32"/>
          <w:szCs w:val="32"/>
          <w:lang w:val="en"/>
        </w:rPr>
        <w:t xml:space="preserve"> </w:t>
      </w:r>
      <w:r>
        <w:rPr>
          <w:rFonts w:hint="eastAsia" w:ascii="方正楷体_GBK" w:hAnsi="方正楷体_GBK" w:eastAsia="方正楷体_GBK" w:cs="方正楷体_GBK"/>
          <w:b w:val="0"/>
          <w:bCs/>
          <w:kern w:val="2"/>
          <w:sz w:val="32"/>
          <w:szCs w:val="32"/>
        </w:rPr>
        <w:t>发展差距</w:t>
      </w:r>
      <w:bookmarkEnd w:id="64"/>
      <w:bookmarkEnd w:id="65"/>
      <w:bookmarkEnd w:id="66"/>
      <w:bookmarkEnd w:id="67"/>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30"/>
        <w:textAlignment w:val="auto"/>
        <w:rPr>
          <w:rFonts w:eastAsia="方正仿宋_GBK"/>
          <w:b w:val="0"/>
          <w:bCs/>
          <w:sz w:val="32"/>
          <w:szCs w:val="32"/>
        </w:rPr>
      </w:pP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30"/>
        <w:textAlignment w:val="auto"/>
        <w:rPr>
          <w:rFonts w:eastAsia="方正仿宋_GBK"/>
          <w:b w:val="0"/>
          <w:bCs/>
          <w:sz w:val="32"/>
          <w:szCs w:val="32"/>
        </w:rPr>
      </w:pPr>
      <w:r>
        <w:rPr>
          <w:rFonts w:eastAsia="方正仿宋_GBK"/>
          <w:b w:val="0"/>
          <w:bCs/>
          <w:sz w:val="32"/>
          <w:szCs w:val="32"/>
        </w:rPr>
        <w:t>尽管</w:t>
      </w:r>
      <w:r>
        <w:rPr>
          <w:rFonts w:eastAsia="方正仿宋_GBK"/>
          <w:b w:val="0"/>
          <w:bCs/>
          <w:sz w:val="32"/>
          <w:szCs w:val="32"/>
          <w:lang w:val="en"/>
        </w:rPr>
        <w:t>“</w:t>
      </w:r>
      <w:r>
        <w:rPr>
          <w:rFonts w:eastAsia="方正仿宋_GBK"/>
          <w:b w:val="0"/>
          <w:bCs/>
          <w:sz w:val="32"/>
          <w:szCs w:val="32"/>
        </w:rPr>
        <w:t>十三五</w:t>
      </w:r>
      <w:r>
        <w:rPr>
          <w:rFonts w:eastAsia="方正仿宋_GBK"/>
          <w:b w:val="0"/>
          <w:bCs/>
          <w:sz w:val="32"/>
          <w:szCs w:val="32"/>
          <w:lang w:val="en"/>
        </w:rPr>
        <w:t>”</w:t>
      </w:r>
      <w:r>
        <w:rPr>
          <w:rFonts w:eastAsia="方正仿宋_GBK"/>
          <w:b w:val="0"/>
          <w:bCs/>
          <w:sz w:val="32"/>
          <w:szCs w:val="32"/>
        </w:rPr>
        <w:t>期发展成绩显著，但对照经济社会发展要求、人民对美好生活的向往等，交通运输发展仍然存在一些差距。</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30"/>
        <w:textAlignment w:val="auto"/>
        <w:rPr>
          <w:rFonts w:eastAsia="方正仿宋_GBK"/>
          <w:b w:val="0"/>
          <w:bCs/>
          <w:sz w:val="32"/>
          <w:szCs w:val="32"/>
        </w:rPr>
      </w:pPr>
      <w:r>
        <w:rPr>
          <w:rFonts w:eastAsia="方正仿宋_GBK"/>
          <w:b w:val="0"/>
          <w:bCs/>
          <w:sz w:val="32"/>
          <w:szCs w:val="32"/>
        </w:rPr>
        <w:t>1</w:t>
      </w:r>
      <w:r>
        <w:rPr>
          <w:rFonts w:hint="eastAsia" w:ascii="方正仿宋_GBK" w:hAnsi="方正仿宋_GBK" w:eastAsia="方正仿宋_GBK" w:cs="方正仿宋_GBK"/>
          <w:b w:val="0"/>
          <w:bCs/>
          <w:sz w:val="32"/>
          <w:szCs w:val="32"/>
        </w:rPr>
        <w:t>﹒</w:t>
      </w:r>
      <w:r>
        <w:rPr>
          <w:rFonts w:eastAsia="方正仿宋_GBK"/>
          <w:b w:val="0"/>
          <w:bCs/>
          <w:sz w:val="32"/>
          <w:szCs w:val="32"/>
        </w:rPr>
        <w:t>对外通道</w:t>
      </w:r>
      <w:r>
        <w:rPr>
          <w:rFonts w:hint="eastAsia" w:eastAsia="方正仿宋_GBK"/>
          <w:b w:val="0"/>
          <w:bCs/>
          <w:sz w:val="32"/>
          <w:szCs w:val="32"/>
        </w:rPr>
        <w:t>有待加强</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华文楷体"/>
          <w:b w:val="0"/>
          <w:bCs/>
          <w:sz w:val="32"/>
          <w:szCs w:val="32"/>
        </w:rPr>
      </w:pPr>
      <w:r>
        <w:rPr>
          <w:rFonts w:eastAsia="方正楷体_GBK"/>
          <w:b w:val="0"/>
          <w:bCs/>
          <w:sz w:val="32"/>
          <w:szCs w:val="32"/>
        </w:rPr>
        <w:t>衔接</w:t>
      </w:r>
      <w:r>
        <w:rPr>
          <w:rFonts w:hint="default" w:eastAsia="方正楷体_GBK"/>
          <w:b w:val="0"/>
          <w:bCs/>
          <w:sz w:val="32"/>
          <w:szCs w:val="32"/>
          <w:lang w:val="en"/>
        </w:rPr>
        <w:t>“</w:t>
      </w:r>
      <w:r>
        <w:rPr>
          <w:rFonts w:eastAsia="方正楷体_GBK"/>
          <w:b w:val="0"/>
          <w:bCs/>
          <w:sz w:val="32"/>
          <w:szCs w:val="32"/>
        </w:rPr>
        <w:t>一带一路</w:t>
      </w:r>
      <w:r>
        <w:rPr>
          <w:rFonts w:hint="default" w:eastAsia="方正楷体_GBK"/>
          <w:b w:val="0"/>
          <w:bCs/>
          <w:sz w:val="32"/>
          <w:szCs w:val="32"/>
          <w:lang w:val="en"/>
        </w:rPr>
        <w:t>”</w:t>
      </w:r>
      <w:r>
        <w:rPr>
          <w:rFonts w:eastAsia="方正楷体_GBK"/>
          <w:b w:val="0"/>
          <w:bCs/>
          <w:sz w:val="32"/>
          <w:szCs w:val="32"/>
        </w:rPr>
        <w:t>、</w:t>
      </w:r>
      <w:r>
        <w:rPr>
          <w:rFonts w:hint="eastAsia" w:eastAsia="方正楷体_GBK"/>
          <w:b w:val="0"/>
          <w:bCs/>
          <w:sz w:val="32"/>
          <w:szCs w:val="32"/>
        </w:rPr>
        <w:t>西部</w:t>
      </w:r>
      <w:r>
        <w:rPr>
          <w:rFonts w:eastAsia="方正楷体_GBK"/>
          <w:b w:val="0"/>
          <w:bCs/>
          <w:sz w:val="32"/>
          <w:szCs w:val="32"/>
        </w:rPr>
        <w:t>陆海新通道的铁路通道能力不足。</w:t>
      </w:r>
      <w:r>
        <w:rPr>
          <w:rFonts w:hAnsi="华文楷体" w:eastAsia="华文楷体"/>
          <w:b w:val="0"/>
          <w:bCs/>
          <w:sz w:val="32"/>
          <w:szCs w:val="32"/>
        </w:rPr>
        <w:t>一是高铁通道</w:t>
      </w:r>
      <w:r>
        <w:rPr>
          <w:rFonts w:hint="eastAsia" w:hAnsi="华文楷体" w:eastAsia="华文楷体"/>
          <w:b w:val="0"/>
          <w:bCs/>
          <w:sz w:val="32"/>
          <w:szCs w:val="32"/>
        </w:rPr>
        <w:t>有待完善</w:t>
      </w:r>
      <w:r>
        <w:rPr>
          <w:rFonts w:hAnsi="华文楷体" w:eastAsia="华文楷体"/>
          <w:b w:val="0"/>
          <w:bCs/>
          <w:sz w:val="32"/>
          <w:szCs w:val="32"/>
        </w:rPr>
        <w:t>。</w:t>
      </w:r>
      <w:r>
        <w:rPr>
          <w:rFonts w:eastAsia="方正仿宋_GBK"/>
          <w:b w:val="0"/>
          <w:bCs/>
          <w:sz w:val="32"/>
          <w:szCs w:val="32"/>
        </w:rPr>
        <w:t>渝昆高铁</w:t>
      </w:r>
      <w:r>
        <w:rPr>
          <w:rFonts w:hint="eastAsia" w:eastAsia="方正仿宋_GBK"/>
          <w:b w:val="0"/>
          <w:bCs/>
          <w:sz w:val="32"/>
          <w:szCs w:val="32"/>
        </w:rPr>
        <w:t>尚在建设</w:t>
      </w:r>
      <w:r>
        <w:rPr>
          <w:rFonts w:eastAsia="方正仿宋_GBK"/>
          <w:b w:val="0"/>
          <w:bCs/>
          <w:sz w:val="32"/>
          <w:szCs w:val="32"/>
        </w:rPr>
        <w:t>，永川南北向高铁通道缺失</w:t>
      </w:r>
      <w:r>
        <w:rPr>
          <w:rFonts w:hint="eastAsia" w:eastAsia="方正仿宋_GBK"/>
          <w:b w:val="0"/>
          <w:bCs/>
          <w:sz w:val="32"/>
          <w:szCs w:val="32"/>
        </w:rPr>
        <w:t>，融入成渝地区双城经济圈</w:t>
      </w:r>
      <w:r>
        <w:rPr>
          <w:rFonts w:eastAsia="方正仿宋_GBK"/>
          <w:b w:val="0"/>
          <w:bCs/>
          <w:sz w:val="32"/>
          <w:szCs w:val="32"/>
        </w:rPr>
        <w:t>支撑不足。</w:t>
      </w:r>
      <w:r>
        <w:rPr>
          <w:rFonts w:hAnsi="华文楷体" w:eastAsia="华文楷体"/>
          <w:b w:val="0"/>
          <w:bCs/>
          <w:sz w:val="32"/>
          <w:szCs w:val="32"/>
        </w:rPr>
        <w:t>二是铁路货运通道不通畅。</w:t>
      </w:r>
      <w:r>
        <w:rPr>
          <w:rFonts w:eastAsia="方正仿宋_GBK"/>
          <w:b w:val="0"/>
          <w:bCs/>
          <w:sz w:val="32"/>
          <w:szCs w:val="32"/>
        </w:rPr>
        <w:t>境内成渝铁路技术等级低，铁路供给能力较弱，永川衔接团结村、南彭公路物流基地等国际性物流枢纽</w:t>
      </w:r>
      <w:r>
        <w:rPr>
          <w:rFonts w:hint="eastAsia" w:eastAsia="方正仿宋_GBK"/>
          <w:b w:val="0"/>
          <w:bCs/>
          <w:sz w:val="32"/>
          <w:szCs w:val="32"/>
        </w:rPr>
        <w:t>通道不畅</w:t>
      </w:r>
      <w:r>
        <w:rPr>
          <w:rFonts w:eastAsia="方正仿宋_GBK"/>
          <w:b w:val="0"/>
          <w:bCs/>
          <w:sz w:val="32"/>
          <w:szCs w:val="32"/>
        </w:rPr>
        <w:t>，制约永川融入</w:t>
      </w:r>
      <w:r>
        <w:rPr>
          <w:rFonts w:hint="default" w:eastAsia="方正仿宋_GBK"/>
          <w:b w:val="0"/>
          <w:bCs/>
          <w:sz w:val="32"/>
          <w:szCs w:val="32"/>
          <w:lang w:val="en"/>
        </w:rPr>
        <w:t>“</w:t>
      </w:r>
      <w:r>
        <w:rPr>
          <w:rFonts w:eastAsia="方正仿宋_GBK"/>
          <w:b w:val="0"/>
          <w:bCs/>
          <w:sz w:val="32"/>
          <w:szCs w:val="32"/>
        </w:rPr>
        <w:t>一带一路</w:t>
      </w:r>
      <w:r>
        <w:rPr>
          <w:rFonts w:hint="default" w:eastAsia="方正仿宋_GBK"/>
          <w:b w:val="0"/>
          <w:bCs/>
          <w:sz w:val="32"/>
          <w:szCs w:val="32"/>
          <w:lang w:val="en"/>
        </w:rPr>
        <w:t>”</w:t>
      </w:r>
      <w:r>
        <w:rPr>
          <w:rFonts w:eastAsia="方正仿宋_GBK"/>
          <w:b w:val="0"/>
          <w:bCs/>
          <w:sz w:val="32"/>
          <w:szCs w:val="32"/>
        </w:rPr>
        <w:t>、</w:t>
      </w:r>
      <w:r>
        <w:rPr>
          <w:rFonts w:hint="eastAsia" w:eastAsia="方正仿宋_GBK"/>
          <w:b w:val="0"/>
          <w:bCs/>
          <w:sz w:val="32"/>
          <w:szCs w:val="32"/>
        </w:rPr>
        <w:t>西部</w:t>
      </w:r>
      <w:r>
        <w:rPr>
          <w:rFonts w:eastAsia="方正仿宋_GBK"/>
          <w:b w:val="0"/>
          <w:bCs/>
          <w:sz w:val="32"/>
          <w:szCs w:val="32"/>
        </w:rPr>
        <w:t>陆海新通道等</w:t>
      </w:r>
      <w:r>
        <w:rPr>
          <w:rFonts w:hint="eastAsia" w:eastAsia="方正仿宋_GBK"/>
          <w:b w:val="0"/>
          <w:bCs/>
          <w:sz w:val="32"/>
          <w:szCs w:val="32"/>
        </w:rPr>
        <w:t>战略</w:t>
      </w:r>
      <w:r>
        <w:rPr>
          <w:rFonts w:eastAsia="方正仿宋_GBK"/>
          <w:b w:val="0"/>
          <w:bCs/>
          <w:sz w:val="32"/>
          <w:szCs w:val="32"/>
        </w:rPr>
        <w:t>大通道。</w:t>
      </w:r>
      <w:r>
        <w:rPr>
          <w:rFonts w:hAnsi="华文楷体" w:eastAsia="华文楷体"/>
          <w:b w:val="0"/>
          <w:bCs/>
          <w:sz w:val="32"/>
          <w:szCs w:val="32"/>
        </w:rPr>
        <w:t>三是与近邻城市缺乏铁路联系。</w:t>
      </w:r>
      <w:r>
        <w:rPr>
          <w:rFonts w:eastAsia="方正仿宋_GBK"/>
          <w:b w:val="0"/>
          <w:bCs/>
          <w:sz w:val="32"/>
          <w:szCs w:val="32"/>
        </w:rPr>
        <w:t>永川与合川、泸州之间缺乏铁路直接联系，与周边城市城区之间联系效率较低。</w:t>
      </w:r>
      <w:r>
        <w:rPr>
          <w:rFonts w:hAnsi="华文楷体" w:eastAsia="华文楷体"/>
          <w:b w:val="0"/>
          <w:bCs/>
          <w:sz w:val="32"/>
          <w:szCs w:val="32"/>
        </w:rPr>
        <w:t>四是轨道交通缺失。</w:t>
      </w:r>
      <w:r>
        <w:rPr>
          <w:rFonts w:eastAsia="方正仿宋_GBK"/>
          <w:b w:val="0"/>
          <w:bCs/>
          <w:sz w:val="32"/>
          <w:szCs w:val="32"/>
        </w:rPr>
        <w:t>与</w:t>
      </w:r>
      <w:r>
        <w:rPr>
          <w:rFonts w:hint="eastAsia" w:eastAsia="方正仿宋_GBK"/>
          <w:b w:val="0"/>
          <w:bCs/>
          <w:sz w:val="32"/>
          <w:szCs w:val="32"/>
        </w:rPr>
        <w:t>重庆</w:t>
      </w:r>
      <w:r>
        <w:rPr>
          <w:rFonts w:eastAsia="方正仿宋_GBK"/>
          <w:b w:val="0"/>
          <w:bCs/>
          <w:sz w:val="32"/>
          <w:szCs w:val="32"/>
        </w:rPr>
        <w:t>中心城区缺乏快速直连的轨道交通，真正意义上的主城都市区1小时通勤圈尚未形成。</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华文楷体"/>
          <w:b w:val="0"/>
          <w:bCs/>
          <w:sz w:val="32"/>
          <w:szCs w:val="32"/>
        </w:rPr>
      </w:pPr>
      <w:r>
        <w:rPr>
          <w:rFonts w:eastAsia="方正楷体_GBK"/>
          <w:b w:val="0"/>
          <w:bCs/>
          <w:sz w:val="32"/>
          <w:szCs w:val="32"/>
        </w:rPr>
        <w:t>助推区域互联互通的公路网络有待进一步完善。</w:t>
      </w:r>
      <w:r>
        <w:rPr>
          <w:rFonts w:hAnsi="华文楷体" w:eastAsia="华文楷体"/>
          <w:b w:val="0"/>
          <w:bCs/>
          <w:sz w:val="32"/>
          <w:szCs w:val="32"/>
        </w:rPr>
        <w:t>一是高速公路对外通道较少。</w:t>
      </w:r>
      <w:r>
        <w:rPr>
          <w:rFonts w:eastAsia="方正仿宋_GBK"/>
          <w:b w:val="0"/>
          <w:bCs/>
          <w:sz w:val="32"/>
          <w:szCs w:val="32"/>
        </w:rPr>
        <w:t>永川融入成渝地区双城经济圈高速通道不完善，仅成渝</w:t>
      </w:r>
      <w:r>
        <w:rPr>
          <w:rFonts w:hint="eastAsia" w:eastAsia="方正仿宋_GBK"/>
          <w:b w:val="0"/>
          <w:bCs/>
          <w:sz w:val="32"/>
          <w:szCs w:val="32"/>
        </w:rPr>
        <w:t>、永泸2条</w:t>
      </w:r>
      <w:r>
        <w:rPr>
          <w:rFonts w:eastAsia="方正仿宋_GBK"/>
          <w:b w:val="0"/>
          <w:bCs/>
          <w:sz w:val="32"/>
          <w:szCs w:val="32"/>
        </w:rPr>
        <w:t>高速。向东衔接江津、东北向衔接璧山、西北向衔接大足的高速通道</w:t>
      </w:r>
      <w:r>
        <w:rPr>
          <w:rFonts w:hint="eastAsia" w:eastAsia="方正仿宋_GBK"/>
          <w:b w:val="0"/>
          <w:bCs/>
          <w:sz w:val="32"/>
          <w:szCs w:val="32"/>
        </w:rPr>
        <w:t>不足</w:t>
      </w:r>
      <w:r>
        <w:rPr>
          <w:rFonts w:eastAsia="方正仿宋_GBK"/>
          <w:b w:val="0"/>
          <w:bCs/>
          <w:sz w:val="32"/>
          <w:szCs w:val="32"/>
        </w:rPr>
        <w:t>，与周边区市联系不够紧密。全区还有5个镇未通高速公路。高速公路结构不优，境内高速除九永高速外全部为4车道，缺乏6车道及以上高速大通道。</w:t>
      </w:r>
      <w:r>
        <w:rPr>
          <w:rFonts w:hAnsi="华文楷体" w:eastAsia="华文楷体"/>
          <w:b w:val="0"/>
          <w:bCs/>
          <w:sz w:val="32"/>
          <w:szCs w:val="32"/>
        </w:rPr>
        <w:t>二是对外干线公路衔接不畅。</w:t>
      </w:r>
      <w:r>
        <w:rPr>
          <w:rFonts w:eastAsia="方正仿宋_GBK"/>
          <w:b w:val="0"/>
          <w:bCs/>
          <w:sz w:val="32"/>
          <w:szCs w:val="32"/>
        </w:rPr>
        <w:t>永川城区与</w:t>
      </w:r>
      <w:r>
        <w:rPr>
          <w:rFonts w:hint="eastAsia" w:eastAsia="方正仿宋_GBK"/>
          <w:b w:val="0"/>
          <w:bCs/>
          <w:sz w:val="32"/>
          <w:szCs w:val="32"/>
        </w:rPr>
        <w:t>重庆新</w:t>
      </w:r>
      <w:r>
        <w:rPr>
          <w:rFonts w:eastAsia="方正仿宋_GBK"/>
          <w:b w:val="0"/>
          <w:bCs/>
          <w:sz w:val="32"/>
          <w:szCs w:val="32"/>
        </w:rPr>
        <w:t>机场、璧山区、</w:t>
      </w:r>
      <w:r>
        <w:rPr>
          <w:rFonts w:hint="eastAsia" w:eastAsia="方正仿宋_GBK"/>
          <w:b w:val="0"/>
          <w:bCs/>
          <w:sz w:val="32"/>
          <w:szCs w:val="32"/>
        </w:rPr>
        <w:t>江津</w:t>
      </w:r>
      <w:r>
        <w:rPr>
          <w:rFonts w:eastAsia="方正仿宋_GBK"/>
          <w:b w:val="0"/>
          <w:bCs/>
          <w:sz w:val="32"/>
          <w:szCs w:val="32"/>
        </w:rPr>
        <w:t>区缺乏高等级的快速干线公路连接。永川与四川泸州</w:t>
      </w:r>
      <w:r>
        <w:rPr>
          <w:rFonts w:hint="eastAsia" w:eastAsia="方正仿宋_GBK"/>
          <w:b w:val="0"/>
          <w:bCs/>
          <w:sz w:val="32"/>
          <w:szCs w:val="32"/>
        </w:rPr>
        <w:t>合江</w:t>
      </w:r>
      <w:r>
        <w:rPr>
          <w:rFonts w:eastAsia="方正仿宋_GBK"/>
          <w:b w:val="0"/>
          <w:bCs/>
          <w:sz w:val="32"/>
          <w:szCs w:val="32"/>
        </w:rPr>
        <w:t>等部分毗邻地区省道、县道存在断头路，</w:t>
      </w:r>
      <w:r>
        <w:rPr>
          <w:rFonts w:hint="eastAsia" w:eastAsia="方正仿宋_GBK"/>
          <w:b w:val="0"/>
          <w:bCs/>
          <w:sz w:val="32"/>
          <w:szCs w:val="32"/>
        </w:rPr>
        <w:t>部分</w:t>
      </w:r>
      <w:r>
        <w:rPr>
          <w:rFonts w:eastAsia="方正仿宋_GBK"/>
          <w:b w:val="0"/>
          <w:bCs/>
          <w:sz w:val="32"/>
          <w:szCs w:val="32"/>
        </w:rPr>
        <w:t>衔接公路等级较低，毗邻地区干线公路高等级一体衔接尚未形成。</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仿宋_GBK"/>
          <w:b w:val="0"/>
          <w:bCs/>
          <w:sz w:val="32"/>
          <w:szCs w:val="32"/>
        </w:rPr>
      </w:pPr>
      <w:r>
        <w:rPr>
          <w:rFonts w:eastAsia="方正楷体_GBK"/>
          <w:b w:val="0"/>
          <w:bCs/>
          <w:sz w:val="32"/>
          <w:szCs w:val="32"/>
        </w:rPr>
        <w:t>融入长江经济带的水运优势未能充分发挥。</w:t>
      </w:r>
      <w:r>
        <w:rPr>
          <w:rFonts w:hAnsi="华文楷体" w:eastAsia="华文楷体"/>
          <w:b w:val="0"/>
          <w:bCs/>
          <w:sz w:val="32"/>
          <w:szCs w:val="32"/>
        </w:rPr>
        <w:t>一是航道等级亟待提升。</w:t>
      </w:r>
      <w:r>
        <w:rPr>
          <w:rFonts w:eastAsia="方正仿宋_GBK"/>
          <w:b w:val="0"/>
          <w:bCs/>
          <w:sz w:val="32"/>
          <w:szCs w:val="32"/>
        </w:rPr>
        <w:t>长江干线永川段现状处于自然航段，航道等级为三级，最低维护水深2.9米，平均每年有4个月时间处于这一尺度，常年仅能通航1000吨级货运船舶，永川江海联通的航道体系尚未形成，航道等级亟需提升。</w:t>
      </w:r>
      <w:r>
        <w:rPr>
          <w:rFonts w:hAnsi="华文楷体" w:eastAsia="华文楷体"/>
          <w:b w:val="0"/>
          <w:bCs/>
          <w:sz w:val="32"/>
          <w:szCs w:val="32"/>
        </w:rPr>
        <w:t>二是港口优势不明显。</w:t>
      </w:r>
      <w:r>
        <w:rPr>
          <w:rFonts w:eastAsia="方正仿宋_GBK"/>
          <w:b w:val="0"/>
          <w:bCs/>
          <w:sz w:val="32"/>
          <w:szCs w:val="32"/>
        </w:rPr>
        <w:t>永川朱沱作业区建设进度缓慢，港口对临港产业的</w:t>
      </w:r>
      <w:r>
        <w:rPr>
          <w:rFonts w:hint="eastAsia" w:eastAsia="方正仿宋_GBK"/>
          <w:b w:val="0"/>
          <w:bCs/>
          <w:sz w:val="32"/>
          <w:szCs w:val="32"/>
        </w:rPr>
        <w:t>辐射带动作用不突出</w:t>
      </w:r>
      <w:r>
        <w:rPr>
          <w:rFonts w:eastAsia="方正仿宋_GBK"/>
          <w:b w:val="0"/>
          <w:bCs/>
          <w:sz w:val="32"/>
          <w:szCs w:val="32"/>
        </w:rPr>
        <w:t>，</w:t>
      </w:r>
      <w:r>
        <w:rPr>
          <w:rFonts w:hint="eastAsia" w:eastAsia="方正仿宋_GBK"/>
          <w:b w:val="0"/>
          <w:bCs/>
          <w:sz w:val="32"/>
          <w:szCs w:val="32"/>
        </w:rPr>
        <w:t>全区港</w:t>
      </w:r>
      <w:r>
        <w:rPr>
          <w:rFonts w:hint="eastAsia" w:eastAsia="方正仿宋_GBK"/>
          <w:b w:val="0"/>
          <w:bCs/>
          <w:sz w:val="32"/>
          <w:szCs w:val="32"/>
          <w:lang w:eastAsia="zh-CN"/>
        </w:rPr>
        <w:t>口</w:t>
      </w:r>
      <w:r>
        <w:rPr>
          <w:rFonts w:hint="eastAsia" w:eastAsia="方正仿宋_GBK"/>
          <w:b w:val="0"/>
          <w:bCs/>
          <w:sz w:val="32"/>
          <w:szCs w:val="32"/>
        </w:rPr>
        <w:t>货物</w:t>
      </w:r>
      <w:r>
        <w:rPr>
          <w:rFonts w:eastAsia="方正仿宋_GBK"/>
          <w:b w:val="0"/>
          <w:bCs/>
          <w:sz w:val="32"/>
          <w:szCs w:val="32"/>
        </w:rPr>
        <w:t>吞吐能力</w:t>
      </w:r>
      <w:r>
        <w:rPr>
          <w:rFonts w:hint="eastAsia" w:eastAsia="方正仿宋_GBK"/>
          <w:b w:val="0"/>
          <w:bCs/>
          <w:sz w:val="32"/>
          <w:szCs w:val="32"/>
        </w:rPr>
        <w:t>606</w:t>
      </w:r>
      <w:r>
        <w:rPr>
          <w:rFonts w:eastAsia="方正仿宋_GBK"/>
          <w:b w:val="0"/>
          <w:bCs/>
          <w:sz w:val="32"/>
          <w:szCs w:val="32"/>
        </w:rPr>
        <w:t>万吨，20</w:t>
      </w:r>
      <w:r>
        <w:rPr>
          <w:rFonts w:hint="eastAsia" w:eastAsia="方正仿宋_GBK"/>
          <w:b w:val="0"/>
          <w:bCs/>
          <w:sz w:val="32"/>
          <w:szCs w:val="32"/>
        </w:rPr>
        <w:t>20</w:t>
      </w:r>
      <w:r>
        <w:rPr>
          <w:rFonts w:eastAsia="方正仿宋_GBK"/>
          <w:b w:val="0"/>
          <w:bCs/>
          <w:sz w:val="32"/>
          <w:szCs w:val="32"/>
        </w:rPr>
        <w:t>年完成港口吞吐量仅</w:t>
      </w:r>
      <w:r>
        <w:rPr>
          <w:rFonts w:hint="eastAsia" w:eastAsia="方正仿宋_GBK"/>
          <w:b w:val="0"/>
          <w:bCs/>
          <w:sz w:val="32"/>
          <w:szCs w:val="32"/>
        </w:rPr>
        <w:t>70</w:t>
      </w:r>
      <w:r>
        <w:rPr>
          <w:rFonts w:eastAsia="方正仿宋_GBK"/>
          <w:b w:val="0"/>
          <w:bCs/>
          <w:sz w:val="32"/>
          <w:szCs w:val="32"/>
        </w:rPr>
        <w:t>万吨，水运运量大、成本低的运输优势未能有效发挥。</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30"/>
        <w:textAlignment w:val="auto"/>
        <w:rPr>
          <w:rFonts w:eastAsia="方正仿宋_GBK"/>
          <w:b w:val="0"/>
          <w:bCs/>
          <w:sz w:val="32"/>
          <w:szCs w:val="32"/>
        </w:rPr>
      </w:pPr>
      <w:r>
        <w:rPr>
          <w:rFonts w:eastAsia="方正楷体_GBK"/>
          <w:b w:val="0"/>
          <w:bCs/>
          <w:sz w:val="32"/>
          <w:szCs w:val="32"/>
        </w:rPr>
        <w:t>航空优势未充分发挥。</w:t>
      </w:r>
      <w:r>
        <w:rPr>
          <w:rFonts w:eastAsia="方正仿宋_GBK"/>
          <w:b w:val="0"/>
          <w:bCs/>
          <w:sz w:val="32"/>
          <w:szCs w:val="32"/>
        </w:rPr>
        <w:t>永川大安机场是渝西片区首个建成投用的通用机场，实现了永川机场零的突破，是永川交通建设发展史上重要的里程碑。但大安机场尚未取得空军划定的固定训练空域及转场航线，固定翼小飞机、直升机低空商务航线尚待研究开发，应急救援服务有待拓展</w:t>
      </w:r>
      <w:r>
        <w:rPr>
          <w:rFonts w:hint="eastAsia" w:eastAsia="方正仿宋_GBK"/>
          <w:b w:val="0"/>
          <w:bCs/>
          <w:sz w:val="32"/>
          <w:szCs w:val="32"/>
        </w:rPr>
        <w:t>。全区</w:t>
      </w:r>
      <w:r>
        <w:rPr>
          <w:rFonts w:eastAsia="方正仿宋_GBK"/>
          <w:b w:val="0"/>
          <w:bCs/>
          <w:sz w:val="32"/>
          <w:szCs w:val="32"/>
        </w:rPr>
        <w:t>缺乏直升机起降平台和起降点，无法满足高品质特色旅游、应急救援等发展需求，机场功能仍有待完善，航空优势未能充分发挥。</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30"/>
        <w:textAlignment w:val="auto"/>
        <w:rPr>
          <w:rFonts w:eastAsia="方正仿宋_GBK"/>
          <w:b w:val="0"/>
          <w:bCs/>
          <w:sz w:val="32"/>
          <w:szCs w:val="32"/>
        </w:rPr>
      </w:pPr>
      <w:r>
        <w:rPr>
          <w:rFonts w:eastAsia="方正仿宋_GBK"/>
          <w:b w:val="0"/>
          <w:bCs/>
          <w:sz w:val="32"/>
          <w:szCs w:val="32"/>
        </w:rPr>
        <w:t>2</w:t>
      </w:r>
      <w:r>
        <w:rPr>
          <w:rFonts w:hint="eastAsia" w:ascii="方正仿宋_GBK" w:hAnsi="方正仿宋_GBK" w:eastAsia="方正仿宋_GBK" w:cs="方正仿宋_GBK"/>
          <w:b w:val="0"/>
          <w:bCs/>
          <w:sz w:val="32"/>
          <w:szCs w:val="32"/>
        </w:rPr>
        <w:t>﹒</w:t>
      </w:r>
      <w:r>
        <w:rPr>
          <w:rFonts w:eastAsia="方正仿宋_GBK"/>
          <w:b w:val="0"/>
          <w:bCs/>
          <w:sz w:val="32"/>
          <w:szCs w:val="32"/>
        </w:rPr>
        <w:t>内部网络</w:t>
      </w:r>
      <w:r>
        <w:rPr>
          <w:rFonts w:hint="eastAsia" w:eastAsia="方正仿宋_GBK"/>
          <w:b w:val="0"/>
          <w:bCs/>
          <w:sz w:val="32"/>
          <w:szCs w:val="32"/>
        </w:rPr>
        <w:t>有待</w:t>
      </w:r>
      <w:r>
        <w:rPr>
          <w:rFonts w:eastAsia="方正仿宋_GBK"/>
          <w:b w:val="0"/>
          <w:bCs/>
          <w:sz w:val="32"/>
          <w:szCs w:val="32"/>
        </w:rPr>
        <w:t>完善</w:t>
      </w:r>
    </w:p>
    <w:p>
      <w:pPr>
        <w:keepNext w:val="0"/>
        <w:keepLines w:val="0"/>
        <w:pageBreakBefore w:val="0"/>
        <w:widowControl w:val="0"/>
        <w:tabs>
          <w:tab w:val="left" w:pos="2674"/>
        </w:tabs>
        <w:kinsoku/>
        <w:wordWrap/>
        <w:overflowPunct/>
        <w:topLinePunct w:val="0"/>
        <w:autoSpaceDE/>
        <w:autoSpaceDN/>
        <w:bidi w:val="0"/>
        <w:adjustRightInd w:val="0"/>
        <w:snapToGrid w:val="0"/>
        <w:spacing w:afterLines="0" w:line="276" w:lineRule="auto"/>
        <w:ind w:firstLine="555"/>
        <w:jc w:val="left"/>
        <w:textAlignment w:val="auto"/>
        <w:rPr>
          <w:rFonts w:hint="eastAsia" w:eastAsia="方正仿宋_GBK"/>
          <w:b w:val="0"/>
          <w:bCs/>
          <w:sz w:val="32"/>
          <w:szCs w:val="32"/>
        </w:rPr>
      </w:pPr>
      <w:r>
        <w:rPr>
          <w:rFonts w:hint="eastAsia" w:eastAsia="方正楷体_GBK"/>
          <w:b w:val="0"/>
          <w:bCs/>
          <w:sz w:val="32"/>
          <w:szCs w:val="32"/>
        </w:rPr>
        <w:t>公路技术等级有待提升</w:t>
      </w:r>
      <w:r>
        <w:rPr>
          <w:rFonts w:eastAsia="方正楷体_GBK"/>
          <w:b w:val="0"/>
          <w:bCs/>
          <w:sz w:val="32"/>
          <w:szCs w:val="32"/>
        </w:rPr>
        <w:t>。</w:t>
      </w:r>
      <w:r>
        <w:rPr>
          <w:rFonts w:eastAsia="方正仿宋_GBK"/>
          <w:b w:val="0"/>
          <w:bCs/>
          <w:sz w:val="32"/>
          <w:szCs w:val="32"/>
        </w:rPr>
        <w:t>全区二级及以上公路比例仅为5.95 %，与周边的大足区、璧山区、江津区等区域差距较大，</w:t>
      </w:r>
      <w:r>
        <w:rPr>
          <w:rFonts w:hint="eastAsia" w:eastAsia="方正仿宋_GBK"/>
          <w:b w:val="0"/>
          <w:bCs/>
          <w:sz w:val="32"/>
          <w:szCs w:val="32"/>
        </w:rPr>
        <w:t>城乡高效畅通的骨架网络未形成，</w:t>
      </w:r>
      <w:r>
        <w:rPr>
          <w:rFonts w:eastAsia="方正仿宋_GBK"/>
          <w:b w:val="0"/>
          <w:bCs/>
          <w:sz w:val="32"/>
          <w:szCs w:val="32"/>
        </w:rPr>
        <w:t>难以满足旅游景区、产业园区等发展需求。</w:t>
      </w:r>
    </w:p>
    <w:p>
      <w:pPr>
        <w:keepNext w:val="0"/>
        <w:keepLines w:val="0"/>
        <w:pageBreakBefore w:val="0"/>
        <w:widowControl w:val="0"/>
        <w:tabs>
          <w:tab w:val="left" w:pos="2674"/>
        </w:tabs>
        <w:kinsoku/>
        <w:wordWrap/>
        <w:overflowPunct/>
        <w:topLinePunct w:val="0"/>
        <w:autoSpaceDE/>
        <w:autoSpaceDN/>
        <w:bidi w:val="0"/>
        <w:adjustRightInd w:val="0"/>
        <w:snapToGrid w:val="0"/>
        <w:spacing w:afterLines="0" w:line="276" w:lineRule="auto"/>
        <w:ind w:firstLine="640" w:firstLineChars="200"/>
        <w:jc w:val="left"/>
        <w:textAlignment w:val="auto"/>
        <w:rPr>
          <w:rFonts w:hint="default" w:eastAsia="方正仿宋_GBK"/>
          <w:b w:val="0"/>
          <w:bCs/>
          <w:kern w:val="52"/>
          <w:sz w:val="32"/>
          <w:szCs w:val="32"/>
        </w:rPr>
      </w:pPr>
      <w:r>
        <w:rPr>
          <w:rFonts w:hint="default" w:eastAsia="方正仿宋_GBK"/>
          <w:b w:val="0"/>
          <w:bCs/>
          <w:kern w:val="52"/>
          <w:sz w:val="32"/>
          <w:szCs w:val="32"/>
        </w:rPr>
        <w:t>公路行政等级结构不合理</w:t>
      </w:r>
      <w:r>
        <w:rPr>
          <w:rFonts w:eastAsia="方正仿宋_GBK"/>
          <w:b w:val="0"/>
          <w:bCs/>
          <w:kern w:val="52"/>
          <w:sz w:val="32"/>
          <w:szCs w:val="32"/>
        </w:rPr>
        <w:t>。</w:t>
      </w:r>
      <w:r>
        <w:rPr>
          <w:rFonts w:hint="default" w:eastAsia="方正仿宋_GBK"/>
          <w:b w:val="0"/>
          <w:bCs/>
          <w:kern w:val="52"/>
          <w:sz w:val="32"/>
          <w:szCs w:val="32"/>
        </w:rPr>
        <w:t>路网结构中农村公路占比高达9</w:t>
      </w:r>
      <w:r>
        <w:rPr>
          <w:rFonts w:eastAsia="方正仿宋_GBK"/>
          <w:b w:val="0"/>
          <w:bCs/>
          <w:kern w:val="52"/>
          <w:sz w:val="32"/>
          <w:szCs w:val="32"/>
        </w:rPr>
        <w:t>1</w:t>
      </w:r>
      <w:r>
        <w:rPr>
          <w:rFonts w:hint="default" w:eastAsia="方正仿宋_GBK"/>
          <w:b w:val="0"/>
          <w:bCs/>
          <w:kern w:val="52"/>
          <w:sz w:val="32"/>
          <w:szCs w:val="32"/>
        </w:rPr>
        <w:t xml:space="preserve"> %，其中县乡道仅占农村公路比例的1</w:t>
      </w:r>
      <w:r>
        <w:rPr>
          <w:rFonts w:eastAsia="方正仿宋_GBK"/>
          <w:b w:val="0"/>
          <w:bCs/>
          <w:kern w:val="52"/>
          <w:sz w:val="32"/>
          <w:szCs w:val="32"/>
        </w:rPr>
        <w:t>1%</w:t>
      </w:r>
      <w:r>
        <w:rPr>
          <w:rFonts w:hint="default" w:eastAsia="方正仿宋_GBK"/>
          <w:b w:val="0"/>
          <w:bCs/>
          <w:kern w:val="52"/>
          <w:sz w:val="32"/>
          <w:szCs w:val="32"/>
        </w:rPr>
        <w:t>，路网层级结构失衡，未形成金字塔式结构</w:t>
      </w:r>
      <w:r>
        <w:rPr>
          <w:rFonts w:eastAsia="方正仿宋_GBK"/>
          <w:b w:val="0"/>
          <w:bCs/>
          <w:kern w:val="52"/>
          <w:sz w:val="32"/>
          <w:szCs w:val="32"/>
        </w:rPr>
        <w:t>。</w:t>
      </w:r>
    </w:p>
    <w:p>
      <w:pPr>
        <w:keepNext w:val="0"/>
        <w:keepLines w:val="0"/>
        <w:pageBreakBefore w:val="0"/>
        <w:widowControl w:val="0"/>
        <w:tabs>
          <w:tab w:val="left" w:pos="2674"/>
        </w:tabs>
        <w:kinsoku/>
        <w:wordWrap/>
        <w:overflowPunct/>
        <w:topLinePunct w:val="0"/>
        <w:autoSpaceDE/>
        <w:autoSpaceDN/>
        <w:bidi w:val="0"/>
        <w:adjustRightInd w:val="0"/>
        <w:snapToGrid w:val="0"/>
        <w:spacing w:afterLines="0" w:line="276" w:lineRule="auto"/>
        <w:ind w:firstLine="640" w:firstLineChars="200"/>
        <w:jc w:val="left"/>
        <w:textAlignment w:val="auto"/>
        <w:rPr>
          <w:rFonts w:hint="default" w:eastAsia="方正仿宋_GBK"/>
          <w:b w:val="0"/>
          <w:bCs/>
          <w:kern w:val="52"/>
          <w:sz w:val="32"/>
          <w:szCs w:val="32"/>
        </w:rPr>
      </w:pPr>
      <w:r>
        <w:rPr>
          <w:rFonts w:eastAsia="方正仿宋_GBK"/>
          <w:b w:val="0"/>
          <w:bCs/>
          <w:kern w:val="52"/>
          <w:sz w:val="32"/>
          <w:szCs w:val="32"/>
        </w:rPr>
        <w:t>公路</w:t>
      </w:r>
      <w:r>
        <w:rPr>
          <w:rFonts w:hint="default" w:eastAsia="方正仿宋_GBK"/>
          <w:b w:val="0"/>
          <w:bCs/>
          <w:kern w:val="52"/>
          <w:sz w:val="32"/>
          <w:szCs w:val="32"/>
        </w:rPr>
        <w:t>衔接有待优化</w:t>
      </w:r>
      <w:r>
        <w:rPr>
          <w:rFonts w:eastAsia="方正仿宋_GBK"/>
          <w:b w:val="0"/>
          <w:bCs/>
          <w:kern w:val="52"/>
          <w:sz w:val="32"/>
          <w:szCs w:val="32"/>
        </w:rPr>
        <w:t>。部分互通连接线技术等级较低，不能实现高速公路网与普通干线公路网的高效衔接</w:t>
      </w:r>
      <w:r>
        <w:rPr>
          <w:rFonts w:hint="default" w:eastAsia="方正仿宋_GBK"/>
          <w:b w:val="0"/>
          <w:bCs/>
          <w:kern w:val="52"/>
          <w:sz w:val="32"/>
          <w:szCs w:val="32"/>
        </w:rPr>
        <w:t>。</w:t>
      </w:r>
      <w:r>
        <w:rPr>
          <w:rFonts w:eastAsia="方正仿宋_GBK"/>
          <w:b w:val="0"/>
          <w:bCs/>
          <w:kern w:val="52"/>
          <w:sz w:val="32"/>
          <w:szCs w:val="32"/>
        </w:rPr>
        <w:t>部分乡镇与高速公路衔接不紧密，4个乡镇尚未实现15分钟上高速目标</w:t>
      </w:r>
      <w:r>
        <w:rPr>
          <w:rFonts w:hint="default" w:eastAsia="方正仿宋_GBK"/>
          <w:b w:val="0"/>
          <w:bCs/>
          <w:kern w:val="52"/>
          <w:sz w:val="32"/>
          <w:szCs w:val="32"/>
        </w:rPr>
        <w:t>。境内</w:t>
      </w:r>
      <w:r>
        <w:rPr>
          <w:rFonts w:eastAsia="方正仿宋_GBK"/>
          <w:b w:val="0"/>
          <w:bCs/>
          <w:kern w:val="52"/>
          <w:sz w:val="32"/>
          <w:szCs w:val="32"/>
        </w:rPr>
        <w:t>桃花源、石笋山等</w:t>
      </w:r>
      <w:r>
        <w:rPr>
          <w:rFonts w:hint="default" w:eastAsia="方正仿宋_GBK"/>
          <w:b w:val="0"/>
          <w:bCs/>
          <w:kern w:val="52"/>
          <w:sz w:val="32"/>
          <w:szCs w:val="32"/>
        </w:rPr>
        <w:t>旅游</w:t>
      </w:r>
      <w:r>
        <w:rPr>
          <w:rFonts w:eastAsia="方正仿宋_GBK"/>
          <w:b w:val="0"/>
          <w:bCs/>
          <w:kern w:val="52"/>
          <w:sz w:val="32"/>
          <w:szCs w:val="32"/>
        </w:rPr>
        <w:t>景区</w:t>
      </w:r>
      <w:r>
        <w:rPr>
          <w:rFonts w:hint="default" w:eastAsia="方正仿宋_GBK"/>
          <w:b w:val="0"/>
          <w:bCs/>
          <w:kern w:val="52"/>
          <w:sz w:val="32"/>
          <w:szCs w:val="32"/>
        </w:rPr>
        <w:t>与高速公路衔接不畅</w:t>
      </w:r>
      <w:r>
        <w:rPr>
          <w:rFonts w:eastAsia="方正仿宋_GBK"/>
          <w:b w:val="0"/>
          <w:bCs/>
          <w:kern w:val="52"/>
          <w:sz w:val="32"/>
          <w:szCs w:val="32"/>
        </w:rPr>
        <w:t>。</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仿宋_GBK"/>
          <w:b w:val="0"/>
          <w:bCs/>
          <w:kern w:val="52"/>
          <w:sz w:val="32"/>
          <w:szCs w:val="32"/>
        </w:rPr>
      </w:pPr>
      <w:r>
        <w:rPr>
          <w:rFonts w:eastAsia="方正仿宋_GBK"/>
          <w:b w:val="0"/>
          <w:bCs/>
          <w:kern w:val="52"/>
          <w:sz w:val="32"/>
          <w:szCs w:val="32"/>
        </w:rPr>
        <w:t>乡村振兴战略支撑有待加强。永川区县乡道等外公路占比高，未铺装路面占比为</w:t>
      </w:r>
      <w:r>
        <w:rPr>
          <w:rFonts w:hint="default" w:eastAsia="方正仿宋_GBK"/>
          <w:b w:val="0"/>
          <w:bCs/>
          <w:kern w:val="52"/>
          <w:sz w:val="32"/>
          <w:szCs w:val="32"/>
        </w:rPr>
        <w:t>3</w:t>
      </w:r>
      <w:r>
        <w:rPr>
          <w:rFonts w:eastAsia="方正仿宋_GBK"/>
          <w:b w:val="0"/>
          <w:bCs/>
          <w:kern w:val="52"/>
          <w:sz w:val="32"/>
          <w:szCs w:val="32"/>
        </w:rPr>
        <w:t>4.79%，高于合川、璧山、荣昌等周边区域，农村公路总体技术指标偏低，部分路段不具备单改双路况条件，后期升级改造难度</w:t>
      </w:r>
      <w:r>
        <w:rPr>
          <w:rFonts w:hint="default" w:eastAsia="方正仿宋_GBK"/>
          <w:b w:val="0"/>
          <w:bCs/>
          <w:kern w:val="52"/>
          <w:sz w:val="32"/>
          <w:szCs w:val="32"/>
        </w:rPr>
        <w:t>较</w:t>
      </w:r>
      <w:r>
        <w:rPr>
          <w:rFonts w:eastAsia="方正仿宋_GBK"/>
          <w:b w:val="0"/>
          <w:bCs/>
          <w:kern w:val="52"/>
          <w:sz w:val="32"/>
          <w:szCs w:val="32"/>
        </w:rPr>
        <w:t>大。</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仿宋_GBK"/>
          <w:b w:val="0"/>
          <w:bCs/>
          <w:kern w:val="52"/>
          <w:sz w:val="32"/>
          <w:szCs w:val="32"/>
        </w:rPr>
      </w:pPr>
      <w:r>
        <w:rPr>
          <w:rFonts w:eastAsia="方正仿宋_GBK"/>
          <w:b w:val="0"/>
          <w:bCs/>
          <w:kern w:val="52"/>
          <w:sz w:val="32"/>
          <w:szCs w:val="32"/>
        </w:rPr>
        <w:t>3</w:t>
      </w:r>
      <w:r>
        <w:rPr>
          <w:rFonts w:hint="default" w:ascii="Times New Roman" w:hAnsi="Times New Roman" w:eastAsia="方正仿宋_GBK" w:cs="Times New Roman"/>
          <w:b w:val="0"/>
          <w:bCs/>
          <w:kern w:val="52"/>
          <w:sz w:val="32"/>
          <w:szCs w:val="32"/>
        </w:rPr>
        <w:t>﹒</w:t>
      </w:r>
      <w:r>
        <w:rPr>
          <w:rFonts w:eastAsia="方正仿宋_GBK"/>
          <w:b w:val="0"/>
          <w:bCs/>
          <w:kern w:val="52"/>
          <w:sz w:val="32"/>
          <w:szCs w:val="32"/>
        </w:rPr>
        <w:t>枢纽衔接</w:t>
      </w:r>
      <w:r>
        <w:rPr>
          <w:rFonts w:hint="default" w:eastAsia="方正仿宋_GBK"/>
          <w:b w:val="0"/>
          <w:bCs/>
          <w:kern w:val="52"/>
          <w:sz w:val="32"/>
          <w:szCs w:val="32"/>
        </w:rPr>
        <w:t>有待提升</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仿宋_GBK"/>
          <w:b w:val="0"/>
          <w:bCs/>
          <w:kern w:val="52"/>
          <w:sz w:val="32"/>
          <w:szCs w:val="32"/>
        </w:rPr>
      </w:pPr>
      <w:r>
        <w:rPr>
          <w:rFonts w:eastAsia="方正仿宋_GBK"/>
          <w:b w:val="0"/>
          <w:bCs/>
          <w:kern w:val="52"/>
          <w:sz w:val="32"/>
          <w:szCs w:val="32"/>
        </w:rPr>
        <w:t>缺乏一体化的现代综合客运枢纽体系。境内缺乏集高铁、市域（郊）铁路、城市公交、长途客运等为一体的综合性无缝换乘客运枢纽，现状各种交通方式衔接不紧密。境内公共交通站场</w:t>
      </w:r>
      <w:r>
        <w:rPr>
          <w:rFonts w:hint="default" w:eastAsia="方正仿宋_GBK"/>
          <w:b w:val="0"/>
          <w:bCs/>
          <w:kern w:val="52"/>
          <w:sz w:val="32"/>
          <w:szCs w:val="32"/>
        </w:rPr>
        <w:t>和公交港湾站</w:t>
      </w:r>
      <w:r>
        <w:rPr>
          <w:rFonts w:eastAsia="方正仿宋_GBK"/>
          <w:b w:val="0"/>
          <w:bCs/>
          <w:kern w:val="52"/>
          <w:sz w:val="32"/>
          <w:szCs w:val="32"/>
        </w:rPr>
        <w:t>设施缺乏，</w:t>
      </w:r>
      <w:r>
        <w:rPr>
          <w:rFonts w:hint="default" w:eastAsia="方正仿宋_GBK"/>
          <w:b w:val="0"/>
          <w:bCs/>
          <w:kern w:val="52"/>
          <w:sz w:val="32"/>
          <w:szCs w:val="32"/>
        </w:rPr>
        <w:t>公共交通基础设施有待完善</w:t>
      </w:r>
      <w:r>
        <w:rPr>
          <w:rFonts w:eastAsia="方正仿宋_GBK"/>
          <w:b w:val="0"/>
          <w:bCs/>
          <w:kern w:val="52"/>
          <w:sz w:val="32"/>
          <w:szCs w:val="32"/>
        </w:rPr>
        <w:t>。</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仿宋_GBK"/>
          <w:b w:val="0"/>
          <w:bCs/>
          <w:kern w:val="52"/>
          <w:sz w:val="32"/>
          <w:szCs w:val="32"/>
          <w:highlight w:val="none"/>
        </w:rPr>
      </w:pPr>
      <w:r>
        <w:rPr>
          <w:rFonts w:eastAsia="方正仿宋_GBK"/>
          <w:b w:val="0"/>
          <w:bCs/>
          <w:kern w:val="52"/>
          <w:sz w:val="32"/>
          <w:szCs w:val="32"/>
        </w:rPr>
        <w:t>货运枢纽集疏运体系尚不健全。各种交通方式衔接不紧密，铁路进港区、铁路进园区尚未实现，铁路、水运货运量占比偏低，仅占运输总量的1.3%、7.</w:t>
      </w:r>
      <w:r>
        <w:rPr>
          <w:rFonts w:hint="default" w:eastAsia="方正仿宋_GBK"/>
          <w:b w:val="0"/>
          <w:bCs/>
          <w:kern w:val="52"/>
          <w:sz w:val="32"/>
          <w:szCs w:val="32"/>
        </w:rPr>
        <w:t>9</w:t>
      </w:r>
      <w:r>
        <w:rPr>
          <w:rFonts w:eastAsia="方正仿宋_GBK"/>
          <w:b w:val="0"/>
          <w:bCs/>
          <w:kern w:val="52"/>
          <w:sz w:val="32"/>
          <w:szCs w:val="32"/>
        </w:rPr>
        <w:t>%，低于全市（1.7%、15.4%）和全国（7.7%、9%）的平均水平，铁路和水运技术优势发挥不足。</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仿宋_GBK"/>
          <w:b w:val="0"/>
          <w:bCs/>
          <w:kern w:val="52"/>
          <w:sz w:val="32"/>
          <w:szCs w:val="32"/>
        </w:rPr>
      </w:pPr>
      <w:r>
        <w:rPr>
          <w:rFonts w:eastAsia="方正仿宋_GBK"/>
          <w:b w:val="0"/>
          <w:bCs/>
          <w:kern w:val="52"/>
          <w:sz w:val="32"/>
          <w:szCs w:val="32"/>
        </w:rPr>
        <w:t>4</w:t>
      </w:r>
      <w:r>
        <w:rPr>
          <w:rFonts w:hint="default" w:ascii="Times New Roman" w:hAnsi="Times New Roman" w:eastAsia="方正仿宋_GBK" w:cs="Times New Roman"/>
          <w:b w:val="0"/>
          <w:bCs/>
          <w:kern w:val="52"/>
          <w:sz w:val="32"/>
          <w:szCs w:val="32"/>
        </w:rPr>
        <w:t>﹒</w:t>
      </w:r>
      <w:r>
        <w:rPr>
          <w:rFonts w:eastAsia="方正仿宋_GBK"/>
          <w:b w:val="0"/>
          <w:bCs/>
          <w:kern w:val="52"/>
          <w:sz w:val="32"/>
          <w:szCs w:val="32"/>
        </w:rPr>
        <w:t>运输服务</w:t>
      </w:r>
      <w:r>
        <w:rPr>
          <w:rFonts w:hint="default" w:eastAsia="方正仿宋_GBK"/>
          <w:b w:val="0"/>
          <w:bCs/>
          <w:kern w:val="52"/>
          <w:sz w:val="32"/>
          <w:szCs w:val="32"/>
        </w:rPr>
        <w:t>有待提质</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仿宋_GBK"/>
          <w:b w:val="0"/>
          <w:bCs/>
          <w:kern w:val="52"/>
          <w:sz w:val="32"/>
          <w:szCs w:val="32"/>
        </w:rPr>
      </w:pPr>
      <w:r>
        <w:rPr>
          <w:rFonts w:eastAsia="方正仿宋_GBK"/>
          <w:b w:val="0"/>
          <w:bCs/>
          <w:kern w:val="52"/>
          <w:sz w:val="32"/>
          <w:szCs w:val="32"/>
        </w:rPr>
        <w:t>高品质客运服务水平有待提升。与周边地区的城际公交开行较少，包车客运、旅游客运、精品班线等多样化道路客运服务</w:t>
      </w:r>
      <w:r>
        <w:rPr>
          <w:rFonts w:hint="default" w:eastAsia="方正仿宋_GBK"/>
          <w:b w:val="0"/>
          <w:bCs/>
          <w:kern w:val="52"/>
          <w:sz w:val="32"/>
          <w:szCs w:val="32"/>
        </w:rPr>
        <w:t>与公众出行仍有差距</w:t>
      </w:r>
      <w:r>
        <w:rPr>
          <w:rFonts w:eastAsia="方正仿宋_GBK"/>
          <w:b w:val="0"/>
          <w:bCs/>
          <w:kern w:val="52"/>
          <w:sz w:val="32"/>
          <w:szCs w:val="32"/>
        </w:rPr>
        <w:t>。城市客运服务水平不高，公共交通主导作用发挥不够</w:t>
      </w:r>
      <w:r>
        <w:rPr>
          <w:rFonts w:hint="default" w:eastAsia="方正仿宋_GBK"/>
          <w:b w:val="0"/>
          <w:bCs/>
          <w:kern w:val="52"/>
          <w:sz w:val="32"/>
          <w:szCs w:val="32"/>
        </w:rPr>
        <w:t>，</w:t>
      </w:r>
      <w:r>
        <w:rPr>
          <w:rFonts w:eastAsia="方正仿宋_GBK"/>
          <w:b w:val="0"/>
          <w:bCs/>
          <w:kern w:val="52"/>
          <w:sz w:val="32"/>
          <w:szCs w:val="32"/>
        </w:rPr>
        <w:t>受老城区道路限制</w:t>
      </w:r>
      <w:r>
        <w:rPr>
          <w:rFonts w:hint="default" w:eastAsia="方正仿宋_GBK"/>
          <w:b w:val="0"/>
          <w:bCs/>
          <w:kern w:val="52"/>
          <w:sz w:val="32"/>
          <w:szCs w:val="32"/>
        </w:rPr>
        <w:t>，公交港湾站、公交站台等建设困难</w:t>
      </w:r>
      <w:r>
        <w:rPr>
          <w:rFonts w:eastAsia="方正仿宋_GBK"/>
          <w:b w:val="0"/>
          <w:bCs/>
          <w:kern w:val="52"/>
          <w:sz w:val="32"/>
          <w:szCs w:val="32"/>
        </w:rPr>
        <w:t>，群众满意度有待提升</w:t>
      </w:r>
      <w:r>
        <w:rPr>
          <w:rFonts w:hint="default" w:eastAsia="方正仿宋_GBK"/>
          <w:b w:val="0"/>
          <w:bCs/>
          <w:kern w:val="52"/>
          <w:sz w:val="32"/>
          <w:szCs w:val="32"/>
        </w:rPr>
        <w:t>。</w:t>
      </w:r>
      <w:r>
        <w:rPr>
          <w:rFonts w:eastAsia="方正仿宋_GBK"/>
          <w:b w:val="0"/>
          <w:bCs/>
          <w:kern w:val="52"/>
          <w:sz w:val="32"/>
          <w:szCs w:val="32"/>
        </w:rPr>
        <w:t>农村客运服务水平不高，客运线路通达深度不够，部分群众出行仍然不便。</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仿宋_GBK"/>
          <w:b w:val="0"/>
          <w:bCs/>
          <w:kern w:val="52"/>
          <w:sz w:val="32"/>
          <w:szCs w:val="32"/>
        </w:rPr>
      </w:pPr>
      <w:r>
        <w:rPr>
          <w:rFonts w:eastAsia="方正仿宋_GBK"/>
          <w:b w:val="0"/>
          <w:bCs/>
          <w:kern w:val="52"/>
          <w:sz w:val="32"/>
          <w:szCs w:val="32"/>
        </w:rPr>
        <w:t>高效率货运服务水平仍需加强。运输结构调整有待完善，多式联运发展滞后，铁水联运、水水联运尚未实现。货运结构、装备还需调整，中小型企业较多，缺少主导行业发展的大型实体企业。运力结构调整滞后，高效低耗重型货车、</w:t>
      </w:r>
      <w:r>
        <w:rPr>
          <w:rFonts w:hint="eastAsia" w:eastAsia="方正仿宋_GBK"/>
          <w:b w:val="0"/>
          <w:bCs/>
          <w:kern w:val="52"/>
          <w:sz w:val="32"/>
          <w:szCs w:val="32"/>
          <w:lang w:eastAsia="zh-CN"/>
        </w:rPr>
        <w:t>厢</w:t>
      </w:r>
      <w:r>
        <w:rPr>
          <w:rFonts w:eastAsia="方正仿宋_GBK"/>
          <w:b w:val="0"/>
          <w:bCs/>
          <w:kern w:val="52"/>
          <w:sz w:val="32"/>
          <w:szCs w:val="32"/>
        </w:rPr>
        <w:t>式货车、集装箱货车、拖挂车和特种专用车比重较低。</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仿宋_GBK"/>
          <w:b w:val="0"/>
          <w:bCs/>
          <w:sz w:val="32"/>
          <w:szCs w:val="32"/>
        </w:rPr>
      </w:pPr>
      <w:r>
        <w:rPr>
          <w:rFonts w:eastAsia="方正仿宋_GBK"/>
          <w:b w:val="0"/>
          <w:bCs/>
          <w:kern w:val="52"/>
          <w:sz w:val="32"/>
          <w:szCs w:val="32"/>
        </w:rPr>
        <w:t>高质量交通保障能力亟待强化。智慧交通发展有待加强，智能交通基础设施覆盖面不够、集约度不高，交通数据资源</w:t>
      </w:r>
      <w:r>
        <w:rPr>
          <w:rFonts w:hint="default" w:eastAsia="方正仿宋_GBK"/>
          <w:b w:val="0"/>
          <w:bCs/>
          <w:kern w:val="52"/>
          <w:sz w:val="32"/>
          <w:szCs w:val="32"/>
        </w:rPr>
        <w:t>需继续加快</w:t>
      </w:r>
      <w:r>
        <w:rPr>
          <w:rFonts w:eastAsia="方正仿宋_GBK"/>
          <w:b w:val="0"/>
          <w:bCs/>
          <w:kern w:val="52"/>
          <w:sz w:val="32"/>
          <w:szCs w:val="32"/>
        </w:rPr>
        <w:t>整合。绿色交通发展有待加强，清洁运输装备、</w:t>
      </w:r>
      <w:r>
        <w:rPr>
          <w:rFonts w:hint="default" w:eastAsia="方正仿宋_GBK"/>
          <w:b w:val="0"/>
          <w:bCs/>
          <w:kern w:val="52"/>
          <w:sz w:val="32"/>
          <w:szCs w:val="32"/>
        </w:rPr>
        <w:t>充电桩</w:t>
      </w:r>
      <w:r>
        <w:rPr>
          <w:rFonts w:eastAsia="方正仿宋_GBK"/>
          <w:b w:val="0"/>
          <w:bCs/>
          <w:kern w:val="52"/>
          <w:sz w:val="32"/>
          <w:szCs w:val="32"/>
        </w:rPr>
        <w:t>还需进一步推广。交通安全发展有待加强，安全基础设施设备建设力度仍需强化，交通安全应急保障能</w:t>
      </w:r>
      <w:r>
        <w:rPr>
          <w:rFonts w:eastAsia="方正仿宋_GBK"/>
          <w:b w:val="0"/>
          <w:bCs/>
          <w:sz w:val="32"/>
          <w:szCs w:val="32"/>
        </w:rPr>
        <w:t>力尚显不足，水上应急装备、应救援队伍、应急救援能力有待进一步提升。</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30"/>
        <w:textAlignment w:val="auto"/>
        <w:rPr>
          <w:rFonts w:eastAsia="方正仿宋_GBK"/>
          <w:b w:val="0"/>
          <w:bCs/>
          <w:sz w:val="32"/>
          <w:szCs w:val="32"/>
        </w:rPr>
      </w:pPr>
    </w:p>
    <w:p>
      <w:pPr>
        <w:spacing w:afterLines="0" w:line="276" w:lineRule="auto"/>
        <w:jc w:val="center"/>
        <w:rPr>
          <w:rFonts w:hint="eastAsia" w:ascii="Times New Roman" w:hAnsi="Times New Roman" w:eastAsia="方正黑体_GBK"/>
          <w:b w:val="0"/>
          <w:bCs/>
          <w:sz w:val="32"/>
          <w:szCs w:val="32"/>
        </w:rPr>
      </w:pPr>
      <w:bookmarkStart w:id="68" w:name="_Toc1472277172"/>
      <w:bookmarkStart w:id="69" w:name="_Toc825903490"/>
      <w:bookmarkStart w:id="70" w:name="_Toc1248030540_WPSOffice_Level1"/>
      <w:bookmarkStart w:id="71" w:name="_Toc1991"/>
      <w:r>
        <w:rPr>
          <w:rFonts w:ascii="Times New Roman" w:hAnsi="Times New Roman" w:eastAsia="方正黑体_GBK"/>
          <w:b w:val="0"/>
          <w:bCs/>
          <w:sz w:val="32"/>
          <w:szCs w:val="32"/>
        </w:rPr>
        <w:t>第二章  发展形势</w:t>
      </w:r>
      <w:bookmarkEnd w:id="68"/>
      <w:bookmarkEnd w:id="69"/>
      <w:bookmarkEnd w:id="70"/>
      <w:bookmarkEnd w:id="71"/>
    </w:p>
    <w:p>
      <w:pPr>
        <w:keepNext w:val="0"/>
        <w:keepLines w:val="0"/>
        <w:pageBreakBefore w:val="0"/>
        <w:widowControl w:val="0"/>
        <w:kinsoku/>
        <w:wordWrap/>
        <w:overflowPunct/>
        <w:topLinePunct w:val="0"/>
        <w:autoSpaceDE/>
        <w:autoSpaceDN/>
        <w:bidi w:val="0"/>
        <w:adjustRightInd w:val="0"/>
        <w:snapToGrid w:val="0"/>
        <w:spacing w:before="0" w:after="0" w:afterLines="0" w:line="276" w:lineRule="auto"/>
        <w:ind w:firstLine="643"/>
        <w:textAlignment w:val="auto"/>
        <w:rPr>
          <w:rFonts w:hint="default" w:ascii="Times New Roman" w:hAnsi="Times New Roman" w:eastAsia="方正仿宋_GBK" w:cs="Times New Roman"/>
          <w:b w:val="0"/>
          <w:bCs/>
          <w:kern w:val="2"/>
          <w:sz w:val="32"/>
          <w:szCs w:val="32"/>
        </w:rPr>
      </w:pPr>
      <w:bookmarkStart w:id="72" w:name="_Toc22783"/>
    </w:p>
    <w:p>
      <w:pPr>
        <w:pStyle w:val="16"/>
        <w:keepNext w:val="0"/>
        <w:keepLines w:val="0"/>
        <w:pageBreakBefore w:val="0"/>
        <w:widowControl w:val="0"/>
        <w:kinsoku/>
        <w:wordWrap/>
        <w:overflowPunct/>
        <w:topLinePunct w:val="0"/>
        <w:autoSpaceDE/>
        <w:autoSpaceDN/>
        <w:bidi w:val="0"/>
        <w:adjustRightInd w:val="0"/>
        <w:snapToGrid w:val="0"/>
        <w:spacing w:before="0" w:after="0" w:afterLines="0" w:line="276" w:lineRule="auto"/>
        <w:textAlignment w:val="auto"/>
        <w:rPr>
          <w:rFonts w:hint="eastAsia" w:ascii="方正楷体_GBK" w:hAnsi="方正楷体_GBK" w:eastAsia="方正楷体_GBK" w:cs="方正楷体_GBK"/>
          <w:b w:val="0"/>
          <w:bCs/>
          <w:kern w:val="2"/>
          <w:sz w:val="32"/>
          <w:szCs w:val="32"/>
        </w:rPr>
      </w:pPr>
      <w:bookmarkStart w:id="73" w:name="_Toc1630678138"/>
      <w:bookmarkStart w:id="74" w:name="_Toc1551429946_WPSOffice_Level2"/>
      <w:bookmarkStart w:id="75" w:name="_Toc1983084728"/>
      <w:r>
        <w:rPr>
          <w:rFonts w:hint="eastAsia" w:ascii="方正楷体_GBK" w:hAnsi="方正楷体_GBK" w:eastAsia="方正楷体_GBK" w:cs="方正楷体_GBK"/>
          <w:b w:val="0"/>
          <w:bCs/>
          <w:kern w:val="2"/>
          <w:sz w:val="32"/>
          <w:szCs w:val="32"/>
        </w:rPr>
        <w:t xml:space="preserve">第一节 </w:t>
      </w:r>
      <w:r>
        <w:rPr>
          <w:rFonts w:hint="default" w:ascii="方正楷体_GBK" w:hAnsi="方正楷体_GBK" w:eastAsia="方正楷体_GBK" w:cs="方正楷体_GBK"/>
          <w:b w:val="0"/>
          <w:bCs/>
          <w:kern w:val="2"/>
          <w:sz w:val="32"/>
          <w:szCs w:val="32"/>
          <w:lang w:val="en"/>
        </w:rPr>
        <w:t xml:space="preserve"> </w:t>
      </w:r>
      <w:r>
        <w:rPr>
          <w:rFonts w:hint="eastAsia" w:ascii="方正楷体_GBK" w:hAnsi="方正楷体_GBK" w:eastAsia="方正楷体_GBK" w:cs="方正楷体_GBK"/>
          <w:b w:val="0"/>
          <w:bCs/>
          <w:kern w:val="2"/>
          <w:sz w:val="32"/>
          <w:szCs w:val="32"/>
        </w:rPr>
        <w:t>形势要求</w:t>
      </w:r>
      <w:bookmarkEnd w:id="72"/>
      <w:bookmarkEnd w:id="73"/>
      <w:bookmarkEnd w:id="74"/>
      <w:bookmarkEnd w:id="75"/>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3"/>
        <w:textAlignment w:val="auto"/>
        <w:rPr>
          <w:rFonts w:eastAsia="方正仿宋_GBK"/>
          <w:b w:val="0"/>
          <w:bCs/>
          <w:sz w:val="32"/>
          <w:szCs w:val="32"/>
        </w:rPr>
      </w:pP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3"/>
        <w:textAlignment w:val="auto"/>
        <w:rPr>
          <w:rFonts w:eastAsia="方正仿宋_GBK"/>
          <w:b w:val="0"/>
          <w:bCs/>
          <w:sz w:val="32"/>
          <w:szCs w:val="32"/>
        </w:rPr>
      </w:pPr>
      <w:r>
        <w:rPr>
          <w:rFonts w:eastAsia="方正仿宋_GBK"/>
          <w:b w:val="0"/>
          <w:bCs/>
          <w:sz w:val="32"/>
          <w:szCs w:val="32"/>
        </w:rPr>
        <w:t>习近平总书记指出，</w:t>
      </w:r>
      <w:r>
        <w:rPr>
          <w:rFonts w:eastAsia="方正仿宋_GBK"/>
          <w:b w:val="0"/>
          <w:bCs/>
          <w:sz w:val="32"/>
          <w:szCs w:val="32"/>
          <w:lang w:val="en"/>
        </w:rPr>
        <w:t>“</w:t>
      </w:r>
      <w:r>
        <w:rPr>
          <w:rFonts w:eastAsia="方正仿宋_GBK"/>
          <w:b w:val="0"/>
          <w:bCs/>
          <w:sz w:val="32"/>
          <w:szCs w:val="32"/>
        </w:rPr>
        <w:t>十四五</w:t>
      </w:r>
      <w:r>
        <w:rPr>
          <w:rFonts w:hint="default" w:eastAsia="方正仿宋_GBK"/>
          <w:b w:val="0"/>
          <w:bCs/>
          <w:sz w:val="32"/>
          <w:szCs w:val="32"/>
          <w:lang w:val="en"/>
        </w:rPr>
        <w:t>”</w:t>
      </w:r>
      <w:r>
        <w:rPr>
          <w:rFonts w:eastAsia="方正仿宋_GBK"/>
          <w:b w:val="0"/>
          <w:bCs/>
          <w:sz w:val="32"/>
          <w:szCs w:val="32"/>
        </w:rPr>
        <w:t>时期是我国开启全面建设社会主义现代化国家新征程的第一个五年，谋划好</w:t>
      </w:r>
      <w:r>
        <w:rPr>
          <w:rFonts w:eastAsia="方正仿宋_GBK"/>
          <w:b w:val="0"/>
          <w:bCs/>
          <w:sz w:val="32"/>
          <w:szCs w:val="32"/>
          <w:lang w:val="en"/>
        </w:rPr>
        <w:t>“</w:t>
      </w:r>
      <w:r>
        <w:rPr>
          <w:rFonts w:eastAsia="方正仿宋_GBK"/>
          <w:b w:val="0"/>
          <w:bCs/>
          <w:sz w:val="32"/>
          <w:szCs w:val="32"/>
        </w:rPr>
        <w:t>十四五</w:t>
      </w:r>
      <w:r>
        <w:rPr>
          <w:rFonts w:eastAsia="方正仿宋_GBK"/>
          <w:b w:val="0"/>
          <w:bCs/>
          <w:sz w:val="32"/>
          <w:szCs w:val="32"/>
          <w:lang w:val="en"/>
        </w:rPr>
        <w:t>”</w:t>
      </w:r>
      <w:r>
        <w:rPr>
          <w:rFonts w:eastAsia="方正仿宋_GBK"/>
          <w:b w:val="0"/>
          <w:bCs/>
          <w:sz w:val="32"/>
          <w:szCs w:val="32"/>
        </w:rPr>
        <w:t>时期发展十分重要。当前和今后一个时期，我国发展仍然处于战略机遇期，但机遇和挑战都有新的发展变化。当今我国发展的内外部环境正在发生深刻变化，交通发展要放在国际大环境、全国大格局中思考谋划。</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3"/>
        <w:textAlignment w:val="auto"/>
        <w:rPr>
          <w:rFonts w:eastAsia="方正黑体_GBK"/>
          <w:b w:val="0"/>
          <w:bCs/>
          <w:sz w:val="32"/>
          <w:szCs w:val="32"/>
        </w:rPr>
      </w:pPr>
      <w:r>
        <w:rPr>
          <w:rFonts w:eastAsia="方正黑体_GBK"/>
          <w:b w:val="0"/>
          <w:bCs/>
          <w:sz w:val="32"/>
          <w:szCs w:val="32"/>
        </w:rPr>
        <w:t>从国家和市级层面看，</w:t>
      </w:r>
      <w:r>
        <w:rPr>
          <w:rFonts w:eastAsia="方正黑体_GBK"/>
          <w:b w:val="0"/>
          <w:bCs/>
          <w:sz w:val="32"/>
          <w:szCs w:val="32"/>
          <w:lang w:val="en"/>
        </w:rPr>
        <w:t>“</w:t>
      </w:r>
      <w:r>
        <w:rPr>
          <w:rFonts w:eastAsia="方正黑体_GBK"/>
          <w:b w:val="0"/>
          <w:bCs/>
          <w:sz w:val="32"/>
          <w:szCs w:val="32"/>
        </w:rPr>
        <w:t>十四五</w:t>
      </w:r>
      <w:r>
        <w:rPr>
          <w:rFonts w:eastAsia="方正黑体_GBK"/>
          <w:b w:val="0"/>
          <w:bCs/>
          <w:sz w:val="32"/>
          <w:szCs w:val="32"/>
          <w:lang w:val="en"/>
        </w:rPr>
        <w:t>”</w:t>
      </w:r>
      <w:r>
        <w:rPr>
          <w:rFonts w:eastAsia="方正黑体_GBK"/>
          <w:b w:val="0"/>
          <w:bCs/>
          <w:sz w:val="32"/>
          <w:szCs w:val="32"/>
        </w:rPr>
        <w:t>期交通发展要把握</w:t>
      </w:r>
      <w:r>
        <w:rPr>
          <w:rFonts w:eastAsia="方正黑体_GBK"/>
          <w:b w:val="0"/>
          <w:bCs/>
          <w:sz w:val="32"/>
          <w:szCs w:val="32"/>
          <w:lang w:val="en"/>
        </w:rPr>
        <w:t>“</w:t>
      </w:r>
      <w:r>
        <w:rPr>
          <w:rFonts w:eastAsia="方正黑体_GBK"/>
          <w:b w:val="0"/>
          <w:bCs/>
          <w:sz w:val="32"/>
          <w:szCs w:val="32"/>
        </w:rPr>
        <w:t>五个特征</w:t>
      </w:r>
      <w:r>
        <w:rPr>
          <w:rFonts w:eastAsia="方正黑体_GBK"/>
          <w:b w:val="0"/>
          <w:bCs/>
          <w:sz w:val="32"/>
          <w:szCs w:val="32"/>
          <w:lang w:val="en"/>
        </w:rPr>
        <w:t>”</w:t>
      </w:r>
      <w:r>
        <w:rPr>
          <w:rFonts w:eastAsia="方正黑体_GBK"/>
          <w:b w:val="0"/>
          <w:bCs/>
          <w:sz w:val="32"/>
          <w:szCs w:val="32"/>
        </w:rPr>
        <w:t>：</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3"/>
        <w:textAlignment w:val="auto"/>
        <w:rPr>
          <w:rFonts w:eastAsia="方正仿宋_GBK"/>
          <w:b w:val="0"/>
          <w:bCs/>
          <w:sz w:val="32"/>
          <w:szCs w:val="32"/>
        </w:rPr>
      </w:pPr>
      <w:r>
        <w:rPr>
          <w:rFonts w:ascii="Times New Roman" w:hAnsi="Times New Roman" w:eastAsia="方正楷体_GBK" w:cs="Times New Roman"/>
          <w:b w:val="0"/>
          <w:bCs/>
          <w:sz w:val="32"/>
          <w:szCs w:val="32"/>
        </w:rPr>
        <w:t>一是</w:t>
      </w:r>
      <w:r>
        <w:rPr>
          <w:rFonts w:eastAsia="方正楷体_GBK" w:cs="Times New Roman"/>
          <w:b w:val="0"/>
          <w:bCs/>
          <w:sz w:val="32"/>
          <w:szCs w:val="32"/>
          <w:lang w:val="en"/>
        </w:rPr>
        <w:t>“</w:t>
      </w:r>
      <w:r>
        <w:rPr>
          <w:rFonts w:ascii="Times New Roman" w:hAnsi="Times New Roman" w:eastAsia="方正楷体_GBK" w:cs="Times New Roman"/>
          <w:b w:val="0"/>
          <w:bCs/>
          <w:sz w:val="32"/>
          <w:szCs w:val="32"/>
        </w:rPr>
        <w:t>十四五</w:t>
      </w:r>
      <w:r>
        <w:rPr>
          <w:rFonts w:ascii="Times New Roman" w:hAnsi="Times New Roman" w:eastAsia="方正楷体_GBK" w:cs="Times New Roman"/>
          <w:b w:val="0"/>
          <w:bCs/>
          <w:sz w:val="32"/>
          <w:szCs w:val="32"/>
          <w:lang w:val="en"/>
        </w:rPr>
        <w:t>”</w:t>
      </w:r>
      <w:r>
        <w:rPr>
          <w:rFonts w:ascii="Times New Roman" w:hAnsi="Times New Roman" w:eastAsia="方正楷体_GBK" w:cs="Times New Roman"/>
          <w:b w:val="0"/>
          <w:bCs/>
          <w:sz w:val="32"/>
          <w:szCs w:val="32"/>
        </w:rPr>
        <w:t>期是宏观形势变革下交通支撑国家战略落地的关键期。</w:t>
      </w:r>
      <w:r>
        <w:rPr>
          <w:rFonts w:eastAsia="方正仿宋_GBK"/>
          <w:b w:val="0"/>
          <w:bCs/>
          <w:sz w:val="32"/>
          <w:szCs w:val="32"/>
        </w:rPr>
        <w:t>当前经济全球化遭遇逆流，国际贸易和投资大幅萎缩，交通发展要在</w:t>
      </w:r>
      <w:r>
        <w:rPr>
          <w:rFonts w:eastAsia="方正仿宋_GBK"/>
          <w:b w:val="0"/>
          <w:bCs/>
          <w:sz w:val="32"/>
          <w:szCs w:val="32"/>
          <w:lang w:val="en"/>
        </w:rPr>
        <w:t>“</w:t>
      </w:r>
      <w:r>
        <w:rPr>
          <w:rFonts w:eastAsia="方正仿宋_GBK"/>
          <w:b w:val="0"/>
          <w:bCs/>
          <w:sz w:val="32"/>
          <w:szCs w:val="32"/>
        </w:rPr>
        <w:t>推动形成以国内大循环为主体、国内国际双循环相互促进的新发展格局</w:t>
      </w:r>
      <w:r>
        <w:rPr>
          <w:rFonts w:eastAsia="方正仿宋_GBK"/>
          <w:b w:val="0"/>
          <w:bCs/>
          <w:sz w:val="32"/>
          <w:szCs w:val="32"/>
          <w:lang w:val="en"/>
        </w:rPr>
        <w:t>”</w:t>
      </w:r>
      <w:r>
        <w:rPr>
          <w:rFonts w:eastAsia="方正仿宋_GBK"/>
          <w:b w:val="0"/>
          <w:bCs/>
          <w:sz w:val="32"/>
          <w:szCs w:val="32"/>
        </w:rPr>
        <w:t>中把握机遇，有力推动国家战略落地，着力扩大交通有效投资，拉动内需。中共中央、国务院印发《国家综合立体交通网规划纲要》，成渝跻身全国交通</w:t>
      </w:r>
      <w:r>
        <w:rPr>
          <w:rFonts w:eastAsia="方正仿宋_GBK"/>
          <w:b w:val="0"/>
          <w:bCs/>
          <w:sz w:val="32"/>
          <w:szCs w:val="32"/>
          <w:lang w:val="en"/>
        </w:rPr>
        <w:t>“</w:t>
      </w:r>
      <w:r>
        <w:rPr>
          <w:rFonts w:eastAsia="方正仿宋_GBK"/>
          <w:b w:val="0"/>
          <w:bCs/>
          <w:sz w:val="32"/>
          <w:szCs w:val="32"/>
        </w:rPr>
        <w:t>第四极</w:t>
      </w:r>
      <w:r>
        <w:rPr>
          <w:rFonts w:eastAsia="方正仿宋_GBK"/>
          <w:b w:val="0"/>
          <w:bCs/>
          <w:sz w:val="32"/>
          <w:szCs w:val="32"/>
          <w:lang w:val="en"/>
        </w:rPr>
        <w:t>”</w:t>
      </w:r>
      <w:r>
        <w:rPr>
          <w:rFonts w:eastAsia="方正仿宋_GBK"/>
          <w:b w:val="0"/>
          <w:bCs/>
          <w:sz w:val="32"/>
          <w:szCs w:val="32"/>
        </w:rPr>
        <w:t>。重庆交通在</w:t>
      </w:r>
      <w:r>
        <w:rPr>
          <w:rFonts w:eastAsia="方正仿宋_GBK"/>
          <w:b w:val="0"/>
          <w:bCs/>
          <w:sz w:val="32"/>
          <w:szCs w:val="32"/>
          <w:lang w:val="en"/>
        </w:rPr>
        <w:t>“</w:t>
      </w:r>
      <w:r>
        <w:rPr>
          <w:rFonts w:eastAsia="方正仿宋_GBK"/>
          <w:b w:val="0"/>
          <w:bCs/>
          <w:sz w:val="32"/>
          <w:szCs w:val="32"/>
        </w:rPr>
        <w:t>十四五</w:t>
      </w:r>
      <w:r>
        <w:rPr>
          <w:rFonts w:eastAsia="方正仿宋_GBK"/>
          <w:b w:val="0"/>
          <w:bCs/>
          <w:sz w:val="32"/>
          <w:szCs w:val="32"/>
          <w:lang w:val="en"/>
        </w:rPr>
        <w:t>”</w:t>
      </w:r>
      <w:r>
        <w:rPr>
          <w:rFonts w:eastAsia="方正仿宋_GBK"/>
          <w:b w:val="0"/>
          <w:bCs/>
          <w:sz w:val="32"/>
          <w:szCs w:val="32"/>
        </w:rPr>
        <w:t>期将牢牢把握新时代西部大开发、成渝地区双城经济圈等区域协调发展战略，统筹推进现代流通体系硬件和软件建设，优化综合运输通道布局，构建多向联通、多式联运对外开放大通道，实现通道带物流、物流带经贸、经贸带产业，形成陆海内外联动、东西双向互济的开放格局。</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3"/>
        <w:textAlignment w:val="auto"/>
        <w:rPr>
          <w:rFonts w:eastAsia="方正仿宋_GBK"/>
          <w:b w:val="0"/>
          <w:bCs/>
          <w:sz w:val="32"/>
          <w:szCs w:val="32"/>
        </w:rPr>
      </w:pPr>
      <w:r>
        <w:rPr>
          <w:rFonts w:ascii="Times New Roman" w:hAnsi="Times New Roman" w:eastAsia="方正楷体_GBK" w:cs="Times New Roman"/>
          <w:b w:val="0"/>
          <w:bCs/>
          <w:sz w:val="32"/>
          <w:szCs w:val="32"/>
        </w:rPr>
        <w:t>二是</w:t>
      </w:r>
      <w:r>
        <w:rPr>
          <w:rFonts w:eastAsia="方正楷体_GBK" w:cs="Times New Roman"/>
          <w:b w:val="0"/>
          <w:bCs/>
          <w:sz w:val="32"/>
          <w:szCs w:val="32"/>
          <w:lang w:val="en"/>
        </w:rPr>
        <w:t>“</w:t>
      </w:r>
      <w:r>
        <w:rPr>
          <w:rFonts w:ascii="Times New Roman" w:hAnsi="Times New Roman" w:eastAsia="方正楷体_GBK" w:cs="Times New Roman"/>
          <w:b w:val="0"/>
          <w:bCs/>
          <w:sz w:val="32"/>
          <w:szCs w:val="32"/>
        </w:rPr>
        <w:t>十四五</w:t>
      </w:r>
      <w:r>
        <w:rPr>
          <w:rFonts w:ascii="Times New Roman" w:hAnsi="Times New Roman" w:eastAsia="方正楷体_GBK" w:cs="Times New Roman"/>
          <w:b w:val="0"/>
          <w:bCs/>
          <w:sz w:val="32"/>
          <w:szCs w:val="32"/>
          <w:lang w:val="en"/>
        </w:rPr>
        <w:t>”</w:t>
      </w:r>
      <w:r>
        <w:rPr>
          <w:rFonts w:ascii="Times New Roman" w:hAnsi="Times New Roman" w:eastAsia="方正楷体_GBK" w:cs="Times New Roman"/>
          <w:b w:val="0"/>
          <w:bCs/>
          <w:sz w:val="32"/>
          <w:szCs w:val="32"/>
        </w:rPr>
        <w:t>期是交通由大规模建设向高质量供给的优化期。</w:t>
      </w:r>
      <w:r>
        <w:rPr>
          <w:rFonts w:eastAsia="方正仿宋_GBK"/>
          <w:b w:val="0"/>
          <w:bCs/>
          <w:sz w:val="32"/>
          <w:szCs w:val="32"/>
        </w:rPr>
        <w:t>当前，我国经济发展的空间结构正在发生深刻变革，交通发展要紧紧围绕人流、物流、产业流等要素流动，优化交通资源供给，更加注重优化交通基础设施结构，补齐设施短板，破除无效供给，提升交通供给质量和效率，实现交通供给与需求更高水平的动态平衡，形成交通与国土空间开发、产业布局优化、人口要素流动、生态环境保护良性互动的发展格局，推动交通运输由追求速度规模、投资规模向更加注重质量效益转变。</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3"/>
        <w:textAlignment w:val="auto"/>
        <w:rPr>
          <w:rFonts w:eastAsia="方正仿宋_GBK"/>
          <w:b w:val="0"/>
          <w:bCs/>
          <w:sz w:val="32"/>
          <w:szCs w:val="32"/>
        </w:rPr>
      </w:pPr>
      <w:r>
        <w:rPr>
          <w:rFonts w:ascii="Times New Roman" w:hAnsi="Times New Roman" w:eastAsia="方正楷体_GBK" w:cs="Times New Roman"/>
          <w:b w:val="0"/>
          <w:bCs/>
          <w:sz w:val="32"/>
          <w:szCs w:val="32"/>
        </w:rPr>
        <w:t>三是</w:t>
      </w:r>
      <w:r>
        <w:rPr>
          <w:rFonts w:eastAsia="方正楷体_GBK" w:cs="Times New Roman"/>
          <w:b w:val="0"/>
          <w:bCs/>
          <w:sz w:val="32"/>
          <w:szCs w:val="32"/>
          <w:lang w:val="en"/>
        </w:rPr>
        <w:t>“</w:t>
      </w:r>
      <w:r>
        <w:rPr>
          <w:rFonts w:ascii="Times New Roman" w:hAnsi="Times New Roman" w:eastAsia="方正楷体_GBK" w:cs="Times New Roman"/>
          <w:b w:val="0"/>
          <w:bCs/>
          <w:sz w:val="32"/>
          <w:szCs w:val="32"/>
        </w:rPr>
        <w:t>十四五</w:t>
      </w:r>
      <w:r>
        <w:rPr>
          <w:rFonts w:ascii="Times New Roman" w:hAnsi="Times New Roman" w:eastAsia="方正楷体_GBK" w:cs="Times New Roman"/>
          <w:b w:val="0"/>
          <w:bCs/>
          <w:sz w:val="32"/>
          <w:szCs w:val="32"/>
          <w:lang w:val="en"/>
        </w:rPr>
        <w:t>”</w:t>
      </w:r>
      <w:r>
        <w:rPr>
          <w:rFonts w:ascii="Times New Roman" w:hAnsi="Times New Roman" w:eastAsia="方正楷体_GBK" w:cs="Times New Roman"/>
          <w:b w:val="0"/>
          <w:bCs/>
          <w:sz w:val="32"/>
          <w:szCs w:val="32"/>
        </w:rPr>
        <w:t>期是交通由单一发展模式向多种模式融合发展的加速期。</w:t>
      </w:r>
      <w:r>
        <w:rPr>
          <w:rFonts w:eastAsia="方正仿宋_GBK"/>
          <w:b w:val="0"/>
          <w:bCs/>
          <w:sz w:val="32"/>
          <w:szCs w:val="32"/>
          <w:lang w:val="en"/>
        </w:rPr>
        <w:t>“</w:t>
      </w:r>
      <w:r>
        <w:rPr>
          <w:rFonts w:eastAsia="方正仿宋_GBK"/>
          <w:b w:val="0"/>
          <w:bCs/>
          <w:sz w:val="32"/>
          <w:szCs w:val="32"/>
        </w:rPr>
        <w:t>十四五</w:t>
      </w:r>
      <w:r>
        <w:rPr>
          <w:rFonts w:eastAsia="方正仿宋_GBK"/>
          <w:b w:val="0"/>
          <w:bCs/>
          <w:sz w:val="32"/>
          <w:szCs w:val="32"/>
          <w:lang w:val="en"/>
        </w:rPr>
        <w:t>”</w:t>
      </w:r>
      <w:r>
        <w:rPr>
          <w:rFonts w:eastAsia="方正仿宋_GBK"/>
          <w:b w:val="0"/>
          <w:bCs/>
          <w:sz w:val="32"/>
          <w:szCs w:val="32"/>
        </w:rPr>
        <w:t>期，综合交通发展要打破各种交通方式独自发展的模式，推动交通运输从相对独立发展向更加注重一体融合发展转变，推动各种交通</w:t>
      </w:r>
      <w:r>
        <w:rPr>
          <w:rFonts w:eastAsia="方正仿宋_GBK"/>
          <w:b w:val="0"/>
          <w:bCs/>
          <w:sz w:val="32"/>
          <w:szCs w:val="32"/>
          <w:lang w:val="en"/>
        </w:rPr>
        <w:t>“</w:t>
      </w:r>
      <w:r>
        <w:rPr>
          <w:rFonts w:eastAsia="方正仿宋_GBK"/>
          <w:b w:val="0"/>
          <w:bCs/>
          <w:sz w:val="32"/>
          <w:szCs w:val="32"/>
        </w:rPr>
        <w:t>规划同图、建设同步、运营同期</w:t>
      </w:r>
      <w:r>
        <w:rPr>
          <w:rFonts w:eastAsia="方正仿宋_GBK"/>
          <w:b w:val="0"/>
          <w:bCs/>
          <w:sz w:val="32"/>
          <w:szCs w:val="32"/>
          <w:lang w:val="en"/>
        </w:rPr>
        <w:t>”</w:t>
      </w:r>
      <w:r>
        <w:rPr>
          <w:rFonts w:eastAsia="方正仿宋_GBK"/>
          <w:b w:val="0"/>
          <w:bCs/>
          <w:sz w:val="32"/>
          <w:szCs w:val="32"/>
        </w:rPr>
        <w:t>，促进通道共用、资源共享。铁路，要统筹考虑干线铁路、城际铁路、市域（郊）铁路、城市轨道</w:t>
      </w:r>
      <w:r>
        <w:rPr>
          <w:rFonts w:eastAsia="方正仿宋_GBK"/>
          <w:b w:val="0"/>
          <w:bCs/>
          <w:sz w:val="32"/>
          <w:szCs w:val="32"/>
          <w:lang w:val="en"/>
        </w:rPr>
        <w:t>“</w:t>
      </w:r>
      <w:r>
        <w:rPr>
          <w:rFonts w:eastAsia="方正仿宋_GBK"/>
          <w:b w:val="0"/>
          <w:bCs/>
          <w:sz w:val="32"/>
          <w:szCs w:val="32"/>
        </w:rPr>
        <w:t>四网</w:t>
      </w:r>
      <w:r>
        <w:rPr>
          <w:rFonts w:eastAsia="方正仿宋_GBK"/>
          <w:b w:val="0"/>
          <w:bCs/>
          <w:sz w:val="32"/>
          <w:szCs w:val="32"/>
          <w:lang w:val="en"/>
        </w:rPr>
        <w:t>”</w:t>
      </w:r>
      <w:r>
        <w:rPr>
          <w:rFonts w:eastAsia="方正仿宋_GBK"/>
          <w:b w:val="0"/>
          <w:bCs/>
          <w:sz w:val="32"/>
          <w:szCs w:val="32"/>
        </w:rPr>
        <w:t>融合。公路，要考虑城市外部高速公路和城市内部快速的衔接，普通国省道、农村公路要充分发挥特色优势、资源优势，推动普通干线公路、农村公路转变为旅游路、产业路、资源路。水运，要持续推动铁水联运、水水中转发展，构建支流转干流、陆港转水港的运输格局，提升组合效益。民航，要探索发展空空、空公、空铁等多种航空联运新模式，培育国内国际航空物流发展。交通枢纽，要推动站城一体、多网合一，广泛推行TOD发展模式，实现高效换乘换装、无缝衔接联动。</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3"/>
        <w:textAlignment w:val="auto"/>
        <w:rPr>
          <w:rFonts w:eastAsia="方正仿宋_GBK"/>
          <w:b w:val="0"/>
          <w:bCs/>
          <w:sz w:val="32"/>
          <w:szCs w:val="32"/>
        </w:rPr>
      </w:pPr>
      <w:r>
        <w:rPr>
          <w:rFonts w:ascii="Times New Roman" w:hAnsi="Times New Roman" w:eastAsia="方正楷体_GBK" w:cs="Times New Roman"/>
          <w:b w:val="0"/>
          <w:bCs/>
          <w:sz w:val="32"/>
          <w:szCs w:val="32"/>
        </w:rPr>
        <w:t>四是</w:t>
      </w:r>
      <w:r>
        <w:rPr>
          <w:rFonts w:eastAsia="方正楷体_GBK" w:cs="Times New Roman"/>
          <w:b w:val="0"/>
          <w:bCs/>
          <w:sz w:val="32"/>
          <w:szCs w:val="32"/>
          <w:lang w:val="en"/>
        </w:rPr>
        <w:t>“</w:t>
      </w:r>
      <w:r>
        <w:rPr>
          <w:rFonts w:ascii="Times New Roman" w:hAnsi="Times New Roman" w:eastAsia="方正楷体_GBK" w:cs="Times New Roman"/>
          <w:b w:val="0"/>
          <w:bCs/>
          <w:sz w:val="32"/>
          <w:szCs w:val="32"/>
        </w:rPr>
        <w:t>十四五</w:t>
      </w:r>
      <w:r>
        <w:rPr>
          <w:rFonts w:ascii="Times New Roman" w:hAnsi="Times New Roman" w:eastAsia="方正楷体_GBK" w:cs="Times New Roman"/>
          <w:b w:val="0"/>
          <w:bCs/>
          <w:sz w:val="32"/>
          <w:szCs w:val="32"/>
          <w:lang w:val="en"/>
        </w:rPr>
        <w:t>”</w:t>
      </w:r>
      <w:r>
        <w:rPr>
          <w:rFonts w:ascii="Times New Roman" w:hAnsi="Times New Roman" w:eastAsia="方正楷体_GBK" w:cs="Times New Roman"/>
          <w:b w:val="0"/>
          <w:bCs/>
          <w:sz w:val="32"/>
          <w:szCs w:val="32"/>
        </w:rPr>
        <w:t>期是交通由传统要素驱动向科技创新驱动转变的攻坚期。</w:t>
      </w:r>
      <w:r>
        <w:rPr>
          <w:rFonts w:eastAsia="方正仿宋_GBK"/>
          <w:b w:val="0"/>
          <w:bCs/>
          <w:sz w:val="32"/>
          <w:szCs w:val="32"/>
          <w:lang w:val="en"/>
        </w:rPr>
        <w:t>“</w:t>
      </w:r>
      <w:r>
        <w:rPr>
          <w:rFonts w:eastAsia="方正仿宋_GBK"/>
          <w:b w:val="0"/>
          <w:bCs/>
          <w:sz w:val="32"/>
          <w:szCs w:val="32"/>
        </w:rPr>
        <w:t>十四五</w:t>
      </w:r>
      <w:r>
        <w:rPr>
          <w:rFonts w:eastAsia="方正仿宋_GBK"/>
          <w:b w:val="0"/>
          <w:bCs/>
          <w:sz w:val="32"/>
          <w:szCs w:val="32"/>
          <w:lang w:val="en"/>
        </w:rPr>
        <w:t>”</w:t>
      </w:r>
      <w:r>
        <w:rPr>
          <w:rFonts w:eastAsia="方正仿宋_GBK"/>
          <w:b w:val="0"/>
          <w:bCs/>
          <w:sz w:val="32"/>
          <w:szCs w:val="32"/>
        </w:rPr>
        <w:t>时期，以5G、人工智能、大数据等为代表的新一轮信息技术将广泛渗透到经济社会各领域，综合交通发展要抢抓新一轮技术革命，推动交通运输由依靠传统要素驱动向更加注重创新驱动转变，推动实施一批智慧高速、智慧港口、智慧航道、智慧枢纽等新型交通基础设施项目，促进交通行业数字经济、无人驾驶、交通智能车船装备等战略性新兴产业发展，实现交通运输行业质量变革、效率变革、动力变革，在社会经济发展中形成新的增长点。</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3"/>
        <w:textAlignment w:val="auto"/>
        <w:rPr>
          <w:rFonts w:eastAsia="方正仿宋_GBK"/>
          <w:b w:val="0"/>
          <w:bCs/>
          <w:sz w:val="32"/>
          <w:szCs w:val="32"/>
        </w:rPr>
      </w:pPr>
      <w:r>
        <w:rPr>
          <w:rFonts w:ascii="Times New Roman" w:hAnsi="Times New Roman" w:eastAsia="方正楷体_GBK" w:cs="Times New Roman"/>
          <w:b w:val="0"/>
          <w:bCs/>
          <w:sz w:val="32"/>
          <w:szCs w:val="32"/>
        </w:rPr>
        <w:t>五是</w:t>
      </w:r>
      <w:r>
        <w:rPr>
          <w:rFonts w:eastAsia="方正楷体_GBK" w:cs="Times New Roman"/>
          <w:b w:val="0"/>
          <w:bCs/>
          <w:sz w:val="32"/>
          <w:szCs w:val="32"/>
          <w:lang w:val="en"/>
        </w:rPr>
        <w:t>“</w:t>
      </w:r>
      <w:r>
        <w:rPr>
          <w:rFonts w:ascii="Times New Roman" w:hAnsi="Times New Roman" w:eastAsia="方正楷体_GBK" w:cs="Times New Roman"/>
          <w:b w:val="0"/>
          <w:bCs/>
          <w:sz w:val="32"/>
          <w:szCs w:val="32"/>
        </w:rPr>
        <w:t>十四五</w:t>
      </w:r>
      <w:r>
        <w:rPr>
          <w:rFonts w:ascii="Times New Roman" w:hAnsi="Times New Roman" w:eastAsia="方正楷体_GBK" w:cs="Times New Roman"/>
          <w:b w:val="0"/>
          <w:bCs/>
          <w:sz w:val="32"/>
          <w:szCs w:val="32"/>
          <w:lang w:val="en"/>
        </w:rPr>
        <w:t>”</w:t>
      </w:r>
      <w:r>
        <w:rPr>
          <w:rFonts w:ascii="Times New Roman" w:hAnsi="Times New Roman" w:eastAsia="方正楷体_GBK" w:cs="Times New Roman"/>
          <w:b w:val="0"/>
          <w:bCs/>
          <w:sz w:val="32"/>
          <w:szCs w:val="32"/>
        </w:rPr>
        <w:t>期是交通由注重建设向更加注重管养的转型期。</w:t>
      </w:r>
      <w:r>
        <w:rPr>
          <w:rFonts w:eastAsia="方正仿宋_GBK"/>
          <w:b w:val="0"/>
          <w:bCs/>
          <w:sz w:val="32"/>
          <w:szCs w:val="32"/>
        </w:rPr>
        <w:t>受国土空间资源配置、生态保护红线、基本农田等因素制约，未来交通建设大体量、大投入发展趋势将逐步下滑，在交通基础设施网络相对完善后，迫切需要更高效率、更高水平、更加精细的管理和养护，要持续推进行业改革，提升行业治理水平，提升路网通行保障能力。</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3"/>
        <w:textAlignment w:val="auto"/>
        <w:rPr>
          <w:rFonts w:eastAsia="方正仿宋_GBK"/>
          <w:b w:val="0"/>
          <w:bCs/>
          <w:sz w:val="32"/>
          <w:szCs w:val="32"/>
        </w:rPr>
      </w:pPr>
      <w:r>
        <w:rPr>
          <w:rFonts w:eastAsia="方正仿宋_GBK"/>
          <w:b w:val="0"/>
          <w:bCs/>
          <w:sz w:val="32"/>
          <w:szCs w:val="32"/>
        </w:rPr>
        <w:t>从区级层面看</w:t>
      </w:r>
      <w:r>
        <w:rPr>
          <w:rFonts w:hint="default" w:eastAsia="方正仿宋_GBK"/>
          <w:b w:val="0"/>
          <w:bCs/>
          <w:sz w:val="32"/>
          <w:szCs w:val="32"/>
        </w:rPr>
        <w:t>，</w:t>
      </w:r>
      <w:r>
        <w:rPr>
          <w:rFonts w:eastAsia="方正仿宋_GBK"/>
          <w:b w:val="0"/>
          <w:bCs/>
          <w:sz w:val="32"/>
          <w:szCs w:val="32"/>
        </w:rPr>
        <w:t xml:space="preserve"> </w:t>
      </w:r>
      <w:r>
        <w:rPr>
          <w:rFonts w:eastAsia="方正仿宋_GBK" w:cs="Times New Roman"/>
          <w:b w:val="0"/>
          <w:bCs/>
          <w:sz w:val="32"/>
          <w:szCs w:val="32"/>
          <w:lang w:val="en"/>
        </w:rPr>
        <w:t>“</w:t>
      </w:r>
      <w:r>
        <w:rPr>
          <w:rFonts w:eastAsia="方正仿宋_GBK"/>
          <w:b w:val="0"/>
          <w:bCs/>
          <w:sz w:val="32"/>
          <w:szCs w:val="32"/>
        </w:rPr>
        <w:t>十四五</w:t>
      </w:r>
      <w:r>
        <w:rPr>
          <w:rFonts w:ascii="Times New Roman" w:hAnsi="Times New Roman" w:eastAsia="方正仿宋_GBK" w:cs="Times New Roman"/>
          <w:b w:val="0"/>
          <w:bCs/>
          <w:sz w:val="32"/>
          <w:szCs w:val="32"/>
          <w:lang w:val="en"/>
        </w:rPr>
        <w:t>”</w:t>
      </w:r>
      <w:r>
        <w:rPr>
          <w:rFonts w:eastAsia="方正仿宋_GBK"/>
          <w:b w:val="0"/>
          <w:bCs/>
          <w:sz w:val="32"/>
          <w:szCs w:val="32"/>
        </w:rPr>
        <w:t>时期，</w:t>
      </w:r>
      <w:r>
        <w:rPr>
          <w:rFonts w:hint="default" w:eastAsia="方正仿宋_GBK"/>
          <w:b w:val="0"/>
          <w:bCs/>
          <w:sz w:val="32"/>
          <w:szCs w:val="32"/>
        </w:rPr>
        <w:t>永川</w:t>
      </w:r>
      <w:r>
        <w:rPr>
          <w:rFonts w:eastAsia="方正仿宋_GBK"/>
          <w:b w:val="0"/>
          <w:bCs/>
          <w:sz w:val="32"/>
          <w:szCs w:val="32"/>
        </w:rPr>
        <w:t>将</w:t>
      </w:r>
      <w:r>
        <w:rPr>
          <w:rFonts w:hint="default" w:eastAsia="方正仿宋_GBK"/>
          <w:b w:val="0"/>
          <w:bCs/>
          <w:sz w:val="32"/>
          <w:szCs w:val="32"/>
        </w:rPr>
        <w:t>全面把握新发展阶段，坚定贯彻新发展理念，积极融入新发展格局</w:t>
      </w:r>
      <w:r>
        <w:rPr>
          <w:rFonts w:eastAsia="方正仿宋_GBK"/>
          <w:b w:val="0"/>
          <w:bCs/>
          <w:sz w:val="32"/>
          <w:szCs w:val="32"/>
        </w:rPr>
        <w:t>，</w:t>
      </w:r>
      <w:r>
        <w:rPr>
          <w:rFonts w:hint="default" w:eastAsia="方正仿宋_GBK"/>
          <w:b w:val="0"/>
          <w:bCs/>
          <w:sz w:val="32"/>
          <w:szCs w:val="32"/>
        </w:rPr>
        <w:t>基本建成</w:t>
      </w:r>
      <w:r>
        <w:rPr>
          <w:rFonts w:hint="default" w:eastAsia="方正仿宋_GBK" w:cs="Times New Roman"/>
          <w:b w:val="0"/>
          <w:bCs/>
          <w:sz w:val="32"/>
          <w:szCs w:val="32"/>
          <w:lang w:val="en"/>
        </w:rPr>
        <w:t>“</w:t>
      </w:r>
      <w:r>
        <w:rPr>
          <w:rFonts w:hint="default" w:eastAsia="方正仿宋_GBK"/>
          <w:b w:val="0"/>
          <w:bCs/>
          <w:sz w:val="32"/>
          <w:szCs w:val="32"/>
        </w:rPr>
        <w:t>双百</w:t>
      </w:r>
      <w:r>
        <w:rPr>
          <w:rFonts w:hint="default" w:ascii="Times New Roman" w:hAnsi="Times New Roman" w:eastAsia="方正仿宋_GBK" w:cs="Times New Roman"/>
          <w:b w:val="0"/>
          <w:bCs/>
          <w:sz w:val="32"/>
          <w:szCs w:val="32"/>
          <w:lang w:val="en"/>
        </w:rPr>
        <w:t>”</w:t>
      </w:r>
      <w:r>
        <w:rPr>
          <w:rFonts w:hint="default" w:eastAsia="方正仿宋_GBK"/>
          <w:b w:val="0"/>
          <w:bCs/>
          <w:sz w:val="32"/>
          <w:szCs w:val="32"/>
        </w:rPr>
        <w:t>区域性中心城市，基本建成成渝地区双城经济圈现代制造业基地和区域性现代服务业高地、西部职教基地、</w:t>
      </w:r>
      <w:r>
        <w:rPr>
          <w:rFonts w:eastAsia="方正仿宋_GBK"/>
          <w:b w:val="0"/>
          <w:bCs/>
          <w:sz w:val="32"/>
          <w:szCs w:val="32"/>
        </w:rPr>
        <w:t>城乡融合发展示范区，综合交通发展要抢抓</w:t>
      </w:r>
      <w:r>
        <w:rPr>
          <w:rFonts w:eastAsia="方正仿宋_GBK" w:cs="Times New Roman"/>
          <w:b w:val="0"/>
          <w:bCs/>
          <w:sz w:val="32"/>
          <w:szCs w:val="32"/>
          <w:lang w:val="en"/>
        </w:rPr>
        <w:t>“</w:t>
      </w:r>
      <w:r>
        <w:rPr>
          <w:rFonts w:eastAsia="方正仿宋_GBK"/>
          <w:b w:val="0"/>
          <w:bCs/>
          <w:sz w:val="32"/>
          <w:szCs w:val="32"/>
        </w:rPr>
        <w:t>四大机遇</w:t>
      </w:r>
      <w:r>
        <w:rPr>
          <w:rFonts w:ascii="Times New Roman" w:hAnsi="Times New Roman" w:eastAsia="方正仿宋_GBK" w:cs="Times New Roman"/>
          <w:b w:val="0"/>
          <w:bCs/>
          <w:sz w:val="32"/>
          <w:szCs w:val="32"/>
          <w:lang w:val="en"/>
        </w:rPr>
        <w:t>”</w:t>
      </w:r>
      <w:r>
        <w:rPr>
          <w:rFonts w:eastAsia="方正仿宋_GBK"/>
          <w:b w:val="0"/>
          <w:bCs/>
          <w:sz w:val="32"/>
          <w:szCs w:val="32"/>
        </w:rPr>
        <w:t>：</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3"/>
        <w:textAlignment w:val="auto"/>
        <w:rPr>
          <w:rFonts w:eastAsia="方正仿宋_GBK"/>
          <w:b w:val="0"/>
          <w:bCs/>
          <w:sz w:val="32"/>
          <w:szCs w:val="32"/>
        </w:rPr>
      </w:pPr>
      <w:r>
        <w:rPr>
          <w:rFonts w:ascii="Times New Roman" w:hAnsi="Times New Roman" w:eastAsia="方正楷体_GBK" w:cs="Times New Roman"/>
          <w:b w:val="0"/>
          <w:bCs/>
          <w:sz w:val="32"/>
          <w:szCs w:val="32"/>
        </w:rPr>
        <w:t>一是打造成渝地区双城经济圈重要节点城市，要求永川交通加快构建多向对外大通道，主动融入大交通。</w:t>
      </w:r>
      <w:r>
        <w:rPr>
          <w:rFonts w:eastAsia="方正仿宋_GBK"/>
          <w:b w:val="0"/>
          <w:bCs/>
          <w:sz w:val="32"/>
          <w:szCs w:val="32"/>
        </w:rPr>
        <w:t>成渝地区双城经济圈建设是习近平总书记亲自谋划、亲自部署的重大国家战略，是重庆当前和未来一个时期的一项重大政治任务。</w:t>
      </w:r>
      <w:r>
        <w:rPr>
          <w:rFonts w:hint="eastAsia" w:eastAsia="方正仿宋_GBK"/>
          <w:b w:val="0"/>
          <w:bCs/>
          <w:sz w:val="32"/>
          <w:szCs w:val="32"/>
        </w:rPr>
        <w:t>《成渝地区双城经济圈建设规划纲要》明确提出</w:t>
      </w:r>
      <w:r>
        <w:rPr>
          <w:rFonts w:hint="eastAsia" w:eastAsia="方正仿宋_GBK"/>
          <w:b w:val="0"/>
          <w:bCs/>
          <w:spacing w:val="-6"/>
          <w:sz w:val="32"/>
          <w:szCs w:val="32"/>
        </w:rPr>
        <w:t>支持永川建设现代制造业基地和西部职教基地</w:t>
      </w:r>
      <w:r>
        <w:rPr>
          <w:rFonts w:eastAsia="方正仿宋_GBK"/>
          <w:b w:val="0"/>
          <w:bCs/>
          <w:sz w:val="32"/>
          <w:szCs w:val="32"/>
        </w:rPr>
        <w:t>。永川作为成渝地区双城经济圈重要节点城市，要积极抢抓新一轮深化改革扩大开放、新时代西部大开发、现代流通体系建设、交通强国建设试点等重大战略机遇，交通要主动融入、当好支撑，紧紧围绕</w:t>
      </w:r>
      <w:r>
        <w:rPr>
          <w:rFonts w:eastAsia="方正仿宋_GBK"/>
          <w:b w:val="0"/>
          <w:bCs/>
          <w:sz w:val="32"/>
          <w:szCs w:val="32"/>
          <w:lang w:val="en"/>
        </w:rPr>
        <w:t>“</w:t>
      </w:r>
      <w:r>
        <w:rPr>
          <w:rFonts w:eastAsia="方正仿宋_GBK"/>
          <w:b w:val="0"/>
          <w:bCs/>
          <w:sz w:val="32"/>
          <w:szCs w:val="32"/>
        </w:rPr>
        <w:t>两中心两地</w:t>
      </w:r>
      <w:r>
        <w:rPr>
          <w:rFonts w:eastAsia="方正仿宋_GBK"/>
          <w:b w:val="0"/>
          <w:bCs/>
          <w:sz w:val="32"/>
          <w:szCs w:val="32"/>
          <w:lang w:val="en"/>
        </w:rPr>
        <w:t>”</w:t>
      </w:r>
      <w:r>
        <w:rPr>
          <w:rFonts w:eastAsia="方正仿宋_GBK"/>
          <w:b w:val="0"/>
          <w:bCs/>
          <w:sz w:val="32"/>
          <w:szCs w:val="32"/>
        </w:rPr>
        <w:t>的战略目标，坚持从全局谋划一域、以一域服务全局，集中精力办好自己的事，同心合力办好合作的事，着眼</w:t>
      </w:r>
      <w:r>
        <w:rPr>
          <w:rFonts w:eastAsia="方正仿宋_GBK"/>
          <w:b w:val="0"/>
          <w:bCs/>
          <w:sz w:val="32"/>
          <w:szCs w:val="32"/>
          <w:lang w:val="en"/>
        </w:rPr>
        <w:t>“</w:t>
      </w:r>
      <w:r>
        <w:rPr>
          <w:rFonts w:eastAsia="方正仿宋_GBK"/>
          <w:b w:val="0"/>
          <w:bCs/>
          <w:sz w:val="32"/>
          <w:szCs w:val="32"/>
        </w:rPr>
        <w:t>一带一路</w:t>
      </w:r>
      <w:r>
        <w:rPr>
          <w:rFonts w:eastAsia="方正仿宋_GBK"/>
          <w:b w:val="0"/>
          <w:bCs/>
          <w:sz w:val="32"/>
          <w:szCs w:val="32"/>
          <w:lang w:val="en"/>
        </w:rPr>
        <w:t>”</w:t>
      </w:r>
      <w:r>
        <w:rPr>
          <w:rFonts w:eastAsia="方正仿宋_GBK"/>
          <w:b w:val="0"/>
          <w:bCs/>
          <w:sz w:val="32"/>
          <w:szCs w:val="32"/>
        </w:rPr>
        <w:t>、长江经济带、</w:t>
      </w:r>
      <w:r>
        <w:rPr>
          <w:rFonts w:hint="eastAsia" w:eastAsia="方正仿宋_GBK"/>
          <w:b w:val="0"/>
          <w:bCs/>
          <w:sz w:val="32"/>
          <w:szCs w:val="32"/>
        </w:rPr>
        <w:t>西部</w:t>
      </w:r>
      <w:r>
        <w:rPr>
          <w:rFonts w:eastAsia="方正仿宋_GBK"/>
          <w:b w:val="0"/>
          <w:bCs/>
          <w:sz w:val="32"/>
          <w:szCs w:val="32"/>
        </w:rPr>
        <w:t>陆海新通道发展，抓紧谋划一批引领性、带动性和标志性的重大交通基础设施，进一步拓通道、强枢纽，促进互联互通，加速融入国家大战略、大通道、大平台，加快建设区域</w:t>
      </w:r>
      <w:r>
        <w:rPr>
          <w:rFonts w:hint="eastAsia" w:eastAsia="方正仿宋_GBK"/>
          <w:b w:val="0"/>
          <w:bCs/>
          <w:sz w:val="32"/>
          <w:szCs w:val="32"/>
        </w:rPr>
        <w:t>性</w:t>
      </w:r>
      <w:r>
        <w:rPr>
          <w:rFonts w:eastAsia="方正仿宋_GBK"/>
          <w:b w:val="0"/>
          <w:bCs/>
          <w:sz w:val="32"/>
          <w:szCs w:val="32"/>
        </w:rPr>
        <w:t>综合交通</w:t>
      </w:r>
      <w:r>
        <w:rPr>
          <w:rFonts w:hint="eastAsia" w:eastAsia="方正仿宋_GBK"/>
          <w:b w:val="0"/>
          <w:bCs/>
          <w:sz w:val="32"/>
          <w:szCs w:val="32"/>
        </w:rPr>
        <w:t>物流</w:t>
      </w:r>
      <w:r>
        <w:rPr>
          <w:rFonts w:eastAsia="方正仿宋_GBK"/>
          <w:b w:val="0"/>
          <w:bCs/>
          <w:sz w:val="32"/>
          <w:szCs w:val="32"/>
        </w:rPr>
        <w:t>枢纽，充分发挥永川承东接西、左传右递的重要节点作用，推动各类资源要素加速向永川集聚，不断提升永川辐射带动渝西及川南、黔北的能力。</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3"/>
        <w:textAlignment w:val="auto"/>
        <w:rPr>
          <w:rFonts w:eastAsia="方正仿宋_GBK"/>
          <w:b w:val="0"/>
          <w:bCs/>
          <w:sz w:val="32"/>
          <w:szCs w:val="32"/>
        </w:rPr>
      </w:pPr>
      <w:r>
        <w:rPr>
          <w:rFonts w:ascii="Times New Roman" w:hAnsi="Times New Roman" w:eastAsia="方正楷体_GBK" w:cs="Times New Roman"/>
          <w:b w:val="0"/>
          <w:bCs/>
          <w:sz w:val="32"/>
          <w:szCs w:val="32"/>
        </w:rPr>
        <w:t>二是打造主城都市区战略支点，要求永川交通强化区域互联互通，充分发挥支点城市作用。</w:t>
      </w:r>
      <w:r>
        <w:rPr>
          <w:rFonts w:eastAsia="方正仿宋_GBK"/>
          <w:b w:val="0"/>
          <w:bCs/>
          <w:sz w:val="32"/>
          <w:szCs w:val="32"/>
        </w:rPr>
        <w:t>推进</w:t>
      </w:r>
      <w:r>
        <w:rPr>
          <w:rFonts w:eastAsia="方正仿宋_GBK"/>
          <w:b w:val="0"/>
          <w:bCs/>
          <w:sz w:val="32"/>
          <w:szCs w:val="32"/>
          <w:lang w:val="en"/>
        </w:rPr>
        <w:t>“</w:t>
      </w:r>
      <w:r>
        <w:rPr>
          <w:rFonts w:eastAsia="方正仿宋_GBK"/>
          <w:b w:val="0"/>
          <w:bCs/>
          <w:sz w:val="32"/>
          <w:szCs w:val="32"/>
        </w:rPr>
        <w:t>一区两群</w:t>
      </w:r>
      <w:r>
        <w:rPr>
          <w:rFonts w:eastAsia="方正仿宋_GBK"/>
          <w:b w:val="0"/>
          <w:bCs/>
          <w:sz w:val="32"/>
          <w:szCs w:val="32"/>
          <w:lang w:val="en"/>
        </w:rPr>
        <w:t>”</w:t>
      </w:r>
      <w:r>
        <w:rPr>
          <w:rFonts w:eastAsia="方正仿宋_GBK"/>
          <w:b w:val="0"/>
          <w:bCs/>
          <w:sz w:val="32"/>
          <w:szCs w:val="32"/>
        </w:rPr>
        <w:t>协调发展是贯彻落实习近平总书记重要指示精神、推动成渝地区双城经济圈的重要部署，是重庆提升国家中心城市整体竞争力、促进区域协调发展、更好发挥</w:t>
      </w:r>
      <w:r>
        <w:rPr>
          <w:rFonts w:eastAsia="方正仿宋_GBK"/>
          <w:b w:val="0"/>
          <w:bCs/>
          <w:sz w:val="32"/>
          <w:szCs w:val="32"/>
          <w:lang w:val="en"/>
        </w:rPr>
        <w:t>“</w:t>
      </w:r>
      <w:r>
        <w:rPr>
          <w:rFonts w:eastAsia="方正仿宋_GBK"/>
          <w:b w:val="0"/>
          <w:bCs/>
          <w:sz w:val="32"/>
          <w:szCs w:val="32"/>
        </w:rPr>
        <w:t>三个作用</w:t>
      </w:r>
      <w:r>
        <w:rPr>
          <w:rFonts w:eastAsia="方正仿宋_GBK"/>
          <w:b w:val="0"/>
          <w:bCs/>
          <w:sz w:val="32"/>
          <w:szCs w:val="32"/>
          <w:lang w:val="en"/>
        </w:rPr>
        <w:t>”</w:t>
      </w:r>
      <w:r>
        <w:rPr>
          <w:rFonts w:eastAsia="方正仿宋_GBK"/>
          <w:b w:val="0"/>
          <w:bCs/>
          <w:sz w:val="32"/>
          <w:szCs w:val="32"/>
        </w:rPr>
        <w:t>的路径选择。永川作为主城都市区战略支点，交通发展要牢固树立一体化发展理念，做到统一谋划、一体部署，全面支撑主城都市区一体化发展，推动干线铁路、城际铁路、市域</w:t>
      </w:r>
      <w:r>
        <w:rPr>
          <w:rFonts w:hint="eastAsia" w:eastAsia="方正仿宋_GBK"/>
          <w:b w:val="0"/>
          <w:bCs/>
          <w:sz w:val="32"/>
          <w:szCs w:val="32"/>
        </w:rPr>
        <w:t>（郊）</w:t>
      </w:r>
      <w:r>
        <w:rPr>
          <w:rFonts w:eastAsia="方正仿宋_GBK"/>
          <w:b w:val="0"/>
          <w:bCs/>
          <w:sz w:val="32"/>
          <w:szCs w:val="32"/>
        </w:rPr>
        <w:t>铁路、轨道交通</w:t>
      </w:r>
      <w:r>
        <w:rPr>
          <w:rFonts w:eastAsia="方正仿宋_GBK"/>
          <w:b w:val="0"/>
          <w:bCs/>
          <w:sz w:val="32"/>
          <w:szCs w:val="32"/>
          <w:lang w:val="en"/>
        </w:rPr>
        <w:t>“</w:t>
      </w:r>
      <w:r>
        <w:rPr>
          <w:rFonts w:eastAsia="方正仿宋_GBK"/>
          <w:b w:val="0"/>
          <w:bCs/>
          <w:sz w:val="32"/>
          <w:szCs w:val="32"/>
        </w:rPr>
        <w:t>四网</w:t>
      </w:r>
      <w:r>
        <w:rPr>
          <w:rFonts w:eastAsia="方正仿宋_GBK"/>
          <w:b w:val="0"/>
          <w:bCs/>
          <w:sz w:val="32"/>
          <w:szCs w:val="32"/>
          <w:lang w:val="en"/>
        </w:rPr>
        <w:t>”</w:t>
      </w:r>
      <w:r>
        <w:rPr>
          <w:rFonts w:eastAsia="方正仿宋_GBK"/>
          <w:b w:val="0"/>
          <w:bCs/>
          <w:sz w:val="32"/>
          <w:szCs w:val="32"/>
        </w:rPr>
        <w:t>融合发展，加快补齐交通基础设施短板，推动区域交通互联互通、直连直通，强化永川与</w:t>
      </w:r>
      <w:r>
        <w:rPr>
          <w:rFonts w:hint="eastAsia" w:eastAsia="方正仿宋_GBK"/>
          <w:b w:val="0"/>
          <w:bCs/>
          <w:sz w:val="32"/>
          <w:szCs w:val="32"/>
        </w:rPr>
        <w:t>中心城</w:t>
      </w:r>
      <w:r>
        <w:rPr>
          <w:rFonts w:eastAsia="方正仿宋_GBK"/>
          <w:b w:val="0"/>
          <w:bCs/>
          <w:sz w:val="32"/>
          <w:szCs w:val="32"/>
        </w:rPr>
        <w:t>区的深度融合，主动承接</w:t>
      </w:r>
      <w:r>
        <w:rPr>
          <w:rFonts w:hint="eastAsia" w:eastAsia="方正仿宋_GBK"/>
          <w:b w:val="0"/>
          <w:bCs/>
          <w:sz w:val="32"/>
          <w:szCs w:val="32"/>
        </w:rPr>
        <w:t>中心城</w:t>
      </w:r>
      <w:r>
        <w:rPr>
          <w:rFonts w:eastAsia="方正仿宋_GBK"/>
          <w:b w:val="0"/>
          <w:bCs/>
          <w:sz w:val="32"/>
          <w:szCs w:val="32"/>
        </w:rPr>
        <w:t>区的产业转移、功能疏解，充分发挥区域性中心城市的带动作用，提升永川对周边城市的辐射作用。</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仿宋_GBK"/>
          <w:b w:val="0"/>
          <w:bCs/>
          <w:spacing w:val="-6"/>
          <w:sz w:val="32"/>
          <w:szCs w:val="32"/>
        </w:rPr>
      </w:pPr>
      <w:r>
        <w:rPr>
          <w:rFonts w:ascii="Times New Roman" w:hAnsi="Times New Roman" w:eastAsia="方正楷体_GBK" w:cs="Times New Roman"/>
          <w:b w:val="0"/>
          <w:bCs/>
          <w:sz w:val="32"/>
          <w:szCs w:val="32"/>
        </w:rPr>
        <w:t>三是建设高质量发展先行区要求加快构建现代化综合交通运输体系，实现交通转型升级。</w:t>
      </w:r>
      <w:r>
        <w:rPr>
          <w:rFonts w:eastAsia="方正仿宋_GBK"/>
          <w:b w:val="0"/>
          <w:bCs/>
          <w:sz w:val="32"/>
          <w:szCs w:val="32"/>
        </w:rPr>
        <w:t>当前，永川经济发展已经由高速增长阶段转向高质量发展阶段，正处在转变发展方式、优化经济结构、转换增长动力的攻关期。</w:t>
      </w:r>
      <w:r>
        <w:rPr>
          <w:rFonts w:eastAsia="方正仿宋_GBK"/>
          <w:b w:val="0"/>
          <w:bCs/>
          <w:sz w:val="32"/>
          <w:szCs w:val="32"/>
          <w:lang w:val="en"/>
        </w:rPr>
        <w:t>“</w:t>
      </w:r>
      <w:r>
        <w:rPr>
          <w:rFonts w:eastAsia="方正仿宋_GBK"/>
          <w:b w:val="0"/>
          <w:bCs/>
          <w:sz w:val="32"/>
          <w:szCs w:val="32"/>
        </w:rPr>
        <w:t>十四五</w:t>
      </w:r>
      <w:r>
        <w:rPr>
          <w:rFonts w:eastAsia="方正仿宋_GBK"/>
          <w:b w:val="0"/>
          <w:bCs/>
          <w:sz w:val="32"/>
          <w:szCs w:val="32"/>
          <w:lang w:val="en"/>
        </w:rPr>
        <w:t>”</w:t>
      </w:r>
      <w:r>
        <w:rPr>
          <w:rFonts w:eastAsia="方正仿宋_GBK"/>
          <w:b w:val="0"/>
          <w:bCs/>
          <w:sz w:val="32"/>
          <w:szCs w:val="32"/>
        </w:rPr>
        <w:t>期，随着新一轮技术革命和产业变革的深入推进，以5G、人工智能、大数据等为代表的新一轮信息技术将广泛而</w:t>
      </w:r>
      <w:r>
        <w:rPr>
          <w:rFonts w:hint="eastAsia" w:eastAsia="方正仿宋_GBK"/>
          <w:b w:val="0"/>
          <w:bCs/>
          <w:sz w:val="32"/>
          <w:szCs w:val="32"/>
        </w:rPr>
        <w:t>深入地渗透</w:t>
      </w:r>
      <w:r>
        <w:rPr>
          <w:rFonts w:eastAsia="方正仿宋_GBK"/>
          <w:b w:val="0"/>
          <w:bCs/>
          <w:sz w:val="32"/>
          <w:szCs w:val="32"/>
        </w:rPr>
        <w:t>到交通发展各个方面，交通运输新技术、新业态、新模式将层出不穷，交通发展要坚持以供给侧结构性改革为主线，由追求速度规模向更加注重质量效益转变，由各种交通方式相对独立发展向更加注重一体化融合发展转变，由依靠传统要素驱动向更加注重创新驱动转变，加快构建安全、便捷、高效、绿色、经济的现代化综合交通体系，创新交通治理体系，有力推动新型交通基础设施建设，大力发展智慧交通，打造智慧交通样板区，积极发展绿色交通，探索出一条生态优先、绿色发展新路子，努力推动交通运输质量变革、效率变革、动力变革，</w:t>
      </w:r>
      <w:r>
        <w:rPr>
          <w:rFonts w:eastAsia="方正仿宋_GBK"/>
          <w:b w:val="0"/>
          <w:bCs/>
          <w:spacing w:val="-6"/>
          <w:sz w:val="32"/>
          <w:szCs w:val="32"/>
        </w:rPr>
        <w:t>充分发挥交通先行引领作用，努力为高质量发展当好先行官。</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仿宋_GBK"/>
          <w:b w:val="0"/>
          <w:bCs/>
          <w:kern w:val="28"/>
          <w:sz w:val="32"/>
          <w:szCs w:val="32"/>
        </w:rPr>
      </w:pPr>
      <w:r>
        <w:rPr>
          <w:rFonts w:ascii="Times New Roman" w:hAnsi="Times New Roman" w:eastAsia="方正楷体_GBK" w:cs="Times New Roman"/>
          <w:b w:val="0"/>
          <w:bCs/>
          <w:sz w:val="32"/>
          <w:szCs w:val="32"/>
        </w:rPr>
        <w:t>四是建设高品质生活示范区要求加快推动交通与产城景融合发展，建设人民满意交通。</w:t>
      </w:r>
      <w:r>
        <w:rPr>
          <w:rFonts w:eastAsia="方正仿宋_GBK"/>
          <w:b w:val="0"/>
          <w:bCs/>
          <w:spacing w:val="-6"/>
          <w:sz w:val="32"/>
          <w:szCs w:val="32"/>
        </w:rPr>
        <w:t>当前，永川正加快推动产城景融合发展，努力建设宜居宜业宜乐宜游的</w:t>
      </w:r>
      <w:r>
        <w:rPr>
          <w:rFonts w:hint="eastAsia" w:eastAsia="方正仿宋_GBK"/>
          <w:b w:val="0"/>
          <w:bCs/>
          <w:spacing w:val="-6"/>
          <w:sz w:val="32"/>
          <w:szCs w:val="32"/>
        </w:rPr>
        <w:t>山清水秀美丽之地</w:t>
      </w:r>
      <w:r>
        <w:rPr>
          <w:rFonts w:eastAsia="方正仿宋_GBK"/>
          <w:b w:val="0"/>
          <w:bCs/>
          <w:spacing w:val="-6"/>
          <w:sz w:val="32"/>
          <w:szCs w:val="32"/>
        </w:rPr>
        <w:t>，全力唱好</w:t>
      </w:r>
      <w:r>
        <w:rPr>
          <w:rFonts w:eastAsia="方正仿宋_GBK"/>
          <w:b w:val="0"/>
          <w:bCs/>
          <w:spacing w:val="-6"/>
          <w:sz w:val="32"/>
          <w:szCs w:val="32"/>
          <w:lang w:val="en"/>
        </w:rPr>
        <w:t>“</w:t>
      </w:r>
      <w:r>
        <w:rPr>
          <w:rFonts w:eastAsia="方正仿宋_GBK"/>
          <w:b w:val="0"/>
          <w:bCs/>
          <w:spacing w:val="-6"/>
          <w:sz w:val="32"/>
          <w:szCs w:val="32"/>
        </w:rPr>
        <w:t>双城记</w:t>
      </w:r>
      <w:r>
        <w:rPr>
          <w:rFonts w:eastAsia="方正仿宋_GBK"/>
          <w:b w:val="0"/>
          <w:bCs/>
          <w:spacing w:val="-6"/>
          <w:sz w:val="32"/>
          <w:szCs w:val="32"/>
          <w:lang w:val="en"/>
        </w:rPr>
        <w:t>”</w:t>
      </w:r>
      <w:r>
        <w:rPr>
          <w:rFonts w:eastAsia="方正仿宋_GBK"/>
          <w:b w:val="0"/>
          <w:bCs/>
          <w:spacing w:val="-6"/>
          <w:sz w:val="32"/>
          <w:szCs w:val="32"/>
        </w:rPr>
        <w:t>、建好</w:t>
      </w:r>
      <w:r>
        <w:rPr>
          <w:rFonts w:eastAsia="方正仿宋_GBK"/>
          <w:b w:val="0"/>
          <w:bCs/>
          <w:spacing w:val="-6"/>
          <w:sz w:val="32"/>
          <w:szCs w:val="32"/>
          <w:lang w:val="en"/>
        </w:rPr>
        <w:t>“</w:t>
      </w:r>
      <w:r>
        <w:rPr>
          <w:rFonts w:eastAsia="方正仿宋_GBK"/>
          <w:b w:val="0"/>
          <w:bCs/>
          <w:spacing w:val="-6"/>
          <w:sz w:val="32"/>
          <w:szCs w:val="32"/>
        </w:rPr>
        <w:t>经济圈</w:t>
      </w:r>
      <w:r>
        <w:rPr>
          <w:rFonts w:eastAsia="方正仿宋_GBK"/>
          <w:b w:val="0"/>
          <w:bCs/>
          <w:spacing w:val="-6"/>
          <w:sz w:val="32"/>
          <w:szCs w:val="32"/>
          <w:lang w:val="en"/>
        </w:rPr>
        <w:t>”</w:t>
      </w:r>
      <w:r>
        <w:rPr>
          <w:rFonts w:eastAsia="方正仿宋_GBK"/>
          <w:b w:val="0"/>
          <w:bCs/>
          <w:spacing w:val="-6"/>
          <w:sz w:val="32"/>
          <w:szCs w:val="32"/>
        </w:rPr>
        <w:t>，实现在成渝地区双城经济圈中率先崛起。产城景融合发展离不开交通的支撑、保障。交通发展必须</w:t>
      </w:r>
      <w:r>
        <w:rPr>
          <w:rFonts w:eastAsia="方正仿宋_GBK"/>
          <w:b w:val="0"/>
          <w:bCs/>
          <w:kern w:val="28"/>
          <w:sz w:val="32"/>
          <w:szCs w:val="32"/>
        </w:rPr>
        <w:t>进一步突出抓重点、补短板、强弱项，聚焦打造</w:t>
      </w:r>
      <w:r>
        <w:rPr>
          <w:rFonts w:hint="eastAsia" w:eastAsia="方正仿宋_GBK"/>
          <w:b w:val="0"/>
          <w:bCs/>
          <w:kern w:val="28"/>
          <w:sz w:val="32"/>
          <w:szCs w:val="32"/>
        </w:rPr>
        <w:t>成渝地区双城经济圈现代制造业基地和区域性现代服务业高地、西部职教基地</w:t>
      </w:r>
      <w:r>
        <w:rPr>
          <w:rFonts w:eastAsia="方正仿宋_GBK"/>
          <w:b w:val="0"/>
          <w:bCs/>
          <w:kern w:val="28"/>
          <w:sz w:val="32"/>
          <w:szCs w:val="32"/>
        </w:rPr>
        <w:t>，聚焦建设100平方公里、100万城区人口的</w:t>
      </w:r>
      <w:r>
        <w:rPr>
          <w:rFonts w:eastAsia="方正仿宋_GBK"/>
          <w:b w:val="0"/>
          <w:bCs/>
          <w:kern w:val="28"/>
          <w:sz w:val="32"/>
          <w:szCs w:val="32"/>
          <w:lang w:val="en"/>
        </w:rPr>
        <w:t>“</w:t>
      </w:r>
      <w:r>
        <w:rPr>
          <w:rFonts w:eastAsia="方正仿宋_GBK"/>
          <w:b w:val="0"/>
          <w:bCs/>
          <w:kern w:val="28"/>
          <w:sz w:val="32"/>
          <w:szCs w:val="32"/>
        </w:rPr>
        <w:t>双百</w:t>
      </w:r>
      <w:r>
        <w:rPr>
          <w:rFonts w:eastAsia="方正仿宋_GBK"/>
          <w:b w:val="0"/>
          <w:bCs/>
          <w:kern w:val="28"/>
          <w:sz w:val="32"/>
          <w:szCs w:val="32"/>
          <w:lang w:val="en"/>
        </w:rPr>
        <w:t>”</w:t>
      </w:r>
      <w:r>
        <w:rPr>
          <w:rFonts w:eastAsia="方正仿宋_GBK"/>
          <w:b w:val="0"/>
          <w:bCs/>
          <w:kern w:val="28"/>
          <w:sz w:val="32"/>
          <w:szCs w:val="32"/>
        </w:rPr>
        <w:t>级区域性中心城市，聚焦</w:t>
      </w:r>
      <w:r>
        <w:rPr>
          <w:rFonts w:eastAsia="方正仿宋_GBK"/>
          <w:b w:val="0"/>
          <w:bCs/>
          <w:kern w:val="28"/>
          <w:sz w:val="32"/>
          <w:szCs w:val="32"/>
          <w:lang w:val="en"/>
        </w:rPr>
        <w:t>“</w:t>
      </w:r>
      <w:r>
        <w:rPr>
          <w:rFonts w:eastAsia="方正仿宋_GBK"/>
          <w:b w:val="0"/>
          <w:bCs/>
          <w:kern w:val="28"/>
          <w:sz w:val="32"/>
          <w:szCs w:val="32"/>
        </w:rPr>
        <w:t>把城区建成景区的客厅</w:t>
      </w:r>
      <w:r>
        <w:rPr>
          <w:rFonts w:eastAsia="方正仿宋_GBK"/>
          <w:b w:val="0"/>
          <w:bCs/>
          <w:kern w:val="28"/>
          <w:sz w:val="32"/>
          <w:szCs w:val="32"/>
          <w:lang w:val="en"/>
        </w:rPr>
        <w:t>”“</w:t>
      </w:r>
      <w:r>
        <w:rPr>
          <w:rFonts w:eastAsia="方正仿宋_GBK"/>
          <w:b w:val="0"/>
          <w:bCs/>
          <w:kern w:val="28"/>
          <w:sz w:val="32"/>
          <w:szCs w:val="32"/>
        </w:rPr>
        <w:t>让景区成为城市的花园</w:t>
      </w:r>
      <w:r>
        <w:rPr>
          <w:rFonts w:eastAsia="方正仿宋_GBK"/>
          <w:b w:val="0"/>
          <w:bCs/>
          <w:kern w:val="28"/>
          <w:sz w:val="32"/>
          <w:szCs w:val="32"/>
          <w:lang w:val="en"/>
        </w:rPr>
        <w:t>”“</w:t>
      </w:r>
      <w:r>
        <w:rPr>
          <w:rFonts w:eastAsia="方正仿宋_GBK"/>
          <w:b w:val="0"/>
          <w:bCs/>
          <w:kern w:val="28"/>
          <w:sz w:val="32"/>
          <w:szCs w:val="32"/>
        </w:rPr>
        <w:t>使乡村更具乡愁</w:t>
      </w:r>
      <w:r>
        <w:rPr>
          <w:rFonts w:eastAsia="方正仿宋_GBK"/>
          <w:b w:val="0"/>
          <w:bCs/>
          <w:kern w:val="28"/>
          <w:sz w:val="32"/>
          <w:szCs w:val="32"/>
          <w:lang w:val="en"/>
        </w:rPr>
        <w:t>”</w:t>
      </w:r>
      <w:r>
        <w:rPr>
          <w:rFonts w:eastAsia="方正仿宋_GBK"/>
          <w:b w:val="0"/>
          <w:bCs/>
          <w:kern w:val="28"/>
          <w:sz w:val="32"/>
          <w:szCs w:val="32"/>
        </w:rPr>
        <w:t>，加快建设区域内</w:t>
      </w:r>
      <w:r>
        <w:rPr>
          <w:rFonts w:eastAsia="方正仿宋_GBK"/>
          <w:b w:val="0"/>
          <w:bCs/>
          <w:sz w:val="32"/>
          <w:szCs w:val="32"/>
        </w:rPr>
        <w:t>一体畅联的基础设施网络，</w:t>
      </w:r>
      <w:r>
        <w:rPr>
          <w:rFonts w:eastAsia="方正仿宋_GBK"/>
          <w:b w:val="0"/>
          <w:bCs/>
          <w:spacing w:val="-6"/>
          <w:sz w:val="32"/>
          <w:szCs w:val="32"/>
        </w:rPr>
        <w:t>畅通城乡</w:t>
      </w:r>
      <w:r>
        <w:rPr>
          <w:rFonts w:eastAsia="方正仿宋_GBK"/>
          <w:b w:val="0"/>
          <w:bCs/>
          <w:spacing w:val="-6"/>
          <w:sz w:val="32"/>
          <w:szCs w:val="32"/>
          <w:lang w:val="en"/>
        </w:rPr>
        <w:t>“</w:t>
      </w:r>
      <w:r>
        <w:rPr>
          <w:rFonts w:eastAsia="方正仿宋_GBK"/>
          <w:b w:val="0"/>
          <w:bCs/>
          <w:spacing w:val="-6"/>
          <w:sz w:val="32"/>
          <w:szCs w:val="32"/>
        </w:rPr>
        <w:t>毛细血管</w:t>
      </w:r>
      <w:r>
        <w:rPr>
          <w:rFonts w:eastAsia="方正仿宋_GBK"/>
          <w:b w:val="0"/>
          <w:bCs/>
          <w:spacing w:val="-6"/>
          <w:sz w:val="32"/>
          <w:szCs w:val="32"/>
          <w:lang w:val="en"/>
        </w:rPr>
        <w:t>”</w:t>
      </w:r>
      <w:r>
        <w:rPr>
          <w:rFonts w:eastAsia="方正仿宋_GBK"/>
          <w:b w:val="0"/>
          <w:bCs/>
          <w:spacing w:val="-6"/>
          <w:sz w:val="32"/>
          <w:szCs w:val="32"/>
        </w:rPr>
        <w:t>，建设更多更</w:t>
      </w:r>
      <w:r>
        <w:rPr>
          <w:rFonts w:eastAsia="方正仿宋_GBK"/>
          <w:b w:val="0"/>
          <w:bCs/>
          <w:kern w:val="28"/>
          <w:sz w:val="32"/>
          <w:szCs w:val="32"/>
        </w:rPr>
        <w:t>好的</w:t>
      </w:r>
      <w:r>
        <w:rPr>
          <w:rFonts w:eastAsia="方正仿宋_GBK"/>
          <w:b w:val="0"/>
          <w:bCs/>
          <w:kern w:val="28"/>
          <w:sz w:val="32"/>
          <w:szCs w:val="32"/>
          <w:lang w:val="en"/>
        </w:rPr>
        <w:t>“</w:t>
      </w:r>
      <w:r>
        <w:rPr>
          <w:rFonts w:eastAsia="方正仿宋_GBK"/>
          <w:b w:val="0"/>
          <w:bCs/>
          <w:kern w:val="28"/>
          <w:sz w:val="32"/>
          <w:szCs w:val="32"/>
        </w:rPr>
        <w:t>产业路</w:t>
      </w:r>
      <w:r>
        <w:rPr>
          <w:rFonts w:eastAsia="方正仿宋_GBK"/>
          <w:b w:val="0"/>
          <w:bCs/>
          <w:kern w:val="28"/>
          <w:sz w:val="32"/>
          <w:szCs w:val="32"/>
          <w:lang w:val="en"/>
        </w:rPr>
        <w:t>”“</w:t>
      </w:r>
      <w:r>
        <w:rPr>
          <w:rFonts w:eastAsia="方正仿宋_GBK"/>
          <w:b w:val="0"/>
          <w:bCs/>
          <w:kern w:val="28"/>
          <w:sz w:val="32"/>
          <w:szCs w:val="32"/>
        </w:rPr>
        <w:t>民生路</w:t>
      </w:r>
      <w:r>
        <w:rPr>
          <w:rFonts w:eastAsia="方正仿宋_GBK"/>
          <w:b w:val="0"/>
          <w:bCs/>
          <w:kern w:val="28"/>
          <w:sz w:val="32"/>
          <w:szCs w:val="32"/>
          <w:lang w:val="en"/>
        </w:rPr>
        <w:t>”“</w:t>
      </w:r>
      <w:r>
        <w:rPr>
          <w:rFonts w:eastAsia="方正仿宋_GBK"/>
          <w:b w:val="0"/>
          <w:bCs/>
          <w:kern w:val="28"/>
          <w:sz w:val="32"/>
          <w:szCs w:val="32"/>
        </w:rPr>
        <w:t>旅游路</w:t>
      </w:r>
      <w:r>
        <w:rPr>
          <w:rFonts w:eastAsia="方正仿宋_GBK"/>
          <w:b w:val="0"/>
          <w:bCs/>
          <w:kern w:val="28"/>
          <w:sz w:val="32"/>
          <w:szCs w:val="32"/>
          <w:lang w:val="en"/>
        </w:rPr>
        <w:t>”</w:t>
      </w:r>
      <w:r>
        <w:rPr>
          <w:rFonts w:eastAsia="方正仿宋_GBK"/>
          <w:b w:val="0"/>
          <w:bCs/>
          <w:kern w:val="28"/>
          <w:sz w:val="32"/>
          <w:szCs w:val="32"/>
        </w:rPr>
        <w:t>，形成布局合理、功能完善、衔接顺畅的内部交通网络。同时，</w:t>
      </w:r>
      <w:r>
        <w:rPr>
          <w:rFonts w:hint="eastAsia" w:eastAsia="方正仿宋_GBK"/>
          <w:b w:val="0"/>
          <w:bCs/>
          <w:kern w:val="28"/>
          <w:sz w:val="32"/>
          <w:szCs w:val="32"/>
        </w:rPr>
        <w:t>聚焦建设城乡融合发展示范区，</w:t>
      </w:r>
      <w:r>
        <w:rPr>
          <w:rFonts w:eastAsia="方正仿宋_GBK"/>
          <w:b w:val="0"/>
          <w:bCs/>
          <w:kern w:val="28"/>
          <w:sz w:val="32"/>
          <w:szCs w:val="32"/>
        </w:rPr>
        <w:t>以满足人民群众对美好生活的向往为追求，围绕城市提升、乡村振兴两大基本面，推动城乡公共服务均等化，努力提供多样化的交通服务模式，满足多层次、多需求、高品质的交通出行，切实提升人民群众的获得感、幸福感、安全感。</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仿宋_GBK"/>
          <w:b w:val="0"/>
          <w:bCs/>
          <w:spacing w:val="0"/>
          <w:kern w:val="28"/>
          <w:sz w:val="32"/>
          <w:szCs w:val="32"/>
        </w:rPr>
      </w:pPr>
    </w:p>
    <w:p>
      <w:pPr>
        <w:pStyle w:val="16"/>
        <w:keepNext w:val="0"/>
        <w:keepLines w:val="0"/>
        <w:pageBreakBefore w:val="0"/>
        <w:widowControl w:val="0"/>
        <w:kinsoku/>
        <w:wordWrap/>
        <w:overflowPunct/>
        <w:topLinePunct w:val="0"/>
        <w:autoSpaceDE/>
        <w:autoSpaceDN/>
        <w:bidi w:val="0"/>
        <w:adjustRightInd w:val="0"/>
        <w:snapToGrid w:val="0"/>
        <w:spacing w:before="0" w:after="0" w:afterLines="0" w:line="276" w:lineRule="auto"/>
        <w:textAlignment w:val="auto"/>
        <w:rPr>
          <w:rFonts w:hint="eastAsia" w:ascii="方正楷体_GBK" w:hAnsi="方正楷体_GBK" w:eastAsia="方正楷体_GBK" w:cs="方正楷体_GBK"/>
          <w:b w:val="0"/>
          <w:bCs/>
          <w:kern w:val="2"/>
          <w:sz w:val="32"/>
          <w:szCs w:val="32"/>
        </w:rPr>
      </w:pPr>
      <w:bookmarkStart w:id="76" w:name="_Toc252496404_WPSOffice_Level2"/>
      <w:bookmarkStart w:id="77" w:name="_Toc265392882"/>
      <w:bookmarkStart w:id="78" w:name="_Toc119788938"/>
      <w:bookmarkStart w:id="79" w:name="_Toc20830"/>
      <w:r>
        <w:rPr>
          <w:rFonts w:hint="eastAsia" w:ascii="方正楷体_GBK" w:hAnsi="方正楷体_GBK" w:eastAsia="方正楷体_GBK" w:cs="方正楷体_GBK"/>
          <w:b w:val="0"/>
          <w:bCs/>
          <w:kern w:val="2"/>
          <w:sz w:val="32"/>
          <w:szCs w:val="32"/>
        </w:rPr>
        <w:t xml:space="preserve">第二节 </w:t>
      </w:r>
      <w:r>
        <w:rPr>
          <w:rFonts w:hint="eastAsia" w:ascii="方正楷体_GBK" w:hAnsi="方正楷体_GBK" w:eastAsia="方正楷体_GBK" w:cs="方正楷体_GBK"/>
          <w:b w:val="0"/>
          <w:bCs/>
          <w:kern w:val="2"/>
          <w:sz w:val="32"/>
          <w:szCs w:val="32"/>
          <w:lang w:val="en-US" w:eastAsia="zh-CN"/>
        </w:rPr>
        <w:t xml:space="preserve"> </w:t>
      </w:r>
      <w:r>
        <w:rPr>
          <w:rFonts w:hint="default" w:ascii="方正楷体_GBK" w:hAnsi="方正楷体_GBK" w:eastAsia="方正楷体_GBK" w:cs="方正楷体_GBK"/>
          <w:b w:val="0"/>
          <w:bCs/>
          <w:kern w:val="2"/>
          <w:sz w:val="32"/>
          <w:szCs w:val="32"/>
          <w:lang w:val="en"/>
        </w:rPr>
        <w:t>“</w:t>
      </w:r>
      <w:r>
        <w:rPr>
          <w:rFonts w:hint="eastAsia" w:ascii="方正楷体_GBK" w:hAnsi="方正楷体_GBK" w:eastAsia="方正楷体_GBK" w:cs="方正楷体_GBK"/>
          <w:b w:val="0"/>
          <w:bCs/>
          <w:kern w:val="2"/>
          <w:sz w:val="32"/>
          <w:szCs w:val="32"/>
        </w:rPr>
        <w:t>十四五</w:t>
      </w:r>
      <w:r>
        <w:rPr>
          <w:rFonts w:hint="default" w:ascii="方正楷体_GBK" w:hAnsi="方正楷体_GBK" w:eastAsia="方正楷体_GBK" w:cs="方正楷体_GBK"/>
          <w:b w:val="0"/>
          <w:bCs/>
          <w:kern w:val="2"/>
          <w:sz w:val="32"/>
          <w:szCs w:val="32"/>
          <w:lang w:val="en"/>
        </w:rPr>
        <w:t>”</w:t>
      </w:r>
      <w:r>
        <w:rPr>
          <w:rFonts w:hint="eastAsia" w:ascii="方正楷体_GBK" w:hAnsi="方正楷体_GBK" w:eastAsia="方正楷体_GBK" w:cs="方正楷体_GBK"/>
          <w:b w:val="0"/>
          <w:bCs/>
          <w:kern w:val="2"/>
          <w:sz w:val="32"/>
          <w:szCs w:val="32"/>
        </w:rPr>
        <w:t>阶</w:t>
      </w:r>
      <w:bookmarkEnd w:id="76"/>
      <w:r>
        <w:rPr>
          <w:rFonts w:hint="eastAsia" w:ascii="方正楷体_GBK" w:hAnsi="方正楷体_GBK" w:eastAsia="方正楷体_GBK" w:cs="方正楷体_GBK"/>
          <w:b w:val="0"/>
          <w:bCs/>
          <w:kern w:val="2"/>
          <w:sz w:val="32"/>
          <w:szCs w:val="32"/>
        </w:rPr>
        <w:t>段特征</w:t>
      </w:r>
      <w:bookmarkEnd w:id="77"/>
      <w:bookmarkEnd w:id="78"/>
      <w:bookmarkEnd w:id="79"/>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3"/>
        <w:textAlignment w:val="auto"/>
        <w:rPr>
          <w:rFonts w:hint="eastAsia" w:ascii="Times New Roman" w:hAnsi="Times New Roman" w:eastAsia="方正楷体_GBK" w:cs="Times New Roman"/>
          <w:b w:val="0"/>
          <w:bCs/>
          <w:sz w:val="32"/>
          <w:szCs w:val="32"/>
        </w:rPr>
      </w:pP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3"/>
        <w:textAlignment w:val="auto"/>
        <w:rPr>
          <w:rFonts w:eastAsia="方正仿宋_GBK"/>
          <w:b w:val="0"/>
          <w:bCs/>
          <w:sz w:val="32"/>
          <w:szCs w:val="32"/>
        </w:rPr>
      </w:pPr>
      <w:r>
        <w:rPr>
          <w:rFonts w:hint="eastAsia" w:ascii="Times New Roman" w:hAnsi="Times New Roman" w:eastAsia="方正楷体_GBK" w:cs="Times New Roman"/>
          <w:b w:val="0"/>
          <w:bCs/>
          <w:sz w:val="32"/>
          <w:szCs w:val="32"/>
        </w:rPr>
        <w:t>强枢纽的机遇期。</w:t>
      </w:r>
      <w:r>
        <w:rPr>
          <w:rFonts w:eastAsia="方正仿宋_GBK"/>
          <w:b w:val="0"/>
          <w:bCs/>
          <w:sz w:val="32"/>
          <w:szCs w:val="32"/>
        </w:rPr>
        <w:t>当前，永川交通运输骨架网络初步形成，但仍存在高铁通道偏少、高速进城拥堵、港口优势不明显等突出问题。</w:t>
      </w:r>
      <w:r>
        <w:rPr>
          <w:rFonts w:eastAsia="方正仿宋_GBK"/>
          <w:b w:val="0"/>
          <w:bCs/>
          <w:sz w:val="32"/>
          <w:szCs w:val="32"/>
          <w:lang w:val="en"/>
        </w:rPr>
        <w:t>“</w:t>
      </w:r>
      <w:r>
        <w:rPr>
          <w:rFonts w:eastAsia="方正仿宋_GBK"/>
          <w:b w:val="0"/>
          <w:bCs/>
          <w:sz w:val="32"/>
          <w:szCs w:val="32"/>
        </w:rPr>
        <w:t>十四五</w:t>
      </w:r>
      <w:r>
        <w:rPr>
          <w:rFonts w:eastAsia="方正仿宋_GBK"/>
          <w:b w:val="0"/>
          <w:bCs/>
          <w:sz w:val="32"/>
          <w:szCs w:val="32"/>
          <w:lang w:val="en"/>
        </w:rPr>
        <w:t>”</w:t>
      </w:r>
      <w:r>
        <w:rPr>
          <w:rFonts w:eastAsia="方正仿宋_GBK"/>
          <w:b w:val="0"/>
          <w:bCs/>
          <w:sz w:val="32"/>
          <w:szCs w:val="32"/>
        </w:rPr>
        <w:t>期，永川交通将抢抓成渝地区双城经济圈建设、新时代推进西部大开发形成新格局等战略机遇，进一步围绕抓重点、补短板、强弱项，加快构建对外通道，畅通内部循环，完善基础设施网络，提高交通互联互通水平</w:t>
      </w:r>
      <w:r>
        <w:rPr>
          <w:rFonts w:hint="eastAsia" w:eastAsia="方正仿宋_GBK"/>
          <w:b w:val="0"/>
          <w:bCs/>
          <w:sz w:val="32"/>
          <w:szCs w:val="32"/>
        </w:rPr>
        <w:t>，加快融入新发展格局</w:t>
      </w:r>
      <w:r>
        <w:rPr>
          <w:rFonts w:eastAsia="方正仿宋_GBK"/>
          <w:b w:val="0"/>
          <w:bCs/>
          <w:sz w:val="32"/>
          <w:szCs w:val="32"/>
        </w:rPr>
        <w:t>。</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3"/>
        <w:textAlignment w:val="auto"/>
        <w:rPr>
          <w:rFonts w:eastAsia="方正仿宋_GBK"/>
          <w:b w:val="0"/>
          <w:bCs/>
          <w:sz w:val="32"/>
          <w:szCs w:val="32"/>
        </w:rPr>
      </w:pPr>
      <w:r>
        <w:rPr>
          <w:rFonts w:hint="eastAsia" w:ascii="Times New Roman" w:hAnsi="Times New Roman" w:eastAsia="方正楷体_GBK" w:cs="Times New Roman"/>
          <w:b w:val="0"/>
          <w:bCs/>
          <w:sz w:val="32"/>
          <w:szCs w:val="32"/>
        </w:rPr>
        <w:t>促融合的关键期。</w:t>
      </w:r>
      <w:r>
        <w:rPr>
          <w:rFonts w:eastAsia="方正仿宋_GBK"/>
          <w:b w:val="0"/>
          <w:bCs/>
          <w:sz w:val="32"/>
          <w:szCs w:val="32"/>
        </w:rPr>
        <w:t>当前，永川正大力推进与主城都市区中心城区、川渝毗邻地区以及周边地区交通一体化发展。</w:t>
      </w:r>
      <w:r>
        <w:rPr>
          <w:rFonts w:eastAsia="方正仿宋_GBK"/>
          <w:b w:val="0"/>
          <w:bCs/>
          <w:sz w:val="32"/>
          <w:szCs w:val="32"/>
          <w:lang w:val="en"/>
        </w:rPr>
        <w:t>“</w:t>
      </w:r>
      <w:r>
        <w:rPr>
          <w:rFonts w:eastAsia="方正仿宋_GBK"/>
          <w:b w:val="0"/>
          <w:bCs/>
          <w:sz w:val="32"/>
          <w:szCs w:val="32"/>
        </w:rPr>
        <w:t>十四五</w:t>
      </w:r>
      <w:r>
        <w:rPr>
          <w:rFonts w:eastAsia="方正仿宋_GBK"/>
          <w:b w:val="0"/>
          <w:bCs/>
          <w:sz w:val="32"/>
          <w:szCs w:val="32"/>
          <w:lang w:val="en"/>
        </w:rPr>
        <w:t>”</w:t>
      </w:r>
      <w:r>
        <w:rPr>
          <w:rFonts w:eastAsia="方正仿宋_GBK"/>
          <w:b w:val="0"/>
          <w:bCs/>
          <w:sz w:val="32"/>
          <w:szCs w:val="32"/>
        </w:rPr>
        <w:t>期，推动区域协调发展形成新格局是</w:t>
      </w:r>
      <w:r>
        <w:rPr>
          <w:rFonts w:eastAsia="方正仿宋_GBK"/>
          <w:b w:val="0"/>
          <w:bCs/>
          <w:sz w:val="32"/>
          <w:szCs w:val="32"/>
          <w:lang w:val="en"/>
        </w:rPr>
        <w:t>“</w:t>
      </w:r>
      <w:r>
        <w:rPr>
          <w:rFonts w:eastAsia="方正仿宋_GBK"/>
          <w:b w:val="0"/>
          <w:bCs/>
          <w:sz w:val="32"/>
          <w:szCs w:val="32"/>
        </w:rPr>
        <w:t>一区两群</w:t>
      </w:r>
      <w:r>
        <w:rPr>
          <w:rFonts w:eastAsia="方正仿宋_GBK"/>
          <w:b w:val="0"/>
          <w:bCs/>
          <w:sz w:val="32"/>
          <w:szCs w:val="32"/>
          <w:lang w:val="en"/>
        </w:rPr>
        <w:t>”</w:t>
      </w:r>
      <w:r>
        <w:rPr>
          <w:rFonts w:eastAsia="方正仿宋_GBK"/>
          <w:b w:val="0"/>
          <w:bCs/>
          <w:sz w:val="32"/>
          <w:szCs w:val="32"/>
        </w:rPr>
        <w:t>发展的重点。永川交通将立足川渝毗邻示范区建设、</w:t>
      </w:r>
      <w:r>
        <w:rPr>
          <w:rFonts w:eastAsia="方正仿宋_GBK"/>
          <w:b w:val="0"/>
          <w:bCs/>
          <w:sz w:val="32"/>
          <w:szCs w:val="32"/>
          <w:lang w:val="en"/>
        </w:rPr>
        <w:t>“</w:t>
      </w:r>
      <w:r>
        <w:rPr>
          <w:rFonts w:eastAsia="方正仿宋_GBK"/>
          <w:b w:val="0"/>
          <w:bCs/>
          <w:sz w:val="32"/>
          <w:szCs w:val="32"/>
        </w:rPr>
        <w:t>一区两群</w:t>
      </w:r>
      <w:r>
        <w:rPr>
          <w:rFonts w:eastAsia="方正仿宋_GBK"/>
          <w:b w:val="0"/>
          <w:bCs/>
          <w:sz w:val="32"/>
          <w:szCs w:val="32"/>
          <w:lang w:val="en"/>
        </w:rPr>
        <w:t>”</w:t>
      </w:r>
      <w:r>
        <w:rPr>
          <w:rFonts w:eastAsia="方正仿宋_GBK"/>
          <w:b w:val="0"/>
          <w:bCs/>
          <w:sz w:val="32"/>
          <w:szCs w:val="32"/>
        </w:rPr>
        <w:t>协调发展，坚持一体化规划、协同性建设，统筹交通与产业、城镇、旅游的融合，统筹交通在区域间、城乡间的融合，形成中心城市带动、功能板块联动发展的良好局面。</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3"/>
        <w:textAlignment w:val="auto"/>
        <w:rPr>
          <w:rFonts w:eastAsia="方正仿宋_GBK"/>
          <w:b w:val="0"/>
          <w:bCs/>
          <w:sz w:val="32"/>
          <w:szCs w:val="32"/>
        </w:rPr>
      </w:pPr>
      <w:r>
        <w:rPr>
          <w:rFonts w:hint="eastAsia" w:ascii="Times New Roman" w:hAnsi="Times New Roman" w:eastAsia="方正楷体_GBK" w:cs="Times New Roman"/>
          <w:b w:val="0"/>
          <w:bCs/>
          <w:sz w:val="32"/>
          <w:szCs w:val="32"/>
        </w:rPr>
        <w:t>高质量的转型期。</w:t>
      </w:r>
      <w:r>
        <w:rPr>
          <w:rFonts w:eastAsia="方正仿宋_GBK"/>
          <w:b w:val="0"/>
          <w:bCs/>
          <w:sz w:val="32"/>
          <w:szCs w:val="32"/>
          <w:lang w:val="en"/>
        </w:rPr>
        <w:t>“</w:t>
      </w:r>
      <w:r>
        <w:rPr>
          <w:rFonts w:eastAsia="方正仿宋_GBK"/>
          <w:b w:val="0"/>
          <w:bCs/>
          <w:sz w:val="32"/>
          <w:szCs w:val="32"/>
        </w:rPr>
        <w:t>十四五</w:t>
      </w:r>
      <w:r>
        <w:rPr>
          <w:rFonts w:eastAsia="方正仿宋_GBK"/>
          <w:b w:val="0"/>
          <w:bCs/>
          <w:sz w:val="32"/>
          <w:szCs w:val="32"/>
          <w:lang w:val="en"/>
        </w:rPr>
        <w:t>”</w:t>
      </w:r>
      <w:r>
        <w:rPr>
          <w:rFonts w:eastAsia="方正仿宋_GBK"/>
          <w:b w:val="0"/>
          <w:bCs/>
          <w:sz w:val="32"/>
          <w:szCs w:val="32"/>
        </w:rPr>
        <w:t>期，</w:t>
      </w:r>
      <w:r>
        <w:rPr>
          <w:rFonts w:hint="eastAsia" w:eastAsia="方正仿宋_GBK"/>
          <w:b w:val="0"/>
          <w:bCs/>
          <w:sz w:val="32"/>
          <w:szCs w:val="32"/>
        </w:rPr>
        <w:t>永川</w:t>
      </w:r>
      <w:r>
        <w:rPr>
          <w:rFonts w:eastAsia="方正仿宋_GBK"/>
          <w:b w:val="0"/>
          <w:bCs/>
          <w:sz w:val="32"/>
          <w:szCs w:val="32"/>
        </w:rPr>
        <w:t>交通发展要抢抓</w:t>
      </w:r>
      <w:r>
        <w:rPr>
          <w:rFonts w:hint="eastAsia" w:eastAsia="方正仿宋_GBK"/>
          <w:b w:val="0"/>
          <w:bCs/>
          <w:sz w:val="32"/>
          <w:szCs w:val="32"/>
        </w:rPr>
        <w:t>交通强国建设试点的机遇，大力推动</w:t>
      </w:r>
      <w:r>
        <w:rPr>
          <w:rFonts w:eastAsia="方正仿宋_GBK"/>
          <w:b w:val="0"/>
          <w:bCs/>
          <w:sz w:val="32"/>
          <w:szCs w:val="32"/>
        </w:rPr>
        <w:t>交通运输新技术、新业态、新基建发展，围绕碳达峰、碳中和的战略要求，加快转变交通发展方式，加快推动交通运输智能化、数字化、绿色化发展，提升交通发展效率、质量。同时，统筹考虑行业治理效能提升，深化交通行业改革，构建高效、科学的建设管理平台，为交通高质量发展提供坚实保障。</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3"/>
        <w:textAlignment w:val="auto"/>
        <w:rPr>
          <w:rFonts w:eastAsia="方正仿宋_GBK"/>
          <w:b w:val="0"/>
          <w:bCs/>
          <w:sz w:val="32"/>
          <w:szCs w:val="32"/>
        </w:rPr>
      </w:pPr>
      <w:r>
        <w:rPr>
          <w:rFonts w:hint="eastAsia" w:ascii="Times New Roman" w:hAnsi="Times New Roman" w:eastAsia="方正楷体_GBK" w:cs="Times New Roman"/>
          <w:b w:val="0"/>
          <w:bCs/>
          <w:sz w:val="32"/>
          <w:szCs w:val="32"/>
        </w:rPr>
        <w:t>高品质的巩固期。</w:t>
      </w:r>
      <w:r>
        <w:rPr>
          <w:rFonts w:eastAsia="方正仿宋_GBK"/>
          <w:b w:val="0"/>
          <w:bCs/>
          <w:sz w:val="32"/>
          <w:szCs w:val="32"/>
          <w:lang w:val="en"/>
        </w:rPr>
        <w:t>“</w:t>
      </w:r>
      <w:r>
        <w:rPr>
          <w:rFonts w:eastAsia="方正仿宋_GBK"/>
          <w:b w:val="0"/>
          <w:bCs/>
          <w:sz w:val="32"/>
          <w:szCs w:val="32"/>
        </w:rPr>
        <w:t>十四五</w:t>
      </w:r>
      <w:r>
        <w:rPr>
          <w:rFonts w:eastAsia="方正仿宋_GBK"/>
          <w:b w:val="0"/>
          <w:bCs/>
          <w:sz w:val="32"/>
          <w:szCs w:val="32"/>
          <w:lang w:val="en"/>
        </w:rPr>
        <w:t>”</w:t>
      </w:r>
      <w:r>
        <w:rPr>
          <w:rFonts w:eastAsia="方正仿宋_GBK"/>
          <w:b w:val="0"/>
          <w:bCs/>
          <w:sz w:val="32"/>
          <w:szCs w:val="32"/>
        </w:rPr>
        <w:t>期，</w:t>
      </w:r>
      <w:r>
        <w:rPr>
          <w:rFonts w:hint="eastAsia" w:eastAsia="方正仿宋_GBK"/>
          <w:b w:val="0"/>
          <w:bCs/>
          <w:sz w:val="32"/>
          <w:szCs w:val="32"/>
        </w:rPr>
        <w:t>永川</w:t>
      </w:r>
      <w:r>
        <w:rPr>
          <w:rFonts w:eastAsia="方正仿宋_GBK"/>
          <w:b w:val="0"/>
          <w:bCs/>
          <w:sz w:val="32"/>
          <w:szCs w:val="32"/>
        </w:rPr>
        <w:t>交通发展要坚持以人民为中心的思想，以满足人民群众日益增长运输服务需求为根本目的，全力提供更加优质高效的运输服务，推动客运出行由便其行向悦其行转型、货运物流由畅其流向优其流转型，统筹交通发展和安全，切实提升人民群众的获得感、幸福感、安全感。</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3"/>
        <w:textAlignment w:val="auto"/>
        <w:rPr>
          <w:rFonts w:eastAsia="方正仿宋_GBK"/>
          <w:b w:val="0"/>
          <w:bCs/>
          <w:color w:val="000000"/>
          <w:sz w:val="32"/>
          <w:szCs w:val="32"/>
        </w:rPr>
      </w:pPr>
    </w:p>
    <w:p>
      <w:pPr>
        <w:keepNext w:val="0"/>
        <w:keepLines w:val="0"/>
        <w:pageBreakBefore w:val="0"/>
        <w:widowControl w:val="0"/>
        <w:kinsoku/>
        <w:wordWrap/>
        <w:overflowPunct/>
        <w:topLinePunct w:val="0"/>
        <w:autoSpaceDE/>
        <w:autoSpaceDN/>
        <w:bidi w:val="0"/>
        <w:adjustRightInd w:val="0"/>
        <w:snapToGrid w:val="0"/>
        <w:spacing w:afterLines="0" w:line="276" w:lineRule="auto"/>
        <w:jc w:val="center"/>
        <w:textAlignment w:val="auto"/>
        <w:rPr>
          <w:rFonts w:ascii="Times New Roman" w:hAnsi="Times New Roman" w:eastAsia="方正黑体_GBK"/>
          <w:b w:val="0"/>
          <w:bCs/>
          <w:sz w:val="32"/>
          <w:szCs w:val="32"/>
        </w:rPr>
      </w:pPr>
      <w:bookmarkStart w:id="80" w:name="_Toc54027163"/>
      <w:bookmarkStart w:id="81" w:name="_Toc1138465084_WPSOffice_Level1"/>
      <w:bookmarkStart w:id="82" w:name="_Toc5402"/>
      <w:r>
        <w:rPr>
          <w:rFonts w:ascii="Times New Roman" w:hAnsi="Times New Roman" w:eastAsia="方正黑体_GBK"/>
          <w:b w:val="0"/>
          <w:bCs/>
          <w:sz w:val="32"/>
          <w:szCs w:val="32"/>
        </w:rPr>
        <w:t>第三章  中长期布局规划</w:t>
      </w:r>
      <w:bookmarkEnd w:id="80"/>
      <w:bookmarkEnd w:id="81"/>
      <w:bookmarkEnd w:id="82"/>
    </w:p>
    <w:p>
      <w:pPr>
        <w:keepNext w:val="0"/>
        <w:keepLines w:val="0"/>
        <w:pageBreakBefore w:val="0"/>
        <w:widowControl w:val="0"/>
        <w:kinsoku/>
        <w:wordWrap/>
        <w:overflowPunct/>
        <w:topLinePunct w:val="0"/>
        <w:autoSpaceDE/>
        <w:autoSpaceDN/>
        <w:bidi w:val="0"/>
        <w:adjustRightInd w:val="0"/>
        <w:snapToGrid w:val="0"/>
        <w:spacing w:before="0" w:after="0" w:afterLines="0" w:line="276" w:lineRule="auto"/>
        <w:ind w:firstLine="643"/>
        <w:textAlignment w:val="auto"/>
        <w:rPr>
          <w:rFonts w:hint="default" w:ascii="Times New Roman" w:hAnsi="Times New Roman" w:eastAsia="方正仿宋_GBK" w:cs="Times New Roman"/>
          <w:b w:val="0"/>
          <w:bCs/>
          <w:kern w:val="2"/>
          <w:sz w:val="32"/>
          <w:szCs w:val="32"/>
        </w:rPr>
      </w:pPr>
      <w:bookmarkStart w:id="83" w:name="_Toc12427"/>
      <w:bookmarkStart w:id="84" w:name="_Toc54027164"/>
    </w:p>
    <w:p>
      <w:pPr>
        <w:pStyle w:val="16"/>
        <w:keepNext w:val="0"/>
        <w:keepLines w:val="0"/>
        <w:pageBreakBefore w:val="0"/>
        <w:widowControl w:val="0"/>
        <w:kinsoku/>
        <w:wordWrap/>
        <w:overflowPunct/>
        <w:topLinePunct w:val="0"/>
        <w:autoSpaceDE/>
        <w:autoSpaceDN/>
        <w:bidi w:val="0"/>
        <w:adjustRightInd w:val="0"/>
        <w:snapToGrid w:val="0"/>
        <w:spacing w:before="0" w:after="0" w:afterLines="0" w:line="276" w:lineRule="auto"/>
        <w:textAlignment w:val="auto"/>
        <w:rPr>
          <w:rFonts w:ascii="Times New Roman" w:hAnsi="Times New Roman" w:eastAsia="方正仿宋_GBK"/>
          <w:b w:val="0"/>
          <w:bCs/>
          <w:kern w:val="2"/>
          <w:sz w:val="32"/>
          <w:szCs w:val="32"/>
        </w:rPr>
      </w:pPr>
      <w:bookmarkStart w:id="85" w:name="_Toc1021793493"/>
      <w:bookmarkStart w:id="86" w:name="_Toc1038919934"/>
      <w:bookmarkStart w:id="87" w:name="_Toc2050941761_WPSOffice_Level2"/>
      <w:r>
        <w:rPr>
          <w:rFonts w:hint="eastAsia" w:ascii="方正楷体_GBK" w:hAnsi="方正楷体_GBK" w:eastAsia="方正楷体_GBK" w:cs="方正楷体_GBK"/>
          <w:b w:val="0"/>
          <w:bCs/>
          <w:kern w:val="2"/>
          <w:sz w:val="32"/>
          <w:szCs w:val="32"/>
        </w:rPr>
        <w:t xml:space="preserve">第一节 </w:t>
      </w:r>
      <w:r>
        <w:rPr>
          <w:rFonts w:hint="eastAsia" w:ascii="方正楷体_GBK" w:hAnsi="方正楷体_GBK" w:eastAsia="方正楷体_GBK" w:cs="方正楷体_GBK"/>
          <w:b w:val="0"/>
          <w:bCs/>
          <w:kern w:val="2"/>
          <w:sz w:val="32"/>
          <w:szCs w:val="32"/>
          <w:lang w:val="en-US" w:eastAsia="zh-CN"/>
        </w:rPr>
        <w:t xml:space="preserve"> </w:t>
      </w:r>
      <w:r>
        <w:rPr>
          <w:rFonts w:hint="eastAsia" w:ascii="方正楷体_GBK" w:hAnsi="方正楷体_GBK" w:eastAsia="方正楷体_GBK" w:cs="方正楷体_GBK"/>
          <w:b w:val="0"/>
          <w:bCs/>
          <w:kern w:val="2"/>
          <w:sz w:val="32"/>
          <w:szCs w:val="32"/>
        </w:rPr>
        <w:t>发展定位</w:t>
      </w:r>
      <w:bookmarkEnd w:id="83"/>
      <w:bookmarkEnd w:id="84"/>
      <w:bookmarkEnd w:id="85"/>
      <w:bookmarkEnd w:id="86"/>
      <w:bookmarkEnd w:id="87"/>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3"/>
        <w:jc w:val="left"/>
        <w:textAlignment w:val="auto"/>
        <w:rPr>
          <w:rFonts w:eastAsia="方正仿宋_GBK"/>
          <w:b w:val="0"/>
          <w:bCs/>
          <w:sz w:val="32"/>
          <w:szCs w:val="32"/>
        </w:rPr>
      </w:pP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jc w:val="left"/>
        <w:textAlignment w:val="auto"/>
        <w:rPr>
          <w:rFonts w:eastAsia="方正仿宋_GBK"/>
          <w:b w:val="0"/>
          <w:bCs/>
          <w:sz w:val="32"/>
          <w:szCs w:val="32"/>
        </w:rPr>
      </w:pPr>
      <w:r>
        <w:rPr>
          <w:rFonts w:eastAsia="方正仿宋_GBK"/>
          <w:b w:val="0"/>
          <w:bCs/>
          <w:sz w:val="32"/>
          <w:szCs w:val="32"/>
        </w:rPr>
        <w:t>紧扣重庆</w:t>
      </w:r>
      <w:r>
        <w:rPr>
          <w:rFonts w:hint="eastAsia" w:eastAsia="方正仿宋_GBK"/>
          <w:b w:val="0"/>
          <w:bCs/>
          <w:sz w:val="32"/>
          <w:szCs w:val="32"/>
        </w:rPr>
        <w:t>构建西部国际综合交通枢纽和国际门户枢纽</w:t>
      </w:r>
      <w:r>
        <w:rPr>
          <w:rFonts w:eastAsia="方正仿宋_GBK"/>
          <w:b w:val="0"/>
          <w:bCs/>
          <w:sz w:val="32"/>
          <w:szCs w:val="32"/>
        </w:rPr>
        <w:t>目标，</w:t>
      </w:r>
      <w:r>
        <w:rPr>
          <w:rFonts w:hint="eastAsia" w:eastAsia="方正仿宋_GBK"/>
          <w:b w:val="0"/>
          <w:bCs/>
          <w:sz w:val="32"/>
          <w:szCs w:val="32"/>
        </w:rPr>
        <w:t>抢抓</w:t>
      </w:r>
      <w:r>
        <w:rPr>
          <w:rFonts w:eastAsia="方正仿宋_GBK"/>
          <w:b w:val="0"/>
          <w:bCs/>
          <w:sz w:val="32"/>
          <w:szCs w:val="32"/>
        </w:rPr>
        <w:t>新时代西部大开</w:t>
      </w:r>
      <w:r>
        <w:rPr>
          <w:rFonts w:hint="eastAsia" w:eastAsia="方正仿宋_GBK"/>
          <w:b w:val="0"/>
          <w:bCs/>
          <w:sz w:val="32"/>
          <w:szCs w:val="32"/>
        </w:rPr>
        <w:t>发</w:t>
      </w:r>
      <w:r>
        <w:rPr>
          <w:rFonts w:eastAsia="方正仿宋_GBK"/>
          <w:b w:val="0"/>
          <w:bCs/>
          <w:sz w:val="32"/>
          <w:szCs w:val="32"/>
        </w:rPr>
        <w:t>战略、交通强国</w:t>
      </w:r>
      <w:r>
        <w:rPr>
          <w:rFonts w:hint="eastAsia" w:eastAsia="方正仿宋_GBK"/>
          <w:b w:val="0"/>
          <w:bCs/>
          <w:sz w:val="32"/>
          <w:szCs w:val="32"/>
        </w:rPr>
        <w:t>建设</w:t>
      </w:r>
      <w:r>
        <w:rPr>
          <w:rFonts w:eastAsia="方正仿宋_GBK"/>
          <w:b w:val="0"/>
          <w:bCs/>
          <w:sz w:val="32"/>
          <w:szCs w:val="32"/>
        </w:rPr>
        <w:t>试点和成渝地区双城经济圈</w:t>
      </w:r>
      <w:r>
        <w:rPr>
          <w:rFonts w:hint="eastAsia" w:eastAsia="方正仿宋_GBK"/>
          <w:b w:val="0"/>
          <w:bCs/>
          <w:sz w:val="32"/>
          <w:szCs w:val="32"/>
        </w:rPr>
        <w:t>建设</w:t>
      </w:r>
      <w:r>
        <w:rPr>
          <w:rFonts w:eastAsia="方正仿宋_GBK"/>
          <w:b w:val="0"/>
          <w:bCs/>
          <w:sz w:val="32"/>
          <w:szCs w:val="32"/>
        </w:rPr>
        <w:t>等历史机遇，围绕</w:t>
      </w:r>
      <w:r>
        <w:rPr>
          <w:rFonts w:eastAsia="方正仿宋_GBK"/>
          <w:b w:val="0"/>
          <w:bCs/>
          <w:sz w:val="32"/>
          <w:szCs w:val="32"/>
          <w:lang w:val="en"/>
        </w:rPr>
        <w:t>“</w:t>
      </w:r>
      <w:r>
        <w:rPr>
          <w:rFonts w:eastAsia="方正仿宋_GBK"/>
          <w:b w:val="0"/>
          <w:bCs/>
          <w:sz w:val="32"/>
          <w:szCs w:val="32"/>
        </w:rPr>
        <w:t>高质量发展先行区、高品质生活示范区</w:t>
      </w:r>
      <w:r>
        <w:rPr>
          <w:rFonts w:eastAsia="方正仿宋_GBK"/>
          <w:b w:val="0"/>
          <w:bCs/>
          <w:sz w:val="32"/>
          <w:szCs w:val="32"/>
          <w:lang w:val="en"/>
        </w:rPr>
        <w:t>”</w:t>
      </w:r>
      <w:r>
        <w:rPr>
          <w:rFonts w:eastAsia="方正仿宋_GBK"/>
          <w:b w:val="0"/>
          <w:bCs/>
          <w:sz w:val="32"/>
          <w:szCs w:val="32"/>
        </w:rPr>
        <w:t>一大目标，紧扣</w:t>
      </w:r>
      <w:r>
        <w:rPr>
          <w:rFonts w:eastAsia="方正仿宋_GBK"/>
          <w:b w:val="0"/>
          <w:bCs/>
          <w:sz w:val="32"/>
          <w:szCs w:val="32"/>
          <w:lang w:val="en"/>
        </w:rPr>
        <w:t>“</w:t>
      </w:r>
      <w:r>
        <w:rPr>
          <w:rFonts w:eastAsia="方正仿宋_GBK"/>
          <w:b w:val="0"/>
          <w:bCs/>
          <w:sz w:val="32"/>
          <w:szCs w:val="32"/>
        </w:rPr>
        <w:t>成渝地区双城经济圈重要节点、主城都市区战略支点</w:t>
      </w:r>
      <w:r>
        <w:rPr>
          <w:rFonts w:eastAsia="方正仿宋_GBK"/>
          <w:b w:val="0"/>
          <w:bCs/>
          <w:sz w:val="32"/>
          <w:szCs w:val="32"/>
          <w:lang w:val="en"/>
        </w:rPr>
        <w:t>”</w:t>
      </w:r>
      <w:r>
        <w:rPr>
          <w:rFonts w:eastAsia="方正仿宋_GBK"/>
          <w:b w:val="0"/>
          <w:bCs/>
          <w:sz w:val="32"/>
          <w:szCs w:val="32"/>
        </w:rPr>
        <w:t>两大定位，推动</w:t>
      </w:r>
      <w:r>
        <w:rPr>
          <w:rFonts w:eastAsia="方正仿宋_GBK"/>
          <w:b w:val="0"/>
          <w:bCs/>
          <w:sz w:val="32"/>
          <w:szCs w:val="32"/>
          <w:lang w:val="en"/>
        </w:rPr>
        <w:t>“</w:t>
      </w:r>
      <w:r>
        <w:rPr>
          <w:rFonts w:eastAsia="方正仿宋_GBK"/>
          <w:b w:val="0"/>
          <w:bCs/>
          <w:sz w:val="32"/>
          <w:szCs w:val="32"/>
        </w:rPr>
        <w:t>产、城、景</w:t>
      </w:r>
      <w:r>
        <w:rPr>
          <w:rFonts w:eastAsia="方正仿宋_GBK"/>
          <w:b w:val="0"/>
          <w:bCs/>
          <w:sz w:val="32"/>
          <w:szCs w:val="32"/>
          <w:lang w:val="en"/>
        </w:rPr>
        <w:t>”</w:t>
      </w:r>
      <w:r>
        <w:rPr>
          <w:rFonts w:eastAsia="方正仿宋_GBK"/>
          <w:b w:val="0"/>
          <w:bCs/>
          <w:sz w:val="32"/>
          <w:szCs w:val="32"/>
        </w:rPr>
        <w:t>融合发展三大任务，全力推动区域性铁路枢纽、区域性公路枢纽、区域性航运枢纽、区域性通用航空基地建设，到2035年，把永川打造为重庆区域</w:t>
      </w:r>
      <w:r>
        <w:rPr>
          <w:rFonts w:hint="eastAsia" w:eastAsia="方正仿宋_GBK"/>
          <w:b w:val="0"/>
          <w:bCs/>
          <w:sz w:val="32"/>
          <w:szCs w:val="32"/>
        </w:rPr>
        <w:t>性</w:t>
      </w:r>
      <w:r>
        <w:rPr>
          <w:rFonts w:eastAsia="方正仿宋_GBK"/>
          <w:b w:val="0"/>
          <w:bCs/>
          <w:sz w:val="32"/>
          <w:szCs w:val="32"/>
        </w:rPr>
        <w:t>综合交通</w:t>
      </w:r>
      <w:r>
        <w:rPr>
          <w:rFonts w:hint="eastAsia" w:eastAsia="方正仿宋_GBK"/>
          <w:b w:val="0"/>
          <w:bCs/>
          <w:sz w:val="32"/>
          <w:szCs w:val="32"/>
        </w:rPr>
        <w:t>物流</w:t>
      </w:r>
      <w:r>
        <w:rPr>
          <w:rFonts w:eastAsia="方正仿宋_GBK"/>
          <w:b w:val="0"/>
          <w:bCs/>
          <w:sz w:val="32"/>
          <w:szCs w:val="32"/>
        </w:rPr>
        <w:t>枢纽</w:t>
      </w:r>
      <w:r>
        <w:rPr>
          <w:rFonts w:hint="eastAsia" w:eastAsia="方正仿宋_GBK"/>
          <w:b w:val="0"/>
          <w:bCs/>
          <w:sz w:val="32"/>
          <w:szCs w:val="32"/>
        </w:rPr>
        <w:t>，有力支撑永川建成</w:t>
      </w:r>
      <w:r>
        <w:rPr>
          <w:rFonts w:hint="default" w:eastAsia="方正仿宋_GBK"/>
          <w:b w:val="0"/>
          <w:bCs/>
          <w:sz w:val="32"/>
          <w:szCs w:val="32"/>
          <w:lang w:val="en"/>
        </w:rPr>
        <w:t>“</w:t>
      </w:r>
      <w:r>
        <w:rPr>
          <w:rFonts w:hint="eastAsia" w:eastAsia="方正仿宋_GBK"/>
          <w:b w:val="0"/>
          <w:bCs/>
          <w:sz w:val="32"/>
          <w:szCs w:val="32"/>
        </w:rPr>
        <w:t>双百</w:t>
      </w:r>
      <w:r>
        <w:rPr>
          <w:rFonts w:hint="default" w:eastAsia="方正仿宋_GBK"/>
          <w:b w:val="0"/>
          <w:bCs/>
          <w:sz w:val="32"/>
          <w:szCs w:val="32"/>
          <w:lang w:val="en"/>
        </w:rPr>
        <w:t>”</w:t>
      </w:r>
      <w:r>
        <w:rPr>
          <w:rFonts w:hint="eastAsia" w:eastAsia="方正仿宋_GBK"/>
          <w:b w:val="0"/>
          <w:bCs/>
          <w:sz w:val="32"/>
          <w:szCs w:val="32"/>
        </w:rPr>
        <w:t>区域性中心城市，建成成渝地区双城经济圈现代制造业基地和区域性现代服务业高地、西部职教基地、</w:t>
      </w:r>
      <w:r>
        <w:rPr>
          <w:rFonts w:eastAsia="方正仿宋_GBK"/>
          <w:b w:val="0"/>
          <w:bCs/>
          <w:sz w:val="32"/>
          <w:szCs w:val="32"/>
        </w:rPr>
        <w:t>城乡融合发展示范区。</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jc w:val="left"/>
        <w:textAlignment w:val="auto"/>
        <w:rPr>
          <w:rFonts w:eastAsia="方正仿宋_GBK"/>
          <w:b w:val="0"/>
          <w:bCs/>
          <w:sz w:val="32"/>
          <w:szCs w:val="32"/>
        </w:rPr>
      </w:pPr>
    </w:p>
    <w:p>
      <w:pPr>
        <w:pStyle w:val="16"/>
        <w:keepNext w:val="0"/>
        <w:keepLines w:val="0"/>
        <w:pageBreakBefore w:val="0"/>
        <w:widowControl w:val="0"/>
        <w:kinsoku/>
        <w:wordWrap/>
        <w:overflowPunct/>
        <w:topLinePunct w:val="0"/>
        <w:autoSpaceDE/>
        <w:autoSpaceDN/>
        <w:bidi w:val="0"/>
        <w:adjustRightInd w:val="0"/>
        <w:snapToGrid w:val="0"/>
        <w:spacing w:before="0" w:after="0" w:afterLines="0" w:line="276" w:lineRule="auto"/>
        <w:textAlignment w:val="auto"/>
        <w:rPr>
          <w:rFonts w:ascii="Times New Roman" w:hAnsi="Times New Roman" w:eastAsia="方正仿宋_GBK"/>
          <w:b w:val="0"/>
          <w:bCs/>
          <w:kern w:val="2"/>
          <w:sz w:val="32"/>
          <w:szCs w:val="32"/>
        </w:rPr>
      </w:pPr>
      <w:bookmarkStart w:id="88" w:name="_Toc8892"/>
      <w:bookmarkStart w:id="89" w:name="_Toc247259803"/>
      <w:bookmarkStart w:id="90" w:name="_Toc920666807"/>
      <w:bookmarkStart w:id="91" w:name="_Toc811388579_WPSOffice_Level2"/>
      <w:r>
        <w:rPr>
          <w:rFonts w:hint="eastAsia" w:ascii="方正楷体_GBK" w:hAnsi="方正楷体_GBK" w:eastAsia="方正楷体_GBK" w:cs="方正楷体_GBK"/>
          <w:b w:val="0"/>
          <w:bCs/>
          <w:kern w:val="2"/>
          <w:sz w:val="32"/>
          <w:szCs w:val="32"/>
        </w:rPr>
        <w:t xml:space="preserve">第二节 </w:t>
      </w:r>
      <w:r>
        <w:rPr>
          <w:rFonts w:hint="eastAsia" w:ascii="方正楷体_GBK" w:hAnsi="方正楷体_GBK" w:eastAsia="方正楷体_GBK" w:cs="方正楷体_GBK"/>
          <w:b w:val="0"/>
          <w:bCs/>
          <w:kern w:val="2"/>
          <w:sz w:val="32"/>
          <w:szCs w:val="32"/>
          <w:lang w:val="en-US" w:eastAsia="zh-CN"/>
        </w:rPr>
        <w:t xml:space="preserve"> </w:t>
      </w:r>
      <w:r>
        <w:rPr>
          <w:rFonts w:hint="eastAsia" w:ascii="方正楷体_GBK" w:hAnsi="方正楷体_GBK" w:eastAsia="方正楷体_GBK" w:cs="方正楷体_GBK"/>
          <w:b w:val="0"/>
          <w:bCs/>
          <w:kern w:val="2"/>
          <w:sz w:val="32"/>
          <w:szCs w:val="32"/>
        </w:rPr>
        <w:t>发展理念</w:t>
      </w:r>
      <w:bookmarkEnd w:id="88"/>
      <w:bookmarkEnd w:id="89"/>
      <w:bookmarkEnd w:id="90"/>
      <w:bookmarkEnd w:id="91"/>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hint="eastAsia" w:ascii="Times New Roman" w:hAnsi="Times New Roman" w:eastAsia="方正楷体_GBK" w:cs="Times New Roman"/>
          <w:b w:val="0"/>
          <w:bCs/>
          <w:sz w:val="32"/>
          <w:szCs w:val="32"/>
        </w:rPr>
      </w:pP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hint="eastAsia" w:ascii="方正仿宋_GBK" w:hAnsi="方正仿宋_GBK" w:eastAsia="方正仿宋_GBK" w:cs="方正仿宋_GBK"/>
          <w:b w:val="0"/>
          <w:bCs/>
          <w:sz w:val="32"/>
          <w:szCs w:val="32"/>
        </w:rPr>
      </w:pPr>
      <w:r>
        <w:rPr>
          <w:rFonts w:hint="eastAsia" w:ascii="Times New Roman" w:hAnsi="Times New Roman" w:eastAsia="方正楷体_GBK" w:cs="Times New Roman"/>
          <w:b w:val="0"/>
          <w:bCs/>
          <w:sz w:val="32"/>
          <w:szCs w:val="32"/>
        </w:rPr>
        <w:t>快速进城。</w:t>
      </w:r>
      <w:r>
        <w:rPr>
          <w:rFonts w:hint="eastAsia" w:ascii="方正仿宋_GBK" w:hAnsi="方正仿宋_GBK" w:eastAsia="方正仿宋_GBK" w:cs="方正仿宋_GBK"/>
          <w:b w:val="0"/>
          <w:bCs/>
          <w:sz w:val="32"/>
          <w:szCs w:val="32"/>
        </w:rPr>
        <w:t>全面对接中心城区，依托高（快）速铁路、市域（郊）铁路、轨道交通、高速公路、高等级快速通道，构建发达的快速网，形成以轨道交通为主导的多层次、多模式交通出行体系，实现多通道、多方式快速可达中心城区，全力打造半小时中心城区交通圈。</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hint="eastAsia" w:ascii="方正仿宋_GBK" w:hAnsi="方正仿宋_GBK" w:eastAsia="方正仿宋_GBK" w:cs="方正仿宋_GBK"/>
          <w:b w:val="0"/>
          <w:bCs/>
          <w:sz w:val="32"/>
          <w:szCs w:val="32"/>
        </w:rPr>
      </w:pPr>
      <w:r>
        <w:rPr>
          <w:rFonts w:hint="eastAsia" w:ascii="Times New Roman" w:hAnsi="Times New Roman" w:eastAsia="方正楷体_GBK" w:cs="Times New Roman"/>
          <w:b w:val="0"/>
          <w:bCs/>
          <w:sz w:val="32"/>
          <w:szCs w:val="32"/>
        </w:rPr>
        <w:t>先行示范。</w:t>
      </w:r>
      <w:r>
        <w:rPr>
          <w:rFonts w:hint="eastAsia" w:ascii="方正仿宋_GBK" w:hAnsi="方正仿宋_GBK" w:eastAsia="方正仿宋_GBK" w:cs="方正仿宋_GBK"/>
          <w:b w:val="0"/>
          <w:bCs/>
          <w:sz w:val="32"/>
          <w:szCs w:val="32"/>
        </w:rPr>
        <w:t>抢抓交通强国建设试点机遇，全力打造永川区智慧交通样板区，努力在交通强国建设试点中打造永川样板。紧扣成渝地区双城经济圈战略目标，推动永川与川南渝西毗邻地区规划衔接，以泸永江融合发展示范区为契机，打造川南渝西融合发展试验区，加快推动交通一体化先行，在规划建设、体制机制、服务管理等方面先行先试，积累经验。</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仿宋_GBK"/>
          <w:b w:val="0"/>
          <w:bCs/>
          <w:sz w:val="32"/>
          <w:szCs w:val="32"/>
        </w:rPr>
      </w:pPr>
      <w:r>
        <w:rPr>
          <w:rFonts w:hint="eastAsia" w:ascii="Times New Roman" w:hAnsi="Times New Roman" w:eastAsia="方正楷体_GBK" w:cs="Times New Roman"/>
          <w:b w:val="0"/>
          <w:bCs/>
          <w:sz w:val="32"/>
          <w:szCs w:val="32"/>
        </w:rPr>
        <w:t>支点带动。</w:t>
      </w:r>
      <w:r>
        <w:rPr>
          <w:rFonts w:hint="eastAsia" w:ascii="方正仿宋_GBK" w:hAnsi="方正仿宋_GBK" w:eastAsia="方正仿宋_GBK" w:cs="方正仿宋_GBK"/>
          <w:b w:val="0"/>
          <w:bCs/>
          <w:sz w:val="32"/>
          <w:szCs w:val="32"/>
        </w:rPr>
        <w:t>加快织密区间网，强化永川与泸州、自贡、璧山、江津、铜梁、荣昌、大足等周边地区的通道联系，全力打造半小时周边交通圈，充</w:t>
      </w:r>
      <w:r>
        <w:rPr>
          <w:rFonts w:eastAsia="方正仿宋_GBK"/>
          <w:b w:val="0"/>
          <w:bCs/>
          <w:sz w:val="32"/>
          <w:szCs w:val="32"/>
        </w:rPr>
        <w:t>分发挥支点城市带动辐射作用。同时，加快畅通内循环，构建完善的干线网、广泛的基础网，强化城市内外衔接，充分发挥交通对产城景的带动能力。</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仿宋_GBK"/>
          <w:b w:val="0"/>
          <w:bCs/>
          <w:sz w:val="32"/>
          <w:szCs w:val="32"/>
        </w:rPr>
      </w:pPr>
    </w:p>
    <w:p>
      <w:pPr>
        <w:pStyle w:val="16"/>
        <w:keepNext w:val="0"/>
        <w:keepLines w:val="0"/>
        <w:pageBreakBefore w:val="0"/>
        <w:widowControl w:val="0"/>
        <w:kinsoku/>
        <w:wordWrap/>
        <w:overflowPunct/>
        <w:topLinePunct w:val="0"/>
        <w:autoSpaceDE/>
        <w:autoSpaceDN/>
        <w:bidi w:val="0"/>
        <w:adjustRightInd w:val="0"/>
        <w:snapToGrid w:val="0"/>
        <w:spacing w:before="0" w:after="0" w:afterLines="0" w:line="276" w:lineRule="auto"/>
        <w:textAlignment w:val="auto"/>
        <w:rPr>
          <w:rFonts w:hint="eastAsia" w:ascii="方正楷体_GBK" w:hAnsi="方正楷体_GBK" w:eastAsia="方正楷体_GBK" w:cs="方正楷体_GBK"/>
          <w:b w:val="0"/>
          <w:bCs/>
          <w:kern w:val="2"/>
          <w:sz w:val="32"/>
          <w:szCs w:val="32"/>
        </w:rPr>
      </w:pPr>
      <w:bookmarkStart w:id="92" w:name="_Toc1799445692_WPSOffice_Level2"/>
      <w:bookmarkStart w:id="93" w:name="_Toc721433505"/>
      <w:bookmarkStart w:id="94" w:name="_Toc1125053850"/>
      <w:bookmarkStart w:id="95" w:name="_Toc21832"/>
      <w:r>
        <w:rPr>
          <w:rFonts w:hint="eastAsia" w:ascii="方正楷体_GBK" w:hAnsi="方正楷体_GBK" w:eastAsia="方正楷体_GBK" w:cs="方正楷体_GBK"/>
          <w:b w:val="0"/>
          <w:bCs/>
          <w:kern w:val="2"/>
          <w:sz w:val="32"/>
          <w:szCs w:val="32"/>
        </w:rPr>
        <w:t>第三节 发展战略</w:t>
      </w:r>
      <w:bookmarkEnd w:id="92"/>
      <w:bookmarkEnd w:id="93"/>
      <w:bookmarkEnd w:id="94"/>
      <w:bookmarkEnd w:id="95"/>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hint="eastAsia" w:eastAsia="方正楷体_GBK"/>
          <w:b w:val="0"/>
          <w:bCs/>
          <w:color w:val="000000"/>
          <w:sz w:val="32"/>
          <w:szCs w:val="32"/>
        </w:rPr>
      </w:pP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仿宋_GBK"/>
          <w:b w:val="0"/>
          <w:bCs/>
          <w:sz w:val="32"/>
          <w:szCs w:val="32"/>
        </w:rPr>
      </w:pPr>
      <w:r>
        <w:rPr>
          <w:rFonts w:hint="eastAsia" w:eastAsia="方正楷体_GBK"/>
          <w:b w:val="0"/>
          <w:bCs/>
          <w:color w:val="000000"/>
          <w:sz w:val="32"/>
          <w:szCs w:val="32"/>
        </w:rPr>
        <w:t>大通道带动大循环</w:t>
      </w:r>
      <w:r>
        <w:rPr>
          <w:rFonts w:eastAsia="方正楷体_GBK"/>
          <w:b w:val="0"/>
          <w:bCs/>
          <w:color w:val="000000"/>
          <w:sz w:val="32"/>
          <w:szCs w:val="32"/>
        </w:rPr>
        <w:t>。</w:t>
      </w:r>
      <w:r>
        <w:rPr>
          <w:rFonts w:eastAsia="方正仿宋_GBK"/>
          <w:b w:val="0"/>
          <w:bCs/>
          <w:sz w:val="32"/>
          <w:szCs w:val="32"/>
        </w:rPr>
        <w:t>依托高速铁路、城际铁路、高速公路、长江等通道，构建</w:t>
      </w:r>
      <w:r>
        <w:rPr>
          <w:rFonts w:eastAsia="方正仿宋_GBK"/>
          <w:b w:val="0"/>
          <w:bCs/>
          <w:sz w:val="32"/>
          <w:szCs w:val="32"/>
          <w:lang w:val="en"/>
        </w:rPr>
        <w:t>“</w:t>
      </w:r>
      <w:r>
        <w:rPr>
          <w:rFonts w:eastAsia="方正仿宋_GBK"/>
          <w:b w:val="0"/>
          <w:bCs/>
          <w:sz w:val="32"/>
          <w:szCs w:val="32"/>
        </w:rPr>
        <w:t>十字</w:t>
      </w:r>
      <w:r>
        <w:rPr>
          <w:rFonts w:hint="eastAsia" w:eastAsia="方正仿宋_GBK"/>
          <w:b w:val="0"/>
          <w:bCs/>
          <w:sz w:val="32"/>
          <w:szCs w:val="32"/>
          <w:lang w:eastAsia="zh-CN"/>
        </w:rPr>
        <w:t>型</w:t>
      </w:r>
      <w:r>
        <w:rPr>
          <w:rFonts w:eastAsia="方正仿宋_GBK"/>
          <w:b w:val="0"/>
          <w:bCs/>
          <w:sz w:val="32"/>
          <w:szCs w:val="32"/>
          <w:lang w:val="en"/>
        </w:rPr>
        <w:t>”</w:t>
      </w:r>
      <w:r>
        <w:rPr>
          <w:rFonts w:eastAsia="方正仿宋_GBK"/>
          <w:b w:val="0"/>
          <w:bCs/>
          <w:sz w:val="32"/>
          <w:szCs w:val="32"/>
        </w:rPr>
        <w:t>四向对外大通道，加强通道枢纽衔接，强化永川与成渝地区双城经济圈、</w:t>
      </w:r>
      <w:r>
        <w:rPr>
          <w:rFonts w:hint="eastAsia" w:eastAsia="方正仿宋_GBK"/>
          <w:b w:val="0"/>
          <w:bCs/>
          <w:sz w:val="32"/>
          <w:szCs w:val="32"/>
        </w:rPr>
        <w:t>京津冀</w:t>
      </w:r>
      <w:r>
        <w:rPr>
          <w:rFonts w:eastAsia="方正仿宋_GBK"/>
          <w:b w:val="0"/>
          <w:bCs/>
          <w:sz w:val="32"/>
          <w:szCs w:val="32"/>
        </w:rPr>
        <w:t>城市群、长三角城市群、粤港澳大湾区等区域交通联系，主动融入</w:t>
      </w:r>
      <w:r>
        <w:rPr>
          <w:rFonts w:eastAsia="方正仿宋_GBK"/>
          <w:b w:val="0"/>
          <w:bCs/>
          <w:sz w:val="32"/>
          <w:szCs w:val="32"/>
          <w:lang w:val="en"/>
        </w:rPr>
        <w:t>“</w:t>
      </w:r>
      <w:r>
        <w:rPr>
          <w:rFonts w:eastAsia="方正仿宋_GBK"/>
          <w:b w:val="0"/>
          <w:bCs/>
          <w:sz w:val="32"/>
          <w:szCs w:val="32"/>
        </w:rPr>
        <w:t>一带一路</w:t>
      </w:r>
      <w:r>
        <w:rPr>
          <w:rFonts w:eastAsia="方正仿宋_GBK"/>
          <w:b w:val="0"/>
          <w:bCs/>
          <w:sz w:val="32"/>
          <w:szCs w:val="32"/>
          <w:lang w:val="en"/>
        </w:rPr>
        <w:t>”</w:t>
      </w:r>
      <w:r>
        <w:rPr>
          <w:rFonts w:eastAsia="方正仿宋_GBK"/>
          <w:b w:val="0"/>
          <w:bCs/>
          <w:sz w:val="32"/>
          <w:szCs w:val="32"/>
        </w:rPr>
        <w:t>、长江经济带、</w:t>
      </w:r>
      <w:r>
        <w:rPr>
          <w:rFonts w:hint="eastAsia" w:eastAsia="方正仿宋_GBK"/>
          <w:b w:val="0"/>
          <w:bCs/>
          <w:sz w:val="32"/>
          <w:szCs w:val="32"/>
        </w:rPr>
        <w:t>西部</w:t>
      </w:r>
      <w:r>
        <w:rPr>
          <w:rFonts w:eastAsia="方正仿宋_GBK"/>
          <w:b w:val="0"/>
          <w:bCs/>
          <w:sz w:val="32"/>
          <w:szCs w:val="32"/>
        </w:rPr>
        <w:t>陆海新通道等国家大战略</w:t>
      </w:r>
      <w:r>
        <w:rPr>
          <w:rFonts w:hint="eastAsia" w:eastAsia="方正仿宋_GBK"/>
          <w:b w:val="0"/>
          <w:bCs/>
          <w:sz w:val="32"/>
          <w:szCs w:val="32"/>
        </w:rPr>
        <w:t>，主动融入新发展格局。</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0" w:firstLineChars="0"/>
        <w:jc w:val="center"/>
        <w:textAlignment w:val="auto"/>
        <w:rPr>
          <w:rFonts w:hint="eastAsia" w:eastAsia="方正仿宋_GBK"/>
          <w:b w:val="0"/>
          <w:bCs/>
          <w:sz w:val="32"/>
          <w:szCs w:val="32"/>
        </w:rPr>
      </w:pPr>
      <w:bookmarkStart w:id="96" w:name="_Toc475391464_WPSOffice_Level2"/>
      <w:r>
        <w:rPr>
          <w:rFonts w:eastAsia="方正仿宋_GBK"/>
          <w:b w:val="0"/>
          <w:bCs/>
          <w:sz w:val="32"/>
          <w:szCs w:val="32"/>
        </w:rPr>
        <w:t>表</w:t>
      </w:r>
      <w:r>
        <w:rPr>
          <w:rFonts w:hint="eastAsia" w:eastAsia="方正仿宋_GBK"/>
          <w:b w:val="0"/>
          <w:bCs/>
          <w:sz w:val="32"/>
          <w:szCs w:val="32"/>
        </w:rPr>
        <w:t>3-</w:t>
      </w:r>
      <w:r>
        <w:rPr>
          <w:rFonts w:eastAsia="方正仿宋_GBK"/>
          <w:b w:val="0"/>
          <w:bCs/>
          <w:sz w:val="32"/>
          <w:szCs w:val="32"/>
        </w:rPr>
        <w:t>1  永川</w:t>
      </w:r>
      <w:r>
        <w:rPr>
          <w:rFonts w:eastAsia="方正仿宋_GBK"/>
          <w:b w:val="0"/>
          <w:bCs/>
          <w:sz w:val="32"/>
          <w:szCs w:val="32"/>
          <w:lang w:val="en"/>
        </w:rPr>
        <w:t>“</w:t>
      </w:r>
      <w:r>
        <w:rPr>
          <w:rFonts w:eastAsia="方正仿宋_GBK"/>
          <w:b w:val="0"/>
          <w:bCs/>
          <w:sz w:val="32"/>
          <w:szCs w:val="32"/>
        </w:rPr>
        <w:t>十字</w:t>
      </w:r>
      <w:r>
        <w:rPr>
          <w:rFonts w:hint="eastAsia" w:eastAsia="方正仿宋_GBK"/>
          <w:b w:val="0"/>
          <w:bCs/>
          <w:sz w:val="32"/>
          <w:szCs w:val="32"/>
          <w:lang w:eastAsia="zh-CN"/>
        </w:rPr>
        <w:t>型</w:t>
      </w:r>
      <w:r>
        <w:rPr>
          <w:rFonts w:eastAsia="方正仿宋_GBK"/>
          <w:b w:val="0"/>
          <w:bCs/>
          <w:sz w:val="32"/>
          <w:szCs w:val="32"/>
          <w:lang w:val="en"/>
        </w:rPr>
        <w:t>”</w:t>
      </w:r>
      <w:r>
        <w:rPr>
          <w:rFonts w:eastAsia="方正仿宋_GBK"/>
          <w:b w:val="0"/>
          <w:bCs/>
          <w:sz w:val="32"/>
          <w:szCs w:val="32"/>
        </w:rPr>
        <w:t>对</w:t>
      </w:r>
      <w:bookmarkEnd w:id="96"/>
      <w:r>
        <w:rPr>
          <w:rFonts w:eastAsia="方正仿宋_GBK"/>
          <w:b w:val="0"/>
          <w:bCs/>
          <w:sz w:val="32"/>
          <w:szCs w:val="32"/>
        </w:rPr>
        <w:t>外大通道</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1276"/>
        <w:gridCol w:w="6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959" w:type="dxa"/>
            <w:noWrap w:val="0"/>
            <w:vAlign w:val="center"/>
          </w:tcPr>
          <w:p>
            <w:pPr>
              <w:adjustRightInd w:val="0"/>
              <w:snapToGrid w:val="0"/>
              <w:spacing w:afterLines="0" w:line="276" w:lineRule="auto"/>
              <w:jc w:val="center"/>
              <w:rPr>
                <w:rFonts w:eastAsia="方正仿宋_GBK"/>
                <w:b w:val="0"/>
                <w:bCs/>
                <w:sz w:val="24"/>
                <w:szCs w:val="28"/>
              </w:rPr>
            </w:pPr>
            <w:r>
              <w:rPr>
                <w:rFonts w:eastAsia="方正仿宋_GBK"/>
                <w:b w:val="0"/>
                <w:bCs/>
                <w:sz w:val="24"/>
                <w:szCs w:val="28"/>
              </w:rPr>
              <w:t>通道</w:t>
            </w:r>
          </w:p>
        </w:tc>
        <w:tc>
          <w:tcPr>
            <w:tcW w:w="1276" w:type="dxa"/>
            <w:noWrap w:val="0"/>
            <w:vAlign w:val="center"/>
          </w:tcPr>
          <w:p>
            <w:pPr>
              <w:adjustRightInd w:val="0"/>
              <w:snapToGrid w:val="0"/>
              <w:spacing w:afterLines="0" w:line="276" w:lineRule="auto"/>
              <w:jc w:val="center"/>
              <w:rPr>
                <w:rFonts w:eastAsia="方正仿宋_GBK"/>
                <w:b w:val="0"/>
                <w:bCs/>
                <w:sz w:val="24"/>
                <w:szCs w:val="28"/>
              </w:rPr>
            </w:pPr>
            <w:r>
              <w:rPr>
                <w:rFonts w:eastAsia="方正仿宋_GBK"/>
                <w:b w:val="0"/>
                <w:bCs/>
                <w:sz w:val="24"/>
                <w:szCs w:val="28"/>
              </w:rPr>
              <w:t>方向</w:t>
            </w:r>
          </w:p>
        </w:tc>
        <w:tc>
          <w:tcPr>
            <w:tcW w:w="6281" w:type="dxa"/>
            <w:noWrap w:val="0"/>
            <w:vAlign w:val="center"/>
          </w:tcPr>
          <w:p>
            <w:pPr>
              <w:adjustRightInd w:val="0"/>
              <w:snapToGrid w:val="0"/>
              <w:spacing w:afterLines="0" w:line="276" w:lineRule="auto"/>
              <w:jc w:val="center"/>
              <w:rPr>
                <w:rFonts w:eastAsia="方正仿宋_GBK"/>
                <w:b w:val="0"/>
                <w:bCs/>
                <w:sz w:val="24"/>
                <w:szCs w:val="28"/>
              </w:rPr>
            </w:pPr>
            <w:r>
              <w:rPr>
                <w:rFonts w:eastAsia="方正仿宋_GBK"/>
                <w:b w:val="0"/>
                <w:bCs/>
                <w:sz w:val="24"/>
                <w:szCs w:val="28"/>
              </w:rPr>
              <w:t>衔接区域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959" w:type="dxa"/>
            <w:vMerge w:val="restart"/>
            <w:noWrap w:val="0"/>
            <w:vAlign w:val="center"/>
          </w:tcPr>
          <w:p>
            <w:pPr>
              <w:adjustRightInd w:val="0"/>
              <w:snapToGrid w:val="0"/>
              <w:spacing w:afterLines="0" w:line="276" w:lineRule="auto"/>
              <w:rPr>
                <w:rFonts w:eastAsia="方正仿宋_GBK"/>
                <w:b w:val="0"/>
                <w:bCs/>
                <w:sz w:val="24"/>
                <w:szCs w:val="28"/>
                <w:lang w:val="en"/>
              </w:rPr>
            </w:pPr>
            <w:r>
              <w:rPr>
                <w:rFonts w:eastAsia="方正仿宋_GBK"/>
                <w:b w:val="0"/>
                <w:bCs/>
                <w:sz w:val="24"/>
                <w:szCs w:val="28"/>
                <w:lang w:val="en"/>
              </w:rPr>
              <w:t>“</w:t>
            </w:r>
            <w:r>
              <w:rPr>
                <w:rFonts w:eastAsia="方正仿宋_GBK"/>
                <w:b w:val="0"/>
                <w:bCs/>
                <w:sz w:val="24"/>
                <w:szCs w:val="28"/>
              </w:rPr>
              <w:t>十字</w:t>
            </w:r>
            <w:r>
              <w:rPr>
                <w:rFonts w:hint="eastAsia" w:eastAsia="方正仿宋_GBK"/>
                <w:b w:val="0"/>
                <w:bCs/>
                <w:sz w:val="24"/>
                <w:szCs w:val="28"/>
                <w:lang w:eastAsia="zh-CN"/>
              </w:rPr>
              <w:t>型</w:t>
            </w:r>
            <w:r>
              <w:rPr>
                <w:rFonts w:eastAsia="方正仿宋_GBK"/>
                <w:b w:val="0"/>
                <w:bCs/>
                <w:sz w:val="24"/>
                <w:szCs w:val="28"/>
                <w:lang w:val="en"/>
              </w:rPr>
              <w:t>”</w:t>
            </w:r>
          </w:p>
        </w:tc>
        <w:tc>
          <w:tcPr>
            <w:tcW w:w="1276" w:type="dxa"/>
            <w:noWrap w:val="0"/>
            <w:vAlign w:val="center"/>
          </w:tcPr>
          <w:p>
            <w:pPr>
              <w:adjustRightInd w:val="0"/>
              <w:snapToGrid w:val="0"/>
              <w:spacing w:afterLines="0" w:line="276" w:lineRule="auto"/>
              <w:jc w:val="center"/>
              <w:rPr>
                <w:rFonts w:eastAsia="方正仿宋_GBK"/>
                <w:b w:val="0"/>
                <w:bCs/>
                <w:sz w:val="24"/>
                <w:szCs w:val="28"/>
              </w:rPr>
            </w:pPr>
            <w:r>
              <w:rPr>
                <w:rFonts w:eastAsia="方正仿宋_GBK"/>
                <w:b w:val="0"/>
                <w:bCs/>
                <w:sz w:val="24"/>
                <w:szCs w:val="28"/>
              </w:rPr>
              <w:t>东进</w:t>
            </w:r>
          </w:p>
        </w:tc>
        <w:tc>
          <w:tcPr>
            <w:tcW w:w="6281" w:type="dxa"/>
            <w:noWrap w:val="0"/>
            <w:vAlign w:val="center"/>
          </w:tcPr>
          <w:p>
            <w:pPr>
              <w:adjustRightInd w:val="0"/>
              <w:snapToGrid w:val="0"/>
              <w:spacing w:afterLines="0" w:line="276" w:lineRule="auto"/>
              <w:rPr>
                <w:rFonts w:eastAsia="方正仿宋_GBK"/>
                <w:b w:val="0"/>
                <w:bCs/>
                <w:sz w:val="24"/>
                <w:szCs w:val="28"/>
              </w:rPr>
            </w:pPr>
            <w:r>
              <w:rPr>
                <w:rFonts w:eastAsia="方正仿宋_GBK"/>
                <w:b w:val="0"/>
                <w:bCs/>
                <w:sz w:val="24"/>
                <w:szCs w:val="28"/>
              </w:rPr>
              <w:t>对接</w:t>
            </w:r>
            <w:r>
              <w:rPr>
                <w:rFonts w:hint="eastAsia" w:eastAsia="方正仿宋_GBK"/>
                <w:b w:val="0"/>
                <w:bCs/>
                <w:sz w:val="24"/>
                <w:szCs w:val="28"/>
              </w:rPr>
              <w:t>重庆新</w:t>
            </w:r>
            <w:r>
              <w:rPr>
                <w:rFonts w:eastAsia="方正仿宋_GBK"/>
                <w:b w:val="0"/>
                <w:bCs/>
                <w:sz w:val="24"/>
                <w:szCs w:val="28"/>
              </w:rPr>
              <w:t>机场，</w:t>
            </w:r>
            <w:r>
              <w:rPr>
                <w:rFonts w:hint="eastAsia" w:eastAsia="方正仿宋_GBK"/>
                <w:b w:val="0"/>
                <w:bCs/>
                <w:sz w:val="24"/>
                <w:szCs w:val="28"/>
              </w:rPr>
              <w:t>快速连接</w:t>
            </w:r>
            <w:r>
              <w:rPr>
                <w:rFonts w:eastAsia="方正仿宋_GBK"/>
                <w:b w:val="0"/>
                <w:bCs/>
                <w:sz w:val="24"/>
                <w:szCs w:val="28"/>
              </w:rPr>
              <w:t>中心城区，衔接长江经济带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Merge w:val="continue"/>
            <w:noWrap w:val="0"/>
            <w:vAlign w:val="center"/>
          </w:tcPr>
          <w:p>
            <w:pPr>
              <w:adjustRightInd w:val="0"/>
              <w:snapToGrid w:val="0"/>
              <w:spacing w:afterLines="0" w:line="276" w:lineRule="auto"/>
              <w:rPr>
                <w:rFonts w:eastAsia="方正仿宋_GBK"/>
                <w:b w:val="0"/>
                <w:bCs/>
                <w:sz w:val="24"/>
                <w:szCs w:val="28"/>
              </w:rPr>
            </w:pPr>
          </w:p>
        </w:tc>
        <w:tc>
          <w:tcPr>
            <w:tcW w:w="1276" w:type="dxa"/>
            <w:noWrap w:val="0"/>
            <w:vAlign w:val="center"/>
          </w:tcPr>
          <w:p>
            <w:pPr>
              <w:adjustRightInd w:val="0"/>
              <w:snapToGrid w:val="0"/>
              <w:spacing w:afterLines="0" w:line="276" w:lineRule="auto"/>
              <w:jc w:val="center"/>
              <w:rPr>
                <w:rFonts w:eastAsia="方正仿宋_GBK"/>
                <w:b w:val="0"/>
                <w:bCs/>
                <w:sz w:val="24"/>
                <w:szCs w:val="28"/>
              </w:rPr>
            </w:pPr>
            <w:r>
              <w:rPr>
                <w:rFonts w:eastAsia="方正仿宋_GBK"/>
                <w:b w:val="0"/>
                <w:bCs/>
                <w:sz w:val="24"/>
                <w:szCs w:val="28"/>
              </w:rPr>
              <w:t>南下</w:t>
            </w:r>
          </w:p>
        </w:tc>
        <w:tc>
          <w:tcPr>
            <w:tcW w:w="6281" w:type="dxa"/>
            <w:noWrap w:val="0"/>
            <w:vAlign w:val="center"/>
          </w:tcPr>
          <w:p>
            <w:pPr>
              <w:adjustRightInd w:val="0"/>
              <w:snapToGrid w:val="0"/>
              <w:spacing w:afterLines="0" w:line="276" w:lineRule="auto"/>
              <w:rPr>
                <w:rFonts w:eastAsia="方正仿宋_GBK"/>
                <w:b w:val="0"/>
                <w:bCs/>
                <w:sz w:val="24"/>
                <w:szCs w:val="28"/>
              </w:rPr>
            </w:pPr>
            <w:r>
              <w:rPr>
                <w:rFonts w:eastAsia="方正仿宋_GBK"/>
                <w:b w:val="0"/>
                <w:bCs/>
                <w:sz w:val="24"/>
                <w:szCs w:val="28"/>
              </w:rPr>
              <w:t>对接泸州、贵州，建好成渝地区双城经济圈先行示范区，打造西部陆海新通道第二南下通道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Merge w:val="continue"/>
            <w:noWrap w:val="0"/>
            <w:vAlign w:val="center"/>
          </w:tcPr>
          <w:p>
            <w:pPr>
              <w:adjustRightInd w:val="0"/>
              <w:snapToGrid w:val="0"/>
              <w:spacing w:afterLines="0" w:line="276" w:lineRule="auto"/>
              <w:rPr>
                <w:rFonts w:eastAsia="方正仿宋_GBK"/>
                <w:b w:val="0"/>
                <w:bCs/>
                <w:sz w:val="24"/>
                <w:szCs w:val="28"/>
              </w:rPr>
            </w:pPr>
          </w:p>
        </w:tc>
        <w:tc>
          <w:tcPr>
            <w:tcW w:w="1276" w:type="dxa"/>
            <w:noWrap w:val="0"/>
            <w:vAlign w:val="center"/>
          </w:tcPr>
          <w:p>
            <w:pPr>
              <w:adjustRightInd w:val="0"/>
              <w:snapToGrid w:val="0"/>
              <w:spacing w:afterLines="0" w:line="276" w:lineRule="auto"/>
              <w:jc w:val="center"/>
              <w:rPr>
                <w:rFonts w:eastAsia="方正仿宋_GBK"/>
                <w:b w:val="0"/>
                <w:bCs/>
                <w:sz w:val="24"/>
                <w:szCs w:val="28"/>
              </w:rPr>
            </w:pPr>
            <w:r>
              <w:rPr>
                <w:rFonts w:eastAsia="方正仿宋_GBK"/>
                <w:b w:val="0"/>
                <w:bCs/>
                <w:sz w:val="24"/>
                <w:szCs w:val="28"/>
              </w:rPr>
              <w:t>西出</w:t>
            </w:r>
          </w:p>
        </w:tc>
        <w:tc>
          <w:tcPr>
            <w:tcW w:w="6281" w:type="dxa"/>
            <w:noWrap w:val="0"/>
            <w:vAlign w:val="center"/>
          </w:tcPr>
          <w:p>
            <w:pPr>
              <w:adjustRightInd w:val="0"/>
              <w:snapToGrid w:val="0"/>
              <w:spacing w:afterLines="0" w:line="276" w:lineRule="auto"/>
              <w:rPr>
                <w:rFonts w:eastAsia="方正仿宋_GBK"/>
                <w:b w:val="0"/>
                <w:bCs/>
                <w:sz w:val="24"/>
                <w:szCs w:val="28"/>
              </w:rPr>
            </w:pPr>
            <w:r>
              <w:rPr>
                <w:rFonts w:eastAsia="方正仿宋_GBK"/>
                <w:b w:val="0"/>
                <w:bCs/>
                <w:sz w:val="24"/>
                <w:szCs w:val="28"/>
              </w:rPr>
              <w:t>对接荣昌、内江，衔接成都、西藏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959" w:type="dxa"/>
            <w:vMerge w:val="continue"/>
            <w:noWrap w:val="0"/>
            <w:vAlign w:val="center"/>
          </w:tcPr>
          <w:p>
            <w:pPr>
              <w:adjustRightInd w:val="0"/>
              <w:snapToGrid w:val="0"/>
              <w:spacing w:afterLines="0" w:line="276" w:lineRule="auto"/>
              <w:rPr>
                <w:rFonts w:eastAsia="方正仿宋_GBK"/>
                <w:b w:val="0"/>
                <w:bCs/>
                <w:sz w:val="24"/>
                <w:szCs w:val="28"/>
              </w:rPr>
            </w:pPr>
          </w:p>
        </w:tc>
        <w:tc>
          <w:tcPr>
            <w:tcW w:w="1276" w:type="dxa"/>
            <w:noWrap w:val="0"/>
            <w:vAlign w:val="center"/>
          </w:tcPr>
          <w:p>
            <w:pPr>
              <w:adjustRightInd w:val="0"/>
              <w:snapToGrid w:val="0"/>
              <w:spacing w:afterLines="0" w:line="276" w:lineRule="auto"/>
              <w:jc w:val="center"/>
              <w:rPr>
                <w:rFonts w:eastAsia="方正仿宋_GBK"/>
                <w:b w:val="0"/>
                <w:bCs/>
                <w:sz w:val="24"/>
                <w:szCs w:val="28"/>
              </w:rPr>
            </w:pPr>
            <w:r>
              <w:rPr>
                <w:rFonts w:eastAsia="方正仿宋_GBK"/>
                <w:b w:val="0"/>
                <w:bCs/>
                <w:sz w:val="24"/>
                <w:szCs w:val="28"/>
              </w:rPr>
              <w:t>北上</w:t>
            </w:r>
          </w:p>
        </w:tc>
        <w:tc>
          <w:tcPr>
            <w:tcW w:w="6281" w:type="dxa"/>
            <w:noWrap w:val="0"/>
            <w:vAlign w:val="center"/>
          </w:tcPr>
          <w:p>
            <w:pPr>
              <w:adjustRightInd w:val="0"/>
              <w:snapToGrid w:val="0"/>
              <w:spacing w:afterLines="0" w:line="276" w:lineRule="auto"/>
              <w:rPr>
                <w:rFonts w:eastAsia="方正仿宋_GBK"/>
                <w:b w:val="0"/>
                <w:bCs/>
                <w:sz w:val="24"/>
                <w:szCs w:val="28"/>
              </w:rPr>
            </w:pPr>
            <w:r>
              <w:rPr>
                <w:rFonts w:eastAsia="方正仿宋_GBK"/>
                <w:b w:val="0"/>
                <w:bCs/>
                <w:sz w:val="24"/>
                <w:szCs w:val="28"/>
              </w:rPr>
              <w:t>对接大足、南充，衔接关中城市群、丝绸之路经济带</w:t>
            </w:r>
          </w:p>
        </w:tc>
      </w:tr>
    </w:tbl>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hint="eastAsia" w:eastAsia="方正仿宋_GBK"/>
          <w:b w:val="0"/>
          <w:bCs/>
          <w:sz w:val="32"/>
          <w:szCs w:val="32"/>
        </w:rPr>
      </w:pPr>
      <w:r>
        <w:rPr>
          <w:rFonts w:hint="eastAsia" w:eastAsia="方正楷体_GBK"/>
          <w:b w:val="0"/>
          <w:bCs/>
          <w:color w:val="000000"/>
          <w:sz w:val="32"/>
          <w:szCs w:val="32"/>
        </w:rPr>
        <w:t>大网络加速大融合</w:t>
      </w:r>
      <w:r>
        <w:rPr>
          <w:rFonts w:eastAsia="方正楷体_GBK"/>
          <w:b w:val="0"/>
          <w:bCs/>
          <w:color w:val="000000"/>
          <w:sz w:val="32"/>
          <w:szCs w:val="32"/>
        </w:rPr>
        <w:t>。</w:t>
      </w:r>
      <w:r>
        <w:rPr>
          <w:rFonts w:eastAsia="方正仿宋_GBK"/>
          <w:b w:val="0"/>
          <w:bCs/>
          <w:sz w:val="32"/>
          <w:szCs w:val="32"/>
        </w:rPr>
        <w:t>围绕</w:t>
      </w:r>
      <w:r>
        <w:rPr>
          <w:rFonts w:eastAsia="方正仿宋_GBK"/>
          <w:b w:val="0"/>
          <w:bCs/>
          <w:sz w:val="32"/>
          <w:szCs w:val="32"/>
          <w:lang w:val="en"/>
        </w:rPr>
        <w:t>“</w:t>
      </w:r>
      <w:r>
        <w:rPr>
          <w:rFonts w:eastAsia="方正仿宋_GBK"/>
          <w:b w:val="0"/>
          <w:bCs/>
          <w:sz w:val="32"/>
          <w:szCs w:val="32"/>
        </w:rPr>
        <w:t>半小时中心城区</w:t>
      </w:r>
      <w:r>
        <w:rPr>
          <w:rFonts w:eastAsia="方正仿宋_GBK"/>
          <w:b w:val="0"/>
          <w:bCs/>
          <w:sz w:val="32"/>
          <w:szCs w:val="32"/>
          <w:lang w:val="en"/>
        </w:rPr>
        <w:t>”</w:t>
      </w:r>
      <w:r>
        <w:rPr>
          <w:rFonts w:hint="eastAsia" w:eastAsia="方正仿宋_GBK"/>
          <w:b w:val="0"/>
          <w:bCs/>
          <w:sz w:val="32"/>
          <w:szCs w:val="32"/>
        </w:rPr>
        <w:t>交通</w:t>
      </w:r>
      <w:r>
        <w:rPr>
          <w:rFonts w:eastAsia="方正仿宋_GBK"/>
          <w:b w:val="0"/>
          <w:bCs/>
          <w:sz w:val="32"/>
          <w:szCs w:val="32"/>
        </w:rPr>
        <w:t>圈，依托高速铁路、城际铁路、市域</w:t>
      </w:r>
      <w:r>
        <w:rPr>
          <w:rFonts w:hint="eastAsia" w:eastAsia="方正仿宋_GBK"/>
          <w:b w:val="0"/>
          <w:bCs/>
          <w:sz w:val="32"/>
          <w:szCs w:val="32"/>
        </w:rPr>
        <w:t>（郊）</w:t>
      </w:r>
      <w:r>
        <w:rPr>
          <w:rFonts w:eastAsia="方正仿宋_GBK"/>
          <w:b w:val="0"/>
          <w:bCs/>
          <w:sz w:val="32"/>
          <w:szCs w:val="32"/>
        </w:rPr>
        <w:t>铁路、轨道交通，打造与中心城区快速衔接的多层次轨道交通网络。依托高速公路网、高等级快速</w:t>
      </w:r>
      <w:r>
        <w:rPr>
          <w:rFonts w:hint="eastAsia" w:eastAsia="方正仿宋_GBK"/>
          <w:b w:val="0"/>
          <w:bCs/>
          <w:sz w:val="32"/>
          <w:szCs w:val="32"/>
        </w:rPr>
        <w:t>通道</w:t>
      </w:r>
      <w:r>
        <w:rPr>
          <w:rFonts w:eastAsia="方正仿宋_GBK"/>
          <w:b w:val="0"/>
          <w:bCs/>
          <w:sz w:val="32"/>
          <w:szCs w:val="32"/>
        </w:rPr>
        <w:t>，进一步畅通永川与中心城区的瓶颈路段。围绕</w:t>
      </w:r>
      <w:r>
        <w:rPr>
          <w:rFonts w:eastAsia="方正仿宋_GBK"/>
          <w:b w:val="0"/>
          <w:bCs/>
          <w:sz w:val="32"/>
          <w:szCs w:val="32"/>
          <w:lang w:val="en"/>
        </w:rPr>
        <w:t>“</w:t>
      </w:r>
      <w:r>
        <w:rPr>
          <w:rFonts w:eastAsia="方正仿宋_GBK"/>
          <w:b w:val="0"/>
          <w:bCs/>
          <w:sz w:val="32"/>
          <w:szCs w:val="32"/>
        </w:rPr>
        <w:t>半小时周边</w:t>
      </w:r>
      <w:r>
        <w:rPr>
          <w:rFonts w:eastAsia="方正仿宋_GBK"/>
          <w:b w:val="0"/>
          <w:bCs/>
          <w:sz w:val="32"/>
          <w:szCs w:val="32"/>
          <w:lang w:val="en"/>
        </w:rPr>
        <w:t>”</w:t>
      </w:r>
      <w:r>
        <w:rPr>
          <w:rFonts w:hint="eastAsia" w:eastAsia="方正仿宋_GBK"/>
          <w:b w:val="0"/>
          <w:bCs/>
          <w:sz w:val="32"/>
          <w:szCs w:val="32"/>
        </w:rPr>
        <w:t>交通</w:t>
      </w:r>
      <w:r>
        <w:rPr>
          <w:rFonts w:eastAsia="方正仿宋_GBK"/>
          <w:b w:val="0"/>
          <w:bCs/>
          <w:sz w:val="32"/>
          <w:szCs w:val="32"/>
        </w:rPr>
        <w:t>圈，延伸市域</w:t>
      </w:r>
      <w:r>
        <w:rPr>
          <w:rFonts w:hint="eastAsia" w:eastAsia="方正仿宋_GBK"/>
          <w:b w:val="0"/>
          <w:bCs/>
          <w:sz w:val="32"/>
          <w:szCs w:val="32"/>
        </w:rPr>
        <w:t>（郊）</w:t>
      </w:r>
      <w:r>
        <w:rPr>
          <w:rFonts w:eastAsia="方正仿宋_GBK"/>
          <w:b w:val="0"/>
          <w:bCs/>
          <w:sz w:val="32"/>
          <w:szCs w:val="32"/>
        </w:rPr>
        <w:t>铁路至周边地区，织密永川与周边地区的高速公路网、干线公路网，形成多向辐射的综合立体网，强化永川对周边地区的带动作用。</w:t>
      </w:r>
      <w:r>
        <w:rPr>
          <w:rFonts w:hint="eastAsia" w:eastAsia="方正仿宋_GBK"/>
          <w:b w:val="0"/>
          <w:bCs/>
          <w:sz w:val="32"/>
          <w:szCs w:val="32"/>
        </w:rPr>
        <w:t>同时，聚焦城市提升、乡村振兴，</w:t>
      </w:r>
      <w:r>
        <w:rPr>
          <w:rFonts w:eastAsia="方正仿宋_GBK"/>
          <w:b w:val="0"/>
          <w:bCs/>
          <w:sz w:val="32"/>
          <w:szCs w:val="32"/>
        </w:rPr>
        <w:t>大力推进</w:t>
      </w:r>
      <w:r>
        <w:rPr>
          <w:rFonts w:hint="eastAsia" w:eastAsia="方正仿宋_GBK"/>
          <w:b w:val="0"/>
          <w:bCs/>
          <w:sz w:val="32"/>
          <w:szCs w:val="32"/>
        </w:rPr>
        <w:t>完善的干线网、</w:t>
      </w:r>
      <w:r>
        <w:rPr>
          <w:rFonts w:eastAsia="方正仿宋_GBK"/>
          <w:b w:val="0"/>
          <w:bCs/>
          <w:sz w:val="32"/>
          <w:szCs w:val="32"/>
        </w:rPr>
        <w:t>广泛的基础网</w:t>
      </w:r>
      <w:r>
        <w:rPr>
          <w:rFonts w:hint="eastAsia" w:eastAsia="方正仿宋_GBK"/>
          <w:b w:val="0"/>
          <w:bCs/>
          <w:sz w:val="32"/>
          <w:szCs w:val="32"/>
        </w:rPr>
        <w:t>建设</w:t>
      </w:r>
      <w:r>
        <w:rPr>
          <w:rFonts w:eastAsia="方正仿宋_GBK"/>
          <w:b w:val="0"/>
          <w:bCs/>
          <w:sz w:val="32"/>
          <w:szCs w:val="32"/>
        </w:rPr>
        <w:t>，推动交</w:t>
      </w:r>
      <w:r>
        <w:rPr>
          <w:rFonts w:hint="eastAsia" w:eastAsia="方正仿宋_GBK"/>
          <w:b w:val="0"/>
          <w:bCs/>
          <w:sz w:val="32"/>
          <w:szCs w:val="32"/>
        </w:rPr>
        <w:t>通与产业、城镇、旅游等融合</w:t>
      </w:r>
      <w:r>
        <w:rPr>
          <w:rFonts w:eastAsia="方正仿宋_GBK"/>
          <w:b w:val="0"/>
          <w:bCs/>
          <w:sz w:val="32"/>
          <w:szCs w:val="32"/>
        </w:rPr>
        <w:t>发展。</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仿宋_GBK"/>
          <w:b w:val="0"/>
          <w:bCs/>
          <w:sz w:val="32"/>
          <w:szCs w:val="32"/>
        </w:rPr>
      </w:pPr>
      <w:r>
        <w:rPr>
          <w:rFonts w:hint="eastAsia" w:eastAsia="方正楷体_GBK"/>
          <w:b w:val="0"/>
          <w:bCs/>
          <w:color w:val="000000"/>
          <w:sz w:val="32"/>
          <w:szCs w:val="32"/>
        </w:rPr>
        <w:t>强创新助推高质量。</w:t>
      </w:r>
      <w:r>
        <w:rPr>
          <w:rFonts w:hint="eastAsia" w:eastAsia="方正仿宋_GBK"/>
          <w:b w:val="0"/>
          <w:bCs/>
          <w:sz w:val="32"/>
          <w:szCs w:val="32"/>
        </w:rPr>
        <w:t>以永川智慧交通样板区建设为契机，</w:t>
      </w:r>
      <w:r>
        <w:rPr>
          <w:rFonts w:eastAsia="方正仿宋_GBK"/>
          <w:b w:val="0"/>
          <w:bCs/>
          <w:sz w:val="32"/>
          <w:szCs w:val="32"/>
        </w:rPr>
        <w:t>坚持以大数据智能化为引领，推动互联网、大数据、人工智能等新一代信息技术与交通运输深度融合，推进交通运行状态监测、交通运输装备和交通出行服务智能化，不断提高交通公共服务、综合决策和监管治理水平。</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3"/>
        <w:textAlignment w:val="auto"/>
        <w:rPr>
          <w:rFonts w:eastAsia="方正仿宋_GBK"/>
          <w:b w:val="0"/>
          <w:bCs/>
          <w:sz w:val="32"/>
          <w:szCs w:val="32"/>
        </w:rPr>
      </w:pPr>
      <w:r>
        <w:rPr>
          <w:rFonts w:eastAsia="方正楷体_GBK"/>
          <w:b w:val="0"/>
          <w:bCs/>
          <w:color w:val="000000"/>
          <w:sz w:val="32"/>
          <w:szCs w:val="32"/>
        </w:rPr>
        <w:t>优服务</w:t>
      </w:r>
      <w:r>
        <w:rPr>
          <w:rFonts w:hint="eastAsia" w:eastAsia="方正楷体_GBK"/>
          <w:b w:val="0"/>
          <w:bCs/>
          <w:color w:val="000000"/>
          <w:sz w:val="32"/>
          <w:szCs w:val="32"/>
        </w:rPr>
        <w:t>创造高品质</w:t>
      </w:r>
      <w:r>
        <w:rPr>
          <w:rFonts w:eastAsia="方正楷体_GBK"/>
          <w:b w:val="0"/>
          <w:bCs/>
          <w:color w:val="000000"/>
          <w:sz w:val="32"/>
          <w:szCs w:val="32"/>
        </w:rPr>
        <w:t>。</w:t>
      </w:r>
      <w:r>
        <w:rPr>
          <w:rFonts w:eastAsia="方正仿宋_GBK"/>
          <w:b w:val="0"/>
          <w:bCs/>
          <w:sz w:val="32"/>
          <w:szCs w:val="32"/>
        </w:rPr>
        <w:t>坚持以人民为中心的发展思想，优先发展城市公共交通，推进城乡运输一体化，夯实夯牢安全生产基层基础，努力让群众出行更加安全、高效、便捷，努力让人民生活更美好。</w:t>
      </w:r>
      <w:r>
        <w:rPr>
          <w:rFonts w:hint="eastAsia" w:eastAsia="方正仿宋_GBK"/>
          <w:b w:val="0"/>
          <w:bCs/>
          <w:sz w:val="32"/>
          <w:szCs w:val="32"/>
        </w:rPr>
        <w:t>以降本增效为目标，持续推进运输结构调整，</w:t>
      </w:r>
      <w:r>
        <w:rPr>
          <w:rFonts w:eastAsia="方正仿宋_GBK"/>
          <w:b w:val="0"/>
          <w:bCs/>
          <w:sz w:val="32"/>
          <w:szCs w:val="32"/>
        </w:rPr>
        <w:t>大力发展多式联运，全力降低</w:t>
      </w:r>
      <w:r>
        <w:rPr>
          <w:rFonts w:hint="eastAsia" w:eastAsia="方正仿宋_GBK"/>
          <w:b w:val="0"/>
          <w:bCs/>
          <w:sz w:val="32"/>
          <w:szCs w:val="32"/>
        </w:rPr>
        <w:t>循环</w:t>
      </w:r>
      <w:r>
        <w:rPr>
          <w:rFonts w:eastAsia="方正仿宋_GBK"/>
          <w:b w:val="0"/>
          <w:bCs/>
          <w:sz w:val="32"/>
          <w:szCs w:val="32"/>
        </w:rPr>
        <w:t>成本。</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3"/>
        <w:textAlignment w:val="auto"/>
        <w:rPr>
          <w:rFonts w:eastAsia="方正仿宋_GBK"/>
          <w:b w:val="0"/>
          <w:bCs/>
          <w:sz w:val="32"/>
          <w:szCs w:val="32"/>
        </w:rPr>
      </w:pPr>
      <w:r>
        <w:rPr>
          <w:rFonts w:eastAsia="方正仿宋_GBK"/>
          <w:b w:val="0"/>
          <w:bCs/>
          <w:sz w:val="32"/>
          <w:szCs w:val="32"/>
        </w:rPr>
        <w:t>到2035年，全面建成</w:t>
      </w:r>
      <w:r>
        <w:rPr>
          <w:rFonts w:eastAsia="方正仿宋_GBK"/>
          <w:b w:val="0"/>
          <w:bCs/>
          <w:sz w:val="32"/>
          <w:szCs w:val="32"/>
          <w:lang w:val="en"/>
        </w:rPr>
        <w:t>“</w:t>
      </w:r>
      <w:r>
        <w:rPr>
          <w:rFonts w:eastAsia="方正仿宋_GBK"/>
          <w:b w:val="0"/>
          <w:bCs/>
          <w:sz w:val="32"/>
          <w:szCs w:val="32"/>
        </w:rPr>
        <w:t>一枢纽九干线</w:t>
      </w:r>
      <w:r>
        <w:rPr>
          <w:rFonts w:hint="eastAsia" w:eastAsia="方正仿宋_GBK"/>
          <w:b w:val="0"/>
          <w:bCs/>
          <w:sz w:val="32"/>
          <w:szCs w:val="32"/>
        </w:rPr>
        <w:t>三支线</w:t>
      </w:r>
      <w:r>
        <w:rPr>
          <w:rFonts w:eastAsia="方正仿宋_GBK"/>
          <w:b w:val="0"/>
          <w:bCs/>
          <w:sz w:val="32"/>
          <w:szCs w:val="32"/>
          <w:lang w:val="en"/>
        </w:rPr>
        <w:t>”</w:t>
      </w:r>
      <w:r>
        <w:rPr>
          <w:rFonts w:eastAsia="方正仿宋_GBK"/>
          <w:b w:val="0"/>
          <w:bCs/>
          <w:sz w:val="32"/>
          <w:szCs w:val="32"/>
        </w:rPr>
        <w:t>铁路网络（2条高铁、3条城际、2条市域</w:t>
      </w:r>
      <w:r>
        <w:rPr>
          <w:rFonts w:hint="eastAsia" w:ascii="方正仿宋_GBK" w:hAnsi="方正仿宋_GBK" w:eastAsia="方正仿宋_GBK" w:cs="方正仿宋_GBK"/>
          <w:b w:val="0"/>
          <w:bCs/>
          <w:sz w:val="32"/>
          <w:szCs w:val="32"/>
        </w:rPr>
        <w:t>﹝郊﹞</w:t>
      </w:r>
      <w:r>
        <w:rPr>
          <w:rFonts w:eastAsia="方正仿宋_GBK"/>
          <w:b w:val="0"/>
          <w:bCs/>
          <w:sz w:val="32"/>
          <w:szCs w:val="32"/>
        </w:rPr>
        <w:t>铁路、2条普速铁路</w:t>
      </w:r>
      <w:r>
        <w:rPr>
          <w:rFonts w:hint="eastAsia" w:eastAsia="方正仿宋_GBK"/>
          <w:b w:val="0"/>
          <w:bCs/>
          <w:sz w:val="32"/>
          <w:szCs w:val="32"/>
        </w:rPr>
        <w:t>、3条铁路支线</w:t>
      </w:r>
      <w:r>
        <w:rPr>
          <w:rFonts w:eastAsia="方正仿宋_GBK"/>
          <w:b w:val="0"/>
          <w:bCs/>
          <w:sz w:val="32"/>
          <w:szCs w:val="32"/>
        </w:rPr>
        <w:t>）、</w:t>
      </w:r>
      <w:r>
        <w:rPr>
          <w:rFonts w:eastAsia="方正仿宋_GBK"/>
          <w:b w:val="0"/>
          <w:bCs/>
          <w:sz w:val="32"/>
          <w:szCs w:val="32"/>
          <w:lang w:val="en"/>
        </w:rPr>
        <w:t>“</w:t>
      </w:r>
      <w:r>
        <w:rPr>
          <w:rFonts w:eastAsia="方正仿宋_GBK"/>
          <w:b w:val="0"/>
          <w:bCs/>
          <w:sz w:val="32"/>
          <w:szCs w:val="32"/>
        </w:rPr>
        <w:t>一环十一射</w:t>
      </w:r>
      <w:r>
        <w:rPr>
          <w:rFonts w:eastAsia="方正仿宋_GBK"/>
          <w:b w:val="0"/>
          <w:bCs/>
          <w:sz w:val="32"/>
          <w:szCs w:val="32"/>
          <w:lang w:val="en"/>
        </w:rPr>
        <w:t>”</w:t>
      </w:r>
      <w:r>
        <w:rPr>
          <w:rFonts w:eastAsia="方正仿宋_GBK"/>
          <w:b w:val="0"/>
          <w:bCs/>
          <w:sz w:val="32"/>
          <w:szCs w:val="32"/>
        </w:rPr>
        <w:t>高速公路网络、</w:t>
      </w:r>
      <w:r>
        <w:rPr>
          <w:rFonts w:eastAsia="方正仿宋_GBK"/>
          <w:b w:val="0"/>
          <w:bCs/>
          <w:sz w:val="32"/>
          <w:szCs w:val="32"/>
          <w:lang w:val="en"/>
        </w:rPr>
        <w:t>“</w:t>
      </w:r>
      <w:r>
        <w:rPr>
          <w:rFonts w:eastAsia="方正仿宋_GBK"/>
          <w:b w:val="0"/>
          <w:bCs/>
          <w:sz w:val="32"/>
          <w:szCs w:val="32"/>
        </w:rPr>
        <w:t>一干一重点</w:t>
      </w:r>
      <w:r>
        <w:rPr>
          <w:rFonts w:eastAsia="方正仿宋_GBK"/>
          <w:b w:val="0"/>
          <w:bCs/>
          <w:sz w:val="32"/>
          <w:szCs w:val="32"/>
          <w:lang w:val="en"/>
        </w:rPr>
        <w:t>”</w:t>
      </w:r>
      <w:r>
        <w:rPr>
          <w:rFonts w:eastAsia="方正仿宋_GBK"/>
          <w:b w:val="0"/>
          <w:bCs/>
          <w:sz w:val="32"/>
          <w:szCs w:val="32"/>
        </w:rPr>
        <w:t>航道港口体系，通用机场与重庆新机场协同发展，拥有发达的快速网、完善的干线网、广泛的基础网，城乡区域交通协调发展达到新高度，智慧绿色安全交通水平显著提升，全面建成人民满意、保障有力的现代化综合交通体系，全面建成</w:t>
      </w:r>
      <w:r>
        <w:rPr>
          <w:rFonts w:hint="eastAsia" w:eastAsia="方正仿宋_GBK"/>
          <w:b w:val="0"/>
          <w:bCs/>
          <w:sz w:val="32"/>
          <w:szCs w:val="32"/>
        </w:rPr>
        <w:t>区域性综合交通物流枢纽</w:t>
      </w:r>
      <w:r>
        <w:rPr>
          <w:rFonts w:eastAsia="方正仿宋_GBK"/>
          <w:b w:val="0"/>
          <w:bCs/>
          <w:sz w:val="32"/>
          <w:szCs w:val="32"/>
        </w:rPr>
        <w:t>。</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3"/>
        <w:textAlignment w:val="auto"/>
        <w:rPr>
          <w:rFonts w:eastAsia="方正仿宋_GBK"/>
          <w:b w:val="0"/>
          <w:bCs/>
          <w:sz w:val="32"/>
          <w:szCs w:val="32"/>
        </w:rPr>
      </w:pPr>
    </w:p>
    <w:p>
      <w:pPr>
        <w:spacing w:afterLines="0" w:line="276" w:lineRule="auto"/>
        <w:jc w:val="center"/>
        <w:rPr>
          <w:rFonts w:ascii="Times New Roman" w:hAnsi="Times New Roman" w:eastAsia="方正黑体_GBK"/>
          <w:b w:val="0"/>
          <w:sz w:val="32"/>
          <w:szCs w:val="32"/>
        </w:rPr>
      </w:pPr>
      <w:bookmarkStart w:id="97" w:name="_Toc703437855_WPSOffice_Level1"/>
      <w:bookmarkStart w:id="98" w:name="_Toc1292743320"/>
      <w:bookmarkStart w:id="99" w:name="_Toc386893163"/>
      <w:bookmarkStart w:id="100" w:name="_Toc24122"/>
      <w:r>
        <w:rPr>
          <w:rFonts w:ascii="Times New Roman" w:hAnsi="Times New Roman" w:eastAsia="方正黑体_GBK"/>
          <w:b w:val="0"/>
          <w:bCs/>
          <w:sz w:val="32"/>
          <w:szCs w:val="32"/>
        </w:rPr>
        <w:t>第四章  发展</w:t>
      </w:r>
      <w:bookmarkStart w:id="101" w:name="_Toc427682913"/>
      <w:r>
        <w:rPr>
          <w:rFonts w:ascii="Times New Roman" w:hAnsi="Times New Roman" w:eastAsia="方正黑体_GBK"/>
          <w:b w:val="0"/>
          <w:bCs/>
          <w:sz w:val="32"/>
          <w:szCs w:val="32"/>
        </w:rPr>
        <w:t>思路</w:t>
      </w:r>
      <w:bookmarkEnd w:id="97"/>
      <w:bookmarkEnd w:id="98"/>
      <w:bookmarkEnd w:id="99"/>
      <w:bookmarkEnd w:id="100"/>
    </w:p>
    <w:p>
      <w:pPr>
        <w:keepNext w:val="0"/>
        <w:keepLines w:val="0"/>
        <w:pageBreakBefore w:val="0"/>
        <w:widowControl w:val="0"/>
        <w:kinsoku/>
        <w:wordWrap/>
        <w:overflowPunct/>
        <w:topLinePunct w:val="0"/>
        <w:autoSpaceDE/>
        <w:autoSpaceDN/>
        <w:bidi w:val="0"/>
        <w:adjustRightInd w:val="0"/>
        <w:snapToGrid w:val="0"/>
        <w:spacing w:before="0" w:after="0" w:afterLines="0" w:line="276" w:lineRule="auto"/>
        <w:ind w:firstLine="643"/>
        <w:textAlignment w:val="auto"/>
        <w:rPr>
          <w:rFonts w:hint="default" w:ascii="Times New Roman" w:hAnsi="Times New Roman" w:eastAsia="方正仿宋_GBK" w:cs="Times New Roman"/>
          <w:b w:val="0"/>
          <w:bCs/>
          <w:kern w:val="2"/>
          <w:sz w:val="32"/>
          <w:szCs w:val="32"/>
        </w:rPr>
      </w:pPr>
      <w:bookmarkStart w:id="102" w:name="_Toc28115"/>
    </w:p>
    <w:p>
      <w:pPr>
        <w:pStyle w:val="16"/>
        <w:keepNext w:val="0"/>
        <w:keepLines w:val="0"/>
        <w:pageBreakBefore w:val="0"/>
        <w:widowControl w:val="0"/>
        <w:kinsoku/>
        <w:wordWrap/>
        <w:overflowPunct/>
        <w:topLinePunct w:val="0"/>
        <w:autoSpaceDE/>
        <w:autoSpaceDN/>
        <w:bidi w:val="0"/>
        <w:adjustRightInd w:val="0"/>
        <w:snapToGrid w:val="0"/>
        <w:spacing w:before="0" w:after="0" w:afterLines="0" w:line="276" w:lineRule="auto"/>
        <w:textAlignment w:val="auto"/>
        <w:rPr>
          <w:rFonts w:hint="eastAsia" w:ascii="方正楷体_GBK" w:hAnsi="方正楷体_GBK" w:eastAsia="方正楷体_GBK" w:cs="方正楷体_GBK"/>
          <w:b w:val="0"/>
          <w:bCs/>
          <w:kern w:val="2"/>
          <w:sz w:val="32"/>
          <w:szCs w:val="32"/>
        </w:rPr>
      </w:pPr>
      <w:bookmarkStart w:id="103" w:name="_Toc597548639"/>
      <w:bookmarkStart w:id="104" w:name="_Toc1434147115_WPSOffice_Level2"/>
      <w:bookmarkStart w:id="105" w:name="_Toc1827200573"/>
      <w:r>
        <w:rPr>
          <w:rFonts w:hint="eastAsia" w:ascii="方正楷体_GBK" w:hAnsi="方正楷体_GBK" w:eastAsia="方正楷体_GBK" w:cs="方正楷体_GBK"/>
          <w:b w:val="0"/>
          <w:bCs/>
          <w:kern w:val="2"/>
          <w:sz w:val="32"/>
          <w:szCs w:val="32"/>
        </w:rPr>
        <w:t xml:space="preserve">第一节 </w:t>
      </w:r>
      <w:r>
        <w:rPr>
          <w:rFonts w:hint="eastAsia" w:ascii="方正楷体_GBK" w:hAnsi="方正楷体_GBK" w:eastAsia="方正楷体_GBK" w:cs="方正楷体_GBK"/>
          <w:b w:val="0"/>
          <w:bCs/>
          <w:kern w:val="2"/>
          <w:sz w:val="32"/>
          <w:szCs w:val="32"/>
          <w:lang w:val="en-US" w:eastAsia="zh-CN"/>
        </w:rPr>
        <w:t xml:space="preserve"> </w:t>
      </w:r>
      <w:r>
        <w:rPr>
          <w:rFonts w:hint="eastAsia" w:ascii="方正楷体_GBK" w:hAnsi="方正楷体_GBK" w:eastAsia="方正楷体_GBK" w:cs="方正楷体_GBK"/>
          <w:b w:val="0"/>
          <w:bCs/>
          <w:kern w:val="2"/>
          <w:sz w:val="32"/>
          <w:szCs w:val="32"/>
        </w:rPr>
        <w:t>指导思想</w:t>
      </w:r>
      <w:bookmarkEnd w:id="102"/>
      <w:bookmarkEnd w:id="103"/>
      <w:bookmarkEnd w:id="104"/>
      <w:bookmarkEnd w:id="105"/>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3"/>
        <w:textAlignment w:val="auto"/>
        <w:rPr>
          <w:rFonts w:hint="eastAsia" w:eastAsia="方正仿宋_GBK"/>
          <w:b w:val="0"/>
          <w:bCs/>
          <w:sz w:val="32"/>
          <w:szCs w:val="32"/>
        </w:rPr>
      </w:pP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3"/>
        <w:textAlignment w:val="auto"/>
        <w:rPr>
          <w:rFonts w:eastAsia="方正仿宋_GBK"/>
          <w:b w:val="0"/>
          <w:bCs/>
          <w:sz w:val="32"/>
          <w:szCs w:val="32"/>
        </w:rPr>
      </w:pPr>
      <w:r>
        <w:rPr>
          <w:rFonts w:hint="eastAsia" w:eastAsia="方正仿宋_GBK"/>
          <w:b w:val="0"/>
          <w:bCs/>
          <w:sz w:val="32"/>
          <w:szCs w:val="32"/>
        </w:rPr>
        <w:t>以习近平新时代中国特色社会主义思想为指导，深入贯彻党的十九大和十九届二中、三中、四中、五中全会精神，紧扣习近平总书记对重庆提出的营造良好政治生态，坚持</w:t>
      </w:r>
      <w:r>
        <w:rPr>
          <w:rFonts w:hint="default" w:eastAsia="方正仿宋_GBK"/>
          <w:b w:val="0"/>
          <w:bCs/>
          <w:sz w:val="32"/>
          <w:szCs w:val="32"/>
          <w:lang w:val="en"/>
        </w:rPr>
        <w:t>“</w:t>
      </w:r>
      <w:r>
        <w:rPr>
          <w:rFonts w:hint="eastAsia" w:eastAsia="方正仿宋_GBK"/>
          <w:b w:val="0"/>
          <w:bCs/>
          <w:sz w:val="32"/>
          <w:szCs w:val="32"/>
        </w:rPr>
        <w:t>两点</w:t>
      </w:r>
      <w:r>
        <w:rPr>
          <w:rFonts w:hint="default" w:eastAsia="方正仿宋_GBK"/>
          <w:b w:val="0"/>
          <w:bCs/>
          <w:sz w:val="32"/>
          <w:szCs w:val="32"/>
          <w:lang w:val="en"/>
        </w:rPr>
        <w:t>”</w:t>
      </w:r>
      <w:r>
        <w:rPr>
          <w:rFonts w:hint="eastAsia" w:eastAsia="方正仿宋_GBK"/>
          <w:b w:val="0"/>
          <w:bCs/>
          <w:sz w:val="32"/>
          <w:szCs w:val="32"/>
        </w:rPr>
        <w:t>定位、</w:t>
      </w:r>
      <w:r>
        <w:rPr>
          <w:rFonts w:hint="default" w:eastAsia="方正仿宋_GBK"/>
          <w:b w:val="0"/>
          <w:bCs/>
          <w:sz w:val="32"/>
          <w:szCs w:val="32"/>
          <w:lang w:val="en"/>
        </w:rPr>
        <w:t>“</w:t>
      </w:r>
      <w:r>
        <w:rPr>
          <w:rFonts w:hint="eastAsia" w:eastAsia="方正仿宋_GBK"/>
          <w:b w:val="0"/>
          <w:bCs/>
          <w:sz w:val="32"/>
          <w:szCs w:val="32"/>
        </w:rPr>
        <w:t>两地</w:t>
      </w:r>
      <w:r>
        <w:rPr>
          <w:rFonts w:hint="default" w:eastAsia="方正仿宋_GBK"/>
          <w:b w:val="0"/>
          <w:bCs/>
          <w:sz w:val="32"/>
          <w:szCs w:val="32"/>
          <w:lang w:val="en"/>
        </w:rPr>
        <w:t>”“</w:t>
      </w:r>
      <w:r>
        <w:rPr>
          <w:rFonts w:hint="eastAsia" w:eastAsia="方正仿宋_GBK"/>
          <w:b w:val="0"/>
          <w:bCs/>
          <w:sz w:val="32"/>
          <w:szCs w:val="32"/>
        </w:rPr>
        <w:t>两高</w:t>
      </w:r>
      <w:r>
        <w:rPr>
          <w:rFonts w:hint="default" w:eastAsia="方正仿宋_GBK"/>
          <w:b w:val="0"/>
          <w:bCs/>
          <w:sz w:val="32"/>
          <w:szCs w:val="32"/>
          <w:lang w:val="en"/>
        </w:rPr>
        <w:t>”</w:t>
      </w:r>
      <w:r>
        <w:rPr>
          <w:rFonts w:hint="eastAsia" w:eastAsia="方正仿宋_GBK"/>
          <w:b w:val="0"/>
          <w:bCs/>
          <w:sz w:val="32"/>
          <w:szCs w:val="32"/>
        </w:rPr>
        <w:t>目标、发挥</w:t>
      </w:r>
      <w:r>
        <w:rPr>
          <w:rFonts w:hint="default" w:eastAsia="方正仿宋_GBK"/>
          <w:b w:val="0"/>
          <w:bCs/>
          <w:sz w:val="32"/>
          <w:szCs w:val="32"/>
          <w:lang w:val="en"/>
        </w:rPr>
        <w:t>“</w:t>
      </w:r>
      <w:r>
        <w:rPr>
          <w:rFonts w:hint="eastAsia" w:eastAsia="方正仿宋_GBK"/>
          <w:b w:val="0"/>
          <w:bCs/>
          <w:sz w:val="32"/>
          <w:szCs w:val="32"/>
        </w:rPr>
        <w:t>三个作用</w:t>
      </w:r>
      <w:r>
        <w:rPr>
          <w:rFonts w:hint="default" w:eastAsia="方正仿宋_GBK"/>
          <w:b w:val="0"/>
          <w:bCs/>
          <w:sz w:val="32"/>
          <w:szCs w:val="32"/>
          <w:lang w:val="en"/>
        </w:rPr>
        <w:t>”</w:t>
      </w:r>
      <w:r>
        <w:rPr>
          <w:rFonts w:hint="eastAsia" w:eastAsia="方正仿宋_GBK"/>
          <w:b w:val="0"/>
          <w:bCs/>
          <w:sz w:val="32"/>
          <w:szCs w:val="32"/>
        </w:rPr>
        <w:t>和推动成渝地区双城经济圈建设等重要指示要求，坚持稳中求进工作总基调，全面把握新发展阶段，坚定贯彻新发展理念，积极融入新发展格局，以推动高质量发展为主题，以深化供给侧结构性改革为主线，以改革创新为根本动力，以满足人民日益增长的美好生活需要为根本目的，</w:t>
      </w:r>
      <w:r>
        <w:rPr>
          <w:rFonts w:eastAsia="方正仿宋_GBK"/>
          <w:b w:val="0"/>
          <w:bCs/>
          <w:sz w:val="32"/>
          <w:szCs w:val="32"/>
        </w:rPr>
        <w:t>围绕</w:t>
      </w:r>
      <w:r>
        <w:rPr>
          <w:rFonts w:eastAsia="方正仿宋_GBK"/>
          <w:b w:val="0"/>
          <w:bCs/>
          <w:sz w:val="32"/>
          <w:szCs w:val="32"/>
          <w:lang w:val="en"/>
        </w:rPr>
        <w:t>“</w:t>
      </w:r>
      <w:r>
        <w:rPr>
          <w:rFonts w:eastAsia="方正仿宋_GBK"/>
          <w:b w:val="0"/>
          <w:bCs/>
          <w:sz w:val="32"/>
          <w:szCs w:val="32"/>
        </w:rPr>
        <w:t>高质量发展先行区、高品质生活示范区</w:t>
      </w:r>
      <w:r>
        <w:rPr>
          <w:rFonts w:eastAsia="方正仿宋_GBK"/>
          <w:b w:val="0"/>
          <w:bCs/>
          <w:sz w:val="32"/>
          <w:szCs w:val="32"/>
          <w:lang w:val="en"/>
        </w:rPr>
        <w:t>”</w:t>
      </w:r>
      <w:r>
        <w:rPr>
          <w:rFonts w:eastAsia="方正仿宋_GBK"/>
          <w:b w:val="0"/>
          <w:bCs/>
          <w:sz w:val="32"/>
          <w:szCs w:val="32"/>
        </w:rPr>
        <w:t>一大目标，紧扣</w:t>
      </w:r>
      <w:r>
        <w:rPr>
          <w:rFonts w:eastAsia="方正仿宋_GBK"/>
          <w:b w:val="0"/>
          <w:bCs/>
          <w:sz w:val="32"/>
          <w:szCs w:val="32"/>
          <w:lang w:val="en"/>
        </w:rPr>
        <w:t>“</w:t>
      </w:r>
      <w:r>
        <w:rPr>
          <w:rFonts w:eastAsia="方正仿宋_GBK"/>
          <w:b w:val="0"/>
          <w:bCs/>
          <w:sz w:val="32"/>
          <w:szCs w:val="32"/>
        </w:rPr>
        <w:t>成渝地区双城经济圈重要节点、主城都市区战略支点</w:t>
      </w:r>
      <w:r>
        <w:rPr>
          <w:rFonts w:eastAsia="方正仿宋_GBK"/>
          <w:b w:val="0"/>
          <w:bCs/>
          <w:sz w:val="32"/>
          <w:szCs w:val="32"/>
          <w:lang w:val="en"/>
        </w:rPr>
        <w:t>”</w:t>
      </w:r>
      <w:r>
        <w:rPr>
          <w:rFonts w:eastAsia="方正仿宋_GBK"/>
          <w:b w:val="0"/>
          <w:bCs/>
          <w:sz w:val="32"/>
          <w:szCs w:val="32"/>
        </w:rPr>
        <w:t>两大定位，推动</w:t>
      </w:r>
      <w:r>
        <w:rPr>
          <w:rFonts w:eastAsia="方正仿宋_GBK"/>
          <w:b w:val="0"/>
          <w:bCs/>
          <w:sz w:val="32"/>
          <w:szCs w:val="32"/>
          <w:lang w:val="en"/>
        </w:rPr>
        <w:t>“</w:t>
      </w:r>
      <w:r>
        <w:rPr>
          <w:rFonts w:eastAsia="方正仿宋_GBK"/>
          <w:b w:val="0"/>
          <w:bCs/>
          <w:sz w:val="32"/>
          <w:szCs w:val="32"/>
        </w:rPr>
        <w:t>产、城、景</w:t>
      </w:r>
      <w:r>
        <w:rPr>
          <w:rFonts w:eastAsia="方正仿宋_GBK"/>
          <w:b w:val="0"/>
          <w:bCs/>
          <w:sz w:val="32"/>
          <w:szCs w:val="32"/>
          <w:lang w:val="en"/>
        </w:rPr>
        <w:t>”</w:t>
      </w:r>
      <w:r>
        <w:rPr>
          <w:rFonts w:eastAsia="方正仿宋_GBK"/>
          <w:b w:val="0"/>
          <w:bCs/>
          <w:sz w:val="32"/>
          <w:szCs w:val="32"/>
        </w:rPr>
        <w:t>融合发展三大任务，牢牢把握交通</w:t>
      </w:r>
      <w:r>
        <w:rPr>
          <w:rFonts w:eastAsia="方正仿宋_GBK"/>
          <w:b w:val="0"/>
          <w:bCs/>
          <w:sz w:val="32"/>
          <w:szCs w:val="32"/>
          <w:lang w:val="en"/>
        </w:rPr>
        <w:t>“</w:t>
      </w:r>
      <w:r>
        <w:rPr>
          <w:rFonts w:eastAsia="方正仿宋_GBK"/>
          <w:b w:val="0"/>
          <w:bCs/>
          <w:sz w:val="32"/>
          <w:szCs w:val="32"/>
        </w:rPr>
        <w:t>先行官</w:t>
      </w:r>
      <w:r>
        <w:rPr>
          <w:rFonts w:eastAsia="方正仿宋_GBK"/>
          <w:b w:val="0"/>
          <w:bCs/>
          <w:sz w:val="32"/>
          <w:szCs w:val="32"/>
          <w:lang w:val="en"/>
        </w:rPr>
        <w:t>”</w:t>
      </w:r>
      <w:r>
        <w:rPr>
          <w:rFonts w:eastAsia="方正仿宋_GBK"/>
          <w:b w:val="0"/>
          <w:bCs/>
          <w:sz w:val="32"/>
          <w:szCs w:val="32"/>
        </w:rPr>
        <w:t>定位，加快构建安全、便捷、高效、绿色、经济的现代化综合交通运输体系，为建设区域</w:t>
      </w:r>
      <w:r>
        <w:rPr>
          <w:rFonts w:hint="eastAsia" w:eastAsia="方正仿宋_GBK"/>
          <w:b w:val="0"/>
          <w:bCs/>
          <w:sz w:val="32"/>
          <w:szCs w:val="32"/>
        </w:rPr>
        <w:t>性</w:t>
      </w:r>
      <w:r>
        <w:rPr>
          <w:rFonts w:eastAsia="方正仿宋_GBK"/>
          <w:b w:val="0"/>
          <w:bCs/>
          <w:sz w:val="32"/>
          <w:szCs w:val="32"/>
        </w:rPr>
        <w:t>综合交通</w:t>
      </w:r>
      <w:r>
        <w:rPr>
          <w:rFonts w:hint="eastAsia" w:eastAsia="方正仿宋_GBK"/>
          <w:b w:val="0"/>
          <w:bCs/>
          <w:sz w:val="32"/>
          <w:szCs w:val="32"/>
        </w:rPr>
        <w:t>物流</w:t>
      </w:r>
      <w:r>
        <w:rPr>
          <w:rFonts w:eastAsia="方正仿宋_GBK"/>
          <w:b w:val="0"/>
          <w:bCs/>
          <w:sz w:val="32"/>
          <w:szCs w:val="32"/>
        </w:rPr>
        <w:t>枢纽打下坚实基础，</w:t>
      </w:r>
      <w:r>
        <w:rPr>
          <w:rFonts w:hint="eastAsia" w:eastAsia="方正仿宋_GBK"/>
          <w:b w:val="0"/>
          <w:bCs/>
          <w:sz w:val="32"/>
          <w:szCs w:val="32"/>
        </w:rPr>
        <w:t>有力支撑永川建设</w:t>
      </w:r>
      <w:r>
        <w:rPr>
          <w:rFonts w:hint="default" w:eastAsia="方正仿宋_GBK"/>
          <w:b w:val="0"/>
          <w:bCs/>
          <w:sz w:val="32"/>
          <w:szCs w:val="32"/>
          <w:lang w:val="en"/>
        </w:rPr>
        <w:t>“</w:t>
      </w:r>
      <w:r>
        <w:rPr>
          <w:rFonts w:hint="eastAsia" w:eastAsia="方正仿宋_GBK"/>
          <w:b w:val="0"/>
          <w:bCs/>
          <w:sz w:val="32"/>
          <w:szCs w:val="32"/>
        </w:rPr>
        <w:t>双百</w:t>
      </w:r>
      <w:r>
        <w:rPr>
          <w:rFonts w:hint="default" w:eastAsia="方正仿宋_GBK"/>
          <w:b w:val="0"/>
          <w:bCs/>
          <w:sz w:val="32"/>
          <w:szCs w:val="32"/>
          <w:lang w:val="en"/>
        </w:rPr>
        <w:t>”</w:t>
      </w:r>
      <w:r>
        <w:rPr>
          <w:rFonts w:hint="eastAsia" w:eastAsia="方正仿宋_GBK"/>
          <w:b w:val="0"/>
          <w:bCs/>
          <w:sz w:val="32"/>
          <w:szCs w:val="32"/>
        </w:rPr>
        <w:t>区域性中心城市，建设成渝地区双城经济圈现代制造业基地和区域性现代服务业高地、西部职教基地、城乡融合发展示范区，推动永川高水平融入新发展格局，</w:t>
      </w:r>
      <w:r>
        <w:rPr>
          <w:rFonts w:eastAsia="方正仿宋_GBK"/>
          <w:b w:val="0"/>
          <w:bCs/>
          <w:sz w:val="32"/>
          <w:szCs w:val="32"/>
        </w:rPr>
        <w:t>切实发挥好交通运输支撑服务和先行引领作用。</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3"/>
        <w:textAlignment w:val="auto"/>
        <w:rPr>
          <w:rFonts w:eastAsia="方正仿宋_GBK"/>
          <w:b w:val="0"/>
          <w:bCs/>
          <w:sz w:val="32"/>
          <w:szCs w:val="32"/>
        </w:rPr>
      </w:pPr>
    </w:p>
    <w:p>
      <w:pPr>
        <w:pStyle w:val="16"/>
        <w:keepNext w:val="0"/>
        <w:keepLines w:val="0"/>
        <w:pageBreakBefore w:val="0"/>
        <w:widowControl w:val="0"/>
        <w:kinsoku/>
        <w:wordWrap/>
        <w:overflowPunct/>
        <w:topLinePunct w:val="0"/>
        <w:autoSpaceDE/>
        <w:autoSpaceDN/>
        <w:bidi w:val="0"/>
        <w:adjustRightInd w:val="0"/>
        <w:snapToGrid w:val="0"/>
        <w:spacing w:before="0" w:after="0" w:afterLines="0" w:line="276" w:lineRule="auto"/>
        <w:textAlignment w:val="auto"/>
        <w:rPr>
          <w:rFonts w:hint="eastAsia" w:ascii="方正楷体_GBK" w:hAnsi="方正楷体_GBK" w:eastAsia="方正楷体_GBK" w:cs="方正楷体_GBK"/>
          <w:b w:val="0"/>
          <w:bCs/>
          <w:kern w:val="2"/>
          <w:sz w:val="32"/>
          <w:szCs w:val="32"/>
        </w:rPr>
      </w:pPr>
      <w:bookmarkStart w:id="106" w:name="_Toc1862397466"/>
      <w:bookmarkStart w:id="107" w:name="_Toc99772905_WPSOffice_Level2"/>
      <w:bookmarkStart w:id="108" w:name="_Toc23335"/>
      <w:bookmarkStart w:id="109" w:name="_Toc1810035688"/>
      <w:r>
        <w:rPr>
          <w:rFonts w:hint="eastAsia" w:ascii="方正楷体_GBK" w:hAnsi="方正楷体_GBK" w:eastAsia="方正楷体_GBK" w:cs="方正楷体_GBK"/>
          <w:b w:val="0"/>
          <w:bCs/>
          <w:kern w:val="2"/>
          <w:sz w:val="32"/>
          <w:szCs w:val="32"/>
        </w:rPr>
        <w:t xml:space="preserve">第二节 </w:t>
      </w:r>
      <w:r>
        <w:rPr>
          <w:rFonts w:hint="eastAsia" w:ascii="方正楷体_GBK" w:hAnsi="方正楷体_GBK" w:eastAsia="方正楷体_GBK" w:cs="方正楷体_GBK"/>
          <w:b w:val="0"/>
          <w:bCs/>
          <w:kern w:val="2"/>
          <w:sz w:val="32"/>
          <w:szCs w:val="32"/>
          <w:lang w:val="en-US" w:eastAsia="zh-CN"/>
        </w:rPr>
        <w:t xml:space="preserve"> </w:t>
      </w:r>
      <w:r>
        <w:rPr>
          <w:rFonts w:hint="eastAsia" w:ascii="方正楷体_GBK" w:hAnsi="方正楷体_GBK" w:eastAsia="方正楷体_GBK" w:cs="方正楷体_GBK"/>
          <w:b w:val="0"/>
          <w:bCs/>
          <w:kern w:val="2"/>
          <w:sz w:val="32"/>
          <w:szCs w:val="32"/>
        </w:rPr>
        <w:t>基本原则</w:t>
      </w:r>
      <w:bookmarkEnd w:id="106"/>
      <w:bookmarkEnd w:id="107"/>
      <w:bookmarkEnd w:id="108"/>
      <w:bookmarkEnd w:id="109"/>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楷体_GBK"/>
          <w:b w:val="0"/>
          <w:bCs/>
          <w:color w:val="000000"/>
          <w:sz w:val="32"/>
          <w:szCs w:val="32"/>
        </w:rPr>
      </w:pP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仿宋_GBK"/>
          <w:b w:val="0"/>
          <w:bCs/>
          <w:sz w:val="32"/>
          <w:szCs w:val="32"/>
        </w:rPr>
      </w:pPr>
      <w:r>
        <w:rPr>
          <w:rFonts w:eastAsia="方正楷体_GBK"/>
          <w:b w:val="0"/>
          <w:bCs/>
          <w:color w:val="000000"/>
          <w:sz w:val="32"/>
          <w:szCs w:val="32"/>
        </w:rPr>
        <w:t>立足一域，着眼全局。</w:t>
      </w:r>
      <w:r>
        <w:rPr>
          <w:rFonts w:eastAsia="方正仿宋_GBK"/>
          <w:b w:val="0"/>
          <w:bCs/>
          <w:sz w:val="32"/>
          <w:szCs w:val="32"/>
        </w:rPr>
        <w:t>坚持从全局谋划一域、以一域服务全局，紧扣</w:t>
      </w:r>
      <w:r>
        <w:rPr>
          <w:rFonts w:eastAsia="方正仿宋_GBK"/>
          <w:b w:val="0"/>
          <w:bCs/>
          <w:sz w:val="32"/>
          <w:szCs w:val="32"/>
          <w:lang w:val="en"/>
        </w:rPr>
        <w:t>“</w:t>
      </w:r>
      <w:r>
        <w:rPr>
          <w:rFonts w:eastAsia="方正仿宋_GBK"/>
          <w:b w:val="0"/>
          <w:bCs/>
          <w:sz w:val="32"/>
          <w:szCs w:val="32"/>
        </w:rPr>
        <w:t>一带一路</w:t>
      </w:r>
      <w:r>
        <w:rPr>
          <w:rFonts w:eastAsia="方正仿宋_GBK"/>
          <w:b w:val="0"/>
          <w:bCs/>
          <w:sz w:val="32"/>
          <w:szCs w:val="32"/>
          <w:lang w:val="en"/>
        </w:rPr>
        <w:t>”</w:t>
      </w:r>
      <w:r>
        <w:rPr>
          <w:rFonts w:eastAsia="方正仿宋_GBK"/>
          <w:b w:val="0"/>
          <w:bCs/>
          <w:sz w:val="32"/>
          <w:szCs w:val="32"/>
        </w:rPr>
        <w:t>和长江经济带、成渝地区双城经济圈、</w:t>
      </w:r>
      <w:r>
        <w:rPr>
          <w:rFonts w:hint="default" w:eastAsia="方正仿宋_GBK"/>
          <w:b w:val="0"/>
          <w:bCs/>
          <w:sz w:val="32"/>
          <w:szCs w:val="32"/>
          <w:lang w:val="en"/>
        </w:rPr>
        <w:t>“</w:t>
      </w:r>
      <w:r>
        <w:rPr>
          <w:rFonts w:eastAsia="方正仿宋_GBK"/>
          <w:b w:val="0"/>
          <w:bCs/>
          <w:sz w:val="32"/>
          <w:szCs w:val="32"/>
        </w:rPr>
        <w:t>一区两群</w:t>
      </w:r>
      <w:r>
        <w:rPr>
          <w:rFonts w:hint="default" w:eastAsia="方正仿宋_GBK"/>
          <w:b w:val="0"/>
          <w:bCs/>
          <w:sz w:val="32"/>
          <w:szCs w:val="32"/>
          <w:lang w:val="en"/>
        </w:rPr>
        <w:t>”</w:t>
      </w:r>
      <w:r>
        <w:rPr>
          <w:rFonts w:eastAsia="方正仿宋_GBK"/>
          <w:b w:val="0"/>
          <w:bCs/>
          <w:sz w:val="32"/>
          <w:szCs w:val="32"/>
        </w:rPr>
        <w:t>等重大战略，加快构建</w:t>
      </w:r>
      <w:r>
        <w:rPr>
          <w:rFonts w:eastAsia="方正仿宋_GBK"/>
          <w:b w:val="0"/>
          <w:bCs/>
          <w:sz w:val="32"/>
          <w:szCs w:val="32"/>
          <w:lang w:val="en"/>
        </w:rPr>
        <w:t>“</w:t>
      </w:r>
      <w:r>
        <w:rPr>
          <w:rFonts w:eastAsia="方正仿宋_GBK"/>
          <w:b w:val="0"/>
          <w:bCs/>
          <w:sz w:val="32"/>
          <w:szCs w:val="32"/>
        </w:rPr>
        <w:t>大进大出、快进快出</w:t>
      </w:r>
      <w:r>
        <w:rPr>
          <w:rFonts w:eastAsia="方正仿宋_GBK"/>
          <w:b w:val="0"/>
          <w:bCs/>
          <w:sz w:val="32"/>
          <w:szCs w:val="32"/>
          <w:lang w:val="en"/>
        </w:rPr>
        <w:t>”</w:t>
      </w:r>
      <w:r>
        <w:rPr>
          <w:rFonts w:eastAsia="方正仿宋_GBK"/>
          <w:b w:val="0"/>
          <w:bCs/>
          <w:sz w:val="32"/>
          <w:szCs w:val="32"/>
        </w:rPr>
        <w:t>的对外综合运输通道，打造区域间、城乡间不同空间尺度高效衔接的多层次综合交通网，推动交通与城镇、旅游、产业等深度融合，实现区域交通一体化发展，推动形成区域协调发展新格局。</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仿宋_GBK"/>
          <w:b w:val="0"/>
          <w:bCs/>
          <w:sz w:val="32"/>
          <w:szCs w:val="32"/>
        </w:rPr>
      </w:pPr>
      <w:r>
        <w:rPr>
          <w:rFonts w:eastAsia="方正楷体_GBK"/>
          <w:b w:val="0"/>
          <w:bCs/>
          <w:color w:val="000000"/>
          <w:sz w:val="32"/>
          <w:szCs w:val="32"/>
        </w:rPr>
        <w:t>以人为本，服务升级。</w:t>
      </w:r>
      <w:r>
        <w:rPr>
          <w:rFonts w:eastAsia="方正仿宋_GBK"/>
          <w:b w:val="0"/>
          <w:bCs/>
          <w:sz w:val="32"/>
          <w:szCs w:val="32"/>
        </w:rPr>
        <w:t>牢牢把握交通运输的服务属性，坚持以人民为中心的思想，提供品质更优、效率更高、安全可靠的客货运输服务，增强人民群众出行获得感、幸福感、安全感。充分发挥市场在资源配置中的决定性作用，深化交通运输重点领域和关键环节改革，有序推进行业治理体系和治理能力现代化，努力提供更加规范、更有效率的行业管理服务。</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仿宋_GBK"/>
          <w:b w:val="0"/>
          <w:bCs/>
          <w:sz w:val="32"/>
          <w:szCs w:val="32"/>
        </w:rPr>
      </w:pPr>
      <w:r>
        <w:rPr>
          <w:rFonts w:eastAsia="方正楷体_GBK"/>
          <w:b w:val="0"/>
          <w:bCs/>
          <w:color w:val="000000"/>
          <w:sz w:val="32"/>
          <w:szCs w:val="32"/>
        </w:rPr>
        <w:t>生态优先，绿色发展。</w:t>
      </w:r>
      <w:r>
        <w:rPr>
          <w:rFonts w:eastAsia="方正仿宋_GBK"/>
          <w:b w:val="0"/>
          <w:bCs/>
          <w:sz w:val="32"/>
          <w:szCs w:val="32"/>
        </w:rPr>
        <w:t>紧扣山清水秀美丽之地目标，坚定践行绿水青山就是金山银山理念，大力发展绿色交通、智慧交通，优化交通运输结构、发展方式，集约利用资源，加强生态保护，防治交通污染，实现交通畅与生态美的统一，促进人与自然和谐共生。</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仿宋_GBK"/>
          <w:b w:val="0"/>
          <w:bCs/>
          <w:sz w:val="32"/>
          <w:szCs w:val="32"/>
        </w:rPr>
      </w:pPr>
      <w:r>
        <w:rPr>
          <w:rFonts w:eastAsia="方正楷体_GBK"/>
          <w:b w:val="0"/>
          <w:bCs/>
          <w:color w:val="000000"/>
          <w:sz w:val="32"/>
          <w:szCs w:val="32"/>
        </w:rPr>
        <w:t>协同建设，远近结合。</w:t>
      </w:r>
      <w:r>
        <w:rPr>
          <w:rFonts w:eastAsia="方正仿宋_GBK"/>
          <w:b w:val="0"/>
          <w:bCs/>
          <w:sz w:val="32"/>
          <w:szCs w:val="32"/>
        </w:rPr>
        <w:t>着眼长远，立足当前，统筹考虑规划项目的建设规模、建设时序，重点推进一批可操作、显效果的重大工程，推动永川交通基础设施建设与川渝毗邻地区及周边区标准统一、步调一致，努力打通断头路、瓶颈路，全力提升交通互联互通水平。</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仿宋_GBK"/>
          <w:b w:val="0"/>
          <w:bCs/>
          <w:sz w:val="32"/>
          <w:szCs w:val="32"/>
        </w:rPr>
      </w:pPr>
    </w:p>
    <w:p>
      <w:pPr>
        <w:pStyle w:val="16"/>
        <w:keepNext w:val="0"/>
        <w:keepLines w:val="0"/>
        <w:pageBreakBefore w:val="0"/>
        <w:widowControl w:val="0"/>
        <w:kinsoku/>
        <w:wordWrap/>
        <w:overflowPunct/>
        <w:topLinePunct w:val="0"/>
        <w:autoSpaceDE/>
        <w:autoSpaceDN/>
        <w:bidi w:val="0"/>
        <w:adjustRightInd w:val="0"/>
        <w:snapToGrid w:val="0"/>
        <w:spacing w:before="0" w:after="0" w:afterLines="0" w:line="276" w:lineRule="auto"/>
        <w:textAlignment w:val="auto"/>
        <w:rPr>
          <w:rFonts w:hint="eastAsia" w:ascii="方正楷体_GBK" w:hAnsi="方正楷体_GBK" w:eastAsia="方正楷体_GBK" w:cs="方正楷体_GBK"/>
          <w:b w:val="0"/>
          <w:bCs/>
          <w:kern w:val="2"/>
          <w:sz w:val="32"/>
          <w:szCs w:val="32"/>
        </w:rPr>
      </w:pPr>
      <w:bookmarkStart w:id="110" w:name="_Toc1278606964"/>
      <w:bookmarkStart w:id="111" w:name="_Toc11389"/>
      <w:bookmarkStart w:id="112" w:name="_Toc494643977"/>
      <w:bookmarkStart w:id="113" w:name="_Toc134203070_WPSOffice_Level2"/>
      <w:r>
        <w:rPr>
          <w:rFonts w:hint="eastAsia" w:ascii="方正楷体_GBK" w:hAnsi="方正楷体_GBK" w:eastAsia="方正楷体_GBK" w:cs="方正楷体_GBK"/>
          <w:b w:val="0"/>
          <w:bCs/>
          <w:kern w:val="2"/>
          <w:sz w:val="32"/>
          <w:szCs w:val="32"/>
        </w:rPr>
        <w:t xml:space="preserve">第三节 </w:t>
      </w:r>
      <w:r>
        <w:rPr>
          <w:rFonts w:hint="eastAsia" w:ascii="方正楷体_GBK" w:hAnsi="方正楷体_GBK" w:eastAsia="方正楷体_GBK" w:cs="方正楷体_GBK"/>
          <w:b w:val="0"/>
          <w:bCs/>
          <w:kern w:val="2"/>
          <w:sz w:val="32"/>
          <w:szCs w:val="32"/>
          <w:lang w:val="en-US" w:eastAsia="zh-CN"/>
        </w:rPr>
        <w:t xml:space="preserve"> </w:t>
      </w:r>
      <w:r>
        <w:rPr>
          <w:rFonts w:hint="eastAsia" w:ascii="方正楷体_GBK" w:hAnsi="方正楷体_GBK" w:eastAsia="方正楷体_GBK" w:cs="方正楷体_GBK"/>
          <w:b w:val="0"/>
          <w:bCs/>
          <w:kern w:val="2"/>
          <w:sz w:val="32"/>
          <w:szCs w:val="32"/>
        </w:rPr>
        <w:t>发展目标</w:t>
      </w:r>
      <w:bookmarkEnd w:id="110"/>
      <w:bookmarkEnd w:id="111"/>
      <w:bookmarkEnd w:id="112"/>
      <w:bookmarkEnd w:id="113"/>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仿宋_GBK"/>
          <w:b w:val="0"/>
          <w:bCs/>
          <w:sz w:val="32"/>
          <w:szCs w:val="32"/>
        </w:rPr>
      </w:pPr>
      <w:bookmarkStart w:id="114" w:name="_Hlk67911327"/>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仿宋_GBK"/>
          <w:b w:val="0"/>
          <w:bCs/>
          <w:sz w:val="32"/>
          <w:szCs w:val="32"/>
        </w:rPr>
      </w:pPr>
      <w:r>
        <w:rPr>
          <w:rFonts w:eastAsia="方正仿宋_GBK"/>
          <w:b w:val="0"/>
          <w:bCs/>
          <w:sz w:val="32"/>
          <w:szCs w:val="32"/>
        </w:rPr>
        <w:t>到2025年，立足成渝地区双城经济圈建设，基本建成外部联通、内部畅通、枢纽贯通、服务互通的立体综合交通运输网络，成渝地区交通一体化发展率先取得突破，基本建成主城都市区</w:t>
      </w:r>
      <w:r>
        <w:rPr>
          <w:rFonts w:hint="eastAsia" w:eastAsia="方正仿宋_GBK"/>
          <w:b w:val="0"/>
          <w:bCs/>
          <w:sz w:val="32"/>
          <w:szCs w:val="32"/>
        </w:rPr>
        <w:t>区域性综合交通物流枢纽</w:t>
      </w:r>
      <w:r>
        <w:rPr>
          <w:rFonts w:eastAsia="方正仿宋_GBK"/>
          <w:b w:val="0"/>
          <w:bCs/>
          <w:sz w:val="32"/>
          <w:szCs w:val="32"/>
        </w:rPr>
        <w:t>，形成</w:t>
      </w:r>
      <w:r>
        <w:rPr>
          <w:rFonts w:hint="eastAsia" w:eastAsia="方正仿宋_GBK"/>
          <w:b w:val="0"/>
          <w:bCs/>
          <w:sz w:val="32"/>
          <w:szCs w:val="32"/>
        </w:rPr>
        <w:t>规模超前</w:t>
      </w:r>
      <w:r>
        <w:rPr>
          <w:rFonts w:eastAsia="方正仿宋_GBK"/>
          <w:b w:val="0"/>
          <w:bCs/>
          <w:sz w:val="32"/>
          <w:szCs w:val="32"/>
        </w:rPr>
        <w:t>、衔接</w:t>
      </w:r>
      <w:r>
        <w:rPr>
          <w:rFonts w:hint="eastAsia" w:eastAsia="方正仿宋_GBK"/>
          <w:b w:val="0"/>
          <w:bCs/>
          <w:sz w:val="32"/>
          <w:szCs w:val="32"/>
        </w:rPr>
        <w:t>顺畅</w:t>
      </w:r>
      <w:r>
        <w:rPr>
          <w:rFonts w:eastAsia="方正仿宋_GBK"/>
          <w:b w:val="0"/>
          <w:bCs/>
          <w:sz w:val="32"/>
          <w:szCs w:val="32"/>
        </w:rPr>
        <w:t>、便捷</w:t>
      </w:r>
      <w:r>
        <w:rPr>
          <w:rFonts w:hint="eastAsia" w:eastAsia="方正仿宋_GBK"/>
          <w:b w:val="0"/>
          <w:bCs/>
          <w:sz w:val="32"/>
          <w:szCs w:val="32"/>
        </w:rPr>
        <w:t>高效</w:t>
      </w:r>
      <w:r>
        <w:rPr>
          <w:rFonts w:eastAsia="方正仿宋_GBK"/>
          <w:b w:val="0"/>
          <w:bCs/>
          <w:sz w:val="32"/>
          <w:szCs w:val="32"/>
        </w:rPr>
        <w:t>、安全可靠、智慧绿色的综合交通体系，</w:t>
      </w:r>
      <w:r>
        <w:rPr>
          <w:rFonts w:hint="eastAsia" w:eastAsia="方正仿宋_GBK"/>
          <w:b w:val="0"/>
          <w:bCs/>
          <w:sz w:val="32"/>
          <w:szCs w:val="32"/>
        </w:rPr>
        <w:t>加快</w:t>
      </w:r>
      <w:r>
        <w:rPr>
          <w:rFonts w:eastAsia="方正仿宋_GBK"/>
          <w:b w:val="0"/>
          <w:bCs/>
          <w:sz w:val="32"/>
          <w:szCs w:val="32"/>
        </w:rPr>
        <w:t>实现</w:t>
      </w:r>
      <w:r>
        <w:rPr>
          <w:rFonts w:eastAsia="方正仿宋_GBK"/>
          <w:b w:val="0"/>
          <w:bCs/>
          <w:sz w:val="32"/>
          <w:szCs w:val="32"/>
          <w:lang w:val="en"/>
        </w:rPr>
        <w:t>“</w:t>
      </w:r>
      <w:r>
        <w:rPr>
          <w:rFonts w:eastAsia="方正仿宋_GBK"/>
          <w:b w:val="0"/>
          <w:bCs/>
          <w:sz w:val="32"/>
          <w:szCs w:val="32"/>
        </w:rPr>
        <w:t>半小时中心城区、半小时周边、1小时成都、2小时昆明</w:t>
      </w:r>
      <w:r>
        <w:rPr>
          <w:rFonts w:eastAsia="方正仿宋_GBK"/>
          <w:b w:val="0"/>
          <w:bCs/>
          <w:sz w:val="32"/>
          <w:szCs w:val="32"/>
          <w:lang w:val="en"/>
        </w:rPr>
        <w:t>”</w:t>
      </w:r>
      <w:r>
        <w:rPr>
          <w:rFonts w:eastAsia="方正仿宋_GBK"/>
          <w:b w:val="0"/>
          <w:bCs/>
          <w:sz w:val="32"/>
          <w:szCs w:val="32"/>
        </w:rPr>
        <w:t>。</w:t>
      </w:r>
    </w:p>
    <w:bookmarkEnd w:id="114"/>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仿宋_GBK"/>
          <w:b w:val="0"/>
          <w:bCs/>
          <w:sz w:val="32"/>
          <w:szCs w:val="32"/>
        </w:rPr>
      </w:pPr>
      <w:r>
        <w:rPr>
          <w:rFonts w:eastAsia="方正楷体_GBK"/>
          <w:b w:val="0"/>
          <w:bCs/>
          <w:color w:val="000000"/>
          <w:sz w:val="32"/>
          <w:szCs w:val="32"/>
        </w:rPr>
        <w:t>规模超前。</w:t>
      </w:r>
      <w:r>
        <w:rPr>
          <w:rFonts w:eastAsia="方正仿宋_GBK"/>
          <w:b w:val="0"/>
          <w:bCs/>
          <w:sz w:val="32"/>
          <w:szCs w:val="32"/>
        </w:rPr>
        <w:t>铁路，加快推动渝昆高铁建设，启动</w:t>
      </w:r>
      <w:r>
        <w:rPr>
          <w:rFonts w:hint="eastAsia" w:eastAsia="方正仿宋_GBK"/>
          <w:b w:val="0"/>
          <w:bCs/>
          <w:sz w:val="32"/>
          <w:szCs w:val="32"/>
        </w:rPr>
        <w:t>市域（郊）铁路</w:t>
      </w:r>
      <w:r>
        <w:rPr>
          <w:rFonts w:eastAsia="方正仿宋_GBK"/>
          <w:b w:val="0"/>
          <w:bCs/>
          <w:sz w:val="32"/>
          <w:szCs w:val="32"/>
        </w:rPr>
        <w:t>永川线建设，铁路营业里程达到150公里。公路，加快推动成渝加宽、永川至璧山、三环高速陈食至油溪段等项目建设，高速公路通车里程达到170公里</w:t>
      </w:r>
      <w:r>
        <w:rPr>
          <w:rFonts w:hint="eastAsia" w:eastAsia="方正仿宋_GBK"/>
          <w:b w:val="0"/>
          <w:bCs/>
          <w:sz w:val="32"/>
          <w:szCs w:val="32"/>
        </w:rPr>
        <w:t>，加快实现100%乡镇15分钟上高速</w:t>
      </w:r>
      <w:r>
        <w:rPr>
          <w:rFonts w:eastAsia="方正仿宋_GBK"/>
          <w:b w:val="0"/>
          <w:bCs/>
          <w:sz w:val="32"/>
          <w:szCs w:val="32"/>
        </w:rPr>
        <w:t>。升级改造国省道204公里，重要县乡道240公里，</w:t>
      </w:r>
      <w:r>
        <w:rPr>
          <w:rFonts w:hint="eastAsia" w:eastAsia="方正仿宋_GBK"/>
          <w:b w:val="0"/>
          <w:bCs/>
          <w:sz w:val="32"/>
          <w:szCs w:val="32"/>
        </w:rPr>
        <w:t>新改建</w:t>
      </w:r>
      <w:r>
        <w:rPr>
          <w:rFonts w:hint="default" w:eastAsia="方正仿宋_GBK"/>
          <w:b w:val="0"/>
          <w:bCs/>
          <w:sz w:val="32"/>
          <w:szCs w:val="32"/>
          <w:lang w:val="en"/>
        </w:rPr>
        <w:t>“</w:t>
      </w:r>
      <w:r>
        <w:rPr>
          <w:rFonts w:hint="eastAsia" w:eastAsia="方正仿宋_GBK"/>
          <w:b w:val="0"/>
          <w:bCs/>
          <w:sz w:val="32"/>
          <w:szCs w:val="32"/>
        </w:rPr>
        <w:t>四好农村路</w:t>
      </w:r>
      <w:r>
        <w:rPr>
          <w:rFonts w:hint="default" w:eastAsia="方正仿宋_GBK"/>
          <w:b w:val="0"/>
          <w:bCs/>
          <w:sz w:val="32"/>
          <w:szCs w:val="32"/>
          <w:lang w:val="en"/>
        </w:rPr>
        <w:t>”</w:t>
      </w:r>
      <w:r>
        <w:rPr>
          <w:rFonts w:hint="eastAsia" w:eastAsia="方正仿宋_GBK"/>
          <w:b w:val="0"/>
          <w:bCs/>
          <w:sz w:val="32"/>
          <w:szCs w:val="32"/>
        </w:rPr>
        <w:t>16</w:t>
      </w:r>
      <w:r>
        <w:rPr>
          <w:rFonts w:eastAsia="方正仿宋_GBK"/>
          <w:b w:val="0"/>
          <w:bCs/>
          <w:sz w:val="32"/>
          <w:szCs w:val="32"/>
        </w:rPr>
        <w:t>00公里，有力助推乡村振兴。水运，推动长江航道等级提升，</w:t>
      </w:r>
      <w:r>
        <w:rPr>
          <w:rFonts w:hint="eastAsia" w:eastAsia="方正仿宋_GBK"/>
          <w:b w:val="0"/>
          <w:bCs/>
          <w:sz w:val="32"/>
          <w:szCs w:val="32"/>
        </w:rPr>
        <w:t>积极</w:t>
      </w:r>
      <w:r>
        <w:rPr>
          <w:rFonts w:eastAsia="方正仿宋_GBK"/>
          <w:b w:val="0"/>
          <w:bCs/>
          <w:sz w:val="32"/>
          <w:szCs w:val="32"/>
        </w:rPr>
        <w:t>推动港口建设，</w:t>
      </w:r>
      <w:r>
        <w:rPr>
          <w:rFonts w:hint="eastAsia" w:eastAsia="方正仿宋_GBK"/>
          <w:b w:val="0"/>
          <w:bCs/>
          <w:sz w:val="32"/>
          <w:szCs w:val="32"/>
        </w:rPr>
        <w:t>全区长江干线航道达到二级航道标准，港口货物吞吐能力达到1100万吨。</w:t>
      </w:r>
      <w:r>
        <w:rPr>
          <w:rFonts w:eastAsia="方正仿宋_GBK"/>
          <w:b w:val="0"/>
          <w:bCs/>
          <w:sz w:val="32"/>
          <w:szCs w:val="32"/>
        </w:rPr>
        <w:t>民航，拓展通用机场功能，推动大安机场与重庆新机场协同发展，满足特色旅游和应急救援等需求。</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仿宋_GBK"/>
          <w:b w:val="0"/>
          <w:bCs/>
          <w:sz w:val="32"/>
          <w:szCs w:val="32"/>
        </w:rPr>
      </w:pPr>
      <w:r>
        <w:rPr>
          <w:rFonts w:eastAsia="方正楷体_GBK"/>
          <w:b w:val="0"/>
          <w:bCs/>
          <w:color w:val="000000"/>
          <w:sz w:val="32"/>
          <w:szCs w:val="32"/>
        </w:rPr>
        <w:t>衔接顺畅。</w:t>
      </w:r>
      <w:r>
        <w:rPr>
          <w:rFonts w:eastAsia="方正仿宋_GBK"/>
          <w:b w:val="0"/>
          <w:bCs/>
          <w:sz w:val="32"/>
          <w:szCs w:val="32"/>
        </w:rPr>
        <w:t>建设一批综合客运枢纽、物流枢纽、公交站场，改造乡镇农村客货服务站。综合客运枢纽内交通方式间，旅客平均换乘距离≦500米。多式联运无缝衔接，进港、进站铁路、公路集疏运体系更加完善。公路与城市道路衔接</w:t>
      </w:r>
      <w:r>
        <w:rPr>
          <w:rFonts w:hint="eastAsia" w:eastAsia="方正仿宋_GBK"/>
          <w:b w:val="0"/>
          <w:bCs/>
          <w:sz w:val="32"/>
          <w:szCs w:val="32"/>
        </w:rPr>
        <w:t>更加</w:t>
      </w:r>
      <w:r>
        <w:rPr>
          <w:rFonts w:eastAsia="方正仿宋_GBK"/>
          <w:b w:val="0"/>
          <w:bCs/>
          <w:sz w:val="32"/>
          <w:szCs w:val="32"/>
        </w:rPr>
        <w:t>顺畅，与城市干道实现高等级公路100%连接。高速公路互通、综合客运枢纽、物流园区、4A级及以上景区实现100%高等级公路连接。</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仿宋_GBK"/>
          <w:b w:val="0"/>
          <w:bCs/>
          <w:sz w:val="32"/>
          <w:szCs w:val="32"/>
        </w:rPr>
      </w:pPr>
      <w:r>
        <w:rPr>
          <w:rFonts w:eastAsia="方正楷体_GBK"/>
          <w:b w:val="0"/>
          <w:bCs/>
          <w:color w:val="000000"/>
          <w:sz w:val="32"/>
          <w:szCs w:val="32"/>
        </w:rPr>
        <w:t>便捷高效。</w:t>
      </w:r>
      <w:r>
        <w:rPr>
          <w:rFonts w:eastAsia="方正仿宋_GBK"/>
          <w:b w:val="0"/>
          <w:bCs/>
          <w:sz w:val="32"/>
          <w:szCs w:val="32"/>
        </w:rPr>
        <w:t>客运方面，</w:t>
      </w:r>
      <w:r>
        <w:rPr>
          <w:rFonts w:hint="eastAsia" w:eastAsia="方正仿宋_GBK"/>
          <w:b w:val="0"/>
          <w:bCs/>
          <w:sz w:val="32"/>
          <w:szCs w:val="32"/>
        </w:rPr>
        <w:t>优先</w:t>
      </w:r>
      <w:r>
        <w:rPr>
          <w:rFonts w:eastAsia="方正仿宋_GBK"/>
          <w:b w:val="0"/>
          <w:bCs/>
          <w:sz w:val="32"/>
          <w:szCs w:val="32"/>
        </w:rPr>
        <w:t>推进</w:t>
      </w:r>
      <w:r>
        <w:rPr>
          <w:rFonts w:hint="eastAsia" w:eastAsia="方正仿宋_GBK"/>
          <w:b w:val="0"/>
          <w:bCs/>
          <w:sz w:val="32"/>
          <w:szCs w:val="32"/>
        </w:rPr>
        <w:t>铁路</w:t>
      </w:r>
      <w:r>
        <w:rPr>
          <w:rFonts w:eastAsia="方正仿宋_GBK"/>
          <w:b w:val="0"/>
          <w:bCs/>
          <w:sz w:val="32"/>
          <w:szCs w:val="32"/>
        </w:rPr>
        <w:t>公交化列车开行，持续推进</w:t>
      </w:r>
      <w:r>
        <w:rPr>
          <w:rFonts w:eastAsia="方正仿宋_GBK"/>
          <w:b w:val="0"/>
          <w:bCs/>
          <w:sz w:val="32"/>
          <w:szCs w:val="32"/>
          <w:lang w:val="en"/>
        </w:rPr>
        <w:t>“</w:t>
      </w:r>
      <w:r>
        <w:rPr>
          <w:rFonts w:eastAsia="方正仿宋_GBK"/>
          <w:b w:val="0"/>
          <w:bCs/>
          <w:sz w:val="32"/>
          <w:szCs w:val="32"/>
        </w:rPr>
        <w:t>公交都市</w:t>
      </w:r>
      <w:r>
        <w:rPr>
          <w:rFonts w:eastAsia="方正仿宋_GBK"/>
          <w:b w:val="0"/>
          <w:bCs/>
          <w:sz w:val="32"/>
          <w:szCs w:val="32"/>
          <w:lang w:val="en"/>
        </w:rPr>
        <w:t>”</w:t>
      </w:r>
      <w:r>
        <w:rPr>
          <w:rFonts w:eastAsia="方正仿宋_GBK"/>
          <w:b w:val="0"/>
          <w:bCs/>
          <w:sz w:val="32"/>
          <w:szCs w:val="32"/>
        </w:rPr>
        <w:t>建设</w:t>
      </w:r>
      <w:r>
        <w:rPr>
          <w:rFonts w:hint="eastAsia" w:eastAsia="方正仿宋_GBK"/>
          <w:b w:val="0"/>
          <w:bCs/>
          <w:sz w:val="32"/>
          <w:szCs w:val="32"/>
        </w:rPr>
        <w:t>，永川城区</w:t>
      </w:r>
      <w:r>
        <w:rPr>
          <w:rFonts w:eastAsia="方正仿宋_GBK"/>
          <w:b w:val="0"/>
          <w:bCs/>
          <w:sz w:val="32"/>
          <w:szCs w:val="32"/>
        </w:rPr>
        <w:t>公共交通机动化分担率达到</w:t>
      </w:r>
      <w:r>
        <w:rPr>
          <w:rFonts w:hint="eastAsia" w:eastAsia="方正仿宋_GBK"/>
          <w:b w:val="0"/>
          <w:bCs/>
          <w:sz w:val="32"/>
          <w:szCs w:val="32"/>
        </w:rPr>
        <w:t>4</w:t>
      </w:r>
      <w:r>
        <w:rPr>
          <w:rFonts w:eastAsia="方正仿宋_GBK"/>
          <w:b w:val="0"/>
          <w:bCs/>
          <w:sz w:val="32"/>
          <w:szCs w:val="32"/>
        </w:rPr>
        <w:t>0%，开通川渝城际跨省公交3-4条，</w:t>
      </w:r>
      <w:r>
        <w:rPr>
          <w:rFonts w:hint="eastAsia" w:eastAsia="方正仿宋_GBK"/>
          <w:b w:val="0"/>
          <w:bCs/>
          <w:sz w:val="32"/>
          <w:szCs w:val="32"/>
        </w:rPr>
        <w:t>建设渝西川南旅游集散中心，增强区域旅游集散服务功能，</w:t>
      </w:r>
      <w:r>
        <w:rPr>
          <w:rFonts w:eastAsia="方正仿宋_GBK"/>
          <w:b w:val="0"/>
          <w:bCs/>
          <w:sz w:val="32"/>
          <w:szCs w:val="32"/>
        </w:rPr>
        <w:t>开行5-10条旅游专线。货运方面，大力发展多式联运，运输结构调整成效明显，铁路水运货运量占比达到</w:t>
      </w:r>
      <w:r>
        <w:rPr>
          <w:rFonts w:hint="eastAsia" w:eastAsia="方正仿宋_GBK"/>
          <w:b w:val="0"/>
          <w:bCs/>
          <w:sz w:val="32"/>
          <w:szCs w:val="32"/>
        </w:rPr>
        <w:t>1</w:t>
      </w:r>
      <w:r>
        <w:rPr>
          <w:rFonts w:eastAsia="方正仿宋_GBK"/>
          <w:b w:val="0"/>
          <w:bCs/>
          <w:sz w:val="32"/>
          <w:szCs w:val="32"/>
        </w:rPr>
        <w:t>2%</w:t>
      </w:r>
      <w:r>
        <w:rPr>
          <w:rFonts w:hint="eastAsia" w:eastAsia="方正仿宋_GBK"/>
          <w:b w:val="0"/>
          <w:bCs/>
          <w:sz w:val="32"/>
          <w:szCs w:val="32"/>
        </w:rPr>
        <w:t>左右</w:t>
      </w:r>
      <w:r>
        <w:rPr>
          <w:rFonts w:eastAsia="方正仿宋_GBK"/>
          <w:b w:val="0"/>
          <w:bCs/>
          <w:sz w:val="32"/>
          <w:szCs w:val="32"/>
        </w:rPr>
        <w:t>。</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仿宋_GBK"/>
          <w:b w:val="0"/>
          <w:bCs/>
          <w:sz w:val="32"/>
          <w:szCs w:val="32"/>
        </w:rPr>
      </w:pPr>
      <w:r>
        <w:rPr>
          <w:rFonts w:eastAsia="方正楷体_GBK"/>
          <w:b w:val="0"/>
          <w:bCs/>
          <w:color w:val="000000"/>
          <w:sz w:val="32"/>
          <w:szCs w:val="32"/>
        </w:rPr>
        <w:t>安全可靠。</w:t>
      </w:r>
      <w:r>
        <w:rPr>
          <w:rFonts w:eastAsia="方正仿宋_GBK"/>
          <w:b w:val="0"/>
          <w:bCs/>
          <w:sz w:val="32"/>
          <w:szCs w:val="32"/>
        </w:rPr>
        <w:t>实施公路安防设施工程1000公里，危桥改造</w:t>
      </w:r>
      <w:r>
        <w:rPr>
          <w:rFonts w:hint="eastAsia" w:eastAsia="方正仿宋_GBK"/>
          <w:b w:val="0"/>
          <w:bCs/>
          <w:sz w:val="32"/>
          <w:szCs w:val="32"/>
        </w:rPr>
        <w:t>25</w:t>
      </w:r>
      <w:r>
        <w:rPr>
          <w:rFonts w:eastAsia="方正仿宋_GBK"/>
          <w:b w:val="0"/>
          <w:bCs/>
          <w:sz w:val="32"/>
          <w:szCs w:val="32"/>
        </w:rPr>
        <w:t>座，治理公路灾害点400处。公路特长隧道、特大桥梁动态监测覆盖率达到100%，高速公路、普通干线公路应急救援响应时间不超过</w:t>
      </w:r>
      <w:r>
        <w:rPr>
          <w:rFonts w:hint="eastAsia" w:eastAsia="方正仿宋_GBK"/>
          <w:b w:val="0"/>
          <w:bCs/>
          <w:sz w:val="32"/>
          <w:szCs w:val="32"/>
        </w:rPr>
        <w:t>30分钟</w:t>
      </w:r>
      <w:r>
        <w:rPr>
          <w:rFonts w:eastAsia="方正仿宋_GBK"/>
          <w:b w:val="0"/>
          <w:bCs/>
          <w:sz w:val="32"/>
          <w:szCs w:val="32"/>
        </w:rPr>
        <w:t>。城市公共交通与</w:t>
      </w:r>
      <w:r>
        <w:rPr>
          <w:rFonts w:eastAsia="方正仿宋_GBK"/>
          <w:b w:val="0"/>
          <w:bCs/>
          <w:sz w:val="32"/>
          <w:szCs w:val="32"/>
          <w:lang w:val="en"/>
        </w:rPr>
        <w:t>“</w:t>
      </w:r>
      <w:r>
        <w:rPr>
          <w:rFonts w:eastAsia="方正仿宋_GBK"/>
          <w:b w:val="0"/>
          <w:bCs/>
          <w:sz w:val="32"/>
          <w:szCs w:val="32"/>
        </w:rPr>
        <w:t>两客一危</w:t>
      </w:r>
      <w:r>
        <w:rPr>
          <w:rFonts w:eastAsia="方正仿宋_GBK"/>
          <w:b w:val="0"/>
          <w:bCs/>
          <w:sz w:val="32"/>
          <w:szCs w:val="32"/>
          <w:lang w:val="en"/>
        </w:rPr>
        <w:t>”</w:t>
      </w:r>
      <w:r>
        <w:rPr>
          <w:rFonts w:eastAsia="方正仿宋_GBK"/>
          <w:b w:val="0"/>
          <w:bCs/>
          <w:sz w:val="32"/>
          <w:szCs w:val="32"/>
        </w:rPr>
        <w:t>车辆、12吨以上普通货车北斗安装率100%。</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仿宋_GBK"/>
          <w:b w:val="0"/>
          <w:bCs/>
          <w:sz w:val="32"/>
          <w:szCs w:val="32"/>
        </w:rPr>
      </w:pPr>
      <w:r>
        <w:rPr>
          <w:rFonts w:eastAsia="方正楷体_GBK"/>
          <w:b w:val="0"/>
          <w:bCs/>
          <w:color w:val="000000"/>
          <w:sz w:val="32"/>
          <w:szCs w:val="32"/>
        </w:rPr>
        <w:t>智慧绿色。</w:t>
      </w:r>
      <w:r>
        <w:rPr>
          <w:rFonts w:hint="eastAsia" w:eastAsia="方正仿宋_GBK"/>
          <w:b w:val="0"/>
          <w:bCs/>
          <w:sz w:val="32"/>
          <w:szCs w:val="32"/>
        </w:rPr>
        <w:t>推广无人驾驶公交线路，</w:t>
      </w:r>
      <w:r>
        <w:rPr>
          <w:rFonts w:eastAsia="方正仿宋_GBK"/>
          <w:b w:val="0"/>
          <w:bCs/>
          <w:sz w:val="32"/>
          <w:szCs w:val="32"/>
        </w:rPr>
        <w:t>建成综合交通大数据服务和管理平台，普通国省道、县乡道、农村公路项目100%实现平台监管，枢纽站场视频监测覆盖率、重点运输车辆监测覆盖率达到100%。加快淘汰高污染、高耗能、技术落后、老旧的交通装备和设施，鼓励营运车船标准化、大型化、专业化发展，推广应用新能源和清洁能源汽车和船舶，以及靠港船舶使用岸电等新技术，</w:t>
      </w:r>
      <w:r>
        <w:rPr>
          <w:rFonts w:hint="eastAsia" w:eastAsia="方正仿宋_GBK"/>
          <w:b w:val="0"/>
          <w:bCs/>
          <w:sz w:val="32"/>
          <w:szCs w:val="32"/>
        </w:rPr>
        <w:t>新能源</w:t>
      </w:r>
      <w:r>
        <w:rPr>
          <w:rFonts w:eastAsia="方正仿宋_GBK"/>
          <w:b w:val="0"/>
          <w:bCs/>
          <w:sz w:val="32"/>
          <w:szCs w:val="32"/>
        </w:rPr>
        <w:t>公交车辆占比达到100%。</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jc w:val="center"/>
        <w:textAlignment w:val="auto"/>
        <w:rPr>
          <w:rFonts w:eastAsia="方正仿宋_GBK"/>
          <w:b w:val="0"/>
          <w:bCs/>
          <w:sz w:val="32"/>
          <w:szCs w:val="32"/>
        </w:rPr>
      </w:pPr>
      <w:bookmarkStart w:id="115" w:name="_Toc833210914_WPSOffice_Level2"/>
      <w:r>
        <w:rPr>
          <w:rFonts w:eastAsia="方正仿宋_GBK"/>
          <w:b w:val="0"/>
          <w:bCs/>
          <w:sz w:val="32"/>
          <w:szCs w:val="32"/>
        </w:rPr>
        <w:t xml:space="preserve">表4-1 </w:t>
      </w:r>
      <w:r>
        <w:rPr>
          <w:rFonts w:eastAsia="方正仿宋_GBK"/>
          <w:b w:val="0"/>
          <w:bCs/>
          <w:sz w:val="32"/>
          <w:szCs w:val="32"/>
          <w:lang w:val="en"/>
        </w:rPr>
        <w:t>“</w:t>
      </w:r>
      <w:r>
        <w:rPr>
          <w:rFonts w:eastAsia="方正仿宋_GBK"/>
          <w:b w:val="0"/>
          <w:bCs/>
          <w:sz w:val="32"/>
          <w:szCs w:val="32"/>
        </w:rPr>
        <w:t>十四五</w:t>
      </w:r>
      <w:r>
        <w:rPr>
          <w:rFonts w:eastAsia="方正仿宋_GBK"/>
          <w:b w:val="0"/>
          <w:bCs/>
          <w:sz w:val="32"/>
          <w:szCs w:val="32"/>
          <w:lang w:val="en"/>
        </w:rPr>
        <w:t>”</w:t>
      </w:r>
      <w:r>
        <w:rPr>
          <w:rFonts w:eastAsia="方正仿宋_GBK"/>
          <w:b w:val="0"/>
          <w:bCs/>
          <w:sz w:val="32"/>
          <w:szCs w:val="32"/>
        </w:rPr>
        <w:t>发展主</w:t>
      </w:r>
      <w:bookmarkEnd w:id="115"/>
      <w:r>
        <w:rPr>
          <w:rFonts w:eastAsia="方正仿宋_GBK"/>
          <w:b w:val="0"/>
          <w:bCs/>
          <w:sz w:val="32"/>
          <w:szCs w:val="32"/>
        </w:rPr>
        <w:t>要指标</w:t>
      </w:r>
    </w:p>
    <w:tbl>
      <w:tblPr>
        <w:tblStyle w:val="21"/>
        <w:tblW w:w="5007"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815"/>
        <w:gridCol w:w="4812"/>
        <w:gridCol w:w="1203"/>
        <w:gridCol w:w="1022"/>
        <w:gridCol w:w="102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blHeader/>
        </w:trPr>
        <w:tc>
          <w:tcPr>
            <w:tcW w:w="459" w:type="pct"/>
            <w:noWrap w:val="0"/>
            <w:tcMar>
              <w:top w:w="15" w:type="dxa"/>
              <w:left w:w="15" w:type="dxa"/>
              <w:bottom w:w="0" w:type="dxa"/>
              <w:right w:w="15" w:type="dxa"/>
            </w:tcMar>
            <w:vAlign w:val="center"/>
          </w:tcPr>
          <w:p>
            <w:pPr>
              <w:snapToGrid w:val="0"/>
              <w:spacing w:before="0" w:beforeAutospacing="0" w:afterLines="0" w:line="276" w:lineRule="auto"/>
              <w:jc w:val="center"/>
              <w:rPr>
                <w:rFonts w:eastAsia="方正仿宋_GBK"/>
                <w:b w:val="0"/>
                <w:bCs/>
                <w:sz w:val="24"/>
              </w:rPr>
            </w:pPr>
            <w:r>
              <w:rPr>
                <w:rFonts w:eastAsia="方正仿宋_GBK"/>
                <w:b w:val="0"/>
                <w:bCs/>
                <w:sz w:val="24"/>
              </w:rPr>
              <w:t>类型</w:t>
            </w:r>
          </w:p>
        </w:tc>
        <w:tc>
          <w:tcPr>
            <w:tcW w:w="2711" w:type="pct"/>
            <w:noWrap w:val="0"/>
            <w:tcMar>
              <w:top w:w="15" w:type="dxa"/>
              <w:left w:w="15" w:type="dxa"/>
              <w:bottom w:w="0" w:type="dxa"/>
              <w:right w:w="15" w:type="dxa"/>
            </w:tcMar>
            <w:vAlign w:val="center"/>
          </w:tcPr>
          <w:p>
            <w:pPr>
              <w:snapToGrid w:val="0"/>
              <w:spacing w:before="0" w:beforeAutospacing="0" w:afterLines="0" w:line="276" w:lineRule="auto"/>
              <w:ind w:firstLine="480" w:firstLineChars="200"/>
              <w:jc w:val="center"/>
              <w:rPr>
                <w:rFonts w:eastAsia="方正仿宋_GBK"/>
                <w:b w:val="0"/>
                <w:bCs/>
                <w:sz w:val="24"/>
              </w:rPr>
            </w:pPr>
            <w:r>
              <w:rPr>
                <w:rFonts w:eastAsia="方正仿宋_GBK"/>
                <w:b w:val="0"/>
                <w:bCs/>
                <w:sz w:val="24"/>
              </w:rPr>
              <w:t>指标</w:t>
            </w:r>
          </w:p>
        </w:tc>
        <w:tc>
          <w:tcPr>
            <w:tcW w:w="678" w:type="pct"/>
            <w:noWrap w:val="0"/>
            <w:tcMar>
              <w:top w:w="15" w:type="dxa"/>
              <w:left w:w="15" w:type="dxa"/>
              <w:bottom w:w="0" w:type="dxa"/>
              <w:right w:w="15" w:type="dxa"/>
            </w:tcMar>
            <w:vAlign w:val="center"/>
          </w:tcPr>
          <w:p>
            <w:pPr>
              <w:snapToGrid w:val="0"/>
              <w:spacing w:before="0" w:beforeAutospacing="0" w:afterLines="0" w:line="276" w:lineRule="auto"/>
              <w:jc w:val="center"/>
              <w:rPr>
                <w:rFonts w:eastAsia="方正仿宋_GBK"/>
                <w:b w:val="0"/>
                <w:bCs/>
                <w:sz w:val="24"/>
              </w:rPr>
            </w:pPr>
            <w:r>
              <w:rPr>
                <w:rFonts w:eastAsia="方正仿宋_GBK"/>
                <w:b w:val="0"/>
                <w:bCs/>
                <w:sz w:val="24"/>
              </w:rPr>
              <w:t>2020年</w:t>
            </w:r>
          </w:p>
        </w:tc>
        <w:tc>
          <w:tcPr>
            <w:tcW w:w="576" w:type="pct"/>
            <w:noWrap w:val="0"/>
            <w:tcMar>
              <w:top w:w="15" w:type="dxa"/>
              <w:left w:w="15" w:type="dxa"/>
              <w:bottom w:w="0" w:type="dxa"/>
              <w:right w:w="15" w:type="dxa"/>
            </w:tcMar>
            <w:vAlign w:val="center"/>
          </w:tcPr>
          <w:p>
            <w:pPr>
              <w:snapToGrid w:val="0"/>
              <w:spacing w:before="0" w:beforeAutospacing="0" w:afterLines="0" w:line="276" w:lineRule="auto"/>
              <w:jc w:val="center"/>
              <w:rPr>
                <w:rFonts w:eastAsia="方正仿宋_GBK"/>
                <w:b w:val="0"/>
                <w:bCs/>
                <w:sz w:val="24"/>
              </w:rPr>
            </w:pPr>
            <w:r>
              <w:rPr>
                <w:rFonts w:eastAsia="方正仿宋_GBK"/>
                <w:b w:val="0"/>
                <w:bCs/>
                <w:sz w:val="24"/>
              </w:rPr>
              <w:t>2025年</w:t>
            </w:r>
          </w:p>
        </w:tc>
        <w:tc>
          <w:tcPr>
            <w:tcW w:w="576" w:type="pct"/>
            <w:noWrap w:val="0"/>
            <w:vAlign w:val="top"/>
          </w:tcPr>
          <w:p>
            <w:pPr>
              <w:snapToGrid w:val="0"/>
              <w:spacing w:before="0" w:beforeAutospacing="0" w:afterLines="0" w:line="276" w:lineRule="auto"/>
              <w:jc w:val="center"/>
              <w:rPr>
                <w:rFonts w:eastAsia="方正仿宋_GBK"/>
                <w:b w:val="0"/>
                <w:bCs/>
                <w:sz w:val="24"/>
              </w:rPr>
            </w:pPr>
            <w:r>
              <w:rPr>
                <w:rFonts w:hint="eastAsia" w:eastAsia="方正仿宋_GBK"/>
                <w:b w:val="0"/>
                <w:bCs/>
                <w:sz w:val="24"/>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459" w:type="pct"/>
            <w:vMerge w:val="restart"/>
            <w:noWrap w:val="0"/>
            <w:tcMar>
              <w:top w:w="15" w:type="dxa"/>
              <w:left w:w="15" w:type="dxa"/>
              <w:bottom w:w="0" w:type="dxa"/>
              <w:right w:w="15" w:type="dxa"/>
            </w:tcMar>
            <w:vAlign w:val="center"/>
          </w:tcPr>
          <w:p>
            <w:pPr>
              <w:snapToGrid w:val="0"/>
              <w:spacing w:before="0" w:beforeAutospacing="0" w:afterLines="0" w:line="276" w:lineRule="auto"/>
              <w:jc w:val="center"/>
              <w:rPr>
                <w:rFonts w:eastAsia="方正仿宋_GBK"/>
                <w:b w:val="0"/>
                <w:bCs/>
                <w:sz w:val="24"/>
              </w:rPr>
            </w:pPr>
            <w:r>
              <w:rPr>
                <w:rFonts w:eastAsia="方正仿宋_GBK"/>
                <w:b w:val="0"/>
                <w:bCs/>
                <w:sz w:val="24"/>
              </w:rPr>
              <w:t>基础</w:t>
            </w:r>
          </w:p>
          <w:p>
            <w:pPr>
              <w:snapToGrid w:val="0"/>
              <w:spacing w:before="0" w:beforeAutospacing="0" w:afterLines="0" w:line="276" w:lineRule="auto"/>
              <w:jc w:val="center"/>
              <w:rPr>
                <w:rFonts w:eastAsia="方正仿宋_GBK"/>
                <w:b w:val="0"/>
                <w:bCs/>
                <w:sz w:val="24"/>
              </w:rPr>
            </w:pPr>
            <w:r>
              <w:rPr>
                <w:rFonts w:eastAsia="方正仿宋_GBK"/>
                <w:b w:val="0"/>
                <w:bCs/>
                <w:sz w:val="24"/>
              </w:rPr>
              <w:t>设施</w:t>
            </w:r>
          </w:p>
        </w:tc>
        <w:tc>
          <w:tcPr>
            <w:tcW w:w="2711" w:type="pct"/>
            <w:noWrap w:val="0"/>
            <w:tcMar>
              <w:top w:w="15" w:type="dxa"/>
              <w:left w:w="15" w:type="dxa"/>
              <w:bottom w:w="0" w:type="dxa"/>
              <w:right w:w="15" w:type="dxa"/>
            </w:tcMar>
            <w:vAlign w:val="center"/>
          </w:tcPr>
          <w:p>
            <w:pPr>
              <w:snapToGrid w:val="0"/>
              <w:spacing w:before="0" w:beforeAutospacing="0" w:afterLines="0" w:line="276" w:lineRule="auto"/>
              <w:jc w:val="center"/>
              <w:rPr>
                <w:rFonts w:eastAsia="方正仿宋_GBK"/>
                <w:b w:val="0"/>
                <w:bCs/>
                <w:color w:val="000000"/>
                <w:sz w:val="24"/>
              </w:rPr>
            </w:pPr>
            <w:r>
              <w:rPr>
                <w:rFonts w:eastAsia="方正仿宋_GBK"/>
                <w:b w:val="0"/>
                <w:bCs/>
                <w:color w:val="000000"/>
                <w:sz w:val="24"/>
              </w:rPr>
              <w:t>铁路营业里程（公里）</w:t>
            </w:r>
          </w:p>
        </w:tc>
        <w:tc>
          <w:tcPr>
            <w:tcW w:w="678" w:type="pct"/>
            <w:noWrap w:val="0"/>
            <w:tcMar>
              <w:top w:w="15" w:type="dxa"/>
              <w:left w:w="15" w:type="dxa"/>
              <w:bottom w:w="0" w:type="dxa"/>
              <w:right w:w="15" w:type="dxa"/>
            </w:tcMar>
            <w:vAlign w:val="center"/>
          </w:tcPr>
          <w:p>
            <w:pPr>
              <w:snapToGrid w:val="0"/>
              <w:spacing w:before="0" w:beforeAutospacing="0" w:afterLines="0" w:line="276" w:lineRule="auto"/>
              <w:jc w:val="center"/>
              <w:rPr>
                <w:rFonts w:eastAsia="方正仿宋_GBK"/>
                <w:b w:val="0"/>
                <w:bCs/>
                <w:sz w:val="24"/>
              </w:rPr>
            </w:pPr>
            <w:r>
              <w:rPr>
                <w:rFonts w:eastAsia="方正仿宋_GBK"/>
                <w:b w:val="0"/>
                <w:bCs/>
                <w:sz w:val="24"/>
              </w:rPr>
              <w:t>90</w:t>
            </w:r>
          </w:p>
        </w:tc>
        <w:tc>
          <w:tcPr>
            <w:tcW w:w="576" w:type="pct"/>
            <w:noWrap w:val="0"/>
            <w:tcMar>
              <w:top w:w="15" w:type="dxa"/>
              <w:left w:w="15" w:type="dxa"/>
              <w:bottom w:w="0" w:type="dxa"/>
              <w:right w:w="15" w:type="dxa"/>
            </w:tcMar>
            <w:vAlign w:val="center"/>
          </w:tcPr>
          <w:p>
            <w:pPr>
              <w:snapToGrid w:val="0"/>
              <w:spacing w:before="0" w:beforeAutospacing="0" w:afterLines="0" w:line="276" w:lineRule="auto"/>
              <w:jc w:val="center"/>
              <w:rPr>
                <w:rFonts w:eastAsia="方正仿宋_GBK"/>
                <w:b w:val="0"/>
                <w:bCs/>
                <w:sz w:val="24"/>
              </w:rPr>
            </w:pPr>
            <w:r>
              <w:rPr>
                <w:rFonts w:eastAsia="方正仿宋_GBK"/>
                <w:b w:val="0"/>
                <w:bCs/>
                <w:sz w:val="24"/>
              </w:rPr>
              <w:t>150</w:t>
            </w:r>
          </w:p>
        </w:tc>
        <w:tc>
          <w:tcPr>
            <w:tcW w:w="576" w:type="pct"/>
            <w:noWrap w:val="0"/>
            <w:vAlign w:val="top"/>
          </w:tcPr>
          <w:p>
            <w:pPr>
              <w:snapToGrid w:val="0"/>
              <w:spacing w:before="0" w:beforeAutospacing="0" w:afterLines="0" w:line="276" w:lineRule="auto"/>
              <w:jc w:val="center"/>
              <w:rPr>
                <w:rFonts w:eastAsia="方正仿宋_GBK"/>
                <w:b w:val="0"/>
                <w:bCs/>
                <w:sz w:val="24"/>
              </w:rPr>
            </w:pPr>
            <w:r>
              <w:rPr>
                <w:rFonts w:hint="eastAsia" w:eastAsia="方正仿宋_GBK"/>
                <w:b w:val="0"/>
                <w:bCs/>
                <w:sz w:val="24"/>
              </w:rPr>
              <w:t>预期性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trPr>
        <w:tc>
          <w:tcPr>
            <w:tcW w:w="459" w:type="pct"/>
            <w:vMerge w:val="continue"/>
            <w:noWrap w:val="0"/>
            <w:tcMar>
              <w:top w:w="15" w:type="dxa"/>
              <w:left w:w="15" w:type="dxa"/>
              <w:bottom w:w="0" w:type="dxa"/>
              <w:right w:w="15" w:type="dxa"/>
            </w:tcMar>
            <w:vAlign w:val="center"/>
          </w:tcPr>
          <w:p>
            <w:pPr>
              <w:snapToGrid w:val="0"/>
              <w:spacing w:before="0" w:beforeAutospacing="0" w:afterLines="0" w:line="276" w:lineRule="auto"/>
              <w:jc w:val="center"/>
              <w:rPr>
                <w:rFonts w:eastAsia="方正仿宋_GBK"/>
                <w:b w:val="0"/>
                <w:bCs/>
                <w:sz w:val="24"/>
              </w:rPr>
            </w:pPr>
          </w:p>
        </w:tc>
        <w:tc>
          <w:tcPr>
            <w:tcW w:w="2711" w:type="pct"/>
            <w:noWrap w:val="0"/>
            <w:tcMar>
              <w:top w:w="15" w:type="dxa"/>
              <w:left w:w="15" w:type="dxa"/>
              <w:bottom w:w="0" w:type="dxa"/>
              <w:right w:w="15" w:type="dxa"/>
            </w:tcMar>
            <w:vAlign w:val="center"/>
          </w:tcPr>
          <w:p>
            <w:pPr>
              <w:snapToGrid w:val="0"/>
              <w:spacing w:before="0" w:beforeAutospacing="0" w:afterLines="0" w:line="276" w:lineRule="auto"/>
              <w:jc w:val="center"/>
              <w:rPr>
                <w:rFonts w:eastAsia="方正仿宋_GBK"/>
                <w:b w:val="0"/>
                <w:bCs/>
                <w:color w:val="000000"/>
                <w:sz w:val="24"/>
              </w:rPr>
            </w:pPr>
            <w:r>
              <w:rPr>
                <w:rFonts w:eastAsia="方正仿宋_GBK"/>
                <w:b w:val="0"/>
                <w:bCs/>
                <w:color w:val="000000"/>
                <w:sz w:val="24"/>
              </w:rPr>
              <w:t>高速公路通车里程（公里）</w:t>
            </w:r>
          </w:p>
        </w:tc>
        <w:tc>
          <w:tcPr>
            <w:tcW w:w="678" w:type="pct"/>
            <w:noWrap w:val="0"/>
            <w:tcMar>
              <w:top w:w="15" w:type="dxa"/>
              <w:left w:w="15" w:type="dxa"/>
              <w:bottom w:w="0" w:type="dxa"/>
              <w:right w:w="15" w:type="dxa"/>
            </w:tcMar>
            <w:vAlign w:val="center"/>
          </w:tcPr>
          <w:p>
            <w:pPr>
              <w:snapToGrid w:val="0"/>
              <w:spacing w:before="0" w:beforeAutospacing="0" w:afterLines="0" w:line="276" w:lineRule="auto"/>
              <w:jc w:val="center"/>
              <w:rPr>
                <w:rFonts w:eastAsia="方正仿宋_GBK"/>
                <w:b w:val="0"/>
                <w:bCs/>
                <w:sz w:val="24"/>
              </w:rPr>
            </w:pPr>
            <w:r>
              <w:rPr>
                <w:rFonts w:eastAsia="方正仿宋_GBK"/>
                <w:b w:val="0"/>
                <w:bCs/>
                <w:sz w:val="24"/>
              </w:rPr>
              <w:t>133</w:t>
            </w:r>
          </w:p>
        </w:tc>
        <w:tc>
          <w:tcPr>
            <w:tcW w:w="576" w:type="pct"/>
            <w:noWrap w:val="0"/>
            <w:tcMar>
              <w:top w:w="15" w:type="dxa"/>
              <w:left w:w="15" w:type="dxa"/>
              <w:bottom w:w="0" w:type="dxa"/>
              <w:right w:w="15" w:type="dxa"/>
            </w:tcMar>
            <w:vAlign w:val="center"/>
          </w:tcPr>
          <w:p>
            <w:pPr>
              <w:snapToGrid w:val="0"/>
              <w:spacing w:before="0" w:beforeAutospacing="0" w:afterLines="0" w:line="276" w:lineRule="auto"/>
              <w:jc w:val="center"/>
              <w:rPr>
                <w:rFonts w:eastAsia="方正仿宋_GBK"/>
                <w:b w:val="0"/>
                <w:bCs/>
                <w:sz w:val="24"/>
              </w:rPr>
            </w:pPr>
            <w:r>
              <w:rPr>
                <w:rFonts w:eastAsia="方正仿宋_GBK"/>
                <w:b w:val="0"/>
                <w:bCs/>
                <w:sz w:val="24"/>
              </w:rPr>
              <w:t>170</w:t>
            </w:r>
          </w:p>
        </w:tc>
        <w:tc>
          <w:tcPr>
            <w:tcW w:w="576" w:type="pct"/>
            <w:noWrap w:val="0"/>
            <w:vAlign w:val="top"/>
          </w:tcPr>
          <w:p>
            <w:pPr>
              <w:snapToGrid w:val="0"/>
              <w:spacing w:before="0" w:beforeAutospacing="0" w:afterLines="0" w:line="276" w:lineRule="auto"/>
              <w:jc w:val="center"/>
              <w:rPr>
                <w:rFonts w:eastAsia="方正仿宋_GBK"/>
                <w:b w:val="0"/>
                <w:bCs/>
                <w:sz w:val="24"/>
              </w:rPr>
            </w:pPr>
            <w:r>
              <w:rPr>
                <w:rFonts w:hint="eastAsia" w:eastAsia="方正仿宋_GBK"/>
                <w:b w:val="0"/>
                <w:bCs/>
                <w:sz w:val="24"/>
              </w:rPr>
              <w:t>约束性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trPr>
        <w:tc>
          <w:tcPr>
            <w:tcW w:w="459" w:type="pct"/>
            <w:vMerge w:val="continue"/>
            <w:noWrap w:val="0"/>
            <w:vAlign w:val="center"/>
          </w:tcPr>
          <w:p>
            <w:pPr>
              <w:snapToGrid w:val="0"/>
              <w:spacing w:before="0" w:beforeAutospacing="0" w:afterLines="0" w:line="276" w:lineRule="auto"/>
              <w:ind w:firstLine="480" w:firstLineChars="200"/>
              <w:jc w:val="center"/>
              <w:rPr>
                <w:rFonts w:eastAsia="方正仿宋_GBK"/>
                <w:b w:val="0"/>
                <w:bCs/>
                <w:sz w:val="24"/>
              </w:rPr>
            </w:pPr>
          </w:p>
        </w:tc>
        <w:tc>
          <w:tcPr>
            <w:tcW w:w="2711" w:type="pct"/>
            <w:noWrap w:val="0"/>
            <w:tcMar>
              <w:top w:w="15" w:type="dxa"/>
              <w:left w:w="15" w:type="dxa"/>
              <w:bottom w:w="0" w:type="dxa"/>
              <w:right w:w="15" w:type="dxa"/>
            </w:tcMar>
            <w:vAlign w:val="center"/>
          </w:tcPr>
          <w:p>
            <w:pPr>
              <w:snapToGrid w:val="0"/>
              <w:spacing w:before="0" w:beforeAutospacing="0" w:afterLines="0" w:line="276" w:lineRule="auto"/>
              <w:jc w:val="center"/>
              <w:rPr>
                <w:rFonts w:eastAsia="方正仿宋_GBK"/>
                <w:b w:val="0"/>
                <w:bCs/>
                <w:color w:val="000000"/>
                <w:sz w:val="24"/>
              </w:rPr>
            </w:pPr>
            <w:r>
              <w:rPr>
                <w:rFonts w:eastAsia="方正仿宋_GBK"/>
                <w:b w:val="0"/>
                <w:bCs/>
                <w:color w:val="000000"/>
                <w:sz w:val="24"/>
              </w:rPr>
              <w:t>高速公路对外出口通道（个）</w:t>
            </w:r>
          </w:p>
        </w:tc>
        <w:tc>
          <w:tcPr>
            <w:tcW w:w="678" w:type="pct"/>
            <w:noWrap w:val="0"/>
            <w:tcMar>
              <w:top w:w="15" w:type="dxa"/>
              <w:left w:w="15" w:type="dxa"/>
              <w:bottom w:w="0" w:type="dxa"/>
              <w:right w:w="15" w:type="dxa"/>
            </w:tcMar>
            <w:vAlign w:val="center"/>
          </w:tcPr>
          <w:p>
            <w:pPr>
              <w:snapToGrid w:val="0"/>
              <w:spacing w:before="0" w:beforeAutospacing="0" w:afterLines="0" w:line="276" w:lineRule="auto"/>
              <w:jc w:val="center"/>
              <w:rPr>
                <w:rFonts w:eastAsia="方正仿宋_GBK"/>
                <w:b w:val="0"/>
                <w:bCs/>
                <w:sz w:val="24"/>
              </w:rPr>
            </w:pPr>
            <w:r>
              <w:rPr>
                <w:rFonts w:eastAsia="方正仿宋_GBK"/>
                <w:b w:val="0"/>
                <w:bCs/>
                <w:sz w:val="24"/>
              </w:rPr>
              <w:t>6</w:t>
            </w:r>
          </w:p>
        </w:tc>
        <w:tc>
          <w:tcPr>
            <w:tcW w:w="576" w:type="pct"/>
            <w:noWrap w:val="0"/>
            <w:tcMar>
              <w:top w:w="15" w:type="dxa"/>
              <w:left w:w="15" w:type="dxa"/>
              <w:bottom w:w="0" w:type="dxa"/>
              <w:right w:w="15" w:type="dxa"/>
            </w:tcMar>
            <w:vAlign w:val="center"/>
          </w:tcPr>
          <w:p>
            <w:pPr>
              <w:snapToGrid w:val="0"/>
              <w:spacing w:before="0" w:beforeAutospacing="0" w:afterLines="0" w:line="276" w:lineRule="auto"/>
              <w:jc w:val="center"/>
              <w:rPr>
                <w:rFonts w:eastAsia="方正仿宋_GBK"/>
                <w:b w:val="0"/>
                <w:bCs/>
                <w:sz w:val="24"/>
              </w:rPr>
            </w:pPr>
            <w:r>
              <w:rPr>
                <w:rFonts w:eastAsia="方正仿宋_GBK"/>
                <w:b w:val="0"/>
                <w:bCs/>
                <w:sz w:val="24"/>
              </w:rPr>
              <w:t>9</w:t>
            </w:r>
          </w:p>
        </w:tc>
        <w:tc>
          <w:tcPr>
            <w:tcW w:w="576" w:type="pct"/>
            <w:noWrap w:val="0"/>
            <w:vAlign w:val="top"/>
          </w:tcPr>
          <w:p>
            <w:pPr>
              <w:snapToGrid w:val="0"/>
              <w:spacing w:before="0" w:beforeAutospacing="0" w:afterLines="0" w:line="276" w:lineRule="auto"/>
              <w:jc w:val="center"/>
              <w:rPr>
                <w:rFonts w:eastAsia="方正仿宋_GBK"/>
                <w:b w:val="0"/>
                <w:bCs/>
                <w:sz w:val="24"/>
              </w:rPr>
            </w:pPr>
            <w:r>
              <w:rPr>
                <w:rFonts w:hint="eastAsia" w:eastAsia="方正仿宋_GBK"/>
                <w:b w:val="0"/>
                <w:bCs/>
                <w:sz w:val="24"/>
              </w:rPr>
              <w:t>约束性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trPr>
        <w:tc>
          <w:tcPr>
            <w:tcW w:w="459" w:type="pct"/>
            <w:vMerge w:val="continue"/>
            <w:noWrap w:val="0"/>
            <w:vAlign w:val="center"/>
          </w:tcPr>
          <w:p>
            <w:pPr>
              <w:snapToGrid w:val="0"/>
              <w:spacing w:before="0" w:beforeAutospacing="0" w:afterLines="0" w:line="276" w:lineRule="auto"/>
              <w:ind w:firstLine="480" w:firstLineChars="200"/>
              <w:jc w:val="center"/>
              <w:rPr>
                <w:rFonts w:eastAsia="方正仿宋_GBK"/>
                <w:b w:val="0"/>
                <w:bCs/>
                <w:sz w:val="24"/>
              </w:rPr>
            </w:pPr>
          </w:p>
        </w:tc>
        <w:tc>
          <w:tcPr>
            <w:tcW w:w="2711" w:type="pct"/>
            <w:noWrap w:val="0"/>
            <w:tcMar>
              <w:top w:w="15" w:type="dxa"/>
              <w:left w:w="15" w:type="dxa"/>
              <w:bottom w:w="0" w:type="dxa"/>
              <w:right w:w="15" w:type="dxa"/>
            </w:tcMar>
            <w:vAlign w:val="center"/>
          </w:tcPr>
          <w:p>
            <w:pPr>
              <w:snapToGrid w:val="0"/>
              <w:spacing w:before="0" w:beforeAutospacing="0" w:afterLines="0" w:line="276" w:lineRule="auto"/>
              <w:jc w:val="center"/>
              <w:rPr>
                <w:rFonts w:eastAsia="方正仿宋_GBK"/>
                <w:b w:val="0"/>
                <w:bCs/>
                <w:color w:val="000000"/>
                <w:sz w:val="24"/>
              </w:rPr>
            </w:pPr>
            <w:r>
              <w:rPr>
                <w:rFonts w:hint="eastAsia" w:eastAsia="方正仿宋_GBK"/>
                <w:b w:val="0"/>
                <w:bCs/>
                <w:color w:val="000000"/>
                <w:sz w:val="24"/>
              </w:rPr>
              <w:t>二级及以上公路比例</w:t>
            </w:r>
          </w:p>
        </w:tc>
        <w:tc>
          <w:tcPr>
            <w:tcW w:w="678" w:type="pct"/>
            <w:noWrap w:val="0"/>
            <w:tcMar>
              <w:top w:w="15" w:type="dxa"/>
              <w:left w:w="15" w:type="dxa"/>
              <w:bottom w:w="0" w:type="dxa"/>
              <w:right w:w="15" w:type="dxa"/>
            </w:tcMar>
            <w:vAlign w:val="center"/>
          </w:tcPr>
          <w:p>
            <w:pPr>
              <w:snapToGrid w:val="0"/>
              <w:spacing w:before="0" w:beforeAutospacing="0" w:afterLines="0" w:line="276" w:lineRule="auto"/>
              <w:jc w:val="center"/>
              <w:rPr>
                <w:rFonts w:eastAsia="方正仿宋_GBK"/>
                <w:b w:val="0"/>
                <w:bCs/>
                <w:sz w:val="24"/>
              </w:rPr>
            </w:pPr>
            <w:r>
              <w:rPr>
                <w:rFonts w:hint="eastAsia" w:eastAsia="方正仿宋_GBK"/>
                <w:b w:val="0"/>
                <w:bCs/>
                <w:sz w:val="24"/>
              </w:rPr>
              <w:t>5.95%</w:t>
            </w:r>
          </w:p>
        </w:tc>
        <w:tc>
          <w:tcPr>
            <w:tcW w:w="576" w:type="pct"/>
            <w:noWrap w:val="0"/>
            <w:tcMar>
              <w:top w:w="15" w:type="dxa"/>
              <w:left w:w="15" w:type="dxa"/>
              <w:bottom w:w="0" w:type="dxa"/>
              <w:right w:w="15" w:type="dxa"/>
            </w:tcMar>
            <w:vAlign w:val="center"/>
          </w:tcPr>
          <w:p>
            <w:pPr>
              <w:snapToGrid w:val="0"/>
              <w:spacing w:before="0" w:beforeAutospacing="0" w:afterLines="0" w:line="276" w:lineRule="auto"/>
              <w:jc w:val="center"/>
              <w:rPr>
                <w:rFonts w:eastAsia="方正仿宋_GBK"/>
                <w:b w:val="0"/>
                <w:bCs/>
                <w:sz w:val="24"/>
              </w:rPr>
            </w:pPr>
            <w:r>
              <w:rPr>
                <w:rFonts w:hint="eastAsia" w:eastAsia="方正仿宋_GBK"/>
                <w:b w:val="0"/>
                <w:bCs/>
                <w:sz w:val="24"/>
              </w:rPr>
              <w:t>10%</w:t>
            </w:r>
          </w:p>
        </w:tc>
        <w:tc>
          <w:tcPr>
            <w:tcW w:w="576" w:type="pct"/>
            <w:noWrap w:val="0"/>
            <w:vAlign w:val="top"/>
          </w:tcPr>
          <w:p>
            <w:pPr>
              <w:snapToGrid w:val="0"/>
              <w:spacing w:before="0" w:beforeAutospacing="0" w:afterLines="0" w:line="276" w:lineRule="auto"/>
              <w:jc w:val="center"/>
              <w:rPr>
                <w:rFonts w:hint="eastAsia" w:eastAsia="方正仿宋_GBK"/>
                <w:b w:val="0"/>
                <w:bCs/>
                <w:sz w:val="24"/>
              </w:rPr>
            </w:pPr>
            <w:r>
              <w:rPr>
                <w:rFonts w:hint="eastAsia" w:eastAsia="方正仿宋_GBK"/>
                <w:b w:val="0"/>
                <w:bCs/>
                <w:sz w:val="24"/>
              </w:rPr>
              <w:t>预期性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trPr>
        <w:tc>
          <w:tcPr>
            <w:tcW w:w="459" w:type="pct"/>
            <w:vMerge w:val="continue"/>
            <w:noWrap w:val="0"/>
            <w:vAlign w:val="center"/>
          </w:tcPr>
          <w:p>
            <w:pPr>
              <w:snapToGrid w:val="0"/>
              <w:spacing w:before="0" w:beforeAutospacing="0" w:afterLines="0" w:line="276" w:lineRule="auto"/>
              <w:ind w:firstLine="480" w:firstLineChars="200"/>
              <w:jc w:val="center"/>
              <w:rPr>
                <w:rFonts w:eastAsia="方正仿宋_GBK"/>
                <w:b w:val="0"/>
                <w:bCs/>
                <w:sz w:val="24"/>
              </w:rPr>
            </w:pPr>
          </w:p>
        </w:tc>
        <w:tc>
          <w:tcPr>
            <w:tcW w:w="2711" w:type="pct"/>
            <w:noWrap w:val="0"/>
            <w:tcMar>
              <w:top w:w="15" w:type="dxa"/>
              <w:left w:w="15" w:type="dxa"/>
              <w:bottom w:w="0" w:type="dxa"/>
              <w:right w:w="15" w:type="dxa"/>
            </w:tcMar>
            <w:vAlign w:val="center"/>
          </w:tcPr>
          <w:p>
            <w:pPr>
              <w:snapToGrid w:val="0"/>
              <w:spacing w:before="0" w:beforeAutospacing="0" w:afterLines="0" w:line="276" w:lineRule="auto"/>
              <w:jc w:val="center"/>
              <w:rPr>
                <w:rFonts w:eastAsia="方正仿宋_GBK"/>
                <w:b w:val="0"/>
                <w:bCs/>
                <w:color w:val="000000"/>
                <w:sz w:val="24"/>
              </w:rPr>
            </w:pPr>
            <w:r>
              <w:rPr>
                <w:rFonts w:hint="eastAsia" w:eastAsia="方正仿宋_GBK"/>
                <w:b w:val="0"/>
                <w:bCs/>
                <w:color w:val="000000"/>
                <w:sz w:val="24"/>
              </w:rPr>
              <w:t>乡镇通三级及以上公路</w:t>
            </w:r>
            <w:r>
              <w:rPr>
                <w:rFonts w:eastAsia="方正仿宋_GBK"/>
                <w:b w:val="0"/>
                <w:bCs/>
                <w:color w:val="000000"/>
                <w:sz w:val="24"/>
              </w:rPr>
              <w:t>比例</w:t>
            </w:r>
          </w:p>
        </w:tc>
        <w:tc>
          <w:tcPr>
            <w:tcW w:w="678" w:type="pct"/>
            <w:noWrap w:val="0"/>
            <w:tcMar>
              <w:top w:w="15" w:type="dxa"/>
              <w:left w:w="15" w:type="dxa"/>
              <w:bottom w:w="0" w:type="dxa"/>
              <w:right w:w="15" w:type="dxa"/>
            </w:tcMar>
            <w:vAlign w:val="center"/>
          </w:tcPr>
          <w:p>
            <w:pPr>
              <w:snapToGrid w:val="0"/>
              <w:spacing w:before="0" w:beforeAutospacing="0" w:afterLines="0" w:line="276" w:lineRule="auto"/>
              <w:jc w:val="center"/>
              <w:rPr>
                <w:rFonts w:eastAsia="方正仿宋_GBK"/>
                <w:b w:val="0"/>
                <w:bCs/>
                <w:sz w:val="24"/>
              </w:rPr>
            </w:pPr>
            <w:r>
              <w:rPr>
                <w:rFonts w:hint="eastAsia" w:eastAsia="方正仿宋_GBK"/>
                <w:b w:val="0"/>
                <w:bCs/>
                <w:sz w:val="24"/>
              </w:rPr>
              <w:t>75</w:t>
            </w:r>
            <w:r>
              <w:rPr>
                <w:rFonts w:eastAsia="方正仿宋_GBK"/>
                <w:b w:val="0"/>
                <w:bCs/>
                <w:sz w:val="24"/>
              </w:rPr>
              <w:t>%</w:t>
            </w:r>
          </w:p>
        </w:tc>
        <w:tc>
          <w:tcPr>
            <w:tcW w:w="576" w:type="pct"/>
            <w:noWrap w:val="0"/>
            <w:tcMar>
              <w:top w:w="15" w:type="dxa"/>
              <w:left w:w="15" w:type="dxa"/>
              <w:bottom w:w="0" w:type="dxa"/>
              <w:right w:w="15" w:type="dxa"/>
            </w:tcMar>
            <w:vAlign w:val="center"/>
          </w:tcPr>
          <w:p>
            <w:pPr>
              <w:snapToGrid w:val="0"/>
              <w:spacing w:before="0" w:beforeAutospacing="0" w:afterLines="0" w:line="276" w:lineRule="auto"/>
              <w:jc w:val="center"/>
              <w:rPr>
                <w:rFonts w:eastAsia="方正仿宋_GBK"/>
                <w:b w:val="0"/>
                <w:bCs/>
                <w:sz w:val="24"/>
              </w:rPr>
            </w:pPr>
            <w:r>
              <w:rPr>
                <w:rFonts w:eastAsia="方正仿宋_GBK"/>
                <w:b w:val="0"/>
                <w:bCs/>
                <w:sz w:val="24"/>
              </w:rPr>
              <w:t>100%</w:t>
            </w:r>
          </w:p>
        </w:tc>
        <w:tc>
          <w:tcPr>
            <w:tcW w:w="576" w:type="pct"/>
            <w:noWrap w:val="0"/>
            <w:vAlign w:val="top"/>
          </w:tcPr>
          <w:p>
            <w:pPr>
              <w:snapToGrid w:val="0"/>
              <w:spacing w:before="0" w:beforeAutospacing="0" w:afterLines="0" w:line="276" w:lineRule="auto"/>
              <w:jc w:val="center"/>
              <w:rPr>
                <w:rFonts w:eastAsia="方正仿宋_GBK"/>
                <w:b w:val="0"/>
                <w:bCs/>
                <w:sz w:val="24"/>
              </w:rPr>
            </w:pPr>
            <w:r>
              <w:rPr>
                <w:rFonts w:hint="eastAsia" w:eastAsia="方正仿宋_GBK"/>
                <w:b w:val="0"/>
                <w:bCs/>
                <w:sz w:val="24"/>
              </w:rPr>
              <w:t>约束性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trPr>
        <w:tc>
          <w:tcPr>
            <w:tcW w:w="459" w:type="pct"/>
            <w:vMerge w:val="continue"/>
            <w:noWrap w:val="0"/>
            <w:tcMar>
              <w:top w:w="15" w:type="dxa"/>
              <w:left w:w="15" w:type="dxa"/>
              <w:bottom w:w="0" w:type="dxa"/>
              <w:right w:w="15" w:type="dxa"/>
            </w:tcMar>
            <w:vAlign w:val="center"/>
          </w:tcPr>
          <w:p>
            <w:pPr>
              <w:snapToGrid w:val="0"/>
              <w:spacing w:before="0" w:beforeAutospacing="0" w:afterLines="0" w:line="276" w:lineRule="auto"/>
              <w:jc w:val="center"/>
              <w:rPr>
                <w:rFonts w:eastAsia="方正仿宋_GBK"/>
                <w:b w:val="0"/>
                <w:bCs/>
                <w:sz w:val="24"/>
              </w:rPr>
            </w:pPr>
          </w:p>
        </w:tc>
        <w:tc>
          <w:tcPr>
            <w:tcW w:w="2711" w:type="pct"/>
            <w:noWrap w:val="0"/>
            <w:tcMar>
              <w:top w:w="15" w:type="dxa"/>
              <w:left w:w="15" w:type="dxa"/>
              <w:bottom w:w="0" w:type="dxa"/>
              <w:right w:w="15" w:type="dxa"/>
            </w:tcMar>
            <w:vAlign w:val="center"/>
          </w:tcPr>
          <w:p>
            <w:pPr>
              <w:snapToGrid w:val="0"/>
              <w:spacing w:before="0" w:beforeAutospacing="0" w:afterLines="0" w:line="276" w:lineRule="auto"/>
              <w:jc w:val="center"/>
              <w:rPr>
                <w:rFonts w:eastAsia="方正仿宋_GBK"/>
                <w:b w:val="0"/>
                <w:bCs/>
                <w:color w:val="000000"/>
                <w:sz w:val="24"/>
              </w:rPr>
            </w:pPr>
            <w:r>
              <w:rPr>
                <w:rFonts w:eastAsia="方正仿宋_GBK"/>
                <w:b w:val="0"/>
                <w:bCs/>
                <w:color w:val="000000"/>
                <w:sz w:val="24"/>
              </w:rPr>
              <w:t>二级及以上航道里程（公里）</w:t>
            </w:r>
          </w:p>
        </w:tc>
        <w:tc>
          <w:tcPr>
            <w:tcW w:w="678" w:type="pct"/>
            <w:noWrap w:val="0"/>
            <w:tcMar>
              <w:top w:w="15" w:type="dxa"/>
              <w:left w:w="15" w:type="dxa"/>
              <w:bottom w:w="0" w:type="dxa"/>
              <w:right w:w="15" w:type="dxa"/>
            </w:tcMar>
            <w:vAlign w:val="center"/>
          </w:tcPr>
          <w:p>
            <w:pPr>
              <w:snapToGrid w:val="0"/>
              <w:spacing w:before="0" w:beforeAutospacing="0" w:afterLines="0" w:line="276" w:lineRule="auto"/>
              <w:jc w:val="center"/>
              <w:rPr>
                <w:rFonts w:eastAsia="方正仿宋_GBK"/>
                <w:b w:val="0"/>
                <w:bCs/>
                <w:sz w:val="24"/>
              </w:rPr>
            </w:pPr>
            <w:r>
              <w:rPr>
                <w:rFonts w:hint="eastAsia" w:eastAsia="方正仿宋_GBK"/>
                <w:b w:val="0"/>
                <w:bCs/>
                <w:sz w:val="24"/>
              </w:rPr>
              <w:t>-</w:t>
            </w:r>
          </w:p>
        </w:tc>
        <w:tc>
          <w:tcPr>
            <w:tcW w:w="576" w:type="pct"/>
            <w:noWrap w:val="0"/>
            <w:tcMar>
              <w:top w:w="15" w:type="dxa"/>
              <w:left w:w="15" w:type="dxa"/>
              <w:bottom w:w="0" w:type="dxa"/>
              <w:right w:w="15" w:type="dxa"/>
            </w:tcMar>
            <w:vAlign w:val="center"/>
          </w:tcPr>
          <w:p>
            <w:pPr>
              <w:snapToGrid w:val="0"/>
              <w:spacing w:before="0" w:beforeAutospacing="0" w:afterLines="0" w:line="276" w:lineRule="auto"/>
              <w:jc w:val="center"/>
              <w:rPr>
                <w:rFonts w:eastAsia="方正仿宋_GBK"/>
                <w:b w:val="0"/>
                <w:bCs/>
                <w:sz w:val="24"/>
              </w:rPr>
            </w:pPr>
            <w:r>
              <w:rPr>
                <w:rFonts w:hint="eastAsia" w:eastAsia="方正仿宋_GBK"/>
                <w:b w:val="0"/>
                <w:bCs/>
                <w:sz w:val="24"/>
              </w:rPr>
              <w:t>21.5</w:t>
            </w:r>
          </w:p>
        </w:tc>
        <w:tc>
          <w:tcPr>
            <w:tcW w:w="576" w:type="pct"/>
            <w:noWrap w:val="0"/>
            <w:vAlign w:val="top"/>
          </w:tcPr>
          <w:p>
            <w:pPr>
              <w:snapToGrid w:val="0"/>
              <w:spacing w:before="0" w:beforeAutospacing="0" w:afterLines="0" w:line="276" w:lineRule="auto"/>
              <w:jc w:val="center"/>
              <w:rPr>
                <w:rFonts w:hint="eastAsia" w:eastAsia="方正仿宋_GBK"/>
                <w:b w:val="0"/>
                <w:bCs/>
                <w:sz w:val="24"/>
              </w:rPr>
            </w:pPr>
            <w:r>
              <w:rPr>
                <w:rFonts w:hint="eastAsia" w:eastAsia="方正仿宋_GBK"/>
                <w:b w:val="0"/>
                <w:bCs/>
                <w:sz w:val="24"/>
              </w:rPr>
              <w:t>预期性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trPr>
        <w:tc>
          <w:tcPr>
            <w:tcW w:w="459" w:type="pct"/>
            <w:vMerge w:val="continue"/>
            <w:noWrap w:val="0"/>
            <w:vAlign w:val="center"/>
          </w:tcPr>
          <w:p>
            <w:pPr>
              <w:snapToGrid w:val="0"/>
              <w:spacing w:before="0" w:beforeAutospacing="0" w:afterLines="0" w:line="276" w:lineRule="auto"/>
              <w:ind w:firstLine="480" w:firstLineChars="200"/>
              <w:jc w:val="center"/>
              <w:rPr>
                <w:rFonts w:eastAsia="方正仿宋_GBK"/>
                <w:b w:val="0"/>
                <w:bCs/>
                <w:sz w:val="24"/>
              </w:rPr>
            </w:pPr>
          </w:p>
        </w:tc>
        <w:tc>
          <w:tcPr>
            <w:tcW w:w="2711" w:type="pct"/>
            <w:noWrap w:val="0"/>
            <w:tcMar>
              <w:top w:w="15" w:type="dxa"/>
              <w:left w:w="15" w:type="dxa"/>
              <w:bottom w:w="0" w:type="dxa"/>
              <w:right w:w="15" w:type="dxa"/>
            </w:tcMar>
            <w:vAlign w:val="center"/>
          </w:tcPr>
          <w:p>
            <w:pPr>
              <w:snapToGrid w:val="0"/>
              <w:spacing w:before="0" w:beforeAutospacing="0" w:afterLines="0" w:line="276" w:lineRule="auto"/>
              <w:jc w:val="center"/>
              <w:rPr>
                <w:rFonts w:eastAsia="方正仿宋_GBK"/>
                <w:b w:val="0"/>
                <w:bCs/>
                <w:color w:val="000000"/>
                <w:sz w:val="24"/>
              </w:rPr>
            </w:pPr>
            <w:r>
              <w:rPr>
                <w:rFonts w:eastAsia="方正仿宋_GBK"/>
                <w:b w:val="0"/>
                <w:bCs/>
                <w:color w:val="000000"/>
                <w:sz w:val="24"/>
              </w:rPr>
              <w:t>港口货物通过能力（万吨）</w:t>
            </w:r>
          </w:p>
        </w:tc>
        <w:tc>
          <w:tcPr>
            <w:tcW w:w="678" w:type="pct"/>
            <w:noWrap w:val="0"/>
            <w:tcMar>
              <w:top w:w="15" w:type="dxa"/>
              <w:left w:w="15" w:type="dxa"/>
              <w:bottom w:w="0" w:type="dxa"/>
              <w:right w:w="15" w:type="dxa"/>
            </w:tcMar>
            <w:vAlign w:val="center"/>
          </w:tcPr>
          <w:p>
            <w:pPr>
              <w:snapToGrid w:val="0"/>
              <w:spacing w:before="0" w:beforeAutospacing="0" w:afterLines="0" w:line="276" w:lineRule="auto"/>
              <w:jc w:val="center"/>
              <w:rPr>
                <w:rFonts w:eastAsia="方正仿宋_GBK"/>
                <w:b w:val="0"/>
                <w:bCs/>
                <w:sz w:val="24"/>
              </w:rPr>
            </w:pPr>
            <w:r>
              <w:rPr>
                <w:rFonts w:hint="eastAsia" w:eastAsia="方正仿宋_GBK"/>
                <w:b w:val="0"/>
                <w:bCs/>
                <w:sz w:val="24"/>
              </w:rPr>
              <w:t>606</w:t>
            </w:r>
          </w:p>
        </w:tc>
        <w:tc>
          <w:tcPr>
            <w:tcW w:w="576" w:type="pct"/>
            <w:noWrap w:val="0"/>
            <w:tcMar>
              <w:top w:w="15" w:type="dxa"/>
              <w:left w:w="15" w:type="dxa"/>
              <w:bottom w:w="0" w:type="dxa"/>
              <w:right w:w="15" w:type="dxa"/>
            </w:tcMar>
            <w:vAlign w:val="center"/>
          </w:tcPr>
          <w:p>
            <w:pPr>
              <w:snapToGrid w:val="0"/>
              <w:spacing w:before="0" w:beforeAutospacing="0" w:afterLines="0" w:line="276" w:lineRule="auto"/>
              <w:jc w:val="center"/>
              <w:rPr>
                <w:rFonts w:eastAsia="方正仿宋_GBK"/>
                <w:b w:val="0"/>
                <w:bCs/>
                <w:sz w:val="24"/>
              </w:rPr>
            </w:pPr>
            <w:r>
              <w:rPr>
                <w:rFonts w:hint="eastAsia" w:eastAsia="方正仿宋_GBK"/>
                <w:b w:val="0"/>
                <w:bCs/>
                <w:sz w:val="24"/>
              </w:rPr>
              <w:t>1100</w:t>
            </w:r>
          </w:p>
        </w:tc>
        <w:tc>
          <w:tcPr>
            <w:tcW w:w="576" w:type="pct"/>
            <w:noWrap w:val="0"/>
            <w:vAlign w:val="top"/>
          </w:tcPr>
          <w:p>
            <w:pPr>
              <w:snapToGrid w:val="0"/>
              <w:spacing w:before="0" w:beforeAutospacing="0" w:afterLines="0" w:line="276" w:lineRule="auto"/>
              <w:jc w:val="center"/>
              <w:rPr>
                <w:rFonts w:hint="eastAsia" w:eastAsia="方正仿宋_GBK"/>
                <w:b w:val="0"/>
                <w:bCs/>
                <w:sz w:val="24"/>
              </w:rPr>
            </w:pPr>
            <w:r>
              <w:rPr>
                <w:rFonts w:hint="eastAsia" w:eastAsia="方正仿宋_GBK"/>
                <w:b w:val="0"/>
                <w:bCs/>
                <w:sz w:val="24"/>
              </w:rPr>
              <w:t>预期性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trPr>
        <w:tc>
          <w:tcPr>
            <w:tcW w:w="459" w:type="pct"/>
            <w:vMerge w:val="restart"/>
            <w:noWrap w:val="0"/>
            <w:vAlign w:val="center"/>
          </w:tcPr>
          <w:p>
            <w:pPr>
              <w:snapToGrid w:val="0"/>
              <w:spacing w:before="0" w:beforeAutospacing="0" w:afterLines="0" w:line="276" w:lineRule="auto"/>
              <w:jc w:val="center"/>
              <w:rPr>
                <w:rFonts w:eastAsia="方正仿宋_GBK"/>
                <w:b w:val="0"/>
                <w:bCs/>
                <w:sz w:val="24"/>
              </w:rPr>
            </w:pPr>
            <w:r>
              <w:rPr>
                <w:rFonts w:eastAsia="方正仿宋_GBK"/>
                <w:b w:val="0"/>
                <w:bCs/>
                <w:sz w:val="24"/>
              </w:rPr>
              <w:t>运输</w:t>
            </w:r>
          </w:p>
          <w:p>
            <w:pPr>
              <w:snapToGrid w:val="0"/>
              <w:spacing w:before="0" w:beforeAutospacing="0" w:afterLines="0" w:line="276" w:lineRule="auto"/>
              <w:jc w:val="center"/>
              <w:rPr>
                <w:rFonts w:eastAsia="方正仿宋_GBK"/>
                <w:b w:val="0"/>
                <w:bCs/>
                <w:sz w:val="24"/>
              </w:rPr>
            </w:pPr>
            <w:r>
              <w:rPr>
                <w:rFonts w:eastAsia="方正仿宋_GBK"/>
                <w:b w:val="0"/>
                <w:bCs/>
                <w:sz w:val="24"/>
              </w:rPr>
              <w:t>服务</w:t>
            </w:r>
          </w:p>
        </w:tc>
        <w:tc>
          <w:tcPr>
            <w:tcW w:w="2711" w:type="pct"/>
            <w:noWrap w:val="0"/>
            <w:tcMar>
              <w:top w:w="15" w:type="dxa"/>
              <w:left w:w="15" w:type="dxa"/>
              <w:bottom w:w="0" w:type="dxa"/>
              <w:right w:w="15" w:type="dxa"/>
            </w:tcMar>
            <w:vAlign w:val="center"/>
          </w:tcPr>
          <w:p>
            <w:pPr>
              <w:snapToGrid w:val="0"/>
              <w:spacing w:before="0" w:beforeAutospacing="0" w:afterLines="0" w:line="276" w:lineRule="auto"/>
              <w:jc w:val="center"/>
              <w:rPr>
                <w:rFonts w:eastAsia="方正仿宋_GBK"/>
                <w:b w:val="0"/>
                <w:bCs/>
                <w:color w:val="000000"/>
                <w:sz w:val="24"/>
              </w:rPr>
            </w:pPr>
            <w:r>
              <w:rPr>
                <w:rFonts w:hint="eastAsia" w:eastAsia="方正仿宋_GBK"/>
                <w:b w:val="0"/>
                <w:bCs/>
                <w:color w:val="000000"/>
                <w:sz w:val="24"/>
              </w:rPr>
              <w:t>永川城区</w:t>
            </w:r>
            <w:r>
              <w:rPr>
                <w:rFonts w:eastAsia="方正仿宋_GBK"/>
                <w:b w:val="0"/>
                <w:bCs/>
                <w:color w:val="000000"/>
                <w:sz w:val="24"/>
              </w:rPr>
              <w:t>公共交通机动化出行分担率</w:t>
            </w:r>
          </w:p>
        </w:tc>
        <w:tc>
          <w:tcPr>
            <w:tcW w:w="678" w:type="pct"/>
            <w:noWrap w:val="0"/>
            <w:tcMar>
              <w:top w:w="15" w:type="dxa"/>
              <w:left w:w="15" w:type="dxa"/>
              <w:bottom w:w="0" w:type="dxa"/>
              <w:right w:w="15" w:type="dxa"/>
            </w:tcMar>
            <w:vAlign w:val="center"/>
          </w:tcPr>
          <w:p>
            <w:pPr>
              <w:snapToGrid w:val="0"/>
              <w:spacing w:before="0" w:beforeAutospacing="0" w:afterLines="0" w:line="276" w:lineRule="auto"/>
              <w:jc w:val="center"/>
              <w:rPr>
                <w:rFonts w:eastAsia="方正仿宋_GBK"/>
                <w:b w:val="0"/>
                <w:bCs/>
                <w:sz w:val="24"/>
              </w:rPr>
            </w:pPr>
            <w:r>
              <w:rPr>
                <w:rFonts w:hint="eastAsia" w:eastAsia="方正仿宋_GBK"/>
                <w:b w:val="0"/>
                <w:bCs/>
                <w:sz w:val="24"/>
              </w:rPr>
              <w:t>35</w:t>
            </w:r>
            <w:r>
              <w:rPr>
                <w:rFonts w:eastAsia="方正仿宋_GBK"/>
                <w:b w:val="0"/>
                <w:bCs/>
                <w:sz w:val="24"/>
              </w:rPr>
              <w:t>%</w:t>
            </w:r>
          </w:p>
        </w:tc>
        <w:tc>
          <w:tcPr>
            <w:tcW w:w="576" w:type="pct"/>
            <w:noWrap w:val="0"/>
            <w:tcMar>
              <w:top w:w="15" w:type="dxa"/>
              <w:left w:w="15" w:type="dxa"/>
              <w:bottom w:w="0" w:type="dxa"/>
              <w:right w:w="15" w:type="dxa"/>
            </w:tcMar>
            <w:vAlign w:val="center"/>
          </w:tcPr>
          <w:p>
            <w:pPr>
              <w:snapToGrid w:val="0"/>
              <w:spacing w:before="0" w:beforeAutospacing="0" w:afterLines="0" w:line="276" w:lineRule="auto"/>
              <w:jc w:val="center"/>
              <w:rPr>
                <w:rFonts w:eastAsia="方正仿宋_GBK"/>
                <w:b w:val="0"/>
                <w:bCs/>
                <w:sz w:val="24"/>
              </w:rPr>
            </w:pPr>
            <w:r>
              <w:rPr>
                <w:rFonts w:hint="eastAsia" w:eastAsia="方正仿宋_GBK"/>
                <w:b w:val="0"/>
                <w:bCs/>
                <w:sz w:val="24"/>
              </w:rPr>
              <w:t>40</w:t>
            </w:r>
            <w:r>
              <w:rPr>
                <w:rFonts w:eastAsia="方正仿宋_GBK"/>
                <w:b w:val="0"/>
                <w:bCs/>
                <w:sz w:val="24"/>
              </w:rPr>
              <w:t>%</w:t>
            </w:r>
          </w:p>
        </w:tc>
        <w:tc>
          <w:tcPr>
            <w:tcW w:w="576" w:type="pct"/>
            <w:noWrap w:val="0"/>
            <w:vAlign w:val="top"/>
          </w:tcPr>
          <w:p>
            <w:pPr>
              <w:snapToGrid w:val="0"/>
              <w:spacing w:before="0" w:beforeAutospacing="0" w:afterLines="0" w:line="276" w:lineRule="auto"/>
              <w:jc w:val="center"/>
              <w:rPr>
                <w:rFonts w:hint="eastAsia" w:eastAsia="方正仿宋_GBK"/>
                <w:b w:val="0"/>
                <w:bCs/>
                <w:sz w:val="24"/>
              </w:rPr>
            </w:pPr>
            <w:r>
              <w:rPr>
                <w:rFonts w:hint="eastAsia" w:eastAsia="方正仿宋_GBK"/>
                <w:b w:val="0"/>
                <w:bCs/>
                <w:sz w:val="24"/>
              </w:rPr>
              <w:t>预期性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trPr>
        <w:tc>
          <w:tcPr>
            <w:tcW w:w="459" w:type="pct"/>
            <w:vMerge w:val="continue"/>
            <w:noWrap w:val="0"/>
            <w:vAlign w:val="center"/>
          </w:tcPr>
          <w:p>
            <w:pPr>
              <w:snapToGrid w:val="0"/>
              <w:spacing w:before="0" w:beforeAutospacing="0" w:afterLines="0" w:line="276" w:lineRule="auto"/>
              <w:jc w:val="center"/>
              <w:rPr>
                <w:rFonts w:eastAsia="方正仿宋_GBK"/>
                <w:b w:val="0"/>
                <w:bCs/>
                <w:sz w:val="24"/>
              </w:rPr>
            </w:pPr>
          </w:p>
        </w:tc>
        <w:tc>
          <w:tcPr>
            <w:tcW w:w="2711" w:type="pct"/>
            <w:noWrap w:val="0"/>
            <w:tcMar>
              <w:top w:w="15" w:type="dxa"/>
              <w:left w:w="15" w:type="dxa"/>
              <w:bottom w:w="0" w:type="dxa"/>
              <w:right w:w="15" w:type="dxa"/>
            </w:tcMar>
            <w:vAlign w:val="center"/>
          </w:tcPr>
          <w:p>
            <w:pPr>
              <w:snapToGrid w:val="0"/>
              <w:spacing w:before="0" w:beforeAutospacing="0" w:afterLines="0" w:line="276" w:lineRule="auto"/>
              <w:jc w:val="center"/>
              <w:rPr>
                <w:rFonts w:eastAsia="方正仿宋_GBK"/>
                <w:b w:val="0"/>
                <w:bCs/>
                <w:color w:val="000000"/>
                <w:sz w:val="24"/>
              </w:rPr>
            </w:pPr>
            <w:r>
              <w:rPr>
                <w:rFonts w:eastAsia="方正仿宋_GBK"/>
                <w:b w:val="0"/>
                <w:bCs/>
                <w:color w:val="000000"/>
                <w:sz w:val="24"/>
              </w:rPr>
              <w:t>城际公交开行条数</w:t>
            </w:r>
          </w:p>
        </w:tc>
        <w:tc>
          <w:tcPr>
            <w:tcW w:w="678" w:type="pct"/>
            <w:noWrap w:val="0"/>
            <w:tcMar>
              <w:top w:w="15" w:type="dxa"/>
              <w:left w:w="15" w:type="dxa"/>
              <w:bottom w:w="0" w:type="dxa"/>
              <w:right w:w="15" w:type="dxa"/>
            </w:tcMar>
            <w:vAlign w:val="center"/>
          </w:tcPr>
          <w:p>
            <w:pPr>
              <w:snapToGrid w:val="0"/>
              <w:spacing w:before="0" w:beforeAutospacing="0" w:afterLines="0" w:line="276" w:lineRule="auto"/>
              <w:jc w:val="center"/>
              <w:rPr>
                <w:rFonts w:eastAsia="方正仿宋_GBK"/>
                <w:b w:val="0"/>
                <w:bCs/>
                <w:sz w:val="24"/>
              </w:rPr>
            </w:pPr>
            <w:r>
              <w:rPr>
                <w:rFonts w:hint="eastAsia" w:eastAsia="方正仿宋_GBK"/>
                <w:b w:val="0"/>
                <w:bCs/>
                <w:sz w:val="24"/>
              </w:rPr>
              <w:t>1</w:t>
            </w:r>
          </w:p>
        </w:tc>
        <w:tc>
          <w:tcPr>
            <w:tcW w:w="576" w:type="pct"/>
            <w:noWrap w:val="0"/>
            <w:tcMar>
              <w:top w:w="15" w:type="dxa"/>
              <w:left w:w="15" w:type="dxa"/>
              <w:bottom w:w="0" w:type="dxa"/>
              <w:right w:w="15" w:type="dxa"/>
            </w:tcMar>
            <w:vAlign w:val="center"/>
          </w:tcPr>
          <w:p>
            <w:pPr>
              <w:snapToGrid w:val="0"/>
              <w:spacing w:before="0" w:beforeAutospacing="0" w:afterLines="0" w:line="276" w:lineRule="auto"/>
              <w:jc w:val="center"/>
              <w:rPr>
                <w:rFonts w:eastAsia="方正仿宋_GBK"/>
                <w:b w:val="0"/>
                <w:bCs/>
                <w:sz w:val="24"/>
              </w:rPr>
            </w:pPr>
            <w:r>
              <w:rPr>
                <w:rFonts w:eastAsia="方正仿宋_GBK"/>
                <w:b w:val="0"/>
                <w:bCs/>
                <w:sz w:val="24"/>
              </w:rPr>
              <w:t>3-4</w:t>
            </w:r>
          </w:p>
        </w:tc>
        <w:tc>
          <w:tcPr>
            <w:tcW w:w="576" w:type="pct"/>
            <w:noWrap w:val="0"/>
            <w:vAlign w:val="top"/>
          </w:tcPr>
          <w:p>
            <w:pPr>
              <w:snapToGrid w:val="0"/>
              <w:spacing w:before="0" w:beforeAutospacing="0" w:afterLines="0" w:line="276" w:lineRule="auto"/>
              <w:jc w:val="center"/>
              <w:rPr>
                <w:rFonts w:eastAsia="方正仿宋_GBK"/>
                <w:b w:val="0"/>
                <w:bCs/>
                <w:sz w:val="24"/>
              </w:rPr>
            </w:pPr>
            <w:r>
              <w:rPr>
                <w:rFonts w:hint="eastAsia" w:eastAsia="方正仿宋_GBK"/>
                <w:b w:val="0"/>
                <w:bCs/>
                <w:sz w:val="24"/>
              </w:rPr>
              <w:t>预期性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trPr>
        <w:tc>
          <w:tcPr>
            <w:tcW w:w="459" w:type="pct"/>
            <w:vMerge w:val="continue"/>
            <w:noWrap w:val="0"/>
            <w:vAlign w:val="center"/>
          </w:tcPr>
          <w:p>
            <w:pPr>
              <w:snapToGrid w:val="0"/>
              <w:spacing w:before="0" w:beforeAutospacing="0" w:afterLines="0" w:line="276" w:lineRule="auto"/>
              <w:jc w:val="center"/>
              <w:rPr>
                <w:rFonts w:eastAsia="方正仿宋_GBK"/>
                <w:b w:val="0"/>
                <w:bCs/>
                <w:sz w:val="24"/>
              </w:rPr>
            </w:pPr>
          </w:p>
        </w:tc>
        <w:tc>
          <w:tcPr>
            <w:tcW w:w="2711" w:type="pct"/>
            <w:noWrap w:val="0"/>
            <w:tcMar>
              <w:top w:w="15" w:type="dxa"/>
              <w:left w:w="15" w:type="dxa"/>
              <w:bottom w:w="0" w:type="dxa"/>
              <w:right w:w="15" w:type="dxa"/>
            </w:tcMar>
            <w:vAlign w:val="center"/>
          </w:tcPr>
          <w:p>
            <w:pPr>
              <w:snapToGrid w:val="0"/>
              <w:spacing w:before="0" w:beforeAutospacing="0" w:afterLines="0" w:line="276" w:lineRule="auto"/>
              <w:jc w:val="center"/>
              <w:rPr>
                <w:rFonts w:eastAsia="方正仿宋_GBK"/>
                <w:b w:val="0"/>
                <w:bCs/>
                <w:color w:val="000000"/>
                <w:sz w:val="24"/>
              </w:rPr>
            </w:pPr>
            <w:r>
              <w:rPr>
                <w:rFonts w:eastAsia="方正仿宋_GBK"/>
                <w:b w:val="0"/>
                <w:bCs/>
                <w:color w:val="000000"/>
                <w:sz w:val="24"/>
              </w:rPr>
              <w:t>铁路水运货运量占比</w:t>
            </w:r>
          </w:p>
        </w:tc>
        <w:tc>
          <w:tcPr>
            <w:tcW w:w="678" w:type="pct"/>
            <w:noWrap w:val="0"/>
            <w:tcMar>
              <w:top w:w="15" w:type="dxa"/>
              <w:left w:w="15" w:type="dxa"/>
              <w:bottom w:w="0" w:type="dxa"/>
              <w:right w:w="15" w:type="dxa"/>
            </w:tcMar>
            <w:vAlign w:val="center"/>
          </w:tcPr>
          <w:p>
            <w:pPr>
              <w:snapToGrid w:val="0"/>
              <w:spacing w:before="0" w:beforeAutospacing="0" w:afterLines="0" w:line="276" w:lineRule="auto"/>
              <w:jc w:val="center"/>
              <w:rPr>
                <w:rFonts w:eastAsia="方正仿宋_GBK"/>
                <w:b w:val="0"/>
                <w:bCs/>
                <w:sz w:val="24"/>
              </w:rPr>
            </w:pPr>
            <w:r>
              <w:rPr>
                <w:rFonts w:hint="eastAsia" w:eastAsia="方正仿宋_GBK"/>
                <w:b w:val="0"/>
                <w:bCs/>
                <w:sz w:val="24"/>
              </w:rPr>
              <w:t>9.2</w:t>
            </w:r>
            <w:r>
              <w:rPr>
                <w:rFonts w:eastAsia="方正仿宋_GBK"/>
                <w:b w:val="0"/>
                <w:bCs/>
                <w:sz w:val="24"/>
              </w:rPr>
              <w:t>%</w:t>
            </w:r>
          </w:p>
        </w:tc>
        <w:tc>
          <w:tcPr>
            <w:tcW w:w="576" w:type="pct"/>
            <w:noWrap w:val="0"/>
            <w:tcMar>
              <w:top w:w="15" w:type="dxa"/>
              <w:left w:w="15" w:type="dxa"/>
              <w:bottom w:w="0" w:type="dxa"/>
              <w:right w:w="15" w:type="dxa"/>
            </w:tcMar>
            <w:vAlign w:val="center"/>
          </w:tcPr>
          <w:p>
            <w:pPr>
              <w:snapToGrid w:val="0"/>
              <w:spacing w:before="0" w:beforeAutospacing="0" w:afterLines="0" w:line="276" w:lineRule="auto"/>
              <w:jc w:val="center"/>
              <w:rPr>
                <w:rFonts w:eastAsia="方正仿宋_GBK"/>
                <w:b w:val="0"/>
                <w:bCs/>
                <w:sz w:val="24"/>
              </w:rPr>
            </w:pPr>
            <w:r>
              <w:rPr>
                <w:rFonts w:hint="eastAsia" w:eastAsia="方正仿宋_GBK"/>
                <w:b w:val="0"/>
                <w:bCs/>
                <w:sz w:val="24"/>
              </w:rPr>
              <w:t>12</w:t>
            </w:r>
            <w:r>
              <w:rPr>
                <w:rFonts w:eastAsia="方正仿宋_GBK"/>
                <w:b w:val="0"/>
                <w:bCs/>
                <w:sz w:val="24"/>
              </w:rPr>
              <w:t>%</w:t>
            </w:r>
          </w:p>
        </w:tc>
        <w:tc>
          <w:tcPr>
            <w:tcW w:w="576" w:type="pct"/>
            <w:noWrap w:val="0"/>
            <w:vAlign w:val="top"/>
          </w:tcPr>
          <w:p>
            <w:pPr>
              <w:snapToGrid w:val="0"/>
              <w:spacing w:before="0" w:beforeAutospacing="0" w:afterLines="0" w:line="276" w:lineRule="auto"/>
              <w:jc w:val="center"/>
              <w:rPr>
                <w:rFonts w:hint="eastAsia" w:eastAsia="方正仿宋_GBK"/>
                <w:b w:val="0"/>
                <w:bCs/>
                <w:sz w:val="24"/>
              </w:rPr>
            </w:pPr>
            <w:r>
              <w:rPr>
                <w:rFonts w:hint="eastAsia" w:eastAsia="方正仿宋_GBK"/>
                <w:b w:val="0"/>
                <w:bCs/>
                <w:sz w:val="24"/>
              </w:rPr>
              <w:t>预期性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trPr>
        <w:tc>
          <w:tcPr>
            <w:tcW w:w="459" w:type="pct"/>
            <w:vMerge w:val="restart"/>
            <w:noWrap w:val="0"/>
            <w:vAlign w:val="center"/>
          </w:tcPr>
          <w:p>
            <w:pPr>
              <w:snapToGrid w:val="0"/>
              <w:spacing w:before="0" w:beforeAutospacing="0" w:afterLines="0" w:line="276" w:lineRule="auto"/>
              <w:jc w:val="center"/>
              <w:rPr>
                <w:rFonts w:eastAsia="方正仿宋_GBK"/>
                <w:b w:val="0"/>
                <w:bCs/>
                <w:sz w:val="24"/>
              </w:rPr>
            </w:pPr>
            <w:r>
              <w:rPr>
                <w:rFonts w:eastAsia="方正仿宋_GBK"/>
                <w:b w:val="0"/>
                <w:bCs/>
                <w:sz w:val="24"/>
              </w:rPr>
              <w:t>智慧</w:t>
            </w:r>
          </w:p>
          <w:p>
            <w:pPr>
              <w:snapToGrid w:val="0"/>
              <w:spacing w:before="0" w:beforeAutospacing="0" w:afterLines="0" w:line="276" w:lineRule="auto"/>
              <w:jc w:val="center"/>
              <w:rPr>
                <w:rFonts w:eastAsia="方正仿宋_GBK"/>
                <w:b w:val="0"/>
                <w:bCs/>
                <w:sz w:val="24"/>
              </w:rPr>
            </w:pPr>
            <w:r>
              <w:rPr>
                <w:rFonts w:eastAsia="方正仿宋_GBK"/>
                <w:b w:val="0"/>
                <w:bCs/>
                <w:sz w:val="24"/>
              </w:rPr>
              <w:t>绿色</w:t>
            </w:r>
          </w:p>
          <w:p>
            <w:pPr>
              <w:snapToGrid w:val="0"/>
              <w:spacing w:before="0" w:beforeAutospacing="0" w:afterLines="0" w:line="276" w:lineRule="auto"/>
              <w:jc w:val="center"/>
              <w:rPr>
                <w:rFonts w:eastAsia="方正仿宋_GBK"/>
                <w:b w:val="0"/>
                <w:bCs/>
                <w:sz w:val="24"/>
              </w:rPr>
            </w:pPr>
            <w:r>
              <w:rPr>
                <w:rFonts w:eastAsia="方正仿宋_GBK"/>
                <w:b w:val="0"/>
                <w:bCs/>
                <w:sz w:val="24"/>
              </w:rPr>
              <w:t>安全</w:t>
            </w:r>
          </w:p>
        </w:tc>
        <w:tc>
          <w:tcPr>
            <w:tcW w:w="2711" w:type="pct"/>
            <w:noWrap w:val="0"/>
            <w:tcMar>
              <w:top w:w="15" w:type="dxa"/>
              <w:left w:w="15" w:type="dxa"/>
              <w:bottom w:w="0" w:type="dxa"/>
              <w:right w:w="15" w:type="dxa"/>
            </w:tcMar>
            <w:vAlign w:val="center"/>
          </w:tcPr>
          <w:p>
            <w:pPr>
              <w:snapToGrid w:val="0"/>
              <w:spacing w:before="0" w:beforeAutospacing="0" w:afterLines="0" w:line="276" w:lineRule="auto"/>
              <w:jc w:val="center"/>
              <w:rPr>
                <w:rFonts w:eastAsia="方正仿宋_GBK"/>
                <w:b w:val="0"/>
                <w:bCs/>
                <w:color w:val="000000"/>
                <w:sz w:val="24"/>
              </w:rPr>
            </w:pPr>
            <w:r>
              <w:rPr>
                <w:rFonts w:hint="eastAsia" w:eastAsia="方正仿宋_GBK"/>
                <w:b w:val="0"/>
                <w:bCs/>
                <w:color w:val="000000"/>
                <w:sz w:val="24"/>
              </w:rPr>
              <w:t>新增无人驾驶公交线路（条）</w:t>
            </w:r>
          </w:p>
        </w:tc>
        <w:tc>
          <w:tcPr>
            <w:tcW w:w="678" w:type="pct"/>
            <w:noWrap w:val="0"/>
            <w:tcMar>
              <w:top w:w="15" w:type="dxa"/>
              <w:left w:w="15" w:type="dxa"/>
              <w:bottom w:w="0" w:type="dxa"/>
              <w:right w:w="15" w:type="dxa"/>
            </w:tcMar>
            <w:vAlign w:val="center"/>
          </w:tcPr>
          <w:p>
            <w:pPr>
              <w:snapToGrid w:val="0"/>
              <w:spacing w:before="0" w:beforeAutospacing="0" w:afterLines="0" w:line="276" w:lineRule="auto"/>
              <w:jc w:val="center"/>
              <w:rPr>
                <w:rFonts w:eastAsia="方正仿宋_GBK"/>
                <w:b w:val="0"/>
                <w:bCs/>
                <w:sz w:val="24"/>
              </w:rPr>
            </w:pPr>
            <w:r>
              <w:rPr>
                <w:rFonts w:hint="eastAsia" w:eastAsia="方正仿宋_GBK"/>
                <w:b w:val="0"/>
                <w:bCs/>
                <w:sz w:val="24"/>
              </w:rPr>
              <w:t>-</w:t>
            </w:r>
          </w:p>
        </w:tc>
        <w:tc>
          <w:tcPr>
            <w:tcW w:w="576" w:type="pct"/>
            <w:noWrap w:val="0"/>
            <w:tcMar>
              <w:top w:w="15" w:type="dxa"/>
              <w:left w:w="15" w:type="dxa"/>
              <w:bottom w:w="0" w:type="dxa"/>
              <w:right w:w="15" w:type="dxa"/>
            </w:tcMar>
            <w:vAlign w:val="center"/>
          </w:tcPr>
          <w:p>
            <w:pPr>
              <w:snapToGrid w:val="0"/>
              <w:spacing w:before="0" w:beforeAutospacing="0" w:afterLines="0" w:line="276" w:lineRule="auto"/>
              <w:jc w:val="center"/>
              <w:rPr>
                <w:rFonts w:eastAsia="方正仿宋_GBK"/>
                <w:b w:val="0"/>
                <w:bCs/>
                <w:sz w:val="24"/>
              </w:rPr>
            </w:pPr>
            <w:r>
              <w:rPr>
                <w:rFonts w:hint="eastAsia" w:eastAsia="方正仿宋_GBK"/>
                <w:b w:val="0"/>
                <w:bCs/>
                <w:sz w:val="24"/>
              </w:rPr>
              <w:t>2-3</w:t>
            </w:r>
          </w:p>
        </w:tc>
        <w:tc>
          <w:tcPr>
            <w:tcW w:w="576" w:type="pct"/>
            <w:noWrap w:val="0"/>
            <w:vAlign w:val="top"/>
          </w:tcPr>
          <w:p>
            <w:pPr>
              <w:snapToGrid w:val="0"/>
              <w:spacing w:before="0" w:beforeAutospacing="0" w:afterLines="0" w:line="276" w:lineRule="auto"/>
              <w:jc w:val="center"/>
              <w:rPr>
                <w:rFonts w:eastAsia="方正仿宋_GBK"/>
                <w:b w:val="0"/>
                <w:bCs/>
                <w:sz w:val="24"/>
              </w:rPr>
            </w:pPr>
            <w:r>
              <w:rPr>
                <w:rFonts w:hint="eastAsia" w:eastAsia="方正仿宋_GBK"/>
                <w:b w:val="0"/>
                <w:bCs/>
                <w:sz w:val="24"/>
              </w:rPr>
              <w:t>预期性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trPr>
        <w:tc>
          <w:tcPr>
            <w:tcW w:w="459" w:type="pct"/>
            <w:vMerge w:val="continue"/>
            <w:noWrap w:val="0"/>
            <w:vAlign w:val="center"/>
          </w:tcPr>
          <w:p>
            <w:pPr>
              <w:snapToGrid w:val="0"/>
              <w:spacing w:before="0" w:beforeAutospacing="0" w:afterLines="0" w:line="276" w:lineRule="auto"/>
              <w:jc w:val="center"/>
              <w:rPr>
                <w:rFonts w:eastAsia="方正仿宋_GBK"/>
                <w:b w:val="0"/>
                <w:bCs/>
                <w:sz w:val="24"/>
              </w:rPr>
            </w:pPr>
          </w:p>
        </w:tc>
        <w:tc>
          <w:tcPr>
            <w:tcW w:w="2711" w:type="pct"/>
            <w:noWrap w:val="0"/>
            <w:tcMar>
              <w:top w:w="15" w:type="dxa"/>
              <w:left w:w="15" w:type="dxa"/>
              <w:bottom w:w="0" w:type="dxa"/>
              <w:right w:w="15" w:type="dxa"/>
            </w:tcMar>
            <w:vAlign w:val="center"/>
          </w:tcPr>
          <w:p>
            <w:pPr>
              <w:snapToGrid w:val="0"/>
              <w:spacing w:before="0" w:beforeAutospacing="0" w:afterLines="0" w:line="276" w:lineRule="auto"/>
              <w:jc w:val="center"/>
              <w:rPr>
                <w:rFonts w:eastAsia="方正仿宋_GBK"/>
                <w:b w:val="0"/>
                <w:bCs/>
                <w:color w:val="000000"/>
                <w:sz w:val="24"/>
              </w:rPr>
            </w:pPr>
            <w:r>
              <w:rPr>
                <w:rFonts w:hint="eastAsia" w:eastAsia="方正仿宋_GBK"/>
                <w:b w:val="0"/>
                <w:bCs/>
                <w:color w:val="000000"/>
                <w:sz w:val="24"/>
              </w:rPr>
              <w:t>新能源</w:t>
            </w:r>
            <w:r>
              <w:rPr>
                <w:rFonts w:eastAsia="方正仿宋_GBK"/>
                <w:b w:val="0"/>
                <w:bCs/>
                <w:color w:val="000000"/>
                <w:sz w:val="24"/>
              </w:rPr>
              <w:t>公交车辆、出租车占比</w:t>
            </w:r>
          </w:p>
        </w:tc>
        <w:tc>
          <w:tcPr>
            <w:tcW w:w="678" w:type="pct"/>
            <w:noWrap w:val="0"/>
            <w:tcMar>
              <w:top w:w="15" w:type="dxa"/>
              <w:left w:w="15" w:type="dxa"/>
              <w:bottom w:w="0" w:type="dxa"/>
              <w:right w:w="15" w:type="dxa"/>
            </w:tcMar>
            <w:vAlign w:val="center"/>
          </w:tcPr>
          <w:p>
            <w:pPr>
              <w:snapToGrid w:val="0"/>
              <w:spacing w:before="0" w:beforeAutospacing="0" w:afterLines="0" w:line="276" w:lineRule="auto"/>
              <w:jc w:val="center"/>
              <w:rPr>
                <w:rFonts w:eastAsia="方正仿宋_GBK"/>
                <w:b w:val="0"/>
                <w:bCs/>
                <w:sz w:val="24"/>
              </w:rPr>
            </w:pPr>
            <w:r>
              <w:rPr>
                <w:rFonts w:hint="eastAsia" w:eastAsia="方正仿宋_GBK"/>
                <w:b w:val="0"/>
                <w:bCs/>
                <w:sz w:val="24"/>
              </w:rPr>
              <w:t>-</w:t>
            </w:r>
          </w:p>
        </w:tc>
        <w:tc>
          <w:tcPr>
            <w:tcW w:w="576" w:type="pct"/>
            <w:noWrap w:val="0"/>
            <w:tcMar>
              <w:top w:w="15" w:type="dxa"/>
              <w:left w:w="15" w:type="dxa"/>
              <w:bottom w:w="0" w:type="dxa"/>
              <w:right w:w="15" w:type="dxa"/>
            </w:tcMar>
            <w:vAlign w:val="center"/>
          </w:tcPr>
          <w:p>
            <w:pPr>
              <w:snapToGrid w:val="0"/>
              <w:spacing w:before="0" w:beforeAutospacing="0" w:afterLines="0" w:line="276" w:lineRule="auto"/>
              <w:jc w:val="center"/>
              <w:rPr>
                <w:rFonts w:eastAsia="方正仿宋_GBK"/>
                <w:b w:val="0"/>
                <w:bCs/>
                <w:sz w:val="24"/>
              </w:rPr>
            </w:pPr>
            <w:r>
              <w:rPr>
                <w:rFonts w:eastAsia="方正仿宋_GBK"/>
                <w:b w:val="0"/>
                <w:bCs/>
                <w:sz w:val="24"/>
              </w:rPr>
              <w:t>100%</w:t>
            </w:r>
          </w:p>
        </w:tc>
        <w:tc>
          <w:tcPr>
            <w:tcW w:w="576" w:type="pct"/>
            <w:noWrap w:val="0"/>
            <w:vAlign w:val="top"/>
          </w:tcPr>
          <w:p>
            <w:pPr>
              <w:snapToGrid w:val="0"/>
              <w:spacing w:before="0" w:beforeAutospacing="0" w:afterLines="0" w:line="276" w:lineRule="auto"/>
              <w:jc w:val="center"/>
              <w:rPr>
                <w:rFonts w:eastAsia="方正仿宋_GBK"/>
                <w:b w:val="0"/>
                <w:bCs/>
                <w:sz w:val="24"/>
              </w:rPr>
            </w:pPr>
            <w:r>
              <w:rPr>
                <w:rFonts w:hint="eastAsia" w:eastAsia="方正仿宋_GBK"/>
                <w:b w:val="0"/>
                <w:bCs/>
                <w:sz w:val="24"/>
              </w:rPr>
              <w:t>预期性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trPr>
        <w:tc>
          <w:tcPr>
            <w:tcW w:w="459" w:type="pct"/>
            <w:vMerge w:val="continue"/>
            <w:noWrap w:val="0"/>
            <w:vAlign w:val="center"/>
          </w:tcPr>
          <w:p>
            <w:pPr>
              <w:snapToGrid w:val="0"/>
              <w:spacing w:before="0" w:beforeAutospacing="0" w:afterLines="0" w:line="276" w:lineRule="auto"/>
              <w:jc w:val="center"/>
              <w:rPr>
                <w:rFonts w:eastAsia="方正仿宋_GBK"/>
                <w:b w:val="0"/>
                <w:bCs/>
                <w:sz w:val="24"/>
              </w:rPr>
            </w:pPr>
          </w:p>
        </w:tc>
        <w:tc>
          <w:tcPr>
            <w:tcW w:w="2711" w:type="pct"/>
            <w:noWrap w:val="0"/>
            <w:tcMar>
              <w:top w:w="15" w:type="dxa"/>
              <w:left w:w="15" w:type="dxa"/>
              <w:bottom w:w="0" w:type="dxa"/>
              <w:right w:w="15" w:type="dxa"/>
            </w:tcMar>
            <w:vAlign w:val="center"/>
          </w:tcPr>
          <w:p>
            <w:pPr>
              <w:snapToGrid w:val="0"/>
              <w:spacing w:before="0" w:beforeAutospacing="0" w:afterLines="0" w:line="276" w:lineRule="auto"/>
              <w:jc w:val="center"/>
              <w:rPr>
                <w:rFonts w:eastAsia="方正仿宋_GBK"/>
                <w:b w:val="0"/>
                <w:bCs/>
                <w:color w:val="000000"/>
                <w:sz w:val="24"/>
              </w:rPr>
            </w:pPr>
            <w:r>
              <w:rPr>
                <w:rFonts w:eastAsia="方正仿宋_GBK"/>
                <w:b w:val="0"/>
                <w:bCs/>
                <w:color w:val="000000"/>
                <w:sz w:val="24"/>
              </w:rPr>
              <w:t>内河船型标准化率</w:t>
            </w:r>
          </w:p>
        </w:tc>
        <w:tc>
          <w:tcPr>
            <w:tcW w:w="678" w:type="pct"/>
            <w:noWrap w:val="0"/>
            <w:tcMar>
              <w:top w:w="15" w:type="dxa"/>
              <w:left w:w="15" w:type="dxa"/>
              <w:bottom w:w="0" w:type="dxa"/>
              <w:right w:w="15" w:type="dxa"/>
            </w:tcMar>
            <w:vAlign w:val="center"/>
          </w:tcPr>
          <w:p>
            <w:pPr>
              <w:snapToGrid w:val="0"/>
              <w:spacing w:before="0" w:beforeAutospacing="0" w:afterLines="0" w:line="276" w:lineRule="auto"/>
              <w:jc w:val="center"/>
              <w:rPr>
                <w:rFonts w:eastAsia="方正仿宋_GBK"/>
                <w:b w:val="0"/>
                <w:bCs/>
                <w:sz w:val="24"/>
              </w:rPr>
            </w:pPr>
            <w:r>
              <w:rPr>
                <w:rFonts w:hint="eastAsia" w:eastAsia="方正仿宋_GBK"/>
                <w:b w:val="0"/>
                <w:bCs/>
                <w:sz w:val="24"/>
              </w:rPr>
              <w:t>-</w:t>
            </w:r>
          </w:p>
        </w:tc>
        <w:tc>
          <w:tcPr>
            <w:tcW w:w="576" w:type="pct"/>
            <w:noWrap w:val="0"/>
            <w:tcMar>
              <w:top w:w="15" w:type="dxa"/>
              <w:left w:w="15" w:type="dxa"/>
              <w:bottom w:w="0" w:type="dxa"/>
              <w:right w:w="15" w:type="dxa"/>
            </w:tcMar>
            <w:vAlign w:val="center"/>
          </w:tcPr>
          <w:p>
            <w:pPr>
              <w:snapToGrid w:val="0"/>
              <w:spacing w:before="0" w:beforeAutospacing="0" w:afterLines="0" w:line="276" w:lineRule="auto"/>
              <w:jc w:val="center"/>
              <w:rPr>
                <w:rFonts w:eastAsia="方正仿宋_GBK"/>
                <w:b w:val="0"/>
                <w:bCs/>
                <w:sz w:val="24"/>
              </w:rPr>
            </w:pPr>
            <w:r>
              <w:rPr>
                <w:rFonts w:eastAsia="方正仿宋_GBK"/>
                <w:b w:val="0"/>
                <w:bCs/>
                <w:sz w:val="24"/>
              </w:rPr>
              <w:t>90%</w:t>
            </w:r>
          </w:p>
        </w:tc>
        <w:tc>
          <w:tcPr>
            <w:tcW w:w="576" w:type="pct"/>
            <w:noWrap w:val="0"/>
            <w:vAlign w:val="top"/>
          </w:tcPr>
          <w:p>
            <w:pPr>
              <w:snapToGrid w:val="0"/>
              <w:spacing w:before="0" w:beforeAutospacing="0" w:afterLines="0" w:line="276" w:lineRule="auto"/>
              <w:jc w:val="center"/>
              <w:rPr>
                <w:rFonts w:eastAsia="方正仿宋_GBK"/>
                <w:b w:val="0"/>
                <w:bCs/>
                <w:sz w:val="24"/>
              </w:rPr>
            </w:pPr>
            <w:r>
              <w:rPr>
                <w:rFonts w:hint="eastAsia" w:eastAsia="方正仿宋_GBK"/>
                <w:b w:val="0"/>
                <w:bCs/>
                <w:sz w:val="24"/>
              </w:rPr>
              <w:t>预期性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trPr>
        <w:tc>
          <w:tcPr>
            <w:tcW w:w="459" w:type="pct"/>
            <w:vMerge w:val="continue"/>
            <w:noWrap w:val="0"/>
            <w:vAlign w:val="center"/>
          </w:tcPr>
          <w:p>
            <w:pPr>
              <w:snapToGrid w:val="0"/>
              <w:spacing w:before="0" w:beforeAutospacing="0" w:afterLines="0" w:line="276" w:lineRule="auto"/>
              <w:jc w:val="center"/>
              <w:rPr>
                <w:rFonts w:eastAsia="方正仿宋_GBK"/>
                <w:b w:val="0"/>
                <w:bCs/>
                <w:sz w:val="24"/>
              </w:rPr>
            </w:pPr>
          </w:p>
        </w:tc>
        <w:tc>
          <w:tcPr>
            <w:tcW w:w="2711" w:type="pct"/>
            <w:noWrap w:val="0"/>
            <w:tcMar>
              <w:top w:w="15" w:type="dxa"/>
              <w:left w:w="15" w:type="dxa"/>
              <w:bottom w:w="0" w:type="dxa"/>
              <w:right w:w="15" w:type="dxa"/>
            </w:tcMar>
            <w:vAlign w:val="center"/>
          </w:tcPr>
          <w:p>
            <w:pPr>
              <w:snapToGrid w:val="0"/>
              <w:spacing w:before="0" w:beforeAutospacing="0" w:afterLines="0" w:line="276" w:lineRule="auto"/>
              <w:jc w:val="center"/>
              <w:rPr>
                <w:rFonts w:eastAsia="方正仿宋_GBK"/>
                <w:b w:val="0"/>
                <w:bCs/>
                <w:color w:val="000000"/>
                <w:sz w:val="24"/>
              </w:rPr>
            </w:pPr>
            <w:r>
              <w:rPr>
                <w:rFonts w:eastAsia="方正仿宋_GBK"/>
                <w:b w:val="0"/>
                <w:bCs/>
                <w:color w:val="000000"/>
                <w:sz w:val="24"/>
              </w:rPr>
              <w:t>公路安保工程安装里程（公里）</w:t>
            </w:r>
          </w:p>
        </w:tc>
        <w:tc>
          <w:tcPr>
            <w:tcW w:w="678" w:type="pct"/>
            <w:noWrap w:val="0"/>
            <w:tcMar>
              <w:top w:w="15" w:type="dxa"/>
              <w:left w:w="15" w:type="dxa"/>
              <w:bottom w:w="0" w:type="dxa"/>
              <w:right w:w="15" w:type="dxa"/>
            </w:tcMar>
            <w:vAlign w:val="center"/>
          </w:tcPr>
          <w:p>
            <w:pPr>
              <w:snapToGrid w:val="0"/>
              <w:spacing w:before="0" w:beforeAutospacing="0" w:afterLines="0" w:line="276" w:lineRule="auto"/>
              <w:jc w:val="center"/>
              <w:rPr>
                <w:rFonts w:eastAsia="方正仿宋_GBK"/>
                <w:b w:val="0"/>
                <w:bCs/>
                <w:sz w:val="24"/>
              </w:rPr>
            </w:pPr>
            <w:r>
              <w:rPr>
                <w:rFonts w:hint="eastAsia" w:eastAsia="方正仿宋_GBK"/>
                <w:b w:val="0"/>
                <w:bCs/>
                <w:sz w:val="24"/>
              </w:rPr>
              <w:t>-</w:t>
            </w:r>
          </w:p>
        </w:tc>
        <w:tc>
          <w:tcPr>
            <w:tcW w:w="576" w:type="pct"/>
            <w:noWrap w:val="0"/>
            <w:tcMar>
              <w:top w:w="15" w:type="dxa"/>
              <w:left w:w="15" w:type="dxa"/>
              <w:bottom w:w="0" w:type="dxa"/>
              <w:right w:w="15" w:type="dxa"/>
            </w:tcMar>
            <w:vAlign w:val="center"/>
          </w:tcPr>
          <w:p>
            <w:pPr>
              <w:snapToGrid w:val="0"/>
              <w:spacing w:before="0" w:beforeAutospacing="0" w:afterLines="0" w:line="276" w:lineRule="auto"/>
              <w:jc w:val="center"/>
              <w:rPr>
                <w:rFonts w:eastAsia="方正仿宋_GBK"/>
                <w:b w:val="0"/>
                <w:bCs/>
                <w:sz w:val="24"/>
              </w:rPr>
            </w:pPr>
            <w:r>
              <w:rPr>
                <w:rFonts w:hint="eastAsia" w:eastAsia="方正仿宋_GBK"/>
                <w:b w:val="0"/>
                <w:bCs/>
                <w:sz w:val="24"/>
              </w:rPr>
              <w:t>1000</w:t>
            </w:r>
          </w:p>
        </w:tc>
        <w:tc>
          <w:tcPr>
            <w:tcW w:w="576" w:type="pct"/>
            <w:noWrap w:val="0"/>
            <w:vAlign w:val="top"/>
          </w:tcPr>
          <w:p>
            <w:pPr>
              <w:snapToGrid w:val="0"/>
              <w:spacing w:before="0" w:beforeAutospacing="0" w:afterLines="0" w:line="276" w:lineRule="auto"/>
              <w:jc w:val="center"/>
              <w:rPr>
                <w:rFonts w:eastAsia="方正仿宋_GBK"/>
                <w:b w:val="0"/>
                <w:bCs/>
                <w:sz w:val="24"/>
              </w:rPr>
            </w:pPr>
            <w:r>
              <w:rPr>
                <w:rFonts w:hint="eastAsia" w:eastAsia="方正仿宋_GBK"/>
                <w:b w:val="0"/>
                <w:bCs/>
                <w:sz w:val="24"/>
              </w:rPr>
              <w:t>约束性</w:t>
            </w:r>
          </w:p>
        </w:tc>
      </w:tr>
    </w:tbl>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jc w:val="left"/>
        <w:textAlignment w:val="auto"/>
        <w:rPr>
          <w:rFonts w:hint="eastAsia" w:eastAsia="方正仿宋_GBK"/>
          <w:b w:val="0"/>
          <w:bCs/>
          <w:sz w:val="32"/>
          <w:szCs w:val="32"/>
        </w:rPr>
      </w:pPr>
      <w:bookmarkStart w:id="116" w:name="_Toc25465"/>
    </w:p>
    <w:p>
      <w:pPr>
        <w:keepNext w:val="0"/>
        <w:keepLines w:val="0"/>
        <w:pageBreakBefore w:val="0"/>
        <w:widowControl w:val="0"/>
        <w:kinsoku/>
        <w:wordWrap/>
        <w:overflowPunct/>
        <w:topLinePunct w:val="0"/>
        <w:autoSpaceDE/>
        <w:autoSpaceDN/>
        <w:bidi w:val="0"/>
        <w:adjustRightInd w:val="0"/>
        <w:snapToGrid w:val="0"/>
        <w:spacing w:afterLines="0" w:line="276" w:lineRule="auto"/>
        <w:jc w:val="center"/>
        <w:textAlignment w:val="auto"/>
        <w:rPr>
          <w:rFonts w:ascii="Times New Roman" w:hAnsi="Times New Roman" w:eastAsia="方正黑体_GBK"/>
          <w:b w:val="0"/>
          <w:bCs/>
          <w:sz w:val="32"/>
          <w:szCs w:val="32"/>
        </w:rPr>
      </w:pPr>
      <w:bookmarkStart w:id="117" w:name="_Toc61698556_WPSOffice_Level1"/>
      <w:r>
        <w:rPr>
          <w:rFonts w:ascii="Times New Roman" w:hAnsi="Times New Roman" w:eastAsia="方正黑体_GBK"/>
          <w:b w:val="0"/>
          <w:bCs/>
          <w:sz w:val="32"/>
          <w:szCs w:val="32"/>
        </w:rPr>
        <w:t>第五章  着眼外部联通，构建多向出永综合立体网</w:t>
      </w:r>
      <w:bookmarkEnd w:id="116"/>
      <w:bookmarkEnd w:id="117"/>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仿宋_GBK"/>
          <w:b w:val="0"/>
          <w:bCs/>
          <w:sz w:val="32"/>
          <w:szCs w:val="32"/>
        </w:rPr>
      </w:pPr>
      <w:bookmarkStart w:id="118" w:name="_Toc15902445"/>
      <w:bookmarkStart w:id="119" w:name="_Toc15982620"/>
      <w:bookmarkStart w:id="120" w:name="_Toc14806539"/>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仿宋_GBK"/>
          <w:b w:val="0"/>
          <w:bCs/>
          <w:sz w:val="32"/>
          <w:szCs w:val="32"/>
        </w:rPr>
      </w:pPr>
      <w:r>
        <w:rPr>
          <w:rFonts w:eastAsia="方正仿宋_GBK"/>
          <w:b w:val="0"/>
          <w:bCs/>
          <w:sz w:val="32"/>
          <w:szCs w:val="32"/>
        </w:rPr>
        <w:t>统筹通道资源，全力构建多向联通、互联互通的对外开放大通道，推动永川加速融入国家大战略、大通道、大平台，充分发挥永川承东接西、左传右递的重要节点作用，有力助推永川打造成渝地区双城经济圈重要节点和主城都市区战略支点。</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仿宋_GBK"/>
          <w:b w:val="0"/>
          <w:bCs/>
          <w:sz w:val="32"/>
          <w:szCs w:val="32"/>
        </w:rPr>
      </w:pPr>
    </w:p>
    <w:p>
      <w:pPr>
        <w:pStyle w:val="16"/>
        <w:keepNext w:val="0"/>
        <w:keepLines w:val="0"/>
        <w:pageBreakBefore w:val="0"/>
        <w:widowControl w:val="0"/>
        <w:kinsoku/>
        <w:wordWrap/>
        <w:overflowPunct/>
        <w:topLinePunct w:val="0"/>
        <w:autoSpaceDE/>
        <w:autoSpaceDN/>
        <w:bidi w:val="0"/>
        <w:adjustRightInd w:val="0"/>
        <w:snapToGrid w:val="0"/>
        <w:spacing w:before="0" w:after="0" w:afterLines="0" w:line="276" w:lineRule="auto"/>
        <w:textAlignment w:val="auto"/>
        <w:rPr>
          <w:rFonts w:hint="eastAsia" w:ascii="方正楷体_GBK" w:hAnsi="方正楷体_GBK" w:eastAsia="方正楷体_GBK" w:cs="方正楷体_GBK"/>
          <w:b w:val="0"/>
          <w:bCs/>
          <w:kern w:val="2"/>
          <w:sz w:val="32"/>
          <w:szCs w:val="32"/>
        </w:rPr>
      </w:pPr>
      <w:bookmarkStart w:id="121" w:name="_Toc51680374"/>
      <w:bookmarkStart w:id="122" w:name="_Toc493087112_WPSOffice_Level2"/>
      <w:bookmarkStart w:id="123" w:name="_Toc769074449"/>
      <w:bookmarkStart w:id="124" w:name="_Toc6333"/>
      <w:r>
        <w:rPr>
          <w:rFonts w:hint="eastAsia" w:ascii="方正楷体_GBK" w:hAnsi="方正楷体_GBK" w:eastAsia="方正楷体_GBK" w:cs="方正楷体_GBK"/>
          <w:b w:val="0"/>
          <w:bCs/>
          <w:kern w:val="2"/>
          <w:sz w:val="32"/>
          <w:szCs w:val="32"/>
        </w:rPr>
        <w:t>第一节</w:t>
      </w:r>
      <w:r>
        <w:rPr>
          <w:rFonts w:hint="eastAsia" w:ascii="方正楷体_GBK" w:hAnsi="方正楷体_GBK" w:eastAsia="方正楷体_GBK" w:cs="方正楷体_GBK"/>
          <w:b w:val="0"/>
          <w:bCs/>
          <w:kern w:val="2"/>
          <w:sz w:val="32"/>
          <w:szCs w:val="32"/>
          <w:lang w:val="en-US" w:eastAsia="zh-CN"/>
        </w:rPr>
        <w:t xml:space="preserve"> </w:t>
      </w:r>
      <w:r>
        <w:rPr>
          <w:rFonts w:hint="eastAsia" w:ascii="方正楷体_GBK" w:hAnsi="方正楷体_GBK" w:eastAsia="方正楷体_GBK" w:cs="方正楷体_GBK"/>
          <w:b w:val="0"/>
          <w:bCs/>
          <w:kern w:val="2"/>
          <w:sz w:val="32"/>
          <w:szCs w:val="32"/>
        </w:rPr>
        <w:t xml:space="preserve"> 打造区域性铁路枢纽</w:t>
      </w:r>
      <w:bookmarkEnd w:id="121"/>
      <w:bookmarkEnd w:id="122"/>
      <w:bookmarkEnd w:id="123"/>
      <w:bookmarkEnd w:id="124"/>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仿宋_GBK"/>
          <w:b w:val="0"/>
          <w:bCs/>
          <w:sz w:val="32"/>
          <w:szCs w:val="32"/>
        </w:rPr>
      </w:pP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仿宋_GBK"/>
          <w:b w:val="0"/>
          <w:bCs/>
          <w:sz w:val="32"/>
          <w:szCs w:val="32"/>
        </w:rPr>
      </w:pPr>
      <w:r>
        <w:rPr>
          <w:rFonts w:eastAsia="方正仿宋_GBK"/>
          <w:b w:val="0"/>
          <w:bCs/>
          <w:sz w:val="32"/>
          <w:szCs w:val="32"/>
        </w:rPr>
        <w:t>加快推动干线</w:t>
      </w:r>
      <w:r>
        <w:rPr>
          <w:rFonts w:hint="eastAsia" w:eastAsia="方正仿宋_GBK"/>
          <w:b w:val="0"/>
          <w:bCs/>
          <w:sz w:val="32"/>
          <w:szCs w:val="32"/>
        </w:rPr>
        <w:t>铁路</w:t>
      </w:r>
      <w:r>
        <w:rPr>
          <w:rFonts w:eastAsia="方正仿宋_GBK"/>
          <w:b w:val="0"/>
          <w:bCs/>
          <w:sz w:val="32"/>
          <w:szCs w:val="32"/>
        </w:rPr>
        <w:t>、城际铁路、市域</w:t>
      </w:r>
      <w:r>
        <w:rPr>
          <w:rFonts w:hint="eastAsia" w:eastAsia="方正仿宋_GBK"/>
          <w:b w:val="0"/>
          <w:bCs/>
          <w:sz w:val="32"/>
          <w:szCs w:val="32"/>
        </w:rPr>
        <w:t>（郊）</w:t>
      </w:r>
      <w:r>
        <w:rPr>
          <w:rFonts w:eastAsia="方正仿宋_GBK"/>
          <w:b w:val="0"/>
          <w:bCs/>
          <w:sz w:val="32"/>
          <w:szCs w:val="32"/>
        </w:rPr>
        <w:t>铁路等建设，推动四网融合发展，形成分工合理、衔接顺畅的多向出永大通道，满足多层次、多样化、个性化的交通需求。</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仿宋_GBK"/>
          <w:b w:val="0"/>
          <w:bCs/>
          <w:sz w:val="32"/>
          <w:szCs w:val="32"/>
        </w:rPr>
      </w:pPr>
      <w:r>
        <w:rPr>
          <w:rFonts w:eastAsia="方正楷体_GBK"/>
          <w:b w:val="0"/>
          <w:bCs/>
          <w:color w:val="000000"/>
          <w:sz w:val="32"/>
          <w:szCs w:val="32"/>
        </w:rPr>
        <w:t>全面形成高铁双通道。</w:t>
      </w:r>
      <w:r>
        <w:rPr>
          <w:rFonts w:eastAsia="方正仿宋_GBK"/>
          <w:b w:val="0"/>
          <w:bCs/>
          <w:sz w:val="32"/>
          <w:szCs w:val="32"/>
        </w:rPr>
        <w:t>加快推进渝昆高铁建设，形成京昆高铁通道，进一步打通永川南下北上高铁通道，强化永川与京津冀城市群、中原城市群、成渝地区双城经济圈和滇中城市群的高铁联系。</w:t>
      </w:r>
      <w:r>
        <w:rPr>
          <w:rFonts w:hint="eastAsia" w:eastAsia="方正仿宋_GBK"/>
          <w:b w:val="0"/>
          <w:bCs/>
          <w:sz w:val="32"/>
          <w:szCs w:val="32"/>
        </w:rPr>
        <w:t>渝昆高铁建成后，与成渝高铁形成永川高铁双通道，推动永川快速融入国家高铁网。</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仿宋_GBK"/>
          <w:b w:val="0"/>
          <w:bCs/>
          <w:sz w:val="32"/>
          <w:szCs w:val="32"/>
        </w:rPr>
      </w:pPr>
      <w:r>
        <w:rPr>
          <w:rFonts w:eastAsia="方正楷体_GBK"/>
          <w:b w:val="0"/>
          <w:bCs/>
          <w:color w:val="000000"/>
          <w:sz w:val="32"/>
          <w:szCs w:val="32"/>
        </w:rPr>
        <w:t>全力推进3条城际铁路建设。</w:t>
      </w:r>
      <w:r>
        <w:rPr>
          <w:rFonts w:hint="eastAsia" w:eastAsia="方正仿宋_GBK"/>
          <w:b w:val="0"/>
          <w:bCs/>
          <w:sz w:val="32"/>
          <w:szCs w:val="32"/>
        </w:rPr>
        <w:t>规划建设</w:t>
      </w:r>
      <w:r>
        <w:rPr>
          <w:rFonts w:eastAsia="方正仿宋_GBK"/>
          <w:b w:val="0"/>
          <w:bCs/>
          <w:sz w:val="32"/>
          <w:szCs w:val="32"/>
        </w:rPr>
        <w:t>重庆至永川至自贡（乐山）城际铁路，经重庆</w:t>
      </w:r>
      <w:r>
        <w:rPr>
          <w:rFonts w:hint="eastAsia" w:eastAsia="方正仿宋_GBK"/>
          <w:b w:val="0"/>
          <w:bCs/>
          <w:sz w:val="32"/>
          <w:szCs w:val="32"/>
        </w:rPr>
        <w:t>中心城区</w:t>
      </w:r>
      <w:r>
        <w:rPr>
          <w:rFonts w:eastAsia="方正仿宋_GBK"/>
          <w:b w:val="0"/>
          <w:bCs/>
          <w:sz w:val="32"/>
          <w:szCs w:val="32"/>
        </w:rPr>
        <w:t>、璧山、永川、荣昌、自贡至乐山，强化永川东西向铁路通道，实现永川与川南地区的快速便捷联系，有力支撑重庆向西、四川向东发展。</w:t>
      </w:r>
      <w:r>
        <w:rPr>
          <w:rFonts w:hint="eastAsia" w:eastAsia="方正仿宋_GBK"/>
          <w:b w:val="0"/>
          <w:bCs/>
          <w:sz w:val="32"/>
          <w:szCs w:val="32"/>
        </w:rPr>
        <w:t>积极谋划</w:t>
      </w:r>
      <w:r>
        <w:rPr>
          <w:rFonts w:eastAsia="方正仿宋_GBK"/>
          <w:b w:val="0"/>
          <w:bCs/>
          <w:sz w:val="32"/>
          <w:szCs w:val="32"/>
        </w:rPr>
        <w:t>重庆至永川至毕节城际铁路，经重庆</w:t>
      </w:r>
      <w:r>
        <w:rPr>
          <w:rFonts w:hint="eastAsia" w:eastAsia="方正仿宋_GBK"/>
          <w:b w:val="0"/>
          <w:bCs/>
          <w:sz w:val="32"/>
          <w:szCs w:val="32"/>
        </w:rPr>
        <w:t>中心城区</w:t>
      </w:r>
      <w:r>
        <w:rPr>
          <w:rFonts w:eastAsia="方正仿宋_GBK"/>
          <w:b w:val="0"/>
          <w:bCs/>
          <w:sz w:val="32"/>
          <w:szCs w:val="32"/>
        </w:rPr>
        <w:t>、江津、永川、泸州、赤水至毕节，进一步打通永川南下通道，强化永川与川南、黔北近域城市的腹地联系，同时通过衔接成贵高铁，实现永川与贵阳、南宁、广州等中心城市的快速联系。</w:t>
      </w:r>
      <w:r>
        <w:rPr>
          <w:rFonts w:hint="eastAsia" w:eastAsia="方正仿宋_GBK"/>
          <w:b w:val="0"/>
          <w:bCs/>
          <w:sz w:val="32"/>
          <w:szCs w:val="32"/>
        </w:rPr>
        <w:t>积极谋划</w:t>
      </w:r>
      <w:r>
        <w:rPr>
          <w:rFonts w:eastAsia="方正仿宋_GBK"/>
          <w:b w:val="0"/>
          <w:bCs/>
          <w:sz w:val="32"/>
          <w:szCs w:val="32"/>
        </w:rPr>
        <w:t>合川-璧山-永川城际铁路，打通永川北上快速通道，强化永川与璧山、合川、南充等周边地区以及川东近域城市的腹地联系，</w:t>
      </w:r>
      <w:r>
        <w:rPr>
          <w:rFonts w:hint="eastAsia" w:eastAsia="方正仿宋_GBK"/>
          <w:b w:val="0"/>
          <w:bCs/>
          <w:sz w:val="32"/>
          <w:szCs w:val="32"/>
        </w:rPr>
        <w:t>进一步</w:t>
      </w:r>
      <w:r>
        <w:rPr>
          <w:rFonts w:eastAsia="方正仿宋_GBK"/>
          <w:b w:val="0"/>
          <w:bCs/>
          <w:sz w:val="32"/>
          <w:szCs w:val="32"/>
        </w:rPr>
        <w:t>强化永川与重庆新机场的快速联系。</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仿宋_GBK"/>
          <w:b w:val="0"/>
          <w:bCs/>
          <w:sz w:val="32"/>
          <w:szCs w:val="32"/>
        </w:rPr>
      </w:pPr>
      <w:r>
        <w:rPr>
          <w:rFonts w:eastAsia="方正楷体_GBK"/>
          <w:b w:val="0"/>
          <w:bCs/>
          <w:color w:val="000000"/>
          <w:sz w:val="32"/>
          <w:szCs w:val="32"/>
        </w:rPr>
        <w:t>逐步推进2条市域</w:t>
      </w:r>
      <w:r>
        <w:rPr>
          <w:rFonts w:hint="eastAsia" w:eastAsia="方正楷体_GBK"/>
          <w:b w:val="0"/>
          <w:bCs/>
          <w:color w:val="000000"/>
          <w:sz w:val="32"/>
          <w:szCs w:val="32"/>
        </w:rPr>
        <w:t>（郊）</w:t>
      </w:r>
      <w:r>
        <w:rPr>
          <w:rFonts w:eastAsia="方正楷体_GBK"/>
          <w:b w:val="0"/>
          <w:bCs/>
          <w:color w:val="000000"/>
          <w:sz w:val="32"/>
          <w:szCs w:val="32"/>
        </w:rPr>
        <w:t>铁路建设。</w:t>
      </w:r>
      <w:r>
        <w:rPr>
          <w:rFonts w:eastAsia="方正仿宋_GBK"/>
          <w:b w:val="0"/>
          <w:bCs/>
          <w:sz w:val="32"/>
          <w:szCs w:val="32"/>
        </w:rPr>
        <w:t>加快推进市域（郊）铁路</w:t>
      </w:r>
      <w:r>
        <w:rPr>
          <w:rFonts w:hint="eastAsia" w:eastAsia="方正仿宋_GBK"/>
          <w:b w:val="0"/>
          <w:bCs/>
          <w:sz w:val="32"/>
          <w:szCs w:val="32"/>
        </w:rPr>
        <w:t>中心城区</w:t>
      </w:r>
      <w:r>
        <w:rPr>
          <w:rFonts w:eastAsia="方正仿宋_GBK"/>
          <w:b w:val="0"/>
          <w:bCs/>
          <w:sz w:val="32"/>
          <w:szCs w:val="32"/>
        </w:rPr>
        <w:t>至永川线建设，</w:t>
      </w:r>
      <w:r>
        <w:rPr>
          <w:rFonts w:hint="eastAsia" w:eastAsia="方正仿宋_GBK"/>
          <w:b w:val="0"/>
          <w:bCs/>
          <w:sz w:val="32"/>
          <w:szCs w:val="32"/>
        </w:rPr>
        <w:t>串联永川、重庆新机场、璧山、高新区等，远期向西延伸至荣昌、泸州等地，与城轨快线26号线贯通运营、与城轨快线15号线互联互通，实现与中心城区重要商圈、副中心、对外交通枢纽等重要功能节点的快速直接联系，提升沿线区域的带动辐射作用，构建主城都市区</w:t>
      </w:r>
      <w:r>
        <w:rPr>
          <w:rFonts w:hint="default" w:eastAsia="方正仿宋_GBK"/>
          <w:b w:val="0"/>
          <w:bCs/>
          <w:sz w:val="32"/>
          <w:szCs w:val="32"/>
          <w:lang w:val="en"/>
        </w:rPr>
        <w:t>“</w:t>
      </w:r>
      <w:r>
        <w:rPr>
          <w:rFonts w:hint="eastAsia" w:eastAsia="方正仿宋_GBK"/>
          <w:b w:val="0"/>
          <w:bCs/>
          <w:sz w:val="32"/>
          <w:szCs w:val="32"/>
        </w:rPr>
        <w:t>1小时通勤圈</w:t>
      </w:r>
      <w:r>
        <w:rPr>
          <w:rFonts w:hint="default" w:eastAsia="方正仿宋_GBK"/>
          <w:b w:val="0"/>
          <w:bCs/>
          <w:sz w:val="32"/>
          <w:szCs w:val="32"/>
          <w:lang w:val="en"/>
        </w:rPr>
        <w:t>”</w:t>
      </w:r>
      <w:r>
        <w:rPr>
          <w:rFonts w:hint="eastAsia" w:eastAsia="方正仿宋_GBK"/>
          <w:b w:val="0"/>
          <w:bCs/>
          <w:sz w:val="32"/>
          <w:szCs w:val="32"/>
        </w:rPr>
        <w:t>，促进主城都市区一体化发展，推动成渝地区双城经济圈高质量发展。积极谋划</w:t>
      </w:r>
      <w:r>
        <w:rPr>
          <w:rFonts w:eastAsia="方正仿宋_GBK"/>
          <w:b w:val="0"/>
          <w:bCs/>
          <w:sz w:val="32"/>
          <w:szCs w:val="32"/>
        </w:rPr>
        <w:t>市域（郊）铁路二环线永川至合川段</w:t>
      </w:r>
      <w:r>
        <w:rPr>
          <w:rFonts w:hint="eastAsia" w:eastAsia="方正仿宋_GBK"/>
          <w:b w:val="0"/>
          <w:bCs/>
          <w:sz w:val="32"/>
          <w:szCs w:val="32"/>
        </w:rPr>
        <w:t>前期工作</w:t>
      </w:r>
      <w:r>
        <w:rPr>
          <w:rFonts w:eastAsia="方正仿宋_GBK"/>
          <w:b w:val="0"/>
          <w:bCs/>
          <w:sz w:val="32"/>
          <w:szCs w:val="32"/>
        </w:rPr>
        <w:t>，形成市域（郊）铁路大环线，实现主城都市区</w:t>
      </w:r>
      <w:r>
        <w:rPr>
          <w:rFonts w:hint="eastAsia" w:eastAsia="方正仿宋_GBK"/>
          <w:b w:val="0"/>
          <w:bCs/>
          <w:sz w:val="32"/>
          <w:szCs w:val="32"/>
        </w:rPr>
        <w:t>新区</w:t>
      </w:r>
      <w:r>
        <w:rPr>
          <w:rFonts w:eastAsia="方正仿宋_GBK"/>
          <w:b w:val="0"/>
          <w:bCs/>
          <w:sz w:val="32"/>
          <w:szCs w:val="32"/>
        </w:rPr>
        <w:t>之间的铁路联系，通过二环线衔接兰渝铁路，进一步打通永川北上通道，实现与丝绸之路经济带的衔接。</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仿宋_GBK"/>
          <w:b w:val="0"/>
          <w:bCs/>
          <w:sz w:val="32"/>
          <w:szCs w:val="32"/>
        </w:rPr>
      </w:pPr>
      <w:r>
        <w:rPr>
          <w:rFonts w:eastAsia="方正楷体_GBK"/>
          <w:b w:val="0"/>
          <w:bCs/>
          <w:color w:val="000000"/>
          <w:sz w:val="32"/>
          <w:szCs w:val="32"/>
        </w:rPr>
        <w:t>有序推进2条普速铁路建设。</w:t>
      </w:r>
      <w:r>
        <w:rPr>
          <w:rFonts w:hint="eastAsia" w:eastAsia="方正仿宋_GBK"/>
          <w:b w:val="0"/>
          <w:bCs/>
          <w:sz w:val="32"/>
          <w:szCs w:val="32"/>
        </w:rPr>
        <w:t>积极谋划</w:t>
      </w:r>
      <w:r>
        <w:rPr>
          <w:rFonts w:eastAsia="方正仿宋_GBK"/>
          <w:b w:val="0"/>
          <w:bCs/>
          <w:sz w:val="32"/>
          <w:szCs w:val="32"/>
        </w:rPr>
        <w:t>成渝铁路扩能改造</w:t>
      </w:r>
      <w:r>
        <w:rPr>
          <w:rFonts w:hint="eastAsia" w:eastAsia="方正仿宋_GBK"/>
          <w:b w:val="0"/>
          <w:bCs/>
          <w:sz w:val="32"/>
          <w:szCs w:val="32"/>
        </w:rPr>
        <w:t>、</w:t>
      </w:r>
      <w:r>
        <w:rPr>
          <w:rFonts w:eastAsia="方正仿宋_GBK"/>
          <w:b w:val="0"/>
          <w:bCs/>
          <w:sz w:val="32"/>
          <w:szCs w:val="32"/>
        </w:rPr>
        <w:t>沿江铁路</w:t>
      </w:r>
      <w:r>
        <w:rPr>
          <w:rFonts w:hint="eastAsia" w:eastAsia="方正仿宋_GBK"/>
          <w:b w:val="0"/>
          <w:bCs/>
          <w:sz w:val="32"/>
          <w:szCs w:val="32"/>
        </w:rPr>
        <w:t>前期工作</w:t>
      </w:r>
      <w:r>
        <w:rPr>
          <w:rFonts w:eastAsia="方正仿宋_GBK"/>
          <w:b w:val="0"/>
          <w:bCs/>
          <w:sz w:val="32"/>
          <w:szCs w:val="32"/>
        </w:rPr>
        <w:t>，形成永川全面融入长江经济带的铁路双通道。通过沿江铁路，向西快速衔接泸州-叙永-毕节-百色铁路，形成永川南下货运大通道，全面融入陆海新通道建设；向东快速衔接铁路枢纽东环线、西环线，实现永川与团结村、</w:t>
      </w:r>
      <w:r>
        <w:rPr>
          <w:rFonts w:hint="eastAsia" w:eastAsia="方正仿宋_GBK"/>
          <w:b w:val="0"/>
          <w:bCs/>
          <w:sz w:val="32"/>
          <w:szCs w:val="32"/>
        </w:rPr>
        <w:t>重庆</w:t>
      </w:r>
      <w:r>
        <w:rPr>
          <w:rFonts w:eastAsia="方正仿宋_GBK"/>
          <w:b w:val="0"/>
          <w:bCs/>
          <w:sz w:val="32"/>
          <w:szCs w:val="32"/>
        </w:rPr>
        <w:t>公路物流基地、江北机场、果园港等国际性物流枢纽的快速转换，进一步提升永川对外开放能力。</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16" w:type="dxa"/>
            <w:noWrap w:val="0"/>
            <w:vAlign w:val="top"/>
          </w:tcPr>
          <w:p>
            <w:pPr>
              <w:snapToGrid w:val="0"/>
              <w:spacing w:after="0" w:afterLines="0" w:line="276" w:lineRule="auto"/>
              <w:jc w:val="center"/>
              <w:rPr>
                <w:rFonts w:eastAsia="方正小标宋_GBK"/>
                <w:b w:val="0"/>
                <w:bCs/>
                <w:sz w:val="28"/>
                <w:szCs w:val="28"/>
              </w:rPr>
            </w:pPr>
            <w:r>
              <w:rPr>
                <w:rFonts w:eastAsia="方正小标宋_GBK"/>
                <w:b w:val="0"/>
                <w:bCs/>
                <w:sz w:val="28"/>
                <w:szCs w:val="28"/>
              </w:rPr>
              <w:t xml:space="preserve">专栏1 </w:t>
            </w:r>
            <w:r>
              <w:rPr>
                <w:rFonts w:eastAsia="方正小标宋_GBK"/>
                <w:b w:val="0"/>
                <w:bCs/>
                <w:sz w:val="28"/>
                <w:szCs w:val="28"/>
                <w:lang w:val="en"/>
              </w:rPr>
              <w:t>“</w:t>
            </w:r>
            <w:r>
              <w:rPr>
                <w:rFonts w:eastAsia="方正小标宋_GBK"/>
                <w:b w:val="0"/>
                <w:bCs/>
                <w:sz w:val="28"/>
                <w:szCs w:val="28"/>
              </w:rPr>
              <w:t>十四五</w:t>
            </w:r>
            <w:r>
              <w:rPr>
                <w:rFonts w:eastAsia="方正小标宋_GBK"/>
                <w:b w:val="0"/>
                <w:bCs/>
                <w:sz w:val="28"/>
                <w:szCs w:val="28"/>
                <w:lang w:val="en"/>
              </w:rPr>
              <w:t>”</w:t>
            </w:r>
            <w:r>
              <w:rPr>
                <w:rFonts w:eastAsia="方正小标宋_GBK"/>
                <w:b w:val="0"/>
                <w:bCs/>
                <w:sz w:val="28"/>
                <w:szCs w:val="28"/>
              </w:rPr>
              <w:t>铁路重点项目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516" w:type="dxa"/>
            <w:noWrap w:val="0"/>
            <w:vAlign w:val="top"/>
          </w:tcPr>
          <w:p>
            <w:pPr>
              <w:snapToGrid w:val="0"/>
              <w:spacing w:afterLines="0" w:line="276" w:lineRule="auto"/>
              <w:ind w:firstLine="560" w:firstLineChars="200"/>
              <w:rPr>
                <w:rFonts w:eastAsia="方正仿宋_GBK"/>
                <w:b w:val="0"/>
                <w:bCs/>
                <w:sz w:val="28"/>
                <w:szCs w:val="28"/>
              </w:rPr>
            </w:pPr>
            <w:r>
              <w:rPr>
                <w:rFonts w:eastAsia="方正楷体_GBK"/>
                <w:b w:val="0"/>
                <w:bCs/>
                <w:color w:val="000000"/>
                <w:sz w:val="28"/>
                <w:szCs w:val="28"/>
              </w:rPr>
              <w:t>高速铁路：</w:t>
            </w:r>
            <w:r>
              <w:rPr>
                <w:rFonts w:eastAsia="方正仿宋_GBK"/>
                <w:b w:val="0"/>
                <w:bCs/>
                <w:sz w:val="28"/>
                <w:szCs w:val="28"/>
              </w:rPr>
              <w:t>建设渝昆高铁。</w:t>
            </w:r>
          </w:p>
          <w:p>
            <w:pPr>
              <w:snapToGrid w:val="0"/>
              <w:spacing w:afterLines="0" w:line="276" w:lineRule="auto"/>
              <w:ind w:firstLine="560" w:firstLineChars="200"/>
              <w:rPr>
                <w:rFonts w:eastAsia="方正仿宋_GBK"/>
                <w:b w:val="0"/>
                <w:bCs/>
                <w:sz w:val="28"/>
                <w:szCs w:val="28"/>
              </w:rPr>
            </w:pPr>
            <w:r>
              <w:rPr>
                <w:rFonts w:eastAsia="方正楷体_GBK"/>
                <w:b w:val="0"/>
                <w:bCs/>
                <w:color w:val="000000"/>
                <w:sz w:val="28"/>
                <w:szCs w:val="28"/>
              </w:rPr>
              <w:t>城际铁路：</w:t>
            </w:r>
            <w:r>
              <w:rPr>
                <w:rFonts w:eastAsia="方正仿宋_GBK"/>
                <w:b w:val="0"/>
                <w:bCs/>
                <w:sz w:val="28"/>
                <w:szCs w:val="28"/>
              </w:rPr>
              <w:t>积极推进重庆至永川至自贡（乐山）</w:t>
            </w:r>
            <w:r>
              <w:rPr>
                <w:rFonts w:hint="eastAsia" w:eastAsia="方正仿宋_GBK"/>
                <w:b w:val="0"/>
                <w:bCs/>
                <w:sz w:val="28"/>
                <w:szCs w:val="28"/>
              </w:rPr>
              <w:t>建设，积极谋划</w:t>
            </w:r>
            <w:r>
              <w:rPr>
                <w:rFonts w:eastAsia="方正仿宋_GBK"/>
                <w:b w:val="0"/>
                <w:bCs/>
                <w:sz w:val="28"/>
                <w:szCs w:val="28"/>
              </w:rPr>
              <w:t>重庆至永川至毕节、合川-璧山-永川城际铁路前期工作。</w:t>
            </w:r>
          </w:p>
          <w:p>
            <w:pPr>
              <w:snapToGrid w:val="0"/>
              <w:spacing w:afterLines="0" w:line="276" w:lineRule="auto"/>
              <w:ind w:firstLine="560" w:firstLineChars="200"/>
              <w:rPr>
                <w:rFonts w:eastAsia="方正仿宋_GBK"/>
                <w:b w:val="0"/>
                <w:bCs/>
                <w:sz w:val="28"/>
                <w:szCs w:val="28"/>
              </w:rPr>
            </w:pPr>
            <w:r>
              <w:rPr>
                <w:rFonts w:eastAsia="方正楷体_GBK"/>
                <w:b w:val="0"/>
                <w:bCs/>
                <w:color w:val="000000"/>
                <w:sz w:val="28"/>
                <w:szCs w:val="28"/>
              </w:rPr>
              <w:t>市域</w:t>
            </w:r>
            <w:r>
              <w:rPr>
                <w:rFonts w:hint="eastAsia" w:eastAsia="方正楷体_GBK"/>
                <w:b w:val="0"/>
                <w:bCs/>
                <w:color w:val="000000"/>
                <w:sz w:val="28"/>
                <w:szCs w:val="28"/>
              </w:rPr>
              <w:t>（郊）</w:t>
            </w:r>
            <w:r>
              <w:rPr>
                <w:rFonts w:eastAsia="方正楷体_GBK"/>
                <w:b w:val="0"/>
                <w:bCs/>
                <w:color w:val="000000"/>
                <w:sz w:val="28"/>
                <w:szCs w:val="28"/>
              </w:rPr>
              <w:t>铁路：</w:t>
            </w:r>
            <w:r>
              <w:rPr>
                <w:rFonts w:eastAsia="方正仿宋_GBK"/>
                <w:b w:val="0"/>
                <w:bCs/>
                <w:sz w:val="28"/>
                <w:szCs w:val="28"/>
              </w:rPr>
              <w:t>推进市域（郊）铁路</w:t>
            </w:r>
            <w:r>
              <w:rPr>
                <w:rFonts w:hint="eastAsia" w:eastAsia="方正仿宋_GBK"/>
                <w:b w:val="0"/>
                <w:bCs/>
                <w:sz w:val="28"/>
                <w:szCs w:val="28"/>
              </w:rPr>
              <w:t>中心城区</w:t>
            </w:r>
            <w:r>
              <w:rPr>
                <w:rFonts w:eastAsia="方正仿宋_GBK"/>
                <w:b w:val="0"/>
                <w:bCs/>
                <w:sz w:val="28"/>
                <w:szCs w:val="28"/>
              </w:rPr>
              <w:t>至永川线建设，远期延伸至荣昌。推进市域（郊）铁路二环线永川至合川段</w:t>
            </w:r>
            <w:r>
              <w:rPr>
                <w:rFonts w:hint="eastAsia" w:eastAsia="方正仿宋_GBK"/>
                <w:b w:val="0"/>
                <w:bCs/>
                <w:sz w:val="28"/>
                <w:szCs w:val="28"/>
              </w:rPr>
              <w:t>前期工作</w:t>
            </w:r>
            <w:r>
              <w:rPr>
                <w:rFonts w:eastAsia="方正仿宋_GBK"/>
                <w:b w:val="0"/>
                <w:bCs/>
                <w:sz w:val="28"/>
                <w:szCs w:val="28"/>
              </w:rPr>
              <w:t>。</w:t>
            </w:r>
          </w:p>
          <w:p>
            <w:pPr>
              <w:snapToGrid w:val="0"/>
              <w:spacing w:afterLines="0" w:line="276" w:lineRule="auto"/>
              <w:ind w:firstLine="560" w:firstLineChars="200"/>
              <w:rPr>
                <w:rFonts w:eastAsia="方正楷体_GBK"/>
                <w:b w:val="0"/>
                <w:bCs/>
                <w:color w:val="000000"/>
                <w:sz w:val="28"/>
                <w:szCs w:val="28"/>
              </w:rPr>
            </w:pPr>
            <w:r>
              <w:rPr>
                <w:rFonts w:eastAsia="方正楷体_GBK"/>
                <w:b w:val="0"/>
                <w:bCs/>
                <w:color w:val="000000"/>
                <w:sz w:val="28"/>
                <w:szCs w:val="28"/>
              </w:rPr>
              <w:t>普速铁路：</w:t>
            </w:r>
            <w:r>
              <w:rPr>
                <w:rFonts w:eastAsia="方正仿宋_GBK"/>
                <w:b w:val="0"/>
                <w:bCs/>
                <w:sz w:val="28"/>
                <w:szCs w:val="28"/>
              </w:rPr>
              <w:t>积极谋划成渝铁路扩能改造</w:t>
            </w:r>
            <w:r>
              <w:rPr>
                <w:rFonts w:hint="eastAsia" w:eastAsia="方正仿宋_GBK"/>
                <w:b w:val="0"/>
                <w:bCs/>
                <w:sz w:val="28"/>
                <w:szCs w:val="28"/>
              </w:rPr>
              <w:t>、</w:t>
            </w:r>
            <w:r>
              <w:rPr>
                <w:rFonts w:eastAsia="方正仿宋_GBK"/>
                <w:b w:val="0"/>
                <w:bCs/>
                <w:sz w:val="28"/>
                <w:szCs w:val="28"/>
              </w:rPr>
              <w:t>沿江铁路</w:t>
            </w:r>
            <w:r>
              <w:rPr>
                <w:rFonts w:hint="eastAsia" w:eastAsia="方正仿宋_GBK"/>
                <w:b w:val="0"/>
                <w:bCs/>
                <w:sz w:val="28"/>
                <w:szCs w:val="28"/>
              </w:rPr>
              <w:t>前期工作</w:t>
            </w:r>
            <w:r>
              <w:rPr>
                <w:rFonts w:eastAsia="方正仿宋_GBK"/>
                <w:b w:val="0"/>
                <w:bCs/>
                <w:sz w:val="28"/>
                <w:szCs w:val="28"/>
              </w:rPr>
              <w:t>。</w:t>
            </w:r>
          </w:p>
        </w:tc>
      </w:tr>
    </w:tbl>
    <w:p>
      <w:pPr>
        <w:keepNext w:val="0"/>
        <w:keepLines w:val="0"/>
        <w:pageBreakBefore w:val="0"/>
        <w:widowControl w:val="0"/>
        <w:kinsoku/>
        <w:wordWrap/>
        <w:overflowPunct/>
        <w:topLinePunct w:val="0"/>
        <w:autoSpaceDE/>
        <w:autoSpaceDN/>
        <w:bidi w:val="0"/>
        <w:adjustRightInd w:val="0"/>
        <w:snapToGrid w:val="0"/>
        <w:spacing w:before="0" w:after="0" w:afterLines="0" w:line="276" w:lineRule="auto"/>
        <w:ind w:firstLine="640" w:firstLineChars="200"/>
        <w:textAlignment w:val="auto"/>
        <w:rPr>
          <w:rFonts w:hint="eastAsia" w:ascii="方正楷体_GBK" w:hAnsi="方正楷体_GBK" w:eastAsia="方正楷体_GBK" w:cs="方正楷体_GBK"/>
          <w:b w:val="0"/>
          <w:bCs/>
          <w:kern w:val="2"/>
          <w:sz w:val="32"/>
          <w:szCs w:val="32"/>
        </w:rPr>
      </w:pPr>
      <w:bookmarkStart w:id="125" w:name="_Toc6325"/>
    </w:p>
    <w:p>
      <w:pPr>
        <w:pStyle w:val="16"/>
        <w:keepNext w:val="0"/>
        <w:keepLines w:val="0"/>
        <w:pageBreakBefore w:val="0"/>
        <w:widowControl w:val="0"/>
        <w:kinsoku/>
        <w:wordWrap/>
        <w:overflowPunct/>
        <w:topLinePunct w:val="0"/>
        <w:autoSpaceDE/>
        <w:autoSpaceDN/>
        <w:bidi w:val="0"/>
        <w:adjustRightInd w:val="0"/>
        <w:snapToGrid w:val="0"/>
        <w:spacing w:before="0" w:after="0" w:afterLines="0" w:line="276" w:lineRule="auto"/>
        <w:textAlignment w:val="auto"/>
        <w:rPr>
          <w:rFonts w:hint="eastAsia" w:ascii="方正楷体_GBK" w:hAnsi="方正楷体_GBK" w:eastAsia="方正楷体_GBK" w:cs="方正楷体_GBK"/>
          <w:b w:val="0"/>
          <w:bCs/>
          <w:kern w:val="2"/>
          <w:sz w:val="32"/>
          <w:szCs w:val="32"/>
        </w:rPr>
      </w:pPr>
      <w:bookmarkStart w:id="126" w:name="_Toc399214252"/>
      <w:bookmarkStart w:id="127" w:name="_Toc1541286797_WPSOffice_Level2"/>
      <w:bookmarkStart w:id="128" w:name="_Toc1467972569"/>
      <w:r>
        <w:rPr>
          <w:rFonts w:hint="eastAsia" w:ascii="方正楷体_GBK" w:hAnsi="方正楷体_GBK" w:eastAsia="方正楷体_GBK" w:cs="方正楷体_GBK"/>
          <w:b w:val="0"/>
          <w:bCs/>
          <w:kern w:val="2"/>
          <w:sz w:val="32"/>
          <w:szCs w:val="32"/>
        </w:rPr>
        <w:t>第二节</w:t>
      </w:r>
      <w:r>
        <w:rPr>
          <w:rFonts w:hint="eastAsia" w:ascii="方正楷体_GBK" w:hAnsi="方正楷体_GBK" w:eastAsia="方正楷体_GBK" w:cs="方正楷体_GBK"/>
          <w:b w:val="0"/>
          <w:bCs/>
          <w:kern w:val="2"/>
          <w:sz w:val="32"/>
          <w:szCs w:val="32"/>
          <w:lang w:val="en-US" w:eastAsia="zh-CN"/>
        </w:rPr>
        <w:t xml:space="preserve"> </w:t>
      </w:r>
      <w:r>
        <w:rPr>
          <w:rFonts w:hint="eastAsia" w:ascii="方正楷体_GBK" w:hAnsi="方正楷体_GBK" w:eastAsia="方正楷体_GBK" w:cs="方正楷体_GBK"/>
          <w:b w:val="0"/>
          <w:bCs/>
          <w:kern w:val="2"/>
          <w:sz w:val="32"/>
          <w:szCs w:val="32"/>
        </w:rPr>
        <w:t xml:space="preserve"> 打造区域性公路枢纽</w:t>
      </w:r>
      <w:bookmarkEnd w:id="125"/>
      <w:bookmarkEnd w:id="126"/>
      <w:bookmarkEnd w:id="127"/>
      <w:bookmarkEnd w:id="128"/>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仿宋_GBK"/>
          <w:b w:val="0"/>
          <w:bCs/>
          <w:sz w:val="32"/>
          <w:szCs w:val="32"/>
        </w:rPr>
      </w:pP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仿宋_GBK"/>
          <w:b w:val="0"/>
          <w:bCs/>
          <w:sz w:val="32"/>
          <w:szCs w:val="32"/>
        </w:rPr>
      </w:pPr>
      <w:r>
        <w:rPr>
          <w:rFonts w:eastAsia="方正仿宋_GBK"/>
          <w:b w:val="0"/>
          <w:bCs/>
          <w:sz w:val="32"/>
          <w:szCs w:val="32"/>
        </w:rPr>
        <w:t>建设发达的高速公路网，畅通川渝毗邻地区高等级公路网，建设</w:t>
      </w:r>
      <w:r>
        <w:rPr>
          <w:rFonts w:hint="eastAsia" w:eastAsia="方正仿宋_GBK"/>
          <w:b w:val="0"/>
          <w:bCs/>
          <w:sz w:val="32"/>
          <w:szCs w:val="32"/>
        </w:rPr>
        <w:t>高效进</w:t>
      </w:r>
      <w:r>
        <w:rPr>
          <w:rFonts w:eastAsia="方正仿宋_GBK"/>
          <w:b w:val="0"/>
          <w:bCs/>
          <w:sz w:val="32"/>
          <w:szCs w:val="32"/>
        </w:rPr>
        <w:t>城的快速</w:t>
      </w:r>
      <w:r>
        <w:rPr>
          <w:rFonts w:hint="eastAsia" w:eastAsia="方正仿宋_GBK"/>
          <w:b w:val="0"/>
          <w:bCs/>
          <w:sz w:val="32"/>
          <w:szCs w:val="32"/>
        </w:rPr>
        <w:t>通道</w:t>
      </w:r>
      <w:r>
        <w:rPr>
          <w:rFonts w:eastAsia="方正仿宋_GBK"/>
          <w:b w:val="0"/>
          <w:bCs/>
          <w:sz w:val="32"/>
          <w:szCs w:val="32"/>
        </w:rPr>
        <w:t>，形成</w:t>
      </w:r>
      <w:r>
        <w:rPr>
          <w:rFonts w:eastAsia="方正仿宋_GBK"/>
          <w:b w:val="0"/>
          <w:bCs/>
          <w:sz w:val="32"/>
          <w:szCs w:val="32"/>
          <w:lang w:val="en"/>
        </w:rPr>
        <w:t>“</w:t>
      </w:r>
      <w:r>
        <w:rPr>
          <w:rFonts w:eastAsia="方正仿宋_GBK"/>
          <w:b w:val="0"/>
          <w:bCs/>
          <w:sz w:val="32"/>
          <w:szCs w:val="32"/>
        </w:rPr>
        <w:t>结构完善、能力充沛</w:t>
      </w:r>
      <w:r>
        <w:rPr>
          <w:rFonts w:eastAsia="方正仿宋_GBK"/>
          <w:b w:val="0"/>
          <w:bCs/>
          <w:sz w:val="32"/>
          <w:szCs w:val="32"/>
          <w:lang w:val="en"/>
        </w:rPr>
        <w:t>”</w:t>
      </w:r>
      <w:r>
        <w:rPr>
          <w:rFonts w:eastAsia="方正仿宋_GBK"/>
          <w:b w:val="0"/>
          <w:bCs/>
          <w:sz w:val="32"/>
          <w:szCs w:val="32"/>
        </w:rPr>
        <w:t>的高快速公路网络，有力强化区域互联互通。</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仿宋_GBK"/>
          <w:b w:val="0"/>
          <w:bCs/>
          <w:sz w:val="32"/>
          <w:szCs w:val="32"/>
        </w:rPr>
      </w:pPr>
      <w:r>
        <w:rPr>
          <w:rFonts w:eastAsia="方正楷体_GBK"/>
          <w:b w:val="0"/>
          <w:bCs/>
          <w:color w:val="000000"/>
          <w:sz w:val="32"/>
          <w:szCs w:val="32"/>
        </w:rPr>
        <w:t>扩容加密区域高速公路网。</w:t>
      </w:r>
      <w:r>
        <w:rPr>
          <w:rFonts w:eastAsia="方正楷体_GBK"/>
          <w:b w:val="0"/>
          <w:bCs/>
          <w:sz w:val="32"/>
          <w:szCs w:val="32"/>
        </w:rPr>
        <w:t>加快推进在建项目建设。</w:t>
      </w:r>
      <w:r>
        <w:rPr>
          <w:rFonts w:eastAsia="方正仿宋_GBK"/>
          <w:b w:val="0"/>
          <w:bCs/>
          <w:sz w:val="32"/>
          <w:szCs w:val="32"/>
        </w:rPr>
        <w:t>大力推进江津至泸州北线高速公路建设，积极协调四川</w:t>
      </w:r>
      <w:r>
        <w:rPr>
          <w:rFonts w:hint="eastAsia" w:eastAsia="方正仿宋_GBK"/>
          <w:b w:val="0"/>
          <w:bCs/>
          <w:sz w:val="32"/>
          <w:szCs w:val="32"/>
        </w:rPr>
        <w:t>泸州</w:t>
      </w:r>
      <w:r>
        <w:rPr>
          <w:rFonts w:eastAsia="方正仿宋_GBK"/>
          <w:b w:val="0"/>
          <w:bCs/>
          <w:sz w:val="32"/>
          <w:szCs w:val="32"/>
        </w:rPr>
        <w:t>，</w:t>
      </w:r>
      <w:r>
        <w:rPr>
          <w:rFonts w:hint="eastAsia" w:eastAsia="方正仿宋_GBK"/>
          <w:b w:val="0"/>
          <w:bCs/>
          <w:sz w:val="32"/>
          <w:szCs w:val="32"/>
        </w:rPr>
        <w:t>建立一体化推进协调机制，</w:t>
      </w:r>
      <w:r>
        <w:rPr>
          <w:rFonts w:eastAsia="方正仿宋_GBK"/>
          <w:b w:val="0"/>
          <w:bCs/>
          <w:sz w:val="32"/>
          <w:szCs w:val="32"/>
        </w:rPr>
        <w:t>加快推进</w:t>
      </w:r>
      <w:r>
        <w:rPr>
          <w:rFonts w:hint="eastAsia" w:eastAsia="方正仿宋_GBK"/>
          <w:b w:val="0"/>
          <w:bCs/>
          <w:sz w:val="32"/>
          <w:szCs w:val="32"/>
        </w:rPr>
        <w:t>泸州</w:t>
      </w:r>
      <w:r>
        <w:rPr>
          <w:rFonts w:eastAsia="方正仿宋_GBK"/>
          <w:b w:val="0"/>
          <w:bCs/>
          <w:sz w:val="32"/>
          <w:szCs w:val="32"/>
        </w:rPr>
        <w:t>段项目建设，避免省际间出现断头路，进一步打通永川西向通道，强化永川与川渝毗邻地区的互联互通。</w:t>
      </w:r>
      <w:r>
        <w:rPr>
          <w:rFonts w:eastAsia="方正楷体_GBK"/>
          <w:b w:val="0"/>
          <w:bCs/>
          <w:sz w:val="32"/>
          <w:szCs w:val="32"/>
        </w:rPr>
        <w:t>加快推进新开工</w:t>
      </w:r>
      <w:r>
        <w:rPr>
          <w:rFonts w:hint="eastAsia" w:eastAsia="方正楷体_GBK"/>
          <w:b w:val="0"/>
          <w:bCs/>
          <w:sz w:val="32"/>
          <w:szCs w:val="32"/>
        </w:rPr>
        <w:t>项目</w:t>
      </w:r>
      <w:r>
        <w:rPr>
          <w:rFonts w:eastAsia="方正楷体_GBK"/>
          <w:b w:val="0"/>
          <w:bCs/>
          <w:sz w:val="32"/>
          <w:szCs w:val="32"/>
        </w:rPr>
        <w:t>建设。</w:t>
      </w:r>
      <w:r>
        <w:rPr>
          <w:rFonts w:eastAsia="方正仿宋_GBK"/>
          <w:b w:val="0"/>
          <w:bCs/>
          <w:sz w:val="32"/>
          <w:szCs w:val="32"/>
        </w:rPr>
        <w:t>加快开工成渝</w:t>
      </w:r>
      <w:r>
        <w:rPr>
          <w:rFonts w:hint="eastAsia" w:eastAsia="方正仿宋_GBK"/>
          <w:b w:val="0"/>
          <w:bCs/>
          <w:sz w:val="32"/>
          <w:szCs w:val="32"/>
        </w:rPr>
        <w:t>高速加宽</w:t>
      </w:r>
      <w:r>
        <w:rPr>
          <w:rFonts w:eastAsia="方正仿宋_GBK"/>
          <w:b w:val="0"/>
          <w:bCs/>
          <w:sz w:val="32"/>
          <w:szCs w:val="32"/>
        </w:rPr>
        <w:t>、三环高速陈食至油溪段、永川至璧山</w:t>
      </w:r>
      <w:r>
        <w:rPr>
          <w:rFonts w:hint="eastAsia" w:eastAsia="方正仿宋_GBK"/>
          <w:b w:val="0"/>
          <w:bCs/>
          <w:sz w:val="32"/>
          <w:szCs w:val="32"/>
        </w:rPr>
        <w:t>、</w:t>
      </w:r>
      <w:r>
        <w:rPr>
          <w:rFonts w:eastAsia="方正仿宋_GBK"/>
          <w:b w:val="0"/>
          <w:bCs/>
          <w:color w:val="000000"/>
          <w:sz w:val="32"/>
          <w:szCs w:val="32"/>
        </w:rPr>
        <w:t>永川至自贡</w:t>
      </w:r>
      <w:r>
        <w:rPr>
          <w:rFonts w:eastAsia="方正仿宋_GBK"/>
          <w:b w:val="0"/>
          <w:bCs/>
          <w:sz w:val="32"/>
          <w:szCs w:val="32"/>
        </w:rPr>
        <w:t>等高速公路建设，强化永川与荣昌、璧山、江津、泸州</w:t>
      </w:r>
      <w:r>
        <w:rPr>
          <w:rFonts w:hint="eastAsia" w:eastAsia="方正仿宋_GBK"/>
          <w:b w:val="0"/>
          <w:bCs/>
          <w:sz w:val="32"/>
          <w:szCs w:val="32"/>
        </w:rPr>
        <w:t>、自贡</w:t>
      </w:r>
      <w:r>
        <w:rPr>
          <w:rFonts w:eastAsia="方正仿宋_GBK"/>
          <w:b w:val="0"/>
          <w:bCs/>
          <w:sz w:val="32"/>
          <w:szCs w:val="32"/>
        </w:rPr>
        <w:t>等周边地区的联系，实现永川30分钟可达周边地区。</w:t>
      </w:r>
      <w:r>
        <w:rPr>
          <w:rFonts w:eastAsia="方正楷体_GBK"/>
          <w:b w:val="0"/>
          <w:bCs/>
          <w:sz w:val="32"/>
          <w:szCs w:val="32"/>
        </w:rPr>
        <w:t>加快推进项目前期研究。</w:t>
      </w:r>
      <w:r>
        <w:rPr>
          <w:rFonts w:eastAsia="方正仿宋_GBK"/>
          <w:b w:val="0"/>
          <w:bCs/>
          <w:sz w:val="32"/>
          <w:szCs w:val="32"/>
        </w:rPr>
        <w:t>积极推进永川至大足</w:t>
      </w:r>
      <w:r>
        <w:rPr>
          <w:rFonts w:hint="eastAsia" w:eastAsia="方正仿宋_GBK"/>
          <w:b w:val="0"/>
          <w:bCs/>
          <w:sz w:val="32"/>
          <w:szCs w:val="32"/>
        </w:rPr>
        <w:t>、铜梁至新机场等</w:t>
      </w:r>
      <w:r>
        <w:rPr>
          <w:rFonts w:eastAsia="方正仿宋_GBK"/>
          <w:b w:val="0"/>
          <w:bCs/>
          <w:sz w:val="32"/>
          <w:szCs w:val="32"/>
        </w:rPr>
        <w:t>高速</w:t>
      </w:r>
      <w:r>
        <w:rPr>
          <w:rFonts w:hint="eastAsia" w:eastAsia="方正仿宋_GBK"/>
          <w:b w:val="0"/>
          <w:bCs/>
          <w:sz w:val="32"/>
          <w:szCs w:val="32"/>
        </w:rPr>
        <w:t>公路</w:t>
      </w:r>
      <w:r>
        <w:rPr>
          <w:rFonts w:eastAsia="方正仿宋_GBK"/>
          <w:b w:val="0"/>
          <w:bCs/>
          <w:sz w:val="32"/>
          <w:szCs w:val="32"/>
        </w:rPr>
        <w:t>前期研究，力争早日开工建设，进一步强化永川与大足</w:t>
      </w:r>
      <w:r>
        <w:rPr>
          <w:rFonts w:hint="eastAsia" w:eastAsia="方正仿宋_GBK"/>
          <w:b w:val="0"/>
          <w:bCs/>
          <w:sz w:val="32"/>
          <w:szCs w:val="32"/>
        </w:rPr>
        <w:t>、铜梁</w:t>
      </w:r>
      <w:r>
        <w:rPr>
          <w:rFonts w:eastAsia="方正仿宋_GBK"/>
          <w:b w:val="0"/>
          <w:bCs/>
          <w:sz w:val="32"/>
          <w:szCs w:val="32"/>
        </w:rPr>
        <w:t>的联系。</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仿宋_GBK"/>
          <w:b w:val="0"/>
          <w:bCs/>
          <w:sz w:val="32"/>
          <w:szCs w:val="32"/>
        </w:rPr>
      </w:pPr>
      <w:r>
        <w:rPr>
          <w:rFonts w:eastAsia="方正楷体_GBK"/>
          <w:b w:val="0"/>
          <w:bCs/>
          <w:color w:val="000000"/>
          <w:sz w:val="32"/>
          <w:szCs w:val="32"/>
        </w:rPr>
        <w:t>畅通升级川渝毗邻干线公路网。</w:t>
      </w:r>
      <w:r>
        <w:rPr>
          <w:rFonts w:eastAsia="方正仿宋_GBK"/>
          <w:b w:val="0"/>
          <w:bCs/>
          <w:sz w:val="32"/>
          <w:szCs w:val="32"/>
        </w:rPr>
        <w:t>强化与四川</w:t>
      </w:r>
      <w:r>
        <w:rPr>
          <w:rFonts w:hint="eastAsia" w:eastAsia="方正仿宋_GBK"/>
          <w:b w:val="0"/>
          <w:bCs/>
          <w:sz w:val="32"/>
          <w:szCs w:val="32"/>
        </w:rPr>
        <w:t>泸州</w:t>
      </w:r>
      <w:r>
        <w:rPr>
          <w:rFonts w:eastAsia="方正仿宋_GBK"/>
          <w:b w:val="0"/>
          <w:bCs/>
          <w:sz w:val="32"/>
          <w:szCs w:val="32"/>
        </w:rPr>
        <w:t>协调，打通毗邻地区省道、县道断头路，统一标准、统一时序，完善干线网络连接。规划实施</w:t>
      </w:r>
      <w:r>
        <w:rPr>
          <w:rFonts w:hint="eastAsia" w:eastAsia="方正仿宋_GBK"/>
          <w:b w:val="0"/>
          <w:bCs/>
          <w:sz w:val="32"/>
          <w:szCs w:val="32"/>
        </w:rPr>
        <w:t>S208茅园至望川升级改造</w:t>
      </w:r>
      <w:r>
        <w:rPr>
          <w:rFonts w:eastAsia="方正仿宋_GBK"/>
          <w:b w:val="0"/>
          <w:bCs/>
          <w:sz w:val="32"/>
          <w:szCs w:val="32"/>
        </w:rPr>
        <w:t>、</w:t>
      </w:r>
      <w:r>
        <w:rPr>
          <w:rFonts w:hint="eastAsia" w:eastAsia="方正仿宋_GBK"/>
          <w:b w:val="0"/>
          <w:bCs/>
          <w:sz w:val="32"/>
          <w:szCs w:val="32"/>
        </w:rPr>
        <w:t>G246周公滩至泸州界路面改造</w:t>
      </w:r>
      <w:r>
        <w:rPr>
          <w:rFonts w:eastAsia="方正仿宋_GBK"/>
          <w:b w:val="0"/>
          <w:bCs/>
          <w:sz w:val="32"/>
          <w:szCs w:val="32"/>
        </w:rPr>
        <w:t>，</w:t>
      </w:r>
      <w:r>
        <w:rPr>
          <w:rFonts w:hint="eastAsia" w:eastAsia="方正仿宋_GBK"/>
          <w:b w:val="0"/>
          <w:bCs/>
          <w:sz w:val="32"/>
          <w:szCs w:val="32"/>
        </w:rPr>
        <w:t>积极开展S105永川城区至宝峰升级改造项目的前期工作。</w:t>
      </w:r>
      <w:r>
        <w:rPr>
          <w:rFonts w:eastAsia="方正仿宋_GBK"/>
          <w:b w:val="0"/>
          <w:bCs/>
          <w:sz w:val="32"/>
          <w:szCs w:val="32"/>
        </w:rPr>
        <w:t>对接匹配泸州市泸县、合江高等级国省道，谋划实施朱沱至泸县、吉安至泸县等一批出境重要连接线公路项目，进一步畅通川渝毗邻地区国省道、县道路网的互联互通</w:t>
      </w:r>
      <w:r>
        <w:rPr>
          <w:rFonts w:hint="eastAsia" w:eastAsia="方正仿宋_GBK"/>
          <w:b w:val="0"/>
          <w:bCs/>
          <w:sz w:val="32"/>
          <w:szCs w:val="32"/>
        </w:rPr>
        <w:t>，</w:t>
      </w:r>
      <w:r>
        <w:rPr>
          <w:rFonts w:eastAsia="方正仿宋_GBK"/>
          <w:b w:val="0"/>
          <w:bCs/>
          <w:sz w:val="32"/>
          <w:szCs w:val="32"/>
        </w:rPr>
        <w:t>加速融入成渝地区双城经济圈交通一体化。</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仿宋_GBK"/>
          <w:b w:val="0"/>
          <w:bCs/>
          <w:sz w:val="32"/>
          <w:szCs w:val="32"/>
        </w:rPr>
      </w:pPr>
      <w:r>
        <w:rPr>
          <w:rFonts w:eastAsia="方正楷体_GBK"/>
          <w:b w:val="0"/>
          <w:bCs/>
          <w:color w:val="000000"/>
          <w:sz w:val="32"/>
          <w:szCs w:val="32"/>
        </w:rPr>
        <w:t>全力建设</w:t>
      </w:r>
      <w:r>
        <w:rPr>
          <w:rFonts w:hint="eastAsia" w:eastAsia="方正楷体_GBK"/>
          <w:b w:val="0"/>
          <w:bCs/>
          <w:color w:val="000000"/>
          <w:sz w:val="32"/>
          <w:szCs w:val="32"/>
        </w:rPr>
        <w:t>进城</w:t>
      </w:r>
      <w:r>
        <w:rPr>
          <w:rFonts w:eastAsia="方正楷体_GBK"/>
          <w:b w:val="0"/>
          <w:bCs/>
          <w:color w:val="000000"/>
          <w:sz w:val="32"/>
          <w:szCs w:val="32"/>
        </w:rPr>
        <w:t>快速</w:t>
      </w:r>
      <w:r>
        <w:rPr>
          <w:rFonts w:hint="eastAsia" w:eastAsia="方正楷体_GBK"/>
          <w:b w:val="0"/>
          <w:bCs/>
          <w:color w:val="000000"/>
          <w:sz w:val="32"/>
          <w:szCs w:val="32"/>
        </w:rPr>
        <w:t>通道</w:t>
      </w:r>
      <w:r>
        <w:rPr>
          <w:rFonts w:eastAsia="方正楷体_GBK"/>
          <w:b w:val="0"/>
          <w:bCs/>
          <w:color w:val="000000"/>
          <w:sz w:val="32"/>
          <w:szCs w:val="32"/>
        </w:rPr>
        <w:t>。</w:t>
      </w:r>
      <w:r>
        <w:rPr>
          <w:rFonts w:eastAsia="方正仿宋_GBK"/>
          <w:b w:val="0"/>
          <w:bCs/>
          <w:sz w:val="32"/>
          <w:szCs w:val="32"/>
        </w:rPr>
        <w:t>按照双向六车道标准，加快实施永川至中心城区的北向、南向快速</w:t>
      </w:r>
      <w:r>
        <w:rPr>
          <w:rFonts w:hint="eastAsia" w:eastAsia="方正仿宋_GBK"/>
          <w:b w:val="0"/>
          <w:bCs/>
          <w:sz w:val="32"/>
          <w:szCs w:val="32"/>
        </w:rPr>
        <w:t>通道</w:t>
      </w:r>
      <w:r>
        <w:rPr>
          <w:rFonts w:eastAsia="方正仿宋_GBK"/>
          <w:b w:val="0"/>
          <w:bCs/>
          <w:sz w:val="32"/>
          <w:szCs w:val="32"/>
        </w:rPr>
        <w:t>建设，强化永川与璧山、江津、中心城区形成收费和非收费两个快速体系，形成永川至重庆新机场的快速双通道，实现15分钟快速可达重庆新机场，强化永川与国际航空枢纽的联系。</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noWrap w:val="0"/>
            <w:vAlign w:val="top"/>
          </w:tcPr>
          <w:p>
            <w:pPr>
              <w:snapToGrid w:val="0"/>
              <w:spacing w:after="0" w:afterLines="0" w:line="276" w:lineRule="auto"/>
              <w:jc w:val="center"/>
              <w:rPr>
                <w:rFonts w:eastAsia="方正小标宋_GBK"/>
                <w:b w:val="0"/>
                <w:bCs/>
                <w:sz w:val="28"/>
                <w:szCs w:val="28"/>
              </w:rPr>
            </w:pPr>
            <w:r>
              <w:rPr>
                <w:rFonts w:eastAsia="方正小标宋_GBK"/>
                <w:b w:val="0"/>
                <w:bCs/>
                <w:sz w:val="28"/>
                <w:szCs w:val="28"/>
              </w:rPr>
              <w:t>专栏2公路重大项目建设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5000" w:type="pct"/>
            <w:noWrap w:val="0"/>
            <w:vAlign w:val="top"/>
          </w:tcPr>
          <w:p>
            <w:pPr>
              <w:snapToGrid w:val="0"/>
              <w:spacing w:afterLines="0" w:line="276" w:lineRule="auto"/>
              <w:ind w:firstLine="560" w:firstLineChars="200"/>
              <w:rPr>
                <w:rFonts w:eastAsia="方正仿宋_GBK"/>
                <w:b w:val="0"/>
                <w:bCs/>
                <w:sz w:val="28"/>
                <w:szCs w:val="28"/>
              </w:rPr>
            </w:pPr>
            <w:r>
              <w:rPr>
                <w:rFonts w:eastAsia="方正楷体_GBK"/>
                <w:b w:val="0"/>
                <w:bCs/>
                <w:sz w:val="28"/>
                <w:szCs w:val="28"/>
              </w:rPr>
              <w:t>高速公路：</w:t>
            </w:r>
            <w:r>
              <w:rPr>
                <w:rFonts w:eastAsia="方正仿宋_GBK"/>
                <w:b w:val="0"/>
                <w:bCs/>
                <w:sz w:val="28"/>
                <w:szCs w:val="28"/>
              </w:rPr>
              <w:t>加快推进</w:t>
            </w:r>
            <w:r>
              <w:rPr>
                <w:rFonts w:hint="eastAsia" w:eastAsia="方正仿宋_GBK"/>
                <w:b w:val="0"/>
                <w:bCs/>
                <w:sz w:val="28"/>
                <w:szCs w:val="28"/>
              </w:rPr>
              <w:t>江津至泸州北线</w:t>
            </w:r>
            <w:r>
              <w:rPr>
                <w:rFonts w:eastAsia="方正仿宋_GBK"/>
                <w:b w:val="0"/>
                <w:bCs/>
                <w:sz w:val="28"/>
                <w:szCs w:val="28"/>
              </w:rPr>
              <w:t>等在建项目建设，新开工成渝</w:t>
            </w:r>
            <w:r>
              <w:rPr>
                <w:rFonts w:hint="eastAsia" w:eastAsia="方正仿宋_GBK"/>
                <w:b w:val="0"/>
                <w:bCs/>
                <w:sz w:val="28"/>
                <w:szCs w:val="28"/>
              </w:rPr>
              <w:t>高速加宽</w:t>
            </w:r>
            <w:r>
              <w:rPr>
                <w:rFonts w:eastAsia="方正仿宋_GBK"/>
                <w:b w:val="0"/>
                <w:bCs/>
                <w:sz w:val="28"/>
                <w:szCs w:val="28"/>
              </w:rPr>
              <w:t>、三环高速陈食至油溪段、永川至璧山</w:t>
            </w:r>
            <w:r>
              <w:rPr>
                <w:rFonts w:hint="eastAsia" w:eastAsia="方正仿宋_GBK"/>
                <w:b w:val="0"/>
                <w:bCs/>
                <w:sz w:val="28"/>
                <w:szCs w:val="28"/>
              </w:rPr>
              <w:t>、永川至自贡4</w:t>
            </w:r>
            <w:r>
              <w:rPr>
                <w:rFonts w:eastAsia="方正仿宋_GBK"/>
                <w:b w:val="0"/>
                <w:bCs/>
                <w:sz w:val="28"/>
                <w:szCs w:val="28"/>
              </w:rPr>
              <w:t>条高速公路建设，积极推进永川至大足</w:t>
            </w:r>
            <w:r>
              <w:rPr>
                <w:rFonts w:hint="eastAsia" w:eastAsia="方正仿宋_GBK"/>
                <w:b w:val="0"/>
                <w:bCs/>
                <w:sz w:val="28"/>
                <w:szCs w:val="28"/>
              </w:rPr>
              <w:t>、铜梁至新机场等</w:t>
            </w:r>
            <w:r>
              <w:rPr>
                <w:rFonts w:eastAsia="方正仿宋_GBK"/>
                <w:b w:val="0"/>
                <w:bCs/>
                <w:sz w:val="28"/>
                <w:szCs w:val="28"/>
              </w:rPr>
              <w:t>高速前期研究。</w:t>
            </w:r>
          </w:p>
          <w:p>
            <w:pPr>
              <w:snapToGrid w:val="0"/>
              <w:spacing w:afterLines="0" w:line="276" w:lineRule="auto"/>
              <w:ind w:firstLine="420" w:firstLineChars="150"/>
              <w:rPr>
                <w:rFonts w:hint="eastAsia" w:eastAsia="方正仿宋_GBK"/>
                <w:b w:val="0"/>
                <w:bCs/>
                <w:sz w:val="28"/>
                <w:szCs w:val="28"/>
              </w:rPr>
            </w:pPr>
            <w:r>
              <w:rPr>
                <w:rFonts w:eastAsia="方正仿宋_GBK"/>
                <w:b w:val="0"/>
                <w:bCs/>
                <w:sz w:val="28"/>
                <w:szCs w:val="28"/>
              </w:rPr>
              <w:t xml:space="preserve"> </w:t>
            </w:r>
            <w:r>
              <w:rPr>
                <w:rFonts w:eastAsia="方正楷体_GBK"/>
                <w:b w:val="0"/>
                <w:bCs/>
                <w:sz w:val="28"/>
                <w:szCs w:val="28"/>
              </w:rPr>
              <w:t>川渝毗邻干线公路：</w:t>
            </w:r>
            <w:r>
              <w:rPr>
                <w:rFonts w:hint="eastAsia" w:eastAsia="方正仿宋_GBK"/>
                <w:b w:val="0"/>
                <w:bCs/>
                <w:sz w:val="28"/>
                <w:szCs w:val="28"/>
              </w:rPr>
              <w:t>加快推动S208茅园至望川升级改造</w:t>
            </w:r>
            <w:r>
              <w:rPr>
                <w:rFonts w:eastAsia="方正仿宋_GBK"/>
                <w:b w:val="0"/>
                <w:bCs/>
                <w:sz w:val="28"/>
                <w:szCs w:val="28"/>
              </w:rPr>
              <w:t>、</w:t>
            </w:r>
            <w:bookmarkStart w:id="129" w:name="_Hlk62399057"/>
            <w:r>
              <w:rPr>
                <w:rFonts w:hint="eastAsia" w:eastAsia="方正仿宋_GBK"/>
                <w:b w:val="0"/>
                <w:bCs/>
                <w:sz w:val="28"/>
                <w:szCs w:val="28"/>
              </w:rPr>
              <w:t>G246周公滩至泸州界路面改造项目实施。积极推进</w:t>
            </w:r>
            <w:bookmarkEnd w:id="129"/>
            <w:r>
              <w:rPr>
                <w:rFonts w:eastAsia="方正仿宋_GBK"/>
                <w:b w:val="0"/>
                <w:bCs/>
                <w:sz w:val="28"/>
                <w:szCs w:val="28"/>
              </w:rPr>
              <w:t>S105永川城区至宝峰升级改造</w:t>
            </w:r>
            <w:r>
              <w:rPr>
                <w:rFonts w:hint="eastAsia" w:eastAsia="方正仿宋_GBK"/>
                <w:b w:val="0"/>
                <w:bCs/>
                <w:sz w:val="28"/>
                <w:szCs w:val="28"/>
              </w:rPr>
              <w:t>项目前期工作。</w:t>
            </w:r>
          </w:p>
          <w:p>
            <w:pPr>
              <w:snapToGrid w:val="0"/>
              <w:spacing w:afterLines="0" w:line="276" w:lineRule="auto"/>
              <w:ind w:firstLine="420" w:firstLineChars="150"/>
              <w:rPr>
                <w:rFonts w:eastAsia="方正仿宋_GBK"/>
                <w:b w:val="0"/>
                <w:bCs/>
                <w:sz w:val="28"/>
                <w:szCs w:val="28"/>
              </w:rPr>
            </w:pPr>
            <w:r>
              <w:rPr>
                <w:rFonts w:eastAsia="方正楷体_GBK"/>
                <w:b w:val="0"/>
                <w:bCs/>
                <w:sz w:val="28"/>
                <w:szCs w:val="28"/>
              </w:rPr>
              <w:t>快速</w:t>
            </w:r>
            <w:r>
              <w:rPr>
                <w:rFonts w:hint="eastAsia" w:eastAsia="方正楷体_GBK"/>
                <w:b w:val="0"/>
                <w:bCs/>
                <w:sz w:val="28"/>
                <w:szCs w:val="28"/>
              </w:rPr>
              <w:t>通道</w:t>
            </w:r>
            <w:r>
              <w:rPr>
                <w:rFonts w:eastAsia="方正楷体_GBK"/>
                <w:b w:val="0"/>
                <w:bCs/>
                <w:sz w:val="28"/>
                <w:szCs w:val="28"/>
              </w:rPr>
              <w:t>：</w:t>
            </w:r>
            <w:r>
              <w:rPr>
                <w:rFonts w:eastAsia="方正仿宋_GBK"/>
                <w:b w:val="0"/>
                <w:bCs/>
                <w:sz w:val="28"/>
                <w:szCs w:val="28"/>
              </w:rPr>
              <w:t>推动永川至璧山至中心城区快速</w:t>
            </w:r>
            <w:r>
              <w:rPr>
                <w:rFonts w:hint="eastAsia" w:eastAsia="方正仿宋_GBK"/>
                <w:b w:val="0"/>
                <w:bCs/>
                <w:sz w:val="28"/>
                <w:szCs w:val="28"/>
              </w:rPr>
              <w:t>通道</w:t>
            </w:r>
            <w:r>
              <w:rPr>
                <w:rFonts w:eastAsia="方正仿宋_GBK"/>
                <w:b w:val="0"/>
                <w:bCs/>
                <w:sz w:val="28"/>
                <w:szCs w:val="28"/>
              </w:rPr>
              <w:t>（北向快速通道）、永川至江津至中心城区快速</w:t>
            </w:r>
            <w:r>
              <w:rPr>
                <w:rFonts w:hint="eastAsia" w:eastAsia="方正仿宋_GBK"/>
                <w:b w:val="0"/>
                <w:bCs/>
                <w:sz w:val="28"/>
                <w:szCs w:val="28"/>
              </w:rPr>
              <w:t>通道</w:t>
            </w:r>
            <w:r>
              <w:rPr>
                <w:rFonts w:eastAsia="方正仿宋_GBK"/>
                <w:b w:val="0"/>
                <w:bCs/>
                <w:sz w:val="28"/>
                <w:szCs w:val="28"/>
              </w:rPr>
              <w:t>（南向快速通道）建设。</w:t>
            </w:r>
          </w:p>
        </w:tc>
      </w:tr>
    </w:tbl>
    <w:p>
      <w:pPr>
        <w:keepNext w:val="0"/>
        <w:keepLines w:val="0"/>
        <w:pageBreakBefore w:val="0"/>
        <w:widowControl w:val="0"/>
        <w:kinsoku/>
        <w:wordWrap/>
        <w:overflowPunct/>
        <w:topLinePunct w:val="0"/>
        <w:autoSpaceDE/>
        <w:autoSpaceDN/>
        <w:bidi w:val="0"/>
        <w:adjustRightInd w:val="0"/>
        <w:snapToGrid w:val="0"/>
        <w:spacing w:before="0" w:after="0" w:afterLines="0" w:line="276" w:lineRule="auto"/>
        <w:ind w:firstLine="630"/>
        <w:textAlignment w:val="auto"/>
        <w:rPr>
          <w:rFonts w:hint="default" w:ascii="Times New Roman" w:hAnsi="Times New Roman" w:eastAsia="方正仿宋_GBK" w:cs="Times New Roman"/>
          <w:b w:val="0"/>
          <w:bCs/>
          <w:kern w:val="2"/>
          <w:sz w:val="32"/>
          <w:szCs w:val="32"/>
        </w:rPr>
      </w:pPr>
      <w:bookmarkStart w:id="130" w:name="_Toc28205"/>
    </w:p>
    <w:p>
      <w:pPr>
        <w:pStyle w:val="16"/>
        <w:keepNext w:val="0"/>
        <w:keepLines w:val="0"/>
        <w:pageBreakBefore w:val="0"/>
        <w:widowControl w:val="0"/>
        <w:kinsoku/>
        <w:wordWrap/>
        <w:overflowPunct/>
        <w:topLinePunct w:val="0"/>
        <w:autoSpaceDE/>
        <w:autoSpaceDN/>
        <w:bidi w:val="0"/>
        <w:adjustRightInd w:val="0"/>
        <w:snapToGrid w:val="0"/>
        <w:spacing w:before="0" w:after="0" w:afterLines="0" w:line="276" w:lineRule="auto"/>
        <w:textAlignment w:val="auto"/>
        <w:rPr>
          <w:rFonts w:hint="eastAsia" w:ascii="方正楷体_GBK" w:hAnsi="方正楷体_GBK" w:eastAsia="方正楷体_GBK" w:cs="方正楷体_GBK"/>
          <w:b w:val="0"/>
          <w:bCs/>
          <w:kern w:val="2"/>
          <w:sz w:val="32"/>
          <w:szCs w:val="32"/>
        </w:rPr>
      </w:pPr>
      <w:bookmarkStart w:id="131" w:name="_Toc584959530"/>
      <w:bookmarkStart w:id="132" w:name="_Toc1830082735_WPSOffice_Level2"/>
      <w:bookmarkStart w:id="133" w:name="_Toc1112851535"/>
      <w:r>
        <w:rPr>
          <w:rFonts w:hint="eastAsia" w:ascii="方正楷体_GBK" w:hAnsi="方正楷体_GBK" w:eastAsia="方正楷体_GBK" w:cs="方正楷体_GBK"/>
          <w:b w:val="0"/>
          <w:bCs/>
          <w:kern w:val="2"/>
          <w:sz w:val="32"/>
          <w:szCs w:val="32"/>
        </w:rPr>
        <w:t>第三节 打造区域性航运枢纽</w:t>
      </w:r>
      <w:bookmarkEnd w:id="130"/>
      <w:bookmarkEnd w:id="131"/>
      <w:bookmarkEnd w:id="132"/>
      <w:bookmarkEnd w:id="133"/>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30"/>
        <w:textAlignment w:val="auto"/>
        <w:rPr>
          <w:rFonts w:eastAsia="方正仿宋_GBK"/>
          <w:b w:val="0"/>
          <w:bCs/>
          <w:sz w:val="32"/>
          <w:szCs w:val="32"/>
        </w:rPr>
      </w:pP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30"/>
        <w:textAlignment w:val="auto"/>
        <w:rPr>
          <w:rFonts w:eastAsia="方正仿宋_GBK"/>
          <w:b w:val="0"/>
          <w:bCs/>
          <w:sz w:val="32"/>
          <w:szCs w:val="32"/>
        </w:rPr>
      </w:pPr>
      <w:r>
        <w:rPr>
          <w:rFonts w:eastAsia="方正仿宋_GBK"/>
          <w:b w:val="0"/>
          <w:bCs/>
          <w:sz w:val="32"/>
          <w:szCs w:val="32"/>
        </w:rPr>
        <w:t>补短板、强弱项，加快水运基础设施提质增效，打造畅通高效、通江达海的航道网络，建设功能完善、分工协作的港口体系。</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30"/>
        <w:textAlignment w:val="auto"/>
        <w:rPr>
          <w:rFonts w:eastAsia="方正仿宋_GBK"/>
          <w:b w:val="0"/>
          <w:bCs/>
          <w:sz w:val="32"/>
          <w:szCs w:val="32"/>
        </w:rPr>
      </w:pPr>
      <w:r>
        <w:rPr>
          <w:rFonts w:eastAsia="方正楷体_GBK"/>
          <w:b w:val="0"/>
          <w:bCs/>
          <w:color w:val="000000"/>
          <w:sz w:val="32"/>
          <w:szCs w:val="32"/>
        </w:rPr>
        <w:t>推动提升长江干线航道通行能力。</w:t>
      </w:r>
      <w:r>
        <w:rPr>
          <w:rFonts w:eastAsia="方正仿宋_GBK"/>
          <w:b w:val="0"/>
          <w:bCs/>
          <w:sz w:val="32"/>
          <w:szCs w:val="32"/>
        </w:rPr>
        <w:t>协助推动长江干线重庆至宜宾生态航道建设工作，使永川境内长江航道21.5公里达到二级航道标准，常年可通行</w:t>
      </w:r>
      <w:r>
        <w:rPr>
          <w:rFonts w:hint="eastAsia" w:eastAsia="方正仿宋_GBK"/>
          <w:b w:val="0"/>
          <w:bCs/>
          <w:sz w:val="32"/>
          <w:szCs w:val="32"/>
        </w:rPr>
        <w:t>2</w:t>
      </w:r>
      <w:r>
        <w:rPr>
          <w:rFonts w:eastAsia="方正仿宋_GBK"/>
          <w:b w:val="0"/>
          <w:bCs/>
          <w:sz w:val="32"/>
          <w:szCs w:val="32"/>
        </w:rPr>
        <w:t>000吨级以上船舶，强化长江黄金水道对区域</w:t>
      </w:r>
      <w:r>
        <w:rPr>
          <w:rFonts w:hint="eastAsia" w:eastAsia="方正仿宋_GBK"/>
          <w:b w:val="0"/>
          <w:bCs/>
          <w:sz w:val="32"/>
          <w:szCs w:val="32"/>
        </w:rPr>
        <w:t>性</w:t>
      </w:r>
      <w:r>
        <w:rPr>
          <w:rFonts w:eastAsia="方正仿宋_GBK"/>
          <w:b w:val="0"/>
          <w:bCs/>
          <w:sz w:val="32"/>
          <w:szCs w:val="32"/>
        </w:rPr>
        <w:t>综合交通</w:t>
      </w:r>
      <w:r>
        <w:rPr>
          <w:rFonts w:hint="eastAsia" w:eastAsia="方正仿宋_GBK"/>
          <w:b w:val="0"/>
          <w:bCs/>
          <w:sz w:val="32"/>
          <w:szCs w:val="32"/>
        </w:rPr>
        <w:t>物流</w:t>
      </w:r>
      <w:r>
        <w:rPr>
          <w:rFonts w:eastAsia="方正仿宋_GBK"/>
          <w:b w:val="0"/>
          <w:bCs/>
          <w:sz w:val="32"/>
          <w:szCs w:val="32"/>
        </w:rPr>
        <w:t>枢纽的支撑保障作用，推动永川更好融入长江经济带发展。</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30"/>
        <w:textAlignment w:val="auto"/>
        <w:rPr>
          <w:rFonts w:eastAsia="方正仿宋_GBK"/>
          <w:b w:val="0"/>
          <w:bCs/>
          <w:sz w:val="32"/>
          <w:szCs w:val="32"/>
        </w:rPr>
      </w:pPr>
      <w:r>
        <w:rPr>
          <w:rFonts w:eastAsia="方正楷体_GBK"/>
          <w:b w:val="0"/>
          <w:bCs/>
          <w:color w:val="000000"/>
          <w:sz w:val="32"/>
          <w:szCs w:val="32"/>
        </w:rPr>
        <w:t>打造功能完善的区域性枢纽港。</w:t>
      </w:r>
      <w:r>
        <w:rPr>
          <w:rFonts w:hint="eastAsia" w:eastAsia="方正仿宋_GBK"/>
          <w:b w:val="0"/>
          <w:bCs/>
          <w:sz w:val="32"/>
          <w:szCs w:val="32"/>
        </w:rPr>
        <w:t>自然保护地优化调整后，依法依规</w:t>
      </w:r>
      <w:r>
        <w:rPr>
          <w:rFonts w:eastAsia="方正仿宋_GBK"/>
          <w:b w:val="0"/>
          <w:bCs/>
          <w:sz w:val="32"/>
          <w:szCs w:val="32"/>
        </w:rPr>
        <w:t>推进朱沱作业区3000吨级多用途泊位</w:t>
      </w:r>
      <w:r>
        <w:rPr>
          <w:rFonts w:hint="eastAsia" w:eastAsia="方正仿宋_GBK"/>
          <w:b w:val="0"/>
          <w:bCs/>
          <w:sz w:val="32"/>
          <w:szCs w:val="32"/>
        </w:rPr>
        <w:t>建设</w:t>
      </w:r>
      <w:r>
        <w:rPr>
          <w:rFonts w:eastAsia="方正仿宋_GBK"/>
          <w:b w:val="0"/>
          <w:bCs/>
          <w:sz w:val="32"/>
          <w:szCs w:val="32"/>
        </w:rPr>
        <w:t>，新增吞吐能力550万吨，充分发挥永川</w:t>
      </w:r>
      <w:r>
        <w:rPr>
          <w:rFonts w:hint="eastAsia" w:eastAsia="方正仿宋_GBK"/>
          <w:b w:val="0"/>
          <w:bCs/>
          <w:sz w:val="32"/>
          <w:szCs w:val="32"/>
        </w:rPr>
        <w:t>区位</w:t>
      </w:r>
      <w:r>
        <w:rPr>
          <w:rFonts w:eastAsia="方正仿宋_GBK"/>
          <w:b w:val="0"/>
          <w:bCs/>
          <w:sz w:val="32"/>
          <w:szCs w:val="32"/>
        </w:rPr>
        <w:t>优势，提升港口辐射能力。同步完善进港铁路、公路建设，大力发展铁公水多式联运，提升港口服务功能，将永川打造成为渝西、川东南、黔西北地区通江达海的便捷口岸。</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30"/>
        <w:textAlignment w:val="auto"/>
        <w:rPr>
          <w:rFonts w:eastAsia="方正仿宋_GBK"/>
          <w:b w:val="0"/>
          <w:bCs/>
          <w:color w:val="000000"/>
          <w:sz w:val="32"/>
          <w:szCs w:val="32"/>
        </w:rPr>
      </w:pPr>
      <w:r>
        <w:rPr>
          <w:rFonts w:eastAsia="方正楷体_GBK"/>
          <w:b w:val="0"/>
          <w:bCs/>
          <w:color w:val="000000"/>
          <w:sz w:val="32"/>
          <w:szCs w:val="32"/>
        </w:rPr>
        <w:t>强化港口布局及功能分工协作。</w:t>
      </w:r>
      <w:r>
        <w:rPr>
          <w:rFonts w:eastAsia="方正仿宋_GBK"/>
          <w:b w:val="0"/>
          <w:bCs/>
          <w:sz w:val="32"/>
          <w:szCs w:val="32"/>
        </w:rPr>
        <w:t>积极推动川渝地区港航资源整合，建立一体化发展机制，形成合理分工、相互协作的港口群，合理分工朱沱港、泸州港功能，实现差异化发展，共同打造成果园港的上游喂给港，形成分工协作、运转高效的江海联运体系。强化与主城港区、江津港区的功能分工，永川港区主要辐射渝西、川东南、黔西北等地区，重点服务腹地装备制造、造纸、现代五金、新型材料、汽车制造等产业。</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16" w:type="dxa"/>
            <w:noWrap w:val="0"/>
            <w:vAlign w:val="top"/>
          </w:tcPr>
          <w:p>
            <w:pPr>
              <w:snapToGrid w:val="0"/>
              <w:spacing w:after="0" w:afterLines="0" w:line="276" w:lineRule="auto"/>
              <w:jc w:val="center"/>
              <w:rPr>
                <w:rFonts w:eastAsia="方正小标宋_GBK"/>
                <w:b w:val="0"/>
                <w:bCs/>
                <w:sz w:val="28"/>
                <w:szCs w:val="28"/>
              </w:rPr>
            </w:pPr>
            <w:r>
              <w:rPr>
                <w:rFonts w:eastAsia="方正小标宋_GBK"/>
                <w:b w:val="0"/>
                <w:bCs/>
                <w:sz w:val="28"/>
                <w:szCs w:val="28"/>
              </w:rPr>
              <w:t xml:space="preserve">专栏3 </w:t>
            </w:r>
            <w:r>
              <w:rPr>
                <w:rFonts w:eastAsia="方正小标宋_GBK"/>
                <w:b w:val="0"/>
                <w:bCs/>
                <w:sz w:val="28"/>
                <w:szCs w:val="28"/>
                <w:lang w:val="en"/>
              </w:rPr>
              <w:t>“</w:t>
            </w:r>
            <w:r>
              <w:rPr>
                <w:rFonts w:eastAsia="方正小标宋_GBK"/>
                <w:b w:val="0"/>
                <w:bCs/>
                <w:sz w:val="28"/>
                <w:szCs w:val="28"/>
              </w:rPr>
              <w:t>十四五</w:t>
            </w:r>
            <w:r>
              <w:rPr>
                <w:rFonts w:eastAsia="方正小标宋_GBK"/>
                <w:b w:val="0"/>
                <w:bCs/>
                <w:sz w:val="28"/>
                <w:szCs w:val="28"/>
                <w:lang w:val="en"/>
              </w:rPr>
              <w:t>”</w:t>
            </w:r>
            <w:r>
              <w:rPr>
                <w:rFonts w:eastAsia="方正小标宋_GBK"/>
                <w:b w:val="0"/>
                <w:bCs/>
                <w:sz w:val="28"/>
                <w:szCs w:val="28"/>
              </w:rPr>
              <w:t>水运重点项目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8516" w:type="dxa"/>
            <w:noWrap w:val="0"/>
            <w:vAlign w:val="top"/>
          </w:tcPr>
          <w:p>
            <w:pPr>
              <w:snapToGrid w:val="0"/>
              <w:spacing w:afterLines="0" w:line="276" w:lineRule="auto"/>
              <w:ind w:firstLine="560" w:firstLineChars="200"/>
              <w:rPr>
                <w:rFonts w:eastAsia="方正仿宋_GBK"/>
                <w:b w:val="0"/>
                <w:bCs/>
                <w:sz w:val="28"/>
                <w:szCs w:val="28"/>
              </w:rPr>
            </w:pPr>
            <w:r>
              <w:rPr>
                <w:rFonts w:eastAsia="方正楷体_GBK"/>
                <w:b w:val="0"/>
                <w:bCs/>
                <w:sz w:val="28"/>
                <w:szCs w:val="28"/>
              </w:rPr>
              <w:t>航道整治</w:t>
            </w:r>
            <w:r>
              <w:rPr>
                <w:rFonts w:hint="eastAsia" w:eastAsia="方正楷体_GBK"/>
                <w:b w:val="0"/>
                <w:bCs/>
                <w:sz w:val="28"/>
                <w:szCs w:val="28"/>
              </w:rPr>
              <w:t>：</w:t>
            </w:r>
            <w:r>
              <w:rPr>
                <w:rFonts w:eastAsia="方正仿宋_GBK"/>
                <w:b w:val="0"/>
                <w:bCs/>
                <w:sz w:val="28"/>
                <w:szCs w:val="28"/>
              </w:rPr>
              <w:t>新开工长江干线重庆至宜宾生态航道建设。</w:t>
            </w:r>
          </w:p>
          <w:p>
            <w:pPr>
              <w:snapToGrid w:val="0"/>
              <w:spacing w:afterLines="0" w:line="276" w:lineRule="auto"/>
              <w:ind w:firstLine="560" w:firstLineChars="200"/>
              <w:rPr>
                <w:rFonts w:eastAsia="方正仿宋_GBK"/>
                <w:b w:val="0"/>
                <w:bCs/>
                <w:sz w:val="28"/>
                <w:szCs w:val="28"/>
              </w:rPr>
            </w:pPr>
            <w:r>
              <w:rPr>
                <w:rFonts w:eastAsia="方正楷体_GBK"/>
                <w:b w:val="0"/>
                <w:bCs/>
                <w:sz w:val="28"/>
                <w:szCs w:val="28"/>
              </w:rPr>
              <w:t>货运码头：</w:t>
            </w:r>
            <w:r>
              <w:rPr>
                <w:rFonts w:hint="eastAsia" w:eastAsia="方正仿宋_GBK"/>
                <w:b w:val="0"/>
                <w:bCs/>
                <w:sz w:val="28"/>
                <w:szCs w:val="28"/>
              </w:rPr>
              <w:t>在自然保护地优化调整后，依法依规推进</w:t>
            </w:r>
            <w:r>
              <w:rPr>
                <w:rFonts w:eastAsia="方正仿宋_GBK"/>
                <w:b w:val="0"/>
                <w:bCs/>
                <w:sz w:val="28"/>
                <w:szCs w:val="28"/>
              </w:rPr>
              <w:t>朱沱作业区3000吨级多用途泊位</w:t>
            </w:r>
            <w:r>
              <w:rPr>
                <w:rFonts w:hint="eastAsia" w:eastAsia="方正仿宋_GBK"/>
                <w:b w:val="0"/>
                <w:bCs/>
                <w:sz w:val="28"/>
                <w:szCs w:val="28"/>
              </w:rPr>
              <w:t>建设。</w:t>
            </w:r>
          </w:p>
        </w:tc>
      </w:tr>
    </w:tbl>
    <w:p>
      <w:pPr>
        <w:keepNext w:val="0"/>
        <w:keepLines w:val="0"/>
        <w:pageBreakBefore w:val="0"/>
        <w:widowControl w:val="0"/>
        <w:kinsoku/>
        <w:wordWrap/>
        <w:overflowPunct/>
        <w:topLinePunct w:val="0"/>
        <w:autoSpaceDE/>
        <w:autoSpaceDN/>
        <w:bidi w:val="0"/>
        <w:adjustRightInd w:val="0"/>
        <w:snapToGrid w:val="0"/>
        <w:spacing w:before="0" w:after="0" w:afterLines="0" w:line="276" w:lineRule="auto"/>
        <w:ind w:firstLine="640" w:firstLineChars="200"/>
        <w:textAlignment w:val="auto"/>
        <w:rPr>
          <w:rFonts w:hint="default" w:ascii="Times New Roman" w:hAnsi="Times New Roman" w:eastAsia="方正仿宋_GBK" w:cs="Times New Roman"/>
          <w:b w:val="0"/>
          <w:bCs/>
          <w:kern w:val="2"/>
          <w:sz w:val="32"/>
          <w:szCs w:val="32"/>
        </w:rPr>
      </w:pPr>
      <w:bookmarkStart w:id="134" w:name="_Toc3991"/>
    </w:p>
    <w:p>
      <w:pPr>
        <w:pStyle w:val="16"/>
        <w:keepNext w:val="0"/>
        <w:keepLines w:val="0"/>
        <w:pageBreakBefore w:val="0"/>
        <w:widowControl w:val="0"/>
        <w:kinsoku/>
        <w:wordWrap/>
        <w:overflowPunct/>
        <w:topLinePunct w:val="0"/>
        <w:autoSpaceDE/>
        <w:autoSpaceDN/>
        <w:bidi w:val="0"/>
        <w:adjustRightInd w:val="0"/>
        <w:snapToGrid w:val="0"/>
        <w:spacing w:before="0" w:after="0" w:afterLines="0" w:line="276" w:lineRule="auto"/>
        <w:textAlignment w:val="auto"/>
        <w:rPr>
          <w:rFonts w:hint="eastAsia" w:ascii="方正楷体_GBK" w:hAnsi="方正楷体_GBK" w:eastAsia="方正楷体_GBK" w:cs="方正楷体_GBK"/>
          <w:b w:val="0"/>
          <w:bCs/>
          <w:kern w:val="2"/>
          <w:sz w:val="32"/>
          <w:szCs w:val="32"/>
        </w:rPr>
      </w:pPr>
      <w:bookmarkStart w:id="135" w:name="_Toc1045934805"/>
      <w:bookmarkStart w:id="136" w:name="_Toc1364936270_WPSOffice_Level2"/>
      <w:bookmarkStart w:id="137" w:name="_Toc2053451793"/>
      <w:r>
        <w:rPr>
          <w:rFonts w:hint="eastAsia" w:ascii="方正楷体_GBK" w:hAnsi="方正楷体_GBK" w:eastAsia="方正楷体_GBK" w:cs="方正楷体_GBK"/>
          <w:b w:val="0"/>
          <w:bCs/>
          <w:kern w:val="2"/>
          <w:sz w:val="32"/>
          <w:szCs w:val="32"/>
        </w:rPr>
        <w:t>第四节</w:t>
      </w:r>
      <w:r>
        <w:rPr>
          <w:rFonts w:hint="eastAsia" w:ascii="方正楷体_GBK" w:hAnsi="方正楷体_GBK" w:eastAsia="方正楷体_GBK" w:cs="方正楷体_GBK"/>
          <w:b w:val="0"/>
          <w:bCs/>
          <w:kern w:val="2"/>
          <w:sz w:val="32"/>
          <w:szCs w:val="32"/>
          <w:lang w:val="en-US" w:eastAsia="zh-CN"/>
        </w:rPr>
        <w:t xml:space="preserve"> </w:t>
      </w:r>
      <w:r>
        <w:rPr>
          <w:rFonts w:hint="eastAsia" w:ascii="方正楷体_GBK" w:hAnsi="方正楷体_GBK" w:eastAsia="方正楷体_GBK" w:cs="方正楷体_GBK"/>
          <w:b w:val="0"/>
          <w:bCs/>
          <w:kern w:val="2"/>
          <w:sz w:val="32"/>
          <w:szCs w:val="32"/>
        </w:rPr>
        <w:t xml:space="preserve"> 打造区域性通用航空基地</w:t>
      </w:r>
      <w:bookmarkEnd w:id="134"/>
      <w:bookmarkEnd w:id="135"/>
      <w:bookmarkEnd w:id="136"/>
      <w:bookmarkEnd w:id="137"/>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仿宋_GBK"/>
          <w:b w:val="0"/>
          <w:bCs/>
          <w:sz w:val="32"/>
          <w:szCs w:val="32"/>
        </w:rPr>
      </w:pP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仿宋_GBK"/>
          <w:b w:val="0"/>
          <w:bCs/>
          <w:sz w:val="32"/>
          <w:szCs w:val="32"/>
          <w:highlight w:val="yellow"/>
        </w:rPr>
      </w:pPr>
      <w:r>
        <w:rPr>
          <w:rFonts w:eastAsia="方正仿宋_GBK"/>
          <w:b w:val="0"/>
          <w:bCs/>
          <w:sz w:val="32"/>
          <w:szCs w:val="32"/>
        </w:rPr>
        <w:t>积极完善民航功能，推动大安机场与重庆新机场协同发展，依托大安机场全力打造区域性通用航空基地。</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仿宋_GBK"/>
          <w:b w:val="0"/>
          <w:bCs/>
          <w:sz w:val="32"/>
          <w:szCs w:val="32"/>
        </w:rPr>
      </w:pPr>
      <w:r>
        <w:rPr>
          <w:rFonts w:eastAsia="方正楷体_GBK"/>
          <w:b w:val="0"/>
          <w:bCs/>
          <w:color w:val="000000"/>
          <w:sz w:val="32"/>
          <w:szCs w:val="32"/>
        </w:rPr>
        <w:t>推动大安机场与重庆新机场协同发展。</w:t>
      </w:r>
      <w:r>
        <w:rPr>
          <w:rFonts w:eastAsia="方正仿宋_GBK"/>
          <w:b w:val="0"/>
          <w:bCs/>
          <w:sz w:val="32"/>
          <w:szCs w:val="32"/>
        </w:rPr>
        <w:t>全力推动重庆至永川至自贡（乐山）、市域（郊）铁路</w:t>
      </w:r>
      <w:r>
        <w:rPr>
          <w:rFonts w:hint="eastAsia" w:eastAsia="方正仿宋_GBK"/>
          <w:b w:val="0"/>
          <w:bCs/>
          <w:sz w:val="32"/>
          <w:szCs w:val="32"/>
        </w:rPr>
        <w:t>中心城区</w:t>
      </w:r>
      <w:r>
        <w:rPr>
          <w:rFonts w:eastAsia="方正仿宋_GBK"/>
          <w:b w:val="0"/>
          <w:bCs/>
          <w:sz w:val="32"/>
          <w:szCs w:val="32"/>
        </w:rPr>
        <w:t>至永川线等轨道交通建设，推动永川至重庆新机场、中心城区的高等级快速</w:t>
      </w:r>
      <w:r>
        <w:rPr>
          <w:rFonts w:hint="eastAsia" w:eastAsia="方正仿宋_GBK"/>
          <w:b w:val="0"/>
          <w:bCs/>
          <w:sz w:val="32"/>
          <w:szCs w:val="32"/>
        </w:rPr>
        <w:t>通道</w:t>
      </w:r>
      <w:r>
        <w:rPr>
          <w:rFonts w:eastAsia="方正仿宋_GBK"/>
          <w:b w:val="0"/>
          <w:bCs/>
          <w:sz w:val="32"/>
          <w:szCs w:val="32"/>
        </w:rPr>
        <w:t>建设，强化大安机场与重庆新机场的集疏运通道联系，实现大安机场与重庆新机场15分钟可达。依托快速的交通网络，推动大安机场与重庆新机场协同发展、一体发展。</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仿宋_GBK"/>
          <w:b w:val="0"/>
          <w:bCs/>
          <w:sz w:val="32"/>
          <w:szCs w:val="32"/>
        </w:rPr>
      </w:pPr>
      <w:r>
        <w:rPr>
          <w:rFonts w:eastAsia="方正楷体_GBK"/>
          <w:b w:val="0"/>
          <w:bCs/>
          <w:color w:val="000000"/>
          <w:sz w:val="32"/>
          <w:szCs w:val="32"/>
        </w:rPr>
        <w:t>积极拓展大安通用机场功能</w:t>
      </w:r>
      <w:r>
        <w:rPr>
          <w:rFonts w:eastAsia="方正仿宋_GBK"/>
          <w:b w:val="0"/>
          <w:bCs/>
          <w:sz w:val="32"/>
          <w:szCs w:val="32"/>
        </w:rPr>
        <w:t>。依托大安通用机场，大力推进航空小镇建设，大力发展航空产业园。积极开展飞行员培训、空中巡查、防林护林等作业飞行，拓展应急救援、商务包机、空中摄影、景点观光、空中表演等民生功能，把永川打造成全市通用机场网络的重要节点。在茶山竹海、松溉古镇等地规划建设直升机起降平台或者直升机起降点，满足未来应急救援和旅游发展需要。</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楷体_GBK"/>
          <w:b w:val="0"/>
          <w:bCs/>
          <w:color w:val="000000"/>
          <w:sz w:val="32"/>
          <w:szCs w:val="32"/>
        </w:rPr>
      </w:pPr>
      <w:r>
        <w:rPr>
          <w:rFonts w:eastAsia="方正楷体_GBK"/>
          <w:b w:val="0"/>
          <w:bCs/>
          <w:color w:val="000000"/>
          <w:sz w:val="32"/>
          <w:szCs w:val="32"/>
        </w:rPr>
        <w:t>全力支撑临空经济发展。</w:t>
      </w:r>
      <w:r>
        <w:rPr>
          <w:rFonts w:eastAsia="方正仿宋_GBK"/>
          <w:b w:val="0"/>
          <w:bCs/>
          <w:sz w:val="32"/>
          <w:szCs w:val="32"/>
        </w:rPr>
        <w:t>以大安通用机场为核心，打造航空枢纽和现代综合交通运输体系，提供高时效、高质量、高附加值产品和服务，集聚发展航空运输业、高端制造业和现代服务业，使通用机场民航业辐射带动永川科技生态城发展，与永川区域经济相互融合、相互促进。规划永川城市综合服务区、高端制造区等，布局航空金融、商业商务、航展中心、产业基地等功能，提升开放门户能力。</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8516" w:type="dxa"/>
            <w:noWrap w:val="0"/>
            <w:vAlign w:val="top"/>
          </w:tcPr>
          <w:p>
            <w:pPr>
              <w:snapToGrid w:val="0"/>
              <w:spacing w:after="0" w:afterLines="0" w:line="276" w:lineRule="auto"/>
              <w:jc w:val="center"/>
              <w:rPr>
                <w:rFonts w:eastAsia="方正小标宋_GBK"/>
                <w:b w:val="0"/>
                <w:bCs/>
                <w:sz w:val="28"/>
                <w:szCs w:val="28"/>
              </w:rPr>
            </w:pPr>
            <w:r>
              <w:rPr>
                <w:rFonts w:eastAsia="方正小标宋_GBK"/>
                <w:b w:val="0"/>
                <w:bCs/>
                <w:sz w:val="28"/>
                <w:szCs w:val="28"/>
              </w:rPr>
              <w:t xml:space="preserve">专栏4 </w:t>
            </w:r>
            <w:r>
              <w:rPr>
                <w:rFonts w:eastAsia="方正小标宋_GBK"/>
                <w:b w:val="0"/>
                <w:bCs/>
                <w:sz w:val="28"/>
                <w:szCs w:val="28"/>
                <w:lang w:val="en"/>
              </w:rPr>
              <w:t>“</w:t>
            </w:r>
            <w:r>
              <w:rPr>
                <w:rFonts w:eastAsia="方正小标宋_GBK"/>
                <w:b w:val="0"/>
                <w:bCs/>
                <w:sz w:val="28"/>
                <w:szCs w:val="28"/>
              </w:rPr>
              <w:t>十四五</w:t>
            </w:r>
            <w:r>
              <w:rPr>
                <w:rFonts w:eastAsia="方正小标宋_GBK"/>
                <w:b w:val="0"/>
                <w:bCs/>
                <w:sz w:val="28"/>
                <w:szCs w:val="28"/>
                <w:lang w:val="en"/>
              </w:rPr>
              <w:t>”</w:t>
            </w:r>
            <w:r>
              <w:rPr>
                <w:rFonts w:eastAsia="方正小标宋_GBK"/>
                <w:b w:val="0"/>
                <w:bCs/>
                <w:sz w:val="28"/>
                <w:szCs w:val="28"/>
              </w:rPr>
              <w:t>民航重点项目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8516" w:type="dxa"/>
            <w:noWrap w:val="0"/>
            <w:vAlign w:val="top"/>
          </w:tcPr>
          <w:p>
            <w:pPr>
              <w:snapToGrid w:val="0"/>
              <w:spacing w:afterLines="0" w:line="276" w:lineRule="auto"/>
              <w:ind w:firstLine="560" w:firstLineChars="200"/>
              <w:rPr>
                <w:rFonts w:eastAsia="方正仿宋_GBK"/>
                <w:b w:val="0"/>
                <w:bCs/>
                <w:sz w:val="28"/>
                <w:szCs w:val="28"/>
              </w:rPr>
            </w:pPr>
            <w:r>
              <w:rPr>
                <w:rFonts w:eastAsia="方正楷体_GBK"/>
                <w:b w:val="0"/>
                <w:bCs/>
                <w:sz w:val="28"/>
                <w:szCs w:val="28"/>
              </w:rPr>
              <w:t>与重庆新机场协同发展：</w:t>
            </w:r>
            <w:r>
              <w:rPr>
                <w:rFonts w:hint="eastAsia" w:eastAsia="方正仿宋_GBK"/>
                <w:b w:val="0"/>
                <w:bCs/>
                <w:sz w:val="28"/>
                <w:szCs w:val="28"/>
              </w:rPr>
              <w:t>提前谋划将</w:t>
            </w:r>
            <w:r>
              <w:rPr>
                <w:rFonts w:eastAsia="方正仿宋_GBK"/>
                <w:b w:val="0"/>
                <w:bCs/>
                <w:sz w:val="28"/>
                <w:szCs w:val="28"/>
              </w:rPr>
              <w:t>大安机场打造成重庆新机场的区域候机点。</w:t>
            </w:r>
          </w:p>
          <w:p>
            <w:pPr>
              <w:snapToGrid w:val="0"/>
              <w:spacing w:afterLines="0" w:line="276" w:lineRule="auto"/>
              <w:ind w:firstLine="560" w:firstLineChars="200"/>
              <w:rPr>
                <w:rFonts w:eastAsia="方正仿宋_GBK"/>
                <w:b w:val="0"/>
                <w:bCs/>
                <w:sz w:val="28"/>
                <w:szCs w:val="28"/>
              </w:rPr>
            </w:pPr>
            <w:r>
              <w:rPr>
                <w:rFonts w:eastAsia="方正楷体_GBK"/>
                <w:b w:val="0"/>
                <w:bCs/>
                <w:sz w:val="28"/>
                <w:szCs w:val="28"/>
              </w:rPr>
              <w:t>起降平台或起降点：</w:t>
            </w:r>
            <w:r>
              <w:rPr>
                <w:rFonts w:hint="eastAsia" w:eastAsia="方正仿宋_GBK"/>
                <w:b w:val="0"/>
                <w:bCs/>
                <w:sz w:val="28"/>
                <w:szCs w:val="28"/>
              </w:rPr>
              <w:t>推动</w:t>
            </w:r>
            <w:r>
              <w:rPr>
                <w:rFonts w:eastAsia="方正仿宋_GBK"/>
                <w:b w:val="0"/>
                <w:bCs/>
                <w:sz w:val="28"/>
                <w:szCs w:val="28"/>
              </w:rPr>
              <w:t>建设茶山竹海、松溉古镇等地直升机起降平台或者直升机起降点。</w:t>
            </w:r>
          </w:p>
          <w:p>
            <w:pPr>
              <w:snapToGrid w:val="0"/>
              <w:spacing w:afterLines="0" w:line="276" w:lineRule="auto"/>
              <w:ind w:firstLine="560" w:firstLineChars="200"/>
              <w:rPr>
                <w:rFonts w:eastAsia="方正仿宋_GBK"/>
                <w:b w:val="0"/>
                <w:bCs/>
                <w:sz w:val="28"/>
                <w:szCs w:val="28"/>
              </w:rPr>
            </w:pPr>
            <w:r>
              <w:rPr>
                <w:rFonts w:hint="eastAsia" w:eastAsia="方正楷体_GBK"/>
                <w:b w:val="0"/>
                <w:bCs/>
                <w:sz w:val="28"/>
                <w:szCs w:val="28"/>
              </w:rPr>
              <w:t>大力发展临空经济</w:t>
            </w:r>
            <w:r>
              <w:rPr>
                <w:rFonts w:eastAsia="方正楷体_GBK"/>
                <w:b w:val="0"/>
                <w:bCs/>
                <w:sz w:val="28"/>
                <w:szCs w:val="28"/>
              </w:rPr>
              <w:t>：</w:t>
            </w:r>
            <w:r>
              <w:rPr>
                <w:rFonts w:hint="eastAsia" w:eastAsia="方正仿宋_GBK"/>
                <w:b w:val="0"/>
                <w:bCs/>
                <w:sz w:val="28"/>
                <w:szCs w:val="28"/>
              </w:rPr>
              <w:t>依托</w:t>
            </w:r>
            <w:r>
              <w:rPr>
                <w:rFonts w:eastAsia="方正仿宋_GBK"/>
                <w:b w:val="0"/>
                <w:bCs/>
                <w:sz w:val="28"/>
                <w:szCs w:val="28"/>
              </w:rPr>
              <w:t>大安机场打造集综合服务、商务交易、高端制造于一体的临空经济</w:t>
            </w:r>
            <w:r>
              <w:rPr>
                <w:rFonts w:hint="eastAsia" w:eastAsia="方正仿宋_GBK"/>
                <w:b w:val="0"/>
                <w:bCs/>
                <w:sz w:val="28"/>
                <w:szCs w:val="28"/>
              </w:rPr>
              <w:t>产业</w:t>
            </w:r>
            <w:r>
              <w:rPr>
                <w:rFonts w:eastAsia="方正仿宋_GBK"/>
                <w:b w:val="0"/>
                <w:bCs/>
                <w:sz w:val="28"/>
                <w:szCs w:val="28"/>
              </w:rPr>
              <w:t>。</w:t>
            </w:r>
          </w:p>
        </w:tc>
      </w:tr>
    </w:tbl>
    <w:p>
      <w:pPr>
        <w:keepNext w:val="0"/>
        <w:keepLines w:val="0"/>
        <w:pageBreakBefore w:val="0"/>
        <w:widowControl w:val="0"/>
        <w:kinsoku/>
        <w:wordWrap/>
        <w:overflowPunct/>
        <w:topLinePunct w:val="0"/>
        <w:autoSpaceDE/>
        <w:autoSpaceDN/>
        <w:bidi w:val="0"/>
        <w:adjustRightInd w:val="0"/>
        <w:snapToGrid w:val="0"/>
        <w:spacing w:before="0" w:after="0" w:afterLines="0" w:line="276" w:lineRule="auto"/>
        <w:ind w:firstLine="640" w:firstLineChars="200"/>
        <w:textAlignment w:val="auto"/>
        <w:rPr>
          <w:rFonts w:ascii="Times New Roman" w:hAnsi="Times New Roman" w:eastAsia="方正仿宋_GBK" w:cs="Times New Roman"/>
          <w:b w:val="0"/>
          <w:bCs/>
          <w:sz w:val="32"/>
          <w:szCs w:val="32"/>
        </w:rPr>
      </w:pPr>
      <w:bookmarkStart w:id="138" w:name="_Toc8216"/>
    </w:p>
    <w:p>
      <w:pPr>
        <w:pStyle w:val="18"/>
        <w:keepNext w:val="0"/>
        <w:keepLines w:val="0"/>
        <w:pageBreakBefore w:val="0"/>
        <w:widowControl w:val="0"/>
        <w:kinsoku/>
        <w:wordWrap/>
        <w:overflowPunct/>
        <w:topLinePunct w:val="0"/>
        <w:autoSpaceDE/>
        <w:autoSpaceDN/>
        <w:bidi w:val="0"/>
        <w:adjustRightInd w:val="0"/>
        <w:snapToGrid w:val="0"/>
        <w:spacing w:before="0" w:after="0" w:afterLines="0" w:line="276" w:lineRule="auto"/>
        <w:textAlignment w:val="auto"/>
        <w:rPr>
          <w:rFonts w:ascii="Times New Roman" w:hAnsi="Times New Roman" w:eastAsia="方正黑体_GBK"/>
          <w:b w:val="0"/>
          <w:sz w:val="32"/>
          <w:szCs w:val="32"/>
        </w:rPr>
      </w:pPr>
      <w:bookmarkStart w:id="139" w:name="_Toc92825227"/>
      <w:bookmarkStart w:id="140" w:name="_Toc34327621"/>
      <w:bookmarkStart w:id="141" w:name="_Toc1515291154_WPSOffice_Level1"/>
      <w:r>
        <w:rPr>
          <w:rFonts w:ascii="Times New Roman" w:hAnsi="Times New Roman" w:eastAsia="方正黑体_GBK"/>
          <w:b w:val="0"/>
          <w:bCs/>
          <w:sz w:val="32"/>
          <w:szCs w:val="32"/>
        </w:rPr>
        <w:t>第六章  着眼内部畅通，构建产城景融合发展网</w:t>
      </w:r>
      <w:bookmarkEnd w:id="138"/>
      <w:bookmarkEnd w:id="139"/>
      <w:bookmarkEnd w:id="140"/>
      <w:bookmarkEnd w:id="141"/>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仿宋_GBK"/>
          <w:b w:val="0"/>
          <w:bCs/>
          <w:sz w:val="32"/>
          <w:szCs w:val="32"/>
        </w:rPr>
      </w:pP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仿宋_GBK"/>
          <w:b w:val="0"/>
          <w:bCs/>
          <w:sz w:val="32"/>
          <w:szCs w:val="32"/>
        </w:rPr>
      </w:pPr>
      <w:r>
        <w:rPr>
          <w:rFonts w:eastAsia="方正仿宋_GBK"/>
          <w:b w:val="0"/>
          <w:bCs/>
          <w:sz w:val="32"/>
          <w:szCs w:val="32"/>
        </w:rPr>
        <w:t>畅通城乡</w:t>
      </w:r>
      <w:r>
        <w:rPr>
          <w:rFonts w:eastAsia="方正仿宋_GBK"/>
          <w:b w:val="0"/>
          <w:bCs/>
          <w:sz w:val="32"/>
          <w:szCs w:val="32"/>
          <w:lang w:val="en"/>
        </w:rPr>
        <w:t>“</w:t>
      </w:r>
      <w:r>
        <w:rPr>
          <w:rFonts w:eastAsia="方正仿宋_GBK"/>
          <w:b w:val="0"/>
          <w:bCs/>
          <w:sz w:val="32"/>
          <w:szCs w:val="32"/>
        </w:rPr>
        <w:t>毛细血管</w:t>
      </w:r>
      <w:r>
        <w:rPr>
          <w:rFonts w:eastAsia="方正仿宋_GBK"/>
          <w:b w:val="0"/>
          <w:bCs/>
          <w:sz w:val="32"/>
          <w:szCs w:val="32"/>
          <w:lang w:val="en"/>
        </w:rPr>
        <w:t>”</w:t>
      </w:r>
      <w:r>
        <w:rPr>
          <w:rFonts w:eastAsia="方正仿宋_GBK"/>
          <w:b w:val="0"/>
          <w:bCs/>
          <w:sz w:val="32"/>
          <w:szCs w:val="32"/>
        </w:rPr>
        <w:t>，建设更多更好的</w:t>
      </w:r>
      <w:r>
        <w:rPr>
          <w:rFonts w:eastAsia="方正仿宋_GBK"/>
          <w:b w:val="0"/>
          <w:bCs/>
          <w:sz w:val="32"/>
          <w:szCs w:val="32"/>
          <w:lang w:val="en"/>
        </w:rPr>
        <w:t>“</w:t>
      </w:r>
      <w:r>
        <w:rPr>
          <w:rFonts w:eastAsia="方正仿宋_GBK"/>
          <w:b w:val="0"/>
          <w:bCs/>
          <w:sz w:val="32"/>
          <w:szCs w:val="32"/>
        </w:rPr>
        <w:t>产业路</w:t>
      </w:r>
      <w:r>
        <w:rPr>
          <w:rFonts w:eastAsia="方正仿宋_GBK"/>
          <w:b w:val="0"/>
          <w:bCs/>
          <w:sz w:val="32"/>
          <w:szCs w:val="32"/>
          <w:lang w:val="en"/>
        </w:rPr>
        <w:t>”“</w:t>
      </w:r>
      <w:r>
        <w:rPr>
          <w:rFonts w:eastAsia="方正仿宋_GBK"/>
          <w:b w:val="0"/>
          <w:bCs/>
          <w:sz w:val="32"/>
          <w:szCs w:val="32"/>
        </w:rPr>
        <w:t>民生路</w:t>
      </w:r>
      <w:r>
        <w:rPr>
          <w:rFonts w:eastAsia="方正仿宋_GBK"/>
          <w:b w:val="0"/>
          <w:bCs/>
          <w:sz w:val="32"/>
          <w:szCs w:val="32"/>
          <w:lang w:val="en"/>
        </w:rPr>
        <w:t>”“</w:t>
      </w:r>
      <w:r>
        <w:rPr>
          <w:rFonts w:eastAsia="方正仿宋_GBK"/>
          <w:b w:val="0"/>
          <w:bCs/>
          <w:sz w:val="32"/>
          <w:szCs w:val="32"/>
        </w:rPr>
        <w:t>旅游路</w:t>
      </w:r>
      <w:r>
        <w:rPr>
          <w:rFonts w:eastAsia="方正仿宋_GBK"/>
          <w:b w:val="0"/>
          <w:bCs/>
          <w:sz w:val="32"/>
          <w:szCs w:val="32"/>
          <w:lang w:val="en"/>
        </w:rPr>
        <w:t>”</w:t>
      </w:r>
      <w:r>
        <w:rPr>
          <w:rFonts w:eastAsia="方正仿宋_GBK"/>
          <w:b w:val="0"/>
          <w:bCs/>
          <w:sz w:val="32"/>
          <w:szCs w:val="32"/>
        </w:rPr>
        <w:t>，构建完善的干线公路网、广泛的农村公路网，形成布局合理、功能完善、衔接顺畅的内部交通网络，</w:t>
      </w:r>
      <w:r>
        <w:rPr>
          <w:rFonts w:hint="eastAsia" w:eastAsia="方正仿宋_GBK"/>
          <w:b w:val="0"/>
          <w:bCs/>
          <w:sz w:val="32"/>
          <w:szCs w:val="32"/>
        </w:rPr>
        <w:t>助推永川加快建设</w:t>
      </w:r>
      <w:r>
        <w:rPr>
          <w:rFonts w:hint="default" w:eastAsia="方正仿宋_GBK"/>
          <w:b w:val="0"/>
          <w:bCs/>
          <w:sz w:val="32"/>
          <w:szCs w:val="32"/>
          <w:lang w:val="en"/>
        </w:rPr>
        <w:t>“</w:t>
      </w:r>
      <w:r>
        <w:rPr>
          <w:rFonts w:hint="eastAsia" w:eastAsia="方正仿宋_GBK"/>
          <w:b w:val="0"/>
          <w:bCs/>
          <w:sz w:val="32"/>
          <w:szCs w:val="32"/>
        </w:rPr>
        <w:t>双百</w:t>
      </w:r>
      <w:r>
        <w:rPr>
          <w:rFonts w:hint="default" w:eastAsia="方正仿宋_GBK"/>
          <w:b w:val="0"/>
          <w:bCs/>
          <w:sz w:val="32"/>
          <w:szCs w:val="32"/>
          <w:lang w:val="en"/>
        </w:rPr>
        <w:t>”</w:t>
      </w:r>
      <w:r>
        <w:rPr>
          <w:rFonts w:hint="eastAsia" w:eastAsia="方正仿宋_GBK"/>
          <w:b w:val="0"/>
          <w:bCs/>
          <w:sz w:val="32"/>
          <w:szCs w:val="32"/>
        </w:rPr>
        <w:t>区域性中心城市、成渝地区双城经济圈现代制造业基地和区域性现代服务业高地、西部职教基地、城乡融合发展示范区，</w:t>
      </w:r>
      <w:r>
        <w:rPr>
          <w:rFonts w:eastAsia="方正仿宋_GBK"/>
          <w:b w:val="0"/>
          <w:bCs/>
          <w:sz w:val="32"/>
          <w:szCs w:val="32"/>
        </w:rPr>
        <w:t>有力支撑新型城镇化、乡村振兴。</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仿宋_GBK"/>
          <w:b w:val="0"/>
          <w:bCs/>
          <w:sz w:val="32"/>
          <w:szCs w:val="32"/>
        </w:rPr>
      </w:pPr>
    </w:p>
    <w:p>
      <w:pPr>
        <w:pStyle w:val="16"/>
        <w:keepNext w:val="0"/>
        <w:keepLines w:val="0"/>
        <w:pageBreakBefore w:val="0"/>
        <w:widowControl w:val="0"/>
        <w:kinsoku/>
        <w:wordWrap/>
        <w:overflowPunct/>
        <w:topLinePunct w:val="0"/>
        <w:autoSpaceDE/>
        <w:autoSpaceDN/>
        <w:bidi w:val="0"/>
        <w:adjustRightInd w:val="0"/>
        <w:snapToGrid w:val="0"/>
        <w:spacing w:before="0" w:after="0" w:afterLines="0" w:line="276" w:lineRule="auto"/>
        <w:textAlignment w:val="auto"/>
        <w:rPr>
          <w:rFonts w:hint="eastAsia" w:ascii="方正楷体_GBK" w:hAnsi="方正楷体_GBK" w:eastAsia="方正楷体_GBK" w:cs="方正楷体_GBK"/>
          <w:b w:val="0"/>
          <w:bCs/>
          <w:kern w:val="2"/>
          <w:sz w:val="32"/>
          <w:szCs w:val="32"/>
        </w:rPr>
      </w:pPr>
      <w:bookmarkStart w:id="142" w:name="_Toc16844"/>
      <w:bookmarkStart w:id="143" w:name="_Toc517864410_WPSOffice_Level2"/>
      <w:bookmarkStart w:id="144" w:name="_Toc2131620970"/>
      <w:bookmarkStart w:id="145" w:name="_Toc161866154"/>
      <w:r>
        <w:rPr>
          <w:rFonts w:hint="eastAsia" w:ascii="方正楷体_GBK" w:hAnsi="方正楷体_GBK" w:eastAsia="方正楷体_GBK" w:cs="方正楷体_GBK"/>
          <w:b w:val="0"/>
          <w:bCs/>
          <w:kern w:val="2"/>
          <w:sz w:val="32"/>
          <w:szCs w:val="32"/>
        </w:rPr>
        <w:t xml:space="preserve">第一节 </w:t>
      </w:r>
      <w:r>
        <w:rPr>
          <w:rFonts w:hint="default" w:ascii="方正楷体_GBK" w:hAnsi="方正楷体_GBK" w:eastAsia="方正楷体_GBK" w:cs="方正楷体_GBK"/>
          <w:b w:val="0"/>
          <w:bCs/>
          <w:kern w:val="2"/>
          <w:sz w:val="32"/>
          <w:szCs w:val="32"/>
          <w:lang w:val="en"/>
        </w:rPr>
        <w:t xml:space="preserve"> </w:t>
      </w:r>
      <w:r>
        <w:rPr>
          <w:rFonts w:hint="eastAsia" w:ascii="方正楷体_GBK" w:hAnsi="方正楷体_GBK" w:eastAsia="方正楷体_GBK" w:cs="方正楷体_GBK"/>
          <w:b w:val="0"/>
          <w:bCs/>
          <w:kern w:val="2"/>
          <w:sz w:val="32"/>
          <w:szCs w:val="32"/>
        </w:rPr>
        <w:t>强化交通对产业的支撑</w:t>
      </w:r>
      <w:bookmarkEnd w:id="142"/>
      <w:bookmarkEnd w:id="143"/>
      <w:bookmarkEnd w:id="144"/>
      <w:bookmarkEnd w:id="145"/>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hint="eastAsia" w:eastAsia="方正楷体_GBK"/>
          <w:b w:val="0"/>
          <w:bCs/>
          <w:sz w:val="32"/>
          <w:szCs w:val="32"/>
        </w:rPr>
      </w:pP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仿宋_GBK"/>
          <w:b w:val="0"/>
          <w:bCs/>
          <w:sz w:val="32"/>
          <w:szCs w:val="32"/>
        </w:rPr>
      </w:pPr>
      <w:r>
        <w:rPr>
          <w:rFonts w:hint="eastAsia" w:eastAsia="方正楷体_GBK"/>
          <w:b w:val="0"/>
          <w:bCs/>
          <w:sz w:val="32"/>
          <w:szCs w:val="32"/>
        </w:rPr>
        <w:t>以</w:t>
      </w:r>
      <w:r>
        <w:rPr>
          <w:rFonts w:eastAsia="方正楷体_GBK"/>
          <w:b w:val="0"/>
          <w:bCs/>
          <w:sz w:val="32"/>
          <w:szCs w:val="32"/>
        </w:rPr>
        <w:t>普通国省道升级改造</w:t>
      </w:r>
      <w:r>
        <w:rPr>
          <w:rFonts w:hint="eastAsia" w:eastAsia="方正楷体_GBK"/>
          <w:b w:val="0"/>
          <w:bCs/>
          <w:sz w:val="32"/>
          <w:szCs w:val="32"/>
        </w:rPr>
        <w:t>助推产业发展</w:t>
      </w:r>
      <w:r>
        <w:rPr>
          <w:rFonts w:eastAsia="方正楷体_GBK"/>
          <w:b w:val="0"/>
          <w:bCs/>
          <w:sz w:val="32"/>
          <w:szCs w:val="32"/>
        </w:rPr>
        <w:t>。</w:t>
      </w:r>
      <w:r>
        <w:rPr>
          <w:rFonts w:eastAsia="方正仿宋_GBK"/>
          <w:b w:val="0"/>
          <w:bCs/>
          <w:sz w:val="32"/>
          <w:szCs w:val="32"/>
        </w:rPr>
        <w:t>按照</w:t>
      </w:r>
      <w:r>
        <w:rPr>
          <w:rFonts w:eastAsia="方正仿宋_GBK"/>
          <w:b w:val="0"/>
          <w:bCs/>
          <w:sz w:val="32"/>
          <w:szCs w:val="32"/>
          <w:lang w:val="en"/>
        </w:rPr>
        <w:t>“</w:t>
      </w:r>
      <w:r>
        <w:rPr>
          <w:rFonts w:eastAsia="方正仿宋_GBK"/>
          <w:b w:val="0"/>
          <w:bCs/>
          <w:sz w:val="32"/>
          <w:szCs w:val="32"/>
        </w:rPr>
        <w:t>补短板、提质量、促融合</w:t>
      </w:r>
      <w:r>
        <w:rPr>
          <w:rFonts w:eastAsia="方正仿宋_GBK"/>
          <w:b w:val="0"/>
          <w:bCs/>
          <w:sz w:val="32"/>
          <w:szCs w:val="32"/>
          <w:lang w:val="en"/>
        </w:rPr>
        <w:t>”</w:t>
      </w:r>
      <w:r>
        <w:rPr>
          <w:rFonts w:eastAsia="方正仿宋_GBK"/>
          <w:b w:val="0"/>
          <w:bCs/>
          <w:sz w:val="32"/>
          <w:szCs w:val="32"/>
        </w:rPr>
        <w:t>的总体思路，紧紧围绕服务于工业化、城镇化，进一步强化干线公路升级改造和路面改造工程，重点以降本增效为目的，结合产业布局和城镇发展，实施区内与高速公路并行的干线公路升级改造，提升物流通道通行能力。</w:t>
      </w:r>
      <w:r>
        <w:rPr>
          <w:rFonts w:eastAsia="方正仿宋_GBK"/>
          <w:b w:val="0"/>
          <w:bCs/>
          <w:sz w:val="32"/>
          <w:szCs w:val="32"/>
          <w:lang w:val="en"/>
        </w:rPr>
        <w:t>“</w:t>
      </w:r>
      <w:r>
        <w:rPr>
          <w:rFonts w:eastAsia="方正仿宋_GBK"/>
          <w:b w:val="0"/>
          <w:bCs/>
          <w:sz w:val="32"/>
          <w:szCs w:val="32"/>
        </w:rPr>
        <w:t>十四五</w:t>
      </w:r>
      <w:r>
        <w:rPr>
          <w:rFonts w:eastAsia="方正仿宋_GBK"/>
          <w:b w:val="0"/>
          <w:bCs/>
          <w:sz w:val="32"/>
          <w:szCs w:val="32"/>
          <w:lang w:val="en"/>
        </w:rPr>
        <w:t>”</w:t>
      </w:r>
      <w:r>
        <w:rPr>
          <w:rFonts w:hint="eastAsia" w:eastAsia="方正仿宋_GBK"/>
          <w:b w:val="0"/>
          <w:bCs/>
          <w:sz w:val="32"/>
          <w:szCs w:val="32"/>
        </w:rPr>
        <w:t>规划</w:t>
      </w:r>
      <w:r>
        <w:rPr>
          <w:rFonts w:eastAsia="方正仿宋_GBK"/>
          <w:b w:val="0"/>
          <w:bCs/>
          <w:sz w:val="32"/>
          <w:szCs w:val="32"/>
        </w:rPr>
        <w:t>改造总里程</w:t>
      </w:r>
      <w:r>
        <w:rPr>
          <w:rFonts w:hint="eastAsia" w:eastAsia="方正仿宋_GBK"/>
          <w:b w:val="0"/>
          <w:bCs/>
          <w:sz w:val="32"/>
          <w:szCs w:val="32"/>
        </w:rPr>
        <w:t>204</w:t>
      </w:r>
      <w:r>
        <w:rPr>
          <w:rFonts w:eastAsia="方正仿宋_GBK"/>
          <w:b w:val="0"/>
          <w:bCs/>
          <w:sz w:val="32"/>
          <w:szCs w:val="32"/>
        </w:rPr>
        <w:t>公里，其中实施国省道升级改造118公里，普通国道二级及以上达到100%，普通省道三级及以上达到100%；实施国省道路面改造86公里，国省道优良路率每年保持在85%以上</w:t>
      </w:r>
      <w:r>
        <w:rPr>
          <w:rFonts w:hint="eastAsia" w:eastAsia="方正仿宋_GBK"/>
          <w:b w:val="0"/>
          <w:bCs/>
          <w:sz w:val="32"/>
          <w:szCs w:val="32"/>
        </w:rPr>
        <w:t>。同时，积极推进90公里其他国省道改造项目开展前期工作。</w:t>
      </w:r>
      <w:r>
        <w:rPr>
          <w:rFonts w:eastAsia="方正仿宋_GBK"/>
          <w:b w:val="0"/>
          <w:bCs/>
          <w:sz w:val="32"/>
          <w:szCs w:val="32"/>
        </w:rPr>
        <w:t>进一步提升普通国省道的通行能力和服务水平，强化镇与镇之间的互联互通。</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仿宋_GBK"/>
          <w:b w:val="0"/>
          <w:bCs/>
          <w:sz w:val="32"/>
          <w:szCs w:val="32"/>
        </w:rPr>
      </w:pPr>
      <w:r>
        <w:rPr>
          <w:rFonts w:hint="eastAsia" w:eastAsia="方正楷体_GBK"/>
          <w:b w:val="0"/>
          <w:bCs/>
          <w:sz w:val="32"/>
          <w:szCs w:val="32"/>
        </w:rPr>
        <w:t>以</w:t>
      </w:r>
      <w:r>
        <w:rPr>
          <w:rFonts w:eastAsia="方正楷体_GBK"/>
          <w:b w:val="0"/>
          <w:bCs/>
          <w:sz w:val="32"/>
          <w:szCs w:val="32"/>
        </w:rPr>
        <w:t>高速公路连接线</w:t>
      </w:r>
      <w:r>
        <w:rPr>
          <w:rFonts w:hint="eastAsia" w:eastAsia="方正楷体_GBK"/>
          <w:b w:val="0"/>
          <w:bCs/>
          <w:sz w:val="32"/>
          <w:szCs w:val="32"/>
        </w:rPr>
        <w:t>打通产业园区</w:t>
      </w:r>
      <w:r>
        <w:rPr>
          <w:rFonts w:hint="eastAsia" w:eastAsia="方正楷体_GBK"/>
          <w:b w:val="0"/>
          <w:bCs/>
          <w:sz w:val="32"/>
          <w:szCs w:val="32"/>
          <w:lang w:eastAsia="zh-CN"/>
        </w:rPr>
        <w:t>“</w:t>
      </w:r>
      <w:bookmarkStart w:id="302" w:name="_GoBack"/>
      <w:bookmarkEnd w:id="302"/>
      <w:r>
        <w:rPr>
          <w:rFonts w:hint="eastAsia" w:eastAsia="方正楷体_GBK"/>
          <w:b w:val="0"/>
          <w:bCs/>
          <w:sz w:val="32"/>
          <w:szCs w:val="32"/>
        </w:rPr>
        <w:t>最后一公里</w:t>
      </w:r>
      <w:r>
        <w:rPr>
          <w:rFonts w:hint="default" w:eastAsia="方正楷体_GBK"/>
          <w:b w:val="0"/>
          <w:bCs/>
          <w:sz w:val="32"/>
          <w:szCs w:val="32"/>
          <w:lang w:val="en"/>
        </w:rPr>
        <w:t>”</w:t>
      </w:r>
      <w:r>
        <w:rPr>
          <w:rFonts w:eastAsia="方正楷体_GBK"/>
          <w:b w:val="0"/>
          <w:bCs/>
          <w:sz w:val="32"/>
          <w:szCs w:val="32"/>
        </w:rPr>
        <w:t>。</w:t>
      </w:r>
      <w:r>
        <w:rPr>
          <w:rFonts w:eastAsia="方正仿宋_GBK"/>
          <w:b w:val="0"/>
          <w:bCs/>
          <w:sz w:val="32"/>
          <w:szCs w:val="32"/>
        </w:rPr>
        <w:t>稳步实施永璧高速、三环高速陈食至油溪段等沿线互通连接线建设，实现全区高速公路连接线全部达到三级及以上水平，重点实施三环高速来苏路口至一环路、永璧高速至茶山竹海宝吉寺等重要县乡道项目，推动区域乡镇、重要产业园区快速上高速。</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仿宋_GBK"/>
          <w:b w:val="0"/>
          <w:bCs/>
          <w:sz w:val="32"/>
          <w:szCs w:val="32"/>
        </w:rPr>
      </w:pPr>
    </w:p>
    <w:p>
      <w:pPr>
        <w:pStyle w:val="16"/>
        <w:keepNext w:val="0"/>
        <w:keepLines w:val="0"/>
        <w:pageBreakBefore w:val="0"/>
        <w:widowControl w:val="0"/>
        <w:kinsoku/>
        <w:wordWrap/>
        <w:overflowPunct/>
        <w:topLinePunct w:val="0"/>
        <w:autoSpaceDE/>
        <w:autoSpaceDN/>
        <w:bidi w:val="0"/>
        <w:adjustRightInd w:val="0"/>
        <w:snapToGrid w:val="0"/>
        <w:spacing w:before="0" w:after="0" w:afterLines="0" w:line="276" w:lineRule="auto"/>
        <w:textAlignment w:val="auto"/>
        <w:rPr>
          <w:rFonts w:hint="eastAsia" w:ascii="方正楷体_GBK" w:hAnsi="方正楷体_GBK" w:eastAsia="方正楷体_GBK" w:cs="方正楷体_GBK"/>
          <w:b w:val="0"/>
          <w:bCs/>
          <w:kern w:val="2"/>
          <w:sz w:val="32"/>
          <w:szCs w:val="32"/>
        </w:rPr>
      </w:pPr>
      <w:bookmarkStart w:id="146" w:name="_Toc1124430096_WPSOffice_Level2"/>
      <w:bookmarkStart w:id="147" w:name="_Toc3771"/>
      <w:bookmarkStart w:id="148" w:name="_Toc1352211644"/>
      <w:bookmarkStart w:id="149" w:name="_Toc1205659579"/>
      <w:r>
        <w:rPr>
          <w:rFonts w:hint="eastAsia" w:ascii="方正楷体_GBK" w:hAnsi="方正楷体_GBK" w:eastAsia="方正楷体_GBK" w:cs="方正楷体_GBK"/>
          <w:b w:val="0"/>
          <w:bCs/>
          <w:kern w:val="2"/>
          <w:sz w:val="32"/>
          <w:szCs w:val="32"/>
        </w:rPr>
        <w:t xml:space="preserve">第二节 </w:t>
      </w:r>
      <w:r>
        <w:rPr>
          <w:rFonts w:hint="default" w:ascii="方正楷体_GBK" w:hAnsi="方正楷体_GBK" w:eastAsia="方正楷体_GBK" w:cs="方正楷体_GBK"/>
          <w:b w:val="0"/>
          <w:bCs/>
          <w:kern w:val="2"/>
          <w:sz w:val="32"/>
          <w:szCs w:val="32"/>
          <w:lang w:val="en"/>
        </w:rPr>
        <w:t xml:space="preserve"> </w:t>
      </w:r>
      <w:r>
        <w:rPr>
          <w:rFonts w:hint="eastAsia" w:ascii="方正楷体_GBK" w:hAnsi="方正楷体_GBK" w:eastAsia="方正楷体_GBK" w:cs="方正楷体_GBK"/>
          <w:b w:val="0"/>
          <w:bCs/>
          <w:kern w:val="2"/>
          <w:sz w:val="32"/>
          <w:szCs w:val="32"/>
        </w:rPr>
        <w:t>强化交通对城镇的支撑</w:t>
      </w:r>
      <w:bookmarkEnd w:id="146"/>
      <w:bookmarkEnd w:id="147"/>
      <w:bookmarkEnd w:id="148"/>
      <w:bookmarkEnd w:id="149"/>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楷体_GBK"/>
          <w:b w:val="0"/>
          <w:bCs/>
          <w:sz w:val="32"/>
          <w:szCs w:val="32"/>
        </w:rPr>
      </w:pP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仿宋_GBK"/>
          <w:b w:val="0"/>
          <w:bCs/>
          <w:sz w:val="32"/>
          <w:szCs w:val="32"/>
        </w:rPr>
      </w:pPr>
      <w:r>
        <w:rPr>
          <w:rFonts w:eastAsia="方正楷体_GBK"/>
          <w:b w:val="0"/>
          <w:bCs/>
          <w:sz w:val="32"/>
          <w:szCs w:val="32"/>
        </w:rPr>
        <w:t>加强</w:t>
      </w:r>
      <w:r>
        <w:rPr>
          <w:rFonts w:hint="eastAsia" w:eastAsia="方正楷体_GBK"/>
          <w:b w:val="0"/>
          <w:bCs/>
          <w:sz w:val="32"/>
          <w:szCs w:val="32"/>
        </w:rPr>
        <w:t>永川</w:t>
      </w:r>
      <w:r>
        <w:rPr>
          <w:rFonts w:eastAsia="方正楷体_GBK"/>
          <w:b w:val="0"/>
          <w:bCs/>
          <w:sz w:val="32"/>
          <w:szCs w:val="32"/>
        </w:rPr>
        <w:t>科技生态城等区域骨架路网建设。</w:t>
      </w:r>
      <w:r>
        <w:rPr>
          <w:rFonts w:eastAsia="方正仿宋_GBK"/>
          <w:b w:val="0"/>
          <w:bCs/>
          <w:sz w:val="32"/>
          <w:szCs w:val="32"/>
        </w:rPr>
        <w:t>同步推进永璧高速进出城道路建设，进一步强化科技生态城北上高速快速通道。加快推进永江大道</w:t>
      </w:r>
      <w:r>
        <w:rPr>
          <w:rFonts w:hint="eastAsia" w:eastAsia="方正仿宋_GBK"/>
          <w:b w:val="0"/>
          <w:bCs/>
          <w:sz w:val="32"/>
          <w:szCs w:val="32"/>
        </w:rPr>
        <w:t>、兴城大道</w:t>
      </w:r>
      <w:r>
        <w:rPr>
          <w:rFonts w:eastAsia="方正仿宋_GBK"/>
          <w:b w:val="0"/>
          <w:bCs/>
          <w:sz w:val="32"/>
          <w:szCs w:val="32"/>
        </w:rPr>
        <w:t>等城市骨架干道建设，强化科技生态城与永川至中心城区的南向、北向快速道路衔接，畅通科技生态城东向衔接重庆新机场、中心城区的快速通道。同时，加快推进西部商贸物流片区、老城片区、凤凰湖产业片区等城市组团互联互通骨架路网建设，加强城市道路与干线公路衔接。紧扣城市空间拓展，合理界定城市道路、普通公路功能定位，全力推进城市、城乡间道路衔接，进一步统一衔接标准、技术等级，推动公路与城市道路高效融合、一体互联。针对穿越城区的普通干线公路，如G348、S544等，紧密结合城市空间拓展，科学合理调整线路走向，避免城市交通与过境交通重叠，减少交织影响。</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仿宋_GBK"/>
          <w:b w:val="0"/>
          <w:bCs/>
          <w:sz w:val="32"/>
          <w:szCs w:val="32"/>
        </w:rPr>
      </w:pPr>
      <w:r>
        <w:rPr>
          <w:rFonts w:eastAsia="方正楷体_GBK"/>
          <w:b w:val="0"/>
          <w:bCs/>
          <w:sz w:val="32"/>
          <w:szCs w:val="32"/>
        </w:rPr>
        <w:t>推进乡镇联网公路建设。</w:t>
      </w:r>
      <w:r>
        <w:rPr>
          <w:rFonts w:eastAsia="方正仿宋_GBK"/>
          <w:b w:val="0"/>
          <w:bCs/>
          <w:sz w:val="32"/>
          <w:szCs w:val="32"/>
        </w:rPr>
        <w:t>抢抓全市县乡道规划调整机遇，优化全区县乡道公路网络结构布局。</w:t>
      </w:r>
      <w:r>
        <w:rPr>
          <w:rFonts w:hint="eastAsia" w:eastAsia="方正仿宋_GBK"/>
          <w:b w:val="0"/>
          <w:bCs/>
          <w:sz w:val="32"/>
          <w:szCs w:val="32"/>
        </w:rPr>
        <w:t>规划县乡道总里程2052公里，县道调整至7</w:t>
      </w:r>
      <w:r>
        <w:rPr>
          <w:rFonts w:eastAsia="方正仿宋_GBK"/>
          <w:b w:val="0"/>
          <w:bCs/>
          <w:sz w:val="32"/>
          <w:szCs w:val="32"/>
        </w:rPr>
        <w:t>48</w:t>
      </w:r>
      <w:r>
        <w:rPr>
          <w:rFonts w:hint="eastAsia" w:eastAsia="方正仿宋_GBK"/>
          <w:b w:val="0"/>
          <w:bCs/>
          <w:sz w:val="32"/>
          <w:szCs w:val="32"/>
        </w:rPr>
        <w:t>公里，乡道调整</w:t>
      </w:r>
      <w:r>
        <w:rPr>
          <w:rFonts w:eastAsia="方正仿宋_GBK"/>
          <w:b w:val="0"/>
          <w:bCs/>
          <w:sz w:val="32"/>
          <w:szCs w:val="32"/>
        </w:rPr>
        <w:t>1304</w:t>
      </w:r>
      <w:r>
        <w:rPr>
          <w:rFonts w:hint="eastAsia" w:eastAsia="方正仿宋_GBK"/>
          <w:b w:val="0"/>
          <w:bCs/>
          <w:sz w:val="32"/>
          <w:szCs w:val="32"/>
        </w:rPr>
        <w:t>公里，县乡道农村公路总里程占比达到</w:t>
      </w:r>
      <w:r>
        <w:rPr>
          <w:rFonts w:eastAsia="方正仿宋_GBK"/>
          <w:b w:val="0"/>
          <w:bCs/>
          <w:sz w:val="32"/>
          <w:szCs w:val="32"/>
        </w:rPr>
        <w:t>46%</w:t>
      </w:r>
      <w:r>
        <w:rPr>
          <w:rFonts w:hint="eastAsia" w:eastAsia="方正仿宋_GBK"/>
          <w:b w:val="0"/>
          <w:bCs/>
          <w:sz w:val="32"/>
          <w:szCs w:val="32"/>
        </w:rPr>
        <w:t>，在普通国省道网络覆盖基础上，基本实现100%乡镇、100%重要产业园区、100%A级及以上旅游景区、100%重要交通节点均有县乡道公路网连接。重点实施县乡道乡镇通三级及以上公路升级改造6</w:t>
      </w:r>
      <w:r>
        <w:rPr>
          <w:rFonts w:eastAsia="方正仿宋_GBK"/>
          <w:b w:val="0"/>
          <w:bCs/>
          <w:sz w:val="32"/>
          <w:szCs w:val="32"/>
        </w:rPr>
        <w:t>0</w:t>
      </w:r>
      <w:r>
        <w:rPr>
          <w:rFonts w:hint="eastAsia" w:eastAsia="方正仿宋_GBK"/>
          <w:b w:val="0"/>
          <w:bCs/>
          <w:sz w:val="32"/>
          <w:szCs w:val="32"/>
        </w:rPr>
        <w:t>公里</w:t>
      </w:r>
      <w:r>
        <w:rPr>
          <w:rFonts w:eastAsia="方正仿宋_GBK"/>
          <w:b w:val="0"/>
          <w:bCs/>
          <w:sz w:val="32"/>
          <w:szCs w:val="32"/>
        </w:rPr>
        <w:t>，</w:t>
      </w:r>
      <w:r>
        <w:rPr>
          <w:rFonts w:hint="eastAsia" w:eastAsia="方正仿宋_GBK"/>
          <w:b w:val="0"/>
          <w:bCs/>
          <w:sz w:val="32"/>
          <w:szCs w:val="32"/>
        </w:rPr>
        <w:t>规划新增4个乡镇通三级公路，</w:t>
      </w:r>
      <w:r>
        <w:rPr>
          <w:rFonts w:eastAsia="方正仿宋_GBK"/>
          <w:b w:val="0"/>
          <w:bCs/>
          <w:sz w:val="32"/>
          <w:szCs w:val="32"/>
        </w:rPr>
        <w:t>乡镇通三级比例达到100%。实施</w:t>
      </w:r>
      <w:r>
        <w:rPr>
          <w:rFonts w:hint="eastAsia" w:eastAsia="方正仿宋_GBK"/>
          <w:b w:val="0"/>
          <w:bCs/>
          <w:sz w:val="32"/>
          <w:szCs w:val="32"/>
        </w:rPr>
        <w:t>连接区内重要城镇、经济、旅游等节点的</w:t>
      </w:r>
      <w:r>
        <w:rPr>
          <w:rFonts w:eastAsia="方正仿宋_GBK"/>
          <w:b w:val="0"/>
          <w:bCs/>
          <w:sz w:val="32"/>
          <w:szCs w:val="32"/>
        </w:rPr>
        <w:t>县乡道</w:t>
      </w:r>
      <w:r>
        <w:rPr>
          <w:rFonts w:hint="eastAsia" w:eastAsia="方正仿宋_GBK"/>
          <w:b w:val="0"/>
          <w:bCs/>
          <w:sz w:val="32"/>
          <w:szCs w:val="32"/>
        </w:rPr>
        <w:t>提质改造工程1</w:t>
      </w:r>
      <w:r>
        <w:rPr>
          <w:rFonts w:eastAsia="方正仿宋_GBK"/>
          <w:b w:val="0"/>
          <w:bCs/>
          <w:sz w:val="32"/>
          <w:szCs w:val="32"/>
        </w:rPr>
        <w:t>80</w:t>
      </w:r>
      <w:r>
        <w:rPr>
          <w:rFonts w:hint="eastAsia" w:eastAsia="方正仿宋_GBK"/>
          <w:b w:val="0"/>
          <w:bCs/>
          <w:sz w:val="32"/>
          <w:szCs w:val="32"/>
        </w:rPr>
        <w:t>公里</w:t>
      </w:r>
      <w:r>
        <w:rPr>
          <w:rFonts w:eastAsia="方正仿宋_GBK"/>
          <w:b w:val="0"/>
          <w:bCs/>
          <w:sz w:val="32"/>
          <w:szCs w:val="32"/>
        </w:rPr>
        <w:t>，</w:t>
      </w:r>
      <w:r>
        <w:rPr>
          <w:rFonts w:hint="eastAsia" w:eastAsia="方正仿宋_GBK"/>
          <w:b w:val="0"/>
          <w:bCs/>
          <w:sz w:val="32"/>
          <w:szCs w:val="32"/>
        </w:rPr>
        <w:t>实现重要节点覆盖率1</w:t>
      </w:r>
      <w:r>
        <w:rPr>
          <w:rFonts w:eastAsia="方正仿宋_GBK"/>
          <w:b w:val="0"/>
          <w:bCs/>
          <w:sz w:val="32"/>
          <w:szCs w:val="32"/>
        </w:rPr>
        <w:t>00%。实施县乡道路面改造</w:t>
      </w:r>
      <w:r>
        <w:rPr>
          <w:rFonts w:hint="eastAsia" w:eastAsia="方正仿宋_GBK"/>
          <w:b w:val="0"/>
          <w:bCs/>
          <w:sz w:val="32"/>
          <w:szCs w:val="32"/>
        </w:rPr>
        <w:t>工程</w:t>
      </w:r>
      <w:r>
        <w:rPr>
          <w:rFonts w:eastAsia="方正仿宋_GBK"/>
          <w:b w:val="0"/>
          <w:bCs/>
          <w:sz w:val="32"/>
          <w:szCs w:val="32"/>
        </w:rPr>
        <w:t>，实现乡镇、重要行政村油化主干道全覆盖，重要县乡道优良路率每年保持在80%以上</w:t>
      </w:r>
      <w:r>
        <w:rPr>
          <w:rFonts w:hint="eastAsia" w:eastAsia="方正仿宋_GBK"/>
          <w:b w:val="0"/>
          <w:bCs/>
          <w:sz w:val="32"/>
          <w:szCs w:val="32"/>
        </w:rPr>
        <w:t>，</w:t>
      </w:r>
      <w:r>
        <w:rPr>
          <w:rFonts w:eastAsia="方正仿宋_GBK"/>
          <w:b w:val="0"/>
          <w:bCs/>
          <w:sz w:val="32"/>
          <w:szCs w:val="32"/>
        </w:rPr>
        <w:t>全面提升县乡公路网络等级、通行能力和服务水平。</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仿宋_GBK"/>
          <w:b w:val="0"/>
          <w:bCs/>
          <w:sz w:val="32"/>
          <w:szCs w:val="32"/>
        </w:rPr>
      </w:pPr>
    </w:p>
    <w:p>
      <w:pPr>
        <w:pStyle w:val="16"/>
        <w:keepNext w:val="0"/>
        <w:keepLines w:val="0"/>
        <w:pageBreakBefore w:val="0"/>
        <w:widowControl w:val="0"/>
        <w:kinsoku/>
        <w:wordWrap/>
        <w:overflowPunct/>
        <w:topLinePunct w:val="0"/>
        <w:autoSpaceDE/>
        <w:autoSpaceDN/>
        <w:bidi w:val="0"/>
        <w:adjustRightInd w:val="0"/>
        <w:snapToGrid w:val="0"/>
        <w:spacing w:before="0" w:after="0" w:afterLines="0" w:line="276" w:lineRule="auto"/>
        <w:textAlignment w:val="auto"/>
        <w:rPr>
          <w:rFonts w:hint="eastAsia" w:ascii="方正楷体_GBK" w:hAnsi="方正楷体_GBK" w:eastAsia="方正楷体_GBK" w:cs="方正楷体_GBK"/>
          <w:b w:val="0"/>
          <w:bCs/>
          <w:kern w:val="2"/>
          <w:sz w:val="32"/>
          <w:szCs w:val="32"/>
        </w:rPr>
      </w:pPr>
      <w:bookmarkStart w:id="150" w:name="_Toc337658731_WPSOffice_Level2"/>
      <w:bookmarkStart w:id="151" w:name="_Toc875100570"/>
      <w:bookmarkStart w:id="152" w:name="_Toc228696419"/>
      <w:bookmarkStart w:id="153" w:name="_Toc20157"/>
      <w:r>
        <w:rPr>
          <w:rFonts w:hint="eastAsia" w:ascii="方正楷体_GBK" w:hAnsi="方正楷体_GBK" w:eastAsia="方正楷体_GBK" w:cs="方正楷体_GBK"/>
          <w:b w:val="0"/>
          <w:bCs/>
          <w:kern w:val="2"/>
          <w:sz w:val="32"/>
          <w:szCs w:val="32"/>
        </w:rPr>
        <w:t xml:space="preserve">第三节 </w:t>
      </w:r>
      <w:r>
        <w:rPr>
          <w:rFonts w:hint="default" w:ascii="方正楷体_GBK" w:hAnsi="方正楷体_GBK" w:eastAsia="方正楷体_GBK" w:cs="方正楷体_GBK"/>
          <w:b w:val="0"/>
          <w:bCs/>
          <w:kern w:val="2"/>
          <w:sz w:val="32"/>
          <w:szCs w:val="32"/>
          <w:lang w:val="en"/>
        </w:rPr>
        <w:t xml:space="preserve"> </w:t>
      </w:r>
      <w:r>
        <w:rPr>
          <w:rFonts w:hint="eastAsia" w:ascii="方正楷体_GBK" w:hAnsi="方正楷体_GBK" w:eastAsia="方正楷体_GBK" w:cs="方正楷体_GBK"/>
          <w:b w:val="0"/>
          <w:bCs/>
          <w:kern w:val="2"/>
          <w:sz w:val="32"/>
          <w:szCs w:val="32"/>
        </w:rPr>
        <w:t>强化交通对旅游的支撑</w:t>
      </w:r>
      <w:bookmarkEnd w:id="150"/>
      <w:bookmarkEnd w:id="151"/>
      <w:bookmarkEnd w:id="152"/>
      <w:bookmarkEnd w:id="153"/>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楷体_GBK"/>
          <w:b w:val="0"/>
          <w:bCs/>
          <w:sz w:val="32"/>
          <w:szCs w:val="32"/>
        </w:rPr>
      </w:pP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仿宋_GBK"/>
          <w:b w:val="0"/>
          <w:bCs/>
          <w:sz w:val="32"/>
          <w:szCs w:val="32"/>
        </w:rPr>
      </w:pPr>
      <w:r>
        <w:rPr>
          <w:rFonts w:eastAsia="方正楷体_GBK"/>
          <w:b w:val="0"/>
          <w:bCs/>
          <w:sz w:val="32"/>
          <w:szCs w:val="32"/>
        </w:rPr>
        <w:t>加快推进旅游公路建设。</w:t>
      </w:r>
      <w:r>
        <w:rPr>
          <w:rFonts w:eastAsia="方正仿宋_GBK"/>
          <w:b w:val="0"/>
          <w:bCs/>
          <w:sz w:val="32"/>
          <w:szCs w:val="32"/>
        </w:rPr>
        <w:t xml:space="preserve">以文化旅游区重要节点连接公路为重点，加强重要节点与高等级路网的高效连接，加强干支联动，推动建设一批 </w:t>
      </w:r>
      <w:r>
        <w:rPr>
          <w:rFonts w:eastAsia="方正仿宋_GBK"/>
          <w:b w:val="0"/>
          <w:bCs/>
          <w:sz w:val="32"/>
          <w:szCs w:val="32"/>
          <w:lang w:val="en"/>
        </w:rPr>
        <w:t>“</w:t>
      </w:r>
      <w:r>
        <w:rPr>
          <w:rFonts w:eastAsia="方正仿宋_GBK"/>
          <w:b w:val="0"/>
          <w:bCs/>
          <w:sz w:val="32"/>
          <w:szCs w:val="32"/>
        </w:rPr>
        <w:t>旅游路</w:t>
      </w:r>
      <w:r>
        <w:rPr>
          <w:rFonts w:eastAsia="方正仿宋_GBK"/>
          <w:b w:val="0"/>
          <w:bCs/>
          <w:sz w:val="32"/>
          <w:szCs w:val="32"/>
          <w:lang w:val="en"/>
        </w:rPr>
        <w:t>”</w:t>
      </w:r>
      <w:r>
        <w:rPr>
          <w:rFonts w:eastAsia="方正仿宋_GBK"/>
          <w:b w:val="0"/>
          <w:bCs/>
          <w:sz w:val="32"/>
          <w:szCs w:val="32"/>
        </w:rPr>
        <w:t>，全面提升区内经济社会和产业发展活力。</w:t>
      </w:r>
      <w:r>
        <w:rPr>
          <w:rFonts w:hint="eastAsia" w:ascii="方正仿宋_GBK" w:eastAsia="方正仿宋_GBK"/>
          <w:b w:val="0"/>
          <w:bCs/>
          <w:sz w:val="32"/>
          <w:szCs w:val="32"/>
        </w:rPr>
        <w:t>实施景区联系道升级改造工程</w:t>
      </w:r>
      <w:r>
        <w:rPr>
          <w:rFonts w:eastAsia="方正仿宋_GBK"/>
          <w:b w:val="0"/>
          <w:bCs/>
          <w:sz w:val="32"/>
          <w:szCs w:val="32"/>
        </w:rPr>
        <w:t>，</w:t>
      </w:r>
      <w:r>
        <w:rPr>
          <w:rFonts w:hint="eastAsia" w:eastAsia="方正仿宋_GBK"/>
          <w:b w:val="0"/>
          <w:bCs/>
          <w:sz w:val="32"/>
          <w:szCs w:val="32"/>
        </w:rPr>
        <w:t>加快推动</w:t>
      </w:r>
      <w:r>
        <w:rPr>
          <w:rFonts w:hint="eastAsia" w:ascii="方正仿宋_GBK" w:eastAsia="方正仿宋_GBK"/>
          <w:b w:val="0"/>
          <w:bCs/>
          <w:sz w:val="32"/>
          <w:szCs w:val="32"/>
        </w:rPr>
        <w:t>代家店至十里荷香、卫星湖至石笋山、三教至张家湾桢楠林、双石至巴岳山茶园等重要县乡道及连接线公路建设，</w:t>
      </w:r>
      <w:r>
        <w:rPr>
          <w:rFonts w:hint="eastAsia" w:eastAsia="方正仿宋_GBK"/>
          <w:b w:val="0"/>
          <w:bCs/>
          <w:sz w:val="32"/>
          <w:szCs w:val="32"/>
        </w:rPr>
        <w:t>实现A级景区1</w:t>
      </w:r>
      <w:r>
        <w:rPr>
          <w:rFonts w:eastAsia="方正仿宋_GBK"/>
          <w:b w:val="0"/>
          <w:bCs/>
          <w:sz w:val="32"/>
          <w:szCs w:val="32"/>
        </w:rPr>
        <w:t>5</w:t>
      </w:r>
      <w:r>
        <w:rPr>
          <w:rFonts w:hint="eastAsia" w:eastAsia="方正仿宋_GBK"/>
          <w:b w:val="0"/>
          <w:bCs/>
          <w:sz w:val="32"/>
          <w:szCs w:val="32"/>
        </w:rPr>
        <w:t>分钟内上高速，旅游连接道全面达到三级及以上技术等级，</w:t>
      </w:r>
      <w:r>
        <w:rPr>
          <w:rFonts w:eastAsia="方正仿宋_GBK"/>
          <w:b w:val="0"/>
          <w:bCs/>
          <w:sz w:val="32"/>
          <w:szCs w:val="32"/>
        </w:rPr>
        <w:t>全面提升干线公路对旅游产业的支撑作用</w:t>
      </w:r>
      <w:r>
        <w:rPr>
          <w:rFonts w:hint="eastAsia" w:eastAsia="方正仿宋_GBK"/>
          <w:b w:val="0"/>
          <w:bCs/>
          <w:sz w:val="32"/>
          <w:szCs w:val="32"/>
        </w:rPr>
        <w:t>。</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hint="eastAsia" w:eastAsia="方正楷体_GBK"/>
          <w:b w:val="0"/>
          <w:bCs/>
          <w:sz w:val="32"/>
          <w:szCs w:val="32"/>
        </w:rPr>
      </w:pPr>
      <w:r>
        <w:rPr>
          <w:rFonts w:hint="eastAsia" w:eastAsia="方正楷体_GBK"/>
          <w:b w:val="0"/>
          <w:bCs/>
          <w:sz w:val="32"/>
          <w:szCs w:val="32"/>
        </w:rPr>
        <w:t>构建多方向互联旅游环线。</w:t>
      </w:r>
      <w:r>
        <w:rPr>
          <w:rFonts w:hint="eastAsia" w:eastAsia="方正仿宋_GBK"/>
          <w:b w:val="0"/>
          <w:bCs/>
          <w:sz w:val="32"/>
          <w:szCs w:val="32"/>
        </w:rPr>
        <w:t>积极谋划高品质公路自驾游旅游线路，规划构建旅游公路网络，对外与大足石刻、泸州老窖等周边地区景区串联，对内将茶山竹海、松溉古镇、乐和乐都等地标性区域景点整合，提升景点关联度，适时开通松溉-茶山竹海、松溉-朱沱</w:t>
      </w:r>
      <w:r>
        <w:rPr>
          <w:rFonts w:eastAsia="方正仿宋_GBK"/>
          <w:b w:val="0"/>
          <w:bCs/>
          <w:sz w:val="32"/>
          <w:szCs w:val="32"/>
        </w:rPr>
        <w:t>-</w:t>
      </w:r>
      <w:r>
        <w:rPr>
          <w:rFonts w:hint="eastAsia" w:eastAsia="方正仿宋_GBK"/>
          <w:b w:val="0"/>
          <w:bCs/>
          <w:sz w:val="32"/>
          <w:szCs w:val="32"/>
        </w:rPr>
        <w:t>泸州等旅游公交线路，把永川旅游资源集聚起来，大力发展休闲全域旅游，形成</w:t>
      </w:r>
      <w:r>
        <w:rPr>
          <w:rFonts w:hint="default" w:eastAsia="方正仿宋_GBK"/>
          <w:b w:val="0"/>
          <w:bCs/>
          <w:sz w:val="32"/>
          <w:szCs w:val="32"/>
          <w:lang w:val="en"/>
        </w:rPr>
        <w:t>“</w:t>
      </w:r>
      <w:r>
        <w:rPr>
          <w:rFonts w:hint="eastAsia" w:eastAsia="方正仿宋_GBK"/>
          <w:b w:val="0"/>
          <w:bCs/>
          <w:sz w:val="32"/>
          <w:szCs w:val="32"/>
        </w:rPr>
        <w:t>快进</w:t>
      </w:r>
      <w:r>
        <w:rPr>
          <w:rFonts w:hint="eastAsia" w:eastAsia="方正仿宋_GBK"/>
          <w:b w:val="0"/>
          <w:bCs/>
          <w:sz w:val="32"/>
          <w:szCs w:val="32"/>
          <w:lang w:eastAsia="zh-CN"/>
        </w:rPr>
        <w:t>慢</w:t>
      </w:r>
      <w:r>
        <w:rPr>
          <w:rFonts w:hint="eastAsia" w:eastAsia="方正仿宋_GBK"/>
          <w:b w:val="0"/>
          <w:bCs/>
          <w:sz w:val="32"/>
          <w:szCs w:val="32"/>
        </w:rPr>
        <w:t>游</w:t>
      </w:r>
      <w:r>
        <w:rPr>
          <w:rFonts w:hint="default" w:eastAsia="方正仿宋_GBK"/>
          <w:b w:val="0"/>
          <w:bCs/>
          <w:sz w:val="32"/>
          <w:szCs w:val="32"/>
          <w:lang w:val="en"/>
        </w:rPr>
        <w:t>”</w:t>
      </w:r>
      <w:r>
        <w:rPr>
          <w:rFonts w:hint="eastAsia" w:eastAsia="方正仿宋_GBK"/>
          <w:b w:val="0"/>
          <w:bCs/>
          <w:sz w:val="32"/>
          <w:szCs w:val="32"/>
        </w:rPr>
        <w:t>的旅游新格局。</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仿宋_GBK"/>
          <w:b w:val="0"/>
          <w:bCs/>
          <w:sz w:val="32"/>
          <w:szCs w:val="32"/>
        </w:rPr>
      </w:pPr>
      <w:r>
        <w:rPr>
          <w:rFonts w:eastAsia="方正楷体_GBK"/>
          <w:b w:val="0"/>
          <w:bCs/>
          <w:sz w:val="32"/>
          <w:szCs w:val="32"/>
        </w:rPr>
        <w:t>完善旅游交通设施。</w:t>
      </w:r>
      <w:r>
        <w:rPr>
          <w:rFonts w:eastAsia="方正仿宋_GBK"/>
          <w:b w:val="0"/>
          <w:bCs/>
          <w:sz w:val="32"/>
          <w:szCs w:val="32"/>
        </w:rPr>
        <w:t>统筹客运枢纽与旅游集散中心集中布局，</w:t>
      </w:r>
      <w:r>
        <w:rPr>
          <w:rFonts w:hint="eastAsia" w:eastAsia="方正仿宋_GBK"/>
          <w:b w:val="0"/>
          <w:bCs/>
          <w:sz w:val="32"/>
          <w:szCs w:val="32"/>
        </w:rPr>
        <w:t>完善旅游交通集散服务设施，实施旅游观光巴士示范工程。推动旅游交通基础设施建设，完善以旅游交通引导标识、旅游交通导览图为重点的旅游交通引导标识系统。</w:t>
      </w:r>
      <w:r>
        <w:rPr>
          <w:rFonts w:eastAsia="方正仿宋_GBK"/>
          <w:b w:val="0"/>
          <w:bCs/>
          <w:sz w:val="32"/>
          <w:szCs w:val="32"/>
        </w:rPr>
        <w:t>支持在旅游景区等客源密集区域建设客运停靠站点，在高速公路服务区内建设新能源汽车充电桩等设施，在国省干线公路和农村公路适宜路段设置观景台、厕所等设施，增强旅游服务功能。</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仿宋_GBK"/>
          <w:b w:val="0"/>
          <w:bCs/>
          <w:sz w:val="32"/>
          <w:szCs w:val="32"/>
        </w:rPr>
      </w:pPr>
    </w:p>
    <w:p>
      <w:pPr>
        <w:pStyle w:val="16"/>
        <w:keepNext w:val="0"/>
        <w:keepLines w:val="0"/>
        <w:pageBreakBefore w:val="0"/>
        <w:widowControl w:val="0"/>
        <w:kinsoku/>
        <w:wordWrap/>
        <w:overflowPunct/>
        <w:topLinePunct w:val="0"/>
        <w:autoSpaceDE/>
        <w:autoSpaceDN/>
        <w:bidi w:val="0"/>
        <w:adjustRightInd w:val="0"/>
        <w:snapToGrid w:val="0"/>
        <w:spacing w:before="0" w:after="0" w:afterLines="0" w:line="276" w:lineRule="auto"/>
        <w:textAlignment w:val="auto"/>
        <w:rPr>
          <w:rFonts w:hint="eastAsia" w:ascii="方正楷体_GBK" w:hAnsi="方正楷体_GBK" w:eastAsia="方正楷体_GBK" w:cs="方正楷体_GBK"/>
          <w:b w:val="0"/>
          <w:bCs/>
          <w:kern w:val="2"/>
          <w:sz w:val="32"/>
          <w:szCs w:val="32"/>
        </w:rPr>
      </w:pPr>
      <w:bookmarkStart w:id="154" w:name="_Toc9077"/>
      <w:bookmarkStart w:id="155" w:name="_Toc898470601"/>
      <w:bookmarkStart w:id="156" w:name="_Toc1759495182"/>
      <w:bookmarkStart w:id="157" w:name="_Toc1347488140_WPSOffice_Level2"/>
      <w:r>
        <w:rPr>
          <w:rFonts w:hint="eastAsia" w:ascii="方正楷体_GBK" w:hAnsi="方正楷体_GBK" w:eastAsia="方正楷体_GBK" w:cs="方正楷体_GBK"/>
          <w:b w:val="0"/>
          <w:bCs/>
          <w:kern w:val="2"/>
          <w:sz w:val="32"/>
          <w:szCs w:val="32"/>
        </w:rPr>
        <w:t xml:space="preserve">第四节 </w:t>
      </w:r>
      <w:r>
        <w:rPr>
          <w:rFonts w:hint="default" w:ascii="方正楷体_GBK" w:hAnsi="方正楷体_GBK" w:eastAsia="方正楷体_GBK" w:cs="方正楷体_GBK"/>
          <w:b w:val="0"/>
          <w:bCs/>
          <w:kern w:val="2"/>
          <w:sz w:val="32"/>
          <w:szCs w:val="32"/>
          <w:lang w:val="en"/>
        </w:rPr>
        <w:t xml:space="preserve"> </w:t>
      </w:r>
      <w:r>
        <w:rPr>
          <w:rFonts w:hint="eastAsia" w:ascii="方正楷体_GBK" w:hAnsi="方正楷体_GBK" w:eastAsia="方正楷体_GBK" w:cs="方正楷体_GBK"/>
          <w:b w:val="0"/>
          <w:bCs/>
          <w:kern w:val="2"/>
          <w:sz w:val="32"/>
          <w:szCs w:val="32"/>
        </w:rPr>
        <w:t>强化交通对乡村振兴的支撑</w:t>
      </w:r>
      <w:bookmarkEnd w:id="154"/>
      <w:bookmarkEnd w:id="155"/>
      <w:bookmarkEnd w:id="156"/>
      <w:bookmarkEnd w:id="157"/>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楷体_GBK"/>
          <w:b w:val="0"/>
          <w:bCs/>
          <w:sz w:val="32"/>
          <w:szCs w:val="32"/>
        </w:rPr>
      </w:pP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仿宋_GBK"/>
          <w:b w:val="0"/>
          <w:bCs/>
          <w:sz w:val="32"/>
          <w:szCs w:val="32"/>
        </w:rPr>
      </w:pPr>
      <w:r>
        <w:rPr>
          <w:rFonts w:eastAsia="方正楷体_GBK"/>
          <w:b w:val="0"/>
          <w:bCs/>
          <w:sz w:val="32"/>
          <w:szCs w:val="32"/>
        </w:rPr>
        <w:t>持续推进乡村振兴农村公路网络</w:t>
      </w:r>
      <w:r>
        <w:rPr>
          <w:rFonts w:hint="eastAsia" w:eastAsia="方正楷体_GBK"/>
          <w:b w:val="0"/>
          <w:bCs/>
          <w:sz w:val="32"/>
          <w:szCs w:val="32"/>
        </w:rPr>
        <w:t>建设</w:t>
      </w:r>
      <w:r>
        <w:rPr>
          <w:rFonts w:eastAsia="方正楷体_GBK"/>
          <w:b w:val="0"/>
          <w:bCs/>
          <w:sz w:val="32"/>
          <w:szCs w:val="32"/>
        </w:rPr>
        <w:t>。</w:t>
      </w:r>
      <w:r>
        <w:rPr>
          <w:rFonts w:eastAsia="方正仿宋_GBK"/>
          <w:b w:val="0"/>
          <w:bCs/>
          <w:sz w:val="32"/>
          <w:szCs w:val="32"/>
        </w:rPr>
        <w:t>深入贯彻落实习近平总书记</w:t>
      </w:r>
      <w:r>
        <w:rPr>
          <w:rFonts w:eastAsia="方正仿宋_GBK"/>
          <w:b w:val="0"/>
          <w:bCs/>
          <w:sz w:val="32"/>
          <w:szCs w:val="32"/>
          <w:lang w:val="en"/>
        </w:rPr>
        <w:t>“</w:t>
      </w:r>
      <w:r>
        <w:rPr>
          <w:rFonts w:eastAsia="方正仿宋_GBK"/>
          <w:b w:val="0"/>
          <w:bCs/>
          <w:sz w:val="32"/>
          <w:szCs w:val="32"/>
        </w:rPr>
        <w:t>交通建设项目尽量向进村入户倾斜</w:t>
      </w:r>
      <w:r>
        <w:rPr>
          <w:rFonts w:eastAsia="方正仿宋_GBK"/>
          <w:b w:val="0"/>
          <w:bCs/>
          <w:sz w:val="32"/>
          <w:szCs w:val="32"/>
          <w:lang w:val="en"/>
        </w:rPr>
        <w:t>”</w:t>
      </w:r>
      <w:r>
        <w:rPr>
          <w:rFonts w:eastAsia="方正仿宋_GBK"/>
          <w:b w:val="0"/>
          <w:bCs/>
          <w:sz w:val="32"/>
          <w:szCs w:val="32"/>
        </w:rPr>
        <w:t>的重要指示精神，</w:t>
      </w:r>
      <w:r>
        <w:rPr>
          <w:rFonts w:hint="eastAsia" w:eastAsia="方正仿宋_GBK"/>
          <w:b w:val="0"/>
          <w:bCs/>
          <w:sz w:val="32"/>
          <w:szCs w:val="32"/>
        </w:rPr>
        <w:t>持续推进</w:t>
      </w:r>
      <w:r>
        <w:rPr>
          <w:rFonts w:eastAsia="方正仿宋_GBK"/>
          <w:b w:val="0"/>
          <w:bCs/>
          <w:sz w:val="32"/>
          <w:szCs w:val="32"/>
        </w:rPr>
        <w:t>通村组硬化路建设，构建覆盖广泛的农村交通网络，解决村民出行</w:t>
      </w:r>
      <w:r>
        <w:rPr>
          <w:rFonts w:eastAsia="方正仿宋_GBK"/>
          <w:b w:val="0"/>
          <w:bCs/>
          <w:sz w:val="32"/>
          <w:szCs w:val="32"/>
          <w:lang w:val="en"/>
        </w:rPr>
        <w:t>“</w:t>
      </w:r>
      <w:r>
        <w:rPr>
          <w:rFonts w:eastAsia="方正仿宋_GBK"/>
          <w:b w:val="0"/>
          <w:bCs/>
          <w:sz w:val="32"/>
          <w:szCs w:val="32"/>
        </w:rPr>
        <w:t>最后一公里</w:t>
      </w:r>
      <w:r>
        <w:rPr>
          <w:rFonts w:eastAsia="方正仿宋_GBK"/>
          <w:b w:val="0"/>
          <w:bCs/>
          <w:sz w:val="32"/>
          <w:szCs w:val="32"/>
          <w:lang w:val="en"/>
        </w:rPr>
        <w:t>”</w:t>
      </w:r>
      <w:r>
        <w:rPr>
          <w:rFonts w:eastAsia="方正仿宋_GBK"/>
          <w:b w:val="0"/>
          <w:bCs/>
          <w:sz w:val="32"/>
          <w:szCs w:val="32"/>
        </w:rPr>
        <w:t>问题。加快推进乡镇和建制村硬化路</w:t>
      </w:r>
      <w:r>
        <w:rPr>
          <w:rFonts w:eastAsia="方正仿宋_GBK"/>
          <w:b w:val="0"/>
          <w:bCs/>
          <w:sz w:val="32"/>
          <w:szCs w:val="32"/>
          <w:lang w:val="en"/>
        </w:rPr>
        <w:t>“</w:t>
      </w:r>
      <w:r>
        <w:rPr>
          <w:rFonts w:eastAsia="方正仿宋_GBK"/>
          <w:b w:val="0"/>
          <w:bCs/>
          <w:sz w:val="32"/>
          <w:szCs w:val="32"/>
        </w:rPr>
        <w:t>畅返不畅</w:t>
      </w:r>
      <w:r>
        <w:rPr>
          <w:rFonts w:eastAsia="方正仿宋_GBK"/>
          <w:b w:val="0"/>
          <w:bCs/>
          <w:sz w:val="32"/>
          <w:szCs w:val="32"/>
          <w:lang w:val="en"/>
        </w:rPr>
        <w:t>”</w:t>
      </w:r>
      <w:r>
        <w:rPr>
          <w:rFonts w:eastAsia="方正仿宋_GBK"/>
          <w:b w:val="0"/>
          <w:bCs/>
          <w:sz w:val="32"/>
          <w:szCs w:val="32"/>
        </w:rPr>
        <w:t>项目的路面改造，按照</w:t>
      </w:r>
      <w:r>
        <w:rPr>
          <w:rFonts w:eastAsia="方正仿宋_GBK"/>
          <w:b w:val="0"/>
          <w:bCs/>
          <w:sz w:val="32"/>
          <w:szCs w:val="32"/>
          <w:lang w:val="en"/>
        </w:rPr>
        <w:t>“</w:t>
      </w:r>
      <w:r>
        <w:rPr>
          <w:rFonts w:eastAsia="方正仿宋_GBK"/>
          <w:b w:val="0"/>
          <w:bCs/>
          <w:sz w:val="32"/>
          <w:szCs w:val="32"/>
        </w:rPr>
        <w:t>一村一路</w:t>
      </w:r>
      <w:r>
        <w:rPr>
          <w:rFonts w:eastAsia="方正仿宋_GBK"/>
          <w:b w:val="0"/>
          <w:bCs/>
          <w:sz w:val="32"/>
          <w:szCs w:val="32"/>
          <w:lang w:val="en"/>
        </w:rPr>
        <w:t>”</w:t>
      </w:r>
      <w:r>
        <w:rPr>
          <w:rFonts w:eastAsia="方正仿宋_GBK"/>
          <w:b w:val="0"/>
          <w:bCs/>
          <w:sz w:val="32"/>
          <w:szCs w:val="32"/>
        </w:rPr>
        <w:t>原则实施窄路面拓宽工程，提升通村、通镇路网服务品质，实施农村入户路、窄路面加宽、油返砂改造</w:t>
      </w:r>
      <w:r>
        <w:rPr>
          <w:rFonts w:hint="eastAsia" w:eastAsia="方正仿宋_GBK"/>
          <w:b w:val="0"/>
          <w:bCs/>
          <w:sz w:val="32"/>
          <w:szCs w:val="32"/>
        </w:rPr>
        <w:t>等16</w:t>
      </w:r>
      <w:r>
        <w:rPr>
          <w:rFonts w:eastAsia="方正仿宋_GBK"/>
          <w:b w:val="0"/>
          <w:bCs/>
          <w:sz w:val="32"/>
          <w:szCs w:val="32"/>
        </w:rPr>
        <w:t>00公里。</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仿宋_GBK"/>
          <w:b w:val="0"/>
          <w:bCs/>
          <w:sz w:val="32"/>
          <w:szCs w:val="32"/>
        </w:rPr>
      </w:pPr>
      <w:r>
        <w:rPr>
          <w:rFonts w:hint="eastAsia" w:eastAsia="方正楷体_GBK"/>
          <w:b w:val="0"/>
          <w:bCs/>
          <w:sz w:val="32"/>
          <w:szCs w:val="32"/>
        </w:rPr>
        <w:t>建立</w:t>
      </w:r>
      <w:r>
        <w:rPr>
          <w:rFonts w:hint="default" w:eastAsia="方正楷体_GBK"/>
          <w:b w:val="0"/>
          <w:bCs/>
          <w:sz w:val="32"/>
          <w:szCs w:val="32"/>
          <w:lang w:val="en"/>
        </w:rPr>
        <w:t>“</w:t>
      </w:r>
      <w:r>
        <w:rPr>
          <w:rFonts w:hint="eastAsia" w:eastAsia="方正楷体_GBK"/>
          <w:b w:val="0"/>
          <w:bCs/>
          <w:sz w:val="32"/>
          <w:szCs w:val="32"/>
        </w:rPr>
        <w:t>农村公路+</w:t>
      </w:r>
      <w:r>
        <w:rPr>
          <w:rFonts w:hint="default" w:eastAsia="方正楷体_GBK"/>
          <w:b w:val="0"/>
          <w:bCs/>
          <w:sz w:val="32"/>
          <w:szCs w:val="32"/>
          <w:lang w:val="en"/>
        </w:rPr>
        <w:t>”</w:t>
      </w:r>
      <w:r>
        <w:rPr>
          <w:rFonts w:hint="eastAsia" w:eastAsia="方正楷体_GBK"/>
          <w:b w:val="0"/>
          <w:bCs/>
          <w:sz w:val="32"/>
          <w:szCs w:val="32"/>
        </w:rPr>
        <w:t>创新发展模式。</w:t>
      </w:r>
      <w:r>
        <w:rPr>
          <w:rFonts w:hint="eastAsia" w:eastAsia="方正仿宋_GBK"/>
          <w:b w:val="0"/>
          <w:bCs/>
          <w:sz w:val="32"/>
          <w:szCs w:val="32"/>
        </w:rPr>
        <w:t>探索农村公路</w:t>
      </w:r>
      <w:r>
        <w:rPr>
          <w:rFonts w:hint="default" w:eastAsia="方正仿宋_GBK"/>
          <w:b w:val="0"/>
          <w:bCs/>
          <w:sz w:val="32"/>
          <w:szCs w:val="32"/>
          <w:lang w:val="en"/>
        </w:rPr>
        <w:t>“</w:t>
      </w:r>
      <w:r>
        <w:rPr>
          <w:rFonts w:hint="eastAsia" w:eastAsia="方正仿宋_GBK"/>
          <w:b w:val="0"/>
          <w:bCs/>
          <w:sz w:val="32"/>
          <w:szCs w:val="32"/>
        </w:rPr>
        <w:t>+产业</w:t>
      </w:r>
      <w:r>
        <w:rPr>
          <w:rFonts w:hint="default" w:eastAsia="方正仿宋_GBK"/>
          <w:b w:val="0"/>
          <w:bCs/>
          <w:sz w:val="32"/>
          <w:szCs w:val="32"/>
          <w:lang w:val="en"/>
        </w:rPr>
        <w:t>”“</w:t>
      </w:r>
      <w:r>
        <w:rPr>
          <w:rFonts w:hint="eastAsia" w:eastAsia="方正仿宋_GBK"/>
          <w:b w:val="0"/>
          <w:bCs/>
          <w:sz w:val="32"/>
          <w:szCs w:val="32"/>
        </w:rPr>
        <w:t>+生态</w:t>
      </w:r>
      <w:r>
        <w:rPr>
          <w:rFonts w:hint="default" w:eastAsia="方正仿宋_GBK"/>
          <w:b w:val="0"/>
          <w:bCs/>
          <w:sz w:val="32"/>
          <w:szCs w:val="32"/>
          <w:lang w:val="en"/>
        </w:rPr>
        <w:t>”“</w:t>
      </w:r>
      <w:r>
        <w:rPr>
          <w:rFonts w:hint="eastAsia" w:eastAsia="方正仿宋_GBK"/>
          <w:b w:val="0"/>
          <w:bCs/>
          <w:sz w:val="32"/>
          <w:szCs w:val="32"/>
        </w:rPr>
        <w:t>+文化</w:t>
      </w:r>
      <w:r>
        <w:rPr>
          <w:rFonts w:hint="default" w:eastAsia="方正仿宋_GBK"/>
          <w:b w:val="0"/>
          <w:bCs/>
          <w:sz w:val="32"/>
          <w:szCs w:val="32"/>
          <w:lang w:val="en"/>
        </w:rPr>
        <w:t>”</w:t>
      </w:r>
      <w:r>
        <w:rPr>
          <w:rFonts w:hint="eastAsia" w:eastAsia="方正仿宋_GBK"/>
          <w:b w:val="0"/>
          <w:bCs/>
          <w:sz w:val="32"/>
          <w:szCs w:val="32"/>
        </w:rPr>
        <w:t>发展模式，将自然生态、产业发展、传统文化等元素融入农村公路规划、设计、建设全过程，助力乡村振兴发展。通过完善农村交通基础设施网络、高标准实施农村公路提档升级，推动农村交通提质升级，激活农村发展资源，带动特色种养业、农村电商等特色产业发展。将农村道路建设主动融入沿线自然景观，还原乡村自然美、生态美，同时与沿线乡村历史、人文、休闲紧密结合，利用乡村各地特色景观，打造特色驿站，建设富有历史文化内涵的景观路，展现乡村独特文化韵味。</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noWrap w:val="0"/>
            <w:vAlign w:val="top"/>
          </w:tcPr>
          <w:p>
            <w:pPr>
              <w:snapToGrid w:val="0"/>
              <w:spacing w:after="0" w:afterLines="0" w:line="276" w:lineRule="auto"/>
              <w:jc w:val="center"/>
              <w:rPr>
                <w:rFonts w:eastAsia="方正小标宋_GBK"/>
                <w:b w:val="0"/>
                <w:bCs/>
                <w:sz w:val="28"/>
                <w:szCs w:val="28"/>
              </w:rPr>
            </w:pPr>
            <w:r>
              <w:rPr>
                <w:rFonts w:eastAsia="方正小标宋_GBK"/>
                <w:b w:val="0"/>
                <w:bCs/>
                <w:sz w:val="28"/>
                <w:szCs w:val="28"/>
              </w:rPr>
              <w:t>专栏5公路重大项目建设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8" w:hRule="atLeast"/>
          <w:jc w:val="center"/>
        </w:trPr>
        <w:tc>
          <w:tcPr>
            <w:tcW w:w="5000" w:type="pct"/>
            <w:noWrap w:val="0"/>
            <w:vAlign w:val="top"/>
          </w:tcPr>
          <w:p>
            <w:pPr>
              <w:snapToGrid w:val="0"/>
              <w:spacing w:afterLines="0" w:line="276" w:lineRule="auto"/>
              <w:ind w:firstLine="420" w:firstLineChars="150"/>
              <w:rPr>
                <w:rFonts w:hint="eastAsia" w:eastAsia="方正仿宋_GBK"/>
                <w:b w:val="0"/>
                <w:bCs/>
                <w:sz w:val="28"/>
                <w:szCs w:val="28"/>
              </w:rPr>
            </w:pPr>
            <w:r>
              <w:rPr>
                <w:rFonts w:eastAsia="方正楷体_GBK"/>
                <w:b w:val="0"/>
                <w:bCs/>
                <w:sz w:val="28"/>
                <w:szCs w:val="28"/>
              </w:rPr>
              <w:t>干线公路</w:t>
            </w:r>
            <w:r>
              <w:rPr>
                <w:rFonts w:hint="eastAsia" w:eastAsia="方正楷体_GBK"/>
                <w:b w:val="0"/>
                <w:bCs/>
                <w:sz w:val="28"/>
                <w:szCs w:val="28"/>
              </w:rPr>
              <w:t>升级改造</w:t>
            </w:r>
            <w:r>
              <w:rPr>
                <w:rFonts w:eastAsia="方正楷体_GBK"/>
                <w:b w:val="0"/>
                <w:bCs/>
                <w:sz w:val="28"/>
                <w:szCs w:val="28"/>
              </w:rPr>
              <w:t>：</w:t>
            </w:r>
            <w:r>
              <w:rPr>
                <w:rFonts w:hint="eastAsia" w:eastAsia="方正仿宋_GBK"/>
                <w:b w:val="0"/>
                <w:bCs/>
                <w:sz w:val="28"/>
                <w:szCs w:val="28"/>
              </w:rPr>
              <w:t>实施G348江津界至莲花场、S209来苏场至吉安、S544胜利村至三台、S544花滩至龙岭、S208茅园至望川、S208金龙至大安场口、S208大安场口至瓦窑、S545尖山场至寒泸升级改造工程，共计1</w:t>
            </w:r>
            <w:r>
              <w:rPr>
                <w:rFonts w:eastAsia="方正仿宋_GBK"/>
                <w:b w:val="0"/>
                <w:bCs/>
                <w:sz w:val="28"/>
                <w:szCs w:val="28"/>
              </w:rPr>
              <w:t>18</w:t>
            </w:r>
            <w:r>
              <w:rPr>
                <w:rFonts w:hint="eastAsia" w:eastAsia="方正仿宋_GBK"/>
                <w:b w:val="0"/>
                <w:bCs/>
                <w:sz w:val="28"/>
                <w:szCs w:val="28"/>
              </w:rPr>
              <w:t>公里。积极开展G348莲花场至毛家坡、S209吉安至新建村、S105永川城区至宝峰、S208隆顺至茅园、S545永川界至金龙、S546丁吴路三教园区至板桥场段升级改造前期工作。</w:t>
            </w:r>
          </w:p>
          <w:p>
            <w:pPr>
              <w:snapToGrid w:val="0"/>
              <w:spacing w:afterLines="0" w:line="276" w:lineRule="auto"/>
              <w:ind w:firstLine="420" w:firstLineChars="150"/>
              <w:rPr>
                <w:rFonts w:eastAsia="方正仿宋_GBK"/>
                <w:b w:val="0"/>
                <w:bCs/>
                <w:sz w:val="28"/>
                <w:szCs w:val="28"/>
              </w:rPr>
            </w:pPr>
            <w:r>
              <w:rPr>
                <w:rFonts w:hint="eastAsia" w:eastAsia="方正楷体_GBK"/>
                <w:b w:val="0"/>
                <w:bCs/>
                <w:sz w:val="28"/>
                <w:szCs w:val="28"/>
              </w:rPr>
              <w:t>干线公路路面改造</w:t>
            </w:r>
            <w:r>
              <w:rPr>
                <w:rFonts w:eastAsia="方正楷体_GBK"/>
                <w:b w:val="0"/>
                <w:bCs/>
                <w:sz w:val="28"/>
                <w:szCs w:val="28"/>
              </w:rPr>
              <w:t>：</w:t>
            </w:r>
            <w:r>
              <w:rPr>
                <w:rFonts w:hint="eastAsia" w:eastAsia="方正仿宋_GBK"/>
                <w:b w:val="0"/>
                <w:bCs/>
                <w:sz w:val="28"/>
                <w:szCs w:val="28"/>
              </w:rPr>
              <w:t>实施G246毛家坡至周公滩、G246周公滩至泸州界、S544美人店至茶山竹海入口、S545大南至黄文道班房、S547三块石至茅园、S209直升（荣昌界）至三叉河、S544雷神庙至美人店路面改造工程，共计8</w:t>
            </w:r>
            <w:r>
              <w:rPr>
                <w:rFonts w:eastAsia="方正仿宋_GBK"/>
                <w:b w:val="0"/>
                <w:bCs/>
                <w:sz w:val="28"/>
                <w:szCs w:val="28"/>
              </w:rPr>
              <w:t>6</w:t>
            </w:r>
            <w:r>
              <w:rPr>
                <w:rFonts w:hint="eastAsia" w:eastAsia="方正仿宋_GBK"/>
                <w:b w:val="0"/>
                <w:bCs/>
                <w:sz w:val="28"/>
                <w:szCs w:val="28"/>
              </w:rPr>
              <w:t>公里。积极开展G348胜利村至毛家坡原级改造前期工作。</w:t>
            </w:r>
          </w:p>
          <w:p>
            <w:pPr>
              <w:snapToGrid w:val="0"/>
              <w:spacing w:afterLines="0" w:line="276" w:lineRule="auto"/>
              <w:ind w:firstLine="420" w:firstLineChars="150"/>
              <w:rPr>
                <w:rFonts w:eastAsia="方正仿宋_GBK"/>
                <w:b w:val="0"/>
                <w:bCs/>
                <w:sz w:val="28"/>
                <w:szCs w:val="28"/>
              </w:rPr>
            </w:pPr>
            <w:r>
              <w:rPr>
                <w:rFonts w:eastAsia="方正楷体_GBK"/>
                <w:b w:val="0"/>
                <w:bCs/>
                <w:sz w:val="28"/>
                <w:szCs w:val="28"/>
              </w:rPr>
              <w:t>县乡道：</w:t>
            </w:r>
            <w:r>
              <w:rPr>
                <w:rFonts w:eastAsia="方正仿宋_GBK"/>
                <w:b w:val="0"/>
                <w:bCs/>
                <w:sz w:val="28"/>
                <w:szCs w:val="28"/>
              </w:rPr>
              <w:t>重要县乡道及连接线公路新改建2</w:t>
            </w:r>
            <w:r>
              <w:rPr>
                <w:rFonts w:hint="eastAsia" w:eastAsia="方正仿宋_GBK"/>
                <w:b w:val="0"/>
                <w:bCs/>
                <w:sz w:val="28"/>
                <w:szCs w:val="28"/>
              </w:rPr>
              <w:t>4</w:t>
            </w:r>
            <w:r>
              <w:rPr>
                <w:rFonts w:eastAsia="方正仿宋_GBK"/>
                <w:b w:val="0"/>
                <w:bCs/>
                <w:sz w:val="28"/>
                <w:szCs w:val="28"/>
              </w:rPr>
              <w:t>0公里</w:t>
            </w:r>
            <w:r>
              <w:rPr>
                <w:rFonts w:hint="eastAsia" w:eastAsia="方正仿宋_GBK"/>
                <w:b w:val="0"/>
                <w:bCs/>
                <w:sz w:val="28"/>
                <w:szCs w:val="28"/>
              </w:rPr>
              <w:t>，其中，乡镇通三级及以上公路升级改造工程6</w:t>
            </w:r>
            <w:r>
              <w:rPr>
                <w:rFonts w:eastAsia="方正仿宋_GBK"/>
                <w:b w:val="0"/>
                <w:bCs/>
                <w:sz w:val="28"/>
                <w:szCs w:val="28"/>
              </w:rPr>
              <w:t>0</w:t>
            </w:r>
            <w:r>
              <w:rPr>
                <w:rFonts w:hint="eastAsia" w:eastAsia="方正仿宋_GBK"/>
                <w:b w:val="0"/>
                <w:bCs/>
                <w:sz w:val="28"/>
                <w:szCs w:val="28"/>
              </w:rPr>
              <w:t>公里，重要县乡道提质改造工程1</w:t>
            </w:r>
            <w:r>
              <w:rPr>
                <w:rFonts w:eastAsia="方正仿宋_GBK"/>
                <w:b w:val="0"/>
                <w:bCs/>
                <w:sz w:val="28"/>
                <w:szCs w:val="28"/>
              </w:rPr>
              <w:t>80</w:t>
            </w:r>
            <w:r>
              <w:rPr>
                <w:rFonts w:hint="eastAsia" w:eastAsia="方正仿宋_GBK"/>
                <w:b w:val="0"/>
                <w:bCs/>
                <w:sz w:val="28"/>
                <w:szCs w:val="28"/>
              </w:rPr>
              <w:t>公里</w:t>
            </w:r>
            <w:r>
              <w:rPr>
                <w:rFonts w:eastAsia="方正仿宋_GBK"/>
                <w:b w:val="0"/>
                <w:bCs/>
                <w:sz w:val="28"/>
                <w:szCs w:val="28"/>
              </w:rPr>
              <w:t>。</w:t>
            </w:r>
          </w:p>
          <w:p>
            <w:pPr>
              <w:snapToGrid w:val="0"/>
              <w:spacing w:afterLines="0" w:line="276" w:lineRule="auto"/>
              <w:ind w:firstLine="420" w:firstLineChars="150"/>
              <w:rPr>
                <w:rFonts w:eastAsia="方正仿宋_GBK"/>
                <w:b w:val="0"/>
                <w:bCs/>
                <w:sz w:val="28"/>
                <w:szCs w:val="28"/>
              </w:rPr>
            </w:pPr>
            <w:r>
              <w:rPr>
                <w:rFonts w:eastAsia="方正楷体_GBK"/>
                <w:b w:val="0"/>
                <w:bCs/>
                <w:sz w:val="28"/>
                <w:szCs w:val="28"/>
              </w:rPr>
              <w:t>农村公路：</w:t>
            </w:r>
            <w:r>
              <w:rPr>
                <w:rFonts w:hint="eastAsia" w:eastAsia="方正仿宋_GBK"/>
                <w:b w:val="0"/>
                <w:bCs/>
                <w:sz w:val="28"/>
                <w:szCs w:val="28"/>
              </w:rPr>
              <w:t>新改建</w:t>
            </w:r>
            <w:r>
              <w:rPr>
                <w:rFonts w:eastAsia="方正仿宋_GBK"/>
                <w:b w:val="0"/>
                <w:bCs/>
                <w:sz w:val="28"/>
                <w:szCs w:val="28"/>
                <w:lang w:val="en"/>
              </w:rPr>
              <w:t>“</w:t>
            </w:r>
            <w:r>
              <w:rPr>
                <w:rFonts w:eastAsia="方正仿宋_GBK"/>
                <w:b w:val="0"/>
                <w:bCs/>
                <w:sz w:val="28"/>
                <w:szCs w:val="28"/>
              </w:rPr>
              <w:t>四好农村路</w:t>
            </w:r>
            <w:r>
              <w:rPr>
                <w:rFonts w:eastAsia="方正仿宋_GBK"/>
                <w:b w:val="0"/>
                <w:bCs/>
                <w:sz w:val="28"/>
                <w:szCs w:val="28"/>
                <w:lang w:val="en"/>
              </w:rPr>
              <w:t>”</w:t>
            </w:r>
            <w:r>
              <w:rPr>
                <w:rFonts w:eastAsia="方正仿宋_GBK"/>
                <w:b w:val="0"/>
                <w:bCs/>
                <w:sz w:val="28"/>
                <w:szCs w:val="28"/>
              </w:rPr>
              <w:t>共</w:t>
            </w:r>
            <w:r>
              <w:rPr>
                <w:rFonts w:hint="eastAsia" w:eastAsia="方正仿宋_GBK"/>
                <w:b w:val="0"/>
                <w:bCs/>
                <w:sz w:val="28"/>
                <w:szCs w:val="28"/>
              </w:rPr>
              <w:t>16</w:t>
            </w:r>
            <w:r>
              <w:rPr>
                <w:rFonts w:eastAsia="方正仿宋_GBK"/>
                <w:b w:val="0"/>
                <w:bCs/>
                <w:sz w:val="28"/>
                <w:szCs w:val="28"/>
              </w:rPr>
              <w:t>00公里。</w:t>
            </w:r>
          </w:p>
        </w:tc>
      </w:tr>
    </w:tbl>
    <w:p>
      <w:pPr>
        <w:keepNext w:val="0"/>
        <w:keepLines w:val="0"/>
        <w:pageBreakBefore w:val="0"/>
        <w:widowControl w:val="0"/>
        <w:kinsoku/>
        <w:wordWrap/>
        <w:overflowPunct/>
        <w:topLinePunct w:val="0"/>
        <w:autoSpaceDE/>
        <w:autoSpaceDN/>
        <w:bidi w:val="0"/>
        <w:adjustRightInd w:val="0"/>
        <w:snapToGrid w:val="0"/>
        <w:spacing w:afterLines="0" w:line="276" w:lineRule="auto"/>
        <w:ind w:firstLine="630"/>
        <w:jc w:val="left"/>
        <w:textAlignment w:val="auto"/>
        <w:rPr>
          <w:rFonts w:hint="eastAsia" w:eastAsia="方正仿宋_GBK"/>
          <w:b w:val="0"/>
          <w:bCs/>
          <w:sz w:val="32"/>
          <w:szCs w:val="32"/>
        </w:rPr>
      </w:pPr>
      <w:bookmarkStart w:id="158" w:name="_Toc2945"/>
    </w:p>
    <w:p>
      <w:pPr>
        <w:keepNext w:val="0"/>
        <w:keepLines w:val="0"/>
        <w:pageBreakBefore w:val="0"/>
        <w:widowControl w:val="0"/>
        <w:kinsoku/>
        <w:wordWrap/>
        <w:overflowPunct/>
        <w:topLinePunct w:val="0"/>
        <w:autoSpaceDE/>
        <w:autoSpaceDN/>
        <w:bidi w:val="0"/>
        <w:adjustRightInd w:val="0"/>
        <w:snapToGrid w:val="0"/>
        <w:spacing w:afterLines="0" w:line="276" w:lineRule="auto"/>
        <w:jc w:val="center"/>
        <w:textAlignment w:val="auto"/>
        <w:rPr>
          <w:rFonts w:ascii="Times New Roman" w:hAnsi="Times New Roman" w:eastAsia="方正黑体_GBK"/>
          <w:b w:val="0"/>
          <w:bCs/>
          <w:sz w:val="32"/>
          <w:szCs w:val="32"/>
        </w:rPr>
      </w:pPr>
      <w:bookmarkStart w:id="159" w:name="_Toc1857719158_WPSOffice_Level1"/>
      <w:r>
        <w:rPr>
          <w:rFonts w:ascii="Times New Roman" w:hAnsi="Times New Roman" w:eastAsia="方正黑体_GBK"/>
          <w:b w:val="0"/>
          <w:bCs/>
          <w:sz w:val="32"/>
          <w:szCs w:val="32"/>
        </w:rPr>
        <w:t xml:space="preserve">第七章 </w:t>
      </w:r>
      <w:r>
        <w:rPr>
          <w:rFonts w:hint="eastAsia" w:ascii="Times New Roman" w:hAnsi="Times New Roman" w:eastAsia="方正黑体_GBK"/>
          <w:b w:val="0"/>
          <w:bCs/>
          <w:sz w:val="32"/>
          <w:szCs w:val="32"/>
          <w:lang w:val="en-US" w:eastAsia="zh-CN"/>
        </w:rPr>
        <w:t xml:space="preserve"> </w:t>
      </w:r>
      <w:r>
        <w:rPr>
          <w:rFonts w:ascii="Times New Roman" w:hAnsi="Times New Roman" w:eastAsia="方正黑体_GBK"/>
          <w:b w:val="0"/>
          <w:bCs/>
          <w:sz w:val="32"/>
          <w:szCs w:val="32"/>
        </w:rPr>
        <w:t>着眼枢纽贯通，构建一体衔接综合枢纽网</w:t>
      </w:r>
      <w:bookmarkEnd w:id="158"/>
      <w:bookmarkEnd w:id="159"/>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30"/>
        <w:textAlignment w:val="auto"/>
        <w:rPr>
          <w:rFonts w:eastAsia="方正仿宋_GBK"/>
          <w:b w:val="0"/>
          <w:bCs/>
          <w:sz w:val="32"/>
          <w:szCs w:val="32"/>
        </w:rPr>
      </w:pP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30"/>
        <w:textAlignment w:val="auto"/>
        <w:rPr>
          <w:rFonts w:eastAsia="方正仿宋_GBK"/>
          <w:b w:val="0"/>
          <w:bCs/>
          <w:sz w:val="32"/>
          <w:szCs w:val="32"/>
        </w:rPr>
      </w:pPr>
      <w:r>
        <w:rPr>
          <w:rFonts w:eastAsia="方正仿宋_GBK"/>
          <w:b w:val="0"/>
          <w:bCs/>
          <w:sz w:val="32"/>
          <w:szCs w:val="32"/>
        </w:rPr>
        <w:t>统筹铁公水空</w:t>
      </w:r>
      <w:r>
        <w:rPr>
          <w:rFonts w:hint="eastAsia" w:eastAsia="方正仿宋_GBK"/>
          <w:b w:val="0"/>
          <w:bCs/>
          <w:sz w:val="32"/>
          <w:szCs w:val="32"/>
        </w:rPr>
        <w:t>等</w:t>
      </w:r>
      <w:r>
        <w:rPr>
          <w:rFonts w:eastAsia="方正仿宋_GBK"/>
          <w:b w:val="0"/>
          <w:bCs/>
          <w:sz w:val="32"/>
          <w:szCs w:val="32"/>
        </w:rPr>
        <w:t>多种交通方式协调发展，推动建设一批高效率换乘换装的综合客货运枢纽，打造无缝衔接的枢纽体系，实现人流、物流、资金流、信息流的高效聚集。</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30"/>
        <w:textAlignment w:val="auto"/>
        <w:rPr>
          <w:rFonts w:eastAsia="方正仿宋_GBK"/>
          <w:b w:val="0"/>
          <w:bCs/>
          <w:sz w:val="32"/>
          <w:szCs w:val="32"/>
        </w:rPr>
      </w:pPr>
    </w:p>
    <w:p>
      <w:pPr>
        <w:pStyle w:val="16"/>
        <w:keepNext w:val="0"/>
        <w:keepLines w:val="0"/>
        <w:pageBreakBefore w:val="0"/>
        <w:widowControl w:val="0"/>
        <w:kinsoku/>
        <w:wordWrap/>
        <w:overflowPunct/>
        <w:topLinePunct w:val="0"/>
        <w:autoSpaceDE/>
        <w:autoSpaceDN/>
        <w:bidi w:val="0"/>
        <w:adjustRightInd w:val="0"/>
        <w:snapToGrid w:val="0"/>
        <w:spacing w:before="0" w:after="0" w:afterLines="0" w:line="276" w:lineRule="auto"/>
        <w:textAlignment w:val="auto"/>
        <w:rPr>
          <w:rFonts w:hint="eastAsia" w:ascii="方正楷体_GBK" w:hAnsi="方正楷体_GBK" w:eastAsia="方正楷体_GBK" w:cs="方正楷体_GBK"/>
          <w:b w:val="0"/>
          <w:bCs/>
          <w:kern w:val="2"/>
          <w:sz w:val="32"/>
          <w:szCs w:val="32"/>
        </w:rPr>
      </w:pPr>
      <w:bookmarkStart w:id="160" w:name="_Toc116386693_WPSOffice_Level2"/>
      <w:bookmarkStart w:id="161" w:name="_Toc29551"/>
      <w:bookmarkStart w:id="162" w:name="_Toc779376022"/>
      <w:bookmarkStart w:id="163" w:name="_Toc1549442095"/>
      <w:r>
        <w:rPr>
          <w:rFonts w:hint="eastAsia" w:ascii="方正楷体_GBK" w:hAnsi="方正楷体_GBK" w:eastAsia="方正楷体_GBK" w:cs="方正楷体_GBK"/>
          <w:b w:val="0"/>
          <w:bCs/>
          <w:kern w:val="2"/>
          <w:sz w:val="32"/>
          <w:szCs w:val="32"/>
        </w:rPr>
        <w:t xml:space="preserve">第一节 </w:t>
      </w:r>
      <w:r>
        <w:rPr>
          <w:rFonts w:hint="default" w:ascii="方正楷体_GBK" w:hAnsi="方正楷体_GBK" w:eastAsia="方正楷体_GBK" w:cs="方正楷体_GBK"/>
          <w:b w:val="0"/>
          <w:bCs/>
          <w:kern w:val="2"/>
          <w:sz w:val="32"/>
          <w:szCs w:val="32"/>
          <w:lang w:val="en"/>
        </w:rPr>
        <w:t xml:space="preserve"> </w:t>
      </w:r>
      <w:r>
        <w:rPr>
          <w:rFonts w:hint="eastAsia" w:ascii="方正楷体_GBK" w:hAnsi="方正楷体_GBK" w:eastAsia="方正楷体_GBK" w:cs="方正楷体_GBK"/>
          <w:b w:val="0"/>
          <w:bCs/>
          <w:sz w:val="32"/>
          <w:szCs w:val="32"/>
        </w:rPr>
        <w:t>构建高品质客运枢纽</w:t>
      </w:r>
      <w:bookmarkEnd w:id="160"/>
      <w:bookmarkEnd w:id="161"/>
      <w:bookmarkEnd w:id="162"/>
      <w:bookmarkEnd w:id="163"/>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30"/>
        <w:textAlignment w:val="auto"/>
        <w:rPr>
          <w:rFonts w:eastAsia="方正楷体_GBK"/>
          <w:b w:val="0"/>
          <w:bCs/>
          <w:sz w:val="32"/>
          <w:szCs w:val="32"/>
        </w:rPr>
      </w:pP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30"/>
        <w:textAlignment w:val="auto"/>
        <w:rPr>
          <w:rFonts w:eastAsia="方正仿宋_GBK"/>
          <w:b w:val="0"/>
          <w:bCs/>
          <w:sz w:val="32"/>
          <w:szCs w:val="32"/>
        </w:rPr>
      </w:pPr>
      <w:r>
        <w:rPr>
          <w:rFonts w:eastAsia="方正楷体_GBK"/>
          <w:b w:val="0"/>
          <w:bCs/>
          <w:sz w:val="32"/>
          <w:szCs w:val="32"/>
        </w:rPr>
        <w:t>加快构建综合客运枢纽集群。</w:t>
      </w:r>
      <w:r>
        <w:rPr>
          <w:rFonts w:eastAsia="方正仿宋_GBK"/>
          <w:b w:val="0"/>
          <w:bCs/>
          <w:sz w:val="32"/>
          <w:szCs w:val="32"/>
        </w:rPr>
        <w:t>结合渝昆高铁建设进度，高标准、高水平打造渝昆高铁永川南站，以高铁站为核心，</w:t>
      </w:r>
      <w:r>
        <w:rPr>
          <w:rFonts w:hint="eastAsia" w:eastAsia="方正仿宋_GBK"/>
          <w:b w:val="0"/>
          <w:bCs/>
          <w:sz w:val="32"/>
          <w:szCs w:val="32"/>
        </w:rPr>
        <w:t>坚持以人为本，</w:t>
      </w:r>
      <w:r>
        <w:rPr>
          <w:rFonts w:eastAsia="方正仿宋_GBK"/>
          <w:b w:val="0"/>
          <w:bCs/>
          <w:sz w:val="32"/>
          <w:szCs w:val="32"/>
        </w:rPr>
        <w:t>积极推行TOD发展模式，一体化规划设计铁路站房、配套综合交通枢纽以及集疏运体系，</w:t>
      </w:r>
      <w:r>
        <w:rPr>
          <w:rFonts w:hint="eastAsia" w:eastAsia="方正仿宋_GBK"/>
          <w:b w:val="0"/>
          <w:bCs/>
          <w:sz w:val="32"/>
          <w:szCs w:val="32"/>
        </w:rPr>
        <w:t>科学制定人流、车流等流线组织，</w:t>
      </w:r>
      <w:r>
        <w:rPr>
          <w:rFonts w:eastAsia="方正仿宋_GBK"/>
          <w:b w:val="0"/>
          <w:bCs/>
          <w:sz w:val="32"/>
          <w:szCs w:val="32"/>
        </w:rPr>
        <w:t>实现干线铁路、城际铁路、市域（郊）铁路、城市轨道以及其他交通方式的无缝换乘，打造</w:t>
      </w:r>
      <w:r>
        <w:rPr>
          <w:rFonts w:hint="eastAsia" w:eastAsia="方正仿宋_GBK"/>
          <w:b w:val="0"/>
          <w:bCs/>
          <w:sz w:val="32"/>
          <w:szCs w:val="32"/>
        </w:rPr>
        <w:t>高效、便捷、安全的</w:t>
      </w:r>
      <w:r>
        <w:rPr>
          <w:rFonts w:eastAsia="方正仿宋_GBK"/>
          <w:b w:val="0"/>
          <w:bCs/>
          <w:sz w:val="32"/>
          <w:szCs w:val="32"/>
        </w:rPr>
        <w:t>一流高铁示范枢纽。依托市域（郊）铁路</w:t>
      </w:r>
      <w:r>
        <w:rPr>
          <w:rFonts w:hint="eastAsia" w:eastAsia="方正仿宋_GBK"/>
          <w:b w:val="0"/>
          <w:bCs/>
          <w:sz w:val="32"/>
          <w:szCs w:val="32"/>
        </w:rPr>
        <w:t>中心城区</w:t>
      </w:r>
      <w:r>
        <w:rPr>
          <w:rFonts w:eastAsia="方正仿宋_GBK"/>
          <w:b w:val="0"/>
          <w:bCs/>
          <w:sz w:val="32"/>
          <w:szCs w:val="32"/>
        </w:rPr>
        <w:t>至永川线</w:t>
      </w:r>
      <w:r>
        <w:rPr>
          <w:rFonts w:hint="eastAsia" w:eastAsia="方正仿宋_GBK"/>
          <w:b w:val="0"/>
          <w:bCs/>
          <w:sz w:val="32"/>
          <w:szCs w:val="32"/>
        </w:rPr>
        <w:t>，</w:t>
      </w:r>
      <w:r>
        <w:rPr>
          <w:rFonts w:eastAsia="方正仿宋_GBK"/>
          <w:b w:val="0"/>
          <w:bCs/>
          <w:sz w:val="32"/>
          <w:szCs w:val="32"/>
        </w:rPr>
        <w:t>新建永川新城铁路站、大安站，根据市域（郊）铁路公交化高密度、小运载单元、短间隔时间的运行特点，设计符合高品质铁路公交化出行的站场布局方案，打造集市域（郊）铁路、轨道交通、地面公交等为一体化的综合客运枢纽。</w:t>
      </w:r>
      <w:r>
        <w:rPr>
          <w:rFonts w:hint="eastAsia" w:eastAsia="方正仿宋_GBK"/>
          <w:b w:val="0"/>
          <w:bCs/>
          <w:sz w:val="32"/>
          <w:szCs w:val="32"/>
        </w:rPr>
        <w:t>积极推进</w:t>
      </w:r>
      <w:r>
        <w:rPr>
          <w:rFonts w:eastAsia="方正仿宋_GBK"/>
          <w:b w:val="0"/>
          <w:bCs/>
          <w:sz w:val="32"/>
          <w:szCs w:val="32"/>
        </w:rPr>
        <w:t>成渝铁路改造</w:t>
      </w:r>
      <w:r>
        <w:rPr>
          <w:rFonts w:hint="eastAsia" w:eastAsia="方正仿宋_GBK"/>
          <w:b w:val="0"/>
          <w:bCs/>
          <w:sz w:val="32"/>
          <w:szCs w:val="32"/>
        </w:rPr>
        <w:t>及铁路二环线前期工作</w:t>
      </w:r>
      <w:r>
        <w:rPr>
          <w:rFonts w:eastAsia="方正仿宋_GBK"/>
          <w:b w:val="0"/>
          <w:bCs/>
          <w:sz w:val="32"/>
          <w:szCs w:val="32"/>
        </w:rPr>
        <w:t>，</w:t>
      </w:r>
      <w:r>
        <w:rPr>
          <w:rFonts w:hint="eastAsia" w:eastAsia="方正仿宋_GBK"/>
          <w:b w:val="0"/>
          <w:bCs/>
          <w:sz w:val="32"/>
          <w:szCs w:val="32"/>
        </w:rPr>
        <w:t>提前谋划</w:t>
      </w:r>
      <w:r>
        <w:rPr>
          <w:rFonts w:eastAsia="方正仿宋_GBK"/>
          <w:b w:val="0"/>
          <w:bCs/>
          <w:sz w:val="32"/>
          <w:szCs w:val="32"/>
        </w:rPr>
        <w:t>永川站升级改造工程</w:t>
      </w:r>
      <w:r>
        <w:rPr>
          <w:rFonts w:hint="eastAsia" w:eastAsia="方正仿宋_GBK"/>
          <w:b w:val="0"/>
          <w:bCs/>
          <w:sz w:val="32"/>
          <w:szCs w:val="32"/>
        </w:rPr>
        <w:t>以及</w:t>
      </w:r>
      <w:r>
        <w:rPr>
          <w:rFonts w:eastAsia="方正仿宋_GBK"/>
          <w:b w:val="0"/>
          <w:bCs/>
          <w:sz w:val="32"/>
          <w:szCs w:val="32"/>
        </w:rPr>
        <w:t>铁路青峰站</w:t>
      </w:r>
      <w:r>
        <w:rPr>
          <w:rFonts w:hint="eastAsia" w:eastAsia="方正仿宋_GBK"/>
          <w:b w:val="0"/>
          <w:bCs/>
          <w:sz w:val="32"/>
          <w:szCs w:val="32"/>
        </w:rPr>
        <w:t>建设，进一步完善枢纽体系</w:t>
      </w:r>
      <w:r>
        <w:rPr>
          <w:rFonts w:eastAsia="方正仿宋_GBK"/>
          <w:b w:val="0"/>
          <w:bCs/>
          <w:sz w:val="32"/>
          <w:szCs w:val="32"/>
        </w:rPr>
        <w:t>。</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30"/>
        <w:textAlignment w:val="auto"/>
        <w:rPr>
          <w:rFonts w:eastAsia="方正仿宋_GBK"/>
          <w:b w:val="0"/>
          <w:bCs/>
          <w:sz w:val="32"/>
          <w:szCs w:val="32"/>
        </w:rPr>
      </w:pPr>
    </w:p>
    <w:p>
      <w:pPr>
        <w:pStyle w:val="16"/>
        <w:keepNext w:val="0"/>
        <w:keepLines w:val="0"/>
        <w:pageBreakBefore w:val="0"/>
        <w:widowControl w:val="0"/>
        <w:kinsoku/>
        <w:wordWrap/>
        <w:overflowPunct/>
        <w:topLinePunct w:val="0"/>
        <w:autoSpaceDE/>
        <w:autoSpaceDN/>
        <w:bidi w:val="0"/>
        <w:adjustRightInd w:val="0"/>
        <w:snapToGrid w:val="0"/>
        <w:spacing w:before="0" w:after="0" w:afterLines="0" w:line="276" w:lineRule="auto"/>
        <w:textAlignment w:val="auto"/>
        <w:rPr>
          <w:rFonts w:hint="eastAsia" w:ascii="方正楷体_GBK" w:hAnsi="方正楷体_GBK" w:eastAsia="方正楷体_GBK" w:cs="方正楷体_GBK"/>
          <w:b w:val="0"/>
          <w:bCs/>
          <w:kern w:val="2"/>
          <w:sz w:val="32"/>
          <w:szCs w:val="32"/>
        </w:rPr>
      </w:pPr>
      <w:bookmarkStart w:id="164" w:name="_Toc9059"/>
      <w:bookmarkStart w:id="165" w:name="_Toc1539888077"/>
      <w:bookmarkStart w:id="166" w:name="_Toc1597976921_WPSOffice_Level2"/>
      <w:bookmarkStart w:id="167" w:name="_Toc347765893"/>
      <w:r>
        <w:rPr>
          <w:rFonts w:hint="eastAsia" w:ascii="方正楷体_GBK" w:hAnsi="方正楷体_GBK" w:eastAsia="方正楷体_GBK" w:cs="方正楷体_GBK"/>
          <w:b w:val="0"/>
          <w:bCs/>
          <w:kern w:val="2"/>
          <w:sz w:val="32"/>
          <w:szCs w:val="32"/>
        </w:rPr>
        <w:t xml:space="preserve">第二节 </w:t>
      </w:r>
      <w:r>
        <w:rPr>
          <w:rFonts w:hint="default" w:ascii="方正楷体_GBK" w:hAnsi="方正楷体_GBK" w:eastAsia="方正楷体_GBK" w:cs="方正楷体_GBK"/>
          <w:b w:val="0"/>
          <w:bCs/>
          <w:kern w:val="2"/>
          <w:sz w:val="32"/>
          <w:szCs w:val="32"/>
          <w:lang w:val="en"/>
        </w:rPr>
        <w:t xml:space="preserve"> </w:t>
      </w:r>
      <w:r>
        <w:rPr>
          <w:rFonts w:hint="eastAsia" w:ascii="方正楷体_GBK" w:hAnsi="方正楷体_GBK" w:eastAsia="方正楷体_GBK" w:cs="方正楷体_GBK"/>
          <w:b w:val="0"/>
          <w:bCs/>
          <w:kern w:val="2"/>
          <w:sz w:val="32"/>
          <w:szCs w:val="32"/>
        </w:rPr>
        <w:t>构建高效率物流枢纽</w:t>
      </w:r>
      <w:bookmarkEnd w:id="164"/>
      <w:bookmarkEnd w:id="165"/>
      <w:bookmarkEnd w:id="166"/>
      <w:bookmarkEnd w:id="167"/>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30"/>
        <w:textAlignment w:val="auto"/>
        <w:rPr>
          <w:rFonts w:eastAsia="方正楷体_GBK"/>
          <w:b w:val="0"/>
          <w:bCs/>
          <w:sz w:val="32"/>
          <w:szCs w:val="32"/>
        </w:rPr>
      </w:pP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30"/>
        <w:textAlignment w:val="auto"/>
        <w:rPr>
          <w:rFonts w:eastAsia="方正仿宋_GBK"/>
          <w:b w:val="0"/>
          <w:bCs/>
          <w:sz w:val="32"/>
          <w:szCs w:val="32"/>
        </w:rPr>
      </w:pPr>
      <w:r>
        <w:rPr>
          <w:rFonts w:eastAsia="方正楷体_GBK"/>
          <w:b w:val="0"/>
          <w:bCs/>
          <w:sz w:val="32"/>
          <w:szCs w:val="32"/>
        </w:rPr>
        <w:t>加速推进物流园区建设。</w:t>
      </w:r>
      <w:r>
        <w:rPr>
          <w:rFonts w:eastAsia="方正仿宋_GBK"/>
          <w:b w:val="0"/>
          <w:bCs/>
          <w:sz w:val="32"/>
          <w:szCs w:val="32"/>
        </w:rPr>
        <w:t>加速港桥</w:t>
      </w:r>
      <w:r>
        <w:rPr>
          <w:rFonts w:hint="eastAsia" w:eastAsia="方正仿宋_GBK"/>
          <w:b w:val="0"/>
          <w:bCs/>
          <w:sz w:val="32"/>
          <w:szCs w:val="32"/>
        </w:rPr>
        <w:t>现代</w:t>
      </w:r>
      <w:r>
        <w:rPr>
          <w:rFonts w:eastAsia="方正仿宋_GBK"/>
          <w:b w:val="0"/>
          <w:bCs/>
          <w:sz w:val="32"/>
          <w:szCs w:val="32"/>
        </w:rPr>
        <w:t>物流园区建设，充分发挥其公水联运优势，重点发展生产性物流，构建以多式联运、增值加工为主的港区物流服务，立足渝西，服务川渝黔，辐射大西南区域。加快建设</w:t>
      </w:r>
      <w:r>
        <w:rPr>
          <w:rFonts w:hint="eastAsia" w:eastAsia="方正仿宋_GBK"/>
          <w:b w:val="0"/>
          <w:bCs/>
          <w:sz w:val="32"/>
          <w:szCs w:val="32"/>
        </w:rPr>
        <w:t>凤凰湖供应链物流枢纽</w:t>
      </w:r>
      <w:r>
        <w:rPr>
          <w:rFonts w:eastAsia="方正仿宋_GBK"/>
          <w:b w:val="0"/>
          <w:bCs/>
          <w:sz w:val="32"/>
          <w:szCs w:val="32"/>
        </w:rPr>
        <w:t>，充分发挥铁公联运优势，重点服务凤凰湖工业园的电子配件与机械设备等制造产业的物流需求，兼顾城市配送功能服务，建设</w:t>
      </w:r>
      <w:r>
        <w:rPr>
          <w:rFonts w:hint="eastAsia" w:eastAsia="方正仿宋_GBK"/>
          <w:b w:val="0"/>
          <w:bCs/>
          <w:sz w:val="32"/>
          <w:szCs w:val="32"/>
        </w:rPr>
        <w:t>区域性</w:t>
      </w:r>
      <w:r>
        <w:rPr>
          <w:rFonts w:eastAsia="方正仿宋_GBK"/>
          <w:b w:val="0"/>
          <w:bCs/>
          <w:sz w:val="32"/>
          <w:szCs w:val="32"/>
        </w:rPr>
        <w:t>通用集散货运枢纽。依托大安机场建设</w:t>
      </w:r>
      <w:r>
        <w:rPr>
          <w:rFonts w:hint="eastAsia" w:eastAsia="方正仿宋_GBK"/>
          <w:b w:val="0"/>
          <w:bCs/>
          <w:sz w:val="32"/>
          <w:szCs w:val="32"/>
        </w:rPr>
        <w:t>大安航空物流中心</w:t>
      </w:r>
      <w:r>
        <w:rPr>
          <w:rFonts w:eastAsia="方正仿宋_GBK"/>
          <w:b w:val="0"/>
          <w:bCs/>
          <w:sz w:val="32"/>
          <w:szCs w:val="32"/>
        </w:rPr>
        <w:t>，打造航空物流小镇，辐射渝西川东航空物流</w:t>
      </w:r>
      <w:r>
        <w:rPr>
          <w:rFonts w:hint="eastAsia" w:eastAsia="方正仿宋_GBK"/>
          <w:b w:val="0"/>
          <w:bCs/>
          <w:sz w:val="32"/>
          <w:szCs w:val="32"/>
        </w:rPr>
        <w:t>。加快</w:t>
      </w:r>
      <w:r>
        <w:rPr>
          <w:rFonts w:eastAsia="方正仿宋_GBK"/>
          <w:b w:val="0"/>
          <w:bCs/>
          <w:sz w:val="32"/>
          <w:szCs w:val="32"/>
        </w:rPr>
        <w:t>建设</w:t>
      </w:r>
      <w:r>
        <w:rPr>
          <w:rFonts w:hint="eastAsia" w:eastAsia="方正仿宋_GBK"/>
          <w:b w:val="0"/>
          <w:bCs/>
          <w:sz w:val="32"/>
          <w:szCs w:val="32"/>
        </w:rPr>
        <w:t>城西商贸物流中心</w:t>
      </w:r>
      <w:r>
        <w:rPr>
          <w:rFonts w:eastAsia="方正仿宋_GBK"/>
          <w:b w:val="0"/>
          <w:bCs/>
          <w:sz w:val="32"/>
          <w:szCs w:val="32"/>
        </w:rPr>
        <w:t>，充分发挥公路运输快进快出的优势，重点服务西部商贸物流片区的城乡共同配送物流需求，建设专业型公共配送中心。</w:t>
      </w:r>
      <w:r>
        <w:rPr>
          <w:rFonts w:hint="eastAsia" w:eastAsia="方正仿宋_GBK"/>
          <w:b w:val="0"/>
          <w:bCs/>
          <w:color w:val="000000"/>
          <w:sz w:val="32"/>
          <w:szCs w:val="32"/>
        </w:rPr>
        <w:t>积极推进三教建材物流中心前期工作</w:t>
      </w:r>
      <w:r>
        <w:rPr>
          <w:rFonts w:eastAsia="方正仿宋_GBK"/>
          <w:b w:val="0"/>
          <w:bCs/>
          <w:color w:val="000000"/>
          <w:sz w:val="32"/>
          <w:szCs w:val="32"/>
        </w:rPr>
        <w:t>，加速永川北部副中心和国家高新区建设。</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30"/>
        <w:textAlignment w:val="auto"/>
        <w:rPr>
          <w:rFonts w:eastAsia="方正仿宋_GBK"/>
          <w:b w:val="0"/>
          <w:bCs/>
          <w:sz w:val="32"/>
          <w:szCs w:val="32"/>
        </w:rPr>
      </w:pPr>
      <w:r>
        <w:rPr>
          <w:rFonts w:eastAsia="方正楷体_GBK"/>
          <w:b w:val="0"/>
          <w:bCs/>
          <w:sz w:val="32"/>
          <w:szCs w:val="32"/>
        </w:rPr>
        <w:t>推进集疏运体系建设。</w:t>
      </w:r>
      <w:r>
        <w:rPr>
          <w:rFonts w:eastAsia="方正仿宋_GBK"/>
          <w:b w:val="0"/>
          <w:bCs/>
          <w:sz w:val="32"/>
          <w:szCs w:val="32"/>
        </w:rPr>
        <w:t>以综合运输枢纽为关键连接点，加快推进朱沱港进港铁路、长城支线铁路建设，</w:t>
      </w:r>
      <w:r>
        <w:rPr>
          <w:rFonts w:hint="eastAsia" w:eastAsia="方正仿宋_GBK"/>
          <w:b w:val="0"/>
          <w:bCs/>
          <w:sz w:val="32"/>
          <w:szCs w:val="32"/>
        </w:rPr>
        <w:t>积极谋划</w:t>
      </w:r>
      <w:r>
        <w:rPr>
          <w:rFonts w:eastAsia="方正仿宋_GBK"/>
          <w:b w:val="0"/>
          <w:bCs/>
          <w:sz w:val="32"/>
          <w:szCs w:val="32"/>
        </w:rPr>
        <w:t>三教支线</w:t>
      </w:r>
      <w:r>
        <w:rPr>
          <w:rFonts w:hint="eastAsia" w:eastAsia="方正仿宋_GBK"/>
          <w:b w:val="0"/>
          <w:bCs/>
          <w:sz w:val="32"/>
          <w:szCs w:val="32"/>
        </w:rPr>
        <w:t>铁</w:t>
      </w:r>
      <w:r>
        <w:rPr>
          <w:rFonts w:eastAsia="方正仿宋_GBK"/>
          <w:b w:val="0"/>
          <w:bCs/>
          <w:sz w:val="32"/>
          <w:szCs w:val="32"/>
        </w:rPr>
        <w:t>路</w:t>
      </w:r>
      <w:r>
        <w:rPr>
          <w:rFonts w:hint="eastAsia" w:eastAsia="方正仿宋_GBK"/>
          <w:b w:val="0"/>
          <w:bCs/>
          <w:sz w:val="32"/>
          <w:szCs w:val="32"/>
        </w:rPr>
        <w:t>前期工作、尽早开工，</w:t>
      </w:r>
      <w:r>
        <w:rPr>
          <w:rFonts w:eastAsia="方正仿宋_GBK"/>
          <w:b w:val="0"/>
          <w:bCs/>
          <w:sz w:val="32"/>
          <w:szCs w:val="32"/>
        </w:rPr>
        <w:t>逐步实现</w:t>
      </w:r>
      <w:r>
        <w:rPr>
          <w:rFonts w:eastAsia="方正仿宋_GBK"/>
          <w:b w:val="0"/>
          <w:bCs/>
          <w:sz w:val="32"/>
          <w:szCs w:val="32"/>
          <w:lang w:val="en"/>
        </w:rPr>
        <w:t>“</w:t>
      </w:r>
      <w:r>
        <w:rPr>
          <w:rFonts w:eastAsia="方正仿宋_GBK"/>
          <w:b w:val="0"/>
          <w:bCs/>
          <w:sz w:val="32"/>
          <w:szCs w:val="32"/>
        </w:rPr>
        <w:t>千亿级工业园区、百万吨级货运量企业</w:t>
      </w:r>
      <w:r>
        <w:rPr>
          <w:rFonts w:eastAsia="方正仿宋_GBK"/>
          <w:b w:val="0"/>
          <w:bCs/>
          <w:sz w:val="32"/>
          <w:szCs w:val="32"/>
          <w:lang w:val="en"/>
        </w:rPr>
        <w:t>”</w:t>
      </w:r>
      <w:r>
        <w:rPr>
          <w:rFonts w:eastAsia="方正仿宋_GBK"/>
          <w:b w:val="0"/>
          <w:bCs/>
          <w:sz w:val="32"/>
          <w:szCs w:val="32"/>
        </w:rPr>
        <w:t>通铁路。强化港口、机场、铁路枢纽等配套的公路连接线建设，进一步完善进出通道，实现物流园区、客货枢纽与干线公路的快捷连通，有效解决</w:t>
      </w:r>
      <w:r>
        <w:rPr>
          <w:rFonts w:eastAsia="方正仿宋_GBK"/>
          <w:b w:val="0"/>
          <w:bCs/>
          <w:sz w:val="32"/>
          <w:szCs w:val="32"/>
          <w:lang w:val="en"/>
        </w:rPr>
        <w:t>“</w:t>
      </w:r>
      <w:r>
        <w:rPr>
          <w:rFonts w:eastAsia="方正仿宋_GBK"/>
          <w:b w:val="0"/>
          <w:bCs/>
          <w:sz w:val="32"/>
          <w:szCs w:val="32"/>
        </w:rPr>
        <w:t>最初一公里</w:t>
      </w:r>
      <w:r>
        <w:rPr>
          <w:rFonts w:eastAsia="方正仿宋_GBK"/>
          <w:b w:val="0"/>
          <w:bCs/>
          <w:sz w:val="32"/>
          <w:szCs w:val="32"/>
          <w:lang w:val="en"/>
        </w:rPr>
        <w:t>”</w:t>
      </w:r>
      <w:r>
        <w:rPr>
          <w:rFonts w:eastAsia="方正仿宋_GBK"/>
          <w:b w:val="0"/>
          <w:bCs/>
          <w:sz w:val="32"/>
          <w:szCs w:val="32"/>
        </w:rPr>
        <w:t>和</w:t>
      </w:r>
      <w:r>
        <w:rPr>
          <w:rFonts w:eastAsia="方正仿宋_GBK"/>
          <w:b w:val="0"/>
          <w:bCs/>
          <w:sz w:val="32"/>
          <w:szCs w:val="32"/>
          <w:lang w:val="en"/>
        </w:rPr>
        <w:t>“</w:t>
      </w:r>
      <w:r>
        <w:rPr>
          <w:rFonts w:eastAsia="方正仿宋_GBK"/>
          <w:b w:val="0"/>
          <w:bCs/>
          <w:sz w:val="32"/>
          <w:szCs w:val="32"/>
        </w:rPr>
        <w:t>最后一公里</w:t>
      </w:r>
      <w:r>
        <w:rPr>
          <w:rFonts w:eastAsia="方正仿宋_GBK"/>
          <w:b w:val="0"/>
          <w:bCs/>
          <w:sz w:val="32"/>
          <w:szCs w:val="32"/>
          <w:lang w:val="en"/>
        </w:rPr>
        <w:t>”</w:t>
      </w:r>
      <w:r>
        <w:rPr>
          <w:rFonts w:eastAsia="方正仿宋_GBK"/>
          <w:b w:val="0"/>
          <w:bCs/>
          <w:sz w:val="32"/>
          <w:szCs w:val="32"/>
        </w:rPr>
        <w:t>问题。</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8516" w:type="dxa"/>
            <w:noWrap w:val="0"/>
            <w:vAlign w:val="top"/>
          </w:tcPr>
          <w:p>
            <w:pPr>
              <w:snapToGrid w:val="0"/>
              <w:spacing w:afterLines="0" w:line="276" w:lineRule="auto"/>
              <w:jc w:val="center"/>
              <w:rPr>
                <w:rFonts w:eastAsia="方正小标宋_GBK"/>
                <w:b w:val="0"/>
                <w:bCs/>
                <w:sz w:val="30"/>
                <w:szCs w:val="30"/>
              </w:rPr>
            </w:pPr>
            <w:r>
              <w:rPr>
                <w:rFonts w:eastAsia="方正小标宋_GBK"/>
                <w:b w:val="0"/>
                <w:bCs/>
                <w:sz w:val="28"/>
                <w:szCs w:val="30"/>
              </w:rPr>
              <w:t xml:space="preserve">专栏6  </w:t>
            </w:r>
            <w:r>
              <w:rPr>
                <w:rFonts w:eastAsia="方正小标宋_GBK"/>
                <w:b w:val="0"/>
                <w:bCs/>
                <w:sz w:val="28"/>
                <w:szCs w:val="30"/>
                <w:lang w:val="en"/>
              </w:rPr>
              <w:t>“</w:t>
            </w:r>
            <w:r>
              <w:rPr>
                <w:rFonts w:eastAsia="方正小标宋_GBK"/>
                <w:b w:val="0"/>
                <w:bCs/>
                <w:sz w:val="28"/>
                <w:szCs w:val="30"/>
              </w:rPr>
              <w:t>十四五</w:t>
            </w:r>
            <w:r>
              <w:rPr>
                <w:rFonts w:eastAsia="方正小标宋_GBK"/>
                <w:b w:val="0"/>
                <w:bCs/>
                <w:sz w:val="28"/>
                <w:szCs w:val="30"/>
                <w:lang w:val="en"/>
              </w:rPr>
              <w:t>”</w:t>
            </w:r>
            <w:r>
              <w:rPr>
                <w:rFonts w:eastAsia="方正小标宋_GBK"/>
                <w:b w:val="0"/>
                <w:bCs/>
                <w:sz w:val="28"/>
                <w:szCs w:val="30"/>
              </w:rPr>
              <w:t>交通枢纽重点项目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8516" w:type="dxa"/>
            <w:noWrap w:val="0"/>
            <w:vAlign w:val="top"/>
          </w:tcPr>
          <w:p>
            <w:pPr>
              <w:snapToGrid w:val="0"/>
              <w:spacing w:afterLines="0" w:line="276" w:lineRule="auto"/>
              <w:ind w:firstLine="560" w:firstLineChars="200"/>
              <w:rPr>
                <w:rFonts w:eastAsia="方正仿宋_GBK"/>
                <w:b w:val="0"/>
                <w:bCs/>
                <w:sz w:val="28"/>
                <w:szCs w:val="28"/>
              </w:rPr>
            </w:pPr>
            <w:r>
              <w:rPr>
                <w:rFonts w:eastAsia="方正楷体_GBK"/>
                <w:b w:val="0"/>
                <w:bCs/>
                <w:sz w:val="28"/>
                <w:szCs w:val="28"/>
              </w:rPr>
              <w:t>客运枢纽：</w:t>
            </w:r>
            <w:r>
              <w:rPr>
                <w:rFonts w:eastAsia="方正仿宋_GBK"/>
                <w:b w:val="0"/>
                <w:bCs/>
                <w:sz w:val="28"/>
                <w:szCs w:val="28"/>
              </w:rPr>
              <w:t>推动建设渝昆高铁</w:t>
            </w:r>
            <w:r>
              <w:rPr>
                <w:rFonts w:eastAsia="方正仿宋_GBK"/>
                <w:b w:val="0"/>
                <w:bCs/>
                <w:color w:val="000000"/>
                <w:sz w:val="28"/>
                <w:szCs w:val="28"/>
              </w:rPr>
              <w:t>永川南站</w:t>
            </w:r>
            <w:r>
              <w:rPr>
                <w:rFonts w:eastAsia="方正仿宋_GBK"/>
                <w:b w:val="0"/>
                <w:bCs/>
                <w:sz w:val="28"/>
                <w:szCs w:val="28"/>
              </w:rPr>
              <w:t>综合客运枢纽、永川新城站、大安站等综合客运枢纽。</w:t>
            </w:r>
            <w:r>
              <w:rPr>
                <w:rFonts w:hint="eastAsia" w:eastAsia="方正仿宋_GBK"/>
                <w:b w:val="0"/>
                <w:bCs/>
                <w:sz w:val="28"/>
                <w:szCs w:val="28"/>
              </w:rPr>
              <w:t>积极谋划</w:t>
            </w:r>
            <w:r>
              <w:rPr>
                <w:rFonts w:eastAsia="方正仿宋_GBK"/>
                <w:b w:val="0"/>
                <w:bCs/>
                <w:sz w:val="28"/>
                <w:szCs w:val="28"/>
              </w:rPr>
              <w:t>永川站</w:t>
            </w:r>
            <w:r>
              <w:rPr>
                <w:rFonts w:hint="eastAsia" w:eastAsia="方正仿宋_GBK"/>
                <w:b w:val="0"/>
                <w:bCs/>
                <w:sz w:val="28"/>
                <w:szCs w:val="28"/>
              </w:rPr>
              <w:t>改造和</w:t>
            </w:r>
            <w:r>
              <w:rPr>
                <w:rFonts w:eastAsia="方正仿宋_GBK"/>
                <w:b w:val="0"/>
                <w:bCs/>
                <w:sz w:val="28"/>
                <w:szCs w:val="28"/>
              </w:rPr>
              <w:t>青峰站</w:t>
            </w:r>
            <w:r>
              <w:rPr>
                <w:rFonts w:hint="eastAsia" w:eastAsia="方正仿宋_GBK"/>
                <w:b w:val="0"/>
                <w:bCs/>
                <w:sz w:val="28"/>
                <w:szCs w:val="28"/>
              </w:rPr>
              <w:t>前期工作。</w:t>
            </w:r>
          </w:p>
          <w:p>
            <w:pPr>
              <w:snapToGrid w:val="0"/>
              <w:spacing w:afterLines="0" w:line="276" w:lineRule="auto"/>
              <w:ind w:firstLine="560" w:firstLineChars="200"/>
              <w:rPr>
                <w:rFonts w:eastAsia="方正仿宋_GBK"/>
                <w:b w:val="0"/>
                <w:bCs/>
                <w:sz w:val="30"/>
                <w:szCs w:val="30"/>
              </w:rPr>
            </w:pPr>
            <w:r>
              <w:rPr>
                <w:rFonts w:eastAsia="方正楷体_GBK"/>
                <w:b w:val="0"/>
                <w:bCs/>
                <w:sz w:val="28"/>
                <w:szCs w:val="28"/>
              </w:rPr>
              <w:t>货运枢纽：</w:t>
            </w:r>
            <w:r>
              <w:rPr>
                <w:rFonts w:eastAsia="方正仿宋_GBK"/>
                <w:b w:val="0"/>
                <w:bCs/>
                <w:sz w:val="28"/>
                <w:szCs w:val="28"/>
              </w:rPr>
              <w:t>推动建设港桥</w:t>
            </w:r>
            <w:r>
              <w:rPr>
                <w:rFonts w:hint="eastAsia" w:eastAsia="方正仿宋_GBK"/>
                <w:b w:val="0"/>
                <w:bCs/>
                <w:sz w:val="28"/>
                <w:szCs w:val="28"/>
              </w:rPr>
              <w:t>现代</w:t>
            </w:r>
            <w:r>
              <w:rPr>
                <w:rFonts w:eastAsia="方正仿宋_GBK"/>
                <w:b w:val="0"/>
                <w:bCs/>
                <w:sz w:val="28"/>
                <w:szCs w:val="28"/>
              </w:rPr>
              <w:t>物流园、</w:t>
            </w:r>
            <w:r>
              <w:rPr>
                <w:rFonts w:hint="eastAsia" w:eastAsia="方正仿宋_GBK"/>
                <w:b w:val="0"/>
                <w:bCs/>
                <w:sz w:val="28"/>
                <w:szCs w:val="28"/>
              </w:rPr>
              <w:t>凤凰湖供应链物流枢纽</w:t>
            </w:r>
            <w:r>
              <w:rPr>
                <w:rFonts w:eastAsia="方正仿宋_GBK"/>
                <w:b w:val="0"/>
                <w:bCs/>
                <w:sz w:val="28"/>
                <w:szCs w:val="28"/>
              </w:rPr>
              <w:t>、</w:t>
            </w:r>
            <w:r>
              <w:rPr>
                <w:rFonts w:hint="eastAsia" w:eastAsia="方正仿宋_GBK"/>
                <w:b w:val="0"/>
                <w:bCs/>
                <w:sz w:val="28"/>
                <w:szCs w:val="28"/>
              </w:rPr>
              <w:t>城西商贸物流中心</w:t>
            </w:r>
            <w:r>
              <w:rPr>
                <w:rFonts w:eastAsia="方正仿宋_GBK"/>
                <w:b w:val="0"/>
                <w:bCs/>
                <w:sz w:val="28"/>
                <w:szCs w:val="28"/>
              </w:rPr>
              <w:t>、</w:t>
            </w:r>
            <w:r>
              <w:rPr>
                <w:rFonts w:hint="eastAsia" w:eastAsia="方正仿宋_GBK"/>
                <w:b w:val="0"/>
                <w:bCs/>
                <w:sz w:val="28"/>
                <w:szCs w:val="28"/>
              </w:rPr>
              <w:t>大安航空物流中心，积极推进</w:t>
            </w:r>
            <w:r>
              <w:rPr>
                <w:rFonts w:eastAsia="方正仿宋_GBK"/>
                <w:b w:val="0"/>
                <w:bCs/>
                <w:sz w:val="28"/>
                <w:szCs w:val="28"/>
              </w:rPr>
              <w:t>三教</w:t>
            </w:r>
            <w:r>
              <w:rPr>
                <w:rFonts w:hint="eastAsia" w:eastAsia="方正仿宋_GBK"/>
                <w:b w:val="0"/>
                <w:bCs/>
                <w:sz w:val="28"/>
                <w:szCs w:val="28"/>
              </w:rPr>
              <w:t>建材物流中心前期工作。加快</w:t>
            </w:r>
            <w:r>
              <w:rPr>
                <w:rFonts w:eastAsia="方正仿宋_GBK"/>
                <w:b w:val="0"/>
                <w:bCs/>
                <w:sz w:val="28"/>
                <w:szCs w:val="28"/>
              </w:rPr>
              <w:t>推进朱沱港进港铁路、长城支线铁路建设</w:t>
            </w:r>
            <w:r>
              <w:rPr>
                <w:rFonts w:hint="eastAsia" w:eastAsia="方正仿宋_GBK"/>
                <w:b w:val="0"/>
                <w:bCs/>
                <w:sz w:val="28"/>
                <w:szCs w:val="28"/>
              </w:rPr>
              <w:t>，积极谋划</w:t>
            </w:r>
            <w:r>
              <w:rPr>
                <w:rFonts w:eastAsia="方正仿宋_GBK"/>
                <w:b w:val="0"/>
                <w:bCs/>
                <w:sz w:val="28"/>
                <w:szCs w:val="28"/>
              </w:rPr>
              <w:t>三教支线</w:t>
            </w:r>
            <w:r>
              <w:rPr>
                <w:rFonts w:hint="eastAsia" w:eastAsia="方正仿宋_GBK"/>
                <w:b w:val="0"/>
                <w:bCs/>
                <w:sz w:val="28"/>
                <w:szCs w:val="28"/>
              </w:rPr>
              <w:t>铁</w:t>
            </w:r>
            <w:r>
              <w:rPr>
                <w:rFonts w:eastAsia="方正仿宋_GBK"/>
                <w:b w:val="0"/>
                <w:bCs/>
                <w:sz w:val="28"/>
                <w:szCs w:val="28"/>
              </w:rPr>
              <w:t>路</w:t>
            </w:r>
            <w:r>
              <w:rPr>
                <w:rFonts w:hint="eastAsia" w:eastAsia="方正仿宋_GBK"/>
                <w:b w:val="0"/>
                <w:bCs/>
                <w:sz w:val="28"/>
                <w:szCs w:val="28"/>
              </w:rPr>
              <w:t>前期工作、尽早开工。</w:t>
            </w:r>
          </w:p>
        </w:tc>
      </w:tr>
    </w:tbl>
    <w:p>
      <w:pPr>
        <w:keepNext w:val="0"/>
        <w:keepLines w:val="0"/>
        <w:pageBreakBefore w:val="0"/>
        <w:widowControl w:val="0"/>
        <w:kinsoku/>
        <w:wordWrap/>
        <w:overflowPunct/>
        <w:topLinePunct w:val="0"/>
        <w:autoSpaceDE/>
        <w:autoSpaceDN/>
        <w:bidi w:val="0"/>
        <w:adjustRightInd w:val="0"/>
        <w:snapToGrid w:val="0"/>
        <w:spacing w:before="0" w:after="0" w:afterLines="0" w:line="276" w:lineRule="auto"/>
        <w:ind w:firstLine="630"/>
        <w:textAlignment w:val="auto"/>
        <w:rPr>
          <w:rFonts w:hint="eastAsia" w:ascii="Times New Roman" w:hAnsi="Times New Roman" w:eastAsia="方正仿宋_GBK" w:cs="Times New Roman"/>
          <w:b w:val="0"/>
          <w:bCs/>
          <w:sz w:val="32"/>
          <w:szCs w:val="32"/>
        </w:rPr>
      </w:pPr>
      <w:bookmarkStart w:id="168" w:name="_Toc17537"/>
    </w:p>
    <w:p>
      <w:pPr>
        <w:pStyle w:val="18"/>
        <w:keepNext w:val="0"/>
        <w:keepLines w:val="0"/>
        <w:pageBreakBefore w:val="0"/>
        <w:widowControl w:val="0"/>
        <w:kinsoku/>
        <w:wordWrap/>
        <w:overflowPunct/>
        <w:topLinePunct w:val="0"/>
        <w:autoSpaceDE/>
        <w:autoSpaceDN/>
        <w:bidi w:val="0"/>
        <w:adjustRightInd w:val="0"/>
        <w:snapToGrid w:val="0"/>
        <w:spacing w:before="0" w:after="0" w:afterLines="0" w:line="276" w:lineRule="auto"/>
        <w:textAlignment w:val="auto"/>
        <w:rPr>
          <w:rFonts w:ascii="Times New Roman" w:hAnsi="Times New Roman" w:eastAsia="方正黑体_GBK"/>
          <w:b w:val="0"/>
          <w:sz w:val="32"/>
          <w:szCs w:val="32"/>
        </w:rPr>
      </w:pPr>
      <w:bookmarkStart w:id="169" w:name="_Toc779773823"/>
      <w:bookmarkStart w:id="170" w:name="_Toc826776273_WPSOffice_Level1"/>
      <w:bookmarkStart w:id="171" w:name="_Toc749674812"/>
      <w:r>
        <w:rPr>
          <w:rFonts w:ascii="Times New Roman" w:hAnsi="Times New Roman" w:eastAsia="方正黑体_GBK"/>
          <w:b w:val="0"/>
          <w:bCs/>
          <w:sz w:val="32"/>
          <w:szCs w:val="32"/>
        </w:rPr>
        <w:t xml:space="preserve">第八章 </w:t>
      </w:r>
      <w:r>
        <w:rPr>
          <w:rFonts w:hint="eastAsia" w:ascii="Times New Roman" w:hAnsi="Times New Roman" w:eastAsia="方正黑体_GBK"/>
          <w:b w:val="0"/>
          <w:bCs/>
          <w:sz w:val="32"/>
          <w:szCs w:val="32"/>
          <w:lang w:val="en-US" w:eastAsia="zh-CN"/>
        </w:rPr>
        <w:t xml:space="preserve"> </w:t>
      </w:r>
      <w:r>
        <w:rPr>
          <w:rFonts w:ascii="Times New Roman" w:hAnsi="Times New Roman" w:eastAsia="方正黑体_GBK"/>
          <w:b w:val="0"/>
          <w:bCs/>
          <w:sz w:val="32"/>
          <w:szCs w:val="32"/>
        </w:rPr>
        <w:t>着眼服务互通，构建便捷高效运输服务体系</w:t>
      </w:r>
      <w:bookmarkEnd w:id="168"/>
      <w:bookmarkEnd w:id="169"/>
      <w:bookmarkEnd w:id="170"/>
      <w:bookmarkEnd w:id="171"/>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30"/>
        <w:textAlignment w:val="auto"/>
        <w:rPr>
          <w:rFonts w:eastAsia="方正仿宋_GBK"/>
          <w:b w:val="0"/>
          <w:bCs/>
          <w:sz w:val="32"/>
          <w:szCs w:val="32"/>
        </w:rPr>
      </w:pPr>
    </w:p>
    <w:p>
      <w:pPr>
        <w:keepNext w:val="0"/>
        <w:keepLines w:val="0"/>
        <w:pageBreakBefore w:val="0"/>
        <w:widowControl/>
        <w:kinsoku/>
        <w:wordWrap/>
        <w:overflowPunct/>
        <w:topLinePunct w:val="0"/>
        <w:autoSpaceDE/>
        <w:autoSpaceDN/>
        <w:bidi w:val="0"/>
        <w:adjustRightInd w:val="0"/>
        <w:snapToGrid w:val="0"/>
        <w:spacing w:afterLines="0" w:line="276" w:lineRule="auto"/>
        <w:ind w:firstLine="630"/>
        <w:textAlignment w:val="auto"/>
        <w:rPr>
          <w:rFonts w:eastAsia="方正仿宋_GBK"/>
          <w:b w:val="0"/>
          <w:bCs/>
          <w:sz w:val="32"/>
          <w:szCs w:val="32"/>
        </w:rPr>
      </w:pPr>
      <w:r>
        <w:rPr>
          <w:rFonts w:eastAsia="方正仿宋_GBK"/>
          <w:b w:val="0"/>
          <w:bCs/>
          <w:sz w:val="32"/>
          <w:szCs w:val="32"/>
        </w:rPr>
        <w:t>坚持以人民为中心的发展思想，优化客货运输服务，全力提升交通运输服务水平，</w:t>
      </w:r>
      <w:r>
        <w:rPr>
          <w:rFonts w:hint="eastAsia" w:eastAsia="方正仿宋_GBK"/>
          <w:b w:val="0"/>
          <w:bCs/>
          <w:sz w:val="32"/>
          <w:szCs w:val="32"/>
        </w:rPr>
        <w:t>有效促进物流降本增效，</w:t>
      </w:r>
      <w:r>
        <w:rPr>
          <w:rFonts w:eastAsia="方正仿宋_GBK"/>
          <w:b w:val="0"/>
          <w:bCs/>
          <w:sz w:val="32"/>
          <w:szCs w:val="32"/>
        </w:rPr>
        <w:t>努力让群众出行更加高效、便捷，努力让人民生活更加美好。</w:t>
      </w:r>
    </w:p>
    <w:p>
      <w:pPr>
        <w:keepNext w:val="0"/>
        <w:keepLines w:val="0"/>
        <w:pageBreakBefore w:val="0"/>
        <w:widowControl/>
        <w:kinsoku/>
        <w:wordWrap/>
        <w:overflowPunct/>
        <w:topLinePunct w:val="0"/>
        <w:autoSpaceDE/>
        <w:autoSpaceDN/>
        <w:bidi w:val="0"/>
        <w:adjustRightInd w:val="0"/>
        <w:snapToGrid w:val="0"/>
        <w:spacing w:afterLines="0" w:line="276" w:lineRule="auto"/>
        <w:ind w:firstLine="630"/>
        <w:textAlignment w:val="auto"/>
        <w:rPr>
          <w:rFonts w:eastAsia="方正仿宋_GBK"/>
          <w:b w:val="0"/>
          <w:bCs/>
          <w:sz w:val="32"/>
          <w:szCs w:val="32"/>
        </w:rPr>
      </w:pPr>
    </w:p>
    <w:p>
      <w:pPr>
        <w:pStyle w:val="16"/>
        <w:keepNext w:val="0"/>
        <w:keepLines w:val="0"/>
        <w:pageBreakBefore w:val="0"/>
        <w:widowControl w:val="0"/>
        <w:kinsoku/>
        <w:wordWrap/>
        <w:overflowPunct/>
        <w:topLinePunct w:val="0"/>
        <w:autoSpaceDE/>
        <w:autoSpaceDN/>
        <w:bidi w:val="0"/>
        <w:adjustRightInd w:val="0"/>
        <w:snapToGrid w:val="0"/>
        <w:spacing w:before="0" w:after="0" w:afterLines="0" w:line="276" w:lineRule="auto"/>
        <w:textAlignment w:val="auto"/>
        <w:rPr>
          <w:rFonts w:hint="eastAsia" w:ascii="方正楷体_GBK" w:hAnsi="方正楷体_GBK" w:eastAsia="方正楷体_GBK" w:cs="方正楷体_GBK"/>
          <w:b w:val="0"/>
          <w:bCs/>
          <w:kern w:val="2"/>
          <w:sz w:val="32"/>
          <w:szCs w:val="32"/>
        </w:rPr>
      </w:pPr>
      <w:bookmarkStart w:id="172" w:name="_Toc21926"/>
      <w:bookmarkStart w:id="173" w:name="_Toc895920756_WPSOffice_Level2"/>
      <w:bookmarkStart w:id="174" w:name="_Toc1870164189"/>
      <w:bookmarkStart w:id="175" w:name="_Toc348863711"/>
      <w:r>
        <w:rPr>
          <w:rFonts w:hint="eastAsia" w:ascii="方正楷体_GBK" w:hAnsi="方正楷体_GBK" w:eastAsia="方正楷体_GBK" w:cs="方正楷体_GBK"/>
          <w:b w:val="0"/>
          <w:bCs/>
          <w:kern w:val="2"/>
          <w:sz w:val="32"/>
          <w:szCs w:val="32"/>
        </w:rPr>
        <w:t>第一节</w:t>
      </w:r>
      <w:r>
        <w:rPr>
          <w:rFonts w:hint="default" w:ascii="方正楷体_GBK" w:hAnsi="方正楷体_GBK" w:eastAsia="方正楷体_GBK" w:cs="方正楷体_GBK"/>
          <w:b w:val="0"/>
          <w:bCs/>
          <w:kern w:val="2"/>
          <w:sz w:val="32"/>
          <w:szCs w:val="32"/>
          <w:lang w:val="en"/>
        </w:rPr>
        <w:t xml:space="preserve"> </w:t>
      </w:r>
      <w:r>
        <w:rPr>
          <w:rFonts w:hint="eastAsia" w:ascii="方正楷体_GBK" w:hAnsi="方正楷体_GBK" w:eastAsia="方正楷体_GBK" w:cs="方正楷体_GBK"/>
          <w:b w:val="0"/>
          <w:bCs/>
          <w:kern w:val="2"/>
          <w:sz w:val="32"/>
          <w:szCs w:val="32"/>
        </w:rPr>
        <w:t xml:space="preserve"> 打造多样化客运服务</w:t>
      </w:r>
      <w:bookmarkEnd w:id="172"/>
      <w:bookmarkEnd w:id="173"/>
      <w:bookmarkEnd w:id="174"/>
      <w:bookmarkEnd w:id="175"/>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30"/>
        <w:textAlignment w:val="auto"/>
        <w:rPr>
          <w:rFonts w:eastAsia="方正楷体_GBK"/>
          <w:b w:val="0"/>
          <w:bCs/>
          <w:sz w:val="32"/>
          <w:szCs w:val="32"/>
        </w:rPr>
      </w:pP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30"/>
        <w:textAlignment w:val="auto"/>
        <w:rPr>
          <w:rFonts w:eastAsia="方正仿宋_GBK"/>
          <w:b w:val="0"/>
          <w:bCs/>
          <w:sz w:val="32"/>
          <w:szCs w:val="32"/>
        </w:rPr>
      </w:pPr>
      <w:r>
        <w:rPr>
          <w:rFonts w:eastAsia="方正楷体_GBK"/>
          <w:b w:val="0"/>
          <w:bCs/>
          <w:sz w:val="32"/>
          <w:szCs w:val="32"/>
        </w:rPr>
        <w:t>打造多元化的城际客运体系。</w:t>
      </w:r>
      <w:r>
        <w:rPr>
          <w:rFonts w:eastAsia="方正仿宋_GBK"/>
          <w:b w:val="0"/>
          <w:bCs/>
          <w:sz w:val="32"/>
          <w:szCs w:val="32"/>
        </w:rPr>
        <w:t>积极利用成渝高铁开行公交化列车，构建</w:t>
      </w:r>
      <w:r>
        <w:rPr>
          <w:rFonts w:eastAsia="方正仿宋_GBK"/>
          <w:b w:val="0"/>
          <w:bCs/>
          <w:sz w:val="32"/>
          <w:szCs w:val="32"/>
          <w:lang w:val="en"/>
        </w:rPr>
        <w:t>“</w:t>
      </w:r>
      <w:r>
        <w:rPr>
          <w:rFonts w:eastAsia="方正仿宋_GBK"/>
          <w:b w:val="0"/>
          <w:bCs/>
          <w:sz w:val="32"/>
          <w:szCs w:val="32"/>
        </w:rPr>
        <w:t>半小时中心城区</w:t>
      </w:r>
      <w:r>
        <w:rPr>
          <w:rFonts w:eastAsia="方正仿宋_GBK"/>
          <w:b w:val="0"/>
          <w:bCs/>
          <w:sz w:val="32"/>
          <w:szCs w:val="32"/>
          <w:lang w:val="en"/>
        </w:rPr>
        <w:t>”“</w:t>
      </w:r>
      <w:r>
        <w:rPr>
          <w:rFonts w:eastAsia="方正仿宋_GBK"/>
          <w:b w:val="0"/>
          <w:bCs/>
          <w:sz w:val="32"/>
          <w:szCs w:val="32"/>
        </w:rPr>
        <w:t>半小时周边</w:t>
      </w:r>
      <w:r>
        <w:rPr>
          <w:rFonts w:eastAsia="方正仿宋_GBK"/>
          <w:b w:val="0"/>
          <w:bCs/>
          <w:sz w:val="32"/>
          <w:szCs w:val="32"/>
          <w:lang w:val="en"/>
        </w:rPr>
        <w:t>”</w:t>
      </w:r>
      <w:r>
        <w:rPr>
          <w:rFonts w:eastAsia="方正仿宋_GBK"/>
          <w:b w:val="0"/>
          <w:bCs/>
          <w:sz w:val="32"/>
          <w:szCs w:val="32"/>
        </w:rPr>
        <w:t>通勤圈。</w:t>
      </w:r>
      <w:r>
        <w:rPr>
          <w:rFonts w:hint="eastAsia" w:eastAsia="方正仿宋_GBK"/>
          <w:b w:val="0"/>
          <w:bCs/>
          <w:sz w:val="32"/>
          <w:szCs w:val="32"/>
        </w:rPr>
        <w:t>推进成渝地区</w:t>
      </w:r>
      <w:r>
        <w:rPr>
          <w:rFonts w:hint="eastAsia" w:ascii="方正仿宋_GBK" w:eastAsia="方正仿宋_GBK"/>
          <w:b w:val="0"/>
          <w:bCs/>
          <w:sz w:val="32"/>
          <w:szCs w:val="32"/>
        </w:rPr>
        <w:t>双城经济圈毗邻地区交通运输服务一体化，</w:t>
      </w:r>
      <w:r>
        <w:rPr>
          <w:rFonts w:eastAsia="方正仿宋_GBK"/>
          <w:b w:val="0"/>
          <w:bCs/>
          <w:sz w:val="32"/>
          <w:szCs w:val="32"/>
        </w:rPr>
        <w:t>开通与泸州市、江津区的城际公交线路，加快建设泸州-永川-江津跨行政区组团式交通融合发展先行区，开通与荣昌区、铜梁区、璧山区的城际公交线路，发挥支点城市区域发展带动作用，促进区域融合协调发展。</w:t>
      </w:r>
      <w:r>
        <w:rPr>
          <w:rFonts w:eastAsia="方正楷体_GBK"/>
          <w:b w:val="0"/>
          <w:bCs/>
          <w:sz w:val="32"/>
          <w:szCs w:val="32"/>
        </w:rPr>
        <w:t>打造高品质的城市公共交通体系。</w:t>
      </w:r>
      <w:r>
        <w:rPr>
          <w:rFonts w:eastAsia="方正仿宋_GBK"/>
          <w:b w:val="0"/>
          <w:bCs/>
          <w:sz w:val="32"/>
          <w:szCs w:val="32"/>
        </w:rPr>
        <w:t>深入贯彻公交优先发展战略，进一步优化完善公交线网，</w:t>
      </w:r>
      <w:r>
        <w:rPr>
          <w:rFonts w:hint="eastAsia" w:eastAsia="方正仿宋_GBK"/>
          <w:b w:val="0"/>
          <w:bCs/>
          <w:sz w:val="32"/>
          <w:szCs w:val="32"/>
        </w:rPr>
        <w:t>围绕永川科技生态城等重点区域，</w:t>
      </w:r>
      <w:r>
        <w:rPr>
          <w:rFonts w:eastAsia="方正仿宋_GBK"/>
          <w:b w:val="0"/>
          <w:bCs/>
          <w:sz w:val="32"/>
          <w:szCs w:val="32"/>
        </w:rPr>
        <w:t>优化新增公交线路，扩大公交覆盖范围。完善公交基础设施，建设城西、城南等一批公交站场，改造一批公交站点，投用一批新能源公交车辆，实现新能源比例达100%，努力创建公交都市。</w:t>
      </w:r>
      <w:r>
        <w:rPr>
          <w:rFonts w:eastAsia="方正楷体_GBK"/>
          <w:b w:val="0"/>
          <w:bCs/>
          <w:sz w:val="32"/>
          <w:szCs w:val="32"/>
        </w:rPr>
        <w:t>推进城乡客运一体化发展。</w:t>
      </w:r>
      <w:r>
        <w:rPr>
          <w:rFonts w:eastAsia="方正仿宋_GBK"/>
          <w:b w:val="0"/>
          <w:bCs/>
          <w:sz w:val="32"/>
          <w:szCs w:val="32"/>
        </w:rPr>
        <w:t>深入推动客运班线公交化改造，推动公交线网向城镇密集乡镇延伸，</w:t>
      </w:r>
      <w:r>
        <w:rPr>
          <w:rFonts w:hint="eastAsia" w:eastAsia="方正仿宋_GBK"/>
          <w:b w:val="0"/>
          <w:bCs/>
          <w:sz w:val="32"/>
          <w:szCs w:val="32"/>
        </w:rPr>
        <w:t>统筹推进城乡客运站场及</w:t>
      </w:r>
      <w:r>
        <w:rPr>
          <w:rFonts w:eastAsia="方正仿宋_GBK"/>
          <w:b w:val="0"/>
          <w:bCs/>
          <w:sz w:val="32"/>
          <w:szCs w:val="32"/>
        </w:rPr>
        <w:t>一体化港湾式公交站的规划建设工作，</w:t>
      </w:r>
      <w:r>
        <w:rPr>
          <w:rFonts w:hint="eastAsia" w:eastAsia="方正仿宋_GBK"/>
          <w:b w:val="0"/>
          <w:bCs/>
          <w:sz w:val="32"/>
          <w:szCs w:val="32"/>
        </w:rPr>
        <w:t>全力保障城乡公交站场设施</w:t>
      </w:r>
      <w:r>
        <w:rPr>
          <w:rFonts w:eastAsia="方正仿宋_GBK"/>
          <w:b w:val="0"/>
          <w:bCs/>
          <w:sz w:val="32"/>
          <w:szCs w:val="32"/>
        </w:rPr>
        <w:t>。</w:t>
      </w:r>
      <w:r>
        <w:rPr>
          <w:rFonts w:eastAsia="方正楷体_GBK"/>
          <w:b w:val="0"/>
          <w:bCs/>
          <w:sz w:val="32"/>
          <w:szCs w:val="32"/>
        </w:rPr>
        <w:t>创新丰富交通旅游产品。</w:t>
      </w:r>
      <w:r>
        <w:rPr>
          <w:rFonts w:eastAsia="方正仿宋_GBK"/>
          <w:b w:val="0"/>
          <w:bCs/>
          <w:sz w:val="32"/>
          <w:szCs w:val="32"/>
        </w:rPr>
        <w:t>鼓励交通客运与旅游市场创新互动发展，加强服务景区客流的公共交通运输组织，开通</w:t>
      </w:r>
      <w:r>
        <w:rPr>
          <w:rFonts w:hint="eastAsia" w:eastAsia="方正仿宋_GBK"/>
          <w:b w:val="0"/>
          <w:bCs/>
          <w:sz w:val="32"/>
          <w:szCs w:val="32"/>
        </w:rPr>
        <w:t>至</w:t>
      </w:r>
      <w:r>
        <w:rPr>
          <w:rFonts w:eastAsia="方正仿宋_GBK"/>
          <w:b w:val="0"/>
          <w:bCs/>
          <w:sz w:val="32"/>
          <w:szCs w:val="32"/>
        </w:rPr>
        <w:t>机场、铁路站</w:t>
      </w:r>
      <w:r>
        <w:rPr>
          <w:rFonts w:hint="eastAsia" w:eastAsia="方正仿宋_GBK"/>
          <w:b w:val="0"/>
          <w:bCs/>
          <w:sz w:val="32"/>
          <w:szCs w:val="32"/>
        </w:rPr>
        <w:t>、</w:t>
      </w:r>
      <w:r>
        <w:rPr>
          <w:rFonts w:eastAsia="方正仿宋_GBK"/>
          <w:b w:val="0"/>
          <w:bCs/>
          <w:sz w:val="32"/>
          <w:szCs w:val="32"/>
        </w:rPr>
        <w:t>景区景点的旅游专线、旅游直通车。鼓励在节假日旅游高峰期加开定制旅游线路，增强城乡客运线路服务乡村旅游能力。支持传统运输企业拓展旅游运输业务，以信息化手段和移动互联技术推动交通运输和旅游业的融合，推进游客</w:t>
      </w:r>
      <w:r>
        <w:rPr>
          <w:rFonts w:eastAsia="方正仿宋_GBK"/>
          <w:b w:val="0"/>
          <w:bCs/>
          <w:sz w:val="32"/>
          <w:szCs w:val="32"/>
          <w:lang w:val="en"/>
        </w:rPr>
        <w:t>“</w:t>
      </w:r>
      <w:r>
        <w:rPr>
          <w:rFonts w:eastAsia="方正仿宋_GBK"/>
          <w:b w:val="0"/>
          <w:bCs/>
          <w:sz w:val="32"/>
          <w:szCs w:val="32"/>
        </w:rPr>
        <w:t>吃喝住行</w:t>
      </w:r>
      <w:r>
        <w:rPr>
          <w:rFonts w:eastAsia="方正仿宋_GBK"/>
          <w:b w:val="0"/>
          <w:bCs/>
          <w:sz w:val="32"/>
          <w:szCs w:val="32"/>
          <w:lang w:val="en"/>
        </w:rPr>
        <w:t>”</w:t>
      </w:r>
      <w:r>
        <w:rPr>
          <w:rFonts w:eastAsia="方正仿宋_GBK"/>
          <w:b w:val="0"/>
          <w:bCs/>
          <w:sz w:val="32"/>
          <w:szCs w:val="32"/>
        </w:rPr>
        <w:t>实现</w:t>
      </w:r>
      <w:r>
        <w:rPr>
          <w:rFonts w:eastAsia="方正仿宋_GBK"/>
          <w:b w:val="0"/>
          <w:bCs/>
          <w:sz w:val="32"/>
          <w:szCs w:val="32"/>
          <w:lang w:val="en"/>
        </w:rPr>
        <w:t>“</w:t>
      </w:r>
      <w:r>
        <w:rPr>
          <w:rFonts w:eastAsia="方正仿宋_GBK"/>
          <w:b w:val="0"/>
          <w:bCs/>
          <w:sz w:val="32"/>
          <w:szCs w:val="32"/>
        </w:rPr>
        <w:t>一站服务</w:t>
      </w:r>
      <w:r>
        <w:rPr>
          <w:rFonts w:eastAsia="方正仿宋_GBK"/>
          <w:b w:val="0"/>
          <w:bCs/>
          <w:sz w:val="32"/>
          <w:szCs w:val="32"/>
          <w:lang w:val="en"/>
        </w:rPr>
        <w:t>”“</w:t>
      </w:r>
      <w:r>
        <w:rPr>
          <w:rFonts w:eastAsia="方正仿宋_GBK"/>
          <w:b w:val="0"/>
          <w:bCs/>
          <w:sz w:val="32"/>
          <w:szCs w:val="32"/>
        </w:rPr>
        <w:t>一票到底</w:t>
      </w:r>
      <w:r>
        <w:rPr>
          <w:rFonts w:eastAsia="方正仿宋_GBK"/>
          <w:b w:val="0"/>
          <w:bCs/>
          <w:sz w:val="32"/>
          <w:szCs w:val="32"/>
          <w:lang w:val="en"/>
        </w:rPr>
        <w:t>”</w:t>
      </w:r>
      <w:r>
        <w:rPr>
          <w:rFonts w:eastAsia="方正仿宋_GBK"/>
          <w:b w:val="0"/>
          <w:bCs/>
          <w:sz w:val="32"/>
          <w:szCs w:val="32"/>
        </w:rPr>
        <w:t>。发展慢行火车、房车旅游、自驾游等服务产品，发展体验式交通旅游。鼓励通用航空旅游发展，开发低空飞行旅游产品。</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30"/>
        <w:textAlignment w:val="auto"/>
        <w:rPr>
          <w:rFonts w:eastAsia="方正仿宋_GBK"/>
          <w:b w:val="0"/>
          <w:bCs/>
          <w:sz w:val="32"/>
          <w:szCs w:val="32"/>
        </w:rPr>
      </w:pPr>
    </w:p>
    <w:p>
      <w:pPr>
        <w:pStyle w:val="16"/>
        <w:keepNext w:val="0"/>
        <w:keepLines w:val="0"/>
        <w:pageBreakBefore w:val="0"/>
        <w:widowControl w:val="0"/>
        <w:kinsoku/>
        <w:wordWrap/>
        <w:overflowPunct/>
        <w:topLinePunct w:val="0"/>
        <w:autoSpaceDE/>
        <w:autoSpaceDN/>
        <w:bidi w:val="0"/>
        <w:adjustRightInd w:val="0"/>
        <w:snapToGrid w:val="0"/>
        <w:spacing w:before="0" w:after="0" w:afterLines="0" w:line="276" w:lineRule="auto"/>
        <w:textAlignment w:val="auto"/>
        <w:rPr>
          <w:rFonts w:hint="eastAsia" w:ascii="方正楷体_GBK" w:hAnsi="方正楷体_GBK" w:eastAsia="方正楷体_GBK" w:cs="方正楷体_GBK"/>
          <w:b w:val="0"/>
          <w:bCs/>
          <w:kern w:val="2"/>
          <w:sz w:val="32"/>
          <w:szCs w:val="32"/>
        </w:rPr>
      </w:pPr>
      <w:bookmarkStart w:id="176" w:name="_Toc1950058921"/>
      <w:bookmarkStart w:id="177" w:name="_Toc86888245_WPSOffice_Level2"/>
      <w:bookmarkStart w:id="178" w:name="_Toc28267"/>
      <w:bookmarkStart w:id="179" w:name="_Toc1690595405"/>
      <w:r>
        <w:rPr>
          <w:rFonts w:hint="eastAsia" w:ascii="方正楷体_GBK" w:hAnsi="方正楷体_GBK" w:eastAsia="方正楷体_GBK" w:cs="方正楷体_GBK"/>
          <w:b w:val="0"/>
          <w:bCs/>
          <w:kern w:val="2"/>
          <w:sz w:val="32"/>
          <w:szCs w:val="32"/>
        </w:rPr>
        <w:t>第二节</w:t>
      </w:r>
      <w:r>
        <w:rPr>
          <w:rFonts w:hint="default" w:ascii="方正楷体_GBK" w:hAnsi="方正楷体_GBK" w:eastAsia="方正楷体_GBK" w:cs="方正楷体_GBK"/>
          <w:b w:val="0"/>
          <w:bCs/>
          <w:kern w:val="2"/>
          <w:sz w:val="32"/>
          <w:szCs w:val="32"/>
          <w:lang w:val="en"/>
        </w:rPr>
        <w:t xml:space="preserve"> </w:t>
      </w:r>
      <w:r>
        <w:rPr>
          <w:rFonts w:hint="eastAsia" w:ascii="方正楷体_GBK" w:hAnsi="方正楷体_GBK" w:eastAsia="方正楷体_GBK" w:cs="方正楷体_GBK"/>
          <w:b w:val="0"/>
          <w:bCs/>
          <w:kern w:val="2"/>
          <w:sz w:val="32"/>
          <w:szCs w:val="32"/>
        </w:rPr>
        <w:t xml:space="preserve"> 打造集约化货运服务</w:t>
      </w:r>
      <w:bookmarkEnd w:id="176"/>
      <w:bookmarkEnd w:id="177"/>
      <w:bookmarkEnd w:id="178"/>
      <w:bookmarkEnd w:id="179"/>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30"/>
        <w:textAlignment w:val="auto"/>
        <w:rPr>
          <w:rFonts w:eastAsia="方正楷体_GBK"/>
          <w:b w:val="0"/>
          <w:bCs/>
          <w:sz w:val="32"/>
          <w:szCs w:val="32"/>
        </w:rPr>
      </w:pP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30"/>
        <w:textAlignment w:val="auto"/>
        <w:rPr>
          <w:rFonts w:eastAsia="方正仿宋_GBK"/>
          <w:b w:val="0"/>
          <w:bCs/>
          <w:sz w:val="32"/>
          <w:szCs w:val="32"/>
        </w:rPr>
      </w:pPr>
      <w:r>
        <w:rPr>
          <w:rFonts w:eastAsia="方正楷体_GBK"/>
          <w:b w:val="0"/>
          <w:bCs/>
          <w:sz w:val="32"/>
          <w:szCs w:val="32"/>
        </w:rPr>
        <w:t>积极推进运输结构调整，稳步提升铁路、水运货运量。</w:t>
      </w:r>
      <w:r>
        <w:rPr>
          <w:rFonts w:eastAsia="方正仿宋_GBK"/>
          <w:b w:val="0"/>
          <w:bCs/>
          <w:sz w:val="32"/>
          <w:szCs w:val="32"/>
        </w:rPr>
        <w:t>依托长江航道，积极引导推广江海直达新模式，鼓励发展铁水联运、厢式运输、集装箱运输等先进运输组织方式，提升航道运输效率</w:t>
      </w:r>
      <w:r>
        <w:rPr>
          <w:rFonts w:hint="eastAsia" w:eastAsia="方正仿宋_GBK"/>
          <w:b w:val="0"/>
          <w:bCs/>
          <w:sz w:val="32"/>
          <w:szCs w:val="32"/>
        </w:rPr>
        <w:t>，有效降低物流成本</w:t>
      </w:r>
      <w:r>
        <w:rPr>
          <w:rFonts w:eastAsia="方正仿宋_GBK"/>
          <w:b w:val="0"/>
          <w:bCs/>
          <w:sz w:val="32"/>
          <w:szCs w:val="32"/>
        </w:rPr>
        <w:t>。</w:t>
      </w:r>
      <w:r>
        <w:rPr>
          <w:rFonts w:eastAsia="方正楷体_GBK"/>
          <w:b w:val="0"/>
          <w:bCs/>
          <w:sz w:val="32"/>
          <w:szCs w:val="32"/>
        </w:rPr>
        <w:t>依托产业园区发展专业货运物流。</w:t>
      </w:r>
      <w:r>
        <w:rPr>
          <w:rFonts w:eastAsia="方正仿宋_GBK"/>
          <w:b w:val="0"/>
          <w:bCs/>
          <w:sz w:val="32"/>
          <w:szCs w:val="32"/>
        </w:rPr>
        <w:t>围绕1000亿级汽车产业生态城、</w:t>
      </w:r>
      <w:r>
        <w:rPr>
          <w:rFonts w:hint="eastAsia" w:eastAsia="方正仿宋_GBK"/>
          <w:b w:val="0"/>
          <w:bCs/>
          <w:sz w:val="32"/>
          <w:szCs w:val="32"/>
        </w:rPr>
        <w:t>400亿级特色消费品产业园</w:t>
      </w:r>
      <w:r>
        <w:rPr>
          <w:rFonts w:eastAsia="方正仿宋_GBK"/>
          <w:b w:val="0"/>
          <w:bCs/>
          <w:sz w:val="32"/>
          <w:szCs w:val="32"/>
        </w:rPr>
        <w:t>等</w:t>
      </w:r>
      <w:r>
        <w:rPr>
          <w:rFonts w:hint="eastAsia" w:eastAsia="方正仿宋_GBK"/>
          <w:b w:val="0"/>
          <w:bCs/>
          <w:sz w:val="32"/>
          <w:szCs w:val="32"/>
        </w:rPr>
        <w:t>产业集群</w:t>
      </w:r>
      <w:r>
        <w:rPr>
          <w:rFonts w:eastAsia="方正仿宋_GBK"/>
          <w:b w:val="0"/>
          <w:bCs/>
          <w:sz w:val="32"/>
          <w:szCs w:val="32"/>
        </w:rPr>
        <w:t>，大力发展专业化物流，引导培育1-2家专业供应链企业。</w:t>
      </w:r>
      <w:r>
        <w:rPr>
          <w:rFonts w:eastAsia="方正楷体_GBK"/>
          <w:b w:val="0"/>
          <w:bCs/>
          <w:sz w:val="32"/>
          <w:szCs w:val="32"/>
        </w:rPr>
        <w:t>大力发展多式联运。</w:t>
      </w:r>
      <w:r>
        <w:rPr>
          <w:rFonts w:eastAsia="方正仿宋_GBK"/>
          <w:b w:val="0"/>
          <w:bCs/>
          <w:sz w:val="32"/>
          <w:szCs w:val="32"/>
        </w:rPr>
        <w:t>积极推动永川港朱沱作业区进港铁路支线，大力发展铁水联运、水水联运，提升多式联运发展水平。</w:t>
      </w:r>
      <w:r>
        <w:rPr>
          <w:rFonts w:eastAsia="方正楷体_GBK"/>
          <w:b w:val="0"/>
          <w:bCs/>
          <w:sz w:val="32"/>
          <w:szCs w:val="32"/>
        </w:rPr>
        <w:t>推进货运企业规模化、集约化发展。</w:t>
      </w:r>
      <w:r>
        <w:rPr>
          <w:rFonts w:eastAsia="方正仿宋_GBK"/>
          <w:b w:val="0"/>
          <w:bCs/>
          <w:sz w:val="32"/>
          <w:szCs w:val="32"/>
        </w:rPr>
        <w:t>加快培育道路货运龙头骨干示范企业，引导小微货运企业开展联盟合作，发挥品牌优势吸纳社会零散车辆，实现规模化、集约化、专业化经营，以增强企业竞争和抗风险能力。</w:t>
      </w:r>
      <w:r>
        <w:rPr>
          <w:rFonts w:eastAsia="方正楷体_GBK"/>
          <w:b w:val="0"/>
          <w:bCs/>
          <w:sz w:val="32"/>
          <w:szCs w:val="32"/>
        </w:rPr>
        <w:t>推广应用先进货运车型。</w:t>
      </w:r>
      <w:r>
        <w:rPr>
          <w:rFonts w:eastAsia="方正仿宋_GBK"/>
          <w:b w:val="0"/>
          <w:bCs/>
          <w:sz w:val="32"/>
          <w:szCs w:val="32"/>
        </w:rPr>
        <w:t>积极推进货运车型标准化，加快推进城市建成区轻型物流配送车辆使用新能源或清洁能源汽车。</w:t>
      </w:r>
      <w:r>
        <w:rPr>
          <w:rFonts w:eastAsia="方正楷体_GBK"/>
          <w:b w:val="0"/>
          <w:bCs/>
          <w:sz w:val="32"/>
          <w:szCs w:val="32"/>
        </w:rPr>
        <w:t>构建农村三级物流体系</w:t>
      </w:r>
      <w:r>
        <w:rPr>
          <w:rFonts w:eastAsia="方正仿宋_GBK"/>
          <w:b w:val="0"/>
          <w:bCs/>
          <w:sz w:val="32"/>
          <w:szCs w:val="32"/>
        </w:rPr>
        <w:t>。坚持需求导向、问题导向，统筹利用多方资源，强化与农业、商务、供销、邮政等部门的联动协同，充分整合货源和运力资源，因地制宜地制定完善三级物流体系建设方案，全力推动三级物流体系建设，巩固邮政</w:t>
      </w:r>
      <w:r>
        <w:rPr>
          <w:rFonts w:eastAsia="方正仿宋_GBK"/>
          <w:b w:val="0"/>
          <w:bCs/>
          <w:sz w:val="32"/>
          <w:szCs w:val="32"/>
          <w:lang w:val="en"/>
        </w:rPr>
        <w:t>“</w:t>
      </w:r>
      <w:r>
        <w:rPr>
          <w:rFonts w:eastAsia="方正仿宋_GBK"/>
          <w:b w:val="0"/>
          <w:bCs/>
          <w:sz w:val="32"/>
          <w:szCs w:val="32"/>
        </w:rPr>
        <w:t>村村直通邮</w:t>
      </w:r>
      <w:r>
        <w:rPr>
          <w:rFonts w:eastAsia="方正仿宋_GBK"/>
          <w:b w:val="0"/>
          <w:bCs/>
          <w:sz w:val="32"/>
          <w:szCs w:val="32"/>
          <w:lang w:val="en"/>
        </w:rPr>
        <w:t>”</w:t>
      </w:r>
      <w:r>
        <w:rPr>
          <w:rFonts w:eastAsia="方正仿宋_GBK"/>
          <w:b w:val="0"/>
          <w:bCs/>
          <w:sz w:val="32"/>
          <w:szCs w:val="32"/>
        </w:rPr>
        <w:t>、快递</w:t>
      </w:r>
      <w:r>
        <w:rPr>
          <w:rFonts w:eastAsia="方正仿宋_GBK"/>
          <w:b w:val="0"/>
          <w:bCs/>
          <w:sz w:val="32"/>
          <w:szCs w:val="32"/>
          <w:lang w:val="en"/>
        </w:rPr>
        <w:t>“</w:t>
      </w:r>
      <w:r>
        <w:rPr>
          <w:rFonts w:eastAsia="方正仿宋_GBK"/>
          <w:b w:val="0"/>
          <w:bCs/>
          <w:sz w:val="32"/>
          <w:szCs w:val="32"/>
        </w:rPr>
        <w:t>村村有网点</w:t>
      </w:r>
      <w:r>
        <w:rPr>
          <w:rFonts w:eastAsia="方正仿宋_GBK"/>
          <w:b w:val="0"/>
          <w:bCs/>
          <w:sz w:val="32"/>
          <w:szCs w:val="32"/>
          <w:lang w:val="en"/>
        </w:rPr>
        <w:t>”</w:t>
      </w:r>
      <w:r>
        <w:rPr>
          <w:rFonts w:eastAsia="方正仿宋_GBK"/>
          <w:b w:val="0"/>
          <w:bCs/>
          <w:sz w:val="32"/>
          <w:szCs w:val="32"/>
        </w:rPr>
        <w:t>，助力乡村振兴。</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16" w:type="dxa"/>
            <w:noWrap w:val="0"/>
            <w:vAlign w:val="top"/>
          </w:tcPr>
          <w:p>
            <w:pPr>
              <w:snapToGrid w:val="0"/>
              <w:spacing w:afterLines="0" w:line="240" w:lineRule="auto"/>
              <w:jc w:val="center"/>
              <w:rPr>
                <w:rFonts w:eastAsia="方正小标宋_GBK"/>
                <w:b w:val="0"/>
                <w:bCs/>
                <w:sz w:val="30"/>
                <w:szCs w:val="30"/>
              </w:rPr>
            </w:pPr>
            <w:r>
              <w:rPr>
                <w:rFonts w:eastAsia="方正小标宋_GBK"/>
                <w:b w:val="0"/>
                <w:bCs/>
                <w:sz w:val="28"/>
                <w:szCs w:val="30"/>
              </w:rPr>
              <w:t xml:space="preserve">专栏7  </w:t>
            </w:r>
            <w:r>
              <w:rPr>
                <w:rFonts w:eastAsia="方正小标宋_GBK"/>
                <w:b w:val="0"/>
                <w:bCs/>
                <w:sz w:val="28"/>
                <w:szCs w:val="30"/>
                <w:lang w:val="en"/>
              </w:rPr>
              <w:t>“</w:t>
            </w:r>
            <w:r>
              <w:rPr>
                <w:rFonts w:eastAsia="方正小标宋_GBK"/>
                <w:b w:val="0"/>
                <w:bCs/>
                <w:sz w:val="28"/>
                <w:szCs w:val="30"/>
              </w:rPr>
              <w:t>十四五</w:t>
            </w:r>
            <w:r>
              <w:rPr>
                <w:rFonts w:eastAsia="方正小标宋_GBK"/>
                <w:b w:val="0"/>
                <w:bCs/>
                <w:sz w:val="28"/>
                <w:szCs w:val="30"/>
                <w:lang w:val="en"/>
              </w:rPr>
              <w:t>”</w:t>
            </w:r>
            <w:r>
              <w:rPr>
                <w:rFonts w:eastAsia="方正小标宋_GBK"/>
                <w:b w:val="0"/>
                <w:bCs/>
                <w:sz w:val="28"/>
                <w:szCs w:val="30"/>
              </w:rPr>
              <w:t>运输服务重点项目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8516" w:type="dxa"/>
            <w:noWrap w:val="0"/>
            <w:vAlign w:val="top"/>
          </w:tcPr>
          <w:p>
            <w:pPr>
              <w:snapToGrid w:val="0"/>
              <w:spacing w:afterLines="0" w:line="240" w:lineRule="auto"/>
              <w:ind w:firstLine="560" w:firstLineChars="200"/>
              <w:rPr>
                <w:rFonts w:eastAsia="方正仿宋_GBK"/>
                <w:b w:val="0"/>
                <w:bCs/>
                <w:sz w:val="28"/>
                <w:szCs w:val="28"/>
              </w:rPr>
            </w:pPr>
            <w:r>
              <w:rPr>
                <w:rFonts w:eastAsia="方正楷体_GBK"/>
                <w:b w:val="0"/>
                <w:bCs/>
                <w:sz w:val="28"/>
                <w:szCs w:val="28"/>
              </w:rPr>
              <w:t>客运服务：</w:t>
            </w:r>
            <w:r>
              <w:rPr>
                <w:rFonts w:eastAsia="方正仿宋_GBK"/>
                <w:b w:val="0"/>
                <w:bCs/>
                <w:sz w:val="28"/>
                <w:szCs w:val="28"/>
              </w:rPr>
              <w:t>探索利用成渝高铁开行公交化列车，</w:t>
            </w:r>
            <w:r>
              <w:rPr>
                <w:rFonts w:hint="eastAsia" w:eastAsia="方正仿宋_GBK"/>
                <w:b w:val="0"/>
                <w:bCs/>
                <w:sz w:val="28"/>
                <w:szCs w:val="28"/>
              </w:rPr>
              <w:t>开通3-4条城际公交线路，</w:t>
            </w:r>
            <w:r>
              <w:rPr>
                <w:rFonts w:eastAsia="方正仿宋_GBK"/>
                <w:b w:val="0"/>
                <w:bCs/>
                <w:sz w:val="28"/>
                <w:szCs w:val="28"/>
              </w:rPr>
              <w:t>更新投入新能源公交车辆，新能源公交车比例100%，新建城西、城南</w:t>
            </w:r>
            <w:r>
              <w:rPr>
                <w:rFonts w:hint="eastAsia" w:eastAsia="方正仿宋_GBK"/>
                <w:b w:val="0"/>
                <w:bCs/>
                <w:sz w:val="28"/>
                <w:szCs w:val="28"/>
              </w:rPr>
              <w:t>等</w:t>
            </w:r>
            <w:r>
              <w:rPr>
                <w:rFonts w:eastAsia="方正仿宋_GBK"/>
                <w:b w:val="0"/>
                <w:bCs/>
                <w:sz w:val="28"/>
                <w:szCs w:val="28"/>
              </w:rPr>
              <w:t>公交站场，实施农村客运港湾站改造，开通至</w:t>
            </w:r>
            <w:r>
              <w:rPr>
                <w:rFonts w:hint="eastAsia" w:eastAsia="方正仿宋_GBK"/>
                <w:b w:val="0"/>
                <w:bCs/>
                <w:sz w:val="28"/>
                <w:szCs w:val="28"/>
              </w:rPr>
              <w:t>机场、</w:t>
            </w:r>
            <w:r>
              <w:rPr>
                <w:rFonts w:eastAsia="方正仿宋_GBK"/>
                <w:b w:val="0"/>
                <w:bCs/>
                <w:sz w:val="28"/>
                <w:szCs w:val="28"/>
              </w:rPr>
              <w:t>铁路站、景区旅游专线。</w:t>
            </w:r>
          </w:p>
          <w:p>
            <w:pPr>
              <w:snapToGrid w:val="0"/>
              <w:spacing w:afterLines="0" w:line="240" w:lineRule="auto"/>
              <w:ind w:firstLine="560" w:firstLineChars="200"/>
              <w:rPr>
                <w:rFonts w:eastAsia="方正仿宋_GBK"/>
                <w:b w:val="0"/>
                <w:bCs/>
                <w:kern w:val="0"/>
                <w:sz w:val="32"/>
                <w:szCs w:val="32"/>
              </w:rPr>
            </w:pPr>
            <w:r>
              <w:rPr>
                <w:rFonts w:eastAsia="方正楷体_GBK"/>
                <w:b w:val="0"/>
                <w:bCs/>
                <w:sz w:val="28"/>
                <w:szCs w:val="28"/>
              </w:rPr>
              <w:t>货运服务：</w:t>
            </w:r>
            <w:r>
              <w:rPr>
                <w:rFonts w:eastAsia="方正仿宋_GBK"/>
                <w:b w:val="0"/>
                <w:bCs/>
                <w:sz w:val="28"/>
                <w:szCs w:val="28"/>
              </w:rPr>
              <w:t>引导培育1-2家专业化物流企业。依托朱沱作业区大力发展铁水联运、水水联运。打造乡镇综合客运站，</w:t>
            </w:r>
            <w:r>
              <w:rPr>
                <w:rFonts w:hint="eastAsia" w:eastAsia="方正仿宋_GBK"/>
                <w:b w:val="0"/>
                <w:bCs/>
                <w:sz w:val="28"/>
                <w:szCs w:val="28"/>
              </w:rPr>
              <w:t>构建农村</w:t>
            </w:r>
            <w:r>
              <w:rPr>
                <w:rFonts w:eastAsia="方正仿宋_GBK"/>
                <w:b w:val="0"/>
                <w:bCs/>
                <w:sz w:val="28"/>
                <w:szCs w:val="28"/>
              </w:rPr>
              <w:t>三级物流体系。</w:t>
            </w:r>
          </w:p>
        </w:tc>
      </w:tr>
    </w:tbl>
    <w:p>
      <w:pPr>
        <w:keepNext w:val="0"/>
        <w:keepLines w:val="0"/>
        <w:pageBreakBefore w:val="0"/>
        <w:widowControl w:val="0"/>
        <w:kinsoku/>
        <w:wordWrap/>
        <w:overflowPunct/>
        <w:topLinePunct w:val="0"/>
        <w:autoSpaceDE/>
        <w:autoSpaceDN/>
        <w:bidi w:val="0"/>
        <w:adjustRightInd w:val="0"/>
        <w:snapToGrid w:val="0"/>
        <w:spacing w:before="0" w:after="0" w:afterLines="0" w:line="276" w:lineRule="auto"/>
        <w:ind w:firstLine="640" w:firstLineChars="200"/>
        <w:textAlignment w:val="auto"/>
        <w:rPr>
          <w:rFonts w:ascii="Times New Roman" w:hAnsi="Times New Roman" w:eastAsia="方正仿宋_GBK" w:cs="Times New Roman"/>
          <w:b w:val="0"/>
          <w:bCs/>
          <w:sz w:val="32"/>
          <w:szCs w:val="32"/>
        </w:rPr>
      </w:pPr>
      <w:bookmarkStart w:id="180" w:name="_Toc625"/>
    </w:p>
    <w:p>
      <w:pPr>
        <w:pStyle w:val="18"/>
        <w:keepNext w:val="0"/>
        <w:keepLines w:val="0"/>
        <w:pageBreakBefore w:val="0"/>
        <w:widowControl w:val="0"/>
        <w:kinsoku/>
        <w:wordWrap/>
        <w:overflowPunct/>
        <w:topLinePunct w:val="0"/>
        <w:autoSpaceDE/>
        <w:autoSpaceDN/>
        <w:bidi w:val="0"/>
        <w:adjustRightInd w:val="0"/>
        <w:snapToGrid w:val="0"/>
        <w:spacing w:before="0" w:after="0" w:afterLines="0" w:line="276" w:lineRule="auto"/>
        <w:textAlignment w:val="auto"/>
        <w:rPr>
          <w:rFonts w:ascii="Times New Roman" w:hAnsi="Times New Roman" w:eastAsia="方正黑体_GBK"/>
          <w:b w:val="0"/>
          <w:sz w:val="32"/>
          <w:szCs w:val="32"/>
        </w:rPr>
      </w:pPr>
      <w:bookmarkStart w:id="181" w:name="_Toc111546229"/>
      <w:bookmarkStart w:id="182" w:name="_Toc1750111385"/>
      <w:bookmarkStart w:id="183" w:name="_Toc512007733_WPSOffice_Level1"/>
      <w:r>
        <w:rPr>
          <w:rFonts w:ascii="Times New Roman" w:hAnsi="Times New Roman" w:eastAsia="方正黑体_GBK"/>
          <w:b w:val="0"/>
          <w:bCs/>
          <w:sz w:val="32"/>
          <w:szCs w:val="32"/>
        </w:rPr>
        <w:t xml:space="preserve">第九章 </w:t>
      </w:r>
      <w:r>
        <w:rPr>
          <w:rFonts w:hint="eastAsia" w:ascii="Times New Roman" w:hAnsi="Times New Roman" w:eastAsia="方正黑体_GBK"/>
          <w:b w:val="0"/>
          <w:bCs/>
          <w:sz w:val="32"/>
          <w:szCs w:val="32"/>
          <w:lang w:val="en-US" w:eastAsia="zh-CN"/>
        </w:rPr>
        <w:t xml:space="preserve"> </w:t>
      </w:r>
      <w:r>
        <w:rPr>
          <w:rFonts w:ascii="Times New Roman" w:hAnsi="Times New Roman" w:eastAsia="方正黑体_GBK"/>
          <w:b w:val="0"/>
          <w:bCs/>
          <w:sz w:val="32"/>
          <w:szCs w:val="32"/>
        </w:rPr>
        <w:t>着眼创新驱动，</w:t>
      </w:r>
      <w:r>
        <w:rPr>
          <w:rFonts w:hint="eastAsia" w:ascii="Times New Roman" w:hAnsi="Times New Roman" w:eastAsia="方正黑体_GBK"/>
          <w:b w:val="0"/>
          <w:bCs/>
          <w:sz w:val="32"/>
          <w:szCs w:val="32"/>
        </w:rPr>
        <w:t>打造永川智慧交通样板区</w:t>
      </w:r>
      <w:bookmarkEnd w:id="180"/>
      <w:bookmarkEnd w:id="181"/>
      <w:bookmarkEnd w:id="182"/>
      <w:bookmarkEnd w:id="183"/>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仿宋_GBK"/>
          <w:b w:val="0"/>
          <w:bCs/>
          <w:sz w:val="32"/>
          <w:szCs w:val="32"/>
        </w:rPr>
      </w:pP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仿宋_GBK"/>
          <w:b w:val="0"/>
          <w:bCs/>
          <w:sz w:val="32"/>
          <w:szCs w:val="32"/>
        </w:rPr>
      </w:pPr>
      <w:r>
        <w:rPr>
          <w:rFonts w:eastAsia="方正仿宋_GBK"/>
          <w:b w:val="0"/>
          <w:bCs/>
          <w:sz w:val="32"/>
          <w:szCs w:val="32"/>
        </w:rPr>
        <w:t>以技术创新为驱动，以信息网络为基础，有序推进数字设施化、设施数字化进程，加快构建新型交通基础设施网络，大力发展智慧交通，</w:t>
      </w:r>
      <w:r>
        <w:rPr>
          <w:rFonts w:hint="eastAsia" w:eastAsia="方正仿宋_GBK"/>
          <w:b w:val="0"/>
          <w:bCs/>
          <w:sz w:val="32"/>
          <w:szCs w:val="32"/>
        </w:rPr>
        <w:t>全力打造</w:t>
      </w:r>
      <w:r>
        <w:rPr>
          <w:rFonts w:eastAsia="方正仿宋_GBK"/>
          <w:b w:val="0"/>
          <w:bCs/>
          <w:sz w:val="32"/>
          <w:szCs w:val="32"/>
        </w:rPr>
        <w:t>永川交通强国</w:t>
      </w:r>
      <w:r>
        <w:rPr>
          <w:rFonts w:hint="eastAsia" w:eastAsia="方正仿宋_GBK"/>
          <w:b w:val="0"/>
          <w:bCs/>
          <w:sz w:val="32"/>
          <w:szCs w:val="32"/>
        </w:rPr>
        <w:t>建设试点</w:t>
      </w:r>
      <w:r>
        <w:rPr>
          <w:rFonts w:eastAsia="方正仿宋_GBK"/>
          <w:b w:val="0"/>
          <w:bCs/>
          <w:sz w:val="32"/>
          <w:szCs w:val="32"/>
        </w:rPr>
        <w:t>智慧交通</w:t>
      </w:r>
      <w:r>
        <w:rPr>
          <w:rFonts w:hint="eastAsia" w:eastAsia="方正仿宋_GBK"/>
          <w:b w:val="0"/>
          <w:bCs/>
          <w:sz w:val="32"/>
          <w:szCs w:val="32"/>
        </w:rPr>
        <w:t>样板</w:t>
      </w:r>
      <w:r>
        <w:rPr>
          <w:rFonts w:eastAsia="方正仿宋_GBK"/>
          <w:b w:val="0"/>
          <w:bCs/>
          <w:sz w:val="32"/>
          <w:szCs w:val="32"/>
        </w:rPr>
        <w:t>区，助推交通高质量发展。</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仿宋_GBK"/>
          <w:b w:val="0"/>
          <w:bCs/>
          <w:sz w:val="32"/>
          <w:szCs w:val="32"/>
        </w:rPr>
      </w:pPr>
    </w:p>
    <w:p>
      <w:pPr>
        <w:pStyle w:val="16"/>
        <w:keepNext w:val="0"/>
        <w:keepLines w:val="0"/>
        <w:pageBreakBefore w:val="0"/>
        <w:widowControl w:val="0"/>
        <w:kinsoku/>
        <w:wordWrap/>
        <w:overflowPunct/>
        <w:topLinePunct w:val="0"/>
        <w:autoSpaceDE/>
        <w:autoSpaceDN/>
        <w:bidi w:val="0"/>
        <w:adjustRightInd w:val="0"/>
        <w:snapToGrid w:val="0"/>
        <w:spacing w:before="0" w:after="0" w:afterLines="0" w:line="276" w:lineRule="auto"/>
        <w:textAlignment w:val="auto"/>
        <w:rPr>
          <w:rFonts w:hint="eastAsia" w:ascii="方正楷体_GBK" w:hAnsi="方正楷体_GBK" w:eastAsia="方正楷体_GBK" w:cs="方正楷体_GBK"/>
          <w:b w:val="0"/>
          <w:bCs/>
          <w:kern w:val="2"/>
          <w:sz w:val="32"/>
          <w:szCs w:val="32"/>
        </w:rPr>
      </w:pPr>
      <w:bookmarkStart w:id="184" w:name="_Toc8850"/>
      <w:bookmarkStart w:id="185" w:name="_Toc316647351"/>
      <w:bookmarkStart w:id="186" w:name="_Toc1407315205"/>
      <w:bookmarkStart w:id="187" w:name="_Toc417199837_WPSOffice_Level2"/>
      <w:r>
        <w:rPr>
          <w:rFonts w:hint="eastAsia" w:ascii="方正楷体_GBK" w:hAnsi="方正楷体_GBK" w:eastAsia="方正楷体_GBK" w:cs="方正楷体_GBK"/>
          <w:b w:val="0"/>
          <w:bCs/>
          <w:kern w:val="2"/>
          <w:sz w:val="32"/>
          <w:szCs w:val="32"/>
        </w:rPr>
        <w:t>第一节 推动基础设施智能化应用</w:t>
      </w:r>
      <w:bookmarkEnd w:id="184"/>
      <w:bookmarkEnd w:id="185"/>
      <w:bookmarkEnd w:id="186"/>
      <w:bookmarkEnd w:id="187"/>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楷体_GBK"/>
          <w:b w:val="0"/>
          <w:bCs/>
          <w:sz w:val="32"/>
          <w:szCs w:val="32"/>
        </w:rPr>
      </w:pP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仿宋_GBK"/>
          <w:b w:val="0"/>
          <w:bCs/>
          <w:sz w:val="32"/>
          <w:szCs w:val="32"/>
        </w:rPr>
      </w:pPr>
      <w:r>
        <w:rPr>
          <w:rFonts w:eastAsia="方正楷体_GBK"/>
          <w:b w:val="0"/>
          <w:bCs/>
          <w:sz w:val="32"/>
          <w:szCs w:val="32"/>
        </w:rPr>
        <w:t>构建新型交通基础设施感知网络。</w:t>
      </w:r>
      <w:r>
        <w:rPr>
          <w:rFonts w:eastAsia="方正仿宋_GBK"/>
          <w:b w:val="0"/>
          <w:bCs/>
          <w:sz w:val="32"/>
          <w:szCs w:val="32"/>
        </w:rPr>
        <w:t>推动交通感知网络与交通基础设施同步规划、同步建设、同步使用，依托成渝高速公路</w:t>
      </w:r>
      <w:r>
        <w:rPr>
          <w:rFonts w:hint="eastAsia" w:eastAsia="方正仿宋_GBK"/>
          <w:b w:val="0"/>
          <w:bCs/>
          <w:sz w:val="32"/>
          <w:szCs w:val="32"/>
        </w:rPr>
        <w:t>加宽</w:t>
      </w:r>
      <w:r>
        <w:rPr>
          <w:rFonts w:eastAsia="方正仿宋_GBK"/>
          <w:b w:val="0"/>
          <w:bCs/>
          <w:sz w:val="32"/>
          <w:szCs w:val="32"/>
        </w:rPr>
        <w:t>项目，研究推动智慧高速公路建设，打造智慧高速公路新标杆，进一步提升高速公路智慧管理和智慧服务水平。推进大数据、物联网、人工智能等信息化技术与水运基础设施深度融合，建设功能一致、标准一致、数据共享的智能化、数字化航道支持保障系统，</w:t>
      </w:r>
      <w:r>
        <w:rPr>
          <w:rFonts w:hint="eastAsia" w:eastAsia="方正仿宋_GBK"/>
          <w:b w:val="0"/>
          <w:bCs/>
          <w:sz w:val="32"/>
          <w:szCs w:val="32"/>
        </w:rPr>
        <w:t>打造</w:t>
      </w:r>
      <w:r>
        <w:rPr>
          <w:rFonts w:eastAsia="方正仿宋_GBK"/>
          <w:b w:val="0"/>
          <w:bCs/>
          <w:sz w:val="32"/>
          <w:szCs w:val="32"/>
        </w:rPr>
        <w:t>长江智慧航道。</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仿宋_GBK"/>
          <w:b w:val="0"/>
          <w:bCs/>
          <w:sz w:val="32"/>
          <w:szCs w:val="32"/>
        </w:rPr>
      </w:pPr>
      <w:r>
        <w:rPr>
          <w:rFonts w:eastAsia="方正楷体_GBK"/>
          <w:b w:val="0"/>
          <w:bCs/>
          <w:sz w:val="32"/>
          <w:szCs w:val="32"/>
        </w:rPr>
        <w:t>推动智能化客货枢纽建设</w:t>
      </w:r>
      <w:r>
        <w:rPr>
          <w:rFonts w:eastAsia="方正仿宋_GBK"/>
          <w:b w:val="0"/>
          <w:bCs/>
          <w:sz w:val="32"/>
          <w:szCs w:val="32"/>
        </w:rPr>
        <w:t>。全力打造智慧渝昆高铁南站，实现智慧全景调度监控、客流量</w:t>
      </w:r>
      <w:r>
        <w:rPr>
          <w:rFonts w:hint="eastAsia" w:eastAsia="方正仿宋_GBK"/>
          <w:b w:val="0"/>
          <w:bCs/>
          <w:sz w:val="32"/>
          <w:szCs w:val="32"/>
        </w:rPr>
        <w:t>实时</w:t>
      </w:r>
      <w:r>
        <w:rPr>
          <w:rFonts w:eastAsia="方正仿宋_GBK"/>
          <w:b w:val="0"/>
          <w:bCs/>
          <w:sz w:val="32"/>
          <w:szCs w:val="32"/>
        </w:rPr>
        <w:t>分析预警，运用智慧消防、智慧门禁系统，充分发挥可视化监管功能，全面提升站内安全系数。全力打造智慧永川城西交通物流枢纽站，构建物流信息化平台及物流业务系统，为枢纽站提供信息服务、交易服务、数据交互、货物防伪追溯、智慧车辆调度等服务，</w:t>
      </w:r>
      <w:r>
        <w:rPr>
          <w:rFonts w:hint="eastAsia" w:eastAsia="方正仿宋_GBK"/>
          <w:b w:val="0"/>
          <w:bCs/>
          <w:sz w:val="32"/>
          <w:szCs w:val="32"/>
        </w:rPr>
        <w:t>加快</w:t>
      </w:r>
      <w:r>
        <w:rPr>
          <w:rFonts w:eastAsia="方正仿宋_GBK"/>
          <w:b w:val="0"/>
          <w:bCs/>
          <w:sz w:val="32"/>
          <w:szCs w:val="32"/>
        </w:rPr>
        <w:t>实现物流的自动化、信息化和智能化。</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仿宋_GBK"/>
          <w:b w:val="0"/>
          <w:bCs/>
          <w:sz w:val="32"/>
          <w:szCs w:val="32"/>
        </w:rPr>
      </w:pPr>
    </w:p>
    <w:p>
      <w:pPr>
        <w:pStyle w:val="16"/>
        <w:keepNext w:val="0"/>
        <w:keepLines w:val="0"/>
        <w:pageBreakBefore w:val="0"/>
        <w:widowControl w:val="0"/>
        <w:kinsoku/>
        <w:wordWrap/>
        <w:overflowPunct/>
        <w:topLinePunct w:val="0"/>
        <w:autoSpaceDE/>
        <w:autoSpaceDN/>
        <w:bidi w:val="0"/>
        <w:adjustRightInd w:val="0"/>
        <w:snapToGrid w:val="0"/>
        <w:spacing w:before="0" w:after="0" w:afterLines="0" w:line="276" w:lineRule="auto"/>
        <w:textAlignment w:val="auto"/>
        <w:rPr>
          <w:rFonts w:hint="eastAsia" w:ascii="方正楷体_GBK" w:hAnsi="方正楷体_GBK" w:eastAsia="方正楷体_GBK" w:cs="方正楷体_GBK"/>
          <w:b w:val="0"/>
          <w:bCs/>
          <w:kern w:val="2"/>
          <w:sz w:val="32"/>
          <w:szCs w:val="32"/>
        </w:rPr>
      </w:pPr>
      <w:bookmarkStart w:id="188" w:name="_Toc2052"/>
      <w:bookmarkStart w:id="189" w:name="_Toc1202588620"/>
      <w:bookmarkStart w:id="190" w:name="_Toc1334918785_WPSOffice_Level2"/>
      <w:bookmarkStart w:id="191" w:name="_Toc1764009536"/>
      <w:r>
        <w:rPr>
          <w:rFonts w:hint="eastAsia" w:ascii="方正楷体_GBK" w:hAnsi="方正楷体_GBK" w:eastAsia="方正楷体_GBK" w:cs="方正楷体_GBK"/>
          <w:b w:val="0"/>
          <w:bCs/>
          <w:kern w:val="2"/>
          <w:sz w:val="32"/>
          <w:szCs w:val="32"/>
        </w:rPr>
        <w:t>第二节</w:t>
      </w:r>
      <w:r>
        <w:rPr>
          <w:rFonts w:hint="default" w:ascii="方正楷体_GBK" w:hAnsi="方正楷体_GBK" w:eastAsia="方正楷体_GBK" w:cs="方正楷体_GBK"/>
          <w:b w:val="0"/>
          <w:bCs/>
          <w:kern w:val="2"/>
          <w:sz w:val="32"/>
          <w:szCs w:val="32"/>
          <w:lang w:val="en"/>
        </w:rPr>
        <w:t xml:space="preserve"> </w:t>
      </w:r>
      <w:r>
        <w:rPr>
          <w:rFonts w:hint="eastAsia" w:ascii="方正楷体_GBK" w:hAnsi="方正楷体_GBK" w:eastAsia="方正楷体_GBK" w:cs="方正楷体_GBK"/>
          <w:b w:val="0"/>
          <w:bCs/>
          <w:kern w:val="2"/>
          <w:sz w:val="32"/>
          <w:szCs w:val="32"/>
        </w:rPr>
        <w:t xml:space="preserve"> 提升运输服务信息化水平</w:t>
      </w:r>
      <w:bookmarkEnd w:id="188"/>
      <w:bookmarkEnd w:id="189"/>
      <w:bookmarkEnd w:id="190"/>
      <w:bookmarkEnd w:id="191"/>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楷体_GBK"/>
          <w:b w:val="0"/>
          <w:bCs/>
          <w:sz w:val="32"/>
          <w:szCs w:val="32"/>
        </w:rPr>
      </w:pP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仿宋_GBK"/>
          <w:b w:val="0"/>
          <w:bCs/>
          <w:sz w:val="32"/>
          <w:szCs w:val="32"/>
        </w:rPr>
      </w:pPr>
      <w:r>
        <w:rPr>
          <w:rFonts w:eastAsia="方正楷体_GBK"/>
          <w:b w:val="0"/>
          <w:bCs/>
          <w:sz w:val="32"/>
          <w:szCs w:val="32"/>
        </w:rPr>
        <w:t>打造智慧公共交通出行服务体系。</w:t>
      </w:r>
      <w:r>
        <w:rPr>
          <w:rFonts w:eastAsia="方正仿宋_GBK"/>
          <w:b w:val="0"/>
          <w:bCs/>
          <w:sz w:val="32"/>
          <w:szCs w:val="32"/>
        </w:rPr>
        <w:t>加快推进智慧公共交通出行，基于车载客流统计感知设备、信令数据、车载GPS数据及GIS地图进行大数据计算决策，智慧优化公交线路，实现公交及区内班线客车智慧发班。强化智慧出行体验，通过手机客户端和公交智能站台提供站台位置、线路选择和实时公交位置、拥挤程度信息。优化智慧公交运营环境，设置可变车道和自动感应交通信号灯，实行公交车辆优先通行。同时，推进永川与川渝毗邻地区以及周边地区的公交</w:t>
      </w:r>
      <w:r>
        <w:rPr>
          <w:rFonts w:eastAsia="方正仿宋_GBK"/>
          <w:b w:val="0"/>
          <w:bCs/>
          <w:sz w:val="32"/>
          <w:szCs w:val="32"/>
          <w:lang w:val="en"/>
        </w:rPr>
        <w:t>“</w:t>
      </w:r>
      <w:r>
        <w:rPr>
          <w:rFonts w:eastAsia="方正仿宋_GBK"/>
          <w:b w:val="0"/>
          <w:bCs/>
          <w:sz w:val="32"/>
          <w:szCs w:val="32"/>
        </w:rPr>
        <w:t>一卡通</w:t>
      </w:r>
      <w:r>
        <w:rPr>
          <w:rFonts w:eastAsia="方正仿宋_GBK"/>
          <w:b w:val="0"/>
          <w:bCs/>
          <w:sz w:val="32"/>
          <w:szCs w:val="32"/>
          <w:lang w:val="en"/>
        </w:rPr>
        <w:t>”“</w:t>
      </w:r>
      <w:r>
        <w:rPr>
          <w:rFonts w:eastAsia="方正仿宋_GBK"/>
          <w:b w:val="0"/>
          <w:bCs/>
          <w:sz w:val="32"/>
          <w:szCs w:val="32"/>
        </w:rPr>
        <w:t>一码通</w:t>
      </w:r>
      <w:r>
        <w:rPr>
          <w:rFonts w:eastAsia="方正仿宋_GBK"/>
          <w:b w:val="0"/>
          <w:bCs/>
          <w:sz w:val="32"/>
          <w:szCs w:val="32"/>
          <w:lang w:val="en"/>
        </w:rPr>
        <w:t>”</w:t>
      </w:r>
      <w:r>
        <w:rPr>
          <w:rFonts w:eastAsia="方正仿宋_GBK"/>
          <w:b w:val="0"/>
          <w:bCs/>
          <w:sz w:val="32"/>
          <w:szCs w:val="32"/>
        </w:rPr>
        <w:t>，扩大移动支付，探索推进客运一体联程服务。</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仿宋_GBK"/>
          <w:b w:val="0"/>
          <w:bCs/>
          <w:sz w:val="32"/>
          <w:szCs w:val="32"/>
        </w:rPr>
      </w:pPr>
      <w:r>
        <w:rPr>
          <w:rFonts w:eastAsia="方正楷体_GBK"/>
          <w:b w:val="0"/>
          <w:bCs/>
          <w:sz w:val="32"/>
          <w:szCs w:val="32"/>
        </w:rPr>
        <w:t>引导交通服务新业态发展。</w:t>
      </w:r>
      <w:r>
        <w:rPr>
          <w:rFonts w:eastAsia="方正仿宋_GBK"/>
          <w:b w:val="0"/>
          <w:bCs/>
          <w:sz w:val="32"/>
          <w:szCs w:val="32"/>
        </w:rPr>
        <w:t>全力打造全国首个L4级（完全自动化的无人驾驶级别）的</w:t>
      </w:r>
      <w:r>
        <w:rPr>
          <w:rFonts w:eastAsia="方正仿宋_GBK"/>
          <w:b w:val="0"/>
          <w:bCs/>
          <w:sz w:val="32"/>
          <w:szCs w:val="32"/>
          <w:lang w:val="en"/>
        </w:rPr>
        <w:t>“</w:t>
      </w:r>
      <w:r>
        <w:rPr>
          <w:rFonts w:eastAsia="方正仿宋_GBK"/>
          <w:b w:val="0"/>
          <w:bCs/>
          <w:sz w:val="32"/>
          <w:szCs w:val="32"/>
        </w:rPr>
        <w:t>西部自动驾驶开放测试与示范应用基地</w:t>
      </w:r>
      <w:r>
        <w:rPr>
          <w:rFonts w:eastAsia="方正仿宋_GBK"/>
          <w:b w:val="0"/>
          <w:bCs/>
          <w:sz w:val="32"/>
          <w:szCs w:val="32"/>
          <w:lang w:val="en"/>
        </w:rPr>
        <w:t>”</w:t>
      </w:r>
      <w:r>
        <w:rPr>
          <w:rFonts w:eastAsia="方正仿宋_GBK"/>
          <w:b w:val="0"/>
          <w:bCs/>
          <w:sz w:val="32"/>
          <w:szCs w:val="32"/>
        </w:rPr>
        <w:t>，逐步投放5G移动网络辅助的无人驾驶公交车、出租车，持续新增自动驾驶开放测试线路，引导自动驾驶行业健康稳定发展。以互联网等信息技术为依托构建服务平台，通过服务模式、技术、管理上的创新，整合供需信息，引导无车船承运物流、城市共同配送、冷链运输</w:t>
      </w:r>
      <w:r>
        <w:rPr>
          <w:rFonts w:hint="eastAsia" w:eastAsia="方正仿宋_GBK"/>
          <w:b w:val="0"/>
          <w:bCs/>
          <w:sz w:val="32"/>
          <w:szCs w:val="32"/>
        </w:rPr>
        <w:t>、</w:t>
      </w:r>
      <w:r>
        <w:rPr>
          <w:rFonts w:eastAsia="方正仿宋_GBK"/>
          <w:b w:val="0"/>
          <w:bCs/>
          <w:sz w:val="32"/>
          <w:szCs w:val="32"/>
        </w:rPr>
        <w:t>网络预约出租车、客运联程联运、汽车分时租赁、汽修O2O服务、预约点单式驾培服务等多种新型运输服务发展。</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仿宋_GBK"/>
          <w:b w:val="0"/>
          <w:bCs/>
          <w:sz w:val="32"/>
          <w:szCs w:val="32"/>
        </w:rPr>
      </w:pPr>
    </w:p>
    <w:p>
      <w:pPr>
        <w:pStyle w:val="16"/>
        <w:keepNext w:val="0"/>
        <w:keepLines w:val="0"/>
        <w:pageBreakBefore w:val="0"/>
        <w:widowControl w:val="0"/>
        <w:kinsoku/>
        <w:wordWrap/>
        <w:overflowPunct/>
        <w:topLinePunct w:val="0"/>
        <w:autoSpaceDE/>
        <w:autoSpaceDN/>
        <w:bidi w:val="0"/>
        <w:adjustRightInd w:val="0"/>
        <w:snapToGrid w:val="0"/>
        <w:spacing w:before="0" w:after="0" w:afterLines="0" w:line="276" w:lineRule="auto"/>
        <w:textAlignment w:val="auto"/>
        <w:rPr>
          <w:rFonts w:hint="eastAsia" w:ascii="方正楷体_GBK" w:hAnsi="方正楷体_GBK" w:eastAsia="方正楷体_GBK" w:cs="方正楷体_GBK"/>
          <w:b w:val="0"/>
          <w:bCs/>
          <w:kern w:val="2"/>
          <w:sz w:val="32"/>
          <w:szCs w:val="32"/>
        </w:rPr>
      </w:pPr>
      <w:bookmarkStart w:id="192" w:name="_Toc14048"/>
      <w:bookmarkStart w:id="193" w:name="_Toc2063437679_WPSOffice_Level2"/>
      <w:bookmarkStart w:id="194" w:name="_Toc1129702240"/>
      <w:bookmarkStart w:id="195" w:name="_Toc189491187"/>
      <w:r>
        <w:rPr>
          <w:rFonts w:hint="eastAsia" w:ascii="方正楷体_GBK" w:hAnsi="方正楷体_GBK" w:eastAsia="方正楷体_GBK" w:cs="方正楷体_GBK"/>
          <w:b w:val="0"/>
          <w:bCs/>
          <w:kern w:val="2"/>
          <w:sz w:val="32"/>
          <w:szCs w:val="32"/>
        </w:rPr>
        <w:t>第三节</w:t>
      </w:r>
      <w:r>
        <w:rPr>
          <w:rFonts w:hint="default" w:ascii="方正楷体_GBK" w:hAnsi="方正楷体_GBK" w:eastAsia="方正楷体_GBK" w:cs="方正楷体_GBK"/>
          <w:b w:val="0"/>
          <w:bCs/>
          <w:kern w:val="2"/>
          <w:sz w:val="32"/>
          <w:szCs w:val="32"/>
          <w:lang w:val="en"/>
        </w:rPr>
        <w:t xml:space="preserve"> </w:t>
      </w:r>
      <w:r>
        <w:rPr>
          <w:rFonts w:hint="eastAsia" w:ascii="方正楷体_GBK" w:hAnsi="方正楷体_GBK" w:eastAsia="方正楷体_GBK" w:cs="方正楷体_GBK"/>
          <w:b w:val="0"/>
          <w:bCs/>
          <w:kern w:val="2"/>
          <w:sz w:val="32"/>
          <w:szCs w:val="32"/>
        </w:rPr>
        <w:t xml:space="preserve"> 强化决策监管数字化支撑</w:t>
      </w:r>
      <w:bookmarkEnd w:id="192"/>
      <w:bookmarkEnd w:id="193"/>
      <w:bookmarkEnd w:id="194"/>
      <w:bookmarkEnd w:id="195"/>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楷体_GBK"/>
          <w:b w:val="0"/>
          <w:bCs/>
          <w:sz w:val="32"/>
          <w:szCs w:val="32"/>
        </w:rPr>
      </w:pP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仿宋_GBK"/>
          <w:b w:val="0"/>
          <w:bCs/>
          <w:sz w:val="32"/>
          <w:szCs w:val="32"/>
        </w:rPr>
      </w:pPr>
      <w:r>
        <w:rPr>
          <w:rFonts w:eastAsia="方正楷体_GBK"/>
          <w:b w:val="0"/>
          <w:bCs/>
          <w:sz w:val="32"/>
          <w:szCs w:val="32"/>
        </w:rPr>
        <w:t>搭建综合交通大数据共享交换平台。</w:t>
      </w:r>
      <w:r>
        <w:rPr>
          <w:rFonts w:eastAsia="方正仿宋_GBK"/>
          <w:b w:val="0"/>
          <w:bCs/>
          <w:sz w:val="32"/>
          <w:szCs w:val="32"/>
        </w:rPr>
        <w:t>重点建设永川区综合交通运输大数据资源中心、智慧数据中心云平台，遵循统一架构实现上云部署，构建标准统一、开放共享的基础数据中心，将分散在各处的系统串联、数据打通，推动基础设施、智能汽车、运营服务、交通安全管理系统、交通管理指挥系统、货运物流等信息互联互通，促进交通资源的协同优化利用，形成综合交通运输</w:t>
      </w:r>
      <w:r>
        <w:rPr>
          <w:rFonts w:eastAsia="方正仿宋_GBK"/>
          <w:b w:val="0"/>
          <w:bCs/>
          <w:sz w:val="32"/>
          <w:szCs w:val="32"/>
          <w:lang w:val="en"/>
        </w:rPr>
        <w:t>“</w:t>
      </w:r>
      <w:r>
        <w:rPr>
          <w:rFonts w:eastAsia="方正仿宋_GBK"/>
          <w:b w:val="0"/>
          <w:bCs/>
          <w:sz w:val="32"/>
          <w:szCs w:val="32"/>
        </w:rPr>
        <w:t>一张图</w:t>
      </w:r>
      <w:r>
        <w:rPr>
          <w:rFonts w:eastAsia="方正仿宋_GBK"/>
          <w:b w:val="0"/>
          <w:bCs/>
          <w:sz w:val="32"/>
          <w:szCs w:val="32"/>
          <w:lang w:val="en"/>
        </w:rPr>
        <w:t>”</w:t>
      </w:r>
      <w:r>
        <w:rPr>
          <w:rFonts w:eastAsia="方正仿宋_GBK"/>
          <w:b w:val="0"/>
          <w:bCs/>
          <w:sz w:val="32"/>
          <w:szCs w:val="32"/>
        </w:rPr>
        <w:t>，提升宏观决策能力和水平。</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仿宋_GBK"/>
          <w:b w:val="0"/>
          <w:bCs/>
          <w:sz w:val="32"/>
          <w:szCs w:val="32"/>
        </w:rPr>
      </w:pPr>
      <w:r>
        <w:rPr>
          <w:rFonts w:eastAsia="方正楷体_GBK"/>
          <w:b w:val="0"/>
          <w:bCs/>
          <w:sz w:val="32"/>
          <w:szCs w:val="32"/>
        </w:rPr>
        <w:t>打造智慧运输管理体系。</w:t>
      </w:r>
      <w:r>
        <w:rPr>
          <w:rFonts w:eastAsia="方正仿宋_GBK"/>
          <w:b w:val="0"/>
          <w:bCs/>
          <w:sz w:val="32"/>
          <w:szCs w:val="32"/>
        </w:rPr>
        <w:t>推动智慧治超，基于自动化车称重监测技术、电子车牌识别技术</w:t>
      </w:r>
      <w:r>
        <w:rPr>
          <w:rFonts w:hint="eastAsia" w:eastAsia="方正仿宋_GBK"/>
          <w:b w:val="0"/>
          <w:bCs/>
          <w:sz w:val="32"/>
          <w:szCs w:val="32"/>
        </w:rPr>
        <w:t>、</w:t>
      </w:r>
      <w:r>
        <w:rPr>
          <w:rFonts w:eastAsia="方正仿宋_GBK"/>
          <w:b w:val="0"/>
          <w:bCs/>
          <w:sz w:val="32"/>
          <w:szCs w:val="32"/>
        </w:rPr>
        <w:t>大数据分析技术，实现对</w:t>
      </w:r>
      <w:r>
        <w:rPr>
          <w:rFonts w:hint="eastAsia" w:eastAsia="方正仿宋_GBK"/>
          <w:b w:val="0"/>
          <w:bCs/>
          <w:sz w:val="32"/>
          <w:szCs w:val="32"/>
        </w:rPr>
        <w:t>全区</w:t>
      </w:r>
      <w:r>
        <w:rPr>
          <w:rFonts w:eastAsia="方正仿宋_GBK"/>
          <w:b w:val="0"/>
          <w:bCs/>
          <w:sz w:val="32"/>
          <w:szCs w:val="32"/>
        </w:rPr>
        <w:t>路面货物车辆运输和货物源头的实时动态监管</w:t>
      </w:r>
      <w:r>
        <w:rPr>
          <w:rFonts w:hint="eastAsia" w:eastAsia="方正仿宋_GBK"/>
          <w:b w:val="0"/>
          <w:bCs/>
          <w:sz w:val="32"/>
          <w:szCs w:val="32"/>
        </w:rPr>
        <w:t>，</w:t>
      </w:r>
      <w:r>
        <w:rPr>
          <w:rFonts w:eastAsia="方正仿宋_GBK"/>
          <w:b w:val="0"/>
          <w:bCs/>
          <w:sz w:val="32"/>
          <w:szCs w:val="32"/>
        </w:rPr>
        <w:t>实现固定治超、源头治超、非现场治超无缝对接，形成治超网络，提升治超能力和效能。探索</w:t>
      </w:r>
      <w:r>
        <w:rPr>
          <w:rFonts w:eastAsia="方正仿宋_GBK"/>
          <w:b w:val="0"/>
          <w:bCs/>
          <w:sz w:val="32"/>
          <w:szCs w:val="32"/>
          <w:lang w:val="en"/>
        </w:rPr>
        <w:t>“</w:t>
      </w:r>
      <w:r>
        <w:rPr>
          <w:rFonts w:eastAsia="方正仿宋_GBK"/>
          <w:b w:val="0"/>
          <w:bCs/>
          <w:sz w:val="32"/>
          <w:szCs w:val="32"/>
        </w:rPr>
        <w:t>云上执法</w:t>
      </w:r>
      <w:r>
        <w:rPr>
          <w:rFonts w:eastAsia="方正仿宋_GBK"/>
          <w:b w:val="0"/>
          <w:bCs/>
          <w:sz w:val="32"/>
          <w:szCs w:val="32"/>
          <w:lang w:val="en"/>
        </w:rPr>
        <w:t>”</w:t>
      </w:r>
      <w:r>
        <w:rPr>
          <w:rFonts w:eastAsia="方正仿宋_GBK"/>
          <w:b w:val="0"/>
          <w:bCs/>
          <w:sz w:val="32"/>
          <w:szCs w:val="32"/>
        </w:rPr>
        <w:t>新模式，基于电子抓拍和物联网感知设备，对货运车辆的超重超限违法行为非现场执法，实现智慧执法。加强智慧运输管理，通过完善视频监控系统，建设客运、货运车辆感应终端，实现对出租</w:t>
      </w:r>
      <w:r>
        <w:rPr>
          <w:rFonts w:hint="eastAsia" w:eastAsia="方正仿宋_GBK"/>
          <w:b w:val="0"/>
          <w:bCs/>
          <w:sz w:val="32"/>
          <w:szCs w:val="32"/>
        </w:rPr>
        <w:t>汽</w:t>
      </w:r>
      <w:r>
        <w:rPr>
          <w:rFonts w:eastAsia="方正仿宋_GBK"/>
          <w:b w:val="0"/>
          <w:bCs/>
          <w:sz w:val="32"/>
          <w:szCs w:val="32"/>
        </w:rPr>
        <w:t>车、客运车辆、</w:t>
      </w:r>
      <w:r>
        <w:rPr>
          <w:rFonts w:hint="eastAsia" w:eastAsia="方正仿宋_GBK"/>
          <w:b w:val="0"/>
          <w:bCs/>
          <w:sz w:val="32"/>
          <w:szCs w:val="32"/>
        </w:rPr>
        <w:t>货运车辆</w:t>
      </w:r>
      <w:r>
        <w:rPr>
          <w:rFonts w:eastAsia="方正仿宋_GBK"/>
          <w:b w:val="0"/>
          <w:bCs/>
          <w:sz w:val="32"/>
          <w:szCs w:val="32"/>
        </w:rPr>
        <w:t>的全过程监控，形成集多种运输方式日常运行监测、运行指标分析、预测预警和突发事件应急处置为一体的平台，有效提升运输安全水平。</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仿宋_GBK"/>
          <w:b w:val="0"/>
          <w:bCs/>
          <w:sz w:val="32"/>
          <w:szCs w:val="32"/>
        </w:rPr>
      </w:pPr>
      <w:r>
        <w:rPr>
          <w:rFonts w:eastAsia="方正楷体_GBK"/>
          <w:b w:val="0"/>
          <w:bCs/>
          <w:sz w:val="32"/>
          <w:szCs w:val="32"/>
        </w:rPr>
        <w:t>打造交通工程智慧监管系统。</w:t>
      </w:r>
      <w:r>
        <w:rPr>
          <w:rFonts w:eastAsia="方正仿宋_GBK"/>
          <w:b w:val="0"/>
          <w:bCs/>
          <w:sz w:val="32"/>
          <w:szCs w:val="32"/>
        </w:rPr>
        <w:t>强化智慧养护监管，根据永川区公路养护段实际情况，定制开发养护管理系统，包含基础数据管理、日常养护管理、监督统计等功能，按照年报数据年度更新</w:t>
      </w:r>
      <w:r>
        <w:rPr>
          <w:rFonts w:hint="eastAsia" w:eastAsia="方正仿宋_GBK"/>
          <w:b w:val="0"/>
          <w:bCs/>
          <w:sz w:val="32"/>
          <w:szCs w:val="32"/>
        </w:rPr>
        <w:t>。</w:t>
      </w:r>
      <w:r>
        <w:rPr>
          <w:rFonts w:eastAsia="方正仿宋_GBK"/>
          <w:b w:val="0"/>
          <w:bCs/>
          <w:sz w:val="32"/>
          <w:szCs w:val="32"/>
        </w:rPr>
        <w:t>将管养线路纳入信息化管理，</w:t>
      </w:r>
      <w:r>
        <w:rPr>
          <w:rFonts w:hint="eastAsia" w:eastAsia="方正仿宋_GBK"/>
          <w:b w:val="0"/>
          <w:bCs/>
          <w:sz w:val="32"/>
          <w:szCs w:val="32"/>
        </w:rPr>
        <w:t>推动</w:t>
      </w:r>
      <w:r>
        <w:rPr>
          <w:rFonts w:eastAsia="方正仿宋_GBK"/>
          <w:b w:val="0"/>
          <w:bCs/>
          <w:sz w:val="32"/>
          <w:szCs w:val="32"/>
        </w:rPr>
        <w:t>养护巡查轨迹、线路实时上传，确保各种公路病害得到及时处置。强化智慧工程建设监管，围绕交通工程施工管理过程，实现安全生产监管、建设质量监管、建设污染监管、施工进度管理、施工人员管理等智能化技术管理</w:t>
      </w:r>
      <w:r>
        <w:rPr>
          <w:rFonts w:hint="eastAsia" w:eastAsia="方正仿宋_GBK"/>
          <w:b w:val="0"/>
          <w:bCs/>
          <w:sz w:val="32"/>
          <w:szCs w:val="32"/>
        </w:rPr>
        <w:t>，推动</w:t>
      </w:r>
      <w:r>
        <w:rPr>
          <w:rFonts w:eastAsia="方正仿宋_GBK"/>
          <w:b w:val="0"/>
          <w:bCs/>
          <w:sz w:val="32"/>
          <w:szCs w:val="32"/>
        </w:rPr>
        <w:t>交通工程质量安全监督各业务管理过程中数据采集、统计、分析和共享应用。</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96" w:type="dxa"/>
            <w:noWrap w:val="0"/>
            <w:vAlign w:val="top"/>
          </w:tcPr>
          <w:p>
            <w:pPr>
              <w:snapToGrid w:val="0"/>
              <w:spacing w:afterLines="0" w:line="276" w:lineRule="auto"/>
              <w:jc w:val="center"/>
              <w:rPr>
                <w:rFonts w:eastAsia="方正小标宋_GBK"/>
                <w:b w:val="0"/>
                <w:bCs/>
                <w:sz w:val="30"/>
                <w:szCs w:val="30"/>
              </w:rPr>
            </w:pPr>
            <w:r>
              <w:rPr>
                <w:rFonts w:eastAsia="方正小标宋_GBK"/>
                <w:b w:val="0"/>
                <w:bCs/>
                <w:sz w:val="28"/>
                <w:szCs w:val="30"/>
              </w:rPr>
              <w:t xml:space="preserve">专栏8 </w:t>
            </w:r>
            <w:r>
              <w:rPr>
                <w:rFonts w:eastAsia="方正小标宋_GBK"/>
                <w:b w:val="0"/>
                <w:bCs/>
                <w:sz w:val="28"/>
                <w:szCs w:val="30"/>
                <w:lang w:val="en"/>
              </w:rPr>
              <w:t>“</w:t>
            </w:r>
            <w:r>
              <w:rPr>
                <w:rFonts w:eastAsia="方正小标宋_GBK"/>
                <w:b w:val="0"/>
                <w:bCs/>
                <w:sz w:val="28"/>
                <w:szCs w:val="30"/>
              </w:rPr>
              <w:t>十四五</w:t>
            </w:r>
            <w:r>
              <w:rPr>
                <w:rFonts w:eastAsia="方正小标宋_GBK"/>
                <w:b w:val="0"/>
                <w:bCs/>
                <w:sz w:val="28"/>
                <w:szCs w:val="30"/>
                <w:lang w:val="en"/>
              </w:rPr>
              <w:t>”</w:t>
            </w:r>
            <w:r>
              <w:rPr>
                <w:rFonts w:eastAsia="方正小标宋_GBK"/>
                <w:b w:val="0"/>
                <w:bCs/>
                <w:sz w:val="28"/>
                <w:szCs w:val="30"/>
              </w:rPr>
              <w:t>智慧交通重点项目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3" w:hRule="atLeast"/>
          <w:jc w:val="center"/>
        </w:trPr>
        <w:tc>
          <w:tcPr>
            <w:tcW w:w="8296" w:type="dxa"/>
            <w:noWrap w:val="0"/>
            <w:vAlign w:val="top"/>
          </w:tcPr>
          <w:p>
            <w:pPr>
              <w:snapToGrid w:val="0"/>
              <w:spacing w:afterLines="0" w:line="276" w:lineRule="auto"/>
              <w:ind w:firstLine="560" w:firstLineChars="200"/>
              <w:rPr>
                <w:rFonts w:eastAsia="方正仿宋_GBK"/>
                <w:b w:val="0"/>
                <w:bCs/>
                <w:sz w:val="28"/>
                <w:szCs w:val="28"/>
              </w:rPr>
            </w:pPr>
            <w:r>
              <w:rPr>
                <w:rFonts w:eastAsia="方正楷体_GBK"/>
                <w:b w:val="0"/>
                <w:bCs/>
                <w:sz w:val="28"/>
                <w:szCs w:val="28"/>
              </w:rPr>
              <w:t>智慧交通感知系统：</w:t>
            </w:r>
            <w:r>
              <w:rPr>
                <w:rFonts w:eastAsia="方正仿宋_GBK"/>
                <w:b w:val="0"/>
                <w:bCs/>
                <w:sz w:val="28"/>
                <w:szCs w:val="28"/>
              </w:rPr>
              <w:t>建设成渝</w:t>
            </w:r>
            <w:r>
              <w:rPr>
                <w:rFonts w:hint="eastAsia" w:eastAsia="方正仿宋_GBK"/>
                <w:b w:val="0"/>
                <w:bCs/>
                <w:sz w:val="28"/>
                <w:szCs w:val="28"/>
              </w:rPr>
              <w:t>高速</w:t>
            </w:r>
            <w:r>
              <w:rPr>
                <w:rFonts w:eastAsia="方正仿宋_GBK"/>
                <w:b w:val="0"/>
                <w:bCs/>
                <w:sz w:val="28"/>
                <w:szCs w:val="28"/>
              </w:rPr>
              <w:t>智慧高速公路，积极推进长江智慧航道建设。</w:t>
            </w:r>
          </w:p>
          <w:p>
            <w:pPr>
              <w:snapToGrid w:val="0"/>
              <w:spacing w:afterLines="0" w:line="276" w:lineRule="auto"/>
              <w:ind w:firstLine="560" w:firstLineChars="200"/>
              <w:rPr>
                <w:rFonts w:eastAsia="方正仿宋_GBK"/>
                <w:b w:val="0"/>
                <w:bCs/>
                <w:sz w:val="28"/>
                <w:szCs w:val="28"/>
              </w:rPr>
            </w:pPr>
            <w:r>
              <w:rPr>
                <w:rFonts w:eastAsia="方正楷体_GBK"/>
                <w:b w:val="0"/>
                <w:bCs/>
                <w:sz w:val="28"/>
                <w:szCs w:val="28"/>
              </w:rPr>
              <w:t>智能化客货枢纽：</w:t>
            </w:r>
            <w:r>
              <w:rPr>
                <w:rFonts w:hint="eastAsia" w:eastAsia="方正仿宋_GBK"/>
                <w:b w:val="0"/>
                <w:bCs/>
                <w:sz w:val="28"/>
                <w:szCs w:val="28"/>
              </w:rPr>
              <w:t>建设</w:t>
            </w:r>
            <w:r>
              <w:rPr>
                <w:rFonts w:eastAsia="方正仿宋_GBK"/>
                <w:b w:val="0"/>
                <w:bCs/>
                <w:sz w:val="28"/>
                <w:szCs w:val="28"/>
              </w:rPr>
              <w:t>渝昆高铁</w:t>
            </w:r>
            <w:r>
              <w:rPr>
                <w:rFonts w:hint="eastAsia" w:eastAsia="方正仿宋_GBK"/>
                <w:b w:val="0"/>
                <w:bCs/>
                <w:sz w:val="28"/>
                <w:szCs w:val="28"/>
              </w:rPr>
              <w:t>永川</w:t>
            </w:r>
            <w:r>
              <w:rPr>
                <w:rFonts w:eastAsia="方正仿宋_GBK"/>
                <w:b w:val="0"/>
                <w:bCs/>
                <w:sz w:val="28"/>
                <w:szCs w:val="28"/>
              </w:rPr>
              <w:t>南站智慧</w:t>
            </w:r>
            <w:r>
              <w:rPr>
                <w:rFonts w:hint="eastAsia" w:eastAsia="方正仿宋_GBK"/>
                <w:b w:val="0"/>
                <w:bCs/>
                <w:sz w:val="28"/>
                <w:szCs w:val="28"/>
              </w:rPr>
              <w:t>客运枢纽</w:t>
            </w:r>
            <w:r>
              <w:rPr>
                <w:rFonts w:eastAsia="方正仿宋_GBK"/>
                <w:b w:val="0"/>
                <w:bCs/>
                <w:sz w:val="28"/>
                <w:szCs w:val="28"/>
              </w:rPr>
              <w:t>、永川城西智慧物流枢纽。</w:t>
            </w:r>
          </w:p>
          <w:p>
            <w:pPr>
              <w:snapToGrid w:val="0"/>
              <w:spacing w:afterLines="0" w:line="276" w:lineRule="auto"/>
              <w:ind w:firstLine="560" w:firstLineChars="200"/>
              <w:rPr>
                <w:rFonts w:eastAsia="方正仿宋_GBK"/>
                <w:b w:val="0"/>
                <w:bCs/>
                <w:sz w:val="28"/>
                <w:szCs w:val="28"/>
              </w:rPr>
            </w:pPr>
            <w:r>
              <w:rPr>
                <w:rFonts w:eastAsia="方正楷体_GBK"/>
                <w:b w:val="0"/>
                <w:bCs/>
                <w:sz w:val="28"/>
                <w:szCs w:val="28"/>
              </w:rPr>
              <w:t>智慧出行服务系统：</w:t>
            </w:r>
            <w:r>
              <w:rPr>
                <w:rFonts w:hint="eastAsia" w:eastAsia="方正仿宋_GBK"/>
                <w:b w:val="0"/>
                <w:bCs/>
                <w:sz w:val="28"/>
                <w:szCs w:val="28"/>
              </w:rPr>
              <w:t>依托</w:t>
            </w:r>
            <w:r>
              <w:rPr>
                <w:rFonts w:eastAsia="方正仿宋_GBK"/>
                <w:b w:val="0"/>
                <w:bCs/>
                <w:sz w:val="28"/>
                <w:szCs w:val="28"/>
              </w:rPr>
              <w:t>西部自动驾驶开放测试与示范应用基地</w:t>
            </w:r>
            <w:r>
              <w:rPr>
                <w:rFonts w:hint="eastAsia" w:eastAsia="方正仿宋_GBK"/>
                <w:b w:val="0"/>
                <w:bCs/>
                <w:sz w:val="28"/>
                <w:szCs w:val="28"/>
              </w:rPr>
              <w:t>，逐步投放无人驾驶公交车、出租车，持续新增自动驾驶开放测试线路。</w:t>
            </w:r>
            <w:r>
              <w:rPr>
                <w:rFonts w:eastAsia="方正仿宋_GBK"/>
                <w:b w:val="0"/>
                <w:bCs/>
                <w:sz w:val="28"/>
                <w:szCs w:val="28"/>
              </w:rPr>
              <w:t>建设智慧公共交通出行服务体系。</w:t>
            </w:r>
          </w:p>
          <w:p>
            <w:pPr>
              <w:snapToGrid w:val="0"/>
              <w:spacing w:afterLines="0" w:line="276" w:lineRule="auto"/>
              <w:ind w:firstLine="560" w:firstLineChars="200"/>
              <w:rPr>
                <w:rFonts w:eastAsia="方正仿宋_GBK"/>
                <w:b w:val="0"/>
                <w:bCs/>
                <w:sz w:val="28"/>
                <w:szCs w:val="28"/>
              </w:rPr>
            </w:pPr>
            <w:r>
              <w:rPr>
                <w:rFonts w:eastAsia="方正楷体_GBK"/>
                <w:b w:val="0"/>
                <w:bCs/>
                <w:sz w:val="28"/>
                <w:szCs w:val="28"/>
              </w:rPr>
              <w:t>智慧交通信息平台：</w:t>
            </w:r>
            <w:r>
              <w:rPr>
                <w:rFonts w:eastAsia="方正仿宋_GBK"/>
                <w:b w:val="0"/>
                <w:bCs/>
                <w:sz w:val="28"/>
                <w:szCs w:val="28"/>
              </w:rPr>
              <w:t>建设综合交通运输大数据资源中心、交通运输数据资源开放共享平台。</w:t>
            </w:r>
          </w:p>
          <w:p>
            <w:pPr>
              <w:snapToGrid w:val="0"/>
              <w:spacing w:afterLines="0" w:line="276" w:lineRule="auto"/>
              <w:ind w:firstLine="560" w:firstLineChars="200"/>
              <w:rPr>
                <w:rFonts w:eastAsia="方正仿宋_GBK"/>
                <w:b w:val="0"/>
                <w:bCs/>
                <w:sz w:val="28"/>
                <w:szCs w:val="28"/>
              </w:rPr>
            </w:pPr>
            <w:r>
              <w:rPr>
                <w:rFonts w:eastAsia="方正楷体_GBK"/>
                <w:b w:val="0"/>
                <w:bCs/>
                <w:sz w:val="28"/>
                <w:szCs w:val="28"/>
              </w:rPr>
              <w:t>交通工程智慧监管系统：</w:t>
            </w:r>
            <w:r>
              <w:rPr>
                <w:rFonts w:hint="eastAsia" w:eastAsia="方正仿宋_GBK"/>
                <w:b w:val="0"/>
                <w:bCs/>
                <w:sz w:val="28"/>
                <w:szCs w:val="28"/>
              </w:rPr>
              <w:t>建设</w:t>
            </w:r>
            <w:r>
              <w:rPr>
                <w:rFonts w:eastAsia="方正仿宋_GBK"/>
                <w:b w:val="0"/>
                <w:bCs/>
                <w:sz w:val="28"/>
                <w:szCs w:val="28"/>
              </w:rPr>
              <w:t>养护管理系统、工程建设监管系统。</w:t>
            </w:r>
          </w:p>
        </w:tc>
      </w:tr>
    </w:tbl>
    <w:p>
      <w:pPr>
        <w:keepNext w:val="0"/>
        <w:keepLines w:val="0"/>
        <w:pageBreakBefore w:val="0"/>
        <w:widowControl w:val="0"/>
        <w:kinsoku/>
        <w:wordWrap/>
        <w:overflowPunct/>
        <w:topLinePunct w:val="0"/>
        <w:autoSpaceDE/>
        <w:autoSpaceDN/>
        <w:bidi w:val="0"/>
        <w:adjustRightInd w:val="0"/>
        <w:snapToGrid w:val="0"/>
        <w:spacing w:before="0" w:after="0" w:afterLines="0" w:line="276" w:lineRule="auto"/>
        <w:ind w:firstLine="640" w:firstLineChars="200"/>
        <w:textAlignment w:val="auto"/>
        <w:rPr>
          <w:rFonts w:hint="eastAsia" w:ascii="Times New Roman" w:hAnsi="Times New Roman" w:eastAsia="方正仿宋_GBK" w:cs="Times New Roman"/>
          <w:b w:val="0"/>
          <w:bCs/>
          <w:sz w:val="32"/>
          <w:szCs w:val="32"/>
        </w:rPr>
      </w:pPr>
      <w:bookmarkStart w:id="196" w:name="_Toc15012"/>
    </w:p>
    <w:p>
      <w:pPr>
        <w:pStyle w:val="18"/>
        <w:keepNext w:val="0"/>
        <w:keepLines w:val="0"/>
        <w:pageBreakBefore w:val="0"/>
        <w:widowControl w:val="0"/>
        <w:kinsoku/>
        <w:wordWrap/>
        <w:overflowPunct/>
        <w:topLinePunct w:val="0"/>
        <w:autoSpaceDE/>
        <w:autoSpaceDN/>
        <w:bidi w:val="0"/>
        <w:adjustRightInd w:val="0"/>
        <w:snapToGrid w:val="0"/>
        <w:spacing w:before="0" w:after="0" w:afterLines="0" w:line="276" w:lineRule="auto"/>
        <w:textAlignment w:val="auto"/>
        <w:rPr>
          <w:rFonts w:ascii="Times New Roman" w:hAnsi="Times New Roman" w:eastAsia="方正黑体_GBK"/>
          <w:b w:val="0"/>
          <w:sz w:val="32"/>
          <w:szCs w:val="32"/>
        </w:rPr>
      </w:pPr>
      <w:bookmarkStart w:id="197" w:name="_Toc1720132540"/>
      <w:bookmarkStart w:id="198" w:name="_Toc669696242_WPSOffice_Level1"/>
      <w:bookmarkStart w:id="199" w:name="_Toc1447985291"/>
      <w:r>
        <w:rPr>
          <w:rFonts w:ascii="Times New Roman" w:hAnsi="Times New Roman" w:eastAsia="方正黑体_GBK"/>
          <w:b w:val="0"/>
          <w:bCs/>
          <w:sz w:val="32"/>
          <w:szCs w:val="32"/>
        </w:rPr>
        <w:t xml:space="preserve">第十章 </w:t>
      </w:r>
      <w:r>
        <w:rPr>
          <w:rFonts w:hint="eastAsia" w:ascii="Times New Roman" w:hAnsi="Times New Roman" w:eastAsia="方正黑体_GBK"/>
          <w:b w:val="0"/>
          <w:bCs/>
          <w:sz w:val="32"/>
          <w:szCs w:val="32"/>
          <w:lang w:val="en-US" w:eastAsia="zh-CN"/>
        </w:rPr>
        <w:t xml:space="preserve"> </w:t>
      </w:r>
      <w:r>
        <w:rPr>
          <w:rFonts w:ascii="Times New Roman" w:hAnsi="Times New Roman" w:eastAsia="方正黑体_GBK"/>
          <w:b w:val="0"/>
          <w:bCs/>
          <w:sz w:val="32"/>
          <w:szCs w:val="32"/>
        </w:rPr>
        <w:t>着眼持续发展，构建安全绿色保障体系</w:t>
      </w:r>
      <w:bookmarkEnd w:id="196"/>
      <w:bookmarkEnd w:id="197"/>
      <w:bookmarkEnd w:id="198"/>
      <w:bookmarkEnd w:id="199"/>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hint="eastAsia" w:eastAsia="方正仿宋_GBK"/>
          <w:b w:val="0"/>
          <w:bCs/>
          <w:sz w:val="32"/>
          <w:szCs w:val="32"/>
        </w:rPr>
      </w:pP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仿宋_GBK"/>
          <w:b w:val="0"/>
          <w:bCs/>
          <w:sz w:val="32"/>
          <w:szCs w:val="32"/>
        </w:rPr>
      </w:pPr>
      <w:r>
        <w:rPr>
          <w:rFonts w:hint="eastAsia" w:eastAsia="方正仿宋_GBK"/>
          <w:b w:val="0"/>
          <w:bCs/>
          <w:sz w:val="32"/>
          <w:szCs w:val="32"/>
        </w:rPr>
        <w:t>统筹发展和安全，大力发展平安交通，</w:t>
      </w:r>
      <w:r>
        <w:rPr>
          <w:rFonts w:eastAsia="方正仿宋_GBK"/>
          <w:b w:val="0"/>
          <w:bCs/>
          <w:sz w:val="32"/>
          <w:szCs w:val="32"/>
        </w:rPr>
        <w:t>有力提升交通保障能力</w:t>
      </w:r>
      <w:r>
        <w:rPr>
          <w:rFonts w:hint="eastAsia" w:eastAsia="方正仿宋_GBK"/>
          <w:b w:val="0"/>
          <w:bCs/>
          <w:sz w:val="32"/>
          <w:szCs w:val="32"/>
        </w:rPr>
        <w:t>。聚焦碳达峰、碳中和，积极</w:t>
      </w:r>
      <w:r>
        <w:rPr>
          <w:rFonts w:eastAsia="方正仿宋_GBK"/>
          <w:b w:val="0"/>
          <w:bCs/>
          <w:sz w:val="32"/>
          <w:szCs w:val="32"/>
        </w:rPr>
        <w:t>践行绿水青山就是金山银山理念，</w:t>
      </w:r>
      <w:r>
        <w:rPr>
          <w:rFonts w:hint="eastAsia" w:eastAsia="方正仿宋_GBK"/>
          <w:b w:val="0"/>
          <w:bCs/>
          <w:sz w:val="32"/>
          <w:szCs w:val="32"/>
        </w:rPr>
        <w:t>大力发展绿色交通，</w:t>
      </w:r>
      <w:r>
        <w:rPr>
          <w:rFonts w:eastAsia="方正仿宋_GBK"/>
          <w:b w:val="0"/>
          <w:bCs/>
          <w:sz w:val="32"/>
          <w:szCs w:val="32"/>
        </w:rPr>
        <w:t>有力提升交通</w:t>
      </w:r>
      <w:r>
        <w:rPr>
          <w:rFonts w:hint="eastAsia" w:eastAsia="方正仿宋_GBK"/>
          <w:b w:val="0"/>
          <w:bCs/>
          <w:sz w:val="32"/>
          <w:szCs w:val="32"/>
        </w:rPr>
        <w:t>可持续发展</w:t>
      </w:r>
      <w:r>
        <w:rPr>
          <w:rFonts w:eastAsia="方正仿宋_GBK"/>
          <w:b w:val="0"/>
          <w:bCs/>
          <w:sz w:val="32"/>
          <w:szCs w:val="32"/>
        </w:rPr>
        <w:t>能力。</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仿宋_GBK"/>
          <w:b w:val="0"/>
          <w:bCs/>
          <w:sz w:val="32"/>
          <w:szCs w:val="32"/>
        </w:rPr>
      </w:pPr>
    </w:p>
    <w:p>
      <w:pPr>
        <w:pStyle w:val="16"/>
        <w:keepNext w:val="0"/>
        <w:keepLines w:val="0"/>
        <w:pageBreakBefore w:val="0"/>
        <w:widowControl w:val="0"/>
        <w:kinsoku/>
        <w:wordWrap/>
        <w:overflowPunct/>
        <w:topLinePunct w:val="0"/>
        <w:autoSpaceDE/>
        <w:autoSpaceDN/>
        <w:bidi w:val="0"/>
        <w:adjustRightInd w:val="0"/>
        <w:snapToGrid w:val="0"/>
        <w:spacing w:before="0" w:after="0" w:afterLines="0" w:line="276" w:lineRule="auto"/>
        <w:textAlignment w:val="auto"/>
        <w:rPr>
          <w:rFonts w:hint="eastAsia" w:ascii="方正楷体_GBK" w:hAnsi="方正楷体_GBK" w:eastAsia="方正楷体_GBK" w:cs="方正楷体_GBK"/>
          <w:b w:val="0"/>
          <w:bCs/>
          <w:kern w:val="2"/>
          <w:sz w:val="32"/>
          <w:szCs w:val="32"/>
        </w:rPr>
      </w:pPr>
      <w:bookmarkStart w:id="200" w:name="_Toc287230728"/>
      <w:bookmarkStart w:id="201" w:name="_Toc325900221_WPSOffice_Level2"/>
      <w:bookmarkStart w:id="202" w:name="_Toc13439"/>
      <w:bookmarkStart w:id="203" w:name="_Toc922404028"/>
      <w:r>
        <w:rPr>
          <w:rFonts w:hint="eastAsia" w:ascii="方正楷体_GBK" w:hAnsi="方正楷体_GBK" w:eastAsia="方正楷体_GBK" w:cs="方正楷体_GBK"/>
          <w:b w:val="0"/>
          <w:bCs/>
          <w:kern w:val="2"/>
          <w:sz w:val="32"/>
          <w:szCs w:val="32"/>
        </w:rPr>
        <w:t>第一节</w:t>
      </w:r>
      <w:r>
        <w:rPr>
          <w:rFonts w:hint="default" w:ascii="方正楷体_GBK" w:hAnsi="方正楷体_GBK" w:eastAsia="方正楷体_GBK" w:cs="方正楷体_GBK"/>
          <w:b w:val="0"/>
          <w:bCs/>
          <w:kern w:val="2"/>
          <w:sz w:val="32"/>
          <w:szCs w:val="32"/>
          <w:lang w:val="en"/>
        </w:rPr>
        <w:t xml:space="preserve"> </w:t>
      </w:r>
      <w:r>
        <w:rPr>
          <w:rFonts w:hint="eastAsia" w:ascii="方正楷体_GBK" w:hAnsi="方正楷体_GBK" w:eastAsia="方正楷体_GBK" w:cs="方正楷体_GBK"/>
          <w:b w:val="0"/>
          <w:bCs/>
          <w:kern w:val="2"/>
          <w:sz w:val="32"/>
          <w:szCs w:val="32"/>
        </w:rPr>
        <w:t xml:space="preserve"> 建设安全可靠的平安交通</w:t>
      </w:r>
      <w:bookmarkEnd w:id="200"/>
      <w:bookmarkEnd w:id="201"/>
      <w:bookmarkEnd w:id="202"/>
      <w:bookmarkEnd w:id="203"/>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楷体_GBK"/>
          <w:b w:val="0"/>
          <w:bCs/>
          <w:sz w:val="32"/>
          <w:szCs w:val="32"/>
        </w:rPr>
      </w:pP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仿宋_GBK"/>
          <w:b w:val="0"/>
          <w:bCs/>
          <w:sz w:val="32"/>
          <w:szCs w:val="32"/>
        </w:rPr>
      </w:pPr>
      <w:r>
        <w:rPr>
          <w:rFonts w:eastAsia="方正楷体_GBK"/>
          <w:b w:val="0"/>
          <w:bCs/>
          <w:sz w:val="32"/>
          <w:szCs w:val="32"/>
        </w:rPr>
        <w:t>强化交通安全基础设施维护。</w:t>
      </w:r>
      <w:r>
        <w:rPr>
          <w:rFonts w:eastAsia="方正仿宋_GBK"/>
          <w:b w:val="0"/>
          <w:bCs/>
          <w:sz w:val="32"/>
          <w:szCs w:val="32"/>
        </w:rPr>
        <w:t>加快公路安保工程建设，规划建设双石、何埂2处应急救援基地，双石、何埂、双竹、沙湾、宝峰、永泸等6座养护站房及服务区，规划实施公路安防设施工程1000公里，危桥改造</w:t>
      </w:r>
      <w:r>
        <w:rPr>
          <w:rFonts w:hint="eastAsia" w:eastAsia="方正仿宋_GBK"/>
          <w:b w:val="0"/>
          <w:bCs/>
          <w:sz w:val="32"/>
          <w:szCs w:val="32"/>
        </w:rPr>
        <w:t>25</w:t>
      </w:r>
      <w:r>
        <w:rPr>
          <w:rFonts w:eastAsia="方正仿宋_GBK"/>
          <w:b w:val="0"/>
          <w:bCs/>
          <w:sz w:val="32"/>
          <w:szCs w:val="32"/>
        </w:rPr>
        <w:t>座，治理公路灾害点400处，乡道及以上公路安全隐患计划完成率100%。</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仿宋_GBK"/>
          <w:b w:val="0"/>
          <w:bCs/>
          <w:sz w:val="32"/>
          <w:szCs w:val="32"/>
        </w:rPr>
      </w:pPr>
      <w:r>
        <w:rPr>
          <w:rFonts w:eastAsia="方正楷体_GBK"/>
          <w:b w:val="0"/>
          <w:bCs/>
          <w:sz w:val="32"/>
          <w:szCs w:val="32"/>
        </w:rPr>
        <w:t>强化交通安全监管机制。</w:t>
      </w:r>
      <w:r>
        <w:rPr>
          <w:rFonts w:eastAsia="方正仿宋_GBK"/>
          <w:b w:val="0"/>
          <w:bCs/>
          <w:sz w:val="32"/>
          <w:szCs w:val="32"/>
        </w:rPr>
        <w:t>加强交通安全监管，实现城市公共交通与</w:t>
      </w:r>
      <w:r>
        <w:rPr>
          <w:rFonts w:eastAsia="方正仿宋_GBK"/>
          <w:b w:val="0"/>
          <w:bCs/>
          <w:sz w:val="32"/>
          <w:szCs w:val="32"/>
          <w:lang w:val="en"/>
        </w:rPr>
        <w:t>“</w:t>
      </w:r>
      <w:r>
        <w:rPr>
          <w:rFonts w:eastAsia="方正仿宋_GBK"/>
          <w:b w:val="0"/>
          <w:bCs/>
          <w:sz w:val="32"/>
          <w:szCs w:val="32"/>
        </w:rPr>
        <w:t>两客一危</w:t>
      </w:r>
      <w:r>
        <w:rPr>
          <w:rFonts w:eastAsia="方正仿宋_GBK"/>
          <w:b w:val="0"/>
          <w:bCs/>
          <w:sz w:val="32"/>
          <w:szCs w:val="32"/>
          <w:lang w:val="en"/>
        </w:rPr>
        <w:t>”</w:t>
      </w:r>
      <w:r>
        <w:rPr>
          <w:rFonts w:eastAsia="方正仿宋_GBK"/>
          <w:b w:val="0"/>
          <w:bCs/>
          <w:sz w:val="32"/>
          <w:szCs w:val="32"/>
        </w:rPr>
        <w:t>车辆、12吨以上普通货车GPS或北斗安装率100%，重点运输车辆和枢纽站场视频监测覆盖率达到100%。持续落实</w:t>
      </w:r>
      <w:r>
        <w:rPr>
          <w:rFonts w:eastAsia="方正仿宋_GBK"/>
          <w:b w:val="0"/>
          <w:bCs/>
          <w:sz w:val="32"/>
          <w:szCs w:val="32"/>
          <w:lang w:val="en"/>
        </w:rPr>
        <w:t>“</w:t>
      </w:r>
      <w:r>
        <w:rPr>
          <w:rFonts w:eastAsia="方正仿宋_GBK"/>
          <w:b w:val="0"/>
          <w:bCs/>
          <w:sz w:val="32"/>
          <w:szCs w:val="32"/>
        </w:rPr>
        <w:t>一岗双责</w:t>
      </w:r>
      <w:r>
        <w:rPr>
          <w:rFonts w:eastAsia="方正仿宋_GBK"/>
          <w:b w:val="0"/>
          <w:bCs/>
          <w:sz w:val="32"/>
          <w:szCs w:val="32"/>
          <w:lang w:val="en"/>
        </w:rPr>
        <w:t>”</w:t>
      </w:r>
      <w:r>
        <w:rPr>
          <w:rFonts w:eastAsia="方正仿宋_GBK"/>
          <w:b w:val="0"/>
          <w:bCs/>
          <w:sz w:val="32"/>
          <w:szCs w:val="32"/>
        </w:rPr>
        <w:t>，规范履职行为，研究建立考核评价、尽职免责和问责机制。加大市场监督力度，积极开展企业主体责任评估和整改升级工作，提升企业安全管理规范化水平。启动交通运输企业安全生产标准化建设工作，制定实施方案，建立月进度报告、定期通报、检查督导和责任追究等制度，强力推进标准化建设。</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仿宋_GBK"/>
          <w:b w:val="0"/>
          <w:bCs/>
          <w:sz w:val="32"/>
          <w:szCs w:val="32"/>
        </w:rPr>
      </w:pPr>
      <w:r>
        <w:rPr>
          <w:rFonts w:eastAsia="方正楷体_GBK"/>
          <w:b w:val="0"/>
          <w:bCs/>
          <w:sz w:val="32"/>
          <w:szCs w:val="32"/>
        </w:rPr>
        <w:t>强化交通安全应急保障。</w:t>
      </w:r>
      <w:r>
        <w:rPr>
          <w:rFonts w:eastAsia="方正仿宋_GBK"/>
          <w:b w:val="0"/>
          <w:bCs/>
          <w:sz w:val="32"/>
          <w:szCs w:val="32"/>
        </w:rPr>
        <w:t>进一步完善应急管理制度，高速公路、普通干线公路应急救援响应时间不超过</w:t>
      </w:r>
      <w:r>
        <w:rPr>
          <w:rFonts w:hint="eastAsia" w:eastAsia="方正仿宋_GBK"/>
          <w:b w:val="0"/>
          <w:bCs/>
          <w:sz w:val="32"/>
          <w:szCs w:val="32"/>
        </w:rPr>
        <w:t>30分钟</w:t>
      </w:r>
      <w:r>
        <w:rPr>
          <w:rFonts w:eastAsia="方正仿宋_GBK"/>
          <w:b w:val="0"/>
          <w:bCs/>
          <w:sz w:val="32"/>
          <w:szCs w:val="32"/>
        </w:rPr>
        <w:t>。持续完善公路应急抢险物资储备，加强应急管理，发挥公路应急抢险中心和抢险队联动作用，充分发挥水上应急救援基地的作用，提升水上应急救援能力。加强渡口安全管理，实现</w:t>
      </w:r>
      <w:r>
        <w:rPr>
          <w:rFonts w:hint="eastAsia" w:eastAsia="方正仿宋_GBK"/>
          <w:b w:val="0"/>
          <w:bCs/>
          <w:sz w:val="32"/>
          <w:szCs w:val="32"/>
          <w:lang w:eastAsia="zh-CN"/>
        </w:rPr>
        <w:t>渡口</w:t>
      </w:r>
      <w:r>
        <w:rPr>
          <w:rFonts w:eastAsia="方正仿宋_GBK"/>
          <w:b w:val="0"/>
          <w:bCs/>
          <w:sz w:val="32"/>
          <w:szCs w:val="32"/>
        </w:rPr>
        <w:t>安全隐患整治、船舶安全运行监管和渡运值班值守管理，保障渡运安全。</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仿宋_GBK"/>
          <w:b w:val="0"/>
          <w:bCs/>
          <w:sz w:val="32"/>
          <w:szCs w:val="32"/>
        </w:rPr>
      </w:pPr>
    </w:p>
    <w:p>
      <w:pPr>
        <w:pStyle w:val="16"/>
        <w:keepNext w:val="0"/>
        <w:keepLines w:val="0"/>
        <w:pageBreakBefore w:val="0"/>
        <w:widowControl w:val="0"/>
        <w:kinsoku/>
        <w:wordWrap/>
        <w:overflowPunct/>
        <w:topLinePunct w:val="0"/>
        <w:autoSpaceDE/>
        <w:autoSpaceDN/>
        <w:bidi w:val="0"/>
        <w:adjustRightInd w:val="0"/>
        <w:snapToGrid w:val="0"/>
        <w:spacing w:before="0" w:after="0" w:afterLines="0" w:line="276" w:lineRule="auto"/>
        <w:textAlignment w:val="auto"/>
        <w:rPr>
          <w:rFonts w:hint="eastAsia" w:ascii="方正楷体_GBK" w:hAnsi="方正楷体_GBK" w:eastAsia="方正楷体_GBK" w:cs="方正楷体_GBK"/>
          <w:b w:val="0"/>
          <w:bCs/>
          <w:kern w:val="2"/>
          <w:sz w:val="32"/>
          <w:szCs w:val="32"/>
        </w:rPr>
      </w:pPr>
      <w:bookmarkStart w:id="204" w:name="_Toc21733"/>
      <w:bookmarkStart w:id="205" w:name="_Toc1698758665"/>
      <w:bookmarkStart w:id="206" w:name="_Toc1966895792_WPSOffice_Level2"/>
      <w:bookmarkStart w:id="207" w:name="_Toc1431607086"/>
      <w:r>
        <w:rPr>
          <w:rFonts w:hint="eastAsia" w:ascii="方正楷体_GBK" w:hAnsi="方正楷体_GBK" w:eastAsia="方正楷体_GBK" w:cs="方正楷体_GBK"/>
          <w:b w:val="0"/>
          <w:bCs/>
          <w:kern w:val="2"/>
          <w:sz w:val="32"/>
          <w:szCs w:val="32"/>
        </w:rPr>
        <w:t>第二节 建设节能环保的绿色交通</w:t>
      </w:r>
      <w:bookmarkEnd w:id="204"/>
      <w:bookmarkEnd w:id="205"/>
      <w:bookmarkEnd w:id="206"/>
      <w:bookmarkEnd w:id="207"/>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楷体_GBK"/>
          <w:b w:val="0"/>
          <w:bCs/>
          <w:sz w:val="32"/>
          <w:szCs w:val="32"/>
        </w:rPr>
      </w:pP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仿宋_GBK"/>
          <w:b w:val="0"/>
          <w:bCs/>
          <w:sz w:val="32"/>
          <w:szCs w:val="32"/>
        </w:rPr>
      </w:pPr>
      <w:r>
        <w:rPr>
          <w:rFonts w:eastAsia="方正楷体_GBK"/>
          <w:b w:val="0"/>
          <w:bCs/>
          <w:sz w:val="32"/>
          <w:szCs w:val="32"/>
        </w:rPr>
        <w:t>推动建设生态绿色的基础设施。</w:t>
      </w:r>
      <w:r>
        <w:rPr>
          <w:rFonts w:eastAsia="方正仿宋_GBK"/>
          <w:b w:val="0"/>
          <w:bCs/>
          <w:sz w:val="32"/>
          <w:szCs w:val="32"/>
        </w:rPr>
        <w:t>坚持将生态优先、绿色发展理念融入交通基础设施设计、建设、运营和养护全过程，持续推动建设</w:t>
      </w:r>
      <w:r>
        <w:rPr>
          <w:rFonts w:eastAsia="方正仿宋_GBK"/>
          <w:b w:val="0"/>
          <w:bCs/>
          <w:sz w:val="32"/>
          <w:szCs w:val="32"/>
          <w:lang w:val="en"/>
        </w:rPr>
        <w:t>“</w:t>
      </w:r>
      <w:r>
        <w:rPr>
          <w:rFonts w:eastAsia="方正仿宋_GBK"/>
          <w:b w:val="0"/>
          <w:bCs/>
          <w:sz w:val="32"/>
          <w:szCs w:val="32"/>
        </w:rPr>
        <w:t>绿色公路</w:t>
      </w:r>
      <w:r>
        <w:rPr>
          <w:rFonts w:eastAsia="方正仿宋_GBK"/>
          <w:b w:val="0"/>
          <w:bCs/>
          <w:sz w:val="32"/>
          <w:szCs w:val="32"/>
          <w:lang w:val="en"/>
        </w:rPr>
        <w:t>”“</w:t>
      </w:r>
      <w:r>
        <w:rPr>
          <w:rFonts w:eastAsia="方正仿宋_GBK"/>
          <w:b w:val="0"/>
          <w:bCs/>
          <w:sz w:val="32"/>
          <w:szCs w:val="32"/>
        </w:rPr>
        <w:t>绿色航运</w:t>
      </w:r>
      <w:r>
        <w:rPr>
          <w:rFonts w:eastAsia="方正仿宋_GBK"/>
          <w:b w:val="0"/>
          <w:bCs/>
          <w:sz w:val="32"/>
          <w:szCs w:val="32"/>
          <w:lang w:val="en"/>
        </w:rPr>
        <w:t>”</w:t>
      </w:r>
      <w:r>
        <w:rPr>
          <w:rFonts w:eastAsia="方正仿宋_GBK"/>
          <w:b w:val="0"/>
          <w:bCs/>
          <w:sz w:val="32"/>
          <w:szCs w:val="32"/>
        </w:rPr>
        <w:t>。以国省道和航道为依托，打造公路绿色景观走廊，重点推动建设</w:t>
      </w:r>
      <w:r>
        <w:rPr>
          <w:rFonts w:eastAsia="方正仿宋_GBK"/>
          <w:b w:val="0"/>
          <w:bCs/>
          <w:sz w:val="32"/>
          <w:szCs w:val="32"/>
          <w:lang w:val="en"/>
        </w:rPr>
        <w:t>“</w:t>
      </w:r>
      <w:r>
        <w:rPr>
          <w:rFonts w:eastAsia="方正仿宋_GBK"/>
          <w:b w:val="0"/>
          <w:bCs/>
          <w:sz w:val="32"/>
          <w:szCs w:val="32"/>
        </w:rPr>
        <w:t>美丽公路</w:t>
      </w:r>
      <w:r>
        <w:rPr>
          <w:rFonts w:eastAsia="方正仿宋_GBK"/>
          <w:b w:val="0"/>
          <w:bCs/>
          <w:sz w:val="32"/>
          <w:szCs w:val="32"/>
          <w:lang w:val="en"/>
        </w:rPr>
        <w:t>”“</w:t>
      </w:r>
      <w:r>
        <w:rPr>
          <w:rFonts w:eastAsia="方正仿宋_GBK"/>
          <w:b w:val="0"/>
          <w:bCs/>
          <w:sz w:val="32"/>
          <w:szCs w:val="32"/>
        </w:rPr>
        <w:t>美丽航道</w:t>
      </w:r>
      <w:r>
        <w:rPr>
          <w:rFonts w:eastAsia="方正仿宋_GBK"/>
          <w:b w:val="0"/>
          <w:bCs/>
          <w:sz w:val="32"/>
          <w:szCs w:val="32"/>
          <w:lang w:val="en"/>
        </w:rPr>
        <w:t>”</w:t>
      </w:r>
      <w:r>
        <w:rPr>
          <w:rFonts w:eastAsia="方正仿宋_GBK"/>
          <w:b w:val="0"/>
          <w:bCs/>
          <w:sz w:val="32"/>
          <w:szCs w:val="32"/>
        </w:rPr>
        <w:t>。重视科技创新在绿色公路建设的驱动与支撑作用，积极探索新能源、新材料、新装备和新工艺，大力推广以废旧橡胶为代表的大宗工业固体废物和隧道洞渣等废旧材料再生循环利用技术、建筑信息模型（BIM）新技术、隧道节能照明和太阳能光伏发电等节能技术。</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仿宋_GBK"/>
          <w:b w:val="0"/>
          <w:bCs/>
          <w:sz w:val="32"/>
          <w:szCs w:val="32"/>
        </w:rPr>
      </w:pPr>
      <w:r>
        <w:rPr>
          <w:rFonts w:eastAsia="方正楷体_GBK"/>
          <w:b w:val="0"/>
          <w:bCs/>
          <w:sz w:val="32"/>
          <w:szCs w:val="32"/>
        </w:rPr>
        <w:t>推广绿色清洁的运输装备。</w:t>
      </w:r>
      <w:r>
        <w:rPr>
          <w:rFonts w:eastAsia="方正仿宋_GBK"/>
          <w:b w:val="0"/>
          <w:bCs/>
          <w:sz w:val="32"/>
          <w:szCs w:val="32"/>
        </w:rPr>
        <w:t>继续推广纯电动客车在交通运输装备中的应用，加快区内充电桩的布局规划建设。鼓励开展一批燃料电池货车示范运营，优化承担物流配送的城市新能源车辆的便利通行政策。推广使用电、LNG等新能源或清洁能源船舶。</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仿宋_GBK"/>
          <w:b w:val="0"/>
          <w:bCs/>
          <w:sz w:val="32"/>
          <w:szCs w:val="32"/>
        </w:rPr>
      </w:pPr>
      <w:r>
        <w:rPr>
          <w:rFonts w:eastAsia="方正楷体_GBK"/>
          <w:b w:val="0"/>
          <w:bCs/>
          <w:sz w:val="32"/>
          <w:szCs w:val="32"/>
        </w:rPr>
        <w:t>持续巩固环境污染综合防治。</w:t>
      </w:r>
      <w:r>
        <w:rPr>
          <w:rFonts w:eastAsia="方正仿宋_GBK"/>
          <w:b w:val="0"/>
          <w:bCs/>
          <w:sz w:val="32"/>
          <w:szCs w:val="32"/>
        </w:rPr>
        <w:t>推动船舶污染防治，严格执行船舶强制报废制度，限制高排放船舶使用，强化船舶大气污染监测和执法能力建设，加强船舶噪声污染控制。推动规划建设船舶污染物接收设施，推动船舶垃圾收集上岸集中处理。开展交通路域环境污染治理、营运车辆污染治理，严格实施国家机动车油耗和排放标准，加快推动安装机动车尾气遥感监测设施。</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仿宋_GBK"/>
          <w:b w:val="0"/>
          <w:bCs/>
          <w:sz w:val="32"/>
          <w:szCs w:val="32"/>
        </w:rPr>
      </w:pPr>
      <w:r>
        <w:rPr>
          <w:rFonts w:eastAsia="方正楷体_GBK"/>
          <w:b w:val="0"/>
          <w:bCs/>
          <w:sz w:val="32"/>
          <w:szCs w:val="32"/>
        </w:rPr>
        <w:t>强化资源集约利用。</w:t>
      </w:r>
      <w:r>
        <w:rPr>
          <w:rFonts w:hint="eastAsia" w:eastAsia="方正仿宋_GBK"/>
          <w:b w:val="0"/>
          <w:bCs/>
          <w:sz w:val="32"/>
          <w:szCs w:val="32"/>
        </w:rPr>
        <w:t>统筹铁路、公路和城市交通通道线位、桥位等资源，推动通道资源融合利用。对改扩建和升级改造的交通项目，尽可能利用既有走廊，提高通道利用效率。加大交通基础设施建设中废弃资源综合利用力度，推动废旧路面、沥青、疏浚土等材料和建筑垃圾的资源化利用。在公路建设中推动沥青冷（热）再生、水泥路面破碎再生技术，努力实现路面旧料</w:t>
      </w:r>
      <w:r>
        <w:rPr>
          <w:rFonts w:hint="default" w:eastAsia="方正仿宋_GBK"/>
          <w:b w:val="0"/>
          <w:bCs/>
          <w:sz w:val="32"/>
          <w:szCs w:val="32"/>
          <w:lang w:val="en"/>
        </w:rPr>
        <w:t>“</w:t>
      </w:r>
      <w:r>
        <w:rPr>
          <w:rFonts w:hint="eastAsia" w:eastAsia="方正仿宋_GBK"/>
          <w:b w:val="0"/>
          <w:bCs/>
          <w:sz w:val="32"/>
          <w:szCs w:val="32"/>
        </w:rPr>
        <w:t>零废弃</w:t>
      </w:r>
      <w:r>
        <w:rPr>
          <w:rFonts w:hint="default" w:eastAsia="方正仿宋_GBK"/>
          <w:b w:val="0"/>
          <w:bCs/>
          <w:sz w:val="32"/>
          <w:szCs w:val="32"/>
          <w:lang w:val="en"/>
        </w:rPr>
        <w:t>”</w:t>
      </w:r>
      <w:r>
        <w:rPr>
          <w:rFonts w:hint="eastAsia" w:eastAsia="方正仿宋_GBK"/>
          <w:b w:val="0"/>
          <w:bCs/>
          <w:sz w:val="32"/>
          <w:szCs w:val="32"/>
        </w:rPr>
        <w:t>，高速公路、普通国省道废旧沥青路面材料循环利用率分别达到98%和85%以上。</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96" w:type="dxa"/>
            <w:noWrap w:val="0"/>
            <w:vAlign w:val="top"/>
          </w:tcPr>
          <w:p>
            <w:pPr>
              <w:snapToGrid w:val="0"/>
              <w:spacing w:afterLines="0" w:line="240" w:lineRule="auto"/>
              <w:jc w:val="center"/>
              <w:rPr>
                <w:rFonts w:eastAsia="方正小标宋_GBK"/>
                <w:b w:val="0"/>
                <w:bCs/>
                <w:sz w:val="30"/>
                <w:szCs w:val="30"/>
              </w:rPr>
            </w:pPr>
            <w:r>
              <w:rPr>
                <w:rFonts w:eastAsia="方正小标宋_GBK"/>
                <w:b w:val="0"/>
                <w:bCs/>
                <w:sz w:val="28"/>
                <w:szCs w:val="30"/>
              </w:rPr>
              <w:t xml:space="preserve">专栏9 </w:t>
            </w:r>
            <w:r>
              <w:rPr>
                <w:rFonts w:eastAsia="方正小标宋_GBK"/>
                <w:b w:val="0"/>
                <w:bCs/>
                <w:sz w:val="28"/>
                <w:szCs w:val="30"/>
                <w:lang w:val="en"/>
              </w:rPr>
              <w:t>“</w:t>
            </w:r>
            <w:r>
              <w:rPr>
                <w:rFonts w:eastAsia="方正小标宋_GBK"/>
                <w:b w:val="0"/>
                <w:bCs/>
                <w:sz w:val="28"/>
                <w:szCs w:val="30"/>
              </w:rPr>
              <w:t>十四五</w:t>
            </w:r>
            <w:r>
              <w:rPr>
                <w:rFonts w:eastAsia="方正小标宋_GBK"/>
                <w:b w:val="0"/>
                <w:bCs/>
                <w:sz w:val="28"/>
                <w:szCs w:val="30"/>
                <w:lang w:val="en"/>
              </w:rPr>
              <w:t>”</w:t>
            </w:r>
            <w:r>
              <w:rPr>
                <w:rFonts w:hint="eastAsia" w:eastAsia="方正小标宋_GBK"/>
                <w:b w:val="0"/>
                <w:bCs/>
                <w:sz w:val="28"/>
                <w:szCs w:val="30"/>
              </w:rPr>
              <w:t>平安</w:t>
            </w:r>
            <w:r>
              <w:rPr>
                <w:rFonts w:eastAsia="方正小标宋_GBK"/>
                <w:b w:val="0"/>
                <w:bCs/>
                <w:sz w:val="28"/>
                <w:szCs w:val="30"/>
              </w:rPr>
              <w:t>绿色交通重点项目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0" w:hRule="atLeast"/>
          <w:jc w:val="center"/>
        </w:trPr>
        <w:tc>
          <w:tcPr>
            <w:tcW w:w="8296" w:type="dxa"/>
            <w:noWrap w:val="0"/>
            <w:vAlign w:val="top"/>
          </w:tcPr>
          <w:p>
            <w:pPr>
              <w:snapToGrid w:val="0"/>
              <w:spacing w:afterLines="0" w:line="240" w:lineRule="auto"/>
              <w:ind w:firstLine="560" w:firstLineChars="200"/>
              <w:rPr>
                <w:rFonts w:hint="eastAsia" w:eastAsia="方正仿宋_GBK"/>
                <w:b w:val="0"/>
                <w:bCs/>
                <w:sz w:val="28"/>
                <w:szCs w:val="28"/>
              </w:rPr>
            </w:pPr>
            <w:r>
              <w:rPr>
                <w:rFonts w:hint="eastAsia" w:eastAsia="方正楷体_GBK"/>
                <w:b w:val="0"/>
                <w:bCs/>
                <w:sz w:val="28"/>
                <w:szCs w:val="28"/>
              </w:rPr>
              <w:t>平安</w:t>
            </w:r>
            <w:r>
              <w:rPr>
                <w:rFonts w:eastAsia="方正楷体_GBK"/>
                <w:b w:val="0"/>
                <w:bCs/>
                <w:sz w:val="28"/>
                <w:szCs w:val="28"/>
              </w:rPr>
              <w:t>交通：</w:t>
            </w:r>
            <w:bookmarkStart w:id="208" w:name="_Hlk49805606"/>
            <w:r>
              <w:rPr>
                <w:rFonts w:eastAsia="方正仿宋_GBK"/>
                <w:b w:val="0"/>
                <w:bCs/>
                <w:sz w:val="28"/>
                <w:szCs w:val="28"/>
              </w:rPr>
              <w:t>推进建设双石、何埂2处应急救援基地，双石、何埂、双竹、沙湾、宝峰、永泸等6座养护站房及服务区，实施公路安防设施工程1000公里</w:t>
            </w:r>
            <w:bookmarkEnd w:id="208"/>
            <w:r>
              <w:rPr>
                <w:rFonts w:eastAsia="方正仿宋_GBK"/>
                <w:b w:val="0"/>
                <w:bCs/>
                <w:sz w:val="28"/>
                <w:szCs w:val="28"/>
              </w:rPr>
              <w:t>，危桥改造</w:t>
            </w:r>
            <w:r>
              <w:rPr>
                <w:rFonts w:hint="eastAsia" w:eastAsia="方正仿宋_GBK"/>
                <w:b w:val="0"/>
                <w:bCs/>
                <w:sz w:val="28"/>
                <w:szCs w:val="28"/>
              </w:rPr>
              <w:t>25</w:t>
            </w:r>
            <w:r>
              <w:rPr>
                <w:rFonts w:eastAsia="方正仿宋_GBK"/>
                <w:b w:val="0"/>
                <w:bCs/>
                <w:sz w:val="28"/>
                <w:szCs w:val="28"/>
              </w:rPr>
              <w:t>座，治理公路灾害点400处，乡道及以上公路安全隐患计划完成率100%。</w:t>
            </w:r>
          </w:p>
          <w:p>
            <w:pPr>
              <w:snapToGrid w:val="0"/>
              <w:spacing w:afterLines="0" w:line="240" w:lineRule="auto"/>
              <w:ind w:firstLine="560" w:firstLineChars="200"/>
              <w:rPr>
                <w:rFonts w:eastAsia="方正仿宋_GBK"/>
                <w:b w:val="0"/>
                <w:bCs/>
                <w:sz w:val="28"/>
                <w:szCs w:val="28"/>
              </w:rPr>
            </w:pPr>
            <w:r>
              <w:rPr>
                <w:rFonts w:eastAsia="方正楷体_GBK"/>
                <w:b w:val="0"/>
                <w:bCs/>
                <w:sz w:val="28"/>
                <w:szCs w:val="28"/>
              </w:rPr>
              <w:t>绿色交通：</w:t>
            </w:r>
            <w:r>
              <w:rPr>
                <w:rFonts w:eastAsia="方正仿宋_GBK"/>
                <w:b w:val="0"/>
                <w:bCs/>
                <w:sz w:val="28"/>
                <w:szCs w:val="28"/>
              </w:rPr>
              <w:t>持续推动建设</w:t>
            </w:r>
            <w:r>
              <w:rPr>
                <w:rFonts w:eastAsia="方正仿宋_GBK"/>
                <w:b w:val="0"/>
                <w:bCs/>
                <w:sz w:val="28"/>
                <w:szCs w:val="28"/>
                <w:lang w:val="en"/>
              </w:rPr>
              <w:t>“</w:t>
            </w:r>
            <w:r>
              <w:rPr>
                <w:rFonts w:eastAsia="方正仿宋_GBK"/>
                <w:b w:val="0"/>
                <w:bCs/>
                <w:sz w:val="28"/>
                <w:szCs w:val="28"/>
              </w:rPr>
              <w:t>绿色公路</w:t>
            </w:r>
            <w:r>
              <w:rPr>
                <w:rFonts w:eastAsia="方正仿宋_GBK"/>
                <w:b w:val="0"/>
                <w:bCs/>
                <w:sz w:val="28"/>
                <w:szCs w:val="28"/>
                <w:lang w:val="en"/>
              </w:rPr>
              <w:t>”“</w:t>
            </w:r>
            <w:r>
              <w:rPr>
                <w:rFonts w:eastAsia="方正仿宋_GBK"/>
                <w:b w:val="0"/>
                <w:bCs/>
                <w:sz w:val="28"/>
                <w:szCs w:val="28"/>
              </w:rPr>
              <w:t>绿色航运</w:t>
            </w:r>
            <w:r>
              <w:rPr>
                <w:rFonts w:eastAsia="方正仿宋_GBK"/>
                <w:b w:val="0"/>
                <w:bCs/>
                <w:sz w:val="28"/>
                <w:szCs w:val="28"/>
                <w:lang w:val="en"/>
              </w:rPr>
              <w:t>”</w:t>
            </w:r>
            <w:r>
              <w:rPr>
                <w:rFonts w:eastAsia="方正仿宋_GBK"/>
                <w:b w:val="0"/>
                <w:bCs/>
                <w:sz w:val="28"/>
                <w:szCs w:val="28"/>
              </w:rPr>
              <w:t>。继续推广纯电动客车在交通运输装备中的应用，加快充电桩规划建设。推广使用电、LNG等新能源或清洁能源船舶。规划建设船舶污染物接收设施。</w:t>
            </w:r>
          </w:p>
        </w:tc>
      </w:tr>
    </w:tbl>
    <w:p>
      <w:pPr>
        <w:keepNext w:val="0"/>
        <w:keepLines w:val="0"/>
        <w:pageBreakBefore w:val="0"/>
        <w:widowControl w:val="0"/>
        <w:kinsoku/>
        <w:wordWrap/>
        <w:overflowPunct/>
        <w:topLinePunct w:val="0"/>
        <w:autoSpaceDE/>
        <w:autoSpaceDN/>
        <w:bidi w:val="0"/>
        <w:adjustRightInd w:val="0"/>
        <w:snapToGrid w:val="0"/>
        <w:spacing w:before="0" w:after="0" w:afterLines="0" w:line="276" w:lineRule="auto"/>
        <w:ind w:firstLine="630"/>
        <w:textAlignment w:val="auto"/>
        <w:rPr>
          <w:rFonts w:ascii="Times New Roman" w:hAnsi="Times New Roman" w:eastAsia="方正仿宋_GBK" w:cs="Times New Roman"/>
          <w:b w:val="0"/>
          <w:bCs/>
          <w:sz w:val="32"/>
          <w:szCs w:val="32"/>
        </w:rPr>
      </w:pPr>
      <w:bookmarkStart w:id="209" w:name="_Toc12673"/>
    </w:p>
    <w:p>
      <w:pPr>
        <w:pStyle w:val="18"/>
        <w:keepNext w:val="0"/>
        <w:keepLines w:val="0"/>
        <w:pageBreakBefore w:val="0"/>
        <w:widowControl w:val="0"/>
        <w:kinsoku/>
        <w:wordWrap/>
        <w:overflowPunct/>
        <w:topLinePunct w:val="0"/>
        <w:autoSpaceDE/>
        <w:autoSpaceDN/>
        <w:bidi w:val="0"/>
        <w:adjustRightInd w:val="0"/>
        <w:snapToGrid w:val="0"/>
        <w:spacing w:before="0" w:after="0" w:afterLines="0" w:line="276" w:lineRule="auto"/>
        <w:textAlignment w:val="auto"/>
        <w:rPr>
          <w:rFonts w:hint="eastAsia" w:ascii="方正黑体_GBK" w:hAnsi="方正黑体_GBK" w:eastAsia="方正黑体_GBK" w:cs="方正黑体_GBK"/>
          <w:b w:val="0"/>
          <w:sz w:val="32"/>
          <w:szCs w:val="32"/>
        </w:rPr>
      </w:pPr>
      <w:bookmarkStart w:id="210" w:name="_Toc1481084821_WPSOffice_Level1"/>
      <w:bookmarkStart w:id="211" w:name="_Toc772778815"/>
      <w:bookmarkStart w:id="212" w:name="_Toc398552382"/>
      <w:r>
        <w:rPr>
          <w:rFonts w:hint="eastAsia" w:ascii="方正黑体_GBK" w:hAnsi="方正黑体_GBK" w:eastAsia="方正黑体_GBK" w:cs="方正黑体_GBK"/>
          <w:b w:val="0"/>
          <w:bCs/>
          <w:sz w:val="32"/>
          <w:szCs w:val="32"/>
        </w:rPr>
        <w:t>第十一章</w:t>
      </w:r>
      <w:r>
        <w:rPr>
          <w:rFonts w:hint="eastAsia" w:ascii="方正黑体_GBK" w:hAnsi="方正黑体_GBK" w:eastAsia="方正黑体_GBK" w:cs="方正黑体_GBK"/>
          <w:b w:val="0"/>
          <w:bCs/>
          <w:sz w:val="32"/>
          <w:szCs w:val="32"/>
          <w:lang w:val="en-US" w:eastAsia="zh-CN"/>
        </w:rPr>
        <w:t xml:space="preserve"> </w:t>
      </w:r>
      <w:r>
        <w:rPr>
          <w:rFonts w:hint="eastAsia" w:ascii="方正黑体_GBK" w:hAnsi="方正黑体_GBK" w:eastAsia="方正黑体_GBK" w:cs="方正黑体_GBK"/>
          <w:b w:val="0"/>
          <w:bCs/>
          <w:sz w:val="32"/>
          <w:szCs w:val="32"/>
        </w:rPr>
        <w:t xml:space="preserve"> 着眼深化改革，构建协同规范现代治理体系</w:t>
      </w:r>
      <w:bookmarkEnd w:id="209"/>
      <w:bookmarkEnd w:id="210"/>
      <w:bookmarkEnd w:id="211"/>
      <w:bookmarkEnd w:id="212"/>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30"/>
        <w:textAlignment w:val="auto"/>
        <w:rPr>
          <w:rFonts w:eastAsia="方正仿宋_GBK"/>
          <w:b w:val="0"/>
          <w:bCs/>
          <w:sz w:val="32"/>
          <w:szCs w:val="32"/>
        </w:rPr>
      </w:pP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30"/>
        <w:textAlignment w:val="auto"/>
        <w:rPr>
          <w:rFonts w:eastAsia="方正仿宋_GBK"/>
          <w:b w:val="0"/>
          <w:bCs/>
          <w:sz w:val="32"/>
          <w:szCs w:val="32"/>
        </w:rPr>
      </w:pPr>
      <w:r>
        <w:rPr>
          <w:rFonts w:eastAsia="方正仿宋_GBK"/>
          <w:b w:val="0"/>
          <w:bCs/>
          <w:sz w:val="32"/>
          <w:szCs w:val="32"/>
        </w:rPr>
        <w:t>持续推进重大领域改革，推进信用体系建设，建立完善政府、市场、社会等多方协作的现代交通运输治理体系。深化交通文明宣传教育，加强舆论引导。</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30"/>
        <w:textAlignment w:val="auto"/>
        <w:rPr>
          <w:rFonts w:eastAsia="方正仿宋_GBK"/>
          <w:b w:val="0"/>
          <w:bCs/>
          <w:sz w:val="32"/>
          <w:szCs w:val="32"/>
        </w:rPr>
      </w:pPr>
    </w:p>
    <w:p>
      <w:pPr>
        <w:pStyle w:val="16"/>
        <w:keepNext w:val="0"/>
        <w:keepLines w:val="0"/>
        <w:pageBreakBefore w:val="0"/>
        <w:widowControl w:val="0"/>
        <w:kinsoku/>
        <w:wordWrap/>
        <w:overflowPunct/>
        <w:topLinePunct w:val="0"/>
        <w:autoSpaceDE/>
        <w:autoSpaceDN/>
        <w:bidi w:val="0"/>
        <w:adjustRightInd w:val="0"/>
        <w:snapToGrid w:val="0"/>
        <w:spacing w:before="0" w:after="0" w:afterLines="0" w:line="276" w:lineRule="auto"/>
        <w:textAlignment w:val="auto"/>
        <w:rPr>
          <w:rFonts w:hint="eastAsia" w:ascii="方正楷体_GBK" w:hAnsi="方正楷体_GBK" w:eastAsia="方正楷体_GBK" w:cs="方正楷体_GBK"/>
          <w:b w:val="0"/>
          <w:bCs/>
          <w:kern w:val="2"/>
          <w:sz w:val="32"/>
          <w:szCs w:val="32"/>
        </w:rPr>
      </w:pPr>
      <w:bookmarkStart w:id="213" w:name="_Toc758005108"/>
      <w:bookmarkStart w:id="214" w:name="_Toc27444"/>
      <w:bookmarkStart w:id="215" w:name="_Toc2125345914_WPSOffice_Level2"/>
      <w:bookmarkStart w:id="216" w:name="_Toc1917908867"/>
      <w:r>
        <w:rPr>
          <w:rFonts w:hint="eastAsia" w:ascii="方正楷体_GBK" w:hAnsi="方正楷体_GBK" w:eastAsia="方正楷体_GBK" w:cs="方正楷体_GBK"/>
          <w:b w:val="0"/>
          <w:bCs/>
          <w:kern w:val="2"/>
          <w:sz w:val="32"/>
          <w:szCs w:val="32"/>
        </w:rPr>
        <w:t xml:space="preserve">第一节 </w:t>
      </w:r>
      <w:r>
        <w:rPr>
          <w:rFonts w:hint="default" w:ascii="方正楷体_GBK" w:hAnsi="方正楷体_GBK" w:eastAsia="方正楷体_GBK" w:cs="方正楷体_GBK"/>
          <w:b w:val="0"/>
          <w:bCs/>
          <w:kern w:val="2"/>
          <w:sz w:val="32"/>
          <w:szCs w:val="32"/>
          <w:lang w:val="en"/>
        </w:rPr>
        <w:t xml:space="preserve"> </w:t>
      </w:r>
      <w:r>
        <w:rPr>
          <w:rFonts w:hint="eastAsia" w:ascii="方正楷体_GBK" w:hAnsi="方正楷体_GBK" w:eastAsia="方正楷体_GBK" w:cs="方正楷体_GBK"/>
          <w:b w:val="0"/>
          <w:bCs/>
          <w:kern w:val="2"/>
          <w:sz w:val="32"/>
          <w:szCs w:val="32"/>
        </w:rPr>
        <w:t>持续推进重大领域改革</w:t>
      </w:r>
      <w:bookmarkEnd w:id="213"/>
      <w:bookmarkEnd w:id="214"/>
      <w:bookmarkEnd w:id="215"/>
      <w:bookmarkEnd w:id="216"/>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30"/>
        <w:textAlignment w:val="auto"/>
        <w:rPr>
          <w:rFonts w:eastAsia="方正楷体_GBK"/>
          <w:b w:val="0"/>
          <w:bCs/>
          <w:sz w:val="32"/>
          <w:szCs w:val="32"/>
        </w:rPr>
      </w:pP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30"/>
        <w:textAlignment w:val="auto"/>
        <w:rPr>
          <w:rFonts w:eastAsia="方正仿宋_GBK"/>
          <w:b w:val="0"/>
          <w:bCs/>
          <w:sz w:val="32"/>
          <w:szCs w:val="32"/>
        </w:rPr>
      </w:pPr>
      <w:r>
        <w:rPr>
          <w:rFonts w:eastAsia="方正楷体_GBK"/>
          <w:b w:val="0"/>
          <w:bCs/>
          <w:sz w:val="32"/>
          <w:szCs w:val="32"/>
        </w:rPr>
        <w:t>深化公路航道养护管理体制改革</w:t>
      </w:r>
      <w:r>
        <w:rPr>
          <w:rFonts w:eastAsia="方正仿宋_GBK"/>
          <w:b w:val="0"/>
          <w:bCs/>
          <w:sz w:val="32"/>
          <w:szCs w:val="32"/>
        </w:rPr>
        <w:t>。试点推行养护总承包模式，积极扩大公路预防性养护范围，探索推进桥梁、隧道预防性养护工程，创新运用一体化咨询机制，如检测、设计监理一体化或检测、设计施工等模式，加快实施基于北斗卫星系统的桥梁、隧道、边坡监测升级改造工程。强化航道管理机构在航道应急抢通、航道巡查、航标巡查与调整等领域的专业化养护和保障能力，加强测绘能力建设。加强市场信用管理，强化对养护工程市场化主体的监管，引导和培育养护市场健康发展。</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30"/>
        <w:textAlignment w:val="auto"/>
        <w:rPr>
          <w:rFonts w:eastAsia="方正仿宋_GBK"/>
          <w:b w:val="0"/>
          <w:bCs/>
          <w:sz w:val="32"/>
          <w:szCs w:val="32"/>
        </w:rPr>
      </w:pPr>
      <w:r>
        <w:rPr>
          <w:rFonts w:eastAsia="方正楷体_GBK"/>
          <w:b w:val="0"/>
          <w:bCs/>
          <w:sz w:val="32"/>
          <w:szCs w:val="32"/>
        </w:rPr>
        <w:t>持续推进交通运输政务服务改革。</w:t>
      </w:r>
      <w:r>
        <w:rPr>
          <w:rFonts w:eastAsia="方正仿宋_GBK"/>
          <w:b w:val="0"/>
          <w:bCs/>
          <w:sz w:val="32"/>
          <w:szCs w:val="32"/>
        </w:rPr>
        <w:t>交通运输政务服务事项实现全网通办，最多跑一次改革成效显著。行政许可事项全程网办事项比例提升至85%，行政许可事项即办件比例提升至50%以上，行政许可办理事项办理时间相较法定时间平均减少90%以上。建成基于</w:t>
      </w:r>
      <w:r>
        <w:rPr>
          <w:rFonts w:eastAsia="方正仿宋_GBK"/>
          <w:b w:val="0"/>
          <w:bCs/>
          <w:sz w:val="32"/>
          <w:szCs w:val="32"/>
          <w:lang w:val="en"/>
        </w:rPr>
        <w:t>“</w:t>
      </w:r>
      <w:r>
        <w:rPr>
          <w:rFonts w:eastAsia="方正仿宋_GBK"/>
          <w:b w:val="0"/>
          <w:bCs/>
          <w:sz w:val="32"/>
          <w:szCs w:val="32"/>
        </w:rPr>
        <w:t>渝快办</w:t>
      </w:r>
      <w:r>
        <w:rPr>
          <w:rFonts w:eastAsia="方正仿宋_GBK"/>
          <w:b w:val="0"/>
          <w:bCs/>
          <w:sz w:val="32"/>
          <w:szCs w:val="32"/>
          <w:lang w:val="en"/>
        </w:rPr>
        <w:t>”</w:t>
      </w:r>
      <w:r>
        <w:rPr>
          <w:rFonts w:eastAsia="方正仿宋_GBK"/>
          <w:b w:val="0"/>
          <w:bCs/>
          <w:sz w:val="32"/>
          <w:szCs w:val="32"/>
        </w:rPr>
        <w:t>政务服务平台的</w:t>
      </w:r>
      <w:r>
        <w:rPr>
          <w:rFonts w:eastAsia="方正仿宋_GBK"/>
          <w:b w:val="0"/>
          <w:bCs/>
          <w:sz w:val="32"/>
          <w:szCs w:val="32"/>
          <w:lang w:val="en"/>
        </w:rPr>
        <w:t>“</w:t>
      </w:r>
      <w:r>
        <w:rPr>
          <w:rFonts w:eastAsia="方正仿宋_GBK"/>
          <w:b w:val="0"/>
          <w:bCs/>
          <w:sz w:val="32"/>
          <w:szCs w:val="32"/>
        </w:rPr>
        <w:t>好差评</w:t>
      </w:r>
      <w:r>
        <w:rPr>
          <w:rFonts w:eastAsia="方正仿宋_GBK"/>
          <w:b w:val="0"/>
          <w:bCs/>
          <w:sz w:val="32"/>
          <w:szCs w:val="32"/>
          <w:lang w:val="en"/>
        </w:rPr>
        <w:t>”</w:t>
      </w:r>
      <w:r>
        <w:rPr>
          <w:rFonts w:eastAsia="方正仿宋_GBK"/>
          <w:b w:val="0"/>
          <w:bCs/>
          <w:sz w:val="32"/>
          <w:szCs w:val="32"/>
        </w:rPr>
        <w:t>政务服务评价系统，形成高效及时的评价处理、反馈与整改机制，实现政务服务事项全覆盖、评价对象全覆盖、线上线下服务渠道全覆盖，实现全部事项的评价数据向</w:t>
      </w:r>
      <w:r>
        <w:rPr>
          <w:rFonts w:eastAsia="方正仿宋_GBK"/>
          <w:b w:val="0"/>
          <w:bCs/>
          <w:sz w:val="32"/>
          <w:szCs w:val="32"/>
          <w:lang w:val="en"/>
        </w:rPr>
        <w:t>“</w:t>
      </w:r>
      <w:r>
        <w:rPr>
          <w:rFonts w:eastAsia="方正仿宋_GBK"/>
          <w:b w:val="0"/>
          <w:bCs/>
          <w:sz w:val="32"/>
          <w:szCs w:val="32"/>
        </w:rPr>
        <w:t>渝快办</w:t>
      </w:r>
      <w:r>
        <w:rPr>
          <w:rFonts w:eastAsia="方正仿宋_GBK"/>
          <w:b w:val="0"/>
          <w:bCs/>
          <w:sz w:val="32"/>
          <w:szCs w:val="32"/>
          <w:lang w:val="en"/>
        </w:rPr>
        <w:t>”</w:t>
      </w:r>
      <w:r>
        <w:rPr>
          <w:rFonts w:eastAsia="方正仿宋_GBK"/>
          <w:b w:val="0"/>
          <w:bCs/>
          <w:sz w:val="32"/>
          <w:szCs w:val="32"/>
        </w:rPr>
        <w:t>平台归集。</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30"/>
        <w:textAlignment w:val="auto"/>
        <w:rPr>
          <w:rFonts w:eastAsia="方正仿宋_GBK"/>
          <w:b w:val="0"/>
          <w:bCs/>
          <w:sz w:val="32"/>
          <w:szCs w:val="32"/>
        </w:rPr>
      </w:pPr>
      <w:r>
        <w:rPr>
          <w:rFonts w:eastAsia="方正楷体_GBK"/>
          <w:b w:val="0"/>
          <w:bCs/>
          <w:sz w:val="32"/>
          <w:szCs w:val="32"/>
        </w:rPr>
        <w:t>深化投融资体制改革。</w:t>
      </w:r>
      <w:r>
        <w:rPr>
          <w:rFonts w:eastAsia="方正仿宋_GBK"/>
          <w:b w:val="0"/>
          <w:bCs/>
          <w:sz w:val="32"/>
          <w:szCs w:val="32"/>
        </w:rPr>
        <w:t>落实交通运输领域</w:t>
      </w:r>
      <w:r>
        <w:rPr>
          <w:rFonts w:hint="eastAsia" w:eastAsia="方正仿宋_GBK"/>
          <w:b w:val="0"/>
          <w:bCs/>
          <w:sz w:val="32"/>
          <w:szCs w:val="32"/>
        </w:rPr>
        <w:t>市级与区县</w:t>
      </w:r>
      <w:r>
        <w:rPr>
          <w:rFonts w:eastAsia="方正仿宋_GBK"/>
          <w:b w:val="0"/>
          <w:bCs/>
          <w:sz w:val="32"/>
          <w:szCs w:val="32"/>
        </w:rPr>
        <w:t>财政事权和支出责任划分改革，完善PPP、BOT等多种模式，探索实行建设期资本金补助、运营期亏损补贴等引资政策，优化财务结构、降低投资风险，加大招商力度、做好后续服务，努力吸引更多社会资金投资交通。同时，加强债务管控，降低债务风险。</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30"/>
        <w:textAlignment w:val="auto"/>
        <w:rPr>
          <w:rFonts w:eastAsia="方正仿宋_GBK"/>
          <w:b w:val="0"/>
          <w:bCs/>
          <w:sz w:val="32"/>
          <w:szCs w:val="32"/>
        </w:rPr>
      </w:pPr>
    </w:p>
    <w:p>
      <w:pPr>
        <w:pStyle w:val="16"/>
        <w:keepNext w:val="0"/>
        <w:keepLines w:val="0"/>
        <w:pageBreakBefore w:val="0"/>
        <w:widowControl w:val="0"/>
        <w:kinsoku/>
        <w:wordWrap/>
        <w:overflowPunct/>
        <w:topLinePunct w:val="0"/>
        <w:autoSpaceDE/>
        <w:autoSpaceDN/>
        <w:bidi w:val="0"/>
        <w:adjustRightInd w:val="0"/>
        <w:snapToGrid w:val="0"/>
        <w:spacing w:before="0" w:after="0" w:afterLines="0" w:line="276" w:lineRule="auto"/>
        <w:textAlignment w:val="auto"/>
        <w:rPr>
          <w:rFonts w:hint="eastAsia" w:ascii="方正楷体_GBK" w:hAnsi="方正楷体_GBK" w:eastAsia="方正楷体_GBK" w:cs="方正楷体_GBK"/>
          <w:b w:val="0"/>
          <w:bCs/>
          <w:kern w:val="2"/>
          <w:sz w:val="32"/>
          <w:szCs w:val="32"/>
        </w:rPr>
      </w:pPr>
      <w:bookmarkStart w:id="217" w:name="_Toc1818547604"/>
      <w:bookmarkStart w:id="218" w:name="_Toc1696999969"/>
      <w:bookmarkStart w:id="219" w:name="_Toc294803609_WPSOffice_Level2"/>
      <w:bookmarkStart w:id="220" w:name="_Toc29877"/>
      <w:r>
        <w:rPr>
          <w:rFonts w:hint="eastAsia" w:ascii="方正楷体_GBK" w:hAnsi="方正楷体_GBK" w:eastAsia="方正楷体_GBK" w:cs="方正楷体_GBK"/>
          <w:b w:val="0"/>
          <w:bCs/>
          <w:kern w:val="2"/>
          <w:sz w:val="32"/>
          <w:szCs w:val="32"/>
        </w:rPr>
        <w:t>第二节</w:t>
      </w:r>
      <w:r>
        <w:rPr>
          <w:rFonts w:hint="default" w:ascii="方正楷体_GBK" w:hAnsi="方正楷体_GBK" w:eastAsia="方正楷体_GBK" w:cs="方正楷体_GBK"/>
          <w:b w:val="0"/>
          <w:bCs/>
          <w:kern w:val="2"/>
          <w:sz w:val="32"/>
          <w:szCs w:val="32"/>
          <w:lang w:val="en"/>
        </w:rPr>
        <w:t xml:space="preserve"> </w:t>
      </w:r>
      <w:r>
        <w:rPr>
          <w:rFonts w:hint="eastAsia" w:ascii="方正楷体_GBK" w:hAnsi="方正楷体_GBK" w:eastAsia="方正楷体_GBK" w:cs="方正楷体_GBK"/>
          <w:b w:val="0"/>
          <w:bCs/>
          <w:kern w:val="2"/>
          <w:sz w:val="32"/>
          <w:szCs w:val="32"/>
        </w:rPr>
        <w:t xml:space="preserve"> 持续推进信用体系建设</w:t>
      </w:r>
      <w:bookmarkEnd w:id="217"/>
      <w:bookmarkEnd w:id="218"/>
      <w:bookmarkEnd w:id="219"/>
      <w:bookmarkEnd w:id="220"/>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30"/>
        <w:textAlignment w:val="auto"/>
        <w:rPr>
          <w:rFonts w:eastAsia="方正仿宋_GBK"/>
          <w:b w:val="0"/>
          <w:bCs/>
          <w:sz w:val="32"/>
          <w:szCs w:val="32"/>
        </w:rPr>
      </w:pP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30"/>
        <w:textAlignment w:val="auto"/>
        <w:rPr>
          <w:rFonts w:hint="eastAsia" w:eastAsia="方正仿宋_GBK"/>
          <w:b w:val="0"/>
          <w:bCs/>
          <w:sz w:val="32"/>
          <w:szCs w:val="32"/>
        </w:rPr>
      </w:pPr>
      <w:r>
        <w:rPr>
          <w:rFonts w:eastAsia="方正仿宋_GBK"/>
          <w:b w:val="0"/>
          <w:bCs/>
          <w:sz w:val="32"/>
          <w:szCs w:val="32"/>
        </w:rPr>
        <w:t>规范交通运输市场，推动行业守法经营，诚信服务，提高交通运输行政执法透明度，以提升政府公信力为重点，推动建设交通信用体系。加强交通运输重点领域的信用建设，建立公共交通驾驶员、乘务员、网约车平台、从业人员、道路联网售票平台信息数据库，根据相关管理办法，对客货运企业、机电维修企业、驾培企业、出租汽车等从业人员的违法违规行为录入信用系统。健全信用激励与惩戒制度，</w:t>
      </w:r>
      <w:r>
        <w:rPr>
          <w:rFonts w:hint="eastAsia" w:eastAsia="方正仿宋_GBK"/>
          <w:b w:val="0"/>
          <w:bCs/>
          <w:sz w:val="32"/>
          <w:szCs w:val="32"/>
        </w:rPr>
        <w:t>依法依规加强对交通运输失信行为进行惩戒，对守信行为进行激励，完善失信主体信用修复机制。加强政务诚信建设，建立政务诚信监测治理体系。</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30"/>
        <w:textAlignment w:val="auto"/>
        <w:rPr>
          <w:rFonts w:hint="eastAsia" w:eastAsia="方正仿宋_GBK"/>
          <w:b w:val="0"/>
          <w:bCs/>
          <w:sz w:val="32"/>
          <w:szCs w:val="32"/>
        </w:rPr>
      </w:pPr>
    </w:p>
    <w:p>
      <w:pPr>
        <w:pStyle w:val="16"/>
        <w:keepNext w:val="0"/>
        <w:keepLines w:val="0"/>
        <w:pageBreakBefore w:val="0"/>
        <w:widowControl w:val="0"/>
        <w:kinsoku/>
        <w:wordWrap/>
        <w:overflowPunct/>
        <w:topLinePunct w:val="0"/>
        <w:autoSpaceDE/>
        <w:autoSpaceDN/>
        <w:bidi w:val="0"/>
        <w:adjustRightInd w:val="0"/>
        <w:snapToGrid w:val="0"/>
        <w:spacing w:before="0" w:after="0" w:afterLines="0" w:line="276" w:lineRule="auto"/>
        <w:textAlignment w:val="auto"/>
        <w:rPr>
          <w:rFonts w:hint="eastAsia" w:ascii="方正楷体_GBK" w:hAnsi="方正楷体_GBK" w:eastAsia="方正楷体_GBK" w:cs="方正楷体_GBK"/>
          <w:b w:val="0"/>
          <w:bCs/>
          <w:kern w:val="2"/>
          <w:sz w:val="32"/>
          <w:szCs w:val="32"/>
        </w:rPr>
      </w:pPr>
      <w:bookmarkStart w:id="221" w:name="_Toc1794572309"/>
      <w:bookmarkStart w:id="222" w:name="_Toc1437472317"/>
      <w:bookmarkStart w:id="223" w:name="_Toc1238"/>
      <w:bookmarkStart w:id="224" w:name="_Toc37039028_WPSOffice_Level2"/>
      <w:r>
        <w:rPr>
          <w:rFonts w:hint="eastAsia" w:ascii="方正楷体_GBK" w:hAnsi="方正楷体_GBK" w:eastAsia="方正楷体_GBK" w:cs="方正楷体_GBK"/>
          <w:b w:val="0"/>
          <w:bCs/>
          <w:kern w:val="2"/>
          <w:sz w:val="32"/>
          <w:szCs w:val="32"/>
        </w:rPr>
        <w:t xml:space="preserve">第三节 </w:t>
      </w:r>
      <w:r>
        <w:rPr>
          <w:rFonts w:hint="default" w:ascii="方正楷体_GBK" w:hAnsi="方正楷体_GBK" w:eastAsia="方正楷体_GBK" w:cs="方正楷体_GBK"/>
          <w:b w:val="0"/>
          <w:bCs/>
          <w:kern w:val="2"/>
          <w:sz w:val="32"/>
          <w:szCs w:val="32"/>
          <w:lang w:val="en"/>
        </w:rPr>
        <w:t xml:space="preserve"> </w:t>
      </w:r>
      <w:r>
        <w:rPr>
          <w:rFonts w:hint="eastAsia" w:ascii="方正楷体_GBK" w:hAnsi="方正楷体_GBK" w:eastAsia="方正楷体_GBK" w:cs="方正楷体_GBK"/>
          <w:b w:val="0"/>
          <w:bCs/>
          <w:kern w:val="2"/>
          <w:sz w:val="32"/>
          <w:szCs w:val="32"/>
        </w:rPr>
        <w:t>持续加强交通文明建设</w:t>
      </w:r>
      <w:bookmarkEnd w:id="221"/>
      <w:bookmarkEnd w:id="222"/>
      <w:bookmarkEnd w:id="223"/>
      <w:bookmarkEnd w:id="224"/>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30"/>
        <w:textAlignment w:val="auto"/>
        <w:rPr>
          <w:rFonts w:eastAsia="方正楷体_GBK"/>
          <w:b w:val="0"/>
          <w:bCs/>
          <w:sz w:val="32"/>
          <w:szCs w:val="32"/>
        </w:rPr>
      </w:pP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30"/>
        <w:textAlignment w:val="auto"/>
        <w:rPr>
          <w:rFonts w:eastAsia="方正仿宋_GBK"/>
          <w:b w:val="0"/>
          <w:bCs/>
          <w:sz w:val="32"/>
          <w:szCs w:val="32"/>
        </w:rPr>
      </w:pPr>
      <w:r>
        <w:rPr>
          <w:rFonts w:eastAsia="方正楷体_GBK"/>
          <w:b w:val="0"/>
          <w:bCs/>
          <w:sz w:val="32"/>
          <w:szCs w:val="32"/>
        </w:rPr>
        <w:t>加强行业文化建设。</w:t>
      </w:r>
      <w:r>
        <w:rPr>
          <w:rFonts w:eastAsia="方正仿宋_GBK"/>
          <w:b w:val="0"/>
          <w:bCs/>
          <w:sz w:val="32"/>
          <w:szCs w:val="32"/>
        </w:rPr>
        <w:t>深入开展文明行业、文明单位、文明示范窗口的创建活动，力争推出两至三个在全市有重大影响的文明示范窗口先进典型。高度重视交通文化宣传工作，重点实施文化理念认同工程、文化体系构建工程、文化建设示范工程、文化品位提升工程，进一步打造健康向上的交通文化。</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30"/>
        <w:textAlignment w:val="auto"/>
        <w:rPr>
          <w:rFonts w:eastAsia="方正仿宋_GBK"/>
          <w:b w:val="0"/>
          <w:bCs/>
          <w:sz w:val="32"/>
          <w:szCs w:val="32"/>
        </w:rPr>
      </w:pPr>
      <w:r>
        <w:rPr>
          <w:rFonts w:eastAsia="方正楷体_GBK"/>
          <w:b w:val="0"/>
          <w:bCs/>
          <w:sz w:val="32"/>
          <w:szCs w:val="32"/>
        </w:rPr>
        <w:t>加强交通廉政建设。</w:t>
      </w:r>
      <w:r>
        <w:rPr>
          <w:rFonts w:eastAsia="方正仿宋_GBK"/>
          <w:b w:val="0"/>
          <w:bCs/>
          <w:sz w:val="32"/>
          <w:szCs w:val="32"/>
        </w:rPr>
        <w:t>按照建立健全惩治和预防腐败体系的要求，以领导干部为重点，以提高党员干部的反腐倡廉意识，筑牢拒腐防变的思想道德防线为目标，以交通文化为引领，通过开展丰富多彩的廉政文化活动，营造尊廉崇廉氛围，努力建设具有永川交通特色的廉政文化，推动全系统党风廉政建设和反腐败工作全面深入开展。</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16" w:type="dxa"/>
            <w:noWrap w:val="0"/>
            <w:vAlign w:val="top"/>
          </w:tcPr>
          <w:p>
            <w:pPr>
              <w:snapToGrid w:val="0"/>
              <w:spacing w:afterLines="0" w:line="276" w:lineRule="auto"/>
              <w:jc w:val="center"/>
              <w:rPr>
                <w:rFonts w:eastAsia="方正小标宋_GBK"/>
                <w:b w:val="0"/>
                <w:bCs/>
                <w:sz w:val="30"/>
                <w:szCs w:val="30"/>
              </w:rPr>
            </w:pPr>
            <w:r>
              <w:rPr>
                <w:rFonts w:eastAsia="方正小标宋_GBK"/>
                <w:b w:val="0"/>
                <w:bCs/>
                <w:sz w:val="28"/>
                <w:szCs w:val="30"/>
              </w:rPr>
              <w:t xml:space="preserve">专栏10  </w:t>
            </w:r>
            <w:r>
              <w:rPr>
                <w:rFonts w:eastAsia="方正小标宋_GBK"/>
                <w:b w:val="0"/>
                <w:bCs/>
                <w:sz w:val="28"/>
                <w:szCs w:val="30"/>
                <w:lang w:val="en"/>
              </w:rPr>
              <w:t>“</w:t>
            </w:r>
            <w:r>
              <w:rPr>
                <w:rFonts w:eastAsia="方正小标宋_GBK"/>
                <w:b w:val="0"/>
                <w:bCs/>
                <w:sz w:val="28"/>
                <w:szCs w:val="30"/>
              </w:rPr>
              <w:t>十四五</w:t>
            </w:r>
            <w:r>
              <w:rPr>
                <w:rFonts w:eastAsia="方正小标宋_GBK"/>
                <w:b w:val="0"/>
                <w:bCs/>
                <w:sz w:val="28"/>
                <w:szCs w:val="30"/>
                <w:lang w:val="en"/>
              </w:rPr>
              <w:t>”</w:t>
            </w:r>
            <w:r>
              <w:rPr>
                <w:rFonts w:eastAsia="方正小标宋_GBK"/>
                <w:b w:val="0"/>
                <w:bCs/>
                <w:sz w:val="28"/>
                <w:szCs w:val="30"/>
              </w:rPr>
              <w:t>行业治理改革重点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16" w:type="dxa"/>
            <w:noWrap w:val="0"/>
            <w:vAlign w:val="top"/>
          </w:tcPr>
          <w:p>
            <w:pPr>
              <w:snapToGrid w:val="0"/>
              <w:spacing w:afterLines="0" w:line="276" w:lineRule="auto"/>
              <w:ind w:firstLine="560" w:firstLineChars="200"/>
              <w:rPr>
                <w:rFonts w:eastAsia="方正仿宋_GBK"/>
                <w:b w:val="0"/>
                <w:bCs/>
                <w:sz w:val="28"/>
                <w:szCs w:val="28"/>
              </w:rPr>
            </w:pPr>
            <w:r>
              <w:rPr>
                <w:rFonts w:eastAsia="方正楷体_GBK"/>
                <w:b w:val="0"/>
                <w:bCs/>
                <w:sz w:val="28"/>
                <w:szCs w:val="28"/>
              </w:rPr>
              <w:t>公路航道养护管理体制改革：</w:t>
            </w:r>
            <w:r>
              <w:rPr>
                <w:rFonts w:eastAsia="方正仿宋_GBK"/>
                <w:b w:val="0"/>
                <w:bCs/>
                <w:sz w:val="28"/>
                <w:szCs w:val="28"/>
              </w:rPr>
              <w:t>试点推行养护总承包模式，积极扩大公路预防性养护范围，探索推进桥梁、隧道预防性养护工程，创新运用一体化咨询机制。</w:t>
            </w:r>
          </w:p>
          <w:p>
            <w:pPr>
              <w:snapToGrid w:val="0"/>
              <w:spacing w:afterLines="0" w:line="276" w:lineRule="auto"/>
              <w:ind w:firstLine="560" w:firstLineChars="200"/>
              <w:rPr>
                <w:rFonts w:eastAsia="方正仿宋_GBK"/>
                <w:b w:val="0"/>
                <w:bCs/>
                <w:sz w:val="28"/>
                <w:szCs w:val="28"/>
              </w:rPr>
            </w:pPr>
            <w:r>
              <w:rPr>
                <w:rFonts w:eastAsia="方正楷体_GBK"/>
                <w:b w:val="0"/>
                <w:bCs/>
                <w:sz w:val="28"/>
                <w:szCs w:val="28"/>
              </w:rPr>
              <w:t>交通运输政务服务改革：</w:t>
            </w:r>
            <w:r>
              <w:rPr>
                <w:rFonts w:eastAsia="方正仿宋_GBK"/>
                <w:b w:val="0"/>
                <w:bCs/>
                <w:sz w:val="28"/>
                <w:szCs w:val="28"/>
              </w:rPr>
              <w:t>行政许可事项全程网办事项比例提升至85%，即办件比例</w:t>
            </w:r>
            <w:r>
              <w:rPr>
                <w:rFonts w:hint="eastAsia" w:eastAsia="方正仿宋_GBK"/>
                <w:b w:val="0"/>
                <w:bCs/>
                <w:sz w:val="28"/>
                <w:szCs w:val="28"/>
              </w:rPr>
              <w:t>达到</w:t>
            </w:r>
            <w:r>
              <w:rPr>
                <w:rFonts w:eastAsia="方正仿宋_GBK"/>
                <w:b w:val="0"/>
                <w:bCs/>
                <w:sz w:val="28"/>
                <w:szCs w:val="28"/>
              </w:rPr>
              <w:t>50%，行政许可办理事项办理时间相较法定时间平均减少90%。</w:t>
            </w:r>
          </w:p>
          <w:p>
            <w:pPr>
              <w:snapToGrid w:val="0"/>
              <w:spacing w:afterLines="0" w:line="276" w:lineRule="auto"/>
              <w:ind w:firstLine="560" w:firstLineChars="200"/>
              <w:rPr>
                <w:rFonts w:eastAsia="方正仿宋_GBK"/>
                <w:b w:val="0"/>
                <w:bCs/>
                <w:sz w:val="28"/>
                <w:szCs w:val="28"/>
              </w:rPr>
            </w:pPr>
            <w:r>
              <w:rPr>
                <w:rFonts w:eastAsia="方正楷体_GBK"/>
                <w:b w:val="0"/>
                <w:bCs/>
                <w:sz w:val="28"/>
                <w:szCs w:val="28"/>
              </w:rPr>
              <w:t>交通信用体系建设：</w:t>
            </w:r>
            <w:r>
              <w:rPr>
                <w:rFonts w:eastAsia="方正仿宋_GBK"/>
                <w:b w:val="0"/>
                <w:bCs/>
                <w:sz w:val="28"/>
                <w:szCs w:val="28"/>
              </w:rPr>
              <w:t>建立公共交通驾驶员、乘务员、网约车平台、从业人员、道路联网售票平台信息数据库。健全信用激励与惩戒制度。</w:t>
            </w:r>
          </w:p>
          <w:p>
            <w:pPr>
              <w:snapToGrid w:val="0"/>
              <w:spacing w:afterLines="0" w:line="276" w:lineRule="auto"/>
              <w:ind w:firstLine="560" w:firstLineChars="200"/>
              <w:rPr>
                <w:rFonts w:eastAsia="方正仿宋_GBK"/>
                <w:b w:val="0"/>
                <w:bCs/>
                <w:sz w:val="28"/>
                <w:szCs w:val="28"/>
              </w:rPr>
            </w:pPr>
            <w:r>
              <w:rPr>
                <w:rFonts w:eastAsia="方正楷体_GBK"/>
                <w:b w:val="0"/>
                <w:bCs/>
                <w:sz w:val="28"/>
                <w:szCs w:val="28"/>
              </w:rPr>
              <w:t>投融资体制改革：</w:t>
            </w:r>
            <w:r>
              <w:rPr>
                <w:rFonts w:eastAsia="方正仿宋_GBK"/>
                <w:b w:val="0"/>
                <w:bCs/>
                <w:sz w:val="28"/>
                <w:szCs w:val="28"/>
              </w:rPr>
              <w:t>落实交通运输领域</w:t>
            </w:r>
            <w:r>
              <w:rPr>
                <w:rFonts w:hint="eastAsia" w:eastAsia="方正仿宋_GBK"/>
                <w:b w:val="0"/>
                <w:bCs/>
                <w:sz w:val="28"/>
                <w:szCs w:val="28"/>
              </w:rPr>
              <w:t>市与区县</w:t>
            </w:r>
            <w:r>
              <w:rPr>
                <w:rFonts w:eastAsia="方正仿宋_GBK"/>
                <w:b w:val="0"/>
                <w:bCs/>
                <w:sz w:val="28"/>
                <w:szCs w:val="28"/>
              </w:rPr>
              <w:t>财政事权和支出责任划分改革，完善PPP、BOT等多种模式。</w:t>
            </w:r>
          </w:p>
          <w:p>
            <w:pPr>
              <w:snapToGrid w:val="0"/>
              <w:spacing w:afterLines="0" w:line="276" w:lineRule="auto"/>
              <w:ind w:firstLine="560" w:firstLineChars="200"/>
              <w:rPr>
                <w:rFonts w:eastAsia="方正仿宋_GBK"/>
                <w:b w:val="0"/>
                <w:bCs/>
                <w:sz w:val="30"/>
                <w:szCs w:val="30"/>
              </w:rPr>
            </w:pPr>
            <w:r>
              <w:rPr>
                <w:rFonts w:eastAsia="方正楷体_GBK"/>
                <w:b w:val="0"/>
                <w:bCs/>
                <w:sz w:val="28"/>
                <w:szCs w:val="28"/>
              </w:rPr>
              <w:t>文明交通建设：</w:t>
            </w:r>
            <w:r>
              <w:rPr>
                <w:rFonts w:eastAsia="方正仿宋_GBK"/>
                <w:b w:val="0"/>
                <w:bCs/>
                <w:sz w:val="28"/>
                <w:szCs w:val="28"/>
              </w:rPr>
              <w:t>广泛宣传交通文明，倡导文明交通新风</w:t>
            </w:r>
            <w:r>
              <w:rPr>
                <w:rFonts w:hint="eastAsia" w:eastAsia="方正仿宋_GBK"/>
                <w:b w:val="0"/>
                <w:bCs/>
                <w:sz w:val="28"/>
                <w:szCs w:val="28"/>
              </w:rPr>
              <w:t>，开展廉政文化活动</w:t>
            </w:r>
            <w:r>
              <w:rPr>
                <w:rFonts w:eastAsia="方正仿宋_GBK"/>
                <w:b w:val="0"/>
                <w:bCs/>
                <w:sz w:val="28"/>
                <w:szCs w:val="28"/>
              </w:rPr>
              <w:t>。</w:t>
            </w:r>
          </w:p>
        </w:tc>
      </w:tr>
      <w:bookmarkEnd w:id="118"/>
      <w:bookmarkEnd w:id="119"/>
      <w:bookmarkEnd w:id="120"/>
    </w:tbl>
    <w:p>
      <w:pPr>
        <w:keepNext w:val="0"/>
        <w:keepLines w:val="0"/>
        <w:pageBreakBefore w:val="0"/>
        <w:widowControl w:val="0"/>
        <w:kinsoku/>
        <w:wordWrap/>
        <w:overflowPunct/>
        <w:topLinePunct w:val="0"/>
        <w:autoSpaceDE/>
        <w:autoSpaceDN/>
        <w:bidi w:val="0"/>
        <w:adjustRightInd w:val="0"/>
        <w:snapToGrid w:val="0"/>
        <w:spacing w:before="0" w:after="0" w:afterLines="0" w:line="276" w:lineRule="auto"/>
        <w:ind w:firstLine="630"/>
        <w:textAlignment w:val="auto"/>
        <w:rPr>
          <w:rFonts w:ascii="Times New Roman" w:hAnsi="Times New Roman" w:eastAsia="方正仿宋_GBK" w:cs="Times New Roman"/>
          <w:b w:val="0"/>
          <w:bCs/>
          <w:sz w:val="32"/>
          <w:szCs w:val="32"/>
        </w:rPr>
      </w:pPr>
      <w:bookmarkStart w:id="225" w:name="_Toc7480"/>
    </w:p>
    <w:p>
      <w:pPr>
        <w:pStyle w:val="18"/>
        <w:keepNext w:val="0"/>
        <w:keepLines w:val="0"/>
        <w:pageBreakBefore w:val="0"/>
        <w:widowControl w:val="0"/>
        <w:kinsoku/>
        <w:wordWrap/>
        <w:overflowPunct/>
        <w:topLinePunct w:val="0"/>
        <w:autoSpaceDE/>
        <w:autoSpaceDN/>
        <w:bidi w:val="0"/>
        <w:adjustRightInd w:val="0"/>
        <w:snapToGrid w:val="0"/>
        <w:spacing w:before="0" w:after="0" w:afterLines="0" w:line="276" w:lineRule="auto"/>
        <w:textAlignment w:val="auto"/>
        <w:rPr>
          <w:rFonts w:hint="eastAsia" w:ascii="方正黑体_GBK" w:hAnsi="方正黑体_GBK" w:eastAsia="方正黑体_GBK" w:cs="方正黑体_GBK"/>
          <w:b w:val="0"/>
          <w:sz w:val="32"/>
          <w:szCs w:val="32"/>
        </w:rPr>
      </w:pPr>
      <w:bookmarkStart w:id="226" w:name="_Toc1005264912"/>
      <w:bookmarkStart w:id="227" w:name="_Toc691092026"/>
      <w:bookmarkStart w:id="228" w:name="_Toc1412009381_WPSOffice_Level1"/>
      <w:r>
        <w:rPr>
          <w:rFonts w:hint="eastAsia" w:ascii="方正黑体_GBK" w:hAnsi="方正黑体_GBK" w:eastAsia="方正黑体_GBK" w:cs="方正黑体_GBK"/>
          <w:b w:val="0"/>
          <w:bCs/>
          <w:sz w:val="32"/>
          <w:szCs w:val="32"/>
        </w:rPr>
        <w:t>第十二章  环境评价</w:t>
      </w:r>
      <w:bookmarkEnd w:id="225"/>
      <w:bookmarkEnd w:id="226"/>
      <w:bookmarkEnd w:id="227"/>
      <w:bookmarkEnd w:id="228"/>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30"/>
        <w:jc w:val="left"/>
        <w:textAlignment w:val="auto"/>
        <w:outlineLvl w:val="9"/>
        <w:rPr>
          <w:rFonts w:hint="default" w:ascii="Times New Roman" w:hAnsi="Times New Roman" w:eastAsia="方正仿宋_GBK" w:cs="Times New Roman"/>
          <w:b w:val="0"/>
          <w:bCs/>
          <w:sz w:val="32"/>
          <w:szCs w:val="32"/>
        </w:rPr>
      </w:pPr>
      <w:bookmarkStart w:id="229" w:name="_Toc19892"/>
    </w:p>
    <w:p>
      <w:pPr>
        <w:keepNext w:val="0"/>
        <w:keepLines w:val="0"/>
        <w:pageBreakBefore w:val="0"/>
        <w:widowControl w:val="0"/>
        <w:kinsoku/>
        <w:wordWrap/>
        <w:overflowPunct/>
        <w:topLinePunct w:val="0"/>
        <w:autoSpaceDE/>
        <w:autoSpaceDN/>
        <w:bidi w:val="0"/>
        <w:adjustRightInd w:val="0"/>
        <w:snapToGrid w:val="0"/>
        <w:spacing w:afterLines="0" w:line="276" w:lineRule="auto"/>
        <w:jc w:val="center"/>
        <w:textAlignment w:val="auto"/>
        <w:outlineLvl w:val="1"/>
        <w:rPr>
          <w:rFonts w:hint="eastAsia" w:ascii="方正楷体_GBK" w:hAnsi="方正楷体_GBK" w:eastAsia="方正楷体_GBK" w:cs="方正楷体_GBK"/>
          <w:b w:val="0"/>
          <w:bCs/>
          <w:sz w:val="32"/>
          <w:szCs w:val="32"/>
        </w:rPr>
      </w:pPr>
      <w:bookmarkStart w:id="230" w:name="_Toc394576514_WPSOffice_Level2"/>
      <w:bookmarkStart w:id="231" w:name="_Toc796117806"/>
      <w:bookmarkStart w:id="232" w:name="_Toc270949826"/>
      <w:r>
        <w:rPr>
          <w:rFonts w:hint="eastAsia" w:ascii="方正楷体_GBK" w:hAnsi="方正楷体_GBK" w:eastAsia="方正楷体_GBK" w:cs="方正楷体_GBK"/>
          <w:b w:val="0"/>
          <w:bCs/>
          <w:sz w:val="32"/>
          <w:szCs w:val="32"/>
        </w:rPr>
        <w:t xml:space="preserve">第一节 </w:t>
      </w:r>
      <w:r>
        <w:rPr>
          <w:rFonts w:hint="default" w:ascii="方正楷体_GBK" w:hAnsi="方正楷体_GBK" w:eastAsia="方正楷体_GBK" w:cs="方正楷体_GBK"/>
          <w:b w:val="0"/>
          <w:bCs/>
          <w:sz w:val="32"/>
          <w:szCs w:val="32"/>
          <w:lang w:val="en"/>
        </w:rPr>
        <w:t xml:space="preserve"> </w:t>
      </w:r>
      <w:r>
        <w:rPr>
          <w:rFonts w:hint="eastAsia" w:ascii="方正楷体_GBK" w:hAnsi="方正楷体_GBK" w:eastAsia="方正楷体_GBK" w:cs="方正楷体_GBK"/>
          <w:b w:val="0"/>
          <w:bCs/>
          <w:sz w:val="32"/>
          <w:szCs w:val="32"/>
        </w:rPr>
        <w:t>环境影响分析</w:t>
      </w:r>
      <w:bookmarkEnd w:id="229"/>
      <w:bookmarkEnd w:id="230"/>
      <w:bookmarkEnd w:id="231"/>
      <w:bookmarkEnd w:id="232"/>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30"/>
        <w:textAlignment w:val="auto"/>
        <w:rPr>
          <w:rFonts w:eastAsia="方正仿宋_GBK"/>
          <w:b w:val="0"/>
          <w:bCs/>
          <w:sz w:val="32"/>
          <w:szCs w:val="32"/>
        </w:rPr>
      </w:pP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30"/>
        <w:textAlignment w:val="auto"/>
        <w:rPr>
          <w:rFonts w:eastAsia="方正仿宋_GBK"/>
          <w:b w:val="0"/>
          <w:bCs/>
          <w:sz w:val="32"/>
          <w:szCs w:val="32"/>
        </w:rPr>
      </w:pPr>
      <w:r>
        <w:rPr>
          <w:rFonts w:eastAsia="方正楷体_GBK"/>
          <w:b w:val="0"/>
          <w:bCs/>
          <w:sz w:val="32"/>
          <w:szCs w:val="32"/>
        </w:rPr>
        <w:t>生态影响分析。</w:t>
      </w:r>
      <w:r>
        <w:rPr>
          <w:rFonts w:eastAsia="方正仿宋_GBK"/>
          <w:b w:val="0"/>
          <w:bCs/>
          <w:sz w:val="32"/>
          <w:szCs w:val="32"/>
        </w:rPr>
        <w:t>规划航道整治、港区码头建设以及铁路、公路跨河桥梁工程将对水域生态系统产生一定不良影响，工程完工后随着泥沙的淤积，这种影响将逐步消失。交通发展会带来一系列不利影响，如噪声污染、大气污染、占地拆迁等。规划中铁路、公路等项目为线性工程，容易对生态功能区造成分割，影响部分区域的生态完整性，对线路范围内的生态系统造成一定的影响，但是由于路基宽度有限，相对于重要生态功能区来说，对其生态功能影响较小，不会造成区域生态功能的整体退化。</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30"/>
        <w:textAlignment w:val="auto"/>
        <w:rPr>
          <w:rFonts w:eastAsia="方正仿宋_GBK"/>
          <w:b w:val="0"/>
          <w:bCs/>
          <w:sz w:val="32"/>
          <w:szCs w:val="32"/>
        </w:rPr>
      </w:pPr>
      <w:r>
        <w:rPr>
          <w:rFonts w:eastAsia="方正楷体_GBK"/>
          <w:b w:val="0"/>
          <w:bCs/>
          <w:sz w:val="32"/>
          <w:szCs w:val="32"/>
        </w:rPr>
        <w:t>主要生态敏感区影响分析。</w:t>
      </w:r>
      <w:r>
        <w:rPr>
          <w:rFonts w:eastAsia="方正仿宋_GBK"/>
          <w:b w:val="0"/>
          <w:bCs/>
          <w:sz w:val="32"/>
          <w:szCs w:val="32"/>
        </w:rPr>
        <w:t>部分交通项目临近自然保护区保护范围，应当采取措施尽量减轻工程施工对自然保护区内保护动物及自然保护区生态环境的影响。在规划实施过程中，应重视交通项目的选址选线，尽量避让风景名胜区的核心景区，尽量避让湿地公园范围。若无法避让，应增加桥梁、涵洞工程，施工期禁止向湿地范围排放生产废水，设置临时工程，避免造成湿地生态系统功能的退化。</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30"/>
        <w:textAlignment w:val="auto"/>
        <w:rPr>
          <w:rFonts w:eastAsia="方正仿宋_GBK"/>
          <w:b w:val="0"/>
          <w:bCs/>
          <w:sz w:val="32"/>
          <w:szCs w:val="32"/>
        </w:rPr>
      </w:pPr>
      <w:r>
        <w:rPr>
          <w:rFonts w:eastAsia="方正楷体_GBK"/>
          <w:b w:val="0"/>
          <w:bCs/>
          <w:sz w:val="32"/>
          <w:szCs w:val="32"/>
        </w:rPr>
        <w:t>水环境影响分析。</w:t>
      </w:r>
      <w:r>
        <w:rPr>
          <w:rFonts w:eastAsia="方正仿宋_GBK"/>
          <w:b w:val="0"/>
          <w:bCs/>
          <w:sz w:val="32"/>
          <w:szCs w:val="32"/>
        </w:rPr>
        <w:t>本次规划中包含水运、</w:t>
      </w:r>
      <w:r>
        <w:rPr>
          <w:rFonts w:hint="eastAsia" w:eastAsia="方正仿宋_GBK"/>
          <w:b w:val="0"/>
          <w:bCs/>
          <w:sz w:val="32"/>
          <w:szCs w:val="32"/>
        </w:rPr>
        <w:t>铁路</w:t>
      </w:r>
      <w:r>
        <w:rPr>
          <w:rFonts w:eastAsia="方正仿宋_GBK"/>
          <w:b w:val="0"/>
          <w:bCs/>
          <w:sz w:val="32"/>
          <w:szCs w:val="32"/>
        </w:rPr>
        <w:t>和枢纽场站</w:t>
      </w:r>
      <w:r>
        <w:rPr>
          <w:rFonts w:hint="eastAsia" w:eastAsia="方正仿宋_GBK"/>
          <w:b w:val="0"/>
          <w:bCs/>
          <w:sz w:val="32"/>
          <w:szCs w:val="32"/>
        </w:rPr>
        <w:t>等</w:t>
      </w:r>
      <w:r>
        <w:rPr>
          <w:rFonts w:eastAsia="方正仿宋_GBK"/>
          <w:b w:val="0"/>
          <w:bCs/>
          <w:sz w:val="32"/>
          <w:szCs w:val="32"/>
        </w:rPr>
        <w:t>项目，项目主要是房建工程挖方可能对地下水环境产生影响，由于项目房建挖方深度较浅，一般只是对表层的潜水产生影响，对深层的承压水不会造成污染，房建工程的占地范围有限，污染物质较简单，通过土壤的过滤作用，对地下水水质的影响较小。</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30"/>
        <w:textAlignment w:val="auto"/>
        <w:rPr>
          <w:rFonts w:eastAsia="方正仿宋_GBK"/>
          <w:b w:val="0"/>
          <w:bCs/>
          <w:sz w:val="32"/>
          <w:szCs w:val="32"/>
        </w:rPr>
      </w:pPr>
      <w:r>
        <w:rPr>
          <w:rFonts w:eastAsia="方正楷体_GBK"/>
          <w:b w:val="0"/>
          <w:bCs/>
          <w:sz w:val="32"/>
          <w:szCs w:val="32"/>
        </w:rPr>
        <w:t>环境空气影响分析。</w:t>
      </w:r>
      <w:r>
        <w:rPr>
          <w:rFonts w:eastAsia="方正仿宋_GBK"/>
          <w:b w:val="0"/>
          <w:bCs/>
          <w:sz w:val="32"/>
          <w:szCs w:val="32"/>
          <w:lang w:val="en"/>
        </w:rPr>
        <w:t>“</w:t>
      </w:r>
      <w:r>
        <w:rPr>
          <w:rFonts w:eastAsia="方正仿宋_GBK"/>
          <w:b w:val="0"/>
          <w:bCs/>
          <w:sz w:val="32"/>
          <w:szCs w:val="32"/>
        </w:rPr>
        <w:t>十四五</w:t>
      </w:r>
      <w:r>
        <w:rPr>
          <w:rFonts w:eastAsia="方正仿宋_GBK"/>
          <w:b w:val="0"/>
          <w:bCs/>
          <w:sz w:val="32"/>
          <w:szCs w:val="32"/>
          <w:lang w:val="en"/>
        </w:rPr>
        <w:t>”</w:t>
      </w:r>
      <w:r>
        <w:rPr>
          <w:rFonts w:eastAsia="方正仿宋_GBK"/>
          <w:b w:val="0"/>
          <w:bCs/>
          <w:sz w:val="32"/>
          <w:szCs w:val="32"/>
        </w:rPr>
        <w:t>综合交通规划实施后，各种运输方式仍会对环境空气造成影响。如公路行驶车辆尾气、港口装卸产生粉尘、油品运输和装卸产生的油气、船舶烟气、枢纽站场汽车尾气、装卸粉尘等。均采用清洁能源、安装油烟净化装置等措施控制，其影响很小。</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30"/>
        <w:textAlignment w:val="auto"/>
        <w:rPr>
          <w:rFonts w:eastAsia="方正仿宋_GBK"/>
          <w:b w:val="0"/>
          <w:bCs/>
          <w:sz w:val="32"/>
          <w:szCs w:val="32"/>
        </w:rPr>
      </w:pPr>
      <w:r>
        <w:rPr>
          <w:rFonts w:eastAsia="方正楷体_GBK"/>
          <w:b w:val="0"/>
          <w:bCs/>
          <w:sz w:val="32"/>
          <w:szCs w:val="32"/>
        </w:rPr>
        <w:t>声环境影响分析。</w:t>
      </w:r>
      <w:r>
        <w:rPr>
          <w:rFonts w:eastAsia="方正仿宋_GBK"/>
          <w:b w:val="0"/>
          <w:bCs/>
          <w:sz w:val="32"/>
          <w:szCs w:val="32"/>
        </w:rPr>
        <w:t>铁路项目运营期产生的噪声主要是牵引动力噪声、轮轨噪声和空气动力性噪声，对沿线的居民点、村庄、学校、医院的声环境造成影响。公路项目运营期产生的噪声主要由动力噪声和轮胎噪声两部分构成。水运项目对营运期产生的噪声主要是船舶运行噪声，包括发动机噪声和鸣笛噪声及港口码头运行的生产设备噪声。</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30"/>
        <w:textAlignment w:val="auto"/>
        <w:rPr>
          <w:rFonts w:eastAsia="方正仿宋_GBK"/>
          <w:b w:val="0"/>
          <w:bCs/>
          <w:sz w:val="32"/>
          <w:szCs w:val="32"/>
        </w:rPr>
      </w:pPr>
    </w:p>
    <w:p>
      <w:pPr>
        <w:keepNext w:val="0"/>
        <w:keepLines w:val="0"/>
        <w:pageBreakBefore w:val="0"/>
        <w:widowControl w:val="0"/>
        <w:kinsoku/>
        <w:wordWrap/>
        <w:overflowPunct/>
        <w:topLinePunct w:val="0"/>
        <w:autoSpaceDE/>
        <w:autoSpaceDN/>
        <w:bidi w:val="0"/>
        <w:adjustRightInd w:val="0"/>
        <w:snapToGrid w:val="0"/>
        <w:spacing w:afterLines="0" w:line="276" w:lineRule="auto"/>
        <w:jc w:val="center"/>
        <w:textAlignment w:val="auto"/>
        <w:outlineLvl w:val="1"/>
        <w:rPr>
          <w:rFonts w:hint="eastAsia" w:ascii="方正楷体_GBK" w:hAnsi="方正楷体_GBK" w:eastAsia="方正楷体_GBK" w:cs="方正楷体_GBK"/>
          <w:b w:val="0"/>
          <w:bCs/>
          <w:sz w:val="32"/>
          <w:szCs w:val="32"/>
        </w:rPr>
      </w:pPr>
      <w:bookmarkStart w:id="233" w:name="_Toc4999"/>
      <w:bookmarkStart w:id="234" w:name="_Toc939831981"/>
      <w:bookmarkStart w:id="235" w:name="_Toc1824365480"/>
      <w:bookmarkStart w:id="236" w:name="_Toc171242099_WPSOffice_Level2"/>
      <w:r>
        <w:rPr>
          <w:rFonts w:hint="eastAsia" w:ascii="方正楷体_GBK" w:hAnsi="方正楷体_GBK" w:eastAsia="方正楷体_GBK" w:cs="方正楷体_GBK"/>
          <w:b w:val="0"/>
          <w:bCs/>
          <w:sz w:val="32"/>
          <w:szCs w:val="32"/>
        </w:rPr>
        <w:t xml:space="preserve">第二节 </w:t>
      </w:r>
      <w:r>
        <w:rPr>
          <w:rFonts w:hint="default" w:ascii="方正楷体_GBK" w:hAnsi="方正楷体_GBK" w:eastAsia="方正楷体_GBK" w:cs="方正楷体_GBK"/>
          <w:b w:val="0"/>
          <w:bCs/>
          <w:sz w:val="32"/>
          <w:szCs w:val="32"/>
          <w:lang w:val="en"/>
        </w:rPr>
        <w:t xml:space="preserve"> </w:t>
      </w:r>
      <w:r>
        <w:rPr>
          <w:rFonts w:hint="eastAsia" w:ascii="方正楷体_GBK" w:hAnsi="方正楷体_GBK" w:eastAsia="方正楷体_GBK" w:cs="方正楷体_GBK"/>
          <w:b w:val="0"/>
          <w:bCs/>
          <w:sz w:val="32"/>
          <w:szCs w:val="32"/>
        </w:rPr>
        <w:t>环境影响对策</w:t>
      </w:r>
      <w:bookmarkEnd w:id="233"/>
      <w:bookmarkEnd w:id="234"/>
      <w:bookmarkEnd w:id="235"/>
      <w:bookmarkEnd w:id="236"/>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30"/>
        <w:textAlignment w:val="auto"/>
        <w:rPr>
          <w:rFonts w:eastAsia="方正楷体_GBK"/>
          <w:b w:val="0"/>
          <w:bCs/>
          <w:sz w:val="32"/>
          <w:szCs w:val="32"/>
        </w:rPr>
      </w:pP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30"/>
        <w:textAlignment w:val="auto"/>
        <w:rPr>
          <w:rFonts w:eastAsia="方正仿宋_GBK"/>
          <w:b w:val="0"/>
          <w:bCs/>
          <w:sz w:val="32"/>
          <w:szCs w:val="32"/>
        </w:rPr>
      </w:pPr>
      <w:r>
        <w:rPr>
          <w:rFonts w:eastAsia="方正楷体_GBK"/>
          <w:b w:val="0"/>
          <w:bCs/>
          <w:sz w:val="32"/>
          <w:szCs w:val="32"/>
        </w:rPr>
        <w:t>生态环境方面。</w:t>
      </w:r>
      <w:r>
        <w:rPr>
          <w:rFonts w:hint="eastAsia" w:eastAsia="方正仿宋_GBK"/>
          <w:b w:val="0"/>
          <w:bCs/>
          <w:sz w:val="32"/>
          <w:szCs w:val="32"/>
        </w:rPr>
        <w:t>规划阶段合理规划布局，在保证路网完整性、通达性的前提下，在重点生态功能区集中分布区域尽量控制路网密度，避免或减少规划对现有受人类活动干扰小的区域的扰动。可行性研究阶段应充分考虑项目实施造成的生态破坏问题，选择地表扰动小的技术指标，选择生态影响小的路线方案，避让生态系统结构复杂、功能丰富的森林植被区域。设计阶段要求选择合理的工程布局方案、工程形式、工程防护措施，落实具体工程环评及其批复提出的环保措施。施工阶段要求加强施工管理，严格控制施工区域，合理利用和处置土石方，集中设置取土、弃渣场，减少地表扰动和植被破坏。</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30"/>
        <w:textAlignment w:val="auto"/>
        <w:rPr>
          <w:rFonts w:eastAsia="方正仿宋_GBK"/>
          <w:b w:val="0"/>
          <w:bCs/>
          <w:sz w:val="32"/>
          <w:szCs w:val="32"/>
        </w:rPr>
      </w:pPr>
      <w:r>
        <w:rPr>
          <w:rFonts w:eastAsia="方正楷体_GBK"/>
          <w:b w:val="0"/>
          <w:bCs/>
          <w:sz w:val="32"/>
          <w:szCs w:val="32"/>
        </w:rPr>
        <w:t>水环境方面。</w:t>
      </w:r>
      <w:r>
        <w:rPr>
          <w:rFonts w:hint="eastAsia" w:eastAsia="方正仿宋_GBK"/>
          <w:b w:val="0"/>
          <w:bCs/>
          <w:sz w:val="32"/>
          <w:szCs w:val="32"/>
        </w:rPr>
        <w:t>在铁路、公路项目的可行性研究阶段，要认真调查论证路线走向与地表水系的相互关系，设计足够的涵洞、桥梁，以减少高路基对地表径流的影响；在跨越河流、水库等水体时，尽量采用桥涵跨过，减少使用堆填式的路基结构，减小对地表水体的影响；尽可能避免使现有河流水体的改道，维系原有地表水体水文条件。加强对排水设施的管理和修缮，不使未经沉淀的路面径流随意排入农田、湿地或河流，或因路面径流泄露而污染饮用水源。沿线设施产生的生活污水集中产生地应设有污水处理设施，不能将未经处理的污水随意排放。</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30"/>
        <w:textAlignment w:val="auto"/>
        <w:rPr>
          <w:rFonts w:eastAsia="方正仿宋_GBK"/>
          <w:b w:val="0"/>
          <w:bCs/>
          <w:sz w:val="32"/>
          <w:szCs w:val="32"/>
        </w:rPr>
      </w:pPr>
      <w:r>
        <w:rPr>
          <w:rFonts w:eastAsia="方正楷体_GBK"/>
          <w:b w:val="0"/>
          <w:bCs/>
          <w:sz w:val="32"/>
          <w:szCs w:val="32"/>
        </w:rPr>
        <w:t>环境空气方面。</w:t>
      </w:r>
      <w:r>
        <w:rPr>
          <w:rFonts w:hint="eastAsia" w:eastAsia="方正仿宋_GBK"/>
          <w:b w:val="0"/>
          <w:bCs/>
          <w:sz w:val="32"/>
          <w:szCs w:val="32"/>
        </w:rPr>
        <w:t>综合交通运输发展规划布局应加强与城市总体规划的衔接，预留大气防护距离，使铁路、公路及城市轨道交通、港口和站场中易发生粉尘废气的排放点与环境敏感目标保持必要的控制距离。合理布局，根据国家、行业、地方等相关防护规定，合理设置大气环境防护距离。规划区内企业使用天然气、电等清洁能源。加强工艺废气的收集处理，提高废气污染物处理效率，确保工艺废气达标排放。加强道路两侧绿化，降低汽车尾气的影响。</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30"/>
        <w:textAlignment w:val="auto"/>
        <w:rPr>
          <w:rFonts w:eastAsia="方正仿宋_GBK"/>
          <w:b w:val="0"/>
          <w:bCs/>
          <w:sz w:val="32"/>
          <w:szCs w:val="32"/>
        </w:rPr>
      </w:pPr>
      <w:r>
        <w:rPr>
          <w:rFonts w:eastAsia="方正楷体_GBK"/>
          <w:b w:val="0"/>
          <w:bCs/>
          <w:sz w:val="32"/>
          <w:szCs w:val="32"/>
        </w:rPr>
        <w:t>声环境方面。</w:t>
      </w:r>
      <w:r>
        <w:rPr>
          <w:rFonts w:hint="eastAsia" w:eastAsia="方正仿宋_GBK"/>
          <w:b w:val="0"/>
          <w:bCs/>
          <w:sz w:val="32"/>
          <w:szCs w:val="32"/>
        </w:rPr>
        <w:t>合理规划布局，进行方案比选，合理选址、优化线位，选址选线尽量远离居民点、学校、医院等声环境敏感点。选用低噪声施工机械、设备和工艺。加强施工管理，合理安排施工作业时段，在声环境敏感点分布的施工作业区域，避免夜间（10:00～次日06:00）进行高噪声施工作业。铁路建设及运营单位应加强线路养护、车辆保养、定期检修、镟轮等措施，采购选用新型车辆、低噪声车体等，提高线路标准，从而有效降低铁路的噪声影响。从改进汽车本身和改进道路两个方面控制噪声源。港口码头项目营运期加强船岸协调，尽量减少船舶鸣笛次数，建议夜间禁止船舶鸣笛。当地管理部门应当在飞机起飞、降落的净空周围划定限制建设噪声敏感建筑物的区域；在该区域内建设噪声敏感建筑物的，建设单位应当采取减轻、避免航空器运行时产生的噪声影响的措施。</w:t>
      </w:r>
    </w:p>
    <w:p>
      <w:pPr>
        <w:keepNext w:val="0"/>
        <w:keepLines w:val="0"/>
        <w:pageBreakBefore w:val="0"/>
        <w:widowControl w:val="0"/>
        <w:kinsoku/>
        <w:wordWrap/>
        <w:overflowPunct/>
        <w:topLinePunct w:val="0"/>
        <w:autoSpaceDE/>
        <w:autoSpaceDN/>
        <w:bidi w:val="0"/>
        <w:adjustRightInd w:val="0"/>
        <w:snapToGrid w:val="0"/>
        <w:spacing w:before="0" w:after="0" w:afterLines="0" w:line="276" w:lineRule="auto"/>
        <w:ind w:firstLine="640" w:firstLineChars="200"/>
        <w:textAlignment w:val="auto"/>
        <w:rPr>
          <w:rFonts w:ascii="Times New Roman" w:hAnsi="Times New Roman" w:eastAsia="方正黑体_GBK"/>
          <w:b w:val="0"/>
          <w:bCs/>
          <w:sz w:val="32"/>
          <w:szCs w:val="32"/>
        </w:rPr>
      </w:pPr>
      <w:bookmarkStart w:id="237" w:name="_Toc54027183"/>
      <w:bookmarkStart w:id="238" w:name="_Toc12202"/>
    </w:p>
    <w:p>
      <w:pPr>
        <w:pStyle w:val="18"/>
        <w:keepNext w:val="0"/>
        <w:keepLines w:val="0"/>
        <w:pageBreakBefore w:val="0"/>
        <w:widowControl w:val="0"/>
        <w:kinsoku/>
        <w:wordWrap/>
        <w:overflowPunct/>
        <w:topLinePunct w:val="0"/>
        <w:autoSpaceDE/>
        <w:autoSpaceDN/>
        <w:bidi w:val="0"/>
        <w:adjustRightInd w:val="0"/>
        <w:snapToGrid w:val="0"/>
        <w:spacing w:before="0" w:after="0" w:afterLines="0" w:line="276" w:lineRule="auto"/>
        <w:textAlignment w:val="auto"/>
        <w:rPr>
          <w:rFonts w:hint="eastAsia" w:ascii="方正黑体_GBK" w:hAnsi="方正黑体_GBK" w:eastAsia="方正黑体_GBK" w:cs="方正黑体_GBK"/>
          <w:b w:val="0"/>
          <w:sz w:val="32"/>
          <w:szCs w:val="32"/>
        </w:rPr>
      </w:pPr>
      <w:bookmarkStart w:id="239" w:name="_Toc97736647_WPSOffice_Level1"/>
      <w:bookmarkStart w:id="240" w:name="_Toc684981837"/>
      <w:bookmarkStart w:id="241" w:name="_Toc1288640666"/>
      <w:r>
        <w:rPr>
          <w:rFonts w:hint="eastAsia" w:ascii="方正黑体_GBK" w:hAnsi="方正黑体_GBK" w:eastAsia="方正黑体_GBK" w:cs="方正黑体_GBK"/>
          <w:b w:val="0"/>
          <w:bCs/>
          <w:sz w:val="32"/>
          <w:szCs w:val="32"/>
        </w:rPr>
        <w:t xml:space="preserve">第十三章  </w:t>
      </w:r>
      <w:r>
        <w:rPr>
          <w:rFonts w:hint="eastAsia" w:ascii="方正黑体_GBK" w:hAnsi="方正黑体_GBK" w:eastAsia="方正黑体_GBK" w:cs="方正黑体_GBK"/>
          <w:b w:val="0"/>
          <w:bCs/>
          <w:sz w:val="32"/>
          <w:szCs w:val="32"/>
          <w:lang w:val="en"/>
        </w:rPr>
        <w:t>“</w:t>
      </w:r>
      <w:r>
        <w:rPr>
          <w:rFonts w:hint="eastAsia" w:ascii="方正黑体_GBK" w:hAnsi="方正黑体_GBK" w:eastAsia="方正黑体_GBK" w:cs="方正黑体_GBK"/>
          <w:b w:val="0"/>
          <w:bCs/>
          <w:sz w:val="32"/>
          <w:szCs w:val="32"/>
        </w:rPr>
        <w:t>十四五</w:t>
      </w:r>
      <w:r>
        <w:rPr>
          <w:rFonts w:hint="eastAsia" w:ascii="方正黑体_GBK" w:hAnsi="方正黑体_GBK" w:eastAsia="方正黑体_GBK" w:cs="方正黑体_GBK"/>
          <w:b w:val="0"/>
          <w:bCs/>
          <w:sz w:val="32"/>
          <w:szCs w:val="32"/>
          <w:lang w:val="en"/>
        </w:rPr>
        <w:t>”</w:t>
      </w:r>
      <w:r>
        <w:rPr>
          <w:rFonts w:hint="eastAsia" w:ascii="方正黑体_GBK" w:hAnsi="方正黑体_GBK" w:eastAsia="方正黑体_GBK" w:cs="方正黑体_GBK"/>
          <w:b w:val="0"/>
          <w:bCs/>
          <w:sz w:val="32"/>
          <w:szCs w:val="32"/>
        </w:rPr>
        <w:t>资金匡算与规</w:t>
      </w:r>
      <w:bookmarkEnd w:id="239"/>
      <w:r>
        <w:rPr>
          <w:rFonts w:hint="eastAsia" w:ascii="方正黑体_GBK" w:hAnsi="方正黑体_GBK" w:eastAsia="方正黑体_GBK" w:cs="方正黑体_GBK"/>
          <w:b w:val="0"/>
          <w:bCs/>
          <w:sz w:val="32"/>
          <w:szCs w:val="32"/>
        </w:rPr>
        <w:t>划效果</w:t>
      </w:r>
      <w:bookmarkEnd w:id="237"/>
      <w:bookmarkEnd w:id="238"/>
      <w:bookmarkEnd w:id="240"/>
      <w:bookmarkEnd w:id="241"/>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jc w:val="left"/>
        <w:textAlignment w:val="auto"/>
        <w:outlineLvl w:val="9"/>
        <w:rPr>
          <w:rFonts w:hint="default" w:ascii="Times New Roman" w:hAnsi="Times New Roman" w:eastAsia="方正仿宋_GBK" w:cs="Times New Roman"/>
          <w:b w:val="0"/>
          <w:bCs/>
          <w:sz w:val="32"/>
          <w:szCs w:val="32"/>
        </w:rPr>
      </w:pPr>
      <w:bookmarkStart w:id="242" w:name="_Toc54027184"/>
      <w:bookmarkStart w:id="243" w:name="_Toc30744"/>
    </w:p>
    <w:p>
      <w:pPr>
        <w:keepNext w:val="0"/>
        <w:keepLines w:val="0"/>
        <w:pageBreakBefore w:val="0"/>
        <w:widowControl w:val="0"/>
        <w:kinsoku/>
        <w:wordWrap/>
        <w:overflowPunct/>
        <w:topLinePunct w:val="0"/>
        <w:autoSpaceDE/>
        <w:autoSpaceDN/>
        <w:bidi w:val="0"/>
        <w:adjustRightInd w:val="0"/>
        <w:snapToGrid w:val="0"/>
        <w:spacing w:afterLines="0" w:line="276" w:lineRule="auto"/>
        <w:jc w:val="center"/>
        <w:textAlignment w:val="auto"/>
        <w:outlineLvl w:val="1"/>
        <w:rPr>
          <w:rFonts w:hint="eastAsia" w:ascii="方正楷体_GBK" w:hAnsi="方正楷体_GBK" w:eastAsia="方正楷体_GBK" w:cs="方正楷体_GBK"/>
          <w:b w:val="0"/>
          <w:bCs/>
          <w:sz w:val="32"/>
          <w:szCs w:val="32"/>
        </w:rPr>
      </w:pPr>
      <w:bookmarkStart w:id="244" w:name="_Toc458669846"/>
      <w:bookmarkStart w:id="245" w:name="_Toc2133347292"/>
      <w:bookmarkStart w:id="246" w:name="_Toc456275070_WPSOffice_Level2"/>
      <w:r>
        <w:rPr>
          <w:rFonts w:hint="eastAsia" w:ascii="方正楷体_GBK" w:hAnsi="方正楷体_GBK" w:eastAsia="方正楷体_GBK" w:cs="方正楷体_GBK"/>
          <w:b w:val="0"/>
          <w:bCs/>
          <w:sz w:val="32"/>
          <w:szCs w:val="32"/>
        </w:rPr>
        <w:t>第一节</w:t>
      </w:r>
      <w:r>
        <w:rPr>
          <w:rFonts w:hint="default" w:ascii="方正楷体_GBK" w:hAnsi="方正楷体_GBK" w:eastAsia="方正楷体_GBK" w:cs="方正楷体_GBK"/>
          <w:b w:val="0"/>
          <w:bCs/>
          <w:sz w:val="32"/>
          <w:szCs w:val="32"/>
          <w:lang w:val="en"/>
        </w:rPr>
        <w:t xml:space="preserve"> </w:t>
      </w:r>
      <w:r>
        <w:rPr>
          <w:rFonts w:hint="eastAsia" w:ascii="方正楷体_GBK" w:hAnsi="方正楷体_GBK" w:eastAsia="方正楷体_GBK" w:cs="方正楷体_GBK"/>
          <w:b w:val="0"/>
          <w:bCs/>
          <w:sz w:val="32"/>
          <w:szCs w:val="32"/>
        </w:rPr>
        <w:t xml:space="preserve"> 资金需求</w:t>
      </w:r>
      <w:bookmarkEnd w:id="242"/>
      <w:bookmarkEnd w:id="243"/>
      <w:bookmarkEnd w:id="244"/>
      <w:bookmarkEnd w:id="245"/>
      <w:bookmarkEnd w:id="246"/>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仿宋_GBK"/>
          <w:b w:val="0"/>
          <w:bCs/>
          <w:sz w:val="32"/>
          <w:szCs w:val="32"/>
        </w:rPr>
      </w:pP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仿宋_GBK"/>
          <w:b w:val="0"/>
          <w:bCs/>
          <w:sz w:val="32"/>
          <w:szCs w:val="32"/>
        </w:rPr>
      </w:pPr>
      <w:r>
        <w:rPr>
          <w:rFonts w:eastAsia="方正仿宋_GBK"/>
          <w:b w:val="0"/>
          <w:bCs/>
          <w:sz w:val="32"/>
          <w:szCs w:val="32"/>
          <w:lang w:val="en"/>
        </w:rPr>
        <w:t>“</w:t>
      </w:r>
      <w:r>
        <w:rPr>
          <w:rFonts w:eastAsia="方正仿宋_GBK"/>
          <w:b w:val="0"/>
          <w:bCs/>
          <w:sz w:val="32"/>
          <w:szCs w:val="32"/>
        </w:rPr>
        <w:t>十四五</w:t>
      </w:r>
      <w:r>
        <w:rPr>
          <w:rFonts w:eastAsia="方正仿宋_GBK"/>
          <w:b w:val="0"/>
          <w:bCs/>
          <w:sz w:val="32"/>
          <w:szCs w:val="32"/>
          <w:lang w:val="en"/>
        </w:rPr>
        <w:t>”</w:t>
      </w:r>
      <w:r>
        <w:rPr>
          <w:rFonts w:eastAsia="方正仿宋_GBK"/>
          <w:b w:val="0"/>
          <w:bCs/>
          <w:sz w:val="32"/>
          <w:szCs w:val="32"/>
        </w:rPr>
        <w:t>综合交通规划总投资约</w:t>
      </w:r>
      <w:r>
        <w:rPr>
          <w:rFonts w:hint="eastAsia" w:eastAsia="方正仿宋_GBK"/>
          <w:b w:val="0"/>
          <w:bCs/>
          <w:sz w:val="32"/>
          <w:szCs w:val="32"/>
        </w:rPr>
        <w:t>284亿</w:t>
      </w:r>
      <w:r>
        <w:rPr>
          <w:rFonts w:eastAsia="方正仿宋_GBK"/>
          <w:b w:val="0"/>
          <w:bCs/>
          <w:sz w:val="32"/>
          <w:szCs w:val="32"/>
        </w:rPr>
        <w:t>元，</w:t>
      </w:r>
      <w:r>
        <w:rPr>
          <w:rFonts w:hint="eastAsia" w:eastAsia="方正仿宋_GBK"/>
          <w:b w:val="0"/>
          <w:bCs/>
          <w:sz w:val="32"/>
          <w:szCs w:val="32"/>
        </w:rPr>
        <w:t>其中</w:t>
      </w:r>
      <w:r>
        <w:rPr>
          <w:rFonts w:eastAsia="方正仿宋_GBK"/>
          <w:b w:val="0"/>
          <w:bCs/>
          <w:sz w:val="32"/>
          <w:szCs w:val="32"/>
        </w:rPr>
        <w:t>铁路投资84亿元，公路投资1</w:t>
      </w:r>
      <w:r>
        <w:rPr>
          <w:rFonts w:hint="eastAsia" w:eastAsia="方正仿宋_GBK"/>
          <w:b w:val="0"/>
          <w:bCs/>
          <w:sz w:val="32"/>
          <w:szCs w:val="32"/>
        </w:rPr>
        <w:t>54</w:t>
      </w:r>
      <w:r>
        <w:rPr>
          <w:rFonts w:eastAsia="方正仿宋_GBK"/>
          <w:b w:val="0"/>
          <w:bCs/>
          <w:sz w:val="32"/>
          <w:szCs w:val="32"/>
        </w:rPr>
        <w:t>亿元，内河航运投资19亿元，机场投资1亿元，综合交通枢纽投资19亿元，智慧绿色交通投资</w:t>
      </w:r>
      <w:r>
        <w:rPr>
          <w:rFonts w:hint="eastAsia" w:eastAsia="方正仿宋_GBK"/>
          <w:b w:val="0"/>
          <w:bCs/>
          <w:sz w:val="32"/>
          <w:szCs w:val="32"/>
        </w:rPr>
        <w:t>6</w:t>
      </w:r>
      <w:r>
        <w:rPr>
          <w:rFonts w:eastAsia="方正仿宋_GBK"/>
          <w:b w:val="0"/>
          <w:bCs/>
          <w:sz w:val="32"/>
          <w:szCs w:val="32"/>
        </w:rPr>
        <w:t>亿元。</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仿宋_GBK"/>
          <w:b w:val="0"/>
          <w:bCs/>
          <w:sz w:val="32"/>
          <w:szCs w:val="32"/>
        </w:rPr>
      </w:pPr>
    </w:p>
    <w:bookmarkEnd w:id="101"/>
    <w:p>
      <w:pPr>
        <w:keepNext w:val="0"/>
        <w:keepLines w:val="0"/>
        <w:pageBreakBefore w:val="0"/>
        <w:widowControl w:val="0"/>
        <w:kinsoku/>
        <w:wordWrap/>
        <w:overflowPunct/>
        <w:topLinePunct w:val="0"/>
        <w:autoSpaceDE/>
        <w:autoSpaceDN/>
        <w:bidi w:val="0"/>
        <w:adjustRightInd w:val="0"/>
        <w:snapToGrid w:val="0"/>
        <w:spacing w:afterLines="0" w:line="276" w:lineRule="auto"/>
        <w:jc w:val="center"/>
        <w:textAlignment w:val="auto"/>
        <w:outlineLvl w:val="1"/>
        <w:rPr>
          <w:rFonts w:hint="eastAsia" w:ascii="方正楷体_GBK" w:hAnsi="方正楷体_GBK" w:eastAsia="方正楷体_GBK" w:cs="方正楷体_GBK"/>
          <w:b w:val="0"/>
          <w:bCs/>
          <w:sz w:val="32"/>
          <w:szCs w:val="32"/>
        </w:rPr>
      </w:pPr>
      <w:bookmarkStart w:id="247" w:name="_Toc22329"/>
      <w:bookmarkStart w:id="248" w:name="_Toc70955297"/>
      <w:bookmarkStart w:id="249" w:name="_Toc171525809"/>
      <w:bookmarkStart w:id="250" w:name="_Toc664329211_WPSOffice_Level2"/>
      <w:r>
        <w:rPr>
          <w:rFonts w:hint="eastAsia" w:ascii="方正楷体_GBK" w:hAnsi="方正楷体_GBK" w:eastAsia="方正楷体_GBK" w:cs="方正楷体_GBK"/>
          <w:b w:val="0"/>
          <w:bCs/>
          <w:sz w:val="32"/>
          <w:szCs w:val="32"/>
        </w:rPr>
        <w:t>第二节</w:t>
      </w:r>
      <w:r>
        <w:rPr>
          <w:rFonts w:hint="default" w:ascii="方正楷体_GBK" w:hAnsi="方正楷体_GBK" w:eastAsia="方正楷体_GBK" w:cs="方正楷体_GBK"/>
          <w:b w:val="0"/>
          <w:bCs/>
          <w:sz w:val="32"/>
          <w:szCs w:val="32"/>
          <w:lang w:val="en"/>
        </w:rPr>
        <w:t xml:space="preserve"> </w:t>
      </w:r>
      <w:r>
        <w:rPr>
          <w:rFonts w:hint="eastAsia" w:ascii="方正楷体_GBK" w:hAnsi="方正楷体_GBK" w:eastAsia="方正楷体_GBK" w:cs="方正楷体_GBK"/>
          <w:b w:val="0"/>
          <w:bCs/>
          <w:sz w:val="32"/>
          <w:szCs w:val="32"/>
        </w:rPr>
        <w:t xml:space="preserve"> 规划效果</w:t>
      </w:r>
      <w:bookmarkEnd w:id="247"/>
      <w:bookmarkEnd w:id="248"/>
      <w:bookmarkEnd w:id="249"/>
      <w:bookmarkEnd w:id="250"/>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仿宋_GBK"/>
          <w:b w:val="0"/>
          <w:bCs/>
          <w:sz w:val="32"/>
          <w:szCs w:val="32"/>
        </w:rPr>
      </w:pP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仿宋_GBK"/>
          <w:b w:val="0"/>
          <w:bCs/>
          <w:sz w:val="32"/>
          <w:szCs w:val="32"/>
        </w:rPr>
      </w:pPr>
      <w:r>
        <w:rPr>
          <w:rFonts w:eastAsia="方正仿宋_GBK"/>
          <w:b w:val="0"/>
          <w:bCs/>
          <w:sz w:val="32"/>
          <w:szCs w:val="32"/>
        </w:rPr>
        <w:t>通过建设外部联通、内部畅通、枢纽贯通、服务互通的</w:t>
      </w:r>
      <w:r>
        <w:rPr>
          <w:rFonts w:eastAsia="方正仿宋_GBK"/>
          <w:b w:val="0"/>
          <w:bCs/>
          <w:sz w:val="32"/>
          <w:szCs w:val="32"/>
          <w:lang w:val="en"/>
        </w:rPr>
        <w:t>“</w:t>
      </w:r>
      <w:r>
        <w:rPr>
          <w:rFonts w:eastAsia="方正仿宋_GBK"/>
          <w:b w:val="0"/>
          <w:bCs/>
          <w:sz w:val="32"/>
          <w:szCs w:val="32"/>
        </w:rPr>
        <w:t>四通</w:t>
      </w:r>
      <w:r>
        <w:rPr>
          <w:rFonts w:eastAsia="方正仿宋_GBK"/>
          <w:b w:val="0"/>
          <w:bCs/>
          <w:sz w:val="32"/>
          <w:szCs w:val="32"/>
          <w:lang w:val="en"/>
        </w:rPr>
        <w:t>”</w:t>
      </w:r>
      <w:r>
        <w:rPr>
          <w:rFonts w:eastAsia="方正仿宋_GBK"/>
          <w:b w:val="0"/>
          <w:bCs/>
          <w:sz w:val="32"/>
          <w:szCs w:val="32"/>
        </w:rPr>
        <w:t>立体综合交通运输网络，永川区将成为成渝地区双城经济圈重要节点城市和区域性综合交通</w:t>
      </w:r>
      <w:r>
        <w:rPr>
          <w:rFonts w:hint="eastAsia" w:eastAsia="方正仿宋_GBK"/>
          <w:b w:val="0"/>
          <w:bCs/>
          <w:sz w:val="32"/>
          <w:szCs w:val="32"/>
        </w:rPr>
        <w:t>物流</w:t>
      </w:r>
      <w:r>
        <w:rPr>
          <w:rFonts w:eastAsia="方正仿宋_GBK"/>
          <w:b w:val="0"/>
          <w:bCs/>
          <w:sz w:val="32"/>
          <w:szCs w:val="32"/>
        </w:rPr>
        <w:t>枢纽，实现以交通优势提升区位优势、彰显战略优势，促进产业、人口及各类生产要素加快向永川集聚，推动永川在成渝地区双城经济圈建设中率先崛起、率先引领。</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仿宋_GBK"/>
          <w:b w:val="0"/>
          <w:bCs/>
          <w:sz w:val="32"/>
          <w:szCs w:val="32"/>
        </w:rPr>
      </w:pPr>
      <w:r>
        <w:rPr>
          <w:rFonts w:eastAsia="方正楷体_GBK"/>
          <w:b w:val="0"/>
          <w:bCs/>
          <w:sz w:val="32"/>
          <w:szCs w:val="32"/>
        </w:rPr>
        <w:t>对外通道更加完善。</w:t>
      </w:r>
      <w:r>
        <w:rPr>
          <w:rFonts w:eastAsia="方正仿宋_GBK"/>
          <w:b w:val="0"/>
          <w:bCs/>
          <w:sz w:val="32"/>
          <w:szCs w:val="32"/>
        </w:rPr>
        <w:t>通过建设四通八达、多式联运的综合立体对外交通网络，助推永川</w:t>
      </w:r>
      <w:r>
        <w:rPr>
          <w:rFonts w:hint="eastAsia" w:eastAsia="方正仿宋_GBK"/>
          <w:b w:val="0"/>
          <w:bCs/>
          <w:sz w:val="32"/>
          <w:szCs w:val="32"/>
        </w:rPr>
        <w:t>加速</w:t>
      </w:r>
      <w:r>
        <w:rPr>
          <w:rFonts w:eastAsia="方正仿宋_GBK"/>
          <w:b w:val="0"/>
          <w:bCs/>
          <w:sz w:val="32"/>
          <w:szCs w:val="32"/>
        </w:rPr>
        <w:t>融入</w:t>
      </w:r>
      <w:r>
        <w:rPr>
          <w:rFonts w:eastAsia="方正仿宋_GBK"/>
          <w:b w:val="0"/>
          <w:bCs/>
          <w:sz w:val="32"/>
          <w:szCs w:val="32"/>
          <w:lang w:val="en"/>
        </w:rPr>
        <w:t>“</w:t>
      </w:r>
      <w:r>
        <w:rPr>
          <w:rFonts w:eastAsia="方正仿宋_GBK"/>
          <w:b w:val="0"/>
          <w:bCs/>
          <w:sz w:val="32"/>
          <w:szCs w:val="32"/>
        </w:rPr>
        <w:t>一带一路</w:t>
      </w:r>
      <w:r>
        <w:rPr>
          <w:rFonts w:eastAsia="方正仿宋_GBK"/>
          <w:b w:val="0"/>
          <w:bCs/>
          <w:sz w:val="32"/>
          <w:szCs w:val="32"/>
          <w:lang w:val="en"/>
        </w:rPr>
        <w:t>”</w:t>
      </w:r>
      <w:r>
        <w:rPr>
          <w:rFonts w:eastAsia="方正仿宋_GBK"/>
          <w:b w:val="0"/>
          <w:bCs/>
          <w:sz w:val="32"/>
          <w:szCs w:val="32"/>
        </w:rPr>
        <w:t>、长江经济带、</w:t>
      </w:r>
      <w:r>
        <w:rPr>
          <w:rFonts w:hint="eastAsia" w:eastAsia="方正仿宋_GBK"/>
          <w:b w:val="0"/>
          <w:bCs/>
          <w:sz w:val="32"/>
          <w:szCs w:val="32"/>
        </w:rPr>
        <w:t>西部</w:t>
      </w:r>
      <w:r>
        <w:rPr>
          <w:rFonts w:eastAsia="方正仿宋_GBK"/>
          <w:b w:val="0"/>
          <w:bCs/>
          <w:sz w:val="32"/>
          <w:szCs w:val="32"/>
        </w:rPr>
        <w:t>陆海新通道等国家战略，使永川成为成渝地区双城经济圈的内陆开放重要节点。</w:t>
      </w:r>
      <w:r>
        <w:rPr>
          <w:rFonts w:hint="eastAsia" w:eastAsia="方正仿宋_GBK"/>
          <w:b w:val="0"/>
          <w:bCs/>
          <w:sz w:val="32"/>
          <w:szCs w:val="32"/>
        </w:rPr>
        <w:t>区域性铁路枢纽地位不断增强，加快形成高铁双通道，全面融入国家高铁网络，</w:t>
      </w:r>
      <w:r>
        <w:rPr>
          <w:rFonts w:eastAsia="方正仿宋_GBK"/>
          <w:b w:val="0"/>
          <w:bCs/>
          <w:sz w:val="32"/>
          <w:szCs w:val="32"/>
        </w:rPr>
        <w:t>铁路营业里程达到150公里。</w:t>
      </w:r>
      <w:r>
        <w:rPr>
          <w:rFonts w:hint="eastAsia" w:eastAsia="方正仿宋_GBK"/>
          <w:b w:val="0"/>
          <w:bCs/>
          <w:sz w:val="32"/>
          <w:szCs w:val="32"/>
        </w:rPr>
        <w:t>区域性公路枢纽地位不断增强，加快建成</w:t>
      </w:r>
      <w:r>
        <w:rPr>
          <w:rFonts w:eastAsia="方正仿宋_GBK"/>
          <w:b w:val="0"/>
          <w:bCs/>
          <w:sz w:val="32"/>
          <w:szCs w:val="32"/>
        </w:rPr>
        <w:t>成渝</w:t>
      </w:r>
      <w:r>
        <w:rPr>
          <w:rFonts w:hint="eastAsia" w:eastAsia="方正仿宋_GBK"/>
          <w:b w:val="0"/>
          <w:bCs/>
          <w:sz w:val="32"/>
          <w:szCs w:val="32"/>
        </w:rPr>
        <w:t>高速</w:t>
      </w:r>
      <w:r>
        <w:rPr>
          <w:rFonts w:eastAsia="方正仿宋_GBK"/>
          <w:b w:val="0"/>
          <w:bCs/>
          <w:sz w:val="32"/>
          <w:szCs w:val="32"/>
        </w:rPr>
        <w:t>加宽、永川至璧山、三环高速陈食至油溪段等项目，高速公路通车里程达到170公里</w:t>
      </w:r>
      <w:r>
        <w:rPr>
          <w:rFonts w:hint="eastAsia" w:eastAsia="方正仿宋_GBK"/>
          <w:b w:val="0"/>
          <w:bCs/>
          <w:sz w:val="32"/>
          <w:szCs w:val="32"/>
        </w:rPr>
        <w:t>，加快实现100%乡镇15分钟上高速</w:t>
      </w:r>
      <w:r>
        <w:rPr>
          <w:rFonts w:eastAsia="方正仿宋_GBK"/>
          <w:b w:val="0"/>
          <w:bCs/>
          <w:sz w:val="32"/>
          <w:szCs w:val="32"/>
        </w:rPr>
        <w:t>。</w:t>
      </w:r>
      <w:r>
        <w:rPr>
          <w:rFonts w:hint="eastAsia" w:eastAsia="方正仿宋_GBK"/>
          <w:b w:val="0"/>
          <w:bCs/>
          <w:sz w:val="32"/>
          <w:szCs w:val="32"/>
        </w:rPr>
        <w:t>区域性航运枢纽地位不断增强，</w:t>
      </w:r>
      <w:r>
        <w:rPr>
          <w:rFonts w:eastAsia="方正仿宋_GBK"/>
          <w:b w:val="0"/>
          <w:bCs/>
          <w:sz w:val="32"/>
          <w:szCs w:val="32"/>
        </w:rPr>
        <w:t>依托长江黄金水道和朱沱港，大力发展铁水联运、公水联运、水水联运，大力吸引渝西、川南、黔北等区域物流在永川中转，全面融入长江经济带发展。</w:t>
      </w:r>
      <w:r>
        <w:rPr>
          <w:rFonts w:hint="eastAsia" w:eastAsia="方正仿宋_GBK"/>
          <w:b w:val="0"/>
          <w:bCs/>
          <w:sz w:val="32"/>
          <w:szCs w:val="32"/>
        </w:rPr>
        <w:t>区域性通用航空基地地位不断增强，</w:t>
      </w:r>
      <w:r>
        <w:rPr>
          <w:rFonts w:eastAsia="方正仿宋_GBK"/>
          <w:b w:val="0"/>
          <w:bCs/>
          <w:sz w:val="32"/>
          <w:szCs w:val="32"/>
        </w:rPr>
        <w:t>大安机场</w:t>
      </w:r>
      <w:r>
        <w:rPr>
          <w:rFonts w:hint="eastAsia" w:eastAsia="方正仿宋_GBK"/>
          <w:b w:val="0"/>
          <w:bCs/>
          <w:sz w:val="32"/>
          <w:szCs w:val="32"/>
        </w:rPr>
        <w:t>功能不断拓展完善，</w:t>
      </w:r>
      <w:r>
        <w:rPr>
          <w:rFonts w:eastAsia="方正仿宋_GBK"/>
          <w:b w:val="0"/>
          <w:bCs/>
          <w:sz w:val="32"/>
          <w:szCs w:val="32"/>
        </w:rPr>
        <w:t>与重庆新机场</w:t>
      </w:r>
      <w:r>
        <w:rPr>
          <w:rFonts w:hint="eastAsia" w:eastAsia="方正仿宋_GBK"/>
          <w:b w:val="0"/>
          <w:bCs/>
          <w:sz w:val="32"/>
          <w:szCs w:val="32"/>
        </w:rPr>
        <w:t>不断</w:t>
      </w:r>
      <w:r>
        <w:rPr>
          <w:rFonts w:eastAsia="方正仿宋_GBK"/>
          <w:b w:val="0"/>
          <w:bCs/>
          <w:sz w:val="32"/>
          <w:szCs w:val="32"/>
        </w:rPr>
        <w:t>协同发展</w:t>
      </w:r>
      <w:r>
        <w:rPr>
          <w:rFonts w:hint="eastAsia" w:eastAsia="方正仿宋_GBK"/>
          <w:b w:val="0"/>
          <w:bCs/>
          <w:sz w:val="32"/>
          <w:szCs w:val="32"/>
        </w:rPr>
        <w:t>。</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仿宋_GBK"/>
          <w:b w:val="0"/>
          <w:bCs/>
          <w:sz w:val="32"/>
          <w:szCs w:val="32"/>
        </w:rPr>
      </w:pPr>
      <w:r>
        <w:rPr>
          <w:rFonts w:eastAsia="方正楷体_GBK"/>
          <w:b w:val="0"/>
          <w:bCs/>
          <w:sz w:val="32"/>
          <w:szCs w:val="32"/>
        </w:rPr>
        <w:t>内部网络更加畅通。</w:t>
      </w:r>
      <w:r>
        <w:rPr>
          <w:rFonts w:eastAsia="方正仿宋_GBK"/>
          <w:b w:val="0"/>
          <w:bCs/>
          <w:sz w:val="32"/>
          <w:szCs w:val="32"/>
        </w:rPr>
        <w:t>升级改造国省道204公里，重要县乡道</w:t>
      </w:r>
      <w:r>
        <w:rPr>
          <w:rFonts w:hint="eastAsia" w:eastAsia="方正仿宋_GBK"/>
          <w:b w:val="0"/>
          <w:bCs/>
          <w:sz w:val="32"/>
          <w:szCs w:val="32"/>
        </w:rPr>
        <w:t>2</w:t>
      </w:r>
      <w:r>
        <w:rPr>
          <w:rFonts w:eastAsia="方正仿宋_GBK"/>
          <w:b w:val="0"/>
          <w:bCs/>
          <w:sz w:val="32"/>
          <w:szCs w:val="32"/>
        </w:rPr>
        <w:t>40公里，新</w:t>
      </w:r>
      <w:r>
        <w:rPr>
          <w:rFonts w:hint="eastAsia" w:eastAsia="方正仿宋_GBK"/>
          <w:b w:val="0"/>
          <w:bCs/>
          <w:sz w:val="32"/>
          <w:szCs w:val="32"/>
        </w:rPr>
        <w:t>改</w:t>
      </w:r>
      <w:r>
        <w:rPr>
          <w:rFonts w:eastAsia="方正仿宋_GBK"/>
          <w:b w:val="0"/>
          <w:bCs/>
          <w:sz w:val="32"/>
          <w:szCs w:val="32"/>
        </w:rPr>
        <w:t>建</w:t>
      </w:r>
      <w:r>
        <w:rPr>
          <w:rFonts w:hint="eastAsia" w:eastAsia="方正仿宋_GBK"/>
          <w:b w:val="0"/>
          <w:bCs/>
          <w:sz w:val="32"/>
          <w:szCs w:val="32"/>
          <w:lang w:eastAsia="zh-CN"/>
        </w:rPr>
        <w:t>“</w:t>
      </w:r>
      <w:r>
        <w:rPr>
          <w:rFonts w:eastAsia="方正仿宋_GBK"/>
          <w:b w:val="0"/>
          <w:bCs/>
          <w:sz w:val="32"/>
          <w:szCs w:val="32"/>
        </w:rPr>
        <w:t>四好农村路</w:t>
      </w:r>
      <w:r>
        <w:rPr>
          <w:rFonts w:hint="eastAsia" w:eastAsia="方正仿宋_GBK"/>
          <w:b w:val="0"/>
          <w:bCs/>
          <w:sz w:val="32"/>
          <w:szCs w:val="32"/>
          <w:lang w:eastAsia="zh-CN"/>
        </w:rPr>
        <w:t>”</w:t>
      </w:r>
      <w:r>
        <w:rPr>
          <w:rFonts w:hint="eastAsia" w:eastAsia="方正仿宋_GBK"/>
          <w:b w:val="0"/>
          <w:bCs/>
          <w:sz w:val="32"/>
          <w:szCs w:val="32"/>
        </w:rPr>
        <w:t>16</w:t>
      </w:r>
      <w:r>
        <w:rPr>
          <w:rFonts w:eastAsia="方正仿宋_GBK"/>
          <w:b w:val="0"/>
          <w:bCs/>
          <w:sz w:val="32"/>
          <w:szCs w:val="32"/>
        </w:rPr>
        <w:t>00公里，永川内部交通网络更加完善，交通内循环更加畅通，</w:t>
      </w:r>
      <w:r>
        <w:rPr>
          <w:rFonts w:hint="eastAsia" w:eastAsia="方正仿宋_GBK"/>
          <w:b w:val="0"/>
          <w:bCs/>
          <w:sz w:val="32"/>
          <w:szCs w:val="32"/>
        </w:rPr>
        <w:t>加快</w:t>
      </w:r>
      <w:r>
        <w:rPr>
          <w:rFonts w:eastAsia="方正仿宋_GBK"/>
          <w:b w:val="0"/>
          <w:bCs/>
          <w:sz w:val="32"/>
          <w:szCs w:val="32"/>
        </w:rPr>
        <w:t>实现</w:t>
      </w:r>
      <w:r>
        <w:rPr>
          <w:rFonts w:eastAsia="方正仿宋_GBK"/>
          <w:b w:val="0"/>
          <w:bCs/>
          <w:sz w:val="32"/>
          <w:szCs w:val="32"/>
          <w:lang w:val="en"/>
        </w:rPr>
        <w:t>“</w:t>
      </w:r>
      <w:r>
        <w:rPr>
          <w:rFonts w:eastAsia="方正仿宋_GBK"/>
          <w:b w:val="0"/>
          <w:bCs/>
          <w:sz w:val="32"/>
          <w:szCs w:val="32"/>
        </w:rPr>
        <w:t>镇际通三级、村际双车道</w:t>
      </w:r>
      <w:r>
        <w:rPr>
          <w:rFonts w:eastAsia="方正仿宋_GBK"/>
          <w:b w:val="0"/>
          <w:bCs/>
          <w:sz w:val="32"/>
          <w:szCs w:val="32"/>
          <w:lang w:val="en"/>
        </w:rPr>
        <w:t>”</w:t>
      </w:r>
      <w:r>
        <w:rPr>
          <w:rFonts w:eastAsia="方正仿宋_GBK"/>
          <w:b w:val="0"/>
          <w:bCs/>
          <w:sz w:val="32"/>
          <w:szCs w:val="32"/>
        </w:rPr>
        <w:t>的目标，实现旅游景区、产业园区至少有2条对外通道，衔接的公路等级不低于三级水平，交通对产业、城镇、旅游的支撑更加有力。</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仿宋_GBK"/>
          <w:b w:val="0"/>
          <w:bCs/>
          <w:sz w:val="32"/>
          <w:szCs w:val="32"/>
        </w:rPr>
      </w:pPr>
      <w:r>
        <w:rPr>
          <w:rFonts w:eastAsia="方正楷体_GBK"/>
          <w:b w:val="0"/>
          <w:bCs/>
          <w:sz w:val="32"/>
          <w:szCs w:val="32"/>
        </w:rPr>
        <w:t>枢纽衔接更加顺畅。</w:t>
      </w:r>
      <w:r>
        <w:rPr>
          <w:rFonts w:eastAsia="方正仿宋_GBK"/>
          <w:b w:val="0"/>
          <w:bCs/>
          <w:sz w:val="32"/>
          <w:szCs w:val="32"/>
        </w:rPr>
        <w:t>综合客运枢纽体系基本成型，永川南站综合客运枢纽实现多种交通方式立体零距离换乘，各客运枢纽间高效联通，实现永川境内各枢纽间30分钟公交通达。基本建成朱沱物流园区域性货运枢纽，打造成为主城都市区重要的铁公水多式联运示范工程。朱沱港、</w:t>
      </w:r>
      <w:r>
        <w:rPr>
          <w:rFonts w:hint="eastAsia" w:eastAsia="方正仿宋_GBK"/>
          <w:b w:val="0"/>
          <w:bCs/>
          <w:sz w:val="32"/>
          <w:szCs w:val="32"/>
        </w:rPr>
        <w:t>凤凰湖供应链物流枢纽</w:t>
      </w:r>
      <w:r>
        <w:rPr>
          <w:rFonts w:eastAsia="方正仿宋_GBK"/>
          <w:b w:val="0"/>
          <w:bCs/>
          <w:sz w:val="32"/>
          <w:szCs w:val="32"/>
        </w:rPr>
        <w:t>等进港铁路、公路建设有序推进，枢纽集疏运体系更加完善。</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仿宋_GBK"/>
          <w:b w:val="0"/>
          <w:bCs/>
          <w:sz w:val="32"/>
          <w:szCs w:val="32"/>
        </w:rPr>
      </w:pPr>
      <w:r>
        <w:rPr>
          <w:rFonts w:eastAsia="方正楷体_GBK"/>
          <w:b w:val="0"/>
          <w:bCs/>
          <w:sz w:val="32"/>
          <w:szCs w:val="32"/>
        </w:rPr>
        <w:t>运输服务更加高效。</w:t>
      </w:r>
      <w:r>
        <w:rPr>
          <w:rFonts w:eastAsia="方正仿宋_GBK"/>
          <w:b w:val="0"/>
          <w:bCs/>
          <w:sz w:val="32"/>
          <w:szCs w:val="32"/>
        </w:rPr>
        <w:t>公交化列车高效运行，实现半小时</w:t>
      </w:r>
      <w:r>
        <w:rPr>
          <w:rFonts w:hint="eastAsia" w:eastAsia="方正仿宋_GBK"/>
          <w:b w:val="0"/>
          <w:bCs/>
          <w:sz w:val="32"/>
          <w:szCs w:val="32"/>
        </w:rPr>
        <w:t>中心城区</w:t>
      </w:r>
      <w:r>
        <w:rPr>
          <w:rFonts w:eastAsia="方正仿宋_GBK"/>
          <w:b w:val="0"/>
          <w:bCs/>
          <w:sz w:val="32"/>
          <w:szCs w:val="32"/>
        </w:rPr>
        <w:t>、半小时周边通勤。新开一批城际公交，优化调整一批公交线路、建设一批公交站场、投放一批电动公交车，公共交通客运服务水平明显提升。货运市场规模化、集约化水平不断提升，多式联运初显成效，农村三级物流体系基本成型，</w:t>
      </w:r>
      <w:r>
        <w:rPr>
          <w:rFonts w:hint="eastAsia" w:eastAsia="方正仿宋_GBK"/>
          <w:b w:val="0"/>
          <w:bCs/>
          <w:sz w:val="32"/>
          <w:szCs w:val="32"/>
        </w:rPr>
        <w:t>持续巩固</w:t>
      </w:r>
      <w:r>
        <w:rPr>
          <w:rFonts w:eastAsia="方正仿宋_GBK"/>
          <w:b w:val="0"/>
          <w:bCs/>
          <w:sz w:val="32"/>
          <w:szCs w:val="32"/>
        </w:rPr>
        <w:t>邮政</w:t>
      </w:r>
      <w:r>
        <w:rPr>
          <w:rFonts w:eastAsia="方正仿宋_GBK"/>
          <w:b w:val="0"/>
          <w:bCs/>
          <w:sz w:val="32"/>
          <w:szCs w:val="32"/>
          <w:lang w:val="en"/>
        </w:rPr>
        <w:t>“</w:t>
      </w:r>
      <w:r>
        <w:rPr>
          <w:rFonts w:eastAsia="方正仿宋_GBK"/>
          <w:b w:val="0"/>
          <w:bCs/>
          <w:sz w:val="32"/>
          <w:szCs w:val="32"/>
        </w:rPr>
        <w:t>村村直通邮</w:t>
      </w:r>
      <w:r>
        <w:rPr>
          <w:rFonts w:eastAsia="方正仿宋_GBK"/>
          <w:b w:val="0"/>
          <w:bCs/>
          <w:sz w:val="32"/>
          <w:szCs w:val="32"/>
          <w:lang w:val="en"/>
        </w:rPr>
        <w:t>”</w:t>
      </w:r>
      <w:r>
        <w:rPr>
          <w:rFonts w:hint="eastAsia" w:eastAsia="方正仿宋_GBK"/>
          <w:b w:val="0"/>
          <w:bCs/>
          <w:sz w:val="32"/>
          <w:szCs w:val="32"/>
        </w:rPr>
        <w:t>，加快实现</w:t>
      </w:r>
      <w:r>
        <w:rPr>
          <w:rFonts w:eastAsia="方正仿宋_GBK"/>
          <w:b w:val="0"/>
          <w:bCs/>
          <w:sz w:val="32"/>
          <w:szCs w:val="32"/>
        </w:rPr>
        <w:t>快递</w:t>
      </w:r>
      <w:r>
        <w:rPr>
          <w:rFonts w:eastAsia="方正仿宋_GBK"/>
          <w:b w:val="0"/>
          <w:bCs/>
          <w:sz w:val="32"/>
          <w:szCs w:val="32"/>
          <w:lang w:val="en"/>
        </w:rPr>
        <w:t>“</w:t>
      </w:r>
      <w:r>
        <w:rPr>
          <w:rFonts w:eastAsia="方正仿宋_GBK"/>
          <w:b w:val="0"/>
          <w:bCs/>
          <w:sz w:val="32"/>
          <w:szCs w:val="32"/>
        </w:rPr>
        <w:t>村村有网点</w:t>
      </w:r>
      <w:r>
        <w:rPr>
          <w:rFonts w:eastAsia="方正仿宋_GBK"/>
          <w:b w:val="0"/>
          <w:bCs/>
          <w:sz w:val="32"/>
          <w:szCs w:val="32"/>
          <w:lang w:val="en"/>
        </w:rPr>
        <w:t>”</w:t>
      </w:r>
      <w:r>
        <w:rPr>
          <w:rFonts w:eastAsia="方正仿宋_GBK"/>
          <w:b w:val="0"/>
          <w:bCs/>
          <w:sz w:val="32"/>
          <w:szCs w:val="32"/>
        </w:rPr>
        <w:t>。智慧绿色安全保障能力大幅提升，行业治理体系更加规范高效。</w:t>
      </w:r>
    </w:p>
    <w:p>
      <w:pPr>
        <w:keepNext w:val="0"/>
        <w:keepLines w:val="0"/>
        <w:pageBreakBefore w:val="0"/>
        <w:widowControl w:val="0"/>
        <w:kinsoku/>
        <w:wordWrap/>
        <w:overflowPunct/>
        <w:topLinePunct w:val="0"/>
        <w:autoSpaceDE/>
        <w:autoSpaceDN/>
        <w:bidi w:val="0"/>
        <w:adjustRightInd w:val="0"/>
        <w:snapToGrid w:val="0"/>
        <w:spacing w:before="0" w:after="0" w:afterLines="0" w:line="276" w:lineRule="auto"/>
        <w:ind w:firstLine="640" w:firstLineChars="200"/>
        <w:textAlignment w:val="auto"/>
        <w:rPr>
          <w:rFonts w:ascii="Times New Roman" w:hAnsi="Times New Roman" w:eastAsia="方正仿宋_GBK" w:cs="Times New Roman"/>
          <w:b w:val="0"/>
          <w:bCs/>
          <w:sz w:val="32"/>
          <w:szCs w:val="32"/>
        </w:rPr>
      </w:pPr>
      <w:bookmarkStart w:id="251" w:name="_Toc9158"/>
    </w:p>
    <w:p>
      <w:pPr>
        <w:pStyle w:val="18"/>
        <w:keepNext w:val="0"/>
        <w:keepLines w:val="0"/>
        <w:pageBreakBefore w:val="0"/>
        <w:widowControl w:val="0"/>
        <w:kinsoku/>
        <w:wordWrap/>
        <w:overflowPunct/>
        <w:topLinePunct w:val="0"/>
        <w:autoSpaceDE/>
        <w:autoSpaceDN/>
        <w:bidi w:val="0"/>
        <w:adjustRightInd w:val="0"/>
        <w:snapToGrid w:val="0"/>
        <w:spacing w:before="0" w:after="0" w:afterLines="0" w:line="276" w:lineRule="auto"/>
        <w:textAlignment w:val="auto"/>
        <w:rPr>
          <w:rFonts w:hint="eastAsia" w:ascii="方正黑体_GBK" w:hAnsi="方正黑体_GBK" w:eastAsia="方正黑体_GBK" w:cs="方正黑体_GBK"/>
          <w:b w:val="0"/>
          <w:sz w:val="32"/>
          <w:szCs w:val="32"/>
        </w:rPr>
      </w:pPr>
      <w:bookmarkStart w:id="252" w:name="_Toc1639023445_WPSOffice_Level1"/>
      <w:bookmarkStart w:id="253" w:name="_Toc736662212"/>
      <w:bookmarkStart w:id="254" w:name="_Toc2057715115"/>
      <w:r>
        <w:rPr>
          <w:rFonts w:hint="eastAsia" w:ascii="方正黑体_GBK" w:hAnsi="方正黑体_GBK" w:eastAsia="方正黑体_GBK" w:cs="方正黑体_GBK"/>
          <w:b w:val="0"/>
          <w:bCs/>
          <w:sz w:val="32"/>
          <w:szCs w:val="32"/>
        </w:rPr>
        <w:t>第十四章  保障措施</w:t>
      </w:r>
      <w:bookmarkEnd w:id="251"/>
      <w:bookmarkEnd w:id="252"/>
      <w:bookmarkEnd w:id="253"/>
      <w:bookmarkEnd w:id="254"/>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楷体_GBK"/>
          <w:b w:val="0"/>
          <w:bCs/>
          <w:sz w:val="32"/>
          <w:szCs w:val="32"/>
        </w:rPr>
      </w:pP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仿宋_GBK"/>
          <w:b w:val="0"/>
          <w:bCs/>
          <w:sz w:val="32"/>
          <w:szCs w:val="32"/>
        </w:rPr>
      </w:pPr>
      <w:r>
        <w:rPr>
          <w:rFonts w:eastAsia="方正楷体_GBK"/>
          <w:b w:val="0"/>
          <w:bCs/>
          <w:sz w:val="32"/>
          <w:szCs w:val="32"/>
        </w:rPr>
        <w:t>加强组织领导。</w:t>
      </w:r>
      <w:r>
        <w:rPr>
          <w:rFonts w:eastAsia="方正仿宋_GBK"/>
          <w:b w:val="0"/>
          <w:bCs/>
          <w:sz w:val="32"/>
          <w:szCs w:val="32"/>
        </w:rPr>
        <w:t>争取建立区内高规格的统筹协调机制，成立由区领导担任组长的</w:t>
      </w:r>
      <w:r>
        <w:rPr>
          <w:rFonts w:eastAsia="方正仿宋_GBK"/>
          <w:b w:val="0"/>
          <w:bCs/>
          <w:sz w:val="32"/>
          <w:szCs w:val="32"/>
          <w:lang w:val="en"/>
        </w:rPr>
        <w:t>“</w:t>
      </w:r>
      <w:r>
        <w:rPr>
          <w:rFonts w:eastAsia="方正仿宋_GBK"/>
          <w:b w:val="0"/>
          <w:bCs/>
          <w:sz w:val="32"/>
          <w:szCs w:val="32"/>
        </w:rPr>
        <w:t>十四五</w:t>
      </w:r>
      <w:r>
        <w:rPr>
          <w:rFonts w:eastAsia="方正仿宋_GBK"/>
          <w:b w:val="0"/>
          <w:bCs/>
          <w:sz w:val="32"/>
          <w:szCs w:val="32"/>
          <w:lang w:val="en"/>
        </w:rPr>
        <w:t>”</w:t>
      </w:r>
      <w:r>
        <w:rPr>
          <w:rFonts w:eastAsia="方正仿宋_GBK"/>
          <w:b w:val="0"/>
          <w:bCs/>
          <w:sz w:val="32"/>
          <w:szCs w:val="32"/>
        </w:rPr>
        <w:t>交通发展工作领导小组，整合各部门各单位力量，齐抓共管，形成合力。推动建立永川区与泸州等区域交通规划建设协同工作机制，按照</w:t>
      </w:r>
      <w:r>
        <w:rPr>
          <w:rFonts w:eastAsia="方正仿宋_GBK"/>
          <w:b w:val="0"/>
          <w:bCs/>
          <w:sz w:val="32"/>
          <w:szCs w:val="32"/>
          <w:lang w:val="en"/>
        </w:rPr>
        <w:t>“</w:t>
      </w:r>
      <w:r>
        <w:rPr>
          <w:rFonts w:eastAsia="方正仿宋_GBK"/>
          <w:b w:val="0"/>
          <w:bCs/>
          <w:sz w:val="32"/>
          <w:szCs w:val="32"/>
        </w:rPr>
        <w:t>统一谋划、一体衔接、互联互通、协同管理、共享共治</w:t>
      </w:r>
      <w:r>
        <w:rPr>
          <w:rFonts w:eastAsia="方正仿宋_GBK"/>
          <w:b w:val="0"/>
          <w:bCs/>
          <w:sz w:val="32"/>
          <w:szCs w:val="32"/>
          <w:lang w:val="en"/>
        </w:rPr>
        <w:t>”</w:t>
      </w:r>
      <w:r>
        <w:rPr>
          <w:rFonts w:eastAsia="方正仿宋_GBK"/>
          <w:b w:val="0"/>
          <w:bCs/>
          <w:sz w:val="32"/>
          <w:szCs w:val="32"/>
        </w:rPr>
        <w:t>的思路，促进区域交通一体化发展。同时，建立规划动态调整机制，加强规划实施的跟踪分析，根据交通运输发展中出现的新情况、新问题适时调整规划和相关政策，增强规划的可操作性。</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仿宋_GBK"/>
          <w:b w:val="0"/>
          <w:bCs/>
          <w:sz w:val="32"/>
          <w:szCs w:val="32"/>
        </w:rPr>
      </w:pPr>
      <w:r>
        <w:rPr>
          <w:rFonts w:eastAsia="方正楷体_GBK"/>
          <w:b w:val="0"/>
          <w:bCs/>
          <w:sz w:val="32"/>
          <w:szCs w:val="32"/>
        </w:rPr>
        <w:t>加大政策支持。</w:t>
      </w:r>
      <w:r>
        <w:rPr>
          <w:rFonts w:eastAsia="方正仿宋_GBK"/>
          <w:b w:val="0"/>
          <w:bCs/>
          <w:sz w:val="32"/>
          <w:szCs w:val="32"/>
        </w:rPr>
        <w:t>加大汇报衔接力度，强化《永川区综合交通</w:t>
      </w:r>
      <w:r>
        <w:rPr>
          <w:rFonts w:hint="eastAsia" w:eastAsia="方正仿宋_GBK"/>
          <w:b w:val="0"/>
          <w:bCs/>
          <w:sz w:val="32"/>
          <w:szCs w:val="32"/>
        </w:rPr>
        <w:t>运输</w:t>
      </w:r>
      <w:r>
        <w:rPr>
          <w:rFonts w:eastAsia="方正仿宋_GBK"/>
          <w:b w:val="0"/>
          <w:bCs/>
          <w:sz w:val="32"/>
          <w:szCs w:val="32"/>
          <w:lang w:val="en"/>
        </w:rPr>
        <w:t>“</w:t>
      </w:r>
      <w:r>
        <w:rPr>
          <w:rFonts w:eastAsia="方正仿宋_GBK"/>
          <w:b w:val="0"/>
          <w:bCs/>
          <w:sz w:val="32"/>
          <w:szCs w:val="32"/>
        </w:rPr>
        <w:t>十四五</w:t>
      </w:r>
      <w:r>
        <w:rPr>
          <w:rFonts w:eastAsia="方正仿宋_GBK"/>
          <w:b w:val="0"/>
          <w:bCs/>
          <w:sz w:val="32"/>
          <w:szCs w:val="32"/>
          <w:lang w:val="en"/>
        </w:rPr>
        <w:t>”</w:t>
      </w:r>
      <w:r>
        <w:rPr>
          <w:rFonts w:eastAsia="方正仿宋_GBK"/>
          <w:b w:val="0"/>
          <w:bCs/>
          <w:sz w:val="32"/>
          <w:szCs w:val="32"/>
        </w:rPr>
        <w:t>发展规划》与《</w:t>
      </w:r>
      <w:r>
        <w:rPr>
          <w:rFonts w:hint="eastAsia" w:eastAsia="方正仿宋_GBK"/>
          <w:b w:val="0"/>
          <w:bCs/>
          <w:sz w:val="32"/>
          <w:szCs w:val="32"/>
        </w:rPr>
        <w:t>重庆市</w:t>
      </w:r>
      <w:r>
        <w:rPr>
          <w:rFonts w:eastAsia="方正仿宋_GBK"/>
          <w:b w:val="0"/>
          <w:bCs/>
          <w:sz w:val="32"/>
          <w:szCs w:val="32"/>
        </w:rPr>
        <w:t>综合交通</w:t>
      </w:r>
      <w:r>
        <w:rPr>
          <w:rFonts w:hint="eastAsia" w:eastAsia="方正仿宋_GBK"/>
          <w:b w:val="0"/>
          <w:bCs/>
          <w:sz w:val="32"/>
          <w:szCs w:val="32"/>
        </w:rPr>
        <w:t>运输</w:t>
      </w:r>
      <w:r>
        <w:rPr>
          <w:rFonts w:eastAsia="方正仿宋_GBK"/>
          <w:b w:val="0"/>
          <w:bCs/>
          <w:sz w:val="32"/>
          <w:szCs w:val="32"/>
          <w:lang w:val="en"/>
        </w:rPr>
        <w:t>“</w:t>
      </w:r>
      <w:r>
        <w:rPr>
          <w:rFonts w:eastAsia="方正仿宋_GBK"/>
          <w:b w:val="0"/>
          <w:bCs/>
          <w:sz w:val="32"/>
          <w:szCs w:val="32"/>
        </w:rPr>
        <w:t>十四五</w:t>
      </w:r>
      <w:r>
        <w:rPr>
          <w:rFonts w:eastAsia="方正仿宋_GBK"/>
          <w:b w:val="0"/>
          <w:bCs/>
          <w:sz w:val="32"/>
          <w:szCs w:val="32"/>
          <w:lang w:val="en"/>
        </w:rPr>
        <w:t>”</w:t>
      </w:r>
      <w:r>
        <w:rPr>
          <w:rFonts w:eastAsia="方正仿宋_GBK"/>
          <w:b w:val="0"/>
          <w:bCs/>
          <w:sz w:val="32"/>
          <w:szCs w:val="32"/>
        </w:rPr>
        <w:t>规划》《成渝地区双城经济圈综合交通</w:t>
      </w:r>
      <w:r>
        <w:rPr>
          <w:rFonts w:hint="eastAsia" w:eastAsia="方正仿宋_GBK"/>
          <w:b w:val="0"/>
          <w:bCs/>
          <w:sz w:val="32"/>
          <w:szCs w:val="32"/>
        </w:rPr>
        <w:t>运输</w:t>
      </w:r>
      <w:r>
        <w:rPr>
          <w:rFonts w:eastAsia="方正仿宋_GBK"/>
          <w:b w:val="0"/>
          <w:bCs/>
          <w:sz w:val="32"/>
          <w:szCs w:val="32"/>
        </w:rPr>
        <w:t>发展规划》等上位规划</w:t>
      </w:r>
      <w:r>
        <w:rPr>
          <w:rFonts w:hint="eastAsia" w:eastAsia="方正仿宋_GBK"/>
          <w:b w:val="0"/>
          <w:bCs/>
          <w:sz w:val="32"/>
          <w:szCs w:val="32"/>
        </w:rPr>
        <w:t>以及区级其他有关专项规划</w:t>
      </w:r>
      <w:r>
        <w:rPr>
          <w:rFonts w:eastAsia="方正仿宋_GBK"/>
          <w:b w:val="0"/>
          <w:bCs/>
          <w:sz w:val="32"/>
          <w:szCs w:val="32"/>
        </w:rPr>
        <w:t>的对接，主动争取更多项目纳入国家和市级规划。探索优化项目前期工作流程，深化重大项目方案研究，与国土空间规划等同步对接，保障重大基础设施项目用地需求。统筹处理好生态环境保护与交通发展的关系，研究生态红线内开展交通基础设施活动的相关政策。</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仿宋_GBK"/>
          <w:b w:val="0"/>
          <w:bCs/>
          <w:sz w:val="32"/>
          <w:szCs w:val="32"/>
        </w:rPr>
      </w:pPr>
      <w:r>
        <w:rPr>
          <w:rFonts w:eastAsia="方正楷体_GBK"/>
          <w:b w:val="0"/>
          <w:bCs/>
          <w:sz w:val="32"/>
          <w:szCs w:val="32"/>
        </w:rPr>
        <w:t>拓展投融资渠道。</w:t>
      </w:r>
      <w:r>
        <w:rPr>
          <w:rFonts w:eastAsia="方正仿宋_GBK"/>
          <w:b w:val="0"/>
          <w:bCs/>
          <w:sz w:val="32"/>
          <w:szCs w:val="32"/>
        </w:rPr>
        <w:t>联合周边积极争取国家及市</w:t>
      </w:r>
      <w:r>
        <w:rPr>
          <w:rFonts w:hint="eastAsia" w:eastAsia="方正仿宋_GBK"/>
          <w:b w:val="0"/>
          <w:bCs/>
          <w:sz w:val="32"/>
          <w:szCs w:val="32"/>
        </w:rPr>
        <w:t>级</w:t>
      </w:r>
      <w:r>
        <w:rPr>
          <w:rFonts w:eastAsia="方正仿宋_GBK"/>
          <w:b w:val="0"/>
          <w:bCs/>
          <w:sz w:val="32"/>
          <w:szCs w:val="32"/>
        </w:rPr>
        <w:t>政策倾斜和资金扶持。在积极争取国家</w:t>
      </w:r>
      <w:r>
        <w:rPr>
          <w:rFonts w:hint="eastAsia" w:eastAsia="方正仿宋_GBK"/>
          <w:b w:val="0"/>
          <w:bCs/>
          <w:sz w:val="32"/>
          <w:szCs w:val="32"/>
        </w:rPr>
        <w:t>和市级</w:t>
      </w:r>
      <w:r>
        <w:rPr>
          <w:rFonts w:eastAsia="方正仿宋_GBK"/>
          <w:b w:val="0"/>
          <w:bCs/>
          <w:sz w:val="32"/>
          <w:szCs w:val="32"/>
        </w:rPr>
        <w:t>资金补助基础上，深化交通投融资改革，增强可持续发展能力，完善政府主导、多元筹资、风险可控的资金保障和运行管理体制，加强区级资金、资源、资产的统筹和管理，发挥资金合力和放大效益。鼓励采用多元化市场融资方式拓宽融资渠道，积极引导社会资本参与交通建设，强化风险防控机制建设。</w:t>
      </w:r>
    </w:p>
    <w:p>
      <w:pPr>
        <w:keepNext w:val="0"/>
        <w:keepLines w:val="0"/>
        <w:pageBreakBefore w:val="0"/>
        <w:widowControl w:val="0"/>
        <w:kinsoku/>
        <w:wordWrap/>
        <w:overflowPunct/>
        <w:topLinePunct w:val="0"/>
        <w:autoSpaceDE/>
        <w:autoSpaceDN/>
        <w:bidi w:val="0"/>
        <w:adjustRightInd w:val="0"/>
        <w:snapToGrid w:val="0"/>
        <w:spacing w:afterLines="0" w:line="276" w:lineRule="auto"/>
        <w:ind w:firstLine="640" w:firstLineChars="200"/>
        <w:textAlignment w:val="auto"/>
        <w:rPr>
          <w:rFonts w:eastAsia="方正仿宋_GBK"/>
          <w:b w:val="0"/>
          <w:bCs/>
          <w:sz w:val="32"/>
          <w:szCs w:val="32"/>
        </w:rPr>
      </w:pPr>
      <w:r>
        <w:rPr>
          <w:rFonts w:eastAsia="方正楷体_GBK"/>
          <w:b w:val="0"/>
          <w:bCs/>
          <w:sz w:val="32"/>
          <w:szCs w:val="32"/>
        </w:rPr>
        <w:t>优化人才队伍。</w:t>
      </w:r>
      <w:r>
        <w:rPr>
          <w:rFonts w:eastAsia="方正仿宋_GBK"/>
          <w:b w:val="0"/>
          <w:bCs/>
          <w:sz w:val="32"/>
          <w:szCs w:val="32"/>
        </w:rPr>
        <w:t>通过</w:t>
      </w:r>
      <w:r>
        <w:rPr>
          <w:rFonts w:eastAsia="方正仿宋_GBK"/>
          <w:b w:val="0"/>
          <w:bCs/>
          <w:sz w:val="32"/>
          <w:szCs w:val="32"/>
          <w:lang w:val="en"/>
        </w:rPr>
        <w:t>“</w:t>
      </w:r>
      <w:r>
        <w:rPr>
          <w:rFonts w:eastAsia="方正仿宋_GBK"/>
          <w:b w:val="0"/>
          <w:bCs/>
          <w:sz w:val="32"/>
          <w:szCs w:val="32"/>
        </w:rPr>
        <w:t>引进来</w:t>
      </w:r>
      <w:r>
        <w:rPr>
          <w:rFonts w:eastAsia="方正仿宋_GBK"/>
          <w:b w:val="0"/>
          <w:bCs/>
          <w:sz w:val="32"/>
          <w:szCs w:val="32"/>
          <w:lang w:val="en"/>
        </w:rPr>
        <w:t>”“</w:t>
      </w:r>
      <w:r>
        <w:rPr>
          <w:rFonts w:eastAsia="方正仿宋_GBK"/>
          <w:b w:val="0"/>
          <w:bCs/>
          <w:sz w:val="32"/>
          <w:szCs w:val="32"/>
        </w:rPr>
        <w:t>走出去</w:t>
      </w:r>
      <w:r>
        <w:rPr>
          <w:rFonts w:eastAsia="方正仿宋_GBK"/>
          <w:b w:val="0"/>
          <w:bCs/>
          <w:sz w:val="32"/>
          <w:szCs w:val="32"/>
          <w:lang w:val="en"/>
        </w:rPr>
        <w:t>”</w:t>
      </w:r>
      <w:r>
        <w:rPr>
          <w:rFonts w:eastAsia="方正仿宋_GBK"/>
          <w:b w:val="0"/>
          <w:bCs/>
          <w:sz w:val="32"/>
          <w:szCs w:val="32"/>
        </w:rPr>
        <w:t>、联合培养等多种模式，着力培养一支掌握科学管理知识、有现代经营理念的管理人才队伍，建立起善于拓展研究、掌握先进技术的高级别人才团队，并保证基层人员具有业务熟练、服务到位</w:t>
      </w:r>
      <w:r>
        <w:rPr>
          <w:rFonts w:hint="eastAsia" w:eastAsia="方正仿宋_GBK"/>
          <w:b w:val="0"/>
          <w:bCs/>
          <w:sz w:val="32"/>
          <w:szCs w:val="32"/>
        </w:rPr>
        <w:t>、</w:t>
      </w:r>
      <w:r>
        <w:rPr>
          <w:rFonts w:eastAsia="方正仿宋_GBK"/>
          <w:b w:val="0"/>
          <w:bCs/>
          <w:sz w:val="32"/>
          <w:szCs w:val="32"/>
        </w:rPr>
        <w:t>敬岗爱业的职业素质</w:t>
      </w:r>
      <w:r>
        <w:rPr>
          <w:rFonts w:hint="eastAsia" w:eastAsia="方正仿宋_GBK"/>
          <w:b w:val="0"/>
          <w:bCs/>
          <w:sz w:val="32"/>
          <w:szCs w:val="32"/>
        </w:rPr>
        <w:t>。</w:t>
      </w:r>
      <w:r>
        <w:rPr>
          <w:rFonts w:eastAsia="方正仿宋_GBK"/>
          <w:b w:val="0"/>
          <w:bCs/>
          <w:sz w:val="32"/>
          <w:szCs w:val="32"/>
        </w:rPr>
        <w:t>完善人才引进机制，加大人才引进激励力度，引进一批技术领域高端人才</w:t>
      </w:r>
      <w:r>
        <w:rPr>
          <w:rFonts w:hint="eastAsia" w:eastAsia="方正仿宋_GBK"/>
          <w:b w:val="0"/>
          <w:bCs/>
          <w:sz w:val="32"/>
          <w:szCs w:val="32"/>
        </w:rPr>
        <w:t>。</w:t>
      </w:r>
      <w:r>
        <w:rPr>
          <w:rFonts w:eastAsia="方正仿宋_GBK"/>
          <w:b w:val="0"/>
          <w:bCs/>
          <w:sz w:val="32"/>
          <w:szCs w:val="32"/>
        </w:rPr>
        <w:t>定期开展学习、交流和培训，学习国际先进交通运营管理经验与理念，加速提升人才队伍管理水平。</w:t>
      </w:r>
    </w:p>
    <w:bookmarkEnd w:id="58"/>
    <w:bookmarkEnd w:id="59"/>
    <w:p>
      <w:pPr>
        <w:snapToGrid w:val="0"/>
        <w:spacing w:afterLines="0" w:line="276" w:lineRule="auto"/>
        <w:rPr>
          <w:rFonts w:eastAsia="方正仿宋_GBK"/>
          <w:b w:val="0"/>
          <w:bCs/>
          <w:sz w:val="28"/>
          <w:szCs w:val="28"/>
        </w:rPr>
        <w:sectPr>
          <w:footerReference r:id="rId3" w:type="default"/>
          <w:pgSz w:w="11906" w:h="16838"/>
          <w:pgMar w:top="2098" w:right="1474" w:bottom="1984" w:left="1587" w:header="720" w:footer="1474" w:gutter="0"/>
          <w:pgNumType w:fmt="numberInDash"/>
          <w:cols w:space="720"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val="0"/>
        <w:spacing w:afterLines="0" w:line="276" w:lineRule="auto"/>
        <w:textAlignment w:val="auto"/>
        <w:outlineLvl w:val="0"/>
        <w:rPr>
          <w:rFonts w:hint="eastAsia" w:ascii="方正黑体_GBK" w:hAnsi="方正黑体_GBK" w:eastAsia="方正黑体_GBK" w:cs="方正黑体_GBK"/>
          <w:b w:val="0"/>
          <w:bCs/>
          <w:sz w:val="32"/>
          <w:szCs w:val="32"/>
          <w:lang w:eastAsia="zh-CN"/>
        </w:rPr>
      </w:pPr>
      <w:bookmarkStart w:id="255" w:name="_Toc1730"/>
      <w:bookmarkStart w:id="256" w:name="_Toc857884098"/>
      <w:bookmarkStart w:id="257" w:name="_Toc1453836213"/>
      <w:r>
        <w:rPr>
          <w:rFonts w:hint="eastAsia" w:ascii="方正黑体_GBK" w:hAnsi="方正黑体_GBK" w:eastAsia="方正黑体_GBK" w:cs="方正黑体_GBK"/>
          <w:b w:val="0"/>
          <w:bCs/>
          <w:sz w:val="32"/>
          <w:szCs w:val="32"/>
        </w:rPr>
        <w:t>附</w:t>
      </w:r>
      <w:r>
        <w:rPr>
          <w:rFonts w:hint="eastAsia" w:ascii="方正黑体_GBK" w:hAnsi="方正黑体_GBK" w:eastAsia="方正黑体_GBK" w:cs="方正黑体_GBK"/>
          <w:b w:val="0"/>
          <w:bCs/>
          <w:sz w:val="32"/>
          <w:szCs w:val="32"/>
          <w:lang w:val="en-US" w:eastAsia="zh-CN"/>
        </w:rPr>
        <w:t>件1</w:t>
      </w:r>
      <w:bookmarkEnd w:id="255"/>
      <w:bookmarkEnd w:id="256"/>
      <w:bookmarkEnd w:id="257"/>
    </w:p>
    <w:p>
      <w:pPr>
        <w:keepNext w:val="0"/>
        <w:keepLines w:val="0"/>
        <w:pageBreakBefore w:val="0"/>
        <w:widowControl w:val="0"/>
        <w:kinsoku/>
        <w:wordWrap/>
        <w:overflowPunct/>
        <w:topLinePunct w:val="0"/>
        <w:autoSpaceDE/>
        <w:autoSpaceDN/>
        <w:bidi w:val="0"/>
        <w:adjustRightInd/>
        <w:snapToGrid w:val="0"/>
        <w:spacing w:afterLines="0" w:line="276" w:lineRule="auto"/>
        <w:jc w:val="center"/>
        <w:textAlignment w:val="auto"/>
        <w:rPr>
          <w:rFonts w:hint="eastAsia" w:ascii="方正小标宋_GBK" w:hAnsi="方正小标宋_GBK" w:eastAsia="方正小标宋_GBK" w:cs="方正小标宋_GBK"/>
          <w:b w:val="0"/>
          <w:bCs/>
          <w:sz w:val="36"/>
          <w:szCs w:val="36"/>
        </w:rPr>
      </w:pPr>
      <w:bookmarkStart w:id="258" w:name="_Toc138874157_WPSOffice_Level1"/>
      <w:r>
        <w:rPr>
          <w:rFonts w:hint="eastAsia" w:ascii="方正小标宋_GBK" w:hAnsi="方正小标宋_GBK" w:eastAsia="方正小标宋_GBK" w:cs="方正小标宋_GBK"/>
          <w:b w:val="0"/>
          <w:bCs/>
          <w:sz w:val="36"/>
          <w:szCs w:val="36"/>
        </w:rPr>
        <w:t>永川区</w:t>
      </w:r>
      <w:r>
        <w:rPr>
          <w:rFonts w:hint="eastAsia" w:ascii="方正小标宋_GBK" w:hAnsi="方正小标宋_GBK" w:eastAsia="方正小标宋_GBK" w:cs="方正小标宋_GBK"/>
          <w:b w:val="0"/>
          <w:bCs/>
          <w:sz w:val="36"/>
          <w:szCs w:val="36"/>
          <w:lang w:val="en-US" w:eastAsia="zh-CN"/>
        </w:rPr>
        <w:t>综合交通运输</w:t>
      </w:r>
      <w:r>
        <w:rPr>
          <w:rFonts w:hint="default" w:ascii="方正小标宋_GBK" w:hAnsi="方正小标宋_GBK" w:eastAsia="方正小标宋_GBK" w:cs="方正小标宋_GBK"/>
          <w:b w:val="0"/>
          <w:bCs/>
          <w:sz w:val="36"/>
          <w:szCs w:val="36"/>
          <w:lang w:val="en"/>
        </w:rPr>
        <w:t>“</w:t>
      </w:r>
      <w:r>
        <w:rPr>
          <w:rFonts w:hint="eastAsia" w:ascii="方正小标宋_GBK" w:hAnsi="方正小标宋_GBK" w:eastAsia="方正小标宋_GBK" w:cs="方正小标宋_GBK"/>
          <w:b w:val="0"/>
          <w:bCs/>
          <w:sz w:val="36"/>
          <w:szCs w:val="36"/>
        </w:rPr>
        <w:t>十四五</w:t>
      </w:r>
      <w:r>
        <w:rPr>
          <w:rFonts w:hint="eastAsia" w:ascii="方正小标宋_GBK" w:hAnsi="方正小标宋_GBK" w:eastAsia="方正小标宋_GBK" w:cs="方正小标宋_GBK"/>
          <w:b w:val="0"/>
          <w:bCs/>
          <w:sz w:val="36"/>
          <w:szCs w:val="36"/>
          <w:lang w:val="en"/>
        </w:rPr>
        <w:t>”</w:t>
      </w:r>
      <w:r>
        <w:rPr>
          <w:rFonts w:hint="eastAsia" w:ascii="方正小标宋_GBK" w:hAnsi="方正小标宋_GBK" w:eastAsia="方正小标宋_GBK" w:cs="方正小标宋_GBK"/>
          <w:b w:val="0"/>
          <w:bCs/>
          <w:sz w:val="36"/>
          <w:szCs w:val="36"/>
        </w:rPr>
        <w:t>重大</w:t>
      </w:r>
      <w:bookmarkEnd w:id="258"/>
      <w:r>
        <w:rPr>
          <w:rFonts w:hint="eastAsia" w:ascii="方正小标宋_GBK" w:hAnsi="方正小标宋_GBK" w:eastAsia="方正小标宋_GBK" w:cs="方正小标宋_GBK"/>
          <w:b w:val="0"/>
          <w:bCs/>
          <w:sz w:val="36"/>
          <w:szCs w:val="36"/>
        </w:rPr>
        <w:t>项目表</w:t>
      </w:r>
    </w:p>
    <w:tbl>
      <w:tblPr>
        <w:tblStyle w:val="21"/>
        <w:tblW w:w="497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6"/>
        <w:gridCol w:w="497"/>
        <w:gridCol w:w="1204"/>
        <w:gridCol w:w="857"/>
        <w:gridCol w:w="1149"/>
        <w:gridCol w:w="2531"/>
        <w:gridCol w:w="1013"/>
        <w:gridCol w:w="12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blHeader/>
        </w:trPr>
        <w:tc>
          <w:tcPr>
            <w:tcW w:w="280"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hint="eastAsia" w:ascii="方正黑体_GBK" w:hAnsi="方正黑体_GBK" w:eastAsia="方正黑体_GBK" w:cs="方正黑体_GBK"/>
                <w:b w:val="0"/>
                <w:bCs/>
                <w:color w:val="auto"/>
                <w:kern w:val="0"/>
                <w:szCs w:val="21"/>
              </w:rPr>
            </w:pPr>
            <w:r>
              <w:rPr>
                <w:rFonts w:hint="eastAsia" w:ascii="方正黑体_GBK" w:hAnsi="方正黑体_GBK" w:eastAsia="方正黑体_GBK" w:cs="方正黑体_GBK"/>
                <w:b w:val="0"/>
                <w:bCs/>
                <w:color w:val="auto"/>
                <w:kern w:val="0"/>
                <w:szCs w:val="21"/>
              </w:rPr>
              <w:t>项目分类</w:t>
            </w:r>
          </w:p>
        </w:tc>
        <w:tc>
          <w:tcPr>
            <w:tcW w:w="2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hint="eastAsia" w:ascii="方正黑体_GBK" w:hAnsi="方正黑体_GBK" w:eastAsia="方正黑体_GBK" w:cs="方正黑体_GBK"/>
                <w:b w:val="0"/>
                <w:bCs/>
                <w:color w:val="auto"/>
                <w:kern w:val="0"/>
                <w:szCs w:val="21"/>
              </w:rPr>
            </w:pPr>
            <w:r>
              <w:rPr>
                <w:rFonts w:hint="eastAsia" w:ascii="方正黑体_GBK" w:hAnsi="方正黑体_GBK" w:eastAsia="方正黑体_GBK" w:cs="方正黑体_GBK"/>
                <w:b w:val="0"/>
                <w:bCs/>
                <w:color w:val="auto"/>
                <w:kern w:val="0"/>
                <w:szCs w:val="21"/>
              </w:rPr>
              <w:t>序号</w:t>
            </w:r>
          </w:p>
        </w:tc>
        <w:tc>
          <w:tcPr>
            <w:tcW w:w="668"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hint="eastAsia" w:ascii="方正黑体_GBK" w:hAnsi="方正黑体_GBK" w:eastAsia="方正黑体_GBK" w:cs="方正黑体_GBK"/>
                <w:b w:val="0"/>
                <w:bCs/>
                <w:color w:val="auto"/>
                <w:kern w:val="0"/>
                <w:szCs w:val="21"/>
              </w:rPr>
            </w:pPr>
            <w:r>
              <w:rPr>
                <w:rFonts w:hint="eastAsia" w:ascii="方正黑体_GBK" w:hAnsi="方正黑体_GBK" w:eastAsia="方正黑体_GBK" w:cs="方正黑体_GBK"/>
                <w:b w:val="0"/>
                <w:bCs/>
                <w:color w:val="auto"/>
                <w:kern w:val="0"/>
                <w:szCs w:val="21"/>
              </w:rPr>
              <w:t>项目名称</w:t>
            </w:r>
          </w:p>
        </w:tc>
        <w:tc>
          <w:tcPr>
            <w:tcW w:w="4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hint="eastAsia" w:ascii="方正黑体_GBK" w:hAnsi="方正黑体_GBK" w:eastAsia="方正黑体_GBK" w:cs="方正黑体_GBK"/>
                <w:b w:val="0"/>
                <w:bCs/>
                <w:color w:val="auto"/>
                <w:kern w:val="0"/>
                <w:szCs w:val="21"/>
              </w:rPr>
            </w:pPr>
            <w:r>
              <w:rPr>
                <w:rFonts w:hint="eastAsia" w:ascii="方正黑体_GBK" w:hAnsi="方正黑体_GBK" w:eastAsia="方正黑体_GBK" w:cs="方正黑体_GBK"/>
                <w:b w:val="0"/>
                <w:bCs/>
                <w:color w:val="auto"/>
                <w:kern w:val="0"/>
                <w:szCs w:val="21"/>
              </w:rPr>
              <w:t>项目</w:t>
            </w:r>
          </w:p>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hint="eastAsia" w:ascii="方正黑体_GBK" w:hAnsi="方正黑体_GBK" w:eastAsia="方正黑体_GBK" w:cs="方正黑体_GBK"/>
                <w:b w:val="0"/>
                <w:bCs/>
                <w:color w:val="auto"/>
                <w:kern w:val="0"/>
                <w:szCs w:val="21"/>
              </w:rPr>
            </w:pPr>
            <w:r>
              <w:rPr>
                <w:rFonts w:hint="eastAsia" w:ascii="方正黑体_GBK" w:hAnsi="方正黑体_GBK" w:eastAsia="方正黑体_GBK" w:cs="方正黑体_GBK"/>
                <w:b w:val="0"/>
                <w:bCs/>
                <w:color w:val="auto"/>
                <w:kern w:val="0"/>
                <w:szCs w:val="21"/>
              </w:rPr>
              <w:t>性质</w:t>
            </w:r>
          </w:p>
        </w:tc>
        <w:tc>
          <w:tcPr>
            <w:tcW w:w="637"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hint="eastAsia" w:ascii="方正黑体_GBK" w:hAnsi="方正黑体_GBK" w:eastAsia="方正黑体_GBK" w:cs="方正黑体_GBK"/>
                <w:b w:val="0"/>
                <w:bCs/>
                <w:color w:val="auto"/>
                <w:kern w:val="0"/>
                <w:szCs w:val="21"/>
              </w:rPr>
            </w:pPr>
            <w:r>
              <w:rPr>
                <w:rFonts w:hint="eastAsia" w:ascii="方正黑体_GBK" w:hAnsi="方正黑体_GBK" w:eastAsia="方正黑体_GBK" w:cs="方正黑体_GBK"/>
                <w:b w:val="0"/>
                <w:bCs/>
                <w:color w:val="auto"/>
                <w:kern w:val="0"/>
                <w:szCs w:val="21"/>
              </w:rPr>
              <w:t>建设年限</w:t>
            </w:r>
          </w:p>
        </w:tc>
        <w:tc>
          <w:tcPr>
            <w:tcW w:w="1404"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left"/>
              <w:textAlignment w:val="auto"/>
              <w:rPr>
                <w:rFonts w:hint="eastAsia" w:ascii="方正黑体_GBK" w:hAnsi="方正黑体_GBK" w:eastAsia="方正黑体_GBK" w:cs="方正黑体_GBK"/>
                <w:b w:val="0"/>
                <w:bCs/>
                <w:color w:val="auto"/>
                <w:kern w:val="0"/>
                <w:szCs w:val="21"/>
              </w:rPr>
            </w:pPr>
            <w:r>
              <w:rPr>
                <w:rFonts w:hint="eastAsia" w:ascii="方正黑体_GBK" w:hAnsi="方正黑体_GBK" w:eastAsia="方正黑体_GBK" w:cs="方正黑体_GBK"/>
                <w:b w:val="0"/>
                <w:bCs/>
                <w:color w:val="auto"/>
                <w:kern w:val="0"/>
                <w:szCs w:val="21"/>
              </w:rPr>
              <w:t>主要建设内容及规模</w:t>
            </w:r>
          </w:p>
        </w:tc>
        <w:tc>
          <w:tcPr>
            <w:tcW w:w="562"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hint="eastAsia" w:ascii="方正黑体_GBK" w:hAnsi="方正黑体_GBK" w:eastAsia="方正黑体_GBK" w:cs="方正黑体_GBK"/>
                <w:b w:val="0"/>
                <w:bCs/>
                <w:color w:val="auto"/>
                <w:kern w:val="0"/>
                <w:szCs w:val="21"/>
              </w:rPr>
            </w:pPr>
            <w:r>
              <w:rPr>
                <w:rFonts w:hint="eastAsia" w:ascii="方正黑体_GBK" w:hAnsi="方正黑体_GBK" w:eastAsia="方正黑体_GBK" w:cs="方正黑体_GBK"/>
                <w:b w:val="0"/>
                <w:bCs/>
                <w:color w:val="auto"/>
                <w:kern w:val="0"/>
                <w:szCs w:val="21"/>
              </w:rPr>
              <w:t>总投资</w:t>
            </w:r>
            <w:r>
              <w:rPr>
                <w:rFonts w:hint="eastAsia" w:ascii="方正黑体_GBK" w:hAnsi="方正黑体_GBK" w:eastAsia="方正黑体_GBK" w:cs="方正黑体_GBK"/>
                <w:b w:val="0"/>
                <w:bCs/>
                <w:color w:val="auto"/>
                <w:kern w:val="0"/>
                <w:szCs w:val="21"/>
              </w:rPr>
              <w:br w:type="textWrapping"/>
            </w:r>
            <w:r>
              <w:rPr>
                <w:rFonts w:hint="eastAsia" w:ascii="方正黑体_GBK" w:hAnsi="方正黑体_GBK" w:eastAsia="方正黑体_GBK" w:cs="方正黑体_GBK"/>
                <w:b w:val="0"/>
                <w:bCs/>
                <w:color w:val="auto"/>
                <w:kern w:val="0"/>
                <w:szCs w:val="21"/>
              </w:rPr>
              <w:t>（万元）</w:t>
            </w:r>
          </w:p>
        </w:tc>
        <w:tc>
          <w:tcPr>
            <w:tcW w:w="69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hint="eastAsia" w:ascii="方正黑体_GBK" w:hAnsi="方正黑体_GBK" w:eastAsia="方正黑体_GBK" w:cs="方正黑体_GBK"/>
                <w:b w:val="0"/>
                <w:bCs/>
                <w:color w:val="auto"/>
                <w:kern w:val="0"/>
                <w:szCs w:val="21"/>
              </w:rPr>
            </w:pPr>
            <w:r>
              <w:rPr>
                <w:rFonts w:hint="default" w:ascii="方正黑体_GBK" w:hAnsi="方正黑体_GBK" w:eastAsia="方正黑体_GBK" w:cs="方正黑体_GBK"/>
                <w:b w:val="0"/>
                <w:bCs/>
                <w:color w:val="auto"/>
                <w:kern w:val="0"/>
                <w:szCs w:val="21"/>
                <w:lang w:val="en"/>
              </w:rPr>
              <w:t>“</w:t>
            </w:r>
            <w:r>
              <w:rPr>
                <w:rFonts w:hint="eastAsia" w:ascii="方正黑体_GBK" w:hAnsi="方正黑体_GBK" w:eastAsia="方正黑体_GBK" w:cs="方正黑体_GBK"/>
                <w:b w:val="0"/>
                <w:bCs/>
                <w:color w:val="auto"/>
                <w:kern w:val="0"/>
                <w:szCs w:val="21"/>
              </w:rPr>
              <w:t>十四五</w:t>
            </w:r>
            <w:r>
              <w:rPr>
                <w:rFonts w:hint="default" w:ascii="方正黑体_GBK" w:hAnsi="方正黑体_GBK" w:eastAsia="方正黑体_GBK" w:cs="方正黑体_GBK"/>
                <w:b w:val="0"/>
                <w:bCs/>
                <w:color w:val="auto"/>
                <w:kern w:val="0"/>
                <w:szCs w:val="21"/>
                <w:lang w:val="en"/>
              </w:rPr>
              <w:t>”</w:t>
            </w:r>
            <w:r>
              <w:rPr>
                <w:rFonts w:hint="eastAsia" w:ascii="方正黑体_GBK" w:hAnsi="方正黑体_GBK" w:eastAsia="方正黑体_GBK" w:cs="方正黑体_GBK"/>
                <w:b w:val="0"/>
                <w:bCs/>
                <w:color w:val="auto"/>
                <w:kern w:val="0"/>
                <w:szCs w:val="21"/>
              </w:rPr>
              <w:t>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000" w:type="pct"/>
            <w:gridSpan w:val="8"/>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left"/>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（一）铁路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0"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规划项目</w:t>
            </w:r>
          </w:p>
        </w:tc>
        <w:tc>
          <w:tcPr>
            <w:tcW w:w="2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1</w:t>
            </w:r>
          </w:p>
        </w:tc>
        <w:tc>
          <w:tcPr>
            <w:tcW w:w="668"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渝昆高铁永川段</w:t>
            </w:r>
          </w:p>
        </w:tc>
        <w:tc>
          <w:tcPr>
            <w:tcW w:w="4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续建</w:t>
            </w:r>
          </w:p>
        </w:tc>
        <w:tc>
          <w:tcPr>
            <w:tcW w:w="637"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2020-2025</w:t>
            </w:r>
          </w:p>
        </w:tc>
        <w:tc>
          <w:tcPr>
            <w:tcW w:w="1404"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left"/>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新建国铁I级铁路36公里</w:t>
            </w:r>
          </w:p>
        </w:tc>
        <w:tc>
          <w:tcPr>
            <w:tcW w:w="562"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472000 </w:t>
            </w:r>
          </w:p>
        </w:tc>
        <w:tc>
          <w:tcPr>
            <w:tcW w:w="69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402000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0"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p>
        </w:tc>
        <w:tc>
          <w:tcPr>
            <w:tcW w:w="2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2</w:t>
            </w:r>
          </w:p>
        </w:tc>
        <w:tc>
          <w:tcPr>
            <w:tcW w:w="668"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市域（郊）铁路中心城区至永川线</w:t>
            </w:r>
          </w:p>
        </w:tc>
        <w:tc>
          <w:tcPr>
            <w:tcW w:w="4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新开工</w:t>
            </w:r>
          </w:p>
        </w:tc>
        <w:tc>
          <w:tcPr>
            <w:tcW w:w="637"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2021-2025</w:t>
            </w:r>
          </w:p>
        </w:tc>
        <w:tc>
          <w:tcPr>
            <w:tcW w:w="1404"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left"/>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新建里程25公里</w:t>
            </w:r>
          </w:p>
        </w:tc>
        <w:tc>
          <w:tcPr>
            <w:tcW w:w="562"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300000 </w:t>
            </w:r>
          </w:p>
        </w:tc>
        <w:tc>
          <w:tcPr>
            <w:tcW w:w="69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300000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0"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p>
        </w:tc>
        <w:tc>
          <w:tcPr>
            <w:tcW w:w="2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3</w:t>
            </w:r>
          </w:p>
        </w:tc>
        <w:tc>
          <w:tcPr>
            <w:tcW w:w="668"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长城支线</w:t>
            </w:r>
          </w:p>
        </w:tc>
        <w:tc>
          <w:tcPr>
            <w:tcW w:w="4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新开工</w:t>
            </w:r>
          </w:p>
        </w:tc>
        <w:tc>
          <w:tcPr>
            <w:tcW w:w="637"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2021-2024</w:t>
            </w:r>
          </w:p>
        </w:tc>
        <w:tc>
          <w:tcPr>
            <w:tcW w:w="1404"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left"/>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成渝铁路线位向北至长城汽车线路长约5.6公里</w:t>
            </w:r>
          </w:p>
        </w:tc>
        <w:tc>
          <w:tcPr>
            <w:tcW w:w="562"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35000 </w:t>
            </w:r>
          </w:p>
        </w:tc>
        <w:tc>
          <w:tcPr>
            <w:tcW w:w="69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35000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0"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p>
        </w:tc>
        <w:tc>
          <w:tcPr>
            <w:tcW w:w="2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4</w:t>
            </w:r>
          </w:p>
        </w:tc>
        <w:tc>
          <w:tcPr>
            <w:tcW w:w="668"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spacing w:val="-11"/>
                <w:kern w:val="0"/>
                <w:szCs w:val="21"/>
              </w:rPr>
            </w:pPr>
            <w:r>
              <w:rPr>
                <w:rFonts w:ascii="Times New Roman" w:hAnsi="Times New Roman" w:eastAsia="方正仿宋_GBK" w:cs="Times New Roman"/>
                <w:b w:val="0"/>
                <w:bCs/>
                <w:color w:val="auto"/>
                <w:spacing w:val="-11"/>
                <w:kern w:val="0"/>
                <w:szCs w:val="21"/>
              </w:rPr>
              <w:t>重庆港朱沱港区进港铁路支线</w:t>
            </w:r>
          </w:p>
        </w:tc>
        <w:tc>
          <w:tcPr>
            <w:tcW w:w="4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新开工</w:t>
            </w:r>
          </w:p>
        </w:tc>
        <w:tc>
          <w:tcPr>
            <w:tcW w:w="637"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2023-2027</w:t>
            </w:r>
          </w:p>
        </w:tc>
        <w:tc>
          <w:tcPr>
            <w:tcW w:w="1404"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left"/>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进港铁路18公里</w:t>
            </w:r>
          </w:p>
        </w:tc>
        <w:tc>
          <w:tcPr>
            <w:tcW w:w="562"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140000 </w:t>
            </w:r>
          </w:p>
        </w:tc>
        <w:tc>
          <w:tcPr>
            <w:tcW w:w="69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6000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0"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p>
        </w:tc>
        <w:tc>
          <w:tcPr>
            <w:tcW w:w="2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5</w:t>
            </w:r>
          </w:p>
        </w:tc>
        <w:tc>
          <w:tcPr>
            <w:tcW w:w="668"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重庆至永川至自贡（乐山）城际铁路</w:t>
            </w:r>
          </w:p>
        </w:tc>
        <w:tc>
          <w:tcPr>
            <w:tcW w:w="4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新开工</w:t>
            </w:r>
          </w:p>
        </w:tc>
        <w:tc>
          <w:tcPr>
            <w:tcW w:w="637"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2025-2030</w:t>
            </w:r>
          </w:p>
        </w:tc>
        <w:tc>
          <w:tcPr>
            <w:tcW w:w="1404"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left"/>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境内约40公里</w:t>
            </w:r>
          </w:p>
        </w:tc>
        <w:tc>
          <w:tcPr>
            <w:tcW w:w="562"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600000 </w:t>
            </w:r>
          </w:p>
        </w:tc>
        <w:tc>
          <w:tcPr>
            <w:tcW w:w="69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100000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0"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储备项目</w:t>
            </w:r>
          </w:p>
        </w:tc>
        <w:tc>
          <w:tcPr>
            <w:tcW w:w="2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6</w:t>
            </w:r>
          </w:p>
        </w:tc>
        <w:tc>
          <w:tcPr>
            <w:tcW w:w="668"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成</w:t>
            </w:r>
            <w:r>
              <w:rPr>
                <w:rFonts w:ascii="Times New Roman" w:hAnsi="Times New Roman" w:eastAsia="方正仿宋_GBK" w:cs="Times New Roman"/>
                <w:b w:val="0"/>
                <w:bCs/>
                <w:color w:val="auto"/>
                <w:spacing w:val="-11"/>
                <w:kern w:val="0"/>
                <w:szCs w:val="21"/>
              </w:rPr>
              <w:t>渝铁路扩能永川段</w:t>
            </w:r>
          </w:p>
        </w:tc>
        <w:tc>
          <w:tcPr>
            <w:tcW w:w="4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w:t>
            </w:r>
          </w:p>
        </w:tc>
        <w:tc>
          <w:tcPr>
            <w:tcW w:w="637"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w:t>
            </w:r>
          </w:p>
        </w:tc>
        <w:tc>
          <w:tcPr>
            <w:tcW w:w="1404"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left"/>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新建国铁I级铁路48公里</w:t>
            </w:r>
          </w:p>
        </w:tc>
        <w:tc>
          <w:tcPr>
            <w:tcW w:w="562"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400000 </w:t>
            </w:r>
          </w:p>
        </w:tc>
        <w:tc>
          <w:tcPr>
            <w:tcW w:w="69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0"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p>
        </w:tc>
        <w:tc>
          <w:tcPr>
            <w:tcW w:w="2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7</w:t>
            </w:r>
          </w:p>
        </w:tc>
        <w:tc>
          <w:tcPr>
            <w:tcW w:w="668"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重庆铁路二环线</w:t>
            </w:r>
          </w:p>
        </w:tc>
        <w:tc>
          <w:tcPr>
            <w:tcW w:w="4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w:t>
            </w:r>
          </w:p>
        </w:tc>
        <w:tc>
          <w:tcPr>
            <w:tcW w:w="637"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w:t>
            </w:r>
          </w:p>
        </w:tc>
        <w:tc>
          <w:tcPr>
            <w:tcW w:w="1404"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left"/>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境内约35.3公里</w:t>
            </w:r>
          </w:p>
        </w:tc>
        <w:tc>
          <w:tcPr>
            <w:tcW w:w="562"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460000 </w:t>
            </w:r>
          </w:p>
        </w:tc>
        <w:tc>
          <w:tcPr>
            <w:tcW w:w="69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0"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p>
        </w:tc>
        <w:tc>
          <w:tcPr>
            <w:tcW w:w="2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8</w:t>
            </w:r>
          </w:p>
        </w:tc>
        <w:tc>
          <w:tcPr>
            <w:tcW w:w="668"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spacing w:val="-11"/>
                <w:kern w:val="0"/>
                <w:szCs w:val="21"/>
              </w:rPr>
            </w:pPr>
            <w:r>
              <w:rPr>
                <w:rFonts w:ascii="Times New Roman" w:hAnsi="Times New Roman" w:eastAsia="方正仿宋_GBK" w:cs="Times New Roman"/>
                <w:b w:val="0"/>
                <w:bCs/>
                <w:color w:val="auto"/>
                <w:spacing w:val="-11"/>
                <w:kern w:val="0"/>
                <w:szCs w:val="21"/>
              </w:rPr>
              <w:t>重庆至毕节城际铁路</w:t>
            </w:r>
          </w:p>
        </w:tc>
        <w:tc>
          <w:tcPr>
            <w:tcW w:w="4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w:t>
            </w:r>
          </w:p>
        </w:tc>
        <w:tc>
          <w:tcPr>
            <w:tcW w:w="637"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w:t>
            </w:r>
          </w:p>
        </w:tc>
        <w:tc>
          <w:tcPr>
            <w:tcW w:w="1404"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left"/>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境内约50公里</w:t>
            </w:r>
          </w:p>
        </w:tc>
        <w:tc>
          <w:tcPr>
            <w:tcW w:w="562"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750000 </w:t>
            </w:r>
          </w:p>
        </w:tc>
        <w:tc>
          <w:tcPr>
            <w:tcW w:w="69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0"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p>
        </w:tc>
        <w:tc>
          <w:tcPr>
            <w:tcW w:w="2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9</w:t>
            </w:r>
          </w:p>
        </w:tc>
        <w:tc>
          <w:tcPr>
            <w:tcW w:w="668"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合川至璧山至永川城际</w:t>
            </w:r>
          </w:p>
        </w:tc>
        <w:tc>
          <w:tcPr>
            <w:tcW w:w="4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w:t>
            </w:r>
          </w:p>
        </w:tc>
        <w:tc>
          <w:tcPr>
            <w:tcW w:w="637"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w:t>
            </w:r>
          </w:p>
        </w:tc>
        <w:tc>
          <w:tcPr>
            <w:tcW w:w="1404"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left"/>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境内约15公里</w:t>
            </w:r>
          </w:p>
        </w:tc>
        <w:tc>
          <w:tcPr>
            <w:tcW w:w="562"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150000 </w:t>
            </w:r>
          </w:p>
        </w:tc>
        <w:tc>
          <w:tcPr>
            <w:tcW w:w="69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0"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p>
        </w:tc>
        <w:tc>
          <w:tcPr>
            <w:tcW w:w="2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10</w:t>
            </w:r>
          </w:p>
        </w:tc>
        <w:tc>
          <w:tcPr>
            <w:tcW w:w="668"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沿江铁路</w:t>
            </w:r>
          </w:p>
        </w:tc>
        <w:tc>
          <w:tcPr>
            <w:tcW w:w="4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w:t>
            </w:r>
          </w:p>
        </w:tc>
        <w:tc>
          <w:tcPr>
            <w:tcW w:w="637"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w:t>
            </w:r>
          </w:p>
        </w:tc>
        <w:tc>
          <w:tcPr>
            <w:tcW w:w="1404"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left"/>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境内约20公里</w:t>
            </w:r>
          </w:p>
        </w:tc>
        <w:tc>
          <w:tcPr>
            <w:tcW w:w="562"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200000 </w:t>
            </w:r>
          </w:p>
        </w:tc>
        <w:tc>
          <w:tcPr>
            <w:tcW w:w="69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0"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p>
        </w:tc>
        <w:tc>
          <w:tcPr>
            <w:tcW w:w="2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11</w:t>
            </w:r>
          </w:p>
        </w:tc>
        <w:tc>
          <w:tcPr>
            <w:tcW w:w="668"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三教支线</w:t>
            </w:r>
          </w:p>
        </w:tc>
        <w:tc>
          <w:tcPr>
            <w:tcW w:w="4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w:t>
            </w:r>
          </w:p>
        </w:tc>
        <w:tc>
          <w:tcPr>
            <w:tcW w:w="637"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w:t>
            </w:r>
          </w:p>
        </w:tc>
        <w:tc>
          <w:tcPr>
            <w:tcW w:w="1404"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left"/>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境内约13公里</w:t>
            </w:r>
          </w:p>
        </w:tc>
        <w:tc>
          <w:tcPr>
            <w:tcW w:w="562"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100000 </w:t>
            </w:r>
          </w:p>
        </w:tc>
        <w:tc>
          <w:tcPr>
            <w:tcW w:w="69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0"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w:t>
            </w:r>
          </w:p>
        </w:tc>
        <w:tc>
          <w:tcPr>
            <w:tcW w:w="2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w:t>
            </w:r>
          </w:p>
        </w:tc>
        <w:tc>
          <w:tcPr>
            <w:tcW w:w="668"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小计</w:t>
            </w:r>
          </w:p>
        </w:tc>
        <w:tc>
          <w:tcPr>
            <w:tcW w:w="4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w:t>
            </w:r>
          </w:p>
        </w:tc>
        <w:tc>
          <w:tcPr>
            <w:tcW w:w="637"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w:t>
            </w:r>
          </w:p>
        </w:tc>
        <w:tc>
          <w:tcPr>
            <w:tcW w:w="1404"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left"/>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w:t>
            </w:r>
          </w:p>
        </w:tc>
        <w:tc>
          <w:tcPr>
            <w:tcW w:w="562"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3607000 </w:t>
            </w:r>
          </w:p>
        </w:tc>
        <w:tc>
          <w:tcPr>
            <w:tcW w:w="69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843000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000" w:type="pct"/>
            <w:gridSpan w:val="8"/>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left"/>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（二）高速公路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0"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规划项目</w:t>
            </w:r>
          </w:p>
        </w:tc>
        <w:tc>
          <w:tcPr>
            <w:tcW w:w="2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1</w:t>
            </w:r>
          </w:p>
        </w:tc>
        <w:tc>
          <w:tcPr>
            <w:tcW w:w="668"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重庆江津至四川泸州北线高速</w:t>
            </w:r>
          </w:p>
        </w:tc>
        <w:tc>
          <w:tcPr>
            <w:tcW w:w="4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续建</w:t>
            </w:r>
          </w:p>
        </w:tc>
        <w:tc>
          <w:tcPr>
            <w:tcW w:w="637"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2020-2024</w:t>
            </w:r>
          </w:p>
        </w:tc>
        <w:tc>
          <w:tcPr>
            <w:tcW w:w="1404"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left"/>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17公里</w:t>
            </w:r>
          </w:p>
        </w:tc>
        <w:tc>
          <w:tcPr>
            <w:tcW w:w="562"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180000 </w:t>
            </w:r>
          </w:p>
        </w:tc>
        <w:tc>
          <w:tcPr>
            <w:tcW w:w="69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155000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0"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p>
        </w:tc>
        <w:tc>
          <w:tcPr>
            <w:tcW w:w="2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2</w:t>
            </w:r>
          </w:p>
        </w:tc>
        <w:tc>
          <w:tcPr>
            <w:tcW w:w="668"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三环高速陈食至油溪段</w:t>
            </w:r>
          </w:p>
        </w:tc>
        <w:tc>
          <w:tcPr>
            <w:tcW w:w="4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新开工</w:t>
            </w:r>
          </w:p>
        </w:tc>
        <w:tc>
          <w:tcPr>
            <w:tcW w:w="637"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2021-2025</w:t>
            </w:r>
          </w:p>
        </w:tc>
        <w:tc>
          <w:tcPr>
            <w:tcW w:w="1404"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left"/>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17公里</w:t>
            </w:r>
          </w:p>
        </w:tc>
        <w:tc>
          <w:tcPr>
            <w:tcW w:w="562"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196000 </w:t>
            </w:r>
          </w:p>
        </w:tc>
        <w:tc>
          <w:tcPr>
            <w:tcW w:w="69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196000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0"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p>
        </w:tc>
        <w:tc>
          <w:tcPr>
            <w:tcW w:w="2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3</w:t>
            </w:r>
          </w:p>
        </w:tc>
        <w:tc>
          <w:tcPr>
            <w:tcW w:w="668"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spacing w:val="-11"/>
                <w:kern w:val="0"/>
                <w:szCs w:val="21"/>
              </w:rPr>
            </w:pPr>
            <w:r>
              <w:rPr>
                <w:rFonts w:ascii="Times New Roman" w:hAnsi="Times New Roman" w:eastAsia="方正仿宋_GBK" w:cs="Times New Roman"/>
                <w:b w:val="0"/>
                <w:bCs/>
                <w:color w:val="auto"/>
                <w:spacing w:val="-11"/>
                <w:kern w:val="0"/>
                <w:szCs w:val="21"/>
              </w:rPr>
              <w:t>永川至璧山</w:t>
            </w:r>
          </w:p>
        </w:tc>
        <w:tc>
          <w:tcPr>
            <w:tcW w:w="4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新开工</w:t>
            </w:r>
          </w:p>
        </w:tc>
        <w:tc>
          <w:tcPr>
            <w:tcW w:w="637"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2021-2025</w:t>
            </w:r>
          </w:p>
        </w:tc>
        <w:tc>
          <w:tcPr>
            <w:tcW w:w="1404"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left"/>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24公里</w:t>
            </w:r>
          </w:p>
        </w:tc>
        <w:tc>
          <w:tcPr>
            <w:tcW w:w="562"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286000 </w:t>
            </w:r>
          </w:p>
        </w:tc>
        <w:tc>
          <w:tcPr>
            <w:tcW w:w="69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286000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0"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p>
        </w:tc>
        <w:tc>
          <w:tcPr>
            <w:tcW w:w="2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4</w:t>
            </w:r>
          </w:p>
        </w:tc>
        <w:tc>
          <w:tcPr>
            <w:tcW w:w="668"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成渝高速加宽</w:t>
            </w:r>
          </w:p>
        </w:tc>
        <w:tc>
          <w:tcPr>
            <w:tcW w:w="4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新开工</w:t>
            </w:r>
          </w:p>
        </w:tc>
        <w:tc>
          <w:tcPr>
            <w:tcW w:w="637"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2021-2026</w:t>
            </w:r>
          </w:p>
        </w:tc>
        <w:tc>
          <w:tcPr>
            <w:tcW w:w="1404"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left"/>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17公里</w:t>
            </w:r>
          </w:p>
        </w:tc>
        <w:tc>
          <w:tcPr>
            <w:tcW w:w="562"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260000 </w:t>
            </w:r>
          </w:p>
        </w:tc>
        <w:tc>
          <w:tcPr>
            <w:tcW w:w="69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200000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0"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p>
        </w:tc>
        <w:tc>
          <w:tcPr>
            <w:tcW w:w="2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5</w:t>
            </w:r>
          </w:p>
        </w:tc>
        <w:tc>
          <w:tcPr>
            <w:tcW w:w="668"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永川至自贡高速</w:t>
            </w:r>
          </w:p>
        </w:tc>
        <w:tc>
          <w:tcPr>
            <w:tcW w:w="4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新开工</w:t>
            </w:r>
          </w:p>
        </w:tc>
        <w:tc>
          <w:tcPr>
            <w:tcW w:w="637"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2022-2025</w:t>
            </w:r>
          </w:p>
        </w:tc>
        <w:tc>
          <w:tcPr>
            <w:tcW w:w="1404"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left"/>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23公里</w:t>
            </w:r>
          </w:p>
        </w:tc>
        <w:tc>
          <w:tcPr>
            <w:tcW w:w="562"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300000 </w:t>
            </w:r>
          </w:p>
        </w:tc>
        <w:tc>
          <w:tcPr>
            <w:tcW w:w="69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300000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0"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储备项目</w:t>
            </w:r>
          </w:p>
        </w:tc>
        <w:tc>
          <w:tcPr>
            <w:tcW w:w="2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6</w:t>
            </w:r>
          </w:p>
        </w:tc>
        <w:tc>
          <w:tcPr>
            <w:tcW w:w="668"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永川至大足高速</w:t>
            </w:r>
          </w:p>
        </w:tc>
        <w:tc>
          <w:tcPr>
            <w:tcW w:w="4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p>
        </w:tc>
        <w:tc>
          <w:tcPr>
            <w:tcW w:w="637"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w:t>
            </w:r>
          </w:p>
        </w:tc>
        <w:tc>
          <w:tcPr>
            <w:tcW w:w="1404"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left"/>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15公里</w:t>
            </w:r>
          </w:p>
        </w:tc>
        <w:tc>
          <w:tcPr>
            <w:tcW w:w="562"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180000 </w:t>
            </w:r>
          </w:p>
        </w:tc>
        <w:tc>
          <w:tcPr>
            <w:tcW w:w="69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0"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p>
        </w:tc>
        <w:tc>
          <w:tcPr>
            <w:tcW w:w="2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7</w:t>
            </w:r>
          </w:p>
        </w:tc>
        <w:tc>
          <w:tcPr>
            <w:tcW w:w="668"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铜梁至新机场高速</w:t>
            </w:r>
          </w:p>
        </w:tc>
        <w:tc>
          <w:tcPr>
            <w:tcW w:w="4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p>
        </w:tc>
        <w:tc>
          <w:tcPr>
            <w:tcW w:w="637"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p>
        </w:tc>
        <w:tc>
          <w:tcPr>
            <w:tcW w:w="1404"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left"/>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5公里</w:t>
            </w:r>
          </w:p>
        </w:tc>
        <w:tc>
          <w:tcPr>
            <w:tcW w:w="562"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6000</w:t>
            </w:r>
          </w:p>
        </w:tc>
        <w:tc>
          <w:tcPr>
            <w:tcW w:w="69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0"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w:t>
            </w:r>
          </w:p>
        </w:tc>
        <w:tc>
          <w:tcPr>
            <w:tcW w:w="2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w:t>
            </w:r>
          </w:p>
        </w:tc>
        <w:tc>
          <w:tcPr>
            <w:tcW w:w="668"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小计</w:t>
            </w:r>
          </w:p>
        </w:tc>
        <w:tc>
          <w:tcPr>
            <w:tcW w:w="4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w:t>
            </w:r>
          </w:p>
        </w:tc>
        <w:tc>
          <w:tcPr>
            <w:tcW w:w="637"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w:t>
            </w:r>
          </w:p>
        </w:tc>
        <w:tc>
          <w:tcPr>
            <w:tcW w:w="1404"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left"/>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w:t>
            </w:r>
          </w:p>
        </w:tc>
        <w:tc>
          <w:tcPr>
            <w:tcW w:w="562"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1462000 </w:t>
            </w:r>
          </w:p>
        </w:tc>
        <w:tc>
          <w:tcPr>
            <w:tcW w:w="69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1137000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000" w:type="pct"/>
            <w:gridSpan w:val="8"/>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left"/>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（三）普通公路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0"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规划项目</w:t>
            </w:r>
          </w:p>
        </w:tc>
        <w:tc>
          <w:tcPr>
            <w:tcW w:w="2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1</w:t>
            </w:r>
          </w:p>
        </w:tc>
        <w:tc>
          <w:tcPr>
            <w:tcW w:w="668"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spacing w:val="-11"/>
                <w:kern w:val="0"/>
                <w:szCs w:val="21"/>
              </w:rPr>
            </w:pPr>
            <w:r>
              <w:rPr>
                <w:rFonts w:ascii="Times New Roman" w:hAnsi="Times New Roman" w:eastAsia="方正仿宋_GBK" w:cs="Times New Roman"/>
                <w:b w:val="0"/>
                <w:bCs/>
                <w:color w:val="auto"/>
                <w:spacing w:val="-11"/>
                <w:kern w:val="0"/>
                <w:szCs w:val="21"/>
              </w:rPr>
              <w:t>G348江津界至莲花场</w:t>
            </w:r>
          </w:p>
        </w:tc>
        <w:tc>
          <w:tcPr>
            <w:tcW w:w="4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spacing w:val="-28"/>
                <w:kern w:val="0"/>
                <w:szCs w:val="21"/>
              </w:rPr>
            </w:pPr>
            <w:r>
              <w:rPr>
                <w:rFonts w:ascii="Times New Roman" w:hAnsi="Times New Roman" w:eastAsia="方正仿宋_GBK" w:cs="Times New Roman"/>
                <w:b w:val="0"/>
                <w:bCs/>
                <w:color w:val="auto"/>
                <w:spacing w:val="-28"/>
                <w:kern w:val="0"/>
                <w:szCs w:val="21"/>
              </w:rPr>
              <w:t>升级改造</w:t>
            </w:r>
          </w:p>
        </w:tc>
        <w:tc>
          <w:tcPr>
            <w:tcW w:w="637"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2020-2021</w:t>
            </w:r>
          </w:p>
        </w:tc>
        <w:tc>
          <w:tcPr>
            <w:tcW w:w="1404"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left"/>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15.5公里</w:t>
            </w:r>
          </w:p>
        </w:tc>
        <w:tc>
          <w:tcPr>
            <w:tcW w:w="562"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10204 </w:t>
            </w:r>
          </w:p>
        </w:tc>
        <w:tc>
          <w:tcPr>
            <w:tcW w:w="69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10204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0"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p>
        </w:tc>
        <w:tc>
          <w:tcPr>
            <w:tcW w:w="2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2</w:t>
            </w:r>
          </w:p>
        </w:tc>
        <w:tc>
          <w:tcPr>
            <w:tcW w:w="668"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S544美人店至茶山竹海入口</w:t>
            </w:r>
          </w:p>
        </w:tc>
        <w:tc>
          <w:tcPr>
            <w:tcW w:w="4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spacing w:val="-28"/>
                <w:kern w:val="0"/>
                <w:szCs w:val="21"/>
              </w:rPr>
            </w:pPr>
            <w:r>
              <w:rPr>
                <w:rFonts w:ascii="Times New Roman" w:hAnsi="Times New Roman" w:eastAsia="方正仿宋_GBK" w:cs="Times New Roman"/>
                <w:b w:val="0"/>
                <w:bCs/>
                <w:color w:val="auto"/>
                <w:spacing w:val="-28"/>
                <w:kern w:val="0"/>
                <w:szCs w:val="21"/>
              </w:rPr>
              <w:t>路面改造</w:t>
            </w:r>
          </w:p>
        </w:tc>
        <w:tc>
          <w:tcPr>
            <w:tcW w:w="637"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2021-2021</w:t>
            </w:r>
          </w:p>
        </w:tc>
        <w:tc>
          <w:tcPr>
            <w:tcW w:w="1404"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left"/>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8.92公里</w:t>
            </w:r>
          </w:p>
        </w:tc>
        <w:tc>
          <w:tcPr>
            <w:tcW w:w="562"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4500 </w:t>
            </w:r>
          </w:p>
        </w:tc>
        <w:tc>
          <w:tcPr>
            <w:tcW w:w="69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4500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0"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p>
        </w:tc>
        <w:tc>
          <w:tcPr>
            <w:tcW w:w="2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3</w:t>
            </w:r>
          </w:p>
        </w:tc>
        <w:tc>
          <w:tcPr>
            <w:tcW w:w="668"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spacing w:val="-11"/>
                <w:kern w:val="0"/>
                <w:szCs w:val="21"/>
              </w:rPr>
            </w:pPr>
            <w:r>
              <w:rPr>
                <w:rFonts w:ascii="Times New Roman" w:hAnsi="Times New Roman" w:eastAsia="方正仿宋_GBK" w:cs="Times New Roman"/>
                <w:b w:val="0"/>
                <w:bCs/>
                <w:color w:val="auto"/>
                <w:spacing w:val="-11"/>
                <w:kern w:val="0"/>
                <w:szCs w:val="21"/>
              </w:rPr>
              <w:t>S208大安场口至瓦窑</w:t>
            </w:r>
          </w:p>
        </w:tc>
        <w:tc>
          <w:tcPr>
            <w:tcW w:w="4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spacing w:val="-28"/>
                <w:kern w:val="0"/>
                <w:szCs w:val="21"/>
              </w:rPr>
            </w:pPr>
            <w:r>
              <w:rPr>
                <w:rFonts w:ascii="Times New Roman" w:hAnsi="Times New Roman" w:eastAsia="方正仿宋_GBK" w:cs="Times New Roman"/>
                <w:b w:val="0"/>
                <w:bCs/>
                <w:color w:val="auto"/>
                <w:spacing w:val="-28"/>
                <w:kern w:val="0"/>
                <w:szCs w:val="21"/>
              </w:rPr>
              <w:t>升级改造</w:t>
            </w:r>
          </w:p>
        </w:tc>
        <w:tc>
          <w:tcPr>
            <w:tcW w:w="637"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2022-2023</w:t>
            </w:r>
          </w:p>
        </w:tc>
        <w:tc>
          <w:tcPr>
            <w:tcW w:w="1404"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left"/>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10.97公里</w:t>
            </w:r>
          </w:p>
        </w:tc>
        <w:tc>
          <w:tcPr>
            <w:tcW w:w="562"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7763 </w:t>
            </w:r>
          </w:p>
        </w:tc>
        <w:tc>
          <w:tcPr>
            <w:tcW w:w="69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7763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0"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p>
        </w:tc>
        <w:tc>
          <w:tcPr>
            <w:tcW w:w="2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4</w:t>
            </w:r>
          </w:p>
        </w:tc>
        <w:tc>
          <w:tcPr>
            <w:tcW w:w="668"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S544胜利村至三台</w:t>
            </w:r>
          </w:p>
        </w:tc>
        <w:tc>
          <w:tcPr>
            <w:tcW w:w="4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spacing w:val="-28"/>
                <w:kern w:val="0"/>
                <w:szCs w:val="21"/>
              </w:rPr>
            </w:pPr>
            <w:r>
              <w:rPr>
                <w:rFonts w:ascii="Times New Roman" w:hAnsi="Times New Roman" w:eastAsia="方正仿宋_GBK" w:cs="Times New Roman"/>
                <w:b w:val="0"/>
                <w:bCs/>
                <w:color w:val="auto"/>
                <w:spacing w:val="-28"/>
                <w:kern w:val="0"/>
                <w:szCs w:val="21"/>
              </w:rPr>
              <w:t>升级改造</w:t>
            </w:r>
          </w:p>
        </w:tc>
        <w:tc>
          <w:tcPr>
            <w:tcW w:w="637"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2022-2023</w:t>
            </w:r>
          </w:p>
        </w:tc>
        <w:tc>
          <w:tcPr>
            <w:tcW w:w="1404"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left"/>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15.46公里</w:t>
            </w:r>
          </w:p>
        </w:tc>
        <w:tc>
          <w:tcPr>
            <w:tcW w:w="562"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24132 </w:t>
            </w:r>
          </w:p>
        </w:tc>
        <w:tc>
          <w:tcPr>
            <w:tcW w:w="69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24132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0"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p>
        </w:tc>
        <w:tc>
          <w:tcPr>
            <w:tcW w:w="2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5</w:t>
            </w:r>
          </w:p>
        </w:tc>
        <w:tc>
          <w:tcPr>
            <w:tcW w:w="668"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S545大南至黄文道班房</w:t>
            </w:r>
          </w:p>
        </w:tc>
        <w:tc>
          <w:tcPr>
            <w:tcW w:w="4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spacing w:val="-28"/>
                <w:kern w:val="0"/>
                <w:szCs w:val="21"/>
              </w:rPr>
            </w:pPr>
            <w:r>
              <w:rPr>
                <w:rFonts w:ascii="Times New Roman" w:hAnsi="Times New Roman" w:eastAsia="方正仿宋_GBK" w:cs="Times New Roman"/>
                <w:b w:val="0"/>
                <w:bCs/>
                <w:color w:val="auto"/>
                <w:spacing w:val="-28"/>
                <w:kern w:val="0"/>
                <w:szCs w:val="21"/>
              </w:rPr>
              <w:t>路面改造</w:t>
            </w:r>
          </w:p>
        </w:tc>
        <w:tc>
          <w:tcPr>
            <w:tcW w:w="637"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2022-2023</w:t>
            </w:r>
          </w:p>
        </w:tc>
        <w:tc>
          <w:tcPr>
            <w:tcW w:w="1404"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left"/>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12.53公里</w:t>
            </w:r>
          </w:p>
        </w:tc>
        <w:tc>
          <w:tcPr>
            <w:tcW w:w="562"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3700 </w:t>
            </w:r>
          </w:p>
        </w:tc>
        <w:tc>
          <w:tcPr>
            <w:tcW w:w="69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3700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0"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p>
        </w:tc>
        <w:tc>
          <w:tcPr>
            <w:tcW w:w="2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6</w:t>
            </w:r>
          </w:p>
        </w:tc>
        <w:tc>
          <w:tcPr>
            <w:tcW w:w="668"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S547三块石至茅园</w:t>
            </w:r>
          </w:p>
        </w:tc>
        <w:tc>
          <w:tcPr>
            <w:tcW w:w="4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spacing w:val="-28"/>
                <w:kern w:val="0"/>
                <w:szCs w:val="21"/>
              </w:rPr>
            </w:pPr>
            <w:r>
              <w:rPr>
                <w:rFonts w:ascii="Times New Roman" w:hAnsi="Times New Roman" w:eastAsia="方正仿宋_GBK" w:cs="Times New Roman"/>
                <w:b w:val="0"/>
                <w:bCs/>
                <w:color w:val="auto"/>
                <w:spacing w:val="-28"/>
                <w:kern w:val="0"/>
                <w:szCs w:val="21"/>
              </w:rPr>
              <w:t>路面改造</w:t>
            </w:r>
          </w:p>
        </w:tc>
        <w:tc>
          <w:tcPr>
            <w:tcW w:w="637"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2022-2023</w:t>
            </w:r>
          </w:p>
        </w:tc>
        <w:tc>
          <w:tcPr>
            <w:tcW w:w="1404"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left"/>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4.14公里</w:t>
            </w:r>
          </w:p>
        </w:tc>
        <w:tc>
          <w:tcPr>
            <w:tcW w:w="562"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1626 </w:t>
            </w:r>
          </w:p>
        </w:tc>
        <w:tc>
          <w:tcPr>
            <w:tcW w:w="69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1626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0"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p>
        </w:tc>
        <w:tc>
          <w:tcPr>
            <w:tcW w:w="2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7</w:t>
            </w:r>
          </w:p>
        </w:tc>
        <w:tc>
          <w:tcPr>
            <w:tcW w:w="668"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spacing w:val="-11"/>
                <w:kern w:val="0"/>
                <w:szCs w:val="21"/>
              </w:rPr>
            </w:pPr>
            <w:r>
              <w:rPr>
                <w:rFonts w:ascii="Times New Roman" w:hAnsi="Times New Roman" w:eastAsia="方正仿宋_GBK" w:cs="Times New Roman"/>
                <w:b w:val="0"/>
                <w:bCs/>
                <w:color w:val="auto"/>
                <w:spacing w:val="-11"/>
                <w:kern w:val="0"/>
                <w:szCs w:val="21"/>
              </w:rPr>
              <w:t>G246毛家坡至周公滩</w:t>
            </w:r>
          </w:p>
        </w:tc>
        <w:tc>
          <w:tcPr>
            <w:tcW w:w="4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spacing w:val="-28"/>
                <w:kern w:val="0"/>
                <w:szCs w:val="21"/>
              </w:rPr>
            </w:pPr>
            <w:r>
              <w:rPr>
                <w:rFonts w:ascii="Times New Roman" w:hAnsi="Times New Roman" w:eastAsia="方正仿宋_GBK" w:cs="Times New Roman"/>
                <w:b w:val="0"/>
                <w:bCs/>
                <w:color w:val="auto"/>
                <w:spacing w:val="-28"/>
                <w:kern w:val="0"/>
                <w:szCs w:val="21"/>
              </w:rPr>
              <w:t>原级改造</w:t>
            </w:r>
          </w:p>
        </w:tc>
        <w:tc>
          <w:tcPr>
            <w:tcW w:w="637"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2022-2024</w:t>
            </w:r>
          </w:p>
        </w:tc>
        <w:tc>
          <w:tcPr>
            <w:tcW w:w="1404"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left"/>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11.86公里</w:t>
            </w:r>
          </w:p>
        </w:tc>
        <w:tc>
          <w:tcPr>
            <w:tcW w:w="562"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53365 </w:t>
            </w:r>
          </w:p>
        </w:tc>
        <w:tc>
          <w:tcPr>
            <w:tcW w:w="69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53365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0"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p>
        </w:tc>
        <w:tc>
          <w:tcPr>
            <w:tcW w:w="2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8</w:t>
            </w:r>
          </w:p>
        </w:tc>
        <w:tc>
          <w:tcPr>
            <w:tcW w:w="668"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spacing w:val="-11"/>
                <w:kern w:val="0"/>
                <w:szCs w:val="21"/>
              </w:rPr>
            </w:pPr>
            <w:r>
              <w:rPr>
                <w:rFonts w:ascii="Times New Roman" w:hAnsi="Times New Roman" w:eastAsia="方正仿宋_GBK" w:cs="Times New Roman"/>
                <w:b w:val="0"/>
                <w:bCs/>
                <w:color w:val="auto"/>
                <w:spacing w:val="-11"/>
                <w:kern w:val="0"/>
                <w:szCs w:val="21"/>
              </w:rPr>
              <w:t>S208金龙至大安场口</w:t>
            </w:r>
          </w:p>
        </w:tc>
        <w:tc>
          <w:tcPr>
            <w:tcW w:w="4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spacing w:val="-28"/>
                <w:kern w:val="0"/>
                <w:szCs w:val="21"/>
              </w:rPr>
            </w:pPr>
            <w:r>
              <w:rPr>
                <w:rFonts w:ascii="Times New Roman" w:hAnsi="Times New Roman" w:eastAsia="方正仿宋_GBK" w:cs="Times New Roman"/>
                <w:b w:val="0"/>
                <w:bCs/>
                <w:color w:val="auto"/>
                <w:spacing w:val="-28"/>
                <w:kern w:val="0"/>
                <w:szCs w:val="21"/>
              </w:rPr>
              <w:t>升级改造</w:t>
            </w:r>
          </w:p>
        </w:tc>
        <w:tc>
          <w:tcPr>
            <w:tcW w:w="637"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2022-2024</w:t>
            </w:r>
          </w:p>
        </w:tc>
        <w:tc>
          <w:tcPr>
            <w:tcW w:w="1404"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left"/>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19.95公里</w:t>
            </w:r>
          </w:p>
        </w:tc>
        <w:tc>
          <w:tcPr>
            <w:tcW w:w="562"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24133 </w:t>
            </w:r>
          </w:p>
        </w:tc>
        <w:tc>
          <w:tcPr>
            <w:tcW w:w="69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24133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0"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p>
        </w:tc>
        <w:tc>
          <w:tcPr>
            <w:tcW w:w="2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9</w:t>
            </w:r>
          </w:p>
        </w:tc>
        <w:tc>
          <w:tcPr>
            <w:tcW w:w="668"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S208茅园至望川</w:t>
            </w:r>
          </w:p>
        </w:tc>
        <w:tc>
          <w:tcPr>
            <w:tcW w:w="4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spacing w:val="-28"/>
                <w:kern w:val="0"/>
                <w:szCs w:val="21"/>
              </w:rPr>
            </w:pPr>
            <w:r>
              <w:rPr>
                <w:rFonts w:ascii="Times New Roman" w:hAnsi="Times New Roman" w:eastAsia="方正仿宋_GBK" w:cs="Times New Roman"/>
                <w:b w:val="0"/>
                <w:bCs/>
                <w:color w:val="auto"/>
                <w:spacing w:val="-28"/>
                <w:kern w:val="0"/>
                <w:szCs w:val="21"/>
              </w:rPr>
              <w:t>升级改造</w:t>
            </w:r>
          </w:p>
        </w:tc>
        <w:tc>
          <w:tcPr>
            <w:tcW w:w="637"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2022-2024</w:t>
            </w:r>
          </w:p>
        </w:tc>
        <w:tc>
          <w:tcPr>
            <w:tcW w:w="1404"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left"/>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19.02公里</w:t>
            </w:r>
          </w:p>
        </w:tc>
        <w:tc>
          <w:tcPr>
            <w:tcW w:w="562"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13314 </w:t>
            </w:r>
          </w:p>
        </w:tc>
        <w:tc>
          <w:tcPr>
            <w:tcW w:w="69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13314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0"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p>
        </w:tc>
        <w:tc>
          <w:tcPr>
            <w:tcW w:w="2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10</w:t>
            </w:r>
          </w:p>
        </w:tc>
        <w:tc>
          <w:tcPr>
            <w:tcW w:w="668"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S209来苏场至吉安</w:t>
            </w:r>
          </w:p>
        </w:tc>
        <w:tc>
          <w:tcPr>
            <w:tcW w:w="4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spacing w:val="-28"/>
                <w:kern w:val="0"/>
                <w:szCs w:val="21"/>
              </w:rPr>
            </w:pPr>
            <w:r>
              <w:rPr>
                <w:rFonts w:ascii="Times New Roman" w:hAnsi="Times New Roman" w:eastAsia="方正仿宋_GBK" w:cs="Times New Roman"/>
                <w:b w:val="0"/>
                <w:bCs/>
                <w:color w:val="auto"/>
                <w:spacing w:val="-28"/>
                <w:kern w:val="0"/>
                <w:szCs w:val="21"/>
              </w:rPr>
              <w:t>升级改造</w:t>
            </w:r>
          </w:p>
        </w:tc>
        <w:tc>
          <w:tcPr>
            <w:tcW w:w="637"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2023-2024</w:t>
            </w:r>
          </w:p>
        </w:tc>
        <w:tc>
          <w:tcPr>
            <w:tcW w:w="1404"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left"/>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19.96公里</w:t>
            </w:r>
          </w:p>
        </w:tc>
        <w:tc>
          <w:tcPr>
            <w:tcW w:w="562"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12975 </w:t>
            </w:r>
          </w:p>
        </w:tc>
        <w:tc>
          <w:tcPr>
            <w:tcW w:w="69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12975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0"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p>
        </w:tc>
        <w:tc>
          <w:tcPr>
            <w:tcW w:w="2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11</w:t>
            </w:r>
          </w:p>
        </w:tc>
        <w:tc>
          <w:tcPr>
            <w:tcW w:w="668"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S544花滩至龙岭</w:t>
            </w:r>
          </w:p>
        </w:tc>
        <w:tc>
          <w:tcPr>
            <w:tcW w:w="4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spacing w:val="-28"/>
                <w:kern w:val="0"/>
                <w:szCs w:val="21"/>
              </w:rPr>
            </w:pPr>
            <w:r>
              <w:rPr>
                <w:rFonts w:ascii="Times New Roman" w:hAnsi="Times New Roman" w:eastAsia="方正仿宋_GBK" w:cs="Times New Roman"/>
                <w:b w:val="0"/>
                <w:bCs/>
                <w:color w:val="auto"/>
                <w:spacing w:val="-28"/>
                <w:kern w:val="0"/>
                <w:szCs w:val="21"/>
              </w:rPr>
              <w:t>升级改造</w:t>
            </w:r>
          </w:p>
        </w:tc>
        <w:tc>
          <w:tcPr>
            <w:tcW w:w="637"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2023-2024</w:t>
            </w:r>
          </w:p>
        </w:tc>
        <w:tc>
          <w:tcPr>
            <w:tcW w:w="1404"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left"/>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7.21公里</w:t>
            </w:r>
          </w:p>
        </w:tc>
        <w:tc>
          <w:tcPr>
            <w:tcW w:w="562"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6000 </w:t>
            </w:r>
          </w:p>
        </w:tc>
        <w:tc>
          <w:tcPr>
            <w:tcW w:w="69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6000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0"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p>
        </w:tc>
        <w:tc>
          <w:tcPr>
            <w:tcW w:w="2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12</w:t>
            </w:r>
          </w:p>
        </w:tc>
        <w:tc>
          <w:tcPr>
            <w:tcW w:w="668"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S209直升（荣昌界）至三叉河</w:t>
            </w:r>
          </w:p>
        </w:tc>
        <w:tc>
          <w:tcPr>
            <w:tcW w:w="4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spacing w:val="-28"/>
                <w:kern w:val="0"/>
                <w:szCs w:val="21"/>
              </w:rPr>
            </w:pPr>
            <w:r>
              <w:rPr>
                <w:rFonts w:ascii="Times New Roman" w:hAnsi="Times New Roman" w:eastAsia="方正仿宋_GBK" w:cs="Times New Roman"/>
                <w:b w:val="0"/>
                <w:bCs/>
                <w:color w:val="auto"/>
                <w:spacing w:val="-28"/>
                <w:kern w:val="0"/>
                <w:szCs w:val="21"/>
              </w:rPr>
              <w:t>路面改造</w:t>
            </w:r>
          </w:p>
        </w:tc>
        <w:tc>
          <w:tcPr>
            <w:tcW w:w="637"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2024-2025</w:t>
            </w:r>
          </w:p>
        </w:tc>
        <w:tc>
          <w:tcPr>
            <w:tcW w:w="1404"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left"/>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8.60公里</w:t>
            </w:r>
          </w:p>
        </w:tc>
        <w:tc>
          <w:tcPr>
            <w:tcW w:w="562"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4300 </w:t>
            </w:r>
          </w:p>
        </w:tc>
        <w:tc>
          <w:tcPr>
            <w:tcW w:w="69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4300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0"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规划项目</w:t>
            </w:r>
          </w:p>
        </w:tc>
        <w:tc>
          <w:tcPr>
            <w:tcW w:w="2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13</w:t>
            </w:r>
          </w:p>
        </w:tc>
        <w:tc>
          <w:tcPr>
            <w:tcW w:w="668"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spacing w:val="-11"/>
                <w:kern w:val="0"/>
                <w:szCs w:val="21"/>
              </w:rPr>
            </w:pPr>
            <w:r>
              <w:rPr>
                <w:rFonts w:ascii="Times New Roman" w:hAnsi="Times New Roman" w:eastAsia="方正仿宋_GBK" w:cs="Times New Roman"/>
                <w:b w:val="0"/>
                <w:bCs/>
                <w:color w:val="auto"/>
                <w:spacing w:val="-11"/>
                <w:kern w:val="0"/>
                <w:szCs w:val="21"/>
              </w:rPr>
              <w:t>S544雷神庙至美人店</w:t>
            </w:r>
          </w:p>
        </w:tc>
        <w:tc>
          <w:tcPr>
            <w:tcW w:w="4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spacing w:val="-28"/>
                <w:kern w:val="0"/>
                <w:szCs w:val="21"/>
              </w:rPr>
            </w:pPr>
            <w:r>
              <w:rPr>
                <w:rFonts w:ascii="Times New Roman" w:hAnsi="Times New Roman" w:eastAsia="方正仿宋_GBK" w:cs="Times New Roman"/>
                <w:b w:val="0"/>
                <w:bCs/>
                <w:color w:val="auto"/>
                <w:spacing w:val="-28"/>
                <w:kern w:val="0"/>
                <w:szCs w:val="21"/>
              </w:rPr>
              <w:t>路面改造</w:t>
            </w:r>
          </w:p>
        </w:tc>
        <w:tc>
          <w:tcPr>
            <w:tcW w:w="637"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2024-2025</w:t>
            </w:r>
          </w:p>
        </w:tc>
        <w:tc>
          <w:tcPr>
            <w:tcW w:w="1404"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left"/>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17.05公里</w:t>
            </w:r>
          </w:p>
        </w:tc>
        <w:tc>
          <w:tcPr>
            <w:tcW w:w="562"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8550 </w:t>
            </w:r>
          </w:p>
        </w:tc>
        <w:tc>
          <w:tcPr>
            <w:tcW w:w="69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8550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0"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p>
        </w:tc>
        <w:tc>
          <w:tcPr>
            <w:tcW w:w="2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14</w:t>
            </w:r>
          </w:p>
        </w:tc>
        <w:tc>
          <w:tcPr>
            <w:tcW w:w="668"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S545尖山场至寒泸</w:t>
            </w:r>
          </w:p>
        </w:tc>
        <w:tc>
          <w:tcPr>
            <w:tcW w:w="4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spacing w:val="-28"/>
                <w:kern w:val="0"/>
                <w:szCs w:val="21"/>
              </w:rPr>
            </w:pPr>
            <w:r>
              <w:rPr>
                <w:rFonts w:ascii="Times New Roman" w:hAnsi="Times New Roman" w:eastAsia="方正仿宋_GBK" w:cs="Times New Roman"/>
                <w:b w:val="0"/>
                <w:bCs/>
                <w:color w:val="auto"/>
                <w:spacing w:val="-28"/>
                <w:kern w:val="0"/>
                <w:szCs w:val="21"/>
              </w:rPr>
              <w:t>升级改造</w:t>
            </w:r>
          </w:p>
        </w:tc>
        <w:tc>
          <w:tcPr>
            <w:tcW w:w="637"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2024-2025</w:t>
            </w:r>
          </w:p>
        </w:tc>
        <w:tc>
          <w:tcPr>
            <w:tcW w:w="1404"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left"/>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9.82公里</w:t>
            </w:r>
          </w:p>
        </w:tc>
        <w:tc>
          <w:tcPr>
            <w:tcW w:w="562"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15319 </w:t>
            </w:r>
          </w:p>
        </w:tc>
        <w:tc>
          <w:tcPr>
            <w:tcW w:w="69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15319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0"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p>
        </w:tc>
        <w:tc>
          <w:tcPr>
            <w:tcW w:w="2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15</w:t>
            </w:r>
          </w:p>
        </w:tc>
        <w:tc>
          <w:tcPr>
            <w:tcW w:w="668"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spacing w:val="-11"/>
                <w:kern w:val="0"/>
                <w:szCs w:val="21"/>
              </w:rPr>
            </w:pPr>
            <w:r>
              <w:rPr>
                <w:rFonts w:ascii="Times New Roman" w:hAnsi="Times New Roman" w:eastAsia="方正仿宋_GBK" w:cs="Times New Roman"/>
                <w:b w:val="0"/>
                <w:bCs/>
                <w:color w:val="auto"/>
                <w:spacing w:val="-11"/>
                <w:kern w:val="0"/>
                <w:szCs w:val="21"/>
              </w:rPr>
              <w:t>G246周公滩至泸州界</w:t>
            </w:r>
          </w:p>
        </w:tc>
        <w:tc>
          <w:tcPr>
            <w:tcW w:w="4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spacing w:val="-28"/>
                <w:kern w:val="0"/>
                <w:szCs w:val="21"/>
              </w:rPr>
            </w:pPr>
            <w:r>
              <w:rPr>
                <w:rFonts w:ascii="Times New Roman" w:hAnsi="Times New Roman" w:eastAsia="方正仿宋_GBK" w:cs="Times New Roman"/>
                <w:b w:val="0"/>
                <w:bCs/>
                <w:color w:val="auto"/>
                <w:spacing w:val="-28"/>
                <w:kern w:val="0"/>
                <w:szCs w:val="21"/>
              </w:rPr>
              <w:t>路面改造</w:t>
            </w:r>
          </w:p>
        </w:tc>
        <w:tc>
          <w:tcPr>
            <w:tcW w:w="637"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2025-2025</w:t>
            </w:r>
          </w:p>
        </w:tc>
        <w:tc>
          <w:tcPr>
            <w:tcW w:w="1404"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left"/>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22.6公里</w:t>
            </w:r>
          </w:p>
        </w:tc>
        <w:tc>
          <w:tcPr>
            <w:tcW w:w="562"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16000 </w:t>
            </w:r>
          </w:p>
        </w:tc>
        <w:tc>
          <w:tcPr>
            <w:tcW w:w="69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16000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0"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p>
        </w:tc>
        <w:tc>
          <w:tcPr>
            <w:tcW w:w="2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16</w:t>
            </w:r>
          </w:p>
        </w:tc>
        <w:tc>
          <w:tcPr>
            <w:tcW w:w="668"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spacing w:val="-11"/>
                <w:kern w:val="0"/>
                <w:szCs w:val="21"/>
              </w:rPr>
            </w:pPr>
            <w:r>
              <w:rPr>
                <w:rFonts w:ascii="Times New Roman" w:hAnsi="Times New Roman" w:eastAsia="方正仿宋_GBK" w:cs="Times New Roman"/>
                <w:b w:val="0"/>
                <w:bCs/>
                <w:color w:val="auto"/>
                <w:spacing w:val="-11"/>
                <w:kern w:val="0"/>
                <w:szCs w:val="21"/>
              </w:rPr>
              <w:t>三环高速麻柳河路口至一环路</w:t>
            </w:r>
          </w:p>
        </w:tc>
        <w:tc>
          <w:tcPr>
            <w:tcW w:w="4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spacing w:val="-28"/>
                <w:kern w:val="0"/>
                <w:szCs w:val="21"/>
              </w:rPr>
            </w:pPr>
            <w:r>
              <w:rPr>
                <w:rFonts w:ascii="Times New Roman" w:hAnsi="Times New Roman" w:eastAsia="方正仿宋_GBK" w:cs="Times New Roman"/>
                <w:b w:val="0"/>
                <w:bCs/>
                <w:color w:val="auto"/>
                <w:spacing w:val="-28"/>
                <w:kern w:val="0"/>
                <w:szCs w:val="21"/>
              </w:rPr>
              <w:t>升级改造</w:t>
            </w:r>
          </w:p>
        </w:tc>
        <w:tc>
          <w:tcPr>
            <w:tcW w:w="637"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2021-2023</w:t>
            </w:r>
          </w:p>
        </w:tc>
        <w:tc>
          <w:tcPr>
            <w:tcW w:w="1404"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left"/>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3公里</w:t>
            </w:r>
          </w:p>
        </w:tc>
        <w:tc>
          <w:tcPr>
            <w:tcW w:w="562"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10000 </w:t>
            </w:r>
          </w:p>
        </w:tc>
        <w:tc>
          <w:tcPr>
            <w:tcW w:w="69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10000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0"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p>
        </w:tc>
        <w:tc>
          <w:tcPr>
            <w:tcW w:w="2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17</w:t>
            </w:r>
          </w:p>
        </w:tc>
        <w:tc>
          <w:tcPr>
            <w:tcW w:w="668"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永璧高速至茶山竹海宝吉寺</w:t>
            </w:r>
          </w:p>
        </w:tc>
        <w:tc>
          <w:tcPr>
            <w:tcW w:w="4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spacing w:val="-28"/>
                <w:kern w:val="0"/>
                <w:szCs w:val="21"/>
              </w:rPr>
            </w:pPr>
            <w:r>
              <w:rPr>
                <w:rFonts w:ascii="Times New Roman" w:hAnsi="Times New Roman" w:eastAsia="方正仿宋_GBK" w:cs="Times New Roman"/>
                <w:b w:val="0"/>
                <w:bCs/>
                <w:color w:val="auto"/>
                <w:spacing w:val="-28"/>
                <w:kern w:val="0"/>
                <w:szCs w:val="21"/>
              </w:rPr>
              <w:t>升级改造</w:t>
            </w:r>
          </w:p>
        </w:tc>
        <w:tc>
          <w:tcPr>
            <w:tcW w:w="637"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2023-2025</w:t>
            </w:r>
          </w:p>
        </w:tc>
        <w:tc>
          <w:tcPr>
            <w:tcW w:w="1404"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left"/>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2.4公里</w:t>
            </w:r>
          </w:p>
        </w:tc>
        <w:tc>
          <w:tcPr>
            <w:tcW w:w="562"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20000 </w:t>
            </w:r>
          </w:p>
        </w:tc>
        <w:tc>
          <w:tcPr>
            <w:tcW w:w="69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20000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0"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p>
        </w:tc>
        <w:tc>
          <w:tcPr>
            <w:tcW w:w="2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18</w:t>
            </w:r>
          </w:p>
        </w:tc>
        <w:tc>
          <w:tcPr>
            <w:tcW w:w="668"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重要县乡道及产业路</w:t>
            </w:r>
          </w:p>
        </w:tc>
        <w:tc>
          <w:tcPr>
            <w:tcW w:w="4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spacing w:val="-28"/>
                <w:kern w:val="0"/>
                <w:szCs w:val="21"/>
              </w:rPr>
            </w:pPr>
            <w:r>
              <w:rPr>
                <w:rFonts w:ascii="Times New Roman" w:hAnsi="Times New Roman" w:eastAsia="方正仿宋_GBK" w:cs="Times New Roman"/>
                <w:b w:val="0"/>
                <w:bCs/>
                <w:color w:val="auto"/>
                <w:spacing w:val="-28"/>
                <w:kern w:val="0"/>
                <w:szCs w:val="21"/>
              </w:rPr>
              <w:t>升级改造</w:t>
            </w:r>
          </w:p>
        </w:tc>
        <w:tc>
          <w:tcPr>
            <w:tcW w:w="637"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2021-2025</w:t>
            </w:r>
          </w:p>
        </w:tc>
        <w:tc>
          <w:tcPr>
            <w:tcW w:w="1404"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left"/>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240公里</w:t>
            </w:r>
          </w:p>
        </w:tc>
        <w:tc>
          <w:tcPr>
            <w:tcW w:w="562"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43200 </w:t>
            </w:r>
          </w:p>
        </w:tc>
        <w:tc>
          <w:tcPr>
            <w:tcW w:w="69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43200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0"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p>
        </w:tc>
        <w:tc>
          <w:tcPr>
            <w:tcW w:w="2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19</w:t>
            </w:r>
          </w:p>
        </w:tc>
        <w:tc>
          <w:tcPr>
            <w:tcW w:w="668"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农村路入户路</w:t>
            </w:r>
          </w:p>
        </w:tc>
        <w:tc>
          <w:tcPr>
            <w:tcW w:w="4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spacing w:val="-28"/>
                <w:kern w:val="0"/>
                <w:szCs w:val="21"/>
              </w:rPr>
            </w:pPr>
            <w:r>
              <w:rPr>
                <w:rFonts w:ascii="Times New Roman" w:hAnsi="Times New Roman" w:eastAsia="方正仿宋_GBK" w:cs="Times New Roman"/>
                <w:b w:val="0"/>
                <w:bCs/>
                <w:color w:val="auto"/>
                <w:spacing w:val="-28"/>
                <w:kern w:val="0"/>
                <w:szCs w:val="21"/>
              </w:rPr>
              <w:t>升级改造</w:t>
            </w:r>
          </w:p>
        </w:tc>
        <w:tc>
          <w:tcPr>
            <w:tcW w:w="637"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2021-2025</w:t>
            </w:r>
          </w:p>
        </w:tc>
        <w:tc>
          <w:tcPr>
            <w:tcW w:w="1404"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left"/>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400公里</w:t>
            </w:r>
          </w:p>
        </w:tc>
        <w:tc>
          <w:tcPr>
            <w:tcW w:w="562"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32000 </w:t>
            </w:r>
          </w:p>
        </w:tc>
        <w:tc>
          <w:tcPr>
            <w:tcW w:w="69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32000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0"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p>
        </w:tc>
        <w:tc>
          <w:tcPr>
            <w:tcW w:w="2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20</w:t>
            </w:r>
          </w:p>
        </w:tc>
        <w:tc>
          <w:tcPr>
            <w:tcW w:w="668"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农村路窄路面加宽</w:t>
            </w:r>
          </w:p>
        </w:tc>
        <w:tc>
          <w:tcPr>
            <w:tcW w:w="4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spacing w:val="-28"/>
                <w:kern w:val="0"/>
                <w:szCs w:val="21"/>
              </w:rPr>
            </w:pPr>
            <w:r>
              <w:rPr>
                <w:rFonts w:ascii="Times New Roman" w:hAnsi="Times New Roman" w:eastAsia="方正仿宋_GBK" w:cs="Times New Roman"/>
                <w:b w:val="0"/>
                <w:bCs/>
                <w:color w:val="auto"/>
                <w:spacing w:val="-28"/>
                <w:kern w:val="0"/>
                <w:szCs w:val="21"/>
              </w:rPr>
              <w:t>升级改造</w:t>
            </w:r>
          </w:p>
        </w:tc>
        <w:tc>
          <w:tcPr>
            <w:tcW w:w="637"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2021-2025</w:t>
            </w:r>
          </w:p>
        </w:tc>
        <w:tc>
          <w:tcPr>
            <w:tcW w:w="1404"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left"/>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400公里</w:t>
            </w:r>
          </w:p>
        </w:tc>
        <w:tc>
          <w:tcPr>
            <w:tcW w:w="562"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32000 </w:t>
            </w:r>
          </w:p>
        </w:tc>
        <w:tc>
          <w:tcPr>
            <w:tcW w:w="69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32000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0"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p>
        </w:tc>
        <w:tc>
          <w:tcPr>
            <w:tcW w:w="2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21</w:t>
            </w:r>
          </w:p>
        </w:tc>
        <w:tc>
          <w:tcPr>
            <w:tcW w:w="668"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农村路油返砂改造</w:t>
            </w:r>
          </w:p>
        </w:tc>
        <w:tc>
          <w:tcPr>
            <w:tcW w:w="4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spacing w:val="-28"/>
                <w:kern w:val="0"/>
                <w:szCs w:val="21"/>
              </w:rPr>
            </w:pPr>
            <w:r>
              <w:rPr>
                <w:rFonts w:ascii="Times New Roman" w:hAnsi="Times New Roman" w:eastAsia="方正仿宋_GBK" w:cs="Times New Roman"/>
                <w:b w:val="0"/>
                <w:bCs/>
                <w:color w:val="auto"/>
                <w:spacing w:val="-28"/>
                <w:kern w:val="0"/>
                <w:szCs w:val="21"/>
              </w:rPr>
              <w:t>升级改造</w:t>
            </w:r>
          </w:p>
        </w:tc>
        <w:tc>
          <w:tcPr>
            <w:tcW w:w="637"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2021-2025</w:t>
            </w:r>
          </w:p>
        </w:tc>
        <w:tc>
          <w:tcPr>
            <w:tcW w:w="1404"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left"/>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400公里</w:t>
            </w:r>
          </w:p>
        </w:tc>
        <w:tc>
          <w:tcPr>
            <w:tcW w:w="562"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32000 </w:t>
            </w:r>
          </w:p>
        </w:tc>
        <w:tc>
          <w:tcPr>
            <w:tcW w:w="69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32000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0"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p>
        </w:tc>
        <w:tc>
          <w:tcPr>
            <w:tcW w:w="2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22</w:t>
            </w:r>
          </w:p>
        </w:tc>
        <w:tc>
          <w:tcPr>
            <w:tcW w:w="668"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spacing w:val="-11"/>
                <w:kern w:val="0"/>
                <w:szCs w:val="21"/>
              </w:rPr>
            </w:pPr>
            <w:r>
              <w:rPr>
                <w:rFonts w:ascii="Times New Roman" w:hAnsi="Times New Roman" w:eastAsia="方正仿宋_GBK" w:cs="Times New Roman"/>
                <w:b w:val="0"/>
                <w:bCs/>
                <w:color w:val="auto"/>
                <w:spacing w:val="-11"/>
                <w:kern w:val="0"/>
                <w:szCs w:val="21"/>
              </w:rPr>
              <w:t>农村路单车道改双车道</w:t>
            </w:r>
          </w:p>
        </w:tc>
        <w:tc>
          <w:tcPr>
            <w:tcW w:w="4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spacing w:val="-28"/>
                <w:kern w:val="0"/>
                <w:szCs w:val="21"/>
              </w:rPr>
            </w:pPr>
            <w:r>
              <w:rPr>
                <w:rFonts w:ascii="Times New Roman" w:hAnsi="Times New Roman" w:eastAsia="方正仿宋_GBK" w:cs="Times New Roman"/>
                <w:b w:val="0"/>
                <w:bCs/>
                <w:color w:val="auto"/>
                <w:spacing w:val="-28"/>
                <w:kern w:val="0"/>
                <w:szCs w:val="21"/>
              </w:rPr>
              <w:t>升级改造</w:t>
            </w:r>
          </w:p>
        </w:tc>
        <w:tc>
          <w:tcPr>
            <w:tcW w:w="637"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2021-2025</w:t>
            </w:r>
          </w:p>
        </w:tc>
        <w:tc>
          <w:tcPr>
            <w:tcW w:w="1404"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left"/>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400公里</w:t>
            </w:r>
          </w:p>
        </w:tc>
        <w:tc>
          <w:tcPr>
            <w:tcW w:w="562"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32000 </w:t>
            </w:r>
          </w:p>
        </w:tc>
        <w:tc>
          <w:tcPr>
            <w:tcW w:w="69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32000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0"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储备项目</w:t>
            </w:r>
          </w:p>
        </w:tc>
        <w:tc>
          <w:tcPr>
            <w:tcW w:w="2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23</w:t>
            </w:r>
          </w:p>
        </w:tc>
        <w:tc>
          <w:tcPr>
            <w:tcW w:w="668"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spacing w:val="-11"/>
                <w:kern w:val="0"/>
                <w:szCs w:val="21"/>
              </w:rPr>
            </w:pPr>
            <w:r>
              <w:rPr>
                <w:rFonts w:ascii="Times New Roman" w:hAnsi="Times New Roman" w:eastAsia="方正仿宋_GBK" w:cs="Times New Roman"/>
                <w:b w:val="0"/>
                <w:bCs/>
                <w:color w:val="auto"/>
                <w:spacing w:val="-11"/>
                <w:kern w:val="0"/>
                <w:szCs w:val="21"/>
              </w:rPr>
              <w:t>G348莲花场至毛家坡</w:t>
            </w:r>
          </w:p>
        </w:tc>
        <w:tc>
          <w:tcPr>
            <w:tcW w:w="4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spacing w:val="-28"/>
                <w:kern w:val="0"/>
                <w:szCs w:val="21"/>
              </w:rPr>
            </w:pPr>
            <w:r>
              <w:rPr>
                <w:rFonts w:ascii="Times New Roman" w:hAnsi="Times New Roman" w:eastAsia="方正仿宋_GBK" w:cs="Times New Roman"/>
                <w:b w:val="0"/>
                <w:bCs/>
                <w:color w:val="auto"/>
                <w:spacing w:val="-28"/>
                <w:kern w:val="0"/>
                <w:szCs w:val="21"/>
              </w:rPr>
              <w:t>升级改造</w:t>
            </w:r>
          </w:p>
        </w:tc>
        <w:tc>
          <w:tcPr>
            <w:tcW w:w="637"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2022-2023</w:t>
            </w:r>
          </w:p>
        </w:tc>
        <w:tc>
          <w:tcPr>
            <w:tcW w:w="1404"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left"/>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7.21公里</w:t>
            </w:r>
          </w:p>
        </w:tc>
        <w:tc>
          <w:tcPr>
            <w:tcW w:w="562"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6000 </w:t>
            </w:r>
          </w:p>
        </w:tc>
        <w:tc>
          <w:tcPr>
            <w:tcW w:w="69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0"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p>
        </w:tc>
        <w:tc>
          <w:tcPr>
            <w:tcW w:w="2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24</w:t>
            </w:r>
          </w:p>
        </w:tc>
        <w:tc>
          <w:tcPr>
            <w:tcW w:w="668"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S209吉安至新建村</w:t>
            </w:r>
          </w:p>
        </w:tc>
        <w:tc>
          <w:tcPr>
            <w:tcW w:w="4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spacing w:val="-28"/>
                <w:kern w:val="0"/>
                <w:szCs w:val="21"/>
              </w:rPr>
            </w:pPr>
            <w:r>
              <w:rPr>
                <w:rFonts w:ascii="Times New Roman" w:hAnsi="Times New Roman" w:eastAsia="方正仿宋_GBK" w:cs="Times New Roman"/>
                <w:b w:val="0"/>
                <w:bCs/>
                <w:color w:val="auto"/>
                <w:spacing w:val="-28"/>
                <w:kern w:val="0"/>
                <w:szCs w:val="21"/>
              </w:rPr>
              <w:t>升级改造</w:t>
            </w:r>
          </w:p>
        </w:tc>
        <w:tc>
          <w:tcPr>
            <w:tcW w:w="637"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2022-2023</w:t>
            </w:r>
          </w:p>
        </w:tc>
        <w:tc>
          <w:tcPr>
            <w:tcW w:w="1404"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left"/>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10.15公里</w:t>
            </w:r>
          </w:p>
        </w:tc>
        <w:tc>
          <w:tcPr>
            <w:tcW w:w="562"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14000 </w:t>
            </w:r>
          </w:p>
        </w:tc>
        <w:tc>
          <w:tcPr>
            <w:tcW w:w="69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0"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p>
        </w:tc>
        <w:tc>
          <w:tcPr>
            <w:tcW w:w="2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25</w:t>
            </w:r>
          </w:p>
        </w:tc>
        <w:tc>
          <w:tcPr>
            <w:tcW w:w="668"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S105永川城区</w:t>
            </w:r>
            <w:r>
              <w:rPr>
                <w:rFonts w:ascii="Times New Roman" w:hAnsi="Times New Roman" w:eastAsia="方正仿宋_GBK" w:cs="Times New Roman"/>
                <w:b w:val="0"/>
                <w:bCs/>
                <w:color w:val="auto"/>
                <w:spacing w:val="-11"/>
                <w:kern w:val="0"/>
                <w:szCs w:val="21"/>
              </w:rPr>
              <w:t>至宝峰</w:t>
            </w:r>
          </w:p>
        </w:tc>
        <w:tc>
          <w:tcPr>
            <w:tcW w:w="4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spacing w:val="-28"/>
                <w:kern w:val="0"/>
                <w:szCs w:val="21"/>
              </w:rPr>
            </w:pPr>
            <w:r>
              <w:rPr>
                <w:rFonts w:ascii="Times New Roman" w:hAnsi="Times New Roman" w:eastAsia="方正仿宋_GBK" w:cs="Times New Roman"/>
                <w:b w:val="0"/>
                <w:bCs/>
                <w:color w:val="auto"/>
                <w:spacing w:val="-28"/>
                <w:kern w:val="0"/>
                <w:szCs w:val="21"/>
              </w:rPr>
              <w:t>升级改造</w:t>
            </w:r>
          </w:p>
        </w:tc>
        <w:tc>
          <w:tcPr>
            <w:tcW w:w="637"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2022-2024</w:t>
            </w:r>
          </w:p>
        </w:tc>
        <w:tc>
          <w:tcPr>
            <w:tcW w:w="1404"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left"/>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25.64公里</w:t>
            </w:r>
          </w:p>
        </w:tc>
        <w:tc>
          <w:tcPr>
            <w:tcW w:w="562"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31020 </w:t>
            </w:r>
          </w:p>
        </w:tc>
        <w:tc>
          <w:tcPr>
            <w:tcW w:w="69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0"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p>
        </w:tc>
        <w:tc>
          <w:tcPr>
            <w:tcW w:w="2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26</w:t>
            </w:r>
          </w:p>
        </w:tc>
        <w:tc>
          <w:tcPr>
            <w:tcW w:w="668"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S546丁吴路三教园区至板桥场段</w:t>
            </w:r>
          </w:p>
        </w:tc>
        <w:tc>
          <w:tcPr>
            <w:tcW w:w="4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spacing w:val="-28"/>
                <w:kern w:val="0"/>
                <w:szCs w:val="21"/>
              </w:rPr>
            </w:pPr>
            <w:r>
              <w:rPr>
                <w:rFonts w:ascii="Times New Roman" w:hAnsi="Times New Roman" w:eastAsia="方正仿宋_GBK" w:cs="Times New Roman"/>
                <w:b w:val="0"/>
                <w:bCs/>
                <w:color w:val="auto"/>
                <w:spacing w:val="-28"/>
                <w:kern w:val="0"/>
                <w:szCs w:val="21"/>
              </w:rPr>
              <w:t>升级改造</w:t>
            </w:r>
          </w:p>
        </w:tc>
        <w:tc>
          <w:tcPr>
            <w:tcW w:w="637"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2022-2024</w:t>
            </w:r>
          </w:p>
        </w:tc>
        <w:tc>
          <w:tcPr>
            <w:tcW w:w="1404"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left"/>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6.40公里</w:t>
            </w:r>
          </w:p>
        </w:tc>
        <w:tc>
          <w:tcPr>
            <w:tcW w:w="562"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10000 </w:t>
            </w:r>
          </w:p>
        </w:tc>
        <w:tc>
          <w:tcPr>
            <w:tcW w:w="69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0"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p>
        </w:tc>
        <w:tc>
          <w:tcPr>
            <w:tcW w:w="2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27</w:t>
            </w:r>
          </w:p>
        </w:tc>
        <w:tc>
          <w:tcPr>
            <w:tcW w:w="668"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S208隆顺至茅园</w:t>
            </w:r>
          </w:p>
        </w:tc>
        <w:tc>
          <w:tcPr>
            <w:tcW w:w="4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spacing w:val="-28"/>
                <w:kern w:val="0"/>
                <w:szCs w:val="21"/>
              </w:rPr>
            </w:pPr>
            <w:r>
              <w:rPr>
                <w:rFonts w:ascii="Times New Roman" w:hAnsi="Times New Roman" w:eastAsia="方正仿宋_GBK" w:cs="Times New Roman"/>
                <w:b w:val="0"/>
                <w:bCs/>
                <w:color w:val="auto"/>
                <w:spacing w:val="-28"/>
                <w:kern w:val="0"/>
                <w:szCs w:val="21"/>
              </w:rPr>
              <w:t>升级改造</w:t>
            </w:r>
          </w:p>
        </w:tc>
        <w:tc>
          <w:tcPr>
            <w:tcW w:w="637"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2023-2023</w:t>
            </w:r>
          </w:p>
        </w:tc>
        <w:tc>
          <w:tcPr>
            <w:tcW w:w="1404"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left"/>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27.13公里</w:t>
            </w:r>
          </w:p>
        </w:tc>
        <w:tc>
          <w:tcPr>
            <w:tcW w:w="562"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27131 </w:t>
            </w:r>
          </w:p>
        </w:tc>
        <w:tc>
          <w:tcPr>
            <w:tcW w:w="69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0"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p>
        </w:tc>
        <w:tc>
          <w:tcPr>
            <w:tcW w:w="2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28</w:t>
            </w:r>
          </w:p>
        </w:tc>
        <w:tc>
          <w:tcPr>
            <w:tcW w:w="668"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S545永川界至金龙</w:t>
            </w:r>
          </w:p>
        </w:tc>
        <w:tc>
          <w:tcPr>
            <w:tcW w:w="4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spacing w:val="-28"/>
                <w:kern w:val="0"/>
                <w:szCs w:val="21"/>
              </w:rPr>
            </w:pPr>
            <w:r>
              <w:rPr>
                <w:rFonts w:ascii="Times New Roman" w:hAnsi="Times New Roman" w:eastAsia="方正仿宋_GBK" w:cs="Times New Roman"/>
                <w:b w:val="0"/>
                <w:bCs/>
                <w:color w:val="auto"/>
                <w:spacing w:val="-28"/>
                <w:kern w:val="0"/>
                <w:szCs w:val="21"/>
              </w:rPr>
              <w:t>升级改造</w:t>
            </w:r>
          </w:p>
        </w:tc>
        <w:tc>
          <w:tcPr>
            <w:tcW w:w="637"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2023-2024</w:t>
            </w:r>
          </w:p>
        </w:tc>
        <w:tc>
          <w:tcPr>
            <w:tcW w:w="1404"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left"/>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3.56公里</w:t>
            </w:r>
          </w:p>
        </w:tc>
        <w:tc>
          <w:tcPr>
            <w:tcW w:w="562"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2800 </w:t>
            </w:r>
          </w:p>
        </w:tc>
        <w:tc>
          <w:tcPr>
            <w:tcW w:w="69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0"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p>
        </w:tc>
        <w:tc>
          <w:tcPr>
            <w:tcW w:w="2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29</w:t>
            </w:r>
          </w:p>
        </w:tc>
        <w:tc>
          <w:tcPr>
            <w:tcW w:w="668"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spacing w:val="-11"/>
                <w:kern w:val="0"/>
                <w:szCs w:val="21"/>
              </w:rPr>
              <w:t>G348胜利村至毛家坡</w:t>
            </w:r>
          </w:p>
        </w:tc>
        <w:tc>
          <w:tcPr>
            <w:tcW w:w="4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spacing w:val="-28"/>
                <w:kern w:val="0"/>
                <w:szCs w:val="21"/>
              </w:rPr>
            </w:pPr>
            <w:r>
              <w:rPr>
                <w:rFonts w:ascii="Times New Roman" w:hAnsi="Times New Roman" w:eastAsia="方正仿宋_GBK" w:cs="Times New Roman"/>
                <w:b w:val="0"/>
                <w:bCs/>
                <w:color w:val="auto"/>
                <w:spacing w:val="-28"/>
                <w:kern w:val="0"/>
                <w:szCs w:val="21"/>
              </w:rPr>
              <w:t>原级改造</w:t>
            </w:r>
          </w:p>
        </w:tc>
        <w:tc>
          <w:tcPr>
            <w:tcW w:w="637"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2023-2025</w:t>
            </w:r>
          </w:p>
        </w:tc>
        <w:tc>
          <w:tcPr>
            <w:tcW w:w="1404"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left"/>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10.20公里</w:t>
            </w:r>
          </w:p>
        </w:tc>
        <w:tc>
          <w:tcPr>
            <w:tcW w:w="562"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45900 </w:t>
            </w:r>
          </w:p>
        </w:tc>
        <w:tc>
          <w:tcPr>
            <w:tcW w:w="69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280"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w:t>
            </w:r>
          </w:p>
        </w:tc>
        <w:tc>
          <w:tcPr>
            <w:tcW w:w="2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w:t>
            </w:r>
          </w:p>
        </w:tc>
        <w:tc>
          <w:tcPr>
            <w:tcW w:w="668"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小计</w:t>
            </w:r>
          </w:p>
        </w:tc>
        <w:tc>
          <w:tcPr>
            <w:tcW w:w="4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w:t>
            </w:r>
          </w:p>
        </w:tc>
        <w:tc>
          <w:tcPr>
            <w:tcW w:w="637"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w:t>
            </w:r>
          </w:p>
        </w:tc>
        <w:tc>
          <w:tcPr>
            <w:tcW w:w="1404"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left"/>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w:t>
            </w:r>
          </w:p>
        </w:tc>
        <w:tc>
          <w:tcPr>
            <w:tcW w:w="562"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541253 </w:t>
            </w:r>
          </w:p>
        </w:tc>
        <w:tc>
          <w:tcPr>
            <w:tcW w:w="69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386158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000" w:type="pct"/>
            <w:gridSpan w:val="8"/>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left"/>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（四）水运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0"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规划项目</w:t>
            </w:r>
          </w:p>
        </w:tc>
        <w:tc>
          <w:tcPr>
            <w:tcW w:w="2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1</w:t>
            </w:r>
          </w:p>
        </w:tc>
        <w:tc>
          <w:tcPr>
            <w:tcW w:w="668"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长江航道整治</w:t>
            </w:r>
          </w:p>
        </w:tc>
        <w:tc>
          <w:tcPr>
            <w:tcW w:w="4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新开工</w:t>
            </w:r>
          </w:p>
        </w:tc>
        <w:tc>
          <w:tcPr>
            <w:tcW w:w="637"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2021-2025</w:t>
            </w:r>
          </w:p>
        </w:tc>
        <w:tc>
          <w:tcPr>
            <w:tcW w:w="1404"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left"/>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永川境内的21.5公里长江航道提升为二级航道</w:t>
            </w:r>
          </w:p>
        </w:tc>
        <w:tc>
          <w:tcPr>
            <w:tcW w:w="562"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20000 </w:t>
            </w:r>
          </w:p>
        </w:tc>
        <w:tc>
          <w:tcPr>
            <w:tcW w:w="69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20000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trPr>
        <w:tc>
          <w:tcPr>
            <w:tcW w:w="280"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p>
        </w:tc>
        <w:tc>
          <w:tcPr>
            <w:tcW w:w="2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2</w:t>
            </w:r>
          </w:p>
        </w:tc>
        <w:tc>
          <w:tcPr>
            <w:tcW w:w="668"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永川港区朱沱</w:t>
            </w:r>
            <w:r>
              <w:rPr>
                <w:rFonts w:ascii="Times New Roman" w:hAnsi="Times New Roman" w:eastAsia="方正仿宋_GBK" w:cs="Times New Roman"/>
                <w:b w:val="0"/>
                <w:bCs/>
                <w:color w:val="auto"/>
                <w:spacing w:val="-11"/>
                <w:kern w:val="0"/>
                <w:szCs w:val="21"/>
              </w:rPr>
              <w:t>作业区</w:t>
            </w:r>
          </w:p>
        </w:tc>
        <w:tc>
          <w:tcPr>
            <w:tcW w:w="4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续建</w:t>
            </w:r>
          </w:p>
        </w:tc>
        <w:tc>
          <w:tcPr>
            <w:tcW w:w="637"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2019-2025</w:t>
            </w:r>
          </w:p>
        </w:tc>
        <w:tc>
          <w:tcPr>
            <w:tcW w:w="1404"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both"/>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拟建成4个3000吨级（水工结构按5000吨级设计）多用途泊位和1个大件（兼顾商品滚装功能）泊位及相应配套设施，设计年通过能力550万吨</w:t>
            </w:r>
          </w:p>
        </w:tc>
        <w:tc>
          <w:tcPr>
            <w:tcW w:w="562"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174000 </w:t>
            </w:r>
          </w:p>
        </w:tc>
        <w:tc>
          <w:tcPr>
            <w:tcW w:w="69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169000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0"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p>
        </w:tc>
        <w:tc>
          <w:tcPr>
            <w:tcW w:w="2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w:t>
            </w:r>
          </w:p>
        </w:tc>
        <w:tc>
          <w:tcPr>
            <w:tcW w:w="668"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小计</w:t>
            </w:r>
          </w:p>
        </w:tc>
        <w:tc>
          <w:tcPr>
            <w:tcW w:w="4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w:t>
            </w:r>
          </w:p>
        </w:tc>
        <w:tc>
          <w:tcPr>
            <w:tcW w:w="637"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w:t>
            </w:r>
          </w:p>
        </w:tc>
        <w:tc>
          <w:tcPr>
            <w:tcW w:w="1404"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left"/>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w:t>
            </w:r>
          </w:p>
        </w:tc>
        <w:tc>
          <w:tcPr>
            <w:tcW w:w="562"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194000 </w:t>
            </w:r>
          </w:p>
        </w:tc>
        <w:tc>
          <w:tcPr>
            <w:tcW w:w="69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189000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000" w:type="pct"/>
            <w:gridSpan w:val="8"/>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left"/>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（五）航空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80"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规划项目</w:t>
            </w:r>
          </w:p>
        </w:tc>
        <w:tc>
          <w:tcPr>
            <w:tcW w:w="2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1</w:t>
            </w:r>
          </w:p>
        </w:tc>
        <w:tc>
          <w:tcPr>
            <w:tcW w:w="668"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直升机起降点或起降平台</w:t>
            </w:r>
          </w:p>
        </w:tc>
        <w:tc>
          <w:tcPr>
            <w:tcW w:w="4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新开工</w:t>
            </w:r>
          </w:p>
        </w:tc>
        <w:tc>
          <w:tcPr>
            <w:tcW w:w="637"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2025-2030</w:t>
            </w:r>
          </w:p>
        </w:tc>
        <w:tc>
          <w:tcPr>
            <w:tcW w:w="1404"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left"/>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在茶山竹海、松溉古镇等地规划建设直升机起降平台或者直升机起降点</w:t>
            </w:r>
          </w:p>
        </w:tc>
        <w:tc>
          <w:tcPr>
            <w:tcW w:w="562"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50000 </w:t>
            </w:r>
          </w:p>
        </w:tc>
        <w:tc>
          <w:tcPr>
            <w:tcW w:w="69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10000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80"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p>
        </w:tc>
        <w:tc>
          <w:tcPr>
            <w:tcW w:w="2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w:t>
            </w:r>
          </w:p>
        </w:tc>
        <w:tc>
          <w:tcPr>
            <w:tcW w:w="668"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小计</w:t>
            </w:r>
          </w:p>
        </w:tc>
        <w:tc>
          <w:tcPr>
            <w:tcW w:w="4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w:t>
            </w:r>
          </w:p>
        </w:tc>
        <w:tc>
          <w:tcPr>
            <w:tcW w:w="637"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w:t>
            </w:r>
          </w:p>
        </w:tc>
        <w:tc>
          <w:tcPr>
            <w:tcW w:w="1404"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left"/>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w:t>
            </w:r>
          </w:p>
        </w:tc>
        <w:tc>
          <w:tcPr>
            <w:tcW w:w="562"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50000 </w:t>
            </w:r>
          </w:p>
        </w:tc>
        <w:tc>
          <w:tcPr>
            <w:tcW w:w="69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10000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000" w:type="pct"/>
            <w:gridSpan w:val="8"/>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left"/>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（六）客货枢纽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280"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规划项目</w:t>
            </w:r>
          </w:p>
        </w:tc>
        <w:tc>
          <w:tcPr>
            <w:tcW w:w="2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1</w:t>
            </w:r>
          </w:p>
        </w:tc>
        <w:tc>
          <w:tcPr>
            <w:tcW w:w="668"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港桥现代物流园</w:t>
            </w:r>
          </w:p>
        </w:tc>
        <w:tc>
          <w:tcPr>
            <w:tcW w:w="4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续建</w:t>
            </w:r>
          </w:p>
        </w:tc>
        <w:tc>
          <w:tcPr>
            <w:tcW w:w="637"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2020-2023</w:t>
            </w:r>
          </w:p>
        </w:tc>
        <w:tc>
          <w:tcPr>
            <w:tcW w:w="1404"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left"/>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建设港桥站，沿江铁路与港桥支线共建车站，设到发线8条（含正线）；建设松溉站，港桥支线车站，设到发线5条（含正线）</w:t>
            </w:r>
          </w:p>
        </w:tc>
        <w:tc>
          <w:tcPr>
            <w:tcW w:w="562"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75000 </w:t>
            </w:r>
          </w:p>
        </w:tc>
        <w:tc>
          <w:tcPr>
            <w:tcW w:w="69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70000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280"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p>
        </w:tc>
        <w:tc>
          <w:tcPr>
            <w:tcW w:w="2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2</w:t>
            </w:r>
          </w:p>
        </w:tc>
        <w:tc>
          <w:tcPr>
            <w:tcW w:w="668"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凤凰湖供应链物流枢纽</w:t>
            </w:r>
          </w:p>
        </w:tc>
        <w:tc>
          <w:tcPr>
            <w:tcW w:w="4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新开工</w:t>
            </w:r>
          </w:p>
        </w:tc>
        <w:tc>
          <w:tcPr>
            <w:tcW w:w="637"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hint="eastAsia" w:ascii="Times New Roman" w:hAnsi="Times New Roman" w:eastAsia="方正仿宋_GBK" w:cs="Times New Roman"/>
                <w:b w:val="0"/>
                <w:bCs/>
                <w:color w:val="auto"/>
                <w:kern w:val="0"/>
                <w:szCs w:val="21"/>
                <w:lang w:eastAsia="zh-CN"/>
              </w:rPr>
            </w:pPr>
            <w:r>
              <w:rPr>
                <w:rFonts w:ascii="Times New Roman" w:hAnsi="Times New Roman" w:eastAsia="方正仿宋_GBK" w:cs="Times New Roman"/>
                <w:b w:val="0"/>
                <w:bCs/>
                <w:color w:val="auto"/>
                <w:kern w:val="0"/>
                <w:szCs w:val="21"/>
              </w:rPr>
              <w:t>2021-202</w:t>
            </w:r>
            <w:r>
              <w:rPr>
                <w:rFonts w:hint="eastAsia" w:ascii="Times New Roman" w:hAnsi="Times New Roman" w:eastAsia="方正仿宋_GBK" w:cs="Times New Roman"/>
                <w:b w:val="0"/>
                <w:bCs/>
                <w:color w:val="auto"/>
                <w:kern w:val="0"/>
                <w:szCs w:val="21"/>
                <w:lang w:val="en-US" w:eastAsia="zh-CN"/>
              </w:rPr>
              <w:t>5</w:t>
            </w:r>
          </w:p>
        </w:tc>
        <w:tc>
          <w:tcPr>
            <w:tcW w:w="1404"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left"/>
              <w:textAlignment w:val="auto"/>
              <w:rPr>
                <w:rFonts w:ascii="Times New Roman" w:hAnsi="Times New Roman" w:eastAsia="方正仿宋_GBK" w:cs="Times New Roman"/>
                <w:b w:val="0"/>
                <w:bCs/>
                <w:color w:val="auto"/>
                <w:kern w:val="0"/>
                <w:szCs w:val="21"/>
              </w:rPr>
            </w:pPr>
            <w:r>
              <w:rPr>
                <w:rFonts w:hint="eastAsia" w:ascii="Times New Roman" w:hAnsi="Times New Roman" w:eastAsia="方正仿宋_GBK" w:cs="Times New Roman"/>
                <w:b w:val="0"/>
                <w:bCs/>
                <w:color w:val="auto"/>
                <w:kern w:val="0"/>
                <w:szCs w:val="21"/>
                <w:lang w:val="en-US" w:eastAsia="zh-CN"/>
              </w:rPr>
              <w:t>建设</w:t>
            </w:r>
            <w:r>
              <w:rPr>
                <w:rFonts w:hint="eastAsia" w:ascii="Times New Roman" w:hAnsi="Times New Roman" w:eastAsia="方正仿宋_GBK" w:cs="Times New Roman"/>
                <w:b w:val="0"/>
                <w:bCs/>
                <w:color w:val="auto"/>
                <w:kern w:val="0"/>
                <w:szCs w:val="21"/>
              </w:rPr>
              <w:t>公路物流港工程，规划用地面积250亩。主要建设配载中心、散货分拣中心、司机之家、分拣中心、零担中心、分拣中心，以及机修车间等辅助工程</w:t>
            </w:r>
          </w:p>
        </w:tc>
        <w:tc>
          <w:tcPr>
            <w:tcW w:w="562"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hint="default" w:ascii="Times New Roman" w:hAnsi="Times New Roman" w:eastAsia="方正仿宋_GBK" w:cs="Times New Roman"/>
                <w:b w:val="0"/>
                <w:bCs/>
                <w:color w:val="auto"/>
                <w:kern w:val="0"/>
                <w:szCs w:val="21"/>
                <w:lang w:val="en-US" w:eastAsia="zh-CN"/>
              </w:rPr>
            </w:pPr>
            <w:r>
              <w:rPr>
                <w:rFonts w:hint="eastAsia" w:ascii="Times New Roman" w:hAnsi="Times New Roman" w:eastAsia="方正仿宋_GBK" w:cs="Times New Roman"/>
                <w:b w:val="0"/>
                <w:bCs/>
                <w:color w:val="auto"/>
                <w:kern w:val="0"/>
                <w:szCs w:val="21"/>
                <w:lang w:val="en-US" w:eastAsia="zh-CN"/>
              </w:rPr>
              <w:t>32500</w:t>
            </w:r>
          </w:p>
        </w:tc>
        <w:tc>
          <w:tcPr>
            <w:tcW w:w="69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hint="default" w:ascii="Times New Roman" w:hAnsi="Times New Roman" w:eastAsia="方正仿宋_GBK" w:cs="Times New Roman"/>
                <w:b w:val="0"/>
                <w:bCs/>
                <w:color w:val="auto"/>
                <w:kern w:val="0"/>
                <w:szCs w:val="21"/>
                <w:lang w:val="en-US" w:eastAsia="zh-CN"/>
              </w:rPr>
            </w:pPr>
            <w:r>
              <w:rPr>
                <w:rFonts w:hint="eastAsia" w:ascii="Times New Roman" w:hAnsi="Times New Roman" w:eastAsia="方正仿宋_GBK" w:cs="Times New Roman"/>
                <w:b w:val="0"/>
                <w:bCs/>
                <w:color w:val="auto"/>
                <w:kern w:val="0"/>
                <w:szCs w:val="21"/>
                <w:lang w:val="en-US" w:eastAsia="zh-CN"/>
              </w:rPr>
              <w:t>32500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0"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p>
        </w:tc>
        <w:tc>
          <w:tcPr>
            <w:tcW w:w="2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3</w:t>
            </w:r>
          </w:p>
        </w:tc>
        <w:tc>
          <w:tcPr>
            <w:tcW w:w="668"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城西商贸物流中心</w:t>
            </w:r>
          </w:p>
        </w:tc>
        <w:tc>
          <w:tcPr>
            <w:tcW w:w="4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新开工</w:t>
            </w:r>
          </w:p>
        </w:tc>
        <w:tc>
          <w:tcPr>
            <w:tcW w:w="637"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hint="eastAsia" w:ascii="Times New Roman" w:hAnsi="Times New Roman" w:eastAsia="方正仿宋_GBK" w:cs="Times New Roman"/>
                <w:b w:val="0"/>
                <w:bCs/>
                <w:color w:val="auto"/>
                <w:kern w:val="0"/>
                <w:szCs w:val="21"/>
                <w:lang w:eastAsia="zh-CN"/>
              </w:rPr>
            </w:pPr>
            <w:r>
              <w:rPr>
                <w:rFonts w:ascii="Times New Roman" w:hAnsi="Times New Roman" w:eastAsia="方正仿宋_GBK" w:cs="Times New Roman"/>
                <w:b w:val="0"/>
                <w:bCs/>
                <w:color w:val="auto"/>
                <w:kern w:val="0"/>
                <w:szCs w:val="21"/>
              </w:rPr>
              <w:t>2021-202</w:t>
            </w:r>
            <w:r>
              <w:rPr>
                <w:rFonts w:hint="eastAsia" w:ascii="Times New Roman" w:hAnsi="Times New Roman" w:eastAsia="方正仿宋_GBK" w:cs="Times New Roman"/>
                <w:b w:val="0"/>
                <w:bCs/>
                <w:color w:val="auto"/>
                <w:kern w:val="0"/>
                <w:szCs w:val="21"/>
                <w:lang w:val="en-US" w:eastAsia="zh-CN"/>
              </w:rPr>
              <w:t>2</w:t>
            </w:r>
          </w:p>
        </w:tc>
        <w:tc>
          <w:tcPr>
            <w:tcW w:w="1404"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left"/>
              <w:textAlignment w:val="auto"/>
              <w:rPr>
                <w:rFonts w:hint="eastAsia" w:ascii="Times New Roman" w:hAnsi="Times New Roman" w:eastAsia="方正仿宋_GBK" w:cs="Times New Roman"/>
                <w:b w:val="0"/>
                <w:bCs/>
                <w:color w:val="auto"/>
                <w:kern w:val="0"/>
                <w:szCs w:val="21"/>
                <w:lang w:eastAsia="zh-CN"/>
              </w:rPr>
            </w:pPr>
            <w:r>
              <w:rPr>
                <w:rFonts w:ascii="Times New Roman" w:hAnsi="Times New Roman" w:eastAsia="方正仿宋_GBK" w:cs="Times New Roman"/>
                <w:b w:val="0"/>
                <w:bCs/>
                <w:color w:val="auto"/>
                <w:kern w:val="0"/>
                <w:szCs w:val="21"/>
              </w:rPr>
              <w:t>建设</w:t>
            </w:r>
            <w:r>
              <w:rPr>
                <w:rFonts w:hint="eastAsia" w:ascii="Times New Roman" w:hAnsi="Times New Roman" w:eastAsia="方正仿宋_GBK" w:cs="Times New Roman"/>
                <w:b w:val="0"/>
                <w:bCs/>
                <w:color w:val="auto"/>
                <w:kern w:val="0"/>
                <w:szCs w:val="21"/>
              </w:rPr>
              <w:t>吉之汇农产品集散交易骨干冷链物流基地</w:t>
            </w:r>
            <w:r>
              <w:rPr>
                <w:rFonts w:hint="eastAsia" w:ascii="Times New Roman" w:hAnsi="Times New Roman" w:eastAsia="方正仿宋_GBK" w:cs="Times New Roman"/>
                <w:b w:val="0"/>
                <w:bCs/>
                <w:color w:val="auto"/>
                <w:kern w:val="0"/>
                <w:szCs w:val="21"/>
                <w:lang w:eastAsia="zh-CN"/>
              </w:rPr>
              <w:t>，</w:t>
            </w:r>
            <w:r>
              <w:rPr>
                <w:rFonts w:hint="eastAsia" w:ascii="Times New Roman" w:hAnsi="Times New Roman" w:eastAsia="方正仿宋_GBK" w:cs="Times New Roman"/>
                <w:b w:val="0"/>
                <w:bCs/>
                <w:color w:val="auto"/>
                <w:kern w:val="0"/>
                <w:szCs w:val="21"/>
              </w:rPr>
              <w:t>占地面积约20亩，总建筑面积约23366</w:t>
            </w:r>
            <w:r>
              <w:rPr>
                <w:rFonts w:hint="eastAsia" w:ascii="Times New Roman" w:hAnsi="Times New Roman" w:eastAsia="方正仿宋_GBK" w:cs="Times New Roman"/>
                <w:b w:val="0"/>
                <w:bCs/>
                <w:color w:val="auto"/>
                <w:kern w:val="0"/>
                <w:szCs w:val="21"/>
                <w:lang w:val="en-US" w:eastAsia="zh-CN"/>
              </w:rPr>
              <w:t>平方米</w:t>
            </w:r>
          </w:p>
        </w:tc>
        <w:tc>
          <w:tcPr>
            <w:tcW w:w="562"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hint="default" w:ascii="Times New Roman" w:hAnsi="Times New Roman" w:eastAsia="方正仿宋_GBK" w:cs="Times New Roman"/>
                <w:b w:val="0"/>
                <w:bCs/>
                <w:color w:val="auto"/>
                <w:kern w:val="0"/>
                <w:szCs w:val="21"/>
                <w:lang w:val="en-US" w:eastAsia="zh-CN"/>
              </w:rPr>
            </w:pPr>
            <w:r>
              <w:rPr>
                <w:rFonts w:hint="eastAsia" w:ascii="Times New Roman" w:hAnsi="Times New Roman" w:eastAsia="方正仿宋_GBK" w:cs="Times New Roman"/>
                <w:b w:val="0"/>
                <w:bCs/>
                <w:color w:val="auto"/>
                <w:kern w:val="0"/>
                <w:szCs w:val="21"/>
                <w:lang w:val="en-US" w:eastAsia="zh-CN"/>
              </w:rPr>
              <w:t>9000</w:t>
            </w:r>
          </w:p>
        </w:tc>
        <w:tc>
          <w:tcPr>
            <w:tcW w:w="69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hint="default" w:ascii="Times New Roman" w:hAnsi="Times New Roman" w:eastAsia="方正仿宋_GBK" w:cs="Times New Roman"/>
                <w:b w:val="0"/>
                <w:bCs/>
                <w:color w:val="auto"/>
                <w:kern w:val="0"/>
                <w:szCs w:val="21"/>
                <w:lang w:val="en-US" w:eastAsia="zh-CN"/>
              </w:rPr>
            </w:pPr>
            <w:r>
              <w:rPr>
                <w:rFonts w:hint="eastAsia" w:ascii="Times New Roman" w:hAnsi="Times New Roman" w:eastAsia="方正仿宋_GBK" w:cs="Times New Roman"/>
                <w:b w:val="0"/>
                <w:bCs/>
                <w:color w:val="auto"/>
                <w:kern w:val="0"/>
                <w:szCs w:val="21"/>
                <w:lang w:val="en-US" w:eastAsia="zh-CN"/>
              </w:rPr>
              <w:t>9000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280"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p>
        </w:tc>
        <w:tc>
          <w:tcPr>
            <w:tcW w:w="2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4</w:t>
            </w:r>
          </w:p>
        </w:tc>
        <w:tc>
          <w:tcPr>
            <w:tcW w:w="668"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大安航空物流中心</w:t>
            </w:r>
          </w:p>
        </w:tc>
        <w:tc>
          <w:tcPr>
            <w:tcW w:w="4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新开工</w:t>
            </w:r>
          </w:p>
        </w:tc>
        <w:tc>
          <w:tcPr>
            <w:tcW w:w="637"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2021-2025</w:t>
            </w:r>
          </w:p>
        </w:tc>
        <w:tc>
          <w:tcPr>
            <w:tcW w:w="1404"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left"/>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依托大安机场，打造航空物流小镇，与未来重庆新机场打造航空物流园，辐射渝西川东航空物流</w:t>
            </w:r>
          </w:p>
        </w:tc>
        <w:tc>
          <w:tcPr>
            <w:tcW w:w="562"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10000 </w:t>
            </w:r>
          </w:p>
        </w:tc>
        <w:tc>
          <w:tcPr>
            <w:tcW w:w="69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10000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280"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p>
        </w:tc>
        <w:tc>
          <w:tcPr>
            <w:tcW w:w="2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5</w:t>
            </w:r>
          </w:p>
        </w:tc>
        <w:tc>
          <w:tcPr>
            <w:tcW w:w="668"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渝昆高铁永川南站</w:t>
            </w:r>
          </w:p>
        </w:tc>
        <w:tc>
          <w:tcPr>
            <w:tcW w:w="4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新开工</w:t>
            </w:r>
          </w:p>
        </w:tc>
        <w:tc>
          <w:tcPr>
            <w:tcW w:w="637"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2022-2025</w:t>
            </w:r>
          </w:p>
        </w:tc>
        <w:tc>
          <w:tcPr>
            <w:tcW w:w="1404"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left"/>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站房12000平方米，到发线</w:t>
            </w:r>
            <w:r>
              <w:rPr>
                <w:rFonts w:hint="eastAsia" w:ascii="Times New Roman" w:hAnsi="Times New Roman" w:eastAsia="方正仿宋_GBK" w:cs="Times New Roman"/>
                <w:b w:val="0"/>
                <w:bCs/>
                <w:color w:val="auto"/>
                <w:kern w:val="0"/>
                <w:szCs w:val="21"/>
                <w:lang w:val="en-US" w:eastAsia="zh-CN"/>
              </w:rPr>
              <w:t>4</w:t>
            </w:r>
            <w:r>
              <w:rPr>
                <w:rFonts w:ascii="Times New Roman" w:hAnsi="Times New Roman" w:eastAsia="方正仿宋_GBK" w:cs="Times New Roman"/>
                <w:b w:val="0"/>
                <w:bCs/>
                <w:color w:val="auto"/>
                <w:kern w:val="0"/>
                <w:szCs w:val="21"/>
              </w:rPr>
              <w:t>条，站台2座，站前广场21000平方米，换乘枢纽40000平方米</w:t>
            </w:r>
          </w:p>
        </w:tc>
        <w:tc>
          <w:tcPr>
            <w:tcW w:w="562"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25000 </w:t>
            </w:r>
          </w:p>
        </w:tc>
        <w:tc>
          <w:tcPr>
            <w:tcW w:w="69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25000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280"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p>
        </w:tc>
        <w:tc>
          <w:tcPr>
            <w:tcW w:w="2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6</w:t>
            </w:r>
          </w:p>
        </w:tc>
        <w:tc>
          <w:tcPr>
            <w:tcW w:w="668"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永川新城站</w:t>
            </w:r>
          </w:p>
        </w:tc>
        <w:tc>
          <w:tcPr>
            <w:tcW w:w="4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新开工</w:t>
            </w:r>
          </w:p>
        </w:tc>
        <w:tc>
          <w:tcPr>
            <w:tcW w:w="637"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2021-2025</w:t>
            </w:r>
          </w:p>
        </w:tc>
        <w:tc>
          <w:tcPr>
            <w:tcW w:w="1404"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left"/>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依托市域（郊）铁路永川线打造集市域（郊）铁路、公交等为一体化的综合客运枢纽。车站设正线兼到发线2条，设站台2座</w:t>
            </w:r>
          </w:p>
        </w:tc>
        <w:tc>
          <w:tcPr>
            <w:tcW w:w="562"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20000 </w:t>
            </w:r>
          </w:p>
        </w:tc>
        <w:tc>
          <w:tcPr>
            <w:tcW w:w="69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20000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280"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p>
        </w:tc>
        <w:tc>
          <w:tcPr>
            <w:tcW w:w="2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7</w:t>
            </w:r>
          </w:p>
        </w:tc>
        <w:tc>
          <w:tcPr>
            <w:tcW w:w="668"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大安站</w:t>
            </w:r>
          </w:p>
        </w:tc>
        <w:tc>
          <w:tcPr>
            <w:tcW w:w="4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新开工</w:t>
            </w:r>
          </w:p>
        </w:tc>
        <w:tc>
          <w:tcPr>
            <w:tcW w:w="637"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2021-2025</w:t>
            </w:r>
          </w:p>
        </w:tc>
        <w:tc>
          <w:tcPr>
            <w:tcW w:w="1404"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left"/>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依托市域（郊）铁路永川线打造集市域（郊）铁路、公交等为一体化的综合客运枢纽。车站设正线兼到发线2条，设站台2座</w:t>
            </w:r>
          </w:p>
        </w:tc>
        <w:tc>
          <w:tcPr>
            <w:tcW w:w="562"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8500 </w:t>
            </w:r>
          </w:p>
        </w:tc>
        <w:tc>
          <w:tcPr>
            <w:tcW w:w="69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8500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0"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p>
        </w:tc>
        <w:tc>
          <w:tcPr>
            <w:tcW w:w="2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8</w:t>
            </w:r>
          </w:p>
        </w:tc>
        <w:tc>
          <w:tcPr>
            <w:tcW w:w="668"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公交站场</w:t>
            </w:r>
          </w:p>
        </w:tc>
        <w:tc>
          <w:tcPr>
            <w:tcW w:w="4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新开工</w:t>
            </w:r>
          </w:p>
        </w:tc>
        <w:tc>
          <w:tcPr>
            <w:tcW w:w="637"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2021-2025</w:t>
            </w:r>
          </w:p>
        </w:tc>
        <w:tc>
          <w:tcPr>
            <w:tcW w:w="1404"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left"/>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建设城西、城南等一批公交站场</w:t>
            </w:r>
          </w:p>
        </w:tc>
        <w:tc>
          <w:tcPr>
            <w:tcW w:w="562"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20000 </w:t>
            </w:r>
          </w:p>
        </w:tc>
        <w:tc>
          <w:tcPr>
            <w:tcW w:w="69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20000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80"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备选项目</w:t>
            </w:r>
          </w:p>
        </w:tc>
        <w:tc>
          <w:tcPr>
            <w:tcW w:w="2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9</w:t>
            </w:r>
          </w:p>
        </w:tc>
        <w:tc>
          <w:tcPr>
            <w:tcW w:w="668"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三教建材物流中心</w:t>
            </w:r>
          </w:p>
        </w:tc>
        <w:tc>
          <w:tcPr>
            <w:tcW w:w="4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w:t>
            </w:r>
          </w:p>
        </w:tc>
        <w:tc>
          <w:tcPr>
            <w:tcW w:w="637"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w:t>
            </w:r>
          </w:p>
        </w:tc>
        <w:tc>
          <w:tcPr>
            <w:tcW w:w="1404"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left"/>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建设三教站，三教支线铁路车站，设到发线2条（含正线）</w:t>
            </w:r>
          </w:p>
        </w:tc>
        <w:tc>
          <w:tcPr>
            <w:tcW w:w="562"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14000 </w:t>
            </w:r>
          </w:p>
        </w:tc>
        <w:tc>
          <w:tcPr>
            <w:tcW w:w="69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280"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p>
        </w:tc>
        <w:tc>
          <w:tcPr>
            <w:tcW w:w="2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10</w:t>
            </w:r>
          </w:p>
        </w:tc>
        <w:tc>
          <w:tcPr>
            <w:tcW w:w="668"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永川站</w:t>
            </w:r>
          </w:p>
        </w:tc>
        <w:tc>
          <w:tcPr>
            <w:tcW w:w="4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w:t>
            </w:r>
          </w:p>
        </w:tc>
        <w:tc>
          <w:tcPr>
            <w:tcW w:w="637"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w:t>
            </w:r>
          </w:p>
        </w:tc>
        <w:tc>
          <w:tcPr>
            <w:tcW w:w="1404"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left"/>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依托成渝铁路改造，打造集市域（郊）铁路、公路、公交等为一体的综合客运枢纽。车站设到发线4条（含正线），设站台2座</w:t>
            </w:r>
          </w:p>
        </w:tc>
        <w:tc>
          <w:tcPr>
            <w:tcW w:w="562"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11000 </w:t>
            </w:r>
          </w:p>
        </w:tc>
        <w:tc>
          <w:tcPr>
            <w:tcW w:w="69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280"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p>
        </w:tc>
        <w:tc>
          <w:tcPr>
            <w:tcW w:w="2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hint="default" w:ascii="Times New Roman" w:hAnsi="Times New Roman" w:eastAsia="方正仿宋_GBK" w:cs="Times New Roman"/>
                <w:b w:val="0"/>
                <w:bCs/>
                <w:color w:val="auto"/>
                <w:kern w:val="0"/>
                <w:sz w:val="21"/>
                <w:szCs w:val="21"/>
                <w:lang w:val="en-US" w:eastAsia="zh-CN" w:bidi="ar-SA"/>
              </w:rPr>
            </w:pPr>
            <w:r>
              <w:rPr>
                <w:rFonts w:hint="eastAsia" w:ascii="Times New Roman" w:hAnsi="Times New Roman" w:eastAsia="方正仿宋_GBK" w:cs="Times New Roman"/>
                <w:b w:val="0"/>
                <w:bCs/>
                <w:color w:val="auto"/>
                <w:kern w:val="0"/>
                <w:szCs w:val="21"/>
                <w:lang w:val="en-US" w:eastAsia="zh-CN"/>
              </w:rPr>
              <w:t>11</w:t>
            </w:r>
          </w:p>
        </w:tc>
        <w:tc>
          <w:tcPr>
            <w:tcW w:w="668"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 w:val="21"/>
                <w:szCs w:val="21"/>
                <w:lang w:val="en-US" w:eastAsia="zh-CN" w:bidi="ar-SA"/>
              </w:rPr>
            </w:pPr>
            <w:r>
              <w:rPr>
                <w:rFonts w:hint="eastAsia" w:ascii="Times New Roman" w:hAnsi="Times New Roman" w:eastAsia="方正仿宋_GBK" w:cs="Times New Roman"/>
                <w:b w:val="0"/>
                <w:bCs/>
                <w:color w:val="auto"/>
                <w:kern w:val="0"/>
                <w:szCs w:val="21"/>
                <w:lang w:val="en-US" w:eastAsia="zh-CN"/>
              </w:rPr>
              <w:t>卫星</w:t>
            </w:r>
            <w:r>
              <w:rPr>
                <w:rFonts w:ascii="Times New Roman" w:hAnsi="Times New Roman" w:eastAsia="方正仿宋_GBK" w:cs="Times New Roman"/>
                <w:b w:val="0"/>
                <w:bCs/>
                <w:color w:val="auto"/>
                <w:kern w:val="0"/>
                <w:szCs w:val="21"/>
              </w:rPr>
              <w:t>湖</w:t>
            </w:r>
            <w:r>
              <w:rPr>
                <w:rFonts w:hint="eastAsia" w:ascii="Times New Roman" w:hAnsi="Times New Roman" w:eastAsia="方正仿宋_GBK" w:cs="Times New Roman"/>
                <w:b w:val="0"/>
                <w:bCs/>
                <w:color w:val="auto"/>
                <w:kern w:val="0"/>
                <w:szCs w:val="21"/>
                <w:lang w:val="en-US" w:eastAsia="zh-CN"/>
              </w:rPr>
              <w:t>站</w:t>
            </w:r>
          </w:p>
        </w:tc>
        <w:tc>
          <w:tcPr>
            <w:tcW w:w="4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 w:val="21"/>
                <w:szCs w:val="21"/>
                <w:lang w:val="en-US" w:eastAsia="zh-CN" w:bidi="ar-SA"/>
              </w:rPr>
            </w:pPr>
            <w:r>
              <w:rPr>
                <w:rFonts w:ascii="Times New Roman" w:hAnsi="Times New Roman" w:eastAsia="方正仿宋_GBK" w:cs="Times New Roman"/>
                <w:b w:val="0"/>
                <w:bCs/>
                <w:color w:val="auto"/>
                <w:kern w:val="0"/>
                <w:szCs w:val="21"/>
              </w:rPr>
              <w:t>　</w:t>
            </w:r>
          </w:p>
        </w:tc>
        <w:tc>
          <w:tcPr>
            <w:tcW w:w="637"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 w:val="21"/>
                <w:szCs w:val="21"/>
                <w:lang w:val="en-US" w:eastAsia="zh-CN" w:bidi="ar-SA"/>
              </w:rPr>
            </w:pPr>
            <w:r>
              <w:rPr>
                <w:rFonts w:ascii="Times New Roman" w:hAnsi="Times New Roman" w:eastAsia="方正仿宋_GBK" w:cs="Times New Roman"/>
                <w:b w:val="0"/>
                <w:bCs/>
                <w:color w:val="auto"/>
                <w:kern w:val="0"/>
                <w:szCs w:val="21"/>
              </w:rPr>
              <w:t>　</w:t>
            </w:r>
          </w:p>
        </w:tc>
        <w:tc>
          <w:tcPr>
            <w:tcW w:w="1404"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left"/>
              <w:textAlignment w:val="auto"/>
              <w:rPr>
                <w:rFonts w:ascii="Times New Roman" w:hAnsi="Times New Roman" w:eastAsia="方正仿宋_GBK" w:cs="Times New Roman"/>
                <w:b w:val="0"/>
                <w:bCs/>
                <w:color w:val="auto"/>
                <w:kern w:val="0"/>
                <w:sz w:val="21"/>
                <w:szCs w:val="21"/>
                <w:lang w:val="en-US" w:eastAsia="zh-CN" w:bidi="ar-SA"/>
              </w:rPr>
            </w:pPr>
            <w:r>
              <w:rPr>
                <w:rFonts w:ascii="Times New Roman" w:hAnsi="Times New Roman" w:eastAsia="方正仿宋_GBK" w:cs="Times New Roman"/>
                <w:b w:val="0"/>
                <w:bCs/>
                <w:color w:val="auto"/>
                <w:kern w:val="0"/>
                <w:szCs w:val="21"/>
              </w:rPr>
              <w:t>成渝铁路改造工程与铁路二环线共设车站，衔接凤凰湖支线铁路，设到发线8条（含正线）</w:t>
            </w:r>
          </w:p>
        </w:tc>
        <w:tc>
          <w:tcPr>
            <w:tcW w:w="562"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 w:val="21"/>
                <w:szCs w:val="21"/>
                <w:lang w:val="en-US" w:eastAsia="zh-CN" w:bidi="ar-SA"/>
              </w:rPr>
            </w:pPr>
            <w:r>
              <w:rPr>
                <w:rFonts w:ascii="Times New Roman" w:hAnsi="Times New Roman" w:eastAsia="方正仿宋_GBK" w:cs="Times New Roman"/>
                <w:b w:val="0"/>
                <w:bCs/>
                <w:color w:val="auto"/>
                <w:kern w:val="0"/>
                <w:szCs w:val="21"/>
              </w:rPr>
              <w:t xml:space="preserve">25000 </w:t>
            </w:r>
          </w:p>
        </w:tc>
        <w:tc>
          <w:tcPr>
            <w:tcW w:w="69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 w:val="21"/>
                <w:szCs w:val="21"/>
                <w:lang w:val="en-US" w:eastAsia="zh-CN" w:bidi="ar-SA"/>
              </w:rPr>
            </w:pPr>
            <w:r>
              <w:rPr>
                <w:rFonts w:ascii="Times New Roman" w:hAnsi="Times New Roman" w:eastAsia="方正仿宋_GBK" w:cs="Times New Roman"/>
                <w:b w:val="0"/>
                <w:bCs/>
                <w:color w:val="auto"/>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280"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p>
        </w:tc>
        <w:tc>
          <w:tcPr>
            <w:tcW w:w="2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hint="eastAsia" w:ascii="Times New Roman" w:hAnsi="Times New Roman" w:eastAsia="方正仿宋_GBK" w:cs="Times New Roman"/>
                <w:b w:val="0"/>
                <w:bCs/>
                <w:color w:val="auto"/>
                <w:kern w:val="0"/>
                <w:szCs w:val="21"/>
                <w:lang w:val="en-US" w:eastAsia="zh-CN"/>
              </w:rPr>
            </w:pPr>
            <w:r>
              <w:rPr>
                <w:rFonts w:ascii="Times New Roman" w:hAnsi="Times New Roman" w:eastAsia="方正仿宋_GBK" w:cs="Times New Roman"/>
                <w:b w:val="0"/>
                <w:bCs/>
                <w:color w:val="auto"/>
                <w:kern w:val="0"/>
                <w:szCs w:val="21"/>
              </w:rPr>
              <w:t>1</w:t>
            </w:r>
            <w:r>
              <w:rPr>
                <w:rFonts w:hint="eastAsia" w:ascii="Times New Roman" w:hAnsi="Times New Roman" w:eastAsia="方正仿宋_GBK" w:cs="Times New Roman"/>
                <w:b w:val="0"/>
                <w:bCs/>
                <w:color w:val="auto"/>
                <w:kern w:val="0"/>
                <w:szCs w:val="21"/>
                <w:lang w:val="en-US" w:eastAsia="zh-CN"/>
              </w:rPr>
              <w:t>2</w:t>
            </w:r>
          </w:p>
        </w:tc>
        <w:tc>
          <w:tcPr>
            <w:tcW w:w="668"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青峰站</w:t>
            </w:r>
          </w:p>
        </w:tc>
        <w:tc>
          <w:tcPr>
            <w:tcW w:w="4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w:t>
            </w:r>
          </w:p>
        </w:tc>
        <w:tc>
          <w:tcPr>
            <w:tcW w:w="637"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w:t>
            </w:r>
          </w:p>
        </w:tc>
        <w:tc>
          <w:tcPr>
            <w:tcW w:w="1404"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left"/>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依托成渝铁路改线，与铁路二环线站建设，打造集铁路、长途客运、公交等为一体的综合客运枢纽。设到发线7条（含正线）</w:t>
            </w:r>
          </w:p>
        </w:tc>
        <w:tc>
          <w:tcPr>
            <w:tcW w:w="562"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16500 </w:t>
            </w:r>
          </w:p>
        </w:tc>
        <w:tc>
          <w:tcPr>
            <w:tcW w:w="69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0"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w:t>
            </w:r>
          </w:p>
        </w:tc>
        <w:tc>
          <w:tcPr>
            <w:tcW w:w="2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w:t>
            </w:r>
          </w:p>
        </w:tc>
        <w:tc>
          <w:tcPr>
            <w:tcW w:w="668"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小计</w:t>
            </w:r>
          </w:p>
        </w:tc>
        <w:tc>
          <w:tcPr>
            <w:tcW w:w="4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w:t>
            </w:r>
          </w:p>
        </w:tc>
        <w:tc>
          <w:tcPr>
            <w:tcW w:w="637"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w:t>
            </w:r>
          </w:p>
        </w:tc>
        <w:tc>
          <w:tcPr>
            <w:tcW w:w="1404"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left"/>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w:t>
            </w:r>
          </w:p>
        </w:tc>
        <w:tc>
          <w:tcPr>
            <w:tcW w:w="562"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2</w:t>
            </w:r>
            <w:r>
              <w:rPr>
                <w:rFonts w:hint="eastAsia" w:ascii="Times New Roman" w:hAnsi="Times New Roman" w:eastAsia="方正仿宋_GBK" w:cs="Times New Roman"/>
                <w:b w:val="0"/>
                <w:bCs/>
                <w:color w:val="auto"/>
                <w:kern w:val="0"/>
                <w:szCs w:val="21"/>
                <w:lang w:val="en-US" w:eastAsia="zh-CN"/>
              </w:rPr>
              <w:t>66</w:t>
            </w:r>
            <w:r>
              <w:rPr>
                <w:rFonts w:ascii="Times New Roman" w:hAnsi="Times New Roman" w:eastAsia="方正仿宋_GBK" w:cs="Times New Roman"/>
                <w:b w:val="0"/>
                <w:bCs/>
                <w:color w:val="auto"/>
                <w:kern w:val="0"/>
                <w:szCs w:val="21"/>
              </w:rPr>
              <w:t xml:space="preserve">500 </w:t>
            </w:r>
          </w:p>
        </w:tc>
        <w:tc>
          <w:tcPr>
            <w:tcW w:w="69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195000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000" w:type="pct"/>
            <w:gridSpan w:val="8"/>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left"/>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（七）信息平台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280"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规划项目</w:t>
            </w:r>
          </w:p>
        </w:tc>
        <w:tc>
          <w:tcPr>
            <w:tcW w:w="2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1</w:t>
            </w:r>
          </w:p>
        </w:tc>
        <w:tc>
          <w:tcPr>
            <w:tcW w:w="668"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永川智慧交通感知系统</w:t>
            </w:r>
          </w:p>
        </w:tc>
        <w:tc>
          <w:tcPr>
            <w:tcW w:w="4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新开工</w:t>
            </w:r>
          </w:p>
        </w:tc>
        <w:tc>
          <w:tcPr>
            <w:tcW w:w="637"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2021-2025</w:t>
            </w:r>
          </w:p>
        </w:tc>
        <w:tc>
          <w:tcPr>
            <w:tcW w:w="1404"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left"/>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推进交通运输基础设施、运载装备等基本要素的数字化，基本建成覆盖全面、互联的智慧交通感知网络，实现交通基础性、共享性数据的开放共享</w:t>
            </w:r>
          </w:p>
        </w:tc>
        <w:tc>
          <w:tcPr>
            <w:tcW w:w="562"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30000 </w:t>
            </w:r>
          </w:p>
        </w:tc>
        <w:tc>
          <w:tcPr>
            <w:tcW w:w="69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30000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5" w:hRule="atLeast"/>
        </w:trPr>
        <w:tc>
          <w:tcPr>
            <w:tcW w:w="280"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p>
        </w:tc>
        <w:tc>
          <w:tcPr>
            <w:tcW w:w="2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2</w:t>
            </w:r>
          </w:p>
        </w:tc>
        <w:tc>
          <w:tcPr>
            <w:tcW w:w="668"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永川智慧交通信息平台</w:t>
            </w:r>
          </w:p>
        </w:tc>
        <w:tc>
          <w:tcPr>
            <w:tcW w:w="4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新开工</w:t>
            </w:r>
          </w:p>
        </w:tc>
        <w:tc>
          <w:tcPr>
            <w:tcW w:w="637"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2021-2025</w:t>
            </w:r>
          </w:p>
        </w:tc>
        <w:tc>
          <w:tcPr>
            <w:tcW w:w="1404"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left"/>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依托</w:t>
            </w:r>
            <w:r>
              <w:rPr>
                <w:rFonts w:eastAsia="方正仿宋_GBK" w:cs="Times New Roman"/>
                <w:b w:val="0"/>
                <w:bCs/>
                <w:color w:val="auto"/>
                <w:kern w:val="0"/>
                <w:szCs w:val="21"/>
                <w:lang w:val="en"/>
              </w:rPr>
              <w:t>“</w:t>
            </w:r>
            <w:r>
              <w:rPr>
                <w:rFonts w:ascii="Times New Roman" w:hAnsi="Times New Roman" w:eastAsia="方正仿宋_GBK" w:cs="Times New Roman"/>
                <w:b w:val="0"/>
                <w:bCs/>
                <w:color w:val="auto"/>
                <w:kern w:val="0"/>
                <w:szCs w:val="21"/>
              </w:rPr>
              <w:t>永川区智慧城市</w:t>
            </w:r>
            <w:r>
              <w:rPr>
                <w:rFonts w:ascii="Times New Roman" w:hAnsi="Times New Roman" w:eastAsia="方正仿宋_GBK" w:cs="Times New Roman"/>
                <w:b w:val="0"/>
                <w:bCs/>
                <w:color w:val="auto"/>
                <w:kern w:val="0"/>
                <w:szCs w:val="21"/>
                <w:lang w:val="en"/>
              </w:rPr>
              <w:t>”</w:t>
            </w:r>
            <w:r>
              <w:rPr>
                <w:rFonts w:ascii="Times New Roman" w:hAnsi="Times New Roman" w:eastAsia="方正仿宋_GBK" w:cs="Times New Roman"/>
                <w:b w:val="0"/>
                <w:bCs/>
                <w:color w:val="auto"/>
                <w:kern w:val="0"/>
                <w:szCs w:val="21"/>
              </w:rPr>
              <w:t>项目的云平台硬件为基础，加快建设永川区智慧数据中心云平台，接入并整合交通行业相关的基础数据、视频资源、车辆GPS数据，推动实现交通运行监测、交通应急指挥、交通信息服务等基础数据的互联互通</w:t>
            </w:r>
          </w:p>
        </w:tc>
        <w:tc>
          <w:tcPr>
            <w:tcW w:w="562"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30000 </w:t>
            </w:r>
          </w:p>
        </w:tc>
        <w:tc>
          <w:tcPr>
            <w:tcW w:w="69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30000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80" w:type="pct"/>
            <w:noWrap/>
            <w:vAlign w:val="bottom"/>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w:t>
            </w:r>
          </w:p>
        </w:tc>
        <w:tc>
          <w:tcPr>
            <w:tcW w:w="275" w:type="pct"/>
            <w:noWrap/>
            <w:vAlign w:val="bottom"/>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w:t>
            </w:r>
          </w:p>
        </w:tc>
        <w:tc>
          <w:tcPr>
            <w:tcW w:w="668" w:type="pct"/>
            <w:noWrap/>
            <w:vAlign w:val="bottom"/>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小计</w:t>
            </w:r>
          </w:p>
        </w:tc>
        <w:tc>
          <w:tcPr>
            <w:tcW w:w="475" w:type="pct"/>
            <w:noWrap/>
            <w:vAlign w:val="bottom"/>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w:t>
            </w:r>
          </w:p>
        </w:tc>
        <w:tc>
          <w:tcPr>
            <w:tcW w:w="637" w:type="pct"/>
            <w:noWrap/>
            <w:vAlign w:val="bottom"/>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w:t>
            </w:r>
          </w:p>
        </w:tc>
        <w:tc>
          <w:tcPr>
            <w:tcW w:w="1404" w:type="pct"/>
            <w:noWrap w:val="0"/>
            <w:vAlign w:val="bottom"/>
          </w:tcPr>
          <w:p>
            <w:pPr>
              <w:keepNext w:val="0"/>
              <w:keepLines w:val="0"/>
              <w:pageBreakBefore w:val="0"/>
              <w:widowControl w:val="0"/>
              <w:kinsoku/>
              <w:wordWrap/>
              <w:overflowPunct/>
              <w:topLinePunct w:val="0"/>
              <w:autoSpaceDE/>
              <w:autoSpaceDN/>
              <w:bidi w:val="0"/>
              <w:adjustRightInd/>
              <w:snapToGrid w:val="0"/>
              <w:spacing w:afterLines="0" w:line="240" w:lineRule="auto"/>
              <w:jc w:val="left"/>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w:t>
            </w:r>
          </w:p>
        </w:tc>
        <w:tc>
          <w:tcPr>
            <w:tcW w:w="562" w:type="pct"/>
            <w:noWrap/>
            <w:vAlign w:val="bottom"/>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60000 </w:t>
            </w:r>
          </w:p>
        </w:tc>
        <w:tc>
          <w:tcPr>
            <w:tcW w:w="695" w:type="pct"/>
            <w:noWrap/>
            <w:vAlign w:val="bottom"/>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60000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280"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w:t>
            </w:r>
          </w:p>
        </w:tc>
        <w:tc>
          <w:tcPr>
            <w:tcW w:w="2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总计</w:t>
            </w:r>
          </w:p>
        </w:tc>
        <w:tc>
          <w:tcPr>
            <w:tcW w:w="668"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w:t>
            </w:r>
          </w:p>
        </w:tc>
        <w:tc>
          <w:tcPr>
            <w:tcW w:w="47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w:t>
            </w:r>
          </w:p>
        </w:tc>
        <w:tc>
          <w:tcPr>
            <w:tcW w:w="637"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w:t>
            </w:r>
          </w:p>
        </w:tc>
        <w:tc>
          <w:tcPr>
            <w:tcW w:w="1404"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left"/>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w:t>
            </w:r>
          </w:p>
        </w:tc>
        <w:tc>
          <w:tcPr>
            <w:tcW w:w="562"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6</w:t>
            </w:r>
            <w:r>
              <w:rPr>
                <w:rFonts w:hint="eastAsia" w:ascii="Times New Roman" w:hAnsi="Times New Roman" w:eastAsia="方正仿宋_GBK" w:cs="Times New Roman"/>
                <w:b w:val="0"/>
                <w:bCs/>
                <w:color w:val="auto"/>
                <w:kern w:val="0"/>
                <w:szCs w:val="21"/>
              </w:rPr>
              <w:t>183432</w:t>
            </w:r>
          </w:p>
        </w:tc>
        <w:tc>
          <w:tcPr>
            <w:tcW w:w="695" w:type="pct"/>
            <w:noWrap w:val="0"/>
            <w:vAlign w:val="center"/>
          </w:tcPr>
          <w:p>
            <w:pPr>
              <w:keepNext w:val="0"/>
              <w:keepLines w:val="0"/>
              <w:pageBreakBefore w:val="0"/>
              <w:widowControl w:val="0"/>
              <w:kinsoku/>
              <w:wordWrap/>
              <w:overflowPunct/>
              <w:topLinePunct w:val="0"/>
              <w:autoSpaceDE/>
              <w:autoSpaceDN/>
              <w:bidi w:val="0"/>
              <w:adjustRightInd/>
              <w:snapToGrid w:val="0"/>
              <w:spacing w:afterLines="0" w:line="240" w:lineRule="auto"/>
              <w:jc w:val="center"/>
              <w:textAlignment w:val="auto"/>
              <w:rPr>
                <w:rFonts w:ascii="Times New Roman" w:hAnsi="Times New Roman" w:eastAsia="方正仿宋_GBK" w:cs="Times New Roman"/>
                <w:b w:val="0"/>
                <w:bCs/>
                <w:color w:val="auto"/>
                <w:kern w:val="0"/>
                <w:szCs w:val="21"/>
              </w:rPr>
            </w:pPr>
            <w:r>
              <w:rPr>
                <w:rFonts w:ascii="Times New Roman" w:hAnsi="Times New Roman" w:eastAsia="方正仿宋_GBK" w:cs="Times New Roman"/>
                <w:b w:val="0"/>
                <w:bCs/>
                <w:color w:val="auto"/>
                <w:kern w:val="0"/>
                <w:szCs w:val="21"/>
              </w:rPr>
              <w:t xml:space="preserve">2841081 </w:t>
            </w:r>
          </w:p>
        </w:tc>
      </w:tr>
    </w:tbl>
    <w:p>
      <w:pPr>
        <w:widowControl w:val="0"/>
        <w:snapToGrid w:val="0"/>
        <w:spacing w:afterLines="0" w:line="276" w:lineRule="auto"/>
        <w:jc w:val="left"/>
        <w:rPr>
          <w:rFonts w:eastAsia="方正仿宋_GBK"/>
          <w:b w:val="0"/>
          <w:bCs/>
          <w:kern w:val="0"/>
          <w:szCs w:val="21"/>
        </w:rPr>
      </w:pPr>
      <w:r>
        <w:rPr>
          <w:rFonts w:eastAsia="方正仿宋_GBK"/>
          <w:b w:val="0"/>
          <w:bCs/>
          <w:kern w:val="0"/>
          <w:szCs w:val="21"/>
        </w:rPr>
        <w:t>注：保证总目标前提下，规划项目和储备项目可根据项目实施条件动态调整。</w:t>
      </w:r>
    </w:p>
    <w:p>
      <w:pPr>
        <w:keepNext w:val="0"/>
        <w:keepLines w:val="0"/>
        <w:pageBreakBefore w:val="0"/>
        <w:widowControl w:val="0"/>
        <w:kinsoku/>
        <w:wordWrap/>
        <w:overflowPunct/>
        <w:topLinePunct w:val="0"/>
        <w:autoSpaceDE/>
        <w:autoSpaceDN/>
        <w:bidi w:val="0"/>
        <w:adjustRightInd/>
        <w:snapToGrid w:val="0"/>
        <w:spacing w:afterLines="0" w:line="276" w:lineRule="auto"/>
        <w:jc w:val="left"/>
        <w:textAlignment w:val="auto"/>
        <w:outlineLvl w:val="0"/>
        <w:rPr>
          <w:rFonts w:hint="eastAsia" w:eastAsia="方正黑体_GBK"/>
          <w:b w:val="0"/>
          <w:bCs/>
          <w:sz w:val="32"/>
          <w:szCs w:val="32"/>
          <w:lang w:val="en-US" w:eastAsia="zh-CN"/>
        </w:rPr>
      </w:pPr>
      <w:r>
        <w:rPr>
          <w:rFonts w:eastAsia="方正仿宋_GBK"/>
          <w:b w:val="0"/>
          <w:bCs/>
          <w:kern w:val="0"/>
          <w:szCs w:val="21"/>
        </w:rPr>
        <w:br w:type="page"/>
      </w:r>
      <w:bookmarkStart w:id="259" w:name="_Toc12436"/>
      <w:bookmarkStart w:id="260" w:name="_Toc1284377344"/>
      <w:bookmarkStart w:id="261" w:name="_Toc655914827"/>
      <w:r>
        <w:rPr>
          <w:rFonts w:eastAsia="方正黑体_GBK"/>
          <w:b w:val="0"/>
          <w:bCs/>
          <w:sz w:val="32"/>
          <w:szCs w:val="32"/>
        </w:rPr>
        <w:t>附</w:t>
      </w:r>
      <w:r>
        <w:rPr>
          <w:rFonts w:hint="eastAsia" w:eastAsia="方正黑体_GBK"/>
          <w:b w:val="0"/>
          <w:bCs/>
          <w:sz w:val="32"/>
          <w:szCs w:val="32"/>
          <w:lang w:val="en-US" w:eastAsia="zh-CN"/>
        </w:rPr>
        <w:t>件2</w:t>
      </w:r>
      <w:bookmarkEnd w:id="259"/>
      <w:bookmarkEnd w:id="260"/>
      <w:bookmarkEnd w:id="261"/>
    </w:p>
    <w:p>
      <w:pPr>
        <w:keepNext w:val="0"/>
        <w:keepLines w:val="0"/>
        <w:pageBreakBefore w:val="0"/>
        <w:widowControl w:val="0"/>
        <w:kinsoku/>
        <w:wordWrap/>
        <w:overflowPunct/>
        <w:topLinePunct w:val="0"/>
        <w:autoSpaceDE/>
        <w:autoSpaceDN/>
        <w:bidi w:val="0"/>
        <w:adjustRightInd/>
        <w:snapToGrid w:val="0"/>
        <w:spacing w:afterLines="0" w:line="276" w:lineRule="auto"/>
        <w:jc w:val="center"/>
        <w:textAlignment w:val="auto"/>
        <w:outlineLvl w:val="0"/>
        <w:rPr>
          <w:rFonts w:hint="eastAsia" w:ascii="方正小标宋_GBK" w:hAnsi="方正小标宋_GBK" w:eastAsia="方正小标宋_GBK" w:cs="方正小标宋_GBK"/>
          <w:b w:val="0"/>
          <w:bCs/>
          <w:sz w:val="36"/>
          <w:szCs w:val="36"/>
          <w:lang w:val="en-US" w:eastAsia="zh-CN"/>
        </w:rPr>
      </w:pPr>
      <w:bookmarkStart w:id="262" w:name="_Toc1963683260"/>
      <w:bookmarkStart w:id="263" w:name="_Toc2029265481_WPSOffice_Level1"/>
      <w:bookmarkStart w:id="264" w:name="_Toc1782597017"/>
      <w:r>
        <w:rPr>
          <w:rFonts w:hint="eastAsia" w:ascii="方正小标宋_GBK" w:hAnsi="方正小标宋_GBK" w:eastAsia="方正小标宋_GBK" w:cs="方正小标宋_GBK"/>
          <w:b w:val="0"/>
          <w:bCs/>
          <w:sz w:val="36"/>
          <w:szCs w:val="36"/>
          <w:lang w:val="en-US" w:eastAsia="zh-CN"/>
        </w:rPr>
        <w:t>永川区综合交通现状图（2020年）</w:t>
      </w:r>
      <w:bookmarkEnd w:id="262"/>
      <w:bookmarkEnd w:id="263"/>
      <w:bookmarkEnd w:id="264"/>
    </w:p>
    <w:p>
      <w:pPr>
        <w:keepNext w:val="0"/>
        <w:keepLines w:val="0"/>
        <w:pageBreakBefore w:val="0"/>
        <w:widowControl w:val="0"/>
        <w:kinsoku/>
        <w:wordWrap/>
        <w:overflowPunct/>
        <w:topLinePunct w:val="0"/>
        <w:autoSpaceDE/>
        <w:autoSpaceDN/>
        <w:bidi w:val="0"/>
        <w:adjustRightInd/>
        <w:snapToGrid w:val="0"/>
        <w:spacing w:afterLines="0" w:line="276" w:lineRule="auto"/>
        <w:jc w:val="center"/>
        <w:textAlignment w:val="auto"/>
        <w:outlineLvl w:val="0"/>
        <w:rPr>
          <w:rFonts w:hint="eastAsia" w:eastAsia="方正黑体_GBK"/>
          <w:b w:val="0"/>
          <w:bCs/>
          <w:sz w:val="32"/>
          <w:szCs w:val="32"/>
          <w:lang w:val="en-US" w:eastAsia="zh-CN"/>
        </w:rPr>
      </w:pPr>
      <w:bookmarkStart w:id="265" w:name="_Toc892211720"/>
      <w:bookmarkStart w:id="266" w:name="_Toc1546661440"/>
      <w:bookmarkStart w:id="267" w:name="_Toc29886"/>
      <w:r>
        <w:rPr>
          <w:rFonts w:hint="eastAsia" w:eastAsia="方正黑体_GBK"/>
          <w:b w:val="0"/>
          <w:bCs/>
          <w:sz w:val="32"/>
          <w:szCs w:val="32"/>
          <w:lang w:val="en-US" w:eastAsia="zh-CN"/>
        </w:rPr>
        <w:drawing>
          <wp:inline distT="0" distB="0" distL="114300" distR="114300">
            <wp:extent cx="5173345" cy="7199630"/>
            <wp:effectExtent l="0" t="0" r="8255" b="1270"/>
            <wp:docPr id="2" name="图片 1" descr="附图1：永川现状"/>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1" descr="附图1：永川现状"/>
                    <pic:cNvPicPr>
                      <a:picLocks noChangeAspect="true"/>
                    </pic:cNvPicPr>
                  </pic:nvPicPr>
                  <pic:blipFill>
                    <a:blip r:embed="rId5"/>
                    <a:stretch>
                      <a:fillRect/>
                    </a:stretch>
                  </pic:blipFill>
                  <pic:spPr>
                    <a:xfrm>
                      <a:off x="0" y="0"/>
                      <a:ext cx="5173345" cy="7199630"/>
                    </a:xfrm>
                    <a:prstGeom prst="rect">
                      <a:avLst/>
                    </a:prstGeom>
                    <a:noFill/>
                    <a:ln>
                      <a:noFill/>
                    </a:ln>
                  </pic:spPr>
                </pic:pic>
              </a:graphicData>
            </a:graphic>
          </wp:inline>
        </w:drawing>
      </w:r>
      <w:bookmarkEnd w:id="265"/>
      <w:bookmarkEnd w:id="266"/>
    </w:p>
    <w:p>
      <w:pPr>
        <w:keepNext w:val="0"/>
        <w:keepLines w:val="0"/>
        <w:pageBreakBefore w:val="0"/>
        <w:widowControl w:val="0"/>
        <w:kinsoku/>
        <w:wordWrap/>
        <w:overflowPunct/>
        <w:topLinePunct w:val="0"/>
        <w:autoSpaceDE/>
        <w:autoSpaceDN/>
        <w:bidi w:val="0"/>
        <w:adjustRightInd/>
        <w:snapToGrid w:val="0"/>
        <w:spacing w:afterLines="0" w:line="276" w:lineRule="auto"/>
        <w:jc w:val="left"/>
        <w:textAlignment w:val="auto"/>
        <w:outlineLvl w:val="0"/>
        <w:rPr>
          <w:rFonts w:hint="default" w:eastAsia="方正黑体_GBK"/>
          <w:b w:val="0"/>
          <w:bCs/>
          <w:sz w:val="32"/>
          <w:szCs w:val="32"/>
          <w:lang w:val="en-US" w:eastAsia="zh-CN"/>
        </w:rPr>
      </w:pPr>
      <w:bookmarkStart w:id="268" w:name="_Toc1446243498"/>
      <w:bookmarkStart w:id="269" w:name="_Toc640052150"/>
      <w:r>
        <w:rPr>
          <w:rFonts w:eastAsia="方正黑体_GBK"/>
          <w:b w:val="0"/>
          <w:bCs/>
          <w:sz w:val="32"/>
          <w:szCs w:val="32"/>
        </w:rPr>
        <w:t>附</w:t>
      </w:r>
      <w:r>
        <w:rPr>
          <w:rFonts w:hint="eastAsia" w:eastAsia="方正黑体_GBK"/>
          <w:b w:val="0"/>
          <w:bCs/>
          <w:sz w:val="32"/>
          <w:szCs w:val="32"/>
          <w:lang w:val="en-US" w:eastAsia="zh-CN"/>
        </w:rPr>
        <w:t>件3</w:t>
      </w:r>
      <w:bookmarkEnd w:id="268"/>
      <w:bookmarkEnd w:id="269"/>
    </w:p>
    <w:p>
      <w:pPr>
        <w:keepNext w:val="0"/>
        <w:keepLines w:val="0"/>
        <w:pageBreakBefore w:val="0"/>
        <w:widowControl w:val="0"/>
        <w:kinsoku/>
        <w:wordWrap/>
        <w:overflowPunct/>
        <w:topLinePunct w:val="0"/>
        <w:autoSpaceDE/>
        <w:autoSpaceDN/>
        <w:bidi w:val="0"/>
        <w:adjustRightInd/>
        <w:snapToGrid w:val="0"/>
        <w:spacing w:afterLines="0" w:line="276" w:lineRule="auto"/>
        <w:jc w:val="center"/>
        <w:textAlignment w:val="auto"/>
        <w:outlineLvl w:val="0"/>
        <w:rPr>
          <w:rFonts w:hint="eastAsia" w:ascii="方正小标宋_GBK" w:hAnsi="方正小标宋_GBK" w:eastAsia="方正小标宋_GBK" w:cs="方正小标宋_GBK"/>
          <w:b w:val="0"/>
          <w:bCs/>
          <w:sz w:val="36"/>
          <w:szCs w:val="36"/>
          <w:lang w:val="en-US" w:eastAsia="zh-CN"/>
        </w:rPr>
      </w:pPr>
      <w:bookmarkStart w:id="270" w:name="_Toc1168411256"/>
      <w:bookmarkStart w:id="271" w:name="_Toc840772948"/>
      <w:bookmarkStart w:id="272" w:name="_Toc1006830951_WPSOffice_Level1"/>
      <w:r>
        <w:rPr>
          <w:rFonts w:hint="eastAsia" w:ascii="方正小标宋_GBK" w:hAnsi="方正小标宋_GBK" w:eastAsia="方正小标宋_GBK" w:cs="方正小标宋_GBK"/>
          <w:b w:val="0"/>
          <w:bCs/>
          <w:sz w:val="36"/>
          <w:szCs w:val="36"/>
          <w:lang w:val="en-US" w:eastAsia="zh-CN"/>
        </w:rPr>
        <w:t>永川区中长期综合交通规划图</w:t>
      </w:r>
      <w:bookmarkEnd w:id="270"/>
      <w:bookmarkEnd w:id="271"/>
      <w:bookmarkEnd w:id="272"/>
    </w:p>
    <w:bookmarkEnd w:id="267"/>
    <w:p>
      <w:pPr>
        <w:keepNext w:val="0"/>
        <w:keepLines w:val="0"/>
        <w:pageBreakBefore w:val="0"/>
        <w:widowControl w:val="0"/>
        <w:kinsoku/>
        <w:wordWrap/>
        <w:overflowPunct/>
        <w:topLinePunct w:val="0"/>
        <w:autoSpaceDE/>
        <w:autoSpaceDN/>
        <w:bidi w:val="0"/>
        <w:adjustRightInd/>
        <w:snapToGrid w:val="0"/>
        <w:spacing w:afterLines="0" w:line="276" w:lineRule="auto"/>
        <w:jc w:val="center"/>
        <w:textAlignment w:val="auto"/>
        <w:rPr>
          <w:rFonts w:hint="eastAsia" w:eastAsia="方正黑体_GBK"/>
          <w:b w:val="0"/>
          <w:bCs/>
          <w:sz w:val="32"/>
          <w:szCs w:val="32"/>
          <w:lang w:val="en-US" w:eastAsia="zh-CN"/>
        </w:rPr>
      </w:pPr>
      <w:bookmarkStart w:id="273" w:name="_Toc30098"/>
      <w:r>
        <w:rPr>
          <w:rFonts w:hint="eastAsia" w:eastAsia="方正黑体_GBK"/>
          <w:b w:val="0"/>
          <w:bCs/>
          <w:sz w:val="32"/>
          <w:szCs w:val="32"/>
          <w:lang w:val="en-US" w:eastAsia="zh-CN"/>
        </w:rPr>
        <w:drawing>
          <wp:inline distT="0" distB="0" distL="114300" distR="114300">
            <wp:extent cx="5191125" cy="7199630"/>
            <wp:effectExtent l="0" t="0" r="9525" b="1270"/>
            <wp:docPr id="4" name="图片 6" descr="D:\我的坚果云\2021\十四五交通规划\十四五交通规划20210710改\永川十四五规划附图0623\附图2：永川中长期.jpg附图2：永川中长期"/>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6" descr="D:\我的坚果云\2021\十四五交通规划\十四五交通规划20210710改\永川十四五规划附图0623\附图2：永川中长期.jpg附图2：永川中长期"/>
                    <pic:cNvPicPr>
                      <a:picLocks noChangeAspect="true"/>
                    </pic:cNvPicPr>
                  </pic:nvPicPr>
                  <pic:blipFill>
                    <a:blip r:embed="rId6"/>
                    <a:stretch>
                      <a:fillRect/>
                    </a:stretch>
                  </pic:blipFill>
                  <pic:spPr>
                    <a:xfrm>
                      <a:off x="0" y="0"/>
                      <a:ext cx="5191125" cy="719963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afterLines="0" w:line="276" w:lineRule="auto"/>
        <w:jc w:val="left"/>
        <w:textAlignment w:val="auto"/>
        <w:rPr>
          <w:rFonts w:hint="default" w:eastAsia="方正黑体_GBK"/>
          <w:b w:val="0"/>
          <w:bCs/>
          <w:sz w:val="32"/>
          <w:szCs w:val="32"/>
          <w:lang w:val="en-US" w:eastAsia="zh-CN"/>
        </w:rPr>
      </w:pPr>
      <w:r>
        <w:rPr>
          <w:rFonts w:eastAsia="方正黑体_GBK"/>
          <w:b w:val="0"/>
          <w:bCs/>
          <w:sz w:val="32"/>
          <w:szCs w:val="32"/>
        </w:rPr>
        <w:t>附</w:t>
      </w:r>
      <w:r>
        <w:rPr>
          <w:rFonts w:hint="eastAsia" w:eastAsia="方正黑体_GBK"/>
          <w:b w:val="0"/>
          <w:bCs/>
          <w:sz w:val="32"/>
          <w:szCs w:val="32"/>
          <w:lang w:val="en-US" w:eastAsia="zh-CN"/>
        </w:rPr>
        <w:t>件4</w:t>
      </w:r>
    </w:p>
    <w:p>
      <w:pPr>
        <w:keepNext w:val="0"/>
        <w:keepLines w:val="0"/>
        <w:pageBreakBefore w:val="0"/>
        <w:widowControl w:val="0"/>
        <w:kinsoku/>
        <w:wordWrap/>
        <w:overflowPunct/>
        <w:topLinePunct w:val="0"/>
        <w:autoSpaceDE/>
        <w:autoSpaceDN/>
        <w:bidi w:val="0"/>
        <w:adjustRightInd/>
        <w:snapToGrid w:val="0"/>
        <w:spacing w:afterLines="0" w:line="276" w:lineRule="auto"/>
        <w:jc w:val="center"/>
        <w:textAlignment w:val="auto"/>
        <w:outlineLvl w:val="0"/>
        <w:rPr>
          <w:rFonts w:hint="eastAsia" w:ascii="方正小标宋_GBK" w:hAnsi="方正小标宋_GBK" w:eastAsia="方正小标宋_GBK" w:cs="方正小标宋_GBK"/>
          <w:b w:val="0"/>
          <w:bCs/>
          <w:sz w:val="36"/>
          <w:szCs w:val="36"/>
          <w:lang w:val="en-US" w:eastAsia="zh-CN"/>
        </w:rPr>
      </w:pPr>
      <w:bookmarkStart w:id="274" w:name="_Toc656738567_WPSOffice_Level1"/>
      <w:bookmarkStart w:id="275" w:name="_Toc1775357860"/>
      <w:bookmarkStart w:id="276" w:name="_Toc1767312290"/>
      <w:r>
        <w:rPr>
          <w:rFonts w:hint="eastAsia" w:ascii="方正小标宋_GBK" w:hAnsi="方正小标宋_GBK" w:eastAsia="方正小标宋_GBK" w:cs="方正小标宋_GBK"/>
          <w:b w:val="0"/>
          <w:bCs/>
          <w:sz w:val="36"/>
          <w:szCs w:val="36"/>
          <w:lang w:val="en-US" w:eastAsia="zh-CN"/>
        </w:rPr>
        <w:t>永川区综合交通</w:t>
      </w:r>
      <w:r>
        <w:rPr>
          <w:rFonts w:hint="default" w:ascii="方正小标宋_GBK" w:hAnsi="方正小标宋_GBK" w:eastAsia="方正小标宋_GBK" w:cs="方正小标宋_GBK"/>
          <w:b w:val="0"/>
          <w:bCs/>
          <w:sz w:val="36"/>
          <w:szCs w:val="36"/>
          <w:lang w:val="en" w:eastAsia="zh-CN"/>
        </w:rPr>
        <w:t>“</w:t>
      </w:r>
      <w:r>
        <w:rPr>
          <w:rFonts w:hint="eastAsia" w:ascii="方正小标宋_GBK" w:hAnsi="方正小标宋_GBK" w:eastAsia="方正小标宋_GBK" w:cs="方正小标宋_GBK"/>
          <w:b w:val="0"/>
          <w:bCs/>
          <w:sz w:val="36"/>
          <w:szCs w:val="36"/>
          <w:lang w:val="en-US" w:eastAsia="zh-CN"/>
        </w:rPr>
        <w:t>十四五”规划</w:t>
      </w:r>
      <w:bookmarkEnd w:id="274"/>
      <w:r>
        <w:rPr>
          <w:rFonts w:hint="eastAsia" w:ascii="方正小标宋_GBK" w:hAnsi="方正小标宋_GBK" w:eastAsia="方正小标宋_GBK" w:cs="方正小标宋_GBK"/>
          <w:b w:val="0"/>
          <w:bCs/>
          <w:sz w:val="36"/>
          <w:szCs w:val="36"/>
          <w:lang w:val="en-US" w:eastAsia="zh-CN"/>
        </w:rPr>
        <w:t>布局图</w:t>
      </w:r>
      <w:bookmarkEnd w:id="275"/>
      <w:bookmarkEnd w:id="276"/>
    </w:p>
    <w:bookmarkEnd w:id="273"/>
    <w:p>
      <w:pPr>
        <w:keepNext w:val="0"/>
        <w:keepLines w:val="0"/>
        <w:pageBreakBefore w:val="0"/>
        <w:widowControl w:val="0"/>
        <w:kinsoku/>
        <w:wordWrap/>
        <w:overflowPunct/>
        <w:topLinePunct w:val="0"/>
        <w:autoSpaceDE/>
        <w:autoSpaceDN/>
        <w:bidi w:val="0"/>
        <w:adjustRightInd/>
        <w:snapToGrid w:val="0"/>
        <w:spacing w:afterLines="0" w:line="276" w:lineRule="auto"/>
        <w:jc w:val="center"/>
        <w:textAlignment w:val="auto"/>
        <w:outlineLvl w:val="0"/>
        <w:rPr>
          <w:rFonts w:hint="eastAsia" w:eastAsia="方正黑体_GBK"/>
          <w:b w:val="0"/>
          <w:bCs/>
          <w:sz w:val="32"/>
          <w:szCs w:val="32"/>
          <w:lang w:val="en-US" w:eastAsia="zh-CN"/>
        </w:rPr>
      </w:pPr>
      <w:bookmarkStart w:id="277" w:name="_Toc252063684"/>
      <w:bookmarkStart w:id="278" w:name="_Toc197230451"/>
      <w:r>
        <w:rPr>
          <w:rFonts w:hint="eastAsia" w:eastAsia="方正黑体_GBK"/>
          <w:b w:val="0"/>
          <w:bCs/>
          <w:sz w:val="32"/>
          <w:szCs w:val="32"/>
          <w:lang w:val="en-US" w:eastAsia="zh-CN"/>
        </w:rPr>
        <w:drawing>
          <wp:inline distT="0" distB="0" distL="114300" distR="114300">
            <wp:extent cx="5191125" cy="7199630"/>
            <wp:effectExtent l="0" t="0" r="9525" b="1270"/>
            <wp:docPr id="5" name="图片 3" descr="D:\我的坚果云\2021\十四五交通规划\十四五交通规划20210710改\永川十四五规划附图0623\附图3：永川十四五.jpg附图3：永川十四五"/>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3" descr="D:\我的坚果云\2021\十四五交通规划\十四五交通规划20210710改\永川十四五规划附图0623\附图3：永川十四五.jpg附图3：永川十四五"/>
                    <pic:cNvPicPr>
                      <a:picLocks noChangeAspect="true"/>
                    </pic:cNvPicPr>
                  </pic:nvPicPr>
                  <pic:blipFill>
                    <a:blip r:embed="rId7"/>
                    <a:stretch>
                      <a:fillRect/>
                    </a:stretch>
                  </pic:blipFill>
                  <pic:spPr>
                    <a:xfrm>
                      <a:off x="0" y="0"/>
                      <a:ext cx="5191125" cy="7199630"/>
                    </a:xfrm>
                    <a:prstGeom prst="rect">
                      <a:avLst/>
                    </a:prstGeom>
                    <a:noFill/>
                    <a:ln>
                      <a:noFill/>
                    </a:ln>
                  </pic:spPr>
                </pic:pic>
              </a:graphicData>
            </a:graphic>
          </wp:inline>
        </w:drawing>
      </w:r>
      <w:bookmarkEnd w:id="277"/>
      <w:bookmarkEnd w:id="278"/>
      <w:bookmarkStart w:id="279" w:name="_Toc5260"/>
    </w:p>
    <w:p>
      <w:pPr>
        <w:keepNext w:val="0"/>
        <w:keepLines w:val="0"/>
        <w:pageBreakBefore w:val="0"/>
        <w:widowControl w:val="0"/>
        <w:kinsoku/>
        <w:wordWrap/>
        <w:overflowPunct/>
        <w:topLinePunct w:val="0"/>
        <w:autoSpaceDE/>
        <w:autoSpaceDN/>
        <w:bidi w:val="0"/>
        <w:adjustRightInd/>
        <w:snapToGrid w:val="0"/>
        <w:spacing w:afterLines="0" w:line="276" w:lineRule="auto"/>
        <w:jc w:val="both"/>
        <w:textAlignment w:val="auto"/>
        <w:outlineLvl w:val="0"/>
        <w:rPr>
          <w:rFonts w:hint="eastAsia" w:eastAsia="方正黑体_GBK"/>
          <w:b w:val="0"/>
          <w:bCs/>
          <w:sz w:val="32"/>
          <w:szCs w:val="32"/>
          <w:lang w:val="en-US" w:eastAsia="zh-CN"/>
        </w:rPr>
      </w:pPr>
      <w:bookmarkStart w:id="280" w:name="_Toc1620148971"/>
      <w:bookmarkStart w:id="281" w:name="_Toc570369704"/>
      <w:r>
        <w:rPr>
          <w:rFonts w:eastAsia="方正黑体_GBK"/>
          <w:b w:val="0"/>
          <w:bCs/>
          <w:sz w:val="32"/>
          <w:szCs w:val="32"/>
        </w:rPr>
        <w:t>附</w:t>
      </w:r>
      <w:r>
        <w:rPr>
          <w:rFonts w:hint="eastAsia" w:eastAsia="方正黑体_GBK"/>
          <w:b w:val="0"/>
          <w:bCs/>
          <w:sz w:val="32"/>
          <w:szCs w:val="32"/>
          <w:lang w:val="en-US" w:eastAsia="zh-CN"/>
        </w:rPr>
        <w:t>件5</w:t>
      </w:r>
      <w:bookmarkEnd w:id="280"/>
      <w:bookmarkEnd w:id="281"/>
    </w:p>
    <w:p>
      <w:pPr>
        <w:keepNext w:val="0"/>
        <w:keepLines w:val="0"/>
        <w:pageBreakBefore w:val="0"/>
        <w:widowControl w:val="0"/>
        <w:kinsoku/>
        <w:wordWrap/>
        <w:overflowPunct/>
        <w:topLinePunct w:val="0"/>
        <w:autoSpaceDE/>
        <w:autoSpaceDN/>
        <w:bidi w:val="0"/>
        <w:adjustRightInd/>
        <w:snapToGrid w:val="0"/>
        <w:spacing w:afterLines="0" w:line="276" w:lineRule="auto"/>
        <w:jc w:val="center"/>
        <w:textAlignment w:val="auto"/>
        <w:outlineLvl w:val="0"/>
        <w:rPr>
          <w:rFonts w:hint="eastAsia" w:ascii="方正小标宋_GBK" w:hAnsi="方正小标宋_GBK" w:eastAsia="方正小标宋_GBK" w:cs="方正小标宋_GBK"/>
          <w:b w:val="0"/>
          <w:bCs/>
          <w:sz w:val="36"/>
          <w:szCs w:val="36"/>
          <w:lang w:val="en-US" w:eastAsia="zh-CN"/>
        </w:rPr>
      </w:pPr>
      <w:bookmarkStart w:id="282" w:name="_Toc1006211929_WPSOffice_Level1"/>
      <w:bookmarkStart w:id="283" w:name="_Toc1167762289"/>
      <w:bookmarkStart w:id="284" w:name="_Toc2115078183"/>
      <w:r>
        <w:rPr>
          <w:rFonts w:hint="eastAsia" w:ascii="方正小标宋_GBK" w:hAnsi="方正小标宋_GBK" w:eastAsia="方正小标宋_GBK" w:cs="方正小标宋_GBK"/>
          <w:b w:val="0"/>
          <w:bCs/>
          <w:sz w:val="36"/>
          <w:szCs w:val="36"/>
          <w:lang w:val="en-US" w:eastAsia="zh-CN"/>
        </w:rPr>
        <w:t>永川区铁路</w:t>
      </w:r>
      <w:r>
        <w:rPr>
          <w:rFonts w:hint="default" w:ascii="方正小标宋_GBK" w:hAnsi="方正小标宋_GBK" w:eastAsia="方正小标宋_GBK" w:cs="方正小标宋_GBK"/>
          <w:b w:val="0"/>
          <w:bCs/>
          <w:sz w:val="36"/>
          <w:szCs w:val="36"/>
          <w:lang w:val="en" w:eastAsia="zh-CN"/>
        </w:rPr>
        <w:t>“</w:t>
      </w:r>
      <w:r>
        <w:rPr>
          <w:rFonts w:hint="eastAsia" w:ascii="方正小标宋_GBK" w:hAnsi="方正小标宋_GBK" w:eastAsia="方正小标宋_GBK" w:cs="方正小标宋_GBK"/>
          <w:b w:val="0"/>
          <w:bCs/>
          <w:sz w:val="36"/>
          <w:szCs w:val="36"/>
          <w:lang w:val="en-US" w:eastAsia="zh-CN"/>
        </w:rPr>
        <w:t>十四五”规划</w:t>
      </w:r>
      <w:bookmarkEnd w:id="282"/>
      <w:r>
        <w:rPr>
          <w:rFonts w:hint="eastAsia" w:ascii="方正小标宋_GBK" w:hAnsi="方正小标宋_GBK" w:eastAsia="方正小标宋_GBK" w:cs="方正小标宋_GBK"/>
          <w:b w:val="0"/>
          <w:bCs/>
          <w:sz w:val="36"/>
          <w:szCs w:val="36"/>
          <w:lang w:val="en-US" w:eastAsia="zh-CN"/>
        </w:rPr>
        <w:t>布局图</w:t>
      </w:r>
      <w:bookmarkEnd w:id="283"/>
      <w:bookmarkEnd w:id="284"/>
    </w:p>
    <w:p>
      <w:pPr>
        <w:keepNext w:val="0"/>
        <w:keepLines w:val="0"/>
        <w:pageBreakBefore w:val="0"/>
        <w:widowControl w:val="0"/>
        <w:kinsoku/>
        <w:wordWrap/>
        <w:overflowPunct/>
        <w:topLinePunct w:val="0"/>
        <w:autoSpaceDE/>
        <w:autoSpaceDN/>
        <w:bidi w:val="0"/>
        <w:adjustRightInd/>
        <w:snapToGrid w:val="0"/>
        <w:spacing w:afterLines="0" w:line="276" w:lineRule="auto"/>
        <w:jc w:val="center"/>
        <w:textAlignment w:val="auto"/>
        <w:outlineLvl w:val="0"/>
        <w:rPr>
          <w:rFonts w:hint="eastAsia" w:eastAsia="方正黑体_GBK"/>
          <w:b w:val="0"/>
          <w:bCs/>
          <w:sz w:val="32"/>
          <w:szCs w:val="32"/>
          <w:lang w:val="en-US" w:eastAsia="zh-CN"/>
        </w:rPr>
      </w:pPr>
      <w:bookmarkStart w:id="285" w:name="_Toc1031837508"/>
      <w:bookmarkStart w:id="286" w:name="_Toc946905264"/>
      <w:r>
        <w:rPr>
          <w:rFonts w:hint="eastAsia" w:eastAsia="方正黑体_GBK"/>
          <w:b w:val="0"/>
          <w:bCs/>
          <w:sz w:val="32"/>
          <w:szCs w:val="32"/>
          <w:lang w:val="en-US" w:eastAsia="zh-CN"/>
        </w:rPr>
        <w:drawing>
          <wp:inline distT="0" distB="0" distL="114300" distR="114300">
            <wp:extent cx="5187315" cy="7199630"/>
            <wp:effectExtent l="0" t="0" r="13335" b="1270"/>
            <wp:docPr id="6" name="图片 4" descr="D:\我的坚果云\2021\十四五交通规划\十四五交通规划20210710改\永川十四五规划附图0623\附图4：永川铁路.jpg附图4：永川铁路"/>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4" descr="D:\我的坚果云\2021\十四五交通规划\十四五交通规划20210710改\永川十四五规划附图0623\附图4：永川铁路.jpg附图4：永川铁路"/>
                    <pic:cNvPicPr>
                      <a:picLocks noChangeAspect="true"/>
                    </pic:cNvPicPr>
                  </pic:nvPicPr>
                  <pic:blipFill>
                    <a:blip r:embed="rId8"/>
                    <a:stretch>
                      <a:fillRect/>
                    </a:stretch>
                  </pic:blipFill>
                  <pic:spPr>
                    <a:xfrm>
                      <a:off x="0" y="0"/>
                      <a:ext cx="5187315" cy="7199630"/>
                    </a:xfrm>
                    <a:prstGeom prst="rect">
                      <a:avLst/>
                    </a:prstGeom>
                    <a:noFill/>
                    <a:ln>
                      <a:noFill/>
                    </a:ln>
                  </pic:spPr>
                </pic:pic>
              </a:graphicData>
            </a:graphic>
          </wp:inline>
        </w:drawing>
      </w:r>
      <w:bookmarkEnd w:id="285"/>
      <w:bookmarkEnd w:id="286"/>
    </w:p>
    <w:bookmarkEnd w:id="279"/>
    <w:p>
      <w:pPr>
        <w:keepNext w:val="0"/>
        <w:keepLines w:val="0"/>
        <w:pageBreakBefore w:val="0"/>
        <w:widowControl w:val="0"/>
        <w:kinsoku/>
        <w:wordWrap/>
        <w:overflowPunct/>
        <w:topLinePunct w:val="0"/>
        <w:autoSpaceDE/>
        <w:autoSpaceDN/>
        <w:bidi w:val="0"/>
        <w:adjustRightInd/>
        <w:snapToGrid w:val="0"/>
        <w:spacing w:afterLines="0" w:line="276" w:lineRule="auto"/>
        <w:jc w:val="left"/>
        <w:textAlignment w:val="auto"/>
        <w:outlineLvl w:val="0"/>
        <w:rPr>
          <w:rFonts w:hint="eastAsia" w:eastAsia="方正黑体_GBK"/>
          <w:b w:val="0"/>
          <w:bCs/>
          <w:sz w:val="32"/>
          <w:szCs w:val="32"/>
          <w:lang w:val="en-US" w:eastAsia="zh-CN"/>
        </w:rPr>
      </w:pPr>
      <w:bookmarkStart w:id="287" w:name="_Toc919233415"/>
      <w:bookmarkStart w:id="288" w:name="_Toc1342829512"/>
      <w:bookmarkStart w:id="289" w:name="_Toc30446"/>
      <w:r>
        <w:rPr>
          <w:rFonts w:eastAsia="方正黑体_GBK"/>
          <w:b w:val="0"/>
          <w:bCs/>
          <w:sz w:val="32"/>
          <w:szCs w:val="32"/>
        </w:rPr>
        <w:t>附</w:t>
      </w:r>
      <w:r>
        <w:rPr>
          <w:rFonts w:hint="eastAsia" w:eastAsia="方正黑体_GBK"/>
          <w:b w:val="0"/>
          <w:bCs/>
          <w:sz w:val="32"/>
          <w:szCs w:val="32"/>
          <w:lang w:val="en-US" w:eastAsia="zh-CN"/>
        </w:rPr>
        <w:t>件6</w:t>
      </w:r>
      <w:bookmarkEnd w:id="287"/>
      <w:bookmarkEnd w:id="288"/>
    </w:p>
    <w:p>
      <w:pPr>
        <w:keepNext w:val="0"/>
        <w:keepLines w:val="0"/>
        <w:pageBreakBefore w:val="0"/>
        <w:widowControl w:val="0"/>
        <w:kinsoku/>
        <w:wordWrap/>
        <w:overflowPunct/>
        <w:topLinePunct w:val="0"/>
        <w:autoSpaceDE/>
        <w:autoSpaceDN/>
        <w:bidi w:val="0"/>
        <w:adjustRightInd/>
        <w:snapToGrid w:val="0"/>
        <w:spacing w:afterLines="0" w:line="276" w:lineRule="auto"/>
        <w:jc w:val="center"/>
        <w:textAlignment w:val="auto"/>
        <w:outlineLvl w:val="0"/>
        <w:rPr>
          <w:rFonts w:hint="eastAsia" w:ascii="方正小标宋_GBK" w:hAnsi="方正小标宋_GBK" w:eastAsia="方正小标宋_GBK" w:cs="方正小标宋_GBK"/>
          <w:b w:val="0"/>
          <w:bCs/>
          <w:sz w:val="36"/>
          <w:szCs w:val="36"/>
          <w:lang w:val="en-US" w:eastAsia="zh-CN"/>
        </w:rPr>
      </w:pPr>
      <w:bookmarkStart w:id="290" w:name="_Toc1344489682_WPSOffice_Level1"/>
      <w:bookmarkStart w:id="291" w:name="_Toc970337562"/>
      <w:bookmarkStart w:id="292" w:name="_Toc1658189940"/>
      <w:r>
        <w:rPr>
          <w:rFonts w:hint="eastAsia" w:ascii="方正小标宋_GBK" w:hAnsi="方正小标宋_GBK" w:eastAsia="方正小标宋_GBK" w:cs="方正小标宋_GBK"/>
          <w:b w:val="0"/>
          <w:bCs/>
          <w:sz w:val="36"/>
          <w:szCs w:val="36"/>
          <w:lang w:val="en-US" w:eastAsia="zh-CN"/>
        </w:rPr>
        <w:t>永川区高速公路</w:t>
      </w:r>
      <w:r>
        <w:rPr>
          <w:rFonts w:hint="default" w:ascii="方正小标宋_GBK" w:hAnsi="方正小标宋_GBK" w:eastAsia="方正小标宋_GBK" w:cs="方正小标宋_GBK"/>
          <w:b w:val="0"/>
          <w:bCs/>
          <w:sz w:val="36"/>
          <w:szCs w:val="36"/>
          <w:lang w:val="en" w:eastAsia="zh-CN"/>
        </w:rPr>
        <w:t>“</w:t>
      </w:r>
      <w:r>
        <w:rPr>
          <w:rFonts w:hint="eastAsia" w:ascii="方正小标宋_GBK" w:hAnsi="方正小标宋_GBK" w:eastAsia="方正小标宋_GBK" w:cs="方正小标宋_GBK"/>
          <w:b w:val="0"/>
          <w:bCs/>
          <w:sz w:val="36"/>
          <w:szCs w:val="36"/>
          <w:lang w:val="en-US" w:eastAsia="zh-CN"/>
        </w:rPr>
        <w:t>十四五”规划</w:t>
      </w:r>
      <w:bookmarkEnd w:id="290"/>
      <w:r>
        <w:rPr>
          <w:rFonts w:hint="eastAsia" w:ascii="方正小标宋_GBK" w:hAnsi="方正小标宋_GBK" w:eastAsia="方正小标宋_GBK" w:cs="方正小标宋_GBK"/>
          <w:b w:val="0"/>
          <w:bCs/>
          <w:sz w:val="36"/>
          <w:szCs w:val="36"/>
          <w:lang w:val="en-US" w:eastAsia="zh-CN"/>
        </w:rPr>
        <w:t>布局图</w:t>
      </w:r>
      <w:bookmarkEnd w:id="291"/>
      <w:bookmarkEnd w:id="292"/>
    </w:p>
    <w:p>
      <w:pPr>
        <w:keepNext w:val="0"/>
        <w:keepLines w:val="0"/>
        <w:pageBreakBefore w:val="0"/>
        <w:widowControl w:val="0"/>
        <w:kinsoku/>
        <w:wordWrap/>
        <w:overflowPunct/>
        <w:topLinePunct w:val="0"/>
        <w:autoSpaceDE/>
        <w:autoSpaceDN/>
        <w:bidi w:val="0"/>
        <w:adjustRightInd/>
        <w:snapToGrid w:val="0"/>
        <w:spacing w:afterLines="0" w:line="276" w:lineRule="auto"/>
        <w:jc w:val="center"/>
        <w:textAlignment w:val="auto"/>
        <w:outlineLvl w:val="0"/>
        <w:rPr>
          <w:rFonts w:hint="eastAsia" w:eastAsia="方正黑体_GBK"/>
          <w:b w:val="0"/>
          <w:bCs/>
          <w:sz w:val="32"/>
          <w:szCs w:val="32"/>
          <w:lang w:val="en-US" w:eastAsia="zh-CN"/>
        </w:rPr>
      </w:pPr>
      <w:bookmarkStart w:id="293" w:name="_Toc1058451493"/>
      <w:bookmarkStart w:id="294" w:name="_Toc634465245"/>
      <w:r>
        <w:rPr>
          <w:rFonts w:hint="eastAsia" w:eastAsia="方正黑体_GBK"/>
          <w:b w:val="0"/>
          <w:bCs/>
          <w:sz w:val="32"/>
          <w:szCs w:val="32"/>
          <w:lang w:val="en-US" w:eastAsia="zh-CN"/>
        </w:rPr>
        <w:drawing>
          <wp:inline distT="0" distB="0" distL="114300" distR="114300">
            <wp:extent cx="5180330" cy="7199630"/>
            <wp:effectExtent l="0" t="0" r="1270" b="1270"/>
            <wp:docPr id="7" name="图片 5" descr="D:\我的坚果云\2021\十四五交通规划\十四五交通规划20210710改\永川十四五规划附图0623\附图5：永川高速.jpg附图5：永川高速"/>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5" descr="D:\我的坚果云\2021\十四五交通规划\十四五交通规划20210710改\永川十四五规划附图0623\附图5：永川高速.jpg附图5：永川高速"/>
                    <pic:cNvPicPr>
                      <a:picLocks noChangeAspect="true"/>
                    </pic:cNvPicPr>
                  </pic:nvPicPr>
                  <pic:blipFill>
                    <a:blip r:embed="rId9"/>
                    <a:stretch>
                      <a:fillRect/>
                    </a:stretch>
                  </pic:blipFill>
                  <pic:spPr>
                    <a:xfrm>
                      <a:off x="0" y="0"/>
                      <a:ext cx="5180330" cy="7199630"/>
                    </a:xfrm>
                    <a:prstGeom prst="rect">
                      <a:avLst/>
                    </a:prstGeom>
                    <a:noFill/>
                    <a:ln>
                      <a:noFill/>
                    </a:ln>
                  </pic:spPr>
                </pic:pic>
              </a:graphicData>
            </a:graphic>
          </wp:inline>
        </w:drawing>
      </w:r>
      <w:bookmarkEnd w:id="289"/>
      <w:bookmarkEnd w:id="293"/>
      <w:bookmarkEnd w:id="294"/>
    </w:p>
    <w:p>
      <w:pPr>
        <w:keepNext w:val="0"/>
        <w:keepLines w:val="0"/>
        <w:pageBreakBefore w:val="0"/>
        <w:widowControl w:val="0"/>
        <w:kinsoku/>
        <w:wordWrap/>
        <w:overflowPunct/>
        <w:topLinePunct w:val="0"/>
        <w:autoSpaceDE/>
        <w:autoSpaceDN/>
        <w:bidi w:val="0"/>
        <w:adjustRightInd/>
        <w:snapToGrid w:val="0"/>
        <w:spacing w:afterLines="0" w:line="276" w:lineRule="auto"/>
        <w:jc w:val="left"/>
        <w:textAlignment w:val="auto"/>
        <w:outlineLvl w:val="0"/>
        <w:rPr>
          <w:rFonts w:hint="eastAsia" w:eastAsia="方正黑体_GBK"/>
          <w:b w:val="0"/>
          <w:bCs/>
          <w:sz w:val="32"/>
          <w:szCs w:val="32"/>
          <w:lang w:val="en-US" w:eastAsia="zh-CN"/>
        </w:rPr>
      </w:pPr>
      <w:bookmarkStart w:id="295" w:name="_Toc179064972"/>
      <w:bookmarkStart w:id="296" w:name="_Toc1659476863"/>
      <w:bookmarkStart w:id="297" w:name="_Toc26311"/>
      <w:r>
        <w:rPr>
          <w:rFonts w:eastAsia="方正黑体_GBK"/>
          <w:b w:val="0"/>
          <w:bCs/>
          <w:sz w:val="32"/>
          <w:szCs w:val="32"/>
        </w:rPr>
        <w:t>附</w:t>
      </w:r>
      <w:r>
        <w:rPr>
          <w:rFonts w:hint="eastAsia" w:eastAsia="方正黑体_GBK"/>
          <w:b w:val="0"/>
          <w:bCs/>
          <w:sz w:val="32"/>
          <w:szCs w:val="32"/>
          <w:lang w:val="en-US" w:eastAsia="zh-CN"/>
        </w:rPr>
        <w:t>件7</w:t>
      </w:r>
      <w:bookmarkEnd w:id="295"/>
      <w:bookmarkEnd w:id="296"/>
    </w:p>
    <w:p>
      <w:pPr>
        <w:keepNext w:val="0"/>
        <w:keepLines w:val="0"/>
        <w:pageBreakBefore w:val="0"/>
        <w:widowControl w:val="0"/>
        <w:kinsoku/>
        <w:wordWrap/>
        <w:overflowPunct/>
        <w:topLinePunct w:val="0"/>
        <w:autoSpaceDE/>
        <w:autoSpaceDN/>
        <w:bidi w:val="0"/>
        <w:adjustRightInd/>
        <w:snapToGrid w:val="0"/>
        <w:spacing w:afterLines="0" w:line="276" w:lineRule="auto"/>
        <w:jc w:val="center"/>
        <w:textAlignment w:val="auto"/>
        <w:outlineLvl w:val="0"/>
        <w:rPr>
          <w:rFonts w:hint="eastAsia" w:ascii="方正小标宋_GBK" w:hAnsi="方正小标宋_GBK" w:eastAsia="方正小标宋_GBK" w:cs="方正小标宋_GBK"/>
          <w:b w:val="0"/>
          <w:bCs/>
          <w:sz w:val="36"/>
          <w:szCs w:val="36"/>
          <w:lang w:val="en-US" w:eastAsia="zh-CN"/>
        </w:rPr>
      </w:pPr>
      <w:bookmarkStart w:id="298" w:name="_Toc823956433"/>
      <w:bookmarkStart w:id="299" w:name="_Toc40670086"/>
      <w:bookmarkStart w:id="300" w:name="_Toc713294912"/>
      <w:bookmarkStart w:id="301" w:name="_Toc586863450"/>
      <w:r>
        <w:rPr>
          <w:rFonts w:hint="eastAsia" w:eastAsia="方正黑体_GBK"/>
          <w:b w:val="0"/>
          <w:bCs/>
          <w:sz w:val="32"/>
          <w:szCs w:val="32"/>
          <w:lang w:val="en-US" w:eastAsia="zh-CN"/>
        </w:rPr>
        <w:drawing>
          <wp:anchor distT="0" distB="0" distL="114300" distR="114300" simplePos="0" relativeHeight="251658240" behindDoc="0" locked="0" layoutInCell="1" allowOverlap="1">
            <wp:simplePos x="0" y="0"/>
            <wp:positionH relativeFrom="column">
              <wp:posOffset>259080</wp:posOffset>
            </wp:positionH>
            <wp:positionV relativeFrom="paragraph">
              <wp:posOffset>334010</wp:posOffset>
            </wp:positionV>
            <wp:extent cx="5100955" cy="6747510"/>
            <wp:effectExtent l="0" t="0" r="4445" b="15240"/>
            <wp:wrapNone/>
            <wp:docPr id="1" name="图片 4" descr="D:\我的坚果云\2021\十四五交通规划\十四五交通规划20210710改\永川十四五规划附图0623\附图6：永川国省道.jpg附图6：永川国省道"/>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4" descr="D:\我的坚果云\2021\十四五交通规划\十四五交通规划20210710改\永川十四五规划附图0623\附图6：永川国省道.jpg附图6：永川国省道"/>
                    <pic:cNvPicPr>
                      <a:picLocks noChangeAspect="true"/>
                    </pic:cNvPicPr>
                  </pic:nvPicPr>
                  <pic:blipFill>
                    <a:blip r:embed="rId10"/>
                    <a:stretch>
                      <a:fillRect/>
                    </a:stretch>
                  </pic:blipFill>
                  <pic:spPr>
                    <a:xfrm>
                      <a:off x="0" y="0"/>
                      <a:ext cx="5100955" cy="6747510"/>
                    </a:xfrm>
                    <a:prstGeom prst="rect">
                      <a:avLst/>
                    </a:prstGeom>
                    <a:noFill/>
                    <a:ln>
                      <a:noFill/>
                    </a:ln>
                  </pic:spPr>
                </pic:pic>
              </a:graphicData>
            </a:graphic>
          </wp:anchor>
        </w:drawing>
      </w:r>
      <w:bookmarkEnd w:id="298"/>
      <w:bookmarkEnd w:id="299"/>
      <w:r>
        <w:rPr>
          <w:rFonts w:hint="eastAsia" w:ascii="方正小标宋_GBK" w:hAnsi="方正小标宋_GBK" w:eastAsia="方正小标宋_GBK" w:cs="方正小标宋_GBK"/>
          <w:b w:val="0"/>
          <w:bCs/>
          <w:sz w:val="36"/>
          <w:szCs w:val="36"/>
          <w:lang w:val="en-US" w:eastAsia="zh-CN"/>
        </w:rPr>
        <w:t>永川区国省干线</w:t>
      </w:r>
      <w:r>
        <w:rPr>
          <w:rFonts w:hint="default" w:ascii="方正小标宋_GBK" w:hAnsi="方正小标宋_GBK" w:eastAsia="方正小标宋_GBK" w:cs="方正小标宋_GBK"/>
          <w:b w:val="0"/>
          <w:bCs/>
          <w:sz w:val="36"/>
          <w:szCs w:val="36"/>
          <w:lang w:val="en" w:eastAsia="zh-CN"/>
        </w:rPr>
        <w:t>“</w:t>
      </w:r>
      <w:r>
        <w:rPr>
          <w:rFonts w:hint="eastAsia" w:ascii="方正小标宋_GBK" w:hAnsi="方正小标宋_GBK" w:eastAsia="方正小标宋_GBK" w:cs="方正小标宋_GBK"/>
          <w:b w:val="0"/>
          <w:bCs/>
          <w:sz w:val="36"/>
          <w:szCs w:val="36"/>
          <w:lang w:val="en-US" w:eastAsia="zh-CN"/>
        </w:rPr>
        <w:t>十四五”建设示意图</w:t>
      </w:r>
      <w:bookmarkEnd w:id="300"/>
      <w:bookmarkEnd w:id="301"/>
    </w:p>
    <w:bookmarkEnd w:id="297"/>
    <w:p>
      <w:pPr>
        <w:keepNext w:val="0"/>
        <w:keepLines w:val="0"/>
        <w:pageBreakBefore w:val="0"/>
        <w:widowControl w:val="0"/>
        <w:kinsoku/>
        <w:wordWrap/>
        <w:overflowPunct/>
        <w:topLinePunct w:val="0"/>
        <w:autoSpaceDE/>
        <w:autoSpaceDN/>
        <w:bidi w:val="0"/>
        <w:adjustRightInd/>
        <w:snapToGrid w:val="0"/>
        <w:spacing w:afterLines="0" w:line="276" w:lineRule="auto"/>
        <w:jc w:val="center"/>
        <w:textAlignment w:val="auto"/>
        <w:outlineLvl w:val="0"/>
        <w:rPr>
          <w:rFonts w:hint="eastAsia" w:eastAsia="方正黑体_GBK"/>
          <w:b w:val="0"/>
          <w:bCs/>
          <w:sz w:val="32"/>
          <w:szCs w:val="32"/>
          <w:lang w:val="en-US" w:eastAsia="zh-CN"/>
        </w:rPr>
      </w:pPr>
    </w:p>
    <w:p>
      <w:pPr>
        <w:keepNext w:val="0"/>
        <w:keepLines w:val="0"/>
        <w:pageBreakBefore w:val="0"/>
        <w:widowControl w:val="0"/>
        <w:kinsoku/>
        <w:wordWrap/>
        <w:overflowPunct/>
        <w:topLinePunct w:val="0"/>
        <w:autoSpaceDE/>
        <w:autoSpaceDN/>
        <w:bidi w:val="0"/>
        <w:adjustRightInd/>
        <w:snapToGrid w:val="0"/>
        <w:spacing w:afterLines="0" w:line="276" w:lineRule="auto"/>
        <w:jc w:val="both"/>
        <w:textAlignment w:val="auto"/>
        <w:outlineLvl w:val="0"/>
        <w:rPr>
          <w:rFonts w:hint="eastAsia" w:eastAsia="方正黑体_GBK"/>
          <w:b w:val="0"/>
          <w:bCs/>
          <w:sz w:val="32"/>
          <w:szCs w:val="32"/>
          <w:lang w:val="en-US" w:eastAsia="zh-CN"/>
        </w:rPr>
      </w:pPr>
    </w:p>
    <w:p>
      <w:pPr>
        <w:keepNext w:val="0"/>
        <w:keepLines w:val="0"/>
        <w:pageBreakBefore w:val="0"/>
        <w:widowControl w:val="0"/>
        <w:kinsoku/>
        <w:wordWrap/>
        <w:overflowPunct/>
        <w:topLinePunct w:val="0"/>
        <w:autoSpaceDE/>
        <w:autoSpaceDN/>
        <w:bidi w:val="0"/>
        <w:adjustRightInd/>
        <w:snapToGrid w:val="0"/>
        <w:spacing w:afterLines="0" w:line="276" w:lineRule="auto"/>
        <w:jc w:val="both"/>
        <w:textAlignment w:val="auto"/>
        <w:outlineLvl w:val="0"/>
        <w:rPr>
          <w:rFonts w:hint="eastAsia" w:eastAsia="方正黑体_GBK"/>
          <w:b w:val="0"/>
          <w:bCs/>
          <w:sz w:val="32"/>
          <w:szCs w:val="32"/>
          <w:lang w:val="en-US" w:eastAsia="zh-CN"/>
        </w:rPr>
      </w:pPr>
    </w:p>
    <w:p>
      <w:pPr>
        <w:keepNext w:val="0"/>
        <w:keepLines w:val="0"/>
        <w:pageBreakBefore w:val="0"/>
        <w:widowControl w:val="0"/>
        <w:kinsoku/>
        <w:wordWrap/>
        <w:overflowPunct/>
        <w:topLinePunct w:val="0"/>
        <w:autoSpaceDE/>
        <w:autoSpaceDN/>
        <w:bidi w:val="0"/>
        <w:adjustRightInd/>
        <w:snapToGrid w:val="0"/>
        <w:spacing w:afterLines="0" w:line="276" w:lineRule="auto"/>
        <w:jc w:val="both"/>
        <w:textAlignment w:val="auto"/>
        <w:outlineLvl w:val="0"/>
        <w:rPr>
          <w:rFonts w:hint="eastAsia" w:eastAsia="方正黑体_GBK"/>
          <w:b w:val="0"/>
          <w:bCs/>
          <w:sz w:val="32"/>
          <w:szCs w:val="32"/>
          <w:lang w:val="en-US" w:eastAsia="zh-CN"/>
        </w:rPr>
      </w:pPr>
    </w:p>
    <w:p>
      <w:pPr>
        <w:keepNext w:val="0"/>
        <w:keepLines w:val="0"/>
        <w:pageBreakBefore w:val="0"/>
        <w:widowControl w:val="0"/>
        <w:kinsoku/>
        <w:wordWrap/>
        <w:overflowPunct/>
        <w:topLinePunct w:val="0"/>
        <w:autoSpaceDE/>
        <w:autoSpaceDN/>
        <w:bidi w:val="0"/>
        <w:adjustRightInd/>
        <w:snapToGrid w:val="0"/>
        <w:spacing w:afterLines="0" w:line="276" w:lineRule="auto"/>
        <w:jc w:val="both"/>
        <w:textAlignment w:val="auto"/>
        <w:outlineLvl w:val="0"/>
        <w:rPr>
          <w:rFonts w:hint="eastAsia" w:eastAsia="方正黑体_GBK"/>
          <w:b w:val="0"/>
          <w:bCs/>
          <w:sz w:val="32"/>
          <w:szCs w:val="32"/>
          <w:lang w:val="en-US" w:eastAsia="zh-CN"/>
        </w:rPr>
      </w:pPr>
    </w:p>
    <w:p>
      <w:pPr>
        <w:keepNext w:val="0"/>
        <w:keepLines w:val="0"/>
        <w:pageBreakBefore w:val="0"/>
        <w:widowControl w:val="0"/>
        <w:kinsoku/>
        <w:wordWrap/>
        <w:overflowPunct/>
        <w:topLinePunct w:val="0"/>
        <w:autoSpaceDE/>
        <w:autoSpaceDN/>
        <w:bidi w:val="0"/>
        <w:adjustRightInd/>
        <w:snapToGrid w:val="0"/>
        <w:spacing w:afterLines="0" w:line="276" w:lineRule="auto"/>
        <w:jc w:val="both"/>
        <w:textAlignment w:val="auto"/>
        <w:outlineLvl w:val="0"/>
        <w:rPr>
          <w:rFonts w:hint="eastAsia" w:eastAsia="方正黑体_GBK"/>
          <w:b w:val="0"/>
          <w:bCs/>
          <w:sz w:val="32"/>
          <w:szCs w:val="32"/>
          <w:lang w:val="en-US" w:eastAsia="zh-CN"/>
        </w:rPr>
      </w:pPr>
    </w:p>
    <w:p>
      <w:pPr>
        <w:keepNext w:val="0"/>
        <w:keepLines w:val="0"/>
        <w:pageBreakBefore w:val="0"/>
        <w:widowControl w:val="0"/>
        <w:kinsoku/>
        <w:wordWrap/>
        <w:overflowPunct/>
        <w:topLinePunct w:val="0"/>
        <w:autoSpaceDE/>
        <w:autoSpaceDN/>
        <w:bidi w:val="0"/>
        <w:adjustRightInd/>
        <w:snapToGrid w:val="0"/>
        <w:spacing w:afterLines="0" w:line="276" w:lineRule="auto"/>
        <w:jc w:val="both"/>
        <w:textAlignment w:val="auto"/>
        <w:outlineLvl w:val="0"/>
        <w:rPr>
          <w:rFonts w:hint="eastAsia" w:eastAsia="方正黑体_GBK"/>
          <w:b w:val="0"/>
          <w:bCs/>
          <w:sz w:val="32"/>
          <w:szCs w:val="32"/>
          <w:lang w:val="en-US" w:eastAsia="zh-CN"/>
        </w:rPr>
      </w:pPr>
    </w:p>
    <w:p>
      <w:pPr>
        <w:keepNext w:val="0"/>
        <w:keepLines w:val="0"/>
        <w:pageBreakBefore w:val="0"/>
        <w:widowControl w:val="0"/>
        <w:kinsoku/>
        <w:wordWrap/>
        <w:overflowPunct/>
        <w:topLinePunct w:val="0"/>
        <w:autoSpaceDE/>
        <w:autoSpaceDN/>
        <w:bidi w:val="0"/>
        <w:adjustRightInd/>
        <w:snapToGrid w:val="0"/>
        <w:spacing w:afterLines="0" w:line="276" w:lineRule="auto"/>
        <w:jc w:val="both"/>
        <w:textAlignment w:val="auto"/>
        <w:outlineLvl w:val="0"/>
        <w:rPr>
          <w:rFonts w:hint="eastAsia" w:eastAsia="方正黑体_GBK"/>
          <w:b w:val="0"/>
          <w:bCs/>
          <w:sz w:val="32"/>
          <w:szCs w:val="32"/>
          <w:lang w:val="en-US" w:eastAsia="zh-CN"/>
        </w:rPr>
      </w:pPr>
    </w:p>
    <w:p>
      <w:pPr>
        <w:keepNext w:val="0"/>
        <w:keepLines w:val="0"/>
        <w:pageBreakBefore w:val="0"/>
        <w:widowControl w:val="0"/>
        <w:kinsoku/>
        <w:wordWrap/>
        <w:overflowPunct/>
        <w:topLinePunct w:val="0"/>
        <w:autoSpaceDE/>
        <w:autoSpaceDN/>
        <w:bidi w:val="0"/>
        <w:adjustRightInd/>
        <w:snapToGrid w:val="0"/>
        <w:spacing w:afterLines="0" w:line="276" w:lineRule="auto"/>
        <w:jc w:val="both"/>
        <w:textAlignment w:val="auto"/>
        <w:outlineLvl w:val="0"/>
        <w:rPr>
          <w:rFonts w:hint="eastAsia" w:eastAsia="方正黑体_GBK"/>
          <w:b w:val="0"/>
          <w:bCs/>
          <w:sz w:val="32"/>
          <w:szCs w:val="32"/>
          <w:lang w:val="en-US" w:eastAsia="zh-CN"/>
        </w:rPr>
      </w:pPr>
    </w:p>
    <w:p>
      <w:pPr>
        <w:keepNext w:val="0"/>
        <w:keepLines w:val="0"/>
        <w:pageBreakBefore w:val="0"/>
        <w:widowControl w:val="0"/>
        <w:kinsoku/>
        <w:wordWrap/>
        <w:overflowPunct/>
        <w:topLinePunct w:val="0"/>
        <w:autoSpaceDE/>
        <w:autoSpaceDN/>
        <w:bidi w:val="0"/>
        <w:adjustRightInd/>
        <w:snapToGrid w:val="0"/>
        <w:spacing w:afterLines="0" w:line="276" w:lineRule="auto"/>
        <w:jc w:val="both"/>
        <w:textAlignment w:val="auto"/>
        <w:outlineLvl w:val="0"/>
        <w:rPr>
          <w:rFonts w:hint="eastAsia" w:eastAsia="方正黑体_GBK"/>
          <w:b w:val="0"/>
          <w:bCs/>
          <w:sz w:val="32"/>
          <w:szCs w:val="32"/>
          <w:lang w:val="en-US" w:eastAsia="zh-CN"/>
        </w:rPr>
      </w:pPr>
    </w:p>
    <w:p>
      <w:pPr>
        <w:keepNext w:val="0"/>
        <w:keepLines w:val="0"/>
        <w:pageBreakBefore w:val="0"/>
        <w:widowControl w:val="0"/>
        <w:kinsoku/>
        <w:wordWrap/>
        <w:overflowPunct/>
        <w:topLinePunct w:val="0"/>
        <w:autoSpaceDE/>
        <w:autoSpaceDN/>
        <w:bidi w:val="0"/>
        <w:adjustRightInd/>
        <w:snapToGrid w:val="0"/>
        <w:spacing w:afterLines="0" w:line="276" w:lineRule="auto"/>
        <w:jc w:val="both"/>
        <w:textAlignment w:val="auto"/>
        <w:outlineLvl w:val="0"/>
        <w:rPr>
          <w:rFonts w:hint="eastAsia" w:eastAsia="方正黑体_GBK"/>
          <w:b w:val="0"/>
          <w:bCs/>
          <w:sz w:val="32"/>
          <w:szCs w:val="32"/>
          <w:lang w:val="en-US" w:eastAsia="zh-CN"/>
        </w:rPr>
      </w:pPr>
    </w:p>
    <w:p>
      <w:pPr>
        <w:keepNext w:val="0"/>
        <w:keepLines w:val="0"/>
        <w:pageBreakBefore w:val="0"/>
        <w:widowControl w:val="0"/>
        <w:kinsoku/>
        <w:wordWrap/>
        <w:overflowPunct/>
        <w:topLinePunct w:val="0"/>
        <w:autoSpaceDE/>
        <w:autoSpaceDN/>
        <w:bidi w:val="0"/>
        <w:adjustRightInd/>
        <w:snapToGrid w:val="0"/>
        <w:spacing w:afterLines="0" w:line="276" w:lineRule="auto"/>
        <w:jc w:val="both"/>
        <w:textAlignment w:val="auto"/>
        <w:outlineLvl w:val="0"/>
        <w:rPr>
          <w:rFonts w:hint="eastAsia" w:eastAsia="方正黑体_GBK"/>
          <w:b w:val="0"/>
          <w:bCs/>
          <w:sz w:val="32"/>
          <w:szCs w:val="32"/>
          <w:lang w:val="en-US" w:eastAsia="zh-CN"/>
        </w:rPr>
      </w:pPr>
    </w:p>
    <w:p>
      <w:pPr>
        <w:keepNext w:val="0"/>
        <w:keepLines w:val="0"/>
        <w:pageBreakBefore w:val="0"/>
        <w:widowControl w:val="0"/>
        <w:kinsoku/>
        <w:wordWrap/>
        <w:overflowPunct/>
        <w:topLinePunct w:val="0"/>
        <w:autoSpaceDE/>
        <w:autoSpaceDN/>
        <w:bidi w:val="0"/>
        <w:adjustRightInd/>
        <w:snapToGrid w:val="0"/>
        <w:spacing w:afterLines="0" w:line="276" w:lineRule="auto"/>
        <w:jc w:val="both"/>
        <w:textAlignment w:val="auto"/>
        <w:outlineLvl w:val="0"/>
        <w:rPr>
          <w:rFonts w:hint="eastAsia" w:eastAsia="方正黑体_GBK"/>
          <w:b w:val="0"/>
          <w:bCs/>
          <w:sz w:val="32"/>
          <w:szCs w:val="32"/>
          <w:lang w:val="en-US" w:eastAsia="zh-CN"/>
        </w:rPr>
      </w:pPr>
    </w:p>
    <w:p>
      <w:pPr>
        <w:keepNext w:val="0"/>
        <w:keepLines w:val="0"/>
        <w:pageBreakBefore w:val="0"/>
        <w:widowControl w:val="0"/>
        <w:kinsoku/>
        <w:wordWrap/>
        <w:overflowPunct/>
        <w:topLinePunct w:val="0"/>
        <w:autoSpaceDE/>
        <w:autoSpaceDN/>
        <w:bidi w:val="0"/>
        <w:adjustRightInd/>
        <w:snapToGrid w:val="0"/>
        <w:spacing w:afterLines="0" w:line="276" w:lineRule="auto"/>
        <w:jc w:val="both"/>
        <w:textAlignment w:val="auto"/>
        <w:outlineLvl w:val="0"/>
        <w:rPr>
          <w:rFonts w:hint="eastAsia" w:eastAsia="方正黑体_GBK"/>
          <w:b w:val="0"/>
          <w:bCs/>
          <w:sz w:val="32"/>
          <w:szCs w:val="32"/>
          <w:lang w:val="en-US" w:eastAsia="zh-CN"/>
        </w:rPr>
      </w:pPr>
    </w:p>
    <w:p>
      <w:pPr>
        <w:keepNext w:val="0"/>
        <w:keepLines w:val="0"/>
        <w:pageBreakBefore w:val="0"/>
        <w:widowControl w:val="0"/>
        <w:kinsoku/>
        <w:wordWrap/>
        <w:overflowPunct/>
        <w:topLinePunct w:val="0"/>
        <w:autoSpaceDE/>
        <w:autoSpaceDN/>
        <w:bidi w:val="0"/>
        <w:adjustRightInd/>
        <w:snapToGrid w:val="0"/>
        <w:spacing w:afterLines="0" w:line="276" w:lineRule="auto"/>
        <w:jc w:val="both"/>
        <w:textAlignment w:val="auto"/>
        <w:outlineLvl w:val="0"/>
        <w:rPr>
          <w:rFonts w:hint="eastAsia" w:eastAsia="方正黑体_GBK"/>
          <w:b w:val="0"/>
          <w:bCs/>
          <w:sz w:val="32"/>
          <w:szCs w:val="32"/>
          <w:lang w:val="en-US" w:eastAsia="zh-CN"/>
        </w:rPr>
      </w:pPr>
    </w:p>
    <w:p>
      <w:pPr>
        <w:keepNext w:val="0"/>
        <w:keepLines w:val="0"/>
        <w:pageBreakBefore w:val="0"/>
        <w:widowControl w:val="0"/>
        <w:kinsoku/>
        <w:wordWrap/>
        <w:overflowPunct/>
        <w:topLinePunct w:val="0"/>
        <w:autoSpaceDE/>
        <w:autoSpaceDN/>
        <w:bidi w:val="0"/>
        <w:adjustRightInd/>
        <w:snapToGrid w:val="0"/>
        <w:spacing w:afterLines="0" w:line="276" w:lineRule="auto"/>
        <w:jc w:val="both"/>
        <w:textAlignment w:val="auto"/>
        <w:outlineLvl w:val="0"/>
        <w:rPr>
          <w:rFonts w:hint="eastAsia" w:eastAsia="方正黑体_GBK"/>
          <w:b w:val="0"/>
          <w:bCs/>
          <w:sz w:val="32"/>
          <w:szCs w:val="32"/>
          <w:lang w:val="en-US" w:eastAsia="zh-CN"/>
        </w:rPr>
      </w:pPr>
    </w:p>
    <w:p>
      <w:pPr>
        <w:keepNext w:val="0"/>
        <w:keepLines w:val="0"/>
        <w:pageBreakBefore w:val="0"/>
        <w:widowControl w:val="0"/>
        <w:kinsoku/>
        <w:wordWrap/>
        <w:overflowPunct/>
        <w:topLinePunct w:val="0"/>
        <w:autoSpaceDE/>
        <w:autoSpaceDN/>
        <w:bidi w:val="0"/>
        <w:adjustRightInd/>
        <w:snapToGrid w:val="0"/>
        <w:spacing w:afterLines="0" w:line="276" w:lineRule="auto"/>
        <w:jc w:val="both"/>
        <w:textAlignment w:val="auto"/>
        <w:outlineLvl w:val="0"/>
        <w:rPr>
          <w:rFonts w:hint="eastAsia" w:eastAsia="方正黑体_GBK"/>
          <w:b w:val="0"/>
          <w:bCs/>
          <w:sz w:val="32"/>
          <w:szCs w:val="32"/>
          <w:lang w:val="en-US" w:eastAsia="zh-CN"/>
        </w:rPr>
      </w:pPr>
    </w:p>
    <w:p>
      <w:pPr>
        <w:keepNext w:val="0"/>
        <w:keepLines w:val="0"/>
        <w:pageBreakBefore w:val="0"/>
        <w:widowControl w:val="0"/>
        <w:tabs>
          <w:tab w:val="left" w:pos="1349"/>
        </w:tabs>
        <w:kinsoku/>
        <w:wordWrap/>
        <w:overflowPunct/>
        <w:topLinePunct w:val="0"/>
        <w:autoSpaceDE/>
        <w:autoSpaceDN/>
        <w:bidi w:val="0"/>
        <w:adjustRightInd/>
        <w:snapToGrid w:val="0"/>
        <w:spacing w:afterLines="0" w:line="276" w:lineRule="auto"/>
        <w:jc w:val="both"/>
        <w:textAlignment w:val="auto"/>
        <w:outlineLvl w:val="0"/>
        <w:rPr>
          <w:rFonts w:hint="default" w:eastAsia="方正黑体_GBK"/>
          <w:b w:val="0"/>
          <w:bCs/>
          <w:sz w:val="32"/>
          <w:szCs w:val="32"/>
          <w:lang w:val="en" w:eastAsia="zh-CN"/>
        </w:rPr>
      </w:pPr>
      <w:r>
        <w:rPr>
          <w:rFonts w:hint="default" w:eastAsia="方正黑体_GBK"/>
          <w:b w:val="0"/>
          <w:bCs/>
          <w:sz w:val="32"/>
          <w:szCs w:val="32"/>
          <w:lang w:val="en" w:eastAsia="zh-CN"/>
        </w:rPr>
        <w:tab/>
      </w:r>
    </w:p>
    <w:p>
      <w:pPr>
        <w:keepNext w:val="0"/>
        <w:keepLines w:val="0"/>
        <w:pageBreakBefore w:val="0"/>
        <w:widowControl w:val="0"/>
        <w:kinsoku/>
        <w:wordWrap/>
        <w:overflowPunct/>
        <w:topLinePunct w:val="0"/>
        <w:autoSpaceDE/>
        <w:autoSpaceDN/>
        <w:bidi w:val="0"/>
        <w:adjustRightInd/>
        <w:snapToGrid w:val="0"/>
        <w:spacing w:afterLines="0" w:line="276" w:lineRule="auto"/>
        <w:jc w:val="both"/>
        <w:textAlignment w:val="auto"/>
        <w:outlineLvl w:val="0"/>
        <w:rPr>
          <w:rFonts w:hint="eastAsia" w:eastAsia="方正黑体_GBK"/>
          <w:b w:val="0"/>
          <w:bCs/>
          <w:sz w:val="32"/>
          <w:szCs w:val="32"/>
          <w:lang w:val="en-US" w:eastAsia="zh-CN"/>
        </w:rPr>
      </w:pPr>
    </w:p>
    <w:p>
      <w:pPr>
        <w:keepNext w:val="0"/>
        <w:keepLines w:val="0"/>
        <w:pageBreakBefore w:val="0"/>
        <w:widowControl w:val="0"/>
        <w:kinsoku/>
        <w:wordWrap/>
        <w:overflowPunct/>
        <w:topLinePunct w:val="0"/>
        <w:autoSpaceDE/>
        <w:autoSpaceDN/>
        <w:bidi w:val="0"/>
        <w:adjustRightInd/>
        <w:snapToGrid w:val="0"/>
        <w:spacing w:afterLines="0" w:line="276" w:lineRule="auto"/>
        <w:jc w:val="both"/>
        <w:textAlignment w:val="auto"/>
        <w:outlineLvl w:val="0"/>
        <w:rPr>
          <w:rFonts w:hint="eastAsia" w:eastAsia="方正黑体_GBK"/>
          <w:b w:val="0"/>
          <w:bCs/>
          <w:sz w:val="32"/>
          <w:szCs w:val="32"/>
          <w:lang w:val="en-US" w:eastAsia="zh-CN"/>
        </w:rPr>
      </w:pPr>
    </w:p>
    <w:p>
      <w:pPr>
        <w:keepNext w:val="0"/>
        <w:keepLines w:val="0"/>
        <w:pageBreakBefore w:val="0"/>
        <w:widowControl w:val="0"/>
        <w:kinsoku/>
        <w:wordWrap/>
        <w:overflowPunct/>
        <w:topLinePunct w:val="0"/>
        <w:autoSpaceDE/>
        <w:autoSpaceDN/>
        <w:bidi w:val="0"/>
        <w:adjustRightInd/>
        <w:snapToGrid w:val="0"/>
        <w:spacing w:afterLines="0" w:line="276" w:lineRule="auto"/>
        <w:jc w:val="both"/>
        <w:textAlignment w:val="auto"/>
        <w:outlineLvl w:val="0"/>
        <w:rPr>
          <w:rFonts w:hint="eastAsia" w:eastAsia="方正黑体_GBK"/>
          <w:b w:val="0"/>
          <w:bCs/>
          <w:sz w:val="32"/>
          <w:szCs w:val="32"/>
          <w:lang w:val="en-US" w:eastAsia="zh-CN"/>
        </w:rPr>
      </w:pPr>
    </w:p>
    <w:p>
      <w:pPr>
        <w:keepNext w:val="0"/>
        <w:keepLines w:val="0"/>
        <w:pageBreakBefore w:val="0"/>
        <w:widowControl w:val="0"/>
        <w:kinsoku/>
        <w:wordWrap/>
        <w:overflowPunct/>
        <w:topLinePunct w:val="0"/>
        <w:autoSpaceDE/>
        <w:autoSpaceDN/>
        <w:bidi w:val="0"/>
        <w:adjustRightInd/>
        <w:snapToGrid w:val="0"/>
        <w:spacing w:afterLines="0" w:line="276" w:lineRule="auto"/>
        <w:jc w:val="both"/>
        <w:textAlignment w:val="auto"/>
        <w:outlineLvl w:val="0"/>
        <w:rPr>
          <w:rFonts w:hint="eastAsia" w:eastAsia="方正黑体_GBK"/>
          <w:b w:val="0"/>
          <w:bCs/>
          <w:sz w:val="32"/>
          <w:szCs w:val="32"/>
          <w:lang w:val="en-US" w:eastAsia="zh-CN"/>
        </w:rPr>
      </w:pPr>
    </w:p>
    <w:p>
      <w:pPr>
        <w:keepNext w:val="0"/>
        <w:keepLines w:val="0"/>
        <w:pageBreakBefore w:val="0"/>
        <w:widowControl w:val="0"/>
        <w:kinsoku/>
        <w:wordWrap/>
        <w:overflowPunct/>
        <w:topLinePunct w:val="0"/>
        <w:autoSpaceDE/>
        <w:autoSpaceDN/>
        <w:bidi w:val="0"/>
        <w:adjustRightInd/>
        <w:snapToGrid w:val="0"/>
        <w:spacing w:afterLines="0" w:line="276" w:lineRule="auto"/>
        <w:jc w:val="both"/>
        <w:textAlignment w:val="auto"/>
        <w:outlineLvl w:val="0"/>
        <w:rPr>
          <w:rFonts w:hint="eastAsia" w:eastAsia="方正黑体_GBK"/>
          <w:b w:val="0"/>
          <w:bCs/>
          <w:sz w:val="32"/>
          <w:szCs w:val="32"/>
          <w:lang w:val="en-US" w:eastAsia="zh-CN"/>
        </w:rPr>
      </w:pPr>
    </w:p>
    <w:p>
      <w:pPr>
        <w:keepNext w:val="0"/>
        <w:keepLines w:val="0"/>
        <w:pageBreakBefore w:val="0"/>
        <w:widowControl w:val="0"/>
        <w:kinsoku/>
        <w:wordWrap/>
        <w:overflowPunct/>
        <w:topLinePunct w:val="0"/>
        <w:autoSpaceDE/>
        <w:autoSpaceDN/>
        <w:bidi w:val="0"/>
        <w:adjustRightInd/>
        <w:snapToGrid w:val="0"/>
        <w:spacing w:afterLines="0" w:line="276" w:lineRule="auto"/>
        <w:jc w:val="both"/>
        <w:textAlignment w:val="auto"/>
        <w:outlineLvl w:val="0"/>
        <w:rPr>
          <w:rFonts w:hint="eastAsia" w:eastAsia="方正黑体_GBK"/>
          <w:b w:val="0"/>
          <w:bCs/>
          <w:sz w:val="32"/>
          <w:szCs w:val="32"/>
          <w:lang w:val="en-US" w:eastAsia="zh-CN"/>
        </w:rPr>
      </w:pPr>
    </w:p>
    <w:p>
      <w:pPr>
        <w:keepNext w:val="0"/>
        <w:keepLines w:val="0"/>
        <w:pageBreakBefore w:val="0"/>
        <w:widowControl w:val="0"/>
        <w:kinsoku/>
        <w:wordWrap/>
        <w:overflowPunct/>
        <w:topLinePunct w:val="0"/>
        <w:autoSpaceDE/>
        <w:autoSpaceDN/>
        <w:bidi w:val="0"/>
        <w:adjustRightInd/>
        <w:snapToGrid w:val="0"/>
        <w:spacing w:afterLines="0" w:line="276" w:lineRule="auto"/>
        <w:jc w:val="both"/>
        <w:textAlignment w:val="auto"/>
        <w:outlineLvl w:val="0"/>
        <w:rPr>
          <w:rFonts w:hint="eastAsia" w:eastAsia="方正黑体_GBK"/>
          <w:b w:val="0"/>
          <w:bCs/>
          <w:sz w:val="32"/>
          <w:szCs w:val="32"/>
          <w:lang w:val="en-US" w:eastAsia="zh-CN"/>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val="0"/>
        <w:spacing w:beforeLines="0" w:afterLines="0" w:line="276" w:lineRule="auto"/>
        <w:ind w:firstLine="320" w:firstLineChars="100"/>
        <w:jc w:val="left"/>
        <w:textAlignment w:val="auto"/>
        <w:outlineLvl w:val="9"/>
        <w:rPr>
          <w:rFonts w:hint="eastAsia" w:eastAsia="方正黑体_GBK"/>
          <w:b w:val="0"/>
          <w:bCs/>
          <w:sz w:val="32"/>
          <w:szCs w:val="32"/>
        </w:rPr>
      </w:pPr>
    </w:p>
    <w:sectPr>
      <w:pgSz w:w="11906" w:h="16838"/>
      <w:pgMar w:top="2098" w:right="1474" w:bottom="1984" w:left="1587" w:header="720" w:footer="1474" w:gutter="0"/>
      <w:pgNumType w:fmt="numberInDash"/>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方正楷体_GBK">
    <w:panose1 w:val="03000509000000000000"/>
    <w:charset w:val="86"/>
    <w:family w:val="script"/>
    <w:pitch w:val="default"/>
    <w:sig w:usb0="00000001" w:usb1="080E0000" w:usb2="00000000" w:usb3="00000000" w:csb0="00040000" w:csb1="00000000"/>
  </w:font>
  <w:font w:name="Cambria">
    <w:altName w:val="FreeSerif"/>
    <w:panose1 w:val="02040503050406030204"/>
    <w:charset w:val="00"/>
    <w:family w:val="roman"/>
    <w:pitch w:val="default"/>
    <w:sig w:usb0="00000000" w:usb1="00000000" w:usb2="00000000" w:usb3="00000000" w:csb0="2000019F" w:csb1="00000000"/>
  </w:font>
  <w:font w:name="方正黑体_GBK">
    <w:panose1 w:val="03000509000000000000"/>
    <w:charset w:val="86"/>
    <w:family w:val="script"/>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_GBK">
    <w:panose1 w:val="03000509000000000000"/>
    <w:charset w:val="86"/>
    <w:family w:val="script"/>
    <w:pitch w:val="default"/>
    <w:sig w:usb0="00000001" w:usb1="080E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方正书宋_GBK">
    <w:panose1 w:val="02000000000000000000"/>
    <w:charset w:val="86"/>
    <w:family w:val="auto"/>
    <w:pitch w:val="default"/>
    <w:sig w:usb0="00000001" w:usb1="08000000" w:usb2="00000000" w:usb3="00000000" w:csb0="00040000" w:csb1="00000000"/>
  </w:font>
  <w:font w:name="FreeSerif">
    <w:panose1 w:val="02020603050405020304"/>
    <w:charset w:val="00"/>
    <w:family w:val="auto"/>
    <w:pitch w:val="default"/>
    <w:sig w:usb0="E59FAFFF" w:usb1="C200FDFF" w:usb2="43501B29" w:usb3="04000043" w:csb0="600101FF" w:csb1="FFFF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both"/>
    </w:pPr>
    <w:r>
      <w:rPr>
        <w:sz w:val="18"/>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pStyle w:val="13"/>
                            <w:jc w:val="center"/>
                            <w:rPr>
                              <w:rFonts w:hint="eastAsia" w:ascii="仿宋" w:hAnsi="仿宋" w:eastAsia="仿宋" w:cs="仿宋"/>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- 1 -</w:t>
                          </w:r>
                          <w:r>
                            <w:rPr>
                              <w:rFonts w:hint="eastAsia" w:ascii="仿宋" w:hAnsi="仿宋" w:eastAsia="仿宋" w:cs="仿宋"/>
                              <w:sz w:val="28"/>
                              <w:szCs w:val="28"/>
                            </w:rPr>
                            <w:fldChar w:fldCharType="end"/>
                          </w:r>
                        </w:p>
                      </w:txbxContent>
                    </wps:txbx>
                    <wps:bodyPr vert="horz" wrap="none" lIns="0" tIns="0" rIns="0" bIns="0" anchor="t" anchorCtr="false" upright="false">
                      <a:spAutoFit/>
                    </wps:bodyPr>
                  </wps:wsp>
                </a:graphicData>
              </a:graphic>
            </wp:anchor>
          </w:drawing>
        </mc:Choice>
        <mc:Fallback>
          <w:pict>
            <v:shape id="文本框 4"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FgAAAGRycy9QSwECFAAUAAAACACHTuJAzql5uc8AAAAFAQAADwAAAAAAAAABACAA&#10;AAA4AAAAZHJzL2Rvd25yZXYueG1sUEsBAhQAFAAAAAgAh07iQCz0FAnHAQAAewMAAA4AAAAAAAAA&#10;AQAgAAAANAEAAGRycy9lMm9Eb2MueG1sUEsFBgAAAAAGAAYAWQEAAG0FAAAAAA==&#10;">
              <v:fill on="f" focussize="0,0"/>
              <v:stroke on="f"/>
              <v:imagedata o:title=""/>
              <o:lock v:ext="edit" aspectratio="f"/>
              <v:textbox inset="0mm,0mm,0mm,0mm" style="mso-fit-shape-to-text:t;">
                <w:txbxContent>
                  <w:p>
                    <w:pPr>
                      <w:pStyle w:val="13"/>
                      <w:jc w:val="center"/>
                      <w:rPr>
                        <w:rFonts w:hint="eastAsia" w:ascii="仿宋" w:hAnsi="仿宋" w:eastAsia="仿宋" w:cs="仿宋"/>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- 1 -</w:t>
                    </w:r>
                    <w:r>
                      <w:rPr>
                        <w:rFonts w:hint="eastAsia" w:ascii="仿宋" w:hAnsi="仿宋" w:eastAsia="仿宋" w:cs="仿宋"/>
                        <w:sz w:val="28"/>
                        <w:szCs w:val="2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false"/>
  <w:bordersDoNotSurroundFooter w:val="fals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true"/>
  <w:documentProtection w:edit="readOnly" w:enforcement="0"/>
  <w:defaultTabStop w:val="420"/>
  <w:hyphenationZone w:val="360"/>
  <w:drawingGridHorizontalSpacing w:val="210"/>
  <w:drawingGridVerticalSpacing w:val="156"/>
  <w:displayHorizontalDrawingGridEvery w:val="1"/>
  <w:displayVerticalDrawingGridEvery w:val="1"/>
  <w:noPunctuationKerning w:val="true"/>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23.211.169.62:80/seeyon/officeservlet"/>
  </w:docVars>
  <w:rsids>
    <w:rsidRoot w:val="00CE3AB1"/>
    <w:rsid w:val="00000382"/>
    <w:rsid w:val="000008F9"/>
    <w:rsid w:val="000009B0"/>
    <w:rsid w:val="00000B3E"/>
    <w:rsid w:val="00000C5A"/>
    <w:rsid w:val="00000E72"/>
    <w:rsid w:val="000011E0"/>
    <w:rsid w:val="000014EE"/>
    <w:rsid w:val="0000156D"/>
    <w:rsid w:val="00001979"/>
    <w:rsid w:val="00001F14"/>
    <w:rsid w:val="00001F82"/>
    <w:rsid w:val="000023BF"/>
    <w:rsid w:val="000029C4"/>
    <w:rsid w:val="00002C39"/>
    <w:rsid w:val="00002D2D"/>
    <w:rsid w:val="00003093"/>
    <w:rsid w:val="0000329F"/>
    <w:rsid w:val="0000379A"/>
    <w:rsid w:val="00003892"/>
    <w:rsid w:val="0000395E"/>
    <w:rsid w:val="00003E42"/>
    <w:rsid w:val="000041AA"/>
    <w:rsid w:val="00005817"/>
    <w:rsid w:val="00005853"/>
    <w:rsid w:val="00005F1A"/>
    <w:rsid w:val="00006311"/>
    <w:rsid w:val="00006C5A"/>
    <w:rsid w:val="00006EEB"/>
    <w:rsid w:val="00006EF8"/>
    <w:rsid w:val="000070F0"/>
    <w:rsid w:val="0000747F"/>
    <w:rsid w:val="00007B6B"/>
    <w:rsid w:val="00007C53"/>
    <w:rsid w:val="00007D49"/>
    <w:rsid w:val="00007FC6"/>
    <w:rsid w:val="00010376"/>
    <w:rsid w:val="000104D5"/>
    <w:rsid w:val="000109F5"/>
    <w:rsid w:val="00010FB6"/>
    <w:rsid w:val="00011249"/>
    <w:rsid w:val="00011654"/>
    <w:rsid w:val="000116DA"/>
    <w:rsid w:val="00011A7B"/>
    <w:rsid w:val="00011BA0"/>
    <w:rsid w:val="00012A53"/>
    <w:rsid w:val="00012DE9"/>
    <w:rsid w:val="00012EB1"/>
    <w:rsid w:val="00012FA0"/>
    <w:rsid w:val="00013335"/>
    <w:rsid w:val="000135E6"/>
    <w:rsid w:val="00013D5C"/>
    <w:rsid w:val="000144C0"/>
    <w:rsid w:val="000149CB"/>
    <w:rsid w:val="00014B91"/>
    <w:rsid w:val="00014F29"/>
    <w:rsid w:val="000150E6"/>
    <w:rsid w:val="00015351"/>
    <w:rsid w:val="000159E9"/>
    <w:rsid w:val="00015B21"/>
    <w:rsid w:val="00015E64"/>
    <w:rsid w:val="00016966"/>
    <w:rsid w:val="00016E79"/>
    <w:rsid w:val="00016F91"/>
    <w:rsid w:val="00017121"/>
    <w:rsid w:val="0001722B"/>
    <w:rsid w:val="000172B9"/>
    <w:rsid w:val="00017BD4"/>
    <w:rsid w:val="0002034A"/>
    <w:rsid w:val="00020B7D"/>
    <w:rsid w:val="000213CC"/>
    <w:rsid w:val="000214B8"/>
    <w:rsid w:val="0002186D"/>
    <w:rsid w:val="00022252"/>
    <w:rsid w:val="0002225C"/>
    <w:rsid w:val="00022521"/>
    <w:rsid w:val="00022F90"/>
    <w:rsid w:val="0002331B"/>
    <w:rsid w:val="000235FE"/>
    <w:rsid w:val="00023655"/>
    <w:rsid w:val="0002403C"/>
    <w:rsid w:val="0002417D"/>
    <w:rsid w:val="0002438B"/>
    <w:rsid w:val="0002441D"/>
    <w:rsid w:val="00024731"/>
    <w:rsid w:val="00024B01"/>
    <w:rsid w:val="00024B23"/>
    <w:rsid w:val="00025833"/>
    <w:rsid w:val="00025A3D"/>
    <w:rsid w:val="00025D91"/>
    <w:rsid w:val="00026134"/>
    <w:rsid w:val="000262F3"/>
    <w:rsid w:val="00026488"/>
    <w:rsid w:val="00026782"/>
    <w:rsid w:val="00026A6D"/>
    <w:rsid w:val="00026F0E"/>
    <w:rsid w:val="000274E9"/>
    <w:rsid w:val="000275A4"/>
    <w:rsid w:val="000277DC"/>
    <w:rsid w:val="00027800"/>
    <w:rsid w:val="00030168"/>
    <w:rsid w:val="000307AD"/>
    <w:rsid w:val="00030862"/>
    <w:rsid w:val="00031173"/>
    <w:rsid w:val="000311EF"/>
    <w:rsid w:val="00031738"/>
    <w:rsid w:val="00031BFE"/>
    <w:rsid w:val="00031C22"/>
    <w:rsid w:val="0003237A"/>
    <w:rsid w:val="00032599"/>
    <w:rsid w:val="00032613"/>
    <w:rsid w:val="000327DA"/>
    <w:rsid w:val="00032977"/>
    <w:rsid w:val="00032B25"/>
    <w:rsid w:val="000330C9"/>
    <w:rsid w:val="0003355A"/>
    <w:rsid w:val="00033BC7"/>
    <w:rsid w:val="00033D4D"/>
    <w:rsid w:val="00033E8C"/>
    <w:rsid w:val="000340CD"/>
    <w:rsid w:val="000340FB"/>
    <w:rsid w:val="0003412E"/>
    <w:rsid w:val="000341F3"/>
    <w:rsid w:val="00034556"/>
    <w:rsid w:val="00034BC7"/>
    <w:rsid w:val="00034C63"/>
    <w:rsid w:val="00034D40"/>
    <w:rsid w:val="00035DF8"/>
    <w:rsid w:val="00035E05"/>
    <w:rsid w:val="00035F28"/>
    <w:rsid w:val="00036365"/>
    <w:rsid w:val="00036545"/>
    <w:rsid w:val="000367E9"/>
    <w:rsid w:val="0003688C"/>
    <w:rsid w:val="00036955"/>
    <w:rsid w:val="00037023"/>
    <w:rsid w:val="00037476"/>
    <w:rsid w:val="00037CC7"/>
    <w:rsid w:val="0004032B"/>
    <w:rsid w:val="00040E24"/>
    <w:rsid w:val="00041018"/>
    <w:rsid w:val="000413D7"/>
    <w:rsid w:val="000414F8"/>
    <w:rsid w:val="000415C6"/>
    <w:rsid w:val="00041A72"/>
    <w:rsid w:val="00041B53"/>
    <w:rsid w:val="00041E75"/>
    <w:rsid w:val="00042387"/>
    <w:rsid w:val="000426CD"/>
    <w:rsid w:val="000430F9"/>
    <w:rsid w:val="0004373C"/>
    <w:rsid w:val="00043866"/>
    <w:rsid w:val="00043AB3"/>
    <w:rsid w:val="00043B91"/>
    <w:rsid w:val="00043C7C"/>
    <w:rsid w:val="00043C8A"/>
    <w:rsid w:val="00043E00"/>
    <w:rsid w:val="00043E23"/>
    <w:rsid w:val="00043F63"/>
    <w:rsid w:val="00044315"/>
    <w:rsid w:val="00044479"/>
    <w:rsid w:val="000446B7"/>
    <w:rsid w:val="00045369"/>
    <w:rsid w:val="0004592A"/>
    <w:rsid w:val="00045D5D"/>
    <w:rsid w:val="000460AE"/>
    <w:rsid w:val="00046C84"/>
    <w:rsid w:val="00047621"/>
    <w:rsid w:val="000476CE"/>
    <w:rsid w:val="000476FF"/>
    <w:rsid w:val="0004789C"/>
    <w:rsid w:val="000479E8"/>
    <w:rsid w:val="00047B85"/>
    <w:rsid w:val="00047CF0"/>
    <w:rsid w:val="0005031D"/>
    <w:rsid w:val="000505BC"/>
    <w:rsid w:val="00050E5A"/>
    <w:rsid w:val="000510B4"/>
    <w:rsid w:val="000517E7"/>
    <w:rsid w:val="00051913"/>
    <w:rsid w:val="000519EC"/>
    <w:rsid w:val="00051EA7"/>
    <w:rsid w:val="00053E97"/>
    <w:rsid w:val="000545CC"/>
    <w:rsid w:val="000545F9"/>
    <w:rsid w:val="00054D70"/>
    <w:rsid w:val="00054F03"/>
    <w:rsid w:val="00055119"/>
    <w:rsid w:val="00055189"/>
    <w:rsid w:val="00055746"/>
    <w:rsid w:val="00056630"/>
    <w:rsid w:val="00056C69"/>
    <w:rsid w:val="00056F10"/>
    <w:rsid w:val="0005710B"/>
    <w:rsid w:val="000572F6"/>
    <w:rsid w:val="000579CE"/>
    <w:rsid w:val="00057D8E"/>
    <w:rsid w:val="00057F7E"/>
    <w:rsid w:val="00060227"/>
    <w:rsid w:val="0006029D"/>
    <w:rsid w:val="000604B2"/>
    <w:rsid w:val="0006085E"/>
    <w:rsid w:val="00060B49"/>
    <w:rsid w:val="00060E1C"/>
    <w:rsid w:val="00060F9C"/>
    <w:rsid w:val="0006106C"/>
    <w:rsid w:val="00061459"/>
    <w:rsid w:val="00062B4B"/>
    <w:rsid w:val="00063257"/>
    <w:rsid w:val="00063AD5"/>
    <w:rsid w:val="00063E9B"/>
    <w:rsid w:val="0006465B"/>
    <w:rsid w:val="00064C87"/>
    <w:rsid w:val="00065403"/>
    <w:rsid w:val="00065D72"/>
    <w:rsid w:val="00065EDA"/>
    <w:rsid w:val="000660AB"/>
    <w:rsid w:val="00066186"/>
    <w:rsid w:val="00066D40"/>
    <w:rsid w:val="00067F0D"/>
    <w:rsid w:val="000701AF"/>
    <w:rsid w:val="00070327"/>
    <w:rsid w:val="00070408"/>
    <w:rsid w:val="000704A7"/>
    <w:rsid w:val="00070871"/>
    <w:rsid w:val="000713E8"/>
    <w:rsid w:val="000714DF"/>
    <w:rsid w:val="00071593"/>
    <w:rsid w:val="00071E64"/>
    <w:rsid w:val="00072042"/>
    <w:rsid w:val="000725A7"/>
    <w:rsid w:val="000729F4"/>
    <w:rsid w:val="00072B42"/>
    <w:rsid w:val="00072D6A"/>
    <w:rsid w:val="00072E02"/>
    <w:rsid w:val="0007321A"/>
    <w:rsid w:val="00073CB6"/>
    <w:rsid w:val="00073F12"/>
    <w:rsid w:val="00074044"/>
    <w:rsid w:val="0007406D"/>
    <w:rsid w:val="00074171"/>
    <w:rsid w:val="00074185"/>
    <w:rsid w:val="000741F3"/>
    <w:rsid w:val="0007449C"/>
    <w:rsid w:val="000749FB"/>
    <w:rsid w:val="00074FA4"/>
    <w:rsid w:val="0007505A"/>
    <w:rsid w:val="00075232"/>
    <w:rsid w:val="0007578E"/>
    <w:rsid w:val="000757AB"/>
    <w:rsid w:val="00075F30"/>
    <w:rsid w:val="000761B1"/>
    <w:rsid w:val="000761D7"/>
    <w:rsid w:val="000761F2"/>
    <w:rsid w:val="0007656E"/>
    <w:rsid w:val="000767F3"/>
    <w:rsid w:val="0007710E"/>
    <w:rsid w:val="0007752B"/>
    <w:rsid w:val="00077795"/>
    <w:rsid w:val="00077C8C"/>
    <w:rsid w:val="00077CA4"/>
    <w:rsid w:val="000808A7"/>
    <w:rsid w:val="000809EC"/>
    <w:rsid w:val="00080D85"/>
    <w:rsid w:val="00080F3B"/>
    <w:rsid w:val="00080F47"/>
    <w:rsid w:val="000810B9"/>
    <w:rsid w:val="000816B7"/>
    <w:rsid w:val="00081835"/>
    <w:rsid w:val="00081A05"/>
    <w:rsid w:val="00081A66"/>
    <w:rsid w:val="00082002"/>
    <w:rsid w:val="00082241"/>
    <w:rsid w:val="000823DC"/>
    <w:rsid w:val="000825CF"/>
    <w:rsid w:val="00082F47"/>
    <w:rsid w:val="00083355"/>
    <w:rsid w:val="00083366"/>
    <w:rsid w:val="0008361F"/>
    <w:rsid w:val="000838E2"/>
    <w:rsid w:val="00083C02"/>
    <w:rsid w:val="00083FEC"/>
    <w:rsid w:val="000845E2"/>
    <w:rsid w:val="000846CC"/>
    <w:rsid w:val="00084781"/>
    <w:rsid w:val="000849B7"/>
    <w:rsid w:val="00084B9F"/>
    <w:rsid w:val="00084BE8"/>
    <w:rsid w:val="0008504D"/>
    <w:rsid w:val="0008564C"/>
    <w:rsid w:val="000858A8"/>
    <w:rsid w:val="00085A15"/>
    <w:rsid w:val="0008626F"/>
    <w:rsid w:val="000901C2"/>
    <w:rsid w:val="000909F0"/>
    <w:rsid w:val="00091529"/>
    <w:rsid w:val="0009160D"/>
    <w:rsid w:val="00091BAF"/>
    <w:rsid w:val="00092213"/>
    <w:rsid w:val="000931A7"/>
    <w:rsid w:val="0009342B"/>
    <w:rsid w:val="000936F1"/>
    <w:rsid w:val="0009374D"/>
    <w:rsid w:val="00093B49"/>
    <w:rsid w:val="00093CF2"/>
    <w:rsid w:val="00093D01"/>
    <w:rsid w:val="00094603"/>
    <w:rsid w:val="000947F9"/>
    <w:rsid w:val="000954DD"/>
    <w:rsid w:val="00095BA6"/>
    <w:rsid w:val="0009613B"/>
    <w:rsid w:val="00096427"/>
    <w:rsid w:val="0009670D"/>
    <w:rsid w:val="00096AB3"/>
    <w:rsid w:val="00096EA3"/>
    <w:rsid w:val="000978BD"/>
    <w:rsid w:val="00097FE3"/>
    <w:rsid w:val="000A0031"/>
    <w:rsid w:val="000A013B"/>
    <w:rsid w:val="000A078C"/>
    <w:rsid w:val="000A0F57"/>
    <w:rsid w:val="000A15DE"/>
    <w:rsid w:val="000A1972"/>
    <w:rsid w:val="000A1BA9"/>
    <w:rsid w:val="000A1FE7"/>
    <w:rsid w:val="000A23D5"/>
    <w:rsid w:val="000A31A4"/>
    <w:rsid w:val="000A32D2"/>
    <w:rsid w:val="000A3550"/>
    <w:rsid w:val="000A3902"/>
    <w:rsid w:val="000A3D9C"/>
    <w:rsid w:val="000A3F9A"/>
    <w:rsid w:val="000A4164"/>
    <w:rsid w:val="000A479D"/>
    <w:rsid w:val="000A48DC"/>
    <w:rsid w:val="000A49F7"/>
    <w:rsid w:val="000A4C4A"/>
    <w:rsid w:val="000A4F20"/>
    <w:rsid w:val="000A53B7"/>
    <w:rsid w:val="000A5E9C"/>
    <w:rsid w:val="000A61FF"/>
    <w:rsid w:val="000A64B4"/>
    <w:rsid w:val="000A675A"/>
    <w:rsid w:val="000A6AFE"/>
    <w:rsid w:val="000A71C7"/>
    <w:rsid w:val="000A7420"/>
    <w:rsid w:val="000A79DD"/>
    <w:rsid w:val="000A7A91"/>
    <w:rsid w:val="000A7C52"/>
    <w:rsid w:val="000A7D3E"/>
    <w:rsid w:val="000B07C0"/>
    <w:rsid w:val="000B0966"/>
    <w:rsid w:val="000B1435"/>
    <w:rsid w:val="000B1539"/>
    <w:rsid w:val="000B1867"/>
    <w:rsid w:val="000B1C5E"/>
    <w:rsid w:val="000B1CE9"/>
    <w:rsid w:val="000B20C5"/>
    <w:rsid w:val="000B23C2"/>
    <w:rsid w:val="000B25EF"/>
    <w:rsid w:val="000B2968"/>
    <w:rsid w:val="000B2C76"/>
    <w:rsid w:val="000B3044"/>
    <w:rsid w:val="000B30F9"/>
    <w:rsid w:val="000B38F8"/>
    <w:rsid w:val="000B3D07"/>
    <w:rsid w:val="000B4060"/>
    <w:rsid w:val="000B43B8"/>
    <w:rsid w:val="000B46D5"/>
    <w:rsid w:val="000B4781"/>
    <w:rsid w:val="000B47C9"/>
    <w:rsid w:val="000B47EB"/>
    <w:rsid w:val="000B49F9"/>
    <w:rsid w:val="000B4C64"/>
    <w:rsid w:val="000B5351"/>
    <w:rsid w:val="000B5635"/>
    <w:rsid w:val="000B59E0"/>
    <w:rsid w:val="000B5E8D"/>
    <w:rsid w:val="000B5FDB"/>
    <w:rsid w:val="000B6003"/>
    <w:rsid w:val="000B6334"/>
    <w:rsid w:val="000B6865"/>
    <w:rsid w:val="000B6C65"/>
    <w:rsid w:val="000B7150"/>
    <w:rsid w:val="000B7683"/>
    <w:rsid w:val="000B7955"/>
    <w:rsid w:val="000B7A8C"/>
    <w:rsid w:val="000B7B3D"/>
    <w:rsid w:val="000C0771"/>
    <w:rsid w:val="000C0C19"/>
    <w:rsid w:val="000C0DA9"/>
    <w:rsid w:val="000C18A8"/>
    <w:rsid w:val="000C2038"/>
    <w:rsid w:val="000C2609"/>
    <w:rsid w:val="000C2B94"/>
    <w:rsid w:val="000C3C38"/>
    <w:rsid w:val="000C3C95"/>
    <w:rsid w:val="000C3DCA"/>
    <w:rsid w:val="000C4215"/>
    <w:rsid w:val="000C476E"/>
    <w:rsid w:val="000C4C20"/>
    <w:rsid w:val="000C50D1"/>
    <w:rsid w:val="000C5484"/>
    <w:rsid w:val="000C593A"/>
    <w:rsid w:val="000C622A"/>
    <w:rsid w:val="000C6AF8"/>
    <w:rsid w:val="000C6B0C"/>
    <w:rsid w:val="000C6B21"/>
    <w:rsid w:val="000C6DC7"/>
    <w:rsid w:val="000C702E"/>
    <w:rsid w:val="000C7118"/>
    <w:rsid w:val="000C75AA"/>
    <w:rsid w:val="000C7A92"/>
    <w:rsid w:val="000C7BE6"/>
    <w:rsid w:val="000C7C09"/>
    <w:rsid w:val="000C7DF8"/>
    <w:rsid w:val="000D0C90"/>
    <w:rsid w:val="000D119A"/>
    <w:rsid w:val="000D162F"/>
    <w:rsid w:val="000D194A"/>
    <w:rsid w:val="000D1DA7"/>
    <w:rsid w:val="000D2544"/>
    <w:rsid w:val="000D2B51"/>
    <w:rsid w:val="000D2C2B"/>
    <w:rsid w:val="000D304A"/>
    <w:rsid w:val="000D3284"/>
    <w:rsid w:val="000D3F02"/>
    <w:rsid w:val="000D4018"/>
    <w:rsid w:val="000D40D6"/>
    <w:rsid w:val="000D4625"/>
    <w:rsid w:val="000D4E6D"/>
    <w:rsid w:val="000D4ED7"/>
    <w:rsid w:val="000D52F0"/>
    <w:rsid w:val="000D5654"/>
    <w:rsid w:val="000D5A2D"/>
    <w:rsid w:val="000D5C31"/>
    <w:rsid w:val="000D5E17"/>
    <w:rsid w:val="000D6201"/>
    <w:rsid w:val="000D6290"/>
    <w:rsid w:val="000D6346"/>
    <w:rsid w:val="000D63AE"/>
    <w:rsid w:val="000D653A"/>
    <w:rsid w:val="000D6F01"/>
    <w:rsid w:val="000D70C0"/>
    <w:rsid w:val="000D794A"/>
    <w:rsid w:val="000E0998"/>
    <w:rsid w:val="000E0AA2"/>
    <w:rsid w:val="000E0E10"/>
    <w:rsid w:val="000E0E39"/>
    <w:rsid w:val="000E13C2"/>
    <w:rsid w:val="000E159E"/>
    <w:rsid w:val="000E18CA"/>
    <w:rsid w:val="000E1C1C"/>
    <w:rsid w:val="000E2557"/>
    <w:rsid w:val="000E2E8F"/>
    <w:rsid w:val="000E3240"/>
    <w:rsid w:val="000E3696"/>
    <w:rsid w:val="000E43A4"/>
    <w:rsid w:val="000E4434"/>
    <w:rsid w:val="000E4C3E"/>
    <w:rsid w:val="000E4E00"/>
    <w:rsid w:val="000E5323"/>
    <w:rsid w:val="000E534A"/>
    <w:rsid w:val="000E55E0"/>
    <w:rsid w:val="000E55E9"/>
    <w:rsid w:val="000E5795"/>
    <w:rsid w:val="000E5EEA"/>
    <w:rsid w:val="000E632F"/>
    <w:rsid w:val="000E63D6"/>
    <w:rsid w:val="000E69D7"/>
    <w:rsid w:val="000E6B9F"/>
    <w:rsid w:val="000E7053"/>
    <w:rsid w:val="000E76FC"/>
    <w:rsid w:val="000E78A4"/>
    <w:rsid w:val="000E7A74"/>
    <w:rsid w:val="000F045B"/>
    <w:rsid w:val="000F0F3B"/>
    <w:rsid w:val="000F15CC"/>
    <w:rsid w:val="000F1B27"/>
    <w:rsid w:val="000F1FE4"/>
    <w:rsid w:val="000F28E4"/>
    <w:rsid w:val="000F2923"/>
    <w:rsid w:val="000F2B8B"/>
    <w:rsid w:val="000F2FA5"/>
    <w:rsid w:val="000F351F"/>
    <w:rsid w:val="000F36B7"/>
    <w:rsid w:val="000F3771"/>
    <w:rsid w:val="000F3A53"/>
    <w:rsid w:val="000F4538"/>
    <w:rsid w:val="000F4A0A"/>
    <w:rsid w:val="000F4FB8"/>
    <w:rsid w:val="000F5194"/>
    <w:rsid w:val="000F51C7"/>
    <w:rsid w:val="000F54A2"/>
    <w:rsid w:val="000F56B9"/>
    <w:rsid w:val="000F62ED"/>
    <w:rsid w:val="000F63DA"/>
    <w:rsid w:val="000F6805"/>
    <w:rsid w:val="000F6B1E"/>
    <w:rsid w:val="000F6BD7"/>
    <w:rsid w:val="000F6C9E"/>
    <w:rsid w:val="000F71BA"/>
    <w:rsid w:val="000F7268"/>
    <w:rsid w:val="000F7618"/>
    <w:rsid w:val="000F7DDC"/>
    <w:rsid w:val="00100499"/>
    <w:rsid w:val="00100D53"/>
    <w:rsid w:val="001011AA"/>
    <w:rsid w:val="00101EA8"/>
    <w:rsid w:val="00102075"/>
    <w:rsid w:val="00102800"/>
    <w:rsid w:val="001028A7"/>
    <w:rsid w:val="001028C0"/>
    <w:rsid w:val="001028D0"/>
    <w:rsid w:val="00102D40"/>
    <w:rsid w:val="00102FD0"/>
    <w:rsid w:val="0010309C"/>
    <w:rsid w:val="001031B2"/>
    <w:rsid w:val="00103370"/>
    <w:rsid w:val="00103FC8"/>
    <w:rsid w:val="00104000"/>
    <w:rsid w:val="00104E20"/>
    <w:rsid w:val="0010515D"/>
    <w:rsid w:val="00105DAA"/>
    <w:rsid w:val="00105FF6"/>
    <w:rsid w:val="00106917"/>
    <w:rsid w:val="00107190"/>
    <w:rsid w:val="00107278"/>
    <w:rsid w:val="0010738B"/>
    <w:rsid w:val="00107531"/>
    <w:rsid w:val="001076C3"/>
    <w:rsid w:val="001077A8"/>
    <w:rsid w:val="00107A4B"/>
    <w:rsid w:val="00107EDA"/>
    <w:rsid w:val="00107F47"/>
    <w:rsid w:val="00110493"/>
    <w:rsid w:val="001104B0"/>
    <w:rsid w:val="00110917"/>
    <w:rsid w:val="0011092C"/>
    <w:rsid w:val="001109C5"/>
    <w:rsid w:val="00110FED"/>
    <w:rsid w:val="00112708"/>
    <w:rsid w:val="0011288A"/>
    <w:rsid w:val="001129A5"/>
    <w:rsid w:val="00112AC6"/>
    <w:rsid w:val="00112B85"/>
    <w:rsid w:val="00112F5C"/>
    <w:rsid w:val="001130DA"/>
    <w:rsid w:val="00113397"/>
    <w:rsid w:val="00113F2D"/>
    <w:rsid w:val="00114589"/>
    <w:rsid w:val="00114D2B"/>
    <w:rsid w:val="00114E99"/>
    <w:rsid w:val="00114F7D"/>
    <w:rsid w:val="00115048"/>
    <w:rsid w:val="0011527B"/>
    <w:rsid w:val="00115A62"/>
    <w:rsid w:val="001164D1"/>
    <w:rsid w:val="0011669C"/>
    <w:rsid w:val="00117081"/>
    <w:rsid w:val="00117429"/>
    <w:rsid w:val="00120013"/>
    <w:rsid w:val="001200FE"/>
    <w:rsid w:val="001201A4"/>
    <w:rsid w:val="001201B2"/>
    <w:rsid w:val="001201BF"/>
    <w:rsid w:val="00120B20"/>
    <w:rsid w:val="0012229D"/>
    <w:rsid w:val="00122606"/>
    <w:rsid w:val="00122690"/>
    <w:rsid w:val="00122F31"/>
    <w:rsid w:val="001230F3"/>
    <w:rsid w:val="001230FC"/>
    <w:rsid w:val="001231A1"/>
    <w:rsid w:val="001232C6"/>
    <w:rsid w:val="0012394E"/>
    <w:rsid w:val="00123AEB"/>
    <w:rsid w:val="00123DEC"/>
    <w:rsid w:val="00124877"/>
    <w:rsid w:val="00124B76"/>
    <w:rsid w:val="001254BD"/>
    <w:rsid w:val="0012557B"/>
    <w:rsid w:val="00125647"/>
    <w:rsid w:val="00125E3B"/>
    <w:rsid w:val="0012609C"/>
    <w:rsid w:val="00126103"/>
    <w:rsid w:val="001261A9"/>
    <w:rsid w:val="0012627E"/>
    <w:rsid w:val="00126520"/>
    <w:rsid w:val="001267CF"/>
    <w:rsid w:val="00126986"/>
    <w:rsid w:val="00126C73"/>
    <w:rsid w:val="00126D85"/>
    <w:rsid w:val="00126E36"/>
    <w:rsid w:val="00127983"/>
    <w:rsid w:val="00130780"/>
    <w:rsid w:val="00130834"/>
    <w:rsid w:val="001308EF"/>
    <w:rsid w:val="00130B04"/>
    <w:rsid w:val="001310FA"/>
    <w:rsid w:val="0013122C"/>
    <w:rsid w:val="00131426"/>
    <w:rsid w:val="00131614"/>
    <w:rsid w:val="001316DC"/>
    <w:rsid w:val="0013201D"/>
    <w:rsid w:val="001320E5"/>
    <w:rsid w:val="001327DC"/>
    <w:rsid w:val="001327F9"/>
    <w:rsid w:val="00132A20"/>
    <w:rsid w:val="00132C0D"/>
    <w:rsid w:val="0013344D"/>
    <w:rsid w:val="001339B7"/>
    <w:rsid w:val="00133C33"/>
    <w:rsid w:val="00133DB5"/>
    <w:rsid w:val="001348D4"/>
    <w:rsid w:val="00134C3A"/>
    <w:rsid w:val="001353FE"/>
    <w:rsid w:val="0013579C"/>
    <w:rsid w:val="00135A64"/>
    <w:rsid w:val="00135DE6"/>
    <w:rsid w:val="00136FB0"/>
    <w:rsid w:val="00137191"/>
    <w:rsid w:val="00137927"/>
    <w:rsid w:val="0014002A"/>
    <w:rsid w:val="00140220"/>
    <w:rsid w:val="001404E7"/>
    <w:rsid w:val="00140C8A"/>
    <w:rsid w:val="00140FBB"/>
    <w:rsid w:val="001411E4"/>
    <w:rsid w:val="00141DCE"/>
    <w:rsid w:val="001421A8"/>
    <w:rsid w:val="00142AA9"/>
    <w:rsid w:val="00142C41"/>
    <w:rsid w:val="00142FB7"/>
    <w:rsid w:val="00143390"/>
    <w:rsid w:val="001438FC"/>
    <w:rsid w:val="00143C48"/>
    <w:rsid w:val="00143E6B"/>
    <w:rsid w:val="001445F7"/>
    <w:rsid w:val="001446AE"/>
    <w:rsid w:val="001447B1"/>
    <w:rsid w:val="00144D1D"/>
    <w:rsid w:val="00145177"/>
    <w:rsid w:val="00145822"/>
    <w:rsid w:val="001459FE"/>
    <w:rsid w:val="00145D15"/>
    <w:rsid w:val="00145DF4"/>
    <w:rsid w:val="00145E1D"/>
    <w:rsid w:val="00145F70"/>
    <w:rsid w:val="0014667E"/>
    <w:rsid w:val="00146695"/>
    <w:rsid w:val="00146B6C"/>
    <w:rsid w:val="00150494"/>
    <w:rsid w:val="001508A5"/>
    <w:rsid w:val="001509A5"/>
    <w:rsid w:val="00150D29"/>
    <w:rsid w:val="001512DF"/>
    <w:rsid w:val="00151CFD"/>
    <w:rsid w:val="00152523"/>
    <w:rsid w:val="00152CA9"/>
    <w:rsid w:val="00152DFE"/>
    <w:rsid w:val="00153834"/>
    <w:rsid w:val="0015389A"/>
    <w:rsid w:val="00153A3D"/>
    <w:rsid w:val="00154756"/>
    <w:rsid w:val="00154AB3"/>
    <w:rsid w:val="00154BA1"/>
    <w:rsid w:val="00154D0D"/>
    <w:rsid w:val="00155416"/>
    <w:rsid w:val="001555C4"/>
    <w:rsid w:val="00156040"/>
    <w:rsid w:val="001564CE"/>
    <w:rsid w:val="0015694C"/>
    <w:rsid w:val="00156E15"/>
    <w:rsid w:val="00157E8D"/>
    <w:rsid w:val="0016045F"/>
    <w:rsid w:val="0016094F"/>
    <w:rsid w:val="00160E8A"/>
    <w:rsid w:val="00160F22"/>
    <w:rsid w:val="00160F7A"/>
    <w:rsid w:val="001613EF"/>
    <w:rsid w:val="0016140C"/>
    <w:rsid w:val="001615F2"/>
    <w:rsid w:val="00161D2A"/>
    <w:rsid w:val="00161DB6"/>
    <w:rsid w:val="00161F75"/>
    <w:rsid w:val="00161FF7"/>
    <w:rsid w:val="00162B32"/>
    <w:rsid w:val="00162C80"/>
    <w:rsid w:val="00162EA8"/>
    <w:rsid w:val="001644EB"/>
    <w:rsid w:val="00164585"/>
    <w:rsid w:val="001647FD"/>
    <w:rsid w:val="00164A41"/>
    <w:rsid w:val="00164C63"/>
    <w:rsid w:val="00164DD4"/>
    <w:rsid w:val="00164F2A"/>
    <w:rsid w:val="0016508B"/>
    <w:rsid w:val="00165097"/>
    <w:rsid w:val="0016514E"/>
    <w:rsid w:val="0016517D"/>
    <w:rsid w:val="00165181"/>
    <w:rsid w:val="00165CFB"/>
    <w:rsid w:val="0016610F"/>
    <w:rsid w:val="00166829"/>
    <w:rsid w:val="00166911"/>
    <w:rsid w:val="00166A6B"/>
    <w:rsid w:val="00166EAB"/>
    <w:rsid w:val="001671EB"/>
    <w:rsid w:val="00170182"/>
    <w:rsid w:val="001703BA"/>
    <w:rsid w:val="001707D4"/>
    <w:rsid w:val="00170D26"/>
    <w:rsid w:val="00171114"/>
    <w:rsid w:val="00171672"/>
    <w:rsid w:val="00171C65"/>
    <w:rsid w:val="00171CFD"/>
    <w:rsid w:val="00171FC6"/>
    <w:rsid w:val="001721AE"/>
    <w:rsid w:val="001723C0"/>
    <w:rsid w:val="001724C3"/>
    <w:rsid w:val="0017261A"/>
    <w:rsid w:val="00172D02"/>
    <w:rsid w:val="00172F45"/>
    <w:rsid w:val="00174BC1"/>
    <w:rsid w:val="00175200"/>
    <w:rsid w:val="00175B48"/>
    <w:rsid w:val="00175B4D"/>
    <w:rsid w:val="00175C23"/>
    <w:rsid w:val="00175FF0"/>
    <w:rsid w:val="0017677B"/>
    <w:rsid w:val="0017688E"/>
    <w:rsid w:val="00176CD5"/>
    <w:rsid w:val="00176EB8"/>
    <w:rsid w:val="00177577"/>
    <w:rsid w:val="00177735"/>
    <w:rsid w:val="0017781B"/>
    <w:rsid w:val="00177866"/>
    <w:rsid w:val="001779DF"/>
    <w:rsid w:val="00177F8F"/>
    <w:rsid w:val="00180725"/>
    <w:rsid w:val="00180B55"/>
    <w:rsid w:val="001810CF"/>
    <w:rsid w:val="00181320"/>
    <w:rsid w:val="001813AA"/>
    <w:rsid w:val="001814FA"/>
    <w:rsid w:val="001817EA"/>
    <w:rsid w:val="00181871"/>
    <w:rsid w:val="00181AB3"/>
    <w:rsid w:val="00181AEB"/>
    <w:rsid w:val="00182149"/>
    <w:rsid w:val="00182365"/>
    <w:rsid w:val="001824E9"/>
    <w:rsid w:val="001826E9"/>
    <w:rsid w:val="00182896"/>
    <w:rsid w:val="00183030"/>
    <w:rsid w:val="001833D6"/>
    <w:rsid w:val="0018367F"/>
    <w:rsid w:val="00183D2B"/>
    <w:rsid w:val="00183F19"/>
    <w:rsid w:val="00184082"/>
    <w:rsid w:val="00184541"/>
    <w:rsid w:val="00184D00"/>
    <w:rsid w:val="0018511F"/>
    <w:rsid w:val="0018692D"/>
    <w:rsid w:val="00186ADA"/>
    <w:rsid w:val="00186BDD"/>
    <w:rsid w:val="00187086"/>
    <w:rsid w:val="0018710E"/>
    <w:rsid w:val="00187A0D"/>
    <w:rsid w:val="00187D61"/>
    <w:rsid w:val="0019057E"/>
    <w:rsid w:val="001905B5"/>
    <w:rsid w:val="00190846"/>
    <w:rsid w:val="001908DB"/>
    <w:rsid w:val="00190910"/>
    <w:rsid w:val="00190B5C"/>
    <w:rsid w:val="001918DD"/>
    <w:rsid w:val="00192B92"/>
    <w:rsid w:val="00192BD7"/>
    <w:rsid w:val="0019314F"/>
    <w:rsid w:val="001932BD"/>
    <w:rsid w:val="001934C1"/>
    <w:rsid w:val="00194185"/>
    <w:rsid w:val="00194BA0"/>
    <w:rsid w:val="00194D88"/>
    <w:rsid w:val="001952DA"/>
    <w:rsid w:val="0019530E"/>
    <w:rsid w:val="00195BE5"/>
    <w:rsid w:val="0019622A"/>
    <w:rsid w:val="0019633C"/>
    <w:rsid w:val="00196FB7"/>
    <w:rsid w:val="00197386"/>
    <w:rsid w:val="00197446"/>
    <w:rsid w:val="00197596"/>
    <w:rsid w:val="00197FFA"/>
    <w:rsid w:val="001A0AAF"/>
    <w:rsid w:val="001A0CE8"/>
    <w:rsid w:val="001A10CA"/>
    <w:rsid w:val="001A12E7"/>
    <w:rsid w:val="001A1553"/>
    <w:rsid w:val="001A15BF"/>
    <w:rsid w:val="001A172E"/>
    <w:rsid w:val="001A1FBC"/>
    <w:rsid w:val="001A25A4"/>
    <w:rsid w:val="001A280B"/>
    <w:rsid w:val="001A2AAF"/>
    <w:rsid w:val="001A2ABB"/>
    <w:rsid w:val="001A30B9"/>
    <w:rsid w:val="001A3135"/>
    <w:rsid w:val="001A3292"/>
    <w:rsid w:val="001A32A9"/>
    <w:rsid w:val="001A35F7"/>
    <w:rsid w:val="001A362E"/>
    <w:rsid w:val="001A368C"/>
    <w:rsid w:val="001A3B69"/>
    <w:rsid w:val="001A3C53"/>
    <w:rsid w:val="001A3EB5"/>
    <w:rsid w:val="001A3EDE"/>
    <w:rsid w:val="001A4005"/>
    <w:rsid w:val="001A465C"/>
    <w:rsid w:val="001A4666"/>
    <w:rsid w:val="001A46C1"/>
    <w:rsid w:val="001A4A11"/>
    <w:rsid w:val="001A4B86"/>
    <w:rsid w:val="001A4CB6"/>
    <w:rsid w:val="001A4D9F"/>
    <w:rsid w:val="001A50EF"/>
    <w:rsid w:val="001A5299"/>
    <w:rsid w:val="001A5AD0"/>
    <w:rsid w:val="001A5C34"/>
    <w:rsid w:val="001A6048"/>
    <w:rsid w:val="001A638B"/>
    <w:rsid w:val="001A6A1F"/>
    <w:rsid w:val="001A6A73"/>
    <w:rsid w:val="001A6CCC"/>
    <w:rsid w:val="001A720B"/>
    <w:rsid w:val="001A7480"/>
    <w:rsid w:val="001A7BC4"/>
    <w:rsid w:val="001A7FC5"/>
    <w:rsid w:val="001B09B1"/>
    <w:rsid w:val="001B0CC1"/>
    <w:rsid w:val="001B12A1"/>
    <w:rsid w:val="001B1681"/>
    <w:rsid w:val="001B1820"/>
    <w:rsid w:val="001B232E"/>
    <w:rsid w:val="001B236F"/>
    <w:rsid w:val="001B2841"/>
    <w:rsid w:val="001B2941"/>
    <w:rsid w:val="001B2E0D"/>
    <w:rsid w:val="001B2E49"/>
    <w:rsid w:val="001B322A"/>
    <w:rsid w:val="001B3DB2"/>
    <w:rsid w:val="001B492C"/>
    <w:rsid w:val="001B4D18"/>
    <w:rsid w:val="001B5281"/>
    <w:rsid w:val="001B5A75"/>
    <w:rsid w:val="001B5FA3"/>
    <w:rsid w:val="001B696A"/>
    <w:rsid w:val="001B6981"/>
    <w:rsid w:val="001B6C2D"/>
    <w:rsid w:val="001B6D11"/>
    <w:rsid w:val="001B70FA"/>
    <w:rsid w:val="001B7303"/>
    <w:rsid w:val="001B7537"/>
    <w:rsid w:val="001B76B5"/>
    <w:rsid w:val="001B796D"/>
    <w:rsid w:val="001C0013"/>
    <w:rsid w:val="001C05B1"/>
    <w:rsid w:val="001C0972"/>
    <w:rsid w:val="001C0A80"/>
    <w:rsid w:val="001C0A9D"/>
    <w:rsid w:val="001C0AE4"/>
    <w:rsid w:val="001C0D36"/>
    <w:rsid w:val="001C185B"/>
    <w:rsid w:val="001C1A9E"/>
    <w:rsid w:val="001C1B47"/>
    <w:rsid w:val="001C2031"/>
    <w:rsid w:val="001C20CF"/>
    <w:rsid w:val="001C215C"/>
    <w:rsid w:val="001C21A1"/>
    <w:rsid w:val="001C2747"/>
    <w:rsid w:val="001C3203"/>
    <w:rsid w:val="001C3501"/>
    <w:rsid w:val="001C38C9"/>
    <w:rsid w:val="001C3AF4"/>
    <w:rsid w:val="001C4327"/>
    <w:rsid w:val="001C436D"/>
    <w:rsid w:val="001C43B5"/>
    <w:rsid w:val="001C4738"/>
    <w:rsid w:val="001C4B03"/>
    <w:rsid w:val="001C4CF9"/>
    <w:rsid w:val="001C4FB2"/>
    <w:rsid w:val="001C510F"/>
    <w:rsid w:val="001C52A3"/>
    <w:rsid w:val="001C586A"/>
    <w:rsid w:val="001C5A95"/>
    <w:rsid w:val="001C5E2F"/>
    <w:rsid w:val="001C6135"/>
    <w:rsid w:val="001C6440"/>
    <w:rsid w:val="001C6500"/>
    <w:rsid w:val="001C656E"/>
    <w:rsid w:val="001C6664"/>
    <w:rsid w:val="001C69ED"/>
    <w:rsid w:val="001C6AB3"/>
    <w:rsid w:val="001C6B16"/>
    <w:rsid w:val="001C6BD8"/>
    <w:rsid w:val="001C6D8F"/>
    <w:rsid w:val="001C71FC"/>
    <w:rsid w:val="001C724A"/>
    <w:rsid w:val="001C7C60"/>
    <w:rsid w:val="001C7E82"/>
    <w:rsid w:val="001C7F40"/>
    <w:rsid w:val="001D01DF"/>
    <w:rsid w:val="001D0258"/>
    <w:rsid w:val="001D047F"/>
    <w:rsid w:val="001D077E"/>
    <w:rsid w:val="001D0D8E"/>
    <w:rsid w:val="001D1245"/>
    <w:rsid w:val="001D1323"/>
    <w:rsid w:val="001D15C2"/>
    <w:rsid w:val="001D169E"/>
    <w:rsid w:val="001D1889"/>
    <w:rsid w:val="001D1C78"/>
    <w:rsid w:val="001D1D88"/>
    <w:rsid w:val="001D2E9E"/>
    <w:rsid w:val="001D3272"/>
    <w:rsid w:val="001D328C"/>
    <w:rsid w:val="001D33B8"/>
    <w:rsid w:val="001D3518"/>
    <w:rsid w:val="001D3F7B"/>
    <w:rsid w:val="001D48CA"/>
    <w:rsid w:val="001D49D6"/>
    <w:rsid w:val="001D4A9B"/>
    <w:rsid w:val="001D4D6E"/>
    <w:rsid w:val="001D4E6D"/>
    <w:rsid w:val="001D51FB"/>
    <w:rsid w:val="001D5260"/>
    <w:rsid w:val="001D52D3"/>
    <w:rsid w:val="001D52F2"/>
    <w:rsid w:val="001D5D2F"/>
    <w:rsid w:val="001D6275"/>
    <w:rsid w:val="001D63FC"/>
    <w:rsid w:val="001D6449"/>
    <w:rsid w:val="001D656B"/>
    <w:rsid w:val="001D6AED"/>
    <w:rsid w:val="001D6CA9"/>
    <w:rsid w:val="001D715D"/>
    <w:rsid w:val="001D735E"/>
    <w:rsid w:val="001D75CD"/>
    <w:rsid w:val="001D7777"/>
    <w:rsid w:val="001E03E7"/>
    <w:rsid w:val="001E054F"/>
    <w:rsid w:val="001E0841"/>
    <w:rsid w:val="001E1424"/>
    <w:rsid w:val="001E14DC"/>
    <w:rsid w:val="001E1567"/>
    <w:rsid w:val="001E17B5"/>
    <w:rsid w:val="001E1D79"/>
    <w:rsid w:val="001E2511"/>
    <w:rsid w:val="001E2585"/>
    <w:rsid w:val="001E2795"/>
    <w:rsid w:val="001E2BC5"/>
    <w:rsid w:val="001E2FB1"/>
    <w:rsid w:val="001E353E"/>
    <w:rsid w:val="001E3930"/>
    <w:rsid w:val="001E3DAE"/>
    <w:rsid w:val="001E3E01"/>
    <w:rsid w:val="001E46B8"/>
    <w:rsid w:val="001E47E7"/>
    <w:rsid w:val="001E49F7"/>
    <w:rsid w:val="001E4AE3"/>
    <w:rsid w:val="001E53E3"/>
    <w:rsid w:val="001E5CC3"/>
    <w:rsid w:val="001E5DD4"/>
    <w:rsid w:val="001E6849"/>
    <w:rsid w:val="001E76BF"/>
    <w:rsid w:val="001E76FD"/>
    <w:rsid w:val="001E7887"/>
    <w:rsid w:val="001E7B90"/>
    <w:rsid w:val="001E7EA3"/>
    <w:rsid w:val="001F0379"/>
    <w:rsid w:val="001F09EC"/>
    <w:rsid w:val="001F1E4A"/>
    <w:rsid w:val="001F23FA"/>
    <w:rsid w:val="001F24F9"/>
    <w:rsid w:val="001F282D"/>
    <w:rsid w:val="001F2ACD"/>
    <w:rsid w:val="001F2F17"/>
    <w:rsid w:val="001F345D"/>
    <w:rsid w:val="001F3545"/>
    <w:rsid w:val="001F38C2"/>
    <w:rsid w:val="001F4F72"/>
    <w:rsid w:val="001F5290"/>
    <w:rsid w:val="001F5A35"/>
    <w:rsid w:val="001F5DBA"/>
    <w:rsid w:val="001F6064"/>
    <w:rsid w:val="001F613F"/>
    <w:rsid w:val="001F6193"/>
    <w:rsid w:val="001F61B0"/>
    <w:rsid w:val="001F6409"/>
    <w:rsid w:val="001F6759"/>
    <w:rsid w:val="001F6809"/>
    <w:rsid w:val="001F6855"/>
    <w:rsid w:val="001F6DA4"/>
    <w:rsid w:val="001F76DB"/>
    <w:rsid w:val="001F7906"/>
    <w:rsid w:val="001F7BCB"/>
    <w:rsid w:val="00200EFD"/>
    <w:rsid w:val="002010BC"/>
    <w:rsid w:val="0020136C"/>
    <w:rsid w:val="002014DB"/>
    <w:rsid w:val="0020164B"/>
    <w:rsid w:val="00201B97"/>
    <w:rsid w:val="00202101"/>
    <w:rsid w:val="00202468"/>
    <w:rsid w:val="00202F6B"/>
    <w:rsid w:val="0020315C"/>
    <w:rsid w:val="002033A1"/>
    <w:rsid w:val="00203B29"/>
    <w:rsid w:val="00203F25"/>
    <w:rsid w:val="00203F30"/>
    <w:rsid w:val="002045EA"/>
    <w:rsid w:val="00204C4A"/>
    <w:rsid w:val="00204CC5"/>
    <w:rsid w:val="00204F12"/>
    <w:rsid w:val="00204F9C"/>
    <w:rsid w:val="00204FAA"/>
    <w:rsid w:val="0020510F"/>
    <w:rsid w:val="002052BE"/>
    <w:rsid w:val="0020598E"/>
    <w:rsid w:val="00205C65"/>
    <w:rsid w:val="00205CAC"/>
    <w:rsid w:val="00205F03"/>
    <w:rsid w:val="002062F6"/>
    <w:rsid w:val="002063CB"/>
    <w:rsid w:val="00206690"/>
    <w:rsid w:val="00206B66"/>
    <w:rsid w:val="002079A5"/>
    <w:rsid w:val="0021037F"/>
    <w:rsid w:val="002103C1"/>
    <w:rsid w:val="00210F17"/>
    <w:rsid w:val="002110A6"/>
    <w:rsid w:val="00211136"/>
    <w:rsid w:val="00211532"/>
    <w:rsid w:val="00211685"/>
    <w:rsid w:val="0021178D"/>
    <w:rsid w:val="00212B3E"/>
    <w:rsid w:val="00213285"/>
    <w:rsid w:val="00213452"/>
    <w:rsid w:val="002137BE"/>
    <w:rsid w:val="0021392F"/>
    <w:rsid w:val="00213AB9"/>
    <w:rsid w:val="00213C23"/>
    <w:rsid w:val="002140CF"/>
    <w:rsid w:val="002140D8"/>
    <w:rsid w:val="00214A94"/>
    <w:rsid w:val="00214CE8"/>
    <w:rsid w:val="00214FC3"/>
    <w:rsid w:val="00215143"/>
    <w:rsid w:val="002153A2"/>
    <w:rsid w:val="00215824"/>
    <w:rsid w:val="0021596B"/>
    <w:rsid w:val="00215D72"/>
    <w:rsid w:val="00216228"/>
    <w:rsid w:val="002166FA"/>
    <w:rsid w:val="00216C48"/>
    <w:rsid w:val="00216C56"/>
    <w:rsid w:val="00216CE4"/>
    <w:rsid w:val="0021707D"/>
    <w:rsid w:val="00217633"/>
    <w:rsid w:val="0021792D"/>
    <w:rsid w:val="00217935"/>
    <w:rsid w:val="002179F5"/>
    <w:rsid w:val="00220271"/>
    <w:rsid w:val="00220483"/>
    <w:rsid w:val="00220569"/>
    <w:rsid w:val="0022084D"/>
    <w:rsid w:val="00220BAD"/>
    <w:rsid w:val="00220DF3"/>
    <w:rsid w:val="00221038"/>
    <w:rsid w:val="00221401"/>
    <w:rsid w:val="0022163F"/>
    <w:rsid w:val="002218D4"/>
    <w:rsid w:val="00221C6A"/>
    <w:rsid w:val="002220F6"/>
    <w:rsid w:val="00222C63"/>
    <w:rsid w:val="00222E79"/>
    <w:rsid w:val="00222EB0"/>
    <w:rsid w:val="00223138"/>
    <w:rsid w:val="0022333E"/>
    <w:rsid w:val="002233FF"/>
    <w:rsid w:val="0022355D"/>
    <w:rsid w:val="0022358F"/>
    <w:rsid w:val="00223663"/>
    <w:rsid w:val="00224040"/>
    <w:rsid w:val="00224147"/>
    <w:rsid w:val="0022439F"/>
    <w:rsid w:val="0022462A"/>
    <w:rsid w:val="0022469F"/>
    <w:rsid w:val="00224775"/>
    <w:rsid w:val="002261FE"/>
    <w:rsid w:val="00226510"/>
    <w:rsid w:val="00226F12"/>
    <w:rsid w:val="002272EF"/>
    <w:rsid w:val="0022741D"/>
    <w:rsid w:val="00227B80"/>
    <w:rsid w:val="00227BEF"/>
    <w:rsid w:val="00227CD8"/>
    <w:rsid w:val="0023021F"/>
    <w:rsid w:val="0023028B"/>
    <w:rsid w:val="002306D8"/>
    <w:rsid w:val="002308A1"/>
    <w:rsid w:val="00230F1C"/>
    <w:rsid w:val="002316B7"/>
    <w:rsid w:val="00231864"/>
    <w:rsid w:val="00231D2C"/>
    <w:rsid w:val="00231D4D"/>
    <w:rsid w:val="00231FAE"/>
    <w:rsid w:val="0023349E"/>
    <w:rsid w:val="00233603"/>
    <w:rsid w:val="00233D69"/>
    <w:rsid w:val="00233E9C"/>
    <w:rsid w:val="0023410E"/>
    <w:rsid w:val="00234CF4"/>
    <w:rsid w:val="00234E07"/>
    <w:rsid w:val="00235010"/>
    <w:rsid w:val="00235766"/>
    <w:rsid w:val="002358F7"/>
    <w:rsid w:val="00236106"/>
    <w:rsid w:val="002365D3"/>
    <w:rsid w:val="0023673E"/>
    <w:rsid w:val="00236C20"/>
    <w:rsid w:val="00236D56"/>
    <w:rsid w:val="00236E5F"/>
    <w:rsid w:val="00236FF0"/>
    <w:rsid w:val="00237632"/>
    <w:rsid w:val="00237B87"/>
    <w:rsid w:val="00237DED"/>
    <w:rsid w:val="00237E75"/>
    <w:rsid w:val="00237EDA"/>
    <w:rsid w:val="00240458"/>
    <w:rsid w:val="00240C43"/>
    <w:rsid w:val="00240CD0"/>
    <w:rsid w:val="00240EBC"/>
    <w:rsid w:val="00240ED9"/>
    <w:rsid w:val="002412C8"/>
    <w:rsid w:val="002419BC"/>
    <w:rsid w:val="00241D4B"/>
    <w:rsid w:val="00242329"/>
    <w:rsid w:val="0024257C"/>
    <w:rsid w:val="002428FF"/>
    <w:rsid w:val="002429D7"/>
    <w:rsid w:val="00242AFD"/>
    <w:rsid w:val="00242D0C"/>
    <w:rsid w:val="00242F6B"/>
    <w:rsid w:val="002432EF"/>
    <w:rsid w:val="002436EA"/>
    <w:rsid w:val="0024393D"/>
    <w:rsid w:val="00244597"/>
    <w:rsid w:val="00244709"/>
    <w:rsid w:val="0024471B"/>
    <w:rsid w:val="00244CDB"/>
    <w:rsid w:val="00244DF4"/>
    <w:rsid w:val="00245352"/>
    <w:rsid w:val="00245F32"/>
    <w:rsid w:val="00246582"/>
    <w:rsid w:val="00246924"/>
    <w:rsid w:val="002469EF"/>
    <w:rsid w:val="00246AE8"/>
    <w:rsid w:val="0024728E"/>
    <w:rsid w:val="00247485"/>
    <w:rsid w:val="00247742"/>
    <w:rsid w:val="00247A98"/>
    <w:rsid w:val="00250119"/>
    <w:rsid w:val="00250124"/>
    <w:rsid w:val="00250126"/>
    <w:rsid w:val="0025020C"/>
    <w:rsid w:val="002505E7"/>
    <w:rsid w:val="002509CB"/>
    <w:rsid w:val="00250A4C"/>
    <w:rsid w:val="00250A54"/>
    <w:rsid w:val="00250F07"/>
    <w:rsid w:val="00250F40"/>
    <w:rsid w:val="00250F6F"/>
    <w:rsid w:val="00251358"/>
    <w:rsid w:val="00251959"/>
    <w:rsid w:val="00251E73"/>
    <w:rsid w:val="00251E8E"/>
    <w:rsid w:val="00251FCF"/>
    <w:rsid w:val="002522F1"/>
    <w:rsid w:val="002524B0"/>
    <w:rsid w:val="0025263A"/>
    <w:rsid w:val="00252B4C"/>
    <w:rsid w:val="00253129"/>
    <w:rsid w:val="0025354C"/>
    <w:rsid w:val="00253C0D"/>
    <w:rsid w:val="00253CE0"/>
    <w:rsid w:val="00253F0A"/>
    <w:rsid w:val="002541E0"/>
    <w:rsid w:val="0025474C"/>
    <w:rsid w:val="002547CB"/>
    <w:rsid w:val="002547D8"/>
    <w:rsid w:val="00254B74"/>
    <w:rsid w:val="00256678"/>
    <w:rsid w:val="0025669C"/>
    <w:rsid w:val="002569AA"/>
    <w:rsid w:val="00256D0E"/>
    <w:rsid w:val="00257070"/>
    <w:rsid w:val="00257388"/>
    <w:rsid w:val="002607EA"/>
    <w:rsid w:val="0026095A"/>
    <w:rsid w:val="00260AA9"/>
    <w:rsid w:val="002613B6"/>
    <w:rsid w:val="002613EC"/>
    <w:rsid w:val="0026165F"/>
    <w:rsid w:val="00261A95"/>
    <w:rsid w:val="00261AF6"/>
    <w:rsid w:val="00261CE9"/>
    <w:rsid w:val="00261F7F"/>
    <w:rsid w:val="0026223F"/>
    <w:rsid w:val="0026233C"/>
    <w:rsid w:val="002627F3"/>
    <w:rsid w:val="00262BDC"/>
    <w:rsid w:val="0026342D"/>
    <w:rsid w:val="00263D15"/>
    <w:rsid w:val="002640A8"/>
    <w:rsid w:val="0026414D"/>
    <w:rsid w:val="00264224"/>
    <w:rsid w:val="00264F27"/>
    <w:rsid w:val="0026546D"/>
    <w:rsid w:val="00265878"/>
    <w:rsid w:val="00265CAE"/>
    <w:rsid w:val="0026602A"/>
    <w:rsid w:val="00266871"/>
    <w:rsid w:val="002669DB"/>
    <w:rsid w:val="0026772D"/>
    <w:rsid w:val="00267743"/>
    <w:rsid w:val="002678DD"/>
    <w:rsid w:val="00267B54"/>
    <w:rsid w:val="00267CEE"/>
    <w:rsid w:val="00270AF8"/>
    <w:rsid w:val="00270DA0"/>
    <w:rsid w:val="00270E11"/>
    <w:rsid w:val="00271186"/>
    <w:rsid w:val="00271879"/>
    <w:rsid w:val="00271F09"/>
    <w:rsid w:val="00272621"/>
    <w:rsid w:val="00272731"/>
    <w:rsid w:val="002729E7"/>
    <w:rsid w:val="00272D8A"/>
    <w:rsid w:val="0027370B"/>
    <w:rsid w:val="002749AE"/>
    <w:rsid w:val="00274BC2"/>
    <w:rsid w:val="00274D1C"/>
    <w:rsid w:val="00274F03"/>
    <w:rsid w:val="00274F9B"/>
    <w:rsid w:val="00274FE7"/>
    <w:rsid w:val="00275090"/>
    <w:rsid w:val="00275675"/>
    <w:rsid w:val="00275708"/>
    <w:rsid w:val="00275D5C"/>
    <w:rsid w:val="002769BF"/>
    <w:rsid w:val="00276D30"/>
    <w:rsid w:val="00276E71"/>
    <w:rsid w:val="0027757F"/>
    <w:rsid w:val="002776C3"/>
    <w:rsid w:val="002778F3"/>
    <w:rsid w:val="002779D0"/>
    <w:rsid w:val="002779F7"/>
    <w:rsid w:val="002800D8"/>
    <w:rsid w:val="0028014B"/>
    <w:rsid w:val="002802D2"/>
    <w:rsid w:val="00280495"/>
    <w:rsid w:val="0028068D"/>
    <w:rsid w:val="00280CAF"/>
    <w:rsid w:val="0028116D"/>
    <w:rsid w:val="0028136C"/>
    <w:rsid w:val="00281382"/>
    <w:rsid w:val="00281524"/>
    <w:rsid w:val="0028199C"/>
    <w:rsid w:val="00281BCA"/>
    <w:rsid w:val="00281BDD"/>
    <w:rsid w:val="0028202E"/>
    <w:rsid w:val="002820DE"/>
    <w:rsid w:val="00282434"/>
    <w:rsid w:val="00282903"/>
    <w:rsid w:val="00282BA9"/>
    <w:rsid w:val="00282C7F"/>
    <w:rsid w:val="00282CB3"/>
    <w:rsid w:val="0028300F"/>
    <w:rsid w:val="002831F9"/>
    <w:rsid w:val="00283DFF"/>
    <w:rsid w:val="00284902"/>
    <w:rsid w:val="00284DBA"/>
    <w:rsid w:val="0028529E"/>
    <w:rsid w:val="002852EE"/>
    <w:rsid w:val="00285443"/>
    <w:rsid w:val="002861DB"/>
    <w:rsid w:val="0028636E"/>
    <w:rsid w:val="002866A7"/>
    <w:rsid w:val="00286F43"/>
    <w:rsid w:val="00287474"/>
    <w:rsid w:val="002877E4"/>
    <w:rsid w:val="002879D1"/>
    <w:rsid w:val="002903C0"/>
    <w:rsid w:val="002903EC"/>
    <w:rsid w:val="00290500"/>
    <w:rsid w:val="00290A49"/>
    <w:rsid w:val="00290D4E"/>
    <w:rsid w:val="00291806"/>
    <w:rsid w:val="00291B24"/>
    <w:rsid w:val="00291E31"/>
    <w:rsid w:val="0029229C"/>
    <w:rsid w:val="0029231F"/>
    <w:rsid w:val="0029295A"/>
    <w:rsid w:val="00292AD6"/>
    <w:rsid w:val="00292B05"/>
    <w:rsid w:val="00292F84"/>
    <w:rsid w:val="002934D1"/>
    <w:rsid w:val="0029353B"/>
    <w:rsid w:val="00293814"/>
    <w:rsid w:val="00293C90"/>
    <w:rsid w:val="00293EB8"/>
    <w:rsid w:val="00294130"/>
    <w:rsid w:val="002941D6"/>
    <w:rsid w:val="0029436C"/>
    <w:rsid w:val="00294488"/>
    <w:rsid w:val="00294F1E"/>
    <w:rsid w:val="00295286"/>
    <w:rsid w:val="002956DE"/>
    <w:rsid w:val="0029575D"/>
    <w:rsid w:val="002958A3"/>
    <w:rsid w:val="00295A00"/>
    <w:rsid w:val="00295F86"/>
    <w:rsid w:val="00295FDC"/>
    <w:rsid w:val="0029604E"/>
    <w:rsid w:val="00296146"/>
    <w:rsid w:val="00296361"/>
    <w:rsid w:val="002963BC"/>
    <w:rsid w:val="002964A5"/>
    <w:rsid w:val="002966F6"/>
    <w:rsid w:val="00296BC1"/>
    <w:rsid w:val="00296F38"/>
    <w:rsid w:val="0029750E"/>
    <w:rsid w:val="00297BF0"/>
    <w:rsid w:val="00297C8F"/>
    <w:rsid w:val="002A04DB"/>
    <w:rsid w:val="002A0547"/>
    <w:rsid w:val="002A05F8"/>
    <w:rsid w:val="002A09EF"/>
    <w:rsid w:val="002A0EE7"/>
    <w:rsid w:val="002A1377"/>
    <w:rsid w:val="002A14ED"/>
    <w:rsid w:val="002A1601"/>
    <w:rsid w:val="002A164D"/>
    <w:rsid w:val="002A18BD"/>
    <w:rsid w:val="002A1B34"/>
    <w:rsid w:val="002A1DED"/>
    <w:rsid w:val="002A1ED7"/>
    <w:rsid w:val="002A1F17"/>
    <w:rsid w:val="002A23E5"/>
    <w:rsid w:val="002A24E1"/>
    <w:rsid w:val="002A2859"/>
    <w:rsid w:val="002A29AC"/>
    <w:rsid w:val="002A2F1E"/>
    <w:rsid w:val="002A2F58"/>
    <w:rsid w:val="002A33EF"/>
    <w:rsid w:val="002A362E"/>
    <w:rsid w:val="002A44E6"/>
    <w:rsid w:val="002A452E"/>
    <w:rsid w:val="002A4A85"/>
    <w:rsid w:val="002A4CB4"/>
    <w:rsid w:val="002A4DB0"/>
    <w:rsid w:val="002A4E97"/>
    <w:rsid w:val="002A5D17"/>
    <w:rsid w:val="002A5D90"/>
    <w:rsid w:val="002A6256"/>
    <w:rsid w:val="002A645E"/>
    <w:rsid w:val="002A6609"/>
    <w:rsid w:val="002A69F6"/>
    <w:rsid w:val="002A6AAD"/>
    <w:rsid w:val="002A70E8"/>
    <w:rsid w:val="002A7176"/>
    <w:rsid w:val="002A74E1"/>
    <w:rsid w:val="002A7576"/>
    <w:rsid w:val="002A78A3"/>
    <w:rsid w:val="002A7907"/>
    <w:rsid w:val="002A7C9C"/>
    <w:rsid w:val="002A7ED6"/>
    <w:rsid w:val="002A7EEE"/>
    <w:rsid w:val="002B0EBF"/>
    <w:rsid w:val="002B112B"/>
    <w:rsid w:val="002B12E5"/>
    <w:rsid w:val="002B1326"/>
    <w:rsid w:val="002B1449"/>
    <w:rsid w:val="002B190E"/>
    <w:rsid w:val="002B1D9E"/>
    <w:rsid w:val="002B1FD4"/>
    <w:rsid w:val="002B2343"/>
    <w:rsid w:val="002B2777"/>
    <w:rsid w:val="002B2BA4"/>
    <w:rsid w:val="002B2C07"/>
    <w:rsid w:val="002B2E5B"/>
    <w:rsid w:val="002B2F70"/>
    <w:rsid w:val="002B5711"/>
    <w:rsid w:val="002B62E6"/>
    <w:rsid w:val="002B7478"/>
    <w:rsid w:val="002B7A47"/>
    <w:rsid w:val="002C0DB4"/>
    <w:rsid w:val="002C1113"/>
    <w:rsid w:val="002C12B9"/>
    <w:rsid w:val="002C136E"/>
    <w:rsid w:val="002C14CA"/>
    <w:rsid w:val="002C182D"/>
    <w:rsid w:val="002C1A22"/>
    <w:rsid w:val="002C1ABD"/>
    <w:rsid w:val="002C1D36"/>
    <w:rsid w:val="002C1F7B"/>
    <w:rsid w:val="002C226B"/>
    <w:rsid w:val="002C2479"/>
    <w:rsid w:val="002C2638"/>
    <w:rsid w:val="002C293B"/>
    <w:rsid w:val="002C295B"/>
    <w:rsid w:val="002C3640"/>
    <w:rsid w:val="002C371E"/>
    <w:rsid w:val="002C38BC"/>
    <w:rsid w:val="002C3A17"/>
    <w:rsid w:val="002C3CB0"/>
    <w:rsid w:val="002C530C"/>
    <w:rsid w:val="002C5979"/>
    <w:rsid w:val="002C5CBC"/>
    <w:rsid w:val="002C6408"/>
    <w:rsid w:val="002C667B"/>
    <w:rsid w:val="002C7432"/>
    <w:rsid w:val="002C79C5"/>
    <w:rsid w:val="002C79F6"/>
    <w:rsid w:val="002D00D5"/>
    <w:rsid w:val="002D0C12"/>
    <w:rsid w:val="002D113A"/>
    <w:rsid w:val="002D1241"/>
    <w:rsid w:val="002D1640"/>
    <w:rsid w:val="002D1756"/>
    <w:rsid w:val="002D2057"/>
    <w:rsid w:val="002D2128"/>
    <w:rsid w:val="002D27F3"/>
    <w:rsid w:val="002D28F1"/>
    <w:rsid w:val="002D2A88"/>
    <w:rsid w:val="002D31FF"/>
    <w:rsid w:val="002D3439"/>
    <w:rsid w:val="002D3AF1"/>
    <w:rsid w:val="002D41B3"/>
    <w:rsid w:val="002D4284"/>
    <w:rsid w:val="002D4943"/>
    <w:rsid w:val="002D51C7"/>
    <w:rsid w:val="002D52B1"/>
    <w:rsid w:val="002D5FFB"/>
    <w:rsid w:val="002D6511"/>
    <w:rsid w:val="002D658B"/>
    <w:rsid w:val="002D663A"/>
    <w:rsid w:val="002D69B0"/>
    <w:rsid w:val="002D6B74"/>
    <w:rsid w:val="002D6E8C"/>
    <w:rsid w:val="002D75FD"/>
    <w:rsid w:val="002D7854"/>
    <w:rsid w:val="002D7CF4"/>
    <w:rsid w:val="002E06D1"/>
    <w:rsid w:val="002E0E57"/>
    <w:rsid w:val="002E12DF"/>
    <w:rsid w:val="002E1467"/>
    <w:rsid w:val="002E1618"/>
    <w:rsid w:val="002E1742"/>
    <w:rsid w:val="002E1AB8"/>
    <w:rsid w:val="002E2249"/>
    <w:rsid w:val="002E2341"/>
    <w:rsid w:val="002E26E1"/>
    <w:rsid w:val="002E2739"/>
    <w:rsid w:val="002E2ADF"/>
    <w:rsid w:val="002E2BAD"/>
    <w:rsid w:val="002E3304"/>
    <w:rsid w:val="002E3563"/>
    <w:rsid w:val="002E3882"/>
    <w:rsid w:val="002E3E9F"/>
    <w:rsid w:val="002E3F73"/>
    <w:rsid w:val="002E45C7"/>
    <w:rsid w:val="002E4C9D"/>
    <w:rsid w:val="002E523F"/>
    <w:rsid w:val="002E5373"/>
    <w:rsid w:val="002E5E4E"/>
    <w:rsid w:val="002E5FEB"/>
    <w:rsid w:val="002E62C0"/>
    <w:rsid w:val="002E6D06"/>
    <w:rsid w:val="002E792F"/>
    <w:rsid w:val="002F0368"/>
    <w:rsid w:val="002F07E9"/>
    <w:rsid w:val="002F0C33"/>
    <w:rsid w:val="002F0EDC"/>
    <w:rsid w:val="002F1521"/>
    <w:rsid w:val="002F1C37"/>
    <w:rsid w:val="002F1C90"/>
    <w:rsid w:val="002F1D6C"/>
    <w:rsid w:val="002F22C6"/>
    <w:rsid w:val="002F35B4"/>
    <w:rsid w:val="002F3914"/>
    <w:rsid w:val="002F4890"/>
    <w:rsid w:val="002F4957"/>
    <w:rsid w:val="002F4D13"/>
    <w:rsid w:val="002F4D98"/>
    <w:rsid w:val="002F54B2"/>
    <w:rsid w:val="002F55BC"/>
    <w:rsid w:val="002F61B1"/>
    <w:rsid w:val="002F69BE"/>
    <w:rsid w:val="002F74E8"/>
    <w:rsid w:val="002F7521"/>
    <w:rsid w:val="002F7604"/>
    <w:rsid w:val="002F7853"/>
    <w:rsid w:val="002F78BD"/>
    <w:rsid w:val="002F7C2C"/>
    <w:rsid w:val="002F7CF4"/>
    <w:rsid w:val="003001CF"/>
    <w:rsid w:val="00300239"/>
    <w:rsid w:val="00300431"/>
    <w:rsid w:val="003006B1"/>
    <w:rsid w:val="0030095D"/>
    <w:rsid w:val="00301250"/>
    <w:rsid w:val="00301553"/>
    <w:rsid w:val="003018F7"/>
    <w:rsid w:val="00302333"/>
    <w:rsid w:val="00302437"/>
    <w:rsid w:val="00302648"/>
    <w:rsid w:val="003028E9"/>
    <w:rsid w:val="00304155"/>
    <w:rsid w:val="00304927"/>
    <w:rsid w:val="00304976"/>
    <w:rsid w:val="00304B4A"/>
    <w:rsid w:val="00304E85"/>
    <w:rsid w:val="00304FCE"/>
    <w:rsid w:val="00305310"/>
    <w:rsid w:val="00305F72"/>
    <w:rsid w:val="00306098"/>
    <w:rsid w:val="00306347"/>
    <w:rsid w:val="003068FC"/>
    <w:rsid w:val="00306CC4"/>
    <w:rsid w:val="003070F5"/>
    <w:rsid w:val="003076F8"/>
    <w:rsid w:val="003079CB"/>
    <w:rsid w:val="0031008A"/>
    <w:rsid w:val="003102BA"/>
    <w:rsid w:val="00310D6C"/>
    <w:rsid w:val="003110ED"/>
    <w:rsid w:val="00311532"/>
    <w:rsid w:val="00311911"/>
    <w:rsid w:val="00311927"/>
    <w:rsid w:val="00312A56"/>
    <w:rsid w:val="00312B2A"/>
    <w:rsid w:val="00312B8E"/>
    <w:rsid w:val="00313459"/>
    <w:rsid w:val="00313579"/>
    <w:rsid w:val="0031364F"/>
    <w:rsid w:val="00313816"/>
    <w:rsid w:val="00313BFF"/>
    <w:rsid w:val="00313D05"/>
    <w:rsid w:val="0031446C"/>
    <w:rsid w:val="00314865"/>
    <w:rsid w:val="00314E3F"/>
    <w:rsid w:val="00314E9E"/>
    <w:rsid w:val="00315367"/>
    <w:rsid w:val="0031538C"/>
    <w:rsid w:val="00315532"/>
    <w:rsid w:val="00315C61"/>
    <w:rsid w:val="00315E67"/>
    <w:rsid w:val="00315F28"/>
    <w:rsid w:val="00316974"/>
    <w:rsid w:val="00316D18"/>
    <w:rsid w:val="003177FC"/>
    <w:rsid w:val="00317870"/>
    <w:rsid w:val="003178C7"/>
    <w:rsid w:val="00317A16"/>
    <w:rsid w:val="00317D35"/>
    <w:rsid w:val="003201C1"/>
    <w:rsid w:val="00320A3A"/>
    <w:rsid w:val="003212A6"/>
    <w:rsid w:val="003216F1"/>
    <w:rsid w:val="0032170D"/>
    <w:rsid w:val="00321FAE"/>
    <w:rsid w:val="00322512"/>
    <w:rsid w:val="00322EE8"/>
    <w:rsid w:val="00322F68"/>
    <w:rsid w:val="00323297"/>
    <w:rsid w:val="003232E8"/>
    <w:rsid w:val="0032350A"/>
    <w:rsid w:val="00323594"/>
    <w:rsid w:val="00323703"/>
    <w:rsid w:val="003237F4"/>
    <w:rsid w:val="00323E64"/>
    <w:rsid w:val="00324280"/>
    <w:rsid w:val="003247B9"/>
    <w:rsid w:val="00324883"/>
    <w:rsid w:val="00324C9E"/>
    <w:rsid w:val="00325703"/>
    <w:rsid w:val="00325D5F"/>
    <w:rsid w:val="00326092"/>
    <w:rsid w:val="00326350"/>
    <w:rsid w:val="00326E37"/>
    <w:rsid w:val="00326F88"/>
    <w:rsid w:val="003271E9"/>
    <w:rsid w:val="00327698"/>
    <w:rsid w:val="003278A3"/>
    <w:rsid w:val="00327FAD"/>
    <w:rsid w:val="00330574"/>
    <w:rsid w:val="00330B15"/>
    <w:rsid w:val="00330CA0"/>
    <w:rsid w:val="00330FE7"/>
    <w:rsid w:val="003319E3"/>
    <w:rsid w:val="00331B88"/>
    <w:rsid w:val="00331F3D"/>
    <w:rsid w:val="003325C8"/>
    <w:rsid w:val="003327D1"/>
    <w:rsid w:val="00332A67"/>
    <w:rsid w:val="00332A77"/>
    <w:rsid w:val="00333F1D"/>
    <w:rsid w:val="00335006"/>
    <w:rsid w:val="00335169"/>
    <w:rsid w:val="00335189"/>
    <w:rsid w:val="00335260"/>
    <w:rsid w:val="003352E3"/>
    <w:rsid w:val="0033569D"/>
    <w:rsid w:val="00335AB1"/>
    <w:rsid w:val="00335D40"/>
    <w:rsid w:val="00335D68"/>
    <w:rsid w:val="00335DDE"/>
    <w:rsid w:val="00335F9A"/>
    <w:rsid w:val="003363C6"/>
    <w:rsid w:val="00336B22"/>
    <w:rsid w:val="00336D04"/>
    <w:rsid w:val="00336FE1"/>
    <w:rsid w:val="003370E5"/>
    <w:rsid w:val="00337147"/>
    <w:rsid w:val="0033773E"/>
    <w:rsid w:val="0033796A"/>
    <w:rsid w:val="00337DB0"/>
    <w:rsid w:val="00340685"/>
    <w:rsid w:val="00340DD5"/>
    <w:rsid w:val="00341300"/>
    <w:rsid w:val="00341454"/>
    <w:rsid w:val="00341EA5"/>
    <w:rsid w:val="003422A9"/>
    <w:rsid w:val="00342913"/>
    <w:rsid w:val="00342B1E"/>
    <w:rsid w:val="003434C3"/>
    <w:rsid w:val="0034394F"/>
    <w:rsid w:val="003439A6"/>
    <w:rsid w:val="00343AC0"/>
    <w:rsid w:val="00343C0E"/>
    <w:rsid w:val="00343C23"/>
    <w:rsid w:val="00344457"/>
    <w:rsid w:val="00344818"/>
    <w:rsid w:val="00344BEE"/>
    <w:rsid w:val="00344C8C"/>
    <w:rsid w:val="0034566E"/>
    <w:rsid w:val="00345856"/>
    <w:rsid w:val="00345FF6"/>
    <w:rsid w:val="00346050"/>
    <w:rsid w:val="00346317"/>
    <w:rsid w:val="00346719"/>
    <w:rsid w:val="003469E6"/>
    <w:rsid w:val="00346B22"/>
    <w:rsid w:val="00347001"/>
    <w:rsid w:val="0034733F"/>
    <w:rsid w:val="0034753B"/>
    <w:rsid w:val="00347FCB"/>
    <w:rsid w:val="00350369"/>
    <w:rsid w:val="003506AD"/>
    <w:rsid w:val="00350BD1"/>
    <w:rsid w:val="00350CA6"/>
    <w:rsid w:val="00350DEA"/>
    <w:rsid w:val="0035130B"/>
    <w:rsid w:val="00351F0C"/>
    <w:rsid w:val="003530C5"/>
    <w:rsid w:val="003536E3"/>
    <w:rsid w:val="00353A9D"/>
    <w:rsid w:val="00353E3C"/>
    <w:rsid w:val="00353FF9"/>
    <w:rsid w:val="00355222"/>
    <w:rsid w:val="00355240"/>
    <w:rsid w:val="00355906"/>
    <w:rsid w:val="0035636B"/>
    <w:rsid w:val="00356AAA"/>
    <w:rsid w:val="00356B84"/>
    <w:rsid w:val="00356BCA"/>
    <w:rsid w:val="00356D28"/>
    <w:rsid w:val="003570D8"/>
    <w:rsid w:val="00357D61"/>
    <w:rsid w:val="0036009E"/>
    <w:rsid w:val="00360684"/>
    <w:rsid w:val="003606B7"/>
    <w:rsid w:val="003606F5"/>
    <w:rsid w:val="00360704"/>
    <w:rsid w:val="00360E8E"/>
    <w:rsid w:val="003611A8"/>
    <w:rsid w:val="0036123E"/>
    <w:rsid w:val="003619BC"/>
    <w:rsid w:val="00361ED8"/>
    <w:rsid w:val="00362936"/>
    <w:rsid w:val="00363066"/>
    <w:rsid w:val="0036308D"/>
    <w:rsid w:val="0036349A"/>
    <w:rsid w:val="003634C6"/>
    <w:rsid w:val="00363C6E"/>
    <w:rsid w:val="00363F5D"/>
    <w:rsid w:val="00364930"/>
    <w:rsid w:val="003649FC"/>
    <w:rsid w:val="00364E35"/>
    <w:rsid w:val="0036576A"/>
    <w:rsid w:val="00365AB3"/>
    <w:rsid w:val="00366093"/>
    <w:rsid w:val="00366D7A"/>
    <w:rsid w:val="00366F64"/>
    <w:rsid w:val="0036711E"/>
    <w:rsid w:val="00367465"/>
    <w:rsid w:val="003679B9"/>
    <w:rsid w:val="00367BF8"/>
    <w:rsid w:val="00367F6A"/>
    <w:rsid w:val="003701AB"/>
    <w:rsid w:val="00370345"/>
    <w:rsid w:val="00370647"/>
    <w:rsid w:val="0037097D"/>
    <w:rsid w:val="00370D65"/>
    <w:rsid w:val="00370E76"/>
    <w:rsid w:val="0037145D"/>
    <w:rsid w:val="00371975"/>
    <w:rsid w:val="00371B13"/>
    <w:rsid w:val="0037214F"/>
    <w:rsid w:val="00372186"/>
    <w:rsid w:val="00372352"/>
    <w:rsid w:val="00372810"/>
    <w:rsid w:val="00372C17"/>
    <w:rsid w:val="00372E42"/>
    <w:rsid w:val="00373BF0"/>
    <w:rsid w:val="003742EB"/>
    <w:rsid w:val="003743FC"/>
    <w:rsid w:val="003744CD"/>
    <w:rsid w:val="003749C0"/>
    <w:rsid w:val="00374B17"/>
    <w:rsid w:val="0037502B"/>
    <w:rsid w:val="00375817"/>
    <w:rsid w:val="00375902"/>
    <w:rsid w:val="00375989"/>
    <w:rsid w:val="00375B6A"/>
    <w:rsid w:val="00375C38"/>
    <w:rsid w:val="003762F4"/>
    <w:rsid w:val="003764F5"/>
    <w:rsid w:val="00376E09"/>
    <w:rsid w:val="003770C7"/>
    <w:rsid w:val="0037719B"/>
    <w:rsid w:val="003774BF"/>
    <w:rsid w:val="0037770E"/>
    <w:rsid w:val="003800D8"/>
    <w:rsid w:val="003804DC"/>
    <w:rsid w:val="00380AE6"/>
    <w:rsid w:val="00380BB0"/>
    <w:rsid w:val="00380D5A"/>
    <w:rsid w:val="00380EB5"/>
    <w:rsid w:val="00381CD0"/>
    <w:rsid w:val="0038208F"/>
    <w:rsid w:val="0038217C"/>
    <w:rsid w:val="003822CB"/>
    <w:rsid w:val="00382AA3"/>
    <w:rsid w:val="00382B0D"/>
    <w:rsid w:val="003834E0"/>
    <w:rsid w:val="00383981"/>
    <w:rsid w:val="00383AD6"/>
    <w:rsid w:val="00383BD0"/>
    <w:rsid w:val="00383FC4"/>
    <w:rsid w:val="00383FF7"/>
    <w:rsid w:val="00384326"/>
    <w:rsid w:val="003843C2"/>
    <w:rsid w:val="00384420"/>
    <w:rsid w:val="003844C1"/>
    <w:rsid w:val="00384B61"/>
    <w:rsid w:val="00384C8E"/>
    <w:rsid w:val="003853B1"/>
    <w:rsid w:val="0038564B"/>
    <w:rsid w:val="00385821"/>
    <w:rsid w:val="003871C0"/>
    <w:rsid w:val="003879AE"/>
    <w:rsid w:val="00387DAD"/>
    <w:rsid w:val="0039025A"/>
    <w:rsid w:val="00390303"/>
    <w:rsid w:val="003903E3"/>
    <w:rsid w:val="0039041E"/>
    <w:rsid w:val="0039063E"/>
    <w:rsid w:val="00390B44"/>
    <w:rsid w:val="00390DBB"/>
    <w:rsid w:val="00390F65"/>
    <w:rsid w:val="00391004"/>
    <w:rsid w:val="003913F0"/>
    <w:rsid w:val="0039221F"/>
    <w:rsid w:val="0039241D"/>
    <w:rsid w:val="00392691"/>
    <w:rsid w:val="003926D3"/>
    <w:rsid w:val="00392F1C"/>
    <w:rsid w:val="00392F56"/>
    <w:rsid w:val="00393014"/>
    <w:rsid w:val="00393A71"/>
    <w:rsid w:val="00394142"/>
    <w:rsid w:val="00394157"/>
    <w:rsid w:val="003942CF"/>
    <w:rsid w:val="00394C93"/>
    <w:rsid w:val="003958FD"/>
    <w:rsid w:val="00395BB0"/>
    <w:rsid w:val="00395DAA"/>
    <w:rsid w:val="00395F25"/>
    <w:rsid w:val="00396066"/>
    <w:rsid w:val="00396225"/>
    <w:rsid w:val="003966F8"/>
    <w:rsid w:val="00396881"/>
    <w:rsid w:val="003969CB"/>
    <w:rsid w:val="00397186"/>
    <w:rsid w:val="003974A6"/>
    <w:rsid w:val="003975A3"/>
    <w:rsid w:val="0039772A"/>
    <w:rsid w:val="00397A88"/>
    <w:rsid w:val="00397D57"/>
    <w:rsid w:val="003A0269"/>
    <w:rsid w:val="003A0528"/>
    <w:rsid w:val="003A09FD"/>
    <w:rsid w:val="003A0A5D"/>
    <w:rsid w:val="003A0D18"/>
    <w:rsid w:val="003A0DAF"/>
    <w:rsid w:val="003A1F29"/>
    <w:rsid w:val="003A20B9"/>
    <w:rsid w:val="003A2184"/>
    <w:rsid w:val="003A2553"/>
    <w:rsid w:val="003A29DE"/>
    <w:rsid w:val="003A2B2C"/>
    <w:rsid w:val="003A2D12"/>
    <w:rsid w:val="003A384E"/>
    <w:rsid w:val="003A3B0B"/>
    <w:rsid w:val="003A3CA9"/>
    <w:rsid w:val="003A402E"/>
    <w:rsid w:val="003A409B"/>
    <w:rsid w:val="003A4145"/>
    <w:rsid w:val="003A4168"/>
    <w:rsid w:val="003A4524"/>
    <w:rsid w:val="003A52A7"/>
    <w:rsid w:val="003A5412"/>
    <w:rsid w:val="003A54DB"/>
    <w:rsid w:val="003A5669"/>
    <w:rsid w:val="003A580C"/>
    <w:rsid w:val="003A58BF"/>
    <w:rsid w:val="003A6062"/>
    <w:rsid w:val="003A63EF"/>
    <w:rsid w:val="003A6F15"/>
    <w:rsid w:val="003A7B14"/>
    <w:rsid w:val="003A7BA0"/>
    <w:rsid w:val="003A7E88"/>
    <w:rsid w:val="003B07F3"/>
    <w:rsid w:val="003B1AA2"/>
    <w:rsid w:val="003B24F7"/>
    <w:rsid w:val="003B267B"/>
    <w:rsid w:val="003B282A"/>
    <w:rsid w:val="003B2A49"/>
    <w:rsid w:val="003B3044"/>
    <w:rsid w:val="003B31F1"/>
    <w:rsid w:val="003B3200"/>
    <w:rsid w:val="003B32E3"/>
    <w:rsid w:val="003B3C8A"/>
    <w:rsid w:val="003B3D8A"/>
    <w:rsid w:val="003B42C6"/>
    <w:rsid w:val="003B4FE4"/>
    <w:rsid w:val="003B50DA"/>
    <w:rsid w:val="003B516A"/>
    <w:rsid w:val="003B5FB1"/>
    <w:rsid w:val="003B64C0"/>
    <w:rsid w:val="003B6CB6"/>
    <w:rsid w:val="003B6E32"/>
    <w:rsid w:val="003B7359"/>
    <w:rsid w:val="003B735F"/>
    <w:rsid w:val="003B7B31"/>
    <w:rsid w:val="003C014F"/>
    <w:rsid w:val="003C0386"/>
    <w:rsid w:val="003C0452"/>
    <w:rsid w:val="003C054C"/>
    <w:rsid w:val="003C0792"/>
    <w:rsid w:val="003C08D4"/>
    <w:rsid w:val="003C0A11"/>
    <w:rsid w:val="003C0DA0"/>
    <w:rsid w:val="003C1076"/>
    <w:rsid w:val="003C116D"/>
    <w:rsid w:val="003C1292"/>
    <w:rsid w:val="003C146A"/>
    <w:rsid w:val="003C1871"/>
    <w:rsid w:val="003C19A2"/>
    <w:rsid w:val="003C1D1E"/>
    <w:rsid w:val="003C26E0"/>
    <w:rsid w:val="003C2A3D"/>
    <w:rsid w:val="003C2F10"/>
    <w:rsid w:val="003C363A"/>
    <w:rsid w:val="003C386D"/>
    <w:rsid w:val="003C48D5"/>
    <w:rsid w:val="003C5442"/>
    <w:rsid w:val="003C553B"/>
    <w:rsid w:val="003C5813"/>
    <w:rsid w:val="003C5CC8"/>
    <w:rsid w:val="003C5DAC"/>
    <w:rsid w:val="003C5F26"/>
    <w:rsid w:val="003C6C59"/>
    <w:rsid w:val="003C730F"/>
    <w:rsid w:val="003C7D8F"/>
    <w:rsid w:val="003C7E48"/>
    <w:rsid w:val="003C7E53"/>
    <w:rsid w:val="003D010F"/>
    <w:rsid w:val="003D0588"/>
    <w:rsid w:val="003D0652"/>
    <w:rsid w:val="003D06A3"/>
    <w:rsid w:val="003D0AD8"/>
    <w:rsid w:val="003D0B0A"/>
    <w:rsid w:val="003D113B"/>
    <w:rsid w:val="003D18DA"/>
    <w:rsid w:val="003D1E75"/>
    <w:rsid w:val="003D2248"/>
    <w:rsid w:val="003D2511"/>
    <w:rsid w:val="003D2F6F"/>
    <w:rsid w:val="003D30F1"/>
    <w:rsid w:val="003D31EB"/>
    <w:rsid w:val="003D32EA"/>
    <w:rsid w:val="003D343B"/>
    <w:rsid w:val="003D3543"/>
    <w:rsid w:val="003D39BC"/>
    <w:rsid w:val="003D3ABF"/>
    <w:rsid w:val="003D3BC8"/>
    <w:rsid w:val="003D41DB"/>
    <w:rsid w:val="003D5091"/>
    <w:rsid w:val="003D5597"/>
    <w:rsid w:val="003D55F7"/>
    <w:rsid w:val="003D58FB"/>
    <w:rsid w:val="003D5A0D"/>
    <w:rsid w:val="003D5CA0"/>
    <w:rsid w:val="003D5D87"/>
    <w:rsid w:val="003D5EB5"/>
    <w:rsid w:val="003D61DD"/>
    <w:rsid w:val="003D6449"/>
    <w:rsid w:val="003D64BA"/>
    <w:rsid w:val="003D6774"/>
    <w:rsid w:val="003D6EB2"/>
    <w:rsid w:val="003D73DB"/>
    <w:rsid w:val="003D7775"/>
    <w:rsid w:val="003D7975"/>
    <w:rsid w:val="003D7E24"/>
    <w:rsid w:val="003E02DF"/>
    <w:rsid w:val="003E0623"/>
    <w:rsid w:val="003E0FD8"/>
    <w:rsid w:val="003E16E8"/>
    <w:rsid w:val="003E1CB5"/>
    <w:rsid w:val="003E1E61"/>
    <w:rsid w:val="003E1E72"/>
    <w:rsid w:val="003E206C"/>
    <w:rsid w:val="003E314F"/>
    <w:rsid w:val="003E3A54"/>
    <w:rsid w:val="003E4469"/>
    <w:rsid w:val="003E4C84"/>
    <w:rsid w:val="003E5970"/>
    <w:rsid w:val="003E5D69"/>
    <w:rsid w:val="003E6268"/>
    <w:rsid w:val="003E6C90"/>
    <w:rsid w:val="003E6DAB"/>
    <w:rsid w:val="003E6F42"/>
    <w:rsid w:val="003E7A4A"/>
    <w:rsid w:val="003E7BCD"/>
    <w:rsid w:val="003E7ED2"/>
    <w:rsid w:val="003E7FB8"/>
    <w:rsid w:val="003E7FD2"/>
    <w:rsid w:val="003F0225"/>
    <w:rsid w:val="003F0CF4"/>
    <w:rsid w:val="003F234F"/>
    <w:rsid w:val="003F31C6"/>
    <w:rsid w:val="003F344D"/>
    <w:rsid w:val="003F3B26"/>
    <w:rsid w:val="003F3DC1"/>
    <w:rsid w:val="003F3EFB"/>
    <w:rsid w:val="003F4459"/>
    <w:rsid w:val="003F4E5F"/>
    <w:rsid w:val="003F4FA9"/>
    <w:rsid w:val="003F5199"/>
    <w:rsid w:val="003F5568"/>
    <w:rsid w:val="003F5778"/>
    <w:rsid w:val="003F582B"/>
    <w:rsid w:val="003F5E1F"/>
    <w:rsid w:val="003F5E8A"/>
    <w:rsid w:val="003F61CD"/>
    <w:rsid w:val="003F6599"/>
    <w:rsid w:val="003F6F8D"/>
    <w:rsid w:val="003F7181"/>
    <w:rsid w:val="003F7499"/>
    <w:rsid w:val="003F79D1"/>
    <w:rsid w:val="004002C1"/>
    <w:rsid w:val="0040031D"/>
    <w:rsid w:val="0040038A"/>
    <w:rsid w:val="00400487"/>
    <w:rsid w:val="004006C3"/>
    <w:rsid w:val="00400F04"/>
    <w:rsid w:val="00400F60"/>
    <w:rsid w:val="00401179"/>
    <w:rsid w:val="00401638"/>
    <w:rsid w:val="004019B1"/>
    <w:rsid w:val="00401E4B"/>
    <w:rsid w:val="00401FD1"/>
    <w:rsid w:val="0040233F"/>
    <w:rsid w:val="00403314"/>
    <w:rsid w:val="0040365F"/>
    <w:rsid w:val="0040398D"/>
    <w:rsid w:val="00404259"/>
    <w:rsid w:val="004042F5"/>
    <w:rsid w:val="00404382"/>
    <w:rsid w:val="004046B7"/>
    <w:rsid w:val="004048F2"/>
    <w:rsid w:val="00404D37"/>
    <w:rsid w:val="00404E4F"/>
    <w:rsid w:val="00404F3A"/>
    <w:rsid w:val="00405232"/>
    <w:rsid w:val="00405770"/>
    <w:rsid w:val="00405B1D"/>
    <w:rsid w:val="00405C75"/>
    <w:rsid w:val="00405F55"/>
    <w:rsid w:val="00406782"/>
    <w:rsid w:val="00407B2B"/>
    <w:rsid w:val="00407B6E"/>
    <w:rsid w:val="004101F3"/>
    <w:rsid w:val="00410789"/>
    <w:rsid w:val="004107A6"/>
    <w:rsid w:val="00410828"/>
    <w:rsid w:val="00410913"/>
    <w:rsid w:val="00410935"/>
    <w:rsid w:val="00410B43"/>
    <w:rsid w:val="00410C23"/>
    <w:rsid w:val="004110B2"/>
    <w:rsid w:val="00411984"/>
    <w:rsid w:val="00411D13"/>
    <w:rsid w:val="00411EEA"/>
    <w:rsid w:val="00412BB8"/>
    <w:rsid w:val="00413B94"/>
    <w:rsid w:val="00413DF6"/>
    <w:rsid w:val="00413E28"/>
    <w:rsid w:val="0041425B"/>
    <w:rsid w:val="004148CF"/>
    <w:rsid w:val="004148F8"/>
    <w:rsid w:val="00414C9F"/>
    <w:rsid w:val="00414CAF"/>
    <w:rsid w:val="00414D2D"/>
    <w:rsid w:val="004153AF"/>
    <w:rsid w:val="004155DA"/>
    <w:rsid w:val="00415757"/>
    <w:rsid w:val="0041595F"/>
    <w:rsid w:val="00415A2B"/>
    <w:rsid w:val="00415B16"/>
    <w:rsid w:val="00415D80"/>
    <w:rsid w:val="00415D97"/>
    <w:rsid w:val="0041600A"/>
    <w:rsid w:val="004161CA"/>
    <w:rsid w:val="00416796"/>
    <w:rsid w:val="0041696B"/>
    <w:rsid w:val="00416C1B"/>
    <w:rsid w:val="00416E30"/>
    <w:rsid w:val="00417219"/>
    <w:rsid w:val="0042036F"/>
    <w:rsid w:val="00420460"/>
    <w:rsid w:val="0042050A"/>
    <w:rsid w:val="0042053B"/>
    <w:rsid w:val="004209C7"/>
    <w:rsid w:val="00420CC4"/>
    <w:rsid w:val="00420D02"/>
    <w:rsid w:val="00421073"/>
    <w:rsid w:val="0042150E"/>
    <w:rsid w:val="00421635"/>
    <w:rsid w:val="0042179B"/>
    <w:rsid w:val="00421C59"/>
    <w:rsid w:val="0042245C"/>
    <w:rsid w:val="0042250B"/>
    <w:rsid w:val="0042253A"/>
    <w:rsid w:val="00422B22"/>
    <w:rsid w:val="00422ED4"/>
    <w:rsid w:val="004230EA"/>
    <w:rsid w:val="0042331F"/>
    <w:rsid w:val="00423712"/>
    <w:rsid w:val="00423919"/>
    <w:rsid w:val="00423D72"/>
    <w:rsid w:val="00424455"/>
    <w:rsid w:val="00424A3F"/>
    <w:rsid w:val="00424AB3"/>
    <w:rsid w:val="00424BC3"/>
    <w:rsid w:val="0042580B"/>
    <w:rsid w:val="00425E20"/>
    <w:rsid w:val="004263E2"/>
    <w:rsid w:val="0042667E"/>
    <w:rsid w:val="00426909"/>
    <w:rsid w:val="004271EF"/>
    <w:rsid w:val="0042744F"/>
    <w:rsid w:val="004278EF"/>
    <w:rsid w:val="00430062"/>
    <w:rsid w:val="00430559"/>
    <w:rsid w:val="00430BE6"/>
    <w:rsid w:val="00430C1C"/>
    <w:rsid w:val="004312FD"/>
    <w:rsid w:val="0043136C"/>
    <w:rsid w:val="0043194B"/>
    <w:rsid w:val="00431A59"/>
    <w:rsid w:val="00431B2A"/>
    <w:rsid w:val="00431C6E"/>
    <w:rsid w:val="00431FDF"/>
    <w:rsid w:val="004320C4"/>
    <w:rsid w:val="00432138"/>
    <w:rsid w:val="00432260"/>
    <w:rsid w:val="004323B5"/>
    <w:rsid w:val="00432546"/>
    <w:rsid w:val="0043289C"/>
    <w:rsid w:val="004329B2"/>
    <w:rsid w:val="00432DDA"/>
    <w:rsid w:val="0043390B"/>
    <w:rsid w:val="00433962"/>
    <w:rsid w:val="00433CAD"/>
    <w:rsid w:val="0043436E"/>
    <w:rsid w:val="00434B18"/>
    <w:rsid w:val="004350E0"/>
    <w:rsid w:val="00435966"/>
    <w:rsid w:val="004360A5"/>
    <w:rsid w:val="00436211"/>
    <w:rsid w:val="004366D7"/>
    <w:rsid w:val="004367A9"/>
    <w:rsid w:val="00436ACD"/>
    <w:rsid w:val="00436C13"/>
    <w:rsid w:val="00436EBF"/>
    <w:rsid w:val="00437770"/>
    <w:rsid w:val="00437BFB"/>
    <w:rsid w:val="00440170"/>
    <w:rsid w:val="0044037B"/>
    <w:rsid w:val="0044152C"/>
    <w:rsid w:val="00441624"/>
    <w:rsid w:val="00441835"/>
    <w:rsid w:val="004422E1"/>
    <w:rsid w:val="0044298D"/>
    <w:rsid w:val="00442BEA"/>
    <w:rsid w:val="00442C66"/>
    <w:rsid w:val="00442F34"/>
    <w:rsid w:val="00443407"/>
    <w:rsid w:val="00443BAC"/>
    <w:rsid w:val="00443D08"/>
    <w:rsid w:val="00444BE7"/>
    <w:rsid w:val="004461BE"/>
    <w:rsid w:val="0044657B"/>
    <w:rsid w:val="00446935"/>
    <w:rsid w:val="00446A8E"/>
    <w:rsid w:val="00446F3A"/>
    <w:rsid w:val="00447152"/>
    <w:rsid w:val="004475A9"/>
    <w:rsid w:val="004477A8"/>
    <w:rsid w:val="0044781B"/>
    <w:rsid w:val="00447B5A"/>
    <w:rsid w:val="004506CE"/>
    <w:rsid w:val="00450E94"/>
    <w:rsid w:val="00451491"/>
    <w:rsid w:val="0045179C"/>
    <w:rsid w:val="0045198B"/>
    <w:rsid w:val="00451EDE"/>
    <w:rsid w:val="00451F52"/>
    <w:rsid w:val="00452363"/>
    <w:rsid w:val="00452522"/>
    <w:rsid w:val="00452A7D"/>
    <w:rsid w:val="00452C5B"/>
    <w:rsid w:val="00453038"/>
    <w:rsid w:val="004530C5"/>
    <w:rsid w:val="004537A8"/>
    <w:rsid w:val="004538B7"/>
    <w:rsid w:val="00453A50"/>
    <w:rsid w:val="00453A88"/>
    <w:rsid w:val="00454007"/>
    <w:rsid w:val="0045432D"/>
    <w:rsid w:val="004556D6"/>
    <w:rsid w:val="004557B2"/>
    <w:rsid w:val="004557EB"/>
    <w:rsid w:val="00455B94"/>
    <w:rsid w:val="00455EFD"/>
    <w:rsid w:val="00455FB3"/>
    <w:rsid w:val="00456063"/>
    <w:rsid w:val="004563B2"/>
    <w:rsid w:val="00456F24"/>
    <w:rsid w:val="00456FDF"/>
    <w:rsid w:val="00456FE6"/>
    <w:rsid w:val="004600F2"/>
    <w:rsid w:val="00460186"/>
    <w:rsid w:val="004604F4"/>
    <w:rsid w:val="004607E9"/>
    <w:rsid w:val="004610F3"/>
    <w:rsid w:val="004611B7"/>
    <w:rsid w:val="004613D7"/>
    <w:rsid w:val="00461BCB"/>
    <w:rsid w:val="00461CF9"/>
    <w:rsid w:val="004620F6"/>
    <w:rsid w:val="00462824"/>
    <w:rsid w:val="00462BA6"/>
    <w:rsid w:val="00462DB3"/>
    <w:rsid w:val="004634AC"/>
    <w:rsid w:val="00463947"/>
    <w:rsid w:val="00463B21"/>
    <w:rsid w:val="00463DF9"/>
    <w:rsid w:val="0046403C"/>
    <w:rsid w:val="004648E5"/>
    <w:rsid w:val="00464D2B"/>
    <w:rsid w:val="004664BB"/>
    <w:rsid w:val="00466CDC"/>
    <w:rsid w:val="004670BA"/>
    <w:rsid w:val="004671DB"/>
    <w:rsid w:val="004671DC"/>
    <w:rsid w:val="0046741E"/>
    <w:rsid w:val="00467E01"/>
    <w:rsid w:val="00467E17"/>
    <w:rsid w:val="0047035B"/>
    <w:rsid w:val="00470432"/>
    <w:rsid w:val="004707C9"/>
    <w:rsid w:val="00470C3E"/>
    <w:rsid w:val="00471176"/>
    <w:rsid w:val="00472350"/>
    <w:rsid w:val="00472863"/>
    <w:rsid w:val="004729BB"/>
    <w:rsid w:val="00472AA6"/>
    <w:rsid w:val="00472B32"/>
    <w:rsid w:val="004730AE"/>
    <w:rsid w:val="004731F1"/>
    <w:rsid w:val="004734A8"/>
    <w:rsid w:val="004735E9"/>
    <w:rsid w:val="00473DA3"/>
    <w:rsid w:val="00473F33"/>
    <w:rsid w:val="00474418"/>
    <w:rsid w:val="00474623"/>
    <w:rsid w:val="00474AC6"/>
    <w:rsid w:val="00474B89"/>
    <w:rsid w:val="004750A2"/>
    <w:rsid w:val="004756FE"/>
    <w:rsid w:val="004757F9"/>
    <w:rsid w:val="00475856"/>
    <w:rsid w:val="004759E0"/>
    <w:rsid w:val="00475BD4"/>
    <w:rsid w:val="00476008"/>
    <w:rsid w:val="0047618E"/>
    <w:rsid w:val="00476492"/>
    <w:rsid w:val="004767B4"/>
    <w:rsid w:val="00476FEC"/>
    <w:rsid w:val="004771D5"/>
    <w:rsid w:val="00477AF4"/>
    <w:rsid w:val="00480897"/>
    <w:rsid w:val="00480ADB"/>
    <w:rsid w:val="004813F7"/>
    <w:rsid w:val="00481AB0"/>
    <w:rsid w:val="00481E09"/>
    <w:rsid w:val="00482441"/>
    <w:rsid w:val="004827F7"/>
    <w:rsid w:val="00482EDE"/>
    <w:rsid w:val="00483330"/>
    <w:rsid w:val="00483A29"/>
    <w:rsid w:val="004841E3"/>
    <w:rsid w:val="00484340"/>
    <w:rsid w:val="004844A7"/>
    <w:rsid w:val="004844AA"/>
    <w:rsid w:val="00484A69"/>
    <w:rsid w:val="00484F86"/>
    <w:rsid w:val="0048562D"/>
    <w:rsid w:val="004859A6"/>
    <w:rsid w:val="00485A0B"/>
    <w:rsid w:val="00485AF9"/>
    <w:rsid w:val="00485C4A"/>
    <w:rsid w:val="00486664"/>
    <w:rsid w:val="00486A6D"/>
    <w:rsid w:val="00486B4A"/>
    <w:rsid w:val="0048777B"/>
    <w:rsid w:val="0049000C"/>
    <w:rsid w:val="00490605"/>
    <w:rsid w:val="00490792"/>
    <w:rsid w:val="00490890"/>
    <w:rsid w:val="0049145D"/>
    <w:rsid w:val="0049153D"/>
    <w:rsid w:val="004915FB"/>
    <w:rsid w:val="0049168C"/>
    <w:rsid w:val="004917F0"/>
    <w:rsid w:val="004918FD"/>
    <w:rsid w:val="00492568"/>
    <w:rsid w:val="00492892"/>
    <w:rsid w:val="00492994"/>
    <w:rsid w:val="00492B5D"/>
    <w:rsid w:val="00492C4B"/>
    <w:rsid w:val="00493354"/>
    <w:rsid w:val="00493984"/>
    <w:rsid w:val="00493BCB"/>
    <w:rsid w:val="00493CA0"/>
    <w:rsid w:val="0049415D"/>
    <w:rsid w:val="004948CC"/>
    <w:rsid w:val="004953E5"/>
    <w:rsid w:val="004958BE"/>
    <w:rsid w:val="0049598E"/>
    <w:rsid w:val="00495F63"/>
    <w:rsid w:val="00495FBD"/>
    <w:rsid w:val="00495FE3"/>
    <w:rsid w:val="00496402"/>
    <w:rsid w:val="004966F6"/>
    <w:rsid w:val="004967C5"/>
    <w:rsid w:val="004968D6"/>
    <w:rsid w:val="00496BDE"/>
    <w:rsid w:val="00497244"/>
    <w:rsid w:val="0049735D"/>
    <w:rsid w:val="0049736C"/>
    <w:rsid w:val="00497655"/>
    <w:rsid w:val="00497EB5"/>
    <w:rsid w:val="004A091E"/>
    <w:rsid w:val="004A0EC5"/>
    <w:rsid w:val="004A1411"/>
    <w:rsid w:val="004A1547"/>
    <w:rsid w:val="004A16A8"/>
    <w:rsid w:val="004A1826"/>
    <w:rsid w:val="004A1974"/>
    <w:rsid w:val="004A1B29"/>
    <w:rsid w:val="004A1B93"/>
    <w:rsid w:val="004A1D08"/>
    <w:rsid w:val="004A22B3"/>
    <w:rsid w:val="004A276A"/>
    <w:rsid w:val="004A27F8"/>
    <w:rsid w:val="004A28FB"/>
    <w:rsid w:val="004A2F2E"/>
    <w:rsid w:val="004A32AE"/>
    <w:rsid w:val="004A3AEA"/>
    <w:rsid w:val="004A3F5A"/>
    <w:rsid w:val="004A406C"/>
    <w:rsid w:val="004A4206"/>
    <w:rsid w:val="004A45F3"/>
    <w:rsid w:val="004A496A"/>
    <w:rsid w:val="004A4C9D"/>
    <w:rsid w:val="004A4D1F"/>
    <w:rsid w:val="004A4D34"/>
    <w:rsid w:val="004A4E91"/>
    <w:rsid w:val="004A5289"/>
    <w:rsid w:val="004A53D7"/>
    <w:rsid w:val="004A55B2"/>
    <w:rsid w:val="004A55BD"/>
    <w:rsid w:val="004A576B"/>
    <w:rsid w:val="004A5997"/>
    <w:rsid w:val="004A59FC"/>
    <w:rsid w:val="004A5A3E"/>
    <w:rsid w:val="004A5ABD"/>
    <w:rsid w:val="004A7091"/>
    <w:rsid w:val="004A7B06"/>
    <w:rsid w:val="004A7B08"/>
    <w:rsid w:val="004A7F4D"/>
    <w:rsid w:val="004B0076"/>
    <w:rsid w:val="004B00B2"/>
    <w:rsid w:val="004B034D"/>
    <w:rsid w:val="004B05C2"/>
    <w:rsid w:val="004B0E64"/>
    <w:rsid w:val="004B0EDB"/>
    <w:rsid w:val="004B1389"/>
    <w:rsid w:val="004B1AA9"/>
    <w:rsid w:val="004B1AE8"/>
    <w:rsid w:val="004B1F9C"/>
    <w:rsid w:val="004B22A6"/>
    <w:rsid w:val="004B2A16"/>
    <w:rsid w:val="004B353B"/>
    <w:rsid w:val="004B35F7"/>
    <w:rsid w:val="004B36F2"/>
    <w:rsid w:val="004B46F0"/>
    <w:rsid w:val="004B481A"/>
    <w:rsid w:val="004B4834"/>
    <w:rsid w:val="004B4C76"/>
    <w:rsid w:val="004B5D95"/>
    <w:rsid w:val="004B5EF1"/>
    <w:rsid w:val="004B639C"/>
    <w:rsid w:val="004B65E9"/>
    <w:rsid w:val="004B6679"/>
    <w:rsid w:val="004B73C0"/>
    <w:rsid w:val="004B7501"/>
    <w:rsid w:val="004B77ED"/>
    <w:rsid w:val="004C0A08"/>
    <w:rsid w:val="004C0EC7"/>
    <w:rsid w:val="004C11DD"/>
    <w:rsid w:val="004C16AE"/>
    <w:rsid w:val="004C1B9E"/>
    <w:rsid w:val="004C1BB7"/>
    <w:rsid w:val="004C1CCB"/>
    <w:rsid w:val="004C2358"/>
    <w:rsid w:val="004C2E42"/>
    <w:rsid w:val="004C33F2"/>
    <w:rsid w:val="004C3994"/>
    <w:rsid w:val="004C46CA"/>
    <w:rsid w:val="004C47D6"/>
    <w:rsid w:val="004C47D9"/>
    <w:rsid w:val="004C58A1"/>
    <w:rsid w:val="004C5CF6"/>
    <w:rsid w:val="004C5D2C"/>
    <w:rsid w:val="004C602E"/>
    <w:rsid w:val="004C6C3F"/>
    <w:rsid w:val="004C71D0"/>
    <w:rsid w:val="004C754E"/>
    <w:rsid w:val="004C7757"/>
    <w:rsid w:val="004C7836"/>
    <w:rsid w:val="004C7AF9"/>
    <w:rsid w:val="004C7B2D"/>
    <w:rsid w:val="004D0001"/>
    <w:rsid w:val="004D02AB"/>
    <w:rsid w:val="004D03EA"/>
    <w:rsid w:val="004D05A4"/>
    <w:rsid w:val="004D07DB"/>
    <w:rsid w:val="004D0A63"/>
    <w:rsid w:val="004D0B67"/>
    <w:rsid w:val="004D1B3C"/>
    <w:rsid w:val="004D1E41"/>
    <w:rsid w:val="004D1EFB"/>
    <w:rsid w:val="004D23B8"/>
    <w:rsid w:val="004D2590"/>
    <w:rsid w:val="004D2B5A"/>
    <w:rsid w:val="004D2FAE"/>
    <w:rsid w:val="004D30B3"/>
    <w:rsid w:val="004D31B3"/>
    <w:rsid w:val="004D3589"/>
    <w:rsid w:val="004D377E"/>
    <w:rsid w:val="004D37D9"/>
    <w:rsid w:val="004D3C7A"/>
    <w:rsid w:val="004D4887"/>
    <w:rsid w:val="004D4C04"/>
    <w:rsid w:val="004D53E2"/>
    <w:rsid w:val="004D5622"/>
    <w:rsid w:val="004D5811"/>
    <w:rsid w:val="004D5BF3"/>
    <w:rsid w:val="004D62F8"/>
    <w:rsid w:val="004D69A2"/>
    <w:rsid w:val="004D6DAC"/>
    <w:rsid w:val="004D6EE9"/>
    <w:rsid w:val="004D738E"/>
    <w:rsid w:val="004D76EA"/>
    <w:rsid w:val="004E01CE"/>
    <w:rsid w:val="004E045E"/>
    <w:rsid w:val="004E050C"/>
    <w:rsid w:val="004E07DF"/>
    <w:rsid w:val="004E1262"/>
    <w:rsid w:val="004E1807"/>
    <w:rsid w:val="004E1D68"/>
    <w:rsid w:val="004E1EEB"/>
    <w:rsid w:val="004E1F23"/>
    <w:rsid w:val="004E2003"/>
    <w:rsid w:val="004E20A5"/>
    <w:rsid w:val="004E2244"/>
    <w:rsid w:val="004E2413"/>
    <w:rsid w:val="004E3162"/>
    <w:rsid w:val="004E34B5"/>
    <w:rsid w:val="004E39C2"/>
    <w:rsid w:val="004E40A9"/>
    <w:rsid w:val="004E40DE"/>
    <w:rsid w:val="004E4451"/>
    <w:rsid w:val="004E458C"/>
    <w:rsid w:val="004E4AB6"/>
    <w:rsid w:val="004E4E4C"/>
    <w:rsid w:val="004E5B19"/>
    <w:rsid w:val="004E6476"/>
    <w:rsid w:val="004E68BE"/>
    <w:rsid w:val="004E6C04"/>
    <w:rsid w:val="004E73DD"/>
    <w:rsid w:val="004E7506"/>
    <w:rsid w:val="004E77BE"/>
    <w:rsid w:val="004E7939"/>
    <w:rsid w:val="004E7C12"/>
    <w:rsid w:val="004F1218"/>
    <w:rsid w:val="004F1D13"/>
    <w:rsid w:val="004F1F80"/>
    <w:rsid w:val="004F2AAB"/>
    <w:rsid w:val="004F2C14"/>
    <w:rsid w:val="004F2EF7"/>
    <w:rsid w:val="004F33C3"/>
    <w:rsid w:val="004F37BE"/>
    <w:rsid w:val="004F3878"/>
    <w:rsid w:val="004F3A0E"/>
    <w:rsid w:val="004F3F12"/>
    <w:rsid w:val="004F48A2"/>
    <w:rsid w:val="004F4921"/>
    <w:rsid w:val="004F4BE7"/>
    <w:rsid w:val="004F4D08"/>
    <w:rsid w:val="004F4E03"/>
    <w:rsid w:val="004F4E31"/>
    <w:rsid w:val="004F4E3A"/>
    <w:rsid w:val="004F4E6A"/>
    <w:rsid w:val="004F4E8E"/>
    <w:rsid w:val="004F5967"/>
    <w:rsid w:val="004F5AF3"/>
    <w:rsid w:val="004F5D07"/>
    <w:rsid w:val="004F60BE"/>
    <w:rsid w:val="004F632C"/>
    <w:rsid w:val="004F6E5C"/>
    <w:rsid w:val="004F6EAF"/>
    <w:rsid w:val="004F71EC"/>
    <w:rsid w:val="004F775A"/>
    <w:rsid w:val="004F7891"/>
    <w:rsid w:val="00500526"/>
    <w:rsid w:val="0050083B"/>
    <w:rsid w:val="00500D01"/>
    <w:rsid w:val="0050110A"/>
    <w:rsid w:val="005013F6"/>
    <w:rsid w:val="00501921"/>
    <w:rsid w:val="00501F4E"/>
    <w:rsid w:val="00501FED"/>
    <w:rsid w:val="005023F3"/>
    <w:rsid w:val="00502609"/>
    <w:rsid w:val="00502631"/>
    <w:rsid w:val="00502668"/>
    <w:rsid w:val="00502E18"/>
    <w:rsid w:val="00502F8D"/>
    <w:rsid w:val="005035D5"/>
    <w:rsid w:val="005041DE"/>
    <w:rsid w:val="00504643"/>
    <w:rsid w:val="0050495F"/>
    <w:rsid w:val="00504BE2"/>
    <w:rsid w:val="00504D06"/>
    <w:rsid w:val="00504D98"/>
    <w:rsid w:val="005057A3"/>
    <w:rsid w:val="00505C28"/>
    <w:rsid w:val="00505CF1"/>
    <w:rsid w:val="00505DD5"/>
    <w:rsid w:val="00506344"/>
    <w:rsid w:val="005063E2"/>
    <w:rsid w:val="005065F2"/>
    <w:rsid w:val="005069D3"/>
    <w:rsid w:val="00506B50"/>
    <w:rsid w:val="00507010"/>
    <w:rsid w:val="0050725D"/>
    <w:rsid w:val="005075C4"/>
    <w:rsid w:val="0051008E"/>
    <w:rsid w:val="005107AF"/>
    <w:rsid w:val="00510F89"/>
    <w:rsid w:val="00510FDA"/>
    <w:rsid w:val="005111F2"/>
    <w:rsid w:val="00511367"/>
    <w:rsid w:val="005114BD"/>
    <w:rsid w:val="00511571"/>
    <w:rsid w:val="005115F3"/>
    <w:rsid w:val="0051174D"/>
    <w:rsid w:val="00511AA0"/>
    <w:rsid w:val="00511CF8"/>
    <w:rsid w:val="005123DD"/>
    <w:rsid w:val="00512D42"/>
    <w:rsid w:val="00512E2C"/>
    <w:rsid w:val="00512EC7"/>
    <w:rsid w:val="0051304E"/>
    <w:rsid w:val="0051322C"/>
    <w:rsid w:val="0051364C"/>
    <w:rsid w:val="005138AC"/>
    <w:rsid w:val="00513AA0"/>
    <w:rsid w:val="0051437B"/>
    <w:rsid w:val="0051474D"/>
    <w:rsid w:val="00514DD0"/>
    <w:rsid w:val="005154FB"/>
    <w:rsid w:val="0051553B"/>
    <w:rsid w:val="00515858"/>
    <w:rsid w:val="00515B7F"/>
    <w:rsid w:val="00515D73"/>
    <w:rsid w:val="00516723"/>
    <w:rsid w:val="00517242"/>
    <w:rsid w:val="0051732A"/>
    <w:rsid w:val="005173FF"/>
    <w:rsid w:val="005175C4"/>
    <w:rsid w:val="00517738"/>
    <w:rsid w:val="0051782E"/>
    <w:rsid w:val="00517C76"/>
    <w:rsid w:val="00520124"/>
    <w:rsid w:val="00521131"/>
    <w:rsid w:val="005217A7"/>
    <w:rsid w:val="00521CC2"/>
    <w:rsid w:val="00521D36"/>
    <w:rsid w:val="00522118"/>
    <w:rsid w:val="00522997"/>
    <w:rsid w:val="00523932"/>
    <w:rsid w:val="00523B10"/>
    <w:rsid w:val="00523D39"/>
    <w:rsid w:val="00523F6B"/>
    <w:rsid w:val="0052451D"/>
    <w:rsid w:val="0052474F"/>
    <w:rsid w:val="005249DB"/>
    <w:rsid w:val="00525073"/>
    <w:rsid w:val="0052522F"/>
    <w:rsid w:val="00525373"/>
    <w:rsid w:val="0052682D"/>
    <w:rsid w:val="00526832"/>
    <w:rsid w:val="005269D8"/>
    <w:rsid w:val="00526AE4"/>
    <w:rsid w:val="005271B3"/>
    <w:rsid w:val="005274F9"/>
    <w:rsid w:val="00527502"/>
    <w:rsid w:val="00527BE2"/>
    <w:rsid w:val="00527C67"/>
    <w:rsid w:val="0053004E"/>
    <w:rsid w:val="005302DB"/>
    <w:rsid w:val="005303A4"/>
    <w:rsid w:val="00530708"/>
    <w:rsid w:val="0053080A"/>
    <w:rsid w:val="00530A98"/>
    <w:rsid w:val="00530CD6"/>
    <w:rsid w:val="00530D28"/>
    <w:rsid w:val="00530E7C"/>
    <w:rsid w:val="005315A6"/>
    <w:rsid w:val="005321DA"/>
    <w:rsid w:val="00532439"/>
    <w:rsid w:val="005332EA"/>
    <w:rsid w:val="0053364C"/>
    <w:rsid w:val="005347A1"/>
    <w:rsid w:val="0053487B"/>
    <w:rsid w:val="0053488A"/>
    <w:rsid w:val="0053492D"/>
    <w:rsid w:val="00534AB0"/>
    <w:rsid w:val="00534C01"/>
    <w:rsid w:val="00534CD7"/>
    <w:rsid w:val="00534E2D"/>
    <w:rsid w:val="00534F59"/>
    <w:rsid w:val="00535030"/>
    <w:rsid w:val="00535411"/>
    <w:rsid w:val="005355AE"/>
    <w:rsid w:val="005356A8"/>
    <w:rsid w:val="005357C5"/>
    <w:rsid w:val="00535DED"/>
    <w:rsid w:val="005366C3"/>
    <w:rsid w:val="00536CF0"/>
    <w:rsid w:val="00536F3A"/>
    <w:rsid w:val="00537245"/>
    <w:rsid w:val="00537544"/>
    <w:rsid w:val="00537B2D"/>
    <w:rsid w:val="00537C4A"/>
    <w:rsid w:val="0054019B"/>
    <w:rsid w:val="00540203"/>
    <w:rsid w:val="005408AA"/>
    <w:rsid w:val="005408D5"/>
    <w:rsid w:val="00540B43"/>
    <w:rsid w:val="00540DB0"/>
    <w:rsid w:val="00541290"/>
    <w:rsid w:val="00541744"/>
    <w:rsid w:val="00541901"/>
    <w:rsid w:val="005422E1"/>
    <w:rsid w:val="005423F8"/>
    <w:rsid w:val="005425F7"/>
    <w:rsid w:val="0054292A"/>
    <w:rsid w:val="005429A6"/>
    <w:rsid w:val="00542C09"/>
    <w:rsid w:val="00543062"/>
    <w:rsid w:val="0054359C"/>
    <w:rsid w:val="005436FF"/>
    <w:rsid w:val="005438E6"/>
    <w:rsid w:val="0054403D"/>
    <w:rsid w:val="00544048"/>
    <w:rsid w:val="0054409A"/>
    <w:rsid w:val="005446F5"/>
    <w:rsid w:val="0054471E"/>
    <w:rsid w:val="00544740"/>
    <w:rsid w:val="00544882"/>
    <w:rsid w:val="005450EC"/>
    <w:rsid w:val="0054571D"/>
    <w:rsid w:val="005459A2"/>
    <w:rsid w:val="00546B57"/>
    <w:rsid w:val="00546BFA"/>
    <w:rsid w:val="00546EC1"/>
    <w:rsid w:val="005476F8"/>
    <w:rsid w:val="005478D8"/>
    <w:rsid w:val="00547913"/>
    <w:rsid w:val="00547EB7"/>
    <w:rsid w:val="00550462"/>
    <w:rsid w:val="005508DA"/>
    <w:rsid w:val="005509BB"/>
    <w:rsid w:val="00550FFF"/>
    <w:rsid w:val="005518B9"/>
    <w:rsid w:val="005519C3"/>
    <w:rsid w:val="0055213F"/>
    <w:rsid w:val="0055259B"/>
    <w:rsid w:val="00552804"/>
    <w:rsid w:val="00552A69"/>
    <w:rsid w:val="00552AA8"/>
    <w:rsid w:val="00552ABE"/>
    <w:rsid w:val="00552F04"/>
    <w:rsid w:val="00553517"/>
    <w:rsid w:val="005537DE"/>
    <w:rsid w:val="00553B03"/>
    <w:rsid w:val="00553D86"/>
    <w:rsid w:val="0055483C"/>
    <w:rsid w:val="00554C9D"/>
    <w:rsid w:val="00554CEA"/>
    <w:rsid w:val="00554F5B"/>
    <w:rsid w:val="00554F94"/>
    <w:rsid w:val="005550A0"/>
    <w:rsid w:val="0055528E"/>
    <w:rsid w:val="005553DC"/>
    <w:rsid w:val="005556CA"/>
    <w:rsid w:val="00555808"/>
    <w:rsid w:val="00555C0A"/>
    <w:rsid w:val="00555C9A"/>
    <w:rsid w:val="005565C6"/>
    <w:rsid w:val="005573E4"/>
    <w:rsid w:val="00557A02"/>
    <w:rsid w:val="0056003D"/>
    <w:rsid w:val="005600B1"/>
    <w:rsid w:val="005606A3"/>
    <w:rsid w:val="005606EA"/>
    <w:rsid w:val="00560A21"/>
    <w:rsid w:val="00560DBC"/>
    <w:rsid w:val="00561334"/>
    <w:rsid w:val="0056166B"/>
    <w:rsid w:val="005621F4"/>
    <w:rsid w:val="005626DB"/>
    <w:rsid w:val="00562A08"/>
    <w:rsid w:val="00562AED"/>
    <w:rsid w:val="0056303B"/>
    <w:rsid w:val="005633B2"/>
    <w:rsid w:val="0056371D"/>
    <w:rsid w:val="00563C41"/>
    <w:rsid w:val="00564099"/>
    <w:rsid w:val="00564315"/>
    <w:rsid w:val="005645AA"/>
    <w:rsid w:val="00564F93"/>
    <w:rsid w:val="0056507E"/>
    <w:rsid w:val="00565250"/>
    <w:rsid w:val="00565264"/>
    <w:rsid w:val="00565971"/>
    <w:rsid w:val="005665AE"/>
    <w:rsid w:val="005666FE"/>
    <w:rsid w:val="00566AE7"/>
    <w:rsid w:val="00566C60"/>
    <w:rsid w:val="00566E2B"/>
    <w:rsid w:val="00566EF9"/>
    <w:rsid w:val="00567082"/>
    <w:rsid w:val="005674EB"/>
    <w:rsid w:val="00567827"/>
    <w:rsid w:val="00567AB2"/>
    <w:rsid w:val="00567C26"/>
    <w:rsid w:val="00567DF5"/>
    <w:rsid w:val="00567E6D"/>
    <w:rsid w:val="00567EB5"/>
    <w:rsid w:val="005707BD"/>
    <w:rsid w:val="00570E18"/>
    <w:rsid w:val="005711E1"/>
    <w:rsid w:val="00572219"/>
    <w:rsid w:val="00572440"/>
    <w:rsid w:val="0057299E"/>
    <w:rsid w:val="00573315"/>
    <w:rsid w:val="005735B2"/>
    <w:rsid w:val="0057391F"/>
    <w:rsid w:val="00573BA2"/>
    <w:rsid w:val="0057463A"/>
    <w:rsid w:val="00574641"/>
    <w:rsid w:val="0057468A"/>
    <w:rsid w:val="00574762"/>
    <w:rsid w:val="0057520B"/>
    <w:rsid w:val="00575583"/>
    <w:rsid w:val="00575FE2"/>
    <w:rsid w:val="005762E7"/>
    <w:rsid w:val="00576373"/>
    <w:rsid w:val="005768CC"/>
    <w:rsid w:val="00576B02"/>
    <w:rsid w:val="00576B0E"/>
    <w:rsid w:val="00576BF2"/>
    <w:rsid w:val="00576C4C"/>
    <w:rsid w:val="00576DE1"/>
    <w:rsid w:val="00576E77"/>
    <w:rsid w:val="00577154"/>
    <w:rsid w:val="005773C9"/>
    <w:rsid w:val="00577412"/>
    <w:rsid w:val="005775B7"/>
    <w:rsid w:val="00577EEC"/>
    <w:rsid w:val="00580413"/>
    <w:rsid w:val="0058062E"/>
    <w:rsid w:val="0058070C"/>
    <w:rsid w:val="00580F26"/>
    <w:rsid w:val="005813A2"/>
    <w:rsid w:val="005813FC"/>
    <w:rsid w:val="00581507"/>
    <w:rsid w:val="00581BA4"/>
    <w:rsid w:val="00581EDD"/>
    <w:rsid w:val="00582029"/>
    <w:rsid w:val="005825BA"/>
    <w:rsid w:val="00582D93"/>
    <w:rsid w:val="00582E9D"/>
    <w:rsid w:val="00582EE9"/>
    <w:rsid w:val="00583026"/>
    <w:rsid w:val="005837DC"/>
    <w:rsid w:val="00583BBD"/>
    <w:rsid w:val="00583CF3"/>
    <w:rsid w:val="0058412B"/>
    <w:rsid w:val="005845A4"/>
    <w:rsid w:val="005846CE"/>
    <w:rsid w:val="00584AFF"/>
    <w:rsid w:val="00584FB1"/>
    <w:rsid w:val="005850D8"/>
    <w:rsid w:val="00585371"/>
    <w:rsid w:val="005854ED"/>
    <w:rsid w:val="00585B0B"/>
    <w:rsid w:val="00586887"/>
    <w:rsid w:val="00586EDE"/>
    <w:rsid w:val="00586EE6"/>
    <w:rsid w:val="00587379"/>
    <w:rsid w:val="00587753"/>
    <w:rsid w:val="00587BF5"/>
    <w:rsid w:val="005905B7"/>
    <w:rsid w:val="00590FF3"/>
    <w:rsid w:val="00591049"/>
    <w:rsid w:val="00591361"/>
    <w:rsid w:val="005914FE"/>
    <w:rsid w:val="00591509"/>
    <w:rsid w:val="00591D12"/>
    <w:rsid w:val="005922B0"/>
    <w:rsid w:val="005926EB"/>
    <w:rsid w:val="00592703"/>
    <w:rsid w:val="0059296C"/>
    <w:rsid w:val="00592BFE"/>
    <w:rsid w:val="00592E81"/>
    <w:rsid w:val="00592FC5"/>
    <w:rsid w:val="005935FE"/>
    <w:rsid w:val="00593B26"/>
    <w:rsid w:val="00593B48"/>
    <w:rsid w:val="00593B6E"/>
    <w:rsid w:val="00593CB2"/>
    <w:rsid w:val="00593EA9"/>
    <w:rsid w:val="0059409F"/>
    <w:rsid w:val="00594305"/>
    <w:rsid w:val="00594FC3"/>
    <w:rsid w:val="005950E1"/>
    <w:rsid w:val="005957DD"/>
    <w:rsid w:val="00595909"/>
    <w:rsid w:val="00595EB6"/>
    <w:rsid w:val="005967F9"/>
    <w:rsid w:val="0059774F"/>
    <w:rsid w:val="00597F48"/>
    <w:rsid w:val="00597F7C"/>
    <w:rsid w:val="005A0779"/>
    <w:rsid w:val="005A1006"/>
    <w:rsid w:val="005A1393"/>
    <w:rsid w:val="005A1434"/>
    <w:rsid w:val="005A15A7"/>
    <w:rsid w:val="005A180B"/>
    <w:rsid w:val="005A188E"/>
    <w:rsid w:val="005A1AB2"/>
    <w:rsid w:val="005A1CFF"/>
    <w:rsid w:val="005A1D45"/>
    <w:rsid w:val="005A2321"/>
    <w:rsid w:val="005A2D31"/>
    <w:rsid w:val="005A3419"/>
    <w:rsid w:val="005A3459"/>
    <w:rsid w:val="005A36D7"/>
    <w:rsid w:val="005A3F50"/>
    <w:rsid w:val="005A42A9"/>
    <w:rsid w:val="005A5057"/>
    <w:rsid w:val="005A50AC"/>
    <w:rsid w:val="005A51DD"/>
    <w:rsid w:val="005A5434"/>
    <w:rsid w:val="005A55B8"/>
    <w:rsid w:val="005A5AAB"/>
    <w:rsid w:val="005A5E6D"/>
    <w:rsid w:val="005A64F6"/>
    <w:rsid w:val="005A67D8"/>
    <w:rsid w:val="005A7771"/>
    <w:rsid w:val="005A7CCA"/>
    <w:rsid w:val="005B0264"/>
    <w:rsid w:val="005B030E"/>
    <w:rsid w:val="005B0A11"/>
    <w:rsid w:val="005B0E4B"/>
    <w:rsid w:val="005B1097"/>
    <w:rsid w:val="005B14C8"/>
    <w:rsid w:val="005B1F7E"/>
    <w:rsid w:val="005B2286"/>
    <w:rsid w:val="005B2956"/>
    <w:rsid w:val="005B2AF7"/>
    <w:rsid w:val="005B2BA0"/>
    <w:rsid w:val="005B2CD4"/>
    <w:rsid w:val="005B3681"/>
    <w:rsid w:val="005B3714"/>
    <w:rsid w:val="005B3BBF"/>
    <w:rsid w:val="005B3D94"/>
    <w:rsid w:val="005B3EB9"/>
    <w:rsid w:val="005B41B9"/>
    <w:rsid w:val="005B43C5"/>
    <w:rsid w:val="005B461C"/>
    <w:rsid w:val="005B5599"/>
    <w:rsid w:val="005B575E"/>
    <w:rsid w:val="005B6BF4"/>
    <w:rsid w:val="005B74C4"/>
    <w:rsid w:val="005B75CC"/>
    <w:rsid w:val="005B78E8"/>
    <w:rsid w:val="005C0370"/>
    <w:rsid w:val="005C0C40"/>
    <w:rsid w:val="005C0CF3"/>
    <w:rsid w:val="005C0EC0"/>
    <w:rsid w:val="005C0F53"/>
    <w:rsid w:val="005C1023"/>
    <w:rsid w:val="005C116C"/>
    <w:rsid w:val="005C128F"/>
    <w:rsid w:val="005C1394"/>
    <w:rsid w:val="005C174E"/>
    <w:rsid w:val="005C176B"/>
    <w:rsid w:val="005C1E4F"/>
    <w:rsid w:val="005C2406"/>
    <w:rsid w:val="005C2525"/>
    <w:rsid w:val="005C26B2"/>
    <w:rsid w:val="005C2903"/>
    <w:rsid w:val="005C2A70"/>
    <w:rsid w:val="005C2F5C"/>
    <w:rsid w:val="005C2FFB"/>
    <w:rsid w:val="005C317A"/>
    <w:rsid w:val="005C31F3"/>
    <w:rsid w:val="005C361D"/>
    <w:rsid w:val="005C3D04"/>
    <w:rsid w:val="005C3DA5"/>
    <w:rsid w:val="005C3FA1"/>
    <w:rsid w:val="005C4071"/>
    <w:rsid w:val="005C497B"/>
    <w:rsid w:val="005C4E50"/>
    <w:rsid w:val="005C5277"/>
    <w:rsid w:val="005C5283"/>
    <w:rsid w:val="005C5515"/>
    <w:rsid w:val="005C5ADF"/>
    <w:rsid w:val="005C5CDA"/>
    <w:rsid w:val="005C608B"/>
    <w:rsid w:val="005C64C7"/>
    <w:rsid w:val="005C6607"/>
    <w:rsid w:val="005C660B"/>
    <w:rsid w:val="005C6D3D"/>
    <w:rsid w:val="005C771F"/>
    <w:rsid w:val="005D06DD"/>
    <w:rsid w:val="005D13F3"/>
    <w:rsid w:val="005D1A88"/>
    <w:rsid w:val="005D218E"/>
    <w:rsid w:val="005D2250"/>
    <w:rsid w:val="005D2260"/>
    <w:rsid w:val="005D2570"/>
    <w:rsid w:val="005D267C"/>
    <w:rsid w:val="005D2C7F"/>
    <w:rsid w:val="005D335D"/>
    <w:rsid w:val="005D3B4D"/>
    <w:rsid w:val="005D3B7D"/>
    <w:rsid w:val="005D3EAD"/>
    <w:rsid w:val="005D3F70"/>
    <w:rsid w:val="005D4571"/>
    <w:rsid w:val="005D4753"/>
    <w:rsid w:val="005D509B"/>
    <w:rsid w:val="005D58D1"/>
    <w:rsid w:val="005D6BFF"/>
    <w:rsid w:val="005D6F7E"/>
    <w:rsid w:val="005D720A"/>
    <w:rsid w:val="005D72C0"/>
    <w:rsid w:val="005D765C"/>
    <w:rsid w:val="005D78D1"/>
    <w:rsid w:val="005D79D6"/>
    <w:rsid w:val="005D7B0A"/>
    <w:rsid w:val="005E06DF"/>
    <w:rsid w:val="005E06FF"/>
    <w:rsid w:val="005E151E"/>
    <w:rsid w:val="005E17F9"/>
    <w:rsid w:val="005E189C"/>
    <w:rsid w:val="005E1A8B"/>
    <w:rsid w:val="005E1F4C"/>
    <w:rsid w:val="005E2129"/>
    <w:rsid w:val="005E2477"/>
    <w:rsid w:val="005E25EE"/>
    <w:rsid w:val="005E27EA"/>
    <w:rsid w:val="005E29CE"/>
    <w:rsid w:val="005E2C60"/>
    <w:rsid w:val="005E2DBB"/>
    <w:rsid w:val="005E326F"/>
    <w:rsid w:val="005E3643"/>
    <w:rsid w:val="005E372B"/>
    <w:rsid w:val="005E38D9"/>
    <w:rsid w:val="005E3D4A"/>
    <w:rsid w:val="005E3F00"/>
    <w:rsid w:val="005E3F7E"/>
    <w:rsid w:val="005E4635"/>
    <w:rsid w:val="005E4D94"/>
    <w:rsid w:val="005E4EB8"/>
    <w:rsid w:val="005E4FF0"/>
    <w:rsid w:val="005E573A"/>
    <w:rsid w:val="005E5942"/>
    <w:rsid w:val="005E5CB3"/>
    <w:rsid w:val="005E604A"/>
    <w:rsid w:val="005E6BFC"/>
    <w:rsid w:val="005E7383"/>
    <w:rsid w:val="005E74F4"/>
    <w:rsid w:val="005E76CF"/>
    <w:rsid w:val="005F01D9"/>
    <w:rsid w:val="005F0349"/>
    <w:rsid w:val="005F045B"/>
    <w:rsid w:val="005F0589"/>
    <w:rsid w:val="005F058A"/>
    <w:rsid w:val="005F0950"/>
    <w:rsid w:val="005F09EB"/>
    <w:rsid w:val="005F0B29"/>
    <w:rsid w:val="005F0D5C"/>
    <w:rsid w:val="005F13DA"/>
    <w:rsid w:val="005F149F"/>
    <w:rsid w:val="005F1AD9"/>
    <w:rsid w:val="005F2687"/>
    <w:rsid w:val="005F26AC"/>
    <w:rsid w:val="005F2796"/>
    <w:rsid w:val="005F3022"/>
    <w:rsid w:val="005F3041"/>
    <w:rsid w:val="005F43AE"/>
    <w:rsid w:val="005F4B75"/>
    <w:rsid w:val="005F4C2D"/>
    <w:rsid w:val="005F4E87"/>
    <w:rsid w:val="005F4EF1"/>
    <w:rsid w:val="005F585A"/>
    <w:rsid w:val="005F601E"/>
    <w:rsid w:val="005F6077"/>
    <w:rsid w:val="005F6171"/>
    <w:rsid w:val="005F622B"/>
    <w:rsid w:val="005F637A"/>
    <w:rsid w:val="005F6CDD"/>
    <w:rsid w:val="005F7336"/>
    <w:rsid w:val="005F7393"/>
    <w:rsid w:val="005F7666"/>
    <w:rsid w:val="005F79B7"/>
    <w:rsid w:val="005F7AAD"/>
    <w:rsid w:val="005F7C32"/>
    <w:rsid w:val="005F7FF7"/>
    <w:rsid w:val="006002D7"/>
    <w:rsid w:val="00600904"/>
    <w:rsid w:val="00600944"/>
    <w:rsid w:val="006015B4"/>
    <w:rsid w:val="00601623"/>
    <w:rsid w:val="00601AEE"/>
    <w:rsid w:val="00601BB9"/>
    <w:rsid w:val="00601E9D"/>
    <w:rsid w:val="006023E5"/>
    <w:rsid w:val="00602526"/>
    <w:rsid w:val="00602FBC"/>
    <w:rsid w:val="0060315E"/>
    <w:rsid w:val="00603613"/>
    <w:rsid w:val="00603AA3"/>
    <w:rsid w:val="00603E54"/>
    <w:rsid w:val="006041FE"/>
    <w:rsid w:val="006043F2"/>
    <w:rsid w:val="00604447"/>
    <w:rsid w:val="00604474"/>
    <w:rsid w:val="00604478"/>
    <w:rsid w:val="0060448C"/>
    <w:rsid w:val="006049EB"/>
    <w:rsid w:val="006056B2"/>
    <w:rsid w:val="006056CA"/>
    <w:rsid w:val="00605CEF"/>
    <w:rsid w:val="00605F5F"/>
    <w:rsid w:val="0060611E"/>
    <w:rsid w:val="0060631A"/>
    <w:rsid w:val="00606656"/>
    <w:rsid w:val="006068B7"/>
    <w:rsid w:val="00606B42"/>
    <w:rsid w:val="00606D42"/>
    <w:rsid w:val="00606E9E"/>
    <w:rsid w:val="006071B9"/>
    <w:rsid w:val="00607384"/>
    <w:rsid w:val="00607767"/>
    <w:rsid w:val="00607B3F"/>
    <w:rsid w:val="00607C06"/>
    <w:rsid w:val="00607E41"/>
    <w:rsid w:val="00607FD3"/>
    <w:rsid w:val="0061005C"/>
    <w:rsid w:val="00610419"/>
    <w:rsid w:val="0061090E"/>
    <w:rsid w:val="00610FF2"/>
    <w:rsid w:val="006112BD"/>
    <w:rsid w:val="00611BC3"/>
    <w:rsid w:val="00611EEE"/>
    <w:rsid w:val="00612373"/>
    <w:rsid w:val="0061245D"/>
    <w:rsid w:val="00612ABD"/>
    <w:rsid w:val="00612C19"/>
    <w:rsid w:val="00612D32"/>
    <w:rsid w:val="00613144"/>
    <w:rsid w:val="0061324F"/>
    <w:rsid w:val="00613EDF"/>
    <w:rsid w:val="006143FB"/>
    <w:rsid w:val="00614501"/>
    <w:rsid w:val="006145EB"/>
    <w:rsid w:val="0061498C"/>
    <w:rsid w:val="006149F5"/>
    <w:rsid w:val="00614C26"/>
    <w:rsid w:val="00614FDC"/>
    <w:rsid w:val="006154CF"/>
    <w:rsid w:val="0061569A"/>
    <w:rsid w:val="00615CA2"/>
    <w:rsid w:val="00615E70"/>
    <w:rsid w:val="006162DD"/>
    <w:rsid w:val="0061646C"/>
    <w:rsid w:val="0061664F"/>
    <w:rsid w:val="006166D9"/>
    <w:rsid w:val="00616B00"/>
    <w:rsid w:val="00616F20"/>
    <w:rsid w:val="00617191"/>
    <w:rsid w:val="006172F9"/>
    <w:rsid w:val="00617528"/>
    <w:rsid w:val="00617CF7"/>
    <w:rsid w:val="0062027F"/>
    <w:rsid w:val="00621730"/>
    <w:rsid w:val="0062181D"/>
    <w:rsid w:val="006218E1"/>
    <w:rsid w:val="00621C84"/>
    <w:rsid w:val="00622554"/>
    <w:rsid w:val="0062280C"/>
    <w:rsid w:val="00622A6C"/>
    <w:rsid w:val="006230A9"/>
    <w:rsid w:val="006231AB"/>
    <w:rsid w:val="00623250"/>
    <w:rsid w:val="00623980"/>
    <w:rsid w:val="00623BC3"/>
    <w:rsid w:val="00623FE4"/>
    <w:rsid w:val="006240AA"/>
    <w:rsid w:val="00624307"/>
    <w:rsid w:val="006247F6"/>
    <w:rsid w:val="0062497A"/>
    <w:rsid w:val="0062542F"/>
    <w:rsid w:val="00625745"/>
    <w:rsid w:val="00625D16"/>
    <w:rsid w:val="006265EB"/>
    <w:rsid w:val="0062700A"/>
    <w:rsid w:val="0062703C"/>
    <w:rsid w:val="006275AA"/>
    <w:rsid w:val="00627827"/>
    <w:rsid w:val="00627F06"/>
    <w:rsid w:val="006306E1"/>
    <w:rsid w:val="006308C6"/>
    <w:rsid w:val="006309A5"/>
    <w:rsid w:val="00631512"/>
    <w:rsid w:val="006318A1"/>
    <w:rsid w:val="00631B1A"/>
    <w:rsid w:val="00631B84"/>
    <w:rsid w:val="00631CA6"/>
    <w:rsid w:val="00631D72"/>
    <w:rsid w:val="00631FFA"/>
    <w:rsid w:val="00632427"/>
    <w:rsid w:val="00632BCB"/>
    <w:rsid w:val="00632FA9"/>
    <w:rsid w:val="00633845"/>
    <w:rsid w:val="00633E81"/>
    <w:rsid w:val="00634946"/>
    <w:rsid w:val="00634ADC"/>
    <w:rsid w:val="00634D8F"/>
    <w:rsid w:val="006351E0"/>
    <w:rsid w:val="006352BF"/>
    <w:rsid w:val="00635B2F"/>
    <w:rsid w:val="00636289"/>
    <w:rsid w:val="00636E03"/>
    <w:rsid w:val="00637880"/>
    <w:rsid w:val="006400EF"/>
    <w:rsid w:val="0064058F"/>
    <w:rsid w:val="00640C77"/>
    <w:rsid w:val="00640E01"/>
    <w:rsid w:val="00640E83"/>
    <w:rsid w:val="00640EB5"/>
    <w:rsid w:val="00640FC0"/>
    <w:rsid w:val="00640FD0"/>
    <w:rsid w:val="00641247"/>
    <w:rsid w:val="00641C93"/>
    <w:rsid w:val="00641DBD"/>
    <w:rsid w:val="00641DC9"/>
    <w:rsid w:val="00641E18"/>
    <w:rsid w:val="00641F35"/>
    <w:rsid w:val="00642534"/>
    <w:rsid w:val="00642C5D"/>
    <w:rsid w:val="00642DAD"/>
    <w:rsid w:val="00642FD7"/>
    <w:rsid w:val="00642FD9"/>
    <w:rsid w:val="00643053"/>
    <w:rsid w:val="00643A42"/>
    <w:rsid w:val="0064413E"/>
    <w:rsid w:val="00644207"/>
    <w:rsid w:val="00644415"/>
    <w:rsid w:val="006446DE"/>
    <w:rsid w:val="006447B2"/>
    <w:rsid w:val="0064549B"/>
    <w:rsid w:val="0064596F"/>
    <w:rsid w:val="00645CCC"/>
    <w:rsid w:val="00645EEF"/>
    <w:rsid w:val="00645F80"/>
    <w:rsid w:val="00646084"/>
    <w:rsid w:val="006461FA"/>
    <w:rsid w:val="00646222"/>
    <w:rsid w:val="006464B7"/>
    <w:rsid w:val="0064656F"/>
    <w:rsid w:val="00646E90"/>
    <w:rsid w:val="00646FA8"/>
    <w:rsid w:val="00647382"/>
    <w:rsid w:val="00647646"/>
    <w:rsid w:val="00647680"/>
    <w:rsid w:val="0064770E"/>
    <w:rsid w:val="00647779"/>
    <w:rsid w:val="006507D1"/>
    <w:rsid w:val="00650A75"/>
    <w:rsid w:val="00650F82"/>
    <w:rsid w:val="0065125E"/>
    <w:rsid w:val="006513D2"/>
    <w:rsid w:val="00652130"/>
    <w:rsid w:val="006521F8"/>
    <w:rsid w:val="00652275"/>
    <w:rsid w:val="00652324"/>
    <w:rsid w:val="006526DA"/>
    <w:rsid w:val="00652A75"/>
    <w:rsid w:val="00652F23"/>
    <w:rsid w:val="0065319E"/>
    <w:rsid w:val="00653398"/>
    <w:rsid w:val="0065341A"/>
    <w:rsid w:val="006539EC"/>
    <w:rsid w:val="00653AFA"/>
    <w:rsid w:val="00653BDE"/>
    <w:rsid w:val="00653E40"/>
    <w:rsid w:val="006542A9"/>
    <w:rsid w:val="006546B9"/>
    <w:rsid w:val="006546FC"/>
    <w:rsid w:val="00654BBA"/>
    <w:rsid w:val="00654FC5"/>
    <w:rsid w:val="00655631"/>
    <w:rsid w:val="006558A6"/>
    <w:rsid w:val="00655A90"/>
    <w:rsid w:val="00655BFB"/>
    <w:rsid w:val="00655E1E"/>
    <w:rsid w:val="0065642E"/>
    <w:rsid w:val="006568D4"/>
    <w:rsid w:val="00656CD2"/>
    <w:rsid w:val="00656E10"/>
    <w:rsid w:val="00657448"/>
    <w:rsid w:val="0066022F"/>
    <w:rsid w:val="00660332"/>
    <w:rsid w:val="00660559"/>
    <w:rsid w:val="0066071A"/>
    <w:rsid w:val="00660909"/>
    <w:rsid w:val="0066095C"/>
    <w:rsid w:val="0066132C"/>
    <w:rsid w:val="006620FF"/>
    <w:rsid w:val="006624BB"/>
    <w:rsid w:val="0066259F"/>
    <w:rsid w:val="006625CA"/>
    <w:rsid w:val="00662704"/>
    <w:rsid w:val="00662C3F"/>
    <w:rsid w:val="0066312E"/>
    <w:rsid w:val="00663278"/>
    <w:rsid w:val="006637B2"/>
    <w:rsid w:val="006637B3"/>
    <w:rsid w:val="0066396F"/>
    <w:rsid w:val="0066398D"/>
    <w:rsid w:val="00664152"/>
    <w:rsid w:val="0066464E"/>
    <w:rsid w:val="0066498A"/>
    <w:rsid w:val="00664AE1"/>
    <w:rsid w:val="00664D6F"/>
    <w:rsid w:val="00665338"/>
    <w:rsid w:val="00665BDD"/>
    <w:rsid w:val="00666012"/>
    <w:rsid w:val="006662E0"/>
    <w:rsid w:val="0066777D"/>
    <w:rsid w:val="00667C80"/>
    <w:rsid w:val="00667EFA"/>
    <w:rsid w:val="00670049"/>
    <w:rsid w:val="00670397"/>
    <w:rsid w:val="00670427"/>
    <w:rsid w:val="00670490"/>
    <w:rsid w:val="0067082D"/>
    <w:rsid w:val="00670D9F"/>
    <w:rsid w:val="0067110F"/>
    <w:rsid w:val="00671671"/>
    <w:rsid w:val="006718B7"/>
    <w:rsid w:val="00671B18"/>
    <w:rsid w:val="0067215E"/>
    <w:rsid w:val="00672184"/>
    <w:rsid w:val="006721F6"/>
    <w:rsid w:val="0067230A"/>
    <w:rsid w:val="006723CB"/>
    <w:rsid w:val="00672673"/>
    <w:rsid w:val="0067275C"/>
    <w:rsid w:val="00672EE1"/>
    <w:rsid w:val="006734B4"/>
    <w:rsid w:val="00673765"/>
    <w:rsid w:val="00673CF7"/>
    <w:rsid w:val="00673D70"/>
    <w:rsid w:val="00673D9E"/>
    <w:rsid w:val="00673FD1"/>
    <w:rsid w:val="006745EF"/>
    <w:rsid w:val="00674959"/>
    <w:rsid w:val="00674AF6"/>
    <w:rsid w:val="00674B01"/>
    <w:rsid w:val="00674B5D"/>
    <w:rsid w:val="00674C3A"/>
    <w:rsid w:val="00674F34"/>
    <w:rsid w:val="006753FD"/>
    <w:rsid w:val="00675592"/>
    <w:rsid w:val="00675654"/>
    <w:rsid w:val="00675CC5"/>
    <w:rsid w:val="00676CF5"/>
    <w:rsid w:val="00677696"/>
    <w:rsid w:val="006776C7"/>
    <w:rsid w:val="00677AD4"/>
    <w:rsid w:val="00677FB0"/>
    <w:rsid w:val="00680191"/>
    <w:rsid w:val="006801EA"/>
    <w:rsid w:val="006812CB"/>
    <w:rsid w:val="00681429"/>
    <w:rsid w:val="00681847"/>
    <w:rsid w:val="0068213D"/>
    <w:rsid w:val="0068243F"/>
    <w:rsid w:val="00682762"/>
    <w:rsid w:val="0068299A"/>
    <w:rsid w:val="00682E8E"/>
    <w:rsid w:val="00683589"/>
    <w:rsid w:val="0068365A"/>
    <w:rsid w:val="006847BB"/>
    <w:rsid w:val="00684C1C"/>
    <w:rsid w:val="00684E52"/>
    <w:rsid w:val="00685596"/>
    <w:rsid w:val="006858A4"/>
    <w:rsid w:val="00685AA4"/>
    <w:rsid w:val="00685C1D"/>
    <w:rsid w:val="00686A89"/>
    <w:rsid w:val="006873D3"/>
    <w:rsid w:val="00687CBB"/>
    <w:rsid w:val="00687EBB"/>
    <w:rsid w:val="006906A3"/>
    <w:rsid w:val="006906AA"/>
    <w:rsid w:val="00690835"/>
    <w:rsid w:val="006908B5"/>
    <w:rsid w:val="006909BE"/>
    <w:rsid w:val="00690C3C"/>
    <w:rsid w:val="00690EC6"/>
    <w:rsid w:val="006912AB"/>
    <w:rsid w:val="006912AD"/>
    <w:rsid w:val="006924AA"/>
    <w:rsid w:val="00692872"/>
    <w:rsid w:val="00692892"/>
    <w:rsid w:val="00693290"/>
    <w:rsid w:val="0069361F"/>
    <w:rsid w:val="00694052"/>
    <w:rsid w:val="00694064"/>
    <w:rsid w:val="006951BB"/>
    <w:rsid w:val="0069627E"/>
    <w:rsid w:val="0069657D"/>
    <w:rsid w:val="00696E14"/>
    <w:rsid w:val="00697B3C"/>
    <w:rsid w:val="006A0229"/>
    <w:rsid w:val="006A0283"/>
    <w:rsid w:val="006A0687"/>
    <w:rsid w:val="006A079F"/>
    <w:rsid w:val="006A1322"/>
    <w:rsid w:val="006A1648"/>
    <w:rsid w:val="006A18DC"/>
    <w:rsid w:val="006A1E34"/>
    <w:rsid w:val="006A24E5"/>
    <w:rsid w:val="006A278A"/>
    <w:rsid w:val="006A2A41"/>
    <w:rsid w:val="006A2BC5"/>
    <w:rsid w:val="006A3764"/>
    <w:rsid w:val="006A37F9"/>
    <w:rsid w:val="006A40F0"/>
    <w:rsid w:val="006A4604"/>
    <w:rsid w:val="006A494F"/>
    <w:rsid w:val="006A49CD"/>
    <w:rsid w:val="006A51EC"/>
    <w:rsid w:val="006A5446"/>
    <w:rsid w:val="006A56BE"/>
    <w:rsid w:val="006A5983"/>
    <w:rsid w:val="006A59CD"/>
    <w:rsid w:val="006A5B4B"/>
    <w:rsid w:val="006A5D55"/>
    <w:rsid w:val="006A6056"/>
    <w:rsid w:val="006A622D"/>
    <w:rsid w:val="006A640E"/>
    <w:rsid w:val="006A65B9"/>
    <w:rsid w:val="006A65BB"/>
    <w:rsid w:val="006A6676"/>
    <w:rsid w:val="006A6AEC"/>
    <w:rsid w:val="006A6BFF"/>
    <w:rsid w:val="006A72DD"/>
    <w:rsid w:val="006A74D1"/>
    <w:rsid w:val="006A75EE"/>
    <w:rsid w:val="006A7719"/>
    <w:rsid w:val="006B072B"/>
    <w:rsid w:val="006B0797"/>
    <w:rsid w:val="006B0914"/>
    <w:rsid w:val="006B0CB0"/>
    <w:rsid w:val="006B0CD4"/>
    <w:rsid w:val="006B12BD"/>
    <w:rsid w:val="006B1C55"/>
    <w:rsid w:val="006B1E8D"/>
    <w:rsid w:val="006B2339"/>
    <w:rsid w:val="006B2515"/>
    <w:rsid w:val="006B2606"/>
    <w:rsid w:val="006B26F4"/>
    <w:rsid w:val="006B27FF"/>
    <w:rsid w:val="006B2BBC"/>
    <w:rsid w:val="006B2DFC"/>
    <w:rsid w:val="006B34C8"/>
    <w:rsid w:val="006B3B59"/>
    <w:rsid w:val="006B3BBC"/>
    <w:rsid w:val="006B402B"/>
    <w:rsid w:val="006B427B"/>
    <w:rsid w:val="006B42D1"/>
    <w:rsid w:val="006B4FBB"/>
    <w:rsid w:val="006B52BB"/>
    <w:rsid w:val="006B678E"/>
    <w:rsid w:val="006B776C"/>
    <w:rsid w:val="006B7A37"/>
    <w:rsid w:val="006C06A9"/>
    <w:rsid w:val="006C07D1"/>
    <w:rsid w:val="006C0843"/>
    <w:rsid w:val="006C0BF1"/>
    <w:rsid w:val="006C0E62"/>
    <w:rsid w:val="006C10DA"/>
    <w:rsid w:val="006C1314"/>
    <w:rsid w:val="006C1D0A"/>
    <w:rsid w:val="006C3069"/>
    <w:rsid w:val="006C3421"/>
    <w:rsid w:val="006C36C2"/>
    <w:rsid w:val="006C3800"/>
    <w:rsid w:val="006C3C78"/>
    <w:rsid w:val="006C3D0D"/>
    <w:rsid w:val="006C495F"/>
    <w:rsid w:val="006C5096"/>
    <w:rsid w:val="006C52B0"/>
    <w:rsid w:val="006C5682"/>
    <w:rsid w:val="006C5AAA"/>
    <w:rsid w:val="006C60DB"/>
    <w:rsid w:val="006C6213"/>
    <w:rsid w:val="006C65CD"/>
    <w:rsid w:val="006C661E"/>
    <w:rsid w:val="006C6C44"/>
    <w:rsid w:val="006C7961"/>
    <w:rsid w:val="006D0B6D"/>
    <w:rsid w:val="006D1279"/>
    <w:rsid w:val="006D13AC"/>
    <w:rsid w:val="006D1B75"/>
    <w:rsid w:val="006D20E9"/>
    <w:rsid w:val="006D210F"/>
    <w:rsid w:val="006D2175"/>
    <w:rsid w:val="006D2374"/>
    <w:rsid w:val="006D24A2"/>
    <w:rsid w:val="006D2586"/>
    <w:rsid w:val="006D2812"/>
    <w:rsid w:val="006D2A91"/>
    <w:rsid w:val="006D2A94"/>
    <w:rsid w:val="006D3225"/>
    <w:rsid w:val="006D3457"/>
    <w:rsid w:val="006D35AA"/>
    <w:rsid w:val="006D38C7"/>
    <w:rsid w:val="006D3E0D"/>
    <w:rsid w:val="006D3FE7"/>
    <w:rsid w:val="006D43CC"/>
    <w:rsid w:val="006D44E4"/>
    <w:rsid w:val="006D4657"/>
    <w:rsid w:val="006D4669"/>
    <w:rsid w:val="006D4ACA"/>
    <w:rsid w:val="006D4CBB"/>
    <w:rsid w:val="006D4D3F"/>
    <w:rsid w:val="006D4F13"/>
    <w:rsid w:val="006D537B"/>
    <w:rsid w:val="006D53F6"/>
    <w:rsid w:val="006D604F"/>
    <w:rsid w:val="006D6265"/>
    <w:rsid w:val="006D6421"/>
    <w:rsid w:val="006D6642"/>
    <w:rsid w:val="006D74A3"/>
    <w:rsid w:val="006D76D0"/>
    <w:rsid w:val="006D790F"/>
    <w:rsid w:val="006D79F3"/>
    <w:rsid w:val="006D7E39"/>
    <w:rsid w:val="006E0562"/>
    <w:rsid w:val="006E1368"/>
    <w:rsid w:val="006E169B"/>
    <w:rsid w:val="006E2599"/>
    <w:rsid w:val="006E26DD"/>
    <w:rsid w:val="006E294C"/>
    <w:rsid w:val="006E3396"/>
    <w:rsid w:val="006E35BD"/>
    <w:rsid w:val="006E3745"/>
    <w:rsid w:val="006E37EE"/>
    <w:rsid w:val="006E391F"/>
    <w:rsid w:val="006E3D69"/>
    <w:rsid w:val="006E3D6C"/>
    <w:rsid w:val="006E4794"/>
    <w:rsid w:val="006E4B17"/>
    <w:rsid w:val="006E4C77"/>
    <w:rsid w:val="006E501B"/>
    <w:rsid w:val="006E504F"/>
    <w:rsid w:val="006E5BF0"/>
    <w:rsid w:val="006E644B"/>
    <w:rsid w:val="006E65A8"/>
    <w:rsid w:val="006E65FF"/>
    <w:rsid w:val="006E6738"/>
    <w:rsid w:val="006E693A"/>
    <w:rsid w:val="006E6971"/>
    <w:rsid w:val="006E75A6"/>
    <w:rsid w:val="006E77D9"/>
    <w:rsid w:val="006E794F"/>
    <w:rsid w:val="006E7C29"/>
    <w:rsid w:val="006F067A"/>
    <w:rsid w:val="006F08D6"/>
    <w:rsid w:val="006F0950"/>
    <w:rsid w:val="006F0B7B"/>
    <w:rsid w:val="006F0C75"/>
    <w:rsid w:val="006F0D6D"/>
    <w:rsid w:val="006F0ECC"/>
    <w:rsid w:val="006F1165"/>
    <w:rsid w:val="006F1A81"/>
    <w:rsid w:val="006F2093"/>
    <w:rsid w:val="006F2746"/>
    <w:rsid w:val="006F292D"/>
    <w:rsid w:val="006F3067"/>
    <w:rsid w:val="006F342B"/>
    <w:rsid w:val="006F3567"/>
    <w:rsid w:val="006F3EA1"/>
    <w:rsid w:val="006F4091"/>
    <w:rsid w:val="006F42C2"/>
    <w:rsid w:val="006F4366"/>
    <w:rsid w:val="006F4376"/>
    <w:rsid w:val="006F4F29"/>
    <w:rsid w:val="006F51FE"/>
    <w:rsid w:val="006F5382"/>
    <w:rsid w:val="006F5938"/>
    <w:rsid w:val="006F5B19"/>
    <w:rsid w:val="006F5F05"/>
    <w:rsid w:val="006F6CFA"/>
    <w:rsid w:val="006F7065"/>
    <w:rsid w:val="006F7D07"/>
    <w:rsid w:val="006F7FDC"/>
    <w:rsid w:val="00700085"/>
    <w:rsid w:val="007006BF"/>
    <w:rsid w:val="00700DB7"/>
    <w:rsid w:val="00700E56"/>
    <w:rsid w:val="00701382"/>
    <w:rsid w:val="00701690"/>
    <w:rsid w:val="00701BB5"/>
    <w:rsid w:val="00701DEB"/>
    <w:rsid w:val="0070228C"/>
    <w:rsid w:val="0070241B"/>
    <w:rsid w:val="00702608"/>
    <w:rsid w:val="00702C7D"/>
    <w:rsid w:val="00702DF6"/>
    <w:rsid w:val="0070320B"/>
    <w:rsid w:val="00703624"/>
    <w:rsid w:val="0070368B"/>
    <w:rsid w:val="007037BF"/>
    <w:rsid w:val="00703CDF"/>
    <w:rsid w:val="0070460A"/>
    <w:rsid w:val="00704999"/>
    <w:rsid w:val="00704CAB"/>
    <w:rsid w:val="0070557A"/>
    <w:rsid w:val="0070559B"/>
    <w:rsid w:val="0070581B"/>
    <w:rsid w:val="00705FDC"/>
    <w:rsid w:val="00706212"/>
    <w:rsid w:val="0070646E"/>
    <w:rsid w:val="007069BB"/>
    <w:rsid w:val="0070734C"/>
    <w:rsid w:val="007073E5"/>
    <w:rsid w:val="0070791C"/>
    <w:rsid w:val="00707E89"/>
    <w:rsid w:val="0071029A"/>
    <w:rsid w:val="007102B2"/>
    <w:rsid w:val="0071071D"/>
    <w:rsid w:val="00710BDA"/>
    <w:rsid w:val="00710CC8"/>
    <w:rsid w:val="00710E5B"/>
    <w:rsid w:val="0071120A"/>
    <w:rsid w:val="00711945"/>
    <w:rsid w:val="00711FF0"/>
    <w:rsid w:val="00712141"/>
    <w:rsid w:val="007122A1"/>
    <w:rsid w:val="007123DE"/>
    <w:rsid w:val="00712409"/>
    <w:rsid w:val="00712647"/>
    <w:rsid w:val="00712FAD"/>
    <w:rsid w:val="0071313E"/>
    <w:rsid w:val="007134B0"/>
    <w:rsid w:val="007144F4"/>
    <w:rsid w:val="007147E8"/>
    <w:rsid w:val="00714BDD"/>
    <w:rsid w:val="00715020"/>
    <w:rsid w:val="00715643"/>
    <w:rsid w:val="00715BE2"/>
    <w:rsid w:val="007164B9"/>
    <w:rsid w:val="007164FB"/>
    <w:rsid w:val="00717951"/>
    <w:rsid w:val="00720153"/>
    <w:rsid w:val="00720345"/>
    <w:rsid w:val="00721733"/>
    <w:rsid w:val="00721D23"/>
    <w:rsid w:val="00721EDA"/>
    <w:rsid w:val="00721FD5"/>
    <w:rsid w:val="007223E9"/>
    <w:rsid w:val="00722565"/>
    <w:rsid w:val="00722753"/>
    <w:rsid w:val="0072291F"/>
    <w:rsid w:val="00722BAB"/>
    <w:rsid w:val="00722FC6"/>
    <w:rsid w:val="00722FCC"/>
    <w:rsid w:val="007234E1"/>
    <w:rsid w:val="0072376D"/>
    <w:rsid w:val="00724A8E"/>
    <w:rsid w:val="00724B4B"/>
    <w:rsid w:val="00724BEF"/>
    <w:rsid w:val="007251A4"/>
    <w:rsid w:val="007251D0"/>
    <w:rsid w:val="0072529B"/>
    <w:rsid w:val="00725B60"/>
    <w:rsid w:val="00725C76"/>
    <w:rsid w:val="00725E29"/>
    <w:rsid w:val="007260CA"/>
    <w:rsid w:val="0072625E"/>
    <w:rsid w:val="00726B48"/>
    <w:rsid w:val="007271B5"/>
    <w:rsid w:val="00727245"/>
    <w:rsid w:val="00727446"/>
    <w:rsid w:val="00727759"/>
    <w:rsid w:val="007301F8"/>
    <w:rsid w:val="007303B8"/>
    <w:rsid w:val="0073041B"/>
    <w:rsid w:val="007306E7"/>
    <w:rsid w:val="00730EF0"/>
    <w:rsid w:val="0073108F"/>
    <w:rsid w:val="00731669"/>
    <w:rsid w:val="00731910"/>
    <w:rsid w:val="00731EA8"/>
    <w:rsid w:val="0073204C"/>
    <w:rsid w:val="007324F5"/>
    <w:rsid w:val="00732CD3"/>
    <w:rsid w:val="00732F8F"/>
    <w:rsid w:val="00733008"/>
    <w:rsid w:val="007332DE"/>
    <w:rsid w:val="00734119"/>
    <w:rsid w:val="00734587"/>
    <w:rsid w:val="0073488E"/>
    <w:rsid w:val="007348E5"/>
    <w:rsid w:val="0073491E"/>
    <w:rsid w:val="00734AC3"/>
    <w:rsid w:val="0073537C"/>
    <w:rsid w:val="0073550A"/>
    <w:rsid w:val="00735B18"/>
    <w:rsid w:val="00735CA9"/>
    <w:rsid w:val="0073627A"/>
    <w:rsid w:val="00736580"/>
    <w:rsid w:val="00736C80"/>
    <w:rsid w:val="00736D00"/>
    <w:rsid w:val="00737205"/>
    <w:rsid w:val="00737657"/>
    <w:rsid w:val="0073793A"/>
    <w:rsid w:val="00737AE4"/>
    <w:rsid w:val="00737D06"/>
    <w:rsid w:val="007407BE"/>
    <w:rsid w:val="00740AAD"/>
    <w:rsid w:val="00740C49"/>
    <w:rsid w:val="00740EE2"/>
    <w:rsid w:val="0074104A"/>
    <w:rsid w:val="007413AE"/>
    <w:rsid w:val="00741A19"/>
    <w:rsid w:val="00741D25"/>
    <w:rsid w:val="00742360"/>
    <w:rsid w:val="00742385"/>
    <w:rsid w:val="00742644"/>
    <w:rsid w:val="0074264B"/>
    <w:rsid w:val="007428CD"/>
    <w:rsid w:val="007428EA"/>
    <w:rsid w:val="00742DD4"/>
    <w:rsid w:val="00742F15"/>
    <w:rsid w:val="00742F5B"/>
    <w:rsid w:val="00743812"/>
    <w:rsid w:val="0074406D"/>
    <w:rsid w:val="00744195"/>
    <w:rsid w:val="00744339"/>
    <w:rsid w:val="0074444B"/>
    <w:rsid w:val="0074453E"/>
    <w:rsid w:val="0074574F"/>
    <w:rsid w:val="00745982"/>
    <w:rsid w:val="00745AB2"/>
    <w:rsid w:val="00745ADA"/>
    <w:rsid w:val="007462C3"/>
    <w:rsid w:val="007464BC"/>
    <w:rsid w:val="00746629"/>
    <w:rsid w:val="00746850"/>
    <w:rsid w:val="007472E6"/>
    <w:rsid w:val="00747404"/>
    <w:rsid w:val="00747577"/>
    <w:rsid w:val="0075037A"/>
    <w:rsid w:val="007504D8"/>
    <w:rsid w:val="00750C26"/>
    <w:rsid w:val="00750E63"/>
    <w:rsid w:val="00751149"/>
    <w:rsid w:val="007515B8"/>
    <w:rsid w:val="007517B2"/>
    <w:rsid w:val="0075183B"/>
    <w:rsid w:val="0075193E"/>
    <w:rsid w:val="00751B65"/>
    <w:rsid w:val="00751CE5"/>
    <w:rsid w:val="00751D4A"/>
    <w:rsid w:val="00751E12"/>
    <w:rsid w:val="00751EB3"/>
    <w:rsid w:val="00752483"/>
    <w:rsid w:val="00752638"/>
    <w:rsid w:val="007527F6"/>
    <w:rsid w:val="00753114"/>
    <w:rsid w:val="007534DB"/>
    <w:rsid w:val="00753CF7"/>
    <w:rsid w:val="00753F9A"/>
    <w:rsid w:val="00754089"/>
    <w:rsid w:val="00754ECE"/>
    <w:rsid w:val="007559F7"/>
    <w:rsid w:val="00755AC9"/>
    <w:rsid w:val="0075604D"/>
    <w:rsid w:val="00756202"/>
    <w:rsid w:val="007569FC"/>
    <w:rsid w:val="00756E96"/>
    <w:rsid w:val="007573F4"/>
    <w:rsid w:val="00757405"/>
    <w:rsid w:val="0075765E"/>
    <w:rsid w:val="0075776B"/>
    <w:rsid w:val="007578C9"/>
    <w:rsid w:val="00757FA6"/>
    <w:rsid w:val="0076005E"/>
    <w:rsid w:val="00760356"/>
    <w:rsid w:val="00760959"/>
    <w:rsid w:val="00760E60"/>
    <w:rsid w:val="00761368"/>
    <w:rsid w:val="0076159F"/>
    <w:rsid w:val="00761C10"/>
    <w:rsid w:val="00762534"/>
    <w:rsid w:val="00762F80"/>
    <w:rsid w:val="00762FF7"/>
    <w:rsid w:val="00763009"/>
    <w:rsid w:val="007631E2"/>
    <w:rsid w:val="0076401B"/>
    <w:rsid w:val="00764F3C"/>
    <w:rsid w:val="0076544E"/>
    <w:rsid w:val="0076556F"/>
    <w:rsid w:val="007657AA"/>
    <w:rsid w:val="00766078"/>
    <w:rsid w:val="007665DC"/>
    <w:rsid w:val="007666EC"/>
    <w:rsid w:val="007667F5"/>
    <w:rsid w:val="00766BBE"/>
    <w:rsid w:val="0076721D"/>
    <w:rsid w:val="00767275"/>
    <w:rsid w:val="00767950"/>
    <w:rsid w:val="00767B45"/>
    <w:rsid w:val="00770127"/>
    <w:rsid w:val="00770157"/>
    <w:rsid w:val="00770345"/>
    <w:rsid w:val="0077046D"/>
    <w:rsid w:val="00770632"/>
    <w:rsid w:val="00770B22"/>
    <w:rsid w:val="00770DA9"/>
    <w:rsid w:val="00770FDF"/>
    <w:rsid w:val="00771027"/>
    <w:rsid w:val="00771191"/>
    <w:rsid w:val="0077175F"/>
    <w:rsid w:val="00771FDC"/>
    <w:rsid w:val="0077200E"/>
    <w:rsid w:val="007721B2"/>
    <w:rsid w:val="00772839"/>
    <w:rsid w:val="007731DA"/>
    <w:rsid w:val="0077352A"/>
    <w:rsid w:val="00773980"/>
    <w:rsid w:val="00773A1F"/>
    <w:rsid w:val="00773AB8"/>
    <w:rsid w:val="00774122"/>
    <w:rsid w:val="00774195"/>
    <w:rsid w:val="007741CD"/>
    <w:rsid w:val="00774A71"/>
    <w:rsid w:val="00774C30"/>
    <w:rsid w:val="00774E60"/>
    <w:rsid w:val="00774FF8"/>
    <w:rsid w:val="007754BE"/>
    <w:rsid w:val="007758E5"/>
    <w:rsid w:val="0077592E"/>
    <w:rsid w:val="00775C19"/>
    <w:rsid w:val="00775F80"/>
    <w:rsid w:val="00775F81"/>
    <w:rsid w:val="00775F96"/>
    <w:rsid w:val="0077615B"/>
    <w:rsid w:val="007761A3"/>
    <w:rsid w:val="00776954"/>
    <w:rsid w:val="00777156"/>
    <w:rsid w:val="00777496"/>
    <w:rsid w:val="007778ED"/>
    <w:rsid w:val="00777C7D"/>
    <w:rsid w:val="007802B1"/>
    <w:rsid w:val="007803FE"/>
    <w:rsid w:val="00780609"/>
    <w:rsid w:val="007813BB"/>
    <w:rsid w:val="007818D0"/>
    <w:rsid w:val="00781FA2"/>
    <w:rsid w:val="0078202E"/>
    <w:rsid w:val="00782030"/>
    <w:rsid w:val="00782063"/>
    <w:rsid w:val="00782A04"/>
    <w:rsid w:val="00782C95"/>
    <w:rsid w:val="00783127"/>
    <w:rsid w:val="00783210"/>
    <w:rsid w:val="00783418"/>
    <w:rsid w:val="007835AD"/>
    <w:rsid w:val="00783786"/>
    <w:rsid w:val="00783C17"/>
    <w:rsid w:val="00784D52"/>
    <w:rsid w:val="00785449"/>
    <w:rsid w:val="007858D5"/>
    <w:rsid w:val="00785A4B"/>
    <w:rsid w:val="00785D0C"/>
    <w:rsid w:val="00785E13"/>
    <w:rsid w:val="0078617D"/>
    <w:rsid w:val="00786379"/>
    <w:rsid w:val="00786575"/>
    <w:rsid w:val="007869AA"/>
    <w:rsid w:val="00787251"/>
    <w:rsid w:val="0078744B"/>
    <w:rsid w:val="00787737"/>
    <w:rsid w:val="0078786B"/>
    <w:rsid w:val="007878D0"/>
    <w:rsid w:val="00787A7A"/>
    <w:rsid w:val="00787AEE"/>
    <w:rsid w:val="00787B1F"/>
    <w:rsid w:val="00790338"/>
    <w:rsid w:val="007916DF"/>
    <w:rsid w:val="0079195B"/>
    <w:rsid w:val="007919A3"/>
    <w:rsid w:val="00791C06"/>
    <w:rsid w:val="00791C4D"/>
    <w:rsid w:val="00792594"/>
    <w:rsid w:val="00792751"/>
    <w:rsid w:val="00792B71"/>
    <w:rsid w:val="00792BDA"/>
    <w:rsid w:val="00793C64"/>
    <w:rsid w:val="007941D4"/>
    <w:rsid w:val="007943D4"/>
    <w:rsid w:val="00794A06"/>
    <w:rsid w:val="00794AFE"/>
    <w:rsid w:val="00794F9B"/>
    <w:rsid w:val="00794FCF"/>
    <w:rsid w:val="0079556B"/>
    <w:rsid w:val="00795657"/>
    <w:rsid w:val="0079596E"/>
    <w:rsid w:val="007959AF"/>
    <w:rsid w:val="00795A7F"/>
    <w:rsid w:val="00795EBE"/>
    <w:rsid w:val="007960D7"/>
    <w:rsid w:val="00796193"/>
    <w:rsid w:val="007962F9"/>
    <w:rsid w:val="00796335"/>
    <w:rsid w:val="007964C0"/>
    <w:rsid w:val="007972DB"/>
    <w:rsid w:val="0079749D"/>
    <w:rsid w:val="007975C7"/>
    <w:rsid w:val="00797BDD"/>
    <w:rsid w:val="007A00C5"/>
    <w:rsid w:val="007A0292"/>
    <w:rsid w:val="007A05FC"/>
    <w:rsid w:val="007A0E2B"/>
    <w:rsid w:val="007A1094"/>
    <w:rsid w:val="007A129E"/>
    <w:rsid w:val="007A1B95"/>
    <w:rsid w:val="007A1E50"/>
    <w:rsid w:val="007A1F6B"/>
    <w:rsid w:val="007A22D8"/>
    <w:rsid w:val="007A243D"/>
    <w:rsid w:val="007A281A"/>
    <w:rsid w:val="007A286E"/>
    <w:rsid w:val="007A2DC0"/>
    <w:rsid w:val="007A3691"/>
    <w:rsid w:val="007A3CF4"/>
    <w:rsid w:val="007A3F9A"/>
    <w:rsid w:val="007A4019"/>
    <w:rsid w:val="007A4472"/>
    <w:rsid w:val="007A4483"/>
    <w:rsid w:val="007A4629"/>
    <w:rsid w:val="007A46C8"/>
    <w:rsid w:val="007A493E"/>
    <w:rsid w:val="007A4D7E"/>
    <w:rsid w:val="007A5222"/>
    <w:rsid w:val="007A54E3"/>
    <w:rsid w:val="007A5F88"/>
    <w:rsid w:val="007A616A"/>
    <w:rsid w:val="007A61AE"/>
    <w:rsid w:val="007A69C2"/>
    <w:rsid w:val="007A6A0B"/>
    <w:rsid w:val="007A6CE0"/>
    <w:rsid w:val="007A6FF5"/>
    <w:rsid w:val="007A73F1"/>
    <w:rsid w:val="007A7488"/>
    <w:rsid w:val="007A7738"/>
    <w:rsid w:val="007A7771"/>
    <w:rsid w:val="007A7B33"/>
    <w:rsid w:val="007A7CA1"/>
    <w:rsid w:val="007A7E11"/>
    <w:rsid w:val="007A7EB3"/>
    <w:rsid w:val="007B0A9C"/>
    <w:rsid w:val="007B0C4C"/>
    <w:rsid w:val="007B0D9F"/>
    <w:rsid w:val="007B174C"/>
    <w:rsid w:val="007B1A22"/>
    <w:rsid w:val="007B1AA3"/>
    <w:rsid w:val="007B1F4F"/>
    <w:rsid w:val="007B244B"/>
    <w:rsid w:val="007B2AE8"/>
    <w:rsid w:val="007B3344"/>
    <w:rsid w:val="007B3427"/>
    <w:rsid w:val="007B3770"/>
    <w:rsid w:val="007B39E1"/>
    <w:rsid w:val="007B3D6D"/>
    <w:rsid w:val="007B407E"/>
    <w:rsid w:val="007B4084"/>
    <w:rsid w:val="007B4B70"/>
    <w:rsid w:val="007B4BD7"/>
    <w:rsid w:val="007B4F58"/>
    <w:rsid w:val="007B5018"/>
    <w:rsid w:val="007B54AF"/>
    <w:rsid w:val="007B5976"/>
    <w:rsid w:val="007B5C07"/>
    <w:rsid w:val="007B5F8E"/>
    <w:rsid w:val="007B679F"/>
    <w:rsid w:val="007B6D12"/>
    <w:rsid w:val="007B6E05"/>
    <w:rsid w:val="007B6E9F"/>
    <w:rsid w:val="007B7693"/>
    <w:rsid w:val="007B7B4F"/>
    <w:rsid w:val="007B7CBD"/>
    <w:rsid w:val="007B7EF3"/>
    <w:rsid w:val="007C09E0"/>
    <w:rsid w:val="007C1122"/>
    <w:rsid w:val="007C11A0"/>
    <w:rsid w:val="007C185E"/>
    <w:rsid w:val="007C1885"/>
    <w:rsid w:val="007C1972"/>
    <w:rsid w:val="007C1B6E"/>
    <w:rsid w:val="007C1BA0"/>
    <w:rsid w:val="007C1C0A"/>
    <w:rsid w:val="007C1EA2"/>
    <w:rsid w:val="007C23A7"/>
    <w:rsid w:val="007C277E"/>
    <w:rsid w:val="007C30A7"/>
    <w:rsid w:val="007C30EF"/>
    <w:rsid w:val="007C31CD"/>
    <w:rsid w:val="007C3278"/>
    <w:rsid w:val="007C37D2"/>
    <w:rsid w:val="007C39C8"/>
    <w:rsid w:val="007C3A3B"/>
    <w:rsid w:val="007C41E1"/>
    <w:rsid w:val="007C4A27"/>
    <w:rsid w:val="007C4BAF"/>
    <w:rsid w:val="007C555A"/>
    <w:rsid w:val="007C5B40"/>
    <w:rsid w:val="007C6374"/>
    <w:rsid w:val="007C63C4"/>
    <w:rsid w:val="007C67A8"/>
    <w:rsid w:val="007C6840"/>
    <w:rsid w:val="007C6A57"/>
    <w:rsid w:val="007C76D1"/>
    <w:rsid w:val="007C776B"/>
    <w:rsid w:val="007C7909"/>
    <w:rsid w:val="007C7A6E"/>
    <w:rsid w:val="007D066C"/>
    <w:rsid w:val="007D0A9B"/>
    <w:rsid w:val="007D0E41"/>
    <w:rsid w:val="007D0F0F"/>
    <w:rsid w:val="007D1397"/>
    <w:rsid w:val="007D194C"/>
    <w:rsid w:val="007D1BF3"/>
    <w:rsid w:val="007D1C66"/>
    <w:rsid w:val="007D202C"/>
    <w:rsid w:val="007D255F"/>
    <w:rsid w:val="007D29B0"/>
    <w:rsid w:val="007D2F6A"/>
    <w:rsid w:val="007D3190"/>
    <w:rsid w:val="007D3217"/>
    <w:rsid w:val="007D35AB"/>
    <w:rsid w:val="007D4172"/>
    <w:rsid w:val="007D4239"/>
    <w:rsid w:val="007D4241"/>
    <w:rsid w:val="007D48D5"/>
    <w:rsid w:val="007D4935"/>
    <w:rsid w:val="007D493E"/>
    <w:rsid w:val="007D49BB"/>
    <w:rsid w:val="007D4F4F"/>
    <w:rsid w:val="007D50E5"/>
    <w:rsid w:val="007D538A"/>
    <w:rsid w:val="007D5AE9"/>
    <w:rsid w:val="007D5AF0"/>
    <w:rsid w:val="007D6F61"/>
    <w:rsid w:val="007E01E1"/>
    <w:rsid w:val="007E04A2"/>
    <w:rsid w:val="007E068F"/>
    <w:rsid w:val="007E0D66"/>
    <w:rsid w:val="007E0DD6"/>
    <w:rsid w:val="007E0FE4"/>
    <w:rsid w:val="007E101D"/>
    <w:rsid w:val="007E1310"/>
    <w:rsid w:val="007E1580"/>
    <w:rsid w:val="007E188B"/>
    <w:rsid w:val="007E1942"/>
    <w:rsid w:val="007E22BF"/>
    <w:rsid w:val="007E2441"/>
    <w:rsid w:val="007E25A3"/>
    <w:rsid w:val="007E2840"/>
    <w:rsid w:val="007E2E4F"/>
    <w:rsid w:val="007E2E9A"/>
    <w:rsid w:val="007E2EB0"/>
    <w:rsid w:val="007E3012"/>
    <w:rsid w:val="007E3FD9"/>
    <w:rsid w:val="007E487A"/>
    <w:rsid w:val="007E4AD3"/>
    <w:rsid w:val="007E4CD7"/>
    <w:rsid w:val="007E57A6"/>
    <w:rsid w:val="007E5D10"/>
    <w:rsid w:val="007E6027"/>
    <w:rsid w:val="007E649D"/>
    <w:rsid w:val="007E6823"/>
    <w:rsid w:val="007E693D"/>
    <w:rsid w:val="007E6D88"/>
    <w:rsid w:val="007E756D"/>
    <w:rsid w:val="007E77D8"/>
    <w:rsid w:val="007E7945"/>
    <w:rsid w:val="007E7BFB"/>
    <w:rsid w:val="007E7CE0"/>
    <w:rsid w:val="007F06AE"/>
    <w:rsid w:val="007F06EF"/>
    <w:rsid w:val="007F09FD"/>
    <w:rsid w:val="007F0B4B"/>
    <w:rsid w:val="007F0C74"/>
    <w:rsid w:val="007F0DB1"/>
    <w:rsid w:val="007F1258"/>
    <w:rsid w:val="007F1CE3"/>
    <w:rsid w:val="007F21B7"/>
    <w:rsid w:val="007F2486"/>
    <w:rsid w:val="007F364E"/>
    <w:rsid w:val="007F367B"/>
    <w:rsid w:val="007F3BB2"/>
    <w:rsid w:val="007F3D05"/>
    <w:rsid w:val="007F3F1C"/>
    <w:rsid w:val="007F4673"/>
    <w:rsid w:val="007F49AD"/>
    <w:rsid w:val="007F4E6C"/>
    <w:rsid w:val="007F520B"/>
    <w:rsid w:val="007F574C"/>
    <w:rsid w:val="007F5D0C"/>
    <w:rsid w:val="007F5F71"/>
    <w:rsid w:val="007F5F7D"/>
    <w:rsid w:val="007F62A5"/>
    <w:rsid w:val="007F6D18"/>
    <w:rsid w:val="007F6DA4"/>
    <w:rsid w:val="007F6FC0"/>
    <w:rsid w:val="007F754F"/>
    <w:rsid w:val="007F7679"/>
    <w:rsid w:val="007F796B"/>
    <w:rsid w:val="007F7C4E"/>
    <w:rsid w:val="00800181"/>
    <w:rsid w:val="008004A2"/>
    <w:rsid w:val="00801C84"/>
    <w:rsid w:val="00801CF1"/>
    <w:rsid w:val="00802437"/>
    <w:rsid w:val="008029A8"/>
    <w:rsid w:val="008037E8"/>
    <w:rsid w:val="00803C4B"/>
    <w:rsid w:val="00803D35"/>
    <w:rsid w:val="008041A8"/>
    <w:rsid w:val="008042CF"/>
    <w:rsid w:val="008043EF"/>
    <w:rsid w:val="0080486D"/>
    <w:rsid w:val="00804BA5"/>
    <w:rsid w:val="00804C04"/>
    <w:rsid w:val="00804D3B"/>
    <w:rsid w:val="00805493"/>
    <w:rsid w:val="008057AA"/>
    <w:rsid w:val="00806BC1"/>
    <w:rsid w:val="008073C0"/>
    <w:rsid w:val="008073F7"/>
    <w:rsid w:val="00810590"/>
    <w:rsid w:val="008107B6"/>
    <w:rsid w:val="00810A10"/>
    <w:rsid w:val="0081231A"/>
    <w:rsid w:val="008124E7"/>
    <w:rsid w:val="008128F9"/>
    <w:rsid w:val="00812F69"/>
    <w:rsid w:val="0081313E"/>
    <w:rsid w:val="008132E4"/>
    <w:rsid w:val="008134FA"/>
    <w:rsid w:val="008138B8"/>
    <w:rsid w:val="00814414"/>
    <w:rsid w:val="00814645"/>
    <w:rsid w:val="008149ED"/>
    <w:rsid w:val="008155A8"/>
    <w:rsid w:val="008155DF"/>
    <w:rsid w:val="00815698"/>
    <w:rsid w:val="00815820"/>
    <w:rsid w:val="0081606B"/>
    <w:rsid w:val="0081628F"/>
    <w:rsid w:val="00816EC9"/>
    <w:rsid w:val="00816EFE"/>
    <w:rsid w:val="008170A2"/>
    <w:rsid w:val="00817F99"/>
    <w:rsid w:val="008203D2"/>
    <w:rsid w:val="008207D9"/>
    <w:rsid w:val="008208C2"/>
    <w:rsid w:val="00820AB7"/>
    <w:rsid w:val="00820EAE"/>
    <w:rsid w:val="00820FDD"/>
    <w:rsid w:val="0082111A"/>
    <w:rsid w:val="00821A8A"/>
    <w:rsid w:val="00821D6E"/>
    <w:rsid w:val="00821DCD"/>
    <w:rsid w:val="0082270A"/>
    <w:rsid w:val="008234DC"/>
    <w:rsid w:val="008235EB"/>
    <w:rsid w:val="008237FD"/>
    <w:rsid w:val="00823BB0"/>
    <w:rsid w:val="00824172"/>
    <w:rsid w:val="008253AB"/>
    <w:rsid w:val="00825997"/>
    <w:rsid w:val="008263A4"/>
    <w:rsid w:val="00826558"/>
    <w:rsid w:val="00826C16"/>
    <w:rsid w:val="00826D85"/>
    <w:rsid w:val="00826FA9"/>
    <w:rsid w:val="00827158"/>
    <w:rsid w:val="008271E4"/>
    <w:rsid w:val="0082792A"/>
    <w:rsid w:val="008279DA"/>
    <w:rsid w:val="00827A96"/>
    <w:rsid w:val="00827B67"/>
    <w:rsid w:val="00827FB2"/>
    <w:rsid w:val="0083059A"/>
    <w:rsid w:val="0083061C"/>
    <w:rsid w:val="00830644"/>
    <w:rsid w:val="008308F6"/>
    <w:rsid w:val="00830995"/>
    <w:rsid w:val="00830F4F"/>
    <w:rsid w:val="008310EE"/>
    <w:rsid w:val="0083183A"/>
    <w:rsid w:val="008322B8"/>
    <w:rsid w:val="008324DE"/>
    <w:rsid w:val="00832878"/>
    <w:rsid w:val="00832B54"/>
    <w:rsid w:val="00832E02"/>
    <w:rsid w:val="00832ECA"/>
    <w:rsid w:val="0083314C"/>
    <w:rsid w:val="00833268"/>
    <w:rsid w:val="008333D7"/>
    <w:rsid w:val="008339C6"/>
    <w:rsid w:val="00833A62"/>
    <w:rsid w:val="0083400F"/>
    <w:rsid w:val="0083445E"/>
    <w:rsid w:val="00834919"/>
    <w:rsid w:val="008349A0"/>
    <w:rsid w:val="008361FB"/>
    <w:rsid w:val="00836356"/>
    <w:rsid w:val="008363CD"/>
    <w:rsid w:val="0083668B"/>
    <w:rsid w:val="00836DD7"/>
    <w:rsid w:val="00836F51"/>
    <w:rsid w:val="0083716C"/>
    <w:rsid w:val="008374B1"/>
    <w:rsid w:val="00837646"/>
    <w:rsid w:val="00837A0C"/>
    <w:rsid w:val="00840324"/>
    <w:rsid w:val="00840B80"/>
    <w:rsid w:val="00840BC3"/>
    <w:rsid w:val="00840F6F"/>
    <w:rsid w:val="00841008"/>
    <w:rsid w:val="00841C7D"/>
    <w:rsid w:val="00841D15"/>
    <w:rsid w:val="008421DD"/>
    <w:rsid w:val="0084245C"/>
    <w:rsid w:val="00842651"/>
    <w:rsid w:val="00842BBE"/>
    <w:rsid w:val="008433B7"/>
    <w:rsid w:val="008434D8"/>
    <w:rsid w:val="00843582"/>
    <w:rsid w:val="008438BC"/>
    <w:rsid w:val="00843D0D"/>
    <w:rsid w:val="00844635"/>
    <w:rsid w:val="00845950"/>
    <w:rsid w:val="008459FD"/>
    <w:rsid w:val="00845E7C"/>
    <w:rsid w:val="008460F2"/>
    <w:rsid w:val="00846274"/>
    <w:rsid w:val="00846533"/>
    <w:rsid w:val="00846CCE"/>
    <w:rsid w:val="00846D11"/>
    <w:rsid w:val="00846E09"/>
    <w:rsid w:val="008470BE"/>
    <w:rsid w:val="00847E24"/>
    <w:rsid w:val="00847F33"/>
    <w:rsid w:val="00850024"/>
    <w:rsid w:val="0085049F"/>
    <w:rsid w:val="0085094A"/>
    <w:rsid w:val="00850B71"/>
    <w:rsid w:val="00850CE1"/>
    <w:rsid w:val="00850D47"/>
    <w:rsid w:val="008517AE"/>
    <w:rsid w:val="00851880"/>
    <w:rsid w:val="00851896"/>
    <w:rsid w:val="00851B55"/>
    <w:rsid w:val="0085205A"/>
    <w:rsid w:val="00852333"/>
    <w:rsid w:val="0085238D"/>
    <w:rsid w:val="00852493"/>
    <w:rsid w:val="00852578"/>
    <w:rsid w:val="0085279D"/>
    <w:rsid w:val="00852839"/>
    <w:rsid w:val="00852DB8"/>
    <w:rsid w:val="00852DDB"/>
    <w:rsid w:val="00852E3C"/>
    <w:rsid w:val="00852F86"/>
    <w:rsid w:val="00852FC4"/>
    <w:rsid w:val="00853193"/>
    <w:rsid w:val="008538A7"/>
    <w:rsid w:val="00853C47"/>
    <w:rsid w:val="00854165"/>
    <w:rsid w:val="008542D1"/>
    <w:rsid w:val="00854505"/>
    <w:rsid w:val="00854F43"/>
    <w:rsid w:val="00855C9F"/>
    <w:rsid w:val="008565DA"/>
    <w:rsid w:val="00856BE7"/>
    <w:rsid w:val="00857730"/>
    <w:rsid w:val="00857C9F"/>
    <w:rsid w:val="00857D8E"/>
    <w:rsid w:val="00860505"/>
    <w:rsid w:val="00860B15"/>
    <w:rsid w:val="00860B75"/>
    <w:rsid w:val="00861CF8"/>
    <w:rsid w:val="00861DBA"/>
    <w:rsid w:val="00862B68"/>
    <w:rsid w:val="00862D74"/>
    <w:rsid w:val="0086323A"/>
    <w:rsid w:val="00863576"/>
    <w:rsid w:val="0086365E"/>
    <w:rsid w:val="0086411B"/>
    <w:rsid w:val="008642D1"/>
    <w:rsid w:val="00864396"/>
    <w:rsid w:val="00864B03"/>
    <w:rsid w:val="00864FC3"/>
    <w:rsid w:val="00865CA2"/>
    <w:rsid w:val="00865E05"/>
    <w:rsid w:val="0086619C"/>
    <w:rsid w:val="008662E3"/>
    <w:rsid w:val="0086665C"/>
    <w:rsid w:val="00866B8F"/>
    <w:rsid w:val="00866BA1"/>
    <w:rsid w:val="00866CFC"/>
    <w:rsid w:val="00867522"/>
    <w:rsid w:val="00867916"/>
    <w:rsid w:val="00867BA7"/>
    <w:rsid w:val="00867DB5"/>
    <w:rsid w:val="00870526"/>
    <w:rsid w:val="00870D0E"/>
    <w:rsid w:val="008710F2"/>
    <w:rsid w:val="008719C8"/>
    <w:rsid w:val="00871A0B"/>
    <w:rsid w:val="00871C44"/>
    <w:rsid w:val="00871DE7"/>
    <w:rsid w:val="00871FC5"/>
    <w:rsid w:val="008722B9"/>
    <w:rsid w:val="00872436"/>
    <w:rsid w:val="00872767"/>
    <w:rsid w:val="00872CFC"/>
    <w:rsid w:val="0087347A"/>
    <w:rsid w:val="00873D94"/>
    <w:rsid w:val="008740C3"/>
    <w:rsid w:val="00874704"/>
    <w:rsid w:val="0087503E"/>
    <w:rsid w:val="00875392"/>
    <w:rsid w:val="00875417"/>
    <w:rsid w:val="0087561A"/>
    <w:rsid w:val="00875631"/>
    <w:rsid w:val="00875AD1"/>
    <w:rsid w:val="00875F96"/>
    <w:rsid w:val="00876051"/>
    <w:rsid w:val="00876224"/>
    <w:rsid w:val="008762DF"/>
    <w:rsid w:val="00876336"/>
    <w:rsid w:val="00876679"/>
    <w:rsid w:val="008767A9"/>
    <w:rsid w:val="00876998"/>
    <w:rsid w:val="00876A75"/>
    <w:rsid w:val="0087708A"/>
    <w:rsid w:val="0087741D"/>
    <w:rsid w:val="00877496"/>
    <w:rsid w:val="00877D4A"/>
    <w:rsid w:val="00880967"/>
    <w:rsid w:val="00880E15"/>
    <w:rsid w:val="00881720"/>
    <w:rsid w:val="008819E4"/>
    <w:rsid w:val="00881EF7"/>
    <w:rsid w:val="008823FF"/>
    <w:rsid w:val="008828F5"/>
    <w:rsid w:val="00882B46"/>
    <w:rsid w:val="00882C3C"/>
    <w:rsid w:val="00882D16"/>
    <w:rsid w:val="008830AB"/>
    <w:rsid w:val="0088326B"/>
    <w:rsid w:val="008834C2"/>
    <w:rsid w:val="008835E2"/>
    <w:rsid w:val="008836E3"/>
    <w:rsid w:val="00883E9D"/>
    <w:rsid w:val="00883F82"/>
    <w:rsid w:val="008848A5"/>
    <w:rsid w:val="00884D0D"/>
    <w:rsid w:val="00884E39"/>
    <w:rsid w:val="00884F5D"/>
    <w:rsid w:val="00885139"/>
    <w:rsid w:val="00885278"/>
    <w:rsid w:val="0088547C"/>
    <w:rsid w:val="00885D0A"/>
    <w:rsid w:val="008862AA"/>
    <w:rsid w:val="0088650C"/>
    <w:rsid w:val="008865DA"/>
    <w:rsid w:val="008871CB"/>
    <w:rsid w:val="008875D2"/>
    <w:rsid w:val="00887774"/>
    <w:rsid w:val="00887B4D"/>
    <w:rsid w:val="00890210"/>
    <w:rsid w:val="00890521"/>
    <w:rsid w:val="00890CB6"/>
    <w:rsid w:val="00891775"/>
    <w:rsid w:val="00891951"/>
    <w:rsid w:val="00891E30"/>
    <w:rsid w:val="00891EB3"/>
    <w:rsid w:val="00892639"/>
    <w:rsid w:val="008927B2"/>
    <w:rsid w:val="0089281F"/>
    <w:rsid w:val="008929AB"/>
    <w:rsid w:val="00892D9D"/>
    <w:rsid w:val="008932F8"/>
    <w:rsid w:val="0089368F"/>
    <w:rsid w:val="008938F7"/>
    <w:rsid w:val="00893C32"/>
    <w:rsid w:val="00893C57"/>
    <w:rsid w:val="008942C3"/>
    <w:rsid w:val="00894B22"/>
    <w:rsid w:val="00894DA4"/>
    <w:rsid w:val="0089515A"/>
    <w:rsid w:val="00895441"/>
    <w:rsid w:val="00896478"/>
    <w:rsid w:val="0089693D"/>
    <w:rsid w:val="00897AE2"/>
    <w:rsid w:val="008A05F4"/>
    <w:rsid w:val="008A063F"/>
    <w:rsid w:val="008A0C1C"/>
    <w:rsid w:val="008A0DAA"/>
    <w:rsid w:val="008A0FEC"/>
    <w:rsid w:val="008A1198"/>
    <w:rsid w:val="008A16C7"/>
    <w:rsid w:val="008A18F0"/>
    <w:rsid w:val="008A1FC1"/>
    <w:rsid w:val="008A2069"/>
    <w:rsid w:val="008A2304"/>
    <w:rsid w:val="008A23B7"/>
    <w:rsid w:val="008A256A"/>
    <w:rsid w:val="008A25A5"/>
    <w:rsid w:val="008A2AE7"/>
    <w:rsid w:val="008A31AB"/>
    <w:rsid w:val="008A3431"/>
    <w:rsid w:val="008A345C"/>
    <w:rsid w:val="008A34FB"/>
    <w:rsid w:val="008A35D0"/>
    <w:rsid w:val="008A37BF"/>
    <w:rsid w:val="008A3AC5"/>
    <w:rsid w:val="008A3BF6"/>
    <w:rsid w:val="008A4020"/>
    <w:rsid w:val="008A486E"/>
    <w:rsid w:val="008A4E48"/>
    <w:rsid w:val="008A5C08"/>
    <w:rsid w:val="008A64E8"/>
    <w:rsid w:val="008A69CA"/>
    <w:rsid w:val="008A6BB6"/>
    <w:rsid w:val="008A6D3B"/>
    <w:rsid w:val="008A6FC5"/>
    <w:rsid w:val="008A7567"/>
    <w:rsid w:val="008A7685"/>
    <w:rsid w:val="008A7952"/>
    <w:rsid w:val="008A7D4F"/>
    <w:rsid w:val="008A7DF1"/>
    <w:rsid w:val="008B06A4"/>
    <w:rsid w:val="008B0970"/>
    <w:rsid w:val="008B11F2"/>
    <w:rsid w:val="008B1434"/>
    <w:rsid w:val="008B14A6"/>
    <w:rsid w:val="008B178E"/>
    <w:rsid w:val="008B183D"/>
    <w:rsid w:val="008B2244"/>
    <w:rsid w:val="008B23DD"/>
    <w:rsid w:val="008B2A82"/>
    <w:rsid w:val="008B3251"/>
    <w:rsid w:val="008B3649"/>
    <w:rsid w:val="008B39C3"/>
    <w:rsid w:val="008B39FF"/>
    <w:rsid w:val="008B3BC2"/>
    <w:rsid w:val="008B3D38"/>
    <w:rsid w:val="008B3F46"/>
    <w:rsid w:val="008B41ED"/>
    <w:rsid w:val="008B4259"/>
    <w:rsid w:val="008B4949"/>
    <w:rsid w:val="008B4AF1"/>
    <w:rsid w:val="008B5317"/>
    <w:rsid w:val="008B5BED"/>
    <w:rsid w:val="008B61A5"/>
    <w:rsid w:val="008B6A76"/>
    <w:rsid w:val="008B76F7"/>
    <w:rsid w:val="008B7C55"/>
    <w:rsid w:val="008C0F4D"/>
    <w:rsid w:val="008C0F68"/>
    <w:rsid w:val="008C179F"/>
    <w:rsid w:val="008C1D8E"/>
    <w:rsid w:val="008C3D61"/>
    <w:rsid w:val="008C43B8"/>
    <w:rsid w:val="008C43C6"/>
    <w:rsid w:val="008C48DA"/>
    <w:rsid w:val="008C4CC2"/>
    <w:rsid w:val="008C5294"/>
    <w:rsid w:val="008C560F"/>
    <w:rsid w:val="008C5684"/>
    <w:rsid w:val="008C5A9C"/>
    <w:rsid w:val="008C654B"/>
    <w:rsid w:val="008C6BCA"/>
    <w:rsid w:val="008C6DC0"/>
    <w:rsid w:val="008C6E8B"/>
    <w:rsid w:val="008C7550"/>
    <w:rsid w:val="008C7983"/>
    <w:rsid w:val="008C7C38"/>
    <w:rsid w:val="008C7E4B"/>
    <w:rsid w:val="008C7EB9"/>
    <w:rsid w:val="008C7EC8"/>
    <w:rsid w:val="008C7F75"/>
    <w:rsid w:val="008D0718"/>
    <w:rsid w:val="008D0B12"/>
    <w:rsid w:val="008D0C7A"/>
    <w:rsid w:val="008D0DA9"/>
    <w:rsid w:val="008D0F84"/>
    <w:rsid w:val="008D0FFD"/>
    <w:rsid w:val="008D1968"/>
    <w:rsid w:val="008D19C7"/>
    <w:rsid w:val="008D1FF5"/>
    <w:rsid w:val="008D2320"/>
    <w:rsid w:val="008D2A79"/>
    <w:rsid w:val="008D3262"/>
    <w:rsid w:val="008D3447"/>
    <w:rsid w:val="008D36F6"/>
    <w:rsid w:val="008D38C8"/>
    <w:rsid w:val="008D3E85"/>
    <w:rsid w:val="008D41DD"/>
    <w:rsid w:val="008D4251"/>
    <w:rsid w:val="008D4318"/>
    <w:rsid w:val="008D44B2"/>
    <w:rsid w:val="008D46CA"/>
    <w:rsid w:val="008D5547"/>
    <w:rsid w:val="008D6469"/>
    <w:rsid w:val="008D6BEE"/>
    <w:rsid w:val="008D71B2"/>
    <w:rsid w:val="008D7544"/>
    <w:rsid w:val="008D7893"/>
    <w:rsid w:val="008D7DE7"/>
    <w:rsid w:val="008E0032"/>
    <w:rsid w:val="008E0217"/>
    <w:rsid w:val="008E0228"/>
    <w:rsid w:val="008E099F"/>
    <w:rsid w:val="008E0C57"/>
    <w:rsid w:val="008E0D0D"/>
    <w:rsid w:val="008E128B"/>
    <w:rsid w:val="008E1467"/>
    <w:rsid w:val="008E1548"/>
    <w:rsid w:val="008E1B45"/>
    <w:rsid w:val="008E291C"/>
    <w:rsid w:val="008E2B49"/>
    <w:rsid w:val="008E358F"/>
    <w:rsid w:val="008E395B"/>
    <w:rsid w:val="008E3E59"/>
    <w:rsid w:val="008E403C"/>
    <w:rsid w:val="008E46EB"/>
    <w:rsid w:val="008E51C1"/>
    <w:rsid w:val="008E5249"/>
    <w:rsid w:val="008E525D"/>
    <w:rsid w:val="008E52F7"/>
    <w:rsid w:val="008E58C3"/>
    <w:rsid w:val="008E5D86"/>
    <w:rsid w:val="008E5E01"/>
    <w:rsid w:val="008E5E34"/>
    <w:rsid w:val="008E5FE2"/>
    <w:rsid w:val="008E605B"/>
    <w:rsid w:val="008E6156"/>
    <w:rsid w:val="008E6313"/>
    <w:rsid w:val="008E6565"/>
    <w:rsid w:val="008E679D"/>
    <w:rsid w:val="008E67E9"/>
    <w:rsid w:val="008E6B38"/>
    <w:rsid w:val="008E6B61"/>
    <w:rsid w:val="008E6E83"/>
    <w:rsid w:val="008E6ED8"/>
    <w:rsid w:val="008E6F4E"/>
    <w:rsid w:val="008E7414"/>
    <w:rsid w:val="008E7C90"/>
    <w:rsid w:val="008F0689"/>
    <w:rsid w:val="008F0BD6"/>
    <w:rsid w:val="008F0DB3"/>
    <w:rsid w:val="008F15DF"/>
    <w:rsid w:val="008F1DA9"/>
    <w:rsid w:val="008F28DF"/>
    <w:rsid w:val="008F292E"/>
    <w:rsid w:val="008F29F8"/>
    <w:rsid w:val="008F2C23"/>
    <w:rsid w:val="008F2FEB"/>
    <w:rsid w:val="008F37A9"/>
    <w:rsid w:val="008F3D6F"/>
    <w:rsid w:val="008F3EB1"/>
    <w:rsid w:val="008F3EF3"/>
    <w:rsid w:val="008F4357"/>
    <w:rsid w:val="008F45C1"/>
    <w:rsid w:val="008F45C8"/>
    <w:rsid w:val="008F4AF5"/>
    <w:rsid w:val="008F4E6F"/>
    <w:rsid w:val="008F4F10"/>
    <w:rsid w:val="008F5617"/>
    <w:rsid w:val="008F5671"/>
    <w:rsid w:val="008F5D13"/>
    <w:rsid w:val="008F5E62"/>
    <w:rsid w:val="008F5EFC"/>
    <w:rsid w:val="008F6488"/>
    <w:rsid w:val="008F66F2"/>
    <w:rsid w:val="008F6F28"/>
    <w:rsid w:val="008F729F"/>
    <w:rsid w:val="008F7BE4"/>
    <w:rsid w:val="008F7E18"/>
    <w:rsid w:val="0090035D"/>
    <w:rsid w:val="0090061C"/>
    <w:rsid w:val="009006C7"/>
    <w:rsid w:val="00900F59"/>
    <w:rsid w:val="00900FEB"/>
    <w:rsid w:val="009010D0"/>
    <w:rsid w:val="0090137B"/>
    <w:rsid w:val="0090207D"/>
    <w:rsid w:val="009023CD"/>
    <w:rsid w:val="00902970"/>
    <w:rsid w:val="00903475"/>
    <w:rsid w:val="00903561"/>
    <w:rsid w:val="00903D5F"/>
    <w:rsid w:val="00903E8D"/>
    <w:rsid w:val="0090426E"/>
    <w:rsid w:val="0090436B"/>
    <w:rsid w:val="00904D00"/>
    <w:rsid w:val="0090539A"/>
    <w:rsid w:val="00905624"/>
    <w:rsid w:val="00905679"/>
    <w:rsid w:val="0090597F"/>
    <w:rsid w:val="00905BEA"/>
    <w:rsid w:val="00906138"/>
    <w:rsid w:val="00906937"/>
    <w:rsid w:val="00906C9F"/>
    <w:rsid w:val="00906D2E"/>
    <w:rsid w:val="00907559"/>
    <w:rsid w:val="009079A5"/>
    <w:rsid w:val="009079DC"/>
    <w:rsid w:val="00907B5B"/>
    <w:rsid w:val="009100D0"/>
    <w:rsid w:val="00910AF7"/>
    <w:rsid w:val="00910F05"/>
    <w:rsid w:val="009115E7"/>
    <w:rsid w:val="00912049"/>
    <w:rsid w:val="0091256D"/>
    <w:rsid w:val="00912763"/>
    <w:rsid w:val="009127E4"/>
    <w:rsid w:val="00912875"/>
    <w:rsid w:val="00912A2D"/>
    <w:rsid w:val="00912D37"/>
    <w:rsid w:val="00913108"/>
    <w:rsid w:val="00913A53"/>
    <w:rsid w:val="00913EC2"/>
    <w:rsid w:val="009144A2"/>
    <w:rsid w:val="00915285"/>
    <w:rsid w:val="009152C8"/>
    <w:rsid w:val="00915305"/>
    <w:rsid w:val="009155E7"/>
    <w:rsid w:val="00915728"/>
    <w:rsid w:val="0091584A"/>
    <w:rsid w:val="00915BDF"/>
    <w:rsid w:val="009169DC"/>
    <w:rsid w:val="00917015"/>
    <w:rsid w:val="009170C7"/>
    <w:rsid w:val="0091726A"/>
    <w:rsid w:val="00917804"/>
    <w:rsid w:val="00917B4C"/>
    <w:rsid w:val="009201F8"/>
    <w:rsid w:val="00920742"/>
    <w:rsid w:val="00920BFE"/>
    <w:rsid w:val="00920D3F"/>
    <w:rsid w:val="009216D5"/>
    <w:rsid w:val="0092180D"/>
    <w:rsid w:val="00921BE4"/>
    <w:rsid w:val="00921E0D"/>
    <w:rsid w:val="00921E17"/>
    <w:rsid w:val="00921E4C"/>
    <w:rsid w:val="009220AD"/>
    <w:rsid w:val="009221AA"/>
    <w:rsid w:val="00922861"/>
    <w:rsid w:val="00922D0D"/>
    <w:rsid w:val="00923B01"/>
    <w:rsid w:val="00923EAB"/>
    <w:rsid w:val="00924621"/>
    <w:rsid w:val="009246A2"/>
    <w:rsid w:val="00924CF9"/>
    <w:rsid w:val="00924E38"/>
    <w:rsid w:val="00924F1A"/>
    <w:rsid w:val="00924FA4"/>
    <w:rsid w:val="00925447"/>
    <w:rsid w:val="00925620"/>
    <w:rsid w:val="009256FF"/>
    <w:rsid w:val="009258BB"/>
    <w:rsid w:val="00925D10"/>
    <w:rsid w:val="00925FAE"/>
    <w:rsid w:val="009262BF"/>
    <w:rsid w:val="00926496"/>
    <w:rsid w:val="00926FED"/>
    <w:rsid w:val="009275E5"/>
    <w:rsid w:val="00927D21"/>
    <w:rsid w:val="00927FF5"/>
    <w:rsid w:val="00930702"/>
    <w:rsid w:val="009308AB"/>
    <w:rsid w:val="0093094B"/>
    <w:rsid w:val="00930983"/>
    <w:rsid w:val="00930EF3"/>
    <w:rsid w:val="009312AE"/>
    <w:rsid w:val="00931E62"/>
    <w:rsid w:val="0093228B"/>
    <w:rsid w:val="009323E7"/>
    <w:rsid w:val="00932605"/>
    <w:rsid w:val="009327D0"/>
    <w:rsid w:val="00932ABE"/>
    <w:rsid w:val="00932BE4"/>
    <w:rsid w:val="00932F73"/>
    <w:rsid w:val="00933535"/>
    <w:rsid w:val="00933A0D"/>
    <w:rsid w:val="00934039"/>
    <w:rsid w:val="009343FB"/>
    <w:rsid w:val="0093489A"/>
    <w:rsid w:val="00934C88"/>
    <w:rsid w:val="00934FCA"/>
    <w:rsid w:val="00935610"/>
    <w:rsid w:val="00935F67"/>
    <w:rsid w:val="00935FDB"/>
    <w:rsid w:val="00936835"/>
    <w:rsid w:val="0093693A"/>
    <w:rsid w:val="00936975"/>
    <w:rsid w:val="00936B47"/>
    <w:rsid w:val="00936E15"/>
    <w:rsid w:val="00936E8C"/>
    <w:rsid w:val="00937477"/>
    <w:rsid w:val="009375D8"/>
    <w:rsid w:val="00937A22"/>
    <w:rsid w:val="00937DE1"/>
    <w:rsid w:val="009401CA"/>
    <w:rsid w:val="00940944"/>
    <w:rsid w:val="00940B8E"/>
    <w:rsid w:val="00940C90"/>
    <w:rsid w:val="00942944"/>
    <w:rsid w:val="0094338D"/>
    <w:rsid w:val="0094342A"/>
    <w:rsid w:val="00943647"/>
    <w:rsid w:val="009436B2"/>
    <w:rsid w:val="009443C6"/>
    <w:rsid w:val="00944916"/>
    <w:rsid w:val="00944A1B"/>
    <w:rsid w:val="00945380"/>
    <w:rsid w:val="00945502"/>
    <w:rsid w:val="00945A8D"/>
    <w:rsid w:val="00945B68"/>
    <w:rsid w:val="00945CD6"/>
    <w:rsid w:val="00945FF2"/>
    <w:rsid w:val="009469F9"/>
    <w:rsid w:val="00946DFF"/>
    <w:rsid w:val="0094778C"/>
    <w:rsid w:val="0095022A"/>
    <w:rsid w:val="0095086E"/>
    <w:rsid w:val="00950B19"/>
    <w:rsid w:val="00950C02"/>
    <w:rsid w:val="00951152"/>
    <w:rsid w:val="009517E2"/>
    <w:rsid w:val="0095181D"/>
    <w:rsid w:val="00951A42"/>
    <w:rsid w:val="00951E81"/>
    <w:rsid w:val="009521FF"/>
    <w:rsid w:val="00952D49"/>
    <w:rsid w:val="00952FF8"/>
    <w:rsid w:val="0095359D"/>
    <w:rsid w:val="00954485"/>
    <w:rsid w:val="0095489D"/>
    <w:rsid w:val="009548C9"/>
    <w:rsid w:val="00954ABF"/>
    <w:rsid w:val="00954B0C"/>
    <w:rsid w:val="00954F7B"/>
    <w:rsid w:val="00955353"/>
    <w:rsid w:val="00955768"/>
    <w:rsid w:val="00955825"/>
    <w:rsid w:val="00955839"/>
    <w:rsid w:val="00955A4E"/>
    <w:rsid w:val="00955C3E"/>
    <w:rsid w:val="00955EB2"/>
    <w:rsid w:val="009565C1"/>
    <w:rsid w:val="009566EA"/>
    <w:rsid w:val="00956E14"/>
    <w:rsid w:val="00956FF5"/>
    <w:rsid w:val="00957A23"/>
    <w:rsid w:val="00957CCC"/>
    <w:rsid w:val="00957E8F"/>
    <w:rsid w:val="00960845"/>
    <w:rsid w:val="009608AB"/>
    <w:rsid w:val="00960CBA"/>
    <w:rsid w:val="00960FA9"/>
    <w:rsid w:val="0096140E"/>
    <w:rsid w:val="00961424"/>
    <w:rsid w:val="009615D7"/>
    <w:rsid w:val="009623DE"/>
    <w:rsid w:val="00962672"/>
    <w:rsid w:val="00962B8C"/>
    <w:rsid w:val="009630E5"/>
    <w:rsid w:val="00963423"/>
    <w:rsid w:val="00963659"/>
    <w:rsid w:val="009636F2"/>
    <w:rsid w:val="0096394B"/>
    <w:rsid w:val="00963A43"/>
    <w:rsid w:val="00963F39"/>
    <w:rsid w:val="00963F82"/>
    <w:rsid w:val="00963FC6"/>
    <w:rsid w:val="0096442B"/>
    <w:rsid w:val="009645A2"/>
    <w:rsid w:val="009647D7"/>
    <w:rsid w:val="00964857"/>
    <w:rsid w:val="00964A45"/>
    <w:rsid w:val="009658BF"/>
    <w:rsid w:val="009659B5"/>
    <w:rsid w:val="00965E9F"/>
    <w:rsid w:val="009666EE"/>
    <w:rsid w:val="00966930"/>
    <w:rsid w:val="00966A39"/>
    <w:rsid w:val="009671F5"/>
    <w:rsid w:val="009677B5"/>
    <w:rsid w:val="00967A48"/>
    <w:rsid w:val="00967CC3"/>
    <w:rsid w:val="00967F2A"/>
    <w:rsid w:val="00970114"/>
    <w:rsid w:val="009707AC"/>
    <w:rsid w:val="00970C28"/>
    <w:rsid w:val="00970D05"/>
    <w:rsid w:val="00970DA4"/>
    <w:rsid w:val="0097158E"/>
    <w:rsid w:val="00971B4F"/>
    <w:rsid w:val="00971FFC"/>
    <w:rsid w:val="009722E2"/>
    <w:rsid w:val="009724FD"/>
    <w:rsid w:val="00972626"/>
    <w:rsid w:val="00972D30"/>
    <w:rsid w:val="009731E4"/>
    <w:rsid w:val="009732B9"/>
    <w:rsid w:val="00973531"/>
    <w:rsid w:val="009738C6"/>
    <w:rsid w:val="00974184"/>
    <w:rsid w:val="00974428"/>
    <w:rsid w:val="00974613"/>
    <w:rsid w:val="00974976"/>
    <w:rsid w:val="00974996"/>
    <w:rsid w:val="00974D80"/>
    <w:rsid w:val="00975181"/>
    <w:rsid w:val="009752E4"/>
    <w:rsid w:val="00975816"/>
    <w:rsid w:val="00975F7F"/>
    <w:rsid w:val="0097632C"/>
    <w:rsid w:val="009766D9"/>
    <w:rsid w:val="00976C2C"/>
    <w:rsid w:val="00976D3F"/>
    <w:rsid w:val="00976E3D"/>
    <w:rsid w:val="009778FB"/>
    <w:rsid w:val="0097794F"/>
    <w:rsid w:val="00977FEF"/>
    <w:rsid w:val="00980D24"/>
    <w:rsid w:val="00980E78"/>
    <w:rsid w:val="00981BA2"/>
    <w:rsid w:val="00981EDE"/>
    <w:rsid w:val="00981F6A"/>
    <w:rsid w:val="009821B1"/>
    <w:rsid w:val="00982DDF"/>
    <w:rsid w:val="00983200"/>
    <w:rsid w:val="009836F9"/>
    <w:rsid w:val="00983C19"/>
    <w:rsid w:val="0098401B"/>
    <w:rsid w:val="0098484C"/>
    <w:rsid w:val="0098491E"/>
    <w:rsid w:val="00985292"/>
    <w:rsid w:val="00985C13"/>
    <w:rsid w:val="00985E86"/>
    <w:rsid w:val="00986150"/>
    <w:rsid w:val="00986666"/>
    <w:rsid w:val="00987557"/>
    <w:rsid w:val="0098774B"/>
    <w:rsid w:val="00990553"/>
    <w:rsid w:val="00990685"/>
    <w:rsid w:val="0099097A"/>
    <w:rsid w:val="00990E66"/>
    <w:rsid w:val="00990F57"/>
    <w:rsid w:val="009910C3"/>
    <w:rsid w:val="009912E7"/>
    <w:rsid w:val="0099165E"/>
    <w:rsid w:val="0099176C"/>
    <w:rsid w:val="009918EF"/>
    <w:rsid w:val="009919C5"/>
    <w:rsid w:val="00991F30"/>
    <w:rsid w:val="00992331"/>
    <w:rsid w:val="00992409"/>
    <w:rsid w:val="0099244C"/>
    <w:rsid w:val="0099257A"/>
    <w:rsid w:val="009927B2"/>
    <w:rsid w:val="00992872"/>
    <w:rsid w:val="00992F54"/>
    <w:rsid w:val="009931B5"/>
    <w:rsid w:val="009934DC"/>
    <w:rsid w:val="00993F6D"/>
    <w:rsid w:val="0099406C"/>
    <w:rsid w:val="009942CD"/>
    <w:rsid w:val="00994359"/>
    <w:rsid w:val="009944EA"/>
    <w:rsid w:val="009949D7"/>
    <w:rsid w:val="00994BD0"/>
    <w:rsid w:val="0099578F"/>
    <w:rsid w:val="00996711"/>
    <w:rsid w:val="00996723"/>
    <w:rsid w:val="009967CE"/>
    <w:rsid w:val="00996EC0"/>
    <w:rsid w:val="00997395"/>
    <w:rsid w:val="009977A5"/>
    <w:rsid w:val="00997D68"/>
    <w:rsid w:val="00997E9D"/>
    <w:rsid w:val="009A0002"/>
    <w:rsid w:val="009A0286"/>
    <w:rsid w:val="009A078B"/>
    <w:rsid w:val="009A1483"/>
    <w:rsid w:val="009A16DC"/>
    <w:rsid w:val="009A17CF"/>
    <w:rsid w:val="009A2369"/>
    <w:rsid w:val="009A23A9"/>
    <w:rsid w:val="009A2557"/>
    <w:rsid w:val="009A2705"/>
    <w:rsid w:val="009A2947"/>
    <w:rsid w:val="009A326B"/>
    <w:rsid w:val="009A3B30"/>
    <w:rsid w:val="009A3B79"/>
    <w:rsid w:val="009A3D8D"/>
    <w:rsid w:val="009A4375"/>
    <w:rsid w:val="009A5830"/>
    <w:rsid w:val="009A5FAA"/>
    <w:rsid w:val="009A624B"/>
    <w:rsid w:val="009A6265"/>
    <w:rsid w:val="009A6313"/>
    <w:rsid w:val="009A6C9E"/>
    <w:rsid w:val="009A71AD"/>
    <w:rsid w:val="009A72E3"/>
    <w:rsid w:val="009A78BF"/>
    <w:rsid w:val="009A79DC"/>
    <w:rsid w:val="009A7AD5"/>
    <w:rsid w:val="009B00FC"/>
    <w:rsid w:val="009B0220"/>
    <w:rsid w:val="009B0912"/>
    <w:rsid w:val="009B0A90"/>
    <w:rsid w:val="009B0BD4"/>
    <w:rsid w:val="009B0F0C"/>
    <w:rsid w:val="009B10D7"/>
    <w:rsid w:val="009B2294"/>
    <w:rsid w:val="009B28B4"/>
    <w:rsid w:val="009B2CF0"/>
    <w:rsid w:val="009B2F66"/>
    <w:rsid w:val="009B3011"/>
    <w:rsid w:val="009B3802"/>
    <w:rsid w:val="009B3BBA"/>
    <w:rsid w:val="009B3E82"/>
    <w:rsid w:val="009B3F6C"/>
    <w:rsid w:val="009B4213"/>
    <w:rsid w:val="009B434A"/>
    <w:rsid w:val="009B45CF"/>
    <w:rsid w:val="009B474C"/>
    <w:rsid w:val="009B513E"/>
    <w:rsid w:val="009B51B7"/>
    <w:rsid w:val="009B51F8"/>
    <w:rsid w:val="009B597A"/>
    <w:rsid w:val="009B5AB2"/>
    <w:rsid w:val="009B5ABC"/>
    <w:rsid w:val="009B651E"/>
    <w:rsid w:val="009B7292"/>
    <w:rsid w:val="009B73C0"/>
    <w:rsid w:val="009B76BC"/>
    <w:rsid w:val="009B7767"/>
    <w:rsid w:val="009B7E17"/>
    <w:rsid w:val="009B7EB4"/>
    <w:rsid w:val="009C0269"/>
    <w:rsid w:val="009C0EA6"/>
    <w:rsid w:val="009C1213"/>
    <w:rsid w:val="009C1DDF"/>
    <w:rsid w:val="009C2198"/>
    <w:rsid w:val="009C238C"/>
    <w:rsid w:val="009C23A4"/>
    <w:rsid w:val="009C2A5E"/>
    <w:rsid w:val="009C2BED"/>
    <w:rsid w:val="009C2C63"/>
    <w:rsid w:val="009C2F65"/>
    <w:rsid w:val="009C44CC"/>
    <w:rsid w:val="009C48DC"/>
    <w:rsid w:val="009C5BED"/>
    <w:rsid w:val="009C5E8B"/>
    <w:rsid w:val="009C6085"/>
    <w:rsid w:val="009C666E"/>
    <w:rsid w:val="009C74F6"/>
    <w:rsid w:val="009C7597"/>
    <w:rsid w:val="009C78CC"/>
    <w:rsid w:val="009C79E7"/>
    <w:rsid w:val="009C7A50"/>
    <w:rsid w:val="009C7F74"/>
    <w:rsid w:val="009D01F8"/>
    <w:rsid w:val="009D07B0"/>
    <w:rsid w:val="009D089F"/>
    <w:rsid w:val="009D15D5"/>
    <w:rsid w:val="009D1802"/>
    <w:rsid w:val="009D1F2F"/>
    <w:rsid w:val="009D273C"/>
    <w:rsid w:val="009D29EB"/>
    <w:rsid w:val="009D2AB7"/>
    <w:rsid w:val="009D2B47"/>
    <w:rsid w:val="009D2E03"/>
    <w:rsid w:val="009D36FC"/>
    <w:rsid w:val="009D3705"/>
    <w:rsid w:val="009D3C13"/>
    <w:rsid w:val="009D3DCE"/>
    <w:rsid w:val="009D40C6"/>
    <w:rsid w:val="009D48FC"/>
    <w:rsid w:val="009D495A"/>
    <w:rsid w:val="009D598B"/>
    <w:rsid w:val="009D5DA6"/>
    <w:rsid w:val="009D6CAC"/>
    <w:rsid w:val="009D6D1B"/>
    <w:rsid w:val="009D6EDC"/>
    <w:rsid w:val="009D778B"/>
    <w:rsid w:val="009D7CBD"/>
    <w:rsid w:val="009D7E47"/>
    <w:rsid w:val="009E0400"/>
    <w:rsid w:val="009E0A08"/>
    <w:rsid w:val="009E0BA1"/>
    <w:rsid w:val="009E0DB7"/>
    <w:rsid w:val="009E128A"/>
    <w:rsid w:val="009E130C"/>
    <w:rsid w:val="009E1723"/>
    <w:rsid w:val="009E1B10"/>
    <w:rsid w:val="009E1B20"/>
    <w:rsid w:val="009E1DFA"/>
    <w:rsid w:val="009E1FE5"/>
    <w:rsid w:val="009E1FEE"/>
    <w:rsid w:val="009E2A91"/>
    <w:rsid w:val="009E2D17"/>
    <w:rsid w:val="009E2D88"/>
    <w:rsid w:val="009E2E54"/>
    <w:rsid w:val="009E308E"/>
    <w:rsid w:val="009E32E7"/>
    <w:rsid w:val="009E5101"/>
    <w:rsid w:val="009E5576"/>
    <w:rsid w:val="009E575D"/>
    <w:rsid w:val="009E5B71"/>
    <w:rsid w:val="009E65EF"/>
    <w:rsid w:val="009E6EB2"/>
    <w:rsid w:val="009E7151"/>
    <w:rsid w:val="009E7DBD"/>
    <w:rsid w:val="009F0756"/>
    <w:rsid w:val="009F105A"/>
    <w:rsid w:val="009F16EE"/>
    <w:rsid w:val="009F17FE"/>
    <w:rsid w:val="009F266C"/>
    <w:rsid w:val="009F29BD"/>
    <w:rsid w:val="009F3C56"/>
    <w:rsid w:val="009F3C70"/>
    <w:rsid w:val="009F47D6"/>
    <w:rsid w:val="009F4820"/>
    <w:rsid w:val="009F49F3"/>
    <w:rsid w:val="009F4B36"/>
    <w:rsid w:val="009F4D90"/>
    <w:rsid w:val="009F4DE8"/>
    <w:rsid w:val="009F4EBC"/>
    <w:rsid w:val="009F52B4"/>
    <w:rsid w:val="009F540F"/>
    <w:rsid w:val="009F5E0F"/>
    <w:rsid w:val="009F6720"/>
    <w:rsid w:val="009F6BE4"/>
    <w:rsid w:val="009F6CE1"/>
    <w:rsid w:val="009F6CEE"/>
    <w:rsid w:val="009F7943"/>
    <w:rsid w:val="009F7D6B"/>
    <w:rsid w:val="009F7E57"/>
    <w:rsid w:val="00A00650"/>
    <w:rsid w:val="00A0078B"/>
    <w:rsid w:val="00A00825"/>
    <w:rsid w:val="00A00830"/>
    <w:rsid w:val="00A00B7D"/>
    <w:rsid w:val="00A00C95"/>
    <w:rsid w:val="00A00F5A"/>
    <w:rsid w:val="00A0105E"/>
    <w:rsid w:val="00A01204"/>
    <w:rsid w:val="00A01477"/>
    <w:rsid w:val="00A01540"/>
    <w:rsid w:val="00A015B6"/>
    <w:rsid w:val="00A018EB"/>
    <w:rsid w:val="00A01D0F"/>
    <w:rsid w:val="00A025F5"/>
    <w:rsid w:val="00A02E54"/>
    <w:rsid w:val="00A033E2"/>
    <w:rsid w:val="00A03532"/>
    <w:rsid w:val="00A03969"/>
    <w:rsid w:val="00A03A5F"/>
    <w:rsid w:val="00A03A83"/>
    <w:rsid w:val="00A03D46"/>
    <w:rsid w:val="00A042E5"/>
    <w:rsid w:val="00A04832"/>
    <w:rsid w:val="00A0483D"/>
    <w:rsid w:val="00A04B19"/>
    <w:rsid w:val="00A05022"/>
    <w:rsid w:val="00A0508B"/>
    <w:rsid w:val="00A057E3"/>
    <w:rsid w:val="00A05A61"/>
    <w:rsid w:val="00A05B28"/>
    <w:rsid w:val="00A06020"/>
    <w:rsid w:val="00A06084"/>
    <w:rsid w:val="00A06799"/>
    <w:rsid w:val="00A06A61"/>
    <w:rsid w:val="00A06DA8"/>
    <w:rsid w:val="00A07A97"/>
    <w:rsid w:val="00A07B5D"/>
    <w:rsid w:val="00A10B92"/>
    <w:rsid w:val="00A11B72"/>
    <w:rsid w:val="00A122D5"/>
    <w:rsid w:val="00A1252E"/>
    <w:rsid w:val="00A12567"/>
    <w:rsid w:val="00A1259C"/>
    <w:rsid w:val="00A12A20"/>
    <w:rsid w:val="00A13597"/>
    <w:rsid w:val="00A1387B"/>
    <w:rsid w:val="00A139AA"/>
    <w:rsid w:val="00A13FC4"/>
    <w:rsid w:val="00A1436F"/>
    <w:rsid w:val="00A144E6"/>
    <w:rsid w:val="00A14577"/>
    <w:rsid w:val="00A14BD4"/>
    <w:rsid w:val="00A14D9B"/>
    <w:rsid w:val="00A14DDA"/>
    <w:rsid w:val="00A151C7"/>
    <w:rsid w:val="00A154C9"/>
    <w:rsid w:val="00A155EA"/>
    <w:rsid w:val="00A15D12"/>
    <w:rsid w:val="00A167FB"/>
    <w:rsid w:val="00A16825"/>
    <w:rsid w:val="00A1692D"/>
    <w:rsid w:val="00A16A64"/>
    <w:rsid w:val="00A16C9E"/>
    <w:rsid w:val="00A179DA"/>
    <w:rsid w:val="00A17D0F"/>
    <w:rsid w:val="00A17D19"/>
    <w:rsid w:val="00A203A5"/>
    <w:rsid w:val="00A20458"/>
    <w:rsid w:val="00A2053C"/>
    <w:rsid w:val="00A20A0E"/>
    <w:rsid w:val="00A21184"/>
    <w:rsid w:val="00A212C2"/>
    <w:rsid w:val="00A2132B"/>
    <w:rsid w:val="00A2152A"/>
    <w:rsid w:val="00A21BAC"/>
    <w:rsid w:val="00A22700"/>
    <w:rsid w:val="00A23440"/>
    <w:rsid w:val="00A23A35"/>
    <w:rsid w:val="00A23B53"/>
    <w:rsid w:val="00A23BA5"/>
    <w:rsid w:val="00A24314"/>
    <w:rsid w:val="00A24856"/>
    <w:rsid w:val="00A24E50"/>
    <w:rsid w:val="00A24E6C"/>
    <w:rsid w:val="00A25649"/>
    <w:rsid w:val="00A25883"/>
    <w:rsid w:val="00A259EB"/>
    <w:rsid w:val="00A25E5D"/>
    <w:rsid w:val="00A25FF8"/>
    <w:rsid w:val="00A262D1"/>
    <w:rsid w:val="00A26337"/>
    <w:rsid w:val="00A26888"/>
    <w:rsid w:val="00A269ED"/>
    <w:rsid w:val="00A26F75"/>
    <w:rsid w:val="00A27018"/>
    <w:rsid w:val="00A27249"/>
    <w:rsid w:val="00A27A9B"/>
    <w:rsid w:val="00A27D04"/>
    <w:rsid w:val="00A27F30"/>
    <w:rsid w:val="00A30532"/>
    <w:rsid w:val="00A305B9"/>
    <w:rsid w:val="00A305D4"/>
    <w:rsid w:val="00A307AE"/>
    <w:rsid w:val="00A30D90"/>
    <w:rsid w:val="00A30FF8"/>
    <w:rsid w:val="00A31BA0"/>
    <w:rsid w:val="00A31C9B"/>
    <w:rsid w:val="00A322EF"/>
    <w:rsid w:val="00A32727"/>
    <w:rsid w:val="00A327EF"/>
    <w:rsid w:val="00A3297F"/>
    <w:rsid w:val="00A32EA7"/>
    <w:rsid w:val="00A33084"/>
    <w:rsid w:val="00A331BD"/>
    <w:rsid w:val="00A335C8"/>
    <w:rsid w:val="00A33A35"/>
    <w:rsid w:val="00A33A65"/>
    <w:rsid w:val="00A3413F"/>
    <w:rsid w:val="00A3458E"/>
    <w:rsid w:val="00A34CCD"/>
    <w:rsid w:val="00A34E90"/>
    <w:rsid w:val="00A35129"/>
    <w:rsid w:val="00A35643"/>
    <w:rsid w:val="00A35686"/>
    <w:rsid w:val="00A3571E"/>
    <w:rsid w:val="00A3618E"/>
    <w:rsid w:val="00A36B11"/>
    <w:rsid w:val="00A37365"/>
    <w:rsid w:val="00A376C8"/>
    <w:rsid w:val="00A378F3"/>
    <w:rsid w:val="00A37C83"/>
    <w:rsid w:val="00A37C8C"/>
    <w:rsid w:val="00A4082F"/>
    <w:rsid w:val="00A40E4F"/>
    <w:rsid w:val="00A41511"/>
    <w:rsid w:val="00A419AF"/>
    <w:rsid w:val="00A41AA6"/>
    <w:rsid w:val="00A41B7C"/>
    <w:rsid w:val="00A42115"/>
    <w:rsid w:val="00A42408"/>
    <w:rsid w:val="00A428B3"/>
    <w:rsid w:val="00A42C2F"/>
    <w:rsid w:val="00A43470"/>
    <w:rsid w:val="00A43603"/>
    <w:rsid w:val="00A43770"/>
    <w:rsid w:val="00A43C44"/>
    <w:rsid w:val="00A43F23"/>
    <w:rsid w:val="00A44CBB"/>
    <w:rsid w:val="00A45B75"/>
    <w:rsid w:val="00A46037"/>
    <w:rsid w:val="00A467DB"/>
    <w:rsid w:val="00A46FA6"/>
    <w:rsid w:val="00A47144"/>
    <w:rsid w:val="00A475BD"/>
    <w:rsid w:val="00A475F1"/>
    <w:rsid w:val="00A47AAA"/>
    <w:rsid w:val="00A47BB1"/>
    <w:rsid w:val="00A47C9B"/>
    <w:rsid w:val="00A47F03"/>
    <w:rsid w:val="00A47F2A"/>
    <w:rsid w:val="00A47F56"/>
    <w:rsid w:val="00A504C6"/>
    <w:rsid w:val="00A508F6"/>
    <w:rsid w:val="00A51228"/>
    <w:rsid w:val="00A5130D"/>
    <w:rsid w:val="00A51555"/>
    <w:rsid w:val="00A51600"/>
    <w:rsid w:val="00A51AA8"/>
    <w:rsid w:val="00A52C2C"/>
    <w:rsid w:val="00A53A3F"/>
    <w:rsid w:val="00A53EAE"/>
    <w:rsid w:val="00A543F8"/>
    <w:rsid w:val="00A5449B"/>
    <w:rsid w:val="00A545E5"/>
    <w:rsid w:val="00A54C3E"/>
    <w:rsid w:val="00A54C53"/>
    <w:rsid w:val="00A54EED"/>
    <w:rsid w:val="00A55458"/>
    <w:rsid w:val="00A55473"/>
    <w:rsid w:val="00A557A9"/>
    <w:rsid w:val="00A55FFB"/>
    <w:rsid w:val="00A56063"/>
    <w:rsid w:val="00A56509"/>
    <w:rsid w:val="00A56838"/>
    <w:rsid w:val="00A56F21"/>
    <w:rsid w:val="00A57019"/>
    <w:rsid w:val="00A5722F"/>
    <w:rsid w:val="00A57CEB"/>
    <w:rsid w:val="00A57DA8"/>
    <w:rsid w:val="00A57E5D"/>
    <w:rsid w:val="00A57F91"/>
    <w:rsid w:val="00A60347"/>
    <w:rsid w:val="00A604BA"/>
    <w:rsid w:val="00A607D0"/>
    <w:rsid w:val="00A60A73"/>
    <w:rsid w:val="00A60C2A"/>
    <w:rsid w:val="00A60C9C"/>
    <w:rsid w:val="00A60E2A"/>
    <w:rsid w:val="00A60EDC"/>
    <w:rsid w:val="00A617D7"/>
    <w:rsid w:val="00A621AE"/>
    <w:rsid w:val="00A62204"/>
    <w:rsid w:val="00A62362"/>
    <w:rsid w:val="00A62488"/>
    <w:rsid w:val="00A62796"/>
    <w:rsid w:val="00A6279F"/>
    <w:rsid w:val="00A62965"/>
    <w:rsid w:val="00A62DDF"/>
    <w:rsid w:val="00A62E0E"/>
    <w:rsid w:val="00A632DC"/>
    <w:rsid w:val="00A63456"/>
    <w:rsid w:val="00A635DF"/>
    <w:rsid w:val="00A639D3"/>
    <w:rsid w:val="00A63C79"/>
    <w:rsid w:val="00A63CCA"/>
    <w:rsid w:val="00A646CF"/>
    <w:rsid w:val="00A648D9"/>
    <w:rsid w:val="00A64C5D"/>
    <w:rsid w:val="00A64F69"/>
    <w:rsid w:val="00A65103"/>
    <w:rsid w:val="00A6564B"/>
    <w:rsid w:val="00A65D57"/>
    <w:rsid w:val="00A65FE0"/>
    <w:rsid w:val="00A66514"/>
    <w:rsid w:val="00A66CB4"/>
    <w:rsid w:val="00A67198"/>
    <w:rsid w:val="00A671C4"/>
    <w:rsid w:val="00A676BA"/>
    <w:rsid w:val="00A67D80"/>
    <w:rsid w:val="00A70862"/>
    <w:rsid w:val="00A70D5A"/>
    <w:rsid w:val="00A71166"/>
    <w:rsid w:val="00A71332"/>
    <w:rsid w:val="00A71559"/>
    <w:rsid w:val="00A71A6C"/>
    <w:rsid w:val="00A72ACD"/>
    <w:rsid w:val="00A72C3A"/>
    <w:rsid w:val="00A72C7F"/>
    <w:rsid w:val="00A72FB9"/>
    <w:rsid w:val="00A73113"/>
    <w:rsid w:val="00A735A0"/>
    <w:rsid w:val="00A7389A"/>
    <w:rsid w:val="00A73960"/>
    <w:rsid w:val="00A73D93"/>
    <w:rsid w:val="00A73F5D"/>
    <w:rsid w:val="00A741DC"/>
    <w:rsid w:val="00A744B1"/>
    <w:rsid w:val="00A74A1F"/>
    <w:rsid w:val="00A74D00"/>
    <w:rsid w:val="00A75B10"/>
    <w:rsid w:val="00A76B89"/>
    <w:rsid w:val="00A76BE8"/>
    <w:rsid w:val="00A76F43"/>
    <w:rsid w:val="00A77844"/>
    <w:rsid w:val="00A802E7"/>
    <w:rsid w:val="00A80907"/>
    <w:rsid w:val="00A809FF"/>
    <w:rsid w:val="00A80A0C"/>
    <w:rsid w:val="00A81208"/>
    <w:rsid w:val="00A81210"/>
    <w:rsid w:val="00A81B04"/>
    <w:rsid w:val="00A81E91"/>
    <w:rsid w:val="00A81FAE"/>
    <w:rsid w:val="00A820EC"/>
    <w:rsid w:val="00A8279C"/>
    <w:rsid w:val="00A82ACC"/>
    <w:rsid w:val="00A82BC0"/>
    <w:rsid w:val="00A82D8C"/>
    <w:rsid w:val="00A8328F"/>
    <w:rsid w:val="00A83639"/>
    <w:rsid w:val="00A83961"/>
    <w:rsid w:val="00A839D6"/>
    <w:rsid w:val="00A83DE8"/>
    <w:rsid w:val="00A84057"/>
    <w:rsid w:val="00A840EA"/>
    <w:rsid w:val="00A84819"/>
    <w:rsid w:val="00A84DD1"/>
    <w:rsid w:val="00A852D7"/>
    <w:rsid w:val="00A85381"/>
    <w:rsid w:val="00A86543"/>
    <w:rsid w:val="00A8674A"/>
    <w:rsid w:val="00A86D24"/>
    <w:rsid w:val="00A86D2B"/>
    <w:rsid w:val="00A870E1"/>
    <w:rsid w:val="00A876F0"/>
    <w:rsid w:val="00A879BB"/>
    <w:rsid w:val="00A879E4"/>
    <w:rsid w:val="00A87BCF"/>
    <w:rsid w:val="00A87CB3"/>
    <w:rsid w:val="00A87D19"/>
    <w:rsid w:val="00A90661"/>
    <w:rsid w:val="00A91A37"/>
    <w:rsid w:val="00A91B57"/>
    <w:rsid w:val="00A91E4F"/>
    <w:rsid w:val="00A91F1C"/>
    <w:rsid w:val="00A9275F"/>
    <w:rsid w:val="00A92905"/>
    <w:rsid w:val="00A93088"/>
    <w:rsid w:val="00A9318A"/>
    <w:rsid w:val="00A937AC"/>
    <w:rsid w:val="00A939C4"/>
    <w:rsid w:val="00A93D3E"/>
    <w:rsid w:val="00A93F98"/>
    <w:rsid w:val="00A94393"/>
    <w:rsid w:val="00A94577"/>
    <w:rsid w:val="00A948FE"/>
    <w:rsid w:val="00A94A77"/>
    <w:rsid w:val="00A94EA1"/>
    <w:rsid w:val="00A951FF"/>
    <w:rsid w:val="00A95482"/>
    <w:rsid w:val="00A9581E"/>
    <w:rsid w:val="00A95E83"/>
    <w:rsid w:val="00A95F11"/>
    <w:rsid w:val="00A961F2"/>
    <w:rsid w:val="00A964A4"/>
    <w:rsid w:val="00A96677"/>
    <w:rsid w:val="00A96936"/>
    <w:rsid w:val="00A96F8C"/>
    <w:rsid w:val="00A9736E"/>
    <w:rsid w:val="00A97F89"/>
    <w:rsid w:val="00AA037D"/>
    <w:rsid w:val="00AA09AC"/>
    <w:rsid w:val="00AA0C7B"/>
    <w:rsid w:val="00AA10DD"/>
    <w:rsid w:val="00AA10FE"/>
    <w:rsid w:val="00AA192F"/>
    <w:rsid w:val="00AA1A95"/>
    <w:rsid w:val="00AA22BB"/>
    <w:rsid w:val="00AA2807"/>
    <w:rsid w:val="00AA2CD7"/>
    <w:rsid w:val="00AA2D3C"/>
    <w:rsid w:val="00AA2D52"/>
    <w:rsid w:val="00AA3065"/>
    <w:rsid w:val="00AA35C3"/>
    <w:rsid w:val="00AA36DA"/>
    <w:rsid w:val="00AA3A50"/>
    <w:rsid w:val="00AA404C"/>
    <w:rsid w:val="00AA494E"/>
    <w:rsid w:val="00AA5DCF"/>
    <w:rsid w:val="00AA6150"/>
    <w:rsid w:val="00AA6343"/>
    <w:rsid w:val="00AA63A5"/>
    <w:rsid w:val="00AA6878"/>
    <w:rsid w:val="00AA753D"/>
    <w:rsid w:val="00AA78A3"/>
    <w:rsid w:val="00AA78AD"/>
    <w:rsid w:val="00AB0045"/>
    <w:rsid w:val="00AB021E"/>
    <w:rsid w:val="00AB1AB2"/>
    <w:rsid w:val="00AB1B3B"/>
    <w:rsid w:val="00AB1BC2"/>
    <w:rsid w:val="00AB1FF0"/>
    <w:rsid w:val="00AB24FE"/>
    <w:rsid w:val="00AB259E"/>
    <w:rsid w:val="00AB263A"/>
    <w:rsid w:val="00AB2B4D"/>
    <w:rsid w:val="00AB2DC3"/>
    <w:rsid w:val="00AB300F"/>
    <w:rsid w:val="00AB33DD"/>
    <w:rsid w:val="00AB36F3"/>
    <w:rsid w:val="00AB37DD"/>
    <w:rsid w:val="00AB3A2A"/>
    <w:rsid w:val="00AB4559"/>
    <w:rsid w:val="00AB47D5"/>
    <w:rsid w:val="00AB47DB"/>
    <w:rsid w:val="00AB49AD"/>
    <w:rsid w:val="00AB4AF4"/>
    <w:rsid w:val="00AB4FD5"/>
    <w:rsid w:val="00AB577E"/>
    <w:rsid w:val="00AB579C"/>
    <w:rsid w:val="00AB5954"/>
    <w:rsid w:val="00AB6040"/>
    <w:rsid w:val="00AB6417"/>
    <w:rsid w:val="00AB6BC5"/>
    <w:rsid w:val="00AB6CC9"/>
    <w:rsid w:val="00AB6EC4"/>
    <w:rsid w:val="00AB7000"/>
    <w:rsid w:val="00AC037A"/>
    <w:rsid w:val="00AC06CA"/>
    <w:rsid w:val="00AC0731"/>
    <w:rsid w:val="00AC12BA"/>
    <w:rsid w:val="00AC1489"/>
    <w:rsid w:val="00AC194A"/>
    <w:rsid w:val="00AC1957"/>
    <w:rsid w:val="00AC1F35"/>
    <w:rsid w:val="00AC23E1"/>
    <w:rsid w:val="00AC2503"/>
    <w:rsid w:val="00AC2814"/>
    <w:rsid w:val="00AC297D"/>
    <w:rsid w:val="00AC2AFE"/>
    <w:rsid w:val="00AC3316"/>
    <w:rsid w:val="00AC3B65"/>
    <w:rsid w:val="00AC3B96"/>
    <w:rsid w:val="00AC3D5B"/>
    <w:rsid w:val="00AC3F34"/>
    <w:rsid w:val="00AC4189"/>
    <w:rsid w:val="00AC41AA"/>
    <w:rsid w:val="00AC4231"/>
    <w:rsid w:val="00AC4E08"/>
    <w:rsid w:val="00AC50D8"/>
    <w:rsid w:val="00AC5417"/>
    <w:rsid w:val="00AC562E"/>
    <w:rsid w:val="00AC58F0"/>
    <w:rsid w:val="00AC6358"/>
    <w:rsid w:val="00AC6823"/>
    <w:rsid w:val="00AC7A00"/>
    <w:rsid w:val="00AD0205"/>
    <w:rsid w:val="00AD0BF6"/>
    <w:rsid w:val="00AD140E"/>
    <w:rsid w:val="00AD14A9"/>
    <w:rsid w:val="00AD211C"/>
    <w:rsid w:val="00AD23FF"/>
    <w:rsid w:val="00AD38EE"/>
    <w:rsid w:val="00AD3A9B"/>
    <w:rsid w:val="00AD3B49"/>
    <w:rsid w:val="00AD3C41"/>
    <w:rsid w:val="00AD4150"/>
    <w:rsid w:val="00AD45D6"/>
    <w:rsid w:val="00AD49C0"/>
    <w:rsid w:val="00AD4A99"/>
    <w:rsid w:val="00AD4BD9"/>
    <w:rsid w:val="00AD4BFD"/>
    <w:rsid w:val="00AD4CCB"/>
    <w:rsid w:val="00AD5648"/>
    <w:rsid w:val="00AD5CCB"/>
    <w:rsid w:val="00AD61E7"/>
    <w:rsid w:val="00AD644C"/>
    <w:rsid w:val="00AD647D"/>
    <w:rsid w:val="00AD653F"/>
    <w:rsid w:val="00AD658C"/>
    <w:rsid w:val="00AD6B03"/>
    <w:rsid w:val="00AD6E49"/>
    <w:rsid w:val="00AD711D"/>
    <w:rsid w:val="00AD7150"/>
    <w:rsid w:val="00AD744B"/>
    <w:rsid w:val="00AD7575"/>
    <w:rsid w:val="00AD75A8"/>
    <w:rsid w:val="00AD76E6"/>
    <w:rsid w:val="00AD79FA"/>
    <w:rsid w:val="00AD7D96"/>
    <w:rsid w:val="00AD7ED1"/>
    <w:rsid w:val="00AE008C"/>
    <w:rsid w:val="00AE09B8"/>
    <w:rsid w:val="00AE165D"/>
    <w:rsid w:val="00AE1752"/>
    <w:rsid w:val="00AE1C2B"/>
    <w:rsid w:val="00AE242F"/>
    <w:rsid w:val="00AE2CC0"/>
    <w:rsid w:val="00AE34B5"/>
    <w:rsid w:val="00AE3590"/>
    <w:rsid w:val="00AE3778"/>
    <w:rsid w:val="00AE37B5"/>
    <w:rsid w:val="00AE3C75"/>
    <w:rsid w:val="00AE3C7C"/>
    <w:rsid w:val="00AE4099"/>
    <w:rsid w:val="00AE4491"/>
    <w:rsid w:val="00AE4665"/>
    <w:rsid w:val="00AE48FF"/>
    <w:rsid w:val="00AE49EA"/>
    <w:rsid w:val="00AE4AE8"/>
    <w:rsid w:val="00AE4AE9"/>
    <w:rsid w:val="00AE55B0"/>
    <w:rsid w:val="00AE593A"/>
    <w:rsid w:val="00AE641B"/>
    <w:rsid w:val="00AE73E5"/>
    <w:rsid w:val="00AE7919"/>
    <w:rsid w:val="00AF01FD"/>
    <w:rsid w:val="00AF0302"/>
    <w:rsid w:val="00AF05BC"/>
    <w:rsid w:val="00AF0E50"/>
    <w:rsid w:val="00AF14EB"/>
    <w:rsid w:val="00AF168A"/>
    <w:rsid w:val="00AF1F4D"/>
    <w:rsid w:val="00AF1F6F"/>
    <w:rsid w:val="00AF2097"/>
    <w:rsid w:val="00AF2269"/>
    <w:rsid w:val="00AF241B"/>
    <w:rsid w:val="00AF2841"/>
    <w:rsid w:val="00AF3203"/>
    <w:rsid w:val="00AF3682"/>
    <w:rsid w:val="00AF3B5C"/>
    <w:rsid w:val="00AF3CF2"/>
    <w:rsid w:val="00AF4B25"/>
    <w:rsid w:val="00AF4CEB"/>
    <w:rsid w:val="00AF4F13"/>
    <w:rsid w:val="00AF515F"/>
    <w:rsid w:val="00AF56C3"/>
    <w:rsid w:val="00AF5B2C"/>
    <w:rsid w:val="00AF5F91"/>
    <w:rsid w:val="00AF60CF"/>
    <w:rsid w:val="00AF626B"/>
    <w:rsid w:val="00AF628C"/>
    <w:rsid w:val="00AF62B3"/>
    <w:rsid w:val="00AF73F2"/>
    <w:rsid w:val="00AF7996"/>
    <w:rsid w:val="00B00215"/>
    <w:rsid w:val="00B005D1"/>
    <w:rsid w:val="00B00937"/>
    <w:rsid w:val="00B00972"/>
    <w:rsid w:val="00B00C77"/>
    <w:rsid w:val="00B00E3B"/>
    <w:rsid w:val="00B010DC"/>
    <w:rsid w:val="00B01436"/>
    <w:rsid w:val="00B0313C"/>
    <w:rsid w:val="00B032D5"/>
    <w:rsid w:val="00B034F2"/>
    <w:rsid w:val="00B03948"/>
    <w:rsid w:val="00B04492"/>
    <w:rsid w:val="00B04637"/>
    <w:rsid w:val="00B052F0"/>
    <w:rsid w:val="00B05381"/>
    <w:rsid w:val="00B054FE"/>
    <w:rsid w:val="00B0578A"/>
    <w:rsid w:val="00B05E5D"/>
    <w:rsid w:val="00B0604A"/>
    <w:rsid w:val="00B062B1"/>
    <w:rsid w:val="00B0644D"/>
    <w:rsid w:val="00B067FE"/>
    <w:rsid w:val="00B0681D"/>
    <w:rsid w:val="00B06928"/>
    <w:rsid w:val="00B071C5"/>
    <w:rsid w:val="00B0743D"/>
    <w:rsid w:val="00B07B5C"/>
    <w:rsid w:val="00B07B6A"/>
    <w:rsid w:val="00B1012C"/>
    <w:rsid w:val="00B10323"/>
    <w:rsid w:val="00B10350"/>
    <w:rsid w:val="00B11171"/>
    <w:rsid w:val="00B114CB"/>
    <w:rsid w:val="00B1168C"/>
    <w:rsid w:val="00B11A3A"/>
    <w:rsid w:val="00B120CC"/>
    <w:rsid w:val="00B1373A"/>
    <w:rsid w:val="00B13BF3"/>
    <w:rsid w:val="00B13EB3"/>
    <w:rsid w:val="00B14765"/>
    <w:rsid w:val="00B148BE"/>
    <w:rsid w:val="00B14B32"/>
    <w:rsid w:val="00B14B8E"/>
    <w:rsid w:val="00B1543E"/>
    <w:rsid w:val="00B1562F"/>
    <w:rsid w:val="00B15AFB"/>
    <w:rsid w:val="00B15B5B"/>
    <w:rsid w:val="00B15D29"/>
    <w:rsid w:val="00B16439"/>
    <w:rsid w:val="00B1660C"/>
    <w:rsid w:val="00B169E0"/>
    <w:rsid w:val="00B16A46"/>
    <w:rsid w:val="00B16A6B"/>
    <w:rsid w:val="00B2089F"/>
    <w:rsid w:val="00B20FF4"/>
    <w:rsid w:val="00B212AB"/>
    <w:rsid w:val="00B21660"/>
    <w:rsid w:val="00B21EF3"/>
    <w:rsid w:val="00B21F0D"/>
    <w:rsid w:val="00B2204A"/>
    <w:rsid w:val="00B224EF"/>
    <w:rsid w:val="00B22661"/>
    <w:rsid w:val="00B22888"/>
    <w:rsid w:val="00B22BDE"/>
    <w:rsid w:val="00B22C08"/>
    <w:rsid w:val="00B23628"/>
    <w:rsid w:val="00B23A11"/>
    <w:rsid w:val="00B2418F"/>
    <w:rsid w:val="00B24200"/>
    <w:rsid w:val="00B245A0"/>
    <w:rsid w:val="00B2468E"/>
    <w:rsid w:val="00B24D7E"/>
    <w:rsid w:val="00B24F2A"/>
    <w:rsid w:val="00B250E9"/>
    <w:rsid w:val="00B25152"/>
    <w:rsid w:val="00B25C8A"/>
    <w:rsid w:val="00B25D7F"/>
    <w:rsid w:val="00B25DA1"/>
    <w:rsid w:val="00B25FED"/>
    <w:rsid w:val="00B262D5"/>
    <w:rsid w:val="00B26B25"/>
    <w:rsid w:val="00B2708E"/>
    <w:rsid w:val="00B27A08"/>
    <w:rsid w:val="00B313C3"/>
    <w:rsid w:val="00B314DC"/>
    <w:rsid w:val="00B31AEC"/>
    <w:rsid w:val="00B31D3C"/>
    <w:rsid w:val="00B3278E"/>
    <w:rsid w:val="00B335C9"/>
    <w:rsid w:val="00B33937"/>
    <w:rsid w:val="00B33A02"/>
    <w:rsid w:val="00B33F85"/>
    <w:rsid w:val="00B34006"/>
    <w:rsid w:val="00B34825"/>
    <w:rsid w:val="00B3531C"/>
    <w:rsid w:val="00B356D1"/>
    <w:rsid w:val="00B35AF9"/>
    <w:rsid w:val="00B35D5C"/>
    <w:rsid w:val="00B363E3"/>
    <w:rsid w:val="00B36463"/>
    <w:rsid w:val="00B366DB"/>
    <w:rsid w:val="00B36811"/>
    <w:rsid w:val="00B370B3"/>
    <w:rsid w:val="00B37835"/>
    <w:rsid w:val="00B37873"/>
    <w:rsid w:val="00B37E17"/>
    <w:rsid w:val="00B37EBA"/>
    <w:rsid w:val="00B37EF1"/>
    <w:rsid w:val="00B40E58"/>
    <w:rsid w:val="00B40EC6"/>
    <w:rsid w:val="00B41A41"/>
    <w:rsid w:val="00B41B9E"/>
    <w:rsid w:val="00B42AB0"/>
    <w:rsid w:val="00B439D3"/>
    <w:rsid w:val="00B43FE1"/>
    <w:rsid w:val="00B44189"/>
    <w:rsid w:val="00B4418D"/>
    <w:rsid w:val="00B442B2"/>
    <w:rsid w:val="00B44525"/>
    <w:rsid w:val="00B44599"/>
    <w:rsid w:val="00B44AF9"/>
    <w:rsid w:val="00B45963"/>
    <w:rsid w:val="00B45BB7"/>
    <w:rsid w:val="00B4635F"/>
    <w:rsid w:val="00B46667"/>
    <w:rsid w:val="00B466C8"/>
    <w:rsid w:val="00B467AD"/>
    <w:rsid w:val="00B46EAC"/>
    <w:rsid w:val="00B46FBA"/>
    <w:rsid w:val="00B5009B"/>
    <w:rsid w:val="00B501C2"/>
    <w:rsid w:val="00B50D89"/>
    <w:rsid w:val="00B51286"/>
    <w:rsid w:val="00B513D2"/>
    <w:rsid w:val="00B5143B"/>
    <w:rsid w:val="00B51977"/>
    <w:rsid w:val="00B51994"/>
    <w:rsid w:val="00B51F79"/>
    <w:rsid w:val="00B521BE"/>
    <w:rsid w:val="00B52335"/>
    <w:rsid w:val="00B52388"/>
    <w:rsid w:val="00B52DE1"/>
    <w:rsid w:val="00B52EA1"/>
    <w:rsid w:val="00B52FDE"/>
    <w:rsid w:val="00B5316B"/>
    <w:rsid w:val="00B5375F"/>
    <w:rsid w:val="00B54035"/>
    <w:rsid w:val="00B541FE"/>
    <w:rsid w:val="00B54219"/>
    <w:rsid w:val="00B54524"/>
    <w:rsid w:val="00B5461D"/>
    <w:rsid w:val="00B54A98"/>
    <w:rsid w:val="00B54B17"/>
    <w:rsid w:val="00B55016"/>
    <w:rsid w:val="00B555F1"/>
    <w:rsid w:val="00B5566A"/>
    <w:rsid w:val="00B5567D"/>
    <w:rsid w:val="00B55C17"/>
    <w:rsid w:val="00B55CD1"/>
    <w:rsid w:val="00B56845"/>
    <w:rsid w:val="00B568CA"/>
    <w:rsid w:val="00B5695F"/>
    <w:rsid w:val="00B56A08"/>
    <w:rsid w:val="00B57608"/>
    <w:rsid w:val="00B579B3"/>
    <w:rsid w:val="00B57C08"/>
    <w:rsid w:val="00B6024C"/>
    <w:rsid w:val="00B60614"/>
    <w:rsid w:val="00B60AF3"/>
    <w:rsid w:val="00B6118C"/>
    <w:rsid w:val="00B6154C"/>
    <w:rsid w:val="00B615D8"/>
    <w:rsid w:val="00B618AC"/>
    <w:rsid w:val="00B621AB"/>
    <w:rsid w:val="00B62302"/>
    <w:rsid w:val="00B6232D"/>
    <w:rsid w:val="00B62872"/>
    <w:rsid w:val="00B63934"/>
    <w:rsid w:val="00B63D24"/>
    <w:rsid w:val="00B63DDB"/>
    <w:rsid w:val="00B64CB4"/>
    <w:rsid w:val="00B64DF8"/>
    <w:rsid w:val="00B650F7"/>
    <w:rsid w:val="00B655B1"/>
    <w:rsid w:val="00B655CA"/>
    <w:rsid w:val="00B65D2C"/>
    <w:rsid w:val="00B65E2E"/>
    <w:rsid w:val="00B65EA0"/>
    <w:rsid w:val="00B65F09"/>
    <w:rsid w:val="00B6690F"/>
    <w:rsid w:val="00B66A95"/>
    <w:rsid w:val="00B67678"/>
    <w:rsid w:val="00B67B40"/>
    <w:rsid w:val="00B67BCA"/>
    <w:rsid w:val="00B67DD7"/>
    <w:rsid w:val="00B70327"/>
    <w:rsid w:val="00B70811"/>
    <w:rsid w:val="00B70A17"/>
    <w:rsid w:val="00B70A48"/>
    <w:rsid w:val="00B70B68"/>
    <w:rsid w:val="00B70F26"/>
    <w:rsid w:val="00B71275"/>
    <w:rsid w:val="00B717F9"/>
    <w:rsid w:val="00B7233A"/>
    <w:rsid w:val="00B727FF"/>
    <w:rsid w:val="00B72BE7"/>
    <w:rsid w:val="00B72C30"/>
    <w:rsid w:val="00B72FA8"/>
    <w:rsid w:val="00B74719"/>
    <w:rsid w:val="00B74BD4"/>
    <w:rsid w:val="00B75029"/>
    <w:rsid w:val="00B751D2"/>
    <w:rsid w:val="00B7536B"/>
    <w:rsid w:val="00B7567F"/>
    <w:rsid w:val="00B76275"/>
    <w:rsid w:val="00B76362"/>
    <w:rsid w:val="00B763A1"/>
    <w:rsid w:val="00B765D1"/>
    <w:rsid w:val="00B77467"/>
    <w:rsid w:val="00B7749C"/>
    <w:rsid w:val="00B77A08"/>
    <w:rsid w:val="00B77C3B"/>
    <w:rsid w:val="00B77ECB"/>
    <w:rsid w:val="00B802CD"/>
    <w:rsid w:val="00B80883"/>
    <w:rsid w:val="00B80B33"/>
    <w:rsid w:val="00B818E1"/>
    <w:rsid w:val="00B822C3"/>
    <w:rsid w:val="00B82324"/>
    <w:rsid w:val="00B826EB"/>
    <w:rsid w:val="00B82760"/>
    <w:rsid w:val="00B84751"/>
    <w:rsid w:val="00B8494A"/>
    <w:rsid w:val="00B85015"/>
    <w:rsid w:val="00B8517B"/>
    <w:rsid w:val="00B85193"/>
    <w:rsid w:val="00B85575"/>
    <w:rsid w:val="00B85675"/>
    <w:rsid w:val="00B860F2"/>
    <w:rsid w:val="00B861B3"/>
    <w:rsid w:val="00B8625F"/>
    <w:rsid w:val="00B863C9"/>
    <w:rsid w:val="00B86F03"/>
    <w:rsid w:val="00B870C1"/>
    <w:rsid w:val="00B87240"/>
    <w:rsid w:val="00B87433"/>
    <w:rsid w:val="00B87814"/>
    <w:rsid w:val="00B878DC"/>
    <w:rsid w:val="00B90147"/>
    <w:rsid w:val="00B903C7"/>
    <w:rsid w:val="00B9069B"/>
    <w:rsid w:val="00B90A60"/>
    <w:rsid w:val="00B91487"/>
    <w:rsid w:val="00B91729"/>
    <w:rsid w:val="00B91D9C"/>
    <w:rsid w:val="00B9296D"/>
    <w:rsid w:val="00B9331C"/>
    <w:rsid w:val="00B9333B"/>
    <w:rsid w:val="00B93A30"/>
    <w:rsid w:val="00B93FC2"/>
    <w:rsid w:val="00B941DB"/>
    <w:rsid w:val="00B94506"/>
    <w:rsid w:val="00B946C6"/>
    <w:rsid w:val="00B94962"/>
    <w:rsid w:val="00B94AB3"/>
    <w:rsid w:val="00B94F0F"/>
    <w:rsid w:val="00B958FD"/>
    <w:rsid w:val="00B96F17"/>
    <w:rsid w:val="00B973A8"/>
    <w:rsid w:val="00B97654"/>
    <w:rsid w:val="00B979F5"/>
    <w:rsid w:val="00B97FC7"/>
    <w:rsid w:val="00BA02D1"/>
    <w:rsid w:val="00BA0EB1"/>
    <w:rsid w:val="00BA1541"/>
    <w:rsid w:val="00BA1B32"/>
    <w:rsid w:val="00BA2005"/>
    <w:rsid w:val="00BA205F"/>
    <w:rsid w:val="00BA2481"/>
    <w:rsid w:val="00BA266E"/>
    <w:rsid w:val="00BA28A7"/>
    <w:rsid w:val="00BA2DFE"/>
    <w:rsid w:val="00BA2F7F"/>
    <w:rsid w:val="00BA3266"/>
    <w:rsid w:val="00BA3894"/>
    <w:rsid w:val="00BA38EA"/>
    <w:rsid w:val="00BA3D7D"/>
    <w:rsid w:val="00BA3F57"/>
    <w:rsid w:val="00BA4407"/>
    <w:rsid w:val="00BA4BCF"/>
    <w:rsid w:val="00BA538C"/>
    <w:rsid w:val="00BA5562"/>
    <w:rsid w:val="00BA5576"/>
    <w:rsid w:val="00BA5657"/>
    <w:rsid w:val="00BA578E"/>
    <w:rsid w:val="00BA5DC8"/>
    <w:rsid w:val="00BA5E6E"/>
    <w:rsid w:val="00BA5F65"/>
    <w:rsid w:val="00BA60DC"/>
    <w:rsid w:val="00BA61E2"/>
    <w:rsid w:val="00BA68D3"/>
    <w:rsid w:val="00BA6B34"/>
    <w:rsid w:val="00BA78DB"/>
    <w:rsid w:val="00BA7929"/>
    <w:rsid w:val="00BB019D"/>
    <w:rsid w:val="00BB04EE"/>
    <w:rsid w:val="00BB063C"/>
    <w:rsid w:val="00BB09F8"/>
    <w:rsid w:val="00BB0BF2"/>
    <w:rsid w:val="00BB0C81"/>
    <w:rsid w:val="00BB161E"/>
    <w:rsid w:val="00BB1A59"/>
    <w:rsid w:val="00BB2680"/>
    <w:rsid w:val="00BB2828"/>
    <w:rsid w:val="00BB29FB"/>
    <w:rsid w:val="00BB30C6"/>
    <w:rsid w:val="00BB3921"/>
    <w:rsid w:val="00BB39E3"/>
    <w:rsid w:val="00BB3C05"/>
    <w:rsid w:val="00BB403C"/>
    <w:rsid w:val="00BB45D1"/>
    <w:rsid w:val="00BB4D34"/>
    <w:rsid w:val="00BB4E1C"/>
    <w:rsid w:val="00BB513B"/>
    <w:rsid w:val="00BB51F1"/>
    <w:rsid w:val="00BB5307"/>
    <w:rsid w:val="00BB5AA8"/>
    <w:rsid w:val="00BB5D32"/>
    <w:rsid w:val="00BB6210"/>
    <w:rsid w:val="00BB6484"/>
    <w:rsid w:val="00BB648D"/>
    <w:rsid w:val="00BB6836"/>
    <w:rsid w:val="00BB690C"/>
    <w:rsid w:val="00BB6CBF"/>
    <w:rsid w:val="00BB704C"/>
    <w:rsid w:val="00BB74E4"/>
    <w:rsid w:val="00BB74F6"/>
    <w:rsid w:val="00BB797C"/>
    <w:rsid w:val="00BB7BD1"/>
    <w:rsid w:val="00BB7C2B"/>
    <w:rsid w:val="00BC0CE5"/>
    <w:rsid w:val="00BC0E9C"/>
    <w:rsid w:val="00BC1547"/>
    <w:rsid w:val="00BC158E"/>
    <w:rsid w:val="00BC18B2"/>
    <w:rsid w:val="00BC18BD"/>
    <w:rsid w:val="00BC1FCD"/>
    <w:rsid w:val="00BC2538"/>
    <w:rsid w:val="00BC27C8"/>
    <w:rsid w:val="00BC302B"/>
    <w:rsid w:val="00BC36E9"/>
    <w:rsid w:val="00BC3715"/>
    <w:rsid w:val="00BC3E3F"/>
    <w:rsid w:val="00BC4558"/>
    <w:rsid w:val="00BC48E9"/>
    <w:rsid w:val="00BC4A92"/>
    <w:rsid w:val="00BC4C18"/>
    <w:rsid w:val="00BC5266"/>
    <w:rsid w:val="00BC575D"/>
    <w:rsid w:val="00BC57C6"/>
    <w:rsid w:val="00BC593F"/>
    <w:rsid w:val="00BC5BFA"/>
    <w:rsid w:val="00BC65DF"/>
    <w:rsid w:val="00BC67BD"/>
    <w:rsid w:val="00BC6BBD"/>
    <w:rsid w:val="00BC6EAA"/>
    <w:rsid w:val="00BC6EAF"/>
    <w:rsid w:val="00BC735C"/>
    <w:rsid w:val="00BC7799"/>
    <w:rsid w:val="00BC7992"/>
    <w:rsid w:val="00BD03D2"/>
    <w:rsid w:val="00BD06AD"/>
    <w:rsid w:val="00BD080E"/>
    <w:rsid w:val="00BD09B6"/>
    <w:rsid w:val="00BD1321"/>
    <w:rsid w:val="00BD13DE"/>
    <w:rsid w:val="00BD15E4"/>
    <w:rsid w:val="00BD16BD"/>
    <w:rsid w:val="00BD1F5E"/>
    <w:rsid w:val="00BD201D"/>
    <w:rsid w:val="00BD20BE"/>
    <w:rsid w:val="00BD2187"/>
    <w:rsid w:val="00BD275A"/>
    <w:rsid w:val="00BD2776"/>
    <w:rsid w:val="00BD2C23"/>
    <w:rsid w:val="00BD2E16"/>
    <w:rsid w:val="00BD2F05"/>
    <w:rsid w:val="00BD2F2B"/>
    <w:rsid w:val="00BD31DE"/>
    <w:rsid w:val="00BD32EC"/>
    <w:rsid w:val="00BD332A"/>
    <w:rsid w:val="00BD376E"/>
    <w:rsid w:val="00BD450C"/>
    <w:rsid w:val="00BD46B4"/>
    <w:rsid w:val="00BD5308"/>
    <w:rsid w:val="00BD541B"/>
    <w:rsid w:val="00BD55CF"/>
    <w:rsid w:val="00BD565A"/>
    <w:rsid w:val="00BD57B6"/>
    <w:rsid w:val="00BD585E"/>
    <w:rsid w:val="00BD5956"/>
    <w:rsid w:val="00BD5ADF"/>
    <w:rsid w:val="00BD5C9F"/>
    <w:rsid w:val="00BD5E79"/>
    <w:rsid w:val="00BD5EF2"/>
    <w:rsid w:val="00BD5FE6"/>
    <w:rsid w:val="00BD6285"/>
    <w:rsid w:val="00BD63ED"/>
    <w:rsid w:val="00BD6704"/>
    <w:rsid w:val="00BD67F5"/>
    <w:rsid w:val="00BD6FF8"/>
    <w:rsid w:val="00BD7116"/>
    <w:rsid w:val="00BD771A"/>
    <w:rsid w:val="00BD7B70"/>
    <w:rsid w:val="00BD7E77"/>
    <w:rsid w:val="00BE012E"/>
    <w:rsid w:val="00BE034D"/>
    <w:rsid w:val="00BE0A4E"/>
    <w:rsid w:val="00BE160B"/>
    <w:rsid w:val="00BE1996"/>
    <w:rsid w:val="00BE1ACC"/>
    <w:rsid w:val="00BE20AD"/>
    <w:rsid w:val="00BE2337"/>
    <w:rsid w:val="00BE2668"/>
    <w:rsid w:val="00BE2B93"/>
    <w:rsid w:val="00BE2D23"/>
    <w:rsid w:val="00BE2DAD"/>
    <w:rsid w:val="00BE3107"/>
    <w:rsid w:val="00BE3292"/>
    <w:rsid w:val="00BE3536"/>
    <w:rsid w:val="00BE3731"/>
    <w:rsid w:val="00BE3967"/>
    <w:rsid w:val="00BE4897"/>
    <w:rsid w:val="00BE493C"/>
    <w:rsid w:val="00BE5419"/>
    <w:rsid w:val="00BE5EA7"/>
    <w:rsid w:val="00BE5F12"/>
    <w:rsid w:val="00BE5F7A"/>
    <w:rsid w:val="00BE60D5"/>
    <w:rsid w:val="00BE6FBB"/>
    <w:rsid w:val="00BE73AC"/>
    <w:rsid w:val="00BE7806"/>
    <w:rsid w:val="00BE787D"/>
    <w:rsid w:val="00BE7D1F"/>
    <w:rsid w:val="00BF0052"/>
    <w:rsid w:val="00BF1226"/>
    <w:rsid w:val="00BF1592"/>
    <w:rsid w:val="00BF16B0"/>
    <w:rsid w:val="00BF1E0E"/>
    <w:rsid w:val="00BF2213"/>
    <w:rsid w:val="00BF25A5"/>
    <w:rsid w:val="00BF2741"/>
    <w:rsid w:val="00BF29F3"/>
    <w:rsid w:val="00BF2C38"/>
    <w:rsid w:val="00BF2CC1"/>
    <w:rsid w:val="00BF31F8"/>
    <w:rsid w:val="00BF327E"/>
    <w:rsid w:val="00BF33BE"/>
    <w:rsid w:val="00BF34B1"/>
    <w:rsid w:val="00BF36DA"/>
    <w:rsid w:val="00BF37CF"/>
    <w:rsid w:val="00BF388A"/>
    <w:rsid w:val="00BF38D6"/>
    <w:rsid w:val="00BF3C1E"/>
    <w:rsid w:val="00BF3C4D"/>
    <w:rsid w:val="00BF3E2A"/>
    <w:rsid w:val="00BF408E"/>
    <w:rsid w:val="00BF55AA"/>
    <w:rsid w:val="00BF5768"/>
    <w:rsid w:val="00BF581D"/>
    <w:rsid w:val="00BF5967"/>
    <w:rsid w:val="00BF5BA7"/>
    <w:rsid w:val="00BF5E3C"/>
    <w:rsid w:val="00BF5F02"/>
    <w:rsid w:val="00BF6395"/>
    <w:rsid w:val="00BF6555"/>
    <w:rsid w:val="00BF664F"/>
    <w:rsid w:val="00BF66A9"/>
    <w:rsid w:val="00BF6B85"/>
    <w:rsid w:val="00BF6BFD"/>
    <w:rsid w:val="00BF7243"/>
    <w:rsid w:val="00BF7295"/>
    <w:rsid w:val="00BF753A"/>
    <w:rsid w:val="00BF7610"/>
    <w:rsid w:val="00BF766F"/>
    <w:rsid w:val="00BF7C6C"/>
    <w:rsid w:val="00BF7EC3"/>
    <w:rsid w:val="00BF7F47"/>
    <w:rsid w:val="00BF7FD3"/>
    <w:rsid w:val="00C00C1D"/>
    <w:rsid w:val="00C0222D"/>
    <w:rsid w:val="00C023D0"/>
    <w:rsid w:val="00C02522"/>
    <w:rsid w:val="00C025CF"/>
    <w:rsid w:val="00C029C3"/>
    <w:rsid w:val="00C02F81"/>
    <w:rsid w:val="00C03045"/>
    <w:rsid w:val="00C03247"/>
    <w:rsid w:val="00C0330F"/>
    <w:rsid w:val="00C036AB"/>
    <w:rsid w:val="00C03838"/>
    <w:rsid w:val="00C03984"/>
    <w:rsid w:val="00C03A71"/>
    <w:rsid w:val="00C04182"/>
    <w:rsid w:val="00C046EE"/>
    <w:rsid w:val="00C04AD3"/>
    <w:rsid w:val="00C04E06"/>
    <w:rsid w:val="00C052E5"/>
    <w:rsid w:val="00C05301"/>
    <w:rsid w:val="00C0530B"/>
    <w:rsid w:val="00C057D3"/>
    <w:rsid w:val="00C06444"/>
    <w:rsid w:val="00C06452"/>
    <w:rsid w:val="00C068AF"/>
    <w:rsid w:val="00C068B0"/>
    <w:rsid w:val="00C06951"/>
    <w:rsid w:val="00C06AAA"/>
    <w:rsid w:val="00C073CD"/>
    <w:rsid w:val="00C07E2A"/>
    <w:rsid w:val="00C07E99"/>
    <w:rsid w:val="00C10298"/>
    <w:rsid w:val="00C10654"/>
    <w:rsid w:val="00C10823"/>
    <w:rsid w:val="00C10869"/>
    <w:rsid w:val="00C10A5A"/>
    <w:rsid w:val="00C10C4D"/>
    <w:rsid w:val="00C1164A"/>
    <w:rsid w:val="00C11EEA"/>
    <w:rsid w:val="00C12686"/>
    <w:rsid w:val="00C126E7"/>
    <w:rsid w:val="00C12D61"/>
    <w:rsid w:val="00C12EFC"/>
    <w:rsid w:val="00C1360B"/>
    <w:rsid w:val="00C13F06"/>
    <w:rsid w:val="00C146D5"/>
    <w:rsid w:val="00C14F5E"/>
    <w:rsid w:val="00C15078"/>
    <w:rsid w:val="00C16903"/>
    <w:rsid w:val="00C16C53"/>
    <w:rsid w:val="00C2090E"/>
    <w:rsid w:val="00C20921"/>
    <w:rsid w:val="00C2092F"/>
    <w:rsid w:val="00C210A2"/>
    <w:rsid w:val="00C215BA"/>
    <w:rsid w:val="00C21808"/>
    <w:rsid w:val="00C219A6"/>
    <w:rsid w:val="00C21DE1"/>
    <w:rsid w:val="00C22BE5"/>
    <w:rsid w:val="00C22C28"/>
    <w:rsid w:val="00C22CAC"/>
    <w:rsid w:val="00C232EB"/>
    <w:rsid w:val="00C23422"/>
    <w:rsid w:val="00C2344D"/>
    <w:rsid w:val="00C2365C"/>
    <w:rsid w:val="00C24086"/>
    <w:rsid w:val="00C24A57"/>
    <w:rsid w:val="00C25270"/>
    <w:rsid w:val="00C25869"/>
    <w:rsid w:val="00C259E3"/>
    <w:rsid w:val="00C25D82"/>
    <w:rsid w:val="00C2681B"/>
    <w:rsid w:val="00C268A4"/>
    <w:rsid w:val="00C26EF8"/>
    <w:rsid w:val="00C26EFD"/>
    <w:rsid w:val="00C27595"/>
    <w:rsid w:val="00C27700"/>
    <w:rsid w:val="00C27B1C"/>
    <w:rsid w:val="00C27EA9"/>
    <w:rsid w:val="00C300B9"/>
    <w:rsid w:val="00C302A2"/>
    <w:rsid w:val="00C3060F"/>
    <w:rsid w:val="00C311C0"/>
    <w:rsid w:val="00C313FC"/>
    <w:rsid w:val="00C31D01"/>
    <w:rsid w:val="00C31D7D"/>
    <w:rsid w:val="00C31EE3"/>
    <w:rsid w:val="00C324CE"/>
    <w:rsid w:val="00C3285C"/>
    <w:rsid w:val="00C32920"/>
    <w:rsid w:val="00C32F7A"/>
    <w:rsid w:val="00C32FC5"/>
    <w:rsid w:val="00C33417"/>
    <w:rsid w:val="00C33530"/>
    <w:rsid w:val="00C335BF"/>
    <w:rsid w:val="00C3399C"/>
    <w:rsid w:val="00C33CAD"/>
    <w:rsid w:val="00C34018"/>
    <w:rsid w:val="00C34D80"/>
    <w:rsid w:val="00C34E8A"/>
    <w:rsid w:val="00C3502E"/>
    <w:rsid w:val="00C350BC"/>
    <w:rsid w:val="00C35112"/>
    <w:rsid w:val="00C35210"/>
    <w:rsid w:val="00C35A39"/>
    <w:rsid w:val="00C35CF8"/>
    <w:rsid w:val="00C35F0E"/>
    <w:rsid w:val="00C35FE1"/>
    <w:rsid w:val="00C36508"/>
    <w:rsid w:val="00C36550"/>
    <w:rsid w:val="00C3659E"/>
    <w:rsid w:val="00C36B23"/>
    <w:rsid w:val="00C36F64"/>
    <w:rsid w:val="00C372F5"/>
    <w:rsid w:val="00C37771"/>
    <w:rsid w:val="00C40344"/>
    <w:rsid w:val="00C4048E"/>
    <w:rsid w:val="00C40525"/>
    <w:rsid w:val="00C40FBB"/>
    <w:rsid w:val="00C4121F"/>
    <w:rsid w:val="00C41265"/>
    <w:rsid w:val="00C41547"/>
    <w:rsid w:val="00C41BA9"/>
    <w:rsid w:val="00C41DB8"/>
    <w:rsid w:val="00C41F3F"/>
    <w:rsid w:val="00C42553"/>
    <w:rsid w:val="00C426C6"/>
    <w:rsid w:val="00C428B6"/>
    <w:rsid w:val="00C42A9E"/>
    <w:rsid w:val="00C42CC3"/>
    <w:rsid w:val="00C42E84"/>
    <w:rsid w:val="00C42F7F"/>
    <w:rsid w:val="00C4306F"/>
    <w:rsid w:val="00C43341"/>
    <w:rsid w:val="00C4365D"/>
    <w:rsid w:val="00C436F3"/>
    <w:rsid w:val="00C43896"/>
    <w:rsid w:val="00C43A58"/>
    <w:rsid w:val="00C43F5D"/>
    <w:rsid w:val="00C4402F"/>
    <w:rsid w:val="00C44120"/>
    <w:rsid w:val="00C441FF"/>
    <w:rsid w:val="00C4431A"/>
    <w:rsid w:val="00C4461E"/>
    <w:rsid w:val="00C44B4C"/>
    <w:rsid w:val="00C44BF4"/>
    <w:rsid w:val="00C459F8"/>
    <w:rsid w:val="00C45C51"/>
    <w:rsid w:val="00C45EAC"/>
    <w:rsid w:val="00C46406"/>
    <w:rsid w:val="00C46540"/>
    <w:rsid w:val="00C46B4F"/>
    <w:rsid w:val="00C47AC1"/>
    <w:rsid w:val="00C50363"/>
    <w:rsid w:val="00C503D0"/>
    <w:rsid w:val="00C50448"/>
    <w:rsid w:val="00C5060F"/>
    <w:rsid w:val="00C506EA"/>
    <w:rsid w:val="00C50731"/>
    <w:rsid w:val="00C50B80"/>
    <w:rsid w:val="00C50BB1"/>
    <w:rsid w:val="00C50DF9"/>
    <w:rsid w:val="00C50FEB"/>
    <w:rsid w:val="00C512E0"/>
    <w:rsid w:val="00C513C0"/>
    <w:rsid w:val="00C51825"/>
    <w:rsid w:val="00C5189C"/>
    <w:rsid w:val="00C51EC6"/>
    <w:rsid w:val="00C51EF0"/>
    <w:rsid w:val="00C52073"/>
    <w:rsid w:val="00C52192"/>
    <w:rsid w:val="00C52331"/>
    <w:rsid w:val="00C527A2"/>
    <w:rsid w:val="00C52B96"/>
    <w:rsid w:val="00C5326E"/>
    <w:rsid w:val="00C53F5F"/>
    <w:rsid w:val="00C545B7"/>
    <w:rsid w:val="00C5475C"/>
    <w:rsid w:val="00C556E9"/>
    <w:rsid w:val="00C5580D"/>
    <w:rsid w:val="00C56160"/>
    <w:rsid w:val="00C562B2"/>
    <w:rsid w:val="00C5646A"/>
    <w:rsid w:val="00C56740"/>
    <w:rsid w:val="00C56828"/>
    <w:rsid w:val="00C575A7"/>
    <w:rsid w:val="00C57732"/>
    <w:rsid w:val="00C57B4F"/>
    <w:rsid w:val="00C609B8"/>
    <w:rsid w:val="00C609E9"/>
    <w:rsid w:val="00C60D10"/>
    <w:rsid w:val="00C60E09"/>
    <w:rsid w:val="00C60F16"/>
    <w:rsid w:val="00C60FA5"/>
    <w:rsid w:val="00C612B5"/>
    <w:rsid w:val="00C614D8"/>
    <w:rsid w:val="00C61511"/>
    <w:rsid w:val="00C618C0"/>
    <w:rsid w:val="00C61A07"/>
    <w:rsid w:val="00C61B0B"/>
    <w:rsid w:val="00C61CA0"/>
    <w:rsid w:val="00C61F58"/>
    <w:rsid w:val="00C61F68"/>
    <w:rsid w:val="00C62096"/>
    <w:rsid w:val="00C62314"/>
    <w:rsid w:val="00C62534"/>
    <w:rsid w:val="00C6295C"/>
    <w:rsid w:val="00C62E67"/>
    <w:rsid w:val="00C633D2"/>
    <w:rsid w:val="00C63AE6"/>
    <w:rsid w:val="00C647B9"/>
    <w:rsid w:val="00C64C8D"/>
    <w:rsid w:val="00C64D1F"/>
    <w:rsid w:val="00C64DD8"/>
    <w:rsid w:val="00C651C0"/>
    <w:rsid w:val="00C65E0C"/>
    <w:rsid w:val="00C660CC"/>
    <w:rsid w:val="00C66325"/>
    <w:rsid w:val="00C66904"/>
    <w:rsid w:val="00C6776F"/>
    <w:rsid w:val="00C6795C"/>
    <w:rsid w:val="00C67BF2"/>
    <w:rsid w:val="00C67D04"/>
    <w:rsid w:val="00C700EA"/>
    <w:rsid w:val="00C70227"/>
    <w:rsid w:val="00C7078F"/>
    <w:rsid w:val="00C7138F"/>
    <w:rsid w:val="00C71F86"/>
    <w:rsid w:val="00C72016"/>
    <w:rsid w:val="00C720B3"/>
    <w:rsid w:val="00C72509"/>
    <w:rsid w:val="00C73937"/>
    <w:rsid w:val="00C74114"/>
    <w:rsid w:val="00C74178"/>
    <w:rsid w:val="00C74241"/>
    <w:rsid w:val="00C74246"/>
    <w:rsid w:val="00C7450C"/>
    <w:rsid w:val="00C74BEE"/>
    <w:rsid w:val="00C74DD2"/>
    <w:rsid w:val="00C75186"/>
    <w:rsid w:val="00C75667"/>
    <w:rsid w:val="00C756D0"/>
    <w:rsid w:val="00C75D2C"/>
    <w:rsid w:val="00C75F5F"/>
    <w:rsid w:val="00C76FA5"/>
    <w:rsid w:val="00C77E42"/>
    <w:rsid w:val="00C77ECC"/>
    <w:rsid w:val="00C81540"/>
    <w:rsid w:val="00C8194C"/>
    <w:rsid w:val="00C81B35"/>
    <w:rsid w:val="00C81BA6"/>
    <w:rsid w:val="00C820D0"/>
    <w:rsid w:val="00C823BD"/>
    <w:rsid w:val="00C8275A"/>
    <w:rsid w:val="00C82E87"/>
    <w:rsid w:val="00C8305D"/>
    <w:rsid w:val="00C8327E"/>
    <w:rsid w:val="00C837EC"/>
    <w:rsid w:val="00C83F53"/>
    <w:rsid w:val="00C83FAF"/>
    <w:rsid w:val="00C841F9"/>
    <w:rsid w:val="00C842AC"/>
    <w:rsid w:val="00C84B7D"/>
    <w:rsid w:val="00C84E42"/>
    <w:rsid w:val="00C85406"/>
    <w:rsid w:val="00C85B06"/>
    <w:rsid w:val="00C8633C"/>
    <w:rsid w:val="00C86C66"/>
    <w:rsid w:val="00C87756"/>
    <w:rsid w:val="00C87BF8"/>
    <w:rsid w:val="00C87F90"/>
    <w:rsid w:val="00C900B5"/>
    <w:rsid w:val="00C90238"/>
    <w:rsid w:val="00C907F3"/>
    <w:rsid w:val="00C90C65"/>
    <w:rsid w:val="00C9157F"/>
    <w:rsid w:val="00C91605"/>
    <w:rsid w:val="00C9165F"/>
    <w:rsid w:val="00C9178E"/>
    <w:rsid w:val="00C91BA7"/>
    <w:rsid w:val="00C91C12"/>
    <w:rsid w:val="00C92743"/>
    <w:rsid w:val="00C92A4B"/>
    <w:rsid w:val="00C92AEF"/>
    <w:rsid w:val="00C92DF0"/>
    <w:rsid w:val="00C92E3D"/>
    <w:rsid w:val="00C932B6"/>
    <w:rsid w:val="00C9346F"/>
    <w:rsid w:val="00C93652"/>
    <w:rsid w:val="00C94455"/>
    <w:rsid w:val="00C9484C"/>
    <w:rsid w:val="00C9497A"/>
    <w:rsid w:val="00C94C33"/>
    <w:rsid w:val="00C94E2B"/>
    <w:rsid w:val="00C9543C"/>
    <w:rsid w:val="00C957C9"/>
    <w:rsid w:val="00C95B11"/>
    <w:rsid w:val="00C95F3B"/>
    <w:rsid w:val="00C9630F"/>
    <w:rsid w:val="00C963C8"/>
    <w:rsid w:val="00C9641F"/>
    <w:rsid w:val="00C9672E"/>
    <w:rsid w:val="00C96BC6"/>
    <w:rsid w:val="00C96E2B"/>
    <w:rsid w:val="00C96FEE"/>
    <w:rsid w:val="00CA00DE"/>
    <w:rsid w:val="00CA0215"/>
    <w:rsid w:val="00CA03B8"/>
    <w:rsid w:val="00CA05C1"/>
    <w:rsid w:val="00CA0828"/>
    <w:rsid w:val="00CA08A7"/>
    <w:rsid w:val="00CA102E"/>
    <w:rsid w:val="00CA10B3"/>
    <w:rsid w:val="00CA1147"/>
    <w:rsid w:val="00CA1365"/>
    <w:rsid w:val="00CA137C"/>
    <w:rsid w:val="00CA1612"/>
    <w:rsid w:val="00CA1798"/>
    <w:rsid w:val="00CA273D"/>
    <w:rsid w:val="00CA2819"/>
    <w:rsid w:val="00CA29B1"/>
    <w:rsid w:val="00CA2C6D"/>
    <w:rsid w:val="00CA40B0"/>
    <w:rsid w:val="00CA4264"/>
    <w:rsid w:val="00CA4388"/>
    <w:rsid w:val="00CA489B"/>
    <w:rsid w:val="00CA4C7E"/>
    <w:rsid w:val="00CA4E32"/>
    <w:rsid w:val="00CA5240"/>
    <w:rsid w:val="00CA5617"/>
    <w:rsid w:val="00CA5740"/>
    <w:rsid w:val="00CA5D46"/>
    <w:rsid w:val="00CA5E2F"/>
    <w:rsid w:val="00CA60AD"/>
    <w:rsid w:val="00CA6D37"/>
    <w:rsid w:val="00CB0238"/>
    <w:rsid w:val="00CB024E"/>
    <w:rsid w:val="00CB04FA"/>
    <w:rsid w:val="00CB085F"/>
    <w:rsid w:val="00CB09BA"/>
    <w:rsid w:val="00CB0ED5"/>
    <w:rsid w:val="00CB1B5D"/>
    <w:rsid w:val="00CB22D0"/>
    <w:rsid w:val="00CB2362"/>
    <w:rsid w:val="00CB24F4"/>
    <w:rsid w:val="00CB271C"/>
    <w:rsid w:val="00CB2870"/>
    <w:rsid w:val="00CB2967"/>
    <w:rsid w:val="00CB2B06"/>
    <w:rsid w:val="00CB2D6D"/>
    <w:rsid w:val="00CB2DF6"/>
    <w:rsid w:val="00CB32CE"/>
    <w:rsid w:val="00CB3596"/>
    <w:rsid w:val="00CB3B69"/>
    <w:rsid w:val="00CB3DEE"/>
    <w:rsid w:val="00CB4084"/>
    <w:rsid w:val="00CB40FF"/>
    <w:rsid w:val="00CB4639"/>
    <w:rsid w:val="00CB49B1"/>
    <w:rsid w:val="00CB4B47"/>
    <w:rsid w:val="00CB4E70"/>
    <w:rsid w:val="00CB4FA8"/>
    <w:rsid w:val="00CB5514"/>
    <w:rsid w:val="00CB5DE0"/>
    <w:rsid w:val="00CB69B5"/>
    <w:rsid w:val="00CB7034"/>
    <w:rsid w:val="00CB7686"/>
    <w:rsid w:val="00CB7DD6"/>
    <w:rsid w:val="00CB7E36"/>
    <w:rsid w:val="00CB7E58"/>
    <w:rsid w:val="00CC03C8"/>
    <w:rsid w:val="00CC0606"/>
    <w:rsid w:val="00CC091C"/>
    <w:rsid w:val="00CC09A8"/>
    <w:rsid w:val="00CC10DE"/>
    <w:rsid w:val="00CC14CA"/>
    <w:rsid w:val="00CC170E"/>
    <w:rsid w:val="00CC1892"/>
    <w:rsid w:val="00CC23C2"/>
    <w:rsid w:val="00CC24EB"/>
    <w:rsid w:val="00CC28B5"/>
    <w:rsid w:val="00CC2B6F"/>
    <w:rsid w:val="00CC2D46"/>
    <w:rsid w:val="00CC3EB3"/>
    <w:rsid w:val="00CC41B9"/>
    <w:rsid w:val="00CC471E"/>
    <w:rsid w:val="00CC49E6"/>
    <w:rsid w:val="00CC4BD1"/>
    <w:rsid w:val="00CC4FFD"/>
    <w:rsid w:val="00CC50AC"/>
    <w:rsid w:val="00CC577B"/>
    <w:rsid w:val="00CC57C7"/>
    <w:rsid w:val="00CC586B"/>
    <w:rsid w:val="00CC59E8"/>
    <w:rsid w:val="00CC5AF5"/>
    <w:rsid w:val="00CC5B2F"/>
    <w:rsid w:val="00CC5D39"/>
    <w:rsid w:val="00CC6118"/>
    <w:rsid w:val="00CC64F2"/>
    <w:rsid w:val="00CC6BF9"/>
    <w:rsid w:val="00CC6E42"/>
    <w:rsid w:val="00CC741D"/>
    <w:rsid w:val="00CC79CC"/>
    <w:rsid w:val="00CD0132"/>
    <w:rsid w:val="00CD0486"/>
    <w:rsid w:val="00CD05B6"/>
    <w:rsid w:val="00CD08C8"/>
    <w:rsid w:val="00CD0D9F"/>
    <w:rsid w:val="00CD1289"/>
    <w:rsid w:val="00CD13B1"/>
    <w:rsid w:val="00CD1439"/>
    <w:rsid w:val="00CD1563"/>
    <w:rsid w:val="00CD178E"/>
    <w:rsid w:val="00CD1836"/>
    <w:rsid w:val="00CD198C"/>
    <w:rsid w:val="00CD1D39"/>
    <w:rsid w:val="00CD1E30"/>
    <w:rsid w:val="00CD1F90"/>
    <w:rsid w:val="00CD215C"/>
    <w:rsid w:val="00CD297B"/>
    <w:rsid w:val="00CD2B45"/>
    <w:rsid w:val="00CD30CA"/>
    <w:rsid w:val="00CD3143"/>
    <w:rsid w:val="00CD32B1"/>
    <w:rsid w:val="00CD36C2"/>
    <w:rsid w:val="00CD3A82"/>
    <w:rsid w:val="00CD3BB0"/>
    <w:rsid w:val="00CD3FC5"/>
    <w:rsid w:val="00CD4451"/>
    <w:rsid w:val="00CD5423"/>
    <w:rsid w:val="00CD5795"/>
    <w:rsid w:val="00CD5A25"/>
    <w:rsid w:val="00CD5B41"/>
    <w:rsid w:val="00CD611C"/>
    <w:rsid w:val="00CD6589"/>
    <w:rsid w:val="00CD7396"/>
    <w:rsid w:val="00CD7492"/>
    <w:rsid w:val="00CD766D"/>
    <w:rsid w:val="00CD7D8D"/>
    <w:rsid w:val="00CD7F09"/>
    <w:rsid w:val="00CE025D"/>
    <w:rsid w:val="00CE0DDE"/>
    <w:rsid w:val="00CE1CAB"/>
    <w:rsid w:val="00CE21FB"/>
    <w:rsid w:val="00CE2269"/>
    <w:rsid w:val="00CE2DB9"/>
    <w:rsid w:val="00CE2EDC"/>
    <w:rsid w:val="00CE3170"/>
    <w:rsid w:val="00CE3AB1"/>
    <w:rsid w:val="00CE3F76"/>
    <w:rsid w:val="00CE4214"/>
    <w:rsid w:val="00CE4272"/>
    <w:rsid w:val="00CE44C7"/>
    <w:rsid w:val="00CE4C45"/>
    <w:rsid w:val="00CE4E03"/>
    <w:rsid w:val="00CE5208"/>
    <w:rsid w:val="00CE56D3"/>
    <w:rsid w:val="00CE5B1A"/>
    <w:rsid w:val="00CE5EAF"/>
    <w:rsid w:val="00CE5FAC"/>
    <w:rsid w:val="00CE60D1"/>
    <w:rsid w:val="00CE62DF"/>
    <w:rsid w:val="00CE6BC6"/>
    <w:rsid w:val="00CE70F4"/>
    <w:rsid w:val="00CE71DA"/>
    <w:rsid w:val="00CE72DC"/>
    <w:rsid w:val="00CE7B95"/>
    <w:rsid w:val="00CE7D3C"/>
    <w:rsid w:val="00CE7EAB"/>
    <w:rsid w:val="00CF06AA"/>
    <w:rsid w:val="00CF0D44"/>
    <w:rsid w:val="00CF1318"/>
    <w:rsid w:val="00CF17BC"/>
    <w:rsid w:val="00CF1AC1"/>
    <w:rsid w:val="00CF21C8"/>
    <w:rsid w:val="00CF2B0F"/>
    <w:rsid w:val="00CF2D55"/>
    <w:rsid w:val="00CF30F9"/>
    <w:rsid w:val="00CF3143"/>
    <w:rsid w:val="00CF3694"/>
    <w:rsid w:val="00CF3E4F"/>
    <w:rsid w:val="00CF4B50"/>
    <w:rsid w:val="00CF4BFB"/>
    <w:rsid w:val="00CF4CEB"/>
    <w:rsid w:val="00CF5921"/>
    <w:rsid w:val="00CF6225"/>
    <w:rsid w:val="00CF64DE"/>
    <w:rsid w:val="00CF676B"/>
    <w:rsid w:val="00CF75AE"/>
    <w:rsid w:val="00CF7D13"/>
    <w:rsid w:val="00D00213"/>
    <w:rsid w:val="00D003A7"/>
    <w:rsid w:val="00D00732"/>
    <w:rsid w:val="00D00BD5"/>
    <w:rsid w:val="00D00C5A"/>
    <w:rsid w:val="00D00E42"/>
    <w:rsid w:val="00D01957"/>
    <w:rsid w:val="00D01BBC"/>
    <w:rsid w:val="00D01EA5"/>
    <w:rsid w:val="00D01F64"/>
    <w:rsid w:val="00D02563"/>
    <w:rsid w:val="00D02EC5"/>
    <w:rsid w:val="00D03379"/>
    <w:rsid w:val="00D03A1C"/>
    <w:rsid w:val="00D03B05"/>
    <w:rsid w:val="00D03C17"/>
    <w:rsid w:val="00D03C40"/>
    <w:rsid w:val="00D040B7"/>
    <w:rsid w:val="00D04A3B"/>
    <w:rsid w:val="00D04DAD"/>
    <w:rsid w:val="00D0553C"/>
    <w:rsid w:val="00D05744"/>
    <w:rsid w:val="00D0591C"/>
    <w:rsid w:val="00D059C4"/>
    <w:rsid w:val="00D06250"/>
    <w:rsid w:val="00D06486"/>
    <w:rsid w:val="00D067CC"/>
    <w:rsid w:val="00D067F1"/>
    <w:rsid w:val="00D06CD4"/>
    <w:rsid w:val="00D074A0"/>
    <w:rsid w:val="00D07E25"/>
    <w:rsid w:val="00D07EAD"/>
    <w:rsid w:val="00D1023F"/>
    <w:rsid w:val="00D10662"/>
    <w:rsid w:val="00D106E3"/>
    <w:rsid w:val="00D1072E"/>
    <w:rsid w:val="00D10C50"/>
    <w:rsid w:val="00D10ED0"/>
    <w:rsid w:val="00D11B8D"/>
    <w:rsid w:val="00D11C7B"/>
    <w:rsid w:val="00D120E0"/>
    <w:rsid w:val="00D12AF0"/>
    <w:rsid w:val="00D134B0"/>
    <w:rsid w:val="00D140C6"/>
    <w:rsid w:val="00D149EA"/>
    <w:rsid w:val="00D14DE5"/>
    <w:rsid w:val="00D155D2"/>
    <w:rsid w:val="00D15E05"/>
    <w:rsid w:val="00D171D3"/>
    <w:rsid w:val="00D17328"/>
    <w:rsid w:val="00D17447"/>
    <w:rsid w:val="00D17BCF"/>
    <w:rsid w:val="00D2018C"/>
    <w:rsid w:val="00D20BC2"/>
    <w:rsid w:val="00D2106F"/>
    <w:rsid w:val="00D2108E"/>
    <w:rsid w:val="00D21191"/>
    <w:rsid w:val="00D21411"/>
    <w:rsid w:val="00D21934"/>
    <w:rsid w:val="00D21C52"/>
    <w:rsid w:val="00D21D48"/>
    <w:rsid w:val="00D21E41"/>
    <w:rsid w:val="00D223CB"/>
    <w:rsid w:val="00D225BE"/>
    <w:rsid w:val="00D22722"/>
    <w:rsid w:val="00D22D5B"/>
    <w:rsid w:val="00D22F9C"/>
    <w:rsid w:val="00D23030"/>
    <w:rsid w:val="00D23A28"/>
    <w:rsid w:val="00D23E73"/>
    <w:rsid w:val="00D24693"/>
    <w:rsid w:val="00D248CA"/>
    <w:rsid w:val="00D24AA8"/>
    <w:rsid w:val="00D24EA8"/>
    <w:rsid w:val="00D250AF"/>
    <w:rsid w:val="00D251EA"/>
    <w:rsid w:val="00D258C7"/>
    <w:rsid w:val="00D261AB"/>
    <w:rsid w:val="00D26274"/>
    <w:rsid w:val="00D26654"/>
    <w:rsid w:val="00D266AA"/>
    <w:rsid w:val="00D27070"/>
    <w:rsid w:val="00D2753C"/>
    <w:rsid w:val="00D277BC"/>
    <w:rsid w:val="00D27AA2"/>
    <w:rsid w:val="00D27C18"/>
    <w:rsid w:val="00D30E6C"/>
    <w:rsid w:val="00D30EEF"/>
    <w:rsid w:val="00D31266"/>
    <w:rsid w:val="00D315EE"/>
    <w:rsid w:val="00D31737"/>
    <w:rsid w:val="00D317CE"/>
    <w:rsid w:val="00D31B46"/>
    <w:rsid w:val="00D31BAB"/>
    <w:rsid w:val="00D3260C"/>
    <w:rsid w:val="00D3263E"/>
    <w:rsid w:val="00D327E5"/>
    <w:rsid w:val="00D32D8D"/>
    <w:rsid w:val="00D32E49"/>
    <w:rsid w:val="00D32EB9"/>
    <w:rsid w:val="00D32F53"/>
    <w:rsid w:val="00D330A3"/>
    <w:rsid w:val="00D33883"/>
    <w:rsid w:val="00D33B52"/>
    <w:rsid w:val="00D33FDA"/>
    <w:rsid w:val="00D3481C"/>
    <w:rsid w:val="00D34C10"/>
    <w:rsid w:val="00D34D00"/>
    <w:rsid w:val="00D351C7"/>
    <w:rsid w:val="00D354A2"/>
    <w:rsid w:val="00D355E4"/>
    <w:rsid w:val="00D35801"/>
    <w:rsid w:val="00D35B6D"/>
    <w:rsid w:val="00D35C13"/>
    <w:rsid w:val="00D363A2"/>
    <w:rsid w:val="00D36772"/>
    <w:rsid w:val="00D3709F"/>
    <w:rsid w:val="00D377C2"/>
    <w:rsid w:val="00D377C5"/>
    <w:rsid w:val="00D37CC6"/>
    <w:rsid w:val="00D37FDF"/>
    <w:rsid w:val="00D4020C"/>
    <w:rsid w:val="00D4045F"/>
    <w:rsid w:val="00D411B1"/>
    <w:rsid w:val="00D41372"/>
    <w:rsid w:val="00D429CA"/>
    <w:rsid w:val="00D42C73"/>
    <w:rsid w:val="00D42DF0"/>
    <w:rsid w:val="00D42F6A"/>
    <w:rsid w:val="00D43206"/>
    <w:rsid w:val="00D4389F"/>
    <w:rsid w:val="00D44137"/>
    <w:rsid w:val="00D44201"/>
    <w:rsid w:val="00D44624"/>
    <w:rsid w:val="00D44666"/>
    <w:rsid w:val="00D446E9"/>
    <w:rsid w:val="00D448F5"/>
    <w:rsid w:val="00D44911"/>
    <w:rsid w:val="00D449A0"/>
    <w:rsid w:val="00D44A53"/>
    <w:rsid w:val="00D450F1"/>
    <w:rsid w:val="00D45301"/>
    <w:rsid w:val="00D45335"/>
    <w:rsid w:val="00D457C1"/>
    <w:rsid w:val="00D458C9"/>
    <w:rsid w:val="00D4597F"/>
    <w:rsid w:val="00D45DC1"/>
    <w:rsid w:val="00D45E47"/>
    <w:rsid w:val="00D46103"/>
    <w:rsid w:val="00D4622D"/>
    <w:rsid w:val="00D4648A"/>
    <w:rsid w:val="00D469C0"/>
    <w:rsid w:val="00D46BA6"/>
    <w:rsid w:val="00D46D21"/>
    <w:rsid w:val="00D4713D"/>
    <w:rsid w:val="00D473FB"/>
    <w:rsid w:val="00D476A2"/>
    <w:rsid w:val="00D478E3"/>
    <w:rsid w:val="00D47E47"/>
    <w:rsid w:val="00D504A1"/>
    <w:rsid w:val="00D50557"/>
    <w:rsid w:val="00D50A4E"/>
    <w:rsid w:val="00D50C9C"/>
    <w:rsid w:val="00D50F9F"/>
    <w:rsid w:val="00D51127"/>
    <w:rsid w:val="00D5129E"/>
    <w:rsid w:val="00D5134E"/>
    <w:rsid w:val="00D514A5"/>
    <w:rsid w:val="00D51813"/>
    <w:rsid w:val="00D518A1"/>
    <w:rsid w:val="00D51B3F"/>
    <w:rsid w:val="00D51B77"/>
    <w:rsid w:val="00D524AD"/>
    <w:rsid w:val="00D52BAF"/>
    <w:rsid w:val="00D52D5E"/>
    <w:rsid w:val="00D52D79"/>
    <w:rsid w:val="00D5442D"/>
    <w:rsid w:val="00D54916"/>
    <w:rsid w:val="00D550EE"/>
    <w:rsid w:val="00D5512D"/>
    <w:rsid w:val="00D55357"/>
    <w:rsid w:val="00D56306"/>
    <w:rsid w:val="00D566A6"/>
    <w:rsid w:val="00D56DB5"/>
    <w:rsid w:val="00D57352"/>
    <w:rsid w:val="00D57419"/>
    <w:rsid w:val="00D5750B"/>
    <w:rsid w:val="00D576AF"/>
    <w:rsid w:val="00D57824"/>
    <w:rsid w:val="00D578FE"/>
    <w:rsid w:val="00D57A7E"/>
    <w:rsid w:val="00D57BF8"/>
    <w:rsid w:val="00D603E0"/>
    <w:rsid w:val="00D6054E"/>
    <w:rsid w:val="00D60EDB"/>
    <w:rsid w:val="00D6105A"/>
    <w:rsid w:val="00D61076"/>
    <w:rsid w:val="00D6197A"/>
    <w:rsid w:val="00D619AF"/>
    <w:rsid w:val="00D61F23"/>
    <w:rsid w:val="00D620F2"/>
    <w:rsid w:val="00D629FE"/>
    <w:rsid w:val="00D639B1"/>
    <w:rsid w:val="00D6474E"/>
    <w:rsid w:val="00D6482E"/>
    <w:rsid w:val="00D64930"/>
    <w:rsid w:val="00D64BC4"/>
    <w:rsid w:val="00D64BC8"/>
    <w:rsid w:val="00D64D62"/>
    <w:rsid w:val="00D64F53"/>
    <w:rsid w:val="00D6531C"/>
    <w:rsid w:val="00D65352"/>
    <w:rsid w:val="00D657DD"/>
    <w:rsid w:val="00D658F6"/>
    <w:rsid w:val="00D66062"/>
    <w:rsid w:val="00D66989"/>
    <w:rsid w:val="00D66CDA"/>
    <w:rsid w:val="00D670CB"/>
    <w:rsid w:val="00D677C2"/>
    <w:rsid w:val="00D67A01"/>
    <w:rsid w:val="00D67AA5"/>
    <w:rsid w:val="00D67D77"/>
    <w:rsid w:val="00D67DE4"/>
    <w:rsid w:val="00D67EBC"/>
    <w:rsid w:val="00D70611"/>
    <w:rsid w:val="00D707B8"/>
    <w:rsid w:val="00D707D3"/>
    <w:rsid w:val="00D708DC"/>
    <w:rsid w:val="00D70A47"/>
    <w:rsid w:val="00D713B8"/>
    <w:rsid w:val="00D713D1"/>
    <w:rsid w:val="00D71A71"/>
    <w:rsid w:val="00D71B26"/>
    <w:rsid w:val="00D71EB8"/>
    <w:rsid w:val="00D71EF9"/>
    <w:rsid w:val="00D72482"/>
    <w:rsid w:val="00D726F7"/>
    <w:rsid w:val="00D7291C"/>
    <w:rsid w:val="00D729CA"/>
    <w:rsid w:val="00D72A74"/>
    <w:rsid w:val="00D72C03"/>
    <w:rsid w:val="00D73040"/>
    <w:rsid w:val="00D730E4"/>
    <w:rsid w:val="00D73D7D"/>
    <w:rsid w:val="00D7409E"/>
    <w:rsid w:val="00D74126"/>
    <w:rsid w:val="00D74868"/>
    <w:rsid w:val="00D74E70"/>
    <w:rsid w:val="00D7510F"/>
    <w:rsid w:val="00D75EA5"/>
    <w:rsid w:val="00D761C5"/>
    <w:rsid w:val="00D76291"/>
    <w:rsid w:val="00D76420"/>
    <w:rsid w:val="00D76605"/>
    <w:rsid w:val="00D7683F"/>
    <w:rsid w:val="00D76DF7"/>
    <w:rsid w:val="00D7737F"/>
    <w:rsid w:val="00D774E6"/>
    <w:rsid w:val="00D776F7"/>
    <w:rsid w:val="00D77725"/>
    <w:rsid w:val="00D777E9"/>
    <w:rsid w:val="00D77846"/>
    <w:rsid w:val="00D77949"/>
    <w:rsid w:val="00D779EB"/>
    <w:rsid w:val="00D77DF0"/>
    <w:rsid w:val="00D801B3"/>
    <w:rsid w:val="00D807DE"/>
    <w:rsid w:val="00D80C4C"/>
    <w:rsid w:val="00D81979"/>
    <w:rsid w:val="00D81C9C"/>
    <w:rsid w:val="00D821D8"/>
    <w:rsid w:val="00D822F5"/>
    <w:rsid w:val="00D82C34"/>
    <w:rsid w:val="00D82D3A"/>
    <w:rsid w:val="00D83310"/>
    <w:rsid w:val="00D834D5"/>
    <w:rsid w:val="00D83595"/>
    <w:rsid w:val="00D83C6D"/>
    <w:rsid w:val="00D83E69"/>
    <w:rsid w:val="00D84169"/>
    <w:rsid w:val="00D850E0"/>
    <w:rsid w:val="00D852CF"/>
    <w:rsid w:val="00D856F4"/>
    <w:rsid w:val="00D856F8"/>
    <w:rsid w:val="00D85B33"/>
    <w:rsid w:val="00D86315"/>
    <w:rsid w:val="00D863CD"/>
    <w:rsid w:val="00D86732"/>
    <w:rsid w:val="00D86940"/>
    <w:rsid w:val="00D86F69"/>
    <w:rsid w:val="00D8728D"/>
    <w:rsid w:val="00D87329"/>
    <w:rsid w:val="00D87744"/>
    <w:rsid w:val="00D87920"/>
    <w:rsid w:val="00D87EB0"/>
    <w:rsid w:val="00D90CFD"/>
    <w:rsid w:val="00D90FCE"/>
    <w:rsid w:val="00D9140B"/>
    <w:rsid w:val="00D9153C"/>
    <w:rsid w:val="00D917D6"/>
    <w:rsid w:val="00D91852"/>
    <w:rsid w:val="00D91A7F"/>
    <w:rsid w:val="00D91B5E"/>
    <w:rsid w:val="00D91D09"/>
    <w:rsid w:val="00D92388"/>
    <w:rsid w:val="00D92ACC"/>
    <w:rsid w:val="00D92BF8"/>
    <w:rsid w:val="00D92CCA"/>
    <w:rsid w:val="00D93A82"/>
    <w:rsid w:val="00D93A98"/>
    <w:rsid w:val="00D93A9D"/>
    <w:rsid w:val="00D93FF7"/>
    <w:rsid w:val="00D94101"/>
    <w:rsid w:val="00D94178"/>
    <w:rsid w:val="00D941AB"/>
    <w:rsid w:val="00D94390"/>
    <w:rsid w:val="00D94424"/>
    <w:rsid w:val="00D9518A"/>
    <w:rsid w:val="00D956B9"/>
    <w:rsid w:val="00D960DF"/>
    <w:rsid w:val="00D9619B"/>
    <w:rsid w:val="00D9657C"/>
    <w:rsid w:val="00D9659D"/>
    <w:rsid w:val="00D96A0F"/>
    <w:rsid w:val="00D9764A"/>
    <w:rsid w:val="00D977B2"/>
    <w:rsid w:val="00D9789E"/>
    <w:rsid w:val="00D97E6F"/>
    <w:rsid w:val="00DA00D5"/>
    <w:rsid w:val="00DA03C7"/>
    <w:rsid w:val="00DA045E"/>
    <w:rsid w:val="00DA0622"/>
    <w:rsid w:val="00DA0667"/>
    <w:rsid w:val="00DA0CD5"/>
    <w:rsid w:val="00DA0EB1"/>
    <w:rsid w:val="00DA0EE0"/>
    <w:rsid w:val="00DA1057"/>
    <w:rsid w:val="00DA105E"/>
    <w:rsid w:val="00DA132B"/>
    <w:rsid w:val="00DA1465"/>
    <w:rsid w:val="00DA1609"/>
    <w:rsid w:val="00DA2110"/>
    <w:rsid w:val="00DA21F5"/>
    <w:rsid w:val="00DA2E95"/>
    <w:rsid w:val="00DA312D"/>
    <w:rsid w:val="00DA322B"/>
    <w:rsid w:val="00DA32CD"/>
    <w:rsid w:val="00DA35B9"/>
    <w:rsid w:val="00DA390F"/>
    <w:rsid w:val="00DA42F1"/>
    <w:rsid w:val="00DA478B"/>
    <w:rsid w:val="00DA4A04"/>
    <w:rsid w:val="00DA4F80"/>
    <w:rsid w:val="00DA5226"/>
    <w:rsid w:val="00DA53F2"/>
    <w:rsid w:val="00DA5839"/>
    <w:rsid w:val="00DA62FD"/>
    <w:rsid w:val="00DA7610"/>
    <w:rsid w:val="00DB01BE"/>
    <w:rsid w:val="00DB025E"/>
    <w:rsid w:val="00DB0398"/>
    <w:rsid w:val="00DB09F4"/>
    <w:rsid w:val="00DB1652"/>
    <w:rsid w:val="00DB1E63"/>
    <w:rsid w:val="00DB223D"/>
    <w:rsid w:val="00DB2460"/>
    <w:rsid w:val="00DB2EB6"/>
    <w:rsid w:val="00DB3187"/>
    <w:rsid w:val="00DB32D3"/>
    <w:rsid w:val="00DB347E"/>
    <w:rsid w:val="00DB3634"/>
    <w:rsid w:val="00DB3C2F"/>
    <w:rsid w:val="00DB3D15"/>
    <w:rsid w:val="00DB3EEB"/>
    <w:rsid w:val="00DB4556"/>
    <w:rsid w:val="00DB56D2"/>
    <w:rsid w:val="00DB58A0"/>
    <w:rsid w:val="00DB58CB"/>
    <w:rsid w:val="00DB60A6"/>
    <w:rsid w:val="00DB60D6"/>
    <w:rsid w:val="00DB6378"/>
    <w:rsid w:val="00DB69B6"/>
    <w:rsid w:val="00DB6A66"/>
    <w:rsid w:val="00DB6B0D"/>
    <w:rsid w:val="00DB6BDD"/>
    <w:rsid w:val="00DB7161"/>
    <w:rsid w:val="00DB7B65"/>
    <w:rsid w:val="00DC04E5"/>
    <w:rsid w:val="00DC0704"/>
    <w:rsid w:val="00DC0BAE"/>
    <w:rsid w:val="00DC0ECD"/>
    <w:rsid w:val="00DC162A"/>
    <w:rsid w:val="00DC1B9C"/>
    <w:rsid w:val="00DC20A7"/>
    <w:rsid w:val="00DC2799"/>
    <w:rsid w:val="00DC3F17"/>
    <w:rsid w:val="00DC4144"/>
    <w:rsid w:val="00DC47C5"/>
    <w:rsid w:val="00DC514D"/>
    <w:rsid w:val="00DC5966"/>
    <w:rsid w:val="00DC5A62"/>
    <w:rsid w:val="00DC5B73"/>
    <w:rsid w:val="00DC5FF0"/>
    <w:rsid w:val="00DC6220"/>
    <w:rsid w:val="00DC6664"/>
    <w:rsid w:val="00DC69E4"/>
    <w:rsid w:val="00DC6D91"/>
    <w:rsid w:val="00DC71A0"/>
    <w:rsid w:val="00DC763B"/>
    <w:rsid w:val="00DD01E3"/>
    <w:rsid w:val="00DD049F"/>
    <w:rsid w:val="00DD0E89"/>
    <w:rsid w:val="00DD19A5"/>
    <w:rsid w:val="00DD21BF"/>
    <w:rsid w:val="00DD249C"/>
    <w:rsid w:val="00DD267A"/>
    <w:rsid w:val="00DD2E6B"/>
    <w:rsid w:val="00DD2F19"/>
    <w:rsid w:val="00DD3D7D"/>
    <w:rsid w:val="00DD465D"/>
    <w:rsid w:val="00DD4735"/>
    <w:rsid w:val="00DD47B6"/>
    <w:rsid w:val="00DD4A2C"/>
    <w:rsid w:val="00DD4CE4"/>
    <w:rsid w:val="00DD4F3D"/>
    <w:rsid w:val="00DD517B"/>
    <w:rsid w:val="00DD5BEF"/>
    <w:rsid w:val="00DD5EBE"/>
    <w:rsid w:val="00DD65F8"/>
    <w:rsid w:val="00DD65F9"/>
    <w:rsid w:val="00DD6B0A"/>
    <w:rsid w:val="00DD71BC"/>
    <w:rsid w:val="00DD7DFB"/>
    <w:rsid w:val="00DD7E7D"/>
    <w:rsid w:val="00DD7F2C"/>
    <w:rsid w:val="00DE034B"/>
    <w:rsid w:val="00DE0422"/>
    <w:rsid w:val="00DE0530"/>
    <w:rsid w:val="00DE05A3"/>
    <w:rsid w:val="00DE08E5"/>
    <w:rsid w:val="00DE0BEC"/>
    <w:rsid w:val="00DE0DF8"/>
    <w:rsid w:val="00DE11C4"/>
    <w:rsid w:val="00DE13B7"/>
    <w:rsid w:val="00DE187D"/>
    <w:rsid w:val="00DE18B1"/>
    <w:rsid w:val="00DE1E6E"/>
    <w:rsid w:val="00DE2199"/>
    <w:rsid w:val="00DE2CC0"/>
    <w:rsid w:val="00DE3D51"/>
    <w:rsid w:val="00DE3FBD"/>
    <w:rsid w:val="00DE3FD7"/>
    <w:rsid w:val="00DE3FDB"/>
    <w:rsid w:val="00DE4236"/>
    <w:rsid w:val="00DE42D3"/>
    <w:rsid w:val="00DE43AF"/>
    <w:rsid w:val="00DE4C9C"/>
    <w:rsid w:val="00DE4CC6"/>
    <w:rsid w:val="00DE573B"/>
    <w:rsid w:val="00DE60F8"/>
    <w:rsid w:val="00DE69CF"/>
    <w:rsid w:val="00DE7454"/>
    <w:rsid w:val="00DE7472"/>
    <w:rsid w:val="00DE7F9C"/>
    <w:rsid w:val="00DF0159"/>
    <w:rsid w:val="00DF0E0A"/>
    <w:rsid w:val="00DF15D9"/>
    <w:rsid w:val="00DF1864"/>
    <w:rsid w:val="00DF1BF4"/>
    <w:rsid w:val="00DF22BF"/>
    <w:rsid w:val="00DF255B"/>
    <w:rsid w:val="00DF2615"/>
    <w:rsid w:val="00DF26BE"/>
    <w:rsid w:val="00DF3B7C"/>
    <w:rsid w:val="00DF3F33"/>
    <w:rsid w:val="00DF47C6"/>
    <w:rsid w:val="00DF49C1"/>
    <w:rsid w:val="00DF4C16"/>
    <w:rsid w:val="00DF4DA3"/>
    <w:rsid w:val="00DF5159"/>
    <w:rsid w:val="00DF5B30"/>
    <w:rsid w:val="00DF5F43"/>
    <w:rsid w:val="00DF5FF4"/>
    <w:rsid w:val="00DF661B"/>
    <w:rsid w:val="00DF66B4"/>
    <w:rsid w:val="00DF686D"/>
    <w:rsid w:val="00DF7206"/>
    <w:rsid w:val="00DF7814"/>
    <w:rsid w:val="00E00146"/>
    <w:rsid w:val="00E00282"/>
    <w:rsid w:val="00E009FD"/>
    <w:rsid w:val="00E021F0"/>
    <w:rsid w:val="00E024B3"/>
    <w:rsid w:val="00E02522"/>
    <w:rsid w:val="00E0256B"/>
    <w:rsid w:val="00E02A27"/>
    <w:rsid w:val="00E033A5"/>
    <w:rsid w:val="00E0381A"/>
    <w:rsid w:val="00E0395A"/>
    <w:rsid w:val="00E03A47"/>
    <w:rsid w:val="00E0443C"/>
    <w:rsid w:val="00E045FA"/>
    <w:rsid w:val="00E04BB8"/>
    <w:rsid w:val="00E05BE8"/>
    <w:rsid w:val="00E06582"/>
    <w:rsid w:val="00E06671"/>
    <w:rsid w:val="00E06678"/>
    <w:rsid w:val="00E0671C"/>
    <w:rsid w:val="00E07350"/>
    <w:rsid w:val="00E07578"/>
    <w:rsid w:val="00E076A9"/>
    <w:rsid w:val="00E07A12"/>
    <w:rsid w:val="00E07A1A"/>
    <w:rsid w:val="00E10373"/>
    <w:rsid w:val="00E10798"/>
    <w:rsid w:val="00E1090C"/>
    <w:rsid w:val="00E1092C"/>
    <w:rsid w:val="00E10D04"/>
    <w:rsid w:val="00E10DA8"/>
    <w:rsid w:val="00E11306"/>
    <w:rsid w:val="00E11769"/>
    <w:rsid w:val="00E11868"/>
    <w:rsid w:val="00E11B7B"/>
    <w:rsid w:val="00E12271"/>
    <w:rsid w:val="00E1229D"/>
    <w:rsid w:val="00E124B7"/>
    <w:rsid w:val="00E12828"/>
    <w:rsid w:val="00E129DD"/>
    <w:rsid w:val="00E13489"/>
    <w:rsid w:val="00E1361E"/>
    <w:rsid w:val="00E137B9"/>
    <w:rsid w:val="00E141CB"/>
    <w:rsid w:val="00E143FD"/>
    <w:rsid w:val="00E144E6"/>
    <w:rsid w:val="00E146F6"/>
    <w:rsid w:val="00E14E9B"/>
    <w:rsid w:val="00E1559F"/>
    <w:rsid w:val="00E15C2B"/>
    <w:rsid w:val="00E15DAB"/>
    <w:rsid w:val="00E15DFA"/>
    <w:rsid w:val="00E16738"/>
    <w:rsid w:val="00E16C1A"/>
    <w:rsid w:val="00E16D92"/>
    <w:rsid w:val="00E20280"/>
    <w:rsid w:val="00E20371"/>
    <w:rsid w:val="00E20980"/>
    <w:rsid w:val="00E20AAE"/>
    <w:rsid w:val="00E21141"/>
    <w:rsid w:val="00E21551"/>
    <w:rsid w:val="00E21928"/>
    <w:rsid w:val="00E21BE1"/>
    <w:rsid w:val="00E22566"/>
    <w:rsid w:val="00E22648"/>
    <w:rsid w:val="00E229B0"/>
    <w:rsid w:val="00E22C40"/>
    <w:rsid w:val="00E22C72"/>
    <w:rsid w:val="00E22F1A"/>
    <w:rsid w:val="00E23107"/>
    <w:rsid w:val="00E2356E"/>
    <w:rsid w:val="00E23B7B"/>
    <w:rsid w:val="00E23C60"/>
    <w:rsid w:val="00E24496"/>
    <w:rsid w:val="00E24629"/>
    <w:rsid w:val="00E24A08"/>
    <w:rsid w:val="00E24D5C"/>
    <w:rsid w:val="00E263F5"/>
    <w:rsid w:val="00E265CB"/>
    <w:rsid w:val="00E26675"/>
    <w:rsid w:val="00E26AEB"/>
    <w:rsid w:val="00E26CAF"/>
    <w:rsid w:val="00E27D64"/>
    <w:rsid w:val="00E30008"/>
    <w:rsid w:val="00E30449"/>
    <w:rsid w:val="00E30707"/>
    <w:rsid w:val="00E309B6"/>
    <w:rsid w:val="00E30C6E"/>
    <w:rsid w:val="00E30D99"/>
    <w:rsid w:val="00E30DC0"/>
    <w:rsid w:val="00E314B3"/>
    <w:rsid w:val="00E314C9"/>
    <w:rsid w:val="00E31719"/>
    <w:rsid w:val="00E3180D"/>
    <w:rsid w:val="00E31A44"/>
    <w:rsid w:val="00E31A4F"/>
    <w:rsid w:val="00E32207"/>
    <w:rsid w:val="00E32250"/>
    <w:rsid w:val="00E3359B"/>
    <w:rsid w:val="00E34330"/>
    <w:rsid w:val="00E3437B"/>
    <w:rsid w:val="00E3462F"/>
    <w:rsid w:val="00E356F8"/>
    <w:rsid w:val="00E35B82"/>
    <w:rsid w:val="00E3616C"/>
    <w:rsid w:val="00E36978"/>
    <w:rsid w:val="00E369D9"/>
    <w:rsid w:val="00E3703B"/>
    <w:rsid w:val="00E3710B"/>
    <w:rsid w:val="00E3733F"/>
    <w:rsid w:val="00E375C2"/>
    <w:rsid w:val="00E37776"/>
    <w:rsid w:val="00E377D4"/>
    <w:rsid w:val="00E37B00"/>
    <w:rsid w:val="00E37B63"/>
    <w:rsid w:val="00E37CB8"/>
    <w:rsid w:val="00E413CB"/>
    <w:rsid w:val="00E4144F"/>
    <w:rsid w:val="00E416A4"/>
    <w:rsid w:val="00E428E1"/>
    <w:rsid w:val="00E42949"/>
    <w:rsid w:val="00E42A6C"/>
    <w:rsid w:val="00E42B86"/>
    <w:rsid w:val="00E42E9E"/>
    <w:rsid w:val="00E42F4F"/>
    <w:rsid w:val="00E43090"/>
    <w:rsid w:val="00E43327"/>
    <w:rsid w:val="00E435D2"/>
    <w:rsid w:val="00E4378B"/>
    <w:rsid w:val="00E43D27"/>
    <w:rsid w:val="00E44203"/>
    <w:rsid w:val="00E443C9"/>
    <w:rsid w:val="00E44523"/>
    <w:rsid w:val="00E44C3D"/>
    <w:rsid w:val="00E44E46"/>
    <w:rsid w:val="00E44F19"/>
    <w:rsid w:val="00E44F53"/>
    <w:rsid w:val="00E4513F"/>
    <w:rsid w:val="00E45BAC"/>
    <w:rsid w:val="00E45BC3"/>
    <w:rsid w:val="00E460EF"/>
    <w:rsid w:val="00E462CA"/>
    <w:rsid w:val="00E46413"/>
    <w:rsid w:val="00E46AC7"/>
    <w:rsid w:val="00E46C01"/>
    <w:rsid w:val="00E46C38"/>
    <w:rsid w:val="00E46C42"/>
    <w:rsid w:val="00E473CF"/>
    <w:rsid w:val="00E479EA"/>
    <w:rsid w:val="00E47ED6"/>
    <w:rsid w:val="00E50D51"/>
    <w:rsid w:val="00E51424"/>
    <w:rsid w:val="00E51F52"/>
    <w:rsid w:val="00E52340"/>
    <w:rsid w:val="00E529E1"/>
    <w:rsid w:val="00E52D38"/>
    <w:rsid w:val="00E530C7"/>
    <w:rsid w:val="00E5327C"/>
    <w:rsid w:val="00E535A7"/>
    <w:rsid w:val="00E53B71"/>
    <w:rsid w:val="00E53C31"/>
    <w:rsid w:val="00E53CDC"/>
    <w:rsid w:val="00E544F9"/>
    <w:rsid w:val="00E54ED2"/>
    <w:rsid w:val="00E550B1"/>
    <w:rsid w:val="00E550DF"/>
    <w:rsid w:val="00E5540F"/>
    <w:rsid w:val="00E55974"/>
    <w:rsid w:val="00E559B2"/>
    <w:rsid w:val="00E56371"/>
    <w:rsid w:val="00E564C4"/>
    <w:rsid w:val="00E564D5"/>
    <w:rsid w:val="00E56642"/>
    <w:rsid w:val="00E56696"/>
    <w:rsid w:val="00E56B85"/>
    <w:rsid w:val="00E571BA"/>
    <w:rsid w:val="00E57629"/>
    <w:rsid w:val="00E5763A"/>
    <w:rsid w:val="00E57725"/>
    <w:rsid w:val="00E6022D"/>
    <w:rsid w:val="00E6055A"/>
    <w:rsid w:val="00E60C18"/>
    <w:rsid w:val="00E60C9F"/>
    <w:rsid w:val="00E6122D"/>
    <w:rsid w:val="00E61DB4"/>
    <w:rsid w:val="00E61F3C"/>
    <w:rsid w:val="00E62077"/>
    <w:rsid w:val="00E620AE"/>
    <w:rsid w:val="00E621F8"/>
    <w:rsid w:val="00E623F4"/>
    <w:rsid w:val="00E62CF2"/>
    <w:rsid w:val="00E635BE"/>
    <w:rsid w:val="00E636A0"/>
    <w:rsid w:val="00E6378F"/>
    <w:rsid w:val="00E63BB6"/>
    <w:rsid w:val="00E63FBB"/>
    <w:rsid w:val="00E64996"/>
    <w:rsid w:val="00E64F90"/>
    <w:rsid w:val="00E650A5"/>
    <w:rsid w:val="00E65141"/>
    <w:rsid w:val="00E65AED"/>
    <w:rsid w:val="00E66385"/>
    <w:rsid w:val="00E66FB0"/>
    <w:rsid w:val="00E67046"/>
    <w:rsid w:val="00E67147"/>
    <w:rsid w:val="00E67216"/>
    <w:rsid w:val="00E67469"/>
    <w:rsid w:val="00E675D0"/>
    <w:rsid w:val="00E67A08"/>
    <w:rsid w:val="00E67AA8"/>
    <w:rsid w:val="00E70177"/>
    <w:rsid w:val="00E702B1"/>
    <w:rsid w:val="00E70704"/>
    <w:rsid w:val="00E70A3C"/>
    <w:rsid w:val="00E71FCF"/>
    <w:rsid w:val="00E72176"/>
    <w:rsid w:val="00E723CB"/>
    <w:rsid w:val="00E72700"/>
    <w:rsid w:val="00E729EB"/>
    <w:rsid w:val="00E72D46"/>
    <w:rsid w:val="00E7300F"/>
    <w:rsid w:val="00E73750"/>
    <w:rsid w:val="00E73F9A"/>
    <w:rsid w:val="00E74355"/>
    <w:rsid w:val="00E743BF"/>
    <w:rsid w:val="00E74B78"/>
    <w:rsid w:val="00E74D4E"/>
    <w:rsid w:val="00E75662"/>
    <w:rsid w:val="00E766E8"/>
    <w:rsid w:val="00E76821"/>
    <w:rsid w:val="00E76B34"/>
    <w:rsid w:val="00E7720F"/>
    <w:rsid w:val="00E77E44"/>
    <w:rsid w:val="00E77F3C"/>
    <w:rsid w:val="00E805DE"/>
    <w:rsid w:val="00E806A2"/>
    <w:rsid w:val="00E814F0"/>
    <w:rsid w:val="00E8177D"/>
    <w:rsid w:val="00E81CAF"/>
    <w:rsid w:val="00E81D50"/>
    <w:rsid w:val="00E8208B"/>
    <w:rsid w:val="00E828C2"/>
    <w:rsid w:val="00E834CC"/>
    <w:rsid w:val="00E83857"/>
    <w:rsid w:val="00E838D9"/>
    <w:rsid w:val="00E83A11"/>
    <w:rsid w:val="00E8450E"/>
    <w:rsid w:val="00E84742"/>
    <w:rsid w:val="00E84E29"/>
    <w:rsid w:val="00E85335"/>
    <w:rsid w:val="00E857F6"/>
    <w:rsid w:val="00E85833"/>
    <w:rsid w:val="00E85FEA"/>
    <w:rsid w:val="00E8643F"/>
    <w:rsid w:val="00E86B79"/>
    <w:rsid w:val="00E873E6"/>
    <w:rsid w:val="00E8767E"/>
    <w:rsid w:val="00E87FDB"/>
    <w:rsid w:val="00E90435"/>
    <w:rsid w:val="00E90A0C"/>
    <w:rsid w:val="00E91556"/>
    <w:rsid w:val="00E916B0"/>
    <w:rsid w:val="00E91864"/>
    <w:rsid w:val="00E91ECD"/>
    <w:rsid w:val="00E923B8"/>
    <w:rsid w:val="00E9241F"/>
    <w:rsid w:val="00E9287C"/>
    <w:rsid w:val="00E92B24"/>
    <w:rsid w:val="00E92BE7"/>
    <w:rsid w:val="00E92D1E"/>
    <w:rsid w:val="00E92DDC"/>
    <w:rsid w:val="00E92F80"/>
    <w:rsid w:val="00E9302C"/>
    <w:rsid w:val="00E93547"/>
    <w:rsid w:val="00E93584"/>
    <w:rsid w:val="00E9369A"/>
    <w:rsid w:val="00E936CF"/>
    <w:rsid w:val="00E93D39"/>
    <w:rsid w:val="00E9438F"/>
    <w:rsid w:val="00E944D3"/>
    <w:rsid w:val="00E951E8"/>
    <w:rsid w:val="00E95800"/>
    <w:rsid w:val="00E95EDA"/>
    <w:rsid w:val="00E960FE"/>
    <w:rsid w:val="00E96107"/>
    <w:rsid w:val="00E966C4"/>
    <w:rsid w:val="00E96C38"/>
    <w:rsid w:val="00E96C3A"/>
    <w:rsid w:val="00E9706A"/>
    <w:rsid w:val="00E970C0"/>
    <w:rsid w:val="00E9765F"/>
    <w:rsid w:val="00E978F7"/>
    <w:rsid w:val="00E97C0B"/>
    <w:rsid w:val="00E97CAA"/>
    <w:rsid w:val="00E97E09"/>
    <w:rsid w:val="00EA0499"/>
    <w:rsid w:val="00EA04C1"/>
    <w:rsid w:val="00EA0A22"/>
    <w:rsid w:val="00EA0AAD"/>
    <w:rsid w:val="00EA0E92"/>
    <w:rsid w:val="00EA1CF8"/>
    <w:rsid w:val="00EA20C1"/>
    <w:rsid w:val="00EA21B0"/>
    <w:rsid w:val="00EA23B3"/>
    <w:rsid w:val="00EA243C"/>
    <w:rsid w:val="00EA2729"/>
    <w:rsid w:val="00EA2742"/>
    <w:rsid w:val="00EA2988"/>
    <w:rsid w:val="00EA29CF"/>
    <w:rsid w:val="00EA2C74"/>
    <w:rsid w:val="00EA2E9C"/>
    <w:rsid w:val="00EA2F10"/>
    <w:rsid w:val="00EA3285"/>
    <w:rsid w:val="00EA3549"/>
    <w:rsid w:val="00EA4869"/>
    <w:rsid w:val="00EA564D"/>
    <w:rsid w:val="00EA59A4"/>
    <w:rsid w:val="00EA5E55"/>
    <w:rsid w:val="00EA759C"/>
    <w:rsid w:val="00EB03B3"/>
    <w:rsid w:val="00EB1342"/>
    <w:rsid w:val="00EB14C3"/>
    <w:rsid w:val="00EB1643"/>
    <w:rsid w:val="00EB1764"/>
    <w:rsid w:val="00EB18A5"/>
    <w:rsid w:val="00EB1DAC"/>
    <w:rsid w:val="00EB1F81"/>
    <w:rsid w:val="00EB2064"/>
    <w:rsid w:val="00EB254D"/>
    <w:rsid w:val="00EB332B"/>
    <w:rsid w:val="00EB371F"/>
    <w:rsid w:val="00EB3FCD"/>
    <w:rsid w:val="00EB41D3"/>
    <w:rsid w:val="00EB454E"/>
    <w:rsid w:val="00EB4901"/>
    <w:rsid w:val="00EB4DFE"/>
    <w:rsid w:val="00EB4F81"/>
    <w:rsid w:val="00EB573E"/>
    <w:rsid w:val="00EB5BF2"/>
    <w:rsid w:val="00EB5C3D"/>
    <w:rsid w:val="00EB6544"/>
    <w:rsid w:val="00EB684B"/>
    <w:rsid w:val="00EB6C71"/>
    <w:rsid w:val="00EB736E"/>
    <w:rsid w:val="00EB75F2"/>
    <w:rsid w:val="00EB76B6"/>
    <w:rsid w:val="00EB79C9"/>
    <w:rsid w:val="00EB79E0"/>
    <w:rsid w:val="00EB7DDD"/>
    <w:rsid w:val="00EB7E00"/>
    <w:rsid w:val="00EC00A4"/>
    <w:rsid w:val="00EC015F"/>
    <w:rsid w:val="00EC09DE"/>
    <w:rsid w:val="00EC0EED"/>
    <w:rsid w:val="00EC1221"/>
    <w:rsid w:val="00EC1C6A"/>
    <w:rsid w:val="00EC2127"/>
    <w:rsid w:val="00EC21AC"/>
    <w:rsid w:val="00EC2B8B"/>
    <w:rsid w:val="00EC3225"/>
    <w:rsid w:val="00EC33C3"/>
    <w:rsid w:val="00EC35AD"/>
    <w:rsid w:val="00EC3613"/>
    <w:rsid w:val="00EC431C"/>
    <w:rsid w:val="00EC48AE"/>
    <w:rsid w:val="00EC48F5"/>
    <w:rsid w:val="00EC4CB5"/>
    <w:rsid w:val="00EC4D14"/>
    <w:rsid w:val="00EC4DE8"/>
    <w:rsid w:val="00EC4FA0"/>
    <w:rsid w:val="00EC551F"/>
    <w:rsid w:val="00EC5A07"/>
    <w:rsid w:val="00EC5C85"/>
    <w:rsid w:val="00EC5EFB"/>
    <w:rsid w:val="00EC6CC7"/>
    <w:rsid w:val="00EC6E9B"/>
    <w:rsid w:val="00EC707D"/>
    <w:rsid w:val="00EC766B"/>
    <w:rsid w:val="00EC7809"/>
    <w:rsid w:val="00ED002C"/>
    <w:rsid w:val="00ED0272"/>
    <w:rsid w:val="00ED0537"/>
    <w:rsid w:val="00ED0848"/>
    <w:rsid w:val="00ED0C25"/>
    <w:rsid w:val="00ED0D77"/>
    <w:rsid w:val="00ED1361"/>
    <w:rsid w:val="00ED13D8"/>
    <w:rsid w:val="00ED16CD"/>
    <w:rsid w:val="00ED191B"/>
    <w:rsid w:val="00ED2159"/>
    <w:rsid w:val="00ED21BF"/>
    <w:rsid w:val="00ED2697"/>
    <w:rsid w:val="00ED2959"/>
    <w:rsid w:val="00ED2C74"/>
    <w:rsid w:val="00ED2CEA"/>
    <w:rsid w:val="00ED3B7D"/>
    <w:rsid w:val="00ED409B"/>
    <w:rsid w:val="00ED4473"/>
    <w:rsid w:val="00ED457E"/>
    <w:rsid w:val="00ED4623"/>
    <w:rsid w:val="00ED579A"/>
    <w:rsid w:val="00ED58F1"/>
    <w:rsid w:val="00ED59AF"/>
    <w:rsid w:val="00ED59ED"/>
    <w:rsid w:val="00ED5BA2"/>
    <w:rsid w:val="00ED5CAF"/>
    <w:rsid w:val="00ED5F99"/>
    <w:rsid w:val="00ED6047"/>
    <w:rsid w:val="00ED6504"/>
    <w:rsid w:val="00ED6521"/>
    <w:rsid w:val="00ED65C3"/>
    <w:rsid w:val="00ED6A66"/>
    <w:rsid w:val="00ED6C81"/>
    <w:rsid w:val="00ED6CFE"/>
    <w:rsid w:val="00ED757B"/>
    <w:rsid w:val="00ED75BC"/>
    <w:rsid w:val="00ED7A52"/>
    <w:rsid w:val="00ED7CCC"/>
    <w:rsid w:val="00EE0090"/>
    <w:rsid w:val="00EE03C0"/>
    <w:rsid w:val="00EE0584"/>
    <w:rsid w:val="00EE06C4"/>
    <w:rsid w:val="00EE085E"/>
    <w:rsid w:val="00EE0EF1"/>
    <w:rsid w:val="00EE12FC"/>
    <w:rsid w:val="00EE1736"/>
    <w:rsid w:val="00EE1877"/>
    <w:rsid w:val="00EE1B49"/>
    <w:rsid w:val="00EE1B8C"/>
    <w:rsid w:val="00EE212C"/>
    <w:rsid w:val="00EE24C6"/>
    <w:rsid w:val="00EE27A7"/>
    <w:rsid w:val="00EE28E3"/>
    <w:rsid w:val="00EE2CA5"/>
    <w:rsid w:val="00EE31E5"/>
    <w:rsid w:val="00EE3368"/>
    <w:rsid w:val="00EE3534"/>
    <w:rsid w:val="00EE379F"/>
    <w:rsid w:val="00EE3EB2"/>
    <w:rsid w:val="00EE3F3F"/>
    <w:rsid w:val="00EE3FDD"/>
    <w:rsid w:val="00EE4383"/>
    <w:rsid w:val="00EE4D45"/>
    <w:rsid w:val="00EE52E1"/>
    <w:rsid w:val="00EE55F4"/>
    <w:rsid w:val="00EE568F"/>
    <w:rsid w:val="00EE56D8"/>
    <w:rsid w:val="00EE6354"/>
    <w:rsid w:val="00EE67AA"/>
    <w:rsid w:val="00EE682F"/>
    <w:rsid w:val="00EE6B56"/>
    <w:rsid w:val="00EE6C60"/>
    <w:rsid w:val="00EE6EBD"/>
    <w:rsid w:val="00EE77C9"/>
    <w:rsid w:val="00EE788D"/>
    <w:rsid w:val="00EE7911"/>
    <w:rsid w:val="00EE7FC2"/>
    <w:rsid w:val="00EF00FD"/>
    <w:rsid w:val="00EF0750"/>
    <w:rsid w:val="00EF0BC8"/>
    <w:rsid w:val="00EF1099"/>
    <w:rsid w:val="00EF11C8"/>
    <w:rsid w:val="00EF1EB4"/>
    <w:rsid w:val="00EF2349"/>
    <w:rsid w:val="00EF24F8"/>
    <w:rsid w:val="00EF2CE5"/>
    <w:rsid w:val="00EF2F96"/>
    <w:rsid w:val="00EF3886"/>
    <w:rsid w:val="00EF4561"/>
    <w:rsid w:val="00EF4896"/>
    <w:rsid w:val="00EF48C3"/>
    <w:rsid w:val="00EF4C5A"/>
    <w:rsid w:val="00EF4C7B"/>
    <w:rsid w:val="00EF4CC0"/>
    <w:rsid w:val="00EF4F18"/>
    <w:rsid w:val="00EF4F91"/>
    <w:rsid w:val="00EF5153"/>
    <w:rsid w:val="00EF656A"/>
    <w:rsid w:val="00EF751D"/>
    <w:rsid w:val="00EF7852"/>
    <w:rsid w:val="00EF7B7D"/>
    <w:rsid w:val="00EF7E96"/>
    <w:rsid w:val="00F000DB"/>
    <w:rsid w:val="00F00736"/>
    <w:rsid w:val="00F00BC0"/>
    <w:rsid w:val="00F00CFC"/>
    <w:rsid w:val="00F00E25"/>
    <w:rsid w:val="00F00EE0"/>
    <w:rsid w:val="00F00FE2"/>
    <w:rsid w:val="00F01089"/>
    <w:rsid w:val="00F010BE"/>
    <w:rsid w:val="00F016F6"/>
    <w:rsid w:val="00F018A0"/>
    <w:rsid w:val="00F01A99"/>
    <w:rsid w:val="00F020A5"/>
    <w:rsid w:val="00F02BCE"/>
    <w:rsid w:val="00F031AE"/>
    <w:rsid w:val="00F0326A"/>
    <w:rsid w:val="00F034A0"/>
    <w:rsid w:val="00F03E37"/>
    <w:rsid w:val="00F05096"/>
    <w:rsid w:val="00F051E3"/>
    <w:rsid w:val="00F05860"/>
    <w:rsid w:val="00F05B6B"/>
    <w:rsid w:val="00F0637D"/>
    <w:rsid w:val="00F0648B"/>
    <w:rsid w:val="00F0687A"/>
    <w:rsid w:val="00F06DAF"/>
    <w:rsid w:val="00F07066"/>
    <w:rsid w:val="00F073EC"/>
    <w:rsid w:val="00F0755F"/>
    <w:rsid w:val="00F105EC"/>
    <w:rsid w:val="00F108CA"/>
    <w:rsid w:val="00F11592"/>
    <w:rsid w:val="00F11B1B"/>
    <w:rsid w:val="00F121C4"/>
    <w:rsid w:val="00F1227E"/>
    <w:rsid w:val="00F1262F"/>
    <w:rsid w:val="00F12BB0"/>
    <w:rsid w:val="00F13469"/>
    <w:rsid w:val="00F14226"/>
    <w:rsid w:val="00F14446"/>
    <w:rsid w:val="00F14616"/>
    <w:rsid w:val="00F15134"/>
    <w:rsid w:val="00F156E1"/>
    <w:rsid w:val="00F15D06"/>
    <w:rsid w:val="00F170F4"/>
    <w:rsid w:val="00F17245"/>
    <w:rsid w:val="00F2028B"/>
    <w:rsid w:val="00F20816"/>
    <w:rsid w:val="00F208DA"/>
    <w:rsid w:val="00F20AE0"/>
    <w:rsid w:val="00F20E1C"/>
    <w:rsid w:val="00F213C7"/>
    <w:rsid w:val="00F21951"/>
    <w:rsid w:val="00F21A9C"/>
    <w:rsid w:val="00F21D33"/>
    <w:rsid w:val="00F2255C"/>
    <w:rsid w:val="00F22A55"/>
    <w:rsid w:val="00F22B3D"/>
    <w:rsid w:val="00F23101"/>
    <w:rsid w:val="00F23254"/>
    <w:rsid w:val="00F23267"/>
    <w:rsid w:val="00F23FCD"/>
    <w:rsid w:val="00F24110"/>
    <w:rsid w:val="00F2467F"/>
    <w:rsid w:val="00F25149"/>
    <w:rsid w:val="00F25509"/>
    <w:rsid w:val="00F258E6"/>
    <w:rsid w:val="00F259BC"/>
    <w:rsid w:val="00F25E8A"/>
    <w:rsid w:val="00F2603F"/>
    <w:rsid w:val="00F26226"/>
    <w:rsid w:val="00F2640F"/>
    <w:rsid w:val="00F26537"/>
    <w:rsid w:val="00F268CC"/>
    <w:rsid w:val="00F26AF7"/>
    <w:rsid w:val="00F26EED"/>
    <w:rsid w:val="00F2725B"/>
    <w:rsid w:val="00F27527"/>
    <w:rsid w:val="00F275F6"/>
    <w:rsid w:val="00F27FB2"/>
    <w:rsid w:val="00F30513"/>
    <w:rsid w:val="00F30799"/>
    <w:rsid w:val="00F30942"/>
    <w:rsid w:val="00F30AF0"/>
    <w:rsid w:val="00F30F76"/>
    <w:rsid w:val="00F30F8F"/>
    <w:rsid w:val="00F316F8"/>
    <w:rsid w:val="00F32541"/>
    <w:rsid w:val="00F32581"/>
    <w:rsid w:val="00F32897"/>
    <w:rsid w:val="00F32D25"/>
    <w:rsid w:val="00F32FA7"/>
    <w:rsid w:val="00F337DE"/>
    <w:rsid w:val="00F341A9"/>
    <w:rsid w:val="00F342C8"/>
    <w:rsid w:val="00F345E4"/>
    <w:rsid w:val="00F35189"/>
    <w:rsid w:val="00F351BE"/>
    <w:rsid w:val="00F354BE"/>
    <w:rsid w:val="00F35568"/>
    <w:rsid w:val="00F35A3B"/>
    <w:rsid w:val="00F35ACC"/>
    <w:rsid w:val="00F36B44"/>
    <w:rsid w:val="00F37E3C"/>
    <w:rsid w:val="00F40DE3"/>
    <w:rsid w:val="00F40E85"/>
    <w:rsid w:val="00F419A2"/>
    <w:rsid w:val="00F419E6"/>
    <w:rsid w:val="00F41DD3"/>
    <w:rsid w:val="00F42375"/>
    <w:rsid w:val="00F447A2"/>
    <w:rsid w:val="00F447ED"/>
    <w:rsid w:val="00F4485B"/>
    <w:rsid w:val="00F44932"/>
    <w:rsid w:val="00F44DF3"/>
    <w:rsid w:val="00F4558D"/>
    <w:rsid w:val="00F4578A"/>
    <w:rsid w:val="00F4630A"/>
    <w:rsid w:val="00F469D7"/>
    <w:rsid w:val="00F46B92"/>
    <w:rsid w:val="00F46CA7"/>
    <w:rsid w:val="00F46E44"/>
    <w:rsid w:val="00F475FC"/>
    <w:rsid w:val="00F47D50"/>
    <w:rsid w:val="00F50394"/>
    <w:rsid w:val="00F50449"/>
    <w:rsid w:val="00F5055B"/>
    <w:rsid w:val="00F505B8"/>
    <w:rsid w:val="00F5150B"/>
    <w:rsid w:val="00F5162F"/>
    <w:rsid w:val="00F5193E"/>
    <w:rsid w:val="00F51D78"/>
    <w:rsid w:val="00F521F7"/>
    <w:rsid w:val="00F524A2"/>
    <w:rsid w:val="00F525DC"/>
    <w:rsid w:val="00F52A36"/>
    <w:rsid w:val="00F52CC4"/>
    <w:rsid w:val="00F52D58"/>
    <w:rsid w:val="00F53373"/>
    <w:rsid w:val="00F53B41"/>
    <w:rsid w:val="00F53B51"/>
    <w:rsid w:val="00F53BC4"/>
    <w:rsid w:val="00F54212"/>
    <w:rsid w:val="00F54883"/>
    <w:rsid w:val="00F54DB5"/>
    <w:rsid w:val="00F55107"/>
    <w:rsid w:val="00F55188"/>
    <w:rsid w:val="00F557EF"/>
    <w:rsid w:val="00F55EBE"/>
    <w:rsid w:val="00F569E2"/>
    <w:rsid w:val="00F56DB0"/>
    <w:rsid w:val="00F56EB4"/>
    <w:rsid w:val="00F5702A"/>
    <w:rsid w:val="00F57279"/>
    <w:rsid w:val="00F575CD"/>
    <w:rsid w:val="00F577EE"/>
    <w:rsid w:val="00F57F08"/>
    <w:rsid w:val="00F60107"/>
    <w:rsid w:val="00F60282"/>
    <w:rsid w:val="00F602FE"/>
    <w:rsid w:val="00F60BF7"/>
    <w:rsid w:val="00F61479"/>
    <w:rsid w:val="00F616F2"/>
    <w:rsid w:val="00F618E1"/>
    <w:rsid w:val="00F619BD"/>
    <w:rsid w:val="00F61AAB"/>
    <w:rsid w:val="00F62328"/>
    <w:rsid w:val="00F625BD"/>
    <w:rsid w:val="00F62CD3"/>
    <w:rsid w:val="00F62F3E"/>
    <w:rsid w:val="00F631D5"/>
    <w:rsid w:val="00F636B8"/>
    <w:rsid w:val="00F63C48"/>
    <w:rsid w:val="00F63C75"/>
    <w:rsid w:val="00F63DC1"/>
    <w:rsid w:val="00F64318"/>
    <w:rsid w:val="00F64DBF"/>
    <w:rsid w:val="00F654FA"/>
    <w:rsid w:val="00F65520"/>
    <w:rsid w:val="00F65BC3"/>
    <w:rsid w:val="00F6680F"/>
    <w:rsid w:val="00F669C7"/>
    <w:rsid w:val="00F66E71"/>
    <w:rsid w:val="00F67089"/>
    <w:rsid w:val="00F67769"/>
    <w:rsid w:val="00F67AF9"/>
    <w:rsid w:val="00F67B36"/>
    <w:rsid w:val="00F700C2"/>
    <w:rsid w:val="00F7023B"/>
    <w:rsid w:val="00F70399"/>
    <w:rsid w:val="00F7060F"/>
    <w:rsid w:val="00F70618"/>
    <w:rsid w:val="00F70E81"/>
    <w:rsid w:val="00F715FA"/>
    <w:rsid w:val="00F71A7E"/>
    <w:rsid w:val="00F71B42"/>
    <w:rsid w:val="00F72952"/>
    <w:rsid w:val="00F72DB4"/>
    <w:rsid w:val="00F73202"/>
    <w:rsid w:val="00F7348A"/>
    <w:rsid w:val="00F73653"/>
    <w:rsid w:val="00F73BC2"/>
    <w:rsid w:val="00F73DA1"/>
    <w:rsid w:val="00F7416E"/>
    <w:rsid w:val="00F7417E"/>
    <w:rsid w:val="00F74255"/>
    <w:rsid w:val="00F7484D"/>
    <w:rsid w:val="00F74D43"/>
    <w:rsid w:val="00F758DF"/>
    <w:rsid w:val="00F769FF"/>
    <w:rsid w:val="00F76C4E"/>
    <w:rsid w:val="00F76D0D"/>
    <w:rsid w:val="00F76DF5"/>
    <w:rsid w:val="00F7733F"/>
    <w:rsid w:val="00F773AB"/>
    <w:rsid w:val="00F7787F"/>
    <w:rsid w:val="00F802A0"/>
    <w:rsid w:val="00F80A7A"/>
    <w:rsid w:val="00F81266"/>
    <w:rsid w:val="00F81A1F"/>
    <w:rsid w:val="00F82061"/>
    <w:rsid w:val="00F8227E"/>
    <w:rsid w:val="00F8254C"/>
    <w:rsid w:val="00F826DD"/>
    <w:rsid w:val="00F829F1"/>
    <w:rsid w:val="00F82C7D"/>
    <w:rsid w:val="00F83432"/>
    <w:rsid w:val="00F83793"/>
    <w:rsid w:val="00F843C6"/>
    <w:rsid w:val="00F84C9A"/>
    <w:rsid w:val="00F8522E"/>
    <w:rsid w:val="00F857C0"/>
    <w:rsid w:val="00F859E5"/>
    <w:rsid w:val="00F85A0F"/>
    <w:rsid w:val="00F85A25"/>
    <w:rsid w:val="00F85B5A"/>
    <w:rsid w:val="00F85BAC"/>
    <w:rsid w:val="00F85C77"/>
    <w:rsid w:val="00F85D60"/>
    <w:rsid w:val="00F85E4D"/>
    <w:rsid w:val="00F85E85"/>
    <w:rsid w:val="00F86106"/>
    <w:rsid w:val="00F8615D"/>
    <w:rsid w:val="00F86B1C"/>
    <w:rsid w:val="00F86E0F"/>
    <w:rsid w:val="00F87529"/>
    <w:rsid w:val="00F87669"/>
    <w:rsid w:val="00F876EA"/>
    <w:rsid w:val="00F87913"/>
    <w:rsid w:val="00F8796A"/>
    <w:rsid w:val="00F87B3E"/>
    <w:rsid w:val="00F90088"/>
    <w:rsid w:val="00F900DF"/>
    <w:rsid w:val="00F91324"/>
    <w:rsid w:val="00F91374"/>
    <w:rsid w:val="00F91408"/>
    <w:rsid w:val="00F91616"/>
    <w:rsid w:val="00F917F4"/>
    <w:rsid w:val="00F91AD5"/>
    <w:rsid w:val="00F91FDA"/>
    <w:rsid w:val="00F9262B"/>
    <w:rsid w:val="00F926DA"/>
    <w:rsid w:val="00F92711"/>
    <w:rsid w:val="00F92B38"/>
    <w:rsid w:val="00F92D15"/>
    <w:rsid w:val="00F92DC1"/>
    <w:rsid w:val="00F93083"/>
    <w:rsid w:val="00F93C6E"/>
    <w:rsid w:val="00F94549"/>
    <w:rsid w:val="00F94831"/>
    <w:rsid w:val="00F94839"/>
    <w:rsid w:val="00F949F9"/>
    <w:rsid w:val="00F94B2D"/>
    <w:rsid w:val="00F957AE"/>
    <w:rsid w:val="00F95BF4"/>
    <w:rsid w:val="00F963CC"/>
    <w:rsid w:val="00F96EA4"/>
    <w:rsid w:val="00F973A7"/>
    <w:rsid w:val="00F97404"/>
    <w:rsid w:val="00F97905"/>
    <w:rsid w:val="00F97C0A"/>
    <w:rsid w:val="00FA043E"/>
    <w:rsid w:val="00FA05E1"/>
    <w:rsid w:val="00FA0B4E"/>
    <w:rsid w:val="00FA10F8"/>
    <w:rsid w:val="00FA121A"/>
    <w:rsid w:val="00FA1338"/>
    <w:rsid w:val="00FA1E25"/>
    <w:rsid w:val="00FA1F6D"/>
    <w:rsid w:val="00FA2038"/>
    <w:rsid w:val="00FA2066"/>
    <w:rsid w:val="00FA2448"/>
    <w:rsid w:val="00FA2705"/>
    <w:rsid w:val="00FA29B7"/>
    <w:rsid w:val="00FA2B86"/>
    <w:rsid w:val="00FA2F02"/>
    <w:rsid w:val="00FA3542"/>
    <w:rsid w:val="00FA3852"/>
    <w:rsid w:val="00FA3857"/>
    <w:rsid w:val="00FA3B5D"/>
    <w:rsid w:val="00FA45C2"/>
    <w:rsid w:val="00FA4E7E"/>
    <w:rsid w:val="00FA56F7"/>
    <w:rsid w:val="00FA5828"/>
    <w:rsid w:val="00FA5D19"/>
    <w:rsid w:val="00FA63B3"/>
    <w:rsid w:val="00FA64E3"/>
    <w:rsid w:val="00FA6742"/>
    <w:rsid w:val="00FA74E7"/>
    <w:rsid w:val="00FA7966"/>
    <w:rsid w:val="00FB07B0"/>
    <w:rsid w:val="00FB09F3"/>
    <w:rsid w:val="00FB0AD5"/>
    <w:rsid w:val="00FB0FC1"/>
    <w:rsid w:val="00FB1194"/>
    <w:rsid w:val="00FB17EE"/>
    <w:rsid w:val="00FB2049"/>
    <w:rsid w:val="00FB2311"/>
    <w:rsid w:val="00FB258C"/>
    <w:rsid w:val="00FB2602"/>
    <w:rsid w:val="00FB28E0"/>
    <w:rsid w:val="00FB2C19"/>
    <w:rsid w:val="00FB2CCC"/>
    <w:rsid w:val="00FB2F25"/>
    <w:rsid w:val="00FB30B9"/>
    <w:rsid w:val="00FB3519"/>
    <w:rsid w:val="00FB3A95"/>
    <w:rsid w:val="00FB3F4A"/>
    <w:rsid w:val="00FB3F4C"/>
    <w:rsid w:val="00FB45D2"/>
    <w:rsid w:val="00FB481B"/>
    <w:rsid w:val="00FB4833"/>
    <w:rsid w:val="00FB4A72"/>
    <w:rsid w:val="00FB50D8"/>
    <w:rsid w:val="00FB5476"/>
    <w:rsid w:val="00FB54F1"/>
    <w:rsid w:val="00FB58A0"/>
    <w:rsid w:val="00FB5B12"/>
    <w:rsid w:val="00FB5B87"/>
    <w:rsid w:val="00FB6193"/>
    <w:rsid w:val="00FB62C5"/>
    <w:rsid w:val="00FB6548"/>
    <w:rsid w:val="00FB6566"/>
    <w:rsid w:val="00FB6723"/>
    <w:rsid w:val="00FB6857"/>
    <w:rsid w:val="00FB7211"/>
    <w:rsid w:val="00FB7547"/>
    <w:rsid w:val="00FB762D"/>
    <w:rsid w:val="00FB7C18"/>
    <w:rsid w:val="00FB7C55"/>
    <w:rsid w:val="00FB7C7A"/>
    <w:rsid w:val="00FB7EC4"/>
    <w:rsid w:val="00FC002E"/>
    <w:rsid w:val="00FC0266"/>
    <w:rsid w:val="00FC02D5"/>
    <w:rsid w:val="00FC0A73"/>
    <w:rsid w:val="00FC1094"/>
    <w:rsid w:val="00FC12A9"/>
    <w:rsid w:val="00FC1649"/>
    <w:rsid w:val="00FC176D"/>
    <w:rsid w:val="00FC1775"/>
    <w:rsid w:val="00FC1956"/>
    <w:rsid w:val="00FC1AFE"/>
    <w:rsid w:val="00FC246C"/>
    <w:rsid w:val="00FC29A3"/>
    <w:rsid w:val="00FC2B02"/>
    <w:rsid w:val="00FC2DB3"/>
    <w:rsid w:val="00FC2E38"/>
    <w:rsid w:val="00FC3220"/>
    <w:rsid w:val="00FC3339"/>
    <w:rsid w:val="00FC3414"/>
    <w:rsid w:val="00FC386B"/>
    <w:rsid w:val="00FC3CC0"/>
    <w:rsid w:val="00FC42E0"/>
    <w:rsid w:val="00FC442B"/>
    <w:rsid w:val="00FC4557"/>
    <w:rsid w:val="00FC4D4D"/>
    <w:rsid w:val="00FC5561"/>
    <w:rsid w:val="00FC5672"/>
    <w:rsid w:val="00FC5835"/>
    <w:rsid w:val="00FC59C1"/>
    <w:rsid w:val="00FC5F2B"/>
    <w:rsid w:val="00FC6034"/>
    <w:rsid w:val="00FC6196"/>
    <w:rsid w:val="00FC64F4"/>
    <w:rsid w:val="00FC68C8"/>
    <w:rsid w:val="00FC6B12"/>
    <w:rsid w:val="00FC6FFC"/>
    <w:rsid w:val="00FC70AE"/>
    <w:rsid w:val="00FC7294"/>
    <w:rsid w:val="00FC729F"/>
    <w:rsid w:val="00FC75FE"/>
    <w:rsid w:val="00FC79E1"/>
    <w:rsid w:val="00FC7A1D"/>
    <w:rsid w:val="00FC7B45"/>
    <w:rsid w:val="00FC7B4E"/>
    <w:rsid w:val="00FD0415"/>
    <w:rsid w:val="00FD0677"/>
    <w:rsid w:val="00FD08B6"/>
    <w:rsid w:val="00FD0C5A"/>
    <w:rsid w:val="00FD0D3E"/>
    <w:rsid w:val="00FD0D71"/>
    <w:rsid w:val="00FD0E83"/>
    <w:rsid w:val="00FD124B"/>
    <w:rsid w:val="00FD18F1"/>
    <w:rsid w:val="00FD19A7"/>
    <w:rsid w:val="00FD1F6A"/>
    <w:rsid w:val="00FD2050"/>
    <w:rsid w:val="00FD2114"/>
    <w:rsid w:val="00FD2370"/>
    <w:rsid w:val="00FD2380"/>
    <w:rsid w:val="00FD2509"/>
    <w:rsid w:val="00FD25F5"/>
    <w:rsid w:val="00FD26D3"/>
    <w:rsid w:val="00FD2920"/>
    <w:rsid w:val="00FD2BCF"/>
    <w:rsid w:val="00FD371D"/>
    <w:rsid w:val="00FD3A28"/>
    <w:rsid w:val="00FD3FA4"/>
    <w:rsid w:val="00FD423B"/>
    <w:rsid w:val="00FD4917"/>
    <w:rsid w:val="00FD4B3E"/>
    <w:rsid w:val="00FD4FF4"/>
    <w:rsid w:val="00FD51AE"/>
    <w:rsid w:val="00FD552B"/>
    <w:rsid w:val="00FD5615"/>
    <w:rsid w:val="00FD5D25"/>
    <w:rsid w:val="00FD5F7F"/>
    <w:rsid w:val="00FD67EC"/>
    <w:rsid w:val="00FD6BEC"/>
    <w:rsid w:val="00FD7473"/>
    <w:rsid w:val="00FD7B7E"/>
    <w:rsid w:val="00FE057B"/>
    <w:rsid w:val="00FE0785"/>
    <w:rsid w:val="00FE0C04"/>
    <w:rsid w:val="00FE0C99"/>
    <w:rsid w:val="00FE0FC6"/>
    <w:rsid w:val="00FE1095"/>
    <w:rsid w:val="00FE167A"/>
    <w:rsid w:val="00FE1869"/>
    <w:rsid w:val="00FE1A18"/>
    <w:rsid w:val="00FE1A45"/>
    <w:rsid w:val="00FE1AE1"/>
    <w:rsid w:val="00FE1CBC"/>
    <w:rsid w:val="00FE1D3F"/>
    <w:rsid w:val="00FE210B"/>
    <w:rsid w:val="00FE223D"/>
    <w:rsid w:val="00FE2293"/>
    <w:rsid w:val="00FE238E"/>
    <w:rsid w:val="00FE3536"/>
    <w:rsid w:val="00FE44D5"/>
    <w:rsid w:val="00FE4765"/>
    <w:rsid w:val="00FE5C93"/>
    <w:rsid w:val="00FE5D38"/>
    <w:rsid w:val="00FE5EF8"/>
    <w:rsid w:val="00FE608A"/>
    <w:rsid w:val="00FE65CB"/>
    <w:rsid w:val="00FE67FE"/>
    <w:rsid w:val="00FE6933"/>
    <w:rsid w:val="00FE6EE4"/>
    <w:rsid w:val="00FE6FDA"/>
    <w:rsid w:val="00FF1F0D"/>
    <w:rsid w:val="00FF2459"/>
    <w:rsid w:val="00FF24DB"/>
    <w:rsid w:val="00FF2AA7"/>
    <w:rsid w:val="00FF4151"/>
    <w:rsid w:val="00FF4347"/>
    <w:rsid w:val="00FF43E0"/>
    <w:rsid w:val="00FF441B"/>
    <w:rsid w:val="00FF464C"/>
    <w:rsid w:val="00FF48AE"/>
    <w:rsid w:val="00FF49F3"/>
    <w:rsid w:val="00FF4C39"/>
    <w:rsid w:val="00FF5303"/>
    <w:rsid w:val="00FF5EC1"/>
    <w:rsid w:val="00FF60D9"/>
    <w:rsid w:val="00FF6313"/>
    <w:rsid w:val="00FF64DB"/>
    <w:rsid w:val="00FF7177"/>
    <w:rsid w:val="00FF7998"/>
    <w:rsid w:val="00FF7ADC"/>
    <w:rsid w:val="00FF7ECC"/>
    <w:rsid w:val="01D3307E"/>
    <w:rsid w:val="02367283"/>
    <w:rsid w:val="02FB719E"/>
    <w:rsid w:val="049B4985"/>
    <w:rsid w:val="065722B5"/>
    <w:rsid w:val="071D58B2"/>
    <w:rsid w:val="07520355"/>
    <w:rsid w:val="09C53988"/>
    <w:rsid w:val="09D4105B"/>
    <w:rsid w:val="0B1F5221"/>
    <w:rsid w:val="0E67297A"/>
    <w:rsid w:val="0F2B4273"/>
    <w:rsid w:val="11891703"/>
    <w:rsid w:val="164F53CF"/>
    <w:rsid w:val="18923EF3"/>
    <w:rsid w:val="1B365943"/>
    <w:rsid w:val="1BB35507"/>
    <w:rsid w:val="1CCA237E"/>
    <w:rsid w:val="1FFB290A"/>
    <w:rsid w:val="20EB2DB4"/>
    <w:rsid w:val="21CE0964"/>
    <w:rsid w:val="22A71A0C"/>
    <w:rsid w:val="22D53A3F"/>
    <w:rsid w:val="23751EFD"/>
    <w:rsid w:val="267458A3"/>
    <w:rsid w:val="278A3CEB"/>
    <w:rsid w:val="281B2338"/>
    <w:rsid w:val="2D7C534D"/>
    <w:rsid w:val="2E23452A"/>
    <w:rsid w:val="31CF2DDD"/>
    <w:rsid w:val="32C94A20"/>
    <w:rsid w:val="348F2354"/>
    <w:rsid w:val="37FA746B"/>
    <w:rsid w:val="395B3E85"/>
    <w:rsid w:val="3B127BE2"/>
    <w:rsid w:val="3BB00D7F"/>
    <w:rsid w:val="3D471D79"/>
    <w:rsid w:val="3EF71ECF"/>
    <w:rsid w:val="3F493EA3"/>
    <w:rsid w:val="3F691329"/>
    <w:rsid w:val="3FB71705"/>
    <w:rsid w:val="41640D46"/>
    <w:rsid w:val="42117CD7"/>
    <w:rsid w:val="429F87BF"/>
    <w:rsid w:val="459D1A80"/>
    <w:rsid w:val="46BB5C76"/>
    <w:rsid w:val="47A10BA2"/>
    <w:rsid w:val="4B25516A"/>
    <w:rsid w:val="4BB399E9"/>
    <w:rsid w:val="4D66632F"/>
    <w:rsid w:val="4D94605A"/>
    <w:rsid w:val="4DFF8F04"/>
    <w:rsid w:val="4EFBBE20"/>
    <w:rsid w:val="51B70878"/>
    <w:rsid w:val="52601C05"/>
    <w:rsid w:val="52F70853"/>
    <w:rsid w:val="57BF438B"/>
    <w:rsid w:val="59B553E8"/>
    <w:rsid w:val="59FA796F"/>
    <w:rsid w:val="5B236DDA"/>
    <w:rsid w:val="5C15784B"/>
    <w:rsid w:val="5C4A6B86"/>
    <w:rsid w:val="5FFCAD11"/>
    <w:rsid w:val="60951462"/>
    <w:rsid w:val="61ED6CDC"/>
    <w:rsid w:val="62C42DB5"/>
    <w:rsid w:val="635F7AF2"/>
    <w:rsid w:val="63B97890"/>
    <w:rsid w:val="63F3FCC7"/>
    <w:rsid w:val="669D5BAC"/>
    <w:rsid w:val="677F01AB"/>
    <w:rsid w:val="680C22F4"/>
    <w:rsid w:val="68CD5821"/>
    <w:rsid w:val="6B497047"/>
    <w:rsid w:val="6BD9914B"/>
    <w:rsid w:val="6C484A8E"/>
    <w:rsid w:val="6CFE0396"/>
    <w:rsid w:val="6EB21DE2"/>
    <w:rsid w:val="7122130A"/>
    <w:rsid w:val="7135077D"/>
    <w:rsid w:val="73B61BBC"/>
    <w:rsid w:val="7505066F"/>
    <w:rsid w:val="75231582"/>
    <w:rsid w:val="764174CE"/>
    <w:rsid w:val="769122FE"/>
    <w:rsid w:val="77927473"/>
    <w:rsid w:val="77DF65DD"/>
    <w:rsid w:val="787344AB"/>
    <w:rsid w:val="7AD6CDCE"/>
    <w:rsid w:val="7BE31B9F"/>
    <w:rsid w:val="7D2E7AC1"/>
    <w:rsid w:val="7D5345D3"/>
    <w:rsid w:val="7DE72FE1"/>
    <w:rsid w:val="7E495E4D"/>
    <w:rsid w:val="7E5F93DA"/>
    <w:rsid w:val="7E6F4B95"/>
    <w:rsid w:val="7EF1D0F0"/>
    <w:rsid w:val="7F4490AA"/>
    <w:rsid w:val="7FBF88C8"/>
    <w:rsid w:val="7FBF8F5C"/>
    <w:rsid w:val="7FC36439"/>
    <w:rsid w:val="7FD8582D"/>
    <w:rsid w:val="7FEE6803"/>
    <w:rsid w:val="7FF75CE4"/>
    <w:rsid w:val="7FFB1BD7"/>
    <w:rsid w:val="7FFE1705"/>
    <w:rsid w:val="9BE3735B"/>
    <w:rsid w:val="BA7B23C6"/>
    <w:rsid w:val="BAEEA404"/>
    <w:rsid w:val="BB896410"/>
    <w:rsid w:val="BFBE684B"/>
    <w:rsid w:val="DDE382D0"/>
    <w:rsid w:val="E7EC7435"/>
    <w:rsid w:val="E94ECE32"/>
    <w:rsid w:val="E9DF0AE1"/>
    <w:rsid w:val="EEF5EF7D"/>
    <w:rsid w:val="EFA68933"/>
    <w:rsid w:val="EFFBD117"/>
    <w:rsid w:val="FBFF4D9B"/>
    <w:rsid w:val="FFDF2B65"/>
    <w:rsid w:val="FFFFD77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unhideWhenUsed="0" w:uiPriority="0" w:semiHidden="0" w:name="heading 3"/>
    <w:lsdException w:qFormat="1"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1"/>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32"/>
    <w:qFormat/>
    <w:uiPriority w:val="0"/>
    <w:pPr>
      <w:keepNext/>
      <w:keepLines/>
      <w:spacing w:before="120" w:after="120" w:line="560" w:lineRule="exact"/>
      <w:jc w:val="center"/>
      <w:outlineLvl w:val="1"/>
    </w:pPr>
    <w:rPr>
      <w:rFonts w:eastAsia="方正楷体_GBK"/>
      <w:bCs/>
      <w:kern w:val="0"/>
      <w:sz w:val="32"/>
      <w:szCs w:val="36"/>
    </w:rPr>
  </w:style>
  <w:style w:type="paragraph" w:styleId="5">
    <w:name w:val="heading 4"/>
    <w:basedOn w:val="1"/>
    <w:next w:val="1"/>
    <w:link w:val="33"/>
    <w:qFormat/>
    <w:uiPriority w:val="0"/>
    <w:pPr>
      <w:keepNext/>
      <w:keepLines/>
      <w:spacing w:before="280" w:after="290" w:line="376" w:lineRule="auto"/>
      <w:outlineLvl w:val="3"/>
    </w:pPr>
    <w:rPr>
      <w:rFonts w:ascii="Cambria" w:hAnsi="Cambria"/>
      <w:b/>
      <w:bCs/>
      <w:sz w:val="28"/>
      <w:szCs w:val="28"/>
    </w:rPr>
  </w:style>
  <w:style w:type="character" w:default="1" w:styleId="23">
    <w:name w:val="Default Paragraph Font"/>
    <w:qFormat/>
    <w:uiPriority w:val="0"/>
  </w:style>
  <w:style w:type="table" w:default="1" w:styleId="21">
    <w:name w:val="Normal Table"/>
    <w:qFormat/>
    <w:uiPriority w:val="0"/>
    <w:tblPr>
      <w:tblCellMar>
        <w:top w:w="0" w:type="dxa"/>
        <w:left w:w="108" w:type="dxa"/>
        <w:bottom w:w="0" w:type="dxa"/>
        <w:right w:w="108" w:type="dxa"/>
      </w:tblCellMar>
    </w:tblPr>
  </w:style>
  <w:style w:type="paragraph" w:styleId="2">
    <w:name w:val="Body Text"/>
    <w:basedOn w:val="1"/>
    <w:next w:val="1"/>
    <w:link w:val="30"/>
    <w:qFormat/>
    <w:uiPriority w:val="0"/>
    <w:pPr>
      <w:spacing w:after="120"/>
    </w:pPr>
  </w:style>
  <w:style w:type="paragraph" w:styleId="6">
    <w:name w:val="Document Map"/>
    <w:basedOn w:val="1"/>
    <w:qFormat/>
    <w:uiPriority w:val="0"/>
    <w:pPr>
      <w:shd w:val="clear" w:color="auto" w:fill="000080"/>
    </w:pPr>
  </w:style>
  <w:style w:type="paragraph" w:styleId="7">
    <w:name w:val="annotation text"/>
    <w:basedOn w:val="1"/>
    <w:link w:val="34"/>
    <w:qFormat/>
    <w:uiPriority w:val="0"/>
    <w:pPr>
      <w:jc w:val="left"/>
    </w:pPr>
  </w:style>
  <w:style w:type="paragraph" w:styleId="8">
    <w:name w:val="toc 3"/>
    <w:basedOn w:val="1"/>
    <w:next w:val="1"/>
    <w:qFormat/>
    <w:uiPriority w:val="0"/>
    <w:pPr>
      <w:ind w:left="840" w:leftChars="400"/>
    </w:pPr>
  </w:style>
  <w:style w:type="paragraph" w:styleId="9">
    <w:name w:val="Plain Text"/>
    <w:next w:val="10"/>
    <w:link w:val="35"/>
    <w:qFormat/>
    <w:uiPriority w:val="0"/>
    <w:pPr>
      <w:widowControl w:val="0"/>
      <w:jc w:val="both"/>
    </w:pPr>
    <w:rPr>
      <w:rFonts w:ascii="宋体" w:hAnsi="Times New Roman" w:eastAsia="宋体" w:cs="Times New Roman"/>
      <w:kern w:val="2"/>
      <w:sz w:val="21"/>
      <w:szCs w:val="21"/>
      <w:lang w:val="en-US" w:eastAsia="zh-CN" w:bidi="ar-SA"/>
    </w:rPr>
  </w:style>
  <w:style w:type="paragraph" w:styleId="10">
    <w:name w:val="toc 2"/>
    <w:basedOn w:val="1"/>
    <w:next w:val="1"/>
    <w:qFormat/>
    <w:uiPriority w:val="0"/>
    <w:pPr>
      <w:tabs>
        <w:tab w:val="right" w:leader="dot" w:pos="8303"/>
      </w:tabs>
      <w:spacing w:line="540" w:lineRule="exact"/>
      <w:ind w:firstLine="426" w:firstLineChars="152"/>
      <w:jc w:val="left"/>
    </w:pPr>
  </w:style>
  <w:style w:type="paragraph" w:styleId="11">
    <w:name w:val="Date"/>
    <w:basedOn w:val="1"/>
    <w:next w:val="1"/>
    <w:qFormat/>
    <w:uiPriority w:val="0"/>
    <w:pPr>
      <w:ind w:left="100" w:leftChars="2500"/>
    </w:pPr>
  </w:style>
  <w:style w:type="paragraph" w:styleId="12">
    <w:name w:val="Balloon Text"/>
    <w:basedOn w:val="1"/>
    <w:qFormat/>
    <w:uiPriority w:val="0"/>
    <w:rPr>
      <w:sz w:val="18"/>
      <w:szCs w:val="18"/>
    </w:rPr>
  </w:style>
  <w:style w:type="paragraph" w:styleId="13">
    <w:name w:val="footer"/>
    <w:basedOn w:val="1"/>
    <w:link w:val="36"/>
    <w:qFormat/>
    <w:uiPriority w:val="0"/>
    <w:pPr>
      <w:tabs>
        <w:tab w:val="center" w:pos="4153"/>
        <w:tab w:val="right" w:pos="8306"/>
      </w:tabs>
      <w:snapToGrid w:val="0"/>
      <w:jc w:val="left"/>
    </w:pPr>
    <w:rPr>
      <w:sz w:val="18"/>
      <w:szCs w:val="18"/>
    </w:rPr>
  </w:style>
  <w:style w:type="paragraph" w:styleId="1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5">
    <w:name w:val="toc 1"/>
    <w:basedOn w:val="1"/>
    <w:next w:val="1"/>
    <w:qFormat/>
    <w:uiPriority w:val="0"/>
    <w:pPr>
      <w:tabs>
        <w:tab w:val="right" w:leader="dot" w:pos="8290"/>
      </w:tabs>
      <w:spacing w:before="120" w:after="120" w:line="540" w:lineRule="exact"/>
      <w:jc w:val="left"/>
    </w:pPr>
    <w:rPr>
      <w:rFonts w:eastAsia="方正黑体_GBK"/>
      <w:b/>
      <w:bCs/>
      <w:caps/>
      <w:sz w:val="30"/>
      <w:szCs w:val="30"/>
    </w:rPr>
  </w:style>
  <w:style w:type="paragraph" w:styleId="16">
    <w:name w:val="Subtitle"/>
    <w:basedOn w:val="1"/>
    <w:next w:val="1"/>
    <w:link w:val="37"/>
    <w:qFormat/>
    <w:uiPriority w:val="0"/>
    <w:pPr>
      <w:spacing w:before="240" w:after="60" w:line="312" w:lineRule="auto"/>
      <w:jc w:val="center"/>
      <w:outlineLvl w:val="1"/>
    </w:pPr>
    <w:rPr>
      <w:rFonts w:ascii="Cambria" w:hAnsi="Cambria"/>
      <w:b/>
      <w:bCs/>
      <w:kern w:val="28"/>
      <w:sz w:val="32"/>
      <w:szCs w:val="32"/>
    </w:rPr>
  </w:style>
  <w:style w:type="paragraph" w:styleId="17">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18">
    <w:name w:val="Title"/>
    <w:basedOn w:val="1"/>
    <w:next w:val="1"/>
    <w:link w:val="38"/>
    <w:qFormat/>
    <w:uiPriority w:val="0"/>
    <w:pPr>
      <w:spacing w:before="240" w:after="60"/>
      <w:jc w:val="center"/>
      <w:outlineLvl w:val="0"/>
    </w:pPr>
    <w:rPr>
      <w:rFonts w:ascii="Cambria" w:hAnsi="Cambria"/>
      <w:b/>
      <w:bCs/>
      <w:sz w:val="32"/>
      <w:szCs w:val="32"/>
    </w:rPr>
  </w:style>
  <w:style w:type="paragraph" w:styleId="19">
    <w:name w:val="annotation subject"/>
    <w:basedOn w:val="7"/>
    <w:next w:val="7"/>
    <w:link w:val="39"/>
    <w:qFormat/>
    <w:uiPriority w:val="0"/>
    <w:rPr>
      <w:b/>
      <w:bCs/>
    </w:rPr>
  </w:style>
  <w:style w:type="paragraph" w:styleId="20">
    <w:name w:val="Body Text First Indent"/>
    <w:basedOn w:val="2"/>
    <w:link w:val="40"/>
    <w:qFormat/>
    <w:uiPriority w:val="0"/>
    <w:pPr>
      <w:ind w:firstLine="420" w:firstLineChars="100"/>
    </w:p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qFormat/>
    <w:uiPriority w:val="0"/>
    <w:rPr>
      <w:b/>
      <w:bCs/>
    </w:rPr>
  </w:style>
  <w:style w:type="character" w:styleId="25">
    <w:name w:val="page number"/>
    <w:qFormat/>
    <w:uiPriority w:val="0"/>
  </w:style>
  <w:style w:type="character" w:styleId="26">
    <w:name w:val="FollowedHyperlink"/>
    <w:qFormat/>
    <w:uiPriority w:val="0"/>
    <w:rPr>
      <w:color w:val="800080"/>
      <w:u w:val="single"/>
    </w:rPr>
  </w:style>
  <w:style w:type="character" w:styleId="27">
    <w:name w:val="Emphasis"/>
    <w:qFormat/>
    <w:uiPriority w:val="0"/>
    <w:rPr>
      <w:rFonts w:eastAsia="黑体"/>
      <w:sz w:val="24"/>
    </w:rPr>
  </w:style>
  <w:style w:type="character" w:styleId="28">
    <w:name w:val="Hyperlink"/>
    <w:qFormat/>
    <w:uiPriority w:val="0"/>
    <w:rPr>
      <w:color w:val="0000FF"/>
      <w:u w:val="single"/>
    </w:rPr>
  </w:style>
  <w:style w:type="character" w:styleId="29">
    <w:name w:val="annotation reference"/>
    <w:qFormat/>
    <w:uiPriority w:val="0"/>
    <w:rPr>
      <w:sz w:val="21"/>
      <w:szCs w:val="21"/>
    </w:rPr>
  </w:style>
  <w:style w:type="character" w:customStyle="1" w:styleId="30">
    <w:name w:val="正文文本 Char"/>
    <w:link w:val="2"/>
    <w:qFormat/>
    <w:uiPriority w:val="0"/>
    <w:rPr>
      <w:kern w:val="2"/>
      <w:sz w:val="21"/>
      <w:szCs w:val="24"/>
    </w:rPr>
  </w:style>
  <w:style w:type="character" w:customStyle="1" w:styleId="31">
    <w:name w:val="标题 1 Char"/>
    <w:link w:val="3"/>
    <w:qFormat/>
    <w:uiPriority w:val="0"/>
    <w:rPr>
      <w:b/>
      <w:bCs/>
      <w:kern w:val="44"/>
      <w:sz w:val="44"/>
      <w:szCs w:val="44"/>
    </w:rPr>
  </w:style>
  <w:style w:type="character" w:customStyle="1" w:styleId="32">
    <w:name w:val="标题 2 Char"/>
    <w:link w:val="4"/>
    <w:qFormat/>
    <w:uiPriority w:val="0"/>
    <w:rPr>
      <w:rFonts w:eastAsia="方正楷体_GBK"/>
      <w:bCs/>
      <w:sz w:val="32"/>
      <w:szCs w:val="36"/>
    </w:rPr>
  </w:style>
  <w:style w:type="character" w:customStyle="1" w:styleId="33">
    <w:name w:val="标题 4 Char"/>
    <w:link w:val="5"/>
    <w:semiHidden/>
    <w:qFormat/>
    <w:uiPriority w:val="0"/>
    <w:rPr>
      <w:rFonts w:ascii="Cambria" w:hAnsi="Cambria" w:eastAsia="宋体" w:cs="Times New Roman"/>
      <w:b/>
      <w:bCs/>
      <w:kern w:val="2"/>
      <w:sz w:val="28"/>
      <w:szCs w:val="28"/>
    </w:rPr>
  </w:style>
  <w:style w:type="character" w:customStyle="1" w:styleId="34">
    <w:name w:val="批注文字 Char"/>
    <w:link w:val="7"/>
    <w:qFormat/>
    <w:uiPriority w:val="0"/>
    <w:rPr>
      <w:kern w:val="2"/>
      <w:sz w:val="21"/>
      <w:szCs w:val="24"/>
    </w:rPr>
  </w:style>
  <w:style w:type="character" w:customStyle="1" w:styleId="35">
    <w:name w:val="纯文本 Char"/>
    <w:link w:val="9"/>
    <w:qFormat/>
    <w:uiPriority w:val="0"/>
    <w:rPr>
      <w:rFonts w:ascii="宋体"/>
      <w:kern w:val="2"/>
      <w:sz w:val="21"/>
      <w:szCs w:val="21"/>
      <w:lang w:val="en-US" w:eastAsia="zh-CN" w:bidi="ar-SA"/>
    </w:rPr>
  </w:style>
  <w:style w:type="character" w:customStyle="1" w:styleId="36">
    <w:name w:val="页脚 Char"/>
    <w:link w:val="13"/>
    <w:qFormat/>
    <w:uiPriority w:val="99"/>
    <w:rPr>
      <w:kern w:val="2"/>
      <w:sz w:val="18"/>
      <w:szCs w:val="18"/>
    </w:rPr>
  </w:style>
  <w:style w:type="character" w:customStyle="1" w:styleId="37">
    <w:name w:val="副标题 Char"/>
    <w:link w:val="16"/>
    <w:qFormat/>
    <w:uiPriority w:val="0"/>
    <w:rPr>
      <w:rFonts w:ascii="Cambria" w:hAnsi="Cambria"/>
      <w:b/>
      <w:bCs/>
      <w:kern w:val="28"/>
      <w:sz w:val="32"/>
      <w:szCs w:val="32"/>
    </w:rPr>
  </w:style>
  <w:style w:type="character" w:customStyle="1" w:styleId="38">
    <w:name w:val="标题 Char"/>
    <w:link w:val="18"/>
    <w:qFormat/>
    <w:uiPriority w:val="0"/>
    <w:rPr>
      <w:rFonts w:ascii="Cambria" w:hAnsi="Cambria" w:cs="Times New Roman"/>
      <w:b/>
      <w:bCs/>
      <w:kern w:val="2"/>
      <w:sz w:val="32"/>
      <w:szCs w:val="32"/>
    </w:rPr>
  </w:style>
  <w:style w:type="character" w:customStyle="1" w:styleId="39">
    <w:name w:val="批注主题 Char"/>
    <w:link w:val="19"/>
    <w:qFormat/>
    <w:uiPriority w:val="0"/>
    <w:rPr>
      <w:b/>
      <w:bCs/>
      <w:kern w:val="2"/>
      <w:sz w:val="21"/>
      <w:szCs w:val="24"/>
    </w:rPr>
  </w:style>
  <w:style w:type="character" w:customStyle="1" w:styleId="40">
    <w:name w:val="正文首行缩进 Char"/>
    <w:link w:val="20"/>
    <w:qFormat/>
    <w:uiPriority w:val="0"/>
  </w:style>
  <w:style w:type="character" w:customStyle="1" w:styleId="41">
    <w:name w:val="NormalCharacter"/>
    <w:link w:val="42"/>
    <w:qFormat/>
    <w:uiPriority w:val="0"/>
    <w:rPr>
      <w:rFonts w:eastAsia="方正仿宋_GBK"/>
      <w:kern w:val="2"/>
      <w:sz w:val="32"/>
    </w:rPr>
  </w:style>
  <w:style w:type="paragraph" w:customStyle="1" w:styleId="42">
    <w:name w:val="UserStyle_0"/>
    <w:basedOn w:val="1"/>
    <w:link w:val="41"/>
    <w:qFormat/>
    <w:uiPriority w:val="0"/>
    <w:pPr>
      <w:widowControl/>
      <w:spacing w:line="500" w:lineRule="exact"/>
      <w:textAlignment w:val="baseline"/>
    </w:pPr>
    <w:rPr>
      <w:rFonts w:eastAsia="方正仿宋_GBK"/>
      <w:sz w:val="32"/>
      <w:szCs w:val="20"/>
    </w:rPr>
  </w:style>
  <w:style w:type="character" w:customStyle="1" w:styleId="43">
    <w:name w:val="正文2 Char"/>
    <w:link w:val="44"/>
    <w:qFormat/>
    <w:uiPriority w:val="0"/>
    <w:rPr>
      <w:rFonts w:ascii="仿宋_GB2312" w:eastAsia="仿宋_GB2312" w:cs="仿宋"/>
      <w:kern w:val="2"/>
      <w:sz w:val="32"/>
      <w:szCs w:val="32"/>
    </w:rPr>
  </w:style>
  <w:style w:type="paragraph" w:customStyle="1" w:styleId="44">
    <w:name w:val="正文2"/>
    <w:basedOn w:val="1"/>
    <w:link w:val="43"/>
    <w:qFormat/>
    <w:uiPriority w:val="0"/>
    <w:pPr>
      <w:ind w:firstLine="640" w:firstLineChars="200"/>
    </w:pPr>
    <w:rPr>
      <w:rFonts w:ascii="仿宋_GB2312" w:eastAsia="仿宋_GB2312"/>
      <w:sz w:val="32"/>
      <w:szCs w:val="32"/>
    </w:rPr>
  </w:style>
  <w:style w:type="paragraph" w:customStyle="1" w:styleId="45">
    <w:name w:val="_Style 44"/>
    <w:basedOn w:val="3"/>
    <w:next w:val="1"/>
    <w:qFormat/>
    <w:uiPriority w:val="39"/>
    <w:pPr>
      <w:widowControl/>
      <w:spacing w:before="480" w:after="0" w:line="276" w:lineRule="auto"/>
      <w:jc w:val="left"/>
      <w:outlineLvl w:val="9"/>
    </w:pPr>
    <w:rPr>
      <w:rFonts w:ascii="Cambria" w:hAnsi="Cambria" w:eastAsia="宋体" w:cs="Times New Roman"/>
      <w:color w:val="365F91"/>
      <w:kern w:val="0"/>
      <w:sz w:val="28"/>
      <w:szCs w:val="28"/>
    </w:rPr>
  </w:style>
  <w:style w:type="paragraph" w:customStyle="1" w:styleId="46">
    <w:name w:val="样式 正文首行缩进 + 首行缩进:  2 字符"/>
    <w:basedOn w:val="1"/>
    <w:next w:val="1"/>
    <w:qFormat/>
    <w:uiPriority w:val="0"/>
    <w:pPr>
      <w:spacing w:after="120" w:line="360" w:lineRule="auto"/>
      <w:ind w:firstLine="200" w:firstLineChars="200"/>
    </w:pPr>
    <w:rPr>
      <w:rFonts w:cs="宋体"/>
      <w:kern w:val="0"/>
      <w:sz w:val="24"/>
      <w:szCs w:val="20"/>
    </w:rPr>
  </w:style>
  <w:style w:type="paragraph" w:customStyle="1" w:styleId="47">
    <w:name w:val="Default"/>
    <w:qFormat/>
    <w:uiPriority w:val="0"/>
    <w:pPr>
      <w:widowControl w:val="0"/>
      <w:autoSpaceDE w:val="0"/>
      <w:autoSpaceDN w:val="0"/>
      <w:adjustRightInd w:val="0"/>
    </w:pPr>
    <w:rPr>
      <w:rFonts w:ascii="方正仿宋_GBK" w:hAnsi="Calibri" w:eastAsia="方正仿宋_GBK" w:cs="方正仿宋_GBK"/>
      <w:color w:val="000000"/>
      <w:sz w:val="24"/>
      <w:szCs w:val="24"/>
      <w:lang w:val="en-US" w:eastAsia="zh-CN" w:bidi="ar-SA"/>
    </w:rPr>
  </w:style>
  <w:style w:type="paragraph" w:styleId="48">
    <w:name w:val="List Paragraph"/>
    <w:basedOn w:val="1"/>
    <w:qFormat/>
    <w:uiPriority w:val="34"/>
    <w:pPr>
      <w:ind w:firstLine="420" w:firstLineChars="200"/>
    </w:pPr>
    <w:rPr>
      <w:rFonts w:ascii="Calibri" w:hAnsi="Calibri" w:eastAsia="宋体" w:cs="Times New Roman"/>
      <w:szCs w:val="22"/>
    </w:rPr>
  </w:style>
  <w:style w:type="paragraph" w:customStyle="1" w:styleId="49">
    <w:name w:val="正文1"/>
    <w:basedOn w:val="1"/>
    <w:qFormat/>
    <w:uiPriority w:val="0"/>
    <w:pPr>
      <w:spacing w:line="312" w:lineRule="auto"/>
      <w:ind w:firstLine="200" w:firstLineChars="200"/>
    </w:pPr>
    <w:rPr>
      <w:sz w:val="24"/>
      <w:szCs w:val="20"/>
    </w:rPr>
  </w:style>
  <w:style w:type="paragraph" w:customStyle="1" w:styleId="50">
    <w:name w:val=" Char"/>
    <w:basedOn w:val="1"/>
    <w:qFormat/>
    <w:uiPriority w:val="0"/>
    <w:pPr>
      <w:tabs>
        <w:tab w:val="left" w:pos="360"/>
      </w:tabs>
    </w:pPr>
    <w:rPr>
      <w:rFonts w:eastAsia="仿宋_GB2312"/>
      <w:sz w:val="24"/>
      <w:szCs w:val="32"/>
    </w:rPr>
  </w:style>
  <w:style w:type="paragraph" w:customStyle="1" w:styleId="51">
    <w:name w:val="WPSOffice手动目录 1"/>
    <w:qFormat/>
    <w:uiPriority w:val="0"/>
    <w:pPr>
      <w:ind w:leftChars="0"/>
    </w:pPr>
    <w:rPr>
      <w:rFonts w:ascii="Times New Roman" w:hAnsi="Times New Roman" w:eastAsia="宋体" w:cs="Times New Roman"/>
      <w:sz w:val="20"/>
      <w:szCs w:val="20"/>
    </w:rPr>
  </w:style>
  <w:style w:type="paragraph" w:customStyle="1" w:styleId="52">
    <w:name w:val="WPSOffice手动目录 2"/>
    <w:qFormat/>
    <w:uiPriority w:val="0"/>
    <w:pPr>
      <w:ind w:leftChars="200"/>
    </w:pPr>
    <w:rPr>
      <w:rFonts w:ascii="Times New Roman" w:hAnsi="Times New Roman" w:eastAsia="宋体" w:cs="Times New Roman"/>
      <w:sz w:val="20"/>
      <w:szCs w:val="20"/>
    </w:rPr>
  </w:style>
  <w:style w:type="paragraph" w:customStyle="1" w:styleId="53">
    <w:name w:val="样式1"/>
    <w:basedOn w:val="1"/>
    <w:qFormat/>
    <w:uiPriority w:val="0"/>
    <w:rPr>
      <w:rFonts w:eastAsia="方正小标宋_GBK"/>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Micorosoft</Company>
  <Pages>83</Pages>
  <Words>35374</Words>
  <Characters>37304</Characters>
  <Lines>294</Lines>
  <Paragraphs>82</Paragraphs>
  <TotalTime>3</TotalTime>
  <ScaleCrop>false</ScaleCrop>
  <LinksUpToDate>false</LinksUpToDate>
  <CharactersWithSpaces>37717</CharactersWithSpaces>
  <Application>WPS Office_11.8.2.10587_F1E327BC-269C-435d-A152-05C5408002CA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2021-07-29T11:40:00Z</dcterms:created>
  <dc:creator>杨澍</dc:creator>
  <cp:lastModifiedBy> </cp:lastModifiedBy>
  <cp:lastPrinted>2021-10-30T07:23:00Z</cp:lastPrinted>
  <dcterms:modified xsi:type="dcterms:W3CDTF">2024-06-21T17:38:34Z</dcterms:modified>
  <dc:title>重庆市长江上游地区综合交通枢纽</dc:title>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2052-11.8.2.10587</vt:lpwstr>
  </property>
  <property fmtid="{D5CDD505-2E9C-101B-9397-08002B2CF9AE}" pid="3" name="ICV">
    <vt:lpwstr>3AE65BEF457A49E8AE34987C2EA298D7</vt:lpwstr>
  </property>
</Properties>
</file>