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pStyle w:val="BodyText"/>
        <w:spacing w:line="257" w:lineRule="auto"/>
        <w:rPr/>
      </w:pPr>
      <w:r/>
    </w:p>
    <w:p>
      <w:pPr>
        <w:pStyle w:val="BodyText"/>
        <w:spacing w:line="257" w:lineRule="auto"/>
        <w:rPr/>
      </w:pPr>
      <w:r/>
    </w:p>
    <w:p>
      <w:pPr>
        <w:pStyle w:val="BodyText"/>
        <w:spacing w:line="257" w:lineRule="auto"/>
        <w:rPr/>
      </w:pPr>
      <w:r/>
    </w:p>
    <w:p>
      <w:pPr>
        <w:pStyle w:val="BodyText"/>
        <w:spacing w:line="257" w:lineRule="auto"/>
        <w:rPr/>
      </w:pPr>
      <w:r/>
    </w:p>
    <w:p>
      <w:pPr>
        <w:pStyle w:val="BodyText"/>
        <w:spacing w:line="257" w:lineRule="auto"/>
        <w:rPr/>
      </w:pPr>
      <w:r/>
    </w:p>
    <w:p>
      <w:pPr>
        <w:pStyle w:val="BodyText"/>
        <w:spacing w:line="257" w:lineRule="auto"/>
        <w:rPr/>
      </w:pPr>
      <w:r/>
    </w:p>
    <w:p>
      <w:pPr>
        <w:pStyle w:val="BodyText"/>
        <w:spacing w:line="257" w:lineRule="auto"/>
        <w:rPr/>
      </w:pPr>
      <w:r/>
    </w:p>
    <w:p>
      <w:pPr>
        <w:pStyle w:val="BodyText"/>
        <w:spacing w:line="258" w:lineRule="auto"/>
        <w:rPr/>
      </w:pPr>
      <w:r/>
    </w:p>
    <w:p>
      <w:pPr>
        <w:pStyle w:val="BodyText"/>
        <w:spacing w:line="258" w:lineRule="auto"/>
        <w:rPr/>
      </w:pPr>
      <w:r/>
    </w:p>
    <w:p>
      <w:pPr>
        <w:pStyle w:val="BodyText"/>
        <w:spacing w:line="258" w:lineRule="auto"/>
        <w:rPr/>
      </w:pPr>
      <w:r/>
    </w:p>
    <w:p>
      <w:pPr>
        <w:pStyle w:val="BodyText"/>
        <w:spacing w:line="258" w:lineRule="auto"/>
        <w:rPr/>
      </w:pPr>
      <w:r/>
    </w:p>
    <w:p>
      <w:pPr>
        <w:ind w:left="1251"/>
        <w:spacing w:before="263" w:line="219" w:lineRule="auto"/>
        <w:outlineLvl w:val="0"/>
        <w:rPr>
          <w:rFonts w:ascii="SimSun" w:hAnsi="SimSun" w:eastAsia="SimSun" w:cs="SimSun"/>
          <w:sz w:val="81"/>
          <w:szCs w:val="81"/>
        </w:rPr>
      </w:pPr>
      <w:r>
        <w:rPr>
          <w:rFonts w:ascii="SimSun" w:hAnsi="SimSun" w:eastAsia="SimSun" w:cs="SimSun"/>
          <w:sz w:val="81"/>
          <w:szCs w:val="81"/>
          <w:b/>
          <w:bCs/>
          <w:color w:val="D03020"/>
          <w:spacing w:val="-63"/>
        </w:rPr>
        <w:t>民</w:t>
      </w:r>
      <w:r>
        <w:rPr>
          <w:rFonts w:ascii="SimSun" w:hAnsi="SimSun" w:eastAsia="SimSun" w:cs="SimSun"/>
          <w:sz w:val="81"/>
          <w:szCs w:val="81"/>
          <w:color w:val="D03020"/>
          <w:spacing w:val="337"/>
        </w:rPr>
        <w:t xml:space="preserve"> </w:t>
      </w:r>
      <w:r>
        <w:rPr>
          <w:rFonts w:ascii="SimSun" w:hAnsi="SimSun" w:eastAsia="SimSun" w:cs="SimSun"/>
          <w:sz w:val="81"/>
          <w:szCs w:val="81"/>
          <w:b/>
          <w:bCs/>
          <w:color w:val="D03020"/>
          <w:spacing w:val="-63"/>
        </w:rPr>
        <w:t>政</w:t>
      </w:r>
      <w:r>
        <w:rPr>
          <w:rFonts w:ascii="SimSun" w:hAnsi="SimSun" w:eastAsia="SimSun" w:cs="SimSun"/>
          <w:sz w:val="81"/>
          <w:szCs w:val="81"/>
          <w:color w:val="D03020"/>
          <w:spacing w:val="315"/>
        </w:rPr>
        <w:t xml:space="preserve"> </w:t>
      </w:r>
      <w:r>
        <w:rPr>
          <w:rFonts w:ascii="SimSun" w:hAnsi="SimSun" w:eastAsia="SimSun" w:cs="SimSun"/>
          <w:sz w:val="81"/>
          <w:szCs w:val="81"/>
          <w:b/>
          <w:bCs/>
          <w:color w:val="D03020"/>
          <w:spacing w:val="-63"/>
        </w:rPr>
        <w:t>部</w:t>
      </w:r>
      <w:r>
        <w:rPr>
          <w:rFonts w:ascii="SimSun" w:hAnsi="SimSun" w:eastAsia="SimSun" w:cs="SimSun"/>
          <w:sz w:val="81"/>
          <w:szCs w:val="81"/>
          <w:color w:val="D03020"/>
          <w:spacing w:val="326"/>
        </w:rPr>
        <w:t xml:space="preserve"> </w:t>
      </w:r>
      <w:r>
        <w:rPr>
          <w:rFonts w:ascii="SimSun" w:hAnsi="SimSun" w:eastAsia="SimSun" w:cs="SimSun"/>
          <w:sz w:val="81"/>
          <w:szCs w:val="81"/>
          <w:b/>
          <w:bCs/>
          <w:color w:val="D03020"/>
          <w:spacing w:val="-63"/>
        </w:rPr>
        <w:t>文</w:t>
      </w:r>
      <w:r>
        <w:rPr>
          <w:rFonts w:ascii="SimSun" w:hAnsi="SimSun" w:eastAsia="SimSun" w:cs="SimSun"/>
          <w:sz w:val="81"/>
          <w:szCs w:val="81"/>
          <w:color w:val="D03020"/>
          <w:spacing w:val="293"/>
        </w:rPr>
        <w:t xml:space="preserve"> </w:t>
      </w:r>
      <w:r>
        <w:rPr>
          <w:rFonts w:ascii="SimSun" w:hAnsi="SimSun" w:eastAsia="SimSun" w:cs="SimSun"/>
          <w:sz w:val="81"/>
          <w:szCs w:val="81"/>
          <w:b/>
          <w:bCs/>
          <w:color w:val="D03020"/>
          <w:spacing w:val="-63"/>
        </w:rPr>
        <w:t>件</w:t>
      </w:r>
    </w:p>
    <w:p>
      <w:pPr>
        <w:pStyle w:val="BodyText"/>
        <w:spacing w:line="303" w:lineRule="auto"/>
        <w:rPr/>
      </w:pPr>
      <w:r/>
    </w:p>
    <w:p>
      <w:pPr>
        <w:pStyle w:val="BodyText"/>
        <w:spacing w:line="304" w:lineRule="auto"/>
        <w:rPr/>
      </w:pPr>
      <w:r/>
    </w:p>
    <w:p>
      <w:pPr>
        <w:pStyle w:val="BodyText"/>
        <w:spacing w:line="304" w:lineRule="auto"/>
        <w:rPr/>
      </w:pPr>
      <w:r/>
    </w:p>
    <w:p>
      <w:pPr>
        <w:ind w:left="3240"/>
        <w:spacing w:before="101" w:line="22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3"/>
        </w:rPr>
        <w:t>民发〔2025〕13号</w:t>
      </w:r>
    </w:p>
    <w:p>
      <w:pPr>
        <w:spacing w:before="103" w:line="60" w:lineRule="exact"/>
        <w:rPr/>
      </w:pPr>
      <w:r>
        <w:rPr>
          <w:position w:val="-1"/>
        </w:rPr>
        <w:drawing>
          <wp:inline distT="0" distB="0" distL="0" distR="0">
            <wp:extent cx="5721328" cy="38153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721328" cy="381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95" w:lineRule="auto"/>
        <w:rPr/>
      </w:pPr>
      <w:r/>
    </w:p>
    <w:p>
      <w:pPr>
        <w:pStyle w:val="BodyText"/>
        <w:spacing w:line="296" w:lineRule="auto"/>
        <w:rPr/>
      </w:pPr>
      <w:r/>
    </w:p>
    <w:p>
      <w:pPr>
        <w:pStyle w:val="BodyText"/>
        <w:spacing w:line="296" w:lineRule="auto"/>
        <w:rPr/>
      </w:pPr>
      <w:r/>
    </w:p>
    <w:p>
      <w:pPr>
        <w:ind w:left="2266" w:hanging="2190"/>
        <w:spacing w:before="146" w:line="261" w:lineRule="auto"/>
        <w:rPr>
          <w:rFonts w:ascii="SimSun" w:hAnsi="SimSun" w:eastAsia="SimSun" w:cs="SimSun"/>
          <w:sz w:val="45"/>
          <w:szCs w:val="45"/>
        </w:rPr>
      </w:pPr>
      <w:r>
        <w:rPr>
          <w:rFonts w:ascii="SimSun" w:hAnsi="SimSun" w:eastAsia="SimSun" w:cs="SimSun"/>
          <w:sz w:val="45"/>
          <w:szCs w:val="45"/>
          <w:b/>
          <w:bCs/>
          <w:spacing w:val="-19"/>
        </w:rPr>
        <w:t>民政部关于印发《“福彩圆梦</w:t>
      </w:r>
      <w:r>
        <w:rPr>
          <w:rFonts w:ascii="SimSun" w:hAnsi="SimSun" w:eastAsia="SimSun" w:cs="SimSun"/>
          <w:sz w:val="45"/>
          <w:szCs w:val="45"/>
          <w:spacing w:val="-43"/>
        </w:rPr>
        <w:t xml:space="preserve"> </w:t>
      </w:r>
      <w:r>
        <w:rPr>
          <w:rFonts w:ascii="SimSun" w:hAnsi="SimSun" w:eastAsia="SimSun" w:cs="SimSun"/>
          <w:sz w:val="45"/>
          <w:szCs w:val="45"/>
          <w:b/>
          <w:bCs/>
          <w:spacing w:val="-19"/>
        </w:rPr>
        <w:t>·孤儿助学工程”</w:t>
      </w:r>
      <w:r>
        <w:rPr>
          <w:rFonts w:ascii="SimSun" w:hAnsi="SimSun" w:eastAsia="SimSun" w:cs="SimSun"/>
          <w:sz w:val="45"/>
          <w:szCs w:val="45"/>
        </w:rPr>
        <w:t xml:space="preserve"> </w:t>
      </w:r>
      <w:r>
        <w:rPr>
          <w:rFonts w:ascii="SimSun" w:hAnsi="SimSun" w:eastAsia="SimSun" w:cs="SimSun"/>
          <w:sz w:val="45"/>
          <w:szCs w:val="45"/>
          <w:b/>
          <w:bCs/>
        </w:rPr>
        <w:t>项目实施办法》的通知</w:t>
      </w:r>
    </w:p>
    <w:p>
      <w:pPr>
        <w:pStyle w:val="BodyText"/>
        <w:spacing w:line="271" w:lineRule="auto"/>
        <w:rPr/>
      </w:pPr>
      <w:r/>
    </w:p>
    <w:p>
      <w:pPr>
        <w:pStyle w:val="BodyText"/>
        <w:spacing w:line="271" w:lineRule="auto"/>
        <w:rPr/>
      </w:pPr>
      <w:r/>
    </w:p>
    <w:p>
      <w:pPr>
        <w:ind w:left="29" w:right="461"/>
        <w:spacing w:before="101" w:line="35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5"/>
        </w:rPr>
        <w:t>各省、自治区、直辖市民政厅(局),各计划单列市民政局，新</w:t>
      </w:r>
      <w:r>
        <w:rPr>
          <w:rFonts w:ascii="FangSong" w:hAnsi="FangSong" w:eastAsia="FangSong" w:cs="FangSong"/>
          <w:sz w:val="31"/>
          <w:szCs w:val="31"/>
          <w:spacing w:val="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疆生产建设兵团民政局：</w:t>
      </w:r>
    </w:p>
    <w:p>
      <w:pPr>
        <w:ind w:left="29" w:right="325" w:firstLine="659"/>
        <w:spacing w:before="1" w:line="36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新修订的《“福彩圆梦</w:t>
      </w:r>
      <w:r>
        <w:rPr>
          <w:rFonts w:ascii="FangSong" w:hAnsi="FangSong" w:eastAsia="FangSong" w:cs="FangSong"/>
          <w:sz w:val="31"/>
          <w:szCs w:val="31"/>
          <w:spacing w:val="-2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·</w:t>
      </w:r>
      <w:r>
        <w:rPr>
          <w:rFonts w:ascii="FangSong" w:hAnsi="FangSong" w:eastAsia="FangSong" w:cs="FangSong"/>
          <w:sz w:val="31"/>
          <w:szCs w:val="31"/>
          <w:spacing w:val="-12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孤儿助学工程”项目实施办法</w:t>
      </w:r>
      <w:r>
        <w:rPr>
          <w:rFonts w:ascii="FangSong" w:hAnsi="FangSong" w:eastAsia="FangSong" w:cs="FangSong"/>
          <w:sz w:val="31"/>
          <w:szCs w:val="31"/>
          <w:spacing w:val="1"/>
        </w:rPr>
        <w:t>》已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2"/>
        </w:rPr>
        <w:t>经2025年民政部第10次部长办公会议审议通过，现印发给你们，</w:t>
      </w:r>
    </w:p>
    <w:p>
      <w:pPr>
        <w:ind w:left="29"/>
        <w:spacing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9"/>
        </w:rPr>
        <w:t>请遵照执行。</w:t>
      </w:r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ind w:left="5210"/>
        <w:spacing w:before="101" w:line="222" w:lineRule="auto"/>
        <w:rPr>
          <w:rFonts w:ascii="FangSong" w:hAnsi="FangSong" w:eastAsia="FangSong" w:cs="FangSong"/>
          <w:sz w:val="31"/>
          <w:szCs w:val="31"/>
        </w:rPr>
      </w:pPr>
      <w: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3270225</wp:posOffset>
            </wp:positionH>
            <wp:positionV relativeFrom="paragraph">
              <wp:posOffset>-1574165</wp:posOffset>
            </wp:positionV>
            <wp:extent cx="1835172" cy="1822462"/>
            <wp:effectExtent l="0" t="0" r="0" b="0"/>
            <wp:wrapNone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835172" cy="18224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FangSong" w:hAnsi="FangSong" w:eastAsia="FangSong" w:cs="FangSong"/>
          <w:sz w:val="31"/>
          <w:szCs w:val="31"/>
          <w:spacing w:val="45"/>
          <w:w w:val="103"/>
        </w:rPr>
        <w:t>2025年3月28日</w:t>
      </w:r>
    </w:p>
    <w:p>
      <w:pPr>
        <w:spacing w:line="222" w:lineRule="auto"/>
        <w:sectPr>
          <w:footerReference w:type="default" r:id="rId1"/>
          <w:pgSz w:w="11900" w:h="16830"/>
          <w:pgMar w:top="1430" w:right="969" w:bottom="1356" w:left="1519" w:header="0" w:footer="95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306" w:lineRule="auto"/>
        <w:rPr/>
      </w:pPr>
      <w:r/>
    </w:p>
    <w:p>
      <w:pPr>
        <w:pStyle w:val="BodyText"/>
        <w:spacing w:line="306" w:lineRule="auto"/>
        <w:rPr/>
      </w:pPr>
      <w:r/>
    </w:p>
    <w:p>
      <w:pPr>
        <w:pStyle w:val="BodyText"/>
        <w:spacing w:line="306" w:lineRule="auto"/>
        <w:rPr/>
      </w:pPr>
      <w:r/>
    </w:p>
    <w:p>
      <w:pPr>
        <w:ind w:left="1595"/>
        <w:spacing w:before="137" w:line="219" w:lineRule="auto"/>
        <w:rPr>
          <w:rFonts w:ascii="SimSun" w:hAnsi="SimSun" w:eastAsia="SimSun" w:cs="SimSun"/>
          <w:sz w:val="42"/>
          <w:szCs w:val="42"/>
        </w:rPr>
      </w:pPr>
      <w:r>
        <w:rPr>
          <w:rFonts w:ascii="SimSun" w:hAnsi="SimSun" w:eastAsia="SimSun" w:cs="SimSun"/>
          <w:sz w:val="42"/>
          <w:szCs w:val="42"/>
          <w:b/>
          <w:bCs/>
          <w:spacing w:val="13"/>
        </w:rPr>
        <w:t>“福彩圆梦</w:t>
      </w:r>
      <w:r>
        <w:rPr>
          <w:rFonts w:ascii="SimSun" w:hAnsi="SimSun" w:eastAsia="SimSun" w:cs="SimSun"/>
          <w:sz w:val="42"/>
          <w:szCs w:val="42"/>
          <w:spacing w:val="-26"/>
        </w:rPr>
        <w:t xml:space="preserve"> </w:t>
      </w:r>
      <w:r>
        <w:rPr>
          <w:rFonts w:ascii="SimSun" w:hAnsi="SimSun" w:eastAsia="SimSun" w:cs="SimSun"/>
          <w:sz w:val="42"/>
          <w:szCs w:val="42"/>
          <w:b/>
          <w:bCs/>
          <w:spacing w:val="13"/>
        </w:rPr>
        <w:t>·孤儿助学工程”</w:t>
      </w:r>
    </w:p>
    <w:p>
      <w:pPr>
        <w:ind w:left="3096"/>
        <w:spacing w:before="161" w:line="219" w:lineRule="auto"/>
        <w:rPr>
          <w:rFonts w:ascii="SimSun" w:hAnsi="SimSun" w:eastAsia="SimSun" w:cs="SimSun"/>
          <w:sz w:val="42"/>
          <w:szCs w:val="42"/>
        </w:rPr>
      </w:pPr>
      <w:r>
        <w:rPr>
          <w:rFonts w:ascii="SimSun" w:hAnsi="SimSun" w:eastAsia="SimSun" w:cs="SimSun"/>
          <w:sz w:val="42"/>
          <w:szCs w:val="42"/>
          <w:b/>
          <w:bCs/>
          <w:spacing w:val="19"/>
        </w:rPr>
        <w:t>项目实施办法</w:t>
      </w:r>
    </w:p>
    <w:p>
      <w:pPr>
        <w:pStyle w:val="BodyText"/>
        <w:spacing w:line="327" w:lineRule="auto"/>
        <w:rPr/>
      </w:pPr>
      <w:r/>
    </w:p>
    <w:p>
      <w:pPr>
        <w:pStyle w:val="BodyText"/>
        <w:spacing w:line="327" w:lineRule="auto"/>
        <w:rPr/>
      </w:pPr>
      <w:r/>
    </w:p>
    <w:p>
      <w:pPr>
        <w:ind w:left="3484"/>
        <w:spacing w:before="98" w:line="222" w:lineRule="auto"/>
        <w:outlineLvl w:val="2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b/>
          <w:bCs/>
          <w:spacing w:val="13"/>
        </w:rPr>
        <w:t>第一章</w:t>
      </w:r>
      <w:r>
        <w:rPr>
          <w:rFonts w:ascii="SimHei" w:hAnsi="SimHei" w:eastAsia="SimHei" w:cs="SimHei"/>
          <w:sz w:val="30"/>
          <w:szCs w:val="30"/>
          <w:spacing w:val="24"/>
        </w:rPr>
        <w:t xml:space="preserve">  </w:t>
      </w:r>
      <w:r>
        <w:rPr>
          <w:rFonts w:ascii="SimHei" w:hAnsi="SimHei" w:eastAsia="SimHei" w:cs="SimHei"/>
          <w:sz w:val="30"/>
          <w:szCs w:val="30"/>
          <w:b/>
          <w:bCs/>
          <w:spacing w:val="13"/>
        </w:rPr>
        <w:t>总则</w:t>
      </w:r>
    </w:p>
    <w:p>
      <w:pPr>
        <w:pStyle w:val="BodyText"/>
        <w:spacing w:line="339" w:lineRule="auto"/>
        <w:rPr/>
      </w:pPr>
      <w:r/>
    </w:p>
    <w:p>
      <w:pPr>
        <w:pStyle w:val="BodyText"/>
        <w:spacing w:line="339" w:lineRule="auto"/>
        <w:rPr/>
      </w:pPr>
      <w:r/>
    </w:p>
    <w:p>
      <w:pPr>
        <w:ind w:right="87" w:firstLine="644"/>
        <w:spacing w:before="97" w:line="369" w:lineRule="auto"/>
        <w:jc w:val="both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b/>
          <w:bCs/>
          <w:spacing w:val="10"/>
        </w:rPr>
        <w:t>第</w:t>
      </w:r>
      <w:r>
        <w:rPr>
          <w:rFonts w:ascii="FangSong" w:hAnsi="FangSong" w:eastAsia="FangSong" w:cs="FangSong"/>
          <w:sz w:val="30"/>
          <w:szCs w:val="30"/>
          <w:spacing w:val="-75"/>
        </w:rPr>
        <w:t xml:space="preserve"> </w:t>
      </w:r>
      <w:r>
        <w:rPr>
          <w:rFonts w:ascii="FangSong" w:hAnsi="FangSong" w:eastAsia="FangSong" w:cs="FangSong"/>
          <w:sz w:val="30"/>
          <w:szCs w:val="30"/>
          <w:b/>
          <w:bCs/>
          <w:spacing w:val="10"/>
        </w:rPr>
        <w:t>一</w:t>
      </w:r>
      <w:r>
        <w:rPr>
          <w:rFonts w:ascii="FangSong" w:hAnsi="FangSong" w:eastAsia="FangSong" w:cs="FangSong"/>
          <w:sz w:val="30"/>
          <w:szCs w:val="30"/>
          <w:spacing w:val="-78"/>
        </w:rPr>
        <w:t xml:space="preserve"> </w:t>
      </w:r>
      <w:r>
        <w:rPr>
          <w:rFonts w:ascii="FangSong" w:hAnsi="FangSong" w:eastAsia="FangSong" w:cs="FangSong"/>
          <w:sz w:val="30"/>
          <w:szCs w:val="30"/>
          <w:b/>
          <w:bCs/>
          <w:spacing w:val="10"/>
        </w:rPr>
        <w:t>条</w:t>
      </w:r>
      <w:r>
        <w:rPr>
          <w:rFonts w:ascii="FangSong" w:hAnsi="FangSong" w:eastAsia="FangSong" w:cs="FangSong"/>
          <w:sz w:val="30"/>
          <w:szCs w:val="30"/>
          <w:spacing w:val="10"/>
        </w:rPr>
        <w:t xml:space="preserve">  </w:t>
      </w:r>
      <w:r>
        <w:rPr>
          <w:rFonts w:ascii="FangSong" w:hAnsi="FangSong" w:eastAsia="FangSong" w:cs="FangSong"/>
          <w:sz w:val="30"/>
          <w:szCs w:val="30"/>
          <w:spacing w:val="10"/>
        </w:rPr>
        <w:t>为进一步体现党和政府对孤儿的关心关爱，帮助孤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6"/>
        </w:rPr>
        <w:t>儿更好接受教育，顺利成长成才，根据《民政部彩票公益金使用</w:t>
      </w:r>
      <w:r>
        <w:rPr>
          <w:rFonts w:ascii="FangSong" w:hAnsi="FangSong" w:eastAsia="FangSong" w:cs="FangSong"/>
          <w:sz w:val="30"/>
          <w:szCs w:val="30"/>
          <w:spacing w:val="15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7"/>
        </w:rPr>
        <w:t>管理办法》等规定，制定本办法。</w:t>
      </w:r>
    </w:p>
    <w:p>
      <w:pPr>
        <w:ind w:right="19" w:firstLine="644"/>
        <w:spacing w:before="1" w:line="329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b/>
          <w:bCs/>
          <w:spacing w:val="19"/>
        </w:rPr>
        <w:t>第二条</w:t>
      </w:r>
      <w:r>
        <w:rPr>
          <w:rFonts w:ascii="FangSong" w:hAnsi="FangSong" w:eastAsia="FangSong" w:cs="FangSong"/>
          <w:sz w:val="30"/>
          <w:szCs w:val="30"/>
          <w:spacing w:val="5"/>
        </w:rPr>
        <w:t xml:space="preserve">  </w:t>
      </w:r>
      <w:r>
        <w:rPr>
          <w:rFonts w:ascii="FangSong" w:hAnsi="FangSong" w:eastAsia="FangSong" w:cs="FangSong"/>
          <w:sz w:val="30"/>
          <w:szCs w:val="30"/>
          <w:spacing w:val="19"/>
        </w:rPr>
        <w:t>本项目从民政部彩票公益金补助地方资金中列支，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5"/>
        </w:rPr>
        <w:t>由民政部组织，地方各级民政部门实施，为符合条件的受助人就</w:t>
      </w:r>
      <w:r>
        <w:rPr>
          <w:rFonts w:ascii="FangSong" w:hAnsi="FangSong" w:eastAsia="FangSong" w:cs="FangSong"/>
          <w:sz w:val="30"/>
          <w:szCs w:val="30"/>
          <w:spacing w:val="14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2"/>
        </w:rPr>
        <w:t>学提供资金支持。</w:t>
      </w:r>
    </w:p>
    <w:p>
      <w:pPr>
        <w:ind w:left="644"/>
        <w:spacing w:before="233" w:line="224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KaiTi" w:hAnsi="KaiTi" w:eastAsia="KaiTi" w:cs="KaiTi"/>
          <w:sz w:val="30"/>
          <w:szCs w:val="30"/>
          <w:b/>
          <w:bCs/>
          <w:spacing w:val="18"/>
        </w:rPr>
        <w:t>第三条</w:t>
      </w:r>
      <w:r>
        <w:rPr>
          <w:rFonts w:ascii="KaiTi" w:hAnsi="KaiTi" w:eastAsia="KaiTi" w:cs="KaiTi"/>
          <w:sz w:val="30"/>
          <w:szCs w:val="30"/>
          <w:spacing w:val="6"/>
        </w:rPr>
        <w:t xml:space="preserve">  </w:t>
      </w:r>
      <w:r>
        <w:rPr>
          <w:rFonts w:ascii="FangSong" w:hAnsi="FangSong" w:eastAsia="FangSong" w:cs="FangSong"/>
          <w:sz w:val="30"/>
          <w:szCs w:val="30"/>
          <w:spacing w:val="18"/>
        </w:rPr>
        <w:t>本项目受助人须同时满足以下条件：</w:t>
      </w:r>
    </w:p>
    <w:p>
      <w:pPr>
        <w:ind w:left="770"/>
        <w:spacing w:before="230" w:line="222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32"/>
        </w:rPr>
        <w:t>(</w:t>
      </w:r>
      <w:r>
        <w:rPr>
          <w:rFonts w:ascii="FangSong" w:hAnsi="FangSong" w:eastAsia="FangSong" w:cs="FangSong"/>
          <w:sz w:val="30"/>
          <w:szCs w:val="30"/>
          <w:spacing w:val="-8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32"/>
        </w:rPr>
        <w:t>一)年满18周岁前被认定为孤儿身份；</w:t>
      </w:r>
    </w:p>
    <w:p>
      <w:pPr>
        <w:ind w:left="770"/>
        <w:spacing w:before="229" w:line="221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33"/>
        </w:rPr>
        <w:t>(二)未被收养；</w:t>
      </w:r>
    </w:p>
    <w:p>
      <w:pPr>
        <w:ind w:firstLine="770"/>
        <w:spacing w:before="225" w:line="339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51"/>
        </w:rPr>
        <w:t>(三)年满18周岁后在中华人民共和国境内普通高中、</w:t>
      </w:r>
      <w:r>
        <w:rPr>
          <w:rFonts w:ascii="FangSong" w:hAnsi="FangSong" w:eastAsia="FangSong" w:cs="FangSong"/>
          <w:sz w:val="30"/>
          <w:szCs w:val="30"/>
          <w:spacing w:val="13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40"/>
        </w:rPr>
        <w:t>中等职业学校、普通高校连续就读的全日制</w:t>
      </w:r>
      <w:r>
        <w:rPr>
          <w:rFonts w:ascii="FangSong" w:hAnsi="FangSong" w:eastAsia="FangSong" w:cs="FangSong"/>
          <w:sz w:val="30"/>
          <w:szCs w:val="30"/>
          <w:spacing w:val="39"/>
        </w:rPr>
        <w:t>在校生，以及普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55"/>
        </w:rPr>
        <w:t>通高校中纳入全国研究生招生计划连续就读的全日制硕士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25"/>
        </w:rPr>
        <w:t>研究生。</w:t>
      </w:r>
    </w:p>
    <w:p>
      <w:pPr>
        <w:ind w:right="75" w:firstLine="644"/>
        <w:spacing w:before="201" w:line="376" w:lineRule="auto"/>
        <w:jc w:val="both"/>
        <w:rPr>
          <w:rFonts w:ascii="FangSong" w:hAnsi="FangSong" w:eastAsia="FangSong" w:cs="FangSong"/>
          <w:sz w:val="30"/>
          <w:szCs w:val="30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603311</wp:posOffset>
            </wp:positionH>
            <wp:positionV relativeFrom="paragraph">
              <wp:posOffset>-422137</wp:posOffset>
            </wp:positionV>
            <wp:extent cx="1758926" cy="1765286"/>
            <wp:effectExtent l="0" t="0" r="0" b="0"/>
            <wp:wrapNone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758926" cy="17652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FangSong" w:hAnsi="FangSong" w:eastAsia="FangSong" w:cs="FangSong"/>
          <w:sz w:val="30"/>
          <w:szCs w:val="30"/>
          <w:b/>
          <w:bCs/>
          <w:spacing w:val="27"/>
        </w:rPr>
        <w:t>第四条</w:t>
      </w:r>
      <w:r>
        <w:rPr>
          <w:rFonts w:ascii="FangSong" w:hAnsi="FangSong" w:eastAsia="FangSong" w:cs="FangSong"/>
          <w:sz w:val="30"/>
          <w:szCs w:val="30"/>
          <w:spacing w:val="27"/>
        </w:rPr>
        <w:t xml:space="preserve">  </w:t>
      </w:r>
      <w:r>
        <w:rPr>
          <w:rFonts w:ascii="FangSong" w:hAnsi="FangSong" w:eastAsia="FangSong" w:cs="FangSong"/>
          <w:sz w:val="30"/>
          <w:szCs w:val="30"/>
          <w:spacing w:val="27"/>
        </w:rPr>
        <w:t>本办法所称普通高中是指根据国家有关规定设立</w:t>
      </w:r>
      <w:r>
        <w:rPr>
          <w:rFonts w:ascii="FangSong" w:hAnsi="FangSong" w:eastAsia="FangSong" w:cs="FangSong"/>
          <w:sz w:val="30"/>
          <w:szCs w:val="30"/>
          <w:spacing w:val="16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33"/>
        </w:rPr>
        <w:t>的普通高中学校(含完全中学和十二年一贯制学校的高中部);</w:t>
      </w:r>
      <w:r>
        <w:rPr>
          <w:rFonts w:ascii="FangSong" w:hAnsi="FangSong" w:eastAsia="FangSong" w:cs="FangSong"/>
          <w:sz w:val="30"/>
          <w:szCs w:val="30"/>
          <w:spacing w:val="8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7"/>
        </w:rPr>
        <w:t>中等职业学校是指根据国家有关规定批准设立、实施全日制中等</w:t>
      </w:r>
    </w:p>
    <w:p>
      <w:pPr>
        <w:spacing w:line="376" w:lineRule="auto"/>
        <w:sectPr>
          <w:footerReference w:type="default" r:id="rId4"/>
          <w:pgSz w:w="11900" w:h="16830"/>
          <w:pgMar w:top="1430" w:right="1620" w:bottom="1317" w:left="1319" w:header="0" w:footer="926" w:gutter="0"/>
        </w:sectPr>
        <w:rPr>
          <w:rFonts w:ascii="FangSong" w:hAnsi="FangSong" w:eastAsia="FangSong" w:cs="FangSong"/>
          <w:sz w:val="30"/>
          <w:szCs w:val="30"/>
        </w:rPr>
      </w:pPr>
    </w:p>
    <w:p>
      <w:pPr>
        <w:pStyle w:val="BodyText"/>
        <w:spacing w:line="260" w:lineRule="auto"/>
        <w:rPr/>
      </w:pPr>
      <w:r/>
    </w:p>
    <w:p>
      <w:pPr>
        <w:pStyle w:val="BodyText"/>
        <w:spacing w:line="260" w:lineRule="auto"/>
        <w:rPr/>
      </w:pPr>
      <w:r/>
    </w:p>
    <w:p>
      <w:pPr>
        <w:pStyle w:val="BodyText"/>
        <w:spacing w:line="261" w:lineRule="auto"/>
        <w:rPr/>
      </w:pPr>
      <w:r/>
    </w:p>
    <w:p>
      <w:pPr>
        <w:spacing w:before="101" w:line="363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0"/>
        </w:rPr>
        <w:t>学历教育的各类职业学校；普通高校是指根据国家有关规定</w:t>
      </w:r>
      <w:r>
        <w:rPr>
          <w:rFonts w:ascii="FangSong" w:hAnsi="FangSong" w:eastAsia="FangSong" w:cs="FangSong"/>
          <w:sz w:val="31"/>
          <w:szCs w:val="31"/>
          <w:spacing w:val="9"/>
        </w:rPr>
        <w:t>批准</w:t>
      </w:r>
      <w:r>
        <w:rPr>
          <w:rFonts w:ascii="FangSong" w:hAnsi="FangSong" w:eastAsia="FangSong" w:cs="FangSong"/>
          <w:sz w:val="31"/>
          <w:szCs w:val="3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4"/>
        </w:rPr>
        <w:t>设立、实施全日制高等学历教育的普通本科学校、高等职业学校、</w:t>
      </w:r>
      <w:r>
        <w:rPr>
          <w:rFonts w:ascii="FangSong" w:hAnsi="FangSong" w:eastAsia="FangSong" w:cs="FangSong"/>
          <w:sz w:val="31"/>
          <w:szCs w:val="31"/>
          <w:spacing w:val="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高等专科学校。</w:t>
      </w:r>
    </w:p>
    <w:p>
      <w:pPr>
        <w:ind w:right="147" w:firstLine="659"/>
        <w:spacing w:line="34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5"/>
        </w:rPr>
        <w:t>非全日制学历教育的、未连续就读的(不含保留学籍、休学</w:t>
      </w:r>
      <w:r>
        <w:rPr>
          <w:rFonts w:ascii="FangSong" w:hAnsi="FangSong" w:eastAsia="FangSong" w:cs="FangSong"/>
          <w:sz w:val="31"/>
          <w:szCs w:val="31"/>
          <w:spacing w:val="1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3"/>
        </w:rPr>
        <w:t>情形)不在本项目资助范围。</w:t>
      </w:r>
    </w:p>
    <w:p>
      <w:pPr>
        <w:ind w:right="152" w:firstLine="664"/>
        <w:spacing w:before="20" w:line="29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b/>
          <w:bCs/>
          <w:spacing w:val="21"/>
        </w:rPr>
        <w:t>第五条</w:t>
      </w:r>
      <w:r>
        <w:rPr>
          <w:rFonts w:ascii="KaiTi" w:hAnsi="KaiTi" w:eastAsia="KaiTi" w:cs="KaiTi"/>
          <w:sz w:val="31"/>
          <w:szCs w:val="31"/>
          <w:spacing w:val="6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21"/>
        </w:rPr>
        <w:t>残疾孤儿被收养后，符合本办法第三条第(三)项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的，纳入本项目资助范围。</w:t>
      </w:r>
    </w:p>
    <w:p>
      <w:pPr>
        <w:ind w:right="153" w:firstLine="664"/>
        <w:spacing w:before="221" w:line="28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28"/>
        </w:rPr>
        <w:t>第六条</w:t>
      </w:r>
      <w:r>
        <w:rPr>
          <w:rFonts w:ascii="FangSong" w:hAnsi="FangSong" w:eastAsia="FangSong" w:cs="FangSong"/>
          <w:sz w:val="31"/>
          <w:szCs w:val="31"/>
          <w:spacing w:val="10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28"/>
        </w:rPr>
        <w:t>本项目为符合条件的受助人每人每学年发放</w:t>
      </w:r>
      <w:r>
        <w:rPr>
          <w:rFonts w:ascii="FangSong" w:hAnsi="FangSong" w:eastAsia="FangSong" w:cs="FangSong"/>
          <w:sz w:val="31"/>
          <w:szCs w:val="31"/>
          <w:spacing w:val="27"/>
        </w:rPr>
        <w:t>1万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元助学金。</w:t>
      </w:r>
    </w:p>
    <w:p>
      <w:pPr>
        <w:pStyle w:val="BodyText"/>
        <w:spacing w:line="357" w:lineRule="auto"/>
        <w:rPr/>
      </w:pPr>
      <w:r/>
    </w:p>
    <w:p>
      <w:pPr>
        <w:pStyle w:val="BodyText"/>
        <w:spacing w:line="357" w:lineRule="auto"/>
        <w:rPr/>
      </w:pPr>
      <w:r/>
    </w:p>
    <w:p>
      <w:pPr>
        <w:ind w:left="2544"/>
        <w:spacing w:before="101" w:line="221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11"/>
        </w:rPr>
        <w:t>第二章</w:t>
      </w:r>
      <w:r>
        <w:rPr>
          <w:rFonts w:ascii="SimHei" w:hAnsi="SimHei" w:eastAsia="SimHei" w:cs="SimHei"/>
          <w:sz w:val="31"/>
          <w:szCs w:val="31"/>
          <w:spacing w:val="11"/>
        </w:rPr>
        <w:t xml:space="preserve">  </w:t>
      </w:r>
      <w:r>
        <w:rPr>
          <w:rFonts w:ascii="SimHei" w:hAnsi="SimHei" w:eastAsia="SimHei" w:cs="SimHei"/>
          <w:sz w:val="31"/>
          <w:szCs w:val="31"/>
          <w:b/>
          <w:bCs/>
          <w:spacing w:val="11"/>
        </w:rPr>
        <w:t>申请、审核和发放</w:t>
      </w:r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ind w:right="19" w:firstLine="664"/>
        <w:spacing w:before="102" w:line="357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20"/>
        </w:rPr>
        <w:t>第七条</w:t>
      </w:r>
      <w:r>
        <w:rPr>
          <w:rFonts w:ascii="FangSong" w:hAnsi="FangSong" w:eastAsia="FangSong" w:cs="FangSong"/>
          <w:sz w:val="31"/>
          <w:szCs w:val="31"/>
          <w:spacing w:val="20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20"/>
        </w:rPr>
        <w:t>社会散居孤儿或被收养的残疾孤儿年满18周岁后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1"/>
        </w:rPr>
        <w:t>符合资助条件的，应由本人向孤儿身份认定</w:t>
      </w:r>
      <w:r>
        <w:rPr>
          <w:rFonts w:ascii="FangSong" w:hAnsi="FangSong" w:eastAsia="FangSong" w:cs="FangSong"/>
          <w:sz w:val="31"/>
          <w:szCs w:val="31"/>
          <w:spacing w:val="10"/>
        </w:rPr>
        <w:t>地或被收养人户籍所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4"/>
        </w:rPr>
        <w:t>在地乡镇人民政府(街道办事处)负责民政工作的部门提出申请。</w:t>
      </w:r>
      <w:r>
        <w:rPr>
          <w:rFonts w:ascii="FangSong" w:hAnsi="FangSong" w:eastAsia="FangSong" w:cs="FangSong"/>
          <w:sz w:val="31"/>
          <w:szCs w:val="31"/>
          <w:spacing w:val="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0"/>
        </w:rPr>
        <w:t>所在村(居)儿童主任应予以指导和协助。</w:t>
      </w:r>
    </w:p>
    <w:p>
      <w:pPr>
        <w:ind w:right="152" w:firstLine="659"/>
        <w:spacing w:before="13" w:line="353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4"/>
        </w:rPr>
        <w:t>儿童福利机构收留抚养孤儿年满18周岁后符合资助条件</w:t>
      </w:r>
      <w:r>
        <w:rPr>
          <w:rFonts w:ascii="FangSong" w:hAnsi="FangSong" w:eastAsia="FangSong" w:cs="FangSong"/>
          <w:sz w:val="31"/>
          <w:szCs w:val="31"/>
          <w:spacing w:val="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的，应由本人向所在儿童福利机构主管民政部门提出申请。所在</w:t>
      </w:r>
      <w:r>
        <w:rPr>
          <w:rFonts w:ascii="FangSong" w:hAnsi="FangSong" w:eastAsia="FangSong" w:cs="FangSong"/>
          <w:sz w:val="31"/>
          <w:szCs w:val="31"/>
          <w:spacing w:val="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2"/>
        </w:rPr>
        <w:t>儿童福利机构应予以指导和协助。</w:t>
      </w:r>
    </w:p>
    <w:p>
      <w:pPr>
        <w:ind w:right="121" w:firstLine="664"/>
        <w:spacing w:before="1" w:line="33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TXingkai" w:hAnsi="STXingkai" w:eastAsia="STXingkai" w:cs="STXingkai"/>
          <w:sz w:val="31"/>
          <w:szCs w:val="31"/>
          <w:b/>
          <w:bCs/>
          <w:spacing w:val="2"/>
        </w:rPr>
        <w:t>第八条</w:t>
      </w:r>
      <w:r>
        <w:rPr>
          <w:rFonts w:ascii="STXingkai" w:hAnsi="STXingkai" w:eastAsia="STXingkai" w:cs="STXingkai"/>
          <w:sz w:val="31"/>
          <w:szCs w:val="31"/>
          <w:spacing w:val="2"/>
        </w:rPr>
        <w:t xml:space="preserve">    </w:t>
      </w:r>
      <w:r>
        <w:rPr>
          <w:rFonts w:ascii="FangSong" w:hAnsi="FangSong" w:eastAsia="FangSong" w:cs="FangSong"/>
          <w:sz w:val="31"/>
          <w:szCs w:val="31"/>
          <w:spacing w:val="2"/>
        </w:rPr>
        <w:t>申请人应填写“福彩圆梦</w:t>
      </w:r>
      <w:r>
        <w:rPr>
          <w:rFonts w:ascii="FangSong" w:hAnsi="FangSong" w:eastAsia="FangSong" w:cs="FangSong"/>
          <w:sz w:val="31"/>
          <w:szCs w:val="31"/>
          <w:spacing w:val="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·</w:t>
      </w:r>
      <w:r>
        <w:rPr>
          <w:rFonts w:ascii="FangSong" w:hAnsi="FangSong" w:eastAsia="FangSong" w:cs="FangSong"/>
          <w:sz w:val="31"/>
          <w:szCs w:val="31"/>
          <w:spacing w:val="-10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孤儿助学工程”项目申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7"/>
        </w:rPr>
        <w:t>请表(详见附件),并提交下列申请材料：</w:t>
      </w:r>
    </w:p>
    <w:p>
      <w:pPr>
        <w:spacing w:line="331" w:lineRule="auto"/>
        <w:sectPr>
          <w:footerReference w:type="default" r:id="rId6"/>
          <w:pgSz w:w="11900" w:h="16830"/>
          <w:pgMar w:top="1430" w:right="1254" w:bottom="1486" w:left="1529" w:header="0" w:footer="1084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288" w:lineRule="auto"/>
        <w:rPr/>
      </w:pPr>
      <w:r/>
    </w:p>
    <w:p>
      <w:pPr>
        <w:pStyle w:val="BodyText"/>
        <w:spacing w:line="288" w:lineRule="auto"/>
        <w:rPr/>
      </w:pPr>
      <w:r/>
    </w:p>
    <w:p>
      <w:pPr>
        <w:pStyle w:val="BodyText"/>
        <w:spacing w:line="288" w:lineRule="auto"/>
        <w:rPr/>
      </w:pPr>
      <w:r/>
    </w:p>
    <w:p>
      <w:pPr>
        <w:ind w:left="769"/>
        <w:spacing w:before="100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2"/>
        </w:rPr>
        <w:t>(一)居民户口簿、居民身份证；</w:t>
      </w:r>
    </w:p>
    <w:p>
      <w:pPr>
        <w:ind w:right="134" w:firstLine="769"/>
        <w:spacing w:before="213" w:line="31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7"/>
        </w:rPr>
        <w:t>(二)应届学生提供录取通知书，非应届学生提供所在学校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1"/>
        </w:rPr>
        <w:t>出具的最新学年学籍证明或中国高等教育学生信息网查询下载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3"/>
        </w:rPr>
        <w:t>的《教育部学籍在线验证报告》;</w:t>
      </w:r>
    </w:p>
    <w:p>
      <w:pPr>
        <w:ind w:right="134" w:firstLine="769"/>
        <w:spacing w:before="233" w:line="29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7"/>
        </w:rPr>
        <w:t>(三)被收养的残疾孤儿还应提供《收养登记证》、残疾证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2"/>
        </w:rPr>
        <w:t>明。</w:t>
      </w:r>
    </w:p>
    <w:p>
      <w:pPr>
        <w:ind w:firstLine="654"/>
        <w:spacing w:before="211" w:line="357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b/>
          <w:bCs/>
          <w:spacing w:val="21"/>
        </w:rPr>
        <w:t>第九条</w:t>
      </w:r>
      <w:r>
        <w:rPr>
          <w:rFonts w:ascii="KaiTi" w:hAnsi="KaiTi" w:eastAsia="KaiTi" w:cs="KaiTi"/>
          <w:sz w:val="31"/>
          <w:szCs w:val="31"/>
          <w:spacing w:val="2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21"/>
        </w:rPr>
        <w:t>乡镇人民政府(街道办事处)负责民政工作的部门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1"/>
        </w:rPr>
        <w:t>应当对申请人提交的申请材料进行形式审查，材料齐备的</w:t>
      </w:r>
      <w:r>
        <w:rPr>
          <w:rFonts w:ascii="FangSong" w:hAnsi="FangSong" w:eastAsia="FangSong" w:cs="FangSong"/>
          <w:sz w:val="31"/>
          <w:szCs w:val="31"/>
          <w:spacing w:val="10"/>
        </w:rPr>
        <w:t>，予以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受理；材料不齐备的，应当一次性告知申请人补齐所有规定材</w:t>
      </w:r>
      <w:r>
        <w:rPr>
          <w:rFonts w:ascii="FangSong" w:hAnsi="FangSong" w:eastAsia="FangSong" w:cs="FangSong"/>
          <w:sz w:val="31"/>
          <w:szCs w:val="31"/>
          <w:spacing w:val="3"/>
        </w:rPr>
        <w:t>料。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2"/>
        </w:rPr>
        <w:t>材料齐备后，乡镇人民政府(街道办事处)负责民政</w:t>
      </w:r>
      <w:r>
        <w:rPr>
          <w:rFonts w:ascii="FangSong" w:hAnsi="FangSong" w:eastAsia="FangSong" w:cs="FangSong"/>
          <w:sz w:val="31"/>
          <w:szCs w:val="31"/>
          <w:spacing w:val="21"/>
        </w:rPr>
        <w:t>工作的部门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1"/>
        </w:rPr>
        <w:t>应及时将相关申请材料报县级民政部门。</w:t>
      </w:r>
    </w:p>
    <w:p>
      <w:pPr>
        <w:ind w:right="116" w:firstLine="659"/>
        <w:spacing w:before="3" w:line="356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3"/>
        </w:rPr>
        <w:t>儿童福利机构主管民政部门应当对申请人提交的申请材料</w:t>
      </w:r>
      <w:r>
        <w:rPr>
          <w:rFonts w:ascii="FangSong" w:hAnsi="FangSong" w:eastAsia="FangSong" w:cs="FangSong"/>
          <w:sz w:val="31"/>
          <w:szCs w:val="31"/>
          <w:spacing w:val="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进行形式审查，材料齐备的，予以受理；材料不齐备的，应当一</w:t>
      </w:r>
      <w:r>
        <w:rPr>
          <w:rFonts w:ascii="FangSong" w:hAnsi="FangSong" w:eastAsia="FangSong" w:cs="FangSong"/>
          <w:sz w:val="31"/>
          <w:szCs w:val="31"/>
          <w:spacing w:val="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1"/>
        </w:rPr>
        <w:t>次性告知申请人补齐所有规定材料。</w:t>
      </w:r>
    </w:p>
    <w:p>
      <w:pPr>
        <w:ind w:right="70" w:firstLine="694"/>
        <w:spacing w:before="2" w:line="33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b/>
          <w:bCs/>
          <w:spacing w:val="21"/>
        </w:rPr>
        <w:t>第十条</w:t>
      </w:r>
      <w:r>
        <w:rPr>
          <w:rFonts w:ascii="KaiTi" w:hAnsi="KaiTi" w:eastAsia="KaiTi" w:cs="KaiTi"/>
          <w:sz w:val="31"/>
          <w:szCs w:val="31"/>
          <w:spacing w:val="2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21"/>
        </w:rPr>
        <w:t>收到申请材料的民政部门应当对申请材料进</w:t>
      </w:r>
      <w:r>
        <w:rPr>
          <w:rFonts w:ascii="FangSong" w:hAnsi="FangSong" w:eastAsia="FangSong" w:cs="FangSong"/>
          <w:sz w:val="31"/>
          <w:szCs w:val="31"/>
          <w:spacing w:val="20"/>
        </w:rPr>
        <w:t>行审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核，通过全国儿童福利信息系统核对申请人孤儿身份，通过协调</w:t>
      </w:r>
      <w:r>
        <w:rPr>
          <w:rFonts w:ascii="FangSong" w:hAnsi="FangSong" w:eastAsia="FangSong" w:cs="FangSong"/>
          <w:sz w:val="31"/>
          <w:szCs w:val="31"/>
          <w:spacing w:val="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2"/>
        </w:rPr>
        <w:t>教育部门核对申请人就读情况，并提出审核意见。符合条件的，</w:t>
      </w:r>
      <w:r>
        <w:rPr>
          <w:rFonts w:ascii="FangSong" w:hAnsi="FangSong" w:eastAsia="FangSong" w:cs="FangSong"/>
          <w:sz w:val="31"/>
          <w:szCs w:val="31"/>
          <w:spacing w:val="1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确认为受助人，纳入资助范围；不符合条件的，应当告知申请人</w:t>
      </w:r>
      <w:r>
        <w:rPr>
          <w:rFonts w:ascii="FangSong" w:hAnsi="FangSong" w:eastAsia="FangSong" w:cs="FangSong"/>
          <w:sz w:val="31"/>
          <w:szCs w:val="31"/>
          <w:spacing w:val="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并说明原因。</w:t>
      </w:r>
    </w:p>
    <w:p>
      <w:pPr>
        <w:ind w:right="81" w:firstLine="704"/>
        <w:spacing w:before="209" w:line="29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9"/>
        </w:rPr>
        <w:t>第十一条</w:t>
      </w:r>
      <w:r>
        <w:rPr>
          <w:rFonts w:ascii="FangSong" w:hAnsi="FangSong" w:eastAsia="FangSong" w:cs="FangSong"/>
          <w:sz w:val="31"/>
          <w:szCs w:val="31"/>
          <w:spacing w:val="9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9"/>
        </w:rPr>
        <w:t>助学金应通过社会化方式发放，按月或按季度发</w:t>
      </w:r>
      <w:r>
        <w:rPr>
          <w:rFonts w:ascii="FangSong" w:hAnsi="FangSong" w:eastAsia="FangSong" w:cs="FangSong"/>
          <w:sz w:val="31"/>
          <w:szCs w:val="31"/>
          <w:spacing w:val="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放到受助人本人银行账户。具体发放频次由省级民政部门结合本</w:t>
      </w:r>
    </w:p>
    <w:p>
      <w:pPr>
        <w:spacing w:line="293" w:lineRule="auto"/>
        <w:sectPr>
          <w:footerReference w:type="default" r:id="rId7"/>
          <w:pgSz w:w="11900" w:h="16830"/>
          <w:pgMar w:top="1430" w:right="1374" w:bottom="1466" w:left="1420" w:header="0" w:footer="106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288" w:lineRule="auto"/>
        <w:rPr/>
      </w:pPr>
      <w:r/>
    </w:p>
    <w:p>
      <w:pPr>
        <w:pStyle w:val="BodyText"/>
        <w:spacing w:line="288" w:lineRule="auto"/>
        <w:rPr/>
      </w:pPr>
      <w:r/>
    </w:p>
    <w:p>
      <w:pPr>
        <w:pStyle w:val="BodyText"/>
        <w:spacing w:line="288" w:lineRule="auto"/>
        <w:rPr/>
      </w:pPr>
      <w:r/>
    </w:p>
    <w:p>
      <w:pPr>
        <w:spacing w:before="100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9"/>
        </w:rPr>
        <w:t>地实际确定。</w:t>
      </w:r>
    </w:p>
    <w:p>
      <w:pPr>
        <w:ind w:right="65" w:firstLine="654"/>
        <w:spacing w:before="211" w:line="29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9"/>
        </w:rPr>
        <w:t>第十二条</w:t>
      </w:r>
      <w:r>
        <w:rPr>
          <w:rFonts w:ascii="FangSong" w:hAnsi="FangSong" w:eastAsia="FangSong" w:cs="FangSong"/>
          <w:sz w:val="31"/>
          <w:szCs w:val="31"/>
          <w:spacing w:val="9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9"/>
        </w:rPr>
        <w:t>资助时限从批准为受助人起计发，至其所在学历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2"/>
        </w:rPr>
        <w:t>教育阶段的学制期限结束终止。</w:t>
      </w:r>
    </w:p>
    <w:p>
      <w:pPr>
        <w:ind w:firstLine="654"/>
        <w:spacing w:before="229" w:line="33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12"/>
        </w:rPr>
        <w:t>第十三条</w:t>
      </w:r>
      <w:r>
        <w:rPr>
          <w:rFonts w:ascii="FangSong" w:hAnsi="FangSong" w:eastAsia="FangSong" w:cs="FangSong"/>
          <w:sz w:val="31"/>
          <w:szCs w:val="31"/>
          <w:spacing w:val="12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12"/>
        </w:rPr>
        <w:t>在资助时限内，受助人无需重</w:t>
      </w:r>
      <w:r>
        <w:rPr>
          <w:rFonts w:ascii="FangSong" w:hAnsi="FangSong" w:eastAsia="FangSong" w:cs="FangSong"/>
          <w:sz w:val="31"/>
          <w:szCs w:val="31"/>
          <w:spacing w:val="11"/>
        </w:rPr>
        <w:t>复提交助学申请，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但应在每学年开始第一个月内，向为其发放助学金的民政部门提</w:t>
      </w:r>
      <w:r>
        <w:rPr>
          <w:rFonts w:ascii="FangSong" w:hAnsi="FangSong" w:eastAsia="FangSong" w:cs="FangSong"/>
          <w:sz w:val="31"/>
          <w:szCs w:val="31"/>
          <w:spacing w:val="1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1"/>
        </w:rPr>
        <w:t>供所在学校出具的最新学年学籍证明，或中国高</w:t>
      </w:r>
      <w:r>
        <w:rPr>
          <w:rFonts w:ascii="FangSong" w:hAnsi="FangSong" w:eastAsia="FangSong" w:cs="FangSong"/>
          <w:sz w:val="31"/>
          <w:szCs w:val="31"/>
          <w:spacing w:val="10"/>
        </w:rPr>
        <w:t>等教育学生信息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5"/>
        </w:rPr>
        <w:t>网查询下载的《教育部学籍在线验证报告》,进行学年复核。因</w:t>
      </w:r>
      <w:r>
        <w:rPr>
          <w:rFonts w:ascii="FangSong" w:hAnsi="FangSong" w:eastAsia="FangSong" w:cs="FangSong"/>
          <w:sz w:val="31"/>
          <w:szCs w:val="31"/>
          <w:spacing w:val="1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2"/>
        </w:rPr>
        <w:t>不可抗力等因素影响造成未能按时提供的，可适当延长提交时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限，但一般不应超过三个月。</w:t>
      </w:r>
    </w:p>
    <w:p>
      <w:pPr>
        <w:pStyle w:val="BodyText"/>
        <w:spacing w:line="354" w:lineRule="auto"/>
        <w:rPr/>
      </w:pPr>
      <w:r/>
    </w:p>
    <w:p>
      <w:pPr>
        <w:pStyle w:val="BodyText"/>
        <w:spacing w:line="355" w:lineRule="auto"/>
        <w:rPr/>
      </w:pPr>
      <w:r/>
    </w:p>
    <w:p>
      <w:pPr>
        <w:ind w:left="2544"/>
        <w:spacing w:before="101" w:line="221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12"/>
        </w:rPr>
        <w:t>第三章</w:t>
      </w:r>
      <w:r>
        <w:rPr>
          <w:rFonts w:ascii="SimHei" w:hAnsi="SimHei" w:eastAsia="SimHei" w:cs="SimHei"/>
          <w:sz w:val="31"/>
          <w:szCs w:val="31"/>
          <w:spacing w:val="12"/>
        </w:rPr>
        <w:t xml:space="preserve">  </w:t>
      </w:r>
      <w:r>
        <w:rPr>
          <w:rFonts w:ascii="SimHei" w:hAnsi="SimHei" w:eastAsia="SimHei" w:cs="SimHei"/>
          <w:sz w:val="31"/>
          <w:szCs w:val="31"/>
          <w:b/>
          <w:bCs/>
          <w:spacing w:val="12"/>
        </w:rPr>
        <w:t>终止、暂停和续发</w:t>
      </w:r>
    </w:p>
    <w:p>
      <w:pPr>
        <w:pStyle w:val="BodyText"/>
        <w:spacing w:line="352" w:lineRule="auto"/>
        <w:rPr/>
      </w:pPr>
      <w:r/>
    </w:p>
    <w:p>
      <w:pPr>
        <w:pStyle w:val="BodyText"/>
        <w:spacing w:line="352" w:lineRule="auto"/>
        <w:rPr/>
      </w:pPr>
      <w:r/>
    </w:p>
    <w:p>
      <w:pPr>
        <w:ind w:firstLine="654"/>
        <w:spacing w:before="107" w:line="34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6"/>
        </w:rPr>
        <w:t>第十四</w:t>
      </w:r>
      <w:r>
        <w:rPr>
          <w:rFonts w:ascii="STXingkai" w:hAnsi="STXingkai" w:eastAsia="STXingkai" w:cs="STXingkai"/>
          <w:sz w:val="31"/>
          <w:szCs w:val="31"/>
          <w:b/>
          <w:bCs/>
          <w:spacing w:val="6"/>
        </w:rPr>
        <w:t>条</w:t>
      </w:r>
      <w:r>
        <w:rPr>
          <w:rFonts w:ascii="STXingkai" w:hAnsi="STXingkai" w:eastAsia="STXingkai" w:cs="STXingkai"/>
          <w:sz w:val="31"/>
          <w:szCs w:val="31"/>
          <w:spacing w:val="6"/>
        </w:rPr>
        <w:t xml:space="preserve">     </w:t>
      </w:r>
      <w:r>
        <w:rPr>
          <w:rFonts w:ascii="FangSong" w:hAnsi="FangSong" w:eastAsia="FangSong" w:cs="FangSong"/>
          <w:sz w:val="31"/>
          <w:szCs w:val="31"/>
          <w:spacing w:val="6"/>
        </w:rPr>
        <w:t>受助人存在下列情形之一的，为其发放助学金的</w:t>
      </w:r>
      <w:r>
        <w:rPr>
          <w:rFonts w:ascii="FangSong" w:hAnsi="FangSong" w:eastAsia="FangSong" w:cs="FangSong"/>
          <w:sz w:val="31"/>
          <w:szCs w:val="31"/>
          <w:spacing w:val="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3"/>
        </w:rPr>
        <w:t>民政部门应及时核实有关情况。情况属实的，终止发放助学金。</w:t>
      </w:r>
    </w:p>
    <w:p>
      <w:pPr>
        <w:ind w:left="780"/>
        <w:spacing w:before="6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4"/>
        </w:rPr>
        <w:t>(一)受助人自愿申请退出资助的；</w:t>
      </w:r>
    </w:p>
    <w:p>
      <w:pPr>
        <w:ind w:left="780"/>
        <w:spacing w:before="234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3"/>
        </w:rPr>
        <w:t>(二)受助人的孤儿身份被证明不实的；</w:t>
      </w:r>
    </w:p>
    <w:p>
      <w:pPr>
        <w:ind w:right="69" w:firstLine="780"/>
        <w:spacing w:before="206" w:line="29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7"/>
        </w:rPr>
        <w:t>(三)受助人受到取消学籍、勒令退学、开除学籍、延期毕</w:t>
      </w:r>
      <w:r>
        <w:rPr>
          <w:rFonts w:ascii="FangSong" w:hAnsi="FangSong" w:eastAsia="FangSong" w:cs="FangSong"/>
          <w:sz w:val="31"/>
          <w:szCs w:val="31"/>
          <w:spacing w:val="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2"/>
        </w:rPr>
        <w:t>业、留级等处分的或主动申请退学的；</w:t>
      </w:r>
    </w:p>
    <w:p>
      <w:pPr>
        <w:ind w:left="780"/>
        <w:spacing w:before="251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1"/>
        </w:rPr>
        <w:t>(四)受助人毕业、结业或肄业后不再连续就读的；</w:t>
      </w:r>
    </w:p>
    <w:p>
      <w:pPr>
        <w:ind w:right="41" w:firstLine="780"/>
        <w:spacing w:before="218" w:line="28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8"/>
        </w:rPr>
        <w:t>(五)受助人就读期间被执行刑事拘留、强制隔离戒毒以及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2"/>
        </w:rPr>
        <w:t>服刑在押等限制人身自由措施的；</w:t>
      </w:r>
    </w:p>
    <w:p>
      <w:pPr>
        <w:spacing w:line="285" w:lineRule="auto"/>
        <w:sectPr>
          <w:footerReference w:type="default" r:id="rId8"/>
          <w:pgSz w:w="11900" w:h="16830"/>
          <w:pgMar w:top="1430" w:right="1295" w:bottom="1426" w:left="1559" w:header="0" w:footer="1024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289" w:lineRule="auto"/>
        <w:rPr/>
      </w:pPr>
      <w:r/>
    </w:p>
    <w:p>
      <w:pPr>
        <w:pStyle w:val="BodyText"/>
        <w:spacing w:line="290" w:lineRule="auto"/>
        <w:rPr/>
      </w:pPr>
      <w:r/>
    </w:p>
    <w:p>
      <w:pPr>
        <w:pStyle w:val="BodyText"/>
        <w:spacing w:line="290" w:lineRule="auto"/>
        <w:rPr/>
      </w:pPr>
      <w:r/>
    </w:p>
    <w:p>
      <w:pPr>
        <w:ind w:right="41" w:firstLine="769"/>
        <w:spacing w:before="101" w:line="29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7"/>
        </w:rPr>
        <w:t>(六)受助人未能及时提供学年复核材料，且无法证明是否</w:t>
      </w:r>
      <w:r>
        <w:rPr>
          <w:rFonts w:ascii="FangSong" w:hAnsi="FangSong" w:eastAsia="FangSong" w:cs="FangSong"/>
          <w:sz w:val="31"/>
          <w:szCs w:val="31"/>
          <w:spacing w:val="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连续就读的；</w:t>
      </w:r>
    </w:p>
    <w:p>
      <w:pPr>
        <w:ind w:left="769"/>
        <w:spacing w:before="213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1"/>
        </w:rPr>
        <w:t>(七)受助人伪造材料或冒用他人名义申领的；</w:t>
      </w:r>
    </w:p>
    <w:p>
      <w:pPr>
        <w:ind w:left="769"/>
        <w:spacing w:before="244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7"/>
        </w:rPr>
        <w:t>(八)受助人死亡的；</w:t>
      </w:r>
    </w:p>
    <w:p>
      <w:pPr>
        <w:ind w:firstLine="769"/>
        <w:spacing w:before="200" w:line="29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2"/>
        </w:rPr>
        <w:t>(九)受助人存在其他不符合本项目资助目的</w:t>
      </w:r>
      <w:r>
        <w:rPr>
          <w:rFonts w:ascii="FangSong" w:hAnsi="FangSong" w:eastAsia="FangSong" w:cs="FangSong"/>
          <w:sz w:val="31"/>
          <w:szCs w:val="31"/>
          <w:spacing w:val="31"/>
        </w:rPr>
        <w:t>或要求情形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的。</w:t>
      </w:r>
    </w:p>
    <w:p>
      <w:pPr>
        <w:ind w:right="27" w:firstLine="684"/>
        <w:spacing w:before="199" w:line="360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9"/>
        </w:rPr>
        <w:t>第十五条</w:t>
      </w:r>
      <w:r>
        <w:rPr>
          <w:rFonts w:ascii="FangSong" w:hAnsi="FangSong" w:eastAsia="FangSong" w:cs="FangSong"/>
          <w:sz w:val="31"/>
          <w:szCs w:val="3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9"/>
        </w:rPr>
        <w:t>资助时限期满后，受助人连续就读</w:t>
      </w:r>
      <w:r>
        <w:rPr>
          <w:rFonts w:ascii="FangSong" w:hAnsi="FangSong" w:eastAsia="FangSong" w:cs="FangSong"/>
          <w:sz w:val="31"/>
          <w:szCs w:val="31"/>
          <w:spacing w:val="8"/>
        </w:rPr>
        <w:t>更高层次学历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的，需持新的录取通知书等申请材料，按照本办法第七条、第八</w:t>
      </w:r>
      <w:r>
        <w:rPr>
          <w:rFonts w:ascii="FangSong" w:hAnsi="FangSong" w:eastAsia="FangSong" w:cs="FangSong"/>
          <w:sz w:val="31"/>
          <w:szCs w:val="31"/>
          <w:spacing w:val="1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1"/>
        </w:rPr>
        <w:t>条要求，重新提交助学申请。</w:t>
      </w:r>
    </w:p>
    <w:p>
      <w:pPr>
        <w:ind w:right="28" w:firstLine="679"/>
        <w:spacing w:line="351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9"/>
        </w:rPr>
        <w:t>受助人连续两次及以上就读同一层次学历的，原则上不再重</w:t>
      </w:r>
      <w:r>
        <w:rPr>
          <w:rFonts w:ascii="FangSong" w:hAnsi="FangSong" w:eastAsia="FangSong" w:cs="FangSong"/>
          <w:sz w:val="31"/>
          <w:szCs w:val="31"/>
          <w:spacing w:val="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复保障，但因客观原因确需连续就读的，须</w:t>
      </w:r>
      <w:r>
        <w:rPr>
          <w:rFonts w:ascii="FangSong" w:hAnsi="FangSong" w:eastAsia="FangSong" w:cs="FangSong"/>
          <w:sz w:val="31"/>
          <w:szCs w:val="31"/>
          <w:spacing w:val="9"/>
        </w:rPr>
        <w:t>逐级上报至省级民政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部门审核。</w:t>
      </w:r>
    </w:p>
    <w:p>
      <w:pPr>
        <w:ind w:right="7" w:firstLine="679"/>
        <w:spacing w:before="18" w:line="358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0"/>
        </w:rPr>
        <w:t>第十六条</w:t>
      </w:r>
      <w:r>
        <w:rPr>
          <w:rFonts w:ascii="FangSong" w:hAnsi="FangSong" w:eastAsia="FangSong" w:cs="FangSong"/>
          <w:sz w:val="31"/>
          <w:szCs w:val="31"/>
          <w:spacing w:val="16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在资助时限内，受助人因出国、疾病、应征入伍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等原因办理保留学籍或休学等手续的，应向为其发放助学金的民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政部门提交保留学籍或休学的证明材料，民政部门暂停为其发放</w:t>
      </w:r>
      <w:r>
        <w:rPr>
          <w:rFonts w:ascii="FangSong" w:hAnsi="FangSong" w:eastAsia="FangSong" w:cs="FangSong"/>
          <w:sz w:val="31"/>
          <w:szCs w:val="31"/>
          <w:spacing w:val="1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助学金并保留资助资格。受助人恢复学籍或复学后，须持相关证</w:t>
      </w:r>
      <w:r>
        <w:rPr>
          <w:rFonts w:ascii="FangSong" w:hAnsi="FangSong" w:eastAsia="FangSong" w:cs="FangSong"/>
          <w:sz w:val="31"/>
          <w:szCs w:val="31"/>
          <w:spacing w:val="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明材料、学校出具的最新学年学籍证明，或中国高等教育学生信</w:t>
      </w:r>
      <w:r>
        <w:rPr>
          <w:rFonts w:ascii="FangSong" w:hAnsi="FangSong" w:eastAsia="FangSong" w:cs="FangSong"/>
          <w:sz w:val="31"/>
          <w:szCs w:val="31"/>
          <w:spacing w:val="1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5"/>
        </w:rPr>
        <w:t>息网查询下载的《教育部学籍在线验证报告》,向为其发放助学</w:t>
      </w:r>
      <w:r>
        <w:rPr>
          <w:rFonts w:ascii="FangSong" w:hAnsi="FangSong" w:eastAsia="FangSong" w:cs="FangSong"/>
          <w:sz w:val="31"/>
          <w:szCs w:val="31"/>
          <w:spacing w:val="1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金的民政部门申请继续接受资助，民政部门审核属实后，继续为</w:t>
      </w:r>
      <w:r>
        <w:rPr>
          <w:rFonts w:ascii="FangSong" w:hAnsi="FangSong" w:eastAsia="FangSong" w:cs="FangSong"/>
          <w:sz w:val="31"/>
          <w:szCs w:val="31"/>
          <w:spacing w:val="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其发放助学金。</w:t>
      </w:r>
    </w:p>
    <w:p>
      <w:pPr>
        <w:spacing w:line="358" w:lineRule="auto"/>
        <w:sectPr>
          <w:footerReference w:type="default" r:id="rId9"/>
          <w:pgSz w:w="11900" w:h="16830"/>
          <w:pgMar w:top="1430" w:right="1493" w:bottom="1426" w:left="1400" w:header="0" w:footer="1024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ind w:left="3024"/>
        <w:spacing w:before="101" w:line="221" w:lineRule="auto"/>
        <w:outlineLvl w:val="2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5"/>
        </w:rPr>
        <w:t>第四章</w:t>
      </w:r>
      <w:r>
        <w:rPr>
          <w:rFonts w:ascii="SimHei" w:hAnsi="SimHei" w:eastAsia="SimHei" w:cs="SimHei"/>
          <w:sz w:val="31"/>
          <w:szCs w:val="31"/>
          <w:spacing w:val="18"/>
        </w:rPr>
        <w:t xml:space="preserve">  </w:t>
      </w:r>
      <w:r>
        <w:rPr>
          <w:rFonts w:ascii="SimHei" w:hAnsi="SimHei" w:eastAsia="SimHei" w:cs="SimHei"/>
          <w:sz w:val="31"/>
          <w:szCs w:val="31"/>
          <w:b/>
          <w:bCs/>
          <w:spacing w:val="5"/>
        </w:rPr>
        <w:t>管理和监督</w:t>
      </w:r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ind w:right="81" w:firstLine="654"/>
        <w:spacing w:before="101" w:line="357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20"/>
        </w:rPr>
        <w:t>第十七条</w:t>
      </w:r>
      <w:r>
        <w:rPr>
          <w:rFonts w:ascii="FangSong" w:hAnsi="FangSong" w:eastAsia="FangSong" w:cs="FangSong"/>
          <w:sz w:val="31"/>
          <w:szCs w:val="31"/>
          <w:spacing w:val="20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20"/>
        </w:rPr>
        <w:t>地方各级民政部门应当对本地符合条件的申请</w:t>
      </w:r>
      <w:r>
        <w:rPr>
          <w:rFonts w:ascii="FangSong" w:hAnsi="FangSong" w:eastAsia="FangSong" w:cs="FangSong"/>
          <w:sz w:val="31"/>
          <w:szCs w:val="31"/>
          <w:spacing w:val="1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人和正在接受资助的受助人相关情况进行统计</w:t>
      </w:r>
      <w:r>
        <w:rPr>
          <w:rFonts w:ascii="FangSong" w:hAnsi="FangSong" w:eastAsia="FangSong" w:cs="FangSong"/>
          <w:sz w:val="31"/>
          <w:szCs w:val="31"/>
          <w:spacing w:val="9"/>
        </w:rPr>
        <w:t>汇总，纳入年度预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算编制和申报。</w:t>
      </w:r>
    </w:p>
    <w:p>
      <w:pPr>
        <w:ind w:right="66" w:firstLine="649"/>
        <w:spacing w:before="3" w:line="357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9"/>
        </w:rPr>
        <w:t>预算编制时，对于上年度资金使用有结余的，应当结转至下</w:t>
      </w:r>
      <w:r>
        <w:rPr>
          <w:rFonts w:ascii="FangSong" w:hAnsi="FangSong" w:eastAsia="FangSong" w:cs="FangSong"/>
          <w:sz w:val="31"/>
          <w:szCs w:val="31"/>
          <w:spacing w:val="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年度使用。对于上年度资金拨付不足的，可以在下年度预算编制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时申请增加。</w:t>
      </w:r>
    </w:p>
    <w:p>
      <w:pPr>
        <w:ind w:firstLine="654"/>
        <w:spacing w:before="1" w:line="32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8"/>
        </w:rPr>
        <w:t>第十八条</w:t>
      </w:r>
      <w:r>
        <w:rPr>
          <w:rFonts w:ascii="FangSong" w:hAnsi="FangSong" w:eastAsia="FangSong" w:cs="FangSong"/>
          <w:sz w:val="31"/>
          <w:szCs w:val="31"/>
          <w:spacing w:val="8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8"/>
        </w:rPr>
        <w:t>地方各级民政部门要严格资金管理，按照全面实</w:t>
      </w:r>
      <w:r>
        <w:rPr>
          <w:rFonts w:ascii="FangSong" w:hAnsi="FangSong" w:eastAsia="FangSong" w:cs="FangSong"/>
          <w:sz w:val="31"/>
          <w:szCs w:val="31"/>
          <w:spacing w:val="1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施预算绩效管理的要求，建立健全预算绩效管理机制，科学合理</w:t>
      </w:r>
      <w:r>
        <w:rPr>
          <w:rFonts w:ascii="FangSong" w:hAnsi="FangSong" w:eastAsia="FangSong" w:cs="FangSong"/>
          <w:sz w:val="31"/>
          <w:szCs w:val="31"/>
          <w:spacing w:val="1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2"/>
        </w:rPr>
        <w:t>设定绩效目标，做好绩效监控、绩效评价，强化绩效结果运用，</w:t>
      </w:r>
      <w:r>
        <w:rPr>
          <w:rFonts w:ascii="FangSong" w:hAnsi="FangSong" w:eastAsia="FangSong" w:cs="FangSong"/>
          <w:sz w:val="31"/>
          <w:szCs w:val="31"/>
          <w:spacing w:val="1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提高资金使用效益。</w:t>
      </w:r>
    </w:p>
    <w:p>
      <w:pPr>
        <w:ind w:right="54" w:firstLine="654"/>
        <w:spacing w:before="210" w:line="30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9"/>
        </w:rPr>
        <w:t>第十九</w:t>
      </w:r>
      <w:r>
        <w:rPr>
          <w:rFonts w:ascii="STXingkai" w:hAnsi="STXingkai" w:eastAsia="STXingkai" w:cs="STXingkai"/>
          <w:sz w:val="31"/>
          <w:szCs w:val="31"/>
          <w:b/>
          <w:bCs/>
          <w:spacing w:val="9"/>
        </w:rPr>
        <w:t>条</w:t>
      </w:r>
      <w:r>
        <w:rPr>
          <w:rFonts w:ascii="STXingkai" w:hAnsi="STXingkai" w:eastAsia="STXingkai" w:cs="STXingkai"/>
          <w:sz w:val="31"/>
          <w:szCs w:val="31"/>
          <w:spacing w:val="9"/>
        </w:rPr>
        <w:t xml:space="preserve">    </w:t>
      </w:r>
      <w:r>
        <w:rPr>
          <w:rFonts w:ascii="FangSong" w:hAnsi="FangSong" w:eastAsia="FangSong" w:cs="FangSong"/>
          <w:sz w:val="31"/>
          <w:szCs w:val="31"/>
          <w:spacing w:val="9"/>
        </w:rPr>
        <w:t>地方各级民政部门应按照“一人一档”要求</w:t>
      </w:r>
      <w:r>
        <w:rPr>
          <w:rFonts w:ascii="FangSong" w:hAnsi="FangSong" w:eastAsia="FangSong" w:cs="FangSong"/>
          <w:sz w:val="31"/>
          <w:szCs w:val="31"/>
          <w:spacing w:val="8"/>
        </w:rPr>
        <w:t>，做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5"/>
        </w:rPr>
        <w:t>好助学工作档案管理，在办理完毕相关手续后5个工作日内，完</w:t>
      </w:r>
      <w:r>
        <w:rPr>
          <w:rFonts w:ascii="FangSong" w:hAnsi="FangSong" w:eastAsia="FangSong" w:cs="FangSong"/>
          <w:sz w:val="31"/>
          <w:szCs w:val="31"/>
          <w:spacing w:val="1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3"/>
        </w:rPr>
        <w:t>成纸质档案的整理归档，按照永久保管要求妥善存放。</w:t>
      </w:r>
    </w:p>
    <w:p>
      <w:pPr>
        <w:ind w:right="73" w:firstLine="730"/>
        <w:spacing w:before="234" w:line="357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2"/>
        </w:rPr>
        <w:t>新增纸质档案生成后，原则上应在一个月内完成数字化</w:t>
      </w:r>
      <w:r>
        <w:rPr>
          <w:rFonts w:ascii="FangSong" w:hAnsi="FangSong" w:eastAsia="FangSong" w:cs="FangSong"/>
          <w:sz w:val="31"/>
          <w:szCs w:val="31"/>
          <w:spacing w:val="1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5"/>
        </w:rPr>
        <w:t>处理并录入全国儿童福利信息系统。应在2025</w:t>
      </w:r>
      <w:r>
        <w:rPr>
          <w:rFonts w:ascii="FangSong" w:hAnsi="FangSong" w:eastAsia="FangSong" w:cs="FangSong"/>
          <w:sz w:val="31"/>
          <w:szCs w:val="31"/>
          <w:spacing w:val="44"/>
        </w:rPr>
        <w:t>年底前完成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8"/>
        </w:rPr>
        <w:t>正在接受资助的受助人已有纸质档案的数字化处理和系统</w:t>
      </w:r>
      <w:r>
        <w:rPr>
          <w:rFonts w:ascii="FangSong" w:hAnsi="FangSong" w:eastAsia="FangSong" w:cs="FangSong"/>
          <w:sz w:val="31"/>
          <w:szCs w:val="31"/>
          <w:spacing w:val="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2"/>
        </w:rPr>
        <w:t>录入工作。</w:t>
      </w:r>
    </w:p>
    <w:p>
      <w:pPr>
        <w:ind w:right="25" w:firstLine="714"/>
        <w:spacing w:before="3" w:line="36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22"/>
        </w:rPr>
        <w:t>第二十条</w:t>
      </w:r>
      <w:r>
        <w:rPr>
          <w:rFonts w:ascii="FangSong" w:hAnsi="FangSong" w:eastAsia="FangSong" w:cs="FangSong"/>
          <w:sz w:val="31"/>
          <w:szCs w:val="31"/>
          <w:spacing w:val="15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2"/>
        </w:rPr>
        <w:t>民政部和省级民政部门应通过调取全国儿童福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利信息系统内的数字档案，常态化开展助学信息核查比对</w:t>
      </w:r>
      <w:r>
        <w:rPr>
          <w:rFonts w:ascii="FangSong" w:hAnsi="FangSong" w:eastAsia="FangSong" w:cs="FangSong"/>
          <w:sz w:val="31"/>
          <w:szCs w:val="31"/>
          <w:spacing w:val="9"/>
        </w:rPr>
        <w:t>和动态</w:t>
      </w:r>
    </w:p>
    <w:p>
      <w:pPr>
        <w:spacing w:line="365" w:lineRule="auto"/>
        <w:sectPr>
          <w:footerReference w:type="default" r:id="rId10"/>
          <w:pgSz w:w="11900" w:h="16830"/>
          <w:pgMar w:top="1430" w:right="1345" w:bottom="1536" w:left="1519" w:header="0" w:footer="1134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277" w:lineRule="auto"/>
        <w:rPr/>
      </w:pPr>
      <w:r/>
    </w:p>
    <w:p>
      <w:pPr>
        <w:pStyle w:val="BodyText"/>
        <w:spacing w:line="278" w:lineRule="auto"/>
        <w:rPr/>
      </w:pPr>
      <w:r/>
    </w:p>
    <w:p>
      <w:pPr>
        <w:pStyle w:val="BodyText"/>
        <w:spacing w:line="278" w:lineRule="auto"/>
        <w:rPr/>
      </w:pPr>
      <w:r/>
    </w:p>
    <w:p>
      <w:pPr>
        <w:ind w:right="178"/>
        <w:spacing w:before="100" w:line="35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0"/>
        </w:rPr>
        <w:t>监管，精准掌握受助人变化情况，强化事前准入、事中监督、事</w:t>
      </w:r>
      <w:r>
        <w:rPr>
          <w:rFonts w:ascii="FangSong" w:hAnsi="FangSong" w:eastAsia="FangSong" w:cs="FangSong"/>
          <w:sz w:val="31"/>
          <w:szCs w:val="31"/>
          <w:spacing w:val="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后追溯的全过程管理。</w:t>
      </w:r>
    </w:p>
    <w:p>
      <w:pPr>
        <w:ind w:right="50" w:firstLine="669"/>
        <w:spacing w:before="11" w:line="35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9"/>
        </w:rPr>
        <w:t>民政部和省级民政部门应通过实地调研、数据比对、委托第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三方评估等方式，对项目实施情况开展检查，确保项目实施效果。</w:t>
      </w:r>
    </w:p>
    <w:p>
      <w:pPr>
        <w:ind w:right="89" w:firstLine="669"/>
        <w:spacing w:before="2" w:line="35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0"/>
        </w:rPr>
        <w:t>第二十一条</w:t>
      </w:r>
      <w:r>
        <w:rPr>
          <w:rFonts w:ascii="FangSong" w:hAnsi="FangSong" w:eastAsia="FangSong" w:cs="FangSong"/>
          <w:sz w:val="31"/>
          <w:szCs w:val="31"/>
          <w:spacing w:val="15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本项目资金应专款专用，地方各级民政部门及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其工作人员在助学金分配和审核过程中违反本办法有关规定，存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3"/>
        </w:rPr>
        <w:t>在挤占、挪用、冒领、套取等情形，以及滥用职权、玩忽职守、</w:t>
      </w:r>
      <w:r>
        <w:rPr>
          <w:rFonts w:ascii="FangSong" w:hAnsi="FangSong" w:eastAsia="FangSong" w:cs="FangSong"/>
          <w:sz w:val="31"/>
          <w:szCs w:val="31"/>
          <w:spacing w:val="1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徇私舞弊的，应当依法追究相应责任；构成犯罪的，</w:t>
      </w:r>
      <w:r>
        <w:rPr>
          <w:rFonts w:ascii="FangSong" w:hAnsi="FangSong" w:eastAsia="FangSong" w:cs="FangSong"/>
          <w:sz w:val="31"/>
          <w:szCs w:val="31"/>
          <w:spacing w:val="9"/>
        </w:rPr>
        <w:t>依法追究刑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事责任。</w:t>
      </w:r>
    </w:p>
    <w:p>
      <w:pPr>
        <w:ind w:right="119" w:firstLine="669"/>
        <w:spacing w:before="40" w:line="353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9"/>
        </w:rPr>
        <w:t>发现受助人在助学金使用中存在奢侈浪费、挥霍享</w:t>
      </w:r>
      <w:r>
        <w:rPr>
          <w:rFonts w:ascii="FangSong" w:hAnsi="FangSong" w:eastAsia="FangSong" w:cs="FangSong"/>
          <w:sz w:val="31"/>
          <w:szCs w:val="31"/>
          <w:spacing w:val="8"/>
        </w:rPr>
        <w:t>乐或其他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造成社会不良影响行为的，为其发放助学金的民政部门应当给予</w:t>
      </w:r>
      <w:r>
        <w:rPr>
          <w:rFonts w:ascii="FangSong" w:hAnsi="FangSong" w:eastAsia="FangSong" w:cs="FangSong"/>
          <w:sz w:val="31"/>
          <w:szCs w:val="31"/>
          <w:spacing w:val="1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2"/>
        </w:rPr>
        <w:t>批评教育、督促改正；拒不改正的，按照本办法第十四条规定，</w:t>
      </w:r>
      <w:r>
        <w:rPr>
          <w:rFonts w:ascii="FangSong" w:hAnsi="FangSong" w:eastAsia="FangSong" w:cs="FangSong"/>
          <w:sz w:val="31"/>
          <w:szCs w:val="31"/>
          <w:spacing w:val="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及时终止发放助学金。</w:t>
      </w:r>
    </w:p>
    <w:p>
      <w:pPr>
        <w:ind w:right="159" w:firstLine="669"/>
        <w:spacing w:before="20" w:line="352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0"/>
        </w:rPr>
        <w:t>发现受助人采取虚报、隐瞒、伪造等手段骗取</w:t>
      </w:r>
      <w:r>
        <w:rPr>
          <w:rFonts w:ascii="FangSong" w:hAnsi="FangSong" w:eastAsia="FangSong" w:cs="FangSong"/>
          <w:sz w:val="31"/>
          <w:szCs w:val="31"/>
          <w:spacing w:val="9"/>
        </w:rPr>
        <w:t>助学金的，为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其发放助学金的民政部门应当及时终止资助并追回资助资金；情</w:t>
      </w:r>
      <w:r>
        <w:rPr>
          <w:rFonts w:ascii="FangSong" w:hAnsi="FangSong" w:eastAsia="FangSong" w:cs="FangSong"/>
          <w:sz w:val="31"/>
          <w:szCs w:val="31"/>
          <w:spacing w:val="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1"/>
        </w:rPr>
        <w:t>节严重的，依法依规予以处罚。</w:t>
      </w:r>
    </w:p>
    <w:p>
      <w:pPr>
        <w:pStyle w:val="BodyText"/>
        <w:spacing w:line="245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ind w:left="3534"/>
        <w:spacing w:before="101" w:line="222" w:lineRule="auto"/>
        <w:outlineLvl w:val="2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1"/>
        </w:rPr>
        <w:t>第五章</w:t>
      </w:r>
      <w:r>
        <w:rPr>
          <w:rFonts w:ascii="SimHei" w:hAnsi="SimHei" w:eastAsia="SimHei" w:cs="SimHei"/>
          <w:sz w:val="31"/>
          <w:szCs w:val="31"/>
          <w:spacing w:val="24"/>
        </w:rPr>
        <w:t xml:space="preserve">  </w:t>
      </w:r>
      <w:r>
        <w:rPr>
          <w:rFonts w:ascii="SimHei" w:hAnsi="SimHei" w:eastAsia="SimHei" w:cs="SimHei"/>
          <w:sz w:val="31"/>
          <w:szCs w:val="31"/>
          <w:b/>
          <w:bCs/>
          <w:spacing w:val="1"/>
        </w:rPr>
        <w:t>附则</w:t>
      </w:r>
    </w:p>
    <w:p>
      <w:pPr>
        <w:pStyle w:val="BodyText"/>
        <w:spacing w:line="246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ind w:firstLine="674"/>
        <w:spacing w:before="101" w:line="36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8"/>
        </w:rPr>
        <w:t>第二十二条</w:t>
      </w:r>
      <w:r>
        <w:rPr>
          <w:rFonts w:ascii="FangSong" w:hAnsi="FangSong" w:eastAsia="FangSong" w:cs="FangSong"/>
          <w:sz w:val="31"/>
          <w:szCs w:val="31"/>
          <w:spacing w:val="8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8"/>
        </w:rPr>
        <w:t>本办法自印发之日起施行。《民政部</w:t>
      </w:r>
      <w:r>
        <w:rPr>
          <w:rFonts w:ascii="FangSong" w:hAnsi="FangSong" w:eastAsia="FangSong" w:cs="FangSong"/>
          <w:sz w:val="31"/>
          <w:szCs w:val="31"/>
          <w:spacing w:val="7"/>
        </w:rPr>
        <w:t>办公厅关</w:t>
      </w:r>
      <w:r>
        <w:rPr>
          <w:rFonts w:ascii="FangSong" w:hAnsi="FangSong" w:eastAsia="FangSong" w:cs="FangSong"/>
          <w:sz w:val="31"/>
          <w:szCs w:val="31"/>
        </w:rPr>
        <w:t xml:space="preserve">  </w:t>
      </w:r>
      <w:r>
        <w:rPr>
          <w:rFonts w:ascii="FangSong" w:hAnsi="FangSong" w:eastAsia="FangSong" w:cs="FangSong"/>
          <w:sz w:val="31"/>
          <w:szCs w:val="31"/>
        </w:rPr>
        <w:t>于印发&lt;“福彩圆梦</w:t>
      </w:r>
      <w:r>
        <w:rPr>
          <w:rFonts w:ascii="FangSong" w:hAnsi="FangSong" w:eastAsia="FangSong" w:cs="FangSong"/>
          <w:sz w:val="31"/>
          <w:szCs w:val="31"/>
          <w:spacing w:val="-28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·</w:t>
      </w:r>
      <w:r>
        <w:rPr>
          <w:rFonts w:ascii="FangSong" w:hAnsi="FangSong" w:eastAsia="FangSong" w:cs="FangSong"/>
          <w:sz w:val="31"/>
          <w:szCs w:val="31"/>
          <w:spacing w:val="-127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孤儿助学工程”项目实施暂行办法&gt;的通</w:t>
      </w:r>
      <w:r>
        <w:rPr>
          <w:rFonts w:ascii="FangSong" w:hAnsi="FangSong" w:eastAsia="FangSong" w:cs="FangSong"/>
          <w:sz w:val="31"/>
          <w:szCs w:val="31"/>
          <w:spacing w:val="-1"/>
        </w:rPr>
        <w:t>知》</w:t>
      </w:r>
    </w:p>
    <w:p>
      <w:pPr>
        <w:spacing w:line="365" w:lineRule="auto"/>
        <w:sectPr>
          <w:footerReference w:type="default" r:id="rId11"/>
          <w:pgSz w:w="11900" w:h="16830"/>
          <w:pgMar w:top="1430" w:right="1325" w:bottom="1506" w:left="1430" w:header="0" w:footer="1104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260" w:lineRule="auto"/>
        <w:rPr/>
      </w:pPr>
      <w:r/>
    </w:p>
    <w:p>
      <w:pPr>
        <w:pStyle w:val="BodyText"/>
        <w:spacing w:line="261" w:lineRule="auto"/>
        <w:rPr/>
      </w:pPr>
      <w:r/>
    </w:p>
    <w:p>
      <w:pPr>
        <w:pStyle w:val="BodyText"/>
        <w:spacing w:line="261" w:lineRule="auto"/>
        <w:rPr/>
      </w:pPr>
      <w:r/>
    </w:p>
    <w:p>
      <w:pPr>
        <w:spacing w:before="104" w:line="223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17"/>
        </w:rPr>
        <w:t>(民办发〔2019〕24号)同时废止。</w:t>
      </w:r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ind w:left="539"/>
        <w:spacing w:before="104" w:line="220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4"/>
        </w:rPr>
        <w:t>附件：</w:t>
      </w:r>
      <w:r>
        <w:rPr>
          <w:rFonts w:ascii="FangSong" w:hAnsi="FangSong" w:eastAsia="FangSong" w:cs="FangSong"/>
          <w:sz w:val="32"/>
          <w:szCs w:val="32"/>
          <w:spacing w:val="-130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4"/>
        </w:rPr>
        <w:t>“福彩圆梦</w:t>
      </w:r>
      <w:r>
        <w:rPr>
          <w:rFonts w:ascii="FangSong" w:hAnsi="FangSong" w:eastAsia="FangSong" w:cs="FangSong"/>
          <w:sz w:val="32"/>
          <w:szCs w:val="32"/>
          <w:spacing w:val="-30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4"/>
        </w:rPr>
        <w:t>·</w:t>
      </w:r>
      <w:r>
        <w:rPr>
          <w:rFonts w:ascii="FangSong" w:hAnsi="FangSong" w:eastAsia="FangSong" w:cs="FangSong"/>
          <w:sz w:val="32"/>
          <w:szCs w:val="32"/>
          <w:spacing w:val="-131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4"/>
        </w:rPr>
        <w:t>孤儿助学工程”项目申请表</w:t>
      </w:r>
    </w:p>
    <w:p>
      <w:pPr>
        <w:spacing w:line="220" w:lineRule="auto"/>
        <w:sectPr>
          <w:footerReference w:type="default" r:id="rId12"/>
          <w:pgSz w:w="11900" w:h="16830"/>
          <w:pgMar w:top="1430" w:right="1559" w:bottom="1484" w:left="1650" w:header="0" w:footer="1069" w:gutter="0"/>
        </w:sectPr>
        <w:rPr>
          <w:rFonts w:ascii="FangSong" w:hAnsi="FangSong" w:eastAsia="FangSong" w:cs="FangSong"/>
          <w:sz w:val="32"/>
          <w:szCs w:val="32"/>
        </w:rPr>
      </w:pPr>
    </w:p>
    <w:p>
      <w:pPr>
        <w:pStyle w:val="BodyText"/>
        <w:spacing w:line="257" w:lineRule="auto"/>
        <w:rPr/>
      </w:pPr>
      <w:r/>
    </w:p>
    <w:p>
      <w:pPr>
        <w:pStyle w:val="BodyText"/>
        <w:spacing w:line="258" w:lineRule="auto"/>
        <w:rPr/>
      </w:pPr>
      <w:r/>
    </w:p>
    <w:p>
      <w:pPr>
        <w:pStyle w:val="BodyText"/>
        <w:spacing w:line="258" w:lineRule="auto"/>
        <w:rPr/>
      </w:pPr>
      <w:r/>
    </w:p>
    <w:p>
      <w:pPr>
        <w:ind w:left="24"/>
        <w:spacing w:before="104" w:line="224" w:lineRule="auto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b/>
          <w:bCs/>
          <w:spacing w:val="-5"/>
        </w:rPr>
        <w:t>附件</w:t>
      </w:r>
    </w:p>
    <w:p>
      <w:pPr>
        <w:pStyle w:val="BodyText"/>
        <w:spacing w:line="308" w:lineRule="auto"/>
        <w:rPr/>
      </w:pPr>
      <w:r/>
    </w:p>
    <w:p>
      <w:pPr>
        <w:pStyle w:val="BodyText"/>
        <w:spacing w:line="309" w:lineRule="auto"/>
        <w:rPr/>
      </w:pPr>
      <w:r/>
    </w:p>
    <w:p>
      <w:pPr>
        <w:ind w:left="491"/>
        <w:spacing w:before="139" w:line="219" w:lineRule="auto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sz w:val="43"/>
          <w:szCs w:val="43"/>
          <w:b/>
          <w:bCs/>
          <w:spacing w:val="1"/>
        </w:rPr>
        <w:t>“福彩圆梦</w:t>
      </w:r>
      <w:r>
        <w:rPr>
          <w:rFonts w:ascii="SimSun" w:hAnsi="SimSun" w:eastAsia="SimSun" w:cs="SimSun"/>
          <w:sz w:val="43"/>
          <w:szCs w:val="43"/>
          <w:spacing w:val="-33"/>
        </w:rPr>
        <w:t xml:space="preserve"> </w:t>
      </w:r>
      <w:r>
        <w:rPr>
          <w:rFonts w:ascii="SimSun" w:hAnsi="SimSun" w:eastAsia="SimSun" w:cs="SimSun"/>
          <w:sz w:val="43"/>
          <w:szCs w:val="43"/>
          <w:b/>
          <w:bCs/>
          <w:spacing w:val="1"/>
        </w:rPr>
        <w:t>·孤儿助学工程”项目申请表</w:t>
      </w:r>
    </w:p>
    <w:p>
      <w:pPr>
        <w:spacing w:before="61"/>
        <w:rPr/>
      </w:pPr>
      <w:r/>
    </w:p>
    <w:tbl>
      <w:tblPr>
        <w:tblStyle w:val="TableNormal"/>
        <w:tblW w:w="8939" w:type="dxa"/>
        <w:tblInd w:w="9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784"/>
        <w:gridCol w:w="1628"/>
        <w:gridCol w:w="1598"/>
        <w:gridCol w:w="1718"/>
        <w:gridCol w:w="1738"/>
        <w:gridCol w:w="1473"/>
      </w:tblGrid>
      <w:tr>
        <w:trPr>
          <w:trHeight w:val="375" w:hRule="atLeast"/>
        </w:trPr>
        <w:tc>
          <w:tcPr>
            <w:tcW w:w="784" w:type="dxa"/>
            <w:vAlign w:val="top"/>
            <w:vMerge w:val="restart"/>
            <w:tcBorders>
              <w:bottom w:val="nil"/>
            </w:tcBorders>
          </w:tcPr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4" w:right="137" w:hanging="120"/>
              <w:spacing w:before="78" w:line="296" w:lineRule="auto"/>
              <w:rPr/>
            </w:pPr>
            <w:r>
              <w:rPr>
                <w:spacing w:val="5"/>
              </w:rPr>
              <w:t>申请</w:t>
            </w:r>
            <w:r>
              <w:rPr/>
              <w:t xml:space="preserve"> </w:t>
            </w:r>
            <w:r>
              <w:rPr/>
              <w:t>人</w:t>
            </w:r>
          </w:p>
          <w:p>
            <w:pPr>
              <w:pStyle w:val="TableText"/>
              <w:ind w:left="144"/>
              <w:spacing w:line="218" w:lineRule="auto"/>
              <w:rPr/>
            </w:pPr>
            <w:r>
              <w:rPr>
                <w:spacing w:val="5"/>
              </w:rPr>
              <w:t>基本</w:t>
            </w:r>
          </w:p>
          <w:p>
            <w:pPr>
              <w:pStyle w:val="TableText"/>
              <w:ind w:left="144"/>
              <w:spacing w:before="76" w:line="219" w:lineRule="auto"/>
              <w:rPr/>
            </w:pPr>
            <w:r>
              <w:rPr>
                <w:spacing w:val="8"/>
              </w:rPr>
              <w:t>信息</w:t>
            </w:r>
          </w:p>
        </w:tc>
        <w:tc>
          <w:tcPr>
            <w:tcW w:w="1628" w:type="dxa"/>
            <w:vAlign w:val="top"/>
          </w:tcPr>
          <w:p>
            <w:pPr>
              <w:pStyle w:val="TableText"/>
              <w:ind w:left="71"/>
              <w:spacing w:before="75" w:line="219" w:lineRule="auto"/>
              <w:rPr/>
            </w:pPr>
            <w:r>
              <w:rPr>
                <w:spacing w:val="-5"/>
              </w:rPr>
              <w:t>姓</w:t>
            </w:r>
            <w:r>
              <w:rPr>
                <w:spacing w:val="9"/>
              </w:rPr>
              <w:t xml:space="preserve">        </w:t>
            </w:r>
            <w:r>
              <w:rPr>
                <w:spacing w:val="-5"/>
              </w:rPr>
              <w:t>名</w:t>
            </w:r>
          </w:p>
        </w:tc>
        <w:tc>
          <w:tcPr>
            <w:tcW w:w="15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18" w:type="dxa"/>
            <w:vAlign w:val="top"/>
          </w:tcPr>
          <w:p>
            <w:pPr>
              <w:pStyle w:val="TableText"/>
              <w:ind w:left="74"/>
              <w:spacing w:before="75" w:line="220" w:lineRule="auto"/>
              <w:rPr/>
            </w:pPr>
            <w:r>
              <w:rPr>
                <w:spacing w:val="-7"/>
              </w:rPr>
              <w:t>性</w:t>
            </w:r>
            <w:r>
              <w:rPr>
                <w:spacing w:val="5"/>
              </w:rPr>
              <w:t xml:space="preserve">         </w:t>
            </w:r>
            <w:r>
              <w:rPr>
                <w:spacing w:val="-7"/>
              </w:rPr>
              <w:t>别</w:t>
            </w:r>
          </w:p>
        </w:tc>
        <w:tc>
          <w:tcPr>
            <w:tcW w:w="17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73" w:type="dxa"/>
            <w:vAlign w:val="top"/>
            <w:vMerge w:val="restart"/>
            <w:tcBorders>
              <w:bottom w:val="nil"/>
            </w:tcBorders>
          </w:tcPr>
          <w:p>
            <w:pPr>
              <w:spacing w:line="316" w:lineRule="auto"/>
              <w:rPr>
                <w:rFonts w:ascii="Arial"/>
                <w:sz w:val="21"/>
              </w:rPr>
            </w:pPr>
            <w:r/>
          </w:p>
          <w:p>
            <w:pPr>
              <w:spacing w:line="31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9"/>
              <w:spacing w:before="78" w:line="219" w:lineRule="auto"/>
              <w:rPr/>
            </w:pPr>
            <w:r>
              <w:rPr>
                <w:spacing w:val="2"/>
              </w:rPr>
              <w:t>照片粘贴</w:t>
            </w:r>
          </w:p>
          <w:p>
            <w:pPr>
              <w:pStyle w:val="TableText"/>
              <w:ind w:left="368"/>
              <w:spacing w:before="95" w:line="220" w:lineRule="auto"/>
              <w:rPr/>
            </w:pPr>
            <w:r>
              <w:rPr>
                <w:spacing w:val="13"/>
              </w:rPr>
              <w:t>(近期)</w:t>
            </w:r>
          </w:p>
        </w:tc>
      </w:tr>
      <w:tr>
        <w:trPr>
          <w:trHeight w:val="389" w:hRule="atLeast"/>
        </w:trPr>
        <w:tc>
          <w:tcPr>
            <w:tcW w:w="78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28" w:type="dxa"/>
            <w:vAlign w:val="top"/>
          </w:tcPr>
          <w:p>
            <w:pPr>
              <w:pStyle w:val="TableText"/>
              <w:ind w:left="61"/>
              <w:spacing w:before="132" w:line="190" w:lineRule="auto"/>
              <w:rPr/>
            </w:pPr>
            <w:r>
              <w:rPr>
                <w:spacing w:val="-17"/>
              </w:rPr>
              <w:t>民</w:t>
            </w:r>
            <w:r>
              <w:rPr>
                <w:spacing w:val="11"/>
              </w:rPr>
              <w:t xml:space="preserve">        </w:t>
            </w:r>
            <w:r>
              <w:rPr>
                <w:spacing w:val="-17"/>
              </w:rPr>
              <w:t>族</w:t>
            </w:r>
          </w:p>
        </w:tc>
        <w:tc>
          <w:tcPr>
            <w:tcW w:w="15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18" w:type="dxa"/>
            <w:vAlign w:val="top"/>
          </w:tcPr>
          <w:p>
            <w:pPr>
              <w:pStyle w:val="TableText"/>
              <w:ind w:left="194"/>
              <w:spacing w:before="141" w:line="183" w:lineRule="auto"/>
              <w:rPr/>
            </w:pPr>
            <w:r>
              <w:rPr>
                <w:spacing w:val="-23"/>
              </w:rPr>
              <w:t>出</w:t>
            </w:r>
            <w:r>
              <w:rPr>
                <w:spacing w:val="26"/>
              </w:rPr>
              <w:t xml:space="preserve"> </w:t>
            </w:r>
            <w:r>
              <w:rPr>
                <w:spacing w:val="-23"/>
              </w:rPr>
              <w:t>生</w:t>
            </w:r>
            <w:r>
              <w:rPr>
                <w:spacing w:val="65"/>
              </w:rPr>
              <w:t xml:space="preserve"> </w:t>
            </w:r>
            <w:r>
              <w:rPr>
                <w:spacing w:val="-23"/>
              </w:rPr>
              <w:t>日</w:t>
            </w:r>
            <w:r>
              <w:rPr>
                <w:spacing w:val="28"/>
              </w:rPr>
              <w:t xml:space="preserve"> </w:t>
            </w:r>
            <w:r>
              <w:rPr>
                <w:spacing w:val="-23"/>
              </w:rPr>
              <w:t>期</w:t>
            </w:r>
          </w:p>
        </w:tc>
        <w:tc>
          <w:tcPr>
            <w:tcW w:w="17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7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0" w:hRule="atLeast"/>
        </w:trPr>
        <w:tc>
          <w:tcPr>
            <w:tcW w:w="78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28" w:type="dxa"/>
            <w:vAlign w:val="top"/>
          </w:tcPr>
          <w:p>
            <w:pPr>
              <w:pStyle w:val="TableText"/>
              <w:ind w:left="200"/>
              <w:spacing w:before="120" w:line="192" w:lineRule="auto"/>
              <w:rPr/>
            </w:pPr>
            <w:r>
              <w:rPr>
                <w:spacing w:val="-5"/>
              </w:rPr>
              <w:t>身</w:t>
            </w:r>
            <w:r>
              <w:rPr>
                <w:spacing w:val="21"/>
              </w:rPr>
              <w:t xml:space="preserve"> </w:t>
            </w:r>
            <w:r>
              <w:rPr>
                <w:spacing w:val="-5"/>
              </w:rPr>
              <w:t>份证</w:t>
            </w:r>
            <w:r>
              <w:rPr>
                <w:spacing w:val="27"/>
              </w:rPr>
              <w:t xml:space="preserve"> </w:t>
            </w:r>
            <w:r>
              <w:rPr>
                <w:spacing w:val="-5"/>
              </w:rPr>
              <w:t>号</w:t>
            </w:r>
          </w:p>
        </w:tc>
        <w:tc>
          <w:tcPr>
            <w:tcW w:w="5054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7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9" w:hRule="atLeast"/>
        </w:trPr>
        <w:tc>
          <w:tcPr>
            <w:tcW w:w="78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28" w:type="dxa"/>
            <w:vAlign w:val="top"/>
          </w:tcPr>
          <w:p>
            <w:pPr>
              <w:pStyle w:val="TableText"/>
              <w:ind w:left="140"/>
              <w:spacing w:before="112" w:line="197" w:lineRule="auto"/>
              <w:rPr/>
            </w:pPr>
            <w:r>
              <w:rPr>
                <w:spacing w:val="-16"/>
              </w:rPr>
              <w:t>联</w:t>
            </w:r>
            <w:r>
              <w:rPr>
                <w:spacing w:val="15"/>
              </w:rPr>
              <w:t xml:space="preserve"> </w:t>
            </w:r>
            <w:r>
              <w:rPr>
                <w:spacing w:val="-16"/>
              </w:rPr>
              <w:t>系</w:t>
            </w:r>
            <w:r>
              <w:rPr>
                <w:spacing w:val="37"/>
              </w:rPr>
              <w:t xml:space="preserve"> </w:t>
            </w:r>
            <w:r>
              <w:rPr>
                <w:spacing w:val="-16"/>
              </w:rPr>
              <w:t>电</w:t>
            </w:r>
            <w:r>
              <w:rPr>
                <w:spacing w:val="10"/>
              </w:rPr>
              <w:t xml:space="preserve"> </w:t>
            </w:r>
            <w:r>
              <w:rPr>
                <w:spacing w:val="-16"/>
              </w:rPr>
              <w:t>话</w:t>
            </w:r>
          </w:p>
        </w:tc>
        <w:tc>
          <w:tcPr>
            <w:tcW w:w="15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18" w:type="dxa"/>
            <w:vAlign w:val="top"/>
          </w:tcPr>
          <w:p>
            <w:pPr>
              <w:pStyle w:val="TableText"/>
              <w:ind w:left="95"/>
              <w:spacing w:before="122" w:line="190" w:lineRule="auto"/>
              <w:rPr/>
            </w:pPr>
            <w:r>
              <w:rPr>
                <w:spacing w:val="-8"/>
              </w:rPr>
              <w:t>开</w:t>
            </w:r>
            <w:r>
              <w:rPr/>
              <w:t xml:space="preserve">   </w:t>
            </w:r>
            <w:r>
              <w:rPr>
                <w:spacing w:val="-8"/>
              </w:rPr>
              <w:t>户</w:t>
            </w:r>
            <w:r>
              <w:rPr>
                <w:spacing w:val="7"/>
              </w:rPr>
              <w:t xml:space="preserve"> </w:t>
            </w:r>
            <w:r>
              <w:rPr>
                <w:spacing w:val="-8"/>
              </w:rPr>
              <w:t>银</w:t>
            </w:r>
            <w:r>
              <w:rPr>
                <w:spacing w:val="9"/>
              </w:rPr>
              <w:t xml:space="preserve"> </w:t>
            </w:r>
            <w:r>
              <w:rPr>
                <w:spacing w:val="-8"/>
              </w:rPr>
              <w:t>行</w:t>
            </w:r>
          </w:p>
        </w:tc>
        <w:tc>
          <w:tcPr>
            <w:tcW w:w="17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7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0" w:hRule="atLeast"/>
        </w:trPr>
        <w:tc>
          <w:tcPr>
            <w:tcW w:w="78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28" w:type="dxa"/>
            <w:vAlign w:val="top"/>
          </w:tcPr>
          <w:p>
            <w:pPr>
              <w:pStyle w:val="TableText"/>
              <w:ind w:left="61"/>
              <w:spacing w:before="113" w:line="190" w:lineRule="auto"/>
              <w:rPr/>
            </w:pPr>
            <w:r>
              <w:rPr>
                <w:spacing w:val="-10"/>
              </w:rPr>
              <w:t>银</w:t>
            </w:r>
            <w:r>
              <w:rPr>
                <w:spacing w:val="-44"/>
              </w:rPr>
              <w:t xml:space="preserve"> </w:t>
            </w:r>
            <w:r>
              <w:rPr>
                <w:spacing w:val="-10"/>
              </w:rPr>
              <w:t>行</w:t>
            </w:r>
            <w:r>
              <w:rPr>
                <w:spacing w:val="7"/>
              </w:rPr>
              <w:t xml:space="preserve">  </w:t>
            </w:r>
            <w:r>
              <w:rPr>
                <w:spacing w:val="-10"/>
              </w:rPr>
              <w:t>账</w:t>
            </w:r>
            <w:r>
              <w:rPr>
                <w:spacing w:val="9"/>
              </w:rPr>
              <w:t xml:space="preserve">  </w:t>
            </w:r>
            <w:r>
              <w:rPr>
                <w:spacing w:val="-10"/>
              </w:rPr>
              <w:t>号</w:t>
            </w:r>
          </w:p>
        </w:tc>
        <w:tc>
          <w:tcPr>
            <w:tcW w:w="5054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7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149" w:hRule="atLeast"/>
        </w:trPr>
        <w:tc>
          <w:tcPr>
            <w:tcW w:w="78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28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1" w:right="53" w:firstLine="19"/>
              <w:spacing w:before="78" w:line="290" w:lineRule="auto"/>
              <w:rPr/>
            </w:pPr>
            <w:r>
              <w:rPr>
                <w:spacing w:val="3"/>
              </w:rPr>
              <w:t>认定为孤儿的</w:t>
            </w:r>
            <w:r>
              <w:rPr/>
              <w:t xml:space="preserve"> </w:t>
            </w:r>
            <w:r>
              <w:rPr>
                <w:spacing w:val="-25"/>
              </w:rPr>
              <w:t>时</w:t>
            </w:r>
            <w:r>
              <w:rPr>
                <w:spacing w:val="14"/>
              </w:rPr>
              <w:t xml:space="preserve">        </w:t>
            </w:r>
            <w:r>
              <w:rPr>
                <w:spacing w:val="-25"/>
              </w:rPr>
              <w:t>间</w:t>
            </w:r>
          </w:p>
        </w:tc>
        <w:tc>
          <w:tcPr>
            <w:tcW w:w="1598" w:type="dxa"/>
            <w:vAlign w:val="top"/>
          </w:tcPr>
          <w:p>
            <w:pPr>
              <w:spacing w:line="38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33"/>
              <w:spacing w:before="78" w:line="219" w:lineRule="auto"/>
              <w:rPr/>
            </w:pPr>
            <w:r>
              <w:rPr>
                <w:spacing w:val="-6"/>
              </w:rPr>
              <w:t>年</w:t>
            </w:r>
            <w:r>
              <w:rPr>
                <w:spacing w:val="74"/>
              </w:rPr>
              <w:t xml:space="preserve"> </w:t>
            </w:r>
            <w:r>
              <w:rPr>
                <w:spacing w:val="-6"/>
              </w:rPr>
              <w:t>月</w:t>
            </w:r>
          </w:p>
        </w:tc>
        <w:tc>
          <w:tcPr>
            <w:tcW w:w="1718" w:type="dxa"/>
            <w:vAlign w:val="top"/>
          </w:tcPr>
          <w:p>
            <w:pPr>
              <w:spacing w:line="38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5"/>
              <w:spacing w:before="78" w:line="219" w:lineRule="auto"/>
              <w:rPr/>
            </w:pPr>
            <w:r>
              <w:rPr>
                <w:spacing w:val="-9"/>
              </w:rPr>
              <w:t>身</w:t>
            </w:r>
            <w:r>
              <w:rPr>
                <w:spacing w:val="16"/>
              </w:rPr>
              <w:t xml:space="preserve">  </w:t>
            </w:r>
            <w:r>
              <w:rPr>
                <w:spacing w:val="-9"/>
              </w:rPr>
              <w:t>份</w:t>
            </w:r>
            <w:r>
              <w:rPr>
                <w:spacing w:val="-40"/>
              </w:rPr>
              <w:t xml:space="preserve"> </w:t>
            </w:r>
            <w:r>
              <w:rPr>
                <w:spacing w:val="-9"/>
              </w:rPr>
              <w:t>类</w:t>
            </w:r>
            <w:r>
              <w:rPr>
                <w:spacing w:val="17"/>
              </w:rPr>
              <w:t xml:space="preserve">  </w:t>
            </w:r>
            <w:r>
              <w:rPr>
                <w:spacing w:val="-9"/>
              </w:rPr>
              <w:t>别</w:t>
            </w:r>
          </w:p>
        </w:tc>
        <w:tc>
          <w:tcPr>
            <w:tcW w:w="3211" w:type="dxa"/>
            <w:vAlign w:val="top"/>
            <w:gridSpan w:val="2"/>
          </w:tcPr>
          <w:p>
            <w:pPr>
              <w:pStyle w:val="TableText"/>
              <w:ind w:left="86"/>
              <w:spacing w:before="130" w:line="219" w:lineRule="auto"/>
              <w:rPr/>
            </w:pPr>
            <w:r>
              <w:rPr>
                <w:spacing w:val="1"/>
              </w:rPr>
              <w:t>□社会散居孤儿</w:t>
            </w:r>
          </w:p>
          <w:p>
            <w:pPr>
              <w:pStyle w:val="TableText"/>
              <w:ind w:left="86"/>
              <w:spacing w:before="115" w:line="219" w:lineRule="auto"/>
              <w:rPr/>
            </w:pPr>
            <w:r>
              <w:rPr/>
              <w:t>□儿童福利机构养育孤儿</w:t>
            </w:r>
          </w:p>
          <w:p>
            <w:pPr>
              <w:pStyle w:val="TableText"/>
              <w:ind w:left="86"/>
              <w:spacing w:before="66" w:line="198" w:lineRule="auto"/>
              <w:rPr/>
            </w:pPr>
            <w:r>
              <w:rPr>
                <w:spacing w:val="1"/>
              </w:rPr>
              <w:t>□被收养的残疾孤儿</w:t>
            </w:r>
          </w:p>
        </w:tc>
      </w:tr>
      <w:tr>
        <w:trPr>
          <w:trHeight w:val="370" w:hRule="atLeast"/>
        </w:trPr>
        <w:tc>
          <w:tcPr>
            <w:tcW w:w="784" w:type="dxa"/>
            <w:vAlign w:val="top"/>
            <w:vMerge w:val="restart"/>
            <w:tcBorders>
              <w:bottom w:val="nil"/>
            </w:tcBorders>
          </w:tcPr>
          <w:p>
            <w:pPr>
              <w:spacing w:line="315" w:lineRule="auto"/>
              <w:rPr>
                <w:rFonts w:ascii="Arial"/>
                <w:sz w:val="21"/>
              </w:rPr>
            </w:pPr>
            <w:r/>
          </w:p>
          <w:p>
            <w:pPr>
              <w:spacing w:line="31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4"/>
              <w:spacing w:before="78" w:line="220" w:lineRule="auto"/>
              <w:rPr/>
            </w:pPr>
            <w:r>
              <w:rPr>
                <w:spacing w:val="4"/>
              </w:rPr>
              <w:t>学校</w:t>
            </w:r>
          </w:p>
          <w:p>
            <w:pPr>
              <w:pStyle w:val="TableText"/>
              <w:ind w:left="144"/>
              <w:spacing w:before="71" w:line="219" w:lineRule="auto"/>
              <w:rPr/>
            </w:pPr>
            <w:r>
              <w:rPr>
                <w:spacing w:val="5"/>
              </w:rPr>
              <w:t>基本</w:t>
            </w:r>
          </w:p>
          <w:p>
            <w:pPr>
              <w:pStyle w:val="TableText"/>
              <w:ind w:left="144"/>
              <w:spacing w:before="106" w:line="219" w:lineRule="auto"/>
              <w:rPr/>
            </w:pPr>
            <w:r>
              <w:rPr>
                <w:spacing w:val="8"/>
              </w:rPr>
              <w:t>信息</w:t>
            </w:r>
          </w:p>
        </w:tc>
        <w:tc>
          <w:tcPr>
            <w:tcW w:w="1628" w:type="dxa"/>
            <w:vAlign w:val="top"/>
          </w:tcPr>
          <w:p>
            <w:pPr>
              <w:pStyle w:val="TableText"/>
              <w:ind w:left="140"/>
              <w:spacing w:before="103" w:line="197" w:lineRule="auto"/>
              <w:rPr/>
            </w:pPr>
            <w:r>
              <w:rPr>
                <w:spacing w:val="-10"/>
              </w:rPr>
              <w:t>学</w:t>
            </w:r>
            <w:r>
              <w:rPr>
                <w:spacing w:val="21"/>
              </w:rPr>
              <w:t xml:space="preserve"> </w:t>
            </w:r>
            <w:r>
              <w:rPr>
                <w:spacing w:val="-10"/>
              </w:rPr>
              <w:t>校</w:t>
            </w:r>
            <w:r>
              <w:rPr>
                <w:spacing w:val="21"/>
              </w:rPr>
              <w:t xml:space="preserve"> </w:t>
            </w:r>
            <w:r>
              <w:rPr>
                <w:spacing w:val="-10"/>
              </w:rPr>
              <w:t>名</w:t>
            </w:r>
            <w:r>
              <w:rPr>
                <w:spacing w:val="17"/>
              </w:rPr>
              <w:t xml:space="preserve"> </w:t>
            </w:r>
            <w:r>
              <w:rPr>
                <w:spacing w:val="-10"/>
              </w:rPr>
              <w:t>称</w:t>
            </w:r>
          </w:p>
        </w:tc>
        <w:tc>
          <w:tcPr>
            <w:tcW w:w="15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18" w:type="dxa"/>
            <w:vAlign w:val="top"/>
          </w:tcPr>
          <w:p>
            <w:pPr>
              <w:pStyle w:val="TableText"/>
              <w:ind w:left="194"/>
              <w:spacing w:before="123" w:line="182" w:lineRule="auto"/>
              <w:rPr/>
            </w:pPr>
            <w:r>
              <w:rPr>
                <w:spacing w:val="-9"/>
              </w:rPr>
              <w:t>学</w:t>
            </w:r>
            <w:r>
              <w:rPr>
                <w:spacing w:val="19"/>
              </w:rPr>
              <w:t xml:space="preserve"> </w:t>
            </w:r>
            <w:r>
              <w:rPr>
                <w:spacing w:val="-9"/>
              </w:rPr>
              <w:t>校</w:t>
            </w:r>
            <w:r>
              <w:rPr>
                <w:spacing w:val="18"/>
              </w:rPr>
              <w:t xml:space="preserve"> </w:t>
            </w:r>
            <w:r>
              <w:rPr>
                <w:spacing w:val="-9"/>
              </w:rPr>
              <w:t>地</w:t>
            </w:r>
            <w:r>
              <w:rPr>
                <w:spacing w:val="19"/>
              </w:rPr>
              <w:t xml:space="preserve"> </w:t>
            </w:r>
            <w:r>
              <w:rPr>
                <w:spacing w:val="-9"/>
              </w:rPr>
              <w:t>址</w:t>
            </w:r>
          </w:p>
        </w:tc>
        <w:tc>
          <w:tcPr>
            <w:tcW w:w="3211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9" w:hRule="atLeast"/>
        </w:trPr>
        <w:tc>
          <w:tcPr>
            <w:tcW w:w="78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28" w:type="dxa"/>
            <w:vAlign w:val="top"/>
          </w:tcPr>
          <w:p>
            <w:pPr>
              <w:pStyle w:val="TableText"/>
              <w:ind w:left="61"/>
              <w:spacing w:before="123" w:line="189" w:lineRule="auto"/>
              <w:rPr/>
            </w:pPr>
            <w:r>
              <w:rPr>
                <w:spacing w:val="-8"/>
              </w:rPr>
              <w:t>学</w:t>
            </w:r>
            <w:r>
              <w:rPr>
                <w:spacing w:val="10"/>
              </w:rPr>
              <w:t xml:space="preserve">        </w:t>
            </w:r>
            <w:r>
              <w:rPr>
                <w:spacing w:val="-8"/>
              </w:rPr>
              <w:t>制</w:t>
            </w:r>
          </w:p>
        </w:tc>
        <w:tc>
          <w:tcPr>
            <w:tcW w:w="15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18" w:type="dxa"/>
            <w:vAlign w:val="top"/>
          </w:tcPr>
          <w:p>
            <w:pPr>
              <w:pStyle w:val="TableText"/>
              <w:ind w:left="194"/>
              <w:spacing w:before="114" w:line="196" w:lineRule="auto"/>
              <w:rPr/>
            </w:pPr>
            <w:r>
              <w:rPr>
                <w:spacing w:val="-9"/>
              </w:rPr>
              <w:t>所</w:t>
            </w:r>
            <w:r>
              <w:rPr>
                <w:spacing w:val="15"/>
              </w:rPr>
              <w:t xml:space="preserve"> </w:t>
            </w:r>
            <w:r>
              <w:rPr>
                <w:spacing w:val="-9"/>
              </w:rPr>
              <w:t>学</w:t>
            </w:r>
            <w:r>
              <w:rPr>
                <w:spacing w:val="10"/>
              </w:rPr>
              <w:t xml:space="preserve"> </w:t>
            </w:r>
            <w:r>
              <w:rPr>
                <w:spacing w:val="-9"/>
              </w:rPr>
              <w:t>专</w:t>
            </w:r>
            <w:r>
              <w:rPr>
                <w:spacing w:val="9"/>
              </w:rPr>
              <w:t xml:space="preserve"> </w:t>
            </w:r>
            <w:r>
              <w:rPr>
                <w:spacing w:val="-9"/>
              </w:rPr>
              <w:t>业</w:t>
            </w:r>
          </w:p>
        </w:tc>
        <w:tc>
          <w:tcPr>
            <w:tcW w:w="3211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0" w:hRule="atLeast"/>
        </w:trPr>
        <w:tc>
          <w:tcPr>
            <w:tcW w:w="78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28" w:type="dxa"/>
            <w:vAlign w:val="top"/>
          </w:tcPr>
          <w:p>
            <w:pPr>
              <w:pStyle w:val="TableText"/>
              <w:ind w:left="81"/>
              <w:spacing w:before="115" w:line="196" w:lineRule="auto"/>
              <w:rPr/>
            </w:pPr>
            <w:r>
              <w:rPr>
                <w:spacing w:val="2"/>
              </w:rPr>
              <w:t>入  学  时间</w:t>
            </w:r>
          </w:p>
        </w:tc>
        <w:tc>
          <w:tcPr>
            <w:tcW w:w="15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18" w:type="dxa"/>
            <w:vAlign w:val="top"/>
          </w:tcPr>
          <w:p>
            <w:pPr>
              <w:pStyle w:val="TableText"/>
              <w:ind w:left="95"/>
              <w:spacing w:before="123" w:line="190" w:lineRule="auto"/>
              <w:rPr/>
            </w:pPr>
            <w:r>
              <w:rPr>
                <w:spacing w:val="-11"/>
              </w:rPr>
              <w:t>毕</w:t>
            </w:r>
            <w:r>
              <w:rPr>
                <w:spacing w:val="7"/>
              </w:rPr>
              <w:t xml:space="preserve"> </w:t>
            </w:r>
            <w:r>
              <w:rPr>
                <w:spacing w:val="-11"/>
              </w:rPr>
              <w:t>业</w:t>
            </w:r>
            <w:r>
              <w:rPr>
                <w:spacing w:val="6"/>
              </w:rPr>
              <w:t xml:space="preserve">   </w:t>
            </w:r>
            <w:r>
              <w:rPr>
                <w:spacing w:val="-11"/>
              </w:rPr>
              <w:t>时</w:t>
            </w:r>
            <w:r>
              <w:rPr>
                <w:spacing w:val="29"/>
              </w:rPr>
              <w:t xml:space="preserve"> </w:t>
            </w:r>
            <w:r>
              <w:rPr>
                <w:spacing w:val="-11"/>
              </w:rPr>
              <w:t>间</w:t>
            </w:r>
          </w:p>
        </w:tc>
        <w:tc>
          <w:tcPr>
            <w:tcW w:w="3211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59" w:hRule="atLeast"/>
        </w:trPr>
        <w:tc>
          <w:tcPr>
            <w:tcW w:w="78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28" w:type="dxa"/>
            <w:vAlign w:val="top"/>
          </w:tcPr>
          <w:p>
            <w:pPr>
              <w:pStyle w:val="TableText"/>
              <w:ind w:left="81"/>
              <w:spacing w:before="124" w:line="220" w:lineRule="auto"/>
              <w:rPr/>
            </w:pPr>
            <w:r>
              <w:rPr>
                <w:spacing w:val="-11"/>
              </w:rPr>
              <w:t>是</w:t>
            </w:r>
            <w:r>
              <w:rPr>
                <w:spacing w:val="10"/>
              </w:rPr>
              <w:t xml:space="preserve">   </w:t>
            </w:r>
            <w:r>
              <w:rPr>
                <w:spacing w:val="-11"/>
              </w:rPr>
              <w:t>否</w:t>
            </w:r>
            <w:r>
              <w:rPr>
                <w:spacing w:val="8"/>
              </w:rPr>
              <w:t xml:space="preserve">   </w:t>
            </w:r>
            <w:r>
              <w:rPr>
                <w:spacing w:val="-11"/>
              </w:rPr>
              <w:t>为</w:t>
            </w:r>
          </w:p>
          <w:p>
            <w:pPr>
              <w:pStyle w:val="TableText"/>
              <w:ind w:left="71"/>
              <w:spacing w:before="74" w:line="203" w:lineRule="auto"/>
              <w:rPr/>
            </w:pPr>
            <w:r>
              <w:rPr>
                <w:spacing w:val="-20"/>
              </w:rPr>
              <w:t>全</w:t>
            </w:r>
            <w:r>
              <w:rPr>
                <w:spacing w:val="14"/>
              </w:rPr>
              <w:t xml:space="preserve">    </w:t>
            </w:r>
            <w:r>
              <w:rPr>
                <w:spacing w:val="-20"/>
              </w:rPr>
              <w:t>日</w:t>
            </w:r>
            <w:r>
              <w:rPr>
                <w:spacing w:val="27"/>
              </w:rPr>
              <w:t xml:space="preserve">  </w:t>
            </w:r>
            <w:r>
              <w:rPr>
                <w:spacing w:val="-20"/>
              </w:rPr>
              <w:t>制</w:t>
            </w:r>
          </w:p>
        </w:tc>
        <w:tc>
          <w:tcPr>
            <w:tcW w:w="1598" w:type="dxa"/>
            <w:vAlign w:val="top"/>
          </w:tcPr>
          <w:p>
            <w:pPr>
              <w:pStyle w:val="TableText"/>
              <w:ind w:left="92"/>
              <w:spacing w:before="138" w:line="223" w:lineRule="auto"/>
              <w:rPr/>
            </w:pPr>
            <w:r>
              <w:rPr>
                <w:spacing w:val="6"/>
              </w:rPr>
              <w:t>□是</w:t>
            </w:r>
          </w:p>
          <w:p>
            <w:pPr>
              <w:pStyle w:val="TableText"/>
              <w:ind w:left="92"/>
              <w:spacing w:before="86" w:line="180" w:lineRule="auto"/>
              <w:rPr/>
            </w:pPr>
            <w:r>
              <w:rPr>
                <w:spacing w:val="17"/>
              </w:rPr>
              <w:t>口否</w:t>
            </w:r>
          </w:p>
        </w:tc>
        <w:tc>
          <w:tcPr>
            <w:tcW w:w="1718" w:type="dxa"/>
            <w:vAlign w:val="top"/>
          </w:tcPr>
          <w:p>
            <w:pPr>
              <w:pStyle w:val="TableText"/>
              <w:ind w:left="74" w:right="61" w:firstLine="10"/>
              <w:spacing w:before="114" w:line="244" w:lineRule="auto"/>
              <w:rPr/>
            </w:pPr>
            <w:r>
              <w:rPr>
                <w:spacing w:val="-15"/>
              </w:rPr>
              <w:t>是</w:t>
            </w:r>
            <w:r>
              <w:rPr>
                <w:spacing w:val="27"/>
              </w:rPr>
              <w:t xml:space="preserve">   </w:t>
            </w:r>
            <w:r>
              <w:rPr>
                <w:spacing w:val="-15"/>
              </w:rPr>
              <w:t>否</w:t>
            </w:r>
            <w:r>
              <w:rPr>
                <w:spacing w:val="25"/>
              </w:rPr>
              <w:t xml:space="preserve">   </w:t>
            </w:r>
            <w:r>
              <w:rPr>
                <w:spacing w:val="-15"/>
              </w:rPr>
              <w:t>为</w:t>
            </w:r>
            <w:r>
              <w:rPr/>
              <w:t xml:space="preserve"> </w:t>
            </w:r>
            <w:r>
              <w:rPr>
                <w:spacing w:val="-11"/>
              </w:rPr>
              <w:t>新</w:t>
            </w:r>
            <w:r>
              <w:rPr>
                <w:spacing w:val="27"/>
              </w:rPr>
              <w:t xml:space="preserve">   </w:t>
            </w:r>
            <w:r>
              <w:rPr>
                <w:spacing w:val="-11"/>
              </w:rPr>
              <w:t>录</w:t>
            </w:r>
            <w:r>
              <w:rPr>
                <w:spacing w:val="27"/>
              </w:rPr>
              <w:t xml:space="preserve">   </w:t>
            </w:r>
            <w:r>
              <w:rPr>
                <w:spacing w:val="-11"/>
              </w:rPr>
              <w:t>取</w:t>
            </w:r>
          </w:p>
        </w:tc>
        <w:tc>
          <w:tcPr>
            <w:tcW w:w="3211" w:type="dxa"/>
            <w:vAlign w:val="top"/>
            <w:gridSpan w:val="2"/>
          </w:tcPr>
          <w:p>
            <w:pPr>
              <w:pStyle w:val="TableText"/>
              <w:ind w:left="86"/>
              <w:spacing w:before="128" w:line="223" w:lineRule="auto"/>
              <w:rPr/>
            </w:pPr>
            <w:r>
              <w:rPr>
                <w:spacing w:val="6"/>
              </w:rPr>
              <w:t>□是</w:t>
            </w:r>
          </w:p>
          <w:p>
            <w:pPr>
              <w:pStyle w:val="TableText"/>
              <w:ind w:left="86"/>
              <w:spacing w:before="86" w:line="188" w:lineRule="auto"/>
              <w:rPr/>
            </w:pPr>
            <w:r>
              <w:rPr>
                <w:spacing w:val="8"/>
              </w:rPr>
              <w:t>□否</w:t>
            </w:r>
          </w:p>
        </w:tc>
      </w:tr>
      <w:tr>
        <w:trPr>
          <w:trHeight w:val="370" w:hRule="atLeast"/>
        </w:trPr>
        <w:tc>
          <w:tcPr>
            <w:tcW w:w="78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28" w:type="dxa"/>
            <w:vAlign w:val="top"/>
          </w:tcPr>
          <w:p>
            <w:pPr>
              <w:pStyle w:val="TableText"/>
              <w:ind w:left="81"/>
              <w:spacing w:before="103" w:line="197" w:lineRule="auto"/>
              <w:rPr/>
            </w:pPr>
            <w:r>
              <w:rPr>
                <w:spacing w:val="1"/>
              </w:rPr>
              <w:t>受教育阶段</w:t>
            </w:r>
          </w:p>
        </w:tc>
        <w:tc>
          <w:tcPr>
            <w:tcW w:w="6527" w:type="dxa"/>
            <w:vAlign w:val="top"/>
            <w:gridSpan w:val="4"/>
          </w:tcPr>
          <w:p>
            <w:pPr>
              <w:pStyle w:val="TableText"/>
              <w:ind w:left="112"/>
              <w:spacing w:before="103" w:line="197" w:lineRule="auto"/>
              <w:rPr/>
            </w:pPr>
            <w:r>
              <w:rPr>
                <w:spacing w:val="1"/>
              </w:rPr>
              <w:t>□高中□中专</w:t>
            </w:r>
            <w:r>
              <w:rPr>
                <w:spacing w:val="112"/>
              </w:rPr>
              <w:t xml:space="preserve"> </w:t>
            </w:r>
            <w:r>
              <w:rPr>
                <w:spacing w:val="1"/>
              </w:rPr>
              <w:t>□大专□本科□硕士研究生</w:t>
            </w:r>
          </w:p>
        </w:tc>
      </w:tr>
      <w:tr>
        <w:trPr>
          <w:trHeight w:val="1528" w:hRule="atLeast"/>
        </w:trPr>
        <w:tc>
          <w:tcPr>
            <w:tcW w:w="784" w:type="dxa"/>
            <w:vAlign w:val="top"/>
          </w:tcPr>
          <w:p>
            <w:pPr>
              <w:pStyle w:val="TableText"/>
              <w:ind w:left="264" w:right="137" w:hanging="120"/>
              <w:spacing w:before="304" w:line="300" w:lineRule="auto"/>
              <w:rPr/>
            </w:pPr>
            <w:r>
              <w:rPr>
                <w:spacing w:val="5"/>
              </w:rPr>
              <w:t>申请</w:t>
            </w:r>
            <w:r>
              <w:rPr/>
              <w:t xml:space="preserve"> </w:t>
            </w:r>
            <w:r>
              <w:rPr/>
              <w:t>人</w:t>
            </w:r>
          </w:p>
          <w:p>
            <w:pPr>
              <w:pStyle w:val="TableText"/>
              <w:ind w:left="144"/>
              <w:spacing w:line="219" w:lineRule="auto"/>
              <w:rPr/>
            </w:pPr>
            <w:r>
              <w:rPr>
                <w:spacing w:val="-3"/>
              </w:rPr>
              <w:t>承诺</w:t>
            </w:r>
          </w:p>
        </w:tc>
        <w:tc>
          <w:tcPr>
            <w:tcW w:w="8155" w:type="dxa"/>
            <w:vAlign w:val="top"/>
            <w:gridSpan w:val="5"/>
          </w:tcPr>
          <w:p>
            <w:pPr>
              <w:pStyle w:val="TableText"/>
              <w:ind w:left="10" w:firstLine="499"/>
              <w:spacing w:before="124" w:line="295" w:lineRule="auto"/>
              <w:jc w:val="both"/>
              <w:rPr/>
            </w:pPr>
            <w:r>
              <w:rPr>
                <w:spacing w:val="-25"/>
              </w:rPr>
              <w:t>本申请人已详细了解“福彩圆梦</w:t>
            </w:r>
            <w:r>
              <w:rPr>
                <w:spacing w:val="-36"/>
              </w:rPr>
              <w:t xml:space="preserve"> </w:t>
            </w:r>
            <w:r>
              <w:rPr>
                <w:spacing w:val="-24"/>
              </w:rPr>
              <w:t>·孤儿助学工程”项目</w:t>
            </w:r>
            <w:r>
              <w:rPr>
                <w:spacing w:val="-25"/>
              </w:rPr>
              <w:t>相关规定，并承诺，以</w:t>
            </w:r>
            <w:r>
              <w:rPr>
                <w:spacing w:val="-11"/>
              </w:rPr>
              <w:t>上</w:t>
            </w:r>
            <w:r>
              <w:rPr/>
              <w:t xml:space="preserve"> </w:t>
            </w:r>
            <w:r>
              <w:rPr>
                <w:spacing w:val="-21"/>
              </w:rPr>
              <w:t>所填信息及所提交材料</w:t>
            </w:r>
            <w:r>
              <w:rPr>
                <w:spacing w:val="-20"/>
              </w:rPr>
              <w:t>全部真实有效。如有虚假，本申请人愿承担</w:t>
            </w:r>
            <w:r>
              <w:rPr>
                <w:spacing w:val="-21"/>
              </w:rPr>
              <w:t>相应的责任，并</w:t>
            </w:r>
            <w:r>
              <w:rPr>
                <w:spacing w:val="-11"/>
              </w:rPr>
              <w:t>退</w:t>
            </w:r>
            <w:r>
              <w:rPr/>
              <w:t xml:space="preserve"> </w:t>
            </w:r>
            <w:r>
              <w:rPr>
                <w:spacing w:val="3"/>
              </w:rPr>
              <w:t>回已领取的助学金。如发生暂停或终止情形，将主动告</w:t>
            </w:r>
            <w:r>
              <w:rPr>
                <w:spacing w:val="2"/>
              </w:rPr>
              <w:t>知有关单位。</w:t>
            </w:r>
          </w:p>
          <w:p>
            <w:pPr>
              <w:pStyle w:val="TableText"/>
              <w:ind w:left="101"/>
              <w:spacing w:line="187" w:lineRule="auto"/>
              <w:rPr/>
            </w:pPr>
            <w:r>
              <w:rPr>
                <w:spacing w:val="-3"/>
              </w:rPr>
              <w:t>中请人：</w:t>
            </w:r>
            <w:r>
              <w:rPr>
                <w:spacing w:val="5"/>
              </w:rPr>
              <w:t xml:space="preserve">          </w:t>
            </w:r>
            <w:r>
              <w:rPr>
                <w:spacing w:val="-3"/>
              </w:rPr>
              <w:t>年</w:t>
            </w:r>
            <w:r>
              <w:rPr>
                <w:spacing w:val="22"/>
              </w:rPr>
              <w:t xml:space="preserve">    </w:t>
            </w:r>
            <w:r>
              <w:rPr>
                <w:spacing w:val="-3"/>
              </w:rPr>
              <w:t>月     日</w:t>
            </w:r>
          </w:p>
        </w:tc>
      </w:tr>
      <w:tr>
        <w:trPr>
          <w:trHeight w:val="1708" w:hRule="atLeast"/>
        </w:trPr>
        <w:tc>
          <w:tcPr>
            <w:tcW w:w="784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8"/>
              <w:spacing w:before="78" w:line="221" w:lineRule="auto"/>
              <w:rPr/>
            </w:pPr>
            <w:r>
              <w:rPr>
                <w:b/>
                <w:bCs/>
                <w:spacing w:val="-7"/>
              </w:rPr>
              <w:t>受理</w:t>
            </w:r>
          </w:p>
          <w:p>
            <w:pPr>
              <w:pStyle w:val="TableText"/>
              <w:ind w:left="148"/>
              <w:spacing w:before="69" w:line="219" w:lineRule="auto"/>
              <w:rPr/>
            </w:pPr>
            <w:r>
              <w:rPr>
                <w:b/>
                <w:bCs/>
              </w:rPr>
              <w:t>意见</w:t>
            </w:r>
          </w:p>
        </w:tc>
        <w:tc>
          <w:tcPr>
            <w:tcW w:w="8155" w:type="dxa"/>
            <w:vAlign w:val="top"/>
            <w:gridSpan w:val="5"/>
          </w:tcPr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81"/>
              <w:spacing w:before="78" w:line="227" w:lineRule="auto"/>
              <w:rPr/>
            </w:pPr>
            <w:r>
              <w:rPr>
                <w:spacing w:val="3"/>
              </w:rPr>
              <w:t>承办人：</w:t>
            </w:r>
            <w:r>
              <w:rPr>
                <w:spacing w:val="11"/>
              </w:rPr>
              <w:t xml:space="preserve">    </w:t>
            </w:r>
            <w:r>
              <w:rPr>
                <w:spacing w:val="3"/>
              </w:rPr>
              <w:t>负责人：(盖章)</w:t>
            </w:r>
          </w:p>
          <w:p>
            <w:pPr>
              <w:pStyle w:val="TableText"/>
              <w:spacing w:before="56" w:line="219" w:lineRule="auto"/>
              <w:jc w:val="right"/>
              <w:rPr/>
            </w:pPr>
            <w:r>
              <w:rPr>
                <w:spacing w:val="-26"/>
              </w:rPr>
              <w:t>年</w:t>
            </w:r>
            <w:r>
              <w:rPr>
                <w:spacing w:val="20"/>
              </w:rPr>
              <w:t xml:space="preserve">   </w:t>
            </w:r>
            <w:r>
              <w:rPr>
                <w:spacing w:val="-26"/>
              </w:rPr>
              <w:t>月</w:t>
            </w:r>
            <w:r>
              <w:rPr>
                <w:spacing w:val="33"/>
              </w:rPr>
              <w:t xml:space="preserve">   </w:t>
            </w:r>
            <w:r>
              <w:rPr>
                <w:spacing w:val="-26"/>
              </w:rPr>
              <w:t>日</w:t>
            </w:r>
          </w:p>
        </w:tc>
      </w:tr>
      <w:tr>
        <w:trPr>
          <w:trHeight w:val="1523" w:hRule="atLeast"/>
        </w:trPr>
        <w:tc>
          <w:tcPr>
            <w:tcW w:w="784" w:type="dxa"/>
            <w:vAlign w:val="top"/>
          </w:tcPr>
          <w:p>
            <w:pPr>
              <w:spacing w:line="41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4"/>
              <w:spacing w:before="78" w:line="220" w:lineRule="auto"/>
              <w:rPr/>
            </w:pPr>
            <w:r>
              <w:rPr>
                <w:spacing w:val="7"/>
              </w:rPr>
              <w:t>审核</w:t>
            </w:r>
          </w:p>
          <w:p>
            <w:pPr>
              <w:pStyle w:val="TableText"/>
              <w:ind w:left="144"/>
              <w:spacing w:before="113" w:line="219" w:lineRule="auto"/>
              <w:rPr/>
            </w:pPr>
            <w:r>
              <w:rPr>
                <w:spacing w:val="6"/>
              </w:rPr>
              <w:t>意见</w:t>
            </w:r>
          </w:p>
        </w:tc>
        <w:tc>
          <w:tcPr>
            <w:tcW w:w="8155" w:type="dxa"/>
            <w:vAlign w:val="top"/>
            <w:gridSpan w:val="5"/>
          </w:tcPr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81"/>
              <w:spacing w:before="78" w:line="219" w:lineRule="auto"/>
              <w:rPr/>
            </w:pPr>
            <w:r>
              <w:rPr>
                <w:spacing w:val="3"/>
              </w:rPr>
              <w:t>承办人：</w:t>
            </w:r>
            <w:r>
              <w:rPr>
                <w:spacing w:val="11"/>
              </w:rPr>
              <w:t xml:space="preserve">    </w:t>
            </w:r>
            <w:r>
              <w:rPr>
                <w:spacing w:val="3"/>
              </w:rPr>
              <w:t>负责人：(盖章)</w:t>
            </w:r>
          </w:p>
          <w:p>
            <w:pPr>
              <w:pStyle w:val="TableText"/>
              <w:ind w:left="6540"/>
              <w:spacing w:before="56" w:line="203" w:lineRule="auto"/>
              <w:rPr/>
            </w:pPr>
            <w:r>
              <w:rPr>
                <w:spacing w:val="-9"/>
              </w:rPr>
              <w:t>年</w:t>
            </w:r>
            <w:r>
              <w:rPr>
                <w:spacing w:val="19"/>
              </w:rPr>
              <w:t xml:space="preserve">  </w:t>
            </w:r>
            <w:r>
              <w:rPr>
                <w:spacing w:val="-9"/>
              </w:rPr>
              <w:t>月</w:t>
            </w:r>
            <w:r>
              <w:rPr>
                <w:spacing w:val="27"/>
              </w:rPr>
              <w:t xml:space="preserve">   </w:t>
            </w:r>
            <w:r>
              <w:rPr>
                <w:spacing w:val="-9"/>
              </w:rPr>
              <w:t>日</w:t>
            </w:r>
          </w:p>
        </w:tc>
      </w:tr>
    </w:tbl>
    <w:p>
      <w:pPr>
        <w:ind w:left="19"/>
        <w:spacing w:before="53" w:line="219" w:lineRule="auto"/>
        <w:rPr>
          <w:rFonts w:ascii="SimSun" w:hAnsi="SimSun" w:eastAsia="SimSun" w:cs="SimSun"/>
          <w:sz w:val="25"/>
          <w:szCs w:val="25"/>
        </w:rPr>
      </w:pPr>
      <w:r>
        <w:rPr>
          <w:rFonts w:ascii="SimSun" w:hAnsi="SimSun" w:eastAsia="SimSun" w:cs="SimSun"/>
          <w:sz w:val="25"/>
          <w:szCs w:val="25"/>
        </w:rPr>
        <w:t>备注：1.本表一式两份，由申请人、为其发放助学金的民政部门各存一份。</w:t>
      </w:r>
    </w:p>
    <w:p>
      <w:pPr>
        <w:ind w:left="729"/>
        <w:spacing w:before="40" w:line="220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1"/>
        </w:rPr>
        <w:t>2.</w:t>
      </w:r>
      <w:r>
        <w:rPr>
          <w:rFonts w:ascii="FangSong" w:hAnsi="FangSong" w:eastAsia="FangSong" w:cs="FangSong"/>
          <w:sz w:val="24"/>
          <w:szCs w:val="24"/>
          <w:spacing w:val="1"/>
        </w:rPr>
        <w:t>后附居民户口簿、居民身份证、录取通知书等相关证明材料复印件。</w:t>
      </w:r>
    </w:p>
    <w:p>
      <w:pPr>
        <w:spacing w:line="220" w:lineRule="auto"/>
        <w:sectPr>
          <w:footerReference w:type="default" r:id="rId13"/>
          <w:pgSz w:w="11900" w:h="16830"/>
          <w:pgMar w:top="1430" w:right="1544" w:bottom="1504" w:left="1400" w:header="0" w:footer="1089" w:gutter="0"/>
        </w:sectPr>
        <w:rPr>
          <w:rFonts w:ascii="FangSong" w:hAnsi="FangSong" w:eastAsia="FangSong" w:cs="FangSong"/>
          <w:sz w:val="24"/>
          <w:szCs w:val="24"/>
        </w:rPr>
      </w:pPr>
    </w:p>
    <w:p>
      <w:pPr>
        <w:pStyle w:val="BodyText"/>
        <w:rPr/>
      </w:pPr>
      <w:r/>
    </w:p>
    <w:p>
      <w:pPr>
        <w:sectPr>
          <w:headerReference w:type="default" r:id="rId14"/>
          <w:footerReference w:type="default" r:id="rId15"/>
          <w:pgSz w:w="11900" w:h="16830"/>
          <w:pgMar w:top="0" w:right="0" w:bottom="0" w:left="0" w:header="0" w:footer="0" w:gutter="0"/>
        </w:sectPr>
        <w:rPr/>
      </w:pPr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>
        <w:drawing>
          <wp:anchor distT="0" distB="0" distL="0" distR="0" simplePos="0" relativeHeight="25167052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73692</wp:posOffset>
            </wp:positionV>
            <wp:extent cx="7416856" cy="6350"/>
            <wp:effectExtent l="0" t="0" r="0" b="0"/>
            <wp:wrapNone/>
            <wp:docPr id="8" name="IM 8"/>
            <wp:cNvGraphicFramePr/>
            <a:graphic>
              <a:graphicData uri="http://schemas.openxmlformats.org/drawingml/2006/picture">
                <pic:pic>
                  <pic:nvPicPr>
                    <pic:cNvPr id="8" name="IM 8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16856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>
        <w:drawing>
          <wp:anchor distT="0" distB="0" distL="0" distR="0" simplePos="0" relativeHeight="251669504" behindDoc="0" locked="0" layoutInCell="1" allowOverlap="1">
            <wp:simplePos x="0" y="0"/>
            <wp:positionH relativeFrom="column">
              <wp:posOffset>819200</wp:posOffset>
            </wp:positionH>
            <wp:positionV relativeFrom="paragraph">
              <wp:posOffset>113661</wp:posOffset>
            </wp:positionV>
            <wp:extent cx="5702285" cy="12717"/>
            <wp:effectExtent l="0" t="0" r="0" b="0"/>
            <wp:wrapNone/>
            <wp:docPr id="10" name="IM 10"/>
            <wp:cNvGraphicFramePr/>
            <a:graphic>
              <a:graphicData uri="http://schemas.openxmlformats.org/drawingml/2006/picture">
                <pic:pic>
                  <pic:nvPicPr>
                    <pic:cNvPr id="10" name="IM 10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702285" cy="127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ind w:left="1533"/>
        <w:spacing w:before="88" w:line="222" w:lineRule="auto"/>
        <w:rPr>
          <w:rFonts w:ascii="FangSong" w:hAnsi="FangSong" w:eastAsia="FangSong" w:cs="FangSong"/>
          <w:sz w:val="27"/>
          <w:szCs w:val="27"/>
        </w:rPr>
      </w:pPr>
      <w:r>
        <w:drawing>
          <wp:anchor distT="0" distB="0" distL="0" distR="0" simplePos="0" relativeHeight="251671552" behindDoc="0" locked="0" layoutInCell="1" allowOverlap="1">
            <wp:simplePos x="0" y="0"/>
            <wp:positionH relativeFrom="column">
              <wp:posOffset>957949</wp:posOffset>
            </wp:positionH>
            <wp:positionV relativeFrom="paragraph">
              <wp:posOffset>218871</wp:posOffset>
            </wp:positionV>
            <wp:extent cx="5563535" cy="8572"/>
            <wp:effectExtent l="0" t="0" r="0" b="0"/>
            <wp:wrapNone/>
            <wp:docPr id="12" name="IM 12"/>
            <wp:cNvGraphicFramePr/>
            <a:graphic>
              <a:graphicData uri="http://schemas.openxmlformats.org/drawingml/2006/picture">
                <pic:pic>
                  <pic:nvPicPr>
                    <pic:cNvPr id="12" name="IM 12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563535" cy="85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FangSong" w:hAnsi="FangSong" w:eastAsia="FangSong" w:cs="FangSong"/>
          <w:sz w:val="27"/>
          <w:szCs w:val="27"/>
          <w:b/>
          <w:bCs/>
          <w:spacing w:val="-21"/>
        </w:rPr>
        <w:t>主</w:t>
      </w:r>
      <w:r>
        <w:rPr>
          <w:rFonts w:ascii="FangSong" w:hAnsi="FangSong" w:eastAsia="FangSong" w:cs="FangSong"/>
          <w:sz w:val="27"/>
          <w:szCs w:val="27"/>
          <w:spacing w:val="76"/>
        </w:rPr>
        <w:t xml:space="preserve"> </w:t>
      </w:r>
      <w:r>
        <w:rPr>
          <w:rFonts w:ascii="FangSong" w:hAnsi="FangSong" w:eastAsia="FangSong" w:cs="FangSong"/>
          <w:sz w:val="27"/>
          <w:szCs w:val="27"/>
          <w:b/>
          <w:bCs/>
          <w:spacing w:val="-21"/>
        </w:rPr>
        <w:t>动</w:t>
      </w:r>
      <w:r>
        <w:rPr>
          <w:rFonts w:ascii="FangSong" w:hAnsi="FangSong" w:eastAsia="FangSong" w:cs="FangSong"/>
          <w:sz w:val="27"/>
          <w:szCs w:val="27"/>
          <w:spacing w:val="77"/>
        </w:rPr>
        <w:t xml:space="preserve"> </w:t>
      </w:r>
      <w:r>
        <w:rPr>
          <w:rFonts w:ascii="FangSong" w:hAnsi="FangSong" w:eastAsia="FangSong" w:cs="FangSong"/>
          <w:sz w:val="27"/>
          <w:szCs w:val="27"/>
          <w:b/>
          <w:bCs/>
          <w:spacing w:val="-21"/>
        </w:rPr>
        <w:t>公</w:t>
      </w:r>
      <w:r>
        <w:rPr>
          <w:rFonts w:ascii="FangSong" w:hAnsi="FangSong" w:eastAsia="FangSong" w:cs="FangSong"/>
          <w:sz w:val="27"/>
          <w:szCs w:val="27"/>
          <w:spacing w:val="71"/>
        </w:rPr>
        <w:t xml:space="preserve"> </w:t>
      </w:r>
      <w:r>
        <w:rPr>
          <w:rFonts w:ascii="FangSong" w:hAnsi="FangSong" w:eastAsia="FangSong" w:cs="FangSong"/>
          <w:sz w:val="27"/>
          <w:szCs w:val="27"/>
          <w:b/>
          <w:bCs/>
          <w:spacing w:val="-21"/>
        </w:rPr>
        <w:t>开</w:t>
      </w:r>
    </w:p>
    <w:p>
      <w:pPr>
        <w:ind w:left="1533"/>
        <w:spacing w:before="117" w:line="234" w:lineRule="auto"/>
        <w:rPr>
          <w:rFonts w:ascii="FangSong" w:hAnsi="FangSong" w:eastAsia="FangSong" w:cs="FangSong"/>
          <w:sz w:val="27"/>
          <w:szCs w:val="27"/>
        </w:rPr>
      </w:pPr>
      <w:r>
        <w:rPr>
          <w:rFonts w:ascii="FangSong" w:hAnsi="FangSong" w:eastAsia="FangSong" w:cs="FangSong"/>
          <w:sz w:val="27"/>
          <w:szCs w:val="27"/>
          <w:b/>
          <w:bCs/>
          <w:u w:val="single" w:color="auto"/>
          <w:spacing w:val="-12"/>
          <w:position w:val="-1"/>
        </w:rPr>
        <w:t>民政部办公厅</w:t>
      </w:r>
      <w:r>
        <w:rPr>
          <w:rFonts w:ascii="FangSong" w:hAnsi="FangSong" w:eastAsia="FangSong" w:cs="FangSong"/>
          <w:sz w:val="27"/>
          <w:szCs w:val="27"/>
          <w:u w:val="single" w:color="auto"/>
          <w:spacing w:val="3"/>
          <w:position w:val="-1"/>
        </w:rPr>
        <w:t xml:space="preserve">                        </w:t>
      </w:r>
      <w:r>
        <w:rPr>
          <w:rFonts w:ascii="FangSong" w:hAnsi="FangSong" w:eastAsia="FangSong" w:cs="FangSong"/>
          <w:sz w:val="27"/>
          <w:szCs w:val="27"/>
          <w:u w:val="single" w:color="auto"/>
          <w:spacing w:val="-12"/>
        </w:rPr>
        <w:t>2</w:t>
      </w:r>
      <w:r>
        <w:rPr>
          <w:rFonts w:ascii="FangSong" w:hAnsi="FangSong" w:eastAsia="FangSong" w:cs="FangSong"/>
          <w:sz w:val="27"/>
          <w:szCs w:val="27"/>
          <w:u w:val="single" w:color="auto"/>
          <w:spacing w:val="-12"/>
        </w:rPr>
        <w:t xml:space="preserve"> </w:t>
      </w:r>
      <w:r>
        <w:rPr>
          <w:rFonts w:ascii="FangSong" w:hAnsi="FangSong" w:eastAsia="FangSong" w:cs="FangSong"/>
          <w:sz w:val="27"/>
          <w:szCs w:val="27"/>
          <w:u w:val="single" w:color="auto"/>
          <w:spacing w:val="-12"/>
        </w:rPr>
        <w:t>0</w:t>
      </w:r>
      <w:r>
        <w:rPr>
          <w:rFonts w:ascii="FangSong" w:hAnsi="FangSong" w:eastAsia="FangSong" w:cs="FangSong"/>
          <w:sz w:val="27"/>
          <w:szCs w:val="27"/>
          <w:u w:val="single" w:color="auto"/>
          <w:spacing w:val="19"/>
        </w:rPr>
        <w:t xml:space="preserve"> </w:t>
      </w:r>
      <w:r>
        <w:rPr>
          <w:rFonts w:ascii="FangSong" w:hAnsi="FangSong" w:eastAsia="FangSong" w:cs="FangSong"/>
          <w:sz w:val="27"/>
          <w:szCs w:val="27"/>
          <w:u w:val="single" w:color="auto"/>
          <w:spacing w:val="-12"/>
        </w:rPr>
        <w:t>2</w:t>
      </w:r>
      <w:r>
        <w:rPr>
          <w:rFonts w:ascii="FangSong" w:hAnsi="FangSong" w:eastAsia="FangSong" w:cs="FangSong"/>
          <w:sz w:val="27"/>
          <w:szCs w:val="27"/>
          <w:u w:val="single" w:color="auto"/>
          <w:spacing w:val="19"/>
        </w:rPr>
        <w:t xml:space="preserve"> </w:t>
      </w:r>
      <w:r>
        <w:rPr>
          <w:rFonts w:ascii="FangSong" w:hAnsi="FangSong" w:eastAsia="FangSong" w:cs="FangSong"/>
          <w:sz w:val="27"/>
          <w:szCs w:val="27"/>
          <w:u w:val="single" w:color="auto"/>
          <w:spacing w:val="-12"/>
        </w:rPr>
        <w:t>5</w:t>
      </w:r>
      <w:r>
        <w:rPr>
          <w:rFonts w:ascii="FangSong" w:hAnsi="FangSong" w:eastAsia="FangSong" w:cs="FangSong"/>
          <w:sz w:val="27"/>
          <w:szCs w:val="27"/>
          <w:u w:val="single" w:color="auto"/>
          <w:spacing w:val="28"/>
        </w:rPr>
        <w:t xml:space="preserve"> </w:t>
      </w:r>
      <w:r>
        <w:rPr>
          <w:rFonts w:ascii="FangSong" w:hAnsi="FangSong" w:eastAsia="FangSong" w:cs="FangSong"/>
          <w:sz w:val="27"/>
          <w:szCs w:val="27"/>
          <w:u w:val="single" w:color="auto"/>
          <w:spacing w:val="-12"/>
        </w:rPr>
        <w:t>年</w:t>
      </w:r>
      <w:r>
        <w:rPr>
          <w:rFonts w:ascii="FangSong" w:hAnsi="FangSong" w:eastAsia="FangSong" w:cs="FangSong"/>
          <w:sz w:val="27"/>
          <w:szCs w:val="27"/>
          <w:u w:val="single" w:color="auto"/>
          <w:spacing w:val="12"/>
        </w:rPr>
        <w:t xml:space="preserve"> </w:t>
      </w:r>
      <w:r>
        <w:rPr>
          <w:rFonts w:ascii="FangSong" w:hAnsi="FangSong" w:eastAsia="FangSong" w:cs="FangSong"/>
          <w:sz w:val="27"/>
          <w:szCs w:val="27"/>
          <w:u w:val="single" w:color="auto"/>
          <w:spacing w:val="-12"/>
        </w:rPr>
        <w:t>4</w:t>
      </w:r>
      <w:r>
        <w:rPr>
          <w:rFonts w:ascii="FangSong" w:hAnsi="FangSong" w:eastAsia="FangSong" w:cs="FangSong"/>
          <w:sz w:val="27"/>
          <w:szCs w:val="27"/>
          <w:u w:val="single" w:color="auto"/>
          <w:spacing w:val="35"/>
        </w:rPr>
        <w:t xml:space="preserve"> </w:t>
      </w:r>
      <w:r>
        <w:rPr>
          <w:rFonts w:ascii="FangSong" w:hAnsi="FangSong" w:eastAsia="FangSong" w:cs="FangSong"/>
          <w:sz w:val="27"/>
          <w:szCs w:val="27"/>
          <w:u w:val="single" w:color="auto"/>
          <w:spacing w:val="-12"/>
        </w:rPr>
        <w:t>月</w:t>
      </w:r>
      <w:r>
        <w:rPr>
          <w:rFonts w:ascii="FangSong" w:hAnsi="FangSong" w:eastAsia="FangSong" w:cs="FangSong"/>
          <w:sz w:val="27"/>
          <w:szCs w:val="27"/>
          <w:u w:val="single" w:color="auto"/>
          <w:spacing w:val="33"/>
        </w:rPr>
        <w:t xml:space="preserve"> </w:t>
      </w:r>
      <w:r>
        <w:rPr>
          <w:rFonts w:ascii="FangSong" w:hAnsi="FangSong" w:eastAsia="FangSong" w:cs="FangSong"/>
          <w:sz w:val="27"/>
          <w:szCs w:val="27"/>
          <w:u w:val="single" w:color="auto"/>
          <w:spacing w:val="-12"/>
        </w:rPr>
        <w:t>1</w:t>
      </w:r>
      <w:r>
        <w:rPr>
          <w:rFonts w:ascii="FangSong" w:hAnsi="FangSong" w:eastAsia="FangSong" w:cs="FangSong"/>
          <w:sz w:val="27"/>
          <w:szCs w:val="27"/>
          <w:u w:val="single" w:color="auto"/>
          <w:spacing w:val="79"/>
        </w:rPr>
        <w:t xml:space="preserve"> </w:t>
      </w:r>
      <w:r>
        <w:rPr>
          <w:rFonts w:ascii="FangSong" w:hAnsi="FangSong" w:eastAsia="FangSong" w:cs="FangSong"/>
          <w:sz w:val="27"/>
          <w:szCs w:val="27"/>
          <w:u w:val="single" w:color="auto"/>
          <w:spacing w:val="-12"/>
        </w:rPr>
        <w:t>日</w:t>
      </w:r>
      <w:r>
        <w:rPr>
          <w:rFonts w:ascii="FangSong" w:hAnsi="FangSong" w:eastAsia="FangSong" w:cs="FangSong"/>
          <w:sz w:val="27"/>
          <w:szCs w:val="27"/>
          <w:u w:val="single" w:color="auto"/>
          <w:spacing w:val="43"/>
        </w:rPr>
        <w:t xml:space="preserve"> </w:t>
      </w:r>
      <w:r>
        <w:rPr>
          <w:rFonts w:ascii="FangSong" w:hAnsi="FangSong" w:eastAsia="FangSong" w:cs="FangSong"/>
          <w:sz w:val="27"/>
          <w:szCs w:val="27"/>
          <w:u w:val="single" w:color="auto"/>
          <w:spacing w:val="-12"/>
        </w:rPr>
        <w:t>印</w:t>
      </w:r>
      <w:r>
        <w:rPr>
          <w:rFonts w:ascii="FangSong" w:hAnsi="FangSong" w:eastAsia="FangSong" w:cs="FangSong"/>
          <w:sz w:val="27"/>
          <w:szCs w:val="27"/>
          <w:u w:val="single" w:color="auto"/>
          <w:spacing w:val="30"/>
        </w:rPr>
        <w:t xml:space="preserve"> </w:t>
      </w:r>
      <w:r>
        <w:rPr>
          <w:rFonts w:ascii="FangSong" w:hAnsi="FangSong" w:eastAsia="FangSong" w:cs="FangSong"/>
          <w:sz w:val="27"/>
          <w:szCs w:val="27"/>
          <w:u w:val="single" w:color="auto"/>
          <w:spacing w:val="-12"/>
        </w:rPr>
        <w:t>发</w:t>
      </w:r>
    </w:p>
    <w:p>
      <w:pPr>
        <w:ind w:firstLine="7250"/>
        <w:spacing w:before="9" w:line="650" w:lineRule="exact"/>
        <w:rPr/>
      </w:pPr>
      <w:r>
        <w:rPr>
          <w:position w:val="-12"/>
        </w:rPr>
        <w:drawing>
          <wp:inline distT="0" distB="0" distL="0" distR="0">
            <wp:extent cx="1847867" cy="412733"/>
            <wp:effectExtent l="0" t="0" r="0" b="0"/>
            <wp:docPr id="14" name="IM 14"/>
            <wp:cNvGraphicFramePr/>
            <a:graphic>
              <a:graphicData uri="http://schemas.openxmlformats.org/drawingml/2006/picture">
                <pic:pic>
                  <pic:nvPicPr>
                    <pic:cNvPr id="14" name="IM 14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847867" cy="412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0" w:h="16830"/>
      <w:pgMar w:top="400" w:right="79" w:bottom="400" w:left="139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aiT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TXingkai">
    <w:panose1 w:val="02010800040101010101"/>
    <w:charset w:val="86"/>
    <w:family w:val="auto"/>
    <w:pitch w:val="variable"/>
    <w:sig w:usb0="00000001" w:usb1="080F0000" w:usb2="00000000" w:usb3="00000000" w:csb0="00040000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010"/>
      <w:spacing w:line="235" w:lineRule="auto"/>
      <w:rPr>
        <w:rFonts w:ascii="SimSun" w:hAnsi="SimSun" w:eastAsia="SimSun" w:cs="SimSun"/>
        <w:sz w:val="31"/>
        <w:szCs w:val="31"/>
      </w:rPr>
    </w:pPr>
    <w:r>
      <w:rPr>
        <w:rFonts w:ascii="SimSun" w:hAnsi="SimSun" w:eastAsia="SimSun" w:cs="SimSun"/>
        <w:sz w:val="31"/>
        <w:szCs w:val="31"/>
        <w:spacing w:val="-4"/>
      </w:rPr>
      <w:t>—1—</w:t>
    </w:r>
  </w:p>
</w:ftr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before="1" w:line="233" w:lineRule="auto"/>
      <w:rPr>
        <w:rFonts w:ascii="SimSun" w:hAnsi="SimSun" w:eastAsia="SimSun" w:cs="SimSun"/>
        <w:sz w:val="32"/>
        <w:szCs w:val="32"/>
      </w:rPr>
    </w:pPr>
    <w:r>
      <w:rPr>
        <w:rFonts w:ascii="SimSun" w:hAnsi="SimSun" w:eastAsia="SimSun" w:cs="SimSun"/>
        <w:sz w:val="32"/>
        <w:szCs w:val="32"/>
        <w:spacing w:val="-3"/>
      </w:rPr>
      <w:t>—10—</w:t>
    </w:r>
  </w:p>
</w:ftr>
</file>

<file path=word/footer1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/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before="1" w:line="234" w:lineRule="auto"/>
      <w:rPr>
        <w:rFonts w:ascii="SimSun" w:hAnsi="SimSun" w:eastAsia="SimSun" w:cs="SimSun"/>
        <w:sz w:val="30"/>
        <w:szCs w:val="30"/>
      </w:rPr>
    </w:pPr>
    <w:r>
      <w:rPr>
        <w:rFonts w:ascii="SimSun" w:hAnsi="SimSun" w:eastAsia="SimSun" w:cs="SimSun"/>
        <w:sz w:val="30"/>
        <w:szCs w:val="30"/>
        <w:spacing w:val="-4"/>
      </w:rPr>
      <w:t>—2—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000"/>
      <w:spacing w:line="233" w:lineRule="auto"/>
      <w:rPr>
        <w:rFonts w:ascii="SimSun" w:hAnsi="SimSun" w:eastAsia="SimSun" w:cs="SimSun"/>
        <w:sz w:val="31"/>
        <w:szCs w:val="31"/>
      </w:rPr>
    </w:pPr>
    <w:r>
      <w:rPr>
        <w:rFonts w:ascii="SimSun" w:hAnsi="SimSun" w:eastAsia="SimSun" w:cs="SimSun"/>
        <w:sz w:val="31"/>
        <w:szCs w:val="31"/>
        <w:spacing w:val="-4"/>
      </w:rPr>
      <w:t>—3—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235" w:lineRule="auto"/>
      <w:rPr>
        <w:rFonts w:ascii="SimSun" w:hAnsi="SimSun" w:eastAsia="SimSun" w:cs="SimSun"/>
        <w:sz w:val="31"/>
        <w:szCs w:val="31"/>
      </w:rPr>
    </w:pPr>
    <w:r>
      <w:rPr>
        <w:rFonts w:ascii="SimSun" w:hAnsi="SimSun" w:eastAsia="SimSun" w:cs="SimSun"/>
        <w:sz w:val="31"/>
        <w:szCs w:val="31"/>
        <w:spacing w:val="-4"/>
      </w:rPr>
      <w:t>—4—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010"/>
      <w:spacing w:line="233" w:lineRule="auto"/>
      <w:rPr>
        <w:rFonts w:ascii="SimSun" w:hAnsi="SimSun" w:eastAsia="SimSun" w:cs="SimSun"/>
        <w:sz w:val="31"/>
        <w:szCs w:val="31"/>
      </w:rPr>
    </w:pPr>
    <w:r>
      <w:rPr>
        <w:rFonts w:ascii="SimSun" w:hAnsi="SimSun" w:eastAsia="SimSun" w:cs="SimSun"/>
        <w:sz w:val="31"/>
        <w:szCs w:val="31"/>
        <w:spacing w:val="-4"/>
      </w:rPr>
      <w:t>—5—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233" w:lineRule="auto"/>
      <w:rPr>
        <w:rFonts w:ascii="SimSun" w:hAnsi="SimSun" w:eastAsia="SimSun" w:cs="SimSun"/>
        <w:sz w:val="31"/>
        <w:szCs w:val="31"/>
      </w:rPr>
    </w:pPr>
    <w:r>
      <w:rPr>
        <w:rFonts w:ascii="SimSun" w:hAnsi="SimSun" w:eastAsia="SimSun" w:cs="SimSun"/>
        <w:sz w:val="31"/>
        <w:szCs w:val="31"/>
        <w:strike/>
        <w:spacing w:val="-4"/>
      </w:rPr>
      <w:t>—6</w:t>
    </w:r>
    <w:r>
      <w:rPr>
        <w:rFonts w:ascii="SimSun" w:hAnsi="SimSun" w:eastAsia="SimSun" w:cs="SimSun"/>
        <w:sz w:val="31"/>
        <w:szCs w:val="31"/>
        <w:spacing w:val="-4"/>
      </w:rPr>
      <w:t>—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020"/>
      <w:spacing w:line="233" w:lineRule="auto"/>
      <w:rPr>
        <w:rFonts w:ascii="SimSun" w:hAnsi="SimSun" w:eastAsia="SimSun" w:cs="SimSun"/>
        <w:sz w:val="31"/>
        <w:szCs w:val="31"/>
      </w:rPr>
    </w:pPr>
    <w:r>
      <w:rPr>
        <w:rFonts w:ascii="SimSun" w:hAnsi="SimSun" w:eastAsia="SimSun" w:cs="SimSun"/>
        <w:sz w:val="31"/>
        <w:szCs w:val="31"/>
        <w:spacing w:val="-4"/>
      </w:rPr>
      <w:t>—7—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233" w:lineRule="auto"/>
      <w:rPr>
        <w:rFonts w:ascii="SimSun" w:hAnsi="SimSun" w:eastAsia="SimSun" w:cs="SimSun"/>
        <w:sz w:val="31"/>
        <w:szCs w:val="31"/>
      </w:rPr>
    </w:pPr>
    <w:r>
      <w:rPr>
        <w:rFonts w:ascii="SimSun" w:hAnsi="SimSun" w:eastAsia="SimSun" w:cs="SimSun"/>
        <w:sz w:val="31"/>
        <w:szCs w:val="31"/>
        <w:spacing w:val="-4"/>
      </w:rPr>
      <w:t>—8—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before="1" w:line="233" w:lineRule="auto"/>
      <w:jc w:val="right"/>
      <w:rPr>
        <w:rFonts w:ascii="SimSun" w:hAnsi="SimSun" w:eastAsia="SimSun" w:cs="SimSun"/>
        <w:sz w:val="32"/>
        <w:szCs w:val="32"/>
      </w:rPr>
    </w:pPr>
    <w:r>
      <w:rPr>
        <w:rFonts w:ascii="SimSun" w:hAnsi="SimSun" w:eastAsia="SimSun" w:cs="SimSun"/>
        <w:sz w:val="32"/>
        <w:szCs w:val="32"/>
        <w:spacing w:val="-4"/>
      </w:rPr>
      <w:t>—9—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/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6.xml"/><Relationship Id="rId8" Type="http://schemas.openxmlformats.org/officeDocument/2006/relationships/footer" Target="footer5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image" Target="media/image3.png"/><Relationship Id="rId4" Type="http://schemas.openxmlformats.org/officeDocument/2006/relationships/footer" Target="footer2.xml"/><Relationship Id="rId3" Type="http://schemas.openxmlformats.org/officeDocument/2006/relationships/image" Target="media/image2.png"/><Relationship Id="rId22" Type="http://schemas.openxmlformats.org/officeDocument/2006/relationships/fontTable" Target="fontTable.xml"/><Relationship Id="rId21" Type="http://schemas.openxmlformats.org/officeDocument/2006/relationships/styles" Target="styles.xml"/><Relationship Id="rId20" Type="http://schemas.openxmlformats.org/officeDocument/2006/relationships/settings" Target="settings.xml"/><Relationship Id="rId2" Type="http://schemas.openxmlformats.org/officeDocument/2006/relationships/image" Target="media/image1.png"/><Relationship Id="rId19" Type="http://schemas.openxmlformats.org/officeDocument/2006/relationships/image" Target="media/image7.jpeg"/><Relationship Id="rId18" Type="http://schemas.openxmlformats.org/officeDocument/2006/relationships/image" Target="media/image6.jpeg"/><Relationship Id="rId17" Type="http://schemas.openxmlformats.org/officeDocument/2006/relationships/image" Target="media/image5.jpeg"/><Relationship Id="rId16" Type="http://schemas.openxmlformats.org/officeDocument/2006/relationships/image" Target="media/image4.jpeg"/><Relationship Id="rId15" Type="http://schemas.openxmlformats.org/officeDocument/2006/relationships/footer" Target="footer11.xml"/><Relationship Id="rId14" Type="http://schemas.openxmlformats.org/officeDocument/2006/relationships/header" Target="header1.xml"/><Relationship Id="rId13" Type="http://schemas.openxmlformats.org/officeDocument/2006/relationships/footer" Target="footer10.xml"/><Relationship Id="rId12" Type="http://schemas.openxmlformats.org/officeDocument/2006/relationships/footer" Target="footer9.xml"/><Relationship Id="rId11" Type="http://schemas.openxmlformats.org/officeDocument/2006/relationships/footer" Target="footer8.xml"/><Relationship Id="rId10" Type="http://schemas.openxmlformats.org/officeDocument/2006/relationships/footer" Target="footer7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2025-07-15T11:35:41Z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2025-07-15T11:35:42</vt:filetime>
  </property>
  <property fmtid="{D5CDD505-2E9C-101B-9397-08002B2CF9AE}" pid="4" name="UsrData">
    <vt:lpwstr>6875cc8b85289c001f8bb147wl</vt:lpwstr>
  </property>
</Properties>
</file>