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2023年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1-5</w:t>
      </w:r>
      <w:r>
        <w:rPr>
          <w:rFonts w:hint="eastAsia" w:ascii="方正小标宋_GBK" w:eastAsia="方正小标宋_GBK"/>
          <w:sz w:val="36"/>
          <w:szCs w:val="36"/>
        </w:rPr>
        <w:t>月经济运行简析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一、2023年</w:t>
      </w:r>
      <w:r>
        <w:rPr>
          <w:rFonts w:hint="eastAsia"/>
          <w:lang w:eastAsia="zh-CN"/>
        </w:rPr>
        <w:t>1-5</w:t>
      </w:r>
      <w:r>
        <w:rPr>
          <w:rFonts w:hint="eastAsia"/>
        </w:rPr>
        <w:t>月,规模以上工业企业3</w:t>
      </w:r>
      <w:r>
        <w:rPr>
          <w:rFonts w:hint="eastAsia"/>
          <w:lang w:val="en-US" w:eastAsia="zh-CN"/>
        </w:rPr>
        <w:t>47</w:t>
      </w:r>
      <w:r>
        <w:rPr>
          <w:rFonts w:hint="eastAsia"/>
        </w:rPr>
        <w:t>家,规上工业总产值</w:t>
      </w:r>
      <w:r>
        <w:rPr>
          <w:rFonts w:hint="eastAsia"/>
          <w:lang w:val="en-US" w:eastAsia="zh-CN"/>
        </w:rPr>
        <w:t>587.0</w:t>
      </w:r>
      <w:r>
        <w:rPr>
          <w:rFonts w:hint="eastAsia"/>
        </w:rPr>
        <w:t>亿元，同比增长3.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二、2023年</w:t>
      </w:r>
      <w:r>
        <w:rPr>
          <w:rFonts w:hint="eastAsia"/>
          <w:lang w:eastAsia="zh-CN"/>
        </w:rPr>
        <w:t>1-5</w:t>
      </w:r>
      <w:r>
        <w:rPr>
          <w:rFonts w:hint="eastAsia"/>
        </w:rPr>
        <w:t>月, 全区限额以上法人企业和个体户社会消费品零售总额</w:t>
      </w:r>
      <w:r>
        <w:rPr>
          <w:rFonts w:hint="eastAsia"/>
          <w:lang w:val="en-US" w:eastAsia="zh-CN"/>
        </w:rPr>
        <w:t>59.8</w:t>
      </w:r>
      <w:r>
        <w:rPr>
          <w:rFonts w:hint="eastAsia"/>
        </w:rPr>
        <w:t>亿元，同比增长13</w:t>
      </w:r>
      <w:r>
        <w:rPr>
          <w:rFonts w:hint="eastAsia"/>
          <w:lang w:val="en-US" w:eastAsia="zh-CN"/>
        </w:rPr>
        <w:t>.3</w:t>
      </w:r>
      <w:r>
        <w:rPr>
          <w:rFonts w:hint="eastAsia"/>
        </w:rPr>
        <w:t>%。限额以上法人企业和个体户批发业销售额</w:t>
      </w:r>
      <w:r>
        <w:rPr>
          <w:rFonts w:hint="eastAsia"/>
          <w:lang w:val="en-US" w:eastAsia="zh-CN"/>
        </w:rPr>
        <w:t>72.5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7.7</w:t>
      </w:r>
      <w:r>
        <w:rPr>
          <w:rFonts w:hint="eastAsia"/>
        </w:rPr>
        <w:t>%。限额以上法人企业和个体户零售业销售额</w:t>
      </w:r>
      <w:r>
        <w:rPr>
          <w:rFonts w:hint="eastAsia"/>
          <w:lang w:val="en-US" w:eastAsia="zh-CN"/>
        </w:rPr>
        <w:t>52.4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4.0</w:t>
      </w:r>
      <w:r>
        <w:rPr>
          <w:rFonts w:hint="eastAsia"/>
        </w:rPr>
        <w:t>%。限额以上法人企业和个体户住宿业营业额</w:t>
      </w:r>
      <w:r>
        <w:rPr>
          <w:rFonts w:hint="eastAsia"/>
          <w:lang w:val="en-US" w:eastAsia="zh-CN"/>
        </w:rPr>
        <w:t>1.0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12.4</w:t>
      </w:r>
      <w:r>
        <w:rPr>
          <w:rFonts w:hint="eastAsia"/>
        </w:rPr>
        <w:t>%。限额以上法人企业和个体户餐饮业营业额</w:t>
      </w:r>
      <w:r>
        <w:rPr>
          <w:rFonts w:hint="eastAsia"/>
          <w:lang w:val="en-US" w:eastAsia="zh-CN"/>
        </w:rPr>
        <w:t>10.1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7.7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三、2023年</w:t>
      </w:r>
      <w:r>
        <w:rPr>
          <w:rFonts w:hint="eastAsia"/>
          <w:lang w:eastAsia="zh-CN"/>
        </w:rPr>
        <w:t>1-5</w:t>
      </w:r>
      <w:r>
        <w:rPr>
          <w:rFonts w:hint="eastAsia"/>
        </w:rPr>
        <w:t>月,固定资产投资同比增长</w:t>
      </w:r>
      <w:r>
        <w:rPr>
          <w:rFonts w:hint="eastAsia"/>
          <w:lang w:val="en-US" w:eastAsia="zh-CN"/>
        </w:rPr>
        <w:t>2.0</w:t>
      </w:r>
      <w:r>
        <w:rPr>
          <w:rFonts w:hint="eastAsia"/>
        </w:rPr>
        <w:t>%。第一产业投资同比增长</w:t>
      </w:r>
      <w:r>
        <w:rPr>
          <w:rFonts w:hint="eastAsia"/>
          <w:lang w:val="en-US" w:eastAsia="zh-CN"/>
        </w:rPr>
        <w:t>418.4</w:t>
      </w:r>
      <w:r>
        <w:rPr>
          <w:rFonts w:hint="eastAsia"/>
        </w:rPr>
        <w:t>%。第二产业投资同比增长</w:t>
      </w:r>
      <w:r>
        <w:rPr>
          <w:rFonts w:hint="eastAsia"/>
          <w:lang w:val="en-US" w:eastAsia="zh-CN"/>
        </w:rPr>
        <w:t>10.5</w:t>
      </w:r>
      <w:r>
        <w:rPr>
          <w:rFonts w:hint="eastAsia"/>
        </w:rPr>
        <w:t>%。其中:工业投资同比增长</w:t>
      </w:r>
      <w:r>
        <w:rPr>
          <w:rFonts w:hint="eastAsia"/>
          <w:lang w:val="en-US" w:eastAsia="zh-CN"/>
        </w:rPr>
        <w:t>11.2</w:t>
      </w:r>
      <w:r>
        <w:rPr>
          <w:rFonts w:hint="eastAsia"/>
        </w:rPr>
        <w:t>%。第三产业投资同比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8.2</w:t>
      </w:r>
      <w:r>
        <w:rPr>
          <w:rFonts w:hint="eastAsia"/>
        </w:rPr>
        <w:t>%。其中：房地产投资同比下降</w:t>
      </w:r>
      <w:r>
        <w:rPr>
          <w:rFonts w:hint="eastAsia"/>
          <w:lang w:val="en-US" w:eastAsia="zh-CN"/>
        </w:rPr>
        <w:t>26.2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四、2023年</w:t>
      </w:r>
      <w:r>
        <w:rPr>
          <w:rFonts w:hint="eastAsia"/>
          <w:lang w:eastAsia="zh-CN"/>
        </w:rPr>
        <w:t>1-5</w:t>
      </w:r>
      <w:r>
        <w:rPr>
          <w:rFonts w:hint="eastAsia"/>
        </w:rPr>
        <w:t>月, 永川级一般公共预算收入</w:t>
      </w:r>
      <w:r>
        <w:rPr>
          <w:rFonts w:hint="eastAsia"/>
          <w:lang w:val="en-US" w:eastAsia="zh-CN"/>
        </w:rPr>
        <w:t>22.5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10.9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43.0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27.4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说明:1.部分数据因四舍五入的原因,存在总计与分项合计不等的情况。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  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2.部分数据的合计数或相对数,由于计量单位取舍不同而产生的计算误差未作机械调整。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  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3.财政收支数据来源于区财政局。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5F5D4E78"/>
    <w:rsid w:val="70C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415</Words>
  <Characters>520</Characters>
  <Lines>3</Lines>
  <Paragraphs>1</Paragraphs>
  <TotalTime>19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可可</cp:lastModifiedBy>
  <cp:lastPrinted>2023-04-06T02:36:00Z</cp:lastPrinted>
  <dcterms:modified xsi:type="dcterms:W3CDTF">2023-08-01T03:58:42Z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6806E344A00A4D0188831FCF1DD47089_12</vt:lpwstr>
  </property>
</Properties>
</file>