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小标宋_GBK" w:cs="Times New Roman"/>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小标宋_GBK" w:cs="Times New Roman"/>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小标宋_GBK" w:cs="Times New Roman"/>
          <w:color w:val="auto"/>
          <w:sz w:val="44"/>
          <w:szCs w:val="44"/>
          <w:highlight w:val="none"/>
          <w:lang w:val="en-US" w:eastAsia="zh-CN"/>
        </w:rPr>
      </w:pPr>
      <w:r>
        <w:rPr>
          <w:rFonts w:hint="default" w:ascii="Times New Roman" w:hAnsi="Times New Roman" w:eastAsia="方正小标宋_GBK" w:cs="Times New Roman"/>
          <w:color w:val="auto"/>
          <w:sz w:val="44"/>
          <w:szCs w:val="44"/>
          <w:highlight w:val="none"/>
          <w:lang w:val="en-US" w:eastAsia="zh-CN"/>
        </w:rPr>
        <w:t>重庆市永川区人民政府办公室</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color w:val="auto"/>
          <w:sz w:val="44"/>
          <w:szCs w:val="44"/>
          <w:highlight w:val="none"/>
        </w:rPr>
        <w:t>关于</w:t>
      </w:r>
      <w:r>
        <w:rPr>
          <w:rFonts w:hint="default" w:ascii="Times New Roman" w:hAnsi="Times New Roman" w:eastAsia="方正小标宋_GBK" w:cs="Times New Roman"/>
          <w:color w:val="auto"/>
          <w:sz w:val="44"/>
          <w:szCs w:val="44"/>
          <w:highlight w:val="none"/>
          <w:lang w:val="en-US" w:eastAsia="zh-CN"/>
        </w:rPr>
        <w:t>印发</w:t>
      </w:r>
      <w:r>
        <w:rPr>
          <w:rFonts w:hint="default" w:ascii="Times New Roman" w:hAnsi="Times New Roman" w:eastAsia="方正小标宋_GBK" w:cs="Times New Roman"/>
          <w:sz w:val="44"/>
          <w:szCs w:val="44"/>
          <w:highlight w:val="none"/>
        </w:rPr>
        <w:t>永川区公共卫生能力提升三年行动</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小标宋_GBK" w:cs="Times New Roman"/>
          <w:color w:val="auto"/>
          <w:sz w:val="44"/>
          <w:szCs w:val="44"/>
          <w:highlight w:val="none"/>
          <w:lang w:val="en-US" w:eastAsia="zh-CN"/>
        </w:rPr>
      </w:pPr>
      <w:r>
        <w:rPr>
          <w:rFonts w:hint="default" w:ascii="Times New Roman" w:hAnsi="Times New Roman" w:eastAsia="方正小标宋_GBK" w:cs="Times New Roman"/>
          <w:sz w:val="44"/>
          <w:szCs w:val="44"/>
          <w:highlight w:val="none"/>
        </w:rPr>
        <w:t>计划</w:t>
      </w:r>
      <w:r>
        <w:rPr>
          <w:rFonts w:hint="default" w:ascii="Times New Roman" w:hAnsi="Times New Roman" w:eastAsia="方正小标宋_GBK" w:cs="Times New Roman"/>
          <w:color w:val="auto"/>
          <w:sz w:val="44"/>
          <w:szCs w:val="44"/>
          <w:highlight w:val="none"/>
          <w:lang w:val="en-US" w:eastAsia="zh-CN"/>
        </w:rPr>
        <w:t>（2023</w:t>
      </w:r>
      <w:r>
        <w:rPr>
          <w:rFonts w:hint="eastAsia" w:eastAsia="方正小标宋_GBK" w:cs="Times New Roman"/>
          <w:color w:val="auto"/>
          <w:sz w:val="44"/>
          <w:szCs w:val="44"/>
          <w:highlight w:val="none"/>
          <w:lang w:val="en-US" w:eastAsia="zh-CN"/>
        </w:rPr>
        <w:t>—</w:t>
      </w:r>
      <w:r>
        <w:rPr>
          <w:rFonts w:hint="default" w:ascii="Times New Roman" w:hAnsi="Times New Roman" w:eastAsia="方正小标宋_GBK" w:cs="Times New Roman"/>
          <w:color w:val="auto"/>
          <w:sz w:val="44"/>
          <w:szCs w:val="44"/>
          <w:highlight w:val="none"/>
          <w:lang w:val="en-US" w:eastAsia="zh-CN"/>
        </w:rPr>
        <w:t>2025年）</w:t>
      </w:r>
      <w:r>
        <w:rPr>
          <w:rFonts w:hint="default" w:ascii="Times New Roman" w:hAnsi="Times New Roman" w:eastAsia="方正小标宋_GBK" w:cs="Times New Roman"/>
          <w:color w:val="auto"/>
          <w:sz w:val="44"/>
          <w:szCs w:val="44"/>
          <w:highlight w:val="none"/>
        </w:rPr>
        <w:t>的</w:t>
      </w:r>
      <w:r>
        <w:rPr>
          <w:rFonts w:hint="default" w:ascii="Times New Roman" w:hAnsi="Times New Roman" w:eastAsia="方正小标宋_GBK" w:cs="Times New Roman"/>
          <w:color w:val="auto"/>
          <w:sz w:val="44"/>
          <w:szCs w:val="44"/>
          <w:highlight w:val="none"/>
          <w:lang w:val="en-US" w:eastAsia="zh-CN"/>
        </w:rPr>
        <w:t>通知</w:t>
      </w:r>
    </w:p>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方正仿宋_GBK" w:hAnsi="方正仿宋_GBK" w:eastAsia="方正仿宋_GBK" w:cs="方正仿宋_GBK"/>
          <w:sz w:val="32"/>
          <w:szCs w:val="32"/>
        </w:rPr>
      </w:pPr>
      <w:r>
        <w:rPr>
          <w:rFonts w:hint="default" w:eastAsia="方正仿宋_GBK"/>
          <w:sz w:val="32"/>
          <w:szCs w:val="32"/>
        </w:rPr>
        <w:t>永川府办发〔2024〕33号</w:t>
      </w:r>
    </w:p>
    <w:p>
      <w:pPr>
        <w:widowControl w:val="0"/>
        <w:autoSpaceDE/>
        <w:autoSpaceDN/>
        <w:adjustRightInd/>
        <w:snapToGrid w:val="0"/>
        <w:spacing w:line="300" w:lineRule="auto"/>
        <w:rPr>
          <w:rFonts w:hint="default" w:ascii="Times New Roman" w:hAnsi="Times New Roman" w:eastAsia="方正仿宋_GBK" w:cs="Times New Roman"/>
          <w:color w:val="auto"/>
          <w:sz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Times New Roman" w:hAnsi="Times New Roman" w:eastAsia="方正仿宋_GBK" w:cs="Times New Roman"/>
          <w:color w:val="auto"/>
          <w:sz w:val="32"/>
          <w:szCs w:val="22"/>
          <w:highlight w:val="none"/>
        </w:rPr>
      </w:pPr>
      <w:r>
        <w:rPr>
          <w:rFonts w:hint="default" w:ascii="Times New Roman" w:hAnsi="Times New Roman" w:eastAsia="方正仿宋_GBK" w:cs="Times New Roman"/>
          <w:color w:val="auto"/>
          <w:sz w:val="32"/>
          <w:szCs w:val="22"/>
          <w:highlight w:val="none"/>
          <w:lang w:val="en-US" w:eastAsia="zh-CN"/>
        </w:rPr>
        <w:t>各镇人民政府、街道办事处，区</w:t>
      </w:r>
      <w:r>
        <w:rPr>
          <w:rFonts w:hint="eastAsia" w:eastAsia="方正仿宋_GBK" w:cs="Times New Roman"/>
          <w:color w:val="auto"/>
          <w:sz w:val="32"/>
          <w:szCs w:val="22"/>
          <w:highlight w:val="none"/>
          <w:lang w:val="en-US" w:eastAsia="zh-CN"/>
        </w:rPr>
        <w:t>政府</w:t>
      </w:r>
      <w:r>
        <w:rPr>
          <w:rFonts w:hint="default" w:ascii="Times New Roman" w:hAnsi="Times New Roman" w:eastAsia="方正仿宋_GBK" w:cs="Times New Roman"/>
          <w:color w:val="auto"/>
          <w:sz w:val="32"/>
          <w:szCs w:val="22"/>
          <w:highlight w:val="none"/>
          <w:lang w:val="en-US" w:eastAsia="zh-CN"/>
        </w:rPr>
        <w:t>各部门，有关单位</w:t>
      </w:r>
      <w:r>
        <w:rPr>
          <w:rFonts w:hint="default" w:ascii="Times New Roman" w:hAnsi="Times New Roman" w:eastAsia="方正仿宋_GBK" w:cs="Times New Roman"/>
          <w:color w:val="auto"/>
          <w:sz w:val="32"/>
          <w:szCs w:val="22"/>
          <w:highlight w:val="none"/>
        </w:rPr>
        <w:t>：</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《永川区公共卫生能力提升三年行动计划（2023</w:t>
      </w:r>
      <w:r>
        <w:rPr>
          <w:rFonts w:hint="eastAsia"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2025年）</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已经区政府同意，现印发给你们，请认真贯彻执行。</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Times New Roman" w:hAnsi="Times New Roman" w:eastAsia="方正仿宋_GBK" w:cs="Times New Roman"/>
          <w:color w:val="auto"/>
          <w:sz w:val="32"/>
          <w:szCs w:val="32"/>
          <w:highlight w:val="none"/>
        </w:rPr>
      </w:pPr>
    </w:p>
    <w:p>
      <w:pPr>
        <w:pStyle w:val="2"/>
        <w:rPr>
          <w:rFonts w:hint="default"/>
        </w:rPr>
      </w:pPr>
    </w:p>
    <w:p>
      <w:pPr>
        <w:keepNext w:val="0"/>
        <w:keepLines w:val="0"/>
        <w:pageBreakBefore w:val="0"/>
        <w:widowControl w:val="0"/>
        <w:kinsoku/>
        <w:wordWrap w:val="0"/>
        <w:overflowPunct/>
        <w:topLinePunct w:val="0"/>
        <w:autoSpaceDE/>
        <w:autoSpaceDN/>
        <w:bidi w:val="0"/>
        <w:adjustRightInd/>
        <w:snapToGrid w:val="0"/>
        <w:spacing w:line="300" w:lineRule="auto"/>
        <w:ind w:firstLine="3840" w:firstLineChars="1200"/>
        <w:jc w:val="righ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重庆市永川区</w:t>
      </w:r>
      <w:r>
        <w:rPr>
          <w:rFonts w:hint="default" w:ascii="Times New Roman" w:hAnsi="Times New Roman" w:eastAsia="方正仿宋_GBK" w:cs="Times New Roman"/>
          <w:color w:val="auto"/>
          <w:sz w:val="32"/>
          <w:szCs w:val="32"/>
          <w:highlight w:val="none"/>
          <w:lang w:val="en-US" w:eastAsia="zh-CN"/>
        </w:rPr>
        <w:t>人民政府办公室</w:t>
      </w:r>
      <w:r>
        <w:rPr>
          <w:rFonts w:hint="default" w:eastAsia="方正仿宋_GBK"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00" w:lineRule="auto"/>
        <w:ind w:firstLine="5120" w:firstLineChars="16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202</w:t>
      </w: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年</w:t>
      </w:r>
      <w:r>
        <w:rPr>
          <w:rFonts w:hint="default"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rPr>
        <w:t>月</w:t>
      </w:r>
      <w:r>
        <w:rPr>
          <w:rFonts w:hint="default" w:eastAsia="方正仿宋_GBK" w:cs="Times New Roman"/>
          <w:color w:val="auto"/>
          <w:sz w:val="32"/>
          <w:szCs w:val="32"/>
          <w:highlight w:val="none"/>
          <w:lang w:val="en-US" w:eastAsia="zh-CN"/>
        </w:rPr>
        <w:t>12</w:t>
      </w:r>
      <w:r>
        <w:rPr>
          <w:rFonts w:hint="default" w:ascii="Times New Roman" w:hAnsi="Times New Roman" w:eastAsia="方正仿宋_GBK" w:cs="Times New Roman"/>
          <w:color w:val="auto"/>
          <w:sz w:val="32"/>
          <w:szCs w:val="32"/>
          <w:highlight w:val="none"/>
        </w:rPr>
        <w:t>日</w:t>
      </w:r>
    </w:p>
    <w:p>
      <w:pPr>
        <w:keepNext w:val="0"/>
        <w:keepLines w:val="0"/>
        <w:pageBreakBefore w:val="0"/>
        <w:widowControl w:val="0"/>
        <w:suppressLineNumbers w:val="0"/>
        <w:kinsoku/>
        <w:wordWrap/>
        <w:overflowPunct/>
        <w:topLinePunct w:val="0"/>
        <w:autoSpaceDE/>
        <w:autoSpaceDN/>
        <w:bidi w:val="0"/>
        <w:adjustRightInd/>
        <w:snapToGrid w:val="0"/>
        <w:spacing w:line="300" w:lineRule="auto"/>
        <w:ind w:firstLine="620" w:firstLineChars="200"/>
        <w:jc w:val="left"/>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（此件公开发布）</w:t>
      </w:r>
    </w:p>
    <w:p>
      <w:pPr>
        <w:rPr>
          <w:rFonts w:hint="default"/>
        </w:rPr>
      </w:pPr>
      <w:r>
        <w:rPr>
          <w:rFonts w:hint="default"/>
        </w:rPr>
        <w:br w:type="page"/>
      </w:r>
    </w:p>
    <w:p>
      <w:pPr>
        <w:pStyle w:val="2"/>
        <w:rPr>
          <w:rFonts w:hint="default"/>
        </w:rPr>
      </w:pPr>
    </w:p>
    <w:p>
      <w:pPr>
        <w:spacing w:line="594" w:lineRule="exact"/>
        <w:jc w:val="center"/>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永川区公共卫生能力提升三年行动计划</w:t>
      </w:r>
    </w:p>
    <w:p>
      <w:pPr>
        <w:spacing w:line="594" w:lineRule="exact"/>
        <w:jc w:val="center"/>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（2023</w:t>
      </w:r>
      <w:r>
        <w:rPr>
          <w:rFonts w:hint="eastAsia"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2025年）</w:t>
      </w:r>
    </w:p>
    <w:p>
      <w:pPr>
        <w:snapToGrid w:val="0"/>
        <w:spacing w:line="300" w:lineRule="auto"/>
        <w:ind w:firstLine="640" w:firstLineChars="200"/>
        <w:rPr>
          <w:rFonts w:hint="default" w:ascii="Times New Roman" w:hAnsi="Times New Roman" w:eastAsia="方正仿宋_GBK" w:cs="Times New Roman"/>
          <w:kern w:val="0"/>
          <w:sz w:val="32"/>
          <w:szCs w:val="32"/>
          <w:highlight w:val="none"/>
        </w:rPr>
      </w:pPr>
    </w:p>
    <w:p>
      <w:pPr>
        <w:snapToGrid w:val="0"/>
        <w:spacing w:line="300" w:lineRule="auto"/>
        <w:ind w:firstLine="640" w:firstLineChars="200"/>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为深入贯彻落实党的二十大精神和习近平总书记关于公共卫生的重要指示批示精神，进一步完善全区公共卫生服务体系，强化医防融合发展，提升公共卫生综合服务能力，切实维护人民群众健康，按照国家疾病预防控制体系改革要求，根据《重庆市国民经济和社会发展第十四个五年规划和二〇三五年远景目标纲要》《重庆市卫生健康发展</w:t>
      </w:r>
      <w:r>
        <w:rPr>
          <w:rFonts w:hint="eastAsia"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十四五</w:t>
      </w:r>
      <w:r>
        <w:rPr>
          <w:rFonts w:hint="eastAsia"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规划》</w:t>
      </w:r>
      <w:r>
        <w:rPr>
          <w:rFonts w:hint="default" w:ascii="Times New Roman" w:hAnsi="Times New Roman" w:eastAsia="方正仿宋_GBK" w:cs="Times New Roman"/>
          <w:kern w:val="0"/>
          <w:sz w:val="32"/>
          <w:szCs w:val="32"/>
          <w:highlight w:val="none"/>
          <w:lang w:eastAsia="zh-CN"/>
        </w:rPr>
        <w:t>《重庆市公共卫生能力提升三年行动计划（2023</w:t>
      </w:r>
      <w:r>
        <w:rPr>
          <w:rFonts w:hint="eastAsia"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lang w:eastAsia="zh-CN"/>
        </w:rPr>
        <w:t>2025年）》</w:t>
      </w:r>
      <w:r>
        <w:rPr>
          <w:rFonts w:hint="default" w:ascii="Times New Roman" w:hAnsi="Times New Roman" w:eastAsia="方正仿宋_GBK" w:cs="Times New Roman"/>
          <w:kern w:val="0"/>
          <w:sz w:val="32"/>
          <w:szCs w:val="32"/>
          <w:highlight w:val="none"/>
        </w:rPr>
        <w:t>，结合我区实际，制定本行动计划。</w:t>
      </w:r>
    </w:p>
    <w:p>
      <w:pPr>
        <w:snapToGrid w:val="0"/>
        <w:spacing w:line="300" w:lineRule="auto"/>
        <w:ind w:firstLine="640" w:firstLineChars="200"/>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rPr>
        <w:t>一、工作目标</w:t>
      </w:r>
    </w:p>
    <w:p>
      <w:pPr>
        <w:snapToGrid w:val="0"/>
        <w:spacing w:line="300" w:lineRule="auto"/>
        <w:ind w:firstLine="640" w:firstLineChars="200"/>
        <w:rPr>
          <w:rFonts w:hint="default" w:ascii="Times New Roman" w:hAnsi="Times New Roman" w:eastAsia="方正楷体_GBK" w:cs="Times New Roman"/>
          <w:kern w:val="0"/>
          <w:sz w:val="32"/>
          <w:szCs w:val="32"/>
          <w:highlight w:val="none"/>
        </w:rPr>
      </w:pPr>
      <w:r>
        <w:rPr>
          <w:rFonts w:hint="default" w:ascii="Times New Roman" w:hAnsi="Times New Roman" w:eastAsia="方正楷体_GBK" w:cs="Times New Roman"/>
          <w:kern w:val="0"/>
          <w:sz w:val="32"/>
          <w:szCs w:val="32"/>
          <w:highlight w:val="none"/>
        </w:rPr>
        <w:t>（一）总体目标。</w:t>
      </w:r>
    </w:p>
    <w:p>
      <w:pPr>
        <w:snapToGrid w:val="0"/>
        <w:spacing w:line="300" w:lineRule="auto"/>
        <w:ind w:firstLine="640" w:firstLineChars="200"/>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坚持以习近平新时代中国特色社会主义思想为指导，全面贯彻落实党的二十大精神，认真落实市委</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lang w:val="en-US" w:eastAsia="zh-CN"/>
        </w:rPr>
        <w:t>市政府工作部署和区委、区政府工作要求</w:t>
      </w:r>
      <w:r>
        <w:rPr>
          <w:rFonts w:hint="default" w:ascii="Times New Roman" w:hAnsi="Times New Roman" w:eastAsia="方正仿宋_GBK" w:cs="Times New Roman"/>
          <w:kern w:val="0"/>
          <w:sz w:val="32"/>
          <w:szCs w:val="32"/>
          <w:highlight w:val="none"/>
        </w:rPr>
        <w:t>，以改革创新为动力、以体系建设为抓手、以能力提升为目标，通过实施</w:t>
      </w:r>
      <w:r>
        <w:rPr>
          <w:rFonts w:hint="eastAsia"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八大行动</w:t>
      </w:r>
      <w:r>
        <w:rPr>
          <w:rFonts w:hint="eastAsia"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不断完善上下联动、医防融合、平急结合、联防联控的工作机制，逐步健全统一领导、权责匹配、运行高效的指挥体系，全面构建以专业公共卫生机构为骨干、以医疗机构为依托、以基层医疗卫生机构为网底的公共卫生服务体系，建立健全重大疫情分层分级分类医疗救治体系。</w:t>
      </w:r>
    </w:p>
    <w:p>
      <w:pPr>
        <w:snapToGrid w:val="0"/>
        <w:spacing w:line="300" w:lineRule="auto"/>
        <w:ind w:firstLine="640" w:firstLineChars="200"/>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力争到2025年，建设成为</w:t>
      </w:r>
      <w:r>
        <w:rPr>
          <w:rFonts w:hint="default" w:eastAsia="方正仿宋_GBK" w:cs="Times New Roman"/>
          <w:kern w:val="0"/>
          <w:sz w:val="32"/>
          <w:szCs w:val="32"/>
          <w:highlight w:val="none"/>
        </w:rPr>
        <w:t>区域</w:t>
      </w:r>
      <w:r>
        <w:rPr>
          <w:rFonts w:hint="default" w:ascii="Times New Roman" w:hAnsi="Times New Roman" w:eastAsia="方正仿宋_GBK" w:cs="Times New Roman"/>
          <w:kern w:val="0"/>
          <w:sz w:val="32"/>
          <w:szCs w:val="32"/>
          <w:highlight w:val="none"/>
        </w:rPr>
        <w:t>公共卫生防控救治</w:t>
      </w:r>
      <w:r>
        <w:rPr>
          <w:rFonts w:hint="default" w:eastAsia="方正仿宋_GBK" w:cs="Times New Roman"/>
          <w:kern w:val="0"/>
          <w:sz w:val="32"/>
          <w:szCs w:val="32"/>
          <w:highlight w:val="none"/>
        </w:rPr>
        <w:t>中心支点</w:t>
      </w:r>
      <w:r>
        <w:rPr>
          <w:rFonts w:hint="default" w:ascii="Times New Roman" w:hAnsi="Times New Roman" w:eastAsia="方正仿宋_GBK" w:cs="Times New Roman"/>
          <w:kern w:val="0"/>
          <w:sz w:val="32"/>
          <w:szCs w:val="32"/>
          <w:highlight w:val="none"/>
        </w:rPr>
        <w:t>，区级</w:t>
      </w:r>
      <w:r>
        <w:rPr>
          <w:rFonts w:hint="default" w:ascii="Times New Roman" w:hAnsi="Times New Roman" w:eastAsia="方正仿宋_GBK" w:cs="Times New Roman"/>
          <w:spacing w:val="-2"/>
          <w:kern w:val="0"/>
          <w:sz w:val="32"/>
          <w:szCs w:val="32"/>
          <w:highlight w:val="none"/>
        </w:rPr>
        <w:t>疾病预防控制工作综合评价进入全市前</w:t>
      </w:r>
      <w:r>
        <w:rPr>
          <w:rFonts w:hint="default" w:ascii="Times New Roman" w:hAnsi="Times New Roman" w:eastAsia="方正仿宋_GBK" w:cs="Times New Roman"/>
          <w:spacing w:val="-2"/>
          <w:kern w:val="0"/>
          <w:sz w:val="32"/>
          <w:szCs w:val="32"/>
          <w:highlight w:val="none"/>
          <w:lang w:val="en-US" w:eastAsia="zh-CN"/>
        </w:rPr>
        <w:t>5</w:t>
      </w:r>
      <w:r>
        <w:rPr>
          <w:rFonts w:hint="default" w:ascii="Times New Roman" w:hAnsi="Times New Roman" w:eastAsia="方正仿宋_GBK" w:cs="Times New Roman"/>
          <w:spacing w:val="-2"/>
          <w:kern w:val="0"/>
          <w:sz w:val="32"/>
          <w:szCs w:val="32"/>
          <w:highlight w:val="none"/>
        </w:rPr>
        <w:t>名，公共卫生综合服务</w:t>
      </w:r>
      <w:r>
        <w:rPr>
          <w:rFonts w:hint="default" w:ascii="Times New Roman" w:hAnsi="Times New Roman" w:eastAsia="方正仿宋_GBK" w:cs="Times New Roman"/>
          <w:kern w:val="0"/>
          <w:sz w:val="32"/>
          <w:szCs w:val="32"/>
          <w:highlight w:val="none"/>
        </w:rPr>
        <w:t>能力和居民健康</w:t>
      </w:r>
      <w:r>
        <w:rPr>
          <w:rFonts w:hint="eastAsia" w:eastAsia="方正仿宋_GBK" w:cs="Times New Roman"/>
          <w:kern w:val="0"/>
          <w:sz w:val="32"/>
          <w:szCs w:val="32"/>
          <w:highlight w:val="none"/>
          <w:lang w:eastAsia="zh-CN"/>
        </w:rPr>
        <w:t>素养</w:t>
      </w:r>
      <w:r>
        <w:rPr>
          <w:rFonts w:hint="default" w:ascii="Times New Roman" w:hAnsi="Times New Roman" w:eastAsia="方正仿宋_GBK" w:cs="Times New Roman"/>
          <w:kern w:val="0"/>
          <w:sz w:val="32"/>
          <w:szCs w:val="32"/>
          <w:highlight w:val="none"/>
        </w:rPr>
        <w:t>水平达到</w:t>
      </w:r>
      <w:r>
        <w:rPr>
          <w:rFonts w:hint="default" w:ascii="Times New Roman" w:hAnsi="Times New Roman" w:eastAsia="方正仿宋_GBK" w:cs="Times New Roman"/>
          <w:kern w:val="0"/>
          <w:sz w:val="32"/>
          <w:szCs w:val="32"/>
          <w:highlight w:val="none"/>
          <w:lang w:val="en-US" w:eastAsia="zh-CN"/>
        </w:rPr>
        <w:t>全市</w:t>
      </w:r>
      <w:r>
        <w:rPr>
          <w:rFonts w:hint="default" w:ascii="Times New Roman" w:hAnsi="Times New Roman" w:eastAsia="方正仿宋_GBK" w:cs="Times New Roman"/>
          <w:kern w:val="0"/>
          <w:sz w:val="32"/>
          <w:szCs w:val="32"/>
          <w:highlight w:val="none"/>
        </w:rPr>
        <w:t>领先水平。</w:t>
      </w:r>
    </w:p>
    <w:p>
      <w:pPr>
        <w:snapToGrid w:val="0"/>
        <w:spacing w:line="300" w:lineRule="auto"/>
        <w:ind w:firstLine="640" w:firstLineChars="200"/>
        <w:rPr>
          <w:rFonts w:hint="default" w:ascii="Times New Roman" w:hAnsi="Times New Roman" w:eastAsia="方正楷体_GBK" w:cs="Times New Roman"/>
          <w:kern w:val="0"/>
          <w:sz w:val="32"/>
          <w:szCs w:val="32"/>
          <w:highlight w:val="none"/>
        </w:rPr>
      </w:pPr>
      <w:r>
        <w:rPr>
          <w:rFonts w:hint="default" w:ascii="Times New Roman" w:hAnsi="Times New Roman" w:eastAsia="方正楷体_GBK" w:cs="Times New Roman"/>
          <w:kern w:val="0"/>
          <w:sz w:val="32"/>
          <w:szCs w:val="32"/>
          <w:highlight w:val="none"/>
        </w:rPr>
        <w:t>（二）具体目标。</w:t>
      </w:r>
    </w:p>
    <w:tbl>
      <w:tblPr>
        <w:tblStyle w:val="57"/>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18"/>
        <w:gridCol w:w="869"/>
        <w:gridCol w:w="2490"/>
        <w:gridCol w:w="1190"/>
        <w:gridCol w:w="1114"/>
        <w:gridCol w:w="1005"/>
        <w:gridCol w:w="1682"/>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618"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方正黑体_GBK" w:hAnsi="方正黑体_GBK" w:eastAsia="方正黑体_GBK" w:cs="方正黑体_GBK"/>
                <w:sz w:val="21"/>
                <w:szCs w:val="21"/>
                <w:highlight w:val="none"/>
              </w:rPr>
            </w:pPr>
            <w:r>
              <w:rPr>
                <w:rFonts w:hint="eastAsia" w:ascii="方正黑体_GBK" w:hAnsi="方正黑体_GBK" w:eastAsia="方正黑体_GBK" w:cs="方正黑体_GBK"/>
                <w:sz w:val="21"/>
                <w:szCs w:val="21"/>
                <w:highlight w:val="none"/>
              </w:rPr>
              <w:t>序号</w:t>
            </w:r>
          </w:p>
        </w:tc>
        <w:tc>
          <w:tcPr>
            <w:tcW w:w="869"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方正黑体_GBK" w:hAnsi="方正黑体_GBK" w:eastAsia="方正黑体_GBK" w:cs="方正黑体_GBK"/>
                <w:sz w:val="21"/>
                <w:szCs w:val="21"/>
                <w:highlight w:val="none"/>
              </w:rPr>
            </w:pPr>
            <w:r>
              <w:rPr>
                <w:rFonts w:hint="eastAsia" w:ascii="方正黑体_GBK" w:hAnsi="方正黑体_GBK" w:eastAsia="方正黑体_GBK" w:cs="方正黑体_GBK"/>
                <w:sz w:val="21"/>
                <w:szCs w:val="21"/>
                <w:highlight w:val="none"/>
              </w:rPr>
              <w:t>指标</w:t>
            </w:r>
          </w:p>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方正黑体_GBK" w:hAnsi="方正黑体_GBK" w:eastAsia="方正黑体_GBK" w:cs="方正黑体_GBK"/>
                <w:sz w:val="21"/>
                <w:szCs w:val="21"/>
                <w:highlight w:val="none"/>
              </w:rPr>
            </w:pPr>
            <w:r>
              <w:rPr>
                <w:rFonts w:hint="eastAsia" w:ascii="方正黑体_GBK" w:hAnsi="方正黑体_GBK" w:eastAsia="方正黑体_GBK" w:cs="方正黑体_GBK"/>
                <w:sz w:val="21"/>
                <w:szCs w:val="21"/>
                <w:highlight w:val="none"/>
              </w:rPr>
              <w:t>类型</w:t>
            </w:r>
          </w:p>
        </w:tc>
        <w:tc>
          <w:tcPr>
            <w:tcW w:w="249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方正黑体_GBK" w:hAnsi="方正黑体_GBK" w:eastAsia="方正黑体_GBK" w:cs="方正黑体_GBK"/>
                <w:sz w:val="21"/>
                <w:szCs w:val="21"/>
                <w:highlight w:val="none"/>
              </w:rPr>
            </w:pPr>
            <w:r>
              <w:rPr>
                <w:rFonts w:hint="eastAsia" w:ascii="方正黑体_GBK" w:hAnsi="方正黑体_GBK" w:eastAsia="方正黑体_GBK" w:cs="方正黑体_GBK"/>
                <w:sz w:val="21"/>
                <w:szCs w:val="21"/>
                <w:highlight w:val="none"/>
              </w:rPr>
              <w:t>指  标  名  称</w:t>
            </w:r>
          </w:p>
        </w:tc>
        <w:tc>
          <w:tcPr>
            <w:tcW w:w="119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after="0" w:line="216" w:lineRule="auto"/>
              <w:ind w:left="0" w:leftChars="0" w:right="0" w:rightChars="0" w:firstLine="0" w:firstLineChars="0"/>
              <w:jc w:val="center"/>
              <w:textAlignment w:val="auto"/>
              <w:outlineLvl w:val="9"/>
              <w:rPr>
                <w:rFonts w:hint="eastAsia" w:ascii="方正黑体_GBK" w:hAnsi="方正黑体_GBK" w:eastAsia="方正黑体_GBK" w:cs="方正黑体_GBK"/>
                <w:sz w:val="21"/>
                <w:szCs w:val="21"/>
                <w:highlight w:val="none"/>
                <w:lang w:val="en-US" w:eastAsia="zh-CN"/>
              </w:rPr>
            </w:pPr>
            <w:r>
              <w:rPr>
                <w:rFonts w:hint="eastAsia" w:ascii="方正黑体_GBK" w:hAnsi="方正黑体_GBK" w:eastAsia="方正黑体_GBK" w:cs="方正黑体_GBK"/>
                <w:sz w:val="21"/>
                <w:szCs w:val="21"/>
                <w:highlight w:val="none"/>
                <w:lang w:val="en-US" w:eastAsia="zh-CN"/>
              </w:rPr>
              <w:t>重庆市</w:t>
            </w:r>
          </w:p>
          <w:p>
            <w:pPr>
              <w:keepNext w:val="0"/>
              <w:keepLines w:val="0"/>
              <w:pageBreakBefore w:val="0"/>
              <w:widowControl w:val="0"/>
              <w:kinsoku/>
              <w:wordWrap/>
              <w:overflowPunct/>
              <w:topLinePunct w:val="0"/>
              <w:autoSpaceDE/>
              <w:autoSpaceDN/>
              <w:bidi w:val="0"/>
              <w:adjustRightInd/>
              <w:snapToGrid w:val="0"/>
              <w:spacing w:after="0" w:line="216" w:lineRule="auto"/>
              <w:ind w:left="0" w:leftChars="0" w:right="0" w:rightChars="0" w:firstLine="0" w:firstLineChars="0"/>
              <w:jc w:val="center"/>
              <w:textAlignment w:val="auto"/>
              <w:outlineLvl w:val="9"/>
              <w:rPr>
                <w:rFonts w:hint="eastAsia" w:ascii="方正黑体_GBK" w:hAnsi="方正黑体_GBK" w:eastAsia="方正黑体_GBK" w:cs="方正黑体_GBK"/>
                <w:sz w:val="21"/>
                <w:szCs w:val="21"/>
                <w:highlight w:val="none"/>
              </w:rPr>
            </w:pPr>
            <w:r>
              <w:rPr>
                <w:rFonts w:hint="eastAsia" w:ascii="方正黑体_GBK" w:hAnsi="方正黑体_GBK" w:eastAsia="方正黑体_GBK" w:cs="方正黑体_GBK"/>
                <w:sz w:val="21"/>
                <w:szCs w:val="21"/>
                <w:highlight w:val="none"/>
              </w:rPr>
              <w:t>2022年</w:t>
            </w:r>
          </w:p>
          <w:p>
            <w:pPr>
              <w:keepNext w:val="0"/>
              <w:keepLines w:val="0"/>
              <w:pageBreakBefore w:val="0"/>
              <w:widowControl w:val="0"/>
              <w:kinsoku/>
              <w:wordWrap/>
              <w:overflowPunct/>
              <w:topLinePunct w:val="0"/>
              <w:autoSpaceDE/>
              <w:autoSpaceDN/>
              <w:bidi w:val="0"/>
              <w:adjustRightInd/>
              <w:snapToGrid w:val="0"/>
              <w:spacing w:after="0" w:line="216" w:lineRule="auto"/>
              <w:ind w:left="0" w:leftChars="0" w:right="0" w:rightChars="0" w:firstLine="0" w:firstLineChars="0"/>
              <w:jc w:val="center"/>
              <w:textAlignment w:val="auto"/>
              <w:outlineLvl w:val="9"/>
              <w:rPr>
                <w:rFonts w:hint="eastAsia" w:ascii="方正黑体_GBK" w:hAnsi="方正黑体_GBK" w:eastAsia="方正黑体_GBK" w:cs="方正黑体_GBK"/>
                <w:sz w:val="21"/>
                <w:szCs w:val="21"/>
                <w:highlight w:val="none"/>
              </w:rPr>
            </w:pPr>
            <w:r>
              <w:rPr>
                <w:rFonts w:hint="eastAsia" w:ascii="方正黑体_GBK" w:hAnsi="方正黑体_GBK" w:eastAsia="方正黑体_GBK" w:cs="方正黑体_GBK"/>
                <w:sz w:val="21"/>
                <w:szCs w:val="21"/>
                <w:highlight w:val="none"/>
              </w:rPr>
              <w:t>现状</w:t>
            </w:r>
          </w:p>
        </w:tc>
        <w:tc>
          <w:tcPr>
            <w:tcW w:w="1114"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after="0" w:line="216" w:lineRule="auto"/>
              <w:ind w:left="0" w:leftChars="0" w:right="0" w:rightChars="0" w:firstLine="0" w:firstLineChars="0"/>
              <w:jc w:val="center"/>
              <w:textAlignment w:val="auto"/>
              <w:outlineLvl w:val="9"/>
              <w:rPr>
                <w:rFonts w:hint="eastAsia" w:ascii="方正黑体_GBK" w:hAnsi="方正黑体_GBK" w:eastAsia="方正黑体_GBK" w:cs="方正黑体_GBK"/>
                <w:sz w:val="21"/>
                <w:szCs w:val="21"/>
                <w:highlight w:val="none"/>
                <w:lang w:val="en-US" w:eastAsia="zh-CN"/>
              </w:rPr>
            </w:pPr>
            <w:r>
              <w:rPr>
                <w:rFonts w:hint="eastAsia" w:ascii="方正黑体_GBK" w:hAnsi="方正黑体_GBK" w:eastAsia="方正黑体_GBK" w:cs="方正黑体_GBK"/>
                <w:sz w:val="21"/>
                <w:szCs w:val="21"/>
                <w:highlight w:val="none"/>
                <w:lang w:val="en-US" w:eastAsia="zh-CN"/>
              </w:rPr>
              <w:t>重庆市</w:t>
            </w:r>
          </w:p>
          <w:p>
            <w:pPr>
              <w:keepNext w:val="0"/>
              <w:keepLines w:val="0"/>
              <w:pageBreakBefore w:val="0"/>
              <w:widowControl w:val="0"/>
              <w:kinsoku/>
              <w:wordWrap/>
              <w:overflowPunct/>
              <w:topLinePunct w:val="0"/>
              <w:autoSpaceDE/>
              <w:autoSpaceDN/>
              <w:bidi w:val="0"/>
              <w:adjustRightInd/>
              <w:snapToGrid w:val="0"/>
              <w:spacing w:after="0" w:line="216" w:lineRule="auto"/>
              <w:ind w:left="0" w:leftChars="0" w:right="0" w:rightChars="0" w:firstLine="0" w:firstLineChars="0"/>
              <w:jc w:val="center"/>
              <w:textAlignment w:val="auto"/>
              <w:outlineLvl w:val="9"/>
              <w:rPr>
                <w:rFonts w:hint="eastAsia" w:ascii="方正黑体_GBK" w:hAnsi="方正黑体_GBK" w:eastAsia="方正黑体_GBK" w:cs="方正黑体_GBK"/>
                <w:sz w:val="21"/>
                <w:szCs w:val="21"/>
                <w:highlight w:val="none"/>
                <w:lang w:val="en-US" w:eastAsia="zh-CN"/>
              </w:rPr>
            </w:pPr>
            <w:r>
              <w:rPr>
                <w:rFonts w:hint="eastAsia" w:ascii="方正黑体_GBK" w:hAnsi="方正黑体_GBK" w:eastAsia="方正黑体_GBK" w:cs="方正黑体_GBK"/>
                <w:sz w:val="21"/>
                <w:szCs w:val="21"/>
                <w:highlight w:val="none"/>
              </w:rPr>
              <w:t>202</w:t>
            </w:r>
            <w:r>
              <w:rPr>
                <w:rFonts w:hint="eastAsia" w:ascii="方正黑体_GBK" w:hAnsi="方正黑体_GBK" w:eastAsia="方正黑体_GBK" w:cs="方正黑体_GBK"/>
                <w:sz w:val="21"/>
                <w:szCs w:val="21"/>
                <w:highlight w:val="none"/>
                <w:lang w:val="en-US" w:eastAsia="zh-CN"/>
              </w:rPr>
              <w:t>5年</w:t>
            </w:r>
          </w:p>
          <w:p>
            <w:pPr>
              <w:keepNext w:val="0"/>
              <w:keepLines w:val="0"/>
              <w:pageBreakBefore w:val="0"/>
              <w:widowControl w:val="0"/>
              <w:kinsoku/>
              <w:wordWrap/>
              <w:overflowPunct/>
              <w:topLinePunct w:val="0"/>
              <w:autoSpaceDE/>
              <w:autoSpaceDN/>
              <w:bidi w:val="0"/>
              <w:adjustRightInd/>
              <w:snapToGrid w:val="0"/>
              <w:spacing w:after="0" w:line="216" w:lineRule="auto"/>
              <w:ind w:left="0" w:leftChars="0" w:right="0" w:rightChars="0" w:firstLine="0" w:firstLineChars="0"/>
              <w:jc w:val="center"/>
              <w:textAlignment w:val="auto"/>
              <w:outlineLvl w:val="9"/>
              <w:rPr>
                <w:rFonts w:hint="eastAsia" w:ascii="方正黑体_GBK" w:hAnsi="方正黑体_GBK" w:eastAsia="方正黑体_GBK" w:cs="方正黑体_GBK"/>
                <w:sz w:val="21"/>
                <w:szCs w:val="21"/>
                <w:highlight w:val="none"/>
              </w:rPr>
            </w:pPr>
            <w:r>
              <w:rPr>
                <w:rFonts w:hint="eastAsia" w:ascii="方正黑体_GBK" w:hAnsi="方正黑体_GBK" w:eastAsia="方正黑体_GBK" w:cs="方正黑体_GBK"/>
                <w:sz w:val="21"/>
                <w:szCs w:val="21"/>
                <w:highlight w:val="none"/>
                <w:lang w:val="en-US" w:eastAsia="zh-CN"/>
              </w:rPr>
              <w:t>目标</w:t>
            </w:r>
          </w:p>
        </w:tc>
        <w:tc>
          <w:tcPr>
            <w:tcW w:w="1005"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方正黑体_GBK" w:hAnsi="方正黑体_GBK" w:eastAsia="方正黑体_GBK" w:cs="方正黑体_GBK"/>
                <w:sz w:val="21"/>
                <w:szCs w:val="21"/>
                <w:highlight w:val="none"/>
                <w:lang w:val="en-US" w:eastAsia="zh-CN"/>
              </w:rPr>
            </w:pPr>
            <w:r>
              <w:rPr>
                <w:rFonts w:hint="eastAsia" w:ascii="方正黑体_GBK" w:hAnsi="方正黑体_GBK" w:eastAsia="方正黑体_GBK" w:cs="方正黑体_GBK"/>
                <w:sz w:val="21"/>
                <w:szCs w:val="21"/>
                <w:highlight w:val="none"/>
                <w:lang w:val="en-US" w:eastAsia="zh-CN"/>
              </w:rPr>
              <w:t>永川区</w:t>
            </w:r>
          </w:p>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方正黑体_GBK" w:hAnsi="方正黑体_GBK" w:eastAsia="方正黑体_GBK" w:cs="方正黑体_GBK"/>
                <w:sz w:val="21"/>
                <w:szCs w:val="21"/>
                <w:highlight w:val="none"/>
              </w:rPr>
            </w:pPr>
            <w:r>
              <w:rPr>
                <w:rFonts w:hint="eastAsia" w:ascii="方正黑体_GBK" w:hAnsi="方正黑体_GBK" w:eastAsia="方正黑体_GBK" w:cs="方正黑体_GBK"/>
                <w:sz w:val="21"/>
                <w:szCs w:val="21"/>
                <w:highlight w:val="none"/>
              </w:rPr>
              <w:t>202</w:t>
            </w:r>
            <w:r>
              <w:rPr>
                <w:rFonts w:hint="eastAsia" w:ascii="方正黑体_GBK" w:hAnsi="方正黑体_GBK" w:eastAsia="方正黑体_GBK" w:cs="方正黑体_GBK"/>
                <w:sz w:val="21"/>
                <w:szCs w:val="21"/>
                <w:highlight w:val="none"/>
                <w:lang w:val="en-US" w:eastAsia="zh-CN"/>
              </w:rPr>
              <w:t>3</w:t>
            </w:r>
            <w:r>
              <w:rPr>
                <w:rFonts w:hint="eastAsia" w:ascii="方正黑体_GBK" w:hAnsi="方正黑体_GBK" w:eastAsia="方正黑体_GBK" w:cs="方正黑体_GBK"/>
                <w:sz w:val="21"/>
                <w:szCs w:val="21"/>
                <w:highlight w:val="none"/>
              </w:rPr>
              <w:t>年</w:t>
            </w:r>
          </w:p>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方正黑体_GBK" w:hAnsi="方正黑体_GBK" w:eastAsia="方正黑体_GBK" w:cs="方正黑体_GBK"/>
                <w:sz w:val="21"/>
                <w:szCs w:val="21"/>
                <w:highlight w:val="none"/>
              </w:rPr>
            </w:pPr>
            <w:r>
              <w:rPr>
                <w:rFonts w:hint="eastAsia" w:ascii="方正黑体_GBK" w:hAnsi="方正黑体_GBK" w:eastAsia="方正黑体_GBK" w:cs="方正黑体_GBK"/>
                <w:sz w:val="21"/>
                <w:szCs w:val="21"/>
                <w:highlight w:val="none"/>
              </w:rPr>
              <w:t>现状</w:t>
            </w:r>
          </w:p>
        </w:tc>
        <w:tc>
          <w:tcPr>
            <w:tcW w:w="1682"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方正黑体_GBK" w:hAnsi="方正黑体_GBK" w:eastAsia="方正黑体_GBK" w:cs="方正黑体_GBK"/>
                <w:sz w:val="21"/>
                <w:szCs w:val="21"/>
                <w:highlight w:val="none"/>
                <w:lang w:val="en-US" w:eastAsia="zh-CN"/>
              </w:rPr>
            </w:pPr>
            <w:r>
              <w:rPr>
                <w:rFonts w:hint="eastAsia" w:ascii="方正黑体_GBK" w:hAnsi="方正黑体_GBK" w:eastAsia="方正黑体_GBK" w:cs="方正黑体_GBK"/>
                <w:sz w:val="21"/>
                <w:szCs w:val="21"/>
                <w:highlight w:val="none"/>
                <w:lang w:val="en-US" w:eastAsia="zh-CN"/>
              </w:rPr>
              <w:t>永川区</w:t>
            </w:r>
          </w:p>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方正黑体_GBK" w:hAnsi="方正黑体_GBK" w:eastAsia="方正黑体_GBK" w:cs="方正黑体_GBK"/>
                <w:sz w:val="21"/>
                <w:szCs w:val="21"/>
                <w:highlight w:val="none"/>
              </w:rPr>
            </w:pPr>
            <w:r>
              <w:rPr>
                <w:rFonts w:hint="eastAsia" w:ascii="方正黑体_GBK" w:hAnsi="方正黑体_GBK" w:eastAsia="方正黑体_GBK" w:cs="方正黑体_GBK"/>
                <w:sz w:val="21"/>
                <w:szCs w:val="21"/>
                <w:highlight w:val="none"/>
              </w:rPr>
              <w:t>2025年目标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8"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869" w:type="dxa"/>
            <w:vMerge w:val="restart"/>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distribute"/>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体系</w:t>
            </w:r>
          </w:p>
          <w:p>
            <w:pPr>
              <w:keepNext w:val="0"/>
              <w:keepLines w:val="0"/>
              <w:pageBreakBefore w:val="0"/>
              <w:widowControl w:val="0"/>
              <w:kinsoku/>
              <w:wordWrap/>
              <w:overflowPunct/>
              <w:topLinePunct w:val="0"/>
              <w:autoSpaceDE/>
              <w:autoSpaceDN/>
              <w:bidi w:val="0"/>
              <w:adjustRightInd/>
              <w:snapToGrid w:val="0"/>
              <w:spacing w:line="216" w:lineRule="auto"/>
              <w:jc w:val="distribute"/>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建设</w:t>
            </w:r>
          </w:p>
        </w:tc>
        <w:tc>
          <w:tcPr>
            <w:tcW w:w="249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三级疾控中心（个）</w:t>
            </w:r>
          </w:p>
        </w:tc>
        <w:tc>
          <w:tcPr>
            <w:tcW w:w="119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after="0" w:line="216"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z w:val="21"/>
                <w:szCs w:val="21"/>
                <w:highlight w:val="none"/>
                <w:vertAlign w:val="baseline"/>
                <w:lang w:val="en-US" w:eastAsia="zh-CN"/>
              </w:rPr>
              <w:t>0</w:t>
            </w:r>
          </w:p>
        </w:tc>
        <w:tc>
          <w:tcPr>
            <w:tcW w:w="1114"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after="0" w:line="216"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z w:val="21"/>
                <w:szCs w:val="21"/>
                <w:highlight w:val="none"/>
              </w:rPr>
              <w:t>7—10</w:t>
            </w:r>
          </w:p>
        </w:tc>
        <w:tc>
          <w:tcPr>
            <w:tcW w:w="1005"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1682"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8"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p>
        </w:tc>
        <w:tc>
          <w:tcPr>
            <w:tcW w:w="869" w:type="dxa"/>
            <w:vMerge w:val="continue"/>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asciiTheme="minorEastAsia" w:hAnsiTheme="minorEastAsia" w:eastAsiaTheme="minorEastAsia" w:cstheme="minorEastAsia"/>
                <w:sz w:val="21"/>
                <w:szCs w:val="21"/>
                <w:highlight w:val="none"/>
              </w:rPr>
            </w:pPr>
          </w:p>
        </w:tc>
        <w:tc>
          <w:tcPr>
            <w:tcW w:w="249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区域疾控中心（个）</w:t>
            </w:r>
          </w:p>
        </w:tc>
        <w:tc>
          <w:tcPr>
            <w:tcW w:w="119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after="0" w:line="216"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z w:val="21"/>
                <w:szCs w:val="21"/>
                <w:highlight w:val="none"/>
                <w:lang w:val="en-US" w:eastAsia="zh-CN"/>
              </w:rPr>
              <w:t>0</w:t>
            </w:r>
          </w:p>
        </w:tc>
        <w:tc>
          <w:tcPr>
            <w:tcW w:w="1114"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after="0" w:line="216"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z w:val="21"/>
                <w:szCs w:val="21"/>
                <w:highlight w:val="none"/>
              </w:rPr>
              <w:t>7</w:t>
            </w:r>
          </w:p>
        </w:tc>
        <w:tc>
          <w:tcPr>
            <w:tcW w:w="1005"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w:t>
            </w:r>
          </w:p>
        </w:tc>
        <w:tc>
          <w:tcPr>
            <w:tcW w:w="1682"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18"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p>
        </w:tc>
        <w:tc>
          <w:tcPr>
            <w:tcW w:w="869" w:type="dxa"/>
            <w:vMerge w:val="continue"/>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asciiTheme="minorEastAsia" w:hAnsiTheme="minorEastAsia" w:eastAsiaTheme="minorEastAsia" w:cstheme="minorEastAsia"/>
                <w:sz w:val="21"/>
                <w:szCs w:val="21"/>
                <w:highlight w:val="none"/>
              </w:rPr>
            </w:pPr>
          </w:p>
        </w:tc>
        <w:tc>
          <w:tcPr>
            <w:tcW w:w="249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二级及以上公立医院公共卫生科标准化率（%）</w:t>
            </w:r>
          </w:p>
        </w:tc>
        <w:tc>
          <w:tcPr>
            <w:tcW w:w="119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after="0" w:line="216"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vertAlign w:val="baseline"/>
                <w:lang w:val="en-US" w:eastAsia="zh-CN"/>
              </w:rPr>
              <w:t>88.36</w:t>
            </w:r>
          </w:p>
        </w:tc>
        <w:tc>
          <w:tcPr>
            <w:tcW w:w="1114"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after="0" w:line="216"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100</w:t>
            </w:r>
          </w:p>
        </w:tc>
        <w:tc>
          <w:tcPr>
            <w:tcW w:w="1005"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100</w:t>
            </w:r>
          </w:p>
        </w:tc>
        <w:tc>
          <w:tcPr>
            <w:tcW w:w="1682"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8"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p>
        </w:tc>
        <w:tc>
          <w:tcPr>
            <w:tcW w:w="869" w:type="dxa"/>
            <w:vMerge w:val="continue"/>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asciiTheme="minorEastAsia" w:hAnsiTheme="minorEastAsia" w:eastAsiaTheme="minorEastAsia" w:cstheme="minorEastAsia"/>
                <w:sz w:val="21"/>
                <w:szCs w:val="21"/>
                <w:highlight w:val="none"/>
              </w:rPr>
            </w:pPr>
          </w:p>
        </w:tc>
        <w:tc>
          <w:tcPr>
            <w:tcW w:w="249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基层医疗卫生机构公共卫生科标准化率（%）</w:t>
            </w:r>
          </w:p>
        </w:tc>
        <w:tc>
          <w:tcPr>
            <w:tcW w:w="1190" w:type="dxa"/>
            <w:tcMar>
              <w:top w:w="113" w:type="dxa"/>
              <w:left w:w="142" w:type="dxa"/>
              <w:bottom w:w="113" w:type="dxa"/>
              <w:right w:w="142" w:type="dxa"/>
            </w:tcMar>
            <w:vAlign w:val="center"/>
          </w:tcPr>
          <w:p>
            <w:pPr>
              <w:keepNext w:val="0"/>
              <w:keepLines w:val="0"/>
              <w:pageBreakBefore w:val="0"/>
              <w:widowControl w:val="0"/>
              <w:tabs>
                <w:tab w:val="center" w:pos="509"/>
              </w:tabs>
              <w:kinsoku/>
              <w:wordWrap/>
              <w:overflowPunct/>
              <w:topLinePunct w:val="0"/>
              <w:autoSpaceDE/>
              <w:autoSpaceDN/>
              <w:bidi w:val="0"/>
              <w:adjustRightInd/>
              <w:snapToGrid w:val="0"/>
              <w:spacing w:after="0" w:line="216"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w:t>
            </w:r>
          </w:p>
        </w:tc>
        <w:tc>
          <w:tcPr>
            <w:tcW w:w="1114"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after="0" w:line="216"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100</w:t>
            </w:r>
          </w:p>
        </w:tc>
        <w:tc>
          <w:tcPr>
            <w:tcW w:w="1005"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100</w:t>
            </w:r>
          </w:p>
        </w:tc>
        <w:tc>
          <w:tcPr>
            <w:tcW w:w="1682"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18"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p>
        </w:tc>
        <w:tc>
          <w:tcPr>
            <w:tcW w:w="869" w:type="dxa"/>
            <w:vMerge w:val="restart"/>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distribute"/>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人 才</w:t>
            </w:r>
          </w:p>
          <w:p>
            <w:pPr>
              <w:keepNext w:val="0"/>
              <w:keepLines w:val="0"/>
              <w:pageBreakBefore w:val="0"/>
              <w:widowControl w:val="0"/>
              <w:kinsoku/>
              <w:wordWrap/>
              <w:overflowPunct/>
              <w:topLinePunct w:val="0"/>
              <w:autoSpaceDE/>
              <w:autoSpaceDN/>
              <w:bidi w:val="0"/>
              <w:adjustRightInd/>
              <w:snapToGrid w:val="0"/>
              <w:spacing w:line="216" w:lineRule="auto"/>
              <w:jc w:val="distribute"/>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队 伍</w:t>
            </w:r>
          </w:p>
          <w:p>
            <w:pPr>
              <w:keepNext w:val="0"/>
              <w:keepLines w:val="0"/>
              <w:pageBreakBefore w:val="0"/>
              <w:widowControl w:val="0"/>
              <w:kinsoku/>
              <w:wordWrap/>
              <w:overflowPunct/>
              <w:topLinePunct w:val="0"/>
              <w:autoSpaceDE/>
              <w:autoSpaceDN/>
              <w:bidi w:val="0"/>
              <w:adjustRightInd/>
              <w:snapToGrid w:val="0"/>
              <w:spacing w:line="216" w:lineRule="auto"/>
              <w:jc w:val="distribute"/>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建</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设</w:t>
            </w:r>
          </w:p>
        </w:tc>
        <w:tc>
          <w:tcPr>
            <w:tcW w:w="249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每万常住人口专业公共卫生机构人员数（人）</w:t>
            </w:r>
          </w:p>
        </w:tc>
        <w:tc>
          <w:tcPr>
            <w:tcW w:w="119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after="0" w:line="216"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4.7</w:t>
            </w:r>
          </w:p>
        </w:tc>
        <w:tc>
          <w:tcPr>
            <w:tcW w:w="1114"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after="0" w:line="216"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8.6</w:t>
            </w:r>
          </w:p>
        </w:tc>
        <w:tc>
          <w:tcPr>
            <w:tcW w:w="1005"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5.8</w:t>
            </w:r>
          </w:p>
        </w:tc>
        <w:tc>
          <w:tcPr>
            <w:tcW w:w="1682"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618"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w:t>
            </w:r>
          </w:p>
        </w:tc>
        <w:tc>
          <w:tcPr>
            <w:tcW w:w="869" w:type="dxa"/>
            <w:vMerge w:val="continue"/>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distribute"/>
              <w:textAlignment w:val="auto"/>
              <w:rPr>
                <w:rFonts w:hint="eastAsia" w:asciiTheme="minorEastAsia" w:hAnsiTheme="minorEastAsia" w:eastAsiaTheme="minorEastAsia" w:cstheme="minorEastAsia"/>
                <w:sz w:val="21"/>
                <w:szCs w:val="21"/>
                <w:highlight w:val="none"/>
              </w:rPr>
            </w:pPr>
          </w:p>
        </w:tc>
        <w:tc>
          <w:tcPr>
            <w:tcW w:w="249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每万常住人口疾控机构人员数（人）</w:t>
            </w:r>
          </w:p>
        </w:tc>
        <w:tc>
          <w:tcPr>
            <w:tcW w:w="119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after="0" w:line="216"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0.9</w:t>
            </w:r>
          </w:p>
        </w:tc>
        <w:tc>
          <w:tcPr>
            <w:tcW w:w="1114"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after="0" w:line="216"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1.8</w:t>
            </w:r>
          </w:p>
        </w:tc>
        <w:tc>
          <w:tcPr>
            <w:tcW w:w="1005"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1.6</w:t>
            </w:r>
          </w:p>
        </w:tc>
        <w:tc>
          <w:tcPr>
            <w:tcW w:w="1682"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u w:val="none"/>
              </w:rPr>
              <w:t>1.8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8"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w:t>
            </w:r>
          </w:p>
        </w:tc>
        <w:tc>
          <w:tcPr>
            <w:tcW w:w="869" w:type="dxa"/>
            <w:vMerge w:val="restart"/>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distribute"/>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服</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务</w:t>
            </w:r>
          </w:p>
          <w:p>
            <w:pPr>
              <w:keepNext w:val="0"/>
              <w:keepLines w:val="0"/>
              <w:pageBreakBefore w:val="0"/>
              <w:widowControl w:val="0"/>
              <w:kinsoku/>
              <w:wordWrap/>
              <w:overflowPunct/>
              <w:topLinePunct w:val="0"/>
              <w:autoSpaceDE/>
              <w:autoSpaceDN/>
              <w:bidi w:val="0"/>
              <w:adjustRightInd/>
              <w:snapToGrid w:val="0"/>
              <w:spacing w:line="216" w:lineRule="auto"/>
              <w:jc w:val="distribute"/>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能</w:t>
            </w:r>
            <w:r>
              <w:rPr>
                <w:rFonts w:hint="eastAsia" w:asciiTheme="minorEastAsia" w:hAnsiTheme="minorEastAsia" w:eastAsiaTheme="minorEastAsia" w:cstheme="minorEastAsia"/>
                <w:sz w:val="21"/>
                <w:szCs w:val="21"/>
                <w:highlight w:val="none"/>
                <w:lang w:val="en-US" w:eastAsia="zh-CN"/>
              </w:rPr>
              <w:t xml:space="preserve"> </w:t>
            </w:r>
            <w:r>
              <w:rPr>
                <w:rFonts w:hint="eastAsia" w:asciiTheme="minorEastAsia" w:hAnsiTheme="minorEastAsia" w:eastAsiaTheme="minorEastAsia" w:cstheme="minorEastAsia"/>
                <w:sz w:val="21"/>
                <w:szCs w:val="21"/>
                <w:highlight w:val="none"/>
              </w:rPr>
              <w:t>力</w:t>
            </w:r>
          </w:p>
        </w:tc>
        <w:tc>
          <w:tcPr>
            <w:tcW w:w="249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区域疾控中心实验室检测项目（项）</w:t>
            </w:r>
          </w:p>
        </w:tc>
        <w:tc>
          <w:tcPr>
            <w:tcW w:w="119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after="0" w:line="216"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w:t>
            </w:r>
          </w:p>
        </w:tc>
        <w:tc>
          <w:tcPr>
            <w:tcW w:w="1114"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after="0" w:line="216"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00</w:t>
            </w:r>
          </w:p>
        </w:tc>
        <w:tc>
          <w:tcPr>
            <w:tcW w:w="1005"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805</w:t>
            </w:r>
          </w:p>
        </w:tc>
        <w:tc>
          <w:tcPr>
            <w:tcW w:w="1682"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≥1200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8"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8</w:t>
            </w:r>
          </w:p>
        </w:tc>
        <w:tc>
          <w:tcPr>
            <w:tcW w:w="869" w:type="dxa"/>
            <w:vMerge w:val="continue"/>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asciiTheme="minorEastAsia" w:hAnsiTheme="minorEastAsia" w:eastAsiaTheme="minorEastAsia" w:cstheme="minorEastAsia"/>
                <w:sz w:val="21"/>
                <w:szCs w:val="21"/>
                <w:highlight w:val="none"/>
              </w:rPr>
            </w:pPr>
          </w:p>
        </w:tc>
        <w:tc>
          <w:tcPr>
            <w:tcW w:w="249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重点专（学）科（个）</w:t>
            </w:r>
          </w:p>
        </w:tc>
        <w:tc>
          <w:tcPr>
            <w:tcW w:w="119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after="0" w:line="216" w:lineRule="auto"/>
              <w:ind w:left="0" w:leftChars="0" w:right="0" w:rightChars="0" w:firstLine="0" w:firstLineChars="0"/>
              <w:jc w:val="center"/>
              <w:textAlignment w:val="auto"/>
              <w:outlineLvl w:val="9"/>
              <w:rPr>
                <w:rFonts w:hint="eastAsia" w:asciiTheme="minorEastAsia" w:hAnsiTheme="minorEastAsia" w:eastAsiaTheme="minorEastAsia" w:cstheme="minorEastAsia"/>
                <w:spacing w:val="0"/>
                <w:sz w:val="21"/>
                <w:szCs w:val="21"/>
                <w:highlight w:val="none"/>
                <w:vertAlign w:val="baseline"/>
                <w:lang w:val="en-US" w:eastAsia="zh-CN"/>
              </w:rPr>
            </w:pPr>
            <w:r>
              <w:rPr>
                <w:rFonts w:hint="eastAsia" w:asciiTheme="minorEastAsia" w:hAnsiTheme="minorEastAsia" w:eastAsiaTheme="minorEastAsia" w:cstheme="minorEastAsia"/>
                <w:spacing w:val="0"/>
                <w:sz w:val="21"/>
                <w:szCs w:val="21"/>
                <w:highlight w:val="none"/>
                <w:vertAlign w:val="baseline"/>
                <w:lang w:val="en-US" w:eastAsia="zh-CN"/>
              </w:rPr>
              <w:t>41</w:t>
            </w:r>
          </w:p>
          <w:p>
            <w:pPr>
              <w:keepNext w:val="0"/>
              <w:keepLines w:val="0"/>
              <w:pageBreakBefore w:val="0"/>
              <w:widowControl w:val="0"/>
              <w:kinsoku/>
              <w:wordWrap/>
              <w:overflowPunct/>
              <w:topLinePunct w:val="0"/>
              <w:autoSpaceDE/>
              <w:autoSpaceDN/>
              <w:bidi w:val="0"/>
              <w:adjustRightInd/>
              <w:snapToGrid w:val="0"/>
              <w:spacing w:after="0" w:line="216"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0"/>
                <w:sz w:val="21"/>
                <w:szCs w:val="21"/>
                <w:highlight w:val="none"/>
                <w:vertAlign w:val="baseline"/>
                <w:lang w:val="en-US" w:eastAsia="zh-CN"/>
              </w:rPr>
              <w:t>（创建）</w:t>
            </w:r>
          </w:p>
        </w:tc>
        <w:tc>
          <w:tcPr>
            <w:tcW w:w="1114"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after="0" w:line="216"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80</w:t>
            </w:r>
          </w:p>
        </w:tc>
        <w:tc>
          <w:tcPr>
            <w:tcW w:w="1005"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1682"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8"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w:t>
            </w:r>
          </w:p>
        </w:tc>
        <w:tc>
          <w:tcPr>
            <w:tcW w:w="869" w:type="dxa"/>
            <w:vMerge w:val="continue"/>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asciiTheme="minorEastAsia" w:hAnsiTheme="minorEastAsia" w:eastAsiaTheme="minorEastAsia" w:cstheme="minorEastAsia"/>
                <w:sz w:val="21"/>
                <w:szCs w:val="21"/>
                <w:highlight w:val="none"/>
              </w:rPr>
            </w:pPr>
          </w:p>
        </w:tc>
        <w:tc>
          <w:tcPr>
            <w:tcW w:w="2490" w:type="dxa"/>
            <w:tcMar>
              <w:top w:w="142"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城区院前急救平均反应时间</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分钟）</w:t>
            </w:r>
          </w:p>
        </w:tc>
        <w:tc>
          <w:tcPr>
            <w:tcW w:w="119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after="0" w:line="216"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16</w:t>
            </w:r>
          </w:p>
        </w:tc>
        <w:tc>
          <w:tcPr>
            <w:tcW w:w="1114"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after="0" w:line="216"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14以内</w:t>
            </w:r>
          </w:p>
        </w:tc>
        <w:tc>
          <w:tcPr>
            <w:tcW w:w="1005"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12</w:t>
            </w:r>
          </w:p>
        </w:tc>
        <w:tc>
          <w:tcPr>
            <w:tcW w:w="1682"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维持当前水平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8"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w:t>
            </w:r>
          </w:p>
        </w:tc>
        <w:tc>
          <w:tcPr>
            <w:tcW w:w="869" w:type="dxa"/>
            <w:vMerge w:val="restart"/>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健康状况和健康素养</w:t>
            </w:r>
          </w:p>
        </w:tc>
        <w:tc>
          <w:tcPr>
            <w:tcW w:w="2490" w:type="dxa"/>
            <w:tcMar>
              <w:top w:w="142"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65岁以上老年人结核病筛查率（%）</w:t>
            </w:r>
          </w:p>
        </w:tc>
        <w:tc>
          <w:tcPr>
            <w:tcW w:w="119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after="0" w:line="216"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w:t>
            </w:r>
          </w:p>
        </w:tc>
        <w:tc>
          <w:tcPr>
            <w:tcW w:w="1114"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after="0" w:line="216"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70</w:t>
            </w:r>
          </w:p>
        </w:tc>
        <w:tc>
          <w:tcPr>
            <w:tcW w:w="1005"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p>
        </w:tc>
        <w:tc>
          <w:tcPr>
            <w:tcW w:w="1682"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18"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11</w:t>
            </w:r>
          </w:p>
        </w:tc>
        <w:tc>
          <w:tcPr>
            <w:tcW w:w="869" w:type="dxa"/>
            <w:vMerge w:val="continue"/>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asciiTheme="minorEastAsia" w:hAnsiTheme="minorEastAsia" w:eastAsiaTheme="minorEastAsia" w:cstheme="minorEastAsia"/>
                <w:sz w:val="21"/>
                <w:szCs w:val="21"/>
                <w:highlight w:val="none"/>
              </w:rPr>
            </w:pPr>
          </w:p>
        </w:tc>
        <w:tc>
          <w:tcPr>
            <w:tcW w:w="2490" w:type="dxa"/>
            <w:tcMar>
              <w:top w:w="142"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全人群艾滋病检测覆盖率（%）</w:t>
            </w:r>
          </w:p>
        </w:tc>
        <w:tc>
          <w:tcPr>
            <w:tcW w:w="119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after="0" w:line="216"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pacing w:val="0"/>
                <w:sz w:val="21"/>
                <w:szCs w:val="21"/>
                <w:highlight w:val="none"/>
                <w:vertAlign w:val="baseline"/>
                <w:lang w:val="en-US" w:eastAsia="zh-CN"/>
              </w:rPr>
              <w:t>20.5</w:t>
            </w:r>
          </w:p>
        </w:tc>
        <w:tc>
          <w:tcPr>
            <w:tcW w:w="1114"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after="0" w:line="216"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40</w:t>
            </w:r>
          </w:p>
        </w:tc>
        <w:tc>
          <w:tcPr>
            <w:tcW w:w="1005"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52</w:t>
            </w:r>
          </w:p>
        </w:tc>
        <w:tc>
          <w:tcPr>
            <w:tcW w:w="1682"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维持在52以上</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18"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12</w:t>
            </w:r>
          </w:p>
        </w:tc>
        <w:tc>
          <w:tcPr>
            <w:tcW w:w="869" w:type="dxa"/>
            <w:vMerge w:val="continue"/>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asciiTheme="minorEastAsia" w:hAnsiTheme="minorEastAsia" w:eastAsiaTheme="minorEastAsia" w:cstheme="minorEastAsia"/>
                <w:sz w:val="21"/>
                <w:szCs w:val="21"/>
                <w:highlight w:val="none"/>
              </w:rPr>
            </w:pPr>
          </w:p>
        </w:tc>
        <w:tc>
          <w:tcPr>
            <w:tcW w:w="2490" w:type="dxa"/>
            <w:tcMar>
              <w:top w:w="142" w:type="dxa"/>
              <w:left w:w="142" w:type="dxa"/>
              <w:bottom w:w="125" w:type="dxa"/>
              <w:right w:w="142" w:type="dxa"/>
            </w:tcMar>
            <w:vAlign w:val="center"/>
          </w:tcPr>
          <w:p>
            <w:pPr>
              <w:keepNext w:val="0"/>
              <w:keepLines w:val="0"/>
              <w:pageBreakBefore w:val="0"/>
              <w:widowControl w:val="0"/>
              <w:tabs>
                <w:tab w:val="left" w:pos="1262"/>
              </w:tabs>
              <w:kinsoku/>
              <w:wordWrap/>
              <w:overflowPunct/>
              <w:topLinePunct w:val="0"/>
              <w:autoSpaceDE/>
              <w:autoSpaceDN/>
              <w:bidi w:val="0"/>
              <w:adjustRightInd/>
              <w:snapToGrid w:val="0"/>
              <w:spacing w:line="216"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bidi="ar"/>
              </w:rPr>
              <w:t>结核病发病率（人/10万人）</w:t>
            </w:r>
          </w:p>
        </w:tc>
        <w:tc>
          <w:tcPr>
            <w:tcW w:w="119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after="0" w:line="216"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50.17</w:t>
            </w:r>
          </w:p>
        </w:tc>
        <w:tc>
          <w:tcPr>
            <w:tcW w:w="1114"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after="0" w:line="216"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46以内</w:t>
            </w:r>
          </w:p>
        </w:tc>
        <w:tc>
          <w:tcPr>
            <w:tcW w:w="1005"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u w:val="none"/>
                <w:lang w:val="en-US" w:eastAsia="zh-CN"/>
              </w:rPr>
              <w:t>31.91</w:t>
            </w:r>
          </w:p>
        </w:tc>
        <w:tc>
          <w:tcPr>
            <w:tcW w:w="1682"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rPr>
              <w:t>30</w:t>
            </w:r>
            <w:r>
              <w:rPr>
                <w:rFonts w:hint="eastAsia" w:asciiTheme="minorEastAsia" w:hAnsiTheme="minorEastAsia" w:eastAsiaTheme="minorEastAsia" w:cstheme="minorEastAsia"/>
                <w:kern w:val="0"/>
                <w:sz w:val="21"/>
                <w:szCs w:val="21"/>
                <w:highlight w:val="none"/>
                <w:lang w:val="en-US" w:eastAsia="zh-CN"/>
              </w:rPr>
              <w:t>以内</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18"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13</w:t>
            </w:r>
          </w:p>
        </w:tc>
        <w:tc>
          <w:tcPr>
            <w:tcW w:w="869" w:type="dxa"/>
            <w:vMerge w:val="continue"/>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asciiTheme="minorEastAsia" w:hAnsiTheme="minorEastAsia" w:eastAsiaTheme="minorEastAsia" w:cstheme="minorEastAsia"/>
                <w:sz w:val="21"/>
                <w:szCs w:val="21"/>
                <w:highlight w:val="none"/>
              </w:rPr>
            </w:pPr>
          </w:p>
        </w:tc>
        <w:tc>
          <w:tcPr>
            <w:tcW w:w="2490" w:type="dxa"/>
            <w:tcMar>
              <w:top w:w="142"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主要慢性病早死概率（%）</w:t>
            </w:r>
          </w:p>
        </w:tc>
        <w:tc>
          <w:tcPr>
            <w:tcW w:w="119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after="0" w:line="216"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12.95</w:t>
            </w:r>
          </w:p>
        </w:tc>
        <w:tc>
          <w:tcPr>
            <w:tcW w:w="1114"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after="0" w:line="216"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维持在13以下</w:t>
            </w:r>
          </w:p>
        </w:tc>
        <w:tc>
          <w:tcPr>
            <w:tcW w:w="1005"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12.44</w:t>
            </w:r>
          </w:p>
        </w:tc>
        <w:tc>
          <w:tcPr>
            <w:tcW w:w="1682" w:type="dxa"/>
            <w:tcMar>
              <w:top w:w="113" w:type="dxa"/>
              <w:left w:w="142" w:type="dxa"/>
              <w:bottom w:w="113" w:type="dxa"/>
              <w:right w:w="142" w:type="dxa"/>
            </w:tcMar>
            <w:vAlign w:val="center"/>
          </w:tcPr>
          <w:p>
            <w:pPr>
              <w:pStyle w:val="55"/>
              <w:keepNext w:val="0"/>
              <w:keepLines w:val="0"/>
              <w:pageBreakBefore w:val="0"/>
              <w:widowControl w:val="0"/>
              <w:kinsoku/>
              <w:wordWrap/>
              <w:overflowPunct/>
              <w:topLinePunct w:val="0"/>
              <w:autoSpaceDE/>
              <w:autoSpaceDN/>
              <w:bidi w:val="0"/>
              <w:adjustRightInd/>
              <w:snapToGrid w:val="0"/>
              <w:spacing w:after="0" w:line="216" w:lineRule="auto"/>
              <w:ind w:firstLine="0" w:firstLineChars="0"/>
              <w:jc w:val="center"/>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维持在</w:t>
            </w:r>
          </w:p>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13以下</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18"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14</w:t>
            </w:r>
          </w:p>
        </w:tc>
        <w:tc>
          <w:tcPr>
            <w:tcW w:w="869" w:type="dxa"/>
            <w:vMerge w:val="continue"/>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asciiTheme="minorEastAsia" w:hAnsiTheme="minorEastAsia" w:eastAsiaTheme="minorEastAsia" w:cstheme="minorEastAsia"/>
                <w:sz w:val="21"/>
                <w:szCs w:val="21"/>
                <w:highlight w:val="none"/>
              </w:rPr>
            </w:pPr>
          </w:p>
        </w:tc>
        <w:tc>
          <w:tcPr>
            <w:tcW w:w="2490" w:type="dxa"/>
            <w:tcMar>
              <w:top w:w="142"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孕产妇死亡率（人/10万人）</w:t>
            </w:r>
          </w:p>
        </w:tc>
        <w:tc>
          <w:tcPr>
            <w:tcW w:w="119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after="0" w:line="216"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2"/>
                <w:sz w:val="21"/>
                <w:szCs w:val="21"/>
                <w:highlight w:val="none"/>
                <w:lang w:val="en-US" w:eastAsia="zh-CN" w:bidi="ar-SA"/>
              </w:rPr>
              <w:t>7.56</w:t>
            </w:r>
          </w:p>
        </w:tc>
        <w:tc>
          <w:tcPr>
            <w:tcW w:w="1114"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after="0" w:line="216" w:lineRule="auto"/>
              <w:ind w:left="0" w:leftChars="0" w:right="0" w:rightChars="0" w:firstLine="0" w:firstLineChars="0"/>
              <w:jc w:val="center"/>
              <w:textAlignment w:val="auto"/>
              <w:outlineLvl w:val="9"/>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维持在</w:t>
            </w:r>
          </w:p>
          <w:p>
            <w:pPr>
              <w:keepNext w:val="0"/>
              <w:keepLines w:val="0"/>
              <w:pageBreakBefore w:val="0"/>
              <w:widowControl w:val="0"/>
              <w:kinsoku/>
              <w:wordWrap/>
              <w:overflowPunct/>
              <w:topLinePunct w:val="0"/>
              <w:autoSpaceDE/>
              <w:autoSpaceDN/>
              <w:bidi w:val="0"/>
              <w:adjustRightInd/>
              <w:snapToGrid w:val="0"/>
              <w:spacing w:after="0" w:line="216"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2"/>
                <w:sz w:val="21"/>
                <w:szCs w:val="21"/>
                <w:highlight w:val="none"/>
                <w:lang w:val="en-US" w:eastAsia="zh-CN" w:bidi="ar-SA"/>
              </w:rPr>
              <w:t>8以下</w:t>
            </w:r>
          </w:p>
        </w:tc>
        <w:tc>
          <w:tcPr>
            <w:tcW w:w="1005" w:type="dxa"/>
            <w:tcMar>
              <w:top w:w="113" w:type="dxa"/>
              <w:left w:w="142" w:type="dxa"/>
              <w:bottom w:w="113" w:type="dxa"/>
              <w:right w:w="142" w:type="dxa"/>
            </w:tcMar>
            <w:vAlign w:val="center"/>
          </w:tcPr>
          <w:p>
            <w:pPr>
              <w:pStyle w:val="55"/>
              <w:keepNext w:val="0"/>
              <w:keepLines w:val="0"/>
              <w:pageBreakBefore w:val="0"/>
              <w:widowControl w:val="0"/>
              <w:kinsoku/>
              <w:wordWrap/>
              <w:overflowPunct/>
              <w:topLinePunct w:val="0"/>
              <w:autoSpaceDE/>
              <w:autoSpaceDN/>
              <w:bidi w:val="0"/>
              <w:adjustRightInd/>
              <w:snapToGrid w:val="0"/>
              <w:spacing w:after="0" w:line="216" w:lineRule="auto"/>
              <w:ind w:firstLine="0" w:firstLineChars="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0</w:t>
            </w:r>
          </w:p>
        </w:tc>
        <w:tc>
          <w:tcPr>
            <w:tcW w:w="1682" w:type="dxa"/>
            <w:tcMar>
              <w:top w:w="113" w:type="dxa"/>
              <w:left w:w="142" w:type="dxa"/>
              <w:bottom w:w="113" w:type="dxa"/>
              <w:right w:w="142" w:type="dxa"/>
            </w:tcMar>
            <w:vAlign w:val="center"/>
          </w:tcPr>
          <w:p>
            <w:pPr>
              <w:pStyle w:val="55"/>
              <w:keepNext w:val="0"/>
              <w:keepLines w:val="0"/>
              <w:pageBreakBefore w:val="0"/>
              <w:widowControl w:val="0"/>
              <w:kinsoku/>
              <w:wordWrap/>
              <w:overflowPunct/>
              <w:topLinePunct w:val="0"/>
              <w:autoSpaceDE/>
              <w:autoSpaceDN/>
              <w:bidi w:val="0"/>
              <w:adjustRightInd/>
              <w:snapToGrid w:val="0"/>
              <w:spacing w:after="0" w:line="216" w:lineRule="auto"/>
              <w:ind w:firstLine="0" w:firstLineChars="0"/>
              <w:jc w:val="center"/>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维持当前水平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18"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15</w:t>
            </w:r>
          </w:p>
        </w:tc>
        <w:tc>
          <w:tcPr>
            <w:tcW w:w="869" w:type="dxa"/>
            <w:vMerge w:val="continue"/>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asciiTheme="minorEastAsia" w:hAnsiTheme="minorEastAsia" w:eastAsiaTheme="minorEastAsia" w:cstheme="minorEastAsia"/>
                <w:sz w:val="21"/>
                <w:szCs w:val="21"/>
                <w:highlight w:val="none"/>
              </w:rPr>
            </w:pPr>
          </w:p>
        </w:tc>
        <w:tc>
          <w:tcPr>
            <w:tcW w:w="2490" w:type="dxa"/>
            <w:tcMar>
              <w:top w:w="142"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5岁以下儿童死亡率（‰）</w:t>
            </w:r>
          </w:p>
        </w:tc>
        <w:tc>
          <w:tcPr>
            <w:tcW w:w="119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after="0" w:line="216"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4.32</w:t>
            </w:r>
          </w:p>
        </w:tc>
        <w:tc>
          <w:tcPr>
            <w:tcW w:w="1114"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after="0" w:line="216"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控制在4.3以下</w:t>
            </w:r>
          </w:p>
        </w:tc>
        <w:tc>
          <w:tcPr>
            <w:tcW w:w="1005" w:type="dxa"/>
            <w:tcMar>
              <w:top w:w="113" w:type="dxa"/>
              <w:left w:w="142" w:type="dxa"/>
              <w:bottom w:w="113" w:type="dxa"/>
              <w:right w:w="142" w:type="dxa"/>
            </w:tcMar>
            <w:vAlign w:val="center"/>
          </w:tcPr>
          <w:p>
            <w:pPr>
              <w:pStyle w:val="55"/>
              <w:keepNext w:val="0"/>
              <w:keepLines w:val="0"/>
              <w:pageBreakBefore w:val="0"/>
              <w:widowControl w:val="0"/>
              <w:kinsoku/>
              <w:wordWrap/>
              <w:overflowPunct/>
              <w:topLinePunct w:val="0"/>
              <w:autoSpaceDE/>
              <w:autoSpaceDN/>
              <w:bidi w:val="0"/>
              <w:adjustRightInd/>
              <w:snapToGrid w:val="0"/>
              <w:spacing w:after="0" w:line="216" w:lineRule="auto"/>
              <w:ind w:firstLine="0" w:firstLineChars="0"/>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2.29</w:t>
            </w:r>
          </w:p>
        </w:tc>
        <w:tc>
          <w:tcPr>
            <w:tcW w:w="1682" w:type="dxa"/>
            <w:tcMar>
              <w:top w:w="113" w:type="dxa"/>
              <w:left w:w="142" w:type="dxa"/>
              <w:bottom w:w="113" w:type="dxa"/>
              <w:right w:w="142" w:type="dxa"/>
            </w:tcMar>
            <w:vAlign w:val="center"/>
          </w:tcPr>
          <w:p>
            <w:pPr>
              <w:pStyle w:val="55"/>
              <w:keepNext w:val="0"/>
              <w:keepLines w:val="0"/>
              <w:pageBreakBefore w:val="0"/>
              <w:widowControl w:val="0"/>
              <w:kinsoku/>
              <w:wordWrap/>
              <w:overflowPunct/>
              <w:topLinePunct w:val="0"/>
              <w:autoSpaceDE/>
              <w:autoSpaceDN/>
              <w:bidi w:val="0"/>
              <w:adjustRightInd/>
              <w:snapToGrid w:val="0"/>
              <w:spacing w:after="0" w:line="216" w:lineRule="auto"/>
              <w:ind w:firstLine="0" w:firstLineChars="0"/>
              <w:jc w:val="center"/>
              <w:textAlignment w:val="auto"/>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eastAsia="zh-CN"/>
              </w:rPr>
              <w:t>控制在3以下</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18"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16</w:t>
            </w:r>
          </w:p>
        </w:tc>
        <w:tc>
          <w:tcPr>
            <w:tcW w:w="869" w:type="dxa"/>
            <w:vMerge w:val="continue"/>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asciiTheme="minorEastAsia" w:hAnsiTheme="minorEastAsia" w:eastAsiaTheme="minorEastAsia" w:cstheme="minorEastAsia"/>
                <w:sz w:val="21"/>
                <w:szCs w:val="21"/>
                <w:highlight w:val="none"/>
              </w:rPr>
            </w:pPr>
          </w:p>
        </w:tc>
        <w:tc>
          <w:tcPr>
            <w:tcW w:w="2490" w:type="dxa"/>
            <w:tcMar>
              <w:top w:w="142"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居民健康素养水平（%）</w:t>
            </w:r>
          </w:p>
        </w:tc>
        <w:tc>
          <w:tcPr>
            <w:tcW w:w="119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after="0" w:line="216"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29.06</w:t>
            </w:r>
          </w:p>
        </w:tc>
        <w:tc>
          <w:tcPr>
            <w:tcW w:w="1114"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ind w:left="0" w:leftChars="0" w:right="0" w:rightChars="0"/>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val="0"/>
                <w:bCs w:val="0"/>
                <w:kern w:val="2"/>
                <w:sz w:val="21"/>
                <w:szCs w:val="21"/>
                <w:highlight w:val="none"/>
                <w:lang w:val="en-US" w:eastAsia="zh-CN" w:bidi="ar-SA"/>
              </w:rPr>
              <w:t>33</w:t>
            </w:r>
          </w:p>
        </w:tc>
        <w:tc>
          <w:tcPr>
            <w:tcW w:w="1005"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34.53</w:t>
            </w:r>
          </w:p>
        </w:tc>
        <w:tc>
          <w:tcPr>
            <w:tcW w:w="1682"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36</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18"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17</w:t>
            </w:r>
          </w:p>
        </w:tc>
        <w:tc>
          <w:tcPr>
            <w:tcW w:w="869" w:type="dxa"/>
            <w:vMerge w:val="continue"/>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asciiTheme="minorEastAsia" w:hAnsiTheme="minorEastAsia" w:eastAsiaTheme="minorEastAsia" w:cstheme="minorEastAsia"/>
                <w:sz w:val="21"/>
                <w:szCs w:val="21"/>
                <w:highlight w:val="none"/>
              </w:rPr>
            </w:pPr>
          </w:p>
        </w:tc>
        <w:tc>
          <w:tcPr>
            <w:tcW w:w="2490" w:type="dxa"/>
            <w:tcMar>
              <w:top w:w="142" w:type="dxa"/>
              <w:left w:w="142" w:type="dxa"/>
              <w:bottom w:w="125"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15岁以上人群吸烟率（%）</w:t>
            </w:r>
          </w:p>
        </w:tc>
        <w:tc>
          <w:tcPr>
            <w:tcW w:w="1190"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after="0" w:line="216"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23.5</w:t>
            </w:r>
          </w:p>
        </w:tc>
        <w:tc>
          <w:tcPr>
            <w:tcW w:w="1114"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after="0" w:line="216"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vertAlign w:val="baseline"/>
                <w:lang w:val="en-US" w:eastAsia="zh-CN"/>
              </w:rPr>
              <w:t>23</w:t>
            </w:r>
          </w:p>
        </w:tc>
        <w:tc>
          <w:tcPr>
            <w:tcW w:w="1005"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18.1</w:t>
            </w:r>
          </w:p>
        </w:tc>
        <w:tc>
          <w:tcPr>
            <w:tcW w:w="1682" w:type="dxa"/>
            <w:tcMar>
              <w:top w:w="113" w:type="dxa"/>
              <w:left w:w="142" w:type="dxa"/>
              <w:bottom w:w="113" w:type="dxa"/>
              <w:right w:w="142" w:type="dxa"/>
            </w:tcMar>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eastAsia="zh-CN"/>
              </w:rPr>
              <w:t>控制在18.1以下</w:t>
            </w:r>
          </w:p>
        </w:tc>
      </w:tr>
    </w:tbl>
    <w:p>
      <w:pPr>
        <w:snapToGrid w:val="0"/>
        <w:spacing w:line="300" w:lineRule="auto"/>
        <w:ind w:firstLine="640" w:firstLineChars="200"/>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rPr>
        <w:t>二、重点任务</w:t>
      </w:r>
    </w:p>
    <w:p>
      <w:pPr>
        <w:snapToGrid w:val="0"/>
        <w:spacing w:line="300" w:lineRule="auto"/>
        <w:ind w:firstLine="640" w:firstLineChars="200"/>
        <w:rPr>
          <w:rFonts w:hint="default" w:ascii="Times New Roman" w:hAnsi="Times New Roman" w:eastAsia="方正楷体_GBK" w:cs="Times New Roman"/>
          <w:kern w:val="0"/>
          <w:sz w:val="32"/>
          <w:szCs w:val="32"/>
          <w:highlight w:val="none"/>
        </w:rPr>
      </w:pPr>
      <w:r>
        <w:rPr>
          <w:rFonts w:hint="default" w:ascii="Times New Roman" w:hAnsi="Times New Roman" w:eastAsia="方正楷体_GBK" w:cs="Times New Roman"/>
          <w:kern w:val="0"/>
          <w:sz w:val="32"/>
          <w:szCs w:val="32"/>
          <w:highlight w:val="none"/>
        </w:rPr>
        <w:t>（一）实施公共卫生管理体制改革行动。</w:t>
      </w:r>
    </w:p>
    <w:p>
      <w:pPr>
        <w:snapToGrid w:val="0"/>
        <w:spacing w:line="300" w:lineRule="auto"/>
        <w:ind w:firstLine="640" w:firstLineChars="200"/>
        <w:rPr>
          <w:rFonts w:hint="default" w:ascii="Times New Roman" w:hAnsi="Times New Roman" w:eastAsia="方正楷体_GBK" w:cs="Times New Roman"/>
          <w:kern w:val="0"/>
          <w:sz w:val="32"/>
          <w:szCs w:val="32"/>
          <w:highlight w:val="none"/>
        </w:rPr>
      </w:pPr>
      <w:r>
        <w:rPr>
          <w:rFonts w:hint="default" w:ascii="Times New Roman" w:hAnsi="Times New Roman" w:eastAsia="方正仿宋_GBK" w:cs="Times New Roman"/>
          <w:kern w:val="0"/>
          <w:sz w:val="32"/>
          <w:szCs w:val="32"/>
          <w:highlight w:val="none"/>
        </w:rPr>
        <w:t>1</w:t>
      </w:r>
      <w:r>
        <w:rPr>
          <w:rFonts w:hint="eastAsia"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完成疾控机构改革。</w:t>
      </w:r>
      <w:r>
        <w:rPr>
          <w:rFonts w:hint="default" w:ascii="Times New Roman" w:hAnsi="Times New Roman" w:eastAsia="方正仿宋_GBK" w:cs="Times New Roman"/>
          <w:kern w:val="0"/>
          <w:sz w:val="32"/>
          <w:szCs w:val="32"/>
          <w:highlight w:val="none"/>
          <w:lang w:val="en-US" w:eastAsia="zh-CN"/>
        </w:rPr>
        <w:t>加快推进区</w:t>
      </w:r>
      <w:r>
        <w:rPr>
          <w:rFonts w:hint="default" w:ascii="Times New Roman" w:hAnsi="Times New Roman" w:eastAsia="方正仿宋_GBK" w:cs="Times New Roman"/>
          <w:kern w:val="0"/>
          <w:sz w:val="32"/>
          <w:szCs w:val="32"/>
          <w:highlight w:val="none"/>
        </w:rPr>
        <w:t>疾病预防控制局（以下简称</w:t>
      </w:r>
      <w:r>
        <w:rPr>
          <w:rFonts w:hint="eastAsia" w:eastAsia="方正仿宋_GBK" w:cs="Times New Roman"/>
          <w:kern w:val="0"/>
          <w:sz w:val="32"/>
          <w:szCs w:val="32"/>
          <w:highlight w:val="none"/>
          <w:lang w:eastAsia="zh-CN"/>
        </w:rPr>
        <w:t>区</w:t>
      </w:r>
      <w:r>
        <w:rPr>
          <w:rFonts w:hint="default" w:ascii="Times New Roman" w:hAnsi="Times New Roman" w:eastAsia="方正仿宋_GBK" w:cs="Times New Roman"/>
          <w:kern w:val="0"/>
          <w:sz w:val="32"/>
          <w:szCs w:val="32"/>
          <w:highlight w:val="none"/>
        </w:rPr>
        <w:t>疾控局）</w:t>
      </w:r>
      <w:r>
        <w:rPr>
          <w:rFonts w:hint="default" w:ascii="Times New Roman" w:hAnsi="Times New Roman" w:eastAsia="方正仿宋_GBK" w:cs="Times New Roman"/>
          <w:kern w:val="0"/>
          <w:sz w:val="32"/>
          <w:szCs w:val="32"/>
          <w:highlight w:val="none"/>
          <w:lang w:val="en-US" w:eastAsia="zh-CN"/>
        </w:rPr>
        <w:t>规范化</w:t>
      </w:r>
      <w:r>
        <w:rPr>
          <w:rFonts w:hint="default" w:ascii="Times New Roman" w:hAnsi="Times New Roman" w:eastAsia="方正仿宋_GBK" w:cs="Times New Roman"/>
          <w:kern w:val="0"/>
          <w:sz w:val="32"/>
          <w:szCs w:val="32"/>
          <w:highlight w:val="none"/>
        </w:rPr>
        <w:t>运行。加强工作力量，在区卫生健康</w:t>
      </w:r>
      <w:r>
        <w:rPr>
          <w:rFonts w:hint="eastAsia" w:eastAsia="方正仿宋_GBK" w:cs="Times New Roman"/>
          <w:kern w:val="0"/>
          <w:sz w:val="32"/>
          <w:szCs w:val="32"/>
          <w:highlight w:val="none"/>
          <w:lang w:eastAsia="zh-CN"/>
        </w:rPr>
        <w:t>委</w:t>
      </w:r>
      <w:r>
        <w:rPr>
          <w:rFonts w:hint="default" w:ascii="Times New Roman" w:hAnsi="Times New Roman" w:eastAsia="方正仿宋_GBK" w:cs="Times New Roman"/>
          <w:kern w:val="0"/>
          <w:sz w:val="32"/>
          <w:szCs w:val="32"/>
          <w:highlight w:val="none"/>
        </w:rPr>
        <w:t>增设承担疾病预防控制、传染病疫情应急处置、公共卫生监督等职责的专门内设机构。</w:t>
      </w:r>
      <w:r>
        <w:rPr>
          <w:rFonts w:hint="default" w:ascii="Times New Roman" w:hAnsi="Times New Roman" w:eastAsia="方正楷体_GBK" w:cs="Times New Roman"/>
          <w:kern w:val="0"/>
          <w:sz w:val="32"/>
          <w:szCs w:val="32"/>
          <w:highlight w:val="none"/>
        </w:rPr>
        <w:t>（责任单位：区</w:t>
      </w:r>
      <w:r>
        <w:rPr>
          <w:rFonts w:hint="default" w:ascii="Times New Roman" w:hAnsi="Times New Roman" w:eastAsia="方正楷体_GBK" w:cs="Times New Roman"/>
          <w:kern w:val="0"/>
          <w:sz w:val="32"/>
          <w:szCs w:val="32"/>
          <w:highlight w:val="none"/>
          <w:lang w:val="en-US" w:eastAsia="zh-CN"/>
        </w:rPr>
        <w:t>委编办</w:t>
      </w:r>
      <w:r>
        <w:rPr>
          <w:rFonts w:hint="default" w:ascii="Times New Roman" w:hAnsi="Times New Roman" w:eastAsia="方正楷体_GBK" w:cs="Times New Roman"/>
          <w:kern w:val="0"/>
          <w:sz w:val="32"/>
          <w:szCs w:val="32"/>
          <w:highlight w:val="none"/>
          <w:lang w:eastAsia="zh-CN"/>
        </w:rPr>
        <w:t>、</w:t>
      </w:r>
      <w:r>
        <w:rPr>
          <w:rFonts w:hint="default" w:ascii="Times New Roman" w:hAnsi="Times New Roman" w:eastAsia="方正楷体_GBK" w:cs="Times New Roman"/>
          <w:kern w:val="0"/>
          <w:sz w:val="32"/>
          <w:szCs w:val="32"/>
          <w:highlight w:val="none"/>
        </w:rPr>
        <w:t>区卫生健康委）</w:t>
      </w:r>
    </w:p>
    <w:p>
      <w:pPr>
        <w:snapToGrid w:val="0"/>
        <w:spacing w:line="300" w:lineRule="auto"/>
        <w:ind w:firstLine="640" w:firstLineChars="200"/>
        <w:rPr>
          <w:rFonts w:hint="default" w:ascii="Times New Roman" w:hAnsi="Times New Roman" w:eastAsia="方正楷体_GBK" w:cs="Times New Roman"/>
          <w:kern w:val="0"/>
          <w:sz w:val="32"/>
          <w:szCs w:val="32"/>
          <w:highlight w:val="none"/>
        </w:rPr>
      </w:pPr>
      <w:r>
        <w:rPr>
          <w:rFonts w:hint="default" w:ascii="Times New Roman" w:hAnsi="Times New Roman" w:eastAsia="方正仿宋_GBK" w:cs="Times New Roman"/>
          <w:kern w:val="0"/>
          <w:sz w:val="32"/>
          <w:szCs w:val="32"/>
          <w:highlight w:val="none"/>
        </w:rPr>
        <w:t>2</w:t>
      </w:r>
      <w:r>
        <w:rPr>
          <w:rFonts w:hint="eastAsia"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建立规范高效的管理运行机制。按照</w:t>
      </w:r>
      <w:r>
        <w:rPr>
          <w:rFonts w:hint="eastAsia"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权责统一、事权匹配</w:t>
      </w:r>
      <w:r>
        <w:rPr>
          <w:rFonts w:hint="eastAsia"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原则，逐步建立规范高效的疾病预防控制管理运行机制，理顺</w:t>
      </w:r>
      <w:r>
        <w:rPr>
          <w:rFonts w:hint="default" w:ascii="Times New Roman" w:hAnsi="Times New Roman" w:eastAsia="方正仿宋_GBK" w:cs="Times New Roman"/>
          <w:kern w:val="0"/>
          <w:sz w:val="32"/>
          <w:szCs w:val="32"/>
          <w:highlight w:val="none"/>
          <w:lang w:val="en-US" w:eastAsia="zh-CN"/>
        </w:rPr>
        <w:t>区</w:t>
      </w:r>
      <w:r>
        <w:rPr>
          <w:rFonts w:hint="default" w:ascii="Times New Roman" w:hAnsi="Times New Roman" w:eastAsia="方正仿宋_GBK" w:cs="Times New Roman"/>
          <w:kern w:val="0"/>
          <w:sz w:val="32"/>
          <w:szCs w:val="32"/>
          <w:highlight w:val="none"/>
        </w:rPr>
        <w:t>疾控局对医疗卫生机构公共卫生工作的领导管理运行机制，提升统筹指挥能力</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lang w:val="en-US" w:eastAsia="zh-CN"/>
        </w:rPr>
        <w:t>统筹管理全区</w:t>
      </w:r>
      <w:r>
        <w:rPr>
          <w:rFonts w:hint="default" w:ascii="Times New Roman" w:hAnsi="Times New Roman" w:eastAsia="方正仿宋_GBK" w:cs="Times New Roman"/>
          <w:kern w:val="0"/>
          <w:sz w:val="32"/>
          <w:szCs w:val="32"/>
          <w:highlight w:val="none"/>
        </w:rPr>
        <w:t>公共卫生工作。</w:t>
      </w:r>
      <w:r>
        <w:rPr>
          <w:rFonts w:hint="default" w:ascii="Times New Roman" w:hAnsi="Times New Roman" w:eastAsia="方正楷体_GBK" w:cs="Times New Roman"/>
          <w:kern w:val="0"/>
          <w:sz w:val="32"/>
          <w:szCs w:val="32"/>
          <w:highlight w:val="none"/>
        </w:rPr>
        <w:t>（责任单位：区卫生健康委、区疾控局，</w:t>
      </w:r>
      <w:r>
        <w:rPr>
          <w:rFonts w:hint="default" w:ascii="Times New Roman" w:hAnsi="Times New Roman" w:eastAsia="方正楷体_GBK" w:cs="Times New Roman"/>
          <w:kern w:val="0"/>
          <w:sz w:val="32"/>
          <w:szCs w:val="32"/>
          <w:highlight w:val="none"/>
          <w:lang w:val="en-US" w:eastAsia="zh-CN"/>
        </w:rPr>
        <w:t>各镇街</w:t>
      </w:r>
      <w:r>
        <w:rPr>
          <w:rFonts w:hint="default" w:ascii="Times New Roman" w:hAnsi="Times New Roman" w:eastAsia="方正楷体_GBK" w:cs="Times New Roman"/>
          <w:kern w:val="0"/>
          <w:sz w:val="32"/>
          <w:szCs w:val="32"/>
          <w:highlight w:val="none"/>
        </w:rPr>
        <w:t>）</w:t>
      </w:r>
    </w:p>
    <w:p>
      <w:pPr>
        <w:snapToGrid w:val="0"/>
        <w:spacing w:line="300" w:lineRule="auto"/>
        <w:ind w:firstLine="640" w:firstLineChars="200"/>
        <w:rPr>
          <w:rFonts w:hint="default" w:ascii="Times New Roman" w:hAnsi="Times New Roman" w:eastAsia="方正楷体_GBK" w:cs="Times New Roman"/>
          <w:kern w:val="0"/>
          <w:sz w:val="32"/>
          <w:szCs w:val="32"/>
          <w:highlight w:val="none"/>
        </w:rPr>
      </w:pPr>
      <w:r>
        <w:rPr>
          <w:rFonts w:hint="default" w:ascii="Times New Roman" w:hAnsi="Times New Roman" w:eastAsia="方正仿宋_GBK" w:cs="Times New Roman"/>
          <w:kern w:val="0"/>
          <w:sz w:val="32"/>
          <w:szCs w:val="32"/>
          <w:highlight w:val="none"/>
        </w:rPr>
        <w:t>3</w:t>
      </w:r>
      <w:r>
        <w:rPr>
          <w:rFonts w:hint="eastAsia"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完善防治重大疾病统筹协调机制。巩固完善区级防治重大疾病和突发公共卫生事件应急指挥常态化运行机制，定期召开会议研究推进艾滋病、结核病、地方病、重点慢性病、新发传染病等重大疾病综合防控工作，参照市级建立本辖区防治重大疾病统筹协调机制和常态化运行机制。</w:t>
      </w:r>
      <w:r>
        <w:rPr>
          <w:rFonts w:hint="default" w:ascii="Times New Roman" w:hAnsi="Times New Roman" w:eastAsia="方正楷体_GBK" w:cs="Times New Roman"/>
          <w:kern w:val="0"/>
          <w:sz w:val="32"/>
          <w:szCs w:val="32"/>
          <w:highlight w:val="none"/>
        </w:rPr>
        <w:t>（责任单位：区委编办、区卫生健康委、区疾控局，</w:t>
      </w:r>
      <w:r>
        <w:rPr>
          <w:rFonts w:hint="default" w:ascii="Times New Roman" w:hAnsi="Times New Roman" w:eastAsia="方正楷体_GBK" w:cs="Times New Roman"/>
          <w:kern w:val="0"/>
          <w:sz w:val="32"/>
          <w:szCs w:val="32"/>
          <w:highlight w:val="none"/>
          <w:lang w:val="en-US" w:eastAsia="zh-CN"/>
        </w:rPr>
        <w:t>各镇街</w:t>
      </w:r>
      <w:r>
        <w:rPr>
          <w:rFonts w:hint="default" w:ascii="Times New Roman" w:hAnsi="Times New Roman" w:eastAsia="方正楷体_GBK" w:cs="Times New Roman"/>
          <w:kern w:val="0"/>
          <w:sz w:val="32"/>
          <w:szCs w:val="32"/>
          <w:highlight w:val="none"/>
        </w:rPr>
        <w:t>）</w:t>
      </w:r>
    </w:p>
    <w:p>
      <w:pPr>
        <w:snapToGrid w:val="0"/>
        <w:spacing w:line="300" w:lineRule="auto"/>
        <w:ind w:firstLine="640" w:firstLineChars="200"/>
        <w:rPr>
          <w:rFonts w:hint="default" w:ascii="Times New Roman" w:hAnsi="Times New Roman" w:eastAsia="方正楷体_GBK" w:cs="Times New Roman"/>
          <w:kern w:val="0"/>
          <w:sz w:val="32"/>
          <w:szCs w:val="32"/>
          <w:highlight w:val="none"/>
        </w:rPr>
      </w:pPr>
      <w:r>
        <w:rPr>
          <w:rFonts w:hint="default" w:ascii="Times New Roman" w:hAnsi="Times New Roman" w:eastAsia="方正楷体_GBK" w:cs="Times New Roman"/>
          <w:kern w:val="0"/>
          <w:sz w:val="32"/>
          <w:szCs w:val="32"/>
          <w:highlight w:val="none"/>
        </w:rPr>
        <w:t>（二）实施公共卫生服务能力提升行动。</w:t>
      </w:r>
    </w:p>
    <w:p>
      <w:pPr>
        <w:snapToGrid w:val="0"/>
        <w:spacing w:line="300" w:lineRule="auto"/>
        <w:ind w:firstLine="640" w:firstLineChars="200"/>
        <w:rPr>
          <w:rFonts w:hint="default" w:ascii="Times New Roman" w:hAnsi="Times New Roman" w:eastAsia="方正楷体_GBK" w:cs="Times New Roman"/>
          <w:kern w:val="0"/>
          <w:sz w:val="32"/>
          <w:szCs w:val="32"/>
          <w:highlight w:val="none"/>
        </w:rPr>
      </w:pPr>
      <w:r>
        <w:rPr>
          <w:rFonts w:hint="default" w:ascii="Times New Roman" w:hAnsi="Times New Roman" w:eastAsia="方正仿宋_GBK" w:cs="Times New Roman"/>
          <w:kern w:val="0"/>
          <w:sz w:val="32"/>
          <w:szCs w:val="32"/>
          <w:highlight w:val="none"/>
        </w:rPr>
        <w:t>4</w:t>
      </w:r>
      <w:r>
        <w:rPr>
          <w:rFonts w:hint="eastAsia" w:eastAsia="方正仿宋_GBK" w:cs="Times New Roman"/>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rPr>
        <w:t>建设区域疾控中心。</w:t>
      </w:r>
      <w:r>
        <w:rPr>
          <w:rFonts w:hint="default" w:ascii="Times New Roman" w:hAnsi="Times New Roman" w:eastAsia="方正仿宋_GBK" w:cs="Times New Roman"/>
          <w:color w:val="auto"/>
          <w:kern w:val="0"/>
          <w:sz w:val="32"/>
          <w:szCs w:val="32"/>
          <w:highlight w:val="none"/>
          <w:lang w:val="en-US" w:eastAsia="zh-CN"/>
        </w:rPr>
        <w:t>积极争取区疾控中心新建工程上级专项经费，</w:t>
      </w:r>
      <w:r>
        <w:rPr>
          <w:rFonts w:hint="default" w:ascii="Times New Roman" w:hAnsi="Times New Roman" w:eastAsia="方正仿宋_GBK" w:cs="Times New Roman"/>
          <w:color w:val="auto"/>
          <w:sz w:val="32"/>
          <w:szCs w:val="32"/>
          <w:highlight w:val="none"/>
        </w:rPr>
        <w:t>加快推进工程建设。</w:t>
      </w:r>
      <w:r>
        <w:rPr>
          <w:rFonts w:hint="default" w:ascii="Times New Roman" w:hAnsi="Times New Roman" w:eastAsia="方正仿宋_GBK" w:cs="Times New Roman"/>
          <w:color w:val="auto"/>
          <w:sz w:val="32"/>
          <w:szCs w:val="32"/>
          <w:highlight w:val="none"/>
          <w:lang w:val="en-US" w:eastAsia="zh-CN"/>
        </w:rPr>
        <w:t>到2025年，争创区域疾控中心，检测项目</w:t>
      </w:r>
      <w:r>
        <w:rPr>
          <w:rFonts w:hint="default" w:ascii="Times New Roman" w:hAnsi="Times New Roman" w:eastAsia="方正仿宋_GBK" w:cs="Times New Roman"/>
          <w:color w:val="auto"/>
          <w:kern w:val="0"/>
          <w:sz w:val="32"/>
          <w:szCs w:val="32"/>
          <w:highlight w:val="none"/>
        </w:rPr>
        <w:t>达到</w:t>
      </w:r>
      <w:r>
        <w:rPr>
          <w:rFonts w:hint="default" w:ascii="Times New Roman" w:hAnsi="Times New Roman" w:eastAsia="方正仿宋_GBK" w:cs="Times New Roman"/>
          <w:color w:val="auto"/>
          <w:sz w:val="32"/>
          <w:szCs w:val="32"/>
          <w:highlight w:val="none"/>
          <w:lang w:val="en-US" w:eastAsia="zh-CN"/>
        </w:rPr>
        <w:t>1200项</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楷体_GBK" w:cs="Times New Roman"/>
          <w:color w:val="auto"/>
          <w:kern w:val="0"/>
          <w:sz w:val="32"/>
          <w:szCs w:val="32"/>
          <w:highlight w:val="none"/>
        </w:rPr>
        <w:t>（责任单位：区发展改革委、</w:t>
      </w:r>
      <w:r>
        <w:rPr>
          <w:rFonts w:hint="default" w:ascii="Times New Roman" w:hAnsi="Times New Roman" w:eastAsia="方正楷体_GBK" w:cs="Times New Roman"/>
          <w:color w:val="auto"/>
          <w:kern w:val="0"/>
          <w:sz w:val="32"/>
          <w:szCs w:val="32"/>
          <w:highlight w:val="none"/>
          <w:lang w:val="en-US" w:eastAsia="zh-CN"/>
        </w:rPr>
        <w:t>区科技局、区财政局、</w:t>
      </w:r>
      <w:r>
        <w:rPr>
          <w:rFonts w:hint="default" w:ascii="Times New Roman" w:hAnsi="Times New Roman" w:eastAsia="方正楷体_GBK" w:cs="Times New Roman"/>
          <w:color w:val="auto"/>
          <w:kern w:val="0"/>
          <w:sz w:val="32"/>
          <w:szCs w:val="32"/>
          <w:highlight w:val="none"/>
        </w:rPr>
        <w:t>区人力社保</w:t>
      </w:r>
      <w:r>
        <w:rPr>
          <w:rFonts w:hint="default" w:ascii="Times New Roman" w:hAnsi="Times New Roman" w:eastAsia="方正楷体_GBK" w:cs="Times New Roman"/>
          <w:kern w:val="0"/>
          <w:sz w:val="32"/>
          <w:szCs w:val="32"/>
          <w:highlight w:val="none"/>
        </w:rPr>
        <w:t>局、区卫生健康委、区疾控局）</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楷体_GBK" w:cs="Times New Roman"/>
          <w:kern w:val="0"/>
          <w:sz w:val="32"/>
          <w:szCs w:val="32"/>
          <w:highlight w:val="none"/>
        </w:rPr>
      </w:pPr>
      <w:r>
        <w:rPr>
          <w:rFonts w:hint="default" w:ascii="Times New Roman" w:hAnsi="Times New Roman" w:eastAsia="方正仿宋_GBK" w:cs="Times New Roman"/>
          <w:kern w:val="0"/>
          <w:sz w:val="32"/>
          <w:szCs w:val="32"/>
          <w:highlight w:val="none"/>
        </w:rPr>
        <w:t>5</w:t>
      </w:r>
      <w:r>
        <w:rPr>
          <w:rFonts w:hint="default" w:ascii="Times New Roman" w:hAnsi="Times New Roman"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推进疾控机构标准化建设。</w:t>
      </w:r>
      <w:r>
        <w:rPr>
          <w:rFonts w:hint="default" w:ascii="Times New Roman" w:hAnsi="Times New Roman" w:eastAsia="方正仿宋_GBK" w:cs="Times New Roman"/>
          <w:kern w:val="0"/>
          <w:sz w:val="32"/>
          <w:szCs w:val="32"/>
          <w:highlight w:val="none"/>
          <w:lang w:val="en-US" w:eastAsia="zh-CN"/>
        </w:rPr>
        <w:t>实施等级疾控机构创建工程，专业技术高级、中级、初级岗位结构比例调整为2.5：5：2.5</w:t>
      </w:r>
      <w:r>
        <w:rPr>
          <w:rFonts w:hint="default" w:ascii="Times New Roman" w:hAnsi="Times New Roman" w:eastAsia="方正仿宋_GBK" w:cs="Times New Roman"/>
          <w:color w:val="auto"/>
          <w:kern w:val="0"/>
          <w:sz w:val="32"/>
          <w:szCs w:val="32"/>
          <w:highlight w:val="none"/>
        </w:rPr>
        <w:t>，到2024年，全区建成三</w:t>
      </w:r>
      <w:r>
        <w:rPr>
          <w:rFonts w:hint="eastAsia" w:eastAsia="方正仿宋_GBK" w:cs="Times New Roman"/>
          <w:color w:val="auto"/>
          <w:kern w:val="0"/>
          <w:sz w:val="32"/>
          <w:szCs w:val="32"/>
          <w:highlight w:val="none"/>
          <w:lang w:eastAsia="zh-CN"/>
        </w:rPr>
        <w:t>级</w:t>
      </w:r>
      <w:r>
        <w:rPr>
          <w:rFonts w:hint="default" w:ascii="Times New Roman" w:hAnsi="Times New Roman" w:eastAsia="方正仿宋_GBK" w:cs="Times New Roman"/>
          <w:color w:val="auto"/>
          <w:kern w:val="0"/>
          <w:sz w:val="32"/>
          <w:szCs w:val="32"/>
          <w:highlight w:val="none"/>
        </w:rPr>
        <w:t>甲</w:t>
      </w:r>
      <w:r>
        <w:rPr>
          <w:rFonts w:hint="eastAsia" w:eastAsia="方正仿宋_GBK" w:cs="Times New Roman"/>
          <w:color w:val="auto"/>
          <w:kern w:val="0"/>
          <w:sz w:val="32"/>
          <w:szCs w:val="32"/>
          <w:highlight w:val="none"/>
          <w:lang w:eastAsia="zh-CN"/>
        </w:rPr>
        <w:t>等</w:t>
      </w:r>
      <w:r>
        <w:rPr>
          <w:rFonts w:hint="default" w:ascii="Times New Roman" w:hAnsi="Times New Roman" w:eastAsia="方正仿宋_GBK" w:cs="Times New Roman"/>
          <w:color w:val="auto"/>
          <w:kern w:val="0"/>
          <w:sz w:val="32"/>
          <w:szCs w:val="32"/>
          <w:highlight w:val="none"/>
        </w:rPr>
        <w:t>疾病预防控制机构1个</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楷体_GBK" w:cs="Times New Roman"/>
          <w:color w:val="auto"/>
          <w:spacing w:val="-3"/>
          <w:kern w:val="0"/>
          <w:sz w:val="32"/>
          <w:szCs w:val="32"/>
          <w:highlight w:val="none"/>
        </w:rPr>
        <w:t>（责任单位：</w:t>
      </w:r>
      <w:r>
        <w:rPr>
          <w:rFonts w:hint="default" w:ascii="Times New Roman" w:hAnsi="Times New Roman" w:eastAsia="方正楷体_GBK" w:cs="Times New Roman"/>
          <w:color w:val="auto"/>
          <w:kern w:val="0"/>
          <w:sz w:val="32"/>
          <w:szCs w:val="32"/>
          <w:highlight w:val="none"/>
        </w:rPr>
        <w:t>区人力社保局、区卫</w:t>
      </w:r>
      <w:r>
        <w:rPr>
          <w:rFonts w:hint="default" w:ascii="Times New Roman" w:hAnsi="Times New Roman" w:eastAsia="方正楷体_GBK" w:cs="Times New Roman"/>
          <w:kern w:val="0"/>
          <w:sz w:val="32"/>
          <w:szCs w:val="32"/>
          <w:highlight w:val="none"/>
        </w:rPr>
        <w:t>生健康委、区疾控局）</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00" w:lineRule="auto"/>
        <w:ind w:left="0" w:right="0" w:firstLine="640" w:firstLineChars="200"/>
        <w:jc w:val="both"/>
        <w:textAlignment w:val="baseline"/>
        <w:rPr>
          <w:rFonts w:hint="default" w:ascii="Times New Roman" w:hAnsi="Times New Roman" w:eastAsia="方正楷体_GBK" w:cs="Times New Roman"/>
          <w:kern w:val="0"/>
          <w:sz w:val="32"/>
          <w:szCs w:val="32"/>
          <w:highlight w:val="none"/>
        </w:rPr>
      </w:pPr>
      <w:r>
        <w:rPr>
          <w:rFonts w:hint="default" w:ascii="Times New Roman" w:hAnsi="Times New Roman" w:eastAsia="方正仿宋_GBK" w:cs="Times New Roman"/>
          <w:kern w:val="0"/>
          <w:sz w:val="32"/>
          <w:szCs w:val="32"/>
          <w:highlight w:val="none"/>
        </w:rPr>
        <w:t>6</w:t>
      </w:r>
      <w:r>
        <w:rPr>
          <w:rFonts w:hint="eastAsia"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加强医疗机构公共卫生科室标准化建设。</w:t>
      </w:r>
      <w:r>
        <w:rPr>
          <w:rFonts w:hint="default" w:ascii="Times New Roman" w:hAnsi="Times New Roman" w:eastAsia="方正仿宋_GBK" w:cs="Times New Roman"/>
          <w:kern w:val="0"/>
          <w:sz w:val="32"/>
          <w:szCs w:val="32"/>
          <w:lang w:val="en-US" w:eastAsia="zh-CN" w:bidi="ar"/>
        </w:rPr>
        <w:t>按照医疗机构公共卫生科设置标准，</w:t>
      </w:r>
      <w:r>
        <w:rPr>
          <w:rFonts w:hint="default" w:ascii="Times New Roman" w:hAnsi="Times New Roman" w:eastAsia="方正仿宋_GBK" w:cs="Times New Roman"/>
          <w:kern w:val="0"/>
          <w:sz w:val="32"/>
          <w:szCs w:val="32"/>
          <w:highlight w:val="none"/>
        </w:rPr>
        <w:t>进一步完善医疗机构中公共卫生人员的职能职责、人员配比和专业构成。到2025年，二级及以上公立医院、镇卫生院、街道社区卫生服务中心公共卫生科标准化率达到100%。</w:t>
      </w:r>
      <w:r>
        <w:rPr>
          <w:rFonts w:hint="default" w:ascii="Times New Roman" w:hAnsi="Times New Roman" w:eastAsia="方正楷体_GBK" w:cs="Times New Roman"/>
          <w:kern w:val="0"/>
          <w:sz w:val="32"/>
          <w:szCs w:val="32"/>
          <w:highlight w:val="none"/>
        </w:rPr>
        <w:t>（责任单位：区卫生健康委、区人力社保局、区疾控局）</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楷体_GBK" w:cs="Times New Roman"/>
          <w:kern w:val="0"/>
          <w:sz w:val="32"/>
          <w:szCs w:val="32"/>
          <w:highlight w:val="none"/>
        </w:rPr>
      </w:pPr>
      <w:r>
        <w:rPr>
          <w:rFonts w:hint="default" w:ascii="Times New Roman" w:hAnsi="Times New Roman" w:eastAsia="方正仿宋_GBK" w:cs="Times New Roman"/>
          <w:kern w:val="0"/>
          <w:sz w:val="32"/>
          <w:szCs w:val="32"/>
          <w:highlight w:val="none"/>
        </w:rPr>
        <w:t>7</w:t>
      </w:r>
      <w:r>
        <w:rPr>
          <w:rFonts w:hint="eastAsia"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加强公共卫生检测体系建设。提升现有实验室基本条件和技术</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实施公共卫生实验室提质工程，通过实施一批基础设施建设和能力提升项目，切实提升疾控机构</w:t>
      </w:r>
      <w:r>
        <w:rPr>
          <w:rFonts w:hint="eastAsia"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一锤定音</w:t>
      </w:r>
      <w:r>
        <w:rPr>
          <w:rFonts w:hint="eastAsia"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检测能力。</w:t>
      </w:r>
      <w:r>
        <w:rPr>
          <w:rFonts w:hint="default" w:ascii="Times New Roman" w:hAnsi="Times New Roman" w:eastAsia="方正仿宋_GBK" w:cs="Times New Roman"/>
          <w:kern w:val="0"/>
          <w:sz w:val="32"/>
          <w:szCs w:val="32"/>
          <w:highlight w:val="none"/>
          <w:lang w:val="en-US" w:eastAsia="zh-CN"/>
        </w:rPr>
        <w:t>按照</w:t>
      </w:r>
      <w:r>
        <w:rPr>
          <w:rFonts w:hint="default" w:ascii="Times New Roman" w:hAnsi="Times New Roman" w:eastAsia="方正仿宋_GBK" w:cs="Times New Roman"/>
          <w:kern w:val="0"/>
          <w:sz w:val="32"/>
          <w:szCs w:val="32"/>
          <w:highlight w:val="none"/>
        </w:rPr>
        <w:t>公共卫生实验室能力建设规划，全面构建以疾控机构为核心，以医疗机构为基础，</w:t>
      </w:r>
      <w:r>
        <w:rPr>
          <w:rFonts w:hint="default" w:ascii="Times New Roman" w:hAnsi="Times New Roman" w:eastAsia="方正仿宋_GBK" w:cs="Times New Roman"/>
          <w:color w:val="auto"/>
          <w:kern w:val="0"/>
          <w:sz w:val="32"/>
          <w:szCs w:val="32"/>
          <w:highlight w:val="none"/>
        </w:rPr>
        <w:t>以科研院校为</w:t>
      </w:r>
      <w:r>
        <w:rPr>
          <w:rFonts w:hint="default" w:ascii="Times New Roman" w:hAnsi="Times New Roman" w:eastAsia="方正仿宋_GBK" w:cs="Times New Roman"/>
          <w:kern w:val="0"/>
          <w:sz w:val="32"/>
          <w:szCs w:val="32"/>
          <w:highlight w:val="none"/>
        </w:rPr>
        <w:t>补充的公共卫生实验室体系。加强检验检测能力建设，重点强化对新发传染病、群体性不明原因疾病、中毒及其他严重影响公众健康事件的快速检测和准确鉴别能力。到2025年，区疾控中心通过资质认定</w:t>
      </w:r>
      <w:r>
        <w:rPr>
          <w:rFonts w:hint="default" w:ascii="Times New Roman" w:hAnsi="Times New Roman" w:eastAsia="方正仿宋_GBK" w:cs="Times New Roman"/>
          <w:color w:val="auto"/>
          <w:kern w:val="0"/>
          <w:sz w:val="32"/>
          <w:szCs w:val="32"/>
          <w:highlight w:val="none"/>
        </w:rPr>
        <w:t>的实验室检测项目达到1200项，建成具有区域辐射能力的微生物、理化实验室，提升现有实验室基本条件和技术能力建设，提高病原微生物、生物毒素、农兽残、持续性有机污染物、营养等实验室检测能力，建成区域突发公共卫生事件快速检测平台。</w:t>
      </w:r>
      <w:r>
        <w:rPr>
          <w:rFonts w:hint="default" w:ascii="Times New Roman" w:hAnsi="Times New Roman" w:eastAsia="方正楷体_GBK" w:cs="Times New Roman"/>
          <w:kern w:val="0"/>
          <w:sz w:val="32"/>
          <w:szCs w:val="32"/>
          <w:highlight w:val="none"/>
        </w:rPr>
        <w:t>（责任单位：区卫生健康委、</w:t>
      </w:r>
      <w:r>
        <w:rPr>
          <w:rFonts w:hint="default" w:ascii="Times New Roman" w:hAnsi="Times New Roman" w:eastAsia="方正楷体_GBK" w:cs="Times New Roman"/>
          <w:kern w:val="0"/>
          <w:sz w:val="32"/>
          <w:szCs w:val="32"/>
          <w:highlight w:val="none"/>
          <w:lang w:val="en-US" w:eastAsia="zh-CN"/>
        </w:rPr>
        <w:t>区市场监管局、</w:t>
      </w:r>
      <w:r>
        <w:rPr>
          <w:rFonts w:hint="default" w:ascii="Times New Roman" w:hAnsi="Times New Roman" w:eastAsia="方正楷体_GBK" w:cs="Times New Roman"/>
          <w:kern w:val="0"/>
          <w:sz w:val="32"/>
          <w:szCs w:val="32"/>
          <w:highlight w:val="none"/>
        </w:rPr>
        <w:t>区疾控局）</w:t>
      </w:r>
    </w:p>
    <w:p>
      <w:pPr>
        <w:snapToGrid w:val="0"/>
        <w:spacing w:line="300" w:lineRule="auto"/>
        <w:ind w:firstLine="640" w:firstLineChars="200"/>
        <w:rPr>
          <w:rFonts w:hint="default" w:ascii="Times New Roman" w:hAnsi="Times New Roman" w:eastAsia="方正楷体_GBK" w:cs="Times New Roman"/>
          <w:kern w:val="0"/>
          <w:sz w:val="32"/>
          <w:szCs w:val="32"/>
          <w:highlight w:val="none"/>
        </w:rPr>
      </w:pPr>
      <w:r>
        <w:rPr>
          <w:rFonts w:hint="default" w:ascii="Times New Roman" w:hAnsi="Times New Roman" w:eastAsia="方正仿宋_GBK" w:cs="Times New Roman"/>
          <w:kern w:val="0"/>
          <w:sz w:val="32"/>
          <w:szCs w:val="32"/>
          <w:highlight w:val="none"/>
        </w:rPr>
        <w:t>8</w:t>
      </w:r>
      <w:r>
        <w:rPr>
          <w:rFonts w:hint="eastAsia"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构建多点触发的重点疾病监测预警网络。</w:t>
      </w:r>
      <w:r>
        <w:rPr>
          <w:rFonts w:hint="default" w:ascii="Times New Roman" w:hAnsi="Times New Roman" w:eastAsia="方正仿宋_GBK" w:cs="Times New Roman"/>
          <w:color w:val="auto"/>
          <w:kern w:val="0"/>
          <w:sz w:val="32"/>
          <w:szCs w:val="32"/>
          <w:highlight w:val="none"/>
        </w:rPr>
        <w:t>依托市区两级现有数字化平台，完成区疾控中心三</w:t>
      </w:r>
      <w:r>
        <w:rPr>
          <w:rFonts w:hint="eastAsia" w:eastAsia="方正仿宋_GBK" w:cs="Times New Roman"/>
          <w:color w:val="auto"/>
          <w:kern w:val="0"/>
          <w:sz w:val="32"/>
          <w:szCs w:val="32"/>
          <w:highlight w:val="none"/>
          <w:lang w:eastAsia="zh-CN"/>
        </w:rPr>
        <w:t>级</w:t>
      </w:r>
      <w:r>
        <w:rPr>
          <w:rFonts w:hint="eastAsia" w:eastAsia="方正仿宋_GBK" w:cs="Times New Roman"/>
          <w:color w:val="auto"/>
          <w:kern w:val="0"/>
          <w:sz w:val="32"/>
          <w:szCs w:val="32"/>
          <w:highlight w:val="none"/>
          <w:lang w:val="en-US" w:eastAsia="zh-CN"/>
        </w:rPr>
        <w:t>等保</w:t>
      </w:r>
      <w:r>
        <w:rPr>
          <w:rFonts w:hint="default" w:ascii="Times New Roman" w:hAnsi="Times New Roman" w:eastAsia="方正仿宋_GBK" w:cs="Times New Roman"/>
          <w:color w:val="auto"/>
          <w:kern w:val="0"/>
          <w:sz w:val="32"/>
          <w:szCs w:val="32"/>
          <w:highlight w:val="none"/>
        </w:rPr>
        <w:t>标准业务机房和网络信息化建设，建设区级</w:t>
      </w:r>
      <w:r>
        <w:rPr>
          <w:rFonts w:hint="eastAsia"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数字化疾控</w:t>
      </w:r>
      <w:r>
        <w:rPr>
          <w:rFonts w:hint="eastAsia"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大数据监测预警平台，提升重点疾病监测预警能力，提升哨点监测的及时性、敏感性，完善协作工作机制</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val="en-US" w:eastAsia="zh-CN"/>
        </w:rPr>
        <w:t>按照</w:t>
      </w:r>
      <w:r>
        <w:rPr>
          <w:rFonts w:hint="default" w:ascii="Times New Roman" w:hAnsi="Times New Roman" w:eastAsia="方正仿宋_GBK" w:cs="Times New Roman"/>
          <w:kern w:val="0"/>
          <w:sz w:val="32"/>
          <w:szCs w:val="32"/>
          <w:highlight w:val="none"/>
        </w:rPr>
        <w:t>重点疾病监测目录，完善监测哨点布局和协作工作机制</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kern w:val="0"/>
          <w:sz w:val="32"/>
          <w:szCs w:val="32"/>
          <w:highlight w:val="none"/>
        </w:rPr>
        <w:t>组建区级突发公共卫生事件专家组，建立完善监测预警机制。到2025年，全面构建以哨点医院主动监测为核心，以其他医疗机构就诊患者症状监测、病例报告监测和实验室病原体监测为补充，涵盖入境检疫、食品安全监测、城市污水监测、动物疫病监测、环境监测、病媒生物监测、学校及养老院等重点机构健康监测、药店监测、网络舆情监测等多方位协同监测内容，兼顾常态与应急、入境与本土、城市与农村、一般人群和重点人群，覆盖区、镇（街道）、村（社区）的多渠道监测网络。</w:t>
      </w:r>
      <w:r>
        <w:rPr>
          <w:rFonts w:hint="default" w:ascii="Times New Roman" w:hAnsi="Times New Roman" w:eastAsia="方正楷体_GBK" w:cs="Times New Roman"/>
          <w:kern w:val="0"/>
          <w:sz w:val="32"/>
          <w:szCs w:val="32"/>
          <w:highlight w:val="none"/>
        </w:rPr>
        <w:t>（责任单位：区委网信办</w:t>
      </w:r>
      <w:r>
        <w:rPr>
          <w:rFonts w:hint="default" w:ascii="Times New Roman" w:hAnsi="Times New Roman" w:eastAsia="方正楷体_GBK" w:cs="Times New Roman"/>
          <w:kern w:val="0"/>
          <w:sz w:val="32"/>
          <w:szCs w:val="32"/>
          <w:highlight w:val="none"/>
          <w:lang w:eastAsia="zh-CN"/>
        </w:rPr>
        <w:t>、</w:t>
      </w:r>
      <w:r>
        <w:rPr>
          <w:rFonts w:hint="default" w:ascii="Times New Roman" w:hAnsi="Times New Roman" w:eastAsia="方正楷体_GBK" w:cs="Times New Roman"/>
          <w:kern w:val="0"/>
          <w:sz w:val="32"/>
          <w:szCs w:val="32"/>
          <w:highlight w:val="none"/>
        </w:rPr>
        <w:t>区教委、区民政局、区生态环境局、区农业农村委、区卫生健康委、区市场监管局、区林业局、区疾控局、永川海关，</w:t>
      </w:r>
      <w:r>
        <w:rPr>
          <w:rFonts w:hint="default" w:ascii="Times New Roman" w:hAnsi="Times New Roman" w:eastAsia="方正楷体_GBK" w:cs="Times New Roman"/>
          <w:kern w:val="0"/>
          <w:sz w:val="32"/>
          <w:szCs w:val="32"/>
          <w:highlight w:val="none"/>
          <w:lang w:val="en-US" w:eastAsia="zh-CN"/>
        </w:rPr>
        <w:t>各镇街</w:t>
      </w:r>
      <w:r>
        <w:rPr>
          <w:rFonts w:hint="default" w:ascii="Times New Roman" w:hAnsi="Times New Roman" w:eastAsia="方正楷体_GBK" w:cs="Times New Roman"/>
          <w:kern w:val="0"/>
          <w:sz w:val="32"/>
          <w:szCs w:val="32"/>
          <w:highlight w:val="none"/>
        </w:rPr>
        <w:t>）</w:t>
      </w:r>
    </w:p>
    <w:p>
      <w:pPr>
        <w:snapToGrid w:val="0"/>
        <w:spacing w:line="300" w:lineRule="auto"/>
        <w:ind w:firstLine="640" w:firstLineChars="200"/>
        <w:rPr>
          <w:rFonts w:hint="default" w:ascii="Times New Roman" w:hAnsi="Times New Roman" w:eastAsia="方正楷体_GBK" w:cs="Times New Roman"/>
          <w:kern w:val="0"/>
          <w:sz w:val="32"/>
          <w:szCs w:val="32"/>
          <w:highlight w:val="none"/>
        </w:rPr>
      </w:pPr>
      <w:r>
        <w:rPr>
          <w:rFonts w:hint="default" w:ascii="Times New Roman" w:hAnsi="Times New Roman" w:eastAsia="方正仿宋_GBK" w:cs="Times New Roman"/>
          <w:kern w:val="0"/>
          <w:sz w:val="32"/>
          <w:szCs w:val="32"/>
          <w:highlight w:val="none"/>
        </w:rPr>
        <w:t>9</w:t>
      </w:r>
      <w:r>
        <w:rPr>
          <w:rFonts w:hint="eastAsia"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健全健康危险因素风险监测评估体系。实施健康危险因素监测全覆盖行动，到2025年，开展空气、水、食品安全风险、公共场所和学校卫生等监测。强化对各类监测数据的综合运用，利用大数据等技术，提高风险研判评估精准度。聚焦人群健康问题，健全健康行为监测评估体系，持续提升居民健康素养水平。全面营造无烟社会氛围。逐步扩大健康影响评估制度试点覆盖面，积极推动将健康内容融入区级部门有关政策。</w:t>
      </w:r>
      <w:r>
        <w:rPr>
          <w:rFonts w:hint="default" w:ascii="Times New Roman" w:hAnsi="Times New Roman" w:eastAsia="方正仿宋_GBK" w:cs="Times New Roman"/>
          <w:color w:val="auto"/>
          <w:kern w:val="0"/>
          <w:sz w:val="32"/>
          <w:szCs w:val="32"/>
          <w:highlight w:val="none"/>
        </w:rPr>
        <w:t>到2025年，居民健康素养水平达到</w:t>
      </w:r>
      <w:r>
        <w:rPr>
          <w:rFonts w:hint="default" w:ascii="Times New Roman" w:hAnsi="Times New Roman" w:eastAsia="方正仿宋_GBK" w:cs="Times New Roman"/>
          <w:color w:val="auto"/>
          <w:kern w:val="0"/>
          <w:sz w:val="32"/>
          <w:szCs w:val="32"/>
          <w:highlight w:val="none"/>
          <w:lang w:val="en-US" w:eastAsia="zh-CN"/>
        </w:rPr>
        <w:t>36</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val="en-US" w:eastAsia="zh-CN"/>
        </w:rPr>
        <w:t>以上</w:t>
      </w:r>
      <w:r>
        <w:rPr>
          <w:rFonts w:hint="default" w:ascii="Times New Roman" w:hAnsi="Times New Roman" w:eastAsia="方正仿宋_GBK" w:cs="Times New Roman"/>
          <w:color w:val="auto"/>
          <w:kern w:val="0"/>
          <w:sz w:val="32"/>
          <w:szCs w:val="32"/>
          <w:highlight w:val="none"/>
        </w:rPr>
        <w:t>，15岁以上人群吸烟率</w:t>
      </w:r>
      <w:r>
        <w:rPr>
          <w:rFonts w:hint="default" w:ascii="Times New Roman" w:hAnsi="Times New Roman" w:eastAsia="方正仿宋_GBK" w:cs="Times New Roman"/>
          <w:color w:val="auto"/>
          <w:kern w:val="0"/>
          <w:sz w:val="32"/>
          <w:szCs w:val="32"/>
          <w:highlight w:val="none"/>
          <w:lang w:val="en-US" w:eastAsia="zh-CN"/>
        </w:rPr>
        <w:t>控制在18.1%以下</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楷体_GBK" w:cs="Times New Roman"/>
          <w:kern w:val="0"/>
          <w:sz w:val="32"/>
          <w:szCs w:val="32"/>
          <w:highlight w:val="none"/>
        </w:rPr>
        <w:t>责任单位：区教委、区生态环境局、区水利局、区卫生健康委、区气象局、区疾控局</w:t>
      </w:r>
      <w:r>
        <w:rPr>
          <w:rFonts w:hint="default" w:ascii="Times New Roman" w:hAnsi="Times New Roman" w:eastAsia="方正楷体_GBK" w:cs="Times New Roman"/>
          <w:kern w:val="0"/>
          <w:sz w:val="32"/>
          <w:szCs w:val="32"/>
          <w:highlight w:val="none"/>
          <w:lang w:eastAsia="zh-CN"/>
        </w:rPr>
        <w:t>，</w:t>
      </w:r>
      <w:r>
        <w:rPr>
          <w:rFonts w:hint="default" w:ascii="Times New Roman" w:hAnsi="Times New Roman" w:eastAsia="方正楷体_GBK" w:cs="Times New Roman"/>
          <w:kern w:val="0"/>
          <w:sz w:val="32"/>
          <w:szCs w:val="32"/>
          <w:highlight w:val="none"/>
          <w:lang w:val="en-US" w:eastAsia="zh-CN"/>
        </w:rPr>
        <w:t>各镇街</w:t>
      </w:r>
      <w:r>
        <w:rPr>
          <w:rFonts w:hint="default" w:ascii="Times New Roman" w:hAnsi="Times New Roman" w:eastAsia="方正楷体_GBK" w:cs="Times New Roman"/>
          <w:kern w:val="0"/>
          <w:sz w:val="32"/>
          <w:szCs w:val="32"/>
          <w:highlight w:val="none"/>
        </w:rPr>
        <w:t>）</w:t>
      </w:r>
    </w:p>
    <w:p>
      <w:pPr>
        <w:snapToGrid w:val="0"/>
        <w:spacing w:line="300" w:lineRule="auto"/>
        <w:ind w:firstLine="640" w:firstLineChars="200"/>
        <w:rPr>
          <w:rFonts w:hint="default" w:ascii="Times New Roman" w:hAnsi="Times New Roman" w:eastAsia="方正楷体_GBK" w:cs="Times New Roman"/>
          <w:kern w:val="0"/>
          <w:sz w:val="32"/>
          <w:szCs w:val="32"/>
          <w:highlight w:val="none"/>
        </w:rPr>
      </w:pPr>
      <w:r>
        <w:rPr>
          <w:rFonts w:hint="default" w:ascii="Times New Roman" w:hAnsi="Times New Roman" w:eastAsia="方正楷体_GBK" w:cs="Times New Roman"/>
          <w:kern w:val="0"/>
          <w:sz w:val="32"/>
          <w:szCs w:val="32"/>
          <w:highlight w:val="none"/>
        </w:rPr>
        <w:t>（三）实施公共卫生应急能力提升行动。</w:t>
      </w:r>
    </w:p>
    <w:p>
      <w:pPr>
        <w:snapToGrid w:val="0"/>
        <w:spacing w:line="300" w:lineRule="auto"/>
        <w:ind w:firstLine="640" w:firstLineChars="200"/>
        <w:rPr>
          <w:rFonts w:hint="default" w:ascii="Times New Roman" w:hAnsi="Times New Roman" w:eastAsia="方正楷体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rPr>
        <w:t>10</w:t>
      </w:r>
      <w:r>
        <w:rPr>
          <w:rFonts w:hint="eastAsia"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健全统一高效的应急指挥体系。完善政府领导、部门协同、社会动员、全民参与的突发公共卫生事件应急响应体系。完善平急转换、分级响应机制，明确常态化和应急状态下具体运行模式，完善不同等级应急响应动态调整标准和程序。建立区</w:t>
      </w:r>
      <w:r>
        <w:rPr>
          <w:rFonts w:hint="default" w:ascii="Times New Roman" w:hAnsi="Times New Roman" w:eastAsia="方正仿宋_GBK" w:cs="Times New Roman"/>
          <w:spacing w:val="-3"/>
          <w:kern w:val="0"/>
          <w:sz w:val="32"/>
          <w:szCs w:val="32"/>
          <w:highlight w:val="none"/>
        </w:rPr>
        <w:t>级突发公共卫生事件应急指挥调度平台。</w:t>
      </w:r>
      <w:r>
        <w:rPr>
          <w:rFonts w:hint="default" w:ascii="Times New Roman" w:hAnsi="Times New Roman" w:eastAsia="方正楷体_GBK" w:cs="Times New Roman"/>
          <w:spacing w:val="-3"/>
          <w:kern w:val="0"/>
          <w:sz w:val="32"/>
          <w:szCs w:val="32"/>
          <w:highlight w:val="none"/>
        </w:rPr>
        <w:t>（责任单位：区级各</w:t>
      </w:r>
      <w:r>
        <w:rPr>
          <w:rFonts w:hint="default" w:ascii="Times New Roman" w:hAnsi="Times New Roman" w:eastAsia="方正楷体_GBK" w:cs="Times New Roman"/>
          <w:kern w:val="0"/>
          <w:sz w:val="32"/>
          <w:szCs w:val="32"/>
          <w:highlight w:val="none"/>
        </w:rPr>
        <w:t>部门</w:t>
      </w:r>
      <w:r>
        <w:rPr>
          <w:rFonts w:hint="default" w:ascii="Times New Roman" w:hAnsi="Times New Roman" w:eastAsia="方正楷体_GBK" w:cs="Times New Roman"/>
          <w:kern w:val="0"/>
          <w:sz w:val="32"/>
          <w:szCs w:val="32"/>
          <w:highlight w:val="none"/>
          <w:lang w:eastAsia="zh-CN"/>
        </w:rPr>
        <w:t>，</w:t>
      </w:r>
      <w:r>
        <w:rPr>
          <w:rFonts w:hint="default" w:ascii="Times New Roman" w:hAnsi="Times New Roman" w:eastAsia="方正楷体_GBK" w:cs="Times New Roman"/>
          <w:kern w:val="0"/>
          <w:sz w:val="32"/>
          <w:szCs w:val="32"/>
          <w:highlight w:val="none"/>
          <w:lang w:val="en-US" w:eastAsia="zh-CN"/>
        </w:rPr>
        <w:t>各镇街）</w:t>
      </w:r>
    </w:p>
    <w:p>
      <w:pPr>
        <w:pStyle w:val="38"/>
        <w:widowControl w:val="0"/>
        <w:snapToGrid w:val="0"/>
        <w:spacing w:line="300" w:lineRule="auto"/>
        <w:ind w:firstLine="640" w:firstLineChars="200"/>
        <w:jc w:val="both"/>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11</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提升重大疫情处置能力。完善应急救治体系，建立完善应急医院平战结合管理模式，优化平战结合的公共卫生事件应急处置指挥体系，加强重大疫情防控应急能力建设，有效遏制重大传染病疾病传播，加强区级背囊化卫生应急队伍建设。实施传染病救治能力提升工程，</w:t>
      </w:r>
      <w:r>
        <w:rPr>
          <w:rFonts w:hint="default" w:ascii="Times New Roman" w:hAnsi="Times New Roman" w:eastAsia="方正仿宋_GBK" w:cs="Times New Roman"/>
          <w:sz w:val="32"/>
          <w:szCs w:val="32"/>
          <w:highlight w:val="none"/>
          <w:lang w:val="en-US" w:eastAsia="zh-CN"/>
        </w:rPr>
        <w:t>渝西应急医院投入使用。到2025年，</w:t>
      </w:r>
      <w:r>
        <w:rPr>
          <w:rFonts w:hint="default" w:ascii="Times New Roman" w:hAnsi="Times New Roman" w:eastAsia="方正仿宋_GBK" w:cs="Times New Roman"/>
          <w:sz w:val="32"/>
          <w:szCs w:val="32"/>
          <w:highlight w:val="none"/>
        </w:rPr>
        <w:t>二级及以上公立综合医院（含中医医院）感染性疾病科设置实现全覆盖，规范设置和运行发热门诊（诊室）和肠道门诊（诊室），区内公立医院建设传染病病区。</w:t>
      </w:r>
      <w:r>
        <w:rPr>
          <w:rFonts w:hint="default" w:ascii="Times New Roman" w:hAnsi="Times New Roman" w:eastAsia="方正楷体_GBK" w:cs="Times New Roman"/>
          <w:sz w:val="32"/>
          <w:szCs w:val="32"/>
          <w:highlight w:val="none"/>
        </w:rPr>
        <w:t>（责任单位：区发展改革委、区卫生健康委、区疾控局）</w:t>
      </w:r>
    </w:p>
    <w:p>
      <w:pPr>
        <w:snapToGrid w:val="0"/>
        <w:spacing w:line="300" w:lineRule="auto"/>
        <w:ind w:firstLine="640" w:firstLineChars="200"/>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12</w:t>
      </w:r>
      <w:r>
        <w:rPr>
          <w:rFonts w:hint="eastAsia"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健全重大疫情应急救治机制。</w:t>
      </w:r>
      <w:r>
        <w:rPr>
          <w:rFonts w:hint="default" w:ascii="Times New Roman" w:hAnsi="Times New Roman" w:eastAsia="方正仿宋_GBK" w:cs="Times New Roman"/>
          <w:kern w:val="0"/>
          <w:sz w:val="32"/>
          <w:szCs w:val="32"/>
          <w:highlight w:val="none"/>
          <w:lang w:val="en-US" w:eastAsia="zh-CN"/>
        </w:rPr>
        <w:t>按照</w:t>
      </w:r>
      <w:r>
        <w:rPr>
          <w:rFonts w:hint="default" w:ascii="Times New Roman" w:hAnsi="Times New Roman" w:eastAsia="方正仿宋_GBK" w:cs="Times New Roman"/>
          <w:kern w:val="0"/>
          <w:sz w:val="32"/>
          <w:szCs w:val="32"/>
          <w:highlight w:val="none"/>
        </w:rPr>
        <w:t>重大疫情中脆弱人群应急救治管理办法，确保在应急状态下对重点人群实施网格化分色健康管理服务。依托</w:t>
      </w:r>
      <w:r>
        <w:rPr>
          <w:rFonts w:hint="eastAsia"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区—镇（街道）</w:t>
      </w:r>
      <w:r>
        <w:rPr>
          <w:rFonts w:hint="eastAsia"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院前医疗急救服务体系，推动院前医疗急救网络与院内急诊无缝衔接。到2025年，全区</w:t>
      </w:r>
      <w:r>
        <w:rPr>
          <w:rFonts w:hint="eastAsia"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120</w:t>
      </w:r>
      <w:r>
        <w:rPr>
          <w:rFonts w:hint="eastAsia"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电话10秒内接听率达到99%、3分钟内出车率达到96%</w:t>
      </w:r>
      <w:r>
        <w:rPr>
          <w:rFonts w:hint="default" w:ascii="Times New Roman" w:hAnsi="Times New Roman" w:eastAsia="方正仿宋_GBK" w:cs="Times New Roman"/>
          <w:kern w:val="0"/>
          <w:sz w:val="32"/>
          <w:szCs w:val="32"/>
          <w:highlight w:val="none"/>
          <w:lang w:val="en-US" w:eastAsia="zh-CN"/>
        </w:rPr>
        <w:t>以上</w:t>
      </w:r>
      <w:r>
        <w:rPr>
          <w:rFonts w:hint="default" w:ascii="Times New Roman" w:hAnsi="Times New Roman" w:eastAsia="方正仿宋_GBK" w:cs="Times New Roman"/>
          <w:kern w:val="0"/>
          <w:sz w:val="32"/>
          <w:szCs w:val="32"/>
          <w:highlight w:val="none"/>
        </w:rPr>
        <w:t>，城区院前急救平均反应时间在</w:t>
      </w:r>
      <w:r>
        <w:rPr>
          <w:rFonts w:hint="eastAsia" w:ascii="Times New Roman" w:hAnsi="Times New Roman" w:eastAsia="方正仿宋_GBK" w:cs="Times New Roman"/>
          <w:kern w:val="0"/>
          <w:sz w:val="32"/>
          <w:szCs w:val="32"/>
          <w:highlight w:val="none"/>
          <w:lang w:val="en-US" w:eastAsia="zh-CN"/>
        </w:rPr>
        <w:t>12</w:t>
      </w:r>
      <w:r>
        <w:rPr>
          <w:rFonts w:hint="default" w:ascii="Times New Roman" w:hAnsi="Times New Roman" w:eastAsia="方正仿宋_GBK" w:cs="Times New Roman"/>
          <w:kern w:val="0"/>
          <w:sz w:val="32"/>
          <w:szCs w:val="32"/>
          <w:highlight w:val="none"/>
        </w:rPr>
        <w:t>分钟以内。提升区级应急医疗物资储备能力，建立分级储备制度，完善各级医疗应急物资储备品种、规模、结构等管理制度，形成动态调整机制。</w:t>
      </w:r>
      <w:r>
        <w:rPr>
          <w:rFonts w:hint="default" w:ascii="Times New Roman" w:hAnsi="Times New Roman" w:eastAsia="方正楷体_GBK" w:cs="Times New Roman"/>
          <w:kern w:val="0"/>
          <w:sz w:val="32"/>
          <w:szCs w:val="32"/>
          <w:highlight w:val="none"/>
        </w:rPr>
        <w:t>（责任单位：区经济信息委、区卫生健康委、区疾控局）</w:t>
      </w:r>
    </w:p>
    <w:p>
      <w:pPr>
        <w:snapToGrid w:val="0"/>
        <w:spacing w:line="300" w:lineRule="auto"/>
        <w:ind w:firstLine="640" w:firstLineChars="200"/>
        <w:rPr>
          <w:rFonts w:hint="default" w:ascii="Times New Roman" w:hAnsi="Times New Roman" w:eastAsia="方正楷体_GBK" w:cs="Times New Roman"/>
          <w:kern w:val="0"/>
          <w:sz w:val="32"/>
          <w:szCs w:val="32"/>
          <w:highlight w:val="none"/>
        </w:rPr>
      </w:pPr>
      <w:r>
        <w:rPr>
          <w:rFonts w:hint="default" w:ascii="Times New Roman" w:hAnsi="Times New Roman" w:eastAsia="方正楷体_GBK" w:cs="Times New Roman"/>
          <w:kern w:val="0"/>
          <w:sz w:val="32"/>
          <w:szCs w:val="32"/>
          <w:highlight w:val="none"/>
        </w:rPr>
        <w:t>（四）实施医防协同行动。</w:t>
      </w:r>
    </w:p>
    <w:p>
      <w:pPr>
        <w:snapToGrid w:val="0"/>
        <w:spacing w:line="300" w:lineRule="auto"/>
        <w:ind w:firstLine="640" w:firstLineChars="200"/>
        <w:rPr>
          <w:rFonts w:hint="default" w:ascii="Times New Roman" w:hAnsi="Times New Roman" w:eastAsia="方正楷体_GBK" w:cs="Times New Roman"/>
          <w:kern w:val="0"/>
          <w:sz w:val="32"/>
          <w:szCs w:val="32"/>
          <w:highlight w:val="none"/>
        </w:rPr>
      </w:pPr>
      <w:r>
        <w:rPr>
          <w:rFonts w:hint="default" w:ascii="Times New Roman" w:hAnsi="Times New Roman" w:eastAsia="方正仿宋_GBK" w:cs="Times New Roman"/>
          <w:kern w:val="0"/>
          <w:sz w:val="32"/>
          <w:szCs w:val="32"/>
          <w:highlight w:val="none"/>
        </w:rPr>
        <w:t>13</w:t>
      </w:r>
      <w:r>
        <w:rPr>
          <w:rFonts w:hint="eastAsia"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强化医疗机构公共卫生职责。</w:t>
      </w:r>
      <w:r>
        <w:rPr>
          <w:rFonts w:hint="default" w:ascii="Times New Roman" w:hAnsi="Times New Roman" w:eastAsia="方正仿宋_GBK" w:cs="Times New Roman"/>
          <w:kern w:val="0"/>
          <w:sz w:val="32"/>
          <w:szCs w:val="32"/>
          <w:highlight w:val="none"/>
          <w:lang w:val="en-US" w:eastAsia="zh-CN"/>
        </w:rPr>
        <w:t>按照</w:t>
      </w:r>
      <w:r>
        <w:rPr>
          <w:rFonts w:hint="default" w:ascii="Times New Roman" w:hAnsi="Times New Roman" w:eastAsia="方正仿宋_GBK" w:cs="Times New Roman"/>
          <w:kern w:val="0"/>
          <w:sz w:val="32"/>
          <w:szCs w:val="32"/>
          <w:highlight w:val="none"/>
        </w:rPr>
        <w:t>各级各类医疗机构公共卫生责任清单，完善考核评价机制，将医疗机构公共卫生履职情况纳入年度综合督查评价，并将评价结果与医院等级评审、财政投入、绩效总量等挂钩。</w:t>
      </w:r>
      <w:r>
        <w:rPr>
          <w:rFonts w:hint="default" w:ascii="Times New Roman" w:hAnsi="Times New Roman" w:eastAsia="方正楷体_GBK" w:cs="Times New Roman"/>
          <w:kern w:val="0"/>
          <w:sz w:val="32"/>
          <w:szCs w:val="32"/>
          <w:highlight w:val="none"/>
        </w:rPr>
        <w:t>（责任单位：区卫生健康委、区人力社保局、区疾控局）</w:t>
      </w:r>
    </w:p>
    <w:p>
      <w:pPr>
        <w:snapToGrid w:val="0"/>
        <w:spacing w:line="300" w:lineRule="auto"/>
        <w:ind w:firstLine="640" w:firstLineChars="200"/>
        <w:rPr>
          <w:rFonts w:hint="default" w:ascii="Times New Roman" w:hAnsi="Times New Roman" w:eastAsia="方正楷体_GBK" w:cs="Times New Roman"/>
          <w:kern w:val="0"/>
          <w:sz w:val="32"/>
          <w:szCs w:val="32"/>
          <w:highlight w:val="none"/>
        </w:rPr>
      </w:pPr>
      <w:r>
        <w:rPr>
          <w:rFonts w:hint="default" w:ascii="Times New Roman" w:hAnsi="Times New Roman" w:eastAsia="方正仿宋_GBK" w:cs="Times New Roman"/>
          <w:kern w:val="0"/>
          <w:sz w:val="32"/>
          <w:szCs w:val="32"/>
          <w:highlight w:val="none"/>
        </w:rPr>
        <w:t>14</w:t>
      </w:r>
      <w:r>
        <w:rPr>
          <w:rFonts w:hint="eastAsia"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推进公共卫生机构和医疗机构人员流动。将专业公共卫生机构纳入各级医联体、医共体建设。进一步完善医疗机构公共卫生医师和专业公共卫生机构临床医师配备标准，明确职责任务，规范执业注册，允许临床医生通过考核加注公共卫生执业范围。在临床医师规范化培训中增加公共卫生内容，切实推进医疗机构和公共卫生机构人员流动。</w:t>
      </w:r>
      <w:r>
        <w:rPr>
          <w:rFonts w:hint="default" w:ascii="Times New Roman" w:hAnsi="Times New Roman" w:eastAsia="方正楷体_GBK" w:cs="Times New Roman"/>
          <w:kern w:val="0"/>
          <w:sz w:val="32"/>
          <w:szCs w:val="32"/>
          <w:highlight w:val="none"/>
        </w:rPr>
        <w:t>（责任单位：区卫生健康委、区疾控局）</w:t>
      </w:r>
    </w:p>
    <w:p>
      <w:pPr>
        <w:snapToGrid w:val="0"/>
        <w:spacing w:line="300" w:lineRule="auto"/>
        <w:ind w:firstLine="640" w:firstLineChars="200"/>
        <w:rPr>
          <w:rFonts w:hint="default" w:ascii="Times New Roman" w:hAnsi="Times New Roman" w:eastAsia="方正楷体_GBK" w:cs="Times New Roman"/>
          <w:kern w:val="0"/>
          <w:sz w:val="32"/>
          <w:szCs w:val="32"/>
          <w:highlight w:val="none"/>
        </w:rPr>
      </w:pPr>
      <w:r>
        <w:rPr>
          <w:rFonts w:hint="default" w:ascii="Times New Roman" w:hAnsi="Times New Roman" w:eastAsia="方正仿宋_GBK" w:cs="Times New Roman"/>
          <w:kern w:val="0"/>
          <w:sz w:val="32"/>
          <w:szCs w:val="32"/>
          <w:highlight w:val="none"/>
        </w:rPr>
        <w:t>15</w:t>
      </w:r>
      <w:r>
        <w:rPr>
          <w:rFonts w:hint="eastAsia"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探索公共卫生医师处方权。</w:t>
      </w:r>
      <w:r>
        <w:rPr>
          <w:rFonts w:hint="default" w:ascii="Times New Roman" w:hAnsi="Times New Roman" w:eastAsia="方正仿宋_GBK" w:cs="Times New Roman"/>
          <w:kern w:val="0"/>
          <w:sz w:val="32"/>
          <w:szCs w:val="32"/>
          <w:highlight w:val="none"/>
          <w:lang w:val="en-US" w:eastAsia="zh-CN"/>
        </w:rPr>
        <w:t>配合市级</w:t>
      </w:r>
      <w:r>
        <w:rPr>
          <w:rFonts w:hint="default" w:ascii="Times New Roman" w:hAnsi="Times New Roman" w:eastAsia="方正仿宋_GBK" w:cs="Times New Roman"/>
          <w:kern w:val="0"/>
          <w:sz w:val="32"/>
          <w:szCs w:val="32"/>
          <w:highlight w:val="none"/>
        </w:rPr>
        <w:t>试点</w:t>
      </w:r>
      <w:r>
        <w:rPr>
          <w:rFonts w:hint="default" w:ascii="Times New Roman" w:hAnsi="Times New Roman" w:eastAsia="方正仿宋_GBK" w:cs="Times New Roman"/>
          <w:kern w:val="0"/>
          <w:sz w:val="32"/>
          <w:szCs w:val="32"/>
          <w:highlight w:val="none"/>
          <w:lang w:val="en-US" w:eastAsia="zh-CN"/>
        </w:rPr>
        <w:t>工作</w:t>
      </w:r>
      <w:r>
        <w:rPr>
          <w:rFonts w:hint="default" w:ascii="Times New Roman" w:hAnsi="Times New Roman" w:eastAsia="方正仿宋_GBK" w:cs="Times New Roman"/>
          <w:kern w:val="0"/>
          <w:sz w:val="32"/>
          <w:szCs w:val="32"/>
          <w:highlight w:val="none"/>
        </w:rPr>
        <w:t>，其执业的公共卫生医师因工作需要，可以通过培训考核合格后获得传染病及慢性病（高血压、糖尿病等）诊疗、暴露后预防用药等一定范围的处方权。</w:t>
      </w:r>
      <w:r>
        <w:rPr>
          <w:rFonts w:hint="default" w:ascii="Times New Roman" w:hAnsi="Times New Roman" w:eastAsia="方正仿宋_GBK" w:cs="Times New Roman"/>
          <w:spacing w:val="0"/>
          <w:kern w:val="0"/>
          <w:sz w:val="32"/>
          <w:szCs w:val="32"/>
          <w:highlight w:val="none"/>
        </w:rPr>
        <w:t>探索</w:t>
      </w:r>
      <w:r>
        <w:rPr>
          <w:rFonts w:hint="eastAsia" w:ascii="Times New Roman" w:hAnsi="Times New Roman" w:eastAsia="方正仿宋_GBK" w:cs="Times New Roman"/>
          <w:spacing w:val="0"/>
          <w:kern w:val="0"/>
          <w:sz w:val="32"/>
          <w:szCs w:val="32"/>
          <w:highlight w:val="none"/>
          <w:lang w:val="en-US" w:eastAsia="zh-CN"/>
        </w:rPr>
        <w:t>允许</w:t>
      </w:r>
      <w:r>
        <w:rPr>
          <w:rFonts w:hint="default" w:ascii="Times New Roman" w:hAnsi="Times New Roman" w:eastAsia="方正仿宋_GBK" w:cs="Times New Roman"/>
          <w:spacing w:val="-3"/>
          <w:kern w:val="0"/>
          <w:sz w:val="32"/>
          <w:szCs w:val="32"/>
          <w:highlight w:val="none"/>
        </w:rPr>
        <w:t>在基层医疗卫</w:t>
      </w:r>
      <w:r>
        <w:rPr>
          <w:rFonts w:hint="default" w:ascii="Times New Roman" w:hAnsi="Times New Roman" w:eastAsia="方正仿宋_GBK" w:cs="Times New Roman"/>
          <w:kern w:val="0"/>
          <w:sz w:val="32"/>
          <w:szCs w:val="32"/>
          <w:highlight w:val="none"/>
        </w:rPr>
        <w:t>生机构中执业的公共卫生医师经过全科医生转岗培训考核合格后，申请增加全科医生执业注册。</w:t>
      </w:r>
      <w:r>
        <w:rPr>
          <w:rFonts w:hint="default" w:ascii="Times New Roman" w:hAnsi="Times New Roman" w:eastAsia="方正楷体_GBK" w:cs="Times New Roman"/>
          <w:kern w:val="0"/>
          <w:sz w:val="32"/>
          <w:szCs w:val="32"/>
          <w:highlight w:val="none"/>
        </w:rPr>
        <w:t>（责任单位：区卫生健康委、区疾控局）</w:t>
      </w:r>
    </w:p>
    <w:p>
      <w:pPr>
        <w:snapToGrid w:val="0"/>
        <w:spacing w:line="300" w:lineRule="auto"/>
        <w:ind w:firstLine="640" w:firstLineChars="200"/>
        <w:rPr>
          <w:rFonts w:hint="default" w:ascii="Times New Roman" w:hAnsi="Times New Roman" w:eastAsia="方正楷体_GBK" w:cs="Times New Roman"/>
          <w:kern w:val="0"/>
          <w:sz w:val="32"/>
          <w:szCs w:val="32"/>
          <w:highlight w:val="none"/>
        </w:rPr>
      </w:pPr>
      <w:r>
        <w:rPr>
          <w:rFonts w:hint="default" w:ascii="Times New Roman" w:hAnsi="Times New Roman" w:eastAsia="方正仿宋_GBK" w:cs="Times New Roman"/>
          <w:kern w:val="0"/>
          <w:sz w:val="32"/>
          <w:szCs w:val="32"/>
          <w:highlight w:val="none"/>
        </w:rPr>
        <w:t>16</w:t>
      </w:r>
      <w:r>
        <w:rPr>
          <w:rFonts w:hint="eastAsia"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推进实施医疗健康双处方制度。推进公共卫生和医疗服务融合，加快推行医疗处方和健康处方双处方制度，鼓励医疗机构对患者采取健康促进和健康保护措施。到2025年，60%以上的镇卫生院、街道社区卫生服务中心和30%以上的二级及以上公立医院在心脑血管疾病、慢阻肺、糖尿病等重点慢性病就诊患者中全面实施双处方制度。</w:t>
      </w:r>
      <w:r>
        <w:rPr>
          <w:rFonts w:hint="default" w:ascii="Times New Roman" w:hAnsi="Times New Roman" w:eastAsia="方正楷体_GBK" w:cs="Times New Roman"/>
          <w:kern w:val="0"/>
          <w:sz w:val="32"/>
          <w:szCs w:val="32"/>
          <w:highlight w:val="none"/>
        </w:rPr>
        <w:t>（责任单位：区卫生健康委、区疾控局）</w:t>
      </w:r>
    </w:p>
    <w:p>
      <w:pPr>
        <w:snapToGrid w:val="0"/>
        <w:spacing w:line="300" w:lineRule="auto"/>
        <w:ind w:firstLine="640" w:firstLineChars="200"/>
        <w:rPr>
          <w:rFonts w:hint="default" w:ascii="Times New Roman" w:hAnsi="Times New Roman" w:eastAsia="方正楷体_GBK" w:cs="Times New Roman"/>
          <w:kern w:val="0"/>
          <w:sz w:val="32"/>
          <w:szCs w:val="32"/>
          <w:highlight w:val="none"/>
        </w:rPr>
      </w:pPr>
      <w:r>
        <w:rPr>
          <w:rFonts w:hint="default" w:ascii="Times New Roman" w:hAnsi="Times New Roman" w:eastAsia="方正仿宋_GBK" w:cs="Times New Roman"/>
          <w:kern w:val="0"/>
          <w:sz w:val="32"/>
          <w:szCs w:val="32"/>
          <w:highlight w:val="none"/>
        </w:rPr>
        <w:t>17</w:t>
      </w:r>
      <w:r>
        <w:rPr>
          <w:rFonts w:hint="eastAsia"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建立疾控监督员制度。建立专业公共卫生机构向医疗机构派驻疾控监督员制度，协助、督促、指导医疗机构公共卫生工作，根据医疗机构规模和类型明确派驻人数、时长、职责等。</w:t>
      </w:r>
      <w:r>
        <w:rPr>
          <w:rFonts w:hint="default" w:ascii="Times New Roman" w:hAnsi="Times New Roman" w:eastAsia="方正楷体_GBK" w:cs="Times New Roman"/>
          <w:kern w:val="0"/>
          <w:sz w:val="32"/>
          <w:szCs w:val="32"/>
          <w:highlight w:val="none"/>
        </w:rPr>
        <w:t>（责任单位：区卫生健康委、区疾控局）</w:t>
      </w:r>
    </w:p>
    <w:p>
      <w:pPr>
        <w:snapToGrid w:val="0"/>
        <w:spacing w:line="300" w:lineRule="auto"/>
        <w:ind w:firstLine="640" w:firstLineChars="200"/>
        <w:rPr>
          <w:rFonts w:hint="default" w:ascii="Times New Roman" w:hAnsi="Times New Roman" w:eastAsia="方正楷体_GBK" w:cs="Times New Roman"/>
          <w:kern w:val="0"/>
          <w:sz w:val="32"/>
          <w:szCs w:val="32"/>
          <w:highlight w:val="none"/>
        </w:rPr>
      </w:pPr>
      <w:r>
        <w:rPr>
          <w:rFonts w:hint="default" w:ascii="Times New Roman" w:hAnsi="Times New Roman" w:eastAsia="方正楷体_GBK" w:cs="Times New Roman"/>
          <w:kern w:val="0"/>
          <w:sz w:val="32"/>
          <w:szCs w:val="32"/>
          <w:highlight w:val="none"/>
        </w:rPr>
        <w:t>（五）实施公共卫生人才科技支撑行动。</w:t>
      </w:r>
    </w:p>
    <w:p>
      <w:pPr>
        <w:snapToGrid w:val="0"/>
        <w:spacing w:line="300" w:lineRule="auto"/>
        <w:ind w:firstLine="640" w:firstLineChars="200"/>
        <w:rPr>
          <w:rFonts w:hint="default" w:ascii="Times New Roman" w:hAnsi="Times New Roman" w:eastAsia="方正楷体_GBK" w:cs="Times New Roman"/>
          <w:kern w:val="0"/>
          <w:sz w:val="32"/>
          <w:szCs w:val="32"/>
          <w:highlight w:val="none"/>
        </w:rPr>
      </w:pPr>
      <w:r>
        <w:rPr>
          <w:rFonts w:hint="default" w:ascii="Times New Roman" w:hAnsi="Times New Roman" w:eastAsia="方正仿宋_GBK" w:cs="Times New Roman"/>
          <w:kern w:val="0"/>
          <w:sz w:val="32"/>
          <w:szCs w:val="32"/>
          <w:highlight w:val="none"/>
        </w:rPr>
        <w:t>18</w:t>
      </w:r>
      <w:r>
        <w:rPr>
          <w:rFonts w:hint="eastAsia"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扩充公共卫生人才总量。扩大专业公共卫生机构用人自主权，实施公共卫生人员学历提升计划。对医疗机构公共卫生科人员实施备案管理。继续实施属地化医学生公开招聘，提高招聘项目中公共卫生类专业毕业生占比，推进公共卫生人才转岗培训和专业公共卫生人才引进。</w:t>
      </w:r>
      <w:r>
        <w:rPr>
          <w:rFonts w:hint="default" w:ascii="Times New Roman" w:hAnsi="Times New Roman" w:eastAsia="方正仿宋_GBK" w:cs="Times New Roman"/>
          <w:color w:val="auto"/>
          <w:kern w:val="0"/>
          <w:sz w:val="32"/>
          <w:szCs w:val="32"/>
          <w:highlight w:val="none"/>
        </w:rPr>
        <w:t>到2025年，</w:t>
      </w:r>
      <w:r>
        <w:rPr>
          <w:rFonts w:hint="default" w:ascii="Times New Roman" w:hAnsi="Times New Roman" w:eastAsia="方正仿宋_GBK" w:cs="Times New Roman"/>
          <w:color w:val="auto"/>
          <w:kern w:val="0"/>
          <w:sz w:val="32"/>
          <w:szCs w:val="32"/>
          <w:highlight w:val="none"/>
          <w:lang w:val="en-US" w:eastAsia="zh-CN"/>
        </w:rPr>
        <w:t>每万常住人口专业公共卫生机构人</w:t>
      </w:r>
      <w:r>
        <w:rPr>
          <w:rFonts w:hint="eastAsia" w:eastAsia="方正仿宋_GBK" w:cs="Times New Roman"/>
          <w:color w:val="auto"/>
          <w:kern w:val="0"/>
          <w:sz w:val="32"/>
          <w:szCs w:val="32"/>
          <w:highlight w:val="none"/>
          <w:lang w:val="en-US" w:eastAsia="zh-CN"/>
        </w:rPr>
        <w:t>员</w:t>
      </w:r>
      <w:r>
        <w:rPr>
          <w:rFonts w:hint="default" w:ascii="Times New Roman" w:hAnsi="Times New Roman" w:eastAsia="方正仿宋_GBK" w:cs="Times New Roman"/>
          <w:color w:val="auto"/>
          <w:kern w:val="0"/>
          <w:sz w:val="32"/>
          <w:szCs w:val="32"/>
          <w:highlight w:val="none"/>
          <w:lang w:val="en-US" w:eastAsia="zh-CN"/>
        </w:rPr>
        <w:t>数达到8.6人，其中，每万常住人口疾控机构人员数达到1.8人</w:t>
      </w:r>
      <w:r>
        <w:rPr>
          <w:rFonts w:hint="eastAsia"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楷体_GBK" w:cs="Times New Roman"/>
          <w:color w:val="auto"/>
          <w:kern w:val="0"/>
          <w:sz w:val="32"/>
          <w:szCs w:val="32"/>
          <w:highlight w:val="none"/>
          <w:lang w:val="en-US" w:eastAsia="zh-CN"/>
        </w:rPr>
        <w:t>责任单位：</w:t>
      </w:r>
      <w:r>
        <w:rPr>
          <w:rFonts w:hint="default" w:ascii="Times New Roman" w:hAnsi="Times New Roman" w:eastAsia="方正楷体_GBK" w:cs="Times New Roman"/>
          <w:kern w:val="0"/>
          <w:sz w:val="32"/>
          <w:szCs w:val="32"/>
          <w:highlight w:val="none"/>
        </w:rPr>
        <w:t>区教委、区人力社保局、区卫生健康委、</w:t>
      </w:r>
      <w:r>
        <w:rPr>
          <w:rFonts w:hint="default" w:ascii="Times New Roman" w:hAnsi="Times New Roman" w:eastAsia="方正楷体_GBK" w:cs="Times New Roman"/>
          <w:kern w:val="0"/>
          <w:sz w:val="32"/>
          <w:szCs w:val="32"/>
          <w:highlight w:val="none"/>
          <w:lang w:val="en-US" w:eastAsia="zh-CN"/>
        </w:rPr>
        <w:t>永川高新区管委会、</w:t>
      </w:r>
      <w:r>
        <w:rPr>
          <w:rFonts w:hint="default" w:ascii="Times New Roman" w:hAnsi="Times New Roman" w:eastAsia="方正楷体_GBK" w:cs="Times New Roman"/>
          <w:kern w:val="0"/>
          <w:sz w:val="32"/>
          <w:szCs w:val="32"/>
          <w:highlight w:val="none"/>
        </w:rPr>
        <w:t>区疾控局）</w:t>
      </w:r>
    </w:p>
    <w:p>
      <w:pPr>
        <w:snapToGrid w:val="0"/>
        <w:spacing w:line="300" w:lineRule="auto"/>
        <w:ind w:firstLine="640" w:firstLineChars="200"/>
        <w:rPr>
          <w:rFonts w:hint="default" w:ascii="Times New Roman" w:hAnsi="Times New Roman" w:eastAsia="方正楷体_GBK" w:cs="Times New Roman"/>
          <w:kern w:val="0"/>
          <w:sz w:val="32"/>
          <w:szCs w:val="32"/>
          <w:highlight w:val="none"/>
        </w:rPr>
      </w:pPr>
      <w:r>
        <w:rPr>
          <w:rFonts w:hint="default" w:ascii="Times New Roman" w:hAnsi="Times New Roman" w:eastAsia="方正仿宋_GBK" w:cs="Times New Roman"/>
          <w:kern w:val="0"/>
          <w:sz w:val="32"/>
          <w:szCs w:val="32"/>
          <w:highlight w:val="none"/>
        </w:rPr>
        <w:t>19</w:t>
      </w:r>
      <w:r>
        <w:rPr>
          <w:rFonts w:hint="eastAsia"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培育引进高水平公共卫生人才。区疾控机构加大对高水平公共卫生人才的培育和引进力度。专业公共卫生机构结合实际适当提高公共卫生人才招聘学历层次。积极推进</w:t>
      </w:r>
      <w:r>
        <w:rPr>
          <w:rFonts w:hint="eastAsia"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双聘</w:t>
      </w:r>
      <w:r>
        <w:rPr>
          <w:rFonts w:hint="eastAsia"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试点引进高水平人才。现有人才项目在同等条件下向公共卫生领域倾斜。</w:t>
      </w:r>
      <w:r>
        <w:rPr>
          <w:rFonts w:hint="default" w:ascii="Times New Roman" w:hAnsi="Times New Roman" w:eastAsia="方正仿宋_GBK" w:cs="Times New Roman"/>
          <w:color w:val="auto"/>
          <w:spacing w:val="2"/>
          <w:kern w:val="0"/>
          <w:sz w:val="32"/>
          <w:szCs w:val="32"/>
          <w:highlight w:val="none"/>
        </w:rPr>
        <w:t>到2025年，建立市级首席专家永川工作室，遴选市级首席公共卫生专家团队（工作室）人才1-2</w:t>
      </w:r>
      <w:r>
        <w:rPr>
          <w:rFonts w:hint="default" w:ascii="Times New Roman" w:hAnsi="Times New Roman" w:eastAsia="方正仿宋_GBK" w:cs="Times New Roman"/>
          <w:color w:val="auto"/>
          <w:kern w:val="0"/>
          <w:sz w:val="32"/>
          <w:szCs w:val="32"/>
          <w:highlight w:val="none"/>
        </w:rPr>
        <w:t>名、选派优秀公共卫生人才</w:t>
      </w:r>
      <w:r>
        <w:rPr>
          <w:rFonts w:hint="default" w:ascii="Times New Roman" w:hAnsi="Times New Roman" w:eastAsia="方正仿宋_GBK" w:cs="Times New Roman"/>
          <w:color w:val="auto"/>
          <w:kern w:val="0"/>
          <w:sz w:val="32"/>
          <w:szCs w:val="32"/>
          <w:highlight w:val="none"/>
          <w:lang w:val="en-US" w:eastAsia="zh-CN"/>
        </w:rPr>
        <w:t>参加</w:t>
      </w:r>
      <w:r>
        <w:rPr>
          <w:rFonts w:hint="default" w:ascii="Times New Roman" w:hAnsi="Times New Roman" w:eastAsia="方正仿宋_GBK" w:cs="Times New Roman"/>
          <w:color w:val="auto"/>
          <w:kern w:val="0"/>
          <w:sz w:val="32"/>
          <w:szCs w:val="32"/>
          <w:highlight w:val="none"/>
        </w:rPr>
        <w:t>国内外访学研修、参加成渝两地公共卫生人才互派学习，遴选培养公共卫生及有关领域学术技术带头人，轮训监督执法人员；区疾控中心培育和引进硕士研究生10名以上，培育学术技术带头人才1-2名，以及</w:t>
      </w:r>
      <w:r>
        <w:rPr>
          <w:rFonts w:hint="default" w:ascii="Times New Roman" w:hAnsi="Times New Roman" w:eastAsia="方正仿宋_GBK" w:cs="Times New Roman"/>
          <w:color w:val="auto"/>
          <w:kern w:val="0"/>
          <w:sz w:val="32"/>
          <w:szCs w:val="32"/>
          <w:highlight w:val="none"/>
          <w:u w:val="none"/>
        </w:rPr>
        <w:t>各类市级专家3-5名</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楷体_GBK" w:cs="Times New Roman"/>
          <w:kern w:val="0"/>
          <w:sz w:val="32"/>
          <w:szCs w:val="32"/>
          <w:highlight w:val="none"/>
        </w:rPr>
        <w:t>（责任单位：区卫生健康委、区人力社保局、区疾控局）</w:t>
      </w:r>
    </w:p>
    <w:p>
      <w:pPr>
        <w:snapToGrid w:val="0"/>
        <w:spacing w:line="300" w:lineRule="auto"/>
        <w:ind w:firstLine="640" w:firstLineChars="200"/>
        <w:rPr>
          <w:rFonts w:hint="default" w:ascii="Times New Roman" w:hAnsi="Times New Roman" w:eastAsia="方正楷体_GBK" w:cs="Times New Roman"/>
          <w:color w:val="000000" w:themeColor="text1"/>
          <w:kern w:val="0"/>
          <w:sz w:val="32"/>
          <w:szCs w:val="32"/>
          <w:highlight w:val="none"/>
          <w14:textFill>
            <w14:solidFill>
              <w14:schemeClr w14:val="tx1"/>
            </w14:solidFill>
          </w14:textFill>
        </w:rPr>
      </w:pPr>
      <w:r>
        <w:rPr>
          <w:rFonts w:hint="default" w:ascii="Times New Roman" w:hAnsi="Times New Roman" w:eastAsia="方正仿宋_GBK" w:cs="Times New Roman"/>
          <w:kern w:val="0"/>
          <w:sz w:val="32"/>
          <w:szCs w:val="32"/>
          <w:highlight w:val="none"/>
        </w:rPr>
        <w:t>20</w:t>
      </w:r>
      <w:r>
        <w:rPr>
          <w:rFonts w:hint="eastAsia"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分步落实绩效政策。</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深化专业公共卫生机构薪酬制度改革，逐步参照同级公立医疗机构超额绩效平均水平核定专业公共卫生机构超额绩效，并建立同步调整机制。将专业公共卫生机构根据职能职责开展有偿性技术服务等业务活动取得的事业收入，剔除非人力成本后的部分主要用于事业发展，也可作为超额绩效工资的经费来源。公立医疗机构公共卫生科人员收入不低于所在医疗机构人员的平均收入水平。</w:t>
      </w:r>
      <w:r>
        <w:rPr>
          <w:rFonts w:hint="default" w:ascii="Times New Roman" w:hAnsi="Times New Roman" w:eastAsia="方正楷体_GBK" w:cs="Times New Roman"/>
          <w:color w:val="000000" w:themeColor="text1"/>
          <w:kern w:val="0"/>
          <w:sz w:val="32"/>
          <w:szCs w:val="32"/>
          <w:highlight w:val="none"/>
          <w14:textFill>
            <w14:solidFill>
              <w14:schemeClr w14:val="tx1"/>
            </w14:solidFill>
          </w14:textFill>
        </w:rPr>
        <w:t>（责任单位：区人力社保局、区卫生健康委、区疾控局）</w:t>
      </w:r>
    </w:p>
    <w:p>
      <w:pPr>
        <w:snapToGrid w:val="0"/>
        <w:spacing w:line="300" w:lineRule="auto"/>
        <w:ind w:firstLine="640" w:firstLineChars="200"/>
        <w:rPr>
          <w:rFonts w:hint="default" w:ascii="Times New Roman" w:hAnsi="Times New Roman" w:eastAsia="方正楷体_GBK" w:cs="Times New Roman"/>
          <w:kern w:val="0"/>
          <w:sz w:val="32"/>
          <w:szCs w:val="32"/>
          <w:highlight w:val="none"/>
        </w:rPr>
      </w:pPr>
      <w:r>
        <w:rPr>
          <w:rFonts w:hint="default" w:ascii="Times New Roman" w:hAnsi="Times New Roman" w:eastAsia="方正仿宋_GBK" w:cs="Times New Roman"/>
          <w:kern w:val="0"/>
          <w:sz w:val="32"/>
          <w:szCs w:val="32"/>
          <w:highlight w:val="none"/>
        </w:rPr>
        <w:t>21</w:t>
      </w:r>
      <w:r>
        <w:rPr>
          <w:rFonts w:hint="eastAsia"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加强公共卫生科研和重点专（学）科、重点实验室建设。积极申报一批公共卫生和生物安全科技项目研究</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聚焦全区人群主要健康问题，有针对性、有计划、分阶段实施一批</w:t>
      </w:r>
      <w:r>
        <w:rPr>
          <w:rFonts w:hint="default" w:ascii="Times New Roman" w:hAnsi="Times New Roman" w:eastAsia="方正仿宋_GBK" w:cs="Times New Roman"/>
          <w:kern w:val="0"/>
          <w:sz w:val="32"/>
          <w:szCs w:val="32"/>
          <w:highlight w:val="none"/>
          <w:lang w:val="en-US" w:eastAsia="zh-CN"/>
        </w:rPr>
        <w:t>区</w:t>
      </w:r>
      <w:r>
        <w:rPr>
          <w:rFonts w:hint="default" w:ascii="Times New Roman" w:hAnsi="Times New Roman" w:eastAsia="方正仿宋_GBK" w:cs="Times New Roman"/>
          <w:kern w:val="0"/>
          <w:sz w:val="32"/>
          <w:szCs w:val="32"/>
          <w:highlight w:val="none"/>
        </w:rPr>
        <w:t>级公共卫生科研专项，形成一批在市内有影响力的公共卫生科研成果。</w:t>
      </w:r>
      <w:r>
        <w:rPr>
          <w:rFonts w:hint="default" w:ascii="Times New Roman" w:hAnsi="Times New Roman" w:eastAsia="方正仿宋_GBK" w:cs="Times New Roman"/>
          <w:kern w:val="0"/>
          <w:sz w:val="32"/>
          <w:szCs w:val="32"/>
          <w:highlight w:val="none"/>
          <w:lang w:val="en-US" w:eastAsia="zh-CN"/>
        </w:rPr>
        <w:t>建立</w:t>
      </w:r>
      <w:r>
        <w:rPr>
          <w:rFonts w:hint="default" w:ascii="Times New Roman" w:hAnsi="Times New Roman" w:eastAsia="方正仿宋_GBK" w:cs="Times New Roman"/>
          <w:kern w:val="0"/>
          <w:sz w:val="32"/>
          <w:szCs w:val="32"/>
          <w:highlight w:val="none"/>
        </w:rPr>
        <w:t>公共卫生适宜技术推广机制。开展公共卫生重点专（学）科、重点实验室创建。强化科卫协同、教卫协同，鼓励医疗卫生机构加强与高校、科研院所、企业等合作，充分发挥生物安</w:t>
      </w:r>
      <w:r>
        <w:rPr>
          <w:rFonts w:hint="default" w:ascii="Times New Roman" w:hAnsi="Times New Roman" w:eastAsia="方正仿宋_GBK" w:cs="Times New Roman"/>
          <w:color w:val="auto"/>
          <w:kern w:val="0"/>
          <w:sz w:val="32"/>
          <w:szCs w:val="32"/>
          <w:highlight w:val="none"/>
        </w:rPr>
        <w:t>全二级实</w:t>
      </w:r>
      <w:r>
        <w:rPr>
          <w:rFonts w:hint="default" w:ascii="Times New Roman" w:hAnsi="Times New Roman" w:eastAsia="方正仿宋_GBK" w:cs="Times New Roman"/>
          <w:kern w:val="0"/>
          <w:sz w:val="32"/>
          <w:szCs w:val="32"/>
          <w:highlight w:val="none"/>
        </w:rPr>
        <w:t>验室作用，开展病原微生物监测、重大传染病发病机制研究等科研活动。</w:t>
      </w:r>
      <w:r>
        <w:rPr>
          <w:rFonts w:hint="default" w:ascii="Times New Roman" w:hAnsi="Times New Roman" w:eastAsia="方正仿宋_GBK" w:cs="Times New Roman"/>
          <w:color w:val="auto"/>
          <w:kern w:val="0"/>
          <w:sz w:val="32"/>
          <w:szCs w:val="32"/>
          <w:highlight w:val="none"/>
        </w:rPr>
        <w:t>建设消毒与感染控制、病媒生物防制指导中心，职业健康管理指导中心。</w:t>
      </w:r>
      <w:r>
        <w:rPr>
          <w:rFonts w:hint="default" w:ascii="Times New Roman" w:hAnsi="Times New Roman" w:eastAsia="方正楷体_GBK" w:cs="Times New Roman"/>
          <w:kern w:val="0"/>
          <w:sz w:val="32"/>
          <w:szCs w:val="32"/>
          <w:highlight w:val="none"/>
        </w:rPr>
        <w:t>（责任单位：区教委、区科技局、区卫生健康委、</w:t>
      </w:r>
      <w:r>
        <w:rPr>
          <w:rFonts w:hint="default" w:ascii="Times New Roman" w:hAnsi="Times New Roman" w:eastAsia="方正楷体_GBK" w:cs="Times New Roman"/>
          <w:kern w:val="0"/>
          <w:sz w:val="32"/>
          <w:szCs w:val="32"/>
          <w:highlight w:val="none"/>
          <w:lang w:val="en-US" w:eastAsia="zh-CN"/>
        </w:rPr>
        <w:t>永川高新区管委会、</w:t>
      </w:r>
      <w:r>
        <w:rPr>
          <w:rFonts w:hint="default" w:ascii="Times New Roman" w:hAnsi="Times New Roman" w:eastAsia="方正楷体_GBK" w:cs="Times New Roman"/>
          <w:kern w:val="0"/>
          <w:sz w:val="32"/>
          <w:szCs w:val="32"/>
          <w:highlight w:val="none"/>
        </w:rPr>
        <w:t>区疾控局）</w:t>
      </w:r>
    </w:p>
    <w:p>
      <w:pPr>
        <w:snapToGrid w:val="0"/>
        <w:spacing w:line="300" w:lineRule="auto"/>
        <w:ind w:firstLine="640" w:firstLineChars="200"/>
        <w:rPr>
          <w:rFonts w:hint="default" w:ascii="Times New Roman" w:hAnsi="Times New Roman" w:eastAsia="方正楷体_GBK" w:cs="Times New Roman"/>
          <w:kern w:val="0"/>
          <w:sz w:val="32"/>
          <w:szCs w:val="32"/>
          <w:highlight w:val="none"/>
        </w:rPr>
      </w:pPr>
      <w:r>
        <w:rPr>
          <w:rFonts w:hint="default" w:ascii="Times New Roman" w:hAnsi="Times New Roman" w:eastAsia="方正楷体_GBK" w:cs="Times New Roman"/>
          <w:kern w:val="0"/>
          <w:sz w:val="32"/>
          <w:szCs w:val="32"/>
          <w:highlight w:val="none"/>
        </w:rPr>
        <w:t>（六）实施</w:t>
      </w:r>
      <w:r>
        <w:rPr>
          <w:rFonts w:hint="eastAsia" w:eastAsia="方正楷体_GBK" w:cs="Times New Roman"/>
          <w:kern w:val="0"/>
          <w:sz w:val="32"/>
          <w:szCs w:val="32"/>
          <w:highlight w:val="none"/>
          <w:lang w:eastAsia="zh-CN"/>
        </w:rPr>
        <w:t>“</w:t>
      </w:r>
      <w:r>
        <w:rPr>
          <w:rFonts w:hint="default" w:ascii="Times New Roman" w:hAnsi="Times New Roman" w:eastAsia="方正楷体_GBK" w:cs="Times New Roman"/>
          <w:kern w:val="0"/>
          <w:sz w:val="32"/>
          <w:szCs w:val="32"/>
          <w:highlight w:val="none"/>
        </w:rPr>
        <w:t>数字公卫一体化</w:t>
      </w:r>
      <w:r>
        <w:rPr>
          <w:rFonts w:hint="eastAsia" w:eastAsia="方正楷体_GBK" w:cs="Times New Roman"/>
          <w:kern w:val="0"/>
          <w:sz w:val="32"/>
          <w:szCs w:val="32"/>
          <w:highlight w:val="none"/>
          <w:lang w:eastAsia="zh-CN"/>
        </w:rPr>
        <w:t>”</w:t>
      </w:r>
      <w:r>
        <w:rPr>
          <w:rFonts w:hint="default" w:ascii="Times New Roman" w:hAnsi="Times New Roman" w:eastAsia="方正楷体_GBK" w:cs="Times New Roman"/>
          <w:kern w:val="0"/>
          <w:sz w:val="32"/>
          <w:szCs w:val="32"/>
          <w:highlight w:val="none"/>
        </w:rPr>
        <w:t>建设行动。</w:t>
      </w:r>
    </w:p>
    <w:p>
      <w:pPr>
        <w:snapToGrid w:val="0"/>
        <w:spacing w:line="300" w:lineRule="auto"/>
        <w:ind w:firstLine="640" w:firstLineChars="200"/>
        <w:rPr>
          <w:rFonts w:hint="default" w:ascii="Times New Roman" w:hAnsi="Times New Roman" w:eastAsia="方正楷体_GBK" w:cs="Times New Roman"/>
          <w:kern w:val="0"/>
          <w:sz w:val="32"/>
          <w:szCs w:val="32"/>
          <w:highlight w:val="none"/>
        </w:rPr>
      </w:pPr>
      <w:r>
        <w:rPr>
          <w:rFonts w:hint="default" w:ascii="Times New Roman" w:hAnsi="Times New Roman" w:eastAsia="方正仿宋_GBK" w:cs="Times New Roman"/>
          <w:kern w:val="0"/>
          <w:sz w:val="32"/>
          <w:szCs w:val="32"/>
          <w:highlight w:val="none"/>
        </w:rPr>
        <w:t>22</w:t>
      </w:r>
      <w:r>
        <w:rPr>
          <w:rFonts w:hint="eastAsia"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建设传染病监测预警处置应用。加快</w:t>
      </w:r>
      <w:r>
        <w:rPr>
          <w:rFonts w:hint="eastAsia"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社会·渝悦·疫智防控</w:t>
      </w:r>
      <w:r>
        <w:rPr>
          <w:rFonts w:hint="eastAsia"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推广应用，建设互联互通、多点触发的监测预警信息平台。推动各级医疗卫生机构互联互通，实现病例报告、症状监测、实验室检测等数据实时共享和自动抓取。完善部门信息共享机制，实现学生健康、动物疫情、药品销售</w:t>
      </w:r>
      <w:r>
        <w:rPr>
          <w:rFonts w:hint="default" w:ascii="Times New Roman" w:hAnsi="Times New Roman" w:eastAsia="方正仿宋_GBK" w:cs="Times New Roman"/>
          <w:kern w:val="0"/>
          <w:sz w:val="32"/>
          <w:szCs w:val="32"/>
          <w:highlight w:val="none"/>
          <w:lang w:val="en-US" w:eastAsia="zh-CN"/>
        </w:rPr>
        <w:t>和</w:t>
      </w:r>
      <w:r>
        <w:rPr>
          <w:rFonts w:hint="default" w:ascii="Times New Roman" w:hAnsi="Times New Roman" w:eastAsia="方正仿宋_GBK" w:cs="Times New Roman"/>
          <w:kern w:val="0"/>
          <w:sz w:val="32"/>
          <w:szCs w:val="32"/>
          <w:highlight w:val="none"/>
        </w:rPr>
        <w:t>网络舆情等有关信息共享交换。利用大数据、人工智能等技术，建立健全智慧化预警多点触发机制，实现传染病疫情自动采集和智能预警。</w:t>
      </w:r>
      <w:r>
        <w:rPr>
          <w:rFonts w:hint="default" w:ascii="Times New Roman" w:hAnsi="Times New Roman" w:eastAsia="方正楷体_GBK" w:cs="Times New Roman"/>
          <w:kern w:val="0"/>
          <w:sz w:val="32"/>
          <w:szCs w:val="32"/>
          <w:highlight w:val="none"/>
        </w:rPr>
        <w:t>（责任单位：区教委、区农业农村委、区卫生健康委、区大数据发展局、区疾控局、永川海关</w:t>
      </w:r>
      <w:r>
        <w:rPr>
          <w:rFonts w:hint="default" w:ascii="Times New Roman" w:hAnsi="Times New Roman" w:eastAsia="方正楷体_GBK" w:cs="Times New Roman"/>
          <w:kern w:val="0"/>
          <w:sz w:val="32"/>
          <w:szCs w:val="32"/>
          <w:highlight w:val="none"/>
          <w:lang w:eastAsia="zh-CN"/>
        </w:rPr>
        <w:t>，</w:t>
      </w:r>
      <w:r>
        <w:rPr>
          <w:rFonts w:hint="default" w:ascii="Times New Roman" w:hAnsi="Times New Roman" w:eastAsia="方正楷体_GBK" w:cs="Times New Roman"/>
          <w:kern w:val="0"/>
          <w:sz w:val="32"/>
          <w:szCs w:val="32"/>
          <w:highlight w:val="none"/>
          <w:lang w:val="en-US" w:eastAsia="zh-CN"/>
        </w:rPr>
        <w:t>各镇街</w:t>
      </w:r>
      <w:r>
        <w:rPr>
          <w:rFonts w:hint="default" w:ascii="Times New Roman" w:hAnsi="Times New Roman" w:eastAsia="方正楷体_GBK" w:cs="Times New Roman"/>
          <w:kern w:val="0"/>
          <w:sz w:val="32"/>
          <w:szCs w:val="32"/>
          <w:highlight w:val="none"/>
        </w:rPr>
        <w:t>）</w:t>
      </w:r>
    </w:p>
    <w:p>
      <w:pPr>
        <w:snapToGrid w:val="0"/>
        <w:spacing w:line="300" w:lineRule="auto"/>
        <w:ind w:firstLine="640" w:firstLineChars="200"/>
        <w:rPr>
          <w:rFonts w:hint="default" w:ascii="Times New Roman" w:hAnsi="Times New Roman" w:eastAsia="方正楷体_GBK" w:cs="Times New Roman"/>
          <w:kern w:val="0"/>
          <w:sz w:val="32"/>
          <w:szCs w:val="32"/>
          <w:highlight w:val="none"/>
        </w:rPr>
      </w:pPr>
      <w:r>
        <w:rPr>
          <w:rFonts w:hint="default" w:ascii="Times New Roman" w:hAnsi="Times New Roman" w:eastAsia="方正仿宋_GBK" w:cs="Times New Roman"/>
          <w:kern w:val="0"/>
          <w:sz w:val="32"/>
          <w:szCs w:val="32"/>
          <w:highlight w:val="none"/>
        </w:rPr>
        <w:t>23</w:t>
      </w:r>
      <w:r>
        <w:rPr>
          <w:rFonts w:hint="eastAsia"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建设全生命周期健康管理平台。鼓励区疾控中心建设医防协同、上下联动的全生命周期健康管理平台，自动抓取、分析研判有关诊疗数据和公共卫生服务数据，实现对重点传染病患者、慢性病患者、地方病患者、职业病患者、妇女、儿童、老年人等重点人群诊疗信息、随访信息的实时共享查阅。探索通过互联网实施健康管理和基本公共卫生服务，以小切口谋划开发在线便民服务应用场景，实现全生命周期的线上服务、智能化健康提醒、一键急救等功能。加强数据管理维护，确保信息安全。</w:t>
      </w:r>
      <w:r>
        <w:rPr>
          <w:rFonts w:hint="default" w:ascii="Times New Roman" w:hAnsi="Times New Roman" w:eastAsia="方正楷体_GBK" w:cs="Times New Roman"/>
          <w:kern w:val="0"/>
          <w:sz w:val="32"/>
          <w:szCs w:val="32"/>
          <w:highlight w:val="none"/>
        </w:rPr>
        <w:t>（责任单位：区卫生健康委、区疾控局</w:t>
      </w:r>
      <w:r>
        <w:rPr>
          <w:rFonts w:hint="default" w:ascii="Times New Roman" w:hAnsi="Times New Roman" w:eastAsia="方正楷体_GBK" w:cs="Times New Roman"/>
          <w:kern w:val="0"/>
          <w:sz w:val="32"/>
          <w:szCs w:val="32"/>
          <w:highlight w:val="none"/>
          <w:lang w:eastAsia="zh-CN"/>
        </w:rPr>
        <w:t>，</w:t>
      </w:r>
      <w:r>
        <w:rPr>
          <w:rFonts w:hint="default" w:ascii="Times New Roman" w:hAnsi="Times New Roman" w:eastAsia="方正楷体_GBK" w:cs="Times New Roman"/>
          <w:kern w:val="0"/>
          <w:sz w:val="32"/>
          <w:szCs w:val="32"/>
          <w:highlight w:val="none"/>
          <w:lang w:val="en-US" w:eastAsia="zh-CN"/>
        </w:rPr>
        <w:t>各镇街</w:t>
      </w:r>
      <w:r>
        <w:rPr>
          <w:rFonts w:hint="default" w:ascii="Times New Roman" w:hAnsi="Times New Roman" w:eastAsia="方正楷体_GBK" w:cs="Times New Roman"/>
          <w:kern w:val="0"/>
          <w:sz w:val="32"/>
          <w:szCs w:val="32"/>
          <w:highlight w:val="none"/>
        </w:rPr>
        <w:t>）</w:t>
      </w:r>
    </w:p>
    <w:p>
      <w:pPr>
        <w:snapToGrid w:val="0"/>
        <w:spacing w:line="300" w:lineRule="auto"/>
        <w:ind w:firstLine="640" w:firstLineChars="200"/>
        <w:rPr>
          <w:rFonts w:hint="default" w:ascii="Times New Roman" w:hAnsi="Times New Roman" w:eastAsia="方正楷体_GBK" w:cs="Times New Roman"/>
          <w:kern w:val="0"/>
          <w:sz w:val="32"/>
          <w:szCs w:val="32"/>
          <w:highlight w:val="none"/>
        </w:rPr>
      </w:pPr>
      <w:r>
        <w:rPr>
          <w:rFonts w:hint="default" w:ascii="Times New Roman" w:hAnsi="Times New Roman" w:eastAsia="方正仿宋_GBK" w:cs="Times New Roman"/>
          <w:kern w:val="0"/>
          <w:sz w:val="32"/>
          <w:szCs w:val="32"/>
          <w:highlight w:val="none"/>
        </w:rPr>
        <w:t>24</w:t>
      </w:r>
      <w:r>
        <w:rPr>
          <w:rFonts w:hint="eastAsia"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建设统一调度、智能辅助的应急指挥平台。建设卫生应急资源</w:t>
      </w:r>
      <w:r>
        <w:rPr>
          <w:rFonts w:hint="eastAsia"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一张网</w:t>
      </w:r>
      <w:r>
        <w:rPr>
          <w:rFonts w:hint="eastAsia"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实时动态掌握和调配队伍、装备、物资等各级各类卫生应急资源，实现各部门应急处置数据实时交换共享，突发公共卫生事件自动报告、监测预警、资源可视化实时动态展示、辅助智能决策和在线实时指挥调度。（</w:t>
      </w:r>
      <w:r>
        <w:rPr>
          <w:rFonts w:hint="default" w:ascii="Times New Roman" w:hAnsi="Times New Roman" w:eastAsia="方正楷体_GBK" w:cs="Times New Roman"/>
          <w:kern w:val="0"/>
          <w:sz w:val="32"/>
          <w:szCs w:val="32"/>
          <w:highlight w:val="none"/>
        </w:rPr>
        <w:t>责任单位：区卫生健康委、区疾控局</w:t>
      </w:r>
      <w:r>
        <w:rPr>
          <w:rFonts w:hint="default" w:ascii="Times New Roman" w:hAnsi="Times New Roman" w:eastAsia="方正楷体_GBK" w:cs="Times New Roman"/>
          <w:kern w:val="0"/>
          <w:sz w:val="32"/>
          <w:szCs w:val="32"/>
          <w:highlight w:val="none"/>
          <w:lang w:eastAsia="zh-CN"/>
        </w:rPr>
        <w:t>，</w:t>
      </w:r>
      <w:r>
        <w:rPr>
          <w:rFonts w:hint="default" w:ascii="Times New Roman" w:hAnsi="Times New Roman" w:eastAsia="方正楷体_GBK" w:cs="Times New Roman"/>
          <w:kern w:val="0"/>
          <w:sz w:val="32"/>
          <w:szCs w:val="32"/>
          <w:highlight w:val="none"/>
          <w:lang w:val="en-US" w:eastAsia="zh-CN"/>
        </w:rPr>
        <w:t>各镇街</w:t>
      </w:r>
      <w:r>
        <w:rPr>
          <w:rFonts w:hint="default" w:ascii="Times New Roman" w:hAnsi="Times New Roman" w:eastAsia="方正楷体_GBK" w:cs="Times New Roman"/>
          <w:kern w:val="0"/>
          <w:sz w:val="32"/>
          <w:szCs w:val="32"/>
          <w:highlight w:val="none"/>
        </w:rPr>
        <w:t>）</w:t>
      </w:r>
    </w:p>
    <w:p>
      <w:pPr>
        <w:snapToGrid w:val="0"/>
        <w:spacing w:line="300" w:lineRule="auto"/>
        <w:ind w:firstLine="640" w:firstLineChars="200"/>
        <w:rPr>
          <w:rFonts w:hint="default" w:ascii="Times New Roman" w:hAnsi="Times New Roman" w:eastAsia="方正楷体_GBK" w:cs="Times New Roman"/>
          <w:kern w:val="0"/>
          <w:sz w:val="32"/>
          <w:szCs w:val="32"/>
          <w:highlight w:val="none"/>
        </w:rPr>
      </w:pPr>
      <w:r>
        <w:rPr>
          <w:rFonts w:hint="default" w:ascii="Times New Roman" w:hAnsi="Times New Roman" w:eastAsia="方正仿宋_GBK" w:cs="Times New Roman"/>
          <w:kern w:val="0"/>
          <w:sz w:val="32"/>
          <w:szCs w:val="32"/>
          <w:highlight w:val="none"/>
        </w:rPr>
        <w:t>25</w:t>
      </w:r>
      <w:r>
        <w:rPr>
          <w:rFonts w:hint="eastAsia"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建设卫生健康执法监管服务平台。升级执法业务信息功能，实现执法业务全流程线上办理。推广全市联通的卫生健康非现场监管应用体系，在公共场所、生活饮用水、用人单位、学校等领域建立非现场监管应用场景，对公共卫生风险实现快速预警和处置。按照数字化执法统一应用标准，实现分级分类监管、信用监管等监管功能的数字化应用。拓展惠民便民服务途径，实现线上举报投诉、执法信息公示等执法服务功能</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楷体_GBK" w:cs="Times New Roman"/>
          <w:kern w:val="0"/>
          <w:sz w:val="32"/>
          <w:szCs w:val="32"/>
          <w:highlight w:val="none"/>
        </w:rPr>
        <w:t>（责任单位：区卫生健康委、区疾控局</w:t>
      </w:r>
      <w:r>
        <w:rPr>
          <w:rFonts w:hint="default" w:ascii="Times New Roman" w:hAnsi="Times New Roman" w:eastAsia="方正楷体_GBK" w:cs="Times New Roman"/>
          <w:kern w:val="0"/>
          <w:sz w:val="32"/>
          <w:szCs w:val="32"/>
          <w:highlight w:val="none"/>
          <w:lang w:eastAsia="zh-CN"/>
        </w:rPr>
        <w:t>，</w:t>
      </w:r>
      <w:r>
        <w:rPr>
          <w:rFonts w:hint="default" w:ascii="Times New Roman" w:hAnsi="Times New Roman" w:eastAsia="方正楷体_GBK" w:cs="Times New Roman"/>
          <w:kern w:val="0"/>
          <w:sz w:val="32"/>
          <w:szCs w:val="32"/>
          <w:highlight w:val="none"/>
          <w:lang w:val="en-US" w:eastAsia="zh-CN"/>
        </w:rPr>
        <w:t>各镇街</w:t>
      </w:r>
      <w:r>
        <w:rPr>
          <w:rFonts w:hint="default" w:ascii="Times New Roman" w:hAnsi="Times New Roman" w:eastAsia="方正楷体_GBK" w:cs="Times New Roman"/>
          <w:kern w:val="0"/>
          <w:sz w:val="32"/>
          <w:szCs w:val="32"/>
          <w:highlight w:val="none"/>
        </w:rPr>
        <w:t>）</w:t>
      </w:r>
    </w:p>
    <w:p>
      <w:pPr>
        <w:snapToGrid w:val="0"/>
        <w:spacing w:line="300" w:lineRule="auto"/>
        <w:ind w:firstLine="640" w:firstLineChars="200"/>
        <w:rPr>
          <w:rFonts w:hint="default" w:ascii="Times New Roman" w:hAnsi="Times New Roman" w:eastAsia="方正楷体_GBK" w:cs="Times New Roman"/>
          <w:kern w:val="0"/>
          <w:sz w:val="32"/>
          <w:szCs w:val="32"/>
          <w:highlight w:val="none"/>
        </w:rPr>
      </w:pPr>
      <w:r>
        <w:rPr>
          <w:rFonts w:hint="default" w:ascii="Times New Roman" w:hAnsi="Times New Roman" w:eastAsia="方正楷体_GBK" w:cs="Times New Roman"/>
          <w:kern w:val="0"/>
          <w:sz w:val="32"/>
          <w:szCs w:val="32"/>
          <w:highlight w:val="none"/>
        </w:rPr>
        <w:t>（七）实施重点人群健康关爱行动。</w:t>
      </w:r>
    </w:p>
    <w:p>
      <w:pPr>
        <w:snapToGrid w:val="0"/>
        <w:spacing w:line="300" w:lineRule="auto"/>
        <w:ind w:firstLine="640" w:firstLineChars="200"/>
        <w:rPr>
          <w:rFonts w:hint="default" w:ascii="Times New Roman" w:hAnsi="Times New Roman" w:eastAsia="方正楷体_GBK" w:cs="Times New Roman"/>
          <w:kern w:val="0"/>
          <w:sz w:val="32"/>
          <w:szCs w:val="32"/>
          <w:highlight w:val="none"/>
        </w:rPr>
      </w:pPr>
      <w:r>
        <w:rPr>
          <w:rFonts w:hint="default" w:ascii="Times New Roman" w:hAnsi="Times New Roman" w:eastAsia="方正仿宋_GBK" w:cs="Times New Roman"/>
          <w:kern w:val="0"/>
          <w:sz w:val="32"/>
          <w:szCs w:val="32"/>
          <w:highlight w:val="none"/>
        </w:rPr>
        <w:t>26</w:t>
      </w:r>
      <w:r>
        <w:rPr>
          <w:rFonts w:hint="eastAsia"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维护儿童青少年健康。聚焦传染病、脊柱侧弯、近视、肥胖、发育不良、情绪和行为问题等儿童青少年的主要健康问题，依托重庆市学校卫生综合监管等信息平台，完善学校疾病预防控制体系，深化医教协同，推进儿童入托入学查验预防接种证、晨午检、眼健康电子档案、心理健康档案、学校卫生监测等数据共享，形成监测—评估—干预闭环管理。持续实施初二年级在校女学生HPV疫苗接种项目。</w:t>
      </w:r>
      <w:r>
        <w:rPr>
          <w:rFonts w:hint="default" w:ascii="Times New Roman" w:hAnsi="Times New Roman" w:eastAsia="方正楷体_GBK" w:cs="Times New Roman"/>
          <w:kern w:val="0"/>
          <w:sz w:val="32"/>
          <w:szCs w:val="32"/>
          <w:highlight w:val="none"/>
        </w:rPr>
        <w:t>（责任单位：区教委、区卫生健康委、</w:t>
      </w:r>
      <w:r>
        <w:rPr>
          <w:rFonts w:hint="default" w:ascii="Times New Roman" w:hAnsi="Times New Roman" w:eastAsia="方正楷体_GBK" w:cs="Times New Roman"/>
          <w:kern w:val="0"/>
          <w:sz w:val="32"/>
          <w:szCs w:val="32"/>
          <w:highlight w:val="none"/>
          <w:lang w:val="en-US" w:eastAsia="zh-CN"/>
        </w:rPr>
        <w:t>永川高新区管委会</w:t>
      </w:r>
      <w:r>
        <w:rPr>
          <w:rFonts w:hint="default" w:ascii="Times New Roman" w:hAnsi="Times New Roman" w:eastAsia="方正楷体_GBK" w:cs="Times New Roman"/>
          <w:kern w:val="0"/>
          <w:sz w:val="32"/>
          <w:szCs w:val="32"/>
          <w:highlight w:val="none"/>
        </w:rPr>
        <w:t>、区疾控局</w:t>
      </w:r>
      <w:r>
        <w:rPr>
          <w:rFonts w:hint="default" w:ascii="Times New Roman" w:hAnsi="Times New Roman" w:eastAsia="方正楷体_GBK" w:cs="Times New Roman"/>
          <w:kern w:val="0"/>
          <w:sz w:val="32"/>
          <w:szCs w:val="32"/>
          <w:highlight w:val="none"/>
          <w:lang w:eastAsia="zh-CN"/>
        </w:rPr>
        <w:t>，</w:t>
      </w:r>
      <w:r>
        <w:rPr>
          <w:rFonts w:hint="default" w:ascii="Times New Roman" w:hAnsi="Times New Roman" w:eastAsia="方正楷体_GBK" w:cs="Times New Roman"/>
          <w:kern w:val="0"/>
          <w:sz w:val="32"/>
          <w:szCs w:val="32"/>
          <w:highlight w:val="none"/>
          <w:lang w:val="en-US" w:eastAsia="zh-CN"/>
        </w:rPr>
        <w:t>各镇街</w:t>
      </w:r>
      <w:r>
        <w:rPr>
          <w:rFonts w:hint="default" w:ascii="Times New Roman" w:hAnsi="Times New Roman" w:eastAsia="方正楷体_GBK" w:cs="Times New Roman"/>
          <w:kern w:val="0"/>
          <w:sz w:val="32"/>
          <w:szCs w:val="32"/>
          <w:highlight w:val="none"/>
        </w:rPr>
        <w:t>）</w:t>
      </w:r>
    </w:p>
    <w:p>
      <w:pPr>
        <w:snapToGrid w:val="0"/>
        <w:spacing w:line="300" w:lineRule="auto"/>
        <w:ind w:firstLine="640" w:firstLineChars="200"/>
        <w:rPr>
          <w:rFonts w:hint="default" w:ascii="Times New Roman" w:hAnsi="Times New Roman" w:eastAsia="方正楷体_GBK" w:cs="Times New Roman"/>
          <w:kern w:val="0"/>
          <w:sz w:val="32"/>
          <w:szCs w:val="32"/>
          <w:highlight w:val="none"/>
        </w:rPr>
      </w:pPr>
      <w:r>
        <w:rPr>
          <w:rFonts w:hint="default" w:ascii="Times New Roman" w:hAnsi="Times New Roman" w:eastAsia="方正仿宋_GBK" w:cs="Times New Roman"/>
          <w:kern w:val="0"/>
          <w:sz w:val="32"/>
          <w:szCs w:val="32"/>
          <w:highlight w:val="none"/>
        </w:rPr>
        <w:t>27</w:t>
      </w:r>
      <w:r>
        <w:rPr>
          <w:rFonts w:hint="eastAsia"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维护妇幼健康。实施母婴安全行动提升计划和儿童健康行动提升计划，建设覆盖婚前、孕前、孕期、新生儿和儿童各阶段的出生缺陷防治体系，逐步扩大筛查病种范围。实施消除艾滋病、梅毒和乙肝母婴传播行动和加速消除宫颈癌行动。到2025年，艾滋病母婴传播率下降至2%以下，乙肝母婴传播率下降至1%以下，适龄妇女宫颈癌筛查率超过70%，孕产妇死亡率持续保持</w:t>
      </w:r>
      <w:r>
        <w:rPr>
          <w:rFonts w:hint="eastAsia"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0死亡</w:t>
      </w:r>
      <w:r>
        <w:rPr>
          <w:rFonts w:hint="eastAsia"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状态，5岁以下儿童死亡率控制在</w:t>
      </w:r>
      <w:r>
        <w:rPr>
          <w:rFonts w:hint="eastAsia" w:eastAsia="方正仿宋_GBK" w:cs="Times New Roman"/>
          <w:kern w:val="0"/>
          <w:sz w:val="32"/>
          <w:szCs w:val="32"/>
          <w:highlight w:val="none"/>
          <w:lang w:val="en-US" w:eastAsia="zh-CN"/>
        </w:rPr>
        <w:t>3</w:t>
      </w:r>
      <w:r>
        <w:rPr>
          <w:rFonts w:hint="default" w:ascii="Times New Roman" w:hAnsi="Times New Roman" w:eastAsia="方正仿宋_GBK" w:cs="Times New Roman"/>
          <w:kern w:val="0"/>
          <w:sz w:val="32"/>
          <w:szCs w:val="32"/>
          <w:highlight w:val="none"/>
        </w:rPr>
        <w:t>‰以下，产前筛查率保持在80%以上。</w:t>
      </w:r>
      <w:r>
        <w:rPr>
          <w:rFonts w:hint="default" w:ascii="Times New Roman" w:hAnsi="Times New Roman" w:eastAsia="方正楷体_GBK" w:cs="Times New Roman"/>
          <w:kern w:val="0"/>
          <w:sz w:val="32"/>
          <w:szCs w:val="32"/>
          <w:highlight w:val="none"/>
        </w:rPr>
        <w:t>（责任单位：区教委、区公安局、区民政局、区卫生健康委、区妇联</w:t>
      </w:r>
      <w:r>
        <w:rPr>
          <w:rFonts w:hint="default" w:ascii="Times New Roman" w:hAnsi="Times New Roman" w:eastAsia="方正楷体_GBK" w:cs="Times New Roman"/>
          <w:kern w:val="0"/>
          <w:sz w:val="32"/>
          <w:szCs w:val="32"/>
          <w:highlight w:val="none"/>
          <w:lang w:eastAsia="zh-CN"/>
        </w:rPr>
        <w:t>，</w:t>
      </w:r>
      <w:r>
        <w:rPr>
          <w:rFonts w:hint="default" w:ascii="Times New Roman" w:hAnsi="Times New Roman" w:eastAsia="方正楷体_GBK" w:cs="Times New Roman"/>
          <w:kern w:val="0"/>
          <w:sz w:val="32"/>
          <w:szCs w:val="32"/>
          <w:highlight w:val="none"/>
          <w:lang w:val="en-US" w:eastAsia="zh-CN"/>
        </w:rPr>
        <w:t>各镇街</w:t>
      </w:r>
      <w:r>
        <w:rPr>
          <w:rFonts w:hint="default" w:ascii="Times New Roman" w:hAnsi="Times New Roman" w:eastAsia="方正楷体_GBK" w:cs="Times New Roman"/>
          <w:kern w:val="0"/>
          <w:sz w:val="32"/>
          <w:szCs w:val="32"/>
          <w:highlight w:val="none"/>
        </w:rPr>
        <w:t>）</w:t>
      </w:r>
    </w:p>
    <w:p>
      <w:pPr>
        <w:snapToGrid w:val="0"/>
        <w:spacing w:line="300" w:lineRule="auto"/>
        <w:ind w:firstLine="640" w:firstLineChars="200"/>
        <w:rPr>
          <w:rFonts w:hint="default" w:ascii="Times New Roman" w:hAnsi="Times New Roman" w:eastAsia="方正楷体_GBK" w:cs="Times New Roman"/>
          <w:kern w:val="0"/>
          <w:sz w:val="32"/>
          <w:szCs w:val="32"/>
          <w:highlight w:val="none"/>
        </w:rPr>
      </w:pPr>
      <w:r>
        <w:rPr>
          <w:rFonts w:hint="default" w:ascii="Times New Roman" w:hAnsi="Times New Roman" w:eastAsia="方正仿宋_GBK" w:cs="Times New Roman"/>
          <w:kern w:val="0"/>
          <w:sz w:val="32"/>
          <w:szCs w:val="32"/>
          <w:highlight w:val="none"/>
        </w:rPr>
        <w:t>28</w:t>
      </w:r>
      <w:r>
        <w:rPr>
          <w:rFonts w:hint="eastAsia"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实施重点慢性病综合防控。以家庭医生签约服务为抓手，以高血压、糖尿病为切入点，加强重大慢性病健康管理。推进心血管疾病、脑卒中、肿瘤、慢性呼吸系统疾病、糖尿病、口腔疾病、严重精神障碍等7个重大慢性病防治中心建设。持续巩固</w:t>
      </w:r>
      <w:r>
        <w:rPr>
          <w:rFonts w:hint="eastAsia" w:eastAsia="方正仿宋_GBK" w:cs="Times New Roman"/>
          <w:kern w:val="0"/>
          <w:sz w:val="32"/>
          <w:szCs w:val="32"/>
          <w:highlight w:val="none"/>
          <w:lang w:val="en-US" w:eastAsia="zh-CN"/>
        </w:rPr>
        <w:t>国家级</w:t>
      </w:r>
      <w:r>
        <w:rPr>
          <w:rFonts w:hint="default" w:ascii="Times New Roman" w:hAnsi="Times New Roman" w:eastAsia="方正仿宋_GBK" w:cs="Times New Roman"/>
          <w:kern w:val="0"/>
          <w:sz w:val="32"/>
          <w:szCs w:val="32"/>
          <w:highlight w:val="none"/>
        </w:rPr>
        <w:t>慢性病综合防控示范区建设成果，加强慢性病综合监测和干预。积极探索利用可穿戴式设备和信息平台，对慢性病患者提供</w:t>
      </w:r>
      <w:r>
        <w:rPr>
          <w:rFonts w:hint="eastAsia"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病前主动防、病后科学管、跟踪服务不间断</w:t>
      </w:r>
      <w:r>
        <w:rPr>
          <w:rFonts w:hint="eastAsia"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的动态监测、在线咨询、健康教育等全程健康服务。到2025年，争创市级重大慢性病防治中心1个，</w:t>
      </w:r>
      <w:r>
        <w:rPr>
          <w:rFonts w:hint="default" w:ascii="Times New Roman" w:hAnsi="Times New Roman" w:eastAsia="方正仿宋_GBK" w:cs="Times New Roman"/>
          <w:color w:val="auto"/>
          <w:kern w:val="0"/>
          <w:sz w:val="32"/>
          <w:szCs w:val="32"/>
          <w:highlight w:val="none"/>
        </w:rPr>
        <w:t>主要慢性病早死概率维持</w:t>
      </w:r>
      <w:r>
        <w:rPr>
          <w:rFonts w:hint="default" w:ascii="Times New Roman" w:hAnsi="Times New Roman" w:eastAsia="方正仿宋_GBK" w:cs="Times New Roman"/>
          <w:color w:val="auto"/>
          <w:kern w:val="0"/>
          <w:sz w:val="32"/>
          <w:szCs w:val="32"/>
          <w:highlight w:val="none"/>
          <w:u w:val="none"/>
        </w:rPr>
        <w:t>在13%</w:t>
      </w:r>
      <w:r>
        <w:rPr>
          <w:rFonts w:hint="default" w:ascii="Times New Roman" w:hAnsi="Times New Roman" w:eastAsia="方正仿宋_GBK" w:cs="Times New Roman"/>
          <w:color w:val="auto"/>
          <w:kern w:val="0"/>
          <w:sz w:val="32"/>
          <w:szCs w:val="32"/>
          <w:highlight w:val="none"/>
        </w:rPr>
        <w:t>以下。</w:t>
      </w:r>
      <w:r>
        <w:rPr>
          <w:rFonts w:hint="default" w:ascii="Times New Roman" w:hAnsi="Times New Roman" w:eastAsia="方正楷体_GBK" w:cs="Times New Roman"/>
          <w:kern w:val="0"/>
          <w:sz w:val="32"/>
          <w:szCs w:val="32"/>
          <w:highlight w:val="none"/>
        </w:rPr>
        <w:t>（责任单位：区教委、区民政局、区生态环境局、区卫生健康委、</w:t>
      </w:r>
      <w:r>
        <w:rPr>
          <w:rFonts w:hint="eastAsia" w:eastAsia="方正楷体_GBK" w:cs="Times New Roman"/>
          <w:kern w:val="0"/>
          <w:sz w:val="32"/>
          <w:szCs w:val="32"/>
          <w:highlight w:val="none"/>
          <w:lang w:eastAsia="zh-CN"/>
        </w:rPr>
        <w:t>区文化旅游委</w:t>
      </w:r>
      <w:r>
        <w:rPr>
          <w:rFonts w:hint="default" w:ascii="Times New Roman" w:hAnsi="Times New Roman" w:eastAsia="方正楷体_GBK" w:cs="Times New Roman"/>
          <w:kern w:val="0"/>
          <w:sz w:val="32"/>
          <w:szCs w:val="32"/>
          <w:highlight w:val="none"/>
        </w:rPr>
        <w:t>、区医保局、区疾控局</w:t>
      </w:r>
      <w:r>
        <w:rPr>
          <w:rFonts w:hint="default" w:ascii="Times New Roman" w:hAnsi="Times New Roman" w:eastAsia="方正楷体_GBK" w:cs="Times New Roman"/>
          <w:kern w:val="0"/>
          <w:sz w:val="32"/>
          <w:szCs w:val="32"/>
          <w:highlight w:val="none"/>
          <w:lang w:eastAsia="zh-CN"/>
        </w:rPr>
        <w:t>，</w:t>
      </w:r>
      <w:r>
        <w:rPr>
          <w:rFonts w:hint="default" w:ascii="Times New Roman" w:hAnsi="Times New Roman" w:eastAsia="方正楷体_GBK" w:cs="Times New Roman"/>
          <w:kern w:val="0"/>
          <w:sz w:val="32"/>
          <w:szCs w:val="32"/>
          <w:highlight w:val="none"/>
          <w:lang w:val="en-US" w:eastAsia="zh-CN"/>
        </w:rPr>
        <w:t>各镇街</w:t>
      </w:r>
      <w:r>
        <w:rPr>
          <w:rFonts w:hint="default" w:ascii="Times New Roman" w:hAnsi="Times New Roman" w:eastAsia="方正楷体_GBK" w:cs="Times New Roman"/>
          <w:kern w:val="0"/>
          <w:sz w:val="32"/>
          <w:szCs w:val="32"/>
          <w:highlight w:val="none"/>
        </w:rPr>
        <w:t>）</w:t>
      </w:r>
    </w:p>
    <w:p>
      <w:pPr>
        <w:snapToGrid w:val="0"/>
        <w:spacing w:line="300" w:lineRule="auto"/>
        <w:ind w:firstLine="640" w:firstLineChars="200"/>
        <w:rPr>
          <w:rFonts w:hint="default" w:ascii="Times New Roman" w:hAnsi="Times New Roman" w:eastAsia="方正楷体_GBK" w:cs="Times New Roman"/>
          <w:kern w:val="0"/>
          <w:sz w:val="32"/>
          <w:szCs w:val="32"/>
          <w:highlight w:val="none"/>
        </w:rPr>
      </w:pPr>
      <w:r>
        <w:rPr>
          <w:rFonts w:hint="default" w:ascii="Times New Roman" w:hAnsi="Times New Roman" w:eastAsia="方正仿宋_GBK" w:cs="Times New Roman"/>
          <w:kern w:val="0"/>
          <w:sz w:val="32"/>
          <w:szCs w:val="32"/>
          <w:highlight w:val="none"/>
        </w:rPr>
        <w:t>29</w:t>
      </w:r>
      <w:r>
        <w:rPr>
          <w:rFonts w:hint="eastAsia"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实施艾滋病精准综合防治。推进扩大检测、扩大治疗策略，将老年人群艾滋病检测纳入基本公共卫生服务。落实艾滋病防治质量年（2023</w:t>
      </w:r>
      <w:r>
        <w:rPr>
          <w:rFonts w:hint="eastAsia"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2025年）有关措施，持续推进艾滋病防治宣传教育、综合干预、检测筛查、治疗关怀、母婴阻断工作。到2025年，全人群艾滋病检测覆盖率</w:t>
      </w:r>
      <w:r>
        <w:rPr>
          <w:rFonts w:hint="eastAsia" w:eastAsia="方正仿宋_GBK" w:cs="Times New Roman"/>
          <w:kern w:val="0"/>
          <w:sz w:val="32"/>
          <w:szCs w:val="32"/>
          <w:highlight w:val="none"/>
          <w:lang w:val="en-US" w:eastAsia="zh-CN"/>
        </w:rPr>
        <w:t>维持在</w:t>
      </w:r>
      <w:r>
        <w:rPr>
          <w:rFonts w:hint="default" w:ascii="Times New Roman" w:hAnsi="Times New Roman" w:eastAsia="方正仿宋_GBK" w:cs="Times New Roman"/>
          <w:kern w:val="0"/>
          <w:sz w:val="32"/>
          <w:szCs w:val="32"/>
          <w:highlight w:val="none"/>
          <w:lang w:val="en-US" w:eastAsia="zh-CN"/>
        </w:rPr>
        <w:t>52%</w:t>
      </w:r>
      <w:r>
        <w:rPr>
          <w:rFonts w:hint="eastAsia" w:eastAsia="方正仿宋_GBK" w:cs="Times New Roman"/>
          <w:kern w:val="0"/>
          <w:sz w:val="32"/>
          <w:szCs w:val="32"/>
          <w:highlight w:val="none"/>
          <w:lang w:val="en-US" w:eastAsia="zh-CN"/>
        </w:rPr>
        <w:t>以上</w:t>
      </w:r>
      <w:r>
        <w:rPr>
          <w:rFonts w:hint="default" w:ascii="Times New Roman" w:hAnsi="Times New Roman" w:eastAsia="方正仿宋_GBK" w:cs="Times New Roman"/>
          <w:kern w:val="0"/>
          <w:sz w:val="32"/>
          <w:szCs w:val="32"/>
          <w:highlight w:val="none"/>
        </w:rPr>
        <w:t>，艾滋病检测发现比例达到90%，抗病毒治疗比例达到95%，在治病人病毒载量抑制比例达到95%，将艾滋病传播控制在低流行态势。（</w:t>
      </w:r>
      <w:r>
        <w:rPr>
          <w:rFonts w:hint="default" w:ascii="Times New Roman" w:hAnsi="Times New Roman" w:eastAsia="方正楷体_GBK" w:cs="Times New Roman"/>
          <w:kern w:val="0"/>
          <w:sz w:val="32"/>
          <w:szCs w:val="32"/>
          <w:highlight w:val="none"/>
        </w:rPr>
        <w:t>责任单位：区教委、区公安局、区民政局、区卫生健康委、团区委、区妇联、区疾控局</w:t>
      </w:r>
      <w:r>
        <w:rPr>
          <w:rFonts w:hint="default" w:ascii="Times New Roman" w:hAnsi="Times New Roman" w:eastAsia="方正楷体_GBK" w:cs="Times New Roman"/>
          <w:kern w:val="0"/>
          <w:sz w:val="32"/>
          <w:szCs w:val="32"/>
          <w:highlight w:val="none"/>
          <w:lang w:eastAsia="zh-CN"/>
        </w:rPr>
        <w:t>，</w:t>
      </w:r>
      <w:r>
        <w:rPr>
          <w:rFonts w:hint="default" w:ascii="Times New Roman" w:hAnsi="Times New Roman" w:eastAsia="方正楷体_GBK" w:cs="Times New Roman"/>
          <w:kern w:val="0"/>
          <w:sz w:val="32"/>
          <w:szCs w:val="32"/>
          <w:highlight w:val="none"/>
          <w:lang w:val="en-US" w:eastAsia="zh-CN"/>
        </w:rPr>
        <w:t>各镇街</w:t>
      </w:r>
      <w:r>
        <w:rPr>
          <w:rFonts w:hint="default" w:ascii="Times New Roman" w:hAnsi="Times New Roman" w:eastAsia="方正楷体_GBK" w:cs="Times New Roman"/>
          <w:kern w:val="0"/>
          <w:sz w:val="32"/>
          <w:szCs w:val="32"/>
          <w:highlight w:val="none"/>
        </w:rPr>
        <w:t>）</w:t>
      </w:r>
    </w:p>
    <w:p>
      <w:pPr>
        <w:snapToGrid w:val="0"/>
        <w:spacing w:line="300" w:lineRule="auto"/>
        <w:ind w:firstLine="640" w:firstLineChars="200"/>
        <w:rPr>
          <w:rFonts w:hint="default" w:ascii="Times New Roman" w:hAnsi="Times New Roman" w:eastAsia="方正楷体_GBK" w:cs="Times New Roman"/>
          <w:kern w:val="0"/>
          <w:sz w:val="32"/>
          <w:szCs w:val="32"/>
          <w:highlight w:val="none"/>
        </w:rPr>
      </w:pPr>
      <w:r>
        <w:rPr>
          <w:rFonts w:hint="default" w:ascii="Times New Roman" w:hAnsi="Times New Roman" w:eastAsia="方正仿宋_GBK" w:cs="Times New Roman"/>
          <w:kern w:val="0"/>
          <w:sz w:val="32"/>
          <w:szCs w:val="32"/>
          <w:highlight w:val="none"/>
        </w:rPr>
        <w:t>30</w:t>
      </w:r>
      <w:r>
        <w:rPr>
          <w:rFonts w:hint="eastAsia"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实施</w:t>
      </w:r>
      <w:r>
        <w:rPr>
          <w:rFonts w:hint="eastAsia"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终结结核流行</w:t>
      </w:r>
      <w:r>
        <w:rPr>
          <w:rFonts w:hint="eastAsia"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行动。</w:t>
      </w:r>
      <w:r>
        <w:rPr>
          <w:rFonts w:hint="default" w:ascii="Times New Roman" w:hAnsi="Times New Roman" w:eastAsia="方正仿宋_GBK" w:cs="Times New Roman"/>
          <w:color w:val="auto"/>
          <w:kern w:val="0"/>
          <w:sz w:val="32"/>
          <w:szCs w:val="32"/>
          <w:highlight w:val="none"/>
        </w:rPr>
        <w:t>启动</w:t>
      </w:r>
      <w:r>
        <w:rPr>
          <w:rFonts w:hint="eastAsia"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无结核校园</w:t>
      </w:r>
      <w:r>
        <w:rPr>
          <w:rFonts w:hint="eastAsia"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无结核社区</w:t>
      </w:r>
      <w:r>
        <w:rPr>
          <w:rFonts w:hint="eastAsia"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无结核区县</w:t>
      </w:r>
      <w:r>
        <w:rPr>
          <w:rFonts w:hint="eastAsia"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创建。对65岁以上老年人和活动性肺结核患者密切接触者，</w:t>
      </w:r>
      <w:r>
        <w:rPr>
          <w:rFonts w:hint="default" w:ascii="Times New Roman" w:hAnsi="Times New Roman" w:eastAsia="方正仿宋_GBK" w:cs="Times New Roman"/>
          <w:kern w:val="0"/>
          <w:sz w:val="32"/>
          <w:szCs w:val="32"/>
          <w:highlight w:val="none"/>
        </w:rPr>
        <w:t>同时开展症状筛查和</w:t>
      </w:r>
      <w:r>
        <w:rPr>
          <w:rFonts w:hint="eastAsia" w:eastAsia="方正仿宋_GBK" w:cs="Times New Roman"/>
          <w:kern w:val="0"/>
          <w:sz w:val="32"/>
          <w:szCs w:val="32"/>
          <w:highlight w:val="none"/>
          <w:lang w:eastAsia="zh-CN"/>
        </w:rPr>
        <w:t>X光胸片检查</w:t>
      </w:r>
      <w:r>
        <w:rPr>
          <w:rFonts w:hint="default" w:ascii="Times New Roman" w:hAnsi="Times New Roman" w:eastAsia="方正仿宋_GBK" w:cs="Times New Roman"/>
          <w:kern w:val="0"/>
          <w:sz w:val="32"/>
          <w:szCs w:val="32"/>
          <w:highlight w:val="none"/>
        </w:rPr>
        <w:t>。积极推广对活动期肺结核患者实施住院隔离治疗的防控模式。依托医疗机构建设区级重大慢性传染病防治中心。到2025年，65岁以上老年人结核病筛查率和高二学生结核病检查率分别超过70%、90%，结核病发病率下降到</w:t>
      </w:r>
      <w:r>
        <w:rPr>
          <w:rFonts w:hint="default" w:ascii="Times New Roman" w:hAnsi="Times New Roman" w:eastAsia="方正仿宋_GBK" w:cs="Times New Roman"/>
          <w:color w:val="auto"/>
          <w:kern w:val="0"/>
          <w:sz w:val="32"/>
          <w:szCs w:val="32"/>
          <w:highlight w:val="none"/>
        </w:rPr>
        <w:t>30</w:t>
      </w:r>
      <w:r>
        <w:rPr>
          <w:rFonts w:hint="eastAsia" w:eastAsia="方正仿宋_GBK" w:cs="Times New Roman"/>
          <w:color w:val="auto"/>
          <w:kern w:val="0"/>
          <w:sz w:val="32"/>
          <w:szCs w:val="32"/>
          <w:highlight w:val="none"/>
          <w:lang w:val="en-US" w:eastAsia="zh-CN"/>
        </w:rPr>
        <w:t>人</w:t>
      </w:r>
      <w:r>
        <w:rPr>
          <w:rFonts w:hint="default" w:ascii="Times New Roman" w:hAnsi="Times New Roman" w:eastAsia="方正仿宋_GBK" w:cs="Times New Roman"/>
          <w:color w:val="auto"/>
          <w:kern w:val="0"/>
          <w:sz w:val="32"/>
          <w:szCs w:val="32"/>
          <w:highlight w:val="none"/>
        </w:rPr>
        <w:t>/10</w:t>
      </w:r>
      <w:r>
        <w:rPr>
          <w:rFonts w:hint="default" w:ascii="Times New Roman" w:hAnsi="Times New Roman" w:eastAsia="方正仿宋_GBK" w:cs="Times New Roman"/>
          <w:kern w:val="0"/>
          <w:sz w:val="32"/>
          <w:szCs w:val="32"/>
          <w:highlight w:val="none"/>
        </w:rPr>
        <w:t>万人以下。</w:t>
      </w:r>
      <w:r>
        <w:rPr>
          <w:rFonts w:hint="default" w:ascii="Times New Roman" w:hAnsi="Times New Roman" w:eastAsia="方正楷体_GBK" w:cs="Times New Roman"/>
          <w:kern w:val="0"/>
          <w:sz w:val="32"/>
          <w:szCs w:val="32"/>
          <w:highlight w:val="none"/>
        </w:rPr>
        <w:t>（责任单位：区教委、区民政局、区卫生健康委、</w:t>
      </w:r>
      <w:r>
        <w:rPr>
          <w:rFonts w:hint="default" w:ascii="Times New Roman" w:hAnsi="Times New Roman" w:eastAsia="方正楷体_GBK" w:cs="Times New Roman"/>
          <w:kern w:val="0"/>
          <w:sz w:val="32"/>
          <w:szCs w:val="32"/>
          <w:highlight w:val="none"/>
          <w:lang w:val="en-US" w:eastAsia="zh-CN"/>
        </w:rPr>
        <w:t>永川高新区管委会</w:t>
      </w:r>
      <w:r>
        <w:rPr>
          <w:rFonts w:hint="default" w:ascii="Times New Roman" w:hAnsi="Times New Roman" w:eastAsia="方正楷体_GBK" w:cs="Times New Roman"/>
          <w:kern w:val="0"/>
          <w:sz w:val="32"/>
          <w:szCs w:val="32"/>
          <w:highlight w:val="none"/>
        </w:rPr>
        <w:t>、团区委、区妇联、区疾控局</w:t>
      </w:r>
      <w:r>
        <w:rPr>
          <w:rFonts w:hint="default" w:ascii="Times New Roman" w:hAnsi="Times New Roman" w:eastAsia="方正楷体_GBK" w:cs="Times New Roman"/>
          <w:kern w:val="0"/>
          <w:sz w:val="32"/>
          <w:szCs w:val="32"/>
          <w:highlight w:val="none"/>
          <w:lang w:eastAsia="zh-CN"/>
        </w:rPr>
        <w:t>，</w:t>
      </w:r>
      <w:r>
        <w:rPr>
          <w:rFonts w:hint="default" w:ascii="Times New Roman" w:hAnsi="Times New Roman" w:eastAsia="方正楷体_GBK" w:cs="Times New Roman"/>
          <w:kern w:val="0"/>
          <w:sz w:val="32"/>
          <w:szCs w:val="32"/>
          <w:highlight w:val="none"/>
          <w:lang w:val="en-US" w:eastAsia="zh-CN"/>
        </w:rPr>
        <w:t>各镇街</w:t>
      </w:r>
      <w:r>
        <w:rPr>
          <w:rFonts w:hint="default" w:ascii="Times New Roman" w:hAnsi="Times New Roman" w:eastAsia="方正楷体_GBK" w:cs="Times New Roman"/>
          <w:kern w:val="0"/>
          <w:sz w:val="32"/>
          <w:szCs w:val="32"/>
          <w:highlight w:val="none"/>
        </w:rPr>
        <w:t>）</w:t>
      </w:r>
    </w:p>
    <w:p>
      <w:pPr>
        <w:snapToGrid w:val="0"/>
        <w:spacing w:line="300" w:lineRule="auto"/>
        <w:ind w:firstLine="640" w:firstLineChars="200"/>
        <w:rPr>
          <w:rFonts w:hint="default" w:ascii="Times New Roman" w:hAnsi="Times New Roman" w:eastAsia="方正楷体_GBK" w:cs="Times New Roman"/>
          <w:kern w:val="0"/>
          <w:sz w:val="32"/>
          <w:szCs w:val="32"/>
          <w:highlight w:val="none"/>
        </w:rPr>
      </w:pPr>
      <w:r>
        <w:rPr>
          <w:rFonts w:hint="default" w:ascii="Times New Roman" w:hAnsi="Times New Roman" w:eastAsia="方正仿宋_GBK" w:cs="Times New Roman"/>
          <w:kern w:val="0"/>
          <w:sz w:val="32"/>
          <w:szCs w:val="32"/>
          <w:highlight w:val="none"/>
        </w:rPr>
        <w:t>31</w:t>
      </w:r>
      <w:r>
        <w:rPr>
          <w:rFonts w:hint="eastAsia"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维护心理健康。</w:t>
      </w:r>
      <w:r>
        <w:rPr>
          <w:rFonts w:hint="default" w:ascii="Times New Roman" w:hAnsi="Times New Roman" w:eastAsia="方正仿宋_GBK" w:cs="Times New Roman"/>
          <w:kern w:val="0"/>
          <w:sz w:val="32"/>
          <w:szCs w:val="32"/>
          <w:highlight w:val="none"/>
          <w:lang w:val="en-US" w:eastAsia="zh-CN"/>
        </w:rPr>
        <w:t>强化社会心理服务体系建设，完善心理健康服务热线运行机制，为居民提供7×24小时心理热线咨询服务，广泛开展心理健康科普宣教活动。</w:t>
      </w:r>
      <w:r>
        <w:rPr>
          <w:rFonts w:hint="default" w:ascii="Times New Roman" w:hAnsi="Times New Roman" w:eastAsia="方正仿宋_GBK" w:cs="Times New Roman"/>
          <w:kern w:val="0"/>
          <w:sz w:val="32"/>
          <w:szCs w:val="32"/>
          <w:highlight w:val="none"/>
        </w:rPr>
        <w:t>对所有在册严重精神障碍患者全面实施动态分色分级管理，对所有在册严重精神障碍患者全面推行免费服用第二代抗精神病药物。到2025年，100%的高等院校和</w:t>
      </w:r>
      <w:r>
        <w:rPr>
          <w:rFonts w:hint="default" w:ascii="Times New Roman" w:hAnsi="Times New Roman" w:eastAsia="方正仿宋_GBK" w:cs="Times New Roman"/>
          <w:kern w:val="0"/>
          <w:sz w:val="32"/>
          <w:szCs w:val="32"/>
          <w:highlight w:val="none"/>
          <w:lang w:val="en-US" w:eastAsia="zh-CN"/>
        </w:rPr>
        <w:t>100</w:t>
      </w:r>
      <w:r>
        <w:rPr>
          <w:rFonts w:hint="default" w:ascii="Times New Roman" w:hAnsi="Times New Roman" w:eastAsia="方正仿宋_GBK" w:cs="Times New Roman"/>
          <w:kern w:val="0"/>
          <w:sz w:val="32"/>
          <w:szCs w:val="32"/>
          <w:highlight w:val="none"/>
        </w:rPr>
        <w:t>%的中小学设立心理健康咨询中心（心理辅导室），60%的机关、大型企事业单位为员工建立心理健康档案，居民心理健康素养水平超过40%，全区在册严重精神障碍患者规律服药率超过85%。</w:t>
      </w:r>
      <w:r>
        <w:rPr>
          <w:rFonts w:hint="default" w:ascii="Times New Roman" w:hAnsi="Times New Roman" w:eastAsia="方正楷体_GBK" w:cs="Times New Roman"/>
          <w:kern w:val="0"/>
          <w:sz w:val="32"/>
          <w:szCs w:val="32"/>
          <w:highlight w:val="none"/>
        </w:rPr>
        <w:t>（责任单位：区委政法委</w:t>
      </w:r>
      <w:r>
        <w:rPr>
          <w:rFonts w:hint="default" w:ascii="Times New Roman" w:hAnsi="Times New Roman" w:eastAsia="方正楷体_GBK" w:cs="Times New Roman"/>
          <w:kern w:val="0"/>
          <w:sz w:val="32"/>
          <w:szCs w:val="32"/>
          <w:highlight w:val="none"/>
          <w:lang w:eastAsia="zh-CN"/>
        </w:rPr>
        <w:t>、</w:t>
      </w:r>
      <w:r>
        <w:rPr>
          <w:rFonts w:hint="default" w:ascii="Times New Roman" w:hAnsi="Times New Roman" w:eastAsia="方正楷体_GBK" w:cs="Times New Roman"/>
          <w:kern w:val="0"/>
          <w:sz w:val="32"/>
          <w:szCs w:val="32"/>
          <w:highlight w:val="none"/>
        </w:rPr>
        <w:t>区教委、区公安局、区民政局、区卫生健康委、</w:t>
      </w:r>
      <w:r>
        <w:rPr>
          <w:rFonts w:hint="default" w:ascii="Times New Roman" w:hAnsi="Times New Roman" w:eastAsia="方正楷体_GBK" w:cs="Times New Roman"/>
          <w:kern w:val="0"/>
          <w:sz w:val="32"/>
          <w:szCs w:val="32"/>
          <w:highlight w:val="none"/>
          <w:lang w:val="en-US" w:eastAsia="zh-CN"/>
        </w:rPr>
        <w:t>永川高新区管委会</w:t>
      </w:r>
      <w:r>
        <w:rPr>
          <w:rFonts w:hint="default" w:ascii="Times New Roman" w:hAnsi="Times New Roman" w:eastAsia="方正楷体_GBK" w:cs="Times New Roman"/>
          <w:kern w:val="0"/>
          <w:sz w:val="32"/>
          <w:szCs w:val="32"/>
          <w:highlight w:val="none"/>
        </w:rPr>
        <w:t>、区妇联、区疾控局</w:t>
      </w:r>
      <w:r>
        <w:rPr>
          <w:rFonts w:hint="default" w:ascii="Times New Roman" w:hAnsi="Times New Roman" w:eastAsia="方正楷体_GBK" w:cs="Times New Roman"/>
          <w:kern w:val="0"/>
          <w:sz w:val="32"/>
          <w:szCs w:val="32"/>
          <w:highlight w:val="none"/>
          <w:lang w:eastAsia="zh-CN"/>
        </w:rPr>
        <w:t>，</w:t>
      </w:r>
      <w:r>
        <w:rPr>
          <w:rFonts w:hint="default" w:ascii="Times New Roman" w:hAnsi="Times New Roman" w:eastAsia="方正楷体_GBK" w:cs="Times New Roman"/>
          <w:kern w:val="0"/>
          <w:sz w:val="32"/>
          <w:szCs w:val="32"/>
          <w:highlight w:val="none"/>
          <w:lang w:val="en-US" w:eastAsia="zh-CN"/>
        </w:rPr>
        <w:t>各镇街</w:t>
      </w:r>
      <w:r>
        <w:rPr>
          <w:rFonts w:hint="default" w:ascii="Times New Roman" w:hAnsi="Times New Roman" w:eastAsia="方正楷体_GBK" w:cs="Times New Roman"/>
          <w:kern w:val="0"/>
          <w:sz w:val="32"/>
          <w:szCs w:val="32"/>
          <w:highlight w:val="none"/>
        </w:rPr>
        <w:t>）</w:t>
      </w:r>
    </w:p>
    <w:p>
      <w:pPr>
        <w:snapToGrid w:val="0"/>
        <w:spacing w:line="300" w:lineRule="auto"/>
        <w:ind w:firstLine="640" w:firstLineChars="200"/>
        <w:rPr>
          <w:rFonts w:hint="default" w:ascii="Times New Roman" w:hAnsi="Times New Roman" w:eastAsia="方正楷体_GBK" w:cs="Times New Roman"/>
          <w:kern w:val="0"/>
          <w:sz w:val="32"/>
          <w:szCs w:val="32"/>
          <w:highlight w:val="none"/>
        </w:rPr>
      </w:pPr>
      <w:r>
        <w:rPr>
          <w:rFonts w:hint="default" w:ascii="Times New Roman" w:hAnsi="Times New Roman" w:eastAsia="方正仿宋_GBK" w:cs="Times New Roman"/>
          <w:kern w:val="0"/>
          <w:sz w:val="32"/>
          <w:szCs w:val="32"/>
          <w:highlight w:val="none"/>
        </w:rPr>
        <w:t>32</w:t>
      </w:r>
      <w:r>
        <w:rPr>
          <w:rFonts w:hint="eastAsia"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加强职业病防治。巩固尘肺病防治攻坚行动成果，持续推进职业危害治理，强化对职业病及危害因素的监测预警。</w:t>
      </w:r>
      <w:r>
        <w:rPr>
          <w:rFonts w:hint="default" w:ascii="Times New Roman" w:hAnsi="Times New Roman" w:eastAsia="方正仿宋_GBK" w:cs="Times New Roman"/>
          <w:kern w:val="0"/>
          <w:sz w:val="32"/>
          <w:szCs w:val="32"/>
          <w:highlight w:val="none"/>
          <w:lang w:val="en-US" w:eastAsia="zh-CN"/>
        </w:rPr>
        <w:t>区疾控中心</w:t>
      </w:r>
      <w:r>
        <w:rPr>
          <w:rFonts w:hint="default" w:ascii="Times New Roman" w:hAnsi="Times New Roman" w:eastAsia="方正仿宋_GBK" w:cs="Times New Roman"/>
          <w:kern w:val="0"/>
          <w:sz w:val="32"/>
          <w:szCs w:val="32"/>
          <w:highlight w:val="none"/>
        </w:rPr>
        <w:t>加强职业病危害工程防护技术指导工作。区</w:t>
      </w:r>
      <w:r>
        <w:rPr>
          <w:rFonts w:hint="default" w:ascii="Times New Roman" w:hAnsi="Times New Roman" w:eastAsia="方正仿宋_GBK" w:cs="Times New Roman"/>
          <w:kern w:val="0"/>
          <w:sz w:val="32"/>
          <w:szCs w:val="32"/>
          <w:highlight w:val="none"/>
          <w:lang w:val="en-US" w:eastAsia="zh-CN"/>
        </w:rPr>
        <w:t>人民医院、区中医院和区疾控中心3家公立医疗卫生机构</w:t>
      </w:r>
      <w:r>
        <w:rPr>
          <w:rFonts w:hint="default" w:ascii="Times New Roman" w:hAnsi="Times New Roman" w:eastAsia="方正仿宋_GBK" w:cs="Times New Roman"/>
          <w:kern w:val="0"/>
          <w:sz w:val="32"/>
          <w:szCs w:val="32"/>
          <w:highlight w:val="none"/>
        </w:rPr>
        <w:t>承担职业健康检查工作。全面开展企业职业健康管家服务。加强区疾控中心职业卫生监测评价能力建设。</w:t>
      </w:r>
      <w:r>
        <w:rPr>
          <w:rFonts w:hint="default" w:ascii="Times New Roman" w:hAnsi="Times New Roman" w:eastAsia="方正楷体_GBK" w:cs="Times New Roman"/>
          <w:kern w:val="0"/>
          <w:sz w:val="32"/>
          <w:szCs w:val="32"/>
          <w:highlight w:val="none"/>
        </w:rPr>
        <w:t>（责任单位：区卫生健康委、区疾控局</w:t>
      </w:r>
      <w:r>
        <w:rPr>
          <w:rFonts w:hint="default" w:ascii="Times New Roman" w:hAnsi="Times New Roman" w:eastAsia="方正楷体_GBK" w:cs="Times New Roman"/>
          <w:kern w:val="0"/>
          <w:sz w:val="32"/>
          <w:szCs w:val="32"/>
          <w:highlight w:val="none"/>
          <w:lang w:eastAsia="zh-CN"/>
        </w:rPr>
        <w:t>，</w:t>
      </w:r>
      <w:r>
        <w:rPr>
          <w:rFonts w:hint="default" w:ascii="Times New Roman" w:hAnsi="Times New Roman" w:eastAsia="方正楷体_GBK" w:cs="Times New Roman"/>
          <w:kern w:val="0"/>
          <w:sz w:val="32"/>
          <w:szCs w:val="32"/>
          <w:highlight w:val="none"/>
          <w:lang w:val="en-US" w:eastAsia="zh-CN"/>
        </w:rPr>
        <w:t>各镇街</w:t>
      </w:r>
      <w:r>
        <w:rPr>
          <w:rFonts w:hint="default" w:ascii="Times New Roman" w:hAnsi="Times New Roman" w:eastAsia="方正楷体_GBK" w:cs="Times New Roman"/>
          <w:kern w:val="0"/>
          <w:sz w:val="32"/>
          <w:szCs w:val="32"/>
          <w:highlight w:val="none"/>
        </w:rPr>
        <w:t>）</w:t>
      </w:r>
    </w:p>
    <w:p>
      <w:pPr>
        <w:snapToGrid w:val="0"/>
        <w:spacing w:line="300" w:lineRule="auto"/>
        <w:ind w:firstLine="640" w:firstLineChars="200"/>
        <w:rPr>
          <w:rFonts w:hint="default" w:ascii="Times New Roman" w:hAnsi="Times New Roman" w:eastAsia="方正楷体_GBK" w:cs="Times New Roman"/>
          <w:kern w:val="0"/>
          <w:sz w:val="32"/>
          <w:szCs w:val="32"/>
          <w:highlight w:val="none"/>
        </w:rPr>
      </w:pPr>
      <w:r>
        <w:rPr>
          <w:rFonts w:hint="default" w:ascii="Times New Roman" w:hAnsi="Times New Roman" w:eastAsia="方正楷体_GBK" w:cs="Times New Roman"/>
          <w:kern w:val="0"/>
          <w:sz w:val="32"/>
          <w:szCs w:val="32"/>
          <w:highlight w:val="none"/>
        </w:rPr>
        <w:t>（八）实施公共卫生法治建设行动。</w:t>
      </w:r>
    </w:p>
    <w:p>
      <w:pPr>
        <w:snapToGrid w:val="0"/>
        <w:spacing w:line="300" w:lineRule="auto"/>
        <w:ind w:firstLine="640" w:firstLineChars="200"/>
        <w:rPr>
          <w:rFonts w:hint="default" w:ascii="Times New Roman" w:hAnsi="Times New Roman" w:eastAsia="方正楷体_GBK" w:cs="Times New Roman"/>
          <w:kern w:val="0"/>
          <w:sz w:val="32"/>
          <w:szCs w:val="32"/>
          <w:highlight w:val="none"/>
        </w:rPr>
      </w:pPr>
      <w:r>
        <w:rPr>
          <w:rFonts w:hint="default" w:ascii="Times New Roman" w:hAnsi="Times New Roman" w:eastAsia="方正仿宋_GBK" w:cs="Times New Roman"/>
          <w:kern w:val="0"/>
          <w:sz w:val="32"/>
          <w:szCs w:val="32"/>
          <w:highlight w:val="none"/>
        </w:rPr>
        <w:t>3</w:t>
      </w:r>
      <w:r>
        <w:rPr>
          <w:rFonts w:hint="default" w:ascii="Times New Roman" w:hAnsi="Times New Roman" w:eastAsia="方正仿宋_GBK" w:cs="Times New Roman"/>
          <w:kern w:val="0"/>
          <w:sz w:val="32"/>
          <w:szCs w:val="32"/>
          <w:highlight w:val="none"/>
          <w:lang w:val="en-US" w:eastAsia="zh-CN"/>
        </w:rPr>
        <w:t>3</w:t>
      </w:r>
      <w:r>
        <w:rPr>
          <w:rFonts w:hint="eastAsia"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加强公共卫生综合监管。完善公共卫生三级执法事项清单，完善行政执法</w:t>
      </w:r>
      <w:r>
        <w:rPr>
          <w:rFonts w:hint="eastAsia"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三项制度</w:t>
      </w:r>
      <w:bookmarkStart w:id="0" w:name="_GoBack"/>
      <w:bookmarkEnd w:id="0"/>
      <w:r>
        <w:rPr>
          <w:rFonts w:hint="eastAsia"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促进监督执法标准化、规范化。到2025年，改善监督执法办案条件，创新监督执法模式，推进公共场所、职业卫生分级分类评价，加大评价结果运用力度，提升监管精准性、科学性。加强行政执法稽查，开展案卷评查，力争形成优秀案例和典型案例</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楷体_GBK" w:cs="Times New Roman"/>
          <w:kern w:val="0"/>
          <w:sz w:val="32"/>
          <w:szCs w:val="32"/>
          <w:highlight w:val="none"/>
        </w:rPr>
        <w:t>（责任单位：区卫生健康委、区疾控局</w:t>
      </w:r>
      <w:r>
        <w:rPr>
          <w:rFonts w:hint="default" w:ascii="Times New Roman" w:hAnsi="Times New Roman" w:eastAsia="方正楷体_GBK" w:cs="Times New Roman"/>
          <w:kern w:val="0"/>
          <w:sz w:val="32"/>
          <w:szCs w:val="32"/>
          <w:highlight w:val="none"/>
          <w:lang w:eastAsia="zh-CN"/>
        </w:rPr>
        <w:t>，</w:t>
      </w:r>
      <w:r>
        <w:rPr>
          <w:rFonts w:hint="default" w:ascii="Times New Roman" w:hAnsi="Times New Roman" w:eastAsia="方正楷体_GBK" w:cs="Times New Roman"/>
          <w:kern w:val="0"/>
          <w:sz w:val="32"/>
          <w:szCs w:val="32"/>
          <w:highlight w:val="none"/>
          <w:lang w:val="en-US" w:eastAsia="zh-CN"/>
        </w:rPr>
        <w:t>各镇街</w:t>
      </w:r>
      <w:r>
        <w:rPr>
          <w:rFonts w:hint="default" w:ascii="Times New Roman" w:hAnsi="Times New Roman" w:eastAsia="方正楷体_GBK" w:cs="Times New Roman"/>
          <w:kern w:val="0"/>
          <w:sz w:val="32"/>
          <w:szCs w:val="32"/>
          <w:highlight w:val="none"/>
        </w:rPr>
        <w:t>）</w:t>
      </w:r>
    </w:p>
    <w:p>
      <w:pPr>
        <w:snapToGrid w:val="0"/>
        <w:spacing w:line="300" w:lineRule="auto"/>
        <w:ind w:firstLine="640" w:firstLineChars="200"/>
        <w:rPr>
          <w:rFonts w:hint="default" w:ascii="Times New Roman" w:hAnsi="Times New Roman" w:eastAsia="方正楷体_GBK" w:cs="Times New Roman"/>
          <w:kern w:val="0"/>
          <w:sz w:val="32"/>
          <w:szCs w:val="32"/>
          <w:highlight w:val="none"/>
        </w:rPr>
      </w:pPr>
      <w:r>
        <w:rPr>
          <w:rFonts w:hint="default" w:ascii="Times New Roman" w:hAnsi="Times New Roman" w:eastAsia="方正仿宋_GBK" w:cs="Times New Roman"/>
          <w:kern w:val="0"/>
          <w:sz w:val="32"/>
          <w:szCs w:val="32"/>
          <w:highlight w:val="none"/>
        </w:rPr>
        <w:t>3</w:t>
      </w:r>
      <w:r>
        <w:rPr>
          <w:rFonts w:hint="default" w:ascii="Times New Roman" w:hAnsi="Times New Roman" w:eastAsia="方正仿宋_GBK" w:cs="Times New Roman"/>
          <w:kern w:val="0"/>
          <w:sz w:val="32"/>
          <w:szCs w:val="32"/>
          <w:highlight w:val="none"/>
          <w:lang w:val="en-US" w:eastAsia="zh-CN"/>
        </w:rPr>
        <w:t>4</w:t>
      </w:r>
      <w:r>
        <w:rPr>
          <w:rFonts w:hint="eastAsia" w:eastAsia="方正仿宋_GBK" w:cs="Times New Roman"/>
          <w:kern w:val="0"/>
          <w:sz w:val="32"/>
          <w:szCs w:val="32"/>
          <w:highlight w:val="none"/>
          <w:lang w:val="en-US" w:eastAsia="zh-CN"/>
        </w:rPr>
        <w:t>.</w:t>
      </w:r>
      <w:r>
        <w:rPr>
          <w:rFonts w:hint="default" w:ascii="Times New Roman" w:hAnsi="Times New Roman" w:eastAsia="方正仿宋_GBK" w:cs="Times New Roman"/>
          <w:kern w:val="0"/>
          <w:sz w:val="32"/>
          <w:szCs w:val="32"/>
          <w:highlight w:val="none"/>
        </w:rPr>
        <w:t>强化公共卫生普法宣传。利用各级医疗卫生机构、各类新媒体广泛深入开展对传染病防治法等法律法规的宣传，增强</w:t>
      </w:r>
      <w:r>
        <w:rPr>
          <w:rFonts w:hint="default" w:ascii="Times New Roman" w:hAnsi="Times New Roman" w:eastAsia="方正仿宋_GBK" w:cs="Times New Roman"/>
          <w:kern w:val="0"/>
          <w:sz w:val="32"/>
          <w:szCs w:val="32"/>
          <w:highlight w:val="none"/>
          <w:lang w:val="en-US" w:eastAsia="zh-CN"/>
        </w:rPr>
        <w:t>公</w:t>
      </w:r>
      <w:r>
        <w:rPr>
          <w:rFonts w:hint="default" w:ascii="Times New Roman" w:hAnsi="Times New Roman" w:eastAsia="方正仿宋_GBK" w:cs="Times New Roman"/>
          <w:kern w:val="0"/>
          <w:sz w:val="32"/>
          <w:szCs w:val="32"/>
          <w:highlight w:val="none"/>
        </w:rPr>
        <w:t>民对公共卫生权利义务的知晓和理解，提升依法接受流行病学调查、监测、隔离观察等防控措施的意识，切实提高</w:t>
      </w:r>
      <w:r>
        <w:rPr>
          <w:rFonts w:hint="eastAsia" w:eastAsia="方正仿宋_GBK" w:cs="Times New Roman"/>
          <w:kern w:val="0"/>
          <w:sz w:val="32"/>
          <w:szCs w:val="32"/>
          <w:highlight w:val="none"/>
          <w:lang w:val="en-US" w:eastAsia="zh-CN"/>
        </w:rPr>
        <w:t>公众</w:t>
      </w:r>
      <w:r>
        <w:rPr>
          <w:rFonts w:hint="default" w:ascii="Times New Roman" w:hAnsi="Times New Roman" w:eastAsia="方正仿宋_GBK" w:cs="Times New Roman"/>
          <w:kern w:val="0"/>
          <w:sz w:val="32"/>
          <w:szCs w:val="32"/>
          <w:highlight w:val="none"/>
        </w:rPr>
        <w:t>知法守法素养。</w:t>
      </w:r>
      <w:r>
        <w:rPr>
          <w:rFonts w:hint="default" w:ascii="Times New Roman" w:hAnsi="Times New Roman" w:eastAsia="方正楷体_GBK" w:cs="Times New Roman"/>
          <w:kern w:val="0"/>
          <w:sz w:val="32"/>
          <w:szCs w:val="32"/>
          <w:highlight w:val="none"/>
        </w:rPr>
        <w:t>（责任单位：区卫生健康委、区司法局、区疾控局</w:t>
      </w:r>
      <w:r>
        <w:rPr>
          <w:rFonts w:hint="default" w:ascii="Times New Roman" w:hAnsi="Times New Roman" w:eastAsia="方正楷体_GBK" w:cs="Times New Roman"/>
          <w:kern w:val="0"/>
          <w:sz w:val="32"/>
          <w:szCs w:val="32"/>
          <w:highlight w:val="none"/>
          <w:lang w:eastAsia="zh-CN"/>
        </w:rPr>
        <w:t>，</w:t>
      </w:r>
      <w:r>
        <w:rPr>
          <w:rFonts w:hint="default" w:ascii="Times New Roman" w:hAnsi="Times New Roman" w:eastAsia="方正楷体_GBK" w:cs="Times New Roman"/>
          <w:kern w:val="0"/>
          <w:sz w:val="32"/>
          <w:szCs w:val="32"/>
          <w:highlight w:val="none"/>
          <w:lang w:val="en-US" w:eastAsia="zh-CN"/>
        </w:rPr>
        <w:t>各镇街</w:t>
      </w:r>
      <w:r>
        <w:rPr>
          <w:rFonts w:hint="default" w:ascii="Times New Roman" w:hAnsi="Times New Roman" w:eastAsia="方正楷体_GBK" w:cs="Times New Roman"/>
          <w:kern w:val="0"/>
          <w:sz w:val="32"/>
          <w:szCs w:val="32"/>
          <w:highlight w:val="none"/>
        </w:rPr>
        <w:t>）</w:t>
      </w:r>
    </w:p>
    <w:p>
      <w:pPr>
        <w:snapToGrid w:val="0"/>
        <w:spacing w:line="300" w:lineRule="auto"/>
        <w:ind w:firstLine="640" w:firstLineChars="200"/>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rPr>
        <w:t>三、组织实施</w:t>
      </w:r>
    </w:p>
    <w:p>
      <w:pPr>
        <w:snapToGrid w:val="0"/>
        <w:spacing w:line="300" w:lineRule="auto"/>
        <w:ind w:firstLine="640" w:firstLineChars="200"/>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楷体_GBK" w:cs="Times New Roman"/>
          <w:kern w:val="0"/>
          <w:sz w:val="32"/>
          <w:szCs w:val="32"/>
          <w:highlight w:val="none"/>
        </w:rPr>
        <w:t>（一）加强组织领导。</w:t>
      </w:r>
      <w:r>
        <w:rPr>
          <w:rFonts w:hint="default" w:ascii="Times New Roman" w:hAnsi="Times New Roman" w:eastAsia="方正仿宋_GBK" w:cs="Times New Roman"/>
          <w:kern w:val="0"/>
          <w:sz w:val="32"/>
          <w:szCs w:val="32"/>
          <w:highlight w:val="none"/>
        </w:rPr>
        <w:t>各镇</w:t>
      </w:r>
      <w:r>
        <w:rPr>
          <w:rFonts w:hint="eastAsia"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街道</w:t>
      </w:r>
      <w:r>
        <w:rPr>
          <w:rFonts w:hint="eastAsia"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区级有关部门、有关单位要高度重视公共卫生体系建设，把公共卫生能力提升摆在更加突出的位置，主要负责人要亲自部署研究解决建设中的重大问题，分管负责人要抓好具体落实，强化组织实施。发展改革部门要指导支持疾控机构做好基础设施建设立项等前期工作，</w:t>
      </w:r>
      <w:r>
        <w:rPr>
          <w:rFonts w:hint="default" w:ascii="Times New Roman" w:hAnsi="Times New Roman" w:eastAsia="方正仿宋_GBK" w:cs="Times New Roman"/>
          <w:kern w:val="0"/>
          <w:sz w:val="32"/>
          <w:szCs w:val="32"/>
          <w:highlight w:val="none"/>
          <w:lang w:val="en-US" w:eastAsia="zh-CN"/>
        </w:rPr>
        <w:t>区大数据发展局做好公共卫生有关数字化项目技术支撑工作</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kern w:val="0"/>
          <w:sz w:val="32"/>
          <w:szCs w:val="32"/>
          <w:highlight w:val="none"/>
          <w:lang w:val="en-US" w:eastAsia="zh-CN"/>
        </w:rPr>
        <w:t>区科技局要对永川区公共卫生有关项目给予一定程度的倾斜支持。</w:t>
      </w:r>
    </w:p>
    <w:p>
      <w:pPr>
        <w:snapToGrid w:val="0"/>
        <w:spacing w:line="300" w:lineRule="auto"/>
        <w:ind w:firstLine="640" w:firstLineChars="200"/>
        <w:rPr>
          <w:rFonts w:hint="default" w:ascii="Times New Roman" w:hAnsi="Times New Roman" w:eastAsia="方正仿宋_GBK" w:cs="Times New Roman"/>
          <w:kern w:val="0"/>
          <w:sz w:val="32"/>
          <w:szCs w:val="32"/>
          <w:highlight w:val="none"/>
        </w:rPr>
      </w:pPr>
      <w:r>
        <w:rPr>
          <w:rFonts w:hint="default" w:ascii="Times New Roman" w:hAnsi="Times New Roman" w:eastAsia="方正楷体_GBK" w:cs="Times New Roman"/>
          <w:kern w:val="0"/>
          <w:sz w:val="32"/>
          <w:szCs w:val="32"/>
          <w:highlight w:val="none"/>
        </w:rPr>
        <w:t>（二）加强投入保障。</w:t>
      </w:r>
      <w:r>
        <w:rPr>
          <w:rFonts w:hint="default" w:ascii="Times New Roman" w:hAnsi="Times New Roman" w:eastAsia="方正仿宋_GBK" w:cs="Times New Roman"/>
          <w:kern w:val="0"/>
          <w:sz w:val="32"/>
          <w:szCs w:val="32"/>
          <w:highlight w:val="none"/>
        </w:rPr>
        <w:t>区财政局要统筹各级各类资金，落实公共卫生投入责任，为健全公共卫生体系、补齐公共卫生领域短板、提升公共卫生服务水平提供资金保障。</w:t>
      </w:r>
    </w:p>
    <w:p>
      <w:pPr>
        <w:adjustRightInd w:val="0"/>
        <w:snapToGrid w:val="0"/>
        <w:spacing w:line="300" w:lineRule="auto"/>
        <w:ind w:firstLine="640" w:firstLineChars="200"/>
        <w:textAlignment w:val="baseline"/>
        <w:rPr>
          <w:rFonts w:hint="default" w:ascii="Times New Roman" w:hAnsi="Times New Roman" w:eastAsia="方正仿宋_GBK" w:cs="Times New Roman"/>
          <w:kern w:val="0"/>
          <w:sz w:val="32"/>
          <w:szCs w:val="32"/>
          <w:highlight w:val="none"/>
        </w:rPr>
      </w:pPr>
      <w:r>
        <w:rPr>
          <w:rFonts w:hint="default" w:ascii="Times New Roman" w:hAnsi="Times New Roman" w:eastAsia="方正楷体_GBK" w:cs="Times New Roman"/>
          <w:kern w:val="0"/>
          <w:sz w:val="32"/>
          <w:szCs w:val="32"/>
          <w:highlight w:val="none"/>
        </w:rPr>
        <w:t>（三）加强督查评价。</w:t>
      </w:r>
      <w:r>
        <w:rPr>
          <w:rFonts w:hint="default" w:ascii="Times New Roman" w:hAnsi="Times New Roman" w:eastAsia="方正仿宋_GBK" w:cs="Times New Roman"/>
          <w:kern w:val="0"/>
          <w:sz w:val="32"/>
          <w:szCs w:val="32"/>
          <w:highlight w:val="none"/>
        </w:rPr>
        <w:t>全区要健全对本行动计划的联动衔接机制，及时协调解决行动计划实施过程中的问题和困难。全区各级各部门要加强日常质控督导，定期组织召开工作调度会议，定期对行动计划实施情况进行监督和评价，对工作落实不力、工作推进滞后的，及时通报批评、督促整改。</w:t>
      </w:r>
    </w:p>
    <w:p>
      <w:pPr>
        <w:adjustRightInd/>
        <w:spacing w:line="240" w:lineRule="auto"/>
        <w:ind w:firstLine="0" w:firstLineChars="0"/>
        <w:textAlignment w:val="auto"/>
        <w:rPr>
          <w:rFonts w:hint="default" w:ascii="Times New Roman" w:hAnsi="Times New Roman" w:eastAsia="方正仿宋_GBK" w:cs="Times New Roman"/>
          <w:kern w:val="0"/>
          <w:sz w:val="32"/>
          <w:szCs w:val="32"/>
          <w:highlight w:val="none"/>
        </w:rPr>
      </w:pPr>
    </w:p>
    <w:p>
      <w:pPr>
        <w:pStyle w:val="38"/>
        <w:rPr>
          <w:rFonts w:hint="eastAsia" w:ascii="Times New Roman" w:hAnsi="Times New Roman" w:eastAsia="方正仿宋_GBK" w:cs="Times New Roman"/>
          <w:kern w:val="0"/>
          <w:sz w:val="32"/>
          <w:szCs w:val="32"/>
          <w:highlight w:val="none"/>
          <w:lang w:val="en-US" w:eastAsia="zh-CN"/>
        </w:rPr>
      </w:pPr>
    </w:p>
    <w:sectPr>
      <w:headerReference r:id="rId5" w:type="default"/>
      <w:footerReference r:id="rId6" w:type="default"/>
      <w:pgSz w:w="11906" w:h="16838"/>
      <w:pgMar w:top="1962" w:right="1474" w:bottom="1848" w:left="1587" w:header="851" w:footer="34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3000509000000000000"/>
    <w:charset w:val="86"/>
    <w:family w:val="script"/>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ZXBSK--GBK1-0">
    <w:altName w:val="华文中宋"/>
    <w:panose1 w:val="00000000000000000000"/>
    <w:charset w:val="00"/>
    <w:family w:val="roman"/>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2"/>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重庆市永川区人民政府办公室发布</w:t>
    </w:r>
    <w:r>
      <w:rPr>
        <w:rFonts w:hint="eastAsia" w:ascii="宋体" w:hAnsi="宋体" w:eastAsia="宋体" w:cs="宋体"/>
        <w:b/>
        <w:bCs/>
        <w:color w:val="005192"/>
        <w:sz w:val="28"/>
        <w:szCs w:val="44"/>
        <w:lang w:val="en-US" w:eastAsia="zh-CN"/>
      </w:rPr>
      <w:t xml:space="preserve">     </w:t>
    </w:r>
  </w:p>
  <w:p>
    <w:pPr>
      <w:pStyle w:val="12"/>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12"/>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12"/>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永川区人民政府办公室</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6D77F9"/>
    <w:rsid w:val="00001584"/>
    <w:rsid w:val="00001A63"/>
    <w:rsid w:val="000041B4"/>
    <w:rsid w:val="00007813"/>
    <w:rsid w:val="00013E38"/>
    <w:rsid w:val="000145ED"/>
    <w:rsid w:val="00015235"/>
    <w:rsid w:val="000170D3"/>
    <w:rsid w:val="00022065"/>
    <w:rsid w:val="00025185"/>
    <w:rsid w:val="00025A8A"/>
    <w:rsid w:val="000268BF"/>
    <w:rsid w:val="00031A24"/>
    <w:rsid w:val="00034FE9"/>
    <w:rsid w:val="0004193C"/>
    <w:rsid w:val="00042399"/>
    <w:rsid w:val="00042A3E"/>
    <w:rsid w:val="00045045"/>
    <w:rsid w:val="000453F7"/>
    <w:rsid w:val="0004576B"/>
    <w:rsid w:val="0005066D"/>
    <w:rsid w:val="00050F95"/>
    <w:rsid w:val="00052EF8"/>
    <w:rsid w:val="00061045"/>
    <w:rsid w:val="00061BB4"/>
    <w:rsid w:val="000633B1"/>
    <w:rsid w:val="00067B5A"/>
    <w:rsid w:val="00070BAD"/>
    <w:rsid w:val="00070F7E"/>
    <w:rsid w:val="00071842"/>
    <w:rsid w:val="00082E36"/>
    <w:rsid w:val="000841F9"/>
    <w:rsid w:val="00086077"/>
    <w:rsid w:val="000966C7"/>
    <w:rsid w:val="000A23CA"/>
    <w:rsid w:val="000A38CA"/>
    <w:rsid w:val="000A7472"/>
    <w:rsid w:val="000A7B8F"/>
    <w:rsid w:val="000B18FE"/>
    <w:rsid w:val="000B1B86"/>
    <w:rsid w:val="000B2B24"/>
    <w:rsid w:val="000B455F"/>
    <w:rsid w:val="000B6373"/>
    <w:rsid w:val="000B72F8"/>
    <w:rsid w:val="000C0533"/>
    <w:rsid w:val="000C2F3B"/>
    <w:rsid w:val="000C5A52"/>
    <w:rsid w:val="000D1BB7"/>
    <w:rsid w:val="000D49BB"/>
    <w:rsid w:val="000E076D"/>
    <w:rsid w:val="000E2436"/>
    <w:rsid w:val="000E2703"/>
    <w:rsid w:val="000E2F09"/>
    <w:rsid w:val="000E5E8C"/>
    <w:rsid w:val="000E6DFA"/>
    <w:rsid w:val="000F1216"/>
    <w:rsid w:val="000F14EE"/>
    <w:rsid w:val="00100087"/>
    <w:rsid w:val="00101A96"/>
    <w:rsid w:val="00103B47"/>
    <w:rsid w:val="00103D29"/>
    <w:rsid w:val="00111E49"/>
    <w:rsid w:val="00117B77"/>
    <w:rsid w:val="00124E33"/>
    <w:rsid w:val="0013164B"/>
    <w:rsid w:val="001351A7"/>
    <w:rsid w:val="001375DA"/>
    <w:rsid w:val="001408AC"/>
    <w:rsid w:val="001417CA"/>
    <w:rsid w:val="0014497A"/>
    <w:rsid w:val="001512F0"/>
    <w:rsid w:val="00151A8C"/>
    <w:rsid w:val="001540D5"/>
    <w:rsid w:val="001551D3"/>
    <w:rsid w:val="0016158D"/>
    <w:rsid w:val="00162B07"/>
    <w:rsid w:val="001647E0"/>
    <w:rsid w:val="001707A8"/>
    <w:rsid w:val="00174241"/>
    <w:rsid w:val="00176418"/>
    <w:rsid w:val="00177DB9"/>
    <w:rsid w:val="00187522"/>
    <w:rsid w:val="001918EF"/>
    <w:rsid w:val="00191BEF"/>
    <w:rsid w:val="00191DA4"/>
    <w:rsid w:val="001936E3"/>
    <w:rsid w:val="00194CD1"/>
    <w:rsid w:val="00196410"/>
    <w:rsid w:val="001A2D2B"/>
    <w:rsid w:val="001A441B"/>
    <w:rsid w:val="001A51E6"/>
    <w:rsid w:val="001A58DE"/>
    <w:rsid w:val="001A62A3"/>
    <w:rsid w:val="001B0690"/>
    <w:rsid w:val="001B247A"/>
    <w:rsid w:val="001B5CC4"/>
    <w:rsid w:val="001B668E"/>
    <w:rsid w:val="001B7DB7"/>
    <w:rsid w:val="001D1ECF"/>
    <w:rsid w:val="001D52C8"/>
    <w:rsid w:val="001E6406"/>
    <w:rsid w:val="001E7CBF"/>
    <w:rsid w:val="001F0949"/>
    <w:rsid w:val="001F1467"/>
    <w:rsid w:val="001F1495"/>
    <w:rsid w:val="001F1D93"/>
    <w:rsid w:val="001F2D86"/>
    <w:rsid w:val="001F3D77"/>
    <w:rsid w:val="001F49B3"/>
    <w:rsid w:val="00203189"/>
    <w:rsid w:val="00205A79"/>
    <w:rsid w:val="002076C8"/>
    <w:rsid w:val="0021032D"/>
    <w:rsid w:val="0021118C"/>
    <w:rsid w:val="00212296"/>
    <w:rsid w:val="0021552D"/>
    <w:rsid w:val="002177AC"/>
    <w:rsid w:val="00220C1F"/>
    <w:rsid w:val="002219C8"/>
    <w:rsid w:val="00222D93"/>
    <w:rsid w:val="0022309D"/>
    <w:rsid w:val="00224778"/>
    <w:rsid w:val="0023566E"/>
    <w:rsid w:val="00242291"/>
    <w:rsid w:val="00247916"/>
    <w:rsid w:val="00251663"/>
    <w:rsid w:val="002516D9"/>
    <w:rsid w:val="002540EB"/>
    <w:rsid w:val="002560B2"/>
    <w:rsid w:val="00256A8F"/>
    <w:rsid w:val="00260965"/>
    <w:rsid w:val="00261484"/>
    <w:rsid w:val="00261FF2"/>
    <w:rsid w:val="00266A30"/>
    <w:rsid w:val="0028285D"/>
    <w:rsid w:val="002836CB"/>
    <w:rsid w:val="002857E7"/>
    <w:rsid w:val="0029027F"/>
    <w:rsid w:val="0029233A"/>
    <w:rsid w:val="00292A97"/>
    <w:rsid w:val="002953BD"/>
    <w:rsid w:val="00297A48"/>
    <w:rsid w:val="002A08ED"/>
    <w:rsid w:val="002A22F1"/>
    <w:rsid w:val="002A554B"/>
    <w:rsid w:val="002B0347"/>
    <w:rsid w:val="002B269F"/>
    <w:rsid w:val="002B2B41"/>
    <w:rsid w:val="002B7725"/>
    <w:rsid w:val="002C2E99"/>
    <w:rsid w:val="002C3B2F"/>
    <w:rsid w:val="002C3FB2"/>
    <w:rsid w:val="002C44F8"/>
    <w:rsid w:val="002C519F"/>
    <w:rsid w:val="002C5ADA"/>
    <w:rsid w:val="002C7B28"/>
    <w:rsid w:val="002D04EB"/>
    <w:rsid w:val="002D164B"/>
    <w:rsid w:val="002D235F"/>
    <w:rsid w:val="002D2EF3"/>
    <w:rsid w:val="002D3F4C"/>
    <w:rsid w:val="002D4130"/>
    <w:rsid w:val="002D66C1"/>
    <w:rsid w:val="002E0BCC"/>
    <w:rsid w:val="002E3D99"/>
    <w:rsid w:val="002E410F"/>
    <w:rsid w:val="002E67F1"/>
    <w:rsid w:val="002F48F3"/>
    <w:rsid w:val="002F5690"/>
    <w:rsid w:val="002F6535"/>
    <w:rsid w:val="002F6EBD"/>
    <w:rsid w:val="00300D7C"/>
    <w:rsid w:val="00303165"/>
    <w:rsid w:val="00311E76"/>
    <w:rsid w:val="00315F0F"/>
    <w:rsid w:val="00323280"/>
    <w:rsid w:val="00327A35"/>
    <w:rsid w:val="00330586"/>
    <w:rsid w:val="0033155A"/>
    <w:rsid w:val="0034322E"/>
    <w:rsid w:val="0034483E"/>
    <w:rsid w:val="003522F5"/>
    <w:rsid w:val="0035246E"/>
    <w:rsid w:val="00353192"/>
    <w:rsid w:val="00355E4A"/>
    <w:rsid w:val="00356A94"/>
    <w:rsid w:val="00362942"/>
    <w:rsid w:val="00365A47"/>
    <w:rsid w:val="003668AF"/>
    <w:rsid w:val="003679B0"/>
    <w:rsid w:val="00370CF2"/>
    <w:rsid w:val="0037396A"/>
    <w:rsid w:val="003769A4"/>
    <w:rsid w:val="0038222B"/>
    <w:rsid w:val="00384F19"/>
    <w:rsid w:val="0039406C"/>
    <w:rsid w:val="00394670"/>
    <w:rsid w:val="00396FA3"/>
    <w:rsid w:val="003A0B83"/>
    <w:rsid w:val="003A679A"/>
    <w:rsid w:val="003A6984"/>
    <w:rsid w:val="003B45A4"/>
    <w:rsid w:val="003C2C2B"/>
    <w:rsid w:val="003D08DD"/>
    <w:rsid w:val="003D144C"/>
    <w:rsid w:val="003D25E6"/>
    <w:rsid w:val="003D3862"/>
    <w:rsid w:val="003D6843"/>
    <w:rsid w:val="003E1A47"/>
    <w:rsid w:val="003E735D"/>
    <w:rsid w:val="003F4443"/>
    <w:rsid w:val="003F6120"/>
    <w:rsid w:val="0040432A"/>
    <w:rsid w:val="00404F5C"/>
    <w:rsid w:val="00406663"/>
    <w:rsid w:val="00406808"/>
    <w:rsid w:val="00421136"/>
    <w:rsid w:val="0042253A"/>
    <w:rsid w:val="004247F5"/>
    <w:rsid w:val="00431792"/>
    <w:rsid w:val="00433573"/>
    <w:rsid w:val="0044014E"/>
    <w:rsid w:val="0044084B"/>
    <w:rsid w:val="00443069"/>
    <w:rsid w:val="00445788"/>
    <w:rsid w:val="00451B79"/>
    <w:rsid w:val="00454E56"/>
    <w:rsid w:val="00455791"/>
    <w:rsid w:val="00457966"/>
    <w:rsid w:val="00461887"/>
    <w:rsid w:val="004627B5"/>
    <w:rsid w:val="00463D65"/>
    <w:rsid w:val="004724ED"/>
    <w:rsid w:val="004742E5"/>
    <w:rsid w:val="00475B0E"/>
    <w:rsid w:val="00476406"/>
    <w:rsid w:val="00480C61"/>
    <w:rsid w:val="004825CC"/>
    <w:rsid w:val="00485F73"/>
    <w:rsid w:val="004861B6"/>
    <w:rsid w:val="00487230"/>
    <w:rsid w:val="0048787E"/>
    <w:rsid w:val="004919EA"/>
    <w:rsid w:val="00492435"/>
    <w:rsid w:val="00492558"/>
    <w:rsid w:val="004A03E2"/>
    <w:rsid w:val="004A0AA9"/>
    <w:rsid w:val="004A2B67"/>
    <w:rsid w:val="004A565F"/>
    <w:rsid w:val="004B1832"/>
    <w:rsid w:val="004B1A84"/>
    <w:rsid w:val="004B3B1A"/>
    <w:rsid w:val="004B447B"/>
    <w:rsid w:val="004B5846"/>
    <w:rsid w:val="004B5C1F"/>
    <w:rsid w:val="004C17CD"/>
    <w:rsid w:val="004C19D3"/>
    <w:rsid w:val="004C1CAC"/>
    <w:rsid w:val="004C4EFB"/>
    <w:rsid w:val="004C56CC"/>
    <w:rsid w:val="004C5EB1"/>
    <w:rsid w:val="004D0E3C"/>
    <w:rsid w:val="004D2C5F"/>
    <w:rsid w:val="004D52FC"/>
    <w:rsid w:val="004D5BD0"/>
    <w:rsid w:val="004D622F"/>
    <w:rsid w:val="004D7BD2"/>
    <w:rsid w:val="004E0D33"/>
    <w:rsid w:val="004E25DC"/>
    <w:rsid w:val="004E26F2"/>
    <w:rsid w:val="004E4E16"/>
    <w:rsid w:val="004E793D"/>
    <w:rsid w:val="004F3461"/>
    <w:rsid w:val="004F4AD5"/>
    <w:rsid w:val="004F4FD9"/>
    <w:rsid w:val="004F7B37"/>
    <w:rsid w:val="00502137"/>
    <w:rsid w:val="0050398F"/>
    <w:rsid w:val="00504011"/>
    <w:rsid w:val="00505432"/>
    <w:rsid w:val="00510754"/>
    <w:rsid w:val="00513A8F"/>
    <w:rsid w:val="00517559"/>
    <w:rsid w:val="0052138C"/>
    <w:rsid w:val="00521C58"/>
    <w:rsid w:val="005237EA"/>
    <w:rsid w:val="005242E2"/>
    <w:rsid w:val="00525FBC"/>
    <w:rsid w:val="00530035"/>
    <w:rsid w:val="00530E60"/>
    <w:rsid w:val="00530E93"/>
    <w:rsid w:val="005332E7"/>
    <w:rsid w:val="0053570B"/>
    <w:rsid w:val="00537EC9"/>
    <w:rsid w:val="0054171F"/>
    <w:rsid w:val="00541C5C"/>
    <w:rsid w:val="005445B6"/>
    <w:rsid w:val="0054482A"/>
    <w:rsid w:val="005457A2"/>
    <w:rsid w:val="00552A11"/>
    <w:rsid w:val="00555AA3"/>
    <w:rsid w:val="0055684F"/>
    <w:rsid w:val="00563353"/>
    <w:rsid w:val="00565A05"/>
    <w:rsid w:val="005712BA"/>
    <w:rsid w:val="00572C4E"/>
    <w:rsid w:val="005736FC"/>
    <w:rsid w:val="00580DCC"/>
    <w:rsid w:val="00585580"/>
    <w:rsid w:val="00585F1F"/>
    <w:rsid w:val="005904A6"/>
    <w:rsid w:val="00590E14"/>
    <w:rsid w:val="005953EC"/>
    <w:rsid w:val="00596827"/>
    <w:rsid w:val="00596FCE"/>
    <w:rsid w:val="005A04C6"/>
    <w:rsid w:val="005A0836"/>
    <w:rsid w:val="005A6ADF"/>
    <w:rsid w:val="005A7754"/>
    <w:rsid w:val="005B1FDD"/>
    <w:rsid w:val="005B25D2"/>
    <w:rsid w:val="005B2DFC"/>
    <w:rsid w:val="005B4381"/>
    <w:rsid w:val="005B59E9"/>
    <w:rsid w:val="005B6738"/>
    <w:rsid w:val="005B6D5A"/>
    <w:rsid w:val="005B7BFF"/>
    <w:rsid w:val="005C064F"/>
    <w:rsid w:val="005C4478"/>
    <w:rsid w:val="005C64A9"/>
    <w:rsid w:val="005D3C9C"/>
    <w:rsid w:val="005D428A"/>
    <w:rsid w:val="005E10C6"/>
    <w:rsid w:val="005E1F89"/>
    <w:rsid w:val="005E4B86"/>
    <w:rsid w:val="005E6579"/>
    <w:rsid w:val="005E750F"/>
    <w:rsid w:val="005F4434"/>
    <w:rsid w:val="005F74EC"/>
    <w:rsid w:val="005F7D76"/>
    <w:rsid w:val="00602136"/>
    <w:rsid w:val="00606D76"/>
    <w:rsid w:val="00611DFE"/>
    <w:rsid w:val="006123E8"/>
    <w:rsid w:val="006139AD"/>
    <w:rsid w:val="0061407C"/>
    <w:rsid w:val="00616F0B"/>
    <w:rsid w:val="00620BBE"/>
    <w:rsid w:val="00622C06"/>
    <w:rsid w:val="00623289"/>
    <w:rsid w:val="00623FA2"/>
    <w:rsid w:val="00630AD3"/>
    <w:rsid w:val="00630D50"/>
    <w:rsid w:val="006338F1"/>
    <w:rsid w:val="0063594B"/>
    <w:rsid w:val="006415EE"/>
    <w:rsid w:val="00642B9F"/>
    <w:rsid w:val="00644597"/>
    <w:rsid w:val="00651043"/>
    <w:rsid w:val="00656394"/>
    <w:rsid w:val="00657A76"/>
    <w:rsid w:val="006642C9"/>
    <w:rsid w:val="0066611F"/>
    <w:rsid w:val="006708AE"/>
    <w:rsid w:val="006735B8"/>
    <w:rsid w:val="00676446"/>
    <w:rsid w:val="0068029B"/>
    <w:rsid w:val="006831BE"/>
    <w:rsid w:val="00684F0F"/>
    <w:rsid w:val="00690008"/>
    <w:rsid w:val="006912D6"/>
    <w:rsid w:val="00692174"/>
    <w:rsid w:val="006935CD"/>
    <w:rsid w:val="00696BD4"/>
    <w:rsid w:val="006A082E"/>
    <w:rsid w:val="006A0ED6"/>
    <w:rsid w:val="006B0850"/>
    <w:rsid w:val="006B6747"/>
    <w:rsid w:val="006B6C7C"/>
    <w:rsid w:val="006B7794"/>
    <w:rsid w:val="006C4986"/>
    <w:rsid w:val="006C50FD"/>
    <w:rsid w:val="006D0066"/>
    <w:rsid w:val="006D1C13"/>
    <w:rsid w:val="006D287E"/>
    <w:rsid w:val="006D62D7"/>
    <w:rsid w:val="006D66E0"/>
    <w:rsid w:val="006D77F9"/>
    <w:rsid w:val="006E3B0E"/>
    <w:rsid w:val="006E60B4"/>
    <w:rsid w:val="006E7EE3"/>
    <w:rsid w:val="006F0B1C"/>
    <w:rsid w:val="006F31DF"/>
    <w:rsid w:val="0070212C"/>
    <w:rsid w:val="00703C0A"/>
    <w:rsid w:val="0070450E"/>
    <w:rsid w:val="0070470B"/>
    <w:rsid w:val="00706A24"/>
    <w:rsid w:val="00707EA9"/>
    <w:rsid w:val="00710DCD"/>
    <w:rsid w:val="00711B64"/>
    <w:rsid w:val="00713287"/>
    <w:rsid w:val="00713AA3"/>
    <w:rsid w:val="00713C0A"/>
    <w:rsid w:val="00717339"/>
    <w:rsid w:val="007205E8"/>
    <w:rsid w:val="00720F28"/>
    <w:rsid w:val="00721B46"/>
    <w:rsid w:val="00723936"/>
    <w:rsid w:val="00724F1B"/>
    <w:rsid w:val="00725322"/>
    <w:rsid w:val="00730DC6"/>
    <w:rsid w:val="0073153C"/>
    <w:rsid w:val="00734747"/>
    <w:rsid w:val="00735126"/>
    <w:rsid w:val="00740595"/>
    <w:rsid w:val="00742CAB"/>
    <w:rsid w:val="007441FD"/>
    <w:rsid w:val="00745A4D"/>
    <w:rsid w:val="00745E59"/>
    <w:rsid w:val="00747581"/>
    <w:rsid w:val="00751AF2"/>
    <w:rsid w:val="007522EC"/>
    <w:rsid w:val="00755697"/>
    <w:rsid w:val="007602B9"/>
    <w:rsid w:val="00763B87"/>
    <w:rsid w:val="0076412C"/>
    <w:rsid w:val="0076450E"/>
    <w:rsid w:val="00765710"/>
    <w:rsid w:val="00766F06"/>
    <w:rsid w:val="0076760B"/>
    <w:rsid w:val="00774B66"/>
    <w:rsid w:val="00777FD1"/>
    <w:rsid w:val="00780988"/>
    <w:rsid w:val="00783AA0"/>
    <w:rsid w:val="00783D56"/>
    <w:rsid w:val="00784F7F"/>
    <w:rsid w:val="007855E3"/>
    <w:rsid w:val="0078762E"/>
    <w:rsid w:val="0079184F"/>
    <w:rsid w:val="00792B5F"/>
    <w:rsid w:val="00795B90"/>
    <w:rsid w:val="007A3CAA"/>
    <w:rsid w:val="007B0B57"/>
    <w:rsid w:val="007B1DA9"/>
    <w:rsid w:val="007B38A7"/>
    <w:rsid w:val="007B65C6"/>
    <w:rsid w:val="007B7035"/>
    <w:rsid w:val="007C675B"/>
    <w:rsid w:val="007D05FF"/>
    <w:rsid w:val="007D0983"/>
    <w:rsid w:val="007D0AAD"/>
    <w:rsid w:val="007D1DAF"/>
    <w:rsid w:val="007D33B8"/>
    <w:rsid w:val="007D5013"/>
    <w:rsid w:val="007D68F2"/>
    <w:rsid w:val="007D762F"/>
    <w:rsid w:val="007D7FFD"/>
    <w:rsid w:val="007E0A66"/>
    <w:rsid w:val="007E18A3"/>
    <w:rsid w:val="007E1B75"/>
    <w:rsid w:val="007E27A3"/>
    <w:rsid w:val="007E2F19"/>
    <w:rsid w:val="007E3BB5"/>
    <w:rsid w:val="007E4D25"/>
    <w:rsid w:val="007F12B4"/>
    <w:rsid w:val="007F6930"/>
    <w:rsid w:val="007F72A0"/>
    <w:rsid w:val="00801820"/>
    <w:rsid w:val="0080371B"/>
    <w:rsid w:val="008066A5"/>
    <w:rsid w:val="00807965"/>
    <w:rsid w:val="00811422"/>
    <w:rsid w:val="008114B1"/>
    <w:rsid w:val="0081249E"/>
    <w:rsid w:val="0081598E"/>
    <w:rsid w:val="00817E6B"/>
    <w:rsid w:val="00820449"/>
    <w:rsid w:val="008241BA"/>
    <w:rsid w:val="00830077"/>
    <w:rsid w:val="00830EC8"/>
    <w:rsid w:val="00831E07"/>
    <w:rsid w:val="00832713"/>
    <w:rsid w:val="00833513"/>
    <w:rsid w:val="0083598F"/>
    <w:rsid w:val="00837509"/>
    <w:rsid w:val="0084728E"/>
    <w:rsid w:val="0085024B"/>
    <w:rsid w:val="00852101"/>
    <w:rsid w:val="00852EB5"/>
    <w:rsid w:val="00853885"/>
    <w:rsid w:val="00854C0B"/>
    <w:rsid w:val="008557A4"/>
    <w:rsid w:val="00856184"/>
    <w:rsid w:val="00860744"/>
    <w:rsid w:val="00861D0E"/>
    <w:rsid w:val="0086392B"/>
    <w:rsid w:val="00863A8F"/>
    <w:rsid w:val="00865E36"/>
    <w:rsid w:val="008663B9"/>
    <w:rsid w:val="00870736"/>
    <w:rsid w:val="00876DFB"/>
    <w:rsid w:val="00887707"/>
    <w:rsid w:val="00887D0D"/>
    <w:rsid w:val="00891FF9"/>
    <w:rsid w:val="00892527"/>
    <w:rsid w:val="00892607"/>
    <w:rsid w:val="008A202A"/>
    <w:rsid w:val="008A26C1"/>
    <w:rsid w:val="008A2FE8"/>
    <w:rsid w:val="008A38F2"/>
    <w:rsid w:val="008A3B46"/>
    <w:rsid w:val="008A54C2"/>
    <w:rsid w:val="008A6323"/>
    <w:rsid w:val="008B1760"/>
    <w:rsid w:val="008B26B6"/>
    <w:rsid w:val="008B3BC7"/>
    <w:rsid w:val="008B6699"/>
    <w:rsid w:val="008B66F6"/>
    <w:rsid w:val="008C5991"/>
    <w:rsid w:val="008C7485"/>
    <w:rsid w:val="008D0C7F"/>
    <w:rsid w:val="008D1763"/>
    <w:rsid w:val="008D548D"/>
    <w:rsid w:val="008D7C1F"/>
    <w:rsid w:val="008D7F3A"/>
    <w:rsid w:val="008E1508"/>
    <w:rsid w:val="008E3F98"/>
    <w:rsid w:val="008E7366"/>
    <w:rsid w:val="008F25BA"/>
    <w:rsid w:val="008F7133"/>
    <w:rsid w:val="008F71A5"/>
    <w:rsid w:val="008F7D62"/>
    <w:rsid w:val="00903074"/>
    <w:rsid w:val="0090417E"/>
    <w:rsid w:val="00910D9D"/>
    <w:rsid w:val="00911026"/>
    <w:rsid w:val="009164FE"/>
    <w:rsid w:val="0091700E"/>
    <w:rsid w:val="0092058A"/>
    <w:rsid w:val="00920A2A"/>
    <w:rsid w:val="0092295C"/>
    <w:rsid w:val="009251D1"/>
    <w:rsid w:val="00925A03"/>
    <w:rsid w:val="00932AC1"/>
    <w:rsid w:val="0093431D"/>
    <w:rsid w:val="00934AB9"/>
    <w:rsid w:val="009409E1"/>
    <w:rsid w:val="00941D0F"/>
    <w:rsid w:val="00942CF2"/>
    <w:rsid w:val="0094370D"/>
    <w:rsid w:val="00943787"/>
    <w:rsid w:val="00943F66"/>
    <w:rsid w:val="00953302"/>
    <w:rsid w:val="00953777"/>
    <w:rsid w:val="00955DAF"/>
    <w:rsid w:val="009571C7"/>
    <w:rsid w:val="00964825"/>
    <w:rsid w:val="009663CE"/>
    <w:rsid w:val="00966994"/>
    <w:rsid w:val="00970BD4"/>
    <w:rsid w:val="009725B5"/>
    <w:rsid w:val="0097474F"/>
    <w:rsid w:val="009818A9"/>
    <w:rsid w:val="00982E4F"/>
    <w:rsid w:val="00983BB5"/>
    <w:rsid w:val="00985028"/>
    <w:rsid w:val="009860B2"/>
    <w:rsid w:val="009861AA"/>
    <w:rsid w:val="00992663"/>
    <w:rsid w:val="00993010"/>
    <w:rsid w:val="00993447"/>
    <w:rsid w:val="009A4542"/>
    <w:rsid w:val="009B41CD"/>
    <w:rsid w:val="009B6537"/>
    <w:rsid w:val="009C3F79"/>
    <w:rsid w:val="009C6F22"/>
    <w:rsid w:val="009D5700"/>
    <w:rsid w:val="009E0900"/>
    <w:rsid w:val="009E3186"/>
    <w:rsid w:val="009E4158"/>
    <w:rsid w:val="009E55AB"/>
    <w:rsid w:val="009F23E1"/>
    <w:rsid w:val="009F3ECA"/>
    <w:rsid w:val="009F4B74"/>
    <w:rsid w:val="00A063F4"/>
    <w:rsid w:val="00A10FE4"/>
    <w:rsid w:val="00A12A60"/>
    <w:rsid w:val="00A147FF"/>
    <w:rsid w:val="00A14AC5"/>
    <w:rsid w:val="00A16D22"/>
    <w:rsid w:val="00A2205F"/>
    <w:rsid w:val="00A23F5F"/>
    <w:rsid w:val="00A30A9F"/>
    <w:rsid w:val="00A321E8"/>
    <w:rsid w:val="00A32906"/>
    <w:rsid w:val="00A3394D"/>
    <w:rsid w:val="00A34639"/>
    <w:rsid w:val="00A41A46"/>
    <w:rsid w:val="00A41F6D"/>
    <w:rsid w:val="00A43D29"/>
    <w:rsid w:val="00A46C8C"/>
    <w:rsid w:val="00A46DAD"/>
    <w:rsid w:val="00A47955"/>
    <w:rsid w:val="00A506DE"/>
    <w:rsid w:val="00A534EB"/>
    <w:rsid w:val="00A557FC"/>
    <w:rsid w:val="00A63FAC"/>
    <w:rsid w:val="00A64C2A"/>
    <w:rsid w:val="00A70792"/>
    <w:rsid w:val="00A72234"/>
    <w:rsid w:val="00A7297C"/>
    <w:rsid w:val="00A730C7"/>
    <w:rsid w:val="00A74168"/>
    <w:rsid w:val="00A76B0B"/>
    <w:rsid w:val="00A77580"/>
    <w:rsid w:val="00A90219"/>
    <w:rsid w:val="00A903F9"/>
    <w:rsid w:val="00A9173C"/>
    <w:rsid w:val="00A946AC"/>
    <w:rsid w:val="00A9577E"/>
    <w:rsid w:val="00A96F62"/>
    <w:rsid w:val="00AA18B2"/>
    <w:rsid w:val="00AA27F2"/>
    <w:rsid w:val="00AB5C57"/>
    <w:rsid w:val="00AC0BFF"/>
    <w:rsid w:val="00AC4571"/>
    <w:rsid w:val="00AC584D"/>
    <w:rsid w:val="00AC6A02"/>
    <w:rsid w:val="00AC6F0B"/>
    <w:rsid w:val="00AD079D"/>
    <w:rsid w:val="00AD48BB"/>
    <w:rsid w:val="00AE0BD9"/>
    <w:rsid w:val="00AE6E3E"/>
    <w:rsid w:val="00AF0CE7"/>
    <w:rsid w:val="00AF199F"/>
    <w:rsid w:val="00AF5785"/>
    <w:rsid w:val="00B0313F"/>
    <w:rsid w:val="00B03874"/>
    <w:rsid w:val="00B03927"/>
    <w:rsid w:val="00B03F56"/>
    <w:rsid w:val="00B03FDC"/>
    <w:rsid w:val="00B14EF5"/>
    <w:rsid w:val="00B2065C"/>
    <w:rsid w:val="00B24AEF"/>
    <w:rsid w:val="00B25016"/>
    <w:rsid w:val="00B2778B"/>
    <w:rsid w:val="00B27AC8"/>
    <w:rsid w:val="00B3235E"/>
    <w:rsid w:val="00B333E3"/>
    <w:rsid w:val="00B34BC7"/>
    <w:rsid w:val="00B361EE"/>
    <w:rsid w:val="00B36A57"/>
    <w:rsid w:val="00B442BB"/>
    <w:rsid w:val="00B518F5"/>
    <w:rsid w:val="00B519B4"/>
    <w:rsid w:val="00B528E8"/>
    <w:rsid w:val="00B52F4E"/>
    <w:rsid w:val="00B615DA"/>
    <w:rsid w:val="00B61AC7"/>
    <w:rsid w:val="00B63A69"/>
    <w:rsid w:val="00B66FE0"/>
    <w:rsid w:val="00B67BD7"/>
    <w:rsid w:val="00B72F19"/>
    <w:rsid w:val="00B73DF1"/>
    <w:rsid w:val="00B76BFC"/>
    <w:rsid w:val="00B81FEF"/>
    <w:rsid w:val="00B82185"/>
    <w:rsid w:val="00B856CC"/>
    <w:rsid w:val="00B85E70"/>
    <w:rsid w:val="00B864D9"/>
    <w:rsid w:val="00B87D8B"/>
    <w:rsid w:val="00B90A91"/>
    <w:rsid w:val="00B96D40"/>
    <w:rsid w:val="00BA2286"/>
    <w:rsid w:val="00BA380D"/>
    <w:rsid w:val="00BA3C64"/>
    <w:rsid w:val="00BA4125"/>
    <w:rsid w:val="00BA51B9"/>
    <w:rsid w:val="00BB017A"/>
    <w:rsid w:val="00BB0AF1"/>
    <w:rsid w:val="00BB2753"/>
    <w:rsid w:val="00BB3842"/>
    <w:rsid w:val="00BC5A44"/>
    <w:rsid w:val="00BD2B38"/>
    <w:rsid w:val="00BD308B"/>
    <w:rsid w:val="00BD3188"/>
    <w:rsid w:val="00BD46B9"/>
    <w:rsid w:val="00BD4900"/>
    <w:rsid w:val="00BD72F0"/>
    <w:rsid w:val="00BE2784"/>
    <w:rsid w:val="00BE2868"/>
    <w:rsid w:val="00BE3531"/>
    <w:rsid w:val="00BE4ED9"/>
    <w:rsid w:val="00BE5BC2"/>
    <w:rsid w:val="00BE7603"/>
    <w:rsid w:val="00BF46B7"/>
    <w:rsid w:val="00BF6772"/>
    <w:rsid w:val="00BF6D0D"/>
    <w:rsid w:val="00BF6D34"/>
    <w:rsid w:val="00C01111"/>
    <w:rsid w:val="00C06100"/>
    <w:rsid w:val="00C10507"/>
    <w:rsid w:val="00C13C29"/>
    <w:rsid w:val="00C2008D"/>
    <w:rsid w:val="00C20D65"/>
    <w:rsid w:val="00C20F87"/>
    <w:rsid w:val="00C2280B"/>
    <w:rsid w:val="00C27C58"/>
    <w:rsid w:val="00C27DBA"/>
    <w:rsid w:val="00C30409"/>
    <w:rsid w:val="00C34026"/>
    <w:rsid w:val="00C36AC9"/>
    <w:rsid w:val="00C36F74"/>
    <w:rsid w:val="00C37B00"/>
    <w:rsid w:val="00C40648"/>
    <w:rsid w:val="00C45480"/>
    <w:rsid w:val="00C53D43"/>
    <w:rsid w:val="00C542D4"/>
    <w:rsid w:val="00C558B1"/>
    <w:rsid w:val="00C56587"/>
    <w:rsid w:val="00C600E9"/>
    <w:rsid w:val="00C60381"/>
    <w:rsid w:val="00C60ABB"/>
    <w:rsid w:val="00C617D4"/>
    <w:rsid w:val="00C63039"/>
    <w:rsid w:val="00C759B8"/>
    <w:rsid w:val="00C75E8E"/>
    <w:rsid w:val="00C76260"/>
    <w:rsid w:val="00C808C2"/>
    <w:rsid w:val="00C8165C"/>
    <w:rsid w:val="00C83BCD"/>
    <w:rsid w:val="00C842E0"/>
    <w:rsid w:val="00C846F3"/>
    <w:rsid w:val="00C84CEB"/>
    <w:rsid w:val="00C91C99"/>
    <w:rsid w:val="00C94AFE"/>
    <w:rsid w:val="00CA1891"/>
    <w:rsid w:val="00CB21F9"/>
    <w:rsid w:val="00CB2373"/>
    <w:rsid w:val="00CC11CD"/>
    <w:rsid w:val="00CD01AA"/>
    <w:rsid w:val="00CD08EA"/>
    <w:rsid w:val="00CD0D9F"/>
    <w:rsid w:val="00CD2D81"/>
    <w:rsid w:val="00CE01E1"/>
    <w:rsid w:val="00CE2051"/>
    <w:rsid w:val="00CE2628"/>
    <w:rsid w:val="00CE27B6"/>
    <w:rsid w:val="00CE373C"/>
    <w:rsid w:val="00CE5148"/>
    <w:rsid w:val="00CE56B7"/>
    <w:rsid w:val="00CE5775"/>
    <w:rsid w:val="00CE6B0A"/>
    <w:rsid w:val="00CE6DC4"/>
    <w:rsid w:val="00CE71F3"/>
    <w:rsid w:val="00CF17C6"/>
    <w:rsid w:val="00CF20FB"/>
    <w:rsid w:val="00CF71CC"/>
    <w:rsid w:val="00CF7DCE"/>
    <w:rsid w:val="00D145DC"/>
    <w:rsid w:val="00D147D2"/>
    <w:rsid w:val="00D2379F"/>
    <w:rsid w:val="00D24F02"/>
    <w:rsid w:val="00D27099"/>
    <w:rsid w:val="00D3141B"/>
    <w:rsid w:val="00D40345"/>
    <w:rsid w:val="00D42FC4"/>
    <w:rsid w:val="00D5008B"/>
    <w:rsid w:val="00D52785"/>
    <w:rsid w:val="00D5364B"/>
    <w:rsid w:val="00D66AC9"/>
    <w:rsid w:val="00D747E6"/>
    <w:rsid w:val="00D77AF9"/>
    <w:rsid w:val="00D817BA"/>
    <w:rsid w:val="00D85364"/>
    <w:rsid w:val="00D857CD"/>
    <w:rsid w:val="00D90A41"/>
    <w:rsid w:val="00D94988"/>
    <w:rsid w:val="00D958A9"/>
    <w:rsid w:val="00D96C5A"/>
    <w:rsid w:val="00DB1A84"/>
    <w:rsid w:val="00DB3D41"/>
    <w:rsid w:val="00DC19CB"/>
    <w:rsid w:val="00DC22A5"/>
    <w:rsid w:val="00DC2902"/>
    <w:rsid w:val="00DC3E29"/>
    <w:rsid w:val="00DC4027"/>
    <w:rsid w:val="00DD1ED5"/>
    <w:rsid w:val="00DD30EC"/>
    <w:rsid w:val="00DE3F06"/>
    <w:rsid w:val="00DE4A1F"/>
    <w:rsid w:val="00DE5898"/>
    <w:rsid w:val="00DF234F"/>
    <w:rsid w:val="00DF327A"/>
    <w:rsid w:val="00DF4448"/>
    <w:rsid w:val="00DF49A8"/>
    <w:rsid w:val="00DF5051"/>
    <w:rsid w:val="00E01397"/>
    <w:rsid w:val="00E01E7B"/>
    <w:rsid w:val="00E0223F"/>
    <w:rsid w:val="00E02DB6"/>
    <w:rsid w:val="00E05FC5"/>
    <w:rsid w:val="00E1004E"/>
    <w:rsid w:val="00E14195"/>
    <w:rsid w:val="00E15904"/>
    <w:rsid w:val="00E21216"/>
    <w:rsid w:val="00E22426"/>
    <w:rsid w:val="00E2305F"/>
    <w:rsid w:val="00E264DA"/>
    <w:rsid w:val="00E32053"/>
    <w:rsid w:val="00E33881"/>
    <w:rsid w:val="00E34403"/>
    <w:rsid w:val="00E44605"/>
    <w:rsid w:val="00E45338"/>
    <w:rsid w:val="00E50633"/>
    <w:rsid w:val="00E54112"/>
    <w:rsid w:val="00E54652"/>
    <w:rsid w:val="00E55740"/>
    <w:rsid w:val="00E572E6"/>
    <w:rsid w:val="00E60071"/>
    <w:rsid w:val="00E64CF4"/>
    <w:rsid w:val="00E64E82"/>
    <w:rsid w:val="00E7069B"/>
    <w:rsid w:val="00E711AC"/>
    <w:rsid w:val="00E71508"/>
    <w:rsid w:val="00E75298"/>
    <w:rsid w:val="00E80118"/>
    <w:rsid w:val="00E8290B"/>
    <w:rsid w:val="00E85B6C"/>
    <w:rsid w:val="00E9526A"/>
    <w:rsid w:val="00E968B6"/>
    <w:rsid w:val="00E9782A"/>
    <w:rsid w:val="00EA1316"/>
    <w:rsid w:val="00EA131D"/>
    <w:rsid w:val="00EA2955"/>
    <w:rsid w:val="00EA4085"/>
    <w:rsid w:val="00EA50F7"/>
    <w:rsid w:val="00EB28D9"/>
    <w:rsid w:val="00EB3FEB"/>
    <w:rsid w:val="00EB7F9F"/>
    <w:rsid w:val="00EC2826"/>
    <w:rsid w:val="00EC3E04"/>
    <w:rsid w:val="00EC4B4F"/>
    <w:rsid w:val="00EC5ADF"/>
    <w:rsid w:val="00EC5AEE"/>
    <w:rsid w:val="00EC66EB"/>
    <w:rsid w:val="00ED3B73"/>
    <w:rsid w:val="00ED7279"/>
    <w:rsid w:val="00ED7E41"/>
    <w:rsid w:val="00EE4585"/>
    <w:rsid w:val="00EF000A"/>
    <w:rsid w:val="00EF54D0"/>
    <w:rsid w:val="00F02EA5"/>
    <w:rsid w:val="00F067D9"/>
    <w:rsid w:val="00F069D7"/>
    <w:rsid w:val="00F06EE3"/>
    <w:rsid w:val="00F12B02"/>
    <w:rsid w:val="00F177C7"/>
    <w:rsid w:val="00F209BD"/>
    <w:rsid w:val="00F21069"/>
    <w:rsid w:val="00F21A72"/>
    <w:rsid w:val="00F278D2"/>
    <w:rsid w:val="00F316E2"/>
    <w:rsid w:val="00F31E16"/>
    <w:rsid w:val="00F3214A"/>
    <w:rsid w:val="00F355D1"/>
    <w:rsid w:val="00F43A2C"/>
    <w:rsid w:val="00F45354"/>
    <w:rsid w:val="00F47337"/>
    <w:rsid w:val="00F47347"/>
    <w:rsid w:val="00F476B5"/>
    <w:rsid w:val="00F5332C"/>
    <w:rsid w:val="00F533D2"/>
    <w:rsid w:val="00F614E2"/>
    <w:rsid w:val="00F64615"/>
    <w:rsid w:val="00F66979"/>
    <w:rsid w:val="00F70390"/>
    <w:rsid w:val="00F80990"/>
    <w:rsid w:val="00F91E43"/>
    <w:rsid w:val="00F94061"/>
    <w:rsid w:val="00F95244"/>
    <w:rsid w:val="00F95C63"/>
    <w:rsid w:val="00FA085C"/>
    <w:rsid w:val="00FA2D7F"/>
    <w:rsid w:val="00FB327A"/>
    <w:rsid w:val="00FC1CA2"/>
    <w:rsid w:val="00FC274E"/>
    <w:rsid w:val="00FC2A25"/>
    <w:rsid w:val="00FC2D73"/>
    <w:rsid w:val="00FC2F38"/>
    <w:rsid w:val="00FC43F5"/>
    <w:rsid w:val="00FC48CE"/>
    <w:rsid w:val="00FD06D5"/>
    <w:rsid w:val="00FD0CBD"/>
    <w:rsid w:val="00FD1197"/>
    <w:rsid w:val="00FD133B"/>
    <w:rsid w:val="00FD1578"/>
    <w:rsid w:val="00FD325E"/>
    <w:rsid w:val="00FD6964"/>
    <w:rsid w:val="00FD7431"/>
    <w:rsid w:val="00FE0950"/>
    <w:rsid w:val="00FE17C2"/>
    <w:rsid w:val="00FE1C47"/>
    <w:rsid w:val="00FE28B8"/>
    <w:rsid w:val="00FE7A85"/>
    <w:rsid w:val="00FE7A9A"/>
    <w:rsid w:val="00FF1348"/>
    <w:rsid w:val="00FF2AAE"/>
    <w:rsid w:val="00FF5166"/>
    <w:rsid w:val="00FF71C3"/>
    <w:rsid w:val="01590E33"/>
    <w:rsid w:val="016F45ED"/>
    <w:rsid w:val="019E71BD"/>
    <w:rsid w:val="01D56529"/>
    <w:rsid w:val="01F77F95"/>
    <w:rsid w:val="02B564AF"/>
    <w:rsid w:val="041C42DA"/>
    <w:rsid w:val="042B154C"/>
    <w:rsid w:val="04342A95"/>
    <w:rsid w:val="049256F0"/>
    <w:rsid w:val="04A63374"/>
    <w:rsid w:val="04B679C3"/>
    <w:rsid w:val="05B747B5"/>
    <w:rsid w:val="05F07036"/>
    <w:rsid w:val="05F41565"/>
    <w:rsid w:val="06253E14"/>
    <w:rsid w:val="064E7294"/>
    <w:rsid w:val="06BA271F"/>
    <w:rsid w:val="06E00104"/>
    <w:rsid w:val="072C317B"/>
    <w:rsid w:val="07E3343A"/>
    <w:rsid w:val="080F63D8"/>
    <w:rsid w:val="08762705"/>
    <w:rsid w:val="08A75568"/>
    <w:rsid w:val="09341458"/>
    <w:rsid w:val="094277D4"/>
    <w:rsid w:val="098254C2"/>
    <w:rsid w:val="0A766EDE"/>
    <w:rsid w:val="0AC27E84"/>
    <w:rsid w:val="0ACE3106"/>
    <w:rsid w:val="0AD64BE8"/>
    <w:rsid w:val="0B0912D7"/>
    <w:rsid w:val="0B3A7A6C"/>
    <w:rsid w:val="0B5C558C"/>
    <w:rsid w:val="0B73459D"/>
    <w:rsid w:val="0C1C4F89"/>
    <w:rsid w:val="0C41127C"/>
    <w:rsid w:val="0C425FB0"/>
    <w:rsid w:val="0C811679"/>
    <w:rsid w:val="0C9C64B3"/>
    <w:rsid w:val="0CA904A4"/>
    <w:rsid w:val="0CE12330"/>
    <w:rsid w:val="0CF84031"/>
    <w:rsid w:val="0D840824"/>
    <w:rsid w:val="0DFF1CA8"/>
    <w:rsid w:val="0E025194"/>
    <w:rsid w:val="0E945A78"/>
    <w:rsid w:val="0EDE14D2"/>
    <w:rsid w:val="0EF80318"/>
    <w:rsid w:val="0EF85BFC"/>
    <w:rsid w:val="0F303700"/>
    <w:rsid w:val="0FD73C96"/>
    <w:rsid w:val="0FE80209"/>
    <w:rsid w:val="10354016"/>
    <w:rsid w:val="103723F3"/>
    <w:rsid w:val="10374E70"/>
    <w:rsid w:val="10453FF3"/>
    <w:rsid w:val="109F12D5"/>
    <w:rsid w:val="110919E7"/>
    <w:rsid w:val="1122342A"/>
    <w:rsid w:val="11580487"/>
    <w:rsid w:val="11586E4C"/>
    <w:rsid w:val="1219663F"/>
    <w:rsid w:val="12260CF8"/>
    <w:rsid w:val="122A4C8C"/>
    <w:rsid w:val="12AB7115"/>
    <w:rsid w:val="12BE7183"/>
    <w:rsid w:val="131A3C63"/>
    <w:rsid w:val="132221E6"/>
    <w:rsid w:val="13767A5D"/>
    <w:rsid w:val="14700951"/>
    <w:rsid w:val="152D2DCA"/>
    <w:rsid w:val="15456076"/>
    <w:rsid w:val="15D5325E"/>
    <w:rsid w:val="168D7D37"/>
    <w:rsid w:val="169311EC"/>
    <w:rsid w:val="16AB7951"/>
    <w:rsid w:val="17C30206"/>
    <w:rsid w:val="187168EA"/>
    <w:rsid w:val="194E0959"/>
    <w:rsid w:val="19573E8D"/>
    <w:rsid w:val="196673CA"/>
    <w:rsid w:val="19EB4951"/>
    <w:rsid w:val="19FE42A9"/>
    <w:rsid w:val="19FFB122"/>
    <w:rsid w:val="1AAE7CE7"/>
    <w:rsid w:val="1B2F4AEE"/>
    <w:rsid w:val="1B836E76"/>
    <w:rsid w:val="1B8371BB"/>
    <w:rsid w:val="1BCF41AF"/>
    <w:rsid w:val="1C3B5737"/>
    <w:rsid w:val="1C4644FD"/>
    <w:rsid w:val="1C470A5A"/>
    <w:rsid w:val="1CEF326C"/>
    <w:rsid w:val="1CF734C9"/>
    <w:rsid w:val="1CFF6734"/>
    <w:rsid w:val="1D5561CE"/>
    <w:rsid w:val="1D9531D6"/>
    <w:rsid w:val="1DAD6772"/>
    <w:rsid w:val="1DEC284C"/>
    <w:rsid w:val="1E4142AB"/>
    <w:rsid w:val="1E6523AC"/>
    <w:rsid w:val="1EA12652"/>
    <w:rsid w:val="1F3E024B"/>
    <w:rsid w:val="1F5C25ED"/>
    <w:rsid w:val="1F896D6A"/>
    <w:rsid w:val="201151CC"/>
    <w:rsid w:val="20146F59"/>
    <w:rsid w:val="202645B9"/>
    <w:rsid w:val="20363BA4"/>
    <w:rsid w:val="20653A2E"/>
    <w:rsid w:val="20A7561E"/>
    <w:rsid w:val="20F63F8C"/>
    <w:rsid w:val="2121649C"/>
    <w:rsid w:val="21C610AE"/>
    <w:rsid w:val="22440422"/>
    <w:rsid w:val="224B1443"/>
    <w:rsid w:val="22852D49"/>
    <w:rsid w:val="22BB4BBB"/>
    <w:rsid w:val="23F6611D"/>
    <w:rsid w:val="24AA7567"/>
    <w:rsid w:val="24B8164C"/>
    <w:rsid w:val="24DB5972"/>
    <w:rsid w:val="2549479A"/>
    <w:rsid w:val="25641055"/>
    <w:rsid w:val="257044DB"/>
    <w:rsid w:val="25AE2425"/>
    <w:rsid w:val="25DE7970"/>
    <w:rsid w:val="264473DD"/>
    <w:rsid w:val="27293602"/>
    <w:rsid w:val="275406EE"/>
    <w:rsid w:val="278B6680"/>
    <w:rsid w:val="27E924DA"/>
    <w:rsid w:val="27F60959"/>
    <w:rsid w:val="27FB95D0"/>
    <w:rsid w:val="28137B19"/>
    <w:rsid w:val="284E28FF"/>
    <w:rsid w:val="28773C04"/>
    <w:rsid w:val="288A70AE"/>
    <w:rsid w:val="28D449CC"/>
    <w:rsid w:val="28F0378E"/>
    <w:rsid w:val="29601041"/>
    <w:rsid w:val="29963748"/>
    <w:rsid w:val="29E109CB"/>
    <w:rsid w:val="2A6C48EB"/>
    <w:rsid w:val="2AE31B35"/>
    <w:rsid w:val="2AE35581"/>
    <w:rsid w:val="2AE75DD1"/>
    <w:rsid w:val="2AEB3417"/>
    <w:rsid w:val="2B14020C"/>
    <w:rsid w:val="2B7166FA"/>
    <w:rsid w:val="2C2321DB"/>
    <w:rsid w:val="2D22579D"/>
    <w:rsid w:val="2D502E74"/>
    <w:rsid w:val="2DC75416"/>
    <w:rsid w:val="2DEC13B2"/>
    <w:rsid w:val="2E3D0620"/>
    <w:rsid w:val="2E8B3F8C"/>
    <w:rsid w:val="2E9C04D7"/>
    <w:rsid w:val="2EC41526"/>
    <w:rsid w:val="2ECF4A71"/>
    <w:rsid w:val="2EDDEC25"/>
    <w:rsid w:val="2EE10029"/>
    <w:rsid w:val="2F1E74CF"/>
    <w:rsid w:val="2F8512FC"/>
    <w:rsid w:val="2FDE121D"/>
    <w:rsid w:val="2FE73D65"/>
    <w:rsid w:val="2FF45EEC"/>
    <w:rsid w:val="301306B6"/>
    <w:rsid w:val="30803872"/>
    <w:rsid w:val="30A532D8"/>
    <w:rsid w:val="3101381C"/>
    <w:rsid w:val="311B0F37"/>
    <w:rsid w:val="312839F4"/>
    <w:rsid w:val="31A15F24"/>
    <w:rsid w:val="31C61931"/>
    <w:rsid w:val="32296CC9"/>
    <w:rsid w:val="324A0061"/>
    <w:rsid w:val="324A1681"/>
    <w:rsid w:val="328915AA"/>
    <w:rsid w:val="32BA26CA"/>
    <w:rsid w:val="32BB067D"/>
    <w:rsid w:val="32BF263C"/>
    <w:rsid w:val="32D81743"/>
    <w:rsid w:val="32EC6C98"/>
    <w:rsid w:val="332819AF"/>
    <w:rsid w:val="334E3587"/>
    <w:rsid w:val="33605348"/>
    <w:rsid w:val="336E41B6"/>
    <w:rsid w:val="33A0281C"/>
    <w:rsid w:val="33EC257F"/>
    <w:rsid w:val="33FE1B30"/>
    <w:rsid w:val="33FF532B"/>
    <w:rsid w:val="345B44E6"/>
    <w:rsid w:val="347C30BD"/>
    <w:rsid w:val="354E3F3E"/>
    <w:rsid w:val="35A10974"/>
    <w:rsid w:val="35B9A09F"/>
    <w:rsid w:val="36213401"/>
    <w:rsid w:val="36D42397"/>
    <w:rsid w:val="36FB1DF0"/>
    <w:rsid w:val="377B808B"/>
    <w:rsid w:val="37932663"/>
    <w:rsid w:val="38075290"/>
    <w:rsid w:val="380A152F"/>
    <w:rsid w:val="385E093C"/>
    <w:rsid w:val="389F5263"/>
    <w:rsid w:val="395347B5"/>
    <w:rsid w:val="39A232A0"/>
    <w:rsid w:val="39E745AA"/>
    <w:rsid w:val="39EE5C5B"/>
    <w:rsid w:val="3A7B6FB7"/>
    <w:rsid w:val="3AC438A1"/>
    <w:rsid w:val="3B4C0F20"/>
    <w:rsid w:val="3B563B4D"/>
    <w:rsid w:val="3B5A6BBB"/>
    <w:rsid w:val="3B743A02"/>
    <w:rsid w:val="3BD77B30"/>
    <w:rsid w:val="3BE949C1"/>
    <w:rsid w:val="3BE9B79E"/>
    <w:rsid w:val="3D711112"/>
    <w:rsid w:val="3DA6629B"/>
    <w:rsid w:val="3DD05E38"/>
    <w:rsid w:val="3DFF78A2"/>
    <w:rsid w:val="3E0B6E71"/>
    <w:rsid w:val="3E2E249C"/>
    <w:rsid w:val="3EB77407"/>
    <w:rsid w:val="3EBA1EDB"/>
    <w:rsid w:val="3EC21420"/>
    <w:rsid w:val="3EDA13A6"/>
    <w:rsid w:val="3EFF1B40"/>
    <w:rsid w:val="3F7E3672"/>
    <w:rsid w:val="3F8C1F2B"/>
    <w:rsid w:val="3F9B4224"/>
    <w:rsid w:val="3FB02005"/>
    <w:rsid w:val="3FF7B51C"/>
    <w:rsid w:val="3FFE20A9"/>
    <w:rsid w:val="3FFF684E"/>
    <w:rsid w:val="40017E71"/>
    <w:rsid w:val="401603DC"/>
    <w:rsid w:val="40E71942"/>
    <w:rsid w:val="40FC5239"/>
    <w:rsid w:val="410858E9"/>
    <w:rsid w:val="412F111A"/>
    <w:rsid w:val="41764F49"/>
    <w:rsid w:val="417B75E9"/>
    <w:rsid w:val="41831414"/>
    <w:rsid w:val="41F74D20"/>
    <w:rsid w:val="426A56CF"/>
    <w:rsid w:val="42731488"/>
    <w:rsid w:val="42B5647C"/>
    <w:rsid w:val="42F058B7"/>
    <w:rsid w:val="42F334A6"/>
    <w:rsid w:val="434C7328"/>
    <w:rsid w:val="436109F6"/>
    <w:rsid w:val="43D177C1"/>
    <w:rsid w:val="43F02780"/>
    <w:rsid w:val="4416031D"/>
    <w:rsid w:val="441A38D4"/>
    <w:rsid w:val="4504239D"/>
    <w:rsid w:val="45085EB8"/>
    <w:rsid w:val="450B05EB"/>
    <w:rsid w:val="451B0554"/>
    <w:rsid w:val="45C1324D"/>
    <w:rsid w:val="46935810"/>
    <w:rsid w:val="46B502C1"/>
    <w:rsid w:val="46EE10DD"/>
    <w:rsid w:val="46F102CA"/>
    <w:rsid w:val="47460F19"/>
    <w:rsid w:val="47531968"/>
    <w:rsid w:val="47726286"/>
    <w:rsid w:val="47D35FFC"/>
    <w:rsid w:val="47FE5FD0"/>
    <w:rsid w:val="482C1D47"/>
    <w:rsid w:val="484216E1"/>
    <w:rsid w:val="484C61E3"/>
    <w:rsid w:val="488625FA"/>
    <w:rsid w:val="48AE5E0C"/>
    <w:rsid w:val="48B06F92"/>
    <w:rsid w:val="48EF5E19"/>
    <w:rsid w:val="4917045D"/>
    <w:rsid w:val="4A0C644A"/>
    <w:rsid w:val="4A421E6C"/>
    <w:rsid w:val="4A7039CC"/>
    <w:rsid w:val="4AA1283F"/>
    <w:rsid w:val="4B756271"/>
    <w:rsid w:val="4B8E3E64"/>
    <w:rsid w:val="4BA804EE"/>
    <w:rsid w:val="4BC77339"/>
    <w:rsid w:val="4BDB74EB"/>
    <w:rsid w:val="4C25607F"/>
    <w:rsid w:val="4C9236C5"/>
    <w:rsid w:val="4CC7713D"/>
    <w:rsid w:val="4CFE6A83"/>
    <w:rsid w:val="4D324B3F"/>
    <w:rsid w:val="4E250A85"/>
    <w:rsid w:val="4E4F6905"/>
    <w:rsid w:val="4E5403C0"/>
    <w:rsid w:val="4E5D0FFF"/>
    <w:rsid w:val="4EA53D98"/>
    <w:rsid w:val="4EB057E0"/>
    <w:rsid w:val="4F7630EC"/>
    <w:rsid w:val="4FCE58EC"/>
    <w:rsid w:val="4FFD4925"/>
    <w:rsid w:val="4FFFA000"/>
    <w:rsid w:val="50102C97"/>
    <w:rsid w:val="505C172E"/>
    <w:rsid w:val="506405EA"/>
    <w:rsid w:val="50792360"/>
    <w:rsid w:val="50827473"/>
    <w:rsid w:val="50A85FF9"/>
    <w:rsid w:val="50CE484F"/>
    <w:rsid w:val="50E0418D"/>
    <w:rsid w:val="50E22C1F"/>
    <w:rsid w:val="51360251"/>
    <w:rsid w:val="51363DAD"/>
    <w:rsid w:val="51443564"/>
    <w:rsid w:val="51F40370"/>
    <w:rsid w:val="522C22C2"/>
    <w:rsid w:val="52416EAD"/>
    <w:rsid w:val="52443849"/>
    <w:rsid w:val="52511493"/>
    <w:rsid w:val="52565F58"/>
    <w:rsid w:val="52B87620"/>
    <w:rsid w:val="52BFFBBC"/>
    <w:rsid w:val="52F46F0B"/>
    <w:rsid w:val="52F65EE9"/>
    <w:rsid w:val="532B6A10"/>
    <w:rsid w:val="535B2656"/>
    <w:rsid w:val="53AC038E"/>
    <w:rsid w:val="53D8014D"/>
    <w:rsid w:val="541C1980"/>
    <w:rsid w:val="542F2127"/>
    <w:rsid w:val="54F93E4A"/>
    <w:rsid w:val="55003B4B"/>
    <w:rsid w:val="550C5EA9"/>
    <w:rsid w:val="5535353D"/>
    <w:rsid w:val="55AE6607"/>
    <w:rsid w:val="55DD3058"/>
    <w:rsid w:val="55E064E0"/>
    <w:rsid w:val="55EA6CDE"/>
    <w:rsid w:val="55FD30EB"/>
    <w:rsid w:val="56FB7F7F"/>
    <w:rsid w:val="570D1A54"/>
    <w:rsid w:val="572C6D10"/>
    <w:rsid w:val="58093D53"/>
    <w:rsid w:val="58313520"/>
    <w:rsid w:val="585316E8"/>
    <w:rsid w:val="587A3847"/>
    <w:rsid w:val="58B93579"/>
    <w:rsid w:val="58E84530"/>
    <w:rsid w:val="58FB64FD"/>
    <w:rsid w:val="593250E8"/>
    <w:rsid w:val="59512012"/>
    <w:rsid w:val="595C281E"/>
    <w:rsid w:val="595F0EF6"/>
    <w:rsid w:val="598FEEE9"/>
    <w:rsid w:val="5A5252FC"/>
    <w:rsid w:val="5A584D94"/>
    <w:rsid w:val="5AF7A3BA"/>
    <w:rsid w:val="5AF96A68"/>
    <w:rsid w:val="5B655CEC"/>
    <w:rsid w:val="5B8C1B58"/>
    <w:rsid w:val="5BBF6BE1"/>
    <w:rsid w:val="5BF4D68F"/>
    <w:rsid w:val="5C64173C"/>
    <w:rsid w:val="5C974816"/>
    <w:rsid w:val="5CD62413"/>
    <w:rsid w:val="5CFE6861"/>
    <w:rsid w:val="5D530D5F"/>
    <w:rsid w:val="5DC34279"/>
    <w:rsid w:val="5DFFD41E"/>
    <w:rsid w:val="5EF1149A"/>
    <w:rsid w:val="5F122193"/>
    <w:rsid w:val="5F227813"/>
    <w:rsid w:val="5F4B1803"/>
    <w:rsid w:val="5FC55CDC"/>
    <w:rsid w:val="5FC73B37"/>
    <w:rsid w:val="5FCD688E"/>
    <w:rsid w:val="5FF9BDAA"/>
    <w:rsid w:val="5FFE5333"/>
    <w:rsid w:val="603161C9"/>
    <w:rsid w:val="608816D1"/>
    <w:rsid w:val="60CF38D6"/>
    <w:rsid w:val="60D13AF2"/>
    <w:rsid w:val="60EF4E7F"/>
    <w:rsid w:val="61073070"/>
    <w:rsid w:val="613DE9EF"/>
    <w:rsid w:val="614F4D58"/>
    <w:rsid w:val="61622CC9"/>
    <w:rsid w:val="61EA1448"/>
    <w:rsid w:val="61EE6BD3"/>
    <w:rsid w:val="62625182"/>
    <w:rsid w:val="6293145F"/>
    <w:rsid w:val="62A56FE4"/>
    <w:rsid w:val="63621144"/>
    <w:rsid w:val="637A1586"/>
    <w:rsid w:val="639434D8"/>
    <w:rsid w:val="644B5969"/>
    <w:rsid w:val="6488196E"/>
    <w:rsid w:val="648B0A32"/>
    <w:rsid w:val="64923598"/>
    <w:rsid w:val="651FE8E7"/>
    <w:rsid w:val="65271F32"/>
    <w:rsid w:val="65BD0638"/>
    <w:rsid w:val="65C25218"/>
    <w:rsid w:val="66187ACD"/>
    <w:rsid w:val="665233C1"/>
    <w:rsid w:val="677DC48A"/>
    <w:rsid w:val="677E6FB6"/>
    <w:rsid w:val="677FD9B7"/>
    <w:rsid w:val="67B61B1F"/>
    <w:rsid w:val="67E66785"/>
    <w:rsid w:val="684D1029"/>
    <w:rsid w:val="687F7E1F"/>
    <w:rsid w:val="68D6226F"/>
    <w:rsid w:val="697E40EB"/>
    <w:rsid w:val="69AC0D42"/>
    <w:rsid w:val="69C42446"/>
    <w:rsid w:val="6A040E7B"/>
    <w:rsid w:val="6AB96DFC"/>
    <w:rsid w:val="6AC73CF3"/>
    <w:rsid w:val="6AD9688B"/>
    <w:rsid w:val="6AEA2018"/>
    <w:rsid w:val="6B4A0729"/>
    <w:rsid w:val="6B920A8F"/>
    <w:rsid w:val="6B96571C"/>
    <w:rsid w:val="6BC22825"/>
    <w:rsid w:val="6BD7236D"/>
    <w:rsid w:val="6BF6440D"/>
    <w:rsid w:val="6D0E3F22"/>
    <w:rsid w:val="6DFC704A"/>
    <w:rsid w:val="6E01724F"/>
    <w:rsid w:val="6E024FFD"/>
    <w:rsid w:val="6E2F69B9"/>
    <w:rsid w:val="6E7F9388"/>
    <w:rsid w:val="6E8B0D18"/>
    <w:rsid w:val="6EF03E94"/>
    <w:rsid w:val="6F140BD1"/>
    <w:rsid w:val="6F267784"/>
    <w:rsid w:val="6F2B5E66"/>
    <w:rsid w:val="6F2D2A3D"/>
    <w:rsid w:val="6F4D4C8B"/>
    <w:rsid w:val="6F5F0B87"/>
    <w:rsid w:val="6F7947F4"/>
    <w:rsid w:val="6F805C0B"/>
    <w:rsid w:val="6FB757BE"/>
    <w:rsid w:val="6FC52255"/>
    <w:rsid w:val="6FFB0805"/>
    <w:rsid w:val="705B6F34"/>
    <w:rsid w:val="709F1183"/>
    <w:rsid w:val="70F133F4"/>
    <w:rsid w:val="710D2CC0"/>
    <w:rsid w:val="718575C1"/>
    <w:rsid w:val="72037883"/>
    <w:rsid w:val="724265FE"/>
    <w:rsid w:val="72E9207B"/>
    <w:rsid w:val="733DB083"/>
    <w:rsid w:val="73886292"/>
    <w:rsid w:val="739015EB"/>
    <w:rsid w:val="74123648"/>
    <w:rsid w:val="744E4660"/>
    <w:rsid w:val="751500D6"/>
    <w:rsid w:val="751F2C0F"/>
    <w:rsid w:val="753355A2"/>
    <w:rsid w:val="753901FE"/>
    <w:rsid w:val="759F1C61"/>
    <w:rsid w:val="75DD2813"/>
    <w:rsid w:val="76004806"/>
    <w:rsid w:val="760C0512"/>
    <w:rsid w:val="7630676D"/>
    <w:rsid w:val="766C4718"/>
    <w:rsid w:val="7684708B"/>
    <w:rsid w:val="769F2DE8"/>
    <w:rsid w:val="76BE5D36"/>
    <w:rsid w:val="76EF03D6"/>
    <w:rsid w:val="76FDEB7C"/>
    <w:rsid w:val="77287E3C"/>
    <w:rsid w:val="77A411C1"/>
    <w:rsid w:val="77DB450F"/>
    <w:rsid w:val="77E93077"/>
    <w:rsid w:val="77F76F0B"/>
    <w:rsid w:val="77FDBE87"/>
    <w:rsid w:val="78174729"/>
    <w:rsid w:val="78615304"/>
    <w:rsid w:val="78AE27FE"/>
    <w:rsid w:val="78B638A1"/>
    <w:rsid w:val="78BB0A3E"/>
    <w:rsid w:val="78FFFEE0"/>
    <w:rsid w:val="792A7671"/>
    <w:rsid w:val="792F7C7B"/>
    <w:rsid w:val="798474FC"/>
    <w:rsid w:val="79C65162"/>
    <w:rsid w:val="79FF0CC3"/>
    <w:rsid w:val="7A2E1215"/>
    <w:rsid w:val="7AE2762A"/>
    <w:rsid w:val="7AED56A1"/>
    <w:rsid w:val="7B2D511F"/>
    <w:rsid w:val="7B366CA3"/>
    <w:rsid w:val="7B5DC18C"/>
    <w:rsid w:val="7B79F131"/>
    <w:rsid w:val="7BFD58CD"/>
    <w:rsid w:val="7C41577F"/>
    <w:rsid w:val="7C9011D9"/>
    <w:rsid w:val="7CBE208C"/>
    <w:rsid w:val="7D344903"/>
    <w:rsid w:val="7D630242"/>
    <w:rsid w:val="7D6788B6"/>
    <w:rsid w:val="7D77A8EA"/>
    <w:rsid w:val="7D924079"/>
    <w:rsid w:val="7DA74D8C"/>
    <w:rsid w:val="7DB5250C"/>
    <w:rsid w:val="7DC651C5"/>
    <w:rsid w:val="7DF350ED"/>
    <w:rsid w:val="7DFE7371"/>
    <w:rsid w:val="7E4E1E86"/>
    <w:rsid w:val="7E79887D"/>
    <w:rsid w:val="7EBBFBE5"/>
    <w:rsid w:val="7EDC0546"/>
    <w:rsid w:val="7EED7CF6"/>
    <w:rsid w:val="7F2F763E"/>
    <w:rsid w:val="7F7A3A0A"/>
    <w:rsid w:val="7F7BF6BC"/>
    <w:rsid w:val="7F7DD2E0"/>
    <w:rsid w:val="7F9DA0E8"/>
    <w:rsid w:val="7FAF2452"/>
    <w:rsid w:val="7FAF5321"/>
    <w:rsid w:val="7FAFCFFE"/>
    <w:rsid w:val="7FCC2834"/>
    <w:rsid w:val="7FD7D146"/>
    <w:rsid w:val="7FE4CD75"/>
    <w:rsid w:val="7FF07699"/>
    <w:rsid w:val="7FF6A4EF"/>
    <w:rsid w:val="7FFF7947"/>
    <w:rsid w:val="7FFFB94F"/>
    <w:rsid w:val="851B21A5"/>
    <w:rsid w:val="8AFD725E"/>
    <w:rsid w:val="92DD1CEF"/>
    <w:rsid w:val="9DFF2663"/>
    <w:rsid w:val="9FDBE74C"/>
    <w:rsid w:val="9FEA270F"/>
    <w:rsid w:val="9FF575A4"/>
    <w:rsid w:val="A5BF5278"/>
    <w:rsid w:val="A6CFB8CC"/>
    <w:rsid w:val="AA7E9B47"/>
    <w:rsid w:val="AB3F18E9"/>
    <w:rsid w:val="ACF703B1"/>
    <w:rsid w:val="ADAF214B"/>
    <w:rsid w:val="ADF7B768"/>
    <w:rsid w:val="AFEF5BCC"/>
    <w:rsid w:val="AFFE9FF0"/>
    <w:rsid w:val="B2FBF026"/>
    <w:rsid w:val="B7F7437C"/>
    <w:rsid w:val="B7FABE69"/>
    <w:rsid w:val="B7FF8610"/>
    <w:rsid w:val="B9EE426E"/>
    <w:rsid w:val="B9FAD28F"/>
    <w:rsid w:val="BADFB66D"/>
    <w:rsid w:val="BB6FBDAA"/>
    <w:rsid w:val="BBDB3FA3"/>
    <w:rsid w:val="BC7FF419"/>
    <w:rsid w:val="BF2CB0B9"/>
    <w:rsid w:val="BF6E3ED6"/>
    <w:rsid w:val="BFAAE024"/>
    <w:rsid w:val="BFBCEBC0"/>
    <w:rsid w:val="BFFB8ACF"/>
    <w:rsid w:val="CBD238BE"/>
    <w:rsid w:val="D4FFBF52"/>
    <w:rsid w:val="D77CF28C"/>
    <w:rsid w:val="DB93B472"/>
    <w:rsid w:val="DBFD1E10"/>
    <w:rsid w:val="DDE19F64"/>
    <w:rsid w:val="DEFFDD46"/>
    <w:rsid w:val="DFB3EAC0"/>
    <w:rsid w:val="DFDFC069"/>
    <w:rsid w:val="E3B7F1CF"/>
    <w:rsid w:val="EAF9F3D3"/>
    <w:rsid w:val="EDF7E1E2"/>
    <w:rsid w:val="EE779D72"/>
    <w:rsid w:val="EFF6A537"/>
    <w:rsid w:val="F05B4F69"/>
    <w:rsid w:val="F3CD727F"/>
    <w:rsid w:val="F5D30604"/>
    <w:rsid w:val="F5DE3429"/>
    <w:rsid w:val="F7FB5C7D"/>
    <w:rsid w:val="F95F38C7"/>
    <w:rsid w:val="F97D9566"/>
    <w:rsid w:val="F98FD1F9"/>
    <w:rsid w:val="FAB50B99"/>
    <w:rsid w:val="FAFA023F"/>
    <w:rsid w:val="FBBFFC42"/>
    <w:rsid w:val="FBDF0E75"/>
    <w:rsid w:val="FC5E41F1"/>
    <w:rsid w:val="FD8BF025"/>
    <w:rsid w:val="FDFC11D5"/>
    <w:rsid w:val="FDFF411C"/>
    <w:rsid w:val="FE3F5CA4"/>
    <w:rsid w:val="FE7E3A85"/>
    <w:rsid w:val="FEBF2E30"/>
    <w:rsid w:val="FEFACE96"/>
    <w:rsid w:val="FEFF5C6E"/>
    <w:rsid w:val="FF16DDF9"/>
    <w:rsid w:val="FF7E3A88"/>
    <w:rsid w:val="FFB3FEB7"/>
    <w:rsid w:val="FFB716FB"/>
    <w:rsid w:val="FFBCA5AA"/>
    <w:rsid w:val="FFBDB832"/>
    <w:rsid w:val="FFDC4A34"/>
    <w:rsid w:val="FFF27F57"/>
    <w:rsid w:val="FFF34306"/>
    <w:rsid w:val="FFF3FB0E"/>
    <w:rsid w:val="FFFD4EB7"/>
    <w:rsid w:val="FFFEAA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1"/>
    <w:basedOn w:val="1"/>
    <w:next w:val="1"/>
    <w:qFormat/>
    <w:uiPriority w:val="0"/>
    <w:pPr>
      <w:keepNext/>
      <w:keepLines/>
      <w:adjustRightInd/>
      <w:spacing w:before="340" w:after="330" w:line="578" w:lineRule="auto"/>
      <w:textAlignment w:val="auto"/>
      <w:outlineLvl w:val="0"/>
    </w:pPr>
    <w:rPr>
      <w:rFonts w:eastAsia="黑体"/>
      <w:b/>
      <w:bCs/>
      <w:kern w:val="44"/>
      <w:sz w:val="21"/>
      <w:szCs w:val="44"/>
    </w:rPr>
  </w:style>
  <w:style w:type="paragraph" w:styleId="4">
    <w:name w:val="heading 4"/>
    <w:basedOn w:val="1"/>
    <w:next w:val="1"/>
    <w:uiPriority w:val="0"/>
    <w:pPr>
      <w:keepNext/>
      <w:keepLines/>
      <w:spacing w:before="280" w:after="290" w:line="372" w:lineRule="auto"/>
      <w:outlineLvl w:val="3"/>
    </w:pPr>
    <w:rPr>
      <w:rFonts w:ascii="Arial" w:hAnsi="Arial" w:eastAsia="黑体"/>
      <w:b/>
      <w:sz w:val="28"/>
    </w:rPr>
  </w:style>
  <w:style w:type="character" w:default="1" w:styleId="18">
    <w:name w:val="Default Paragraph Font"/>
    <w:link w:val="19"/>
    <w:semiHidden/>
    <w:qFormat/>
    <w:uiPriority w:val="0"/>
    <w:rPr>
      <w:rFonts w:ascii="Calibri" w:hAnsi="Calibri"/>
      <w:szCs w:val="24"/>
    </w:rPr>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pPr>
  </w:style>
  <w:style w:type="paragraph" w:styleId="5">
    <w:name w:val="annotation text"/>
    <w:basedOn w:val="1"/>
    <w:link w:val="26"/>
    <w:uiPriority w:val="0"/>
    <w:pPr>
      <w:jc w:val="left"/>
    </w:pPr>
  </w:style>
  <w:style w:type="paragraph" w:styleId="6">
    <w:name w:val="Body Text Indent"/>
    <w:uiPriority w:val="0"/>
    <w:pPr>
      <w:widowControl w:val="0"/>
      <w:spacing w:after="120"/>
      <w:ind w:left="420" w:leftChars="200"/>
      <w:jc w:val="both"/>
    </w:pPr>
    <w:rPr>
      <w:rFonts w:ascii="Calibri" w:hAnsi="Calibri" w:eastAsia="宋体" w:cs="Times New Roman"/>
      <w:kern w:val="0"/>
      <w:sz w:val="21"/>
      <w:szCs w:val="21"/>
      <w:lang w:val="en-US" w:eastAsia="zh-CN" w:bidi="ar-SA"/>
    </w:rPr>
  </w:style>
  <w:style w:type="paragraph" w:styleId="7">
    <w:name w:val="Block Text"/>
    <w:basedOn w:val="1"/>
    <w:qFormat/>
    <w:uiPriority w:val="0"/>
    <w:pPr>
      <w:adjustRightInd/>
      <w:spacing w:after="120" w:line="240" w:lineRule="auto"/>
      <w:ind w:left="1440" w:leftChars="700" w:right="700" w:rightChars="700"/>
      <w:textAlignment w:val="auto"/>
    </w:pPr>
    <w:rPr>
      <w:rFonts w:ascii="Calibri" w:hAnsi="Calibri" w:eastAsia="方正仿宋_GBK"/>
      <w:kern w:val="2"/>
      <w:sz w:val="32"/>
      <w:szCs w:val="24"/>
    </w:rPr>
  </w:style>
  <w:style w:type="paragraph" w:styleId="8">
    <w:name w:val="toc 5"/>
    <w:basedOn w:val="1"/>
    <w:next w:val="1"/>
    <w:qFormat/>
    <w:uiPriority w:val="0"/>
    <w:pPr>
      <w:widowControl w:val="0"/>
      <w:adjustRightInd/>
      <w:spacing w:line="600" w:lineRule="exact"/>
      <w:ind w:firstLine="200" w:firstLineChars="200"/>
      <w:textAlignment w:val="auto"/>
    </w:pPr>
    <w:rPr>
      <w:rFonts w:ascii="方正黑体_GBK" w:hAnsi="Calibri" w:eastAsia="方正黑体_GBK" w:cstheme="minorBidi"/>
      <w:kern w:val="2"/>
      <w:sz w:val="32"/>
      <w:szCs w:val="32"/>
      <w:lang w:val="en-US" w:eastAsia="zh-CN" w:bidi="ar-SA"/>
    </w:rPr>
  </w:style>
  <w:style w:type="paragraph" w:styleId="9">
    <w:name w:val="Date"/>
    <w:basedOn w:val="1"/>
    <w:next w:val="1"/>
    <w:link w:val="27"/>
    <w:uiPriority w:val="0"/>
    <w:pPr>
      <w:adjustRightInd/>
      <w:spacing w:line="240" w:lineRule="auto"/>
      <w:ind w:left="100" w:leftChars="2500"/>
      <w:textAlignment w:val="auto"/>
    </w:pPr>
    <w:rPr>
      <w:rFonts w:eastAsia="宋体"/>
      <w:kern w:val="2"/>
      <w:sz w:val="21"/>
      <w:szCs w:val="21"/>
    </w:rPr>
  </w:style>
  <w:style w:type="paragraph" w:styleId="10">
    <w:name w:val="Balloon Text"/>
    <w:basedOn w:val="1"/>
    <w:link w:val="32"/>
    <w:semiHidden/>
    <w:qFormat/>
    <w:uiPriority w:val="0"/>
    <w:pPr>
      <w:adjustRightInd/>
      <w:spacing w:line="240" w:lineRule="auto"/>
      <w:textAlignment w:val="auto"/>
    </w:pPr>
    <w:rPr>
      <w:rFonts w:eastAsia="宋体"/>
      <w:kern w:val="2"/>
      <w:sz w:val="18"/>
      <w:szCs w:val="18"/>
    </w:rPr>
  </w:style>
  <w:style w:type="paragraph" w:styleId="11">
    <w:name w:val="footer"/>
    <w:basedOn w:val="1"/>
    <w:link w:val="33"/>
    <w:qFormat/>
    <w:uiPriority w:val="0"/>
    <w:pPr>
      <w:tabs>
        <w:tab w:val="center" w:pos="4153"/>
        <w:tab w:val="right" w:pos="8306"/>
      </w:tabs>
      <w:snapToGrid w:val="0"/>
      <w:jc w:val="left"/>
    </w:pPr>
    <w:rPr>
      <w:sz w:val="18"/>
    </w:rPr>
  </w:style>
  <w:style w:type="paragraph" w:styleId="12">
    <w:name w:val="header"/>
    <w:basedOn w:val="1"/>
    <w:link w:val="3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400" w:lineRule="exact"/>
      <w:jc w:val="left"/>
      <w:textAlignment w:val="auto"/>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5">
    <w:name w:val="Body Text First Indent"/>
    <w:basedOn w:val="2"/>
    <w:next w:val="16"/>
    <w:uiPriority w:val="0"/>
    <w:pPr>
      <w:spacing w:after="160"/>
      <w:ind w:firstLine="420" w:firstLineChars="100"/>
    </w:pPr>
  </w:style>
  <w:style w:type="paragraph" w:styleId="16">
    <w:name w:val="Body Text First Indent 2"/>
    <w:next w:val="15"/>
    <w:uiPriority w:val="0"/>
    <w:pPr>
      <w:widowControl w:val="0"/>
      <w:spacing w:after="120"/>
      <w:ind w:left="420" w:leftChars="200" w:firstLine="420" w:firstLineChars="200"/>
      <w:jc w:val="both"/>
    </w:pPr>
    <w:rPr>
      <w:rFonts w:ascii="Calibri" w:hAnsi="Calibri" w:eastAsia="宋体" w:cs="Times New Roman"/>
      <w:kern w:val="0"/>
      <w:sz w:val="21"/>
      <w:szCs w:val="21"/>
      <w:lang w:val="en-US" w:eastAsia="zh-CN" w:bidi="ar-SA"/>
    </w:rPr>
  </w:style>
  <w:style w:type="paragraph" w:customStyle="1" w:styleId="19">
    <w:name w:val="默认段落字体 Para Char Char Char Char Char Char Char Char Char Char Char Char"/>
    <w:basedOn w:val="1"/>
    <w:link w:val="18"/>
    <w:qFormat/>
    <w:uiPriority w:val="0"/>
    <w:pPr>
      <w:tabs>
        <w:tab w:val="right" w:pos="-2120"/>
      </w:tabs>
      <w:snapToGrid w:val="0"/>
    </w:pPr>
    <w:rPr>
      <w:rFonts w:ascii="Calibri" w:hAnsi="Calibri"/>
      <w:szCs w:val="24"/>
    </w:rPr>
  </w:style>
  <w:style w:type="character" w:styleId="20">
    <w:name w:val="Strong"/>
    <w:basedOn w:val="18"/>
    <w:uiPriority w:val="0"/>
    <w:rPr>
      <w:b/>
      <w:bCs/>
    </w:rPr>
  </w:style>
  <w:style w:type="character" w:styleId="21">
    <w:name w:val="page number"/>
    <w:basedOn w:val="18"/>
    <w:qFormat/>
    <w:uiPriority w:val="0"/>
  </w:style>
  <w:style w:type="character" w:styleId="22">
    <w:name w:val="Hyperlink"/>
    <w:uiPriority w:val="0"/>
    <w:rPr>
      <w:rFonts w:ascii="Calibri" w:hAnsi="Calibri" w:eastAsia="宋体" w:cs="Times New Roman"/>
      <w:color w:val="000000"/>
      <w:u w:val="none"/>
    </w:rPr>
  </w:style>
  <w:style w:type="character" w:styleId="23">
    <w:name w:val="annotation reference"/>
    <w:uiPriority w:val="0"/>
    <w:rPr>
      <w:rFonts w:ascii="Times New Roman" w:hAnsi="Times New Roman" w:eastAsia="宋体" w:cs="Times New Roman"/>
      <w:sz w:val="21"/>
      <w:szCs w:val="21"/>
    </w:rPr>
  </w:style>
  <w:style w:type="paragraph" w:customStyle="1" w:styleId="24">
    <w:name w:val="Normal (Web)"/>
    <w:basedOn w:val="1"/>
    <w:qFormat/>
    <w:uiPriority w:val="0"/>
    <w:pPr>
      <w:jc w:val="left"/>
    </w:pPr>
    <w:rPr>
      <w:rFonts w:ascii="Calibri" w:hAnsi="Calibri"/>
      <w:kern w:val="0"/>
      <w:sz w:val="24"/>
      <w:szCs w:val="24"/>
    </w:rPr>
  </w:style>
  <w:style w:type="paragraph" w:customStyle="1" w:styleId="25">
    <w:name w:val="p0"/>
    <w:basedOn w:val="1"/>
    <w:qFormat/>
    <w:uiPriority w:val="0"/>
    <w:pPr>
      <w:widowControl/>
    </w:pPr>
    <w:rPr>
      <w:rFonts w:ascii="Calibri" w:hAnsi="Calibri" w:eastAsia="宋体" w:cs="宋体"/>
      <w:kern w:val="0"/>
      <w:szCs w:val="32"/>
    </w:rPr>
  </w:style>
  <w:style w:type="character" w:customStyle="1" w:styleId="26">
    <w:name w:val="批注文字 字符"/>
    <w:link w:val="5"/>
    <w:semiHidden/>
    <w:qFormat/>
    <w:uiPriority w:val="99"/>
    <w:rPr>
      <w:rFonts w:ascii="Times New Roman" w:hAnsi="Times New Roman" w:eastAsia="宋体" w:cs="Times New Roman"/>
    </w:rPr>
  </w:style>
  <w:style w:type="character" w:customStyle="1" w:styleId="27">
    <w:name w:val="日期 字符"/>
    <w:link w:val="9"/>
    <w:semiHidden/>
    <w:qFormat/>
    <w:uiPriority w:val="99"/>
    <w:rPr>
      <w:rFonts w:ascii="Times New Roman" w:hAnsi="Times New Roman" w:eastAsia="宋体" w:cs="Times New Roman"/>
    </w:rPr>
  </w:style>
  <w:style w:type="character" w:customStyle="1" w:styleId="28">
    <w:name w:val="批注框文本 字符"/>
    <w:link w:val="10"/>
    <w:qFormat/>
    <w:uiPriority w:val="99"/>
    <w:rPr>
      <w:rFonts w:ascii="Times New Roman" w:hAnsi="Times New Roman" w:eastAsia="宋体" w:cs="Times New Roman"/>
      <w:sz w:val="18"/>
      <w:szCs w:val="18"/>
    </w:rPr>
  </w:style>
  <w:style w:type="character" w:customStyle="1" w:styleId="29">
    <w:name w:val="页脚 字符"/>
    <w:link w:val="11"/>
    <w:qFormat/>
    <w:uiPriority w:val="99"/>
    <w:rPr>
      <w:rFonts w:ascii="Times New Roman" w:hAnsi="Times New Roman" w:eastAsia="宋体" w:cs="Times New Roman"/>
      <w:sz w:val="18"/>
    </w:rPr>
  </w:style>
  <w:style w:type="character" w:customStyle="1" w:styleId="30">
    <w:name w:val="页眉 字符"/>
    <w:link w:val="12"/>
    <w:qFormat/>
    <w:uiPriority w:val="99"/>
    <w:rPr>
      <w:rFonts w:ascii="Times New Roman" w:hAnsi="Times New Roman" w:eastAsia="宋体" w:cs="Times New Roman"/>
      <w:sz w:val="28"/>
    </w:rPr>
  </w:style>
  <w:style w:type="paragraph" w:customStyle="1" w:styleId="31">
    <w:name w:val="Body Text First Indent1"/>
    <w:basedOn w:val="2"/>
    <w:qFormat/>
    <w:uiPriority w:val="0"/>
    <w:pPr>
      <w:adjustRightInd/>
      <w:spacing w:after="120" w:afterLines="-2147483648" w:afterAutospacing="0" w:line="240" w:lineRule="auto"/>
      <w:textAlignment w:val="auto"/>
    </w:pPr>
    <w:rPr>
      <w:rFonts w:eastAsia="宋体"/>
      <w:kern w:val="2"/>
      <w:sz w:val="30"/>
      <w:szCs w:val="20"/>
    </w:rPr>
  </w:style>
  <w:style w:type="character" w:customStyle="1" w:styleId="32">
    <w:name w:val="批注框文本 Char"/>
    <w:link w:val="10"/>
    <w:qFormat/>
    <w:uiPriority w:val="0"/>
    <w:rPr>
      <w:rFonts w:ascii="Calibri" w:hAnsi="Calibri" w:eastAsia="宋体" w:cs="Times New Roman"/>
      <w:kern w:val="2"/>
      <w:sz w:val="18"/>
      <w:szCs w:val="18"/>
    </w:rPr>
  </w:style>
  <w:style w:type="character" w:customStyle="1" w:styleId="33">
    <w:name w:val="页脚 Char"/>
    <w:link w:val="11"/>
    <w:qFormat/>
    <w:uiPriority w:val="99"/>
    <w:rPr>
      <w:rFonts w:ascii="Calibri" w:hAnsi="Calibri" w:eastAsia="宋体" w:cs="Times New Roman"/>
      <w:kern w:val="2"/>
      <w:sz w:val="18"/>
      <w:szCs w:val="18"/>
    </w:rPr>
  </w:style>
  <w:style w:type="paragraph" w:styleId="34">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5">
    <w:name w:val="Heading #2|1"/>
    <w:basedOn w:val="1"/>
    <w:qFormat/>
    <w:uiPriority w:val="0"/>
    <w:pPr>
      <w:adjustRightInd/>
      <w:spacing w:after="330" w:line="240" w:lineRule="auto"/>
      <w:jc w:val="center"/>
      <w:textAlignment w:val="auto"/>
      <w:outlineLvl w:val="1"/>
    </w:pPr>
    <w:rPr>
      <w:rFonts w:ascii="宋体" w:hAnsi="宋体" w:eastAsia="宋体" w:cs="宋体"/>
      <w:kern w:val="2"/>
      <w:sz w:val="42"/>
      <w:szCs w:val="42"/>
      <w:lang w:val="zh-TW" w:eastAsia="zh-TW" w:bidi="zh-TW"/>
    </w:rPr>
  </w:style>
  <w:style w:type="paragraph" w:customStyle="1" w:styleId="36">
    <w:name w:val="Body text|1"/>
    <w:basedOn w:val="1"/>
    <w:qFormat/>
    <w:uiPriority w:val="0"/>
    <w:pPr>
      <w:adjustRightInd/>
      <w:spacing w:line="386" w:lineRule="auto"/>
      <w:textAlignment w:val="auto"/>
    </w:pPr>
    <w:rPr>
      <w:rFonts w:ascii="宋体" w:hAnsi="宋体" w:eastAsia="宋体" w:cs="宋体"/>
      <w:kern w:val="2"/>
      <w:sz w:val="30"/>
      <w:szCs w:val="30"/>
      <w:lang w:val="zh-TW" w:eastAsia="zh-TW" w:bidi="zh-TW"/>
    </w:rPr>
  </w:style>
  <w:style w:type="paragraph" w:customStyle="1" w:styleId="37">
    <w:name w:val="Normal (Web)1"/>
    <w:basedOn w:val="1"/>
    <w:qFormat/>
    <w:uiPriority w:val="99"/>
    <w:pPr>
      <w:widowControl/>
      <w:adjustRightInd/>
      <w:spacing w:beforeAutospacing="1" w:afterAutospacing="1" w:line="240" w:lineRule="auto"/>
      <w:jc w:val="left"/>
      <w:textAlignment w:val="auto"/>
    </w:pPr>
    <w:rPr>
      <w:rFonts w:ascii="Calibri" w:hAnsi="Calibri" w:eastAsia="方正仿宋_GBK"/>
      <w:kern w:val="2"/>
      <w:sz w:val="24"/>
      <w:szCs w:val="24"/>
    </w:rPr>
  </w:style>
  <w:style w:type="paragraph" w:customStyle="1" w:styleId="38">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39">
    <w:name w:val="标题 31"/>
    <w:qFormat/>
    <w:uiPriority w:val="0"/>
    <w:pPr>
      <w:keepNext/>
      <w:keepLines/>
      <w:widowControl w:val="0"/>
      <w:spacing w:before="200"/>
      <w:jc w:val="both"/>
      <w:outlineLvl w:val="2"/>
    </w:pPr>
    <w:rPr>
      <w:rFonts w:ascii="Cambria" w:hAnsi="Cambria" w:eastAsia="宋体" w:cs="Times New Roman"/>
      <w:b/>
      <w:bCs/>
      <w:color w:val="4F81BD"/>
      <w:lang w:val="en-US" w:eastAsia="zh-CN" w:bidi="ar-SA"/>
    </w:rPr>
  </w:style>
  <w:style w:type="character" w:customStyle="1" w:styleId="40">
    <w:name w:val="默认段落字体1"/>
    <w:semiHidden/>
    <w:qFormat/>
    <w:uiPriority w:val="0"/>
    <w:rPr>
      <w:rFonts w:ascii="Times New Roman" w:hAnsi="Times New Roman" w:eastAsia="宋体" w:cs="Times New Roman"/>
    </w:rPr>
  </w:style>
  <w:style w:type="table" w:customStyle="1" w:styleId="41">
    <w:name w:val="普通表格1"/>
    <w:semiHidden/>
    <w:qFormat/>
    <w:uiPriority w:val="0"/>
    <w:tblPr>
      <w:tblCellMar>
        <w:top w:w="0" w:type="dxa"/>
        <w:left w:w="0" w:type="dxa"/>
        <w:bottom w:w="0" w:type="dxa"/>
        <w:right w:w="0" w:type="dxa"/>
      </w:tblCellMar>
    </w:tblPr>
  </w:style>
  <w:style w:type="paragraph" w:customStyle="1" w:styleId="42">
    <w:name w:val="文本块1"/>
    <w:basedOn w:val="1"/>
    <w:qFormat/>
    <w:uiPriority w:val="0"/>
    <w:pPr>
      <w:adjustRightInd/>
      <w:spacing w:after="120" w:line="400" w:lineRule="exact"/>
      <w:ind w:left="1440" w:leftChars="700" w:right="700" w:rightChars="700"/>
      <w:textAlignment w:val="auto"/>
    </w:pPr>
    <w:rPr>
      <w:rFonts w:eastAsia="宋体"/>
      <w:kern w:val="2"/>
      <w:sz w:val="21"/>
      <w:szCs w:val="22"/>
    </w:rPr>
  </w:style>
  <w:style w:type="paragraph" w:customStyle="1" w:styleId="43">
    <w:name w:val="目录 51"/>
    <w:basedOn w:val="1"/>
    <w:qFormat/>
    <w:uiPriority w:val="0"/>
    <w:pPr>
      <w:adjustRightInd/>
      <w:spacing w:line="400" w:lineRule="exact"/>
      <w:ind w:left="1680" w:leftChars="800"/>
      <w:textAlignment w:val="auto"/>
    </w:pPr>
    <w:rPr>
      <w:rFonts w:eastAsia="宋体"/>
      <w:kern w:val="2"/>
      <w:sz w:val="21"/>
      <w:szCs w:val="24"/>
    </w:rPr>
  </w:style>
  <w:style w:type="paragraph" w:customStyle="1" w:styleId="44">
    <w:name w:val="页脚1"/>
    <w:basedOn w:val="1"/>
    <w:qFormat/>
    <w:uiPriority w:val="0"/>
    <w:pPr>
      <w:tabs>
        <w:tab w:val="center" w:pos="4153"/>
        <w:tab w:val="right" w:pos="8306"/>
      </w:tabs>
      <w:adjustRightInd/>
      <w:snapToGrid w:val="0"/>
      <w:spacing w:line="240" w:lineRule="auto"/>
      <w:jc w:val="left"/>
      <w:textAlignment w:val="auto"/>
    </w:pPr>
    <w:rPr>
      <w:rFonts w:ascii="Calibri" w:hAnsi="Calibri" w:eastAsia="宋体"/>
      <w:kern w:val="2"/>
      <w:sz w:val="18"/>
      <w:szCs w:val="18"/>
    </w:rPr>
  </w:style>
  <w:style w:type="paragraph" w:customStyle="1" w:styleId="45">
    <w:name w:val="页眉1"/>
    <w:basedOn w:val="1"/>
    <w:qFormat/>
    <w:uiPriority w:val="0"/>
    <w:pPr>
      <w:pBdr>
        <w:bottom w:val="single" w:color="000000" w:sz="6" w:space="1"/>
      </w:pBdr>
      <w:tabs>
        <w:tab w:val="center" w:pos="4153"/>
        <w:tab w:val="right" w:pos="8306"/>
      </w:tabs>
      <w:adjustRightInd/>
      <w:snapToGrid w:val="0"/>
      <w:spacing w:line="240" w:lineRule="atLeast"/>
      <w:jc w:val="center"/>
      <w:textAlignment w:val="auto"/>
    </w:pPr>
    <w:rPr>
      <w:rFonts w:eastAsia="宋体"/>
      <w:kern w:val="2"/>
      <w:sz w:val="18"/>
      <w:szCs w:val="18"/>
    </w:rPr>
  </w:style>
  <w:style w:type="character" w:customStyle="1" w:styleId="46">
    <w:name w:val="强调1"/>
    <w:basedOn w:val="40"/>
    <w:qFormat/>
    <w:uiPriority w:val="0"/>
    <w:rPr>
      <w:i/>
    </w:rPr>
  </w:style>
  <w:style w:type="character" w:customStyle="1" w:styleId="47">
    <w:name w:val="NormalCharacter"/>
    <w:semiHidden/>
    <w:qFormat/>
    <w:uiPriority w:val="0"/>
    <w:rPr>
      <w:rFonts w:ascii="Times New Roman" w:hAnsi="Times New Roman" w:eastAsia="宋体" w:cs="Times New Roman"/>
    </w:rPr>
  </w:style>
  <w:style w:type="character" w:customStyle="1" w:styleId="48">
    <w:name w:val="font41"/>
    <w:basedOn w:val="40"/>
    <w:qFormat/>
    <w:uiPriority w:val="0"/>
    <w:rPr>
      <w:rFonts w:ascii="Times New Roman" w:hAnsi="Times New Roman"/>
      <w:color w:val="000000"/>
      <w:sz w:val="16"/>
      <w:szCs w:val="16"/>
      <w:u w:val="none"/>
    </w:rPr>
  </w:style>
  <w:style w:type="character" w:customStyle="1" w:styleId="49">
    <w:name w:val="font61"/>
    <w:basedOn w:val="40"/>
    <w:qFormat/>
    <w:uiPriority w:val="0"/>
    <w:rPr>
      <w:rFonts w:hint="eastAsia" w:ascii="宋体" w:hAnsi="宋体" w:eastAsia="宋体"/>
      <w:color w:val="000000"/>
      <w:sz w:val="16"/>
      <w:szCs w:val="16"/>
      <w:u w:val="none"/>
    </w:rPr>
  </w:style>
  <w:style w:type="character" w:customStyle="1" w:styleId="50">
    <w:name w:val="font71"/>
    <w:basedOn w:val="40"/>
    <w:qFormat/>
    <w:uiPriority w:val="0"/>
    <w:rPr>
      <w:rFonts w:hint="eastAsia" w:ascii="宋体" w:hAnsi="宋体" w:eastAsia="宋体"/>
      <w:color w:val="000000"/>
      <w:sz w:val="16"/>
      <w:szCs w:val="16"/>
      <w:u w:val="none"/>
    </w:rPr>
  </w:style>
  <w:style w:type="character" w:customStyle="1" w:styleId="51">
    <w:name w:val="font31"/>
    <w:basedOn w:val="40"/>
    <w:qFormat/>
    <w:uiPriority w:val="0"/>
    <w:rPr>
      <w:rFonts w:ascii="Times New Roman" w:hAnsi="Times New Roman"/>
      <w:color w:val="000000"/>
      <w:sz w:val="16"/>
      <w:szCs w:val="16"/>
      <w:u w:val="none"/>
    </w:rPr>
  </w:style>
  <w:style w:type="character" w:customStyle="1" w:styleId="52">
    <w:name w:val="font81"/>
    <w:basedOn w:val="40"/>
    <w:qFormat/>
    <w:uiPriority w:val="0"/>
    <w:rPr>
      <w:rFonts w:hint="eastAsia" w:ascii="宋体" w:hAnsi="宋体" w:eastAsia="宋体"/>
      <w:b/>
      <w:bCs/>
      <w:color w:val="000000"/>
      <w:sz w:val="16"/>
      <w:szCs w:val="16"/>
      <w:u w:val="none"/>
    </w:rPr>
  </w:style>
  <w:style w:type="character" w:customStyle="1" w:styleId="53">
    <w:name w:val="font91"/>
    <w:basedOn w:val="40"/>
    <w:qFormat/>
    <w:uiPriority w:val="0"/>
    <w:rPr>
      <w:rFonts w:ascii="Times New Roman" w:hAnsi="Times New Roman"/>
      <w:b/>
      <w:bCs/>
      <w:color w:val="000000"/>
      <w:sz w:val="16"/>
      <w:szCs w:val="16"/>
      <w:u w:val="none"/>
    </w:rPr>
  </w:style>
  <w:style w:type="character" w:customStyle="1" w:styleId="54">
    <w:name w:val="fontstyle01"/>
    <w:qFormat/>
    <w:uiPriority w:val="0"/>
    <w:rPr>
      <w:rFonts w:ascii="FZXBSK--GBK1-0" w:hAnsi="FZXBSK--GBK1-0" w:eastAsia="FZXBSK--GBK1-0" w:cs="Times New Roman"/>
      <w:color w:val="000000"/>
      <w:sz w:val="44"/>
      <w:szCs w:val="44"/>
    </w:rPr>
  </w:style>
  <w:style w:type="paragraph" w:customStyle="1" w:styleId="55">
    <w:name w:val="正文首行缩进1"/>
    <w:basedOn w:val="56"/>
    <w:qFormat/>
    <w:uiPriority w:val="0"/>
    <w:pPr>
      <w:ind w:firstLine="420" w:firstLineChars="100"/>
    </w:pPr>
  </w:style>
  <w:style w:type="paragraph" w:customStyle="1" w:styleId="56">
    <w:name w:val="正文文本1"/>
    <w:basedOn w:val="1"/>
    <w:qFormat/>
    <w:uiPriority w:val="0"/>
    <w:pPr>
      <w:adjustRightInd/>
      <w:spacing w:after="120" w:line="400" w:lineRule="exact"/>
      <w:textAlignment w:val="auto"/>
    </w:pPr>
    <w:rPr>
      <w:rFonts w:eastAsia="宋体"/>
      <w:kern w:val="2"/>
      <w:sz w:val="21"/>
      <w:szCs w:val="22"/>
    </w:rPr>
  </w:style>
  <w:style w:type="table" w:customStyle="1" w:styleId="57">
    <w:name w:val="网格型1"/>
    <w:basedOn w:val="41"/>
    <w:qFormat/>
    <w:uiPriority w:val="0"/>
    <w:pPr>
      <w:widowControl w:val="0"/>
      <w:jc w:val="both"/>
    </w:pPr>
    <w:tblPr>
      <w:tblCellMar>
        <w:top w:w="0" w:type="dxa"/>
        <w:left w:w="0" w:type="dxa"/>
        <w:bottom w:w="0" w:type="dxa"/>
        <w:right w:w="0" w:type="dxa"/>
      </w:tblCellMar>
    </w:tblPr>
  </w:style>
  <w:style w:type="paragraph" w:customStyle="1" w:styleId="58">
    <w:name w:val="Revision"/>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1</Words>
  <Characters>11</Characters>
  <Lines>1</Lines>
  <Paragraphs>1</Paragraphs>
  <TotalTime>15</TotalTime>
  <ScaleCrop>false</ScaleCrop>
  <LinksUpToDate>false</LinksUpToDate>
  <CharactersWithSpaces>11</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2015-06-09T00:09:00Z</dcterms:created>
  <dc:creator>Lenovo User</dc:creator>
  <cp:lastModifiedBy> </cp:lastModifiedBy>
  <cp:lastPrinted>2024-07-16T17:32:00Z</cp:lastPrinted>
  <dcterms:modified xsi:type="dcterms:W3CDTF">2024-07-26T15:26:45Z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ies>
</file>