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hint="eastAsia" w:ascii="方正仿宋_GBK" w:hAnsi="方正仿宋_GBK" w:cs="方正仿宋_GBK"/>
          <w:szCs w:val="32"/>
        </w:rPr>
      </w:pPr>
      <w:bookmarkStart w:id="0" w:name="_Toc90024088"/>
    </w:p>
    <w:p>
      <w:pPr>
        <w:spacing w:line="276" w:lineRule="auto"/>
        <w:jc w:val="left"/>
        <w:rPr>
          <w:rFonts w:hint="eastAsia" w:ascii="方正仿宋_GBK" w:hAnsi="方正仿宋_GBK" w:cs="方正仿宋_GBK"/>
          <w:szCs w:val="32"/>
        </w:rPr>
      </w:pPr>
    </w:p>
    <w:p>
      <w:pPr>
        <w:spacing w:line="276" w:lineRule="auto"/>
        <w:jc w:val="left"/>
        <w:rPr>
          <w:rFonts w:hint="eastAsia" w:ascii="方正仿宋_GBK" w:hAnsi="方正仿宋_GBK" w:cs="方正仿宋_GBK"/>
          <w:szCs w:val="32"/>
        </w:rPr>
      </w:pPr>
    </w:p>
    <w:p>
      <w:pPr>
        <w:spacing w:line="276" w:lineRule="auto"/>
        <w:jc w:val="left"/>
        <w:rPr>
          <w:rFonts w:hint="eastAsia" w:ascii="方正仿宋_GBK" w:hAnsi="方正仿宋_GBK" w:cs="方正仿宋_GBK"/>
          <w:szCs w:val="32"/>
        </w:rPr>
      </w:pPr>
    </w:p>
    <w:p>
      <w:pPr>
        <w:spacing w:line="276" w:lineRule="auto"/>
        <w:jc w:val="left"/>
        <w:rPr>
          <w:rFonts w:hint="eastAsia" w:ascii="方正仿宋_GBK" w:hAnsi="方正仿宋_GBK" w:cs="方正仿宋_GBK"/>
          <w:szCs w:val="32"/>
        </w:rPr>
      </w:pPr>
    </w:p>
    <w:p>
      <w:pPr>
        <w:spacing w:line="276" w:lineRule="auto"/>
        <w:jc w:val="left"/>
        <w:rPr>
          <w:rFonts w:hint="eastAsia" w:ascii="方正仿宋_GBK" w:hAnsi="方正仿宋_GBK" w:cs="方正仿宋_GBK"/>
          <w:szCs w:val="32"/>
        </w:rPr>
      </w:pPr>
    </w:p>
    <w:p>
      <w:pPr>
        <w:spacing w:line="276" w:lineRule="auto"/>
        <w:jc w:val="left"/>
        <w:rPr>
          <w:rFonts w:hint="eastAsia" w:ascii="方正仿宋_GBK" w:hAnsi="方正仿宋_GBK" w:cs="方正仿宋_GBK"/>
          <w:szCs w:val="32"/>
        </w:rPr>
      </w:pPr>
    </w:p>
    <w:p>
      <w:pPr>
        <w:spacing w:line="276" w:lineRule="auto"/>
        <w:jc w:val="left"/>
        <w:rPr>
          <w:rFonts w:hint="eastAsia" w:ascii="方正仿宋_GBK" w:hAnsi="方正仿宋_GBK" w:cs="方正仿宋_GBK"/>
          <w:szCs w:val="32"/>
        </w:rPr>
      </w:pPr>
    </w:p>
    <w:p>
      <w:pPr>
        <w:overflowPunct w:val="0"/>
        <w:spacing w:line="276" w:lineRule="auto"/>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永川府办发〔2022〕16号</w:t>
      </w:r>
    </w:p>
    <w:p>
      <w:pPr>
        <w:overflowPunct w:val="0"/>
        <w:spacing w:line="276" w:lineRule="auto"/>
        <w:jc w:val="left"/>
        <w:rPr>
          <w:rFonts w:hint="eastAsia" w:ascii="方正仿宋_GBK" w:hAnsi="方正仿宋_GBK" w:eastAsia="方正仿宋_GBK" w:cs="方正仿宋_GBK"/>
          <w:sz w:val="32"/>
          <w:szCs w:val="32"/>
          <w:lang w:val="en-US" w:eastAsia="zh-CN"/>
        </w:rPr>
      </w:pPr>
    </w:p>
    <w:p>
      <w:pPr>
        <w:overflowPunct w:val="0"/>
        <w:spacing w:line="276" w:lineRule="auto"/>
        <w:jc w:val="left"/>
        <w:rPr>
          <w:rFonts w:hint="eastAsia" w:ascii="方正仿宋_GBK" w:hAnsi="方正仿宋_GBK" w:eastAsia="方正仿宋_GBK" w:cs="方正仿宋_GBK"/>
          <w:sz w:val="32"/>
          <w:szCs w:val="32"/>
          <w:lang w:val="en-US" w:eastAsia="zh-CN"/>
        </w:rPr>
      </w:pPr>
    </w:p>
    <w:p>
      <w:pPr>
        <w:overflowPunct w:val="0"/>
        <w:spacing w:line="600" w:lineRule="exact"/>
        <w:jc w:val="center"/>
        <w:rPr>
          <w:rFonts w:hint="eastAsia" w:eastAsia="方正小标宋_GBK"/>
          <w:sz w:val="44"/>
          <w:szCs w:val="44"/>
          <w:lang w:val="en-US" w:eastAsia="zh-CN"/>
        </w:rPr>
      </w:pPr>
      <w:r>
        <w:rPr>
          <w:rFonts w:hint="eastAsia" w:eastAsia="方正小标宋_GBK"/>
          <w:sz w:val="44"/>
          <w:szCs w:val="44"/>
          <w:lang w:val="en-US" w:eastAsia="zh-CN"/>
        </w:rPr>
        <w:t>重庆市永川区人民政府办公室</w:t>
      </w:r>
    </w:p>
    <w:p>
      <w:pPr>
        <w:overflowPunct w:val="0"/>
        <w:spacing w:line="600" w:lineRule="exact"/>
        <w:jc w:val="center"/>
        <w:rPr>
          <w:rFonts w:hint="eastAsia" w:eastAsia="方正小标宋_GBK"/>
          <w:sz w:val="44"/>
          <w:szCs w:val="44"/>
          <w:lang w:val="en-US" w:eastAsia="zh-CN"/>
        </w:rPr>
      </w:pPr>
      <w:r>
        <w:rPr>
          <w:rFonts w:hint="eastAsia" w:eastAsia="方正小标宋_GBK"/>
          <w:sz w:val="44"/>
          <w:szCs w:val="44"/>
          <w:lang w:val="en-US" w:eastAsia="zh-CN"/>
        </w:rPr>
        <w:t>关于印发</w:t>
      </w:r>
      <w:r>
        <w:rPr>
          <w:rFonts w:hint="eastAsia" w:ascii="方正小标宋_GBK" w:hAnsi="方正小标宋_GBK" w:eastAsia="方正小标宋_GBK" w:cs="方正小标宋_GBK"/>
          <w:bCs/>
          <w:kern w:val="44"/>
          <w:sz w:val="44"/>
        </w:rPr>
        <w:t>永川区</w:t>
      </w:r>
      <w:r>
        <w:rPr>
          <w:rFonts w:ascii="方正小标宋_GBK" w:hAnsi="方正小标宋_GBK" w:eastAsia="方正小标宋_GBK" w:cs="方正小标宋_GBK"/>
          <w:bCs/>
          <w:kern w:val="44"/>
          <w:sz w:val="44"/>
        </w:rPr>
        <w:t>消防救援事业</w:t>
      </w:r>
      <w:r>
        <w:rPr>
          <w:rFonts w:hint="eastAsia" w:ascii="方正小标宋_GBK" w:hAnsi="方正小标宋_GBK" w:eastAsia="方正小标宋_GBK" w:cs="方正小标宋_GBK"/>
          <w:bCs/>
          <w:kern w:val="44"/>
          <w:sz w:val="44"/>
        </w:rPr>
        <w:t>发展</w:t>
      </w:r>
      <w:r>
        <w:rPr>
          <w:rFonts w:ascii="方正小标宋_GBK" w:hAnsi="方正小标宋_GBK" w:eastAsia="方正小标宋_GBK" w:cs="方正小标宋_GBK"/>
          <w:bCs/>
          <w:kern w:val="44"/>
          <w:sz w:val="44"/>
        </w:rPr>
        <w:t>“</w:t>
      </w:r>
      <w:r>
        <w:rPr>
          <w:rFonts w:hint="eastAsia" w:ascii="方正小标宋_GBK" w:hAnsi="方正小标宋_GBK" w:eastAsia="方正小标宋_GBK" w:cs="方正小标宋_GBK"/>
          <w:bCs/>
          <w:kern w:val="44"/>
          <w:sz w:val="44"/>
        </w:rPr>
        <w:t>十四五</w:t>
      </w:r>
      <w:r>
        <w:rPr>
          <w:rFonts w:ascii="方正小标宋_GBK" w:hAnsi="方正小标宋_GBK" w:eastAsia="方正小标宋_GBK" w:cs="方正小标宋_GBK"/>
          <w:bCs/>
          <w:kern w:val="44"/>
          <w:sz w:val="44"/>
        </w:rPr>
        <w:t>”</w:t>
      </w:r>
      <w:r>
        <w:rPr>
          <w:rFonts w:hint="eastAsia" w:ascii="方正小标宋_GBK" w:hAnsi="方正小标宋_GBK" w:eastAsia="方正小标宋_GBK" w:cs="方正小标宋_GBK"/>
          <w:bCs/>
          <w:kern w:val="44"/>
          <w:sz w:val="44"/>
        </w:rPr>
        <w:t>规划</w:t>
      </w:r>
      <w:r>
        <w:rPr>
          <w:rFonts w:hint="eastAsia" w:ascii="方正小标宋_GBK" w:hAnsi="方正小标宋_GBK" w:eastAsia="方正小标宋_GBK" w:cs="方正小标宋_GBK"/>
          <w:bCs/>
          <w:kern w:val="44"/>
          <w:sz w:val="44"/>
          <w:lang w:eastAsia="zh-CN"/>
        </w:rPr>
        <w:t>（</w:t>
      </w:r>
      <w:r>
        <w:rPr>
          <w:rFonts w:hint="eastAsia" w:ascii="方正小标宋_GBK" w:hAnsi="方正小标宋_GBK" w:eastAsia="方正小标宋_GBK" w:cs="方正小标宋_GBK"/>
          <w:bCs/>
          <w:kern w:val="44"/>
          <w:sz w:val="44"/>
          <w:lang w:val="en-US" w:eastAsia="zh-CN"/>
        </w:rPr>
        <w:t>2021-2025年</w:t>
      </w:r>
      <w:r>
        <w:rPr>
          <w:rFonts w:hint="eastAsia" w:ascii="方正小标宋_GBK" w:hAnsi="方正小标宋_GBK" w:eastAsia="方正小标宋_GBK" w:cs="方正小标宋_GBK"/>
          <w:bCs/>
          <w:kern w:val="44"/>
          <w:sz w:val="44"/>
          <w:lang w:eastAsia="zh-CN"/>
        </w:rPr>
        <w:t>）</w:t>
      </w:r>
      <w:r>
        <w:rPr>
          <w:rFonts w:hint="eastAsia" w:eastAsia="方正小标宋_GBK"/>
          <w:sz w:val="44"/>
          <w:szCs w:val="44"/>
          <w:lang w:eastAsia="zh-CN"/>
        </w:rPr>
        <w:t>的通知</w:t>
      </w:r>
    </w:p>
    <w:p>
      <w:pPr>
        <w:overflowPunct w:val="0"/>
        <w:spacing w:line="600" w:lineRule="exact"/>
        <w:jc w:val="both"/>
        <w:rPr>
          <w:rFonts w:hint="eastAsia" w:ascii="方正仿宋_GBK" w:hAnsi="方正仿宋_GBK" w:eastAsia="方正仿宋_GBK" w:cs="方正仿宋_GBK"/>
          <w:sz w:val="32"/>
          <w:szCs w:val="32"/>
          <w:lang w:val="en-US" w:eastAsia="zh-CN"/>
        </w:rPr>
      </w:pPr>
    </w:p>
    <w:p>
      <w:pPr>
        <w:overflowPunct w:val="0"/>
        <w:spacing w:line="276" w:lineRule="auto"/>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各镇人民政府、街道办事处，区政府有关部门，有关单位：</w:t>
      </w:r>
    </w:p>
    <w:p>
      <w:pPr>
        <w:overflowPunct w:val="0"/>
        <w:spacing w:line="276" w:lineRule="auto"/>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《永川区消防救援事业发展“十四五”规划（</w:t>
      </w:r>
      <w:r>
        <w:rPr>
          <w:rFonts w:hint="eastAsia" w:ascii="方正仿宋_GBK" w:hAnsi="方正仿宋_GBK" w:eastAsia="方正仿宋_GBK" w:cs="方正仿宋_GBK"/>
          <w:sz w:val="32"/>
          <w:szCs w:val="32"/>
          <w:lang w:val="en-US" w:eastAsia="zh-CN"/>
        </w:rPr>
        <w:t>2021-2025年</w:t>
      </w:r>
      <w:r>
        <w:rPr>
          <w:rFonts w:hint="eastAsia" w:ascii="方正仿宋_GBK" w:hAnsi="方正仿宋_GBK" w:eastAsia="方正仿宋_GBK" w:cs="方正仿宋_GBK"/>
          <w:sz w:val="32"/>
          <w:szCs w:val="32"/>
          <w:lang w:eastAsia="zh-CN"/>
        </w:rPr>
        <w:t>）》已经区政府同意，现印发给你们，请认真贯彻执行。</w:t>
      </w:r>
    </w:p>
    <w:p>
      <w:pPr>
        <w:pStyle w:val="22"/>
        <w:snapToGrid w:val="0"/>
        <w:spacing w:line="276" w:lineRule="auto"/>
        <w:rPr>
          <w:rFonts w:hint="eastAsia" w:ascii="方正仿宋_GBK" w:hAnsi="方正仿宋_GBK" w:eastAsia="方正仿宋_GBK" w:cs="方正仿宋_GBK"/>
          <w:sz w:val="32"/>
          <w:szCs w:val="32"/>
          <w:lang w:eastAsia="zh-CN"/>
        </w:rPr>
      </w:pPr>
    </w:p>
    <w:p>
      <w:pPr>
        <w:pStyle w:val="22"/>
        <w:snapToGrid w:val="0"/>
        <w:spacing w:line="276" w:lineRule="auto"/>
        <w:rPr>
          <w:rFonts w:hint="eastAsia" w:ascii="方正仿宋_GBK" w:hAnsi="方正仿宋_GBK" w:eastAsia="方正仿宋_GBK" w:cs="方正仿宋_GBK"/>
          <w:sz w:val="32"/>
          <w:szCs w:val="32"/>
          <w:lang w:eastAsia="zh-CN"/>
        </w:rPr>
      </w:pPr>
    </w:p>
    <w:p>
      <w:pPr>
        <w:pStyle w:val="22"/>
        <w:snapToGrid w:val="0"/>
        <w:spacing w:line="276" w:lineRule="auto"/>
        <w:jc w:val="center"/>
        <w:rPr>
          <w:rFonts w:hint="eastAsia"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 w:eastAsia="zh-CN"/>
        </w:rPr>
        <w:t xml:space="preserve">                           </w:t>
      </w:r>
      <w:r>
        <w:rPr>
          <w:rFonts w:hint="eastAsia" w:ascii="方正仿宋_GBK" w:hAnsi="方正仿宋_GBK" w:eastAsia="方正仿宋_GBK" w:cs="方正仿宋_GBK"/>
          <w:sz w:val="32"/>
          <w:szCs w:val="32"/>
          <w:lang w:val="en-US" w:eastAsia="zh-CN"/>
        </w:rPr>
        <w:t>重庆市永川区人民政府办公室</w:t>
      </w:r>
    </w:p>
    <w:p>
      <w:pPr>
        <w:pStyle w:val="22"/>
        <w:wordWrap/>
        <w:snapToGrid w:val="0"/>
        <w:spacing w:line="276" w:lineRule="auto"/>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2022年2月</w:t>
      </w:r>
      <w:r>
        <w:rPr>
          <w:rFonts w:hint="default" w:ascii="方正仿宋_GBK" w:hAnsi="方正仿宋_GBK" w:eastAsia="方正仿宋_GBK" w:cs="方正仿宋_GBK"/>
          <w:sz w:val="32"/>
          <w:szCs w:val="32"/>
          <w:lang w:val="en" w:eastAsia="zh-CN"/>
        </w:rPr>
        <w:t>19</w:t>
      </w:r>
      <w:r>
        <w:rPr>
          <w:rFonts w:hint="eastAsia" w:ascii="方正仿宋_GBK" w:hAnsi="方正仿宋_GBK" w:eastAsia="方正仿宋_GBK" w:cs="方正仿宋_GBK"/>
          <w:sz w:val="32"/>
          <w:szCs w:val="32"/>
          <w:lang w:val="en-US" w:eastAsia="zh-CN"/>
        </w:rPr>
        <w:t>日</w:t>
      </w:r>
    </w:p>
    <w:p>
      <w:pPr>
        <w:wordWrap/>
        <w:overflowPunct w:val="0"/>
        <w:spacing w:line="276" w:lineRule="auto"/>
        <w:ind w:firstLine="640" w:firstLineChars="200"/>
        <w:jc w:val="both"/>
        <w:rPr>
          <w:rFonts w:hint="eastAsia" w:ascii="方正仿宋_GBK" w:hAnsi="方正仿宋_GBK" w:eastAsia="方正仿宋_GBK" w:cs="方正仿宋_GBK"/>
          <w:sz w:val="32"/>
          <w:szCs w:val="32"/>
          <w:lang w:val="en-US" w:eastAsia="zh-CN"/>
        </w:rPr>
        <w:sectPr>
          <w:footerReference r:id="rId5" w:type="default"/>
          <w:pgSz w:w="11906" w:h="16838"/>
          <w:pgMar w:top="2098" w:right="1474" w:bottom="1984" w:left="1587" w:header="851" w:footer="1474" w:gutter="0"/>
          <w:pgNumType w:fmt="numberInDash" w:start="1"/>
          <w:cols w:space="0" w:num="1"/>
          <w:rtlGutter w:val="0"/>
          <w:docGrid w:type="lines" w:linePitch="439" w:charSpace="0"/>
        </w:sectPr>
      </w:pPr>
      <w:r>
        <w:rPr>
          <w:rFonts w:hint="eastAsia" w:ascii="方正仿宋_GBK" w:hAnsi="方正仿宋_GBK" w:eastAsia="方正仿宋_GBK" w:cs="方正仿宋_GBK"/>
          <w:sz w:val="32"/>
          <w:szCs w:val="32"/>
          <w:lang w:val="en-US" w:eastAsia="zh-CN"/>
        </w:rPr>
        <w:t>（此件公开发布）</w:t>
      </w:r>
    </w:p>
    <w:p>
      <w:pPr>
        <w:spacing w:line="240" w:lineRule="auto"/>
        <w:jc w:val="center"/>
        <w:rPr>
          <w:rFonts w:ascii="方正小标宋_GBK" w:hAnsi="方正小标宋_GBK" w:eastAsia="方正小标宋_GBK" w:cs="方正小标宋_GBK"/>
          <w:bCs/>
          <w:kern w:val="44"/>
          <w:sz w:val="44"/>
        </w:rPr>
      </w:pPr>
      <w:r>
        <w:rPr>
          <w:rFonts w:hint="eastAsia" w:ascii="方正小标宋_GBK" w:hAnsi="方正小标宋_GBK" w:eastAsia="方正小标宋_GBK" w:cs="方正小标宋_GBK"/>
          <w:bCs/>
          <w:kern w:val="44"/>
          <w:sz w:val="44"/>
        </w:rPr>
        <w:t>永川区</w:t>
      </w:r>
      <w:r>
        <w:rPr>
          <w:rFonts w:ascii="方正小标宋_GBK" w:hAnsi="方正小标宋_GBK" w:eastAsia="方正小标宋_GBK" w:cs="方正小标宋_GBK"/>
          <w:bCs/>
          <w:kern w:val="44"/>
          <w:sz w:val="44"/>
        </w:rPr>
        <w:t>消防救援事业</w:t>
      </w:r>
      <w:r>
        <w:rPr>
          <w:rFonts w:hint="eastAsia" w:ascii="方正小标宋_GBK" w:hAnsi="方正小标宋_GBK" w:eastAsia="方正小标宋_GBK" w:cs="方正小标宋_GBK"/>
          <w:bCs/>
          <w:kern w:val="44"/>
          <w:sz w:val="44"/>
        </w:rPr>
        <w:t>发展</w:t>
      </w:r>
      <w:r>
        <w:rPr>
          <w:rFonts w:ascii="方正小标宋_GBK" w:hAnsi="方正小标宋_GBK" w:eastAsia="方正小标宋_GBK" w:cs="方正小标宋_GBK"/>
          <w:bCs/>
          <w:kern w:val="44"/>
          <w:sz w:val="44"/>
        </w:rPr>
        <w:t>“</w:t>
      </w:r>
      <w:r>
        <w:rPr>
          <w:rFonts w:hint="eastAsia" w:ascii="方正小标宋_GBK" w:hAnsi="方正小标宋_GBK" w:eastAsia="方正小标宋_GBK" w:cs="方正小标宋_GBK"/>
          <w:bCs/>
          <w:kern w:val="44"/>
          <w:sz w:val="44"/>
        </w:rPr>
        <w:t>十四五</w:t>
      </w:r>
      <w:r>
        <w:rPr>
          <w:rFonts w:ascii="方正小标宋_GBK" w:hAnsi="方正小标宋_GBK" w:eastAsia="方正小标宋_GBK" w:cs="方正小标宋_GBK"/>
          <w:bCs/>
          <w:kern w:val="44"/>
          <w:sz w:val="44"/>
        </w:rPr>
        <w:t>”</w:t>
      </w:r>
      <w:r>
        <w:rPr>
          <w:rFonts w:hint="eastAsia" w:ascii="方正小标宋_GBK" w:hAnsi="方正小标宋_GBK" w:eastAsia="方正小标宋_GBK" w:cs="方正小标宋_GBK"/>
          <w:bCs/>
          <w:kern w:val="44"/>
          <w:sz w:val="44"/>
        </w:rPr>
        <w:t>规划</w:t>
      </w:r>
    </w:p>
    <w:p>
      <w:pPr>
        <w:spacing w:line="240" w:lineRule="auto"/>
        <w:jc w:val="center"/>
        <w:rPr>
          <w:rFonts w:ascii="方正小标宋_GBK" w:hAnsi="方正小标宋_GBK" w:eastAsia="方正小标宋_GBK" w:cs="方正小标宋_GBK"/>
          <w:bCs/>
          <w:kern w:val="44"/>
          <w:sz w:val="44"/>
          <w:szCs w:val="22"/>
        </w:rPr>
      </w:pPr>
      <w:r>
        <w:rPr>
          <w:rFonts w:hint="default" w:ascii="方正小标宋_GBK" w:hAnsi="方正小标宋_GBK" w:eastAsia="方正小标宋_GBK" w:cs="方正小标宋_GBK"/>
          <w:bCs/>
          <w:kern w:val="44"/>
          <w:sz w:val="44"/>
          <w:szCs w:val="22"/>
        </w:rPr>
        <w:t>（2021-2025年）</w:t>
      </w:r>
    </w:p>
    <w:p>
      <w:pPr>
        <w:pStyle w:val="7"/>
        <w:spacing w:after="0" w:line="240" w:lineRule="auto"/>
        <w:jc w:val="left"/>
        <w:rPr>
          <w:rFonts w:hint="eastAsia" w:ascii="方正仿宋_GBK" w:hAnsi="方正仿宋_GBK" w:cs="方正仿宋_GBK"/>
        </w:rPr>
      </w:pPr>
    </w:p>
    <w:p>
      <w:pPr>
        <w:spacing w:line="276" w:lineRule="auto"/>
        <w:jc w:val="center"/>
        <w:rPr>
          <w:rFonts w:hint="eastAsia" w:ascii="方正仿宋_GBK" w:hAnsi="方正仿宋_GBK" w:eastAsia="方正仿宋_GBK" w:cs="方正仿宋_GBK"/>
          <w:sz w:val="30"/>
          <w:szCs w:val="30"/>
        </w:rPr>
      </w:pPr>
      <w:r>
        <w:rPr>
          <w:rFonts w:hint="eastAsia" w:ascii="方正楷体_GBK" w:hAnsi="方正楷体_GBK" w:eastAsia="方正楷体_GBK" w:cs="方正楷体_GBK"/>
          <w:sz w:val="32"/>
          <w:szCs w:val="32"/>
        </w:rPr>
        <w:t>目  录</w:t>
      </w:r>
      <w:bookmarkEnd w:id="0"/>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TOC \o "1-3" \h \z \u </w:instrText>
      </w:r>
      <w:r>
        <w:rPr>
          <w:rFonts w:hint="eastAsia" w:ascii="方正仿宋_GBK" w:hAnsi="方正仿宋_GBK" w:eastAsia="方正仿宋_GBK" w:cs="方正仿宋_GBK"/>
          <w:sz w:val="30"/>
          <w:szCs w:val="30"/>
        </w:rPr>
        <w:fldChar w:fldCharType="separate"/>
      </w:r>
    </w:p>
    <w:p>
      <w:pPr>
        <w:pStyle w:val="7"/>
        <w:spacing w:after="0" w:line="240" w:lineRule="auto"/>
        <w:jc w:val="left"/>
        <w:rPr>
          <w:rFonts w:hint="eastAsia" w:ascii="方正仿宋_GBK" w:hAnsi="方正仿宋_GBK" w:cs="方正仿宋_GBK"/>
        </w:rPr>
      </w:pPr>
    </w:p>
    <w:p>
      <w:pPr>
        <w:pStyle w:val="14"/>
        <w:spacing w:line="276" w:lineRule="auto"/>
        <w:rPr>
          <w:rFonts w:hint="eastAsia" w:ascii="方正黑体_GBK" w:hAnsi="方正黑体_GBK" w:eastAsia="方正黑体_GBK" w:cs="方正黑体_GBK"/>
          <w:sz w:val="30"/>
          <w:szCs w:val="30"/>
        </w:rPr>
      </w:pPr>
      <w:r>
        <w:rPr>
          <w:rFonts w:hint="eastAsia" w:ascii="方正黑体_GBK" w:hAnsi="方正黑体_GBK" w:eastAsia="方正黑体_GBK" w:cs="方正黑体_GBK"/>
          <w:sz w:val="30"/>
          <w:szCs w:val="30"/>
        </w:rPr>
        <w:fldChar w:fldCharType="begin"/>
      </w:r>
      <w:r>
        <w:rPr>
          <w:rStyle w:val="20"/>
          <w:rFonts w:hint="eastAsia" w:ascii="方正黑体_GBK" w:hAnsi="方正黑体_GBK" w:eastAsia="方正黑体_GBK" w:cs="方正黑体_GBK"/>
          <w:sz w:val="30"/>
          <w:szCs w:val="30"/>
        </w:rPr>
        <w:instrText xml:space="preserve"> </w:instrText>
      </w:r>
      <w:r>
        <w:rPr>
          <w:rFonts w:hint="eastAsia" w:ascii="方正黑体_GBK" w:hAnsi="方正黑体_GBK" w:eastAsia="方正黑体_GBK" w:cs="方正黑体_GBK"/>
          <w:sz w:val="30"/>
          <w:szCs w:val="30"/>
        </w:rPr>
        <w:instrText xml:space="preserve">HYPERLINK \l "_Toc90024090"</w:instrText>
      </w:r>
      <w:r>
        <w:rPr>
          <w:rStyle w:val="20"/>
          <w:rFonts w:hint="eastAsia" w:ascii="方正黑体_GBK" w:hAnsi="方正黑体_GBK" w:eastAsia="方正黑体_GBK" w:cs="方正黑体_GBK"/>
          <w:sz w:val="30"/>
          <w:szCs w:val="30"/>
        </w:rPr>
        <w:instrText xml:space="preserve"> </w:instrText>
      </w:r>
      <w:r>
        <w:rPr>
          <w:rFonts w:hint="eastAsia" w:ascii="方正黑体_GBK" w:hAnsi="方正黑体_GBK" w:eastAsia="方正黑体_GBK" w:cs="方正黑体_GBK"/>
          <w:sz w:val="30"/>
          <w:szCs w:val="30"/>
        </w:rPr>
        <w:fldChar w:fldCharType="separate"/>
      </w:r>
      <w:r>
        <w:rPr>
          <w:rStyle w:val="20"/>
          <w:rFonts w:hint="eastAsia" w:ascii="方正黑体_GBK" w:hAnsi="方正黑体_GBK" w:eastAsia="方正黑体_GBK" w:cs="方正黑体_GBK"/>
          <w:sz w:val="30"/>
          <w:szCs w:val="30"/>
        </w:rPr>
        <w:t xml:space="preserve">第一章 </w:t>
      </w:r>
      <w:r>
        <w:rPr>
          <w:rStyle w:val="20"/>
          <w:rFonts w:hint="default" w:ascii="方正黑体_GBK" w:hAnsi="方正黑体_GBK" w:eastAsia="方正黑体_GBK" w:cs="方正黑体_GBK"/>
          <w:sz w:val="30"/>
          <w:szCs w:val="30"/>
          <w:lang w:val="en"/>
        </w:rPr>
        <w:t xml:space="preserve"> </w:t>
      </w:r>
      <w:r>
        <w:rPr>
          <w:rStyle w:val="20"/>
          <w:rFonts w:hint="eastAsia" w:ascii="方正黑体_GBK" w:hAnsi="方正黑体_GBK" w:eastAsia="方正黑体_GBK" w:cs="方正黑体_GBK"/>
          <w:sz w:val="30"/>
          <w:szCs w:val="30"/>
        </w:rPr>
        <w:t>规划基础</w:t>
      </w:r>
      <w:r>
        <w:rPr>
          <w:rFonts w:hint="eastAsia" w:ascii="方正黑体_GBK" w:hAnsi="方正黑体_GBK" w:eastAsia="方正黑体_GBK" w:cs="方正黑体_GBK"/>
          <w:sz w:val="30"/>
          <w:szCs w:val="30"/>
        </w:rPr>
        <w:tab/>
      </w:r>
      <w:r>
        <w:rPr>
          <w:rFonts w:hint="eastAsia" w:ascii="方正黑体_GBK" w:hAnsi="方正黑体_GBK" w:eastAsia="方正黑体_GBK" w:cs="方正黑体_GBK"/>
          <w:sz w:val="30"/>
          <w:szCs w:val="30"/>
        </w:rPr>
        <w:fldChar w:fldCharType="begin"/>
      </w:r>
      <w:r>
        <w:rPr>
          <w:rFonts w:hint="eastAsia" w:ascii="方正黑体_GBK" w:hAnsi="方正黑体_GBK" w:eastAsia="方正黑体_GBK" w:cs="方正黑体_GBK"/>
          <w:sz w:val="30"/>
          <w:szCs w:val="30"/>
        </w:rPr>
        <w:instrText xml:space="preserve"> PAGEREF _Toc90024090 \h </w:instrText>
      </w:r>
      <w:r>
        <w:rPr>
          <w:rFonts w:hint="eastAsia" w:ascii="方正黑体_GBK" w:hAnsi="方正黑体_GBK" w:eastAsia="方正黑体_GBK" w:cs="方正黑体_GBK"/>
          <w:sz w:val="30"/>
          <w:szCs w:val="30"/>
        </w:rPr>
        <w:fldChar w:fldCharType="separate"/>
      </w:r>
      <w:r>
        <w:rPr>
          <w:rFonts w:hint="eastAsia" w:ascii="方正黑体_GBK" w:hAnsi="方正黑体_GBK" w:eastAsia="方正黑体_GBK" w:cs="方正黑体_GBK"/>
          <w:sz w:val="30"/>
          <w:szCs w:val="30"/>
        </w:rPr>
        <w:t>- 4 -</w:t>
      </w:r>
      <w:r>
        <w:rPr>
          <w:rFonts w:hint="eastAsia" w:ascii="方正黑体_GBK" w:hAnsi="方正黑体_GBK" w:eastAsia="方正黑体_GBK" w:cs="方正黑体_GBK"/>
          <w:sz w:val="30"/>
          <w:szCs w:val="30"/>
        </w:rPr>
        <w:fldChar w:fldCharType="end"/>
      </w:r>
      <w:r>
        <w:rPr>
          <w:rFonts w:hint="eastAsia" w:ascii="方正黑体_GBK" w:hAnsi="方正黑体_GBK" w:eastAsia="方正黑体_GBK" w:cs="方正黑体_GBK"/>
          <w:b/>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"_Toc90024091"</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第一节</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 xml:space="preserve"> “十三五”时期消防事业发展成果</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_Toc90024091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- 4 -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"_Toc90024092"</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第二节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“十四五”消防工作面临的主要挑战</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_Toc90024092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- 7 -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14"/>
        <w:spacing w:line="276" w:lineRule="auto"/>
        <w:rPr>
          <w:rStyle w:val="20"/>
          <w:rFonts w:hint="eastAsia" w:ascii="方正黑体_GBK" w:hAnsi="方正黑体_GBK" w:eastAsia="方正黑体_GBK" w:cs="方正黑体_GBK"/>
          <w:sz w:val="30"/>
          <w:szCs w:val="30"/>
        </w:rPr>
      </w:pPr>
      <w:r>
        <w:rPr>
          <w:rStyle w:val="20"/>
          <w:rFonts w:hint="eastAsia" w:ascii="方正黑体_GBK" w:hAnsi="方正黑体_GBK" w:eastAsia="方正黑体_GBK" w:cs="方正黑体_GBK"/>
          <w:sz w:val="30"/>
          <w:szCs w:val="30"/>
        </w:rPr>
        <w:fldChar w:fldCharType="begin"/>
      </w:r>
      <w:r>
        <w:rPr>
          <w:rStyle w:val="20"/>
          <w:rFonts w:hint="eastAsia" w:ascii="方正黑体_GBK" w:hAnsi="方正黑体_GBK" w:eastAsia="方正黑体_GBK" w:cs="方正黑体_GBK"/>
          <w:sz w:val="30"/>
          <w:szCs w:val="30"/>
        </w:rPr>
        <w:instrText xml:space="preserve"> HYPERLINK \l "_Toc90024093" </w:instrText>
      </w:r>
      <w:r>
        <w:rPr>
          <w:rStyle w:val="20"/>
          <w:rFonts w:hint="eastAsia" w:ascii="方正黑体_GBK" w:hAnsi="方正黑体_GBK" w:eastAsia="方正黑体_GBK" w:cs="方正黑体_GBK"/>
          <w:sz w:val="30"/>
          <w:szCs w:val="30"/>
        </w:rPr>
        <w:fldChar w:fldCharType="separate"/>
      </w:r>
      <w:r>
        <w:rPr>
          <w:rStyle w:val="20"/>
          <w:rFonts w:hint="eastAsia" w:ascii="方正黑体_GBK" w:hAnsi="方正黑体_GBK" w:eastAsia="方正黑体_GBK" w:cs="方正黑体_GBK"/>
          <w:sz w:val="30"/>
          <w:szCs w:val="30"/>
        </w:rPr>
        <w:t>第二章</w:t>
      </w:r>
      <w:r>
        <w:rPr>
          <w:rStyle w:val="20"/>
          <w:rFonts w:hint="default" w:ascii="方正黑体_GBK" w:hAnsi="方正黑体_GBK" w:eastAsia="方正黑体_GBK" w:cs="方正黑体_GBK"/>
          <w:sz w:val="30"/>
          <w:szCs w:val="30"/>
          <w:lang w:val="en"/>
        </w:rPr>
        <w:t xml:space="preserve"> </w:t>
      </w:r>
      <w:r>
        <w:rPr>
          <w:rStyle w:val="20"/>
          <w:rFonts w:hint="eastAsia" w:ascii="方正黑体_GBK" w:hAnsi="方正黑体_GBK" w:eastAsia="方正黑体_GBK" w:cs="方正黑体_GBK"/>
          <w:sz w:val="30"/>
          <w:szCs w:val="30"/>
        </w:rPr>
        <w:t xml:space="preserve"> 总体要求</w:t>
      </w:r>
      <w:r>
        <w:rPr>
          <w:rStyle w:val="20"/>
          <w:rFonts w:hint="eastAsia" w:ascii="方正黑体_GBK" w:hAnsi="方正黑体_GBK" w:eastAsia="方正黑体_GBK" w:cs="方正黑体_GBK"/>
          <w:sz w:val="30"/>
          <w:szCs w:val="30"/>
        </w:rPr>
        <w:tab/>
      </w:r>
      <w:r>
        <w:rPr>
          <w:rStyle w:val="20"/>
          <w:rFonts w:hint="eastAsia" w:ascii="方正黑体_GBK" w:hAnsi="方正黑体_GBK" w:eastAsia="方正黑体_GBK" w:cs="方正黑体_GBK"/>
          <w:sz w:val="30"/>
          <w:szCs w:val="30"/>
        </w:rPr>
        <w:fldChar w:fldCharType="begin"/>
      </w:r>
      <w:r>
        <w:rPr>
          <w:rStyle w:val="20"/>
          <w:rFonts w:hint="eastAsia" w:ascii="方正黑体_GBK" w:hAnsi="方正黑体_GBK" w:eastAsia="方正黑体_GBK" w:cs="方正黑体_GBK"/>
          <w:sz w:val="30"/>
          <w:szCs w:val="30"/>
        </w:rPr>
        <w:instrText xml:space="preserve"> PAGEREF _Toc90024093 \h </w:instrText>
      </w:r>
      <w:r>
        <w:rPr>
          <w:rStyle w:val="20"/>
          <w:rFonts w:hint="eastAsia" w:ascii="方正黑体_GBK" w:hAnsi="方正黑体_GBK" w:eastAsia="方正黑体_GBK" w:cs="方正黑体_GBK"/>
          <w:sz w:val="30"/>
          <w:szCs w:val="30"/>
        </w:rPr>
        <w:fldChar w:fldCharType="separate"/>
      </w:r>
      <w:r>
        <w:rPr>
          <w:rStyle w:val="20"/>
          <w:rFonts w:hint="eastAsia" w:ascii="方正黑体_GBK" w:hAnsi="方正黑体_GBK" w:eastAsia="方正黑体_GBK" w:cs="方正黑体_GBK"/>
          <w:sz w:val="30"/>
          <w:szCs w:val="30"/>
        </w:rPr>
        <w:t>- 9 -</w:t>
      </w:r>
      <w:r>
        <w:rPr>
          <w:rStyle w:val="20"/>
          <w:rFonts w:hint="eastAsia" w:ascii="方正黑体_GBK" w:hAnsi="方正黑体_GBK" w:eastAsia="方正黑体_GBK" w:cs="方正黑体_GBK"/>
          <w:sz w:val="30"/>
          <w:szCs w:val="30"/>
        </w:rPr>
        <w:fldChar w:fldCharType="end"/>
      </w:r>
      <w:r>
        <w:rPr>
          <w:rStyle w:val="20"/>
          <w:rFonts w:hint="eastAsia" w:ascii="方正黑体_GBK" w:hAnsi="方正黑体_GBK" w:eastAsia="方正黑体_GBK" w:cs="方正黑体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"_Toc90024094"</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第一节</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 xml:space="preserve"> 指导思想</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_Toc90024094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- 9 -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"_Toc90024095"</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第二节</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 xml:space="preserve"> 基本原则</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_Toc90024095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- 10 -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"_Toc90024096"</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第三节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发展目标</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_Toc90024096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- 10 -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14"/>
        <w:spacing w:line="276" w:lineRule="auto"/>
        <w:rPr>
          <w:rStyle w:val="20"/>
          <w:rFonts w:hint="eastAsia" w:ascii="方正黑体_GBK" w:hAnsi="方正黑体_GBK" w:eastAsia="方正黑体_GBK" w:cs="方正黑体_GBK"/>
          <w:sz w:val="30"/>
          <w:szCs w:val="30"/>
        </w:rPr>
      </w:pPr>
      <w:r>
        <w:rPr>
          <w:rStyle w:val="20"/>
          <w:rFonts w:hint="eastAsia" w:ascii="方正黑体_GBK" w:hAnsi="方正黑体_GBK" w:eastAsia="方正黑体_GBK" w:cs="方正黑体_GBK"/>
          <w:sz w:val="30"/>
          <w:szCs w:val="30"/>
        </w:rPr>
        <w:fldChar w:fldCharType="begin"/>
      </w:r>
      <w:r>
        <w:rPr>
          <w:rStyle w:val="20"/>
          <w:rFonts w:hint="eastAsia" w:ascii="方正黑体_GBK" w:hAnsi="方正黑体_GBK" w:eastAsia="方正黑体_GBK" w:cs="方正黑体_GBK"/>
          <w:sz w:val="30"/>
          <w:szCs w:val="30"/>
        </w:rPr>
        <w:instrText xml:space="preserve"> HYPERLINK \l "_Toc90024097" </w:instrText>
      </w:r>
      <w:r>
        <w:rPr>
          <w:rStyle w:val="20"/>
          <w:rFonts w:hint="eastAsia" w:ascii="方正黑体_GBK" w:hAnsi="方正黑体_GBK" w:eastAsia="方正黑体_GBK" w:cs="方正黑体_GBK"/>
          <w:sz w:val="30"/>
          <w:szCs w:val="30"/>
        </w:rPr>
        <w:fldChar w:fldCharType="separate"/>
      </w:r>
      <w:r>
        <w:rPr>
          <w:rStyle w:val="20"/>
          <w:rFonts w:hint="eastAsia" w:ascii="方正黑体_GBK" w:hAnsi="方正黑体_GBK" w:eastAsia="方正黑体_GBK" w:cs="方正黑体_GBK"/>
          <w:sz w:val="30"/>
          <w:szCs w:val="30"/>
        </w:rPr>
        <w:t xml:space="preserve">第三章 </w:t>
      </w:r>
      <w:r>
        <w:rPr>
          <w:rStyle w:val="20"/>
          <w:rFonts w:hint="default" w:ascii="方正黑体_GBK" w:hAnsi="方正黑体_GBK" w:eastAsia="方正黑体_GBK" w:cs="方正黑体_GBK"/>
          <w:sz w:val="30"/>
          <w:szCs w:val="30"/>
          <w:lang w:val="en"/>
        </w:rPr>
        <w:t xml:space="preserve"> </w:t>
      </w:r>
      <w:r>
        <w:rPr>
          <w:rStyle w:val="20"/>
          <w:rFonts w:hint="eastAsia" w:ascii="方正黑体_GBK" w:hAnsi="方正黑体_GBK" w:eastAsia="方正黑体_GBK" w:cs="方正黑体_GBK"/>
          <w:sz w:val="30"/>
          <w:szCs w:val="30"/>
        </w:rPr>
        <w:t>主要任务</w:t>
      </w:r>
      <w:r>
        <w:rPr>
          <w:rStyle w:val="20"/>
          <w:rFonts w:hint="eastAsia" w:ascii="方正黑体_GBK" w:hAnsi="方正黑体_GBK" w:eastAsia="方正黑体_GBK" w:cs="方正黑体_GBK"/>
          <w:sz w:val="30"/>
          <w:szCs w:val="30"/>
        </w:rPr>
        <w:tab/>
      </w:r>
      <w:r>
        <w:rPr>
          <w:rStyle w:val="20"/>
          <w:rFonts w:hint="eastAsia" w:ascii="方正黑体_GBK" w:hAnsi="方正黑体_GBK" w:eastAsia="方正黑体_GBK" w:cs="方正黑体_GBK"/>
          <w:sz w:val="30"/>
          <w:szCs w:val="30"/>
        </w:rPr>
        <w:fldChar w:fldCharType="begin"/>
      </w:r>
      <w:r>
        <w:rPr>
          <w:rStyle w:val="20"/>
          <w:rFonts w:hint="eastAsia" w:ascii="方正黑体_GBK" w:hAnsi="方正黑体_GBK" w:eastAsia="方正黑体_GBK" w:cs="方正黑体_GBK"/>
          <w:sz w:val="30"/>
          <w:szCs w:val="30"/>
        </w:rPr>
        <w:instrText xml:space="preserve"> PAGEREF _Toc90024097 \h </w:instrText>
      </w:r>
      <w:r>
        <w:rPr>
          <w:rStyle w:val="20"/>
          <w:rFonts w:hint="eastAsia" w:ascii="方正黑体_GBK" w:hAnsi="方正黑体_GBK" w:eastAsia="方正黑体_GBK" w:cs="方正黑体_GBK"/>
          <w:sz w:val="30"/>
          <w:szCs w:val="30"/>
        </w:rPr>
        <w:fldChar w:fldCharType="separate"/>
      </w:r>
      <w:r>
        <w:rPr>
          <w:rStyle w:val="20"/>
          <w:rFonts w:hint="eastAsia" w:ascii="方正黑体_GBK" w:hAnsi="方正黑体_GBK" w:eastAsia="方正黑体_GBK" w:cs="方正黑体_GBK"/>
          <w:sz w:val="30"/>
          <w:szCs w:val="30"/>
        </w:rPr>
        <w:t>- 12 -</w:t>
      </w:r>
      <w:r>
        <w:rPr>
          <w:rStyle w:val="20"/>
          <w:rFonts w:hint="eastAsia" w:ascii="方正黑体_GBK" w:hAnsi="方正黑体_GBK" w:eastAsia="方正黑体_GBK" w:cs="方正黑体_GBK"/>
          <w:sz w:val="30"/>
          <w:szCs w:val="30"/>
        </w:rPr>
        <w:fldChar w:fldCharType="end"/>
      </w:r>
      <w:r>
        <w:rPr>
          <w:rStyle w:val="20"/>
          <w:rFonts w:hint="eastAsia" w:ascii="方正黑体_GBK" w:hAnsi="方正黑体_GBK" w:eastAsia="方正黑体_GBK" w:cs="方正黑体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"_Toc90024098"</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第一节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压实消防工作责任</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_Toc90024098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- 12 -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"_Toc90024099"</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第二节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构建新型监管模式</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_Toc90024099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- 13 -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"_Toc90024100"</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第三节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建立风险排查治理预警机制</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_Toc90024100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- 13 -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"_Toc90024101"</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第四节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加强精准高效治理</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_Toc90024101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- 14 -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"_Toc90024102"</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第五节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推动社会多元共治</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_Toc90024102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- 14 -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"_Toc90024103"</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第六节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提升公众消防素质</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_Toc90024103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- 15 -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"_Toc90024104"</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第七节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完善公共消防基础设施建设</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_Toc90024104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- 15 -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"_Toc90024105"</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第八节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制定战勤保障联动机制</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_Toc90024105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- 16 -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"_Toc90024106"</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第九节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建强消防作战力量体系</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_Toc90024106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- 17 -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tabs>
          <w:tab w:val="right" w:pos="8296"/>
        </w:tabs>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"_Toc90024107"</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第十节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保障消防救援装备体系</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_Toc90024107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- 17 -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"_Toc90024108"</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第十一节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夯实应急通信保障能力</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_Toc90024108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- 18 -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"_Toc90024109"</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第十二节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深化智慧消防建设</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_Toc90024109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- 19 -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"_Toc90024110"</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第十三节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实施一批重大工程</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_Toc90024110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- 20 -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14"/>
        <w:spacing w:line="276" w:lineRule="auto"/>
        <w:rPr>
          <w:rStyle w:val="20"/>
          <w:rFonts w:hint="eastAsia" w:ascii="方正黑体_GBK" w:hAnsi="方正黑体_GBK" w:eastAsia="方正黑体_GBK" w:cs="方正黑体_GBK"/>
          <w:sz w:val="30"/>
          <w:szCs w:val="30"/>
        </w:rPr>
      </w:pPr>
      <w:r>
        <w:rPr>
          <w:rStyle w:val="20"/>
          <w:rFonts w:hint="eastAsia" w:ascii="方正黑体_GBK" w:hAnsi="方正黑体_GBK" w:eastAsia="方正黑体_GBK" w:cs="方正黑体_GBK"/>
          <w:b/>
          <w:sz w:val="30"/>
          <w:szCs w:val="30"/>
        </w:rPr>
        <w:fldChar w:fldCharType="begin"/>
      </w:r>
      <w:r>
        <w:rPr>
          <w:rStyle w:val="20"/>
          <w:rFonts w:hint="eastAsia" w:ascii="方正黑体_GBK" w:hAnsi="方正黑体_GBK" w:eastAsia="方正黑体_GBK" w:cs="方正黑体_GBK"/>
          <w:b w:val="0"/>
          <w:sz w:val="30"/>
          <w:szCs w:val="30"/>
        </w:rPr>
        <w:instrText xml:space="preserve"> </w:instrText>
      </w:r>
      <w:r>
        <w:rPr>
          <w:rStyle w:val="20"/>
          <w:rFonts w:hint="eastAsia" w:ascii="方正黑体_GBK" w:hAnsi="方正黑体_GBK" w:eastAsia="方正黑体_GBK" w:cs="方正黑体_GBK"/>
          <w:sz w:val="30"/>
          <w:szCs w:val="30"/>
        </w:rPr>
        <w:instrText xml:space="preserve">HYPERLINK \l "_Toc90024111"</w:instrText>
      </w:r>
      <w:r>
        <w:rPr>
          <w:rStyle w:val="20"/>
          <w:rFonts w:hint="eastAsia" w:ascii="方正黑体_GBK" w:hAnsi="方正黑体_GBK" w:eastAsia="方正黑体_GBK" w:cs="方正黑体_GBK"/>
          <w:b w:val="0"/>
          <w:sz w:val="30"/>
          <w:szCs w:val="30"/>
        </w:rPr>
        <w:instrText xml:space="preserve"> </w:instrText>
      </w:r>
      <w:r>
        <w:rPr>
          <w:rStyle w:val="20"/>
          <w:rFonts w:hint="eastAsia" w:ascii="方正黑体_GBK" w:hAnsi="方正黑体_GBK" w:eastAsia="方正黑体_GBK" w:cs="方正黑体_GBK"/>
          <w:b/>
          <w:sz w:val="30"/>
          <w:szCs w:val="30"/>
        </w:rPr>
        <w:fldChar w:fldCharType="separate"/>
      </w:r>
      <w:r>
        <w:rPr>
          <w:rStyle w:val="20"/>
          <w:rFonts w:hint="eastAsia" w:ascii="方正黑体_GBK" w:hAnsi="方正黑体_GBK" w:eastAsia="方正黑体_GBK" w:cs="方正黑体_GBK"/>
          <w:sz w:val="30"/>
          <w:szCs w:val="30"/>
        </w:rPr>
        <w:t>第四章</w:t>
      </w:r>
      <w:r>
        <w:rPr>
          <w:rStyle w:val="20"/>
          <w:rFonts w:hint="default" w:ascii="方正黑体_GBK" w:hAnsi="方正黑体_GBK" w:eastAsia="方正黑体_GBK" w:cs="方正黑体_GBK"/>
          <w:sz w:val="30"/>
          <w:szCs w:val="30"/>
          <w:lang w:val="en"/>
        </w:rPr>
        <w:t xml:space="preserve"> </w:t>
      </w:r>
      <w:r>
        <w:rPr>
          <w:rStyle w:val="20"/>
          <w:rFonts w:hint="eastAsia" w:ascii="方正黑体_GBK" w:hAnsi="方正黑体_GBK" w:eastAsia="方正黑体_GBK" w:cs="方正黑体_GBK"/>
          <w:sz w:val="30"/>
          <w:szCs w:val="30"/>
        </w:rPr>
        <w:t xml:space="preserve"> 保障措施</w:t>
      </w:r>
      <w:r>
        <w:rPr>
          <w:rStyle w:val="20"/>
          <w:rFonts w:hint="eastAsia" w:ascii="方正黑体_GBK" w:hAnsi="方正黑体_GBK" w:eastAsia="方正黑体_GBK" w:cs="方正黑体_GBK"/>
          <w:sz w:val="30"/>
          <w:szCs w:val="30"/>
        </w:rPr>
        <w:tab/>
      </w:r>
      <w:r>
        <w:rPr>
          <w:rStyle w:val="20"/>
          <w:rFonts w:hint="eastAsia" w:ascii="方正黑体_GBK" w:hAnsi="方正黑体_GBK" w:eastAsia="方正黑体_GBK" w:cs="方正黑体_GBK"/>
          <w:sz w:val="30"/>
          <w:szCs w:val="30"/>
        </w:rPr>
        <w:fldChar w:fldCharType="begin"/>
      </w:r>
      <w:r>
        <w:rPr>
          <w:rStyle w:val="20"/>
          <w:rFonts w:hint="eastAsia" w:ascii="方正黑体_GBK" w:hAnsi="方正黑体_GBK" w:eastAsia="方正黑体_GBK" w:cs="方正黑体_GBK"/>
          <w:sz w:val="30"/>
          <w:szCs w:val="30"/>
        </w:rPr>
        <w:instrText xml:space="preserve"> PAGEREF _Toc90024111 \h </w:instrText>
      </w:r>
      <w:r>
        <w:rPr>
          <w:rStyle w:val="20"/>
          <w:rFonts w:hint="eastAsia" w:ascii="方正黑体_GBK" w:hAnsi="方正黑体_GBK" w:eastAsia="方正黑体_GBK" w:cs="方正黑体_GBK"/>
          <w:sz w:val="30"/>
          <w:szCs w:val="30"/>
        </w:rPr>
        <w:fldChar w:fldCharType="separate"/>
      </w:r>
      <w:r>
        <w:rPr>
          <w:rStyle w:val="20"/>
          <w:rFonts w:hint="eastAsia" w:ascii="方正黑体_GBK" w:hAnsi="方正黑体_GBK" w:eastAsia="方正黑体_GBK" w:cs="方正黑体_GBK"/>
          <w:sz w:val="30"/>
          <w:szCs w:val="30"/>
        </w:rPr>
        <w:t>- 20 -</w:t>
      </w:r>
      <w:r>
        <w:rPr>
          <w:rStyle w:val="20"/>
          <w:rFonts w:hint="eastAsia" w:ascii="方正黑体_GBK" w:hAnsi="方正黑体_GBK" w:eastAsia="方正黑体_GBK" w:cs="方正黑体_GBK"/>
          <w:sz w:val="30"/>
          <w:szCs w:val="30"/>
        </w:rPr>
        <w:fldChar w:fldCharType="end"/>
      </w:r>
      <w:r>
        <w:rPr>
          <w:rStyle w:val="20"/>
          <w:rFonts w:hint="eastAsia" w:ascii="方正黑体_GBK" w:hAnsi="方正黑体_GBK" w:eastAsia="方正黑体_GBK" w:cs="方正黑体_GBK"/>
          <w:b/>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"_Toc90024112"</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第一节</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 xml:space="preserve"> 加强组织领导</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_Toc90024112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- 20 -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"_Toc90024113"</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第二节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落实经费保障</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_Toc90024113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- 21 -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"_Toc90024114"</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第三节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落实环保要求</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_Toc90024114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- 21 -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9"/>
        <w:spacing w:line="276" w:lineRule="auto"/>
        <w:rPr>
          <w:rFonts w:hint="eastAsia" w:ascii="方正仿宋_GBK" w:hAnsi="方正仿宋_GBK" w:cs="方正仿宋_GBK"/>
          <w:sz w:val="30"/>
          <w:szCs w:val="30"/>
        </w:rPr>
      </w:pPr>
      <w:r>
        <w:rPr>
          <w:rFonts w:hint="eastAsia" w:ascii="方正仿宋_GBK" w:hAnsi="方正仿宋_GBK" w:cs="方正仿宋_GBK"/>
          <w:sz w:val="30"/>
          <w:szCs w:val="30"/>
        </w:rPr>
        <w:fldChar w:fldCharType="begin"/>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instrText xml:space="preserve">HYPERLINK \l "_Toc90024115"</w:instrText>
      </w:r>
      <w:r>
        <w:rPr>
          <w:rStyle w:val="20"/>
          <w:rFonts w:hint="eastAsia" w:ascii="方正仿宋_GBK" w:hAnsi="方正仿宋_GBK" w:cs="方正仿宋_GBK"/>
          <w:sz w:val="30"/>
          <w:szCs w:val="30"/>
        </w:rPr>
        <w:instrText xml:space="preserve"> </w:instrText>
      </w:r>
      <w:r>
        <w:rPr>
          <w:rFonts w:hint="eastAsia" w:ascii="方正仿宋_GBK" w:hAnsi="方正仿宋_GBK" w:cs="方正仿宋_GBK"/>
          <w:sz w:val="30"/>
          <w:szCs w:val="30"/>
        </w:rPr>
        <w:fldChar w:fldCharType="separate"/>
      </w:r>
      <w:r>
        <w:rPr>
          <w:rStyle w:val="20"/>
          <w:rFonts w:hint="eastAsia" w:ascii="方正仿宋_GBK" w:hAnsi="方正仿宋_GBK" w:cs="方正仿宋_GBK"/>
          <w:sz w:val="30"/>
          <w:szCs w:val="30"/>
        </w:rPr>
        <w:t xml:space="preserve">第四节 </w:t>
      </w:r>
      <w:r>
        <w:rPr>
          <w:rStyle w:val="20"/>
          <w:rFonts w:hint="default" w:ascii="方正仿宋_GBK" w:hAnsi="方正仿宋_GBK" w:cs="方正仿宋_GBK"/>
          <w:sz w:val="30"/>
          <w:szCs w:val="30"/>
          <w:lang w:val="en"/>
        </w:rPr>
        <w:t xml:space="preserve"> </w:t>
      </w:r>
      <w:r>
        <w:rPr>
          <w:rStyle w:val="20"/>
          <w:rFonts w:hint="eastAsia" w:ascii="方正仿宋_GBK" w:hAnsi="方正仿宋_GBK" w:cs="方正仿宋_GBK"/>
          <w:sz w:val="30"/>
          <w:szCs w:val="30"/>
        </w:rPr>
        <w:t>实行考评问效</w:t>
      </w:r>
      <w:r>
        <w:rPr>
          <w:rFonts w:hint="eastAsia" w:ascii="方正仿宋_GBK" w:hAnsi="方正仿宋_GBK" w:cs="方正仿宋_GBK"/>
          <w:sz w:val="30"/>
          <w:szCs w:val="30"/>
        </w:rPr>
        <w:tab/>
      </w:r>
      <w:r>
        <w:rPr>
          <w:rFonts w:hint="eastAsia" w:ascii="方正仿宋_GBK" w:hAnsi="方正仿宋_GBK" w:cs="方正仿宋_GBK"/>
          <w:sz w:val="30"/>
          <w:szCs w:val="30"/>
        </w:rPr>
        <w:fldChar w:fldCharType="begin"/>
      </w:r>
      <w:r>
        <w:rPr>
          <w:rFonts w:hint="eastAsia" w:ascii="方正仿宋_GBK" w:hAnsi="方正仿宋_GBK" w:cs="方正仿宋_GBK"/>
          <w:sz w:val="30"/>
          <w:szCs w:val="30"/>
        </w:rPr>
        <w:instrText xml:space="preserve"> PAGEREF _Toc90024115 \h </w:instrText>
      </w:r>
      <w:r>
        <w:rPr>
          <w:rFonts w:hint="eastAsia" w:ascii="方正仿宋_GBK" w:hAnsi="方正仿宋_GBK" w:cs="方正仿宋_GBK"/>
          <w:sz w:val="30"/>
          <w:szCs w:val="30"/>
        </w:rPr>
        <w:fldChar w:fldCharType="separate"/>
      </w:r>
      <w:r>
        <w:rPr>
          <w:rFonts w:hint="eastAsia" w:ascii="方正仿宋_GBK" w:hAnsi="方正仿宋_GBK" w:cs="方正仿宋_GBK"/>
          <w:sz w:val="30"/>
          <w:szCs w:val="30"/>
        </w:rPr>
        <w:t>- 21 -</w:t>
      </w:r>
      <w:r>
        <w:rPr>
          <w:rFonts w:hint="eastAsia" w:ascii="方正仿宋_GBK" w:hAnsi="方正仿宋_GBK" w:cs="方正仿宋_GBK"/>
          <w:sz w:val="30"/>
          <w:szCs w:val="30"/>
        </w:rPr>
        <w:fldChar w:fldCharType="end"/>
      </w:r>
      <w:r>
        <w:rPr>
          <w:rFonts w:hint="eastAsia" w:ascii="方正仿宋_GBK" w:hAnsi="方正仿宋_GBK" w:cs="方正仿宋_GBK"/>
          <w:sz w:val="30"/>
          <w:szCs w:val="30"/>
        </w:rPr>
        <w:fldChar w:fldCharType="end"/>
      </w:r>
    </w:p>
    <w:p>
      <w:pPr>
        <w:pStyle w:val="2"/>
        <w:keepNext w:val="0"/>
        <w:keepLines w:val="0"/>
        <w:adjustRightInd/>
        <w:snapToGrid w:val="0"/>
        <w:spacing w:before="0" w:after="0" w:line="276" w:lineRule="auto"/>
        <w:jc w:val="both"/>
      </w:pPr>
      <w:r>
        <w:rPr>
          <w:rFonts w:hint="eastAsia" w:ascii="方正仿宋_GBK" w:hAnsi="方正仿宋_GBK" w:eastAsia="方正仿宋_GBK" w:cs="方正仿宋_GBK"/>
          <w:sz w:val="30"/>
          <w:szCs w:val="30"/>
        </w:rPr>
        <w:fldChar w:fldCharType="end"/>
      </w:r>
    </w:p>
    <w:p>
      <w:pPr>
        <w:pStyle w:val="2"/>
        <w:keepNext w:val="0"/>
        <w:keepLines w:val="0"/>
        <w:adjustRightInd/>
        <w:snapToGrid w:val="0"/>
        <w:spacing w:before="0" w:after="0" w:line="240" w:lineRule="auto"/>
        <w:rPr>
          <w:rFonts w:hint="eastAsia" w:ascii="方正小标宋_GBK" w:hAnsi="方正小标宋_GBK" w:eastAsia="方正小标宋_GBK" w:cs="方正小标宋_GBK"/>
          <w:b w:val="0"/>
          <w:bCs/>
        </w:rPr>
      </w:pPr>
      <w:bookmarkStart w:id="1" w:name="_Toc90024089"/>
      <w:r>
        <w:rPr>
          <w:rFonts w:hint="eastAsia" w:ascii="方正小标宋_GBK" w:hAnsi="方正小标宋_GBK" w:eastAsia="方正小标宋_GBK" w:cs="方正小标宋_GBK"/>
          <w:b w:val="0"/>
          <w:bCs/>
        </w:rPr>
        <w:br w:type="page"/>
      </w:r>
      <w:r>
        <w:rPr>
          <w:rFonts w:hint="eastAsia" w:ascii="方正小标宋_GBK" w:hAnsi="方正小标宋_GBK" w:eastAsia="方正小标宋_GBK" w:cs="方正小标宋_GBK"/>
          <w:b w:val="0"/>
          <w:bCs/>
        </w:rPr>
        <w:t>永川区消防救援事业发展“十四五”规划</w:t>
      </w:r>
    </w:p>
    <w:p>
      <w:pPr>
        <w:pStyle w:val="2"/>
        <w:keepNext w:val="0"/>
        <w:keepLines w:val="0"/>
        <w:adjustRightInd/>
        <w:snapToGrid w:val="0"/>
        <w:spacing w:before="0" w:after="0" w:line="240" w:lineRule="auto"/>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rPr>
        <w:t>（2021—2025年）</w:t>
      </w:r>
      <w:bookmarkEnd w:id="1"/>
    </w:p>
    <w:p>
      <w:pPr>
        <w:spacing w:line="276" w:lineRule="auto"/>
        <w:ind w:firstLine="640"/>
        <w:jc w:val="left"/>
        <w:rPr>
          <w:rFonts w:hint="eastAsia" w:ascii="Times New Roman" w:hAnsi="Times New Roman" w:eastAsia="方正仿宋_GBK" w:cs="Times New Roman"/>
        </w:rPr>
      </w:pPr>
    </w:p>
    <w:p>
      <w:pPr>
        <w:spacing w:line="276" w:lineRule="auto"/>
        <w:ind w:firstLine="640"/>
        <w:rPr>
          <w:rFonts w:hint="eastAsia"/>
        </w:rPr>
      </w:pPr>
      <w:bookmarkStart w:id="2" w:name="_Toc457328320"/>
      <w:bookmarkStart w:id="3" w:name="_Toc456941796"/>
      <w:bookmarkStart w:id="4" w:name="_Toc457562532"/>
      <w:r>
        <w:rPr>
          <w:rFonts w:hint="eastAsia"/>
        </w:rPr>
        <w:t>为认真贯彻党中央、国务院关于应急管理和消防救援工作决策部署，加强和改进“十四五”时期全区消防救援工作，保障经济社会发展，根据《中华人民共和国消防法》《重庆市消防条例》以及《重庆市国民经济和社会发展第十四个五年规划和二〇三五</w:t>
      </w:r>
      <w:r>
        <w:rPr>
          <w:rFonts w:hint="eastAsia"/>
          <w:lang w:eastAsia="zh-CN"/>
        </w:rPr>
        <w:t>年</w:t>
      </w:r>
      <w:r>
        <w:rPr>
          <w:rFonts w:hint="eastAsia"/>
        </w:rPr>
        <w:t>远景目标纲要》《重庆市消防救援事业发展“十四五”规划（2021—2025年）》《重庆市永川区国民经济和社会发展第十四个五年规划和二〇三五年远景目标纲要》等法律法规和政策文件，编制本规划。</w:t>
      </w:r>
    </w:p>
    <w:p>
      <w:pPr>
        <w:spacing w:line="276" w:lineRule="auto"/>
        <w:ind w:firstLine="640"/>
        <w:rPr>
          <w:rFonts w:hint="eastAsia"/>
        </w:rPr>
      </w:pPr>
    </w:p>
    <w:p>
      <w:pPr>
        <w:pStyle w:val="3"/>
        <w:keepNext w:val="0"/>
        <w:keepLines w:val="0"/>
        <w:spacing w:before="0" w:after="0" w:line="276" w:lineRule="auto"/>
        <w:rPr>
          <w:rFonts w:hint="eastAsia"/>
        </w:rPr>
      </w:pPr>
      <w:bookmarkStart w:id="5" w:name="_Toc90024090"/>
      <w:r>
        <w:rPr>
          <w:rFonts w:hint="eastAsia" w:ascii="方正仿宋_GBK" w:hAnsi="宋体" w:cs="宋体"/>
          <w:kern w:val="32"/>
          <w:szCs w:val="32"/>
        </w:rPr>
        <w:t>第一章</w:t>
      </w:r>
      <w:r>
        <w:rPr>
          <w:rFonts w:hint="default" w:ascii="方正仿宋_GBK" w:hAnsi="宋体" w:cs="宋体"/>
          <w:kern w:val="32"/>
          <w:szCs w:val="32"/>
          <w:lang w:val="en"/>
        </w:rPr>
        <w:t xml:space="preserve"> </w:t>
      </w:r>
      <w:r>
        <w:rPr>
          <w:rFonts w:hint="eastAsia" w:ascii="方正仿宋_GBK" w:hAnsi="宋体" w:cs="宋体"/>
          <w:kern w:val="32"/>
          <w:szCs w:val="32"/>
        </w:rPr>
        <w:t xml:space="preserve"> </w:t>
      </w:r>
      <w:r>
        <w:rPr>
          <w:rFonts w:hint="eastAsia"/>
        </w:rPr>
        <w:t>规划基础</w:t>
      </w:r>
      <w:bookmarkEnd w:id="2"/>
      <w:bookmarkEnd w:id="3"/>
      <w:bookmarkEnd w:id="4"/>
      <w:bookmarkEnd w:id="5"/>
    </w:p>
    <w:p>
      <w:pPr>
        <w:keepNext w:val="0"/>
        <w:keepLines w:val="0"/>
        <w:spacing w:before="0" w:after="0" w:line="276" w:lineRule="auto"/>
        <w:ind w:firstLine="640"/>
        <w:rPr>
          <w:rFonts w:hint="eastAsia"/>
        </w:rPr>
      </w:pPr>
    </w:p>
    <w:p>
      <w:pPr>
        <w:pStyle w:val="4"/>
        <w:keepNext w:val="0"/>
        <w:keepLines w:val="0"/>
        <w:spacing w:before="0" w:after="0" w:line="276" w:lineRule="auto"/>
        <w:rPr>
          <w:rFonts w:hint="eastAsia"/>
        </w:rPr>
      </w:pPr>
      <w:bookmarkStart w:id="6" w:name="_Toc90024091"/>
      <w:r>
        <w:rPr>
          <w:rFonts w:hint="eastAsia"/>
        </w:rPr>
        <w:t xml:space="preserve">第一节 </w:t>
      </w:r>
      <w:r>
        <w:rPr>
          <w:rFonts w:hint="default"/>
          <w:lang w:val="en"/>
        </w:rPr>
        <w:t xml:space="preserve"> </w:t>
      </w:r>
      <w:r>
        <w:rPr>
          <w:rFonts w:hint="eastAsia"/>
        </w:rPr>
        <w:t>“十三五”时期消防事业发展成果</w:t>
      </w:r>
      <w:bookmarkEnd w:id="6"/>
    </w:p>
    <w:p>
      <w:pPr>
        <w:spacing w:line="276" w:lineRule="auto"/>
        <w:ind w:firstLine="640"/>
        <w:rPr>
          <w:rFonts w:hint="eastAsia"/>
        </w:rPr>
      </w:pPr>
    </w:p>
    <w:p>
      <w:pPr>
        <w:spacing w:line="276" w:lineRule="auto"/>
        <w:ind w:firstLine="640"/>
        <w:rPr>
          <w:rFonts w:hint="eastAsia"/>
        </w:rPr>
      </w:pPr>
      <w:r>
        <w:rPr>
          <w:rFonts w:hint="eastAsia"/>
        </w:rPr>
        <w:t>“十三五”时期，全区消防工作紧紧围绕服务和保障经济社会发展大局，切实加强和改进消防工作，全面提升城乡抗御火灾及其他灾害事故的能力和水平，较好地实现了“十三五”目标任务。</w:t>
      </w:r>
    </w:p>
    <w:p>
      <w:pPr>
        <w:spacing w:line="276" w:lineRule="auto"/>
        <w:ind w:firstLine="640"/>
        <w:rPr>
          <w:rFonts w:hint="eastAsia" w:eastAsia="方正楷体_GBK"/>
          <w:color w:val="000000"/>
          <w:szCs w:val="32"/>
        </w:rPr>
      </w:pPr>
      <w:r>
        <w:rPr>
          <w:rFonts w:hint="eastAsia" w:ascii="方正楷体_GBK" w:hAnsi="方正楷体_GBK" w:eastAsia="方正楷体_GBK" w:cs="方正楷体_GBK"/>
          <w:color w:val="000000"/>
          <w:szCs w:val="32"/>
        </w:rPr>
        <w:t>（一）社会火灾形势持续稳定。</w:t>
      </w:r>
      <w:r>
        <w:rPr>
          <w:rFonts w:hint="eastAsia"/>
          <w:color w:val="000000"/>
          <w:szCs w:val="32"/>
        </w:rPr>
        <w:t>“十三五”时期，全区</w:t>
      </w:r>
      <w:r>
        <w:rPr>
          <w:bCs/>
          <w:color w:val="000000"/>
          <w:szCs w:val="32"/>
        </w:rPr>
        <w:t>强化冬春火灾防控工作，持续开展人员密集场所、大型商业综合体、文博单位、电动自行车、消防车通道等专项治理，启动消防安全专项整治三年行动，重点领域消防安全风险得到有效化解</w:t>
      </w:r>
      <w:r>
        <w:rPr>
          <w:rFonts w:hint="eastAsia"/>
          <w:color w:val="000000"/>
          <w:szCs w:val="32"/>
        </w:rPr>
        <w:t>，</w:t>
      </w:r>
      <w:r>
        <w:rPr>
          <w:rFonts w:hint="eastAsia" w:ascii="方正仿宋_GBK"/>
          <w:color w:val="000000"/>
          <w:szCs w:val="32"/>
        </w:rPr>
        <w:t>共</w:t>
      </w:r>
      <w:r>
        <w:rPr>
          <w:rFonts w:hint="eastAsia" w:ascii="方正仿宋_GBK" w:hAnsi="宋体"/>
          <w:color w:val="000000"/>
          <w:szCs w:val="32"/>
        </w:rPr>
        <w:t>检查单位23500家次，下发《责令改正通知书》40825份，督促整改火灾隐患39680处，办理消防行政案件1157件，查封400家，“三停”353家，罚款310.83万元，</w:t>
      </w:r>
      <w:r>
        <w:rPr>
          <w:rFonts w:hint="eastAsia" w:hAnsi="方正仿宋_GBK"/>
          <w:color w:val="000000"/>
          <w:szCs w:val="32"/>
        </w:rPr>
        <w:t>挂牌整治</w:t>
      </w:r>
      <w:r>
        <w:rPr>
          <w:rFonts w:hAnsi="方正仿宋_GBK"/>
          <w:color w:val="000000"/>
          <w:szCs w:val="32"/>
        </w:rPr>
        <w:t>文化艺术中心</w:t>
      </w:r>
      <w:r>
        <w:rPr>
          <w:rFonts w:hint="eastAsia" w:hAnsi="方正仿宋_GBK"/>
          <w:color w:val="000000"/>
          <w:szCs w:val="32"/>
        </w:rPr>
        <w:t>、体育中心、</w:t>
      </w:r>
      <w:r>
        <w:rPr>
          <w:rFonts w:hAnsi="方正仿宋_GBK"/>
          <w:color w:val="000000"/>
          <w:szCs w:val="32"/>
        </w:rPr>
        <w:t>渝西广场</w:t>
      </w:r>
      <w:r>
        <w:rPr>
          <w:rFonts w:hint="eastAsia" w:hAnsi="方正仿宋_GBK"/>
          <w:color w:val="000000"/>
          <w:szCs w:val="32"/>
        </w:rPr>
        <w:t>和昌州市场等</w:t>
      </w:r>
      <w:r>
        <w:rPr>
          <w:rFonts w:hint="eastAsia"/>
          <w:color w:val="000000"/>
          <w:szCs w:val="32"/>
        </w:rPr>
        <w:t>重大火灾隐患，</w:t>
      </w:r>
      <w:r>
        <w:rPr>
          <w:rFonts w:hint="eastAsia" w:ascii="方正仿宋_GBK" w:hAnsi="方正仿宋_GBK" w:cs="方正仿宋_GBK"/>
          <w:color w:val="000000"/>
          <w:szCs w:val="32"/>
        </w:rPr>
        <w:t>圆满完成了</w:t>
      </w:r>
      <w:r>
        <w:rPr>
          <w:rFonts w:hint="eastAsia"/>
          <w:color w:val="000000"/>
          <w:szCs w:val="32"/>
        </w:rPr>
        <w:t>党的十九大、庆祝新中国成立</w:t>
      </w:r>
      <w:r>
        <w:rPr>
          <w:color w:val="000000"/>
          <w:szCs w:val="32"/>
        </w:rPr>
        <w:t>70周年</w:t>
      </w:r>
      <w:r>
        <w:rPr>
          <w:rFonts w:hint="eastAsia"/>
          <w:color w:val="000000"/>
          <w:szCs w:val="32"/>
        </w:rPr>
        <w:t>以及</w:t>
      </w:r>
      <w:r>
        <w:rPr>
          <w:rFonts w:hint="eastAsia" w:ascii="方正仿宋_GBK" w:hAnsi="方正仿宋_GBK" w:cs="方正仿宋_GBK"/>
          <w:color w:val="000000"/>
          <w:szCs w:val="32"/>
        </w:rPr>
        <w:t>智博会、“乐和乐都杯”国际系列体育赛事等消防安保任务</w:t>
      </w:r>
      <w:r>
        <w:rPr>
          <w:rFonts w:hint="eastAsia" w:ascii="方正仿宋_GBK"/>
          <w:color w:val="000000"/>
          <w:szCs w:val="32"/>
        </w:rPr>
        <w:t>。</w:t>
      </w: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（二）社会化消防工作格局初步构建。</w:t>
      </w:r>
      <w:r>
        <w:rPr>
          <w:rFonts w:hint="eastAsia"/>
          <w:color w:val="000000"/>
          <w:szCs w:val="32"/>
        </w:rPr>
        <w:t>全区积极贯彻“政府统一领导、部门依法监管、单位全面负责、公民积极参与”的消防工作原则，出台《</w:t>
      </w:r>
      <w:r>
        <w:rPr>
          <w:color w:val="000000"/>
          <w:szCs w:val="32"/>
        </w:rPr>
        <w:t>关于进一步明确消防工作职责的通知</w:t>
      </w:r>
      <w:r>
        <w:rPr>
          <w:rFonts w:hint="eastAsia"/>
          <w:color w:val="000000"/>
          <w:szCs w:val="32"/>
        </w:rPr>
        <w:t>》（2019-125）和《重庆市永川区消防监督管理工作办法（试行）》（永川府办发〔2019〕129号），逐步构建完善消防安全“三级监管”与“行业主管”新模式，依托“平安永川”深化打赢防范化解重大风险攻坚战，开展消防安全季度督查和年度考核。持续开展社会化消防安全宣传培训，首创全市“高校消防安全学分制”，定期围绕“大、中、小”学生群体举办消防知识竞赛等活动，针对消防安全重点单位、党政领导、微型消防站队员等群体开展消防安全业务培训，</w:t>
      </w:r>
      <w:r>
        <w:rPr>
          <w:bCs/>
          <w:color w:val="000000"/>
          <w:szCs w:val="32"/>
        </w:rPr>
        <w:t>组织评选</w:t>
      </w:r>
      <w:r>
        <w:rPr>
          <w:rFonts w:hint="eastAsia" w:ascii="方正仿宋_GBK"/>
          <w:bCs/>
          <w:color w:val="000000"/>
          <w:szCs w:val="32"/>
        </w:rPr>
        <w:t>“119消防奖”、“最美消防员”、“社区消防宣传大使”等活</w:t>
      </w:r>
      <w:r>
        <w:rPr>
          <w:bCs/>
          <w:color w:val="000000"/>
          <w:szCs w:val="32"/>
        </w:rPr>
        <w:t>动，深入实施消防宣传</w:t>
      </w:r>
      <w:r>
        <w:rPr>
          <w:rFonts w:hint="eastAsia" w:ascii="方正仿宋_GBK"/>
          <w:bCs/>
          <w:color w:val="000000"/>
          <w:szCs w:val="32"/>
        </w:rPr>
        <w:t>“五进”</w:t>
      </w:r>
      <w:r>
        <w:rPr>
          <w:bCs/>
          <w:color w:val="000000"/>
          <w:szCs w:val="32"/>
        </w:rPr>
        <w:t>，公众消防安全素质明显增强，关注消防参与消防的氛围逐步浓厚。</w:t>
      </w: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（三）社会消防营商环境持续净化。</w:t>
      </w:r>
      <w:r>
        <w:rPr>
          <w:rFonts w:hint="eastAsia"/>
          <w:color w:val="000000"/>
          <w:szCs w:val="32"/>
        </w:rPr>
        <w:t>紧紧围绕建设成渝双城经济圈，全面落实“一二三”发展思路，严格执行各项便民利民工作制度。“十三五”期间，按照消防行政审批改革要求，顺利完成建设工程消防</w:t>
      </w:r>
      <w:r>
        <w:rPr>
          <w:color w:val="000000"/>
          <w:szCs w:val="32"/>
        </w:rPr>
        <w:t>审验职能移交，累计完成</w:t>
      </w:r>
      <w:r>
        <w:rPr>
          <w:rFonts w:hint="eastAsia"/>
          <w:color w:val="000000"/>
          <w:szCs w:val="32"/>
        </w:rPr>
        <w:t>建设工程消防设计审核和备案抽查906件、竣工消防验收和备案抽查1136件、</w:t>
      </w:r>
      <w:r>
        <w:rPr>
          <w:color w:val="000000"/>
          <w:szCs w:val="32"/>
        </w:rPr>
        <w:t>消防设计审核确认</w:t>
      </w:r>
      <w:r>
        <w:rPr>
          <w:rFonts w:hint="eastAsia"/>
          <w:color w:val="000000"/>
          <w:szCs w:val="32"/>
        </w:rPr>
        <w:t>159</w:t>
      </w:r>
      <w:r>
        <w:rPr>
          <w:color w:val="000000"/>
          <w:szCs w:val="32"/>
        </w:rPr>
        <w:t>件</w:t>
      </w:r>
      <w:r>
        <w:rPr>
          <w:rFonts w:hint="eastAsia"/>
          <w:color w:val="000000"/>
          <w:szCs w:val="32"/>
        </w:rPr>
        <w:t>，</w:t>
      </w:r>
      <w:r>
        <w:rPr>
          <w:color w:val="000000"/>
          <w:szCs w:val="32"/>
        </w:rPr>
        <w:t>参与联合验收42件，开展</w:t>
      </w:r>
      <w:r>
        <w:rPr>
          <w:rFonts w:hint="eastAsia"/>
          <w:color w:val="000000"/>
          <w:szCs w:val="32"/>
        </w:rPr>
        <w:t>公众聚集场所投入使用、营业</w:t>
      </w:r>
      <w:r>
        <w:rPr>
          <w:rFonts w:hint="eastAsia"/>
          <w:color w:val="000000"/>
          <w:szCs w:val="32"/>
          <w:lang w:eastAsia="zh-CN"/>
        </w:rPr>
        <w:t>前</w:t>
      </w:r>
      <w:r>
        <w:rPr>
          <w:rFonts w:hint="eastAsia"/>
          <w:color w:val="000000"/>
          <w:szCs w:val="32"/>
        </w:rPr>
        <w:t>消防安全检查484次，提供消防安全</w:t>
      </w:r>
      <w:r>
        <w:rPr>
          <w:color w:val="000000"/>
          <w:szCs w:val="32"/>
        </w:rPr>
        <w:t>技术服务1500余次</w:t>
      </w:r>
      <w:r>
        <w:rPr>
          <w:rFonts w:hint="eastAsia"/>
          <w:color w:val="000000"/>
          <w:szCs w:val="32"/>
        </w:rPr>
        <w:t>，</w:t>
      </w:r>
      <w:r>
        <w:rPr>
          <w:color w:val="000000"/>
          <w:szCs w:val="32"/>
        </w:rPr>
        <w:t>接待企业咨询5000余</w:t>
      </w:r>
      <w:r>
        <w:rPr>
          <w:rFonts w:hint="eastAsia" w:ascii="方正仿宋_GBK" w:hAnsi="方正仿宋_GBK" w:cs="方正仿宋_GBK"/>
          <w:color w:val="000000"/>
          <w:szCs w:val="32"/>
        </w:rPr>
        <w:t>次，切实为经济高质量发展和人民高品质生活提供坚实保障</w:t>
      </w:r>
      <w:r>
        <w:rPr>
          <w:rFonts w:hint="eastAsia"/>
          <w:color w:val="000000"/>
          <w:szCs w:val="32"/>
        </w:rPr>
        <w:t>。</w:t>
      </w: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（四）公共消防基础建设递进发展。</w:t>
      </w:r>
      <w:r>
        <w:rPr>
          <w:rFonts w:hint="eastAsia"/>
          <w:color w:val="000000"/>
          <w:szCs w:val="32"/>
        </w:rPr>
        <w:t>区政府加大财政投入，落实财政消防经费保障机制，统筹推进公共消防基础设施和多元消防力量建设。“十三五”时期，完成252栋老旧居住建筑消防设施改造，建成119指挥中心和凤凰湖消防站，购置通信指挥车</w:t>
      </w:r>
      <w:r>
        <w:rPr>
          <w:rFonts w:hint="eastAsia" w:ascii="方正仿宋_GBK" w:hAnsi="方正仿宋_GBK" w:cs="方正仿宋_GBK"/>
          <w:color w:val="000000"/>
          <w:szCs w:val="32"/>
        </w:rPr>
        <w:t>、消防宣传车等专业车辆和</w:t>
      </w:r>
      <w:r>
        <w:rPr>
          <w:rFonts w:hint="eastAsia"/>
          <w:color w:val="000000"/>
          <w:szCs w:val="32"/>
        </w:rPr>
        <w:t>4辆执勤消防车、2辆公务用车，配齐5572件</w:t>
      </w:r>
      <w:r>
        <w:rPr>
          <w:rFonts w:hint="eastAsia"/>
          <w:color w:val="000000"/>
          <w:szCs w:val="32"/>
          <w:lang w:eastAsia="zh-CN"/>
        </w:rPr>
        <w:t>（</w:t>
      </w:r>
      <w:r>
        <w:rPr>
          <w:rFonts w:hint="eastAsia"/>
          <w:color w:val="000000"/>
          <w:szCs w:val="32"/>
        </w:rPr>
        <w:t>套</w:t>
      </w:r>
      <w:r>
        <w:rPr>
          <w:rFonts w:hint="eastAsia"/>
          <w:color w:val="000000"/>
          <w:szCs w:val="32"/>
          <w:lang w:eastAsia="zh-CN"/>
        </w:rPr>
        <w:t>）</w:t>
      </w:r>
      <w:r>
        <w:rPr>
          <w:rFonts w:hint="eastAsia"/>
          <w:color w:val="000000"/>
          <w:szCs w:val="32"/>
        </w:rPr>
        <w:t>灭火应急救援装备，稳步推进消防车辆装备升级换代；新建</w:t>
      </w:r>
      <w:r>
        <w:rPr>
          <w:color w:val="000000"/>
          <w:kern w:val="32"/>
          <w:szCs w:val="32"/>
        </w:rPr>
        <w:t>1591</w:t>
      </w:r>
      <w:r>
        <w:rPr>
          <w:rFonts w:hint="eastAsia"/>
          <w:color w:val="000000"/>
          <w:szCs w:val="32"/>
        </w:rPr>
        <w:t>个市政消火栓和</w:t>
      </w:r>
      <w:r>
        <w:rPr>
          <w:color w:val="000000"/>
          <w:kern w:val="32"/>
          <w:szCs w:val="32"/>
        </w:rPr>
        <w:t>12</w:t>
      </w:r>
      <w:r>
        <w:rPr>
          <w:rFonts w:hint="eastAsia"/>
          <w:color w:val="000000"/>
          <w:szCs w:val="32"/>
        </w:rPr>
        <w:t>处消防取水设施，有效改善了消防用水条件；</w:t>
      </w:r>
      <w:r>
        <w:rPr>
          <w:rFonts w:hint="eastAsia" w:ascii="方正仿宋_GBK" w:hAnsi="宋体"/>
          <w:color w:val="000000"/>
          <w:kern w:val="32"/>
          <w:szCs w:val="32"/>
        </w:rPr>
        <w:t>在养老院、民宿、</w:t>
      </w:r>
      <w:r>
        <w:rPr>
          <w:rFonts w:hint="eastAsia" w:ascii="方正仿宋_GBK"/>
          <w:color w:val="000000"/>
          <w:kern w:val="32"/>
          <w:szCs w:val="32"/>
        </w:rPr>
        <w:t>“</w:t>
      </w:r>
      <w:r>
        <w:rPr>
          <w:rFonts w:hint="eastAsia" w:ascii="方正仿宋_GBK" w:hAnsi="宋体"/>
          <w:color w:val="000000"/>
          <w:kern w:val="32"/>
          <w:szCs w:val="32"/>
        </w:rPr>
        <w:t>三合一</w:t>
      </w:r>
      <w:r>
        <w:rPr>
          <w:rFonts w:hint="eastAsia" w:ascii="方正仿宋_GBK"/>
          <w:color w:val="000000"/>
          <w:kern w:val="32"/>
          <w:szCs w:val="32"/>
        </w:rPr>
        <w:t>”</w:t>
      </w:r>
      <w:r>
        <w:rPr>
          <w:rFonts w:hint="eastAsia" w:ascii="方正仿宋_GBK" w:hAnsi="宋体"/>
          <w:color w:val="000000"/>
          <w:kern w:val="32"/>
          <w:szCs w:val="32"/>
        </w:rPr>
        <w:t>场所和</w:t>
      </w:r>
      <w:r>
        <w:rPr>
          <w:rFonts w:hint="eastAsia" w:ascii="方正仿宋_GBK"/>
          <w:color w:val="000000"/>
          <w:kern w:val="32"/>
          <w:szCs w:val="32"/>
        </w:rPr>
        <w:t>“</w:t>
      </w:r>
      <w:r>
        <w:rPr>
          <w:rFonts w:hint="eastAsia" w:ascii="方正仿宋_GBK" w:hAnsi="宋体"/>
          <w:color w:val="000000"/>
          <w:kern w:val="32"/>
          <w:szCs w:val="32"/>
        </w:rPr>
        <w:t>老弱病残</w:t>
      </w:r>
      <w:r>
        <w:rPr>
          <w:rFonts w:hint="eastAsia" w:ascii="方正仿宋_GBK"/>
          <w:color w:val="000000"/>
          <w:kern w:val="32"/>
          <w:szCs w:val="32"/>
        </w:rPr>
        <w:t>”</w:t>
      </w:r>
      <w:r>
        <w:rPr>
          <w:rFonts w:hint="eastAsia" w:ascii="方正仿宋_GBK" w:hAnsi="宋体"/>
          <w:color w:val="000000"/>
          <w:kern w:val="32"/>
          <w:szCs w:val="32"/>
        </w:rPr>
        <w:t>群体住宅中推</w:t>
      </w:r>
      <w:r>
        <w:rPr>
          <w:rFonts w:hAnsi="宋体"/>
          <w:color w:val="000000"/>
          <w:kern w:val="32"/>
          <w:szCs w:val="32"/>
        </w:rPr>
        <w:t>广安装独立式感烟探测器</w:t>
      </w:r>
      <w:r>
        <w:rPr>
          <w:color w:val="000000"/>
          <w:kern w:val="32"/>
          <w:szCs w:val="32"/>
        </w:rPr>
        <w:t>9000</w:t>
      </w:r>
      <w:r>
        <w:rPr>
          <w:rFonts w:hint="eastAsia" w:hAnsi="宋体"/>
          <w:color w:val="000000"/>
          <w:kern w:val="32"/>
          <w:szCs w:val="32"/>
        </w:rPr>
        <w:t>个</w:t>
      </w:r>
      <w:r>
        <w:rPr>
          <w:rFonts w:hAnsi="宋体"/>
          <w:color w:val="000000"/>
          <w:kern w:val="32"/>
          <w:szCs w:val="32"/>
        </w:rPr>
        <w:t>、简易喷淋</w:t>
      </w:r>
      <w:r>
        <w:rPr>
          <w:color w:val="000000"/>
          <w:kern w:val="32"/>
          <w:szCs w:val="32"/>
        </w:rPr>
        <w:t>20</w:t>
      </w:r>
      <w:r>
        <w:rPr>
          <w:rFonts w:hAnsi="宋体"/>
          <w:color w:val="000000"/>
          <w:kern w:val="32"/>
          <w:szCs w:val="32"/>
        </w:rPr>
        <w:t>套，在消防安全重点单位安装电气火灾检测设备</w:t>
      </w:r>
      <w:r>
        <w:rPr>
          <w:color w:val="000000"/>
          <w:kern w:val="32"/>
          <w:szCs w:val="32"/>
        </w:rPr>
        <w:t>50</w:t>
      </w:r>
      <w:r>
        <w:rPr>
          <w:rFonts w:hAnsi="宋体"/>
          <w:color w:val="000000"/>
          <w:kern w:val="32"/>
          <w:szCs w:val="32"/>
        </w:rPr>
        <w:t>套</w:t>
      </w:r>
      <w:r>
        <w:rPr>
          <w:rFonts w:hint="eastAsia" w:hAnsi="宋体"/>
          <w:color w:val="000000"/>
          <w:kern w:val="32"/>
          <w:szCs w:val="32"/>
        </w:rPr>
        <w:t>，</w:t>
      </w:r>
      <w:r>
        <w:rPr>
          <w:rFonts w:hAnsi="宋体"/>
          <w:color w:val="000000"/>
          <w:kern w:val="32"/>
          <w:szCs w:val="32"/>
        </w:rPr>
        <w:t>基层消防工作得到了有效规范。</w:t>
      </w:r>
      <w:r>
        <w:rPr>
          <w:rFonts w:hint="eastAsia"/>
          <w:color w:val="000000"/>
          <w:szCs w:val="32"/>
        </w:rPr>
        <w:t>新建4支政府专职消防队，发展壮大了多元消防力量，城乡公共消防基础建设取得长足发展。</w:t>
      </w:r>
      <w:bookmarkStart w:id="7" w:name="_Toc457328322"/>
      <w:bookmarkStart w:id="8" w:name="_Toc456941798"/>
    </w:p>
    <w:p>
      <w:pPr>
        <w:spacing w:line="276" w:lineRule="auto"/>
        <w:ind w:firstLine="640"/>
        <w:rPr>
          <w:rFonts w:hint="eastAsia" w:ascii="方正仿宋_GBK"/>
          <w:color w:val="000000"/>
          <w:kern w:val="32"/>
          <w:szCs w:val="32"/>
          <w:lang w:bidi="ar"/>
        </w:rPr>
      </w:pPr>
      <w:r>
        <w:rPr>
          <w:rFonts w:hint="eastAsia" w:ascii="方正楷体_GBK" w:hAnsi="方正楷体_GBK" w:eastAsia="方正楷体_GBK" w:cs="方正楷体_GBK"/>
          <w:color w:val="000000"/>
          <w:szCs w:val="32"/>
        </w:rPr>
        <w:t>（五）灭火应急救援工作成效显著。</w:t>
      </w:r>
      <w:r>
        <w:rPr>
          <w:rFonts w:hint="eastAsia" w:ascii="方正仿宋_GBK" w:cs="仿宋_GB2312"/>
          <w:color w:val="000000"/>
          <w:szCs w:val="32"/>
        </w:rPr>
        <w:t>聚焦“全灾种”“大应急”任务需要，</w:t>
      </w:r>
      <w:r>
        <w:rPr>
          <w:rFonts w:hint="eastAsia"/>
          <w:color w:val="000000"/>
          <w:szCs w:val="32"/>
        </w:rPr>
        <w:t>大力开展全员岗位大练兵活动，</w:t>
      </w:r>
      <w:r>
        <w:rPr>
          <w:rFonts w:hint="eastAsia" w:ascii="方正仿宋_GBK" w:cs="仿宋_GB2312"/>
          <w:color w:val="000000"/>
          <w:szCs w:val="32"/>
        </w:rPr>
        <w:t>定期分析研判永川地区灾害事故风险，制定完善各类灾害事故应急救援、通信响应和战勤保障预案。组织开展“上下大化”等疑难火灾扑救，以及交通、水域、地震等特殊灾害救援实战演练，加强战术战法研究，规范作战指挥行动。制定</w:t>
      </w:r>
      <w:r>
        <w:rPr>
          <w:rFonts w:hint="eastAsia" w:ascii="方正仿宋_GBK"/>
          <w:color w:val="000000"/>
          <w:kern w:val="32"/>
          <w:szCs w:val="32"/>
          <w:lang w:bidi="ar"/>
        </w:rPr>
        <w:t>《永川区优化火灾应急处置程序工作方案（暂行）》，规范火灾事故的应急管理和应急响应程序，进一步提高火灾事故应急处置能力，切实保障人民群众生命财产安全。</w:t>
      </w:r>
      <w:bookmarkStart w:id="9" w:name="_Toc457562534"/>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（六）“十三五”期间火灾事故情况。</w:t>
      </w:r>
      <w:r>
        <w:rPr>
          <w:rFonts w:hint="eastAsia"/>
          <w:color w:val="000000"/>
          <w:szCs w:val="32"/>
        </w:rPr>
        <w:t>“十三五”时期，全区共发生火灾538起，亡5人（其中，2018年1月22日，俊豪中央大街发生一起亡3人的较大火灾事故），造成直接财产损失532万余元；119指挥中心共接处警13034起，出动车辆17767辆次，出动警力109859人次，抢救被困人员874人，疏散被困人员4217人，抢救财产价值</w:t>
      </w:r>
      <w:r>
        <w:rPr>
          <w:color w:val="000000"/>
          <w:szCs w:val="32"/>
        </w:rPr>
        <w:t>135</w:t>
      </w:r>
      <w:r>
        <w:rPr>
          <w:rFonts w:hint="eastAsia"/>
          <w:color w:val="000000"/>
          <w:szCs w:val="32"/>
        </w:rPr>
        <w:t>9万余元，全力确保了城市的安全运行。</w:t>
      </w:r>
    </w:p>
    <w:p>
      <w:pPr>
        <w:spacing w:line="276" w:lineRule="auto"/>
        <w:ind w:firstLine="640"/>
        <w:rPr>
          <w:rFonts w:hint="eastAsia"/>
          <w:color w:val="000000"/>
          <w:szCs w:val="32"/>
        </w:rPr>
      </w:pPr>
    </w:p>
    <w:p>
      <w:pPr>
        <w:pStyle w:val="4"/>
        <w:keepNext w:val="0"/>
        <w:keepLines w:val="0"/>
        <w:spacing w:before="0" w:after="0" w:line="276" w:lineRule="auto"/>
        <w:ind w:firstLine="641"/>
        <w:rPr>
          <w:rFonts w:hint="eastAsia"/>
        </w:rPr>
      </w:pPr>
      <w:bookmarkStart w:id="10" w:name="_Toc90024092"/>
      <w:r>
        <w:rPr>
          <w:rFonts w:hint="eastAsia"/>
        </w:rPr>
        <w:t xml:space="preserve">第二节 </w:t>
      </w:r>
      <w:r>
        <w:rPr>
          <w:rFonts w:hint="default"/>
          <w:lang w:val="en"/>
        </w:rPr>
        <w:t xml:space="preserve"> </w:t>
      </w:r>
      <w:r>
        <w:rPr>
          <w:rFonts w:hint="eastAsia"/>
        </w:rPr>
        <w:t>“十四五”消防工作面临的主要挑战</w:t>
      </w:r>
      <w:bookmarkEnd w:id="7"/>
      <w:bookmarkEnd w:id="8"/>
      <w:bookmarkEnd w:id="9"/>
      <w:bookmarkEnd w:id="10"/>
    </w:p>
    <w:p>
      <w:pPr>
        <w:spacing w:line="276" w:lineRule="auto"/>
        <w:ind w:firstLine="640"/>
        <w:rPr>
          <w:rFonts w:hint="eastAsia"/>
        </w:rPr>
      </w:pPr>
    </w:p>
    <w:p>
      <w:pPr>
        <w:spacing w:line="276" w:lineRule="auto"/>
        <w:ind w:firstLine="640"/>
        <w:rPr>
          <w:rFonts w:hint="eastAsia"/>
        </w:rPr>
      </w:pPr>
      <w:r>
        <w:rPr>
          <w:rFonts w:hint="eastAsia"/>
        </w:rPr>
        <w:t>“十三五”时期，全区消防工作服务经济社会发展、保障民生取得显著成效，但消防工作与经济社会发展不适应、不协调的矛盾仍然凸显，城市抗御和应对火灾及</w:t>
      </w:r>
      <w:r>
        <w:t>其他灾害事故的</w:t>
      </w:r>
      <w:r>
        <w:rPr>
          <w:rFonts w:hint="eastAsia"/>
        </w:rPr>
        <w:t>综合</w:t>
      </w:r>
      <w:r>
        <w:t>能力</w:t>
      </w:r>
      <w:r>
        <w:rPr>
          <w:rFonts w:hint="eastAsia"/>
        </w:rPr>
        <w:t>亟待加强和改进。</w:t>
      </w:r>
    </w:p>
    <w:p>
      <w:pPr>
        <w:spacing w:line="276" w:lineRule="auto"/>
        <w:ind w:firstLine="640"/>
        <w:rPr>
          <w:rFonts w:hint="eastAsia"/>
        </w:rPr>
      </w:pPr>
      <w:r>
        <w:rPr>
          <w:rFonts w:hint="eastAsia"/>
        </w:rPr>
        <w:t>“十四五”时期，随着</w:t>
      </w:r>
      <w:r>
        <w:t>成渝地区双城经济圈建设，</w:t>
      </w:r>
      <w:r>
        <w:rPr>
          <w:rFonts w:hint="eastAsia"/>
        </w:rPr>
        <w:t>全区城市化进程将进一步加快，大量新兴产业和重大项目落户我区，人流、物流、信息流高度集中，新技术、新材料、新工艺广泛应用，各类传统和非传统的致灾因素</w:t>
      </w:r>
      <w:r>
        <w:rPr>
          <w:rFonts w:hint="eastAsia"/>
          <w:lang w:val="en-US" w:eastAsia="zh-CN"/>
        </w:rPr>
        <w:t>将</w:t>
      </w:r>
      <w:r>
        <w:rPr>
          <w:rFonts w:hint="eastAsia"/>
        </w:rPr>
        <w:t>形成叠加放大效应，给消防工作带来前所未有的压力。建立与城市发展功能定位相适应的火灾防控和灭火应急救援力量体系，确保全区消防安全形势持续平稳，是“十四五”时期消防工作的重要任务。</w:t>
      </w: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（一）城市安全运行风险给社会消防治理提出新问题。</w:t>
      </w:r>
      <w:r>
        <w:rPr>
          <w:bCs/>
          <w:color w:val="000000"/>
          <w:szCs w:val="32"/>
        </w:rPr>
        <w:t>高层建筑、地下空间、大型综合体、地下轨道交通等发展迅猛，</w:t>
      </w:r>
      <w:r>
        <w:rPr>
          <w:rFonts w:hint="eastAsia"/>
          <w:bCs/>
          <w:color w:val="000000"/>
          <w:szCs w:val="32"/>
        </w:rPr>
        <w:t>全区</w:t>
      </w:r>
      <w:r>
        <w:rPr>
          <w:bCs/>
          <w:color w:val="000000"/>
          <w:szCs w:val="32"/>
        </w:rPr>
        <w:t>现有</w:t>
      </w:r>
      <w:r>
        <w:rPr>
          <w:rFonts w:hint="eastAsia"/>
          <w:bCs/>
          <w:color w:val="000000"/>
          <w:szCs w:val="32"/>
        </w:rPr>
        <w:t>高层建筑</w:t>
      </w:r>
      <w:r>
        <w:rPr>
          <w:rFonts w:hint="eastAsia"/>
          <w:color w:val="000000"/>
          <w:szCs w:val="32"/>
        </w:rPr>
        <w:t>933栋，</w:t>
      </w:r>
      <w:r>
        <w:rPr>
          <w:rFonts w:hint="eastAsia"/>
          <w:bCs/>
          <w:color w:val="000000"/>
          <w:szCs w:val="32"/>
        </w:rPr>
        <w:t>5</w:t>
      </w:r>
      <w:r>
        <w:rPr>
          <w:bCs/>
          <w:color w:val="000000"/>
          <w:szCs w:val="32"/>
        </w:rPr>
        <w:t>万平方米以上的大型综合体</w:t>
      </w:r>
      <w:r>
        <w:rPr>
          <w:rFonts w:hint="eastAsia"/>
          <w:bCs/>
          <w:color w:val="000000"/>
          <w:szCs w:val="32"/>
        </w:rPr>
        <w:t>4</w:t>
      </w:r>
      <w:r>
        <w:rPr>
          <w:bCs/>
          <w:color w:val="000000"/>
          <w:szCs w:val="32"/>
        </w:rPr>
        <w:t>个，建筑体量巨大、人员密度高、火灾载荷大，极易造成群死群伤。新技术新材料风险突出，</w:t>
      </w:r>
      <w:r>
        <w:rPr>
          <w:rFonts w:hint="eastAsia"/>
          <w:bCs/>
          <w:color w:val="000000"/>
          <w:szCs w:val="32"/>
        </w:rPr>
        <w:t>全区</w:t>
      </w:r>
      <w:r>
        <w:rPr>
          <w:bCs/>
          <w:color w:val="000000"/>
          <w:szCs w:val="32"/>
        </w:rPr>
        <w:t>电动自行车、新能源汽车保有量</w:t>
      </w:r>
      <w:r>
        <w:rPr>
          <w:rFonts w:hint="eastAsia"/>
          <w:bCs/>
          <w:color w:val="000000"/>
          <w:szCs w:val="32"/>
        </w:rPr>
        <w:t>超5万</w:t>
      </w:r>
      <w:r>
        <w:rPr>
          <w:bCs/>
          <w:color w:val="000000"/>
          <w:szCs w:val="32"/>
        </w:rPr>
        <w:t>辆，车载锂电池技术缺陷引发火灾爆炸事故逐年增多</w:t>
      </w:r>
      <w:r>
        <w:rPr>
          <w:rFonts w:hint="eastAsia"/>
          <w:color w:val="000000"/>
          <w:szCs w:val="32"/>
        </w:rPr>
        <w:t>。“十四五”期间，永川将建成中交世通大厦、会展中心等地标建筑，打造300亿级新能源摩托车产业园，城市安全运行进入消防高风险期，火灾防控工作将面临更加严峻的挑战。</w:t>
      </w: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（二）城乡一体化进程给公共消防基础建设提出新任务。</w:t>
      </w:r>
      <w:r>
        <w:rPr>
          <w:rFonts w:hint="eastAsia"/>
          <w:color w:val="000000"/>
          <w:szCs w:val="32"/>
        </w:rPr>
        <w:t>全区城乡一体化发展战略，要求合理布局和配置消防资源，但目前面临着城乡公共消防基础建设历史欠债和参差不齐的现状，</w:t>
      </w:r>
      <w:r>
        <w:rPr>
          <w:bCs/>
          <w:color w:val="000000"/>
          <w:szCs w:val="32"/>
        </w:rPr>
        <w:t>农村消防</w:t>
      </w:r>
      <w:r>
        <w:rPr>
          <w:rFonts w:hint="eastAsia" w:ascii="方正仿宋_GBK" w:hAnsi="方正仿宋_GBK" w:eastAsia="方正仿宋_GBK" w:cs="方正仿宋_GBK"/>
          <w:bCs/>
          <w:color w:val="000000"/>
          <w:szCs w:val="32"/>
        </w:rPr>
        <w:t>安全“洼地”愈</w:t>
      </w:r>
      <w:r>
        <w:rPr>
          <w:bCs/>
          <w:color w:val="000000"/>
          <w:szCs w:val="32"/>
        </w:rPr>
        <w:t>加凸显，不少农民自建房和违章建筑被改造为生产经营场所，</w:t>
      </w:r>
      <w:r>
        <w:rPr>
          <w:rFonts w:hint="eastAsia" w:ascii="方正仿宋_GBK"/>
          <w:bCs/>
          <w:color w:val="000000"/>
          <w:szCs w:val="32"/>
        </w:rPr>
        <w:t>“多合一”“九小场所”</w:t>
      </w:r>
      <w:r>
        <w:rPr>
          <w:bCs/>
          <w:color w:val="000000"/>
          <w:szCs w:val="32"/>
        </w:rPr>
        <w:t>等场所大量滋生，消防安全条件差，成为</w:t>
      </w:r>
      <w:r>
        <w:rPr>
          <w:rFonts w:hint="eastAsia" w:ascii="方正仿宋_GBK" w:hAnsi="方正仿宋_GBK" w:eastAsia="方正仿宋_GBK" w:cs="方正仿宋_GBK"/>
          <w:bCs/>
          <w:color w:val="000000"/>
          <w:szCs w:val="32"/>
        </w:rPr>
        <w:t>“小火亡人”</w:t>
      </w:r>
      <w:r>
        <w:rPr>
          <w:bCs/>
          <w:color w:val="000000"/>
          <w:szCs w:val="32"/>
        </w:rPr>
        <w:t>主要区域。此外，消防安全责任制尚需健全，风险监测预警和防范化解机制不够完善，精准化消防监督执法有待增强。</w:t>
      </w: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（三）城市发展新目标给灭火应急救援提出新挑战。</w:t>
      </w:r>
      <w:r>
        <w:rPr>
          <w:rFonts w:hint="eastAsia"/>
          <w:color w:val="000000"/>
          <w:szCs w:val="32"/>
        </w:rPr>
        <w:t>永川作为成渝地区双城经济圈重要节点、重庆主城都市区战略支点，同时对标应急救援主力军和国家队职能定位，着眼“全灾种”“大应急”任务需要，与全区消防救援队伍面临救援人员短缺、排烟消防车、照明消防车、大功率泡沫消防车、自装卸式模块器材消防车等执勤车辆配备不足，高层、地下火灾以及地震、水域灾害事故高精尖器材占比率不高</w:t>
      </w:r>
      <w:r>
        <w:rPr>
          <w:rFonts w:hint="eastAsia"/>
          <w:color w:val="000000"/>
          <w:szCs w:val="32"/>
          <w:lang w:eastAsia="zh-CN"/>
        </w:rPr>
        <w:t>的实际情况矛盾较为突出。</w:t>
      </w:r>
      <w:r>
        <w:rPr>
          <w:rFonts w:hint="eastAsia"/>
          <w:color w:val="000000"/>
          <w:szCs w:val="32"/>
        </w:rPr>
        <w:t>随着成渝地区双城经济圈建设的加快，建设</w:t>
      </w:r>
      <w:r>
        <w:rPr>
          <w:rFonts w:hint="eastAsia"/>
          <w:color w:val="000000"/>
          <w:szCs w:val="32"/>
          <w:lang w:eastAsia="zh-CN"/>
        </w:rPr>
        <w:t>“</w:t>
      </w:r>
      <w:r>
        <w:rPr>
          <w:rFonts w:hint="eastAsia"/>
          <w:color w:val="000000"/>
          <w:szCs w:val="32"/>
        </w:rPr>
        <w:t>高质量发展先行区、高品质生活示范区</w:t>
      </w:r>
      <w:r>
        <w:rPr>
          <w:rFonts w:hint="eastAsia"/>
          <w:color w:val="000000"/>
          <w:szCs w:val="32"/>
          <w:lang w:eastAsia="zh-CN"/>
        </w:rPr>
        <w:t>”</w:t>
      </w:r>
      <w:r>
        <w:rPr>
          <w:rFonts w:hint="eastAsia"/>
          <w:color w:val="000000"/>
          <w:szCs w:val="32"/>
        </w:rPr>
        <w:t>的发展目标，对消防救援能力提出了挑战。</w:t>
      </w: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（四）社会公众安全需求给创新消防工作机制提出新课题。</w:t>
      </w:r>
      <w:r>
        <w:rPr>
          <w:rFonts w:hint="eastAsia"/>
          <w:color w:val="000000"/>
          <w:szCs w:val="32"/>
        </w:rPr>
        <w:t>随着人民群众物质文化生活水平的不断提高，对消防安全感、满意度提出了更多更高的要求，期待政府加大购买公共服务力度，降低消防安全风险，改善居住及工作消防安全环境；期待传统和新兴媒体能突出公益消防宣传，获取更多消防知识，掌握初期火灾扑救和应急疏散逃生技能；期待信息时代能通过互联网等平台，方便快捷地获取消防服务信息。目前，民生实事工程的覆盖面、消防宣传的公众普及率、智慧消防建设等工作机制建设明显滞后，亟需“十四五”时期健全和完善。</w:t>
      </w:r>
    </w:p>
    <w:p>
      <w:pPr>
        <w:spacing w:line="276" w:lineRule="auto"/>
        <w:ind w:firstLine="640"/>
        <w:rPr>
          <w:rFonts w:hint="eastAsia"/>
          <w:color w:val="000000"/>
          <w:szCs w:val="32"/>
        </w:rPr>
      </w:pPr>
    </w:p>
    <w:p>
      <w:pPr>
        <w:pStyle w:val="3"/>
        <w:keepNext w:val="0"/>
        <w:keepLines w:val="0"/>
        <w:spacing w:before="0" w:after="0" w:line="276" w:lineRule="auto"/>
        <w:rPr>
          <w:rFonts w:hint="eastAsia"/>
        </w:rPr>
      </w:pPr>
      <w:bookmarkStart w:id="11" w:name="_Toc90024093"/>
      <w:r>
        <w:rPr>
          <w:rFonts w:hint="eastAsia"/>
        </w:rPr>
        <w:t xml:space="preserve">第二章 </w:t>
      </w:r>
      <w:r>
        <w:rPr>
          <w:rFonts w:hint="default"/>
          <w:lang w:val="en"/>
        </w:rPr>
        <w:t xml:space="preserve"> </w:t>
      </w:r>
      <w:r>
        <w:rPr>
          <w:rFonts w:hint="eastAsia"/>
        </w:rPr>
        <w:t>总体要求</w:t>
      </w:r>
      <w:bookmarkEnd w:id="11"/>
    </w:p>
    <w:p>
      <w:pPr>
        <w:keepNext w:val="0"/>
        <w:keepLines w:val="0"/>
        <w:numPr>
          <w:numId w:val="0"/>
        </w:numPr>
        <w:spacing w:before="0" w:after="0" w:line="276" w:lineRule="auto"/>
        <w:rPr>
          <w:rStyle w:val="30"/>
          <w:rFonts w:hint="eastAsia"/>
          <w:lang w:eastAsia="zh-CN"/>
        </w:rPr>
      </w:pPr>
      <w:bookmarkStart w:id="34" w:name="_GoBack"/>
      <w:bookmarkEnd w:id="34"/>
    </w:p>
    <w:p>
      <w:pPr>
        <w:pStyle w:val="4"/>
        <w:keepNext w:val="0"/>
        <w:keepLines w:val="0"/>
        <w:numPr>
          <w:ilvl w:val="-1"/>
          <w:numId w:val="0"/>
        </w:numPr>
        <w:spacing w:before="0" w:after="0" w:line="276" w:lineRule="auto"/>
        <w:rPr>
          <w:rFonts w:hint="eastAsia"/>
        </w:rPr>
      </w:pPr>
      <w:r>
        <w:rPr>
          <w:rFonts w:hint="eastAsia"/>
          <w:lang w:eastAsia="zh-CN"/>
        </w:rPr>
        <w:t>第一节</w:t>
      </w:r>
      <w:r>
        <w:rPr>
          <w:rFonts w:hint="eastAsia"/>
        </w:rPr>
        <w:t xml:space="preserve"> </w:t>
      </w:r>
      <w:bookmarkStart w:id="12" w:name="_Toc90024094"/>
      <w:r>
        <w:rPr>
          <w:rFonts w:hint="default"/>
          <w:lang w:val="en"/>
        </w:rPr>
        <w:t xml:space="preserve"> </w:t>
      </w:r>
      <w:r>
        <w:rPr>
          <w:rFonts w:hint="eastAsia"/>
        </w:rPr>
        <w:t>指导思想</w:t>
      </w:r>
      <w:bookmarkEnd w:id="12"/>
    </w:p>
    <w:p>
      <w:pPr>
        <w:spacing w:line="276" w:lineRule="auto"/>
        <w:ind w:firstLine="640"/>
        <w:rPr>
          <w:rStyle w:val="30"/>
          <w:rFonts w:hint="eastAsia"/>
        </w:rPr>
      </w:pPr>
    </w:p>
    <w:p>
      <w:pPr>
        <w:spacing w:line="276" w:lineRule="auto"/>
        <w:ind w:firstLine="640"/>
        <w:rPr>
          <w:rStyle w:val="30"/>
          <w:rFonts w:hint="eastAsia"/>
        </w:rPr>
      </w:pPr>
      <w:r>
        <w:rPr>
          <w:rStyle w:val="30"/>
          <w:rFonts w:hint="eastAsia"/>
        </w:rPr>
        <w:t>以习近平新时代中国特色社会主义思想为指导，全面贯彻党的十九大和十九届二中、三中、四中、五中、六中全会精神，紧紧围绕统筹推进“五位一体”总体布局和协调推进“四个全面”战略布局，深入贯彻习近平总书记对重庆提出的营造良好政治生态，坚持“两点”定位、“两地”“两高”目标，发挥“三个作用”和推动成渝地区双城经济圈建设等重要指示要求，牢固树立“人民至上、生命至上”理念，科学统筹发展和安全两件大事。坚持</w:t>
      </w:r>
      <w:r>
        <w:rPr>
          <w:rFonts w:hint="eastAsia" w:eastAsia="方正仿宋_GBK" w:cs="方正仿宋_GBK"/>
          <w:sz w:val="32"/>
          <w:szCs w:val="32"/>
        </w:rPr>
        <w:t>永川“</w:t>
      </w:r>
      <w:r>
        <w:rPr>
          <w:rFonts w:eastAsia="方正仿宋_GBK"/>
          <w:sz w:val="32"/>
          <w:szCs w:val="32"/>
        </w:rPr>
        <w:t>2235</w:t>
      </w:r>
      <w:r>
        <w:rPr>
          <w:rFonts w:hint="eastAsia" w:eastAsia="方正仿宋_GBK" w:cs="方正仿宋_GBK"/>
          <w:sz w:val="32"/>
          <w:szCs w:val="32"/>
        </w:rPr>
        <w:t>”总体发展思路</w:t>
      </w:r>
      <w:r>
        <w:rPr>
          <w:rFonts w:hint="eastAsia" w:ascii="方正仿宋_GBK" w:hAnsi="方正仿宋_GBK" w:cs="方正仿宋_GBK"/>
          <w:bCs/>
          <w:color w:val="000000"/>
          <w:szCs w:val="32"/>
        </w:rPr>
        <w:t>，</w:t>
      </w:r>
      <w:r>
        <w:rPr>
          <w:rFonts w:hint="eastAsia" w:ascii="方正仿宋_GBK" w:hAnsi="方正仿宋_GBK" w:cs="方正仿宋_GBK"/>
          <w:bCs/>
          <w:color w:val="000000"/>
          <w:szCs w:val="32"/>
          <w:lang w:eastAsia="zh-CN"/>
        </w:rPr>
        <w:t>将</w:t>
      </w:r>
      <w:r>
        <w:rPr>
          <w:rFonts w:hint="eastAsia" w:ascii="方正仿宋_GBK" w:hAnsi="方正仿宋_GBK" w:cs="方正仿宋_GBK"/>
          <w:bCs/>
          <w:color w:val="000000"/>
          <w:szCs w:val="32"/>
        </w:rPr>
        <w:t>永川</w:t>
      </w:r>
      <w:r>
        <w:rPr>
          <w:rFonts w:hint="eastAsia" w:ascii="方正仿宋_GBK" w:hAnsi="方正仿宋_GBK" w:cs="方正仿宋_GBK"/>
          <w:bCs/>
          <w:color w:val="000000"/>
          <w:szCs w:val="32"/>
          <w:lang w:eastAsia="zh-CN"/>
        </w:rPr>
        <w:t>的消防工作</w:t>
      </w:r>
      <w:r>
        <w:rPr>
          <w:rFonts w:hint="eastAsia" w:ascii="方正仿宋_GBK" w:hAnsi="方正仿宋_GBK" w:cs="方正仿宋_GBK"/>
          <w:bCs/>
          <w:color w:val="000000"/>
          <w:szCs w:val="32"/>
        </w:rPr>
        <w:t>放在全国、全市发展全局中来思考谋划，在危机中育先机，于变局中开新局，准确识变、科学应变、主动求变，</w:t>
      </w:r>
      <w:r>
        <w:rPr>
          <w:rFonts w:hint="eastAsia"/>
        </w:rPr>
        <w:t>强化城市运行安全保障，</w:t>
      </w:r>
      <w:r>
        <w:rPr>
          <w:rFonts w:hint="eastAsia" w:ascii="方正仿宋_GBK" w:hAnsi="方正仿宋_GBK" w:cs="方正仿宋_GBK"/>
          <w:bCs/>
          <w:color w:val="000000"/>
          <w:szCs w:val="32"/>
        </w:rPr>
        <w:t>为永川新发展目标</w:t>
      </w:r>
      <w:r>
        <w:rPr>
          <w:rStyle w:val="30"/>
          <w:rFonts w:hint="eastAsia"/>
        </w:rPr>
        <w:t>提供坚实的消防安全保障。</w:t>
      </w:r>
    </w:p>
    <w:p>
      <w:pPr>
        <w:spacing w:line="276" w:lineRule="auto"/>
        <w:ind w:firstLine="640"/>
        <w:rPr>
          <w:rStyle w:val="30"/>
          <w:rFonts w:hint="eastAsia"/>
        </w:rPr>
      </w:pPr>
    </w:p>
    <w:p>
      <w:pPr>
        <w:pStyle w:val="4"/>
        <w:keepNext w:val="0"/>
        <w:keepLines w:val="0"/>
        <w:spacing w:before="0" w:after="0" w:line="276" w:lineRule="auto"/>
      </w:pPr>
      <w:bookmarkStart w:id="13" w:name="_Toc90024095"/>
      <w:r>
        <w:rPr>
          <w:rFonts w:hint="eastAsia"/>
        </w:rPr>
        <w:t>第二节</w:t>
      </w:r>
      <w:r>
        <w:rPr>
          <w:rFonts w:hint="default"/>
          <w:lang w:val="en"/>
        </w:rPr>
        <w:t xml:space="preserve"> </w:t>
      </w:r>
      <w:r>
        <w:rPr>
          <w:rFonts w:hint="eastAsia"/>
        </w:rPr>
        <w:t xml:space="preserve"> 基本原则</w:t>
      </w:r>
      <w:bookmarkEnd w:id="13"/>
    </w:p>
    <w:p>
      <w:pPr>
        <w:spacing w:line="276" w:lineRule="auto"/>
        <w:ind w:firstLine="640"/>
      </w:pPr>
    </w:p>
    <w:p>
      <w:pPr>
        <w:spacing w:line="276" w:lineRule="auto"/>
        <w:ind w:firstLine="640"/>
      </w:pPr>
      <w:r>
        <w:t>坚持人民至上、生命至上</w:t>
      </w:r>
      <w:r>
        <w:rPr>
          <w:rFonts w:hint="eastAsia"/>
        </w:rPr>
        <w:t>。</w:t>
      </w:r>
      <w:r>
        <w:t>坚持党对消防工作和消防救援队伍的全面领导</w:t>
      </w:r>
      <w:r>
        <w:rPr>
          <w:rFonts w:hint="eastAsia"/>
        </w:rPr>
        <w:t>。</w:t>
      </w:r>
      <w:r>
        <w:t>牢固树立以人民为中心的发展思想</w:t>
      </w:r>
      <w:r>
        <w:rPr>
          <w:rFonts w:hint="eastAsia"/>
        </w:rPr>
        <w:t>，</w:t>
      </w:r>
      <w:r>
        <w:t>统筹发展和安全</w:t>
      </w:r>
      <w:r>
        <w:rPr>
          <w:rFonts w:hint="eastAsia"/>
        </w:rPr>
        <w:t>，</w:t>
      </w:r>
      <w:r>
        <w:t>贯彻预防为主、防消结合的方针</w:t>
      </w:r>
      <w:r>
        <w:rPr>
          <w:rFonts w:hint="eastAsia"/>
        </w:rPr>
        <w:t>，</w:t>
      </w:r>
      <w:r>
        <w:t>健全消防安全防范化解重大风险长效机制</w:t>
      </w:r>
      <w:r>
        <w:rPr>
          <w:rFonts w:hint="eastAsia"/>
        </w:rPr>
        <w:t>，</w:t>
      </w:r>
      <w:r>
        <w:t>提升应对处置各类灾害事故能力</w:t>
      </w:r>
      <w:r>
        <w:rPr>
          <w:rFonts w:hint="eastAsia"/>
        </w:rPr>
        <w:t>，</w:t>
      </w:r>
      <w:r>
        <w:t>全力保障人民群众生命财产安全</w:t>
      </w:r>
      <w:r>
        <w:rPr>
          <w:rFonts w:hint="eastAsia"/>
        </w:rPr>
        <w:t>。</w:t>
      </w:r>
    </w:p>
    <w:p>
      <w:pPr>
        <w:spacing w:line="276" w:lineRule="auto"/>
        <w:ind w:firstLine="640"/>
      </w:pPr>
      <w:r>
        <w:t>坚持依法管理、精准治理</w:t>
      </w:r>
      <w:r>
        <w:rPr>
          <w:rFonts w:hint="eastAsia"/>
        </w:rPr>
        <w:t>。</w:t>
      </w:r>
      <w:r>
        <w:t>完善消防安全法</w:t>
      </w:r>
      <w:r>
        <w:rPr>
          <w:rFonts w:hint="eastAsia"/>
          <w:lang w:eastAsia="zh-CN"/>
        </w:rPr>
        <w:t>治</w:t>
      </w:r>
      <w:r>
        <w:t>体系</w:t>
      </w:r>
      <w:r>
        <w:rPr>
          <w:rFonts w:hint="eastAsia"/>
        </w:rPr>
        <w:t>，</w:t>
      </w:r>
      <w:r>
        <w:t>发挥法治引领作用</w:t>
      </w:r>
      <w:r>
        <w:rPr>
          <w:rFonts w:hint="eastAsia"/>
        </w:rPr>
        <w:t>，</w:t>
      </w:r>
      <w:r>
        <w:t>提高消防工作规范化、制度化、标准化水平</w:t>
      </w:r>
      <w:r>
        <w:rPr>
          <w:rFonts w:hint="eastAsia"/>
        </w:rPr>
        <w:t>。</w:t>
      </w:r>
      <w:r>
        <w:t>实施消防安全精准治理</w:t>
      </w:r>
      <w:r>
        <w:rPr>
          <w:rFonts w:hint="eastAsia"/>
        </w:rPr>
        <w:t>，</w:t>
      </w:r>
      <w:r>
        <w:t>运用人防、物防、技防等措施</w:t>
      </w:r>
      <w:r>
        <w:rPr>
          <w:rFonts w:hint="eastAsia"/>
        </w:rPr>
        <w:t>，</w:t>
      </w:r>
      <w:r>
        <w:t>精准发布预警、精准抢险救援、精准监管执法</w:t>
      </w:r>
      <w:r>
        <w:rPr>
          <w:rFonts w:hint="eastAsia"/>
        </w:rPr>
        <w:t>。</w:t>
      </w:r>
    </w:p>
    <w:p>
      <w:pPr>
        <w:spacing w:line="276" w:lineRule="auto"/>
        <w:ind w:firstLine="640"/>
      </w:pPr>
      <w:r>
        <w:t>坚持改革创新、科技引领</w:t>
      </w:r>
      <w:r>
        <w:rPr>
          <w:rFonts w:hint="eastAsia"/>
        </w:rPr>
        <w:t>。</w:t>
      </w:r>
      <w:r>
        <w:t>全面深化消防执法改革</w:t>
      </w:r>
      <w:r>
        <w:rPr>
          <w:rFonts w:hint="eastAsia"/>
        </w:rPr>
        <w:t>，</w:t>
      </w:r>
      <w:r>
        <w:t>着力破解消防事业改革发展难题</w:t>
      </w:r>
      <w:r>
        <w:rPr>
          <w:rFonts w:hint="eastAsia"/>
        </w:rPr>
        <w:t>，</w:t>
      </w:r>
      <w:r>
        <w:t>加快构建与现代化指挥体系相适应的科技信息化支撑体系</w:t>
      </w:r>
      <w:r>
        <w:rPr>
          <w:rFonts w:hint="eastAsia"/>
        </w:rPr>
        <w:t>，</w:t>
      </w:r>
      <w:r>
        <w:t>提高消防工作的科学化、专业化、智能化、精细化水平</w:t>
      </w:r>
      <w:r>
        <w:rPr>
          <w:rFonts w:hint="eastAsia"/>
        </w:rPr>
        <w:t>。</w:t>
      </w:r>
    </w:p>
    <w:p>
      <w:pPr>
        <w:spacing w:line="276" w:lineRule="auto"/>
        <w:ind w:firstLine="640"/>
        <w:rPr>
          <w:rFonts w:hint="eastAsia"/>
        </w:rPr>
      </w:pPr>
      <w:r>
        <w:t>坚持系统观念、协同发展</w:t>
      </w:r>
      <w:r>
        <w:rPr>
          <w:rFonts w:hint="eastAsia"/>
        </w:rPr>
        <w:t>。</w:t>
      </w:r>
      <w:r>
        <w:t>加强消防事业前瞻性思考、全局性谋划、战略性布局、整体性推进</w:t>
      </w:r>
      <w:r>
        <w:rPr>
          <w:rFonts w:hint="eastAsia"/>
        </w:rPr>
        <w:t>，</w:t>
      </w:r>
      <w:r>
        <w:t>着力固根基、扬优势、补短板、强弱项</w:t>
      </w:r>
      <w:r>
        <w:rPr>
          <w:rFonts w:hint="eastAsia"/>
        </w:rPr>
        <w:t>。</w:t>
      </w:r>
      <w:r>
        <w:t>构建紧密高效的部门联动机制</w:t>
      </w:r>
      <w:r>
        <w:rPr>
          <w:rFonts w:hint="eastAsia"/>
        </w:rPr>
        <w:t>，</w:t>
      </w:r>
      <w:r>
        <w:t>强化区域消防安全协同合作</w:t>
      </w:r>
      <w:r>
        <w:rPr>
          <w:rFonts w:hint="eastAsia"/>
        </w:rPr>
        <w:t>，</w:t>
      </w:r>
      <w:r>
        <w:t>构建共建共治共享格局</w:t>
      </w:r>
      <w:r>
        <w:rPr>
          <w:rFonts w:hint="eastAsia"/>
        </w:rPr>
        <w:t>。</w:t>
      </w:r>
    </w:p>
    <w:p>
      <w:pPr>
        <w:spacing w:line="276" w:lineRule="auto"/>
        <w:ind w:firstLine="640"/>
        <w:rPr>
          <w:rFonts w:hint="eastAsia"/>
        </w:rPr>
      </w:pPr>
    </w:p>
    <w:p>
      <w:pPr>
        <w:pStyle w:val="4"/>
        <w:keepNext w:val="0"/>
        <w:keepLines w:val="0"/>
        <w:spacing w:before="0" w:after="0" w:line="276" w:lineRule="auto"/>
        <w:rPr>
          <w:rFonts w:hint="eastAsia"/>
        </w:rPr>
      </w:pPr>
      <w:bookmarkStart w:id="14" w:name="_Toc90024096"/>
      <w:r>
        <w:rPr>
          <w:rFonts w:hint="eastAsia"/>
        </w:rPr>
        <w:t xml:space="preserve">第三节 </w:t>
      </w:r>
      <w:r>
        <w:rPr>
          <w:rFonts w:hint="default"/>
          <w:lang w:val="en"/>
        </w:rPr>
        <w:t xml:space="preserve"> </w:t>
      </w:r>
      <w:r>
        <w:rPr>
          <w:rFonts w:hint="eastAsia"/>
        </w:rPr>
        <w:t>发展目标</w:t>
      </w:r>
      <w:bookmarkEnd w:id="14"/>
    </w:p>
    <w:p>
      <w:pPr>
        <w:spacing w:line="276" w:lineRule="auto"/>
        <w:ind w:firstLine="640"/>
        <w:rPr>
          <w:rFonts w:hint="eastAsia" w:ascii="方正楷体_GBK" w:hAnsi="方正楷体_GBK" w:eastAsia="方正楷体_GBK" w:cs="方正楷体_GBK"/>
          <w:color w:val="000000"/>
          <w:szCs w:val="32"/>
        </w:rPr>
      </w:pP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（一）监督执法效能取得新突破。</w:t>
      </w:r>
      <w:r>
        <w:rPr>
          <w:rFonts w:hint="eastAsia"/>
        </w:rPr>
        <w:t>深化消防执法改革，精简消防审批，放宽市场准入门槛，创新监管方式，落实消防工作责任，守住消防安全底线，优化服务举措，提升便民利企水平，扎紧制度笼子，规范执法权力运行。</w:t>
      </w:r>
      <w:r>
        <w:t>基层工作落实机制逐步理顺</w:t>
      </w:r>
      <w:r>
        <w:rPr>
          <w:rFonts w:hint="eastAsia"/>
        </w:rPr>
        <w:t>，</w:t>
      </w:r>
      <w:r>
        <w:t>消防执法权限逐级下放</w:t>
      </w:r>
      <w:r>
        <w:rPr>
          <w:rFonts w:hint="eastAsia"/>
        </w:rPr>
        <w:t>，</w:t>
      </w:r>
      <w:r>
        <w:t>基层监管机构和职责明确</w:t>
      </w:r>
      <w:r>
        <w:rPr>
          <w:rFonts w:hint="eastAsia"/>
        </w:rPr>
        <w:t>，</w:t>
      </w:r>
      <w:r>
        <w:t>监督力量进一步充实</w:t>
      </w:r>
      <w:r>
        <w:rPr>
          <w:rFonts w:hint="eastAsia"/>
        </w:rPr>
        <w:t>，</w:t>
      </w:r>
      <w:r>
        <w:t>消防工作 “最后一公里” 有效打通</w:t>
      </w:r>
      <w:r>
        <w:rPr>
          <w:rFonts w:hint="eastAsia"/>
        </w:rPr>
        <w:t>，</w:t>
      </w:r>
      <w:r>
        <w:t>基层消防监督力量实现全覆盖</w:t>
      </w:r>
      <w:r>
        <w:rPr>
          <w:rFonts w:hint="eastAsia"/>
        </w:rPr>
        <w:t>。</w:t>
      </w: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（二）消防治理机制得到新提高。</w:t>
      </w:r>
      <w:r>
        <w:rPr>
          <w:rFonts w:hint="eastAsia"/>
          <w:color w:val="000000"/>
          <w:szCs w:val="32"/>
        </w:rPr>
        <w:t>结合</w:t>
      </w:r>
      <w:r>
        <w:rPr>
          <w:color w:val="000000"/>
          <w:szCs w:val="32"/>
        </w:rPr>
        <w:t>全国安全生产专项整治三年行动计划</w:t>
      </w:r>
      <w:r>
        <w:rPr>
          <w:rFonts w:hint="eastAsia"/>
          <w:color w:val="000000"/>
          <w:szCs w:val="32"/>
        </w:rPr>
        <w:t>，开展消防安全专项整治三年行动。通过三年时间，强化源头治理、系统治理、精准治理，深入推进打通消防生命通道、重点场所治理、突出风险整治、重点行业管理等工作，有效防范化解重大消防安全风险。全面提升消防信息化管理能力、公民消防安全素质，鼓励全民参与消防安全建设，推动永川消防多元</w:t>
      </w:r>
      <w:r>
        <w:rPr>
          <w:rFonts w:hint="eastAsia"/>
          <w:color w:val="000000"/>
          <w:szCs w:val="32"/>
          <w:lang w:val="en-US" w:eastAsia="zh-CN"/>
        </w:rPr>
        <w:t>共</w:t>
      </w:r>
      <w:r>
        <w:rPr>
          <w:rFonts w:hint="eastAsia"/>
          <w:color w:val="000000"/>
          <w:szCs w:val="32"/>
        </w:rPr>
        <w:t>治，建立从根本上消除火灾风险隐患的消防管理责任链条、火灾防控体系、监测预警机制，推动消防安全形势持续向好发展。</w:t>
      </w:r>
    </w:p>
    <w:p>
      <w:pPr>
        <w:spacing w:line="276" w:lineRule="auto"/>
        <w:ind w:firstLine="640"/>
        <w:rPr>
          <w:rFonts w:hint="eastAsia"/>
          <w:color w:val="000000"/>
          <w:szCs w:val="32"/>
        </w:rPr>
      </w:pPr>
      <w:r>
        <w:rPr>
          <w:rFonts w:hint="eastAsia" w:ascii="方正楷体_GBK" w:hAnsi="方正楷体_GBK" w:eastAsia="方正楷体_GBK" w:cs="方正楷体_GBK"/>
          <w:color w:val="000000"/>
          <w:szCs w:val="32"/>
        </w:rPr>
        <w:t>（三）综合救援能力再上新台阶。</w:t>
      </w:r>
      <w:r>
        <w:rPr>
          <w:rFonts w:hint="eastAsia"/>
          <w:color w:val="000000"/>
          <w:szCs w:val="32"/>
        </w:rPr>
        <w:t>着力提升队伍应急救援实战能力，坚持实战练兵、训战结合，完善应急救援机制，推动救援装备升级，提升综合救援</w:t>
      </w:r>
      <w:r>
        <w:rPr>
          <w:rFonts w:hint="default"/>
          <w:color w:val="auto"/>
          <w:szCs w:val="22"/>
        </w:rPr>
        <w:t>能力。</w:t>
      </w:r>
      <w:r>
        <w:t>消防救援队伍训练体系不断健全</w:t>
      </w:r>
      <w:r>
        <w:rPr>
          <w:rFonts w:hint="default" w:ascii="Times New Roman" w:hAnsi="Times New Roman" w:eastAsia="方正仿宋_GBK" w:cs="Times New Roman"/>
        </w:rPr>
        <w:t>，</w:t>
      </w:r>
      <w:r>
        <w:t>职业化、专业化水平全面提高</w:t>
      </w:r>
      <w:r>
        <w:rPr>
          <w:rFonts w:hint="default" w:ascii="Times New Roman" w:hAnsi="Times New Roman" w:eastAsia="方正仿宋_GBK" w:cs="Times New Roman"/>
        </w:rPr>
        <w:t>，</w:t>
      </w:r>
      <w:r>
        <w:t>装备战勤保障能力明显加强</w:t>
      </w:r>
      <w:r>
        <w:rPr>
          <w:rFonts w:hint="default" w:ascii="Times New Roman" w:hAnsi="Times New Roman" w:eastAsia="方正仿宋_GBK" w:cs="Times New Roman"/>
        </w:rPr>
        <w:t>，</w:t>
      </w:r>
      <w:r>
        <w:t>全面适应“全灾种、大应急”职能任务需要</w:t>
      </w:r>
      <w:r>
        <w:rPr>
          <w:rFonts w:hint="eastAsia" w:ascii="等线" w:hAnsi="等线" w:eastAsia="等线" w:cs="Microsoft Yi Baiti"/>
        </w:rPr>
        <w:t>。</w:t>
      </w:r>
    </w:p>
    <w:p>
      <w:pPr>
        <w:spacing w:line="276" w:lineRule="auto"/>
        <w:ind w:firstLine="640"/>
        <w:rPr>
          <w:rFonts w:hint="eastAsia"/>
          <w:color w:val="000000"/>
          <w:szCs w:val="32"/>
          <w:lang w:bidi="ar"/>
        </w:rPr>
      </w:pPr>
      <w:r>
        <w:rPr>
          <w:rFonts w:hint="eastAsia" w:ascii="方正楷体_GBK" w:hAnsi="方正楷体_GBK" w:eastAsia="方正楷体_GBK" w:cs="方正楷体_GBK"/>
          <w:color w:val="000000"/>
          <w:szCs w:val="32"/>
        </w:rPr>
        <w:t>（四）现代消防建设获得新发展。</w:t>
      </w:r>
      <w:r>
        <w:rPr>
          <w:rFonts w:hint="eastAsia" w:ascii="方正仿宋_GBK"/>
          <w:color w:val="000000"/>
          <w:szCs w:val="32"/>
          <w:lang w:bidi="ar"/>
        </w:rPr>
        <w:t>加强消防信息化建设，</w:t>
      </w:r>
      <w:r>
        <w:rPr>
          <w:rFonts w:hint="eastAsia" w:ascii="方正仿宋_GBK"/>
          <w:color w:val="000000"/>
          <w:szCs w:val="32"/>
        </w:rPr>
        <w:t>以数据驱动和智能化应用为主线，建立与信息化建设应用相匹配的新型工作机制</w:t>
      </w:r>
      <w:r>
        <w:rPr>
          <w:rFonts w:hint="eastAsia"/>
          <w:color w:val="000000"/>
          <w:szCs w:val="32"/>
          <w:lang w:bidi="ar"/>
        </w:rPr>
        <w:t>。推进消防安全远程监督、线上管理，提高监管能力和效率。持续拓展重点区域物联感知能力，“全天候、全地域、全灾种”应急通信保障能力显著增强，断电、断路、断网条件下应急通信保障保持100%通达率。应急救援指挥“一张图”建设、火灾风险分析预警应用建设基本完成，科技创新对消防工作的支撑力度进一步提升。</w:t>
      </w:r>
    </w:p>
    <w:p>
      <w:pPr>
        <w:spacing w:line="276" w:lineRule="auto"/>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表1</w:t>
      </w:r>
      <w:r>
        <w:rPr>
          <w:rFonts w:hint="eastAsia" w:ascii="方正楷体_GBK" w:hAnsi="方正楷体_GBK" w:eastAsia="方正楷体_GBK" w:cs="方正楷体_GBK"/>
          <w:sz w:val="28"/>
          <w:szCs w:val="28"/>
          <w:lang w:val="en"/>
        </w:rPr>
        <w:t xml:space="preserve"> </w:t>
      </w:r>
      <w:r>
        <w:rPr>
          <w:rFonts w:hint="eastAsia" w:ascii="方正楷体_GBK" w:hAnsi="方正楷体_GBK" w:eastAsia="方正楷体_GBK" w:cs="方正楷体_GBK"/>
          <w:sz w:val="28"/>
          <w:szCs w:val="28"/>
        </w:rPr>
        <w:t xml:space="preserve"> “十四五”时期消防救援事业发展主要指标</w:t>
      </w:r>
    </w:p>
    <w:tbl>
      <w:tblPr>
        <w:tblStyle w:val="17"/>
        <w:tblW w:w="0" w:type="auto"/>
        <w:tblInd w:w="0" w:type="dxa"/>
        <w:tblLayout w:type="fixed"/>
        <w:tblCellMar>
          <w:top w:w="0" w:type="dxa"/>
          <w:left w:w="0" w:type="dxa"/>
          <w:bottom w:w="0" w:type="dxa"/>
          <w:right w:w="0" w:type="dxa"/>
        </w:tblCellMar>
      </w:tblPr>
      <w:tblGrid>
        <w:gridCol w:w="1009"/>
        <w:gridCol w:w="2584"/>
        <w:gridCol w:w="1008"/>
        <w:gridCol w:w="1009"/>
        <w:gridCol w:w="1305"/>
        <w:gridCol w:w="1418"/>
      </w:tblGrid>
      <w:tr>
        <w:tblPrEx>
          <w:tblCellMar>
            <w:top w:w="0" w:type="dxa"/>
            <w:left w:w="0" w:type="dxa"/>
            <w:bottom w:w="0" w:type="dxa"/>
            <w:right w:w="0" w:type="dxa"/>
          </w:tblCellMar>
        </w:tblPrEx>
        <w:trPr>
          <w:trHeight w:val="27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序号</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指标名称</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单位</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2020年</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2025年目标</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指标属性</w:t>
            </w:r>
          </w:p>
        </w:tc>
      </w:tr>
      <w:tr>
        <w:tblPrEx>
          <w:tblCellMar>
            <w:top w:w="0" w:type="dxa"/>
            <w:left w:w="0" w:type="dxa"/>
            <w:bottom w:w="0" w:type="dxa"/>
            <w:right w:w="0" w:type="dxa"/>
          </w:tblCellMar>
        </w:tblPrEx>
        <w:trPr>
          <w:trHeight w:val="27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年度火灾百万人口死亡率</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人</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eastAsia="方正仿宋_GBK" w:cs="Times New Roman"/>
                <w:lang w:eastAsia="zh-CN"/>
              </w:rPr>
            </w:pPr>
            <w:r>
              <w:rPr>
                <w:rFonts w:hint="eastAsia" w:cs="Times New Roman"/>
                <w:lang w:val="en-US" w:eastAsia="zh-CN"/>
              </w:rPr>
              <w:t>2</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2</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约束性</w:t>
            </w:r>
          </w:p>
        </w:tc>
      </w:tr>
      <w:tr>
        <w:tblPrEx>
          <w:tblCellMar>
            <w:top w:w="0" w:type="dxa"/>
            <w:left w:w="0" w:type="dxa"/>
            <w:bottom w:w="0" w:type="dxa"/>
            <w:right w:w="0" w:type="dxa"/>
          </w:tblCellMar>
        </w:tblPrEx>
        <w:trPr>
          <w:trHeight w:val="27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2</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十万人拥有消防救援站</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 xml:space="preserve">0.35 </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hint="eastAsia" w:cs="Times New Roman"/>
              </w:rPr>
              <w:t>0.37</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预期性</w:t>
            </w:r>
          </w:p>
        </w:tc>
      </w:tr>
      <w:tr>
        <w:tblPrEx>
          <w:tblCellMar>
            <w:top w:w="0" w:type="dxa"/>
            <w:left w:w="0" w:type="dxa"/>
            <w:bottom w:w="0" w:type="dxa"/>
            <w:right w:w="0" w:type="dxa"/>
          </w:tblCellMar>
        </w:tblPrEx>
        <w:trPr>
          <w:trHeight w:val="27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3</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乡镇专职消防队覆盖率</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43.8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43.8</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预期性</w:t>
            </w:r>
          </w:p>
        </w:tc>
      </w:tr>
      <w:tr>
        <w:tblPrEx>
          <w:tblCellMar>
            <w:top w:w="0" w:type="dxa"/>
            <w:left w:w="0" w:type="dxa"/>
            <w:bottom w:w="0" w:type="dxa"/>
            <w:right w:w="0" w:type="dxa"/>
          </w:tblCellMar>
        </w:tblPrEx>
        <w:trPr>
          <w:trHeight w:val="27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4</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市政消火栓建有率</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100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100</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约束性</w:t>
            </w:r>
          </w:p>
        </w:tc>
      </w:tr>
      <w:tr>
        <w:tblPrEx>
          <w:tblCellMar>
            <w:top w:w="0" w:type="dxa"/>
            <w:left w:w="0" w:type="dxa"/>
            <w:bottom w:w="0" w:type="dxa"/>
            <w:right w:w="0" w:type="dxa"/>
          </w:tblCellMar>
        </w:tblPrEx>
        <w:trPr>
          <w:trHeight w:val="27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5</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市政消火栓完好率</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98</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98</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约束性</w:t>
            </w:r>
          </w:p>
        </w:tc>
      </w:tr>
      <w:tr>
        <w:tblPrEx>
          <w:tblCellMar>
            <w:top w:w="0" w:type="dxa"/>
            <w:left w:w="0" w:type="dxa"/>
            <w:bottom w:w="0" w:type="dxa"/>
            <w:right w:w="0" w:type="dxa"/>
          </w:tblCellMar>
        </w:tblPrEx>
        <w:trPr>
          <w:trHeight w:val="27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6</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万人专职消防员拥有率</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人</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0.91</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 xml:space="preserve">1.44 </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预期性</w:t>
            </w:r>
          </w:p>
        </w:tc>
      </w:tr>
      <w:tr>
        <w:tblPrEx>
          <w:tblCellMar>
            <w:top w:w="0" w:type="dxa"/>
            <w:left w:w="0" w:type="dxa"/>
            <w:bottom w:w="0" w:type="dxa"/>
            <w:right w:w="0" w:type="dxa"/>
          </w:tblCellMar>
        </w:tblPrEx>
        <w:trPr>
          <w:trHeight w:val="27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7</w:t>
            </w:r>
          </w:p>
        </w:tc>
        <w:tc>
          <w:tcPr>
            <w:tcW w:w="25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万人消防车拥有率</w:t>
            </w:r>
          </w:p>
        </w:tc>
        <w:tc>
          <w:tcPr>
            <w:tcW w:w="10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0.30</w:t>
            </w:r>
          </w:p>
        </w:tc>
        <w:tc>
          <w:tcPr>
            <w:tcW w:w="13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0.36</w:t>
            </w:r>
          </w:p>
        </w:tc>
        <w:tc>
          <w:tcPr>
            <w:tcW w:w="14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预期性</w:t>
            </w:r>
          </w:p>
        </w:tc>
      </w:tr>
    </w:tbl>
    <w:p>
      <w:pPr>
        <w:keepNext w:val="0"/>
        <w:keepLines w:val="0"/>
        <w:spacing w:before="0" w:after="0" w:line="276" w:lineRule="auto"/>
        <w:ind w:firstLine="640"/>
        <w:rPr>
          <w:rFonts w:hint="eastAsia"/>
        </w:rPr>
      </w:pPr>
      <w:bookmarkStart w:id="15" w:name="_Toc90024097"/>
    </w:p>
    <w:p>
      <w:pPr>
        <w:pStyle w:val="3"/>
        <w:keepNext w:val="0"/>
        <w:keepLines w:val="0"/>
        <w:spacing w:before="0" w:after="0" w:line="276" w:lineRule="auto"/>
        <w:rPr>
          <w:rFonts w:hint="eastAsia"/>
        </w:rPr>
      </w:pPr>
      <w:r>
        <w:rPr>
          <w:rFonts w:hint="eastAsia"/>
        </w:rPr>
        <w:t xml:space="preserve">第三章 </w:t>
      </w:r>
      <w:r>
        <w:rPr>
          <w:rFonts w:hint="default"/>
          <w:lang w:val="en"/>
        </w:rPr>
        <w:t xml:space="preserve"> </w:t>
      </w:r>
      <w:r>
        <w:rPr>
          <w:rFonts w:hint="eastAsia"/>
        </w:rPr>
        <w:t>主要任务</w:t>
      </w:r>
      <w:bookmarkEnd w:id="15"/>
    </w:p>
    <w:p>
      <w:pPr>
        <w:keepNext w:val="0"/>
        <w:keepLines w:val="0"/>
        <w:spacing w:before="0" w:after="0" w:line="276" w:lineRule="auto"/>
        <w:ind w:firstLine="640"/>
        <w:rPr>
          <w:rFonts w:hint="eastAsia"/>
        </w:rPr>
      </w:pPr>
      <w:bookmarkStart w:id="16" w:name="_Toc90024098"/>
    </w:p>
    <w:p>
      <w:pPr>
        <w:pStyle w:val="4"/>
        <w:keepNext w:val="0"/>
        <w:keepLines w:val="0"/>
        <w:spacing w:before="0" w:after="0" w:line="276" w:lineRule="auto"/>
        <w:rPr>
          <w:rFonts w:hint="eastAsia"/>
        </w:rPr>
      </w:pPr>
      <w:r>
        <w:rPr>
          <w:rFonts w:hint="eastAsia"/>
        </w:rPr>
        <w:t xml:space="preserve">第一节 </w:t>
      </w:r>
      <w:r>
        <w:rPr>
          <w:rFonts w:hint="default"/>
          <w:lang w:val="en"/>
        </w:rPr>
        <w:t xml:space="preserve"> </w:t>
      </w:r>
      <w:r>
        <w:rPr>
          <w:rFonts w:hint="eastAsia"/>
        </w:rPr>
        <w:t>压实消防工作责任</w:t>
      </w:r>
      <w:bookmarkEnd w:id="16"/>
    </w:p>
    <w:p>
      <w:pPr>
        <w:spacing w:line="276" w:lineRule="auto"/>
        <w:ind w:firstLine="640"/>
        <w:rPr>
          <w:rFonts w:hint="eastAsia"/>
        </w:rPr>
      </w:pPr>
    </w:p>
    <w:p>
      <w:pPr>
        <w:spacing w:line="276" w:lineRule="auto"/>
        <w:ind w:firstLine="640"/>
        <w:rPr>
          <w:rFonts w:hint="eastAsia"/>
        </w:rPr>
      </w:pPr>
      <w:r>
        <w:rPr>
          <w:rFonts w:hint="eastAsia"/>
        </w:rPr>
        <w:t>落实消防安全责任制，完善政府年度消防工作考核机制，强化部门会商研判，充分发挥消防安全委员会作用，建立健全火灾警示约谈、重大隐患挂牌督办、消防安全重大问题问责、重大问题抄告反馈等制度，形成综合治理合力；教育、民政、文化旅游、卫生健康、文物等部门建立完善行业消防安全管理制度，实施标准化、规范化管理，健全行业部门分析评估、定期会商、联合执法等机制；全面推行单位风险隐患“自知、自查、自改”和公示承诺、风险申报制度，强化社会单位“四个能力”建设，健全消防安全自主管理机制，培养单位消防安全管理“明白人”。</w:t>
      </w:r>
    </w:p>
    <w:p>
      <w:pPr>
        <w:spacing w:line="276" w:lineRule="auto"/>
        <w:ind w:firstLine="640"/>
        <w:rPr>
          <w:rFonts w:hint="eastAsia"/>
        </w:rPr>
      </w:pPr>
    </w:p>
    <w:p>
      <w:pPr>
        <w:pStyle w:val="4"/>
        <w:keepNext w:val="0"/>
        <w:keepLines w:val="0"/>
        <w:spacing w:before="0" w:after="0" w:line="276" w:lineRule="auto"/>
        <w:rPr>
          <w:rFonts w:hint="eastAsia"/>
        </w:rPr>
      </w:pPr>
      <w:bookmarkStart w:id="17" w:name="_Toc90024099"/>
      <w:r>
        <w:rPr>
          <w:rFonts w:hint="eastAsia"/>
        </w:rPr>
        <w:t xml:space="preserve">第二节 </w:t>
      </w:r>
      <w:r>
        <w:rPr>
          <w:rFonts w:hint="default"/>
          <w:lang w:val="en"/>
        </w:rPr>
        <w:t xml:space="preserve"> </w:t>
      </w:r>
      <w:r>
        <w:rPr>
          <w:rFonts w:hint="eastAsia"/>
        </w:rPr>
        <w:t>构建新型监管模式</w:t>
      </w:r>
      <w:bookmarkEnd w:id="17"/>
    </w:p>
    <w:p>
      <w:pPr>
        <w:spacing w:line="276" w:lineRule="auto"/>
        <w:ind w:firstLine="640"/>
        <w:rPr>
          <w:rFonts w:hint="eastAsia"/>
        </w:rPr>
      </w:pPr>
    </w:p>
    <w:p>
      <w:pPr>
        <w:spacing w:line="276" w:lineRule="auto"/>
        <w:ind w:firstLine="640"/>
        <w:rPr>
          <w:rFonts w:hint="eastAsia"/>
        </w:rPr>
      </w:pPr>
      <w:r>
        <w:rPr>
          <w:rFonts w:hint="eastAsia"/>
        </w:rPr>
        <w:t>深化消防执法改革，创新监管方式，强化源头管控，深化简政放权，坚决破除各种不合理的门槛和限制，加强事中事后监管，规范消防执法行为，构建新时代消防安全监管体系；强化重点监管，聚焦火灾多发行业领域和重大节日、重要节点，盯紧突出风险隐患和违法行为，精准检查、从严监管。全面推行适应新产业、新业态、新模式特点的“六位一体”新型监管模式。积极推行预约办理、同城通办、跨层联办等服务方式。优化“双随机、一公开”监管，适当提高火灾高风险场所、严重违法失信对象监督检查抽查率，对消防失信单位和个人实施联合惩戒。加强火灾调查处理工作，强化延伸调查结果应用，会同有关部门强化管理、完善标准、堵塞漏洞，对造成人员死亡或重大社会影响的火灾严格倒查问责。</w:t>
      </w:r>
    </w:p>
    <w:p>
      <w:pPr>
        <w:spacing w:line="276" w:lineRule="auto"/>
        <w:ind w:firstLine="640"/>
        <w:rPr>
          <w:rFonts w:hint="eastAsia"/>
        </w:rPr>
      </w:pPr>
    </w:p>
    <w:p>
      <w:pPr>
        <w:pStyle w:val="4"/>
        <w:keepNext w:val="0"/>
        <w:keepLines w:val="0"/>
        <w:spacing w:before="0" w:after="0" w:line="276" w:lineRule="auto"/>
        <w:rPr>
          <w:rFonts w:hint="eastAsia"/>
        </w:rPr>
      </w:pPr>
      <w:bookmarkStart w:id="18" w:name="_Toc90024100"/>
      <w:r>
        <w:rPr>
          <w:rFonts w:hint="eastAsia"/>
        </w:rPr>
        <w:t xml:space="preserve">第三节 </w:t>
      </w:r>
      <w:r>
        <w:rPr>
          <w:rFonts w:hint="default"/>
          <w:lang w:val="en"/>
        </w:rPr>
        <w:t xml:space="preserve"> </w:t>
      </w:r>
      <w:r>
        <w:rPr>
          <w:rFonts w:hint="eastAsia"/>
        </w:rPr>
        <w:t>建立风险排查治理预警机制</w:t>
      </w:r>
      <w:bookmarkEnd w:id="18"/>
    </w:p>
    <w:p>
      <w:pPr>
        <w:spacing w:line="276" w:lineRule="auto"/>
        <w:ind w:firstLine="640"/>
        <w:rPr>
          <w:rFonts w:hint="eastAsia"/>
        </w:rPr>
      </w:pPr>
    </w:p>
    <w:p>
      <w:pPr>
        <w:spacing w:line="276" w:lineRule="auto"/>
        <w:ind w:firstLine="640"/>
        <w:rPr>
          <w:rFonts w:hint="eastAsia"/>
        </w:rPr>
      </w:pPr>
      <w:r>
        <w:rPr>
          <w:rFonts w:hint="eastAsia"/>
        </w:rPr>
        <w:t>加强消防安全状况评估和风险治理决策研究，定期研判消防安全风险，建立早发现、早预警、早防范机制；分级组建消防安全专家库，分行业领域成立专家组，建立推行专家检查制度。采取政府购买服务等方式，加强政企合作，搭建火灾风险监测预警平台，开展高风险场所消防检查、专业评估和隐患整改，构建火灾风险预警模型，建立城市火灾风险的监测预警体系，形成城市火灾风险监测预警能力。针对规律性、普遍性重大消防安全风险问题，协调相关行业专家开展专题研究、分析研判，制定综合治理意见。鼓励引导公众聚集场所投保火灾公众责任险，发挥保险机构参与火灾风险评估、火灾事故预防等作用。</w:t>
      </w:r>
    </w:p>
    <w:p>
      <w:pPr>
        <w:spacing w:line="276" w:lineRule="auto"/>
        <w:ind w:firstLine="640"/>
        <w:rPr>
          <w:rFonts w:hint="eastAsia"/>
        </w:rPr>
      </w:pPr>
    </w:p>
    <w:p>
      <w:pPr>
        <w:pStyle w:val="4"/>
        <w:keepNext w:val="0"/>
        <w:keepLines w:val="0"/>
        <w:spacing w:before="0" w:after="0" w:line="276" w:lineRule="auto"/>
        <w:rPr>
          <w:rFonts w:hint="eastAsia"/>
        </w:rPr>
      </w:pPr>
      <w:bookmarkStart w:id="19" w:name="_Toc90024101"/>
      <w:r>
        <w:rPr>
          <w:rFonts w:hint="eastAsia"/>
        </w:rPr>
        <w:t xml:space="preserve">第四节 </w:t>
      </w:r>
      <w:r>
        <w:rPr>
          <w:rFonts w:hint="default"/>
          <w:lang w:val="en"/>
        </w:rPr>
        <w:t xml:space="preserve"> </w:t>
      </w:r>
      <w:r>
        <w:rPr>
          <w:rFonts w:hint="eastAsia"/>
        </w:rPr>
        <w:t>加强精准高效治理</w:t>
      </w:r>
      <w:bookmarkEnd w:id="19"/>
    </w:p>
    <w:p>
      <w:pPr>
        <w:spacing w:line="276" w:lineRule="auto"/>
        <w:ind w:firstLine="640"/>
        <w:rPr>
          <w:rFonts w:hint="eastAsia" w:ascii="方正仿宋_GBK"/>
          <w:bCs/>
          <w:color w:val="000000"/>
          <w:szCs w:val="32"/>
        </w:rPr>
      </w:pPr>
    </w:p>
    <w:p>
      <w:pPr>
        <w:spacing w:line="276" w:lineRule="auto"/>
        <w:ind w:firstLine="640"/>
        <w:rPr>
          <w:rFonts w:hint="eastAsia" w:ascii="方正仿宋_GBK"/>
          <w:bCs/>
          <w:color w:val="000000"/>
          <w:szCs w:val="32"/>
        </w:rPr>
      </w:pPr>
      <w:r>
        <w:rPr>
          <w:rFonts w:hint="eastAsia" w:ascii="方正仿宋_GBK"/>
          <w:bCs/>
          <w:color w:val="000000"/>
          <w:szCs w:val="32"/>
        </w:rPr>
        <w:t>大力实施消防安全专项整治三年行动，深入推进高层建筑</w:t>
      </w:r>
      <w:r>
        <w:rPr>
          <w:rFonts w:hint="eastAsia" w:ascii="方正仿宋_GBK"/>
          <w:bCs/>
          <w:color w:val="000000"/>
          <w:szCs w:val="32"/>
          <w:lang w:eastAsia="zh-CN"/>
        </w:rPr>
        <w:t>整治</w:t>
      </w:r>
      <w:r>
        <w:rPr>
          <w:rFonts w:hint="eastAsia" w:ascii="方正仿宋_GBK"/>
          <w:bCs/>
          <w:color w:val="000000"/>
          <w:szCs w:val="32"/>
        </w:rPr>
        <w:t>、打通消防生命通道、重点场所治理、突出风险整治、重点行业管理等工作。集中整治大型商业综合体、电动自行车、外墙保温材料、彩钢板建筑、家庭加工作坊、“三合一”场所、城乡结合部、物流仓储等消防安全突出问题，从2022年起，根据城镇老旧小区改造年度提升计划，将消防设施改造纳入全过程，确保老旧小区消防安全问题逐步解决。健全完善重大活动消防安保调度指挥、精准研判、前置布防等工作机制，全力做好重大消防安保工作。</w:t>
      </w:r>
    </w:p>
    <w:p>
      <w:pPr>
        <w:spacing w:line="276" w:lineRule="auto"/>
        <w:ind w:firstLine="640"/>
        <w:rPr>
          <w:rFonts w:hint="eastAsia" w:ascii="方正仿宋_GBK"/>
          <w:bCs/>
          <w:color w:val="000000"/>
          <w:szCs w:val="32"/>
        </w:rPr>
      </w:pPr>
    </w:p>
    <w:p>
      <w:pPr>
        <w:pStyle w:val="4"/>
        <w:keepNext w:val="0"/>
        <w:keepLines w:val="0"/>
        <w:spacing w:before="0" w:after="0" w:line="276" w:lineRule="auto"/>
        <w:rPr>
          <w:rFonts w:hint="eastAsia"/>
        </w:rPr>
      </w:pPr>
      <w:bookmarkStart w:id="20" w:name="_Toc90024102"/>
      <w:r>
        <w:rPr>
          <w:rFonts w:hint="eastAsia"/>
        </w:rPr>
        <w:t xml:space="preserve">第五节 </w:t>
      </w:r>
      <w:r>
        <w:rPr>
          <w:rFonts w:hint="default"/>
          <w:lang w:val="en"/>
        </w:rPr>
        <w:t xml:space="preserve"> </w:t>
      </w:r>
      <w:r>
        <w:rPr>
          <w:rFonts w:hint="eastAsia"/>
        </w:rPr>
        <w:t>推动社会多元共治</w:t>
      </w:r>
      <w:bookmarkEnd w:id="20"/>
    </w:p>
    <w:p>
      <w:pPr>
        <w:spacing w:line="276" w:lineRule="auto"/>
        <w:ind w:firstLine="640"/>
        <w:rPr>
          <w:rFonts w:hint="eastAsia"/>
        </w:rPr>
      </w:pPr>
    </w:p>
    <w:p>
      <w:pPr>
        <w:spacing w:line="276" w:lineRule="auto"/>
        <w:ind w:firstLine="640"/>
        <w:rPr>
          <w:rFonts w:hint="eastAsia"/>
        </w:rPr>
      </w:pPr>
      <w:r>
        <w:rPr>
          <w:rFonts w:hint="eastAsia"/>
        </w:rPr>
        <w:t>争取地方事业编制专项用于防火工作，探索赋予事业编制人员执法权；各镇街建立完善基层消防工作组织、消防工作机制，强化末端消防管理；建立完善网格消防安全治理机制办法，充分发挥应急管理办公室、公安派出所、综合执法队伍等作用，加强基础消防安全管理；将消防工作有机融入基层自治、网格管理、联防联控等机制，充分发挥网格人员、志愿者、保安等力量作用，筑牢社会面火灾防控人民防线；鼓励超高层公共建筑、大型商业综合体等社会单位聘用注册消防工程师参与消防安全管理，提升单位消防安全管理水平。</w:t>
      </w:r>
    </w:p>
    <w:p>
      <w:pPr>
        <w:spacing w:line="276" w:lineRule="auto"/>
        <w:ind w:firstLine="640"/>
        <w:rPr>
          <w:rFonts w:hint="eastAsia"/>
        </w:rPr>
      </w:pPr>
    </w:p>
    <w:p>
      <w:pPr>
        <w:pStyle w:val="4"/>
        <w:keepNext w:val="0"/>
        <w:keepLines w:val="0"/>
        <w:spacing w:before="0" w:after="0" w:line="276" w:lineRule="auto"/>
        <w:rPr>
          <w:rFonts w:hint="eastAsia"/>
        </w:rPr>
      </w:pPr>
      <w:bookmarkStart w:id="21" w:name="_Toc90024103"/>
      <w:r>
        <w:rPr>
          <w:rFonts w:hint="eastAsia"/>
        </w:rPr>
        <w:t>第六节</w:t>
      </w:r>
      <w:r>
        <w:rPr>
          <w:rFonts w:hint="default"/>
          <w:lang w:val="en"/>
        </w:rPr>
        <w:t xml:space="preserve"> </w:t>
      </w:r>
      <w:r>
        <w:rPr>
          <w:rFonts w:hint="eastAsia"/>
        </w:rPr>
        <w:t xml:space="preserve"> 提升公众消防素质</w:t>
      </w:r>
      <w:bookmarkEnd w:id="21"/>
    </w:p>
    <w:p>
      <w:pPr>
        <w:spacing w:line="276" w:lineRule="auto"/>
        <w:ind w:firstLine="640"/>
        <w:rPr>
          <w:rFonts w:hint="eastAsia"/>
        </w:rPr>
      </w:pPr>
    </w:p>
    <w:p>
      <w:pPr>
        <w:spacing w:line="276" w:lineRule="auto"/>
        <w:ind w:firstLine="640"/>
        <w:rPr>
          <w:rFonts w:hint="eastAsia"/>
        </w:rPr>
      </w:pPr>
      <w:r>
        <w:rPr>
          <w:rFonts w:hint="eastAsia"/>
        </w:rPr>
        <w:t>建强消防全媒体工作中心，落实行业部门和社会单位消防宣传主体责任，广泛开展消防宣传进企业、进农村、进社区、进学校、进家庭工作，动员全社会参与“119消防宣传月”活动；将消防安全教育纳入国民素质教育、普法宣传、科普推广、职业技能培训等教育体系，建立完善学校消防安全教育长效机制；推进消防主题公园、文化广场（街区）等消防科普教育基地建设；加</w:t>
      </w:r>
      <w:r>
        <w:rPr>
          <w:rFonts w:hint="eastAsia"/>
          <w:lang w:eastAsia="zh-CN"/>
        </w:rPr>
        <w:t>大</w:t>
      </w:r>
      <w:r>
        <w:rPr>
          <w:rFonts w:hint="eastAsia"/>
        </w:rPr>
        <w:t>消防安全重点社区和单位对微型消防站建设需求的普及力度；加强对党政领导、行业部门、村（居）委负责人、网格员和消防安全管理人、消防控制室值班人员、微型消防站队员等重点人群培训；采取政府购买服务等方式，引导社会培训机构积极开展消防安全培训，加大对学校、养老机构、残障人服务机构、农村留守人员、进城务工人员等特殊群体的培训力度，提升培训针对性和实效性。</w:t>
      </w:r>
    </w:p>
    <w:p>
      <w:pPr>
        <w:spacing w:line="276" w:lineRule="auto"/>
        <w:ind w:firstLine="640"/>
        <w:rPr>
          <w:rFonts w:hint="eastAsia"/>
        </w:rPr>
      </w:pPr>
    </w:p>
    <w:p>
      <w:pPr>
        <w:pStyle w:val="4"/>
        <w:keepNext w:val="0"/>
        <w:keepLines w:val="0"/>
        <w:spacing w:before="0" w:after="0" w:line="276" w:lineRule="auto"/>
        <w:rPr>
          <w:rFonts w:hint="eastAsia"/>
        </w:rPr>
      </w:pPr>
      <w:bookmarkStart w:id="22" w:name="_Toc90024104"/>
      <w:r>
        <w:rPr>
          <w:rFonts w:hint="eastAsia"/>
        </w:rPr>
        <w:t xml:space="preserve">第七节 </w:t>
      </w:r>
      <w:r>
        <w:rPr>
          <w:rFonts w:hint="default"/>
          <w:lang w:val="en"/>
        </w:rPr>
        <w:t xml:space="preserve"> </w:t>
      </w:r>
      <w:r>
        <w:rPr>
          <w:rFonts w:hint="eastAsia"/>
        </w:rPr>
        <w:t>完善公共消防基础设施建设</w:t>
      </w:r>
      <w:bookmarkEnd w:id="22"/>
    </w:p>
    <w:p>
      <w:pPr>
        <w:spacing w:line="276" w:lineRule="auto"/>
        <w:ind w:firstLine="640"/>
        <w:rPr>
          <w:rFonts w:hint="eastAsia" w:ascii="方正仿宋_GBK"/>
          <w:bCs/>
          <w:color w:val="000000"/>
          <w:szCs w:val="32"/>
        </w:rPr>
      </w:pPr>
    </w:p>
    <w:p>
      <w:pPr>
        <w:spacing w:line="276" w:lineRule="auto"/>
        <w:ind w:firstLine="640"/>
        <w:rPr>
          <w:rFonts w:hint="eastAsia" w:ascii="方正仿宋_GBK"/>
          <w:bCs/>
          <w:color w:val="000000"/>
          <w:szCs w:val="32"/>
        </w:rPr>
      </w:pPr>
      <w:r>
        <w:rPr>
          <w:rFonts w:hint="eastAsia" w:ascii="方正仿宋_GBK"/>
          <w:bCs/>
          <w:color w:val="000000"/>
          <w:szCs w:val="32"/>
        </w:rPr>
        <w:t>按照管用、实用、好用的原则，将公共消防设施、消防科普教育基地等纳入全区国土空间规划和控制性详细规划管控，</w:t>
      </w:r>
      <w:r>
        <w:rPr>
          <w:rFonts w:hint="eastAsia"/>
          <w:bCs/>
          <w:color w:val="000000"/>
          <w:szCs w:val="32"/>
        </w:rPr>
        <w:t>修编《重庆市永川区城乡消防专项规划（202</w:t>
      </w:r>
      <w:r>
        <w:rPr>
          <w:bCs/>
          <w:color w:val="000000"/>
          <w:szCs w:val="32"/>
        </w:rPr>
        <w:t>1</w:t>
      </w:r>
      <w:r>
        <w:rPr>
          <w:rFonts w:hint="eastAsia"/>
          <w:bCs/>
          <w:color w:val="000000"/>
          <w:szCs w:val="32"/>
        </w:rPr>
        <w:t>-2035）》，</w:t>
      </w:r>
      <w:r>
        <w:rPr>
          <w:rFonts w:hint="eastAsia"/>
          <w:bCs/>
          <w:color w:val="000000"/>
          <w:kern w:val="0"/>
          <w:szCs w:val="32"/>
        </w:rPr>
        <w:t>各建制镇根据国土空间规划，同步修编消防专项规划或消防专篇。</w:t>
      </w:r>
      <w:r>
        <w:rPr>
          <w:rFonts w:hint="eastAsia" w:ascii="方正仿宋_GBK"/>
          <w:bCs/>
          <w:color w:val="000000"/>
          <w:szCs w:val="32"/>
        </w:rPr>
        <w:t>统筹规划建设消防救援站点，加密消防救援队站布点，缩短灭火和应急救援响应时间，消除城市消防救援站空白点。结合老城区更新改造打通消防车通道、加快市政消防水源建设，提高城市抗御火灾的韧性。结合乡村振兴战略、村庄整治和小城镇、连片村寨改造及拆村并城等工作，同步规划建设乡镇、农村消防力量和消防器材配置、消防取水等设施。完善市政消火栓建设，严格按照“四同步”的原则，市政消火栓与新建道路同步设计、同步施工、同步验收、同步投用，保证市政消火栓建有率100%，完好率98%。“十四五”时期，全区新建1个消防站。</w:t>
      </w:r>
    </w:p>
    <w:p>
      <w:pPr>
        <w:spacing w:line="276" w:lineRule="auto"/>
        <w:jc w:val="center"/>
        <w:rPr>
          <w:rFonts w:hint="eastAsia" w:ascii="方正楷体_GBK" w:hAnsi="方正楷体_GBK" w:eastAsia="方正楷体_GBK" w:cs="方正楷体_GBK"/>
          <w:sz w:val="28"/>
          <w:szCs w:val="28"/>
        </w:rPr>
      </w:pPr>
      <w:r>
        <w:rPr>
          <w:rFonts w:hint="eastAsia" w:ascii="方正楷体_GBK" w:hAnsi="方正楷体_GBK" w:eastAsia="方正楷体_GBK" w:cs="方正楷体_GBK"/>
          <w:sz w:val="28"/>
          <w:szCs w:val="28"/>
        </w:rPr>
        <w:t>表2</w:t>
      </w:r>
      <w:r>
        <w:rPr>
          <w:rFonts w:hint="default" w:ascii="方正楷体_GBK" w:hAnsi="方正楷体_GBK" w:eastAsia="方正楷体_GBK" w:cs="方正楷体_GBK"/>
          <w:sz w:val="28"/>
          <w:szCs w:val="28"/>
          <w:lang w:val="en"/>
        </w:rPr>
        <w:t xml:space="preserve"> </w:t>
      </w:r>
      <w:r>
        <w:rPr>
          <w:rFonts w:hint="eastAsia" w:ascii="方正楷体_GBK" w:hAnsi="方正楷体_GBK" w:eastAsia="方正楷体_GBK" w:cs="方正楷体_GBK"/>
          <w:sz w:val="28"/>
          <w:szCs w:val="28"/>
        </w:rPr>
        <w:t xml:space="preserve"> “十四五”时期消防站建设规划表</w:t>
      </w:r>
    </w:p>
    <w:tbl>
      <w:tblPr>
        <w:tblStyle w:val="17"/>
        <w:tblW w:w="0" w:type="auto"/>
        <w:jc w:val="center"/>
        <w:tblLayout w:type="fixed"/>
        <w:tblCellMar>
          <w:top w:w="0" w:type="dxa"/>
          <w:left w:w="0" w:type="dxa"/>
          <w:bottom w:w="0" w:type="dxa"/>
          <w:right w:w="0" w:type="dxa"/>
        </w:tblCellMar>
      </w:tblPr>
      <w:tblGrid>
        <w:gridCol w:w="547"/>
        <w:gridCol w:w="844"/>
        <w:gridCol w:w="1026"/>
        <w:gridCol w:w="880"/>
        <w:gridCol w:w="954"/>
        <w:gridCol w:w="1282"/>
        <w:gridCol w:w="1081"/>
        <w:gridCol w:w="1107"/>
        <w:gridCol w:w="615"/>
      </w:tblGrid>
      <w:tr>
        <w:tblPrEx>
          <w:tblCellMar>
            <w:top w:w="0" w:type="dxa"/>
            <w:left w:w="0" w:type="dxa"/>
            <w:bottom w:w="0" w:type="dxa"/>
            <w:right w:w="0" w:type="dxa"/>
          </w:tblCellMar>
        </w:tblPrEx>
        <w:trPr>
          <w:trHeight w:val="612" w:hRule="atLeast"/>
          <w:jc w:val="center"/>
        </w:trPr>
        <w:tc>
          <w:tcPr>
            <w:tcW w:w="5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hint="eastAsia" w:cs="Times New Roman"/>
              </w:rPr>
              <w:t>序号</w:t>
            </w:r>
          </w:p>
        </w:tc>
        <w:tc>
          <w:tcPr>
            <w:tcW w:w="84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单位</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项目名称</w:t>
            </w:r>
          </w:p>
        </w:tc>
        <w:tc>
          <w:tcPr>
            <w:tcW w:w="880"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建设</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性质</w:t>
            </w:r>
          </w:p>
        </w:tc>
        <w:tc>
          <w:tcPr>
            <w:tcW w:w="954"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队站类别</w:t>
            </w:r>
          </w:p>
        </w:tc>
        <w:tc>
          <w:tcPr>
            <w:tcW w:w="12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建设地点</w:t>
            </w:r>
          </w:p>
        </w:tc>
        <w:tc>
          <w:tcPr>
            <w:tcW w:w="10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建筑面积</w:t>
            </w:r>
          </w:p>
          <w:p>
            <w:pPr>
              <w:pStyle w:val="23"/>
              <w:keepNext w:val="0"/>
              <w:keepLines w:val="0"/>
              <w:suppressLineNumbers w:val="0"/>
              <w:spacing w:before="0" w:beforeAutospacing="0" w:after="0" w:afterAutospacing="0"/>
              <w:ind w:left="0" w:right="0"/>
              <w:rPr>
                <w:rFonts w:hint="eastAsia" w:cs="Times New Roman"/>
              </w:rPr>
            </w:pPr>
            <w:r>
              <w:rPr>
                <w:rFonts w:cs="Times New Roman"/>
              </w:rPr>
              <w:t>（㎡）</w:t>
            </w:r>
          </w:p>
        </w:tc>
        <w:tc>
          <w:tcPr>
            <w:tcW w:w="11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“十四五”目标任务</w:t>
            </w:r>
          </w:p>
        </w:tc>
        <w:tc>
          <w:tcPr>
            <w:tcW w:w="6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备注</w:t>
            </w:r>
          </w:p>
        </w:tc>
      </w:tr>
      <w:tr>
        <w:tblPrEx>
          <w:tblCellMar>
            <w:top w:w="0" w:type="dxa"/>
            <w:left w:w="0" w:type="dxa"/>
            <w:bottom w:w="0" w:type="dxa"/>
            <w:right w:w="0" w:type="dxa"/>
          </w:tblCellMar>
        </w:tblPrEx>
        <w:trPr>
          <w:trHeight w:val="986" w:hRule="atLeast"/>
          <w:jc w:val="center"/>
        </w:trPr>
        <w:tc>
          <w:tcPr>
            <w:tcW w:w="54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84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永川区</w:t>
            </w:r>
          </w:p>
        </w:tc>
        <w:tc>
          <w:tcPr>
            <w:tcW w:w="102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和畅大道消防站</w:t>
            </w:r>
          </w:p>
        </w:tc>
        <w:tc>
          <w:tcPr>
            <w:tcW w:w="880"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新建</w:t>
            </w:r>
          </w:p>
        </w:tc>
        <w:tc>
          <w:tcPr>
            <w:tcW w:w="95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二级普通</w:t>
            </w:r>
          </w:p>
        </w:tc>
        <w:tc>
          <w:tcPr>
            <w:tcW w:w="12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永川区</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和畅大道</w:t>
            </w:r>
          </w:p>
        </w:tc>
        <w:tc>
          <w:tcPr>
            <w:tcW w:w="1081"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4500</w:t>
            </w:r>
          </w:p>
        </w:tc>
        <w:tc>
          <w:tcPr>
            <w:tcW w:w="110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竣工</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投用</w:t>
            </w:r>
          </w:p>
        </w:tc>
        <w:tc>
          <w:tcPr>
            <w:tcW w:w="615"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p>
        </w:tc>
      </w:tr>
    </w:tbl>
    <w:p>
      <w:pPr>
        <w:keepNext w:val="0"/>
        <w:keepLines w:val="0"/>
        <w:spacing w:before="0" w:after="0" w:line="276" w:lineRule="auto"/>
        <w:ind w:firstLine="640"/>
        <w:rPr>
          <w:rFonts w:hint="eastAsia"/>
        </w:rPr>
      </w:pPr>
      <w:bookmarkStart w:id="23" w:name="_Toc90024105"/>
    </w:p>
    <w:p>
      <w:pPr>
        <w:pStyle w:val="4"/>
        <w:keepNext w:val="0"/>
        <w:keepLines w:val="0"/>
        <w:spacing w:before="0" w:after="0" w:line="276" w:lineRule="auto"/>
      </w:pPr>
      <w:r>
        <w:rPr>
          <w:rFonts w:hint="eastAsia"/>
        </w:rPr>
        <w:t>第八节</w:t>
      </w:r>
      <w:r>
        <w:rPr>
          <w:rFonts w:hint="default"/>
          <w:lang w:val="en"/>
        </w:rPr>
        <w:t xml:space="preserve"> </w:t>
      </w:r>
      <w:r>
        <w:rPr>
          <w:rFonts w:hint="eastAsia"/>
        </w:rPr>
        <w:t xml:space="preserve"> 制定战勤保障联动机制</w:t>
      </w:r>
      <w:bookmarkEnd w:id="23"/>
    </w:p>
    <w:p>
      <w:pPr>
        <w:spacing w:line="276" w:lineRule="auto"/>
        <w:ind w:firstLine="640"/>
        <w:rPr>
          <w:rFonts w:hint="eastAsia"/>
        </w:rPr>
      </w:pPr>
    </w:p>
    <w:p>
      <w:pPr>
        <w:spacing w:line="276" w:lineRule="auto"/>
        <w:ind w:firstLine="640"/>
      </w:pPr>
      <w:r>
        <w:rPr>
          <w:rFonts w:hint="eastAsia"/>
        </w:rPr>
        <w:t>修订应急响应、联勤联动、战勤保障等制度机制，组织开展“高、低、大、化”熟悉调研和实战演练，提升与联动单位协调作战水平，确保应急救援的科学高效</w:t>
      </w:r>
      <w:r>
        <w:rPr>
          <w:rFonts w:hint="eastAsia"/>
          <w:lang w:eastAsia="zh-CN"/>
        </w:rPr>
        <w:t>。</w:t>
      </w:r>
      <w:r>
        <w:rPr>
          <w:rFonts w:hint="eastAsia"/>
        </w:rPr>
        <w:t>夯实责任，完善应急机制。结合单位实际情况，逐步健全完善应急机制，完善社会联勤网络数据库，实现信息资源共享，结合战勤保障实际要求，进一步制定科学、完善的战勤保障方案，确保及时将救援现场所需要的各种物资在第一时间传达到相关单位和人员</w:t>
      </w:r>
      <w:r>
        <w:rPr>
          <w:rFonts w:hint="eastAsia"/>
          <w:lang w:eastAsia="zh-CN"/>
        </w:rPr>
        <w:t>。</w:t>
      </w:r>
      <w:r>
        <w:rPr>
          <w:rFonts w:hint="eastAsia"/>
        </w:rPr>
        <w:t>深化指挥</w:t>
      </w:r>
      <w:r>
        <w:t>控制</w:t>
      </w:r>
      <w:r>
        <w:rPr>
          <w:rFonts w:hint="eastAsia"/>
        </w:rPr>
        <w:t>，完善联动机制。打造集</w:t>
      </w:r>
      <w:r>
        <w:t>调度</w:t>
      </w:r>
      <w:r>
        <w:rPr>
          <w:rFonts w:hint="eastAsia"/>
        </w:rPr>
        <w:t>指挥</w:t>
      </w:r>
      <w:r>
        <w:t>、辅助决策和信息传输等功能于一体的消防作战指挥平台，优化消防指挥中心工作运行机制，将专职消防、志愿消防、联动部门和社会应急等力量纳入消防救援</w:t>
      </w:r>
      <w:r>
        <w:rPr>
          <w:rFonts w:hint="eastAsia"/>
        </w:rPr>
        <w:t>联席调度指挥</w:t>
      </w:r>
      <w:r>
        <w:t>体系。</w:t>
      </w:r>
    </w:p>
    <w:p>
      <w:pPr>
        <w:spacing w:line="276" w:lineRule="auto"/>
        <w:ind w:firstLine="640"/>
        <w:rPr>
          <w:rFonts w:hint="eastAsia"/>
        </w:rPr>
      </w:pPr>
    </w:p>
    <w:p>
      <w:pPr>
        <w:pStyle w:val="4"/>
        <w:keepNext w:val="0"/>
        <w:keepLines w:val="0"/>
        <w:spacing w:before="0" w:after="0" w:line="276" w:lineRule="auto"/>
        <w:rPr>
          <w:rFonts w:hint="eastAsia"/>
        </w:rPr>
      </w:pPr>
      <w:bookmarkStart w:id="24" w:name="_Toc90024106"/>
      <w:r>
        <w:rPr>
          <w:rFonts w:hint="eastAsia"/>
        </w:rPr>
        <w:t xml:space="preserve">第九节 </w:t>
      </w:r>
      <w:r>
        <w:rPr>
          <w:rFonts w:hint="default"/>
          <w:lang w:val="en"/>
        </w:rPr>
        <w:t xml:space="preserve"> </w:t>
      </w:r>
      <w:r>
        <w:rPr>
          <w:rFonts w:hint="eastAsia"/>
        </w:rPr>
        <w:t>建强消防作战力量体系</w:t>
      </w:r>
      <w:bookmarkEnd w:id="24"/>
    </w:p>
    <w:p>
      <w:pPr>
        <w:spacing w:line="276" w:lineRule="auto"/>
        <w:ind w:firstLine="640"/>
        <w:rPr>
          <w:rFonts w:hint="eastAsia"/>
        </w:rPr>
      </w:pPr>
    </w:p>
    <w:p>
      <w:pPr>
        <w:spacing w:line="276" w:lineRule="auto"/>
        <w:ind w:firstLine="640"/>
      </w:pPr>
      <w:r>
        <w:rPr>
          <w:rFonts w:hint="eastAsia"/>
        </w:rPr>
        <w:t>加强建筑火灾扑救专业编队，地下工程火灾内攻搜救专业分队、轻型地震搜救队、抗洪抢险救援编队建设，构建以地震、水域、山岳、空勤、涉疫勤务等专业救援力量和搜救犬站（分队）为主体，以覆盖全区的专业救援班组为补充的专业救援力量体系。构建多种形式消防队伍，加快壮大政府专职消防队伍、企业专职消防队伍、志愿消防队伍和微型消防站力量，推动全区企业专职消防队应建尽建。乡镇、农村按标准建立志愿消防队，街道、社区全面普及微型消防站，社会单位按要求建立志愿消防队或微型消防站，提高初期火灾扑救能力。2025年，</w:t>
      </w:r>
      <w:r>
        <w:rPr>
          <w:rFonts w:hint="eastAsia"/>
          <w:lang w:eastAsia="zh-CN"/>
        </w:rPr>
        <w:t>推进</w:t>
      </w:r>
      <w:r>
        <w:rPr>
          <w:rFonts w:hint="eastAsia"/>
        </w:rPr>
        <w:t>永川空勤救援专业分队</w:t>
      </w:r>
      <w:r>
        <w:rPr>
          <w:rFonts w:hint="eastAsia"/>
          <w:lang w:eastAsia="zh-CN"/>
        </w:rPr>
        <w:t>建设</w:t>
      </w:r>
      <w:r>
        <w:rPr>
          <w:rFonts w:hint="eastAsia"/>
        </w:rPr>
        <w:t>。新招录90名政府专职消防员，弥补历史欠账和满足新建消防队站执勤备战需要。</w:t>
      </w:r>
    </w:p>
    <w:p>
      <w:pPr>
        <w:spacing w:line="276" w:lineRule="auto"/>
        <w:jc w:val="center"/>
        <w:rPr>
          <w:rFonts w:hint="eastAsia" w:ascii="方正楷体_GBK" w:hAnsi="方正楷体_GBK" w:eastAsia="方正楷体_GBK" w:cs="方正楷体_GBK"/>
          <w:sz w:val="28"/>
          <w:szCs w:val="22"/>
        </w:rPr>
      </w:pPr>
      <w:r>
        <w:rPr>
          <w:rFonts w:hint="eastAsia" w:ascii="方正楷体_GBK" w:hAnsi="方正楷体_GBK" w:eastAsia="方正楷体_GBK" w:cs="方正楷体_GBK"/>
          <w:sz w:val="28"/>
          <w:szCs w:val="22"/>
        </w:rPr>
        <w:t>表3</w:t>
      </w:r>
      <w:r>
        <w:rPr>
          <w:rFonts w:hint="default" w:ascii="方正楷体_GBK" w:hAnsi="方正楷体_GBK" w:eastAsia="方正楷体_GBK" w:cs="方正楷体_GBK"/>
          <w:sz w:val="28"/>
          <w:szCs w:val="22"/>
          <w:lang w:val="en"/>
        </w:rPr>
        <w:t xml:space="preserve"> </w:t>
      </w:r>
      <w:r>
        <w:rPr>
          <w:rFonts w:hint="eastAsia" w:ascii="方正楷体_GBK" w:hAnsi="方正楷体_GBK" w:eastAsia="方正楷体_GBK" w:cs="方正楷体_GBK"/>
          <w:sz w:val="28"/>
          <w:szCs w:val="22"/>
        </w:rPr>
        <w:t xml:space="preserve"> “十四五”时期政府专职消防员招录规划表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4"/>
        <w:gridCol w:w="974"/>
        <w:gridCol w:w="902"/>
        <w:gridCol w:w="920"/>
        <w:gridCol w:w="1062"/>
        <w:gridCol w:w="1380"/>
        <w:gridCol w:w="90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744"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序号</w:t>
            </w:r>
          </w:p>
        </w:tc>
        <w:tc>
          <w:tcPr>
            <w:tcW w:w="974"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单位</w:t>
            </w:r>
          </w:p>
        </w:tc>
        <w:tc>
          <w:tcPr>
            <w:tcW w:w="902"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数量</w:t>
            </w:r>
          </w:p>
          <w:p>
            <w:pPr>
              <w:pStyle w:val="23"/>
              <w:keepNext w:val="0"/>
              <w:keepLines w:val="0"/>
              <w:suppressLineNumbers w:val="0"/>
              <w:spacing w:before="0" w:beforeAutospacing="0" w:after="0" w:afterAutospacing="0"/>
              <w:ind w:left="0" w:right="0"/>
              <w:rPr>
                <w:rFonts w:cs="Times New Roman"/>
              </w:rPr>
            </w:pPr>
            <w:r>
              <w:rPr>
                <w:rFonts w:cs="Times New Roman"/>
              </w:rPr>
              <w:t>（人）</w:t>
            </w:r>
          </w:p>
        </w:tc>
        <w:tc>
          <w:tcPr>
            <w:tcW w:w="920"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2021年</w:t>
            </w:r>
          </w:p>
          <w:p>
            <w:pPr>
              <w:pStyle w:val="23"/>
              <w:keepNext w:val="0"/>
              <w:keepLines w:val="0"/>
              <w:suppressLineNumbers w:val="0"/>
              <w:spacing w:before="0" w:beforeAutospacing="0" w:after="0" w:afterAutospacing="0"/>
              <w:ind w:left="0" w:right="0"/>
              <w:rPr>
                <w:rFonts w:cs="Times New Roman"/>
              </w:rPr>
            </w:pPr>
            <w:r>
              <w:rPr>
                <w:rFonts w:cs="Times New Roman"/>
              </w:rPr>
              <w:t>（人）</w:t>
            </w:r>
          </w:p>
        </w:tc>
        <w:tc>
          <w:tcPr>
            <w:tcW w:w="1062"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2022年</w:t>
            </w:r>
          </w:p>
          <w:p>
            <w:pPr>
              <w:pStyle w:val="23"/>
              <w:keepNext w:val="0"/>
              <w:keepLines w:val="0"/>
              <w:suppressLineNumbers w:val="0"/>
              <w:spacing w:before="0" w:beforeAutospacing="0" w:after="0" w:afterAutospacing="0"/>
              <w:ind w:left="0" w:right="0"/>
              <w:rPr>
                <w:rFonts w:cs="Times New Roman"/>
              </w:rPr>
            </w:pPr>
            <w:r>
              <w:rPr>
                <w:rFonts w:cs="Times New Roman"/>
              </w:rPr>
              <w:t>（人）</w:t>
            </w:r>
          </w:p>
        </w:tc>
        <w:tc>
          <w:tcPr>
            <w:tcW w:w="1380"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2023年</w:t>
            </w:r>
          </w:p>
          <w:p>
            <w:pPr>
              <w:pStyle w:val="23"/>
              <w:keepNext w:val="0"/>
              <w:keepLines w:val="0"/>
              <w:suppressLineNumbers w:val="0"/>
              <w:spacing w:before="0" w:beforeAutospacing="0" w:after="0" w:afterAutospacing="0"/>
              <w:ind w:left="0" w:right="0"/>
              <w:rPr>
                <w:rFonts w:cs="Times New Roman"/>
              </w:rPr>
            </w:pPr>
            <w:r>
              <w:rPr>
                <w:rFonts w:cs="Times New Roman"/>
              </w:rPr>
              <w:t>（人）</w:t>
            </w:r>
          </w:p>
        </w:tc>
        <w:tc>
          <w:tcPr>
            <w:tcW w:w="902"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2024年</w:t>
            </w:r>
          </w:p>
          <w:p>
            <w:pPr>
              <w:pStyle w:val="23"/>
              <w:keepNext w:val="0"/>
              <w:keepLines w:val="0"/>
              <w:suppressLineNumbers w:val="0"/>
              <w:spacing w:before="0" w:beforeAutospacing="0" w:after="0" w:afterAutospacing="0"/>
              <w:ind w:left="0" w:right="0"/>
              <w:rPr>
                <w:rFonts w:cs="Times New Roman"/>
              </w:rPr>
            </w:pPr>
            <w:r>
              <w:rPr>
                <w:rFonts w:cs="Times New Roman"/>
              </w:rPr>
              <w:t>（人）</w:t>
            </w:r>
          </w:p>
        </w:tc>
        <w:tc>
          <w:tcPr>
            <w:tcW w:w="1452"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2025年</w:t>
            </w:r>
          </w:p>
          <w:p>
            <w:pPr>
              <w:pStyle w:val="23"/>
              <w:keepNext w:val="0"/>
              <w:keepLines w:val="0"/>
              <w:suppressLineNumbers w:val="0"/>
              <w:spacing w:before="0" w:beforeAutospacing="0" w:after="0" w:afterAutospacing="0"/>
              <w:ind w:left="0" w:right="0"/>
              <w:rPr>
                <w:rFonts w:cs="Times New Roman"/>
              </w:rPr>
            </w:pPr>
            <w:r>
              <w:rPr>
                <w:rFonts w:cs="Times New Roma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44"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1</w:t>
            </w:r>
          </w:p>
        </w:tc>
        <w:tc>
          <w:tcPr>
            <w:tcW w:w="974"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永川区</w:t>
            </w:r>
          </w:p>
        </w:tc>
        <w:tc>
          <w:tcPr>
            <w:tcW w:w="902"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90</w:t>
            </w:r>
          </w:p>
        </w:tc>
        <w:tc>
          <w:tcPr>
            <w:tcW w:w="920"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15</w:t>
            </w:r>
          </w:p>
        </w:tc>
        <w:tc>
          <w:tcPr>
            <w:tcW w:w="1062"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30</w:t>
            </w:r>
          </w:p>
        </w:tc>
        <w:tc>
          <w:tcPr>
            <w:tcW w:w="1380"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15</w:t>
            </w:r>
          </w:p>
        </w:tc>
        <w:tc>
          <w:tcPr>
            <w:tcW w:w="902"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15</w:t>
            </w:r>
          </w:p>
        </w:tc>
        <w:tc>
          <w:tcPr>
            <w:tcW w:w="1452" w:type="dxa"/>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cs="Times New Roman"/>
              </w:rPr>
              <w:t>15</w:t>
            </w:r>
          </w:p>
        </w:tc>
      </w:tr>
    </w:tbl>
    <w:p>
      <w:pPr>
        <w:keepNext w:val="0"/>
        <w:keepLines w:val="0"/>
        <w:spacing w:before="0" w:after="0" w:line="276" w:lineRule="auto"/>
        <w:ind w:firstLine="640"/>
        <w:rPr>
          <w:rFonts w:hint="eastAsia"/>
        </w:rPr>
      </w:pPr>
      <w:bookmarkStart w:id="25" w:name="_Toc90024107"/>
    </w:p>
    <w:p>
      <w:pPr>
        <w:pStyle w:val="4"/>
        <w:keepNext w:val="0"/>
        <w:keepLines w:val="0"/>
        <w:spacing w:before="0" w:after="0" w:line="276" w:lineRule="auto"/>
        <w:rPr>
          <w:rFonts w:hint="eastAsia"/>
        </w:rPr>
      </w:pPr>
      <w:r>
        <w:rPr>
          <w:rFonts w:hint="eastAsia"/>
        </w:rPr>
        <w:t xml:space="preserve">第十节 </w:t>
      </w:r>
      <w:r>
        <w:rPr>
          <w:rFonts w:hint="default"/>
          <w:lang w:val="en"/>
        </w:rPr>
        <w:t xml:space="preserve"> </w:t>
      </w:r>
      <w:r>
        <w:rPr>
          <w:rFonts w:hint="eastAsia"/>
        </w:rPr>
        <w:t>保障消防救援装备体系</w:t>
      </w:r>
      <w:bookmarkEnd w:id="25"/>
    </w:p>
    <w:p>
      <w:pPr>
        <w:spacing w:line="276" w:lineRule="auto"/>
        <w:ind w:firstLine="640"/>
        <w:rPr>
          <w:rFonts w:hint="eastAsia"/>
        </w:rPr>
      </w:pPr>
    </w:p>
    <w:p>
      <w:pPr>
        <w:spacing w:line="276" w:lineRule="auto"/>
        <w:ind w:firstLine="640"/>
      </w:pPr>
      <w:r>
        <w:rPr>
          <w:rFonts w:hint="eastAsia"/>
        </w:rPr>
        <w:t>组建专业化的后勤保障人才队伍，配备宿营、餐饮和自装卸式消防车辆以及更替9辆已超期服役的消防车，升级换代必要的设施设备，购置补充一批地震救援、山岳、水域救灾应急装备物资。健全“全过程、全要素”装备质量管理机制，大力推进信息技术在装备管理领域的深度应用，加强人与装备的最佳结合，提高科学管装用装水平。“十四五”期间新购水罐车3台，泡沫车3台，登高平台或云梯车1台，高喷车1台，抢险救援车2台，排烟或照明车1台，通信指挥车1台（方舱指挥车），远程供水或排涝车1台，保障车1台。</w:t>
      </w:r>
    </w:p>
    <w:p>
      <w:pPr>
        <w:spacing w:line="276" w:lineRule="auto"/>
        <w:jc w:val="center"/>
        <w:rPr>
          <w:rFonts w:hint="eastAsia" w:ascii="方正楷体_GBK" w:hAnsi="方正楷体_GBK" w:eastAsia="方正楷体_GBK" w:cs="方正楷体_GBK"/>
          <w:sz w:val="28"/>
        </w:rPr>
      </w:pPr>
      <w:r>
        <w:rPr>
          <w:rFonts w:hint="eastAsia" w:ascii="方正楷体_GBK" w:hAnsi="方正楷体_GBK" w:eastAsia="方正楷体_GBK" w:cs="方正楷体_GBK"/>
          <w:sz w:val="28"/>
        </w:rPr>
        <w:t>表4</w:t>
      </w:r>
      <w:r>
        <w:rPr>
          <w:rFonts w:hint="default" w:ascii="方正楷体_GBK" w:hAnsi="方正楷体_GBK" w:eastAsia="方正楷体_GBK" w:cs="方正楷体_GBK"/>
          <w:sz w:val="28"/>
          <w:lang w:val="en"/>
        </w:rPr>
        <w:t xml:space="preserve"> </w:t>
      </w:r>
      <w:r>
        <w:rPr>
          <w:rFonts w:hint="eastAsia" w:ascii="方正楷体_GBK" w:hAnsi="方正楷体_GBK" w:eastAsia="方正楷体_GBK" w:cs="方正楷体_GBK"/>
          <w:sz w:val="28"/>
        </w:rPr>
        <w:t xml:space="preserve"> “十四五”时期消防执勤车辆装备建设规划表</w:t>
      </w:r>
    </w:p>
    <w:tbl>
      <w:tblPr>
        <w:tblStyle w:val="17"/>
        <w:tblpPr w:leftFromText="180" w:rightFromText="180" w:vertAnchor="text" w:horzAnchor="page" w:tblpXSpec="center" w:tblpY="150"/>
        <w:tblOverlap w:val="never"/>
        <w:tblW w:w="0" w:type="auto"/>
        <w:jc w:val="center"/>
        <w:tblLayout w:type="fixed"/>
        <w:tblCellMar>
          <w:top w:w="0" w:type="dxa"/>
          <w:left w:w="0" w:type="dxa"/>
          <w:bottom w:w="0" w:type="dxa"/>
          <w:right w:w="0" w:type="dxa"/>
        </w:tblCellMar>
      </w:tblPr>
      <w:tblGrid>
        <w:gridCol w:w="283"/>
        <w:gridCol w:w="567"/>
        <w:gridCol w:w="567"/>
        <w:gridCol w:w="567"/>
        <w:gridCol w:w="709"/>
        <w:gridCol w:w="709"/>
        <w:gridCol w:w="567"/>
        <w:gridCol w:w="567"/>
        <w:gridCol w:w="567"/>
        <w:gridCol w:w="582"/>
        <w:gridCol w:w="694"/>
        <w:gridCol w:w="567"/>
        <w:gridCol w:w="582"/>
        <w:gridCol w:w="586"/>
        <w:gridCol w:w="469"/>
      </w:tblGrid>
      <w:tr>
        <w:tblPrEx>
          <w:tblCellMar>
            <w:top w:w="0" w:type="dxa"/>
            <w:left w:w="0" w:type="dxa"/>
            <w:bottom w:w="0" w:type="dxa"/>
            <w:right w:w="0" w:type="dxa"/>
          </w:tblCellMar>
        </w:tblPrEx>
        <w:trPr>
          <w:trHeight w:val="479" w:hRule="atLeast"/>
          <w:jc w:val="center"/>
        </w:trPr>
        <w:tc>
          <w:tcPr>
            <w:tcW w:w="28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cs="Times New Roman"/>
              </w:rPr>
            </w:pPr>
            <w:r>
              <w:rPr>
                <w:rFonts w:hint="eastAsia" w:cs="Times New Roman"/>
              </w:rPr>
              <w:t>单位</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年度</w:t>
            </w:r>
          </w:p>
        </w:tc>
        <w:tc>
          <w:tcPr>
            <w:tcW w:w="1843"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灭火类</w:t>
            </w:r>
          </w:p>
        </w:tc>
        <w:tc>
          <w:tcPr>
            <w:tcW w:w="1276"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举高类</w:t>
            </w:r>
          </w:p>
        </w:tc>
        <w:tc>
          <w:tcPr>
            <w:tcW w:w="2977" w:type="dxa"/>
            <w:gridSpan w:val="5"/>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专勤类</w:t>
            </w:r>
          </w:p>
        </w:tc>
        <w:tc>
          <w:tcPr>
            <w:tcW w:w="1637" w:type="dxa"/>
            <w:gridSpan w:val="3"/>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保障类</w:t>
            </w:r>
          </w:p>
        </w:tc>
      </w:tr>
      <w:tr>
        <w:tblPrEx>
          <w:tblCellMar>
            <w:top w:w="0" w:type="dxa"/>
            <w:left w:w="0" w:type="dxa"/>
            <w:bottom w:w="0" w:type="dxa"/>
            <w:right w:w="0" w:type="dxa"/>
          </w:tblCellMar>
        </w:tblPrEx>
        <w:trPr>
          <w:trHeight w:val="384" w:hRule="atLeast"/>
          <w:jc w:val="center"/>
        </w:trPr>
        <w:tc>
          <w:tcPr>
            <w:tcW w:w="28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水罐车（台）</w:t>
            </w:r>
          </w:p>
        </w:tc>
        <w:tc>
          <w:tcPr>
            <w:tcW w:w="567"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泡沫车</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c>
          <w:tcPr>
            <w:tcW w:w="709"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压缩</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空气</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泡沫车</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c>
          <w:tcPr>
            <w:tcW w:w="709"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登高平台或云梯车</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c>
          <w:tcPr>
            <w:tcW w:w="567"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高喷车</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c>
          <w:tcPr>
            <w:tcW w:w="567"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抢险救援车</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排烟或照明车（台）</w:t>
            </w:r>
          </w:p>
        </w:tc>
        <w:tc>
          <w:tcPr>
            <w:tcW w:w="5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化救或洗消车（台）</w:t>
            </w:r>
          </w:p>
        </w:tc>
        <w:tc>
          <w:tcPr>
            <w:tcW w:w="694"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通信指挥车</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工程机械（台）</w:t>
            </w:r>
          </w:p>
        </w:tc>
        <w:tc>
          <w:tcPr>
            <w:tcW w:w="582"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远程供水或排涝车</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c>
          <w:tcPr>
            <w:tcW w:w="586" w:type="dxa"/>
            <w:tcBorders>
              <w:top w:val="single" w:color="000000" w:sz="8" w:space="0"/>
              <w:left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自装卸（块）车</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c>
          <w:tcPr>
            <w:tcW w:w="46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保障车</w:t>
            </w:r>
          </w:p>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（台）</w:t>
            </w:r>
          </w:p>
        </w:tc>
      </w:tr>
      <w:tr>
        <w:tblPrEx>
          <w:tblCellMar>
            <w:top w:w="0" w:type="dxa"/>
            <w:left w:w="0" w:type="dxa"/>
            <w:bottom w:w="0" w:type="dxa"/>
            <w:right w:w="0" w:type="dxa"/>
          </w:tblCellMar>
        </w:tblPrEx>
        <w:trPr>
          <w:trHeight w:val="324" w:hRule="atLeast"/>
          <w:jc w:val="center"/>
        </w:trPr>
        <w:tc>
          <w:tcPr>
            <w:tcW w:w="28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永川区</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2021</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6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46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r>
      <w:tr>
        <w:tblPrEx>
          <w:tblCellMar>
            <w:top w:w="0" w:type="dxa"/>
            <w:left w:w="0" w:type="dxa"/>
            <w:bottom w:w="0" w:type="dxa"/>
            <w:right w:w="0" w:type="dxa"/>
          </w:tblCellMar>
        </w:tblPrEx>
        <w:trPr>
          <w:trHeight w:val="324" w:hRule="atLeast"/>
          <w:jc w:val="center"/>
        </w:trPr>
        <w:tc>
          <w:tcPr>
            <w:tcW w:w="28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2022</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6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46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r>
      <w:tr>
        <w:tblPrEx>
          <w:tblCellMar>
            <w:top w:w="0" w:type="dxa"/>
            <w:left w:w="0" w:type="dxa"/>
            <w:bottom w:w="0" w:type="dxa"/>
            <w:right w:w="0" w:type="dxa"/>
          </w:tblCellMar>
        </w:tblPrEx>
        <w:trPr>
          <w:trHeight w:val="324" w:hRule="atLeast"/>
          <w:jc w:val="center"/>
        </w:trPr>
        <w:tc>
          <w:tcPr>
            <w:tcW w:w="28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2023</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6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46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r>
      <w:tr>
        <w:tblPrEx>
          <w:tblCellMar>
            <w:top w:w="0" w:type="dxa"/>
            <w:left w:w="0" w:type="dxa"/>
            <w:bottom w:w="0" w:type="dxa"/>
            <w:right w:w="0" w:type="dxa"/>
          </w:tblCellMar>
        </w:tblPrEx>
        <w:trPr>
          <w:trHeight w:val="324" w:hRule="atLeast"/>
          <w:jc w:val="center"/>
        </w:trPr>
        <w:tc>
          <w:tcPr>
            <w:tcW w:w="28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2024</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70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694"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2"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86"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469"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r>
      <w:tr>
        <w:tblPrEx>
          <w:tblCellMar>
            <w:top w:w="0" w:type="dxa"/>
            <w:left w:w="0" w:type="dxa"/>
            <w:bottom w:w="0" w:type="dxa"/>
            <w:right w:w="0" w:type="dxa"/>
          </w:tblCellMar>
        </w:tblPrEx>
        <w:trPr>
          <w:trHeight w:val="324" w:hRule="atLeast"/>
          <w:jc w:val="center"/>
        </w:trPr>
        <w:tc>
          <w:tcPr>
            <w:tcW w:w="28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p>
        </w:tc>
        <w:tc>
          <w:tcPr>
            <w:tcW w:w="567"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2025</w:t>
            </w:r>
          </w:p>
        </w:tc>
        <w:tc>
          <w:tcPr>
            <w:tcW w:w="567"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67"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709"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709"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67"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1</w:t>
            </w:r>
          </w:p>
        </w:tc>
        <w:tc>
          <w:tcPr>
            <w:tcW w:w="567"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2"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694"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67"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2"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586"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c>
          <w:tcPr>
            <w:tcW w:w="469"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w:t>
            </w:r>
          </w:p>
        </w:tc>
      </w:tr>
      <w:tr>
        <w:tblPrEx>
          <w:tblCellMar>
            <w:top w:w="0" w:type="dxa"/>
            <w:left w:w="0" w:type="dxa"/>
            <w:bottom w:w="0" w:type="dxa"/>
            <w:right w:w="0" w:type="dxa"/>
          </w:tblCellMar>
        </w:tblPrEx>
        <w:trPr>
          <w:trHeight w:val="637" w:hRule="atLeast"/>
          <w:jc w:val="center"/>
        </w:trPr>
        <w:tc>
          <w:tcPr>
            <w:tcW w:w="283" w:type="dxa"/>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rPr>
                <w:rFonts w:hint="eastAsia" w:cs="Times New Roman"/>
              </w:rPr>
            </w:pPr>
            <w:r>
              <w:rPr>
                <w:rFonts w:hint="eastAsia" w:cs="Times New Roman"/>
              </w:rPr>
              <w:t>备注</w:t>
            </w:r>
          </w:p>
        </w:tc>
        <w:tc>
          <w:tcPr>
            <w:tcW w:w="8300" w:type="dxa"/>
            <w:gridSpan w:val="14"/>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pStyle w:val="23"/>
              <w:keepNext w:val="0"/>
              <w:keepLines w:val="0"/>
              <w:suppressLineNumbers w:val="0"/>
              <w:spacing w:before="0" w:beforeAutospacing="0" w:after="0" w:afterAutospacing="0"/>
              <w:ind w:left="0" w:right="0"/>
              <w:jc w:val="left"/>
              <w:rPr>
                <w:rFonts w:cs="Times New Roman"/>
              </w:rPr>
            </w:pPr>
            <w:r>
              <w:rPr>
                <w:rFonts w:cs="Times New Roman"/>
              </w:rPr>
              <w:t>此表未包含消防器材装备；抢险救援器材、个人防护装备、灭火器材、力量编成装备配备率各地、各年度均要达到100%。</w:t>
            </w:r>
          </w:p>
        </w:tc>
      </w:tr>
    </w:tbl>
    <w:p>
      <w:pPr>
        <w:keepNext w:val="0"/>
        <w:keepLines w:val="0"/>
        <w:spacing w:before="0" w:after="0" w:line="276" w:lineRule="auto"/>
        <w:ind w:firstLine="640"/>
        <w:rPr>
          <w:rFonts w:hint="eastAsia"/>
        </w:rPr>
      </w:pPr>
      <w:bookmarkStart w:id="26" w:name="_Toc90024108"/>
    </w:p>
    <w:p>
      <w:pPr>
        <w:pStyle w:val="4"/>
        <w:keepNext w:val="0"/>
        <w:keepLines w:val="0"/>
        <w:spacing w:before="0" w:after="0" w:line="276" w:lineRule="auto"/>
        <w:rPr>
          <w:rFonts w:hint="eastAsia"/>
        </w:rPr>
      </w:pPr>
      <w:r>
        <w:rPr>
          <w:rFonts w:hint="eastAsia"/>
        </w:rPr>
        <w:t>第十一节 夯实应急通信保障能力</w:t>
      </w:r>
      <w:bookmarkEnd w:id="26"/>
    </w:p>
    <w:p>
      <w:pPr>
        <w:spacing w:line="276" w:lineRule="auto"/>
        <w:ind w:firstLine="640"/>
        <w:rPr>
          <w:rFonts w:hint="eastAsia"/>
        </w:rPr>
      </w:pPr>
    </w:p>
    <w:p>
      <w:pPr>
        <w:spacing w:line="276" w:lineRule="auto"/>
        <w:ind w:firstLine="640"/>
        <w:rPr>
          <w:rFonts w:hint="eastAsia"/>
        </w:rPr>
      </w:pPr>
      <w:r>
        <w:rPr>
          <w:rFonts w:hint="eastAsia"/>
        </w:rPr>
        <w:t>将119接处警专线独立接入消防指挥中心，按照相关规范要求，采用双设备、双链路建设专线，建立完备的应急救援通信网络，制定完善的应急救援通信保障预案和规范高效的通信调度指挥程序，同时要加强通信设备的维护保养，加强通信人才的培养，确保在处置较大或特殊火灾行动和处置重大灾害事故时，能够保障消防</w:t>
      </w:r>
      <w:r>
        <w:rPr>
          <w:rFonts w:hint="eastAsia"/>
          <w:lang w:eastAsia="zh-CN"/>
        </w:rPr>
        <w:t>救援队伍</w:t>
      </w:r>
      <w:r>
        <w:rPr>
          <w:rFonts w:hint="eastAsia"/>
        </w:rPr>
        <w:t>的通信联络保持管理科学、层次清晰、调度有序，保障警情受理通道畅通；综合利用公网集群、PDT数字集群、LTE宽带专网、Mesh自组网、北斗定位、短波等多种无线通信技术，解决各类场景下的语音、图像、视频、数据的高速传输以及时间校准、位置服务等综合应用需求。</w:t>
      </w:r>
    </w:p>
    <w:p>
      <w:pPr>
        <w:spacing w:line="276" w:lineRule="auto"/>
        <w:ind w:firstLine="640"/>
        <w:rPr>
          <w:rFonts w:hint="eastAsia"/>
        </w:rPr>
      </w:pPr>
    </w:p>
    <w:p>
      <w:pPr>
        <w:pStyle w:val="4"/>
        <w:keepNext w:val="0"/>
        <w:keepLines w:val="0"/>
        <w:spacing w:before="0" w:after="0" w:line="276" w:lineRule="auto"/>
        <w:rPr>
          <w:rFonts w:hint="eastAsia"/>
        </w:rPr>
      </w:pPr>
      <w:bookmarkStart w:id="27" w:name="_Toc90024109"/>
      <w:r>
        <w:rPr>
          <w:rFonts w:hint="eastAsia"/>
        </w:rPr>
        <w:t xml:space="preserve">第十二节 </w:t>
      </w:r>
      <w:r>
        <w:rPr>
          <w:rFonts w:hint="default"/>
          <w:lang w:val="en"/>
        </w:rPr>
        <w:t xml:space="preserve"> </w:t>
      </w:r>
      <w:r>
        <w:rPr>
          <w:rFonts w:hint="eastAsia"/>
        </w:rPr>
        <w:t>深化智慧消防建设</w:t>
      </w:r>
      <w:bookmarkEnd w:id="27"/>
    </w:p>
    <w:p>
      <w:pPr>
        <w:spacing w:line="276" w:lineRule="auto"/>
        <w:ind w:firstLine="640"/>
        <w:rPr>
          <w:rFonts w:hint="eastAsia" w:ascii="方正仿宋_GBK"/>
          <w:bCs/>
          <w:color w:val="000000"/>
          <w:szCs w:val="32"/>
        </w:rPr>
      </w:pPr>
    </w:p>
    <w:p>
      <w:pPr>
        <w:spacing w:line="276" w:lineRule="auto"/>
        <w:ind w:firstLine="640"/>
        <w:rPr>
          <w:rFonts w:hint="eastAsia" w:ascii="方正仿宋_GBK"/>
          <w:bCs/>
          <w:color w:val="000000"/>
          <w:szCs w:val="32"/>
        </w:rPr>
      </w:pPr>
      <w:r>
        <w:rPr>
          <w:rFonts w:hint="eastAsia" w:ascii="方正仿宋_GBK"/>
          <w:bCs/>
          <w:color w:val="000000"/>
          <w:szCs w:val="32"/>
        </w:rPr>
        <w:t>积极融入智慧城市，按照《永川区新型智慧城市建设“十四五”规划》，统一部署应急管理信息化体系、基层综治网格信息化管理平台，</w:t>
      </w:r>
      <w:r>
        <w:rPr>
          <w:bCs/>
          <w:color w:val="000000"/>
          <w:szCs w:val="32"/>
        </w:rPr>
        <w:t>实施消防信息化管理能力提升工程</w:t>
      </w:r>
      <w:r>
        <w:rPr>
          <w:rFonts w:hint="eastAsia"/>
          <w:bCs/>
          <w:color w:val="000000"/>
          <w:szCs w:val="32"/>
        </w:rPr>
        <w:t>，</w:t>
      </w:r>
      <w:r>
        <w:rPr>
          <w:bCs/>
          <w:color w:val="000000"/>
          <w:szCs w:val="32"/>
        </w:rPr>
        <w:t>建设消防物联网监控系统</w:t>
      </w:r>
      <w:r>
        <w:rPr>
          <w:rFonts w:hint="eastAsia"/>
          <w:bCs/>
          <w:color w:val="000000"/>
          <w:szCs w:val="32"/>
        </w:rPr>
        <w:t>。</w:t>
      </w:r>
      <w:r>
        <w:rPr>
          <w:rFonts w:hint="eastAsia" w:ascii="方正仿宋_GBK" w:hAnsi="宋体" w:cs="宋体"/>
          <w:color w:val="000000"/>
          <w:kern w:val="32"/>
          <w:szCs w:val="32"/>
          <w:lang w:bidi="ar"/>
        </w:rPr>
        <w:t>建设消防智能感知管理终端，并接入全区智慧消防综合服务平台、对接市级平台，全面提升消防智能感知、智能管理、智能预防、智能处理能力；全面推广应用智慧消防新技术、新应用、新设施，加快推进全区火灾高危单位、高层建筑、重要敏感对象的消防设施及重要部位智能感知管理终端建设，</w:t>
      </w:r>
      <w:r>
        <w:rPr>
          <w:bCs/>
          <w:color w:val="000000"/>
          <w:szCs w:val="32"/>
        </w:rPr>
        <w:t>加强火灾风险分析研判、早期识别、监测预警，精准治理高风险区域场所。</w:t>
      </w:r>
    </w:p>
    <w:p>
      <w:pPr>
        <w:spacing w:line="276" w:lineRule="auto"/>
        <w:ind w:firstLine="640"/>
        <w:rPr>
          <w:rFonts w:hint="eastAsia"/>
        </w:rPr>
      </w:pPr>
      <w:r>
        <w:rPr>
          <w:rFonts w:hint="eastAsia"/>
        </w:rPr>
        <w:t>深化消防“一张图”大数据建设应用，在二维和实景指挥“两张图”的基础上，逐步开展城市三维图建设；拓展移动作战指挥终端数据接收、同步、采集、定位和音视频交互等功能；基于地图整合数字化预案、历史战例、人装战力图谱等作战辅助信息，直观展示作战力量位置、救援装备状态、战斗人员体征等感知信息，实现多维度、多角度图像融合和战场的“透明化”。</w:t>
      </w:r>
    </w:p>
    <w:p>
      <w:pPr>
        <w:spacing w:line="276" w:lineRule="auto"/>
        <w:ind w:firstLine="640"/>
        <w:rPr>
          <w:rFonts w:hint="eastAsia"/>
        </w:rPr>
      </w:pPr>
    </w:p>
    <w:p>
      <w:pPr>
        <w:pStyle w:val="4"/>
        <w:keepNext w:val="0"/>
        <w:keepLines w:val="0"/>
        <w:numPr>
          <w:ilvl w:val="-1"/>
          <w:numId w:val="0"/>
        </w:numPr>
        <w:spacing w:before="0" w:after="0" w:line="276" w:lineRule="auto"/>
        <w:rPr>
          <w:rFonts w:hint="eastAsia"/>
        </w:rPr>
      </w:pPr>
      <w:bookmarkStart w:id="28" w:name="_Toc90024110"/>
      <w:r>
        <w:rPr>
          <w:rFonts w:hint="eastAsia"/>
          <w:lang w:eastAsia="zh-CN"/>
        </w:rPr>
        <w:t>第十三节</w:t>
      </w:r>
      <w:r>
        <w:rPr>
          <w:rFonts w:hint="eastAsia"/>
          <w:lang w:val="en-US" w:eastAsia="zh-CN"/>
        </w:rPr>
        <w:t xml:space="preserve">  </w:t>
      </w:r>
      <w:r>
        <w:rPr>
          <w:rFonts w:hint="eastAsia"/>
        </w:rPr>
        <w:t>实施一批重大工程</w:t>
      </w:r>
      <w:bookmarkEnd w:id="28"/>
    </w:p>
    <w:p>
      <w:pPr>
        <w:spacing w:line="276" w:lineRule="auto"/>
        <w:ind w:firstLine="640"/>
      </w:pPr>
    </w:p>
    <w:p>
      <w:pPr>
        <w:spacing w:line="276" w:lineRule="auto"/>
        <w:ind w:firstLine="640"/>
        <w:rPr>
          <w:rFonts w:hint="eastAsia"/>
          <w:lang w:eastAsia="zh-CN"/>
        </w:rPr>
      </w:pPr>
      <w:r>
        <w:t>全区各级政府、各有关部门要采取宏观统筹、分步推进的方式，重点抓好</w:t>
      </w:r>
      <w:r>
        <w:rPr>
          <w:rFonts w:hint="eastAsia"/>
        </w:rPr>
        <w:t>消防民生实事工程、消防水源建设、消防站建设、消防应急装备物资保障体系建设、招录政府专职消防员、消防装备建设、专业队伍建设、消防主题公园、火灾风险预警预测平台、物联网感知能力建设</w:t>
      </w:r>
      <w:r>
        <w:t>1</w:t>
      </w:r>
      <w:r>
        <w:rPr>
          <w:rFonts w:hint="eastAsia"/>
        </w:rPr>
        <w:t>0</w:t>
      </w:r>
      <w:r>
        <w:t>项工程的实施。</w:t>
      </w:r>
      <w:r>
        <w:rPr>
          <w:rFonts w:hint="eastAsia"/>
          <w:lang w:eastAsia="zh-CN"/>
        </w:rPr>
        <w:t>（详见附件</w:t>
      </w:r>
      <w:r>
        <w:rPr>
          <w:rFonts w:hint="eastAsia"/>
          <w:lang w:val="en-US" w:eastAsia="zh-CN"/>
        </w:rPr>
        <w:t>1</w:t>
      </w:r>
      <w:r>
        <w:rPr>
          <w:rFonts w:hint="eastAsia"/>
          <w:lang w:eastAsia="zh-CN"/>
        </w:rPr>
        <w:t>）</w:t>
      </w:r>
    </w:p>
    <w:p>
      <w:pPr>
        <w:spacing w:line="276" w:lineRule="auto"/>
        <w:ind w:firstLine="640"/>
        <w:rPr>
          <w:rFonts w:hint="eastAsia"/>
          <w:lang w:eastAsia="zh-CN"/>
        </w:rPr>
      </w:pPr>
    </w:p>
    <w:p>
      <w:pPr>
        <w:pStyle w:val="3"/>
        <w:keepNext w:val="0"/>
        <w:keepLines w:val="0"/>
        <w:numPr>
          <w:ilvl w:val="-1"/>
          <w:numId w:val="0"/>
        </w:numPr>
        <w:spacing w:before="0" w:after="0" w:line="276" w:lineRule="auto"/>
      </w:pPr>
      <w:r>
        <w:rPr>
          <w:rFonts w:hint="eastAsia"/>
          <w:lang w:eastAsia="zh-CN"/>
        </w:rPr>
        <w:t>第四章</w:t>
      </w:r>
      <w:r>
        <w:rPr>
          <w:rFonts w:hint="eastAsia"/>
          <w:lang w:val="en-US" w:eastAsia="zh-CN"/>
        </w:rPr>
        <w:t xml:space="preserve">  </w:t>
      </w:r>
      <w:bookmarkStart w:id="29" w:name="_Toc90024111"/>
      <w:r>
        <w:rPr>
          <w:rFonts w:hint="eastAsia"/>
        </w:rPr>
        <w:t>保障措施</w:t>
      </w:r>
      <w:bookmarkEnd w:id="29"/>
    </w:p>
    <w:p>
      <w:pPr>
        <w:keepNext w:val="0"/>
        <w:keepLines w:val="0"/>
        <w:numPr>
          <w:ilvl w:val="0"/>
          <w:numId w:val="1"/>
        </w:numPr>
        <w:spacing w:before="0" w:after="0" w:line="276" w:lineRule="auto"/>
        <w:ind w:firstLine="640"/>
        <w:rPr>
          <w:rFonts w:hint="eastAsia"/>
          <w:lang w:eastAsia="zh-CN"/>
        </w:rPr>
      </w:pPr>
      <w:bookmarkStart w:id="30" w:name="_Toc90024112"/>
    </w:p>
    <w:p>
      <w:pPr>
        <w:pStyle w:val="4"/>
        <w:keepNext w:val="0"/>
        <w:keepLines w:val="0"/>
        <w:numPr>
          <w:ilvl w:val="-1"/>
          <w:numId w:val="0"/>
        </w:numPr>
        <w:spacing w:before="0" w:after="0" w:line="276" w:lineRule="auto"/>
        <w:rPr>
          <w:rFonts w:hint="eastAsia"/>
        </w:rPr>
      </w:pPr>
      <w:r>
        <w:rPr>
          <w:rFonts w:hint="eastAsia"/>
          <w:lang w:eastAsia="zh-CN"/>
        </w:rPr>
        <w:t>第一节</w:t>
      </w:r>
      <w:r>
        <w:rPr>
          <w:rFonts w:hint="eastAsia"/>
          <w:lang w:val="en-US" w:eastAsia="zh-CN"/>
        </w:rPr>
        <w:t xml:space="preserve">  </w:t>
      </w:r>
      <w:r>
        <w:rPr>
          <w:rFonts w:hint="eastAsia"/>
        </w:rPr>
        <w:t>加强组织领导</w:t>
      </w:r>
      <w:bookmarkEnd w:id="30"/>
    </w:p>
    <w:p>
      <w:pPr>
        <w:spacing w:line="276" w:lineRule="auto"/>
        <w:ind w:firstLine="640"/>
        <w:rPr>
          <w:rFonts w:hint="eastAsia"/>
        </w:rPr>
      </w:pPr>
    </w:p>
    <w:p>
      <w:pPr>
        <w:spacing w:line="276" w:lineRule="auto"/>
        <w:ind w:firstLine="640"/>
        <w:rPr>
          <w:rFonts w:hint="eastAsia"/>
        </w:rPr>
      </w:pPr>
      <w:r>
        <w:rPr>
          <w:rFonts w:hint="eastAsia"/>
        </w:rPr>
        <w:t>在区政府统一领导下，区消防安全委员会要加强组织领导、统筹协调和检查督导。对消防规划确定的目标和任务，实施项目化管理，建立责任清单，制定工作标准和完成时限，分级分阶段组织实施。定期分析会商，掌握规划实施进展情况，解决实施中存在的问题，并将规划实施进展纳入区政府督查内容，组织年度督查督办和阶段性考核评估。区政府要结合实际，强化组织保障，推进消防救援事业发展“十四五”规划落地生效。</w:t>
      </w:r>
    </w:p>
    <w:p>
      <w:pPr>
        <w:spacing w:line="276" w:lineRule="auto"/>
        <w:ind w:firstLine="640"/>
        <w:rPr>
          <w:rFonts w:hint="eastAsia"/>
        </w:rPr>
      </w:pPr>
    </w:p>
    <w:p>
      <w:pPr>
        <w:pStyle w:val="4"/>
        <w:keepNext w:val="0"/>
        <w:keepLines w:val="0"/>
        <w:numPr>
          <w:ilvl w:val="-1"/>
          <w:numId w:val="0"/>
        </w:numPr>
        <w:spacing w:before="0" w:after="0" w:line="276" w:lineRule="auto"/>
        <w:rPr>
          <w:rFonts w:hint="eastAsia"/>
        </w:rPr>
      </w:pPr>
      <w:bookmarkStart w:id="31" w:name="_Toc90024113"/>
      <w:r>
        <w:rPr>
          <w:rFonts w:hint="eastAsia"/>
          <w:lang w:eastAsia="zh-CN"/>
        </w:rPr>
        <w:t>第二节</w:t>
      </w:r>
      <w:r>
        <w:rPr>
          <w:rFonts w:hint="eastAsia"/>
          <w:lang w:val="en-US" w:eastAsia="zh-CN"/>
        </w:rPr>
        <w:t xml:space="preserve">  </w:t>
      </w:r>
      <w:r>
        <w:rPr>
          <w:rFonts w:hint="eastAsia"/>
        </w:rPr>
        <w:t>落实经费保障</w:t>
      </w:r>
      <w:bookmarkEnd w:id="31"/>
    </w:p>
    <w:p>
      <w:pPr>
        <w:spacing w:line="276" w:lineRule="auto"/>
        <w:ind w:firstLine="640"/>
        <w:rPr>
          <w:rFonts w:hint="eastAsia"/>
        </w:rPr>
      </w:pPr>
    </w:p>
    <w:p>
      <w:pPr>
        <w:spacing w:line="276" w:lineRule="auto"/>
        <w:ind w:firstLine="640"/>
        <w:rPr>
          <w:rFonts w:hint="eastAsia"/>
        </w:rPr>
      </w:pPr>
      <w:r>
        <w:rPr>
          <w:rFonts w:hint="eastAsia"/>
        </w:rPr>
        <w:t>遵循事权与财权相一致的原则，建立健全权责明确、规范高效、分类负担、分级保障的经费管理体系。要建立与“十四五”消防事业发展相适应的经费保障机制，将规划的消防站点、消防装备、消防水源、消防信息化等建设项目经费纳入同级财政预算予以保障；财政、发改、建设、经信等部门要对灭火应急救援实战和消防信息化建设项目实施专项保障。</w:t>
      </w:r>
    </w:p>
    <w:p>
      <w:pPr>
        <w:spacing w:line="276" w:lineRule="auto"/>
        <w:ind w:firstLine="640"/>
        <w:rPr>
          <w:rFonts w:hint="eastAsia"/>
        </w:rPr>
      </w:pPr>
    </w:p>
    <w:p>
      <w:pPr>
        <w:pStyle w:val="4"/>
        <w:keepNext w:val="0"/>
        <w:keepLines w:val="0"/>
        <w:numPr>
          <w:ilvl w:val="-1"/>
          <w:numId w:val="0"/>
        </w:numPr>
        <w:spacing w:before="0" w:after="0" w:line="276" w:lineRule="auto"/>
        <w:rPr>
          <w:rFonts w:hint="eastAsia"/>
        </w:rPr>
      </w:pPr>
      <w:bookmarkStart w:id="32" w:name="_Toc90024114"/>
      <w:r>
        <w:rPr>
          <w:rFonts w:hint="eastAsia"/>
          <w:lang w:eastAsia="zh-CN"/>
        </w:rPr>
        <w:t>第三节</w:t>
      </w:r>
      <w:r>
        <w:rPr>
          <w:rFonts w:hint="eastAsia"/>
          <w:lang w:val="en-US" w:eastAsia="zh-CN"/>
        </w:rPr>
        <w:t xml:space="preserve">  </w:t>
      </w:r>
      <w:r>
        <w:rPr>
          <w:rFonts w:hint="eastAsia"/>
        </w:rPr>
        <w:t>落实环保要求</w:t>
      </w:r>
      <w:bookmarkEnd w:id="32"/>
    </w:p>
    <w:p>
      <w:pPr>
        <w:spacing w:line="276" w:lineRule="auto"/>
        <w:ind w:firstLine="640"/>
        <w:rPr>
          <w:rFonts w:hint="eastAsia"/>
        </w:rPr>
      </w:pPr>
    </w:p>
    <w:p>
      <w:pPr>
        <w:spacing w:line="276" w:lineRule="auto"/>
        <w:ind w:firstLine="640"/>
        <w:rPr>
          <w:rFonts w:hint="eastAsia"/>
        </w:rPr>
      </w:pPr>
      <w:r>
        <w:rPr>
          <w:rFonts w:hint="eastAsia"/>
        </w:rPr>
        <w:t>密切跟踪规划实施对生态系统和环境、群众健康产生的影响，对纳入规划的重大基础设施建设项目依法履行环评程序，严格土地、环保准入，合理开展项目选址设计。完善重大基础设施建设项目环境影响评价制度，实行严格的环境保护制度。把环境影响问题作为规划评估的重要内容，并将评价结果作为优化规划实施的重要依据。</w:t>
      </w:r>
    </w:p>
    <w:p>
      <w:pPr>
        <w:spacing w:line="276" w:lineRule="auto"/>
        <w:ind w:firstLine="640"/>
        <w:rPr>
          <w:rFonts w:hint="eastAsia"/>
        </w:rPr>
      </w:pPr>
    </w:p>
    <w:p>
      <w:pPr>
        <w:pStyle w:val="4"/>
        <w:keepNext w:val="0"/>
        <w:keepLines w:val="0"/>
        <w:numPr>
          <w:ilvl w:val="-1"/>
          <w:numId w:val="0"/>
        </w:numPr>
        <w:spacing w:before="0" w:after="0" w:line="276" w:lineRule="auto"/>
        <w:rPr>
          <w:rFonts w:hint="eastAsia"/>
        </w:rPr>
      </w:pPr>
      <w:bookmarkStart w:id="33" w:name="_Toc90024115"/>
      <w:r>
        <w:rPr>
          <w:rFonts w:hint="eastAsia"/>
          <w:lang w:eastAsia="zh-CN"/>
        </w:rPr>
        <w:t>第四节</w:t>
      </w:r>
      <w:r>
        <w:rPr>
          <w:rFonts w:hint="eastAsia"/>
          <w:lang w:val="en-US" w:eastAsia="zh-CN"/>
        </w:rPr>
        <w:t xml:space="preserve">  </w:t>
      </w:r>
      <w:r>
        <w:rPr>
          <w:rFonts w:hint="eastAsia"/>
        </w:rPr>
        <w:t>实行</w:t>
      </w:r>
      <w:r>
        <w:t>考评问效</w:t>
      </w:r>
      <w:bookmarkEnd w:id="33"/>
    </w:p>
    <w:p>
      <w:pPr>
        <w:spacing w:line="276" w:lineRule="auto"/>
        <w:ind w:firstLine="640"/>
        <w:rPr>
          <w:rFonts w:hint="eastAsia"/>
        </w:rPr>
      </w:pPr>
    </w:p>
    <w:p>
      <w:pPr>
        <w:spacing w:line="276" w:lineRule="auto"/>
        <w:ind w:firstLine="640"/>
        <w:rPr>
          <w:rFonts w:hint="eastAsia"/>
        </w:rPr>
      </w:pPr>
      <w:r>
        <w:rPr>
          <w:rFonts w:hint="eastAsia"/>
        </w:rPr>
        <w:t>“十四五”消防事业发展建设任务重、标准高，各镇街和相关职能部门要加强统筹、强力推进。区政府将把消防规划落实情况作为镇街政府目标责任考核和领导干部绩效考核的重要内容，纳入社会综合治理工作考核范畴，并结合年度消防工作检查考核，全面分析评估规划实施效果及各项保障措施落实情况。“十四五”末，区政府将对消防规划目标任务落实情况进行综合验收，对失职、渎职或工作不力造成消防规划不落实、火灾隐患突出、发生较大以上火灾事故的，依法依纪追究有关单位和人员的责任。</w:t>
      </w:r>
    </w:p>
    <w:p>
      <w:pPr>
        <w:spacing w:line="276" w:lineRule="auto"/>
        <w:ind w:firstLine="640"/>
        <w:rPr>
          <w:rFonts w:hint="eastAsia"/>
        </w:rPr>
      </w:pPr>
    </w:p>
    <w:p>
      <w:pPr>
        <w:spacing w:line="276" w:lineRule="auto"/>
        <w:ind w:firstLine="640"/>
        <w:rPr>
          <w:rFonts w:hint="eastAsia"/>
        </w:rPr>
      </w:pPr>
      <w:r>
        <w:rPr>
          <w:rFonts w:hint="eastAsia"/>
        </w:rPr>
        <w:t>附件：1</w:t>
      </w:r>
      <w:r>
        <w:rPr>
          <w:rFonts w:hint="eastAsia"/>
          <w:lang w:val="en-US" w:eastAsia="zh-CN"/>
        </w:rPr>
        <w:t>.</w:t>
      </w:r>
      <w:r>
        <w:rPr>
          <w:rFonts w:hint="eastAsia"/>
        </w:rPr>
        <w:t>永川区“十四五”消防事业发展重点工程</w:t>
      </w:r>
    </w:p>
    <w:p>
      <w:pPr>
        <w:spacing w:line="276" w:lineRule="auto"/>
        <w:ind w:firstLine="1600" w:firstLineChars="500"/>
        <w:rPr>
          <w:rFonts w:hint="eastAsia"/>
        </w:rPr>
      </w:pPr>
      <w:r>
        <w:rPr>
          <w:rFonts w:hint="eastAsia"/>
        </w:rPr>
        <w:t>2</w:t>
      </w:r>
      <w:r>
        <w:rPr>
          <w:rFonts w:hint="eastAsia"/>
          <w:lang w:val="en-US" w:eastAsia="zh-CN"/>
        </w:rPr>
        <w:t>.</w:t>
      </w:r>
      <w:r>
        <w:rPr>
          <w:rFonts w:hint="eastAsia"/>
        </w:rPr>
        <w:t>永川区“十四五”</w:t>
      </w:r>
      <w:r>
        <w:t>时期</w:t>
      </w:r>
      <w:r>
        <w:rPr>
          <w:rFonts w:hint="eastAsia"/>
        </w:rPr>
        <w:t>消防重点项目投资估算表</w:t>
      </w:r>
    </w:p>
    <w:p>
      <w:pPr>
        <w:spacing w:line="276" w:lineRule="auto"/>
        <w:rPr>
          <w:rFonts w:hint="eastAsia" w:ascii="方正仿宋_GBK"/>
          <w:szCs w:val="32"/>
        </w:rPr>
      </w:pPr>
    </w:p>
    <w:p>
      <w:pPr>
        <w:spacing w:line="600" w:lineRule="exact"/>
        <w:rPr>
          <w:rFonts w:hint="eastAsia" w:ascii="方正黑体_GBK" w:hAnsi="方正黑体_GBK" w:eastAsia="方正黑体_GBK" w:cs="方正黑体_GBK"/>
          <w:spacing w:val="-12"/>
          <w:szCs w:val="32"/>
        </w:rPr>
      </w:pPr>
      <w:r>
        <w:rPr>
          <w:rFonts w:ascii="方正仿宋_GBK"/>
          <w:szCs w:val="32"/>
        </w:rPr>
        <w:br w:type="page"/>
      </w:r>
      <w:r>
        <w:rPr>
          <w:rFonts w:hint="eastAsia" w:ascii="方正黑体_GBK" w:hAnsi="方正黑体_GBK" w:eastAsia="方正黑体_GBK" w:cs="方正黑体_GBK"/>
          <w:szCs w:val="32"/>
        </w:rPr>
        <w:t>附件</w:t>
      </w:r>
      <w:r>
        <w:rPr>
          <w:rFonts w:hint="eastAsia" w:ascii="方正黑体_GBK" w:hAnsi="方正黑体_GBK" w:eastAsia="方正黑体_GBK" w:cs="方正黑体_GBK"/>
          <w:spacing w:val="-12"/>
          <w:szCs w:val="32"/>
        </w:rPr>
        <w:t>1</w:t>
      </w:r>
    </w:p>
    <w:p>
      <w:pPr>
        <w:spacing w:line="24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pacing w:val="-12"/>
          <w:sz w:val="36"/>
          <w:szCs w:val="36"/>
        </w:rPr>
        <w:t>永川区</w:t>
      </w:r>
      <w:r>
        <w:rPr>
          <w:rFonts w:hint="eastAsia" w:ascii="方正小标宋_GBK" w:hAnsi="方正小标宋_GBK" w:eastAsia="方正小标宋_GBK" w:cs="方正小标宋_GBK"/>
          <w:sz w:val="36"/>
          <w:szCs w:val="36"/>
        </w:rPr>
        <w:t>“十四五”消防事业发展重点工程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4"/>
        <w:gridCol w:w="1384"/>
        <w:gridCol w:w="2977"/>
        <w:gridCol w:w="4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ascii="方正黑体_GBK" w:hAnsi="方正黑体_GBK" w:eastAsia="方正黑体_GBK" w:cs="方正黑体_GBK"/>
              </w:rPr>
            </w:pPr>
            <w:r>
              <w:rPr>
                <w:rFonts w:hint="eastAsia" w:ascii="方正黑体_GBK" w:hAnsi="方正黑体_GBK" w:eastAsia="方正黑体_GBK" w:cs="方正黑体_GBK"/>
              </w:rPr>
              <w:t>序号</w:t>
            </w:r>
          </w:p>
        </w:tc>
        <w:tc>
          <w:tcPr>
            <w:tcW w:w="138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ascii="方正黑体_GBK" w:hAnsi="方正黑体_GBK" w:eastAsia="方正黑体_GBK" w:cs="方正黑体_GBK"/>
              </w:rPr>
            </w:pPr>
            <w:r>
              <w:rPr>
                <w:rFonts w:hint="eastAsia" w:ascii="方正黑体_GBK" w:hAnsi="方正黑体_GBK" w:eastAsia="方正黑体_GBK" w:cs="方正黑体_GBK"/>
              </w:rPr>
              <w:t>工程名称</w:t>
            </w:r>
          </w:p>
        </w:tc>
        <w:tc>
          <w:tcPr>
            <w:tcW w:w="297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ascii="方正黑体_GBK" w:hAnsi="方正黑体_GBK" w:eastAsia="方正黑体_GBK" w:cs="方正黑体_GBK"/>
              </w:rPr>
            </w:pPr>
            <w:r>
              <w:rPr>
                <w:rFonts w:hint="eastAsia" w:ascii="方正黑体_GBK" w:hAnsi="方正黑体_GBK" w:eastAsia="方正黑体_GBK" w:cs="方正黑体_GBK"/>
              </w:rPr>
              <w:t>总体目标</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ascii="方正黑体_GBK" w:hAnsi="方正黑体_GBK" w:eastAsia="方正黑体_GBK" w:cs="方正黑体_GBK"/>
              </w:rPr>
            </w:pPr>
            <w:r>
              <w:rPr>
                <w:rFonts w:hint="eastAsia" w:ascii="方正黑体_GBK" w:hAnsi="方正黑体_GBK" w:eastAsia="方正黑体_GBK" w:cs="方正黑体_GBK"/>
              </w:rPr>
              <w:t>主要建设时序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78" w:hRule="atLeast"/>
        </w:trPr>
        <w:tc>
          <w:tcPr>
            <w:tcW w:w="47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r>
              <w:rPr>
                <w:rFonts w:hint="eastAsia" w:cs="Times New Roman"/>
              </w:rPr>
              <w:t>1</w:t>
            </w:r>
          </w:p>
        </w:tc>
        <w:tc>
          <w:tcPr>
            <w:tcW w:w="138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消防民生实事工程</w:t>
            </w:r>
          </w:p>
        </w:tc>
        <w:tc>
          <w:tcPr>
            <w:tcW w:w="2977"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全面推进城镇老旧小区消防设施改造提升。</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2021年，重点整治纳入城镇老旧小区改造提升计划，涉及消防设施改造，以及前期已经改造完毕的老旧小区。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从2022年起，根据年度城镇老旧小区改造提升项目计划，同步开展消防设施改造。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5" w:hRule="atLeast"/>
        </w:trPr>
        <w:tc>
          <w:tcPr>
            <w:tcW w:w="47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r>
              <w:rPr>
                <w:rFonts w:hint="eastAsia" w:cs="Times New Roman"/>
              </w:rPr>
              <w:t>2</w:t>
            </w:r>
          </w:p>
        </w:tc>
        <w:tc>
          <w:tcPr>
            <w:tcW w:w="138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消防水源建设</w:t>
            </w:r>
          </w:p>
        </w:tc>
        <w:tc>
          <w:tcPr>
            <w:tcW w:w="2977"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与城市市政道路建设同步新建市政消火栓。</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完善市政消火栓建设，严格按照“四同步”的原则，市政消火栓与新建道路同步设计、同步施工、同步验收、同步投用；全面梳理消火栓建设现状，存在欠账的要限期增补到位。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2025年，全区范围的城镇市政消火栓建有率100%，完好率98%。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r>
              <w:rPr>
                <w:rFonts w:hint="eastAsia" w:cs="Times New Roman"/>
              </w:rPr>
              <w:t>3</w:t>
            </w:r>
          </w:p>
        </w:tc>
        <w:tc>
          <w:tcPr>
            <w:tcW w:w="138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消防站建设</w:t>
            </w:r>
          </w:p>
        </w:tc>
        <w:tc>
          <w:tcPr>
            <w:tcW w:w="297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新建1个普通（二级）消防站。</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2025年，和畅大道</w:t>
            </w:r>
            <w:r>
              <w:rPr>
                <w:rFonts w:cs="Times New Roman"/>
              </w:rPr>
              <w:t>消防站</w:t>
            </w:r>
            <w:r>
              <w:rPr>
                <w:rFonts w:hint="eastAsia" w:cs="Times New Roman"/>
              </w:rPr>
              <w:t>竣工投用</w:t>
            </w: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trPr>
        <w:tc>
          <w:tcPr>
            <w:tcW w:w="4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r>
              <w:rPr>
                <w:rFonts w:hint="eastAsia" w:cs="Times New Roman"/>
              </w:rPr>
              <w:t>4</w:t>
            </w:r>
          </w:p>
        </w:tc>
        <w:tc>
          <w:tcPr>
            <w:tcW w:w="138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消防应急装备物资保障体系建设</w:t>
            </w:r>
          </w:p>
        </w:tc>
        <w:tc>
          <w:tcPr>
            <w:tcW w:w="297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完善战区级应急装备物资储备。</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2022年，购置补充一批应急装备物资。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r>
              <w:rPr>
                <w:rFonts w:hint="eastAsia" w:cs="Times New Roman"/>
              </w:rPr>
              <w:t>5</w:t>
            </w:r>
          </w:p>
        </w:tc>
        <w:tc>
          <w:tcPr>
            <w:tcW w:w="138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招录政府专职消防员</w:t>
            </w:r>
          </w:p>
        </w:tc>
        <w:tc>
          <w:tcPr>
            <w:tcW w:w="2977"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新招录90名政府专职消防员。</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2021年，招录政府专职消防员15名；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2022年，招录政府专职消防员30名；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2023年，招录政府专职消防员15名；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2024年，招录政府专职消防员15名；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2025年，招录政府专职消防员15名。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r>
              <w:rPr>
                <w:rFonts w:hint="eastAsia" w:cs="Times New Roman"/>
              </w:rPr>
              <w:t>6</w:t>
            </w:r>
          </w:p>
        </w:tc>
        <w:tc>
          <w:tcPr>
            <w:tcW w:w="138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消防装备建设</w:t>
            </w:r>
          </w:p>
        </w:tc>
        <w:tc>
          <w:tcPr>
            <w:tcW w:w="2977"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购置水罐车、泡沫车、登高平台或云梯车、高喷车、抢险救援车、排烟或照明车、通信指挥车、远程供水或排涝车、保障车等9类消防车14台。</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2022年，购置消防车3台；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2023年，购置消防车3台；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2024年，购置消防车4台；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4"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2025年，购置消防车4台。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50" w:hRule="atLeast"/>
        </w:trPr>
        <w:tc>
          <w:tcPr>
            <w:tcW w:w="4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r>
              <w:rPr>
                <w:rFonts w:hint="eastAsia" w:cs="Times New Roman"/>
              </w:rPr>
              <w:t>7</w:t>
            </w:r>
          </w:p>
        </w:tc>
        <w:tc>
          <w:tcPr>
            <w:tcW w:w="138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专业队伍建设</w:t>
            </w:r>
          </w:p>
        </w:tc>
        <w:tc>
          <w:tcPr>
            <w:tcW w:w="297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构建以地震、水域、山岳、空勤、涉疫勤务等专业救援力量和搜救犬站（分队）为主体，以覆盖全区的专业救援班组为补充的专业救援力量体系。</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2025年，推进永川空勤救援专业分队建设。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4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r>
              <w:rPr>
                <w:rFonts w:hint="eastAsia" w:cs="Times New Roman"/>
              </w:rPr>
              <w:t>8</w:t>
            </w:r>
          </w:p>
        </w:tc>
        <w:tc>
          <w:tcPr>
            <w:tcW w:w="138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消防主题公园（示范场所）</w:t>
            </w:r>
          </w:p>
        </w:tc>
        <w:tc>
          <w:tcPr>
            <w:tcW w:w="297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新建、改建1处消防主题公园（示范场所）。</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2021年，新建、改建1处消防主题公园（示范场所）。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r>
              <w:rPr>
                <w:rFonts w:hint="eastAsia" w:cs="Times New Roman"/>
              </w:rPr>
              <w:t>9</w:t>
            </w:r>
          </w:p>
        </w:tc>
        <w:tc>
          <w:tcPr>
            <w:tcW w:w="138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火灾风险预警预测平台</w:t>
            </w:r>
          </w:p>
        </w:tc>
        <w:tc>
          <w:tcPr>
            <w:tcW w:w="2977"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搭建火灾风险监测预警平台，构建火灾风险预警预测模型，建立城市火灾风险的监测预警体系，形成城市火灾风险全方位监测预警能力。</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2023年，搭建火灾风险监测预警平台。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2024年，构建火灾预警预测算法模型。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7"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2025年，形成城市火灾风险监测预警体系。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47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cs="Times New Roman"/>
              </w:rPr>
            </w:pPr>
            <w:r>
              <w:rPr>
                <w:rFonts w:hint="eastAsia" w:cs="Times New Roman"/>
              </w:rPr>
              <w:t>10</w:t>
            </w:r>
          </w:p>
        </w:tc>
        <w:tc>
          <w:tcPr>
            <w:tcW w:w="138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物联网感知能力建设</w:t>
            </w:r>
          </w:p>
        </w:tc>
        <w:tc>
          <w:tcPr>
            <w:tcW w:w="2977"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推广高层建筑、火灾高危单位、消防安全重点单位以及“三合一”、九小场所等物联感知能力建设。推广高空瞭望、消防人员生命体征、消防车辆和装备状态等物联感知能力建设。</w:t>
            </w: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2021—2024年，推广高层建筑、火灾高危单位、消防安全重点单位等物联感知能力建设。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6"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2025年，推广“三合一”、九小场所等物联感知能力建设。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4"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2021—2023年，推广高空瞭望、消防车辆物联感知能力建设。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atLeast"/>
        </w:trPr>
        <w:tc>
          <w:tcPr>
            <w:tcW w:w="47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138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2977"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rPr>
                <w:rFonts w:hint="eastAsia" w:cs="Times New Roman"/>
              </w:rPr>
            </w:pPr>
          </w:p>
        </w:tc>
        <w:tc>
          <w:tcPr>
            <w:tcW w:w="410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uto"/>
              <w:ind w:left="0" w:right="0"/>
              <w:jc w:val="left"/>
              <w:rPr>
                <w:rFonts w:hint="eastAsia" w:cs="Times New Roman"/>
              </w:rPr>
            </w:pPr>
            <w:r>
              <w:rPr>
                <w:rFonts w:hint="eastAsia" w:cs="Times New Roman"/>
              </w:rPr>
              <w:t>2023—2025年，推广消防人员生命体征、装备状态物联感知能力建设。</w:t>
            </w:r>
          </w:p>
        </w:tc>
      </w:tr>
    </w:tbl>
    <w:p>
      <w:pPr>
        <w:spacing w:line="600" w:lineRule="exact"/>
        <w:rPr>
          <w:rFonts w:ascii="方正仿宋_GBK"/>
          <w:szCs w:val="32"/>
        </w:rPr>
      </w:pPr>
    </w:p>
    <w:p>
      <w:pPr>
        <w:spacing w:line="600" w:lineRule="exact"/>
        <w:ind w:firstLine="0"/>
        <w:rPr>
          <w:rFonts w:hint="eastAsia" w:ascii="方正黑体_GBK" w:hAnsi="方正黑体_GBK" w:eastAsia="方正黑体_GBK" w:cs="方正黑体_GBK"/>
          <w:spacing w:val="0"/>
          <w:szCs w:val="32"/>
        </w:rPr>
      </w:pPr>
      <w:r>
        <w:br w:type="page"/>
      </w:r>
      <w:r>
        <w:rPr>
          <w:rFonts w:hint="eastAsia" w:ascii="方正黑体_GBK" w:hAnsi="方正黑体_GBK" w:eastAsia="方正黑体_GBK" w:cs="方正黑体_GBK"/>
          <w:szCs w:val="32"/>
        </w:rPr>
        <w:t>附件</w:t>
      </w:r>
      <w:r>
        <w:rPr>
          <w:rFonts w:hint="eastAsia" w:ascii="方正黑体_GBK" w:hAnsi="方正黑体_GBK" w:eastAsia="方正黑体_GBK" w:cs="方正黑体_GBK"/>
          <w:spacing w:val="0"/>
          <w:szCs w:val="32"/>
        </w:rPr>
        <w:t>2</w:t>
      </w:r>
    </w:p>
    <w:p>
      <w:pPr>
        <w:spacing w:line="24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永川区“十四五”时期消防重点项目投资估算表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83"/>
        <w:gridCol w:w="993"/>
        <w:gridCol w:w="1134"/>
        <w:gridCol w:w="1417"/>
        <w:gridCol w:w="992"/>
        <w:gridCol w:w="99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重点工程</w:t>
            </w:r>
          </w:p>
        </w:tc>
        <w:tc>
          <w:tcPr>
            <w:tcW w:w="993"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年份</w:t>
            </w:r>
          </w:p>
        </w:tc>
        <w:tc>
          <w:tcPr>
            <w:tcW w:w="1134"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数量（个/台/人</w:t>
            </w:r>
            <w:r>
              <w:rPr>
                <w:rFonts w:hint="eastAsia" w:cs="Times New Roman"/>
              </w:rPr>
              <w:t>/批</w:t>
            </w:r>
            <w:r>
              <w:rPr>
                <w:rFonts w:cs="Times New Roman"/>
              </w:rPr>
              <w:t>）</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总投资额</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中央</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市级</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1134"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（万元）</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（万元）</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（万元）</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消防站建设</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2023</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1</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hint="eastAsia" w:eastAsia="方正仿宋_GBK" w:cs="Times New Roman"/>
                <w:lang w:eastAsia="zh-CN"/>
              </w:rPr>
            </w:pPr>
            <w:r>
              <w:rPr>
                <w:rFonts w:hint="eastAsia" w:cs="Times New Roman"/>
                <w:lang w:val="en-US" w:eastAsia="zh-CN"/>
              </w:rPr>
              <w:t>3000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hint="eastAsia" w:eastAsia="方正仿宋_GBK" w:cs="Times New Roman"/>
                <w:lang w:eastAsia="zh-CN"/>
              </w:rPr>
            </w:pPr>
            <w:r>
              <w:rPr>
                <w:rFonts w:hint="eastAsia" w:cs="Times New Roman"/>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28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应急装备物资储备</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2022</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1</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500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消防执勤车辆装备购置</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2022</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3</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1500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2023</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3</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1800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2024</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4</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2000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2025</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4</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2280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政府专职消防员招录</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2021</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hint="eastAsia" w:cs="Times New Roman"/>
              </w:rPr>
            </w:pPr>
            <w:r>
              <w:rPr>
                <w:rFonts w:hint="eastAsia" w:cs="Times New Roman"/>
              </w:rPr>
              <w:t>15</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hint="eastAsia" w:cs="Times New Roman"/>
              </w:rPr>
            </w:pPr>
            <w:r>
              <w:rPr>
                <w:rFonts w:hint="eastAsia" w:cs="Times New Roman"/>
              </w:rPr>
              <w:t>90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hint="eastAsia" w:cs="Times New Roman"/>
              </w:rPr>
            </w:pPr>
            <w:r>
              <w:rPr>
                <w:rFonts w:hint="eastAsia"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2022</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hint="eastAsia" w:cs="Times New Roman"/>
              </w:rPr>
            </w:pPr>
            <w:r>
              <w:rPr>
                <w:rFonts w:hint="eastAsia" w:cs="Times New Roman"/>
              </w:rPr>
              <w:t>30</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hint="eastAsia" w:cs="Times New Roman"/>
              </w:rPr>
            </w:pPr>
            <w:r>
              <w:rPr>
                <w:rFonts w:hint="eastAsia" w:cs="Times New Roman"/>
              </w:rPr>
              <w:t>180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hint="eastAsia" w:cs="Times New Roman"/>
              </w:rPr>
            </w:pPr>
            <w:r>
              <w:rPr>
                <w:rFonts w:hint="eastAsia" w:cs="Times New Roma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2023</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15</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90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2024</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15</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90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2025</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15</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90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restart"/>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物联网感知能力建设</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2021</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2022</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2023</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2024</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2283" w:type="dxa"/>
            <w:vMerge w:val="continue"/>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2025</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76" w:type="dxa"/>
            <w:gridSpan w:val="2"/>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合计</w:t>
            </w:r>
          </w:p>
        </w:tc>
        <w:tc>
          <w:tcPr>
            <w:tcW w:w="113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417"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hint="eastAsia" w:cs="Times New Roman"/>
                <w:lang w:val="en-US" w:eastAsia="zh-CN"/>
              </w:rPr>
              <w:t>11620</w:t>
            </w:r>
          </w:p>
        </w:tc>
        <w:tc>
          <w:tcPr>
            <w:tcW w:w="992"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993"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cs="Times New Roman"/>
              </w:rPr>
              <w:t>-</w:t>
            </w:r>
          </w:p>
        </w:tc>
        <w:tc>
          <w:tcPr>
            <w:tcW w:w="1074" w:type="dxa"/>
            <w:noWrap w:val="0"/>
            <w:tcMar>
              <w:top w:w="15" w:type="dxa"/>
              <w:left w:w="15" w:type="dxa"/>
              <w:right w:w="15" w:type="dxa"/>
            </w:tcMar>
            <w:vAlign w:val="center"/>
          </w:tcPr>
          <w:p>
            <w:pPr>
              <w:pStyle w:val="23"/>
              <w:keepNext w:val="0"/>
              <w:keepLines w:val="0"/>
              <w:suppressLineNumbers w:val="0"/>
              <w:spacing w:before="0" w:beforeAutospacing="0" w:after="0" w:afterAutospacing="0" w:line="240" w:lineRule="atLeast"/>
              <w:ind w:left="0" w:right="0"/>
              <w:rPr>
                <w:rFonts w:cs="Times New Roman"/>
              </w:rPr>
            </w:pPr>
            <w:r>
              <w:rPr>
                <w:rFonts w:hint="eastAsia" w:cs="Times New Roman"/>
                <w:lang w:val="en-US" w:eastAsia="zh-CN"/>
              </w:rPr>
              <w:t>11620</w:t>
            </w:r>
          </w:p>
        </w:tc>
      </w:tr>
    </w:tbl>
    <w:p>
      <w:pPr>
        <w:spacing w:line="600" w:lineRule="exact"/>
        <w:rPr>
          <w:rFonts w:hint="eastAsia"/>
        </w:rPr>
      </w:pPr>
      <w:r>
        <w:rPr>
          <w:rFonts w:hint="eastAsia"/>
        </w:rPr>
        <w:br w:type="page"/>
      </w:r>
    </w:p>
    <w:p>
      <w:pPr>
        <w:spacing w:line="600" w:lineRule="exact"/>
        <w:rPr>
          <w:rFonts w:hint="eastAsia"/>
        </w:rPr>
      </w:pPr>
    </w:p>
    <w:p>
      <w:pPr>
        <w:spacing w:line="600" w:lineRule="exact"/>
        <w:rPr>
          <w:rFonts w:hint="eastAsia"/>
        </w:rPr>
      </w:pPr>
    </w:p>
    <w:sectPr>
      <w:footerReference r:id="rId6" w:type="default"/>
      <w:pgSz w:w="11906" w:h="16838"/>
      <w:pgMar w:top="2098" w:right="1474" w:bottom="1984" w:left="1587" w:header="851" w:footer="1474" w:gutter="0"/>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方正小标宋_GBK">
    <w:panose1 w:val="03000509000000000000"/>
    <w:charset w:val="86"/>
    <w:family w:val="auto"/>
    <w:pitch w:val="default"/>
    <w:sig w:usb0="00000001" w:usb1="080E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icrosoft Yi Baiti">
    <w:altName w:val="DejaVu Math TeX Gyre"/>
    <w:panose1 w:val="03000500000000000000"/>
    <w:charset w:val="00"/>
    <w:family w:val="script"/>
    <w:pitch w:val="default"/>
    <w:sig w:usb0="00000000" w:usb1="00000000" w:usb2="00080002" w:usb3="00000000" w:csb0="00000001"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w:pict>
        <v:shape id="_x0000_s4099" o:spid="_x0000_s409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1"/>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ind w:firstLine="560"/>
                  <w:rPr>
                    <w:rFonts w:hint="eastAsia" w:ascii="宋体" w:hAnsi="宋体" w:eastAsia="宋体" w:cs="宋体"/>
                    <w:sz w:val="28"/>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ind w:firstLine="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E3E6A"/>
    <w:multiLevelType w:val="singleLevel"/>
    <w:tmpl w:val="1A0E3E6A"/>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19"/>
  <w:hyphenationZone w:val="360"/>
  <w:drawingGridVerticalSpacing w:val="220"/>
  <w:displayHorizontalDrawingGridEvery w:val="1"/>
  <w:displayVerticalDrawingGridEvery w:val="2"/>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211.169.62:80/seeyon/officeservlet"/>
  </w:docVars>
  <w:rsids>
    <w:rsidRoot w:val="00CE3AB1"/>
    <w:rsid w:val="00000382"/>
    <w:rsid w:val="00003093"/>
    <w:rsid w:val="0000329F"/>
    <w:rsid w:val="00003DBF"/>
    <w:rsid w:val="000048CD"/>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0618"/>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0484"/>
    <w:rsid w:val="00091529"/>
    <w:rsid w:val="00092C9A"/>
    <w:rsid w:val="0009670D"/>
    <w:rsid w:val="00096AB3"/>
    <w:rsid w:val="000A4164"/>
    <w:rsid w:val="000A477B"/>
    <w:rsid w:val="000A6DBC"/>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5999"/>
    <w:rsid w:val="000D6290"/>
    <w:rsid w:val="000D6346"/>
    <w:rsid w:val="000D63AE"/>
    <w:rsid w:val="000D70C0"/>
    <w:rsid w:val="000E0E10"/>
    <w:rsid w:val="000E0E39"/>
    <w:rsid w:val="000E2E8F"/>
    <w:rsid w:val="000E3696"/>
    <w:rsid w:val="000E5323"/>
    <w:rsid w:val="000E534A"/>
    <w:rsid w:val="000E7274"/>
    <w:rsid w:val="000F045B"/>
    <w:rsid w:val="000F2923"/>
    <w:rsid w:val="000F51C7"/>
    <w:rsid w:val="000F54A2"/>
    <w:rsid w:val="000F7730"/>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548C"/>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E85"/>
    <w:rsid w:val="001B5FA3"/>
    <w:rsid w:val="001B6981"/>
    <w:rsid w:val="001B796D"/>
    <w:rsid w:val="001C0AE4"/>
    <w:rsid w:val="001C185B"/>
    <w:rsid w:val="001C3E39"/>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1D82"/>
    <w:rsid w:val="00235010"/>
    <w:rsid w:val="002360B5"/>
    <w:rsid w:val="00236D56"/>
    <w:rsid w:val="00237E75"/>
    <w:rsid w:val="002428FF"/>
    <w:rsid w:val="00242AFD"/>
    <w:rsid w:val="00245352"/>
    <w:rsid w:val="00245F32"/>
    <w:rsid w:val="00247742"/>
    <w:rsid w:val="00250124"/>
    <w:rsid w:val="00251358"/>
    <w:rsid w:val="0025354C"/>
    <w:rsid w:val="002553DA"/>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A7850"/>
    <w:rsid w:val="002B112B"/>
    <w:rsid w:val="002B190E"/>
    <w:rsid w:val="002B2343"/>
    <w:rsid w:val="002B2777"/>
    <w:rsid w:val="002B398B"/>
    <w:rsid w:val="002B7A47"/>
    <w:rsid w:val="002C1113"/>
    <w:rsid w:val="002C293B"/>
    <w:rsid w:val="002C3C5E"/>
    <w:rsid w:val="002C5979"/>
    <w:rsid w:val="002C667B"/>
    <w:rsid w:val="002C79F6"/>
    <w:rsid w:val="002C7A4C"/>
    <w:rsid w:val="002D00D5"/>
    <w:rsid w:val="002D1241"/>
    <w:rsid w:val="002D3AF1"/>
    <w:rsid w:val="002E109E"/>
    <w:rsid w:val="002E1618"/>
    <w:rsid w:val="002E3E9F"/>
    <w:rsid w:val="002E5373"/>
    <w:rsid w:val="002E5E4E"/>
    <w:rsid w:val="002E792F"/>
    <w:rsid w:val="002F07E9"/>
    <w:rsid w:val="002F0EDC"/>
    <w:rsid w:val="002F1C37"/>
    <w:rsid w:val="002F2EA6"/>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1564"/>
    <w:rsid w:val="003422A9"/>
    <w:rsid w:val="00342B1E"/>
    <w:rsid w:val="00344BEE"/>
    <w:rsid w:val="00346317"/>
    <w:rsid w:val="00350DEA"/>
    <w:rsid w:val="003530C5"/>
    <w:rsid w:val="00353FDA"/>
    <w:rsid w:val="00355240"/>
    <w:rsid w:val="003570D8"/>
    <w:rsid w:val="00357D61"/>
    <w:rsid w:val="0036009E"/>
    <w:rsid w:val="00360684"/>
    <w:rsid w:val="00360E8E"/>
    <w:rsid w:val="003611A8"/>
    <w:rsid w:val="0036123E"/>
    <w:rsid w:val="00363066"/>
    <w:rsid w:val="0037062F"/>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70"/>
    <w:rsid w:val="003A29DE"/>
    <w:rsid w:val="003A3CA9"/>
    <w:rsid w:val="003A4168"/>
    <w:rsid w:val="003A5412"/>
    <w:rsid w:val="003A54DB"/>
    <w:rsid w:val="003A6062"/>
    <w:rsid w:val="003A7B14"/>
    <w:rsid w:val="003B3200"/>
    <w:rsid w:val="003B32E3"/>
    <w:rsid w:val="003B3D8A"/>
    <w:rsid w:val="003B42C6"/>
    <w:rsid w:val="003B4FE4"/>
    <w:rsid w:val="003B690F"/>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E7FC4"/>
    <w:rsid w:val="003F0225"/>
    <w:rsid w:val="003F4E5F"/>
    <w:rsid w:val="003F5E8A"/>
    <w:rsid w:val="004002C1"/>
    <w:rsid w:val="00401638"/>
    <w:rsid w:val="00401FD1"/>
    <w:rsid w:val="00406782"/>
    <w:rsid w:val="00407B6E"/>
    <w:rsid w:val="00410789"/>
    <w:rsid w:val="00411D13"/>
    <w:rsid w:val="004125E7"/>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0C2A"/>
    <w:rsid w:val="004711B6"/>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3E81"/>
    <w:rsid w:val="004B419D"/>
    <w:rsid w:val="004B5FFC"/>
    <w:rsid w:val="004B77ED"/>
    <w:rsid w:val="004C1BB7"/>
    <w:rsid w:val="004C2358"/>
    <w:rsid w:val="004C602E"/>
    <w:rsid w:val="004C6C3F"/>
    <w:rsid w:val="004D0001"/>
    <w:rsid w:val="004D05A4"/>
    <w:rsid w:val="004D2B5A"/>
    <w:rsid w:val="004D2FAE"/>
    <w:rsid w:val="004D37D9"/>
    <w:rsid w:val="004D53E2"/>
    <w:rsid w:val="004E045E"/>
    <w:rsid w:val="004E2003"/>
    <w:rsid w:val="004E2EA1"/>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68B5"/>
    <w:rsid w:val="00527BE2"/>
    <w:rsid w:val="00527C67"/>
    <w:rsid w:val="0053488A"/>
    <w:rsid w:val="00534AB0"/>
    <w:rsid w:val="005355AE"/>
    <w:rsid w:val="00541744"/>
    <w:rsid w:val="005438F9"/>
    <w:rsid w:val="00544048"/>
    <w:rsid w:val="0054409A"/>
    <w:rsid w:val="00547913"/>
    <w:rsid w:val="005506D0"/>
    <w:rsid w:val="00551E94"/>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966DF"/>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426C"/>
    <w:rsid w:val="0062542F"/>
    <w:rsid w:val="006265EB"/>
    <w:rsid w:val="0062703C"/>
    <w:rsid w:val="006275AA"/>
    <w:rsid w:val="00631FFA"/>
    <w:rsid w:val="006400EF"/>
    <w:rsid w:val="00640E01"/>
    <w:rsid w:val="00640FC0"/>
    <w:rsid w:val="00641C93"/>
    <w:rsid w:val="00642FD9"/>
    <w:rsid w:val="00643053"/>
    <w:rsid w:val="00643321"/>
    <w:rsid w:val="0064362E"/>
    <w:rsid w:val="0064596F"/>
    <w:rsid w:val="006461FA"/>
    <w:rsid w:val="00646FA8"/>
    <w:rsid w:val="00647779"/>
    <w:rsid w:val="006507D1"/>
    <w:rsid w:val="00652324"/>
    <w:rsid w:val="006526DA"/>
    <w:rsid w:val="00655BFB"/>
    <w:rsid w:val="006565FF"/>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91BE9"/>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0BE3"/>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4968"/>
    <w:rsid w:val="006E644B"/>
    <w:rsid w:val="006E65FF"/>
    <w:rsid w:val="006E75A6"/>
    <w:rsid w:val="006E794F"/>
    <w:rsid w:val="006F0ECC"/>
    <w:rsid w:val="006F1165"/>
    <w:rsid w:val="006F2093"/>
    <w:rsid w:val="006F292D"/>
    <w:rsid w:val="006F3067"/>
    <w:rsid w:val="006F42C2"/>
    <w:rsid w:val="006F5B19"/>
    <w:rsid w:val="00700DB7"/>
    <w:rsid w:val="00701690"/>
    <w:rsid w:val="00701AD8"/>
    <w:rsid w:val="0070368B"/>
    <w:rsid w:val="007069BB"/>
    <w:rsid w:val="00711FF0"/>
    <w:rsid w:val="00712141"/>
    <w:rsid w:val="007123DE"/>
    <w:rsid w:val="007144F4"/>
    <w:rsid w:val="00716263"/>
    <w:rsid w:val="007164B9"/>
    <w:rsid w:val="007164FB"/>
    <w:rsid w:val="00721D23"/>
    <w:rsid w:val="00721FD5"/>
    <w:rsid w:val="00722068"/>
    <w:rsid w:val="0072376D"/>
    <w:rsid w:val="0072529B"/>
    <w:rsid w:val="00725E29"/>
    <w:rsid w:val="007260CA"/>
    <w:rsid w:val="007303B8"/>
    <w:rsid w:val="00733008"/>
    <w:rsid w:val="007332DE"/>
    <w:rsid w:val="00734DBC"/>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2E29"/>
    <w:rsid w:val="0077352A"/>
    <w:rsid w:val="00773980"/>
    <w:rsid w:val="007741CD"/>
    <w:rsid w:val="00774A71"/>
    <w:rsid w:val="00774FF8"/>
    <w:rsid w:val="00775171"/>
    <w:rsid w:val="00775F80"/>
    <w:rsid w:val="00775F81"/>
    <w:rsid w:val="00782A04"/>
    <w:rsid w:val="00783418"/>
    <w:rsid w:val="007835AD"/>
    <w:rsid w:val="00787B1F"/>
    <w:rsid w:val="007906D3"/>
    <w:rsid w:val="007916DF"/>
    <w:rsid w:val="0079195B"/>
    <w:rsid w:val="007919A3"/>
    <w:rsid w:val="00791C06"/>
    <w:rsid w:val="0079556B"/>
    <w:rsid w:val="00795920"/>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160E3"/>
    <w:rsid w:val="008203D2"/>
    <w:rsid w:val="00820AB7"/>
    <w:rsid w:val="0082111A"/>
    <w:rsid w:val="00821D6E"/>
    <w:rsid w:val="00823BB0"/>
    <w:rsid w:val="008263A4"/>
    <w:rsid w:val="00826771"/>
    <w:rsid w:val="00826C16"/>
    <w:rsid w:val="0083061C"/>
    <w:rsid w:val="00830995"/>
    <w:rsid w:val="008310EE"/>
    <w:rsid w:val="008322B8"/>
    <w:rsid w:val="00832878"/>
    <w:rsid w:val="00832B54"/>
    <w:rsid w:val="00832ECA"/>
    <w:rsid w:val="008339C6"/>
    <w:rsid w:val="00835578"/>
    <w:rsid w:val="008361FB"/>
    <w:rsid w:val="00836356"/>
    <w:rsid w:val="00836DD7"/>
    <w:rsid w:val="008374B1"/>
    <w:rsid w:val="00837A0C"/>
    <w:rsid w:val="00840B80"/>
    <w:rsid w:val="00841C7D"/>
    <w:rsid w:val="00842651"/>
    <w:rsid w:val="00843D0D"/>
    <w:rsid w:val="00845950"/>
    <w:rsid w:val="008508D7"/>
    <w:rsid w:val="008517AE"/>
    <w:rsid w:val="00851896"/>
    <w:rsid w:val="0085205A"/>
    <w:rsid w:val="00852839"/>
    <w:rsid w:val="00854165"/>
    <w:rsid w:val="008565DA"/>
    <w:rsid w:val="00856BE7"/>
    <w:rsid w:val="00857730"/>
    <w:rsid w:val="00857C9F"/>
    <w:rsid w:val="00860505"/>
    <w:rsid w:val="00860880"/>
    <w:rsid w:val="00860B75"/>
    <w:rsid w:val="0086288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2278"/>
    <w:rsid w:val="008D36F6"/>
    <w:rsid w:val="008E0C57"/>
    <w:rsid w:val="008E3E59"/>
    <w:rsid w:val="008E403C"/>
    <w:rsid w:val="008E40B9"/>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44F9E"/>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2224"/>
    <w:rsid w:val="009B3011"/>
    <w:rsid w:val="009B3F6C"/>
    <w:rsid w:val="009B4213"/>
    <w:rsid w:val="009B4811"/>
    <w:rsid w:val="009B51B7"/>
    <w:rsid w:val="009B5ABC"/>
    <w:rsid w:val="009B70CE"/>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9D9"/>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290B"/>
    <w:rsid w:val="00A55473"/>
    <w:rsid w:val="00A56F21"/>
    <w:rsid w:val="00A607D0"/>
    <w:rsid w:val="00A60EDC"/>
    <w:rsid w:val="00A613D0"/>
    <w:rsid w:val="00A617B8"/>
    <w:rsid w:val="00A621AE"/>
    <w:rsid w:val="00A62796"/>
    <w:rsid w:val="00A62E0E"/>
    <w:rsid w:val="00A6429A"/>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6A9D"/>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05BE2"/>
    <w:rsid w:val="00B1012C"/>
    <w:rsid w:val="00B14812"/>
    <w:rsid w:val="00B14A3F"/>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5F08"/>
    <w:rsid w:val="00B6690F"/>
    <w:rsid w:val="00B67B40"/>
    <w:rsid w:val="00B67BCA"/>
    <w:rsid w:val="00B72FA8"/>
    <w:rsid w:val="00B7536B"/>
    <w:rsid w:val="00B763A1"/>
    <w:rsid w:val="00B80937"/>
    <w:rsid w:val="00B826EB"/>
    <w:rsid w:val="00B84751"/>
    <w:rsid w:val="00B8494A"/>
    <w:rsid w:val="00B870C1"/>
    <w:rsid w:val="00B8719F"/>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45DC"/>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07F15"/>
    <w:rsid w:val="00C10869"/>
    <w:rsid w:val="00C10C4D"/>
    <w:rsid w:val="00C13F06"/>
    <w:rsid w:val="00C16C53"/>
    <w:rsid w:val="00C20921"/>
    <w:rsid w:val="00C2092F"/>
    <w:rsid w:val="00C219A6"/>
    <w:rsid w:val="00C22CAC"/>
    <w:rsid w:val="00C2344D"/>
    <w:rsid w:val="00C24086"/>
    <w:rsid w:val="00C259E3"/>
    <w:rsid w:val="00C273A5"/>
    <w:rsid w:val="00C31F67"/>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45E4"/>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CF6FB5"/>
    <w:rsid w:val="00D003A7"/>
    <w:rsid w:val="00D00C3C"/>
    <w:rsid w:val="00D01BBC"/>
    <w:rsid w:val="00D04A3B"/>
    <w:rsid w:val="00D0591C"/>
    <w:rsid w:val="00D059C4"/>
    <w:rsid w:val="00D067F1"/>
    <w:rsid w:val="00D06CD4"/>
    <w:rsid w:val="00D10662"/>
    <w:rsid w:val="00D149EA"/>
    <w:rsid w:val="00D17447"/>
    <w:rsid w:val="00D17BCF"/>
    <w:rsid w:val="00D2106F"/>
    <w:rsid w:val="00D236D6"/>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7690A"/>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4331"/>
    <w:rsid w:val="00DB58A0"/>
    <w:rsid w:val="00DB58CB"/>
    <w:rsid w:val="00DB69B6"/>
    <w:rsid w:val="00DB7B08"/>
    <w:rsid w:val="00DB7B65"/>
    <w:rsid w:val="00DC5931"/>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3FCF"/>
    <w:rsid w:val="00DF4C16"/>
    <w:rsid w:val="00DF66B4"/>
    <w:rsid w:val="00DF7206"/>
    <w:rsid w:val="00E024B3"/>
    <w:rsid w:val="00E0443C"/>
    <w:rsid w:val="00E06582"/>
    <w:rsid w:val="00E076A9"/>
    <w:rsid w:val="00E13489"/>
    <w:rsid w:val="00E14E9B"/>
    <w:rsid w:val="00E15DFA"/>
    <w:rsid w:val="00E16CAD"/>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5F51"/>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7FE"/>
    <w:rsid w:val="00ED7A52"/>
    <w:rsid w:val="00EE0584"/>
    <w:rsid w:val="00EE06C4"/>
    <w:rsid w:val="00EE0CF7"/>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6C7"/>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4E8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11A9"/>
    <w:rsid w:val="00FB2049"/>
    <w:rsid w:val="00FB2CCC"/>
    <w:rsid w:val="00FB30B9"/>
    <w:rsid w:val="00FB45D2"/>
    <w:rsid w:val="00FB50D8"/>
    <w:rsid w:val="00FB6857"/>
    <w:rsid w:val="00FB7547"/>
    <w:rsid w:val="00FB7D5B"/>
    <w:rsid w:val="00FC02D5"/>
    <w:rsid w:val="00FC0A73"/>
    <w:rsid w:val="00FC12A9"/>
    <w:rsid w:val="00FC246C"/>
    <w:rsid w:val="00FC2E38"/>
    <w:rsid w:val="00FC3414"/>
    <w:rsid w:val="00FC3917"/>
    <w:rsid w:val="00FC42E0"/>
    <w:rsid w:val="00FC5561"/>
    <w:rsid w:val="00FC5672"/>
    <w:rsid w:val="00FC5835"/>
    <w:rsid w:val="00FC5F2B"/>
    <w:rsid w:val="00FC6196"/>
    <w:rsid w:val="00FC6375"/>
    <w:rsid w:val="00FC68C8"/>
    <w:rsid w:val="00FC6FFC"/>
    <w:rsid w:val="00FC70AE"/>
    <w:rsid w:val="00FC729F"/>
    <w:rsid w:val="00FD0E83"/>
    <w:rsid w:val="00FD18F1"/>
    <w:rsid w:val="00FD1F6A"/>
    <w:rsid w:val="00FD2509"/>
    <w:rsid w:val="00FD25F5"/>
    <w:rsid w:val="00FD2CC0"/>
    <w:rsid w:val="00FD371D"/>
    <w:rsid w:val="00FD3A28"/>
    <w:rsid w:val="00FD423B"/>
    <w:rsid w:val="00FD5F7F"/>
    <w:rsid w:val="00FD67EC"/>
    <w:rsid w:val="00FE0C99"/>
    <w:rsid w:val="00FE0FC6"/>
    <w:rsid w:val="00FE5C93"/>
    <w:rsid w:val="00FE5EF8"/>
    <w:rsid w:val="00FE64EE"/>
    <w:rsid w:val="00FF0D01"/>
    <w:rsid w:val="00FF4347"/>
    <w:rsid w:val="00FF43E0"/>
    <w:rsid w:val="00FF464C"/>
    <w:rsid w:val="00FF4C39"/>
    <w:rsid w:val="010E0D97"/>
    <w:rsid w:val="01430462"/>
    <w:rsid w:val="01556DF3"/>
    <w:rsid w:val="02B95317"/>
    <w:rsid w:val="02CF592F"/>
    <w:rsid w:val="032C416D"/>
    <w:rsid w:val="03F9419D"/>
    <w:rsid w:val="044049AC"/>
    <w:rsid w:val="046B2231"/>
    <w:rsid w:val="055331DA"/>
    <w:rsid w:val="080A1B25"/>
    <w:rsid w:val="08C314AA"/>
    <w:rsid w:val="08E95915"/>
    <w:rsid w:val="08F22BEB"/>
    <w:rsid w:val="091A0FDF"/>
    <w:rsid w:val="09201381"/>
    <w:rsid w:val="09F70192"/>
    <w:rsid w:val="0A262AF8"/>
    <w:rsid w:val="0A3561DA"/>
    <w:rsid w:val="0A3F53FA"/>
    <w:rsid w:val="0A63093F"/>
    <w:rsid w:val="0A66329B"/>
    <w:rsid w:val="0A806E0D"/>
    <w:rsid w:val="0AD1323A"/>
    <w:rsid w:val="0AF80AEA"/>
    <w:rsid w:val="0B335BA6"/>
    <w:rsid w:val="0B564B56"/>
    <w:rsid w:val="0B763DB5"/>
    <w:rsid w:val="0BB126F7"/>
    <w:rsid w:val="0BF70E98"/>
    <w:rsid w:val="0C347F39"/>
    <w:rsid w:val="0CCC7BCB"/>
    <w:rsid w:val="0D350099"/>
    <w:rsid w:val="0D9728FF"/>
    <w:rsid w:val="0DDF3350"/>
    <w:rsid w:val="0E26732C"/>
    <w:rsid w:val="0E4C49C2"/>
    <w:rsid w:val="0E697040"/>
    <w:rsid w:val="0F051AC2"/>
    <w:rsid w:val="0F0910AE"/>
    <w:rsid w:val="0F120D03"/>
    <w:rsid w:val="0F5DAA4F"/>
    <w:rsid w:val="0F956E7E"/>
    <w:rsid w:val="0FBFF657"/>
    <w:rsid w:val="103922FA"/>
    <w:rsid w:val="110C230C"/>
    <w:rsid w:val="123702CF"/>
    <w:rsid w:val="12DC29AB"/>
    <w:rsid w:val="13556500"/>
    <w:rsid w:val="138F5417"/>
    <w:rsid w:val="13E73F00"/>
    <w:rsid w:val="142720BE"/>
    <w:rsid w:val="14731AAB"/>
    <w:rsid w:val="163171CF"/>
    <w:rsid w:val="17953FCC"/>
    <w:rsid w:val="180F1527"/>
    <w:rsid w:val="18480653"/>
    <w:rsid w:val="185023AD"/>
    <w:rsid w:val="187D131C"/>
    <w:rsid w:val="19C40A83"/>
    <w:rsid w:val="1A6F65C3"/>
    <w:rsid w:val="1BDE4A1A"/>
    <w:rsid w:val="1BFA386C"/>
    <w:rsid w:val="1C256E79"/>
    <w:rsid w:val="1C8717E0"/>
    <w:rsid w:val="1D93319A"/>
    <w:rsid w:val="1DAF20C4"/>
    <w:rsid w:val="1DBD0C2E"/>
    <w:rsid w:val="1E645E97"/>
    <w:rsid w:val="1F155286"/>
    <w:rsid w:val="1F42650A"/>
    <w:rsid w:val="1FF20250"/>
    <w:rsid w:val="20122F75"/>
    <w:rsid w:val="207A199A"/>
    <w:rsid w:val="20CF614D"/>
    <w:rsid w:val="211C008C"/>
    <w:rsid w:val="221E0328"/>
    <w:rsid w:val="22E47E63"/>
    <w:rsid w:val="237A1FD0"/>
    <w:rsid w:val="23884F27"/>
    <w:rsid w:val="23F71852"/>
    <w:rsid w:val="240C0086"/>
    <w:rsid w:val="245D2459"/>
    <w:rsid w:val="24766161"/>
    <w:rsid w:val="24A864DB"/>
    <w:rsid w:val="251C2151"/>
    <w:rsid w:val="25EE6A78"/>
    <w:rsid w:val="26723390"/>
    <w:rsid w:val="27116CE9"/>
    <w:rsid w:val="27605BDA"/>
    <w:rsid w:val="279F7585"/>
    <w:rsid w:val="28357FFE"/>
    <w:rsid w:val="28BB3EE4"/>
    <w:rsid w:val="293406BF"/>
    <w:rsid w:val="29472A31"/>
    <w:rsid w:val="295F3533"/>
    <w:rsid w:val="29682FC7"/>
    <w:rsid w:val="2987656B"/>
    <w:rsid w:val="2AB10225"/>
    <w:rsid w:val="2AB17765"/>
    <w:rsid w:val="2B163CDD"/>
    <w:rsid w:val="2B5F15D9"/>
    <w:rsid w:val="2B6F3F25"/>
    <w:rsid w:val="2B7E00C8"/>
    <w:rsid w:val="2B9E2035"/>
    <w:rsid w:val="2C665BA0"/>
    <w:rsid w:val="2CAE3936"/>
    <w:rsid w:val="2CE85942"/>
    <w:rsid w:val="2CEF1928"/>
    <w:rsid w:val="2D641FF9"/>
    <w:rsid w:val="2D7C7E41"/>
    <w:rsid w:val="2D8178F1"/>
    <w:rsid w:val="2E271FE1"/>
    <w:rsid w:val="2F134007"/>
    <w:rsid w:val="2F3F59DB"/>
    <w:rsid w:val="2F43016F"/>
    <w:rsid w:val="2F8074A0"/>
    <w:rsid w:val="2F861D49"/>
    <w:rsid w:val="2F910166"/>
    <w:rsid w:val="306B1124"/>
    <w:rsid w:val="30A6089B"/>
    <w:rsid w:val="30BE52D5"/>
    <w:rsid w:val="31353C77"/>
    <w:rsid w:val="322532EA"/>
    <w:rsid w:val="329E1225"/>
    <w:rsid w:val="331F33A3"/>
    <w:rsid w:val="3325257E"/>
    <w:rsid w:val="33F60F9E"/>
    <w:rsid w:val="346C37F3"/>
    <w:rsid w:val="3493519B"/>
    <w:rsid w:val="34A67A05"/>
    <w:rsid w:val="34F73577"/>
    <w:rsid w:val="353B0E54"/>
    <w:rsid w:val="355A64C1"/>
    <w:rsid w:val="35BB66FA"/>
    <w:rsid w:val="36402B4C"/>
    <w:rsid w:val="36642893"/>
    <w:rsid w:val="369F3E12"/>
    <w:rsid w:val="36EE0B37"/>
    <w:rsid w:val="38A3114D"/>
    <w:rsid w:val="38D62B12"/>
    <w:rsid w:val="39961F70"/>
    <w:rsid w:val="39C53738"/>
    <w:rsid w:val="3A5D51FB"/>
    <w:rsid w:val="3A691E39"/>
    <w:rsid w:val="3B067709"/>
    <w:rsid w:val="3B6655E1"/>
    <w:rsid w:val="3BF61C10"/>
    <w:rsid w:val="3C926C78"/>
    <w:rsid w:val="3D4C6400"/>
    <w:rsid w:val="3DFE019A"/>
    <w:rsid w:val="3E1A23C8"/>
    <w:rsid w:val="3E2A50CA"/>
    <w:rsid w:val="3E4747E5"/>
    <w:rsid w:val="3E495F48"/>
    <w:rsid w:val="3EF146BD"/>
    <w:rsid w:val="3F0F6723"/>
    <w:rsid w:val="3F496C28"/>
    <w:rsid w:val="3F894AB7"/>
    <w:rsid w:val="3F9842D0"/>
    <w:rsid w:val="3FA2360F"/>
    <w:rsid w:val="3FB8273D"/>
    <w:rsid w:val="3FBA30A1"/>
    <w:rsid w:val="4044249B"/>
    <w:rsid w:val="404513BE"/>
    <w:rsid w:val="40997CC3"/>
    <w:rsid w:val="40A52A54"/>
    <w:rsid w:val="40E65859"/>
    <w:rsid w:val="41673155"/>
    <w:rsid w:val="41AF0FF7"/>
    <w:rsid w:val="41B46F9A"/>
    <w:rsid w:val="420E4EE0"/>
    <w:rsid w:val="42E07214"/>
    <w:rsid w:val="43193B37"/>
    <w:rsid w:val="432F350A"/>
    <w:rsid w:val="43713C40"/>
    <w:rsid w:val="43782833"/>
    <w:rsid w:val="446329A9"/>
    <w:rsid w:val="44EB7E94"/>
    <w:rsid w:val="44F25145"/>
    <w:rsid w:val="44FA265B"/>
    <w:rsid w:val="45152595"/>
    <w:rsid w:val="45B071E6"/>
    <w:rsid w:val="469A7468"/>
    <w:rsid w:val="47476369"/>
    <w:rsid w:val="47DE828A"/>
    <w:rsid w:val="48426996"/>
    <w:rsid w:val="48730EF3"/>
    <w:rsid w:val="48B12F9D"/>
    <w:rsid w:val="49072483"/>
    <w:rsid w:val="495D7544"/>
    <w:rsid w:val="49B51532"/>
    <w:rsid w:val="4A9F685D"/>
    <w:rsid w:val="4AA81260"/>
    <w:rsid w:val="4C0C5415"/>
    <w:rsid w:val="4C470B0D"/>
    <w:rsid w:val="4D195CE9"/>
    <w:rsid w:val="4DAC38DA"/>
    <w:rsid w:val="4E7E0843"/>
    <w:rsid w:val="4FEB7337"/>
    <w:rsid w:val="5003403A"/>
    <w:rsid w:val="501539BA"/>
    <w:rsid w:val="50851AB9"/>
    <w:rsid w:val="50911C70"/>
    <w:rsid w:val="51072644"/>
    <w:rsid w:val="51B36174"/>
    <w:rsid w:val="51C54F54"/>
    <w:rsid w:val="53005956"/>
    <w:rsid w:val="530F37C8"/>
    <w:rsid w:val="536C6CE4"/>
    <w:rsid w:val="54017552"/>
    <w:rsid w:val="54600B01"/>
    <w:rsid w:val="54CE0773"/>
    <w:rsid w:val="55075D41"/>
    <w:rsid w:val="55AB065F"/>
    <w:rsid w:val="56633E17"/>
    <w:rsid w:val="56941EF7"/>
    <w:rsid w:val="56951BD2"/>
    <w:rsid w:val="57462AE0"/>
    <w:rsid w:val="58707075"/>
    <w:rsid w:val="59117BEB"/>
    <w:rsid w:val="59602DA0"/>
    <w:rsid w:val="5A133DC7"/>
    <w:rsid w:val="5AAE7939"/>
    <w:rsid w:val="5AC6316E"/>
    <w:rsid w:val="5CB609BF"/>
    <w:rsid w:val="5DAC3A23"/>
    <w:rsid w:val="5DAC5BD8"/>
    <w:rsid w:val="5DF2350E"/>
    <w:rsid w:val="5DFA5B67"/>
    <w:rsid w:val="5E175EA1"/>
    <w:rsid w:val="5EB43AC0"/>
    <w:rsid w:val="5F4D37BD"/>
    <w:rsid w:val="5F8B466B"/>
    <w:rsid w:val="60AC55F6"/>
    <w:rsid w:val="62934137"/>
    <w:rsid w:val="635016A4"/>
    <w:rsid w:val="63792AF1"/>
    <w:rsid w:val="638749FC"/>
    <w:rsid w:val="639F4878"/>
    <w:rsid w:val="64195162"/>
    <w:rsid w:val="64307EA7"/>
    <w:rsid w:val="64D3398D"/>
    <w:rsid w:val="65A56081"/>
    <w:rsid w:val="6674610B"/>
    <w:rsid w:val="66A775D2"/>
    <w:rsid w:val="66AB4E19"/>
    <w:rsid w:val="66BE2F99"/>
    <w:rsid w:val="66F7209F"/>
    <w:rsid w:val="674214C5"/>
    <w:rsid w:val="67633CB1"/>
    <w:rsid w:val="678E1C19"/>
    <w:rsid w:val="67DF54AB"/>
    <w:rsid w:val="68015607"/>
    <w:rsid w:val="681B1212"/>
    <w:rsid w:val="683A31CF"/>
    <w:rsid w:val="68855EE2"/>
    <w:rsid w:val="68F232FB"/>
    <w:rsid w:val="694D1A9B"/>
    <w:rsid w:val="69521AF9"/>
    <w:rsid w:val="69BC6721"/>
    <w:rsid w:val="6A0E55A9"/>
    <w:rsid w:val="6A470DBF"/>
    <w:rsid w:val="6A514F88"/>
    <w:rsid w:val="6A7A552E"/>
    <w:rsid w:val="6AAE3848"/>
    <w:rsid w:val="6AC17B45"/>
    <w:rsid w:val="6ADF08DA"/>
    <w:rsid w:val="6B111ACD"/>
    <w:rsid w:val="6BBF7FA0"/>
    <w:rsid w:val="6C7D48EA"/>
    <w:rsid w:val="6CD26C17"/>
    <w:rsid w:val="6D0C3224"/>
    <w:rsid w:val="6D1538B6"/>
    <w:rsid w:val="6D500922"/>
    <w:rsid w:val="6D817B30"/>
    <w:rsid w:val="6D8375AF"/>
    <w:rsid w:val="6DFB4D6A"/>
    <w:rsid w:val="6EA2130A"/>
    <w:rsid w:val="6F567F08"/>
    <w:rsid w:val="6FC67CB6"/>
    <w:rsid w:val="6FDADF68"/>
    <w:rsid w:val="6FFF4317"/>
    <w:rsid w:val="711516D5"/>
    <w:rsid w:val="7132517E"/>
    <w:rsid w:val="71656EB0"/>
    <w:rsid w:val="71F51424"/>
    <w:rsid w:val="72190779"/>
    <w:rsid w:val="728F271F"/>
    <w:rsid w:val="737C3C5D"/>
    <w:rsid w:val="73F03E9B"/>
    <w:rsid w:val="74DF0B06"/>
    <w:rsid w:val="75066233"/>
    <w:rsid w:val="750970DF"/>
    <w:rsid w:val="75906B6F"/>
    <w:rsid w:val="75BB3A6D"/>
    <w:rsid w:val="75FD7A1D"/>
    <w:rsid w:val="779471D0"/>
    <w:rsid w:val="77FF98C3"/>
    <w:rsid w:val="77FFDEDB"/>
    <w:rsid w:val="78AF2F62"/>
    <w:rsid w:val="794D1237"/>
    <w:rsid w:val="798C2EEC"/>
    <w:rsid w:val="7A100DD5"/>
    <w:rsid w:val="7AB95D83"/>
    <w:rsid w:val="7BD70BF5"/>
    <w:rsid w:val="7C1B2C9B"/>
    <w:rsid w:val="7C5A3ABB"/>
    <w:rsid w:val="7C706C15"/>
    <w:rsid w:val="7CAA3C6D"/>
    <w:rsid w:val="7CAA48B8"/>
    <w:rsid w:val="7CCD58BC"/>
    <w:rsid w:val="7CF7FB9B"/>
    <w:rsid w:val="7CFFA897"/>
    <w:rsid w:val="7DB74F62"/>
    <w:rsid w:val="7DC1722F"/>
    <w:rsid w:val="7DD85637"/>
    <w:rsid w:val="7E7A0389"/>
    <w:rsid w:val="7ED05705"/>
    <w:rsid w:val="7F3CA06A"/>
    <w:rsid w:val="7F3F0CBA"/>
    <w:rsid w:val="7F67DC8F"/>
    <w:rsid w:val="7FAD7246"/>
    <w:rsid w:val="7FD37FA5"/>
    <w:rsid w:val="7FDE1ED5"/>
    <w:rsid w:val="7FE63C2B"/>
    <w:rsid w:val="7FF66DAE"/>
    <w:rsid w:val="7FFF112F"/>
    <w:rsid w:val="89DE67AF"/>
    <w:rsid w:val="9B9B3C83"/>
    <w:rsid w:val="AFFFDC80"/>
    <w:rsid w:val="BFB599E7"/>
    <w:rsid w:val="DD398D42"/>
    <w:rsid w:val="EF3A2DE2"/>
    <w:rsid w:val="F6DD1BE2"/>
    <w:rsid w:val="FAFFFECB"/>
    <w:rsid w:val="FEFDF05A"/>
    <w:rsid w:val="FF75634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方正仿宋_GBK" w:cs="Times New Roman"/>
      <w:kern w:val="2"/>
      <w:sz w:val="32"/>
      <w:szCs w:val="22"/>
      <w:lang w:val="en-US" w:eastAsia="zh-CN" w:bidi="ar-SA"/>
    </w:rPr>
  </w:style>
  <w:style w:type="paragraph" w:styleId="2">
    <w:name w:val="heading 1"/>
    <w:basedOn w:val="1"/>
    <w:next w:val="1"/>
    <w:qFormat/>
    <w:uiPriority w:val="0"/>
    <w:pPr>
      <w:keepNext/>
      <w:keepLines/>
      <w:spacing w:before="340" w:after="330" w:line="576" w:lineRule="auto"/>
      <w:ind w:firstLine="0" w:firstLineChars="0"/>
      <w:jc w:val="center"/>
      <w:outlineLvl w:val="0"/>
    </w:pPr>
    <w:rPr>
      <w:rFonts w:ascii="Times New Roman" w:hAnsi="Times New Roman" w:eastAsia="方正书宋_GBK"/>
      <w:b/>
      <w:kern w:val="44"/>
      <w:sz w:val="44"/>
    </w:rPr>
  </w:style>
  <w:style w:type="paragraph" w:styleId="3">
    <w:name w:val="heading 2"/>
    <w:basedOn w:val="1"/>
    <w:next w:val="1"/>
    <w:qFormat/>
    <w:uiPriority w:val="0"/>
    <w:pPr>
      <w:keepNext/>
      <w:keepLines/>
      <w:adjustRightInd w:val="0"/>
      <w:snapToGrid w:val="0"/>
      <w:spacing w:before="240" w:after="240"/>
      <w:ind w:firstLine="0" w:firstLineChars="0"/>
      <w:jc w:val="center"/>
      <w:outlineLvl w:val="1"/>
    </w:pPr>
    <w:rPr>
      <w:rFonts w:ascii="Arial" w:hAnsi="Arial" w:eastAsia="方正黑体_GBK"/>
    </w:rPr>
  </w:style>
  <w:style w:type="paragraph" w:styleId="4">
    <w:name w:val="heading 3"/>
    <w:basedOn w:val="1"/>
    <w:next w:val="1"/>
    <w:qFormat/>
    <w:uiPriority w:val="0"/>
    <w:pPr>
      <w:keepNext/>
      <w:keepLines/>
      <w:spacing w:before="240" w:after="120"/>
      <w:jc w:val="center"/>
      <w:outlineLvl w:val="2"/>
    </w:pPr>
    <w:rPr>
      <w:rFonts w:eastAsia="方正楷体_GBK"/>
    </w:rPr>
  </w:style>
  <w:style w:type="paragraph" w:styleId="5">
    <w:name w:val="heading 4"/>
    <w:basedOn w:val="3"/>
    <w:next w:val="1"/>
    <w:qFormat/>
    <w:uiPriority w:val="0"/>
    <w:pPr>
      <w:keepNext/>
      <w:keepLines/>
      <w:spacing w:before="280" w:after="290" w:line="376" w:lineRule="auto"/>
      <w:outlineLvl w:val="3"/>
    </w:pPr>
    <w:rPr>
      <w:rFonts w:ascii="Cambria" w:hAnsi="Cambria"/>
      <w:sz w:val="28"/>
      <w:szCs w:val="28"/>
    </w:rPr>
  </w:style>
  <w:style w:type="character" w:default="1" w:styleId="18">
    <w:name w:val="Default Paragraph Font"/>
    <w:qFormat/>
    <w:uiPriority w:val="0"/>
  </w:style>
  <w:style w:type="table" w:default="1" w:styleId="17">
    <w:name w:val="Normal Table"/>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annotation text"/>
    <w:basedOn w:val="1"/>
    <w:link w:val="29"/>
    <w:qFormat/>
    <w:uiPriority w:val="0"/>
    <w:pPr>
      <w:jc w:val="left"/>
    </w:pPr>
  </w:style>
  <w:style w:type="paragraph" w:styleId="7">
    <w:name w:val="Body Text"/>
    <w:basedOn w:val="1"/>
    <w:next w:val="8"/>
    <w:qFormat/>
    <w:uiPriority w:val="0"/>
    <w:pPr>
      <w:spacing w:after="120"/>
    </w:pPr>
  </w:style>
  <w:style w:type="paragraph" w:styleId="8">
    <w:name w:val="toc 5"/>
    <w:basedOn w:val="1"/>
    <w:next w:val="1"/>
    <w:qFormat/>
    <w:uiPriority w:val="0"/>
    <w:pPr>
      <w:ind w:left="1680" w:leftChars="800"/>
    </w:pPr>
    <w:rPr>
      <w:rFonts w:ascii="Calibri" w:hAnsi="Calibri" w:eastAsia="宋体" w:cs="Times New Roman"/>
    </w:rPr>
  </w:style>
  <w:style w:type="paragraph" w:styleId="9">
    <w:name w:val="toc 3"/>
    <w:basedOn w:val="1"/>
    <w:next w:val="1"/>
    <w:qFormat/>
    <w:uiPriority w:val="0"/>
    <w:pPr>
      <w:tabs>
        <w:tab w:val="right" w:leader="dot" w:pos="8296"/>
      </w:tabs>
      <w:spacing w:line="240" w:lineRule="auto"/>
      <w:ind w:left="320" w:leftChars="100"/>
      <w:jc w:val="left"/>
    </w:pPr>
  </w:style>
  <w:style w:type="paragraph" w:styleId="10">
    <w:name w:val="Balloon Text"/>
    <w:basedOn w:val="1"/>
    <w:link w:val="28"/>
    <w:qFormat/>
    <w:uiPriority w:val="0"/>
    <w:rPr>
      <w:sz w:val="18"/>
      <w:szCs w:val="18"/>
    </w:rPr>
  </w:style>
  <w:style w:type="paragraph" w:styleId="11">
    <w:name w:val="footer"/>
    <w:basedOn w:val="1"/>
    <w:link w:val="32"/>
    <w:qFormat/>
    <w:uiPriority w:val="0"/>
    <w:pPr>
      <w:tabs>
        <w:tab w:val="center" w:pos="4153"/>
        <w:tab w:val="right" w:pos="8306"/>
      </w:tabs>
      <w:snapToGrid w:val="0"/>
      <w:jc w:val="left"/>
    </w:pPr>
    <w:rPr>
      <w:sz w:val="18"/>
      <w:szCs w:val="18"/>
    </w:rPr>
  </w:style>
  <w:style w:type="paragraph" w:styleId="12">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toc 2"/>
    <w:basedOn w:val="1"/>
    <w:next w:val="1"/>
    <w:qFormat/>
    <w:uiPriority w:val="0"/>
    <w:pPr>
      <w:tabs>
        <w:tab w:val="right" w:leader="dot" w:pos="8296"/>
      </w:tabs>
      <w:spacing w:line="264" w:lineRule="auto"/>
    </w:pPr>
    <w:rPr>
      <w:rFonts w:ascii="方正小标宋_GBK" w:hAnsi="黑体" w:eastAsia="方正小标宋_GBK" w:cs="宋体"/>
      <w:kern w:val="32"/>
    </w:rPr>
  </w:style>
  <w:style w:type="paragraph" w:styleId="15">
    <w:name w:val="Normal (Web)"/>
    <w:basedOn w:val="1"/>
    <w:qFormat/>
    <w:uiPriority w:val="0"/>
    <w:pPr>
      <w:spacing w:line="263" w:lineRule="atLeast"/>
      <w:jc w:val="left"/>
    </w:pPr>
    <w:rPr>
      <w:rFonts w:ascii="等线" w:hAnsi="等线" w:eastAsia="等线"/>
      <w:kern w:val="0"/>
      <w:sz w:val="24"/>
    </w:rPr>
  </w:style>
  <w:style w:type="paragraph" w:styleId="16">
    <w:name w:val="annotation subject"/>
    <w:basedOn w:val="6"/>
    <w:next w:val="6"/>
    <w:link w:val="31"/>
    <w:qFormat/>
    <w:uiPriority w:val="0"/>
    <w:rPr>
      <w:b/>
      <w:bCs/>
    </w:rPr>
  </w:style>
  <w:style w:type="character" w:styleId="19">
    <w:name w:val="page number"/>
    <w:basedOn w:val="18"/>
    <w:qFormat/>
    <w:uiPriority w:val="0"/>
    <w:rPr>
      <w:rFonts w:ascii="Times New Roman" w:hAnsi="Times New Roman" w:eastAsia="宋体" w:cs="Times New Roman"/>
    </w:rPr>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paragraph" w:customStyle="1" w:styleId="22">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23">
    <w:name w:val="消防表格"/>
    <w:basedOn w:val="1"/>
    <w:qFormat/>
    <w:uiPriority w:val="0"/>
    <w:pPr>
      <w:spacing w:line="0" w:lineRule="atLeast"/>
      <w:ind w:firstLine="0" w:firstLineChars="0"/>
      <w:jc w:val="center"/>
    </w:pPr>
    <w:rPr>
      <w:rFonts w:ascii="Calibri" w:hAnsi="Calibri"/>
      <w:sz w:val="21"/>
    </w:rPr>
  </w:style>
  <w:style w:type="paragraph" w:customStyle="1" w:styleId="24">
    <w:name w:val="样式-表格"/>
    <w:basedOn w:val="15"/>
    <w:qFormat/>
    <w:uiPriority w:val="0"/>
    <w:pPr>
      <w:spacing w:line="240" w:lineRule="auto"/>
      <w:ind w:firstLine="0" w:firstLineChars="0"/>
      <w:jc w:val="center"/>
    </w:pPr>
    <w:rPr>
      <w:rFonts w:ascii="等线" w:hAnsi="等线" w:eastAsia="方正书宋_GBK"/>
      <w:sz w:val="21"/>
    </w:rPr>
  </w:style>
  <w:style w:type="character" w:customStyle="1" w:styleId="25">
    <w:name w:val="页眉 Char"/>
    <w:link w:val="12"/>
    <w:qFormat/>
    <w:uiPriority w:val="0"/>
    <w:rPr>
      <w:rFonts w:eastAsia="方正仿宋_GBK"/>
      <w:kern w:val="2"/>
      <w:sz w:val="18"/>
      <w:szCs w:val="18"/>
    </w:rPr>
  </w:style>
  <w:style w:type="character" w:customStyle="1" w:styleId="26">
    <w:name w:val="NormalCharacter"/>
    <w:semiHidden/>
    <w:qFormat/>
    <w:uiPriority w:val="0"/>
    <w:rPr>
      <w:rFonts w:eastAsia="方正仿宋_GBK"/>
      <w:kern w:val="2"/>
      <w:sz w:val="32"/>
      <w:szCs w:val="22"/>
      <w:lang w:val="en-US" w:eastAsia="zh-CN" w:bidi="ar-SA"/>
    </w:rPr>
  </w:style>
  <w:style w:type="character" w:customStyle="1" w:styleId="27">
    <w:name w:val="font01"/>
    <w:qFormat/>
    <w:uiPriority w:val="0"/>
    <w:rPr>
      <w:rFonts w:hint="default" w:ascii="方正仿宋_GBK" w:hAnsi="方正仿宋_GBK" w:eastAsia="方正仿宋_GBK" w:cs="方正仿宋_GBK"/>
      <w:color w:val="000000"/>
      <w:sz w:val="21"/>
      <w:szCs w:val="21"/>
      <w:u w:val="none"/>
    </w:rPr>
  </w:style>
  <w:style w:type="character" w:customStyle="1" w:styleId="28">
    <w:name w:val="批注框文本 Char"/>
    <w:link w:val="10"/>
    <w:qFormat/>
    <w:uiPriority w:val="0"/>
    <w:rPr>
      <w:rFonts w:eastAsia="方正仿宋_GBK"/>
      <w:kern w:val="2"/>
      <w:sz w:val="18"/>
      <w:szCs w:val="18"/>
    </w:rPr>
  </w:style>
  <w:style w:type="character" w:customStyle="1" w:styleId="29">
    <w:name w:val="批注文字 Char"/>
    <w:link w:val="6"/>
    <w:qFormat/>
    <w:uiPriority w:val="0"/>
    <w:rPr>
      <w:rFonts w:eastAsia="方正仿宋_GBK"/>
      <w:kern w:val="2"/>
      <w:sz w:val="32"/>
      <w:szCs w:val="22"/>
    </w:rPr>
  </w:style>
  <w:style w:type="character" w:customStyle="1" w:styleId="30">
    <w:name w:val="UserStyle_0"/>
    <w:basedOn w:val="26"/>
    <w:qFormat/>
    <w:uiPriority w:val="0"/>
  </w:style>
  <w:style w:type="character" w:customStyle="1" w:styleId="31">
    <w:name w:val="批注主题 Char"/>
    <w:link w:val="16"/>
    <w:qFormat/>
    <w:uiPriority w:val="0"/>
    <w:rPr>
      <w:rFonts w:eastAsia="方正仿宋_GBK"/>
      <w:b/>
      <w:bCs/>
      <w:kern w:val="2"/>
      <w:sz w:val="32"/>
      <w:szCs w:val="22"/>
    </w:rPr>
  </w:style>
  <w:style w:type="character" w:customStyle="1" w:styleId="32">
    <w:name w:val="页脚 Char"/>
    <w:link w:val="11"/>
    <w:qFormat/>
    <w:uiPriority w:val="0"/>
    <w:rPr>
      <w:rFonts w:eastAsia="方正仿宋_GBK"/>
      <w:kern w:val="2"/>
      <w:sz w:val="18"/>
      <w:szCs w:val="18"/>
    </w:rPr>
  </w:style>
  <w:style w:type="character" w:customStyle="1" w:styleId="33">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2127</Words>
  <Characters>12126</Characters>
  <Lines>101</Lines>
  <Paragraphs>28</Paragraphs>
  <TotalTime>2</TotalTime>
  <ScaleCrop>false</ScaleCrop>
  <LinksUpToDate>false</LinksUpToDate>
  <CharactersWithSpaces>14225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2021-04-19T11:05:00Z</dcterms:created>
  <dc:creator>Administrator</dc:creator>
  <cp:lastModifiedBy> </cp:lastModifiedBy>
  <cp:lastPrinted>2022-02-24T15:30:00Z</cp:lastPrinted>
  <dcterms:modified xsi:type="dcterms:W3CDTF">2024-03-11T17:22:37Z</dcterms:modified>
  <dc:title>重庆市永川区人民政府办公室</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C3F0025D0C9D42A7AE547C659819E5DF</vt:lpwstr>
  </property>
</Properties>
</file>