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Lines="0" w:line="276" w:lineRule="auto"/>
        <w:rPr>
          <w:szCs w:val="32"/>
        </w:rPr>
      </w:pPr>
      <w:bookmarkStart w:id="123" w:name="_GoBack"/>
      <w:bookmarkEnd w:id="123"/>
      <w:r>
        <w:rPr>
          <w:rFonts w:hint="eastAsia"/>
          <w:szCs w:val="32"/>
        </w:rPr>
        <w:pict>
          <v:line id="_x0000_s2050" o:spid="_x0000_s2050" o:spt="20" style="position:absolute;left:0pt;margin-top:241pt;height:0pt;width:442.2pt;mso-position-horizontal:center;mso-position-horizontal-relative:page;mso-position-vertical-relative:margin;z-index:251659264;mso-width-relative:page;mso-height-relative:page;" filled="f" stroked="t" coordsize="21600,21600">
            <v:path arrowok="t"/>
            <v:fill on="f" focussize="0,0"/>
            <v:stroke weight="1.75pt" color="#FF0000"/>
            <v:imagedata o:title=""/>
            <o:lock v:ext="edit"/>
          </v:line>
        </w:pict>
      </w:r>
      <w:r>
        <w:rPr>
          <w:rFonts w:hint="eastAsia"/>
          <w:szCs w:val="32"/>
        </w:rPr>
        <w:pict>
          <v:shape id="_x0000_s2051" o:spid="_x0000_s2051" o:spt="136" type="#_x0000_t136" style="position:absolute;left:0pt;margin-top:99.25pt;height:53.85pt;width:411pt;mso-position-horizontal:center;mso-position-horizontal-relative:page;mso-position-vertical-relative:margin;z-index:251658240;mso-width-relative:page;mso-height-relative:page;" fillcolor="#FF0000" filled="t" stroked="f" coordsize="21600,21600">
            <v:path/>
            <v:fill on="t" focussize="0,0"/>
            <v:stroke on="f" color="#FF0000"/>
            <v:imagedata o:title=""/>
            <o:lock v:ext="edit"/>
            <v:textpath on="t" fitshape="t" fitpath="t" trim="t" xscale="f" string="重庆市永川区人民政府办公室文件" style="font-family:方正小标宋_GBK;font-size:36pt;font-weight:bold;v-rotate-letters:f;v-same-letter-heights:f;v-text-align:center;"/>
          </v:shape>
        </w:pict>
      </w:r>
    </w:p>
    <w:p>
      <w:pPr>
        <w:snapToGrid w:val="0"/>
        <w:spacing w:afterLines="0" w:line="276" w:lineRule="auto"/>
        <w:rPr>
          <w:szCs w:val="32"/>
        </w:rPr>
      </w:pPr>
    </w:p>
    <w:p>
      <w:pPr>
        <w:snapToGrid w:val="0"/>
        <w:spacing w:afterLines="0" w:line="276" w:lineRule="auto"/>
        <w:rPr>
          <w:szCs w:val="32"/>
        </w:rPr>
      </w:pPr>
    </w:p>
    <w:p>
      <w:pPr>
        <w:snapToGrid w:val="0"/>
        <w:spacing w:afterLines="0" w:line="276" w:lineRule="auto"/>
        <w:rPr>
          <w:rFonts w:hint="eastAsia"/>
          <w:szCs w:val="32"/>
        </w:rPr>
      </w:pPr>
    </w:p>
    <w:p>
      <w:pPr>
        <w:snapToGrid w:val="0"/>
        <w:spacing w:afterLines="0" w:line="276" w:lineRule="auto"/>
        <w:rPr>
          <w:rFonts w:hint="eastAsia"/>
          <w:szCs w:val="32"/>
        </w:rPr>
      </w:pPr>
    </w:p>
    <w:p>
      <w:pPr>
        <w:snapToGrid w:val="0"/>
        <w:spacing w:afterLines="0" w:line="276" w:lineRule="auto"/>
        <w:rPr>
          <w:rFonts w:hint="eastAsia"/>
          <w:szCs w:val="32"/>
        </w:rPr>
      </w:pPr>
    </w:p>
    <w:p>
      <w:pPr>
        <w:snapToGrid w:val="0"/>
        <w:spacing w:afterLines="0" w:line="276" w:lineRule="auto"/>
        <w:rPr>
          <w:rFonts w:hint="eastAsia"/>
          <w:szCs w:val="32"/>
        </w:rPr>
      </w:pPr>
    </w:p>
    <w:p>
      <w:pPr>
        <w:snapToGrid w:val="0"/>
        <w:spacing w:afterLines="0" w:line="276" w:lineRule="auto"/>
        <w:rPr>
          <w:szCs w:val="32"/>
        </w:rPr>
      </w:pPr>
    </w:p>
    <w:p>
      <w:pPr>
        <w:snapToGrid w:val="0"/>
        <w:spacing w:afterLines="0" w:line="276" w:lineRule="auto"/>
        <w:rPr>
          <w:szCs w:val="32"/>
        </w:rPr>
      </w:pPr>
    </w:p>
    <w:p>
      <w:pPr>
        <w:snapToGrid w:val="0"/>
        <w:spacing w:afterLines="0" w:line="276" w:lineRule="auto"/>
        <w:rPr>
          <w:szCs w:val="32"/>
        </w:rPr>
      </w:pPr>
    </w:p>
    <w:p>
      <w:pPr>
        <w:pageBreakBefore w:val="0"/>
        <w:kinsoku/>
        <w:wordWrap/>
        <w:overflowPunct/>
        <w:topLinePunct w:val="0"/>
        <w:bidi w:val="0"/>
        <w:snapToGrid w:val="0"/>
        <w:spacing w:afterLines="0" w:line="276" w:lineRule="auto"/>
        <w:ind w:left="0" w:leftChars="0" w:firstLine="0" w:firstLineChars="0"/>
        <w:jc w:val="center"/>
        <w:textAlignment w:val="auto"/>
        <w:rPr>
          <w:rFonts w:hint="eastAsia" w:ascii="方正仿宋_GBK" w:hAnsi="方正仿宋_GBK" w:cs="方正仿宋_GBK"/>
          <w:color w:val="000000"/>
          <w:kern w:val="0"/>
          <w:sz w:val="32"/>
          <w:szCs w:val="32"/>
          <w:lang w:bidi="ar"/>
        </w:rPr>
      </w:pPr>
      <w:r>
        <w:rPr>
          <w:rFonts w:hint="eastAsia" w:ascii="方正仿宋_GBK" w:hAnsi="方正仿宋_GBK" w:cs="方正仿宋_GBK"/>
          <w:color w:val="000000"/>
          <w:kern w:val="0"/>
          <w:sz w:val="32"/>
          <w:szCs w:val="32"/>
          <w:lang w:bidi="ar"/>
        </w:rPr>
        <w:t>永川府办发〔2022〕17号</w:t>
      </w:r>
    </w:p>
    <w:p>
      <w:pPr>
        <w:pStyle w:val="18"/>
        <w:pageBreakBefore w:val="0"/>
        <w:widowControl w:val="0"/>
        <w:kinsoku/>
        <w:wordWrap/>
        <w:overflowPunct/>
        <w:topLinePunct w:val="0"/>
        <w:bidi w:val="0"/>
        <w:snapToGrid w:val="0"/>
        <w:spacing w:afterLines="0" w:line="276" w:lineRule="auto"/>
        <w:ind w:left="0" w:leftChars="0"/>
        <w:jc w:val="both"/>
        <w:rPr>
          <w:rFonts w:hint="eastAsia"/>
          <w:color w:val="000000"/>
          <w:sz w:val="32"/>
          <w:szCs w:val="32"/>
        </w:rPr>
      </w:pPr>
    </w:p>
    <w:p>
      <w:pPr>
        <w:pStyle w:val="18"/>
        <w:pageBreakBefore w:val="0"/>
        <w:widowControl w:val="0"/>
        <w:kinsoku/>
        <w:wordWrap/>
        <w:overflowPunct/>
        <w:topLinePunct w:val="0"/>
        <w:bidi w:val="0"/>
        <w:snapToGrid w:val="0"/>
        <w:spacing w:afterLines="0" w:line="276" w:lineRule="auto"/>
        <w:ind w:left="0" w:leftChars="0"/>
        <w:jc w:val="both"/>
        <w:rPr>
          <w:rFonts w:hint="eastAsia"/>
          <w:color w:val="000000"/>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afterLines="0" w:line="240" w:lineRule="auto"/>
        <w:ind w:left="0" w:leftChars="0"/>
        <w:jc w:val="center"/>
        <w:textAlignment w:val="auto"/>
        <w:rPr>
          <w:rFonts w:hint="eastAsia" w:ascii="方正小标宋_GBK" w:hAnsi="方正小标宋_GBK" w:eastAsia="方正小标宋_GBK" w:cs="方正小标宋_GBK"/>
          <w:color w:val="000000"/>
          <w:kern w:val="0"/>
          <w:sz w:val="43"/>
          <w:szCs w:val="43"/>
          <w:lang w:val="en-US" w:eastAsia="zh-CN" w:bidi="ar"/>
        </w:rPr>
      </w:pPr>
      <w:r>
        <w:rPr>
          <w:rFonts w:ascii="方正小标宋_GBK" w:hAnsi="方正小标宋_GBK" w:eastAsia="方正小标宋_GBK" w:cs="方正小标宋_GBK"/>
          <w:color w:val="000000"/>
          <w:kern w:val="0"/>
          <w:sz w:val="43"/>
          <w:szCs w:val="43"/>
          <w:lang w:val="en-US" w:eastAsia="zh-CN" w:bidi="ar"/>
        </w:rPr>
        <w:t>重庆市永川区人民政府办公室</w:t>
      </w:r>
      <w:r>
        <w:rPr>
          <w:rFonts w:hint="eastAsia" w:ascii="方正小标宋_GBK" w:hAnsi="方正小标宋_GBK" w:eastAsia="方正小标宋_GBK" w:cs="方正小标宋_GBK"/>
          <w:color w:val="000000"/>
          <w:kern w:val="0"/>
          <w:sz w:val="43"/>
          <w:szCs w:val="43"/>
          <w:lang w:val="en-US" w:eastAsia="zh-CN" w:bidi="ar"/>
        </w:rPr>
        <w:t>关于</w:t>
      </w:r>
    </w:p>
    <w:p>
      <w:pPr>
        <w:keepNext w:val="0"/>
        <w:keepLines w:val="0"/>
        <w:pageBreakBefore w:val="0"/>
        <w:widowControl w:val="0"/>
        <w:suppressLineNumbers w:val="0"/>
        <w:kinsoku/>
        <w:wordWrap/>
        <w:overflowPunct/>
        <w:topLinePunct w:val="0"/>
        <w:autoSpaceDE/>
        <w:autoSpaceDN/>
        <w:bidi w:val="0"/>
        <w:adjustRightInd/>
        <w:snapToGrid w:val="0"/>
        <w:spacing w:afterLines="0" w:line="240" w:lineRule="auto"/>
        <w:ind w:left="0" w:leftChars="0"/>
        <w:jc w:val="center"/>
        <w:textAlignment w:val="auto"/>
        <w:rPr>
          <w:rFonts w:hint="eastAsia" w:ascii="方正小标宋_GBK" w:hAnsi="方正小标宋_GBK" w:eastAsia="方正小标宋_GBK" w:cs="方正小标宋_GBK"/>
          <w:color w:val="000000"/>
          <w:kern w:val="0"/>
          <w:sz w:val="43"/>
          <w:szCs w:val="43"/>
          <w:lang w:val="en-US" w:eastAsia="zh-CN" w:bidi="ar"/>
        </w:rPr>
      </w:pPr>
      <w:r>
        <w:rPr>
          <w:rFonts w:hint="eastAsia" w:ascii="方正小标宋_GBK" w:hAnsi="方正小标宋_GBK" w:eastAsia="方正小标宋_GBK" w:cs="方正小标宋_GBK"/>
          <w:color w:val="000000"/>
          <w:kern w:val="0"/>
          <w:sz w:val="43"/>
          <w:szCs w:val="43"/>
          <w:lang w:val="en-US" w:eastAsia="zh-CN" w:bidi="ar"/>
        </w:rPr>
        <w:t>印发永川区卫生健康发展</w:t>
      </w:r>
      <w:r>
        <w:rPr>
          <w:rFonts w:hint="default" w:ascii="方正小标宋_GBK" w:hAnsi="方正小标宋_GBK" w:eastAsia="方正小标宋_GBK" w:cs="方正小标宋_GBK"/>
          <w:color w:val="000000"/>
          <w:kern w:val="0"/>
          <w:sz w:val="43"/>
          <w:szCs w:val="43"/>
          <w:lang w:val="en" w:eastAsia="zh-CN" w:bidi="ar"/>
        </w:rPr>
        <w:t>“</w:t>
      </w:r>
      <w:r>
        <w:rPr>
          <w:rFonts w:hint="eastAsia" w:ascii="方正小标宋_GBK" w:hAnsi="方正小标宋_GBK" w:eastAsia="方正小标宋_GBK" w:cs="方正小标宋_GBK"/>
          <w:color w:val="000000"/>
          <w:kern w:val="0"/>
          <w:sz w:val="43"/>
          <w:szCs w:val="43"/>
          <w:lang w:val="en-US" w:eastAsia="zh-CN" w:bidi="ar"/>
        </w:rPr>
        <w:t>十四五”规划的通知</w:t>
      </w:r>
    </w:p>
    <w:p>
      <w:pPr>
        <w:pageBreakBefore w:val="0"/>
        <w:kinsoku/>
        <w:wordWrap/>
        <w:overflowPunct/>
        <w:topLinePunct w:val="0"/>
        <w:bidi w:val="0"/>
        <w:snapToGrid w:val="0"/>
        <w:spacing w:after="0" w:afterLines="0" w:line="276" w:lineRule="auto"/>
        <w:ind w:left="0" w:leftChars="0"/>
        <w:rPr>
          <w:rFonts w:ascii="方正仿宋_GBK" w:hAnsi="方正仿宋_GBK" w:cs="方正仿宋_GBK"/>
          <w:color w:val="000000"/>
          <w:kern w:val="0"/>
          <w:sz w:val="32"/>
          <w:szCs w:val="32"/>
          <w:lang w:bidi="ar"/>
        </w:rPr>
      </w:pPr>
    </w:p>
    <w:p>
      <w:pPr>
        <w:keepNext w:val="0"/>
        <w:keepLines w:val="0"/>
        <w:pageBreakBefore w:val="0"/>
        <w:widowControl w:val="0"/>
        <w:suppressLineNumbers w:val="0"/>
        <w:kinsoku/>
        <w:wordWrap/>
        <w:overflowPunct/>
        <w:topLinePunct w:val="0"/>
        <w:autoSpaceDE/>
        <w:autoSpaceDN/>
        <w:bidi w:val="0"/>
        <w:adjustRightInd/>
        <w:snapToGrid w:val="0"/>
        <w:spacing w:afterLines="0" w:line="276" w:lineRule="auto"/>
        <w:ind w:left="0" w:leftChars="0"/>
        <w:jc w:val="both"/>
        <w:textAlignment w:val="auto"/>
        <w:rPr>
          <w:rFonts w:hint="eastAsia" w:ascii="方正仿宋_GBK" w:hAnsi="方正仿宋_GBK" w:cs="方正仿宋_GBK"/>
          <w:szCs w:val="32"/>
        </w:rPr>
      </w:pPr>
      <w:r>
        <w:rPr>
          <w:rFonts w:ascii="方正仿宋_GBK" w:hAnsi="方正仿宋_GBK" w:eastAsia="方正仿宋_GBK" w:cs="方正仿宋_GBK"/>
          <w:color w:val="000000"/>
          <w:kern w:val="0"/>
          <w:sz w:val="32"/>
          <w:szCs w:val="32"/>
          <w:lang w:val="en-US" w:eastAsia="zh-CN" w:bidi="ar"/>
        </w:rPr>
        <w:t>各镇人民政府、街道办事处，区政府有关部门，有关单位：</w:t>
      </w:r>
    </w:p>
    <w:p>
      <w:pPr>
        <w:keepNext w:val="0"/>
        <w:keepLines w:val="0"/>
        <w:pageBreakBefore w:val="0"/>
        <w:widowControl w:val="0"/>
        <w:suppressLineNumbers w:val="0"/>
        <w:kinsoku/>
        <w:wordWrap/>
        <w:overflowPunct/>
        <w:topLinePunct w:val="0"/>
        <w:autoSpaceDE/>
        <w:autoSpaceDN/>
        <w:bidi w:val="0"/>
        <w:adjustRightInd/>
        <w:snapToGrid w:val="0"/>
        <w:spacing w:afterLines="0" w:line="276" w:lineRule="auto"/>
        <w:ind w:left="0" w:leftChars="0" w:firstLine="640" w:firstLineChars="200"/>
        <w:jc w:val="both"/>
        <w:textAlignment w:val="auto"/>
        <w:rPr>
          <w:rFonts w:hint="eastAsia" w:ascii="方正仿宋_GBK" w:hAnsi="方正仿宋_GBK" w:cs="方正仿宋_GBK"/>
          <w:szCs w:val="32"/>
        </w:rPr>
      </w:pPr>
      <w:r>
        <w:rPr>
          <w:rFonts w:hint="eastAsia" w:ascii="方正仿宋_GBK" w:hAnsi="方正仿宋_GBK" w:eastAsia="方正仿宋_GBK" w:cs="方正仿宋_GBK"/>
          <w:color w:val="000000"/>
          <w:kern w:val="0"/>
          <w:sz w:val="32"/>
          <w:szCs w:val="32"/>
          <w:lang w:val="en-US" w:eastAsia="zh-CN" w:bidi="ar"/>
        </w:rPr>
        <w:t>《永川区卫生健康发展</w:t>
      </w:r>
      <w:r>
        <w:rPr>
          <w:rFonts w:hint="default" w:ascii="方正仿宋_GBK" w:hAnsi="方正仿宋_GBK" w:cs="方正仿宋_GBK"/>
          <w:color w:val="000000"/>
          <w:kern w:val="0"/>
          <w:sz w:val="32"/>
          <w:szCs w:val="32"/>
          <w:lang w:val="en" w:eastAsia="zh-CN" w:bidi="ar"/>
        </w:rPr>
        <w:t>“</w:t>
      </w:r>
      <w:r>
        <w:rPr>
          <w:rFonts w:hint="eastAsia" w:ascii="方正仿宋_GBK" w:hAnsi="方正仿宋_GBK" w:eastAsia="方正仿宋_GBK" w:cs="方正仿宋_GBK"/>
          <w:color w:val="000000"/>
          <w:kern w:val="0"/>
          <w:sz w:val="32"/>
          <w:szCs w:val="32"/>
          <w:lang w:val="en-US" w:eastAsia="zh-CN" w:bidi="ar"/>
        </w:rPr>
        <w:t>十四五”规划》已经区政府同意，现印发给你们，请认真贯彻落实。</w:t>
      </w:r>
    </w:p>
    <w:p>
      <w:pPr>
        <w:keepNext w:val="0"/>
        <w:keepLines w:val="0"/>
        <w:pageBreakBefore w:val="0"/>
        <w:widowControl w:val="0"/>
        <w:suppressLineNumbers w:val="0"/>
        <w:kinsoku/>
        <w:wordWrap/>
        <w:overflowPunct/>
        <w:topLinePunct w:val="0"/>
        <w:autoSpaceDE/>
        <w:autoSpaceDN/>
        <w:bidi w:val="0"/>
        <w:adjustRightInd/>
        <w:snapToGrid w:val="0"/>
        <w:spacing w:afterLines="0" w:line="276" w:lineRule="auto"/>
        <w:ind w:left="0" w:leftChars="0"/>
        <w:jc w:val="both"/>
        <w:textAlignment w:val="auto"/>
        <w:rPr>
          <w:rFonts w:hint="eastAsia" w:ascii="方正仿宋_GBK" w:hAnsi="方正仿宋_GBK" w:eastAsia="方正仿宋_GBK" w:cs="方正仿宋_GBK"/>
          <w:color w:val="000000"/>
          <w:kern w:val="0"/>
          <w:sz w:val="32"/>
          <w:szCs w:val="32"/>
          <w:lang w:val="en-US" w:eastAsia="zh-CN" w:bidi="ar"/>
        </w:rPr>
      </w:pPr>
    </w:p>
    <w:p>
      <w:pPr>
        <w:pStyle w:val="4"/>
        <w:pageBreakBefore w:val="0"/>
        <w:kinsoku/>
        <w:wordWrap/>
        <w:overflowPunct/>
        <w:topLinePunct w:val="0"/>
        <w:bidi w:val="0"/>
        <w:snapToGrid w:val="0"/>
        <w:spacing w:after="0" w:afterLines="0" w:line="276" w:lineRule="auto"/>
        <w:ind w:left="0" w:leftChars="0"/>
        <w:rPr>
          <w:rFonts w:hint="eastAsia" w:ascii="方正仿宋_GBK" w:hAnsi="方正仿宋_GBK" w:cs="方正仿宋_GBK"/>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val="0"/>
        <w:spacing w:afterLines="0" w:line="276" w:lineRule="auto"/>
        <w:ind w:left="0" w:leftChars="0" w:firstLine="4160" w:firstLineChars="1300"/>
        <w:jc w:val="both"/>
        <w:textAlignment w:val="auto"/>
        <w:rPr>
          <w:rFonts w:hint="eastAsia" w:ascii="方正仿宋_GBK" w:hAnsi="方正仿宋_GBK" w:cs="方正仿宋_GBK"/>
          <w:szCs w:val="32"/>
        </w:rPr>
      </w:pPr>
      <w:r>
        <w:rPr>
          <w:rFonts w:hint="eastAsia" w:ascii="方正仿宋_GBK" w:hAnsi="方正仿宋_GBK" w:eastAsia="方正仿宋_GBK" w:cs="方正仿宋_GBK"/>
          <w:color w:val="000000"/>
          <w:kern w:val="0"/>
          <w:sz w:val="32"/>
          <w:szCs w:val="32"/>
          <w:lang w:val="en-US" w:eastAsia="zh-CN" w:bidi="ar"/>
        </w:rPr>
        <w:t xml:space="preserve">重庆市永川区人民政府办公室 </w:t>
      </w:r>
    </w:p>
    <w:p>
      <w:pPr>
        <w:keepNext w:val="0"/>
        <w:keepLines w:val="0"/>
        <w:pageBreakBefore w:val="0"/>
        <w:widowControl w:val="0"/>
        <w:suppressLineNumbers w:val="0"/>
        <w:kinsoku/>
        <w:wordWrap/>
        <w:overflowPunct/>
        <w:topLinePunct w:val="0"/>
        <w:autoSpaceDE/>
        <w:autoSpaceDN/>
        <w:bidi w:val="0"/>
        <w:adjustRightInd/>
        <w:snapToGrid w:val="0"/>
        <w:spacing w:afterLines="0" w:line="276" w:lineRule="auto"/>
        <w:ind w:left="0" w:leftChars="0" w:firstLine="5120" w:firstLineChars="1600"/>
        <w:jc w:val="both"/>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2022年</w:t>
      </w:r>
      <w:r>
        <w:rPr>
          <w:rFonts w:hint="default" w:ascii="方正仿宋_GBK" w:hAnsi="方正仿宋_GBK" w:cs="方正仿宋_GBK"/>
          <w:color w:val="000000"/>
          <w:kern w:val="0"/>
          <w:sz w:val="32"/>
          <w:szCs w:val="32"/>
          <w:lang w:val="en" w:eastAsia="zh-CN" w:bidi="ar"/>
        </w:rPr>
        <w:t>3</w:t>
      </w:r>
      <w:r>
        <w:rPr>
          <w:rFonts w:hint="eastAsia" w:ascii="方正仿宋_GBK" w:hAnsi="方正仿宋_GBK" w:eastAsia="方正仿宋_GBK" w:cs="方正仿宋_GBK"/>
          <w:color w:val="000000"/>
          <w:kern w:val="0"/>
          <w:sz w:val="32"/>
          <w:szCs w:val="32"/>
          <w:lang w:val="en-US" w:eastAsia="zh-CN" w:bidi="ar"/>
        </w:rPr>
        <w:t>月</w:t>
      </w:r>
      <w:r>
        <w:rPr>
          <w:rFonts w:hint="eastAsia" w:ascii="方正仿宋_GBK" w:hAnsi="方正仿宋_GBK" w:eastAsia="方正仿宋_GBK" w:cs="方正仿宋_GBK"/>
          <w:color w:val="000000"/>
          <w:kern w:val="0"/>
          <w:sz w:val="32"/>
          <w:szCs w:val="32"/>
          <w:lang w:val="en" w:eastAsia="zh-CN" w:bidi="ar"/>
        </w:rPr>
        <w:t>10</w:t>
      </w:r>
      <w:r>
        <w:rPr>
          <w:rFonts w:hint="eastAsia" w:ascii="方正仿宋_GBK" w:hAnsi="方正仿宋_GBK" w:eastAsia="方正仿宋_GBK" w:cs="方正仿宋_GBK"/>
          <w:color w:val="000000"/>
          <w:kern w:val="0"/>
          <w:sz w:val="32"/>
          <w:szCs w:val="32"/>
          <w:lang w:val="en-US" w:eastAsia="zh-CN" w:bidi="ar"/>
        </w:rPr>
        <w:t>日</w:t>
      </w:r>
    </w:p>
    <w:p>
      <w:pPr>
        <w:widowControl w:val="0"/>
        <w:snapToGrid w:val="0"/>
        <w:spacing w:afterLines="0" w:line="276" w:lineRule="auto"/>
        <w:ind w:firstLine="640" w:firstLineChars="200"/>
        <w:jc w:val="both"/>
        <w:rPr>
          <w:rFonts w:hint="eastAsia" w:ascii="方正仿宋_GBK" w:hAnsi="方正仿宋_GBK" w:cs="方正仿宋_GBK"/>
          <w:color w:val="000000"/>
          <w:kern w:val="0"/>
          <w:sz w:val="32"/>
          <w:szCs w:val="32"/>
          <w:lang w:val="en-US" w:eastAsia="zh-CN" w:bidi="ar"/>
        </w:rPr>
      </w:pPr>
      <w:r>
        <w:rPr>
          <w:rFonts w:hint="eastAsia" w:ascii="方正仿宋_GBK" w:hAnsi="方正仿宋_GBK" w:cs="方正仿宋_GBK"/>
          <w:color w:val="000000"/>
          <w:kern w:val="0"/>
          <w:sz w:val="32"/>
          <w:szCs w:val="32"/>
          <w:lang w:val="en-US" w:eastAsia="zh-CN" w:bidi="ar"/>
        </w:rPr>
        <w:t>（此件公开发布）</w:t>
      </w:r>
    </w:p>
    <w:p>
      <w:pPr>
        <w:pageBreakBefore w:val="0"/>
        <w:widowControl w:val="0"/>
        <w:kinsoku/>
        <w:wordWrap/>
        <w:overflowPunct/>
        <w:topLinePunct w:val="0"/>
        <w:bidi w:val="0"/>
        <w:snapToGrid w:val="0"/>
        <w:spacing w:afterLines="0" w:line="240" w:lineRule="auto"/>
        <w:ind w:left="0" w:leftChars="0" w:firstLine="640" w:firstLineChars="200"/>
        <w:jc w:val="both"/>
        <w:rPr>
          <w:rFonts w:hint="eastAsia" w:ascii="方正小标宋_GBK" w:hAnsi="方正小标宋_GBK" w:eastAsia="方正小标宋_GBK" w:cs="方正小标宋_GBK"/>
          <w:color w:val="000000"/>
          <w:kern w:val="0"/>
          <w:sz w:val="44"/>
          <w:szCs w:val="44"/>
          <w:lang w:bidi="ar"/>
        </w:rPr>
      </w:pPr>
      <w:r>
        <w:rPr>
          <w:rFonts w:hint="eastAsia" w:ascii="方正仿宋_GBK" w:hAnsi="方正仿宋_GBK" w:cs="方正仿宋_GBK"/>
          <w:color w:val="000000"/>
          <w:kern w:val="0"/>
          <w:sz w:val="32"/>
          <w:szCs w:val="32"/>
          <w:lang w:val="en-US" w:eastAsia="zh-CN" w:bidi="ar"/>
        </w:rPr>
        <w:br w:type="page"/>
      </w:r>
      <w:r>
        <w:rPr>
          <w:rFonts w:hint="eastAsia" w:ascii="方正小标宋_GBK" w:hAnsi="方正小标宋_GBK" w:eastAsia="方正小标宋_GBK" w:cs="方正小标宋_GBK"/>
          <w:color w:val="000000"/>
          <w:kern w:val="0"/>
          <w:sz w:val="44"/>
          <w:szCs w:val="44"/>
          <w:lang w:bidi="ar"/>
        </w:rPr>
        <w:t>永川区卫生健康发展</w:t>
      </w:r>
      <w:r>
        <w:rPr>
          <w:rFonts w:hint="default" w:ascii="方正小标宋_GBK" w:hAnsi="方正小标宋_GBK" w:eastAsia="方正小标宋_GBK" w:cs="方正小标宋_GBK"/>
          <w:color w:val="000000"/>
          <w:kern w:val="0"/>
          <w:sz w:val="44"/>
          <w:szCs w:val="44"/>
          <w:lang w:val="en" w:bidi="ar"/>
        </w:rPr>
        <w:t>“</w:t>
      </w:r>
      <w:r>
        <w:rPr>
          <w:rFonts w:hint="eastAsia" w:ascii="方正小标宋_GBK" w:hAnsi="方正小标宋_GBK" w:eastAsia="方正小标宋_GBK" w:cs="方正小标宋_GBK"/>
          <w:color w:val="000000"/>
          <w:kern w:val="0"/>
          <w:sz w:val="44"/>
          <w:szCs w:val="44"/>
          <w:lang w:bidi="ar"/>
        </w:rPr>
        <w:t>十四五”规划</w:t>
      </w:r>
    </w:p>
    <w:p>
      <w:pPr>
        <w:pageBreakBefore w:val="0"/>
        <w:kinsoku/>
        <w:wordWrap/>
        <w:overflowPunct/>
        <w:topLinePunct w:val="0"/>
        <w:bidi w:val="0"/>
        <w:snapToGrid w:val="0"/>
        <w:spacing w:afterLines="0" w:line="276" w:lineRule="auto"/>
        <w:ind w:left="0" w:leftChars="0"/>
        <w:jc w:val="both"/>
        <w:rPr>
          <w:rFonts w:eastAsia="方正楷体_GBK"/>
          <w:color w:val="000000"/>
          <w:kern w:val="0"/>
          <w:szCs w:val="32"/>
          <w:lang w:val="zh-CN"/>
        </w:rPr>
      </w:pPr>
    </w:p>
    <w:p>
      <w:pPr>
        <w:spacing w:before="0" w:beforeLines="0" w:after="0" w:afterLines="0" w:line="240" w:lineRule="auto"/>
        <w:ind w:left="0" w:leftChars="0" w:right="0" w:rightChars="0" w:firstLine="0" w:firstLineChars="0"/>
        <w:jc w:val="center"/>
        <w:rPr>
          <w:rFonts w:hint="eastAsia" w:ascii="方正楷体_GBK" w:hAnsi="方正楷体_GBK" w:eastAsia="方正楷体_GBK" w:cs="方正楷体_GBK"/>
          <w:sz w:val="32"/>
          <w:szCs w:val="32"/>
        </w:rPr>
      </w:pPr>
      <w:bookmarkStart w:id="0" w:name="_Toc1586665945_WPSOffice_Type2"/>
      <w:r>
        <w:rPr>
          <w:rFonts w:hint="eastAsia" w:ascii="方正楷体_GBK" w:hAnsi="方正楷体_GBK" w:eastAsia="方正楷体_GBK" w:cs="方正楷体_GBK"/>
          <w:sz w:val="32"/>
          <w:szCs w:val="32"/>
        </w:rPr>
        <w:t>目</w:t>
      </w:r>
      <w:r>
        <w:rPr>
          <w:rFonts w:hint="eastAsia" w:ascii="方正楷体_GBK" w:hAnsi="方正楷体_GBK" w:eastAsia="方正楷体_GBK" w:cs="方正楷体_GBK"/>
          <w:sz w:val="32"/>
          <w:szCs w:val="32"/>
          <w:lang w:val="en-US" w:eastAsia="zh-CN"/>
        </w:rPr>
        <w:t xml:space="preserve">  </w:t>
      </w:r>
      <w:r>
        <w:rPr>
          <w:rFonts w:hint="eastAsia" w:ascii="方正楷体_GBK" w:hAnsi="方正楷体_GBK" w:eastAsia="方正楷体_GBK" w:cs="方正楷体_GBK"/>
          <w:sz w:val="32"/>
          <w:szCs w:val="32"/>
        </w:rPr>
        <w:t>录</w:t>
      </w:r>
    </w:p>
    <w:p>
      <w:pPr>
        <w:spacing w:before="0" w:beforeLines="0" w:after="0" w:afterLines="0" w:line="240" w:lineRule="auto"/>
        <w:ind w:left="0" w:leftChars="0" w:right="0" w:rightChars="0" w:firstLine="0" w:firstLineChars="0"/>
        <w:jc w:val="both"/>
        <w:rPr>
          <w:rFonts w:ascii="宋体" w:hAnsi="宋体" w:eastAsia="宋体"/>
          <w:sz w:val="21"/>
        </w:rPr>
      </w:pPr>
    </w:p>
    <w:p>
      <w:pPr>
        <w:pStyle w:val="19"/>
        <w:widowControl w:val="0"/>
        <w:tabs>
          <w:tab w:val="right" w:leader="dot" w:pos="8845"/>
        </w:tabs>
        <w:snapToGrid w:val="0"/>
        <w:spacing w:beforeLines="0" w:afterLines="0"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_Toc1806736802_WPSOffice_Level1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第一章  “十四五”卫生健康事业发展基础</w:t>
      </w:r>
      <w:r>
        <w:rPr>
          <w:rFonts w:hint="eastAsia" w:ascii="方正黑体_GBK" w:hAnsi="方正黑体_GBK" w:eastAsia="方正黑体_GBK" w:cs="方正黑体_GBK"/>
          <w:b w:val="0"/>
          <w:bCs w:val="0"/>
          <w:sz w:val="30"/>
          <w:szCs w:val="30"/>
        </w:rPr>
        <w:tab/>
      </w:r>
      <w:bookmarkStart w:id="1" w:name="_Toc1806736802_WPSOffice_Level1Page"/>
      <w:r>
        <w:rPr>
          <w:rFonts w:hint="eastAsia" w:ascii="方正黑体_GBK" w:hAnsi="方正黑体_GBK" w:eastAsia="方正黑体_GBK" w:cs="方正黑体_GBK"/>
          <w:b w:val="0"/>
          <w:bCs w:val="0"/>
          <w:sz w:val="30"/>
          <w:szCs w:val="30"/>
        </w:rPr>
        <w:t>4</w:t>
      </w:r>
      <w:bookmarkEnd w:id="1"/>
      <w:r>
        <w:rPr>
          <w:rFonts w:hint="eastAsia" w:ascii="方正黑体_GBK" w:hAnsi="方正黑体_GBK" w:eastAsia="方正黑体_GBK" w:cs="方正黑体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_Toc356595893_WPSOffice_Level2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第一节  “十三五”卫生健康事业发展成就</w:t>
      </w:r>
      <w:r>
        <w:rPr>
          <w:rFonts w:hint="eastAsia" w:ascii="方正仿宋_GBK" w:hAnsi="方正仿宋_GBK" w:eastAsia="方正仿宋_GBK" w:cs="方正仿宋_GBK"/>
          <w:b w:val="0"/>
          <w:bCs w:val="0"/>
          <w:sz w:val="30"/>
          <w:szCs w:val="30"/>
        </w:rPr>
        <w:tab/>
      </w:r>
      <w:bookmarkStart w:id="2" w:name="_Toc356595893_WPSOffice_Level2Page"/>
      <w:r>
        <w:rPr>
          <w:rFonts w:hint="eastAsia" w:ascii="方正仿宋_GBK" w:hAnsi="方正仿宋_GBK" w:eastAsia="方正仿宋_GBK" w:cs="方正仿宋_GBK"/>
          <w:b w:val="0"/>
          <w:bCs w:val="0"/>
          <w:sz w:val="30"/>
          <w:szCs w:val="30"/>
        </w:rPr>
        <w:t>4</w:t>
      </w:r>
      <w:bookmarkEnd w:id="2"/>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_Toc372918241_WPSOffice_Level2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第二节  “十四五”卫生健康发展面临的形势</w:t>
      </w:r>
      <w:r>
        <w:rPr>
          <w:rFonts w:hint="eastAsia" w:ascii="方正仿宋_GBK" w:hAnsi="方正仿宋_GBK" w:eastAsia="方正仿宋_GBK" w:cs="方正仿宋_GBK"/>
          <w:b w:val="0"/>
          <w:bCs w:val="0"/>
          <w:sz w:val="30"/>
          <w:szCs w:val="30"/>
        </w:rPr>
        <w:tab/>
      </w:r>
      <w:bookmarkStart w:id="3" w:name="_Toc372918241_WPSOffice_Level2Page"/>
      <w:r>
        <w:rPr>
          <w:rFonts w:hint="eastAsia" w:ascii="方正仿宋_GBK" w:hAnsi="方正仿宋_GBK" w:eastAsia="方正仿宋_GBK" w:cs="方正仿宋_GBK"/>
          <w:b w:val="0"/>
          <w:bCs w:val="0"/>
          <w:sz w:val="30"/>
          <w:szCs w:val="30"/>
        </w:rPr>
        <w:t>7</w:t>
      </w:r>
      <w:bookmarkEnd w:id="3"/>
      <w:r>
        <w:rPr>
          <w:rFonts w:hint="eastAsia" w:ascii="方正仿宋_GBK" w:hAnsi="方正仿宋_GBK" w:eastAsia="方正仿宋_GBK" w:cs="方正仿宋_GBK"/>
          <w:b w:val="0"/>
          <w:bCs w:val="0"/>
          <w:sz w:val="30"/>
          <w:szCs w:val="30"/>
        </w:rPr>
        <w:fldChar w:fldCharType="end"/>
      </w:r>
    </w:p>
    <w:p>
      <w:pPr>
        <w:pStyle w:val="19"/>
        <w:widowControl w:val="0"/>
        <w:tabs>
          <w:tab w:val="right" w:leader="dot" w:pos="8845"/>
        </w:tabs>
        <w:snapToGrid w:val="0"/>
        <w:spacing w:beforeLines="0" w:afterLines="0"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_Toc1141970860_WPSOffice_Level1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第二章  指导思想、基本原则、发展思路和总体目标</w:t>
      </w:r>
      <w:r>
        <w:rPr>
          <w:rFonts w:hint="eastAsia" w:ascii="方正黑体_GBK" w:hAnsi="方正黑体_GBK" w:eastAsia="方正黑体_GBK" w:cs="方正黑体_GBK"/>
          <w:b w:val="0"/>
          <w:bCs w:val="0"/>
          <w:sz w:val="30"/>
          <w:szCs w:val="30"/>
        </w:rPr>
        <w:tab/>
      </w:r>
      <w:bookmarkStart w:id="4" w:name="_Toc1141970860_WPSOffice_Level1Page"/>
      <w:r>
        <w:rPr>
          <w:rFonts w:hint="eastAsia" w:ascii="方正黑体_GBK" w:hAnsi="方正黑体_GBK" w:eastAsia="方正黑体_GBK" w:cs="方正黑体_GBK"/>
          <w:b w:val="0"/>
          <w:bCs w:val="0"/>
          <w:sz w:val="30"/>
          <w:szCs w:val="30"/>
        </w:rPr>
        <w:t>9</w:t>
      </w:r>
      <w:bookmarkEnd w:id="4"/>
      <w:r>
        <w:rPr>
          <w:rFonts w:hint="eastAsia" w:ascii="方正黑体_GBK" w:hAnsi="方正黑体_GBK" w:eastAsia="方正黑体_GBK" w:cs="方正黑体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_Toc671623656_WPSOffice_Level2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第一节  指导思想</w:t>
      </w:r>
      <w:r>
        <w:rPr>
          <w:rFonts w:hint="eastAsia" w:ascii="方正仿宋_GBK" w:hAnsi="方正仿宋_GBK" w:eastAsia="方正仿宋_GBK" w:cs="方正仿宋_GBK"/>
          <w:b w:val="0"/>
          <w:bCs w:val="0"/>
          <w:sz w:val="30"/>
          <w:szCs w:val="30"/>
        </w:rPr>
        <w:tab/>
      </w:r>
      <w:bookmarkStart w:id="5" w:name="_Toc671623656_WPSOffice_Level2Page"/>
      <w:r>
        <w:rPr>
          <w:rFonts w:hint="eastAsia" w:ascii="方正仿宋_GBK" w:hAnsi="方正仿宋_GBK" w:eastAsia="方正仿宋_GBK" w:cs="方正仿宋_GBK"/>
          <w:b w:val="0"/>
          <w:bCs w:val="0"/>
          <w:sz w:val="30"/>
          <w:szCs w:val="30"/>
        </w:rPr>
        <w:t>9</w:t>
      </w:r>
      <w:bookmarkEnd w:id="5"/>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_Toc1058504476_WPSOffice_Level2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第二节  基本原则</w:t>
      </w:r>
      <w:r>
        <w:rPr>
          <w:rFonts w:hint="eastAsia" w:ascii="方正仿宋_GBK" w:hAnsi="方正仿宋_GBK" w:eastAsia="方正仿宋_GBK" w:cs="方正仿宋_GBK"/>
          <w:b w:val="0"/>
          <w:bCs w:val="0"/>
          <w:sz w:val="30"/>
          <w:szCs w:val="30"/>
        </w:rPr>
        <w:tab/>
      </w:r>
      <w:bookmarkStart w:id="6" w:name="_Toc1058504476_WPSOffice_Level2Page"/>
      <w:r>
        <w:rPr>
          <w:rFonts w:hint="eastAsia" w:ascii="方正仿宋_GBK" w:hAnsi="方正仿宋_GBK" w:eastAsia="方正仿宋_GBK" w:cs="方正仿宋_GBK"/>
          <w:b w:val="0"/>
          <w:bCs w:val="0"/>
          <w:sz w:val="30"/>
          <w:szCs w:val="30"/>
        </w:rPr>
        <w:t>10</w:t>
      </w:r>
      <w:bookmarkEnd w:id="6"/>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_Toc1561517520_WPSOffice_Level2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第三节  发展思路</w:t>
      </w:r>
      <w:r>
        <w:rPr>
          <w:rFonts w:hint="eastAsia" w:ascii="方正仿宋_GBK" w:hAnsi="方正仿宋_GBK" w:eastAsia="方正仿宋_GBK" w:cs="方正仿宋_GBK"/>
          <w:b w:val="0"/>
          <w:bCs w:val="0"/>
          <w:sz w:val="30"/>
          <w:szCs w:val="30"/>
        </w:rPr>
        <w:tab/>
      </w:r>
      <w:bookmarkStart w:id="7" w:name="_Toc1561517520_WPSOffice_Level2Page"/>
      <w:r>
        <w:rPr>
          <w:rFonts w:hint="eastAsia" w:ascii="方正仿宋_GBK" w:hAnsi="方正仿宋_GBK" w:eastAsia="方正仿宋_GBK" w:cs="方正仿宋_GBK"/>
          <w:b w:val="0"/>
          <w:bCs w:val="0"/>
          <w:sz w:val="30"/>
          <w:szCs w:val="30"/>
        </w:rPr>
        <w:t>11</w:t>
      </w:r>
      <w:bookmarkEnd w:id="7"/>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_Toc610194781_WPSOffice_Level2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第四节  总体目标</w:t>
      </w:r>
      <w:r>
        <w:rPr>
          <w:rFonts w:hint="eastAsia" w:ascii="方正仿宋_GBK" w:hAnsi="方正仿宋_GBK" w:eastAsia="方正仿宋_GBK" w:cs="方正仿宋_GBK"/>
          <w:b w:val="0"/>
          <w:bCs w:val="0"/>
          <w:sz w:val="30"/>
          <w:szCs w:val="30"/>
        </w:rPr>
        <w:tab/>
      </w:r>
      <w:bookmarkStart w:id="8" w:name="_Toc610194781_WPSOffice_Level2Page"/>
      <w:r>
        <w:rPr>
          <w:rFonts w:hint="eastAsia" w:ascii="方正仿宋_GBK" w:hAnsi="方正仿宋_GBK" w:eastAsia="方正仿宋_GBK" w:cs="方正仿宋_GBK"/>
          <w:b w:val="0"/>
          <w:bCs w:val="0"/>
          <w:sz w:val="30"/>
          <w:szCs w:val="30"/>
        </w:rPr>
        <w:t>11</w:t>
      </w:r>
      <w:bookmarkEnd w:id="8"/>
      <w:r>
        <w:rPr>
          <w:rFonts w:hint="eastAsia" w:ascii="方正仿宋_GBK" w:hAnsi="方正仿宋_GBK" w:eastAsia="方正仿宋_GBK" w:cs="方正仿宋_GBK"/>
          <w:b w:val="0"/>
          <w:bCs w:val="0"/>
          <w:sz w:val="30"/>
          <w:szCs w:val="30"/>
        </w:rPr>
        <w:fldChar w:fldCharType="end"/>
      </w:r>
    </w:p>
    <w:p>
      <w:pPr>
        <w:pStyle w:val="19"/>
        <w:widowControl w:val="0"/>
        <w:tabs>
          <w:tab w:val="right" w:leader="dot" w:pos="8845"/>
        </w:tabs>
        <w:snapToGrid w:val="0"/>
        <w:spacing w:beforeLines="0" w:afterLines="0"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_Toc1354608630_WPSOffice_Level1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第三章  主要任务</w:t>
      </w:r>
      <w:r>
        <w:rPr>
          <w:rFonts w:hint="eastAsia" w:ascii="方正黑体_GBK" w:hAnsi="方正黑体_GBK" w:eastAsia="方正黑体_GBK" w:cs="方正黑体_GBK"/>
          <w:b w:val="0"/>
          <w:bCs w:val="0"/>
          <w:sz w:val="30"/>
          <w:szCs w:val="30"/>
        </w:rPr>
        <w:tab/>
      </w:r>
      <w:bookmarkStart w:id="9" w:name="_Toc1354608630_WPSOffice_Level1Page"/>
      <w:r>
        <w:rPr>
          <w:rFonts w:hint="eastAsia" w:ascii="方正黑体_GBK" w:hAnsi="方正黑体_GBK" w:eastAsia="方正黑体_GBK" w:cs="方正黑体_GBK"/>
          <w:b w:val="0"/>
          <w:bCs w:val="0"/>
          <w:sz w:val="30"/>
          <w:szCs w:val="30"/>
        </w:rPr>
        <w:t>12</w:t>
      </w:r>
      <w:bookmarkEnd w:id="9"/>
      <w:r>
        <w:rPr>
          <w:rFonts w:hint="eastAsia" w:ascii="方正黑体_GBK" w:hAnsi="方正黑体_GBK" w:eastAsia="方正黑体_GBK" w:cs="方正黑体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_Toc458794298_WPSOffice_Level2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第一节  加强公共卫生与应急能力建设</w:t>
      </w:r>
      <w:r>
        <w:rPr>
          <w:rFonts w:hint="eastAsia" w:ascii="方正仿宋_GBK" w:hAnsi="方正仿宋_GBK" w:eastAsia="方正仿宋_GBK" w:cs="方正仿宋_GBK"/>
          <w:b w:val="0"/>
          <w:bCs w:val="0"/>
          <w:sz w:val="30"/>
          <w:szCs w:val="30"/>
        </w:rPr>
        <w:tab/>
      </w:r>
      <w:bookmarkStart w:id="10" w:name="_Toc458794298_WPSOffice_Level2Page"/>
      <w:r>
        <w:rPr>
          <w:rFonts w:hint="eastAsia" w:ascii="方正仿宋_GBK" w:hAnsi="方正仿宋_GBK" w:eastAsia="方正仿宋_GBK" w:cs="方正仿宋_GBK"/>
          <w:b w:val="0"/>
          <w:bCs w:val="0"/>
          <w:sz w:val="30"/>
          <w:szCs w:val="30"/>
        </w:rPr>
        <w:t>12</w:t>
      </w:r>
      <w:bookmarkEnd w:id="10"/>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_Toc334220360_WPSOffice_Level2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第二节  全面深化医药卫生体制改革</w:t>
      </w:r>
      <w:r>
        <w:rPr>
          <w:rFonts w:hint="eastAsia" w:ascii="方正仿宋_GBK" w:hAnsi="方正仿宋_GBK" w:eastAsia="方正仿宋_GBK" w:cs="方正仿宋_GBK"/>
          <w:b w:val="0"/>
          <w:bCs w:val="0"/>
          <w:sz w:val="30"/>
          <w:szCs w:val="30"/>
        </w:rPr>
        <w:tab/>
      </w:r>
      <w:bookmarkStart w:id="11" w:name="_Toc334220360_WPSOffice_Level2Page"/>
      <w:r>
        <w:rPr>
          <w:rFonts w:hint="eastAsia" w:ascii="方正仿宋_GBK" w:hAnsi="方正仿宋_GBK" w:eastAsia="方正仿宋_GBK" w:cs="方正仿宋_GBK"/>
          <w:b w:val="0"/>
          <w:bCs w:val="0"/>
          <w:sz w:val="30"/>
          <w:szCs w:val="30"/>
        </w:rPr>
        <w:t>15</w:t>
      </w:r>
      <w:bookmarkEnd w:id="11"/>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_Toc94912927_WPSOffice_Level2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第三节  提升区域医疗服务水平</w:t>
      </w:r>
      <w:r>
        <w:rPr>
          <w:rFonts w:hint="eastAsia" w:ascii="方正仿宋_GBK" w:hAnsi="方正仿宋_GBK" w:eastAsia="方正仿宋_GBK" w:cs="方正仿宋_GBK"/>
          <w:b w:val="0"/>
          <w:bCs w:val="0"/>
          <w:sz w:val="30"/>
          <w:szCs w:val="30"/>
        </w:rPr>
        <w:tab/>
      </w:r>
      <w:bookmarkStart w:id="12" w:name="_Toc94912927_WPSOffice_Level2Page"/>
      <w:r>
        <w:rPr>
          <w:rFonts w:hint="eastAsia" w:ascii="方正仿宋_GBK" w:hAnsi="方正仿宋_GBK" w:eastAsia="方正仿宋_GBK" w:cs="方正仿宋_GBK"/>
          <w:b w:val="0"/>
          <w:bCs w:val="0"/>
          <w:sz w:val="30"/>
          <w:szCs w:val="30"/>
        </w:rPr>
        <w:t>17</w:t>
      </w:r>
      <w:bookmarkEnd w:id="12"/>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_Toc1586337134_WPSOffice_Level2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第四节  加快中医药事业持续发展</w:t>
      </w:r>
      <w:r>
        <w:rPr>
          <w:rFonts w:hint="eastAsia" w:ascii="方正仿宋_GBK" w:hAnsi="方正仿宋_GBK" w:eastAsia="方正仿宋_GBK" w:cs="方正仿宋_GBK"/>
          <w:b w:val="0"/>
          <w:bCs w:val="0"/>
          <w:sz w:val="30"/>
          <w:szCs w:val="30"/>
        </w:rPr>
        <w:tab/>
      </w:r>
      <w:bookmarkStart w:id="13" w:name="_Toc1586337134_WPSOffice_Level2Page"/>
      <w:r>
        <w:rPr>
          <w:rFonts w:hint="eastAsia" w:ascii="方正仿宋_GBK" w:hAnsi="方正仿宋_GBK" w:eastAsia="方正仿宋_GBK" w:cs="方正仿宋_GBK"/>
          <w:b w:val="0"/>
          <w:bCs w:val="0"/>
          <w:sz w:val="30"/>
          <w:szCs w:val="30"/>
        </w:rPr>
        <w:t>19</w:t>
      </w:r>
      <w:bookmarkEnd w:id="13"/>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_Toc2142618303_WPSOffice_Level2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第五节  强化全生命周期健康管理</w:t>
      </w:r>
      <w:r>
        <w:rPr>
          <w:rFonts w:hint="eastAsia" w:ascii="方正仿宋_GBK" w:hAnsi="方正仿宋_GBK" w:eastAsia="方正仿宋_GBK" w:cs="方正仿宋_GBK"/>
          <w:b w:val="0"/>
          <w:bCs w:val="0"/>
          <w:sz w:val="30"/>
          <w:szCs w:val="30"/>
        </w:rPr>
        <w:tab/>
      </w:r>
      <w:bookmarkStart w:id="14" w:name="_Toc2142618303_WPSOffice_Level2Page"/>
      <w:r>
        <w:rPr>
          <w:rFonts w:hint="eastAsia" w:ascii="方正仿宋_GBK" w:hAnsi="方正仿宋_GBK" w:eastAsia="方正仿宋_GBK" w:cs="方正仿宋_GBK"/>
          <w:b w:val="0"/>
          <w:bCs w:val="0"/>
          <w:sz w:val="30"/>
          <w:szCs w:val="30"/>
        </w:rPr>
        <w:t>21</w:t>
      </w:r>
      <w:bookmarkEnd w:id="14"/>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_Toc1975170392_WPSOffice_Level2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第六节  促进健康产业高质量发展</w:t>
      </w:r>
      <w:r>
        <w:rPr>
          <w:rFonts w:hint="eastAsia" w:ascii="方正仿宋_GBK" w:hAnsi="方正仿宋_GBK" w:eastAsia="方正仿宋_GBK" w:cs="方正仿宋_GBK"/>
          <w:b w:val="0"/>
          <w:bCs w:val="0"/>
          <w:sz w:val="30"/>
          <w:szCs w:val="30"/>
        </w:rPr>
        <w:tab/>
      </w:r>
      <w:bookmarkStart w:id="15" w:name="_Toc1975170392_WPSOffice_Level2Page"/>
      <w:r>
        <w:rPr>
          <w:rFonts w:hint="eastAsia" w:ascii="方正仿宋_GBK" w:hAnsi="方正仿宋_GBK" w:eastAsia="方正仿宋_GBK" w:cs="方正仿宋_GBK"/>
          <w:b w:val="0"/>
          <w:bCs w:val="0"/>
          <w:sz w:val="30"/>
          <w:szCs w:val="30"/>
        </w:rPr>
        <w:t>24</w:t>
      </w:r>
      <w:bookmarkEnd w:id="15"/>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_Toc940671719_WPSOffice_Level2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第七节  完善健康优先发展支撑体系</w:t>
      </w:r>
      <w:r>
        <w:rPr>
          <w:rFonts w:hint="eastAsia" w:ascii="方正仿宋_GBK" w:hAnsi="方正仿宋_GBK" w:eastAsia="方正仿宋_GBK" w:cs="方正仿宋_GBK"/>
          <w:b w:val="0"/>
          <w:bCs w:val="0"/>
          <w:sz w:val="30"/>
          <w:szCs w:val="30"/>
        </w:rPr>
        <w:tab/>
      </w:r>
      <w:bookmarkStart w:id="16" w:name="_Toc940671719_WPSOffice_Level2Page"/>
      <w:r>
        <w:rPr>
          <w:rFonts w:hint="eastAsia" w:ascii="方正仿宋_GBK" w:hAnsi="方正仿宋_GBK" w:eastAsia="方正仿宋_GBK" w:cs="方正仿宋_GBK"/>
          <w:b w:val="0"/>
          <w:bCs w:val="0"/>
          <w:sz w:val="30"/>
          <w:szCs w:val="30"/>
        </w:rPr>
        <w:t>26</w:t>
      </w:r>
      <w:bookmarkEnd w:id="16"/>
      <w:r>
        <w:rPr>
          <w:rFonts w:hint="eastAsia" w:ascii="方正仿宋_GBK" w:hAnsi="方正仿宋_GBK" w:eastAsia="方正仿宋_GBK" w:cs="方正仿宋_GBK"/>
          <w:b w:val="0"/>
          <w:bCs w:val="0"/>
          <w:sz w:val="30"/>
          <w:szCs w:val="30"/>
        </w:rPr>
        <w:fldChar w:fldCharType="end"/>
      </w:r>
    </w:p>
    <w:p>
      <w:pPr>
        <w:pStyle w:val="19"/>
        <w:widowControl w:val="0"/>
        <w:tabs>
          <w:tab w:val="right" w:leader="dot" w:pos="8845"/>
        </w:tabs>
        <w:snapToGrid w:val="0"/>
        <w:spacing w:beforeLines="0" w:afterLines="0"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_Toc185187389_WPSOffice_Level1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第四章  五大高地</w:t>
      </w:r>
      <w:r>
        <w:rPr>
          <w:rFonts w:hint="eastAsia" w:ascii="方正黑体_GBK" w:hAnsi="方正黑体_GBK" w:eastAsia="方正黑体_GBK" w:cs="方正黑体_GBK"/>
          <w:b w:val="0"/>
          <w:bCs w:val="0"/>
          <w:sz w:val="30"/>
          <w:szCs w:val="30"/>
        </w:rPr>
        <w:tab/>
      </w:r>
      <w:bookmarkStart w:id="17" w:name="_Toc185187389_WPSOffice_Level1Page"/>
      <w:r>
        <w:rPr>
          <w:rFonts w:hint="eastAsia" w:ascii="方正黑体_GBK" w:hAnsi="方正黑体_GBK" w:eastAsia="方正黑体_GBK" w:cs="方正黑体_GBK"/>
          <w:b w:val="0"/>
          <w:bCs w:val="0"/>
          <w:sz w:val="30"/>
          <w:szCs w:val="30"/>
        </w:rPr>
        <w:t>27</w:t>
      </w:r>
      <w:bookmarkEnd w:id="17"/>
      <w:r>
        <w:rPr>
          <w:rFonts w:hint="eastAsia" w:ascii="方正黑体_GBK" w:hAnsi="方正黑体_GBK" w:eastAsia="方正黑体_GBK" w:cs="方正黑体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_Toc233395829_WPSOffice_Level2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第一节  打造渝西公共卫生防治高地</w:t>
      </w:r>
      <w:r>
        <w:rPr>
          <w:rFonts w:hint="eastAsia" w:ascii="方正仿宋_GBK" w:hAnsi="方正仿宋_GBK" w:eastAsia="方正仿宋_GBK" w:cs="方正仿宋_GBK"/>
          <w:b w:val="0"/>
          <w:bCs w:val="0"/>
          <w:sz w:val="30"/>
          <w:szCs w:val="30"/>
        </w:rPr>
        <w:tab/>
      </w:r>
      <w:bookmarkStart w:id="18" w:name="_Toc233395829_WPSOffice_Level2Page"/>
      <w:r>
        <w:rPr>
          <w:rFonts w:hint="eastAsia" w:ascii="方正仿宋_GBK" w:hAnsi="方正仿宋_GBK" w:eastAsia="方正仿宋_GBK" w:cs="方正仿宋_GBK"/>
          <w:b w:val="0"/>
          <w:bCs w:val="0"/>
          <w:sz w:val="30"/>
          <w:szCs w:val="30"/>
        </w:rPr>
        <w:t>28</w:t>
      </w:r>
      <w:bookmarkEnd w:id="18"/>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_Toc497690152_WPSOffice_Level2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第二节  打造优质医疗服务高地</w:t>
      </w:r>
      <w:r>
        <w:rPr>
          <w:rFonts w:hint="eastAsia" w:ascii="方正仿宋_GBK" w:hAnsi="方正仿宋_GBK" w:eastAsia="方正仿宋_GBK" w:cs="方正仿宋_GBK"/>
          <w:b w:val="0"/>
          <w:bCs w:val="0"/>
          <w:sz w:val="30"/>
          <w:szCs w:val="30"/>
        </w:rPr>
        <w:tab/>
      </w:r>
      <w:bookmarkStart w:id="19" w:name="_Toc497690152_WPSOffice_Level2Page"/>
      <w:r>
        <w:rPr>
          <w:rFonts w:hint="eastAsia" w:ascii="方正仿宋_GBK" w:hAnsi="方正仿宋_GBK" w:eastAsia="方正仿宋_GBK" w:cs="方正仿宋_GBK"/>
          <w:b w:val="0"/>
          <w:bCs w:val="0"/>
          <w:sz w:val="30"/>
          <w:szCs w:val="30"/>
        </w:rPr>
        <w:t>28</w:t>
      </w:r>
      <w:bookmarkEnd w:id="19"/>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_Toc2003999280_WPSOffice_Level2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第三节  打造医疗卫生信息化高地</w:t>
      </w:r>
      <w:r>
        <w:rPr>
          <w:rFonts w:hint="eastAsia" w:ascii="方正仿宋_GBK" w:hAnsi="方正仿宋_GBK" w:eastAsia="方正仿宋_GBK" w:cs="方正仿宋_GBK"/>
          <w:b w:val="0"/>
          <w:bCs w:val="0"/>
          <w:sz w:val="30"/>
          <w:szCs w:val="30"/>
        </w:rPr>
        <w:tab/>
      </w:r>
      <w:bookmarkStart w:id="20" w:name="_Toc2003999280_WPSOffice_Level2Page"/>
      <w:r>
        <w:rPr>
          <w:rFonts w:hint="eastAsia" w:ascii="方正仿宋_GBK" w:hAnsi="方正仿宋_GBK" w:eastAsia="方正仿宋_GBK" w:cs="方正仿宋_GBK"/>
          <w:b w:val="0"/>
          <w:bCs w:val="0"/>
          <w:sz w:val="30"/>
          <w:szCs w:val="30"/>
        </w:rPr>
        <w:t>30</w:t>
      </w:r>
      <w:bookmarkEnd w:id="20"/>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_Toc454422826_WPSOffice_Level2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第四节  打造医疗产学研高地</w:t>
      </w:r>
      <w:r>
        <w:rPr>
          <w:rFonts w:hint="eastAsia" w:ascii="方正仿宋_GBK" w:hAnsi="方正仿宋_GBK" w:eastAsia="方正仿宋_GBK" w:cs="方正仿宋_GBK"/>
          <w:b w:val="0"/>
          <w:bCs w:val="0"/>
          <w:sz w:val="30"/>
          <w:szCs w:val="30"/>
        </w:rPr>
        <w:tab/>
      </w:r>
      <w:bookmarkStart w:id="21" w:name="_Toc454422826_WPSOffice_Level2Page"/>
      <w:r>
        <w:rPr>
          <w:rFonts w:hint="eastAsia" w:ascii="方正仿宋_GBK" w:hAnsi="方正仿宋_GBK" w:eastAsia="方正仿宋_GBK" w:cs="方正仿宋_GBK"/>
          <w:b w:val="0"/>
          <w:bCs w:val="0"/>
          <w:sz w:val="30"/>
          <w:szCs w:val="30"/>
        </w:rPr>
        <w:t>31</w:t>
      </w:r>
      <w:bookmarkEnd w:id="21"/>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_Toc1348904879_WPSOffice_Level2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第五节  打造川渝合作医疗示范高地</w:t>
      </w:r>
      <w:r>
        <w:rPr>
          <w:rFonts w:hint="eastAsia" w:ascii="方正仿宋_GBK" w:hAnsi="方正仿宋_GBK" w:eastAsia="方正仿宋_GBK" w:cs="方正仿宋_GBK"/>
          <w:b w:val="0"/>
          <w:bCs w:val="0"/>
          <w:sz w:val="30"/>
          <w:szCs w:val="30"/>
        </w:rPr>
        <w:tab/>
      </w:r>
      <w:bookmarkStart w:id="22" w:name="_Toc1348904879_WPSOffice_Level2Page"/>
      <w:r>
        <w:rPr>
          <w:rFonts w:hint="eastAsia" w:ascii="方正仿宋_GBK" w:hAnsi="方正仿宋_GBK" w:eastAsia="方正仿宋_GBK" w:cs="方正仿宋_GBK"/>
          <w:b w:val="0"/>
          <w:bCs w:val="0"/>
          <w:sz w:val="30"/>
          <w:szCs w:val="30"/>
        </w:rPr>
        <w:t>31</w:t>
      </w:r>
      <w:bookmarkEnd w:id="22"/>
      <w:r>
        <w:rPr>
          <w:rFonts w:hint="eastAsia" w:ascii="方正仿宋_GBK" w:hAnsi="方正仿宋_GBK" w:eastAsia="方正仿宋_GBK" w:cs="方正仿宋_GBK"/>
          <w:b w:val="0"/>
          <w:bCs w:val="0"/>
          <w:sz w:val="30"/>
          <w:szCs w:val="30"/>
        </w:rPr>
        <w:fldChar w:fldCharType="end"/>
      </w:r>
    </w:p>
    <w:p>
      <w:pPr>
        <w:pStyle w:val="19"/>
        <w:widowControl w:val="0"/>
        <w:tabs>
          <w:tab w:val="right" w:leader="dot" w:pos="8845"/>
        </w:tabs>
        <w:snapToGrid w:val="0"/>
        <w:spacing w:beforeLines="0" w:afterLines="0" w:line="276" w:lineRule="auto"/>
        <w:rPr>
          <w:rFonts w:hint="eastAsia"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fldChar w:fldCharType="begin"/>
      </w:r>
      <w:r>
        <w:rPr>
          <w:rFonts w:hint="eastAsia" w:ascii="方正黑体_GBK" w:hAnsi="方正黑体_GBK" w:eastAsia="方正黑体_GBK" w:cs="方正黑体_GBK"/>
          <w:b w:val="0"/>
          <w:bCs w:val="0"/>
          <w:sz w:val="30"/>
          <w:szCs w:val="30"/>
        </w:rPr>
        <w:instrText xml:space="preserve"> HYPERLINK \l _Toc1927351583_WPSOffice_Level1 </w:instrText>
      </w:r>
      <w:r>
        <w:rPr>
          <w:rFonts w:hint="eastAsia" w:ascii="方正黑体_GBK" w:hAnsi="方正黑体_GBK" w:eastAsia="方正黑体_GBK" w:cs="方正黑体_GBK"/>
          <w:b w:val="0"/>
          <w:bCs w:val="0"/>
          <w:sz w:val="30"/>
          <w:szCs w:val="30"/>
        </w:rPr>
        <w:fldChar w:fldCharType="separate"/>
      </w:r>
      <w:r>
        <w:rPr>
          <w:rFonts w:hint="eastAsia" w:ascii="方正黑体_GBK" w:hAnsi="方正黑体_GBK" w:eastAsia="方正黑体_GBK" w:cs="方正黑体_GBK"/>
          <w:b w:val="0"/>
          <w:bCs w:val="0"/>
          <w:sz w:val="30"/>
          <w:szCs w:val="30"/>
        </w:rPr>
        <w:t>第五章  保障措施</w:t>
      </w:r>
      <w:r>
        <w:rPr>
          <w:rFonts w:hint="eastAsia" w:ascii="方正黑体_GBK" w:hAnsi="方正黑体_GBK" w:eastAsia="方正黑体_GBK" w:cs="方正黑体_GBK"/>
          <w:b w:val="0"/>
          <w:bCs w:val="0"/>
          <w:sz w:val="30"/>
          <w:szCs w:val="30"/>
        </w:rPr>
        <w:tab/>
      </w:r>
      <w:bookmarkStart w:id="23" w:name="_Toc1927351583_WPSOffice_Level1Page"/>
      <w:r>
        <w:rPr>
          <w:rFonts w:hint="eastAsia" w:ascii="方正黑体_GBK" w:hAnsi="方正黑体_GBK" w:eastAsia="方正黑体_GBK" w:cs="方正黑体_GBK"/>
          <w:b w:val="0"/>
          <w:bCs w:val="0"/>
          <w:sz w:val="30"/>
          <w:szCs w:val="30"/>
        </w:rPr>
        <w:t>32</w:t>
      </w:r>
      <w:bookmarkEnd w:id="23"/>
      <w:r>
        <w:rPr>
          <w:rFonts w:hint="eastAsia" w:ascii="方正黑体_GBK" w:hAnsi="方正黑体_GBK" w:eastAsia="方正黑体_GBK" w:cs="方正黑体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_Toc1605779324_WPSOffice_Level2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第一节  加强组织领导</w:t>
      </w:r>
      <w:r>
        <w:rPr>
          <w:rFonts w:hint="eastAsia" w:ascii="方正仿宋_GBK" w:hAnsi="方正仿宋_GBK" w:eastAsia="方正仿宋_GBK" w:cs="方正仿宋_GBK"/>
          <w:b w:val="0"/>
          <w:bCs w:val="0"/>
          <w:sz w:val="30"/>
          <w:szCs w:val="30"/>
        </w:rPr>
        <w:tab/>
      </w:r>
      <w:bookmarkStart w:id="24" w:name="_Toc1605779324_WPSOffice_Level2Page"/>
      <w:r>
        <w:rPr>
          <w:rFonts w:hint="eastAsia" w:ascii="方正仿宋_GBK" w:hAnsi="方正仿宋_GBK" w:eastAsia="方正仿宋_GBK" w:cs="方正仿宋_GBK"/>
          <w:b w:val="0"/>
          <w:bCs w:val="0"/>
          <w:sz w:val="30"/>
          <w:szCs w:val="30"/>
        </w:rPr>
        <w:t>32</w:t>
      </w:r>
      <w:bookmarkEnd w:id="24"/>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_Toc143737943_WPSOffice_Level2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第二节  保障投入机制</w:t>
      </w:r>
      <w:r>
        <w:rPr>
          <w:rFonts w:hint="eastAsia" w:ascii="方正仿宋_GBK" w:hAnsi="方正仿宋_GBK" w:eastAsia="方正仿宋_GBK" w:cs="方正仿宋_GBK"/>
          <w:b w:val="0"/>
          <w:bCs w:val="0"/>
          <w:sz w:val="30"/>
          <w:szCs w:val="30"/>
        </w:rPr>
        <w:tab/>
      </w:r>
      <w:bookmarkStart w:id="25" w:name="_Toc143737943_WPSOffice_Level2Page"/>
      <w:r>
        <w:rPr>
          <w:rFonts w:hint="eastAsia" w:ascii="方正仿宋_GBK" w:hAnsi="方正仿宋_GBK" w:eastAsia="方正仿宋_GBK" w:cs="方正仿宋_GBK"/>
          <w:b w:val="0"/>
          <w:bCs w:val="0"/>
          <w:sz w:val="30"/>
          <w:szCs w:val="30"/>
        </w:rPr>
        <w:t>33</w:t>
      </w:r>
      <w:bookmarkEnd w:id="25"/>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_Toc643396959_WPSOffice_Level2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第三节  引领规划实施</w:t>
      </w:r>
      <w:r>
        <w:rPr>
          <w:rFonts w:hint="eastAsia" w:ascii="方正仿宋_GBK" w:hAnsi="方正仿宋_GBK" w:eastAsia="方正仿宋_GBK" w:cs="方正仿宋_GBK"/>
          <w:b w:val="0"/>
          <w:bCs w:val="0"/>
          <w:sz w:val="30"/>
          <w:szCs w:val="30"/>
        </w:rPr>
        <w:tab/>
      </w:r>
      <w:bookmarkStart w:id="26" w:name="_Toc643396959_WPSOffice_Level2Page"/>
      <w:r>
        <w:rPr>
          <w:rFonts w:hint="eastAsia" w:ascii="方正仿宋_GBK" w:hAnsi="方正仿宋_GBK" w:eastAsia="方正仿宋_GBK" w:cs="方正仿宋_GBK"/>
          <w:b w:val="0"/>
          <w:bCs w:val="0"/>
          <w:sz w:val="30"/>
          <w:szCs w:val="30"/>
        </w:rPr>
        <w:t>33</w:t>
      </w:r>
      <w:bookmarkEnd w:id="26"/>
      <w:r>
        <w:rPr>
          <w:rFonts w:hint="eastAsia" w:ascii="方正仿宋_GBK" w:hAnsi="方正仿宋_GBK" w:eastAsia="方正仿宋_GBK" w:cs="方正仿宋_GBK"/>
          <w:b w:val="0"/>
          <w:bCs w:val="0"/>
          <w:sz w:val="30"/>
          <w:szCs w:val="30"/>
        </w:rPr>
        <w:fldChar w:fldCharType="end"/>
      </w:r>
    </w:p>
    <w:p>
      <w:pPr>
        <w:pStyle w:val="20"/>
        <w:widowControl w:val="0"/>
        <w:tabs>
          <w:tab w:val="right" w:leader="dot" w:pos="8845"/>
        </w:tabs>
        <w:snapToGrid w:val="0"/>
        <w:spacing w:beforeLines="0" w:afterLines="0" w:line="276" w:lineRule="auto"/>
        <w:rPr>
          <w:rFonts w:hint="eastAsia" w:ascii="方正仿宋_GBK" w:hAnsi="方正仿宋_GBK" w:eastAsia="方正仿宋_GBK" w:cs="方正仿宋_GBK"/>
          <w:b w:val="0"/>
          <w:bCs w:val="0"/>
          <w:sz w:val="30"/>
          <w:szCs w:val="30"/>
        </w:rPr>
      </w:pPr>
      <w:r>
        <w:rPr>
          <w:rFonts w:hint="eastAsia" w:ascii="方正仿宋_GBK" w:hAnsi="方正仿宋_GBK" w:eastAsia="方正仿宋_GBK" w:cs="方正仿宋_GBK"/>
          <w:b w:val="0"/>
          <w:bCs w:val="0"/>
          <w:sz w:val="30"/>
          <w:szCs w:val="30"/>
        </w:rPr>
        <w:fldChar w:fldCharType="begin"/>
      </w:r>
      <w:r>
        <w:rPr>
          <w:rFonts w:hint="eastAsia" w:ascii="方正仿宋_GBK" w:hAnsi="方正仿宋_GBK" w:eastAsia="方正仿宋_GBK" w:cs="方正仿宋_GBK"/>
          <w:b w:val="0"/>
          <w:bCs w:val="0"/>
          <w:sz w:val="30"/>
          <w:szCs w:val="30"/>
        </w:rPr>
        <w:instrText xml:space="preserve"> HYPERLINK \l _Toc453195305_WPSOffice_Level2 </w:instrText>
      </w:r>
      <w:r>
        <w:rPr>
          <w:rFonts w:hint="eastAsia" w:ascii="方正仿宋_GBK" w:hAnsi="方正仿宋_GBK" w:eastAsia="方正仿宋_GBK" w:cs="方正仿宋_GBK"/>
          <w:b w:val="0"/>
          <w:bCs w:val="0"/>
          <w:sz w:val="30"/>
          <w:szCs w:val="30"/>
        </w:rPr>
        <w:fldChar w:fldCharType="separate"/>
      </w:r>
      <w:r>
        <w:rPr>
          <w:rFonts w:hint="eastAsia" w:ascii="方正仿宋_GBK" w:hAnsi="方正仿宋_GBK" w:eastAsia="方正仿宋_GBK" w:cs="方正仿宋_GBK"/>
          <w:b w:val="0"/>
          <w:bCs w:val="0"/>
          <w:sz w:val="30"/>
          <w:szCs w:val="30"/>
        </w:rPr>
        <w:t>第四节  完善监测评估</w:t>
      </w:r>
      <w:r>
        <w:rPr>
          <w:rFonts w:hint="eastAsia" w:ascii="方正仿宋_GBK" w:hAnsi="方正仿宋_GBK" w:eastAsia="方正仿宋_GBK" w:cs="方正仿宋_GBK"/>
          <w:b w:val="0"/>
          <w:bCs w:val="0"/>
          <w:sz w:val="30"/>
          <w:szCs w:val="30"/>
        </w:rPr>
        <w:tab/>
      </w:r>
      <w:bookmarkStart w:id="27" w:name="_Toc453195305_WPSOffice_Level2Page"/>
      <w:r>
        <w:rPr>
          <w:rFonts w:hint="eastAsia" w:ascii="方正仿宋_GBK" w:hAnsi="方正仿宋_GBK" w:eastAsia="方正仿宋_GBK" w:cs="方正仿宋_GBK"/>
          <w:b w:val="0"/>
          <w:bCs w:val="0"/>
          <w:sz w:val="30"/>
          <w:szCs w:val="30"/>
        </w:rPr>
        <w:t>33</w:t>
      </w:r>
      <w:bookmarkEnd w:id="27"/>
      <w:r>
        <w:rPr>
          <w:rFonts w:hint="eastAsia" w:ascii="方正仿宋_GBK" w:hAnsi="方正仿宋_GBK" w:eastAsia="方正仿宋_GBK" w:cs="方正仿宋_GBK"/>
          <w:b w:val="0"/>
          <w:bCs w:val="0"/>
          <w:sz w:val="30"/>
          <w:szCs w:val="30"/>
        </w:rPr>
        <w:fldChar w:fldCharType="end"/>
      </w:r>
      <w:bookmarkEnd w:id="0"/>
    </w:p>
    <w:p>
      <w:pPr>
        <w:pageBreakBefore w:val="0"/>
        <w:kinsoku/>
        <w:wordWrap/>
        <w:overflowPunct/>
        <w:topLinePunct w:val="0"/>
        <w:bidi w:val="0"/>
        <w:snapToGrid w:val="0"/>
        <w:spacing w:beforeLines="0" w:afterLines="0" w:line="276" w:lineRule="auto"/>
        <w:ind w:left="0" w:leftChars="0" w:firstLine="640"/>
        <w:rPr>
          <w:rFonts w:hint="eastAsia" w:ascii="方正仿宋_GBK" w:hAnsi="方正仿宋_GBK" w:cs="方正仿宋_GBK"/>
          <w:b w:val="0"/>
          <w:bCs w:val="0"/>
          <w:color w:val="000000"/>
          <w:sz w:val="30"/>
          <w:szCs w:val="30"/>
        </w:rPr>
      </w:pPr>
    </w:p>
    <w:p>
      <w:pPr>
        <w:pageBreakBefore w:val="0"/>
        <w:kinsoku/>
        <w:wordWrap/>
        <w:overflowPunct/>
        <w:topLinePunct w:val="0"/>
        <w:bidi w:val="0"/>
        <w:snapToGrid w:val="0"/>
        <w:spacing w:beforeLines="0" w:afterLines="0" w:line="276" w:lineRule="auto"/>
        <w:ind w:left="0" w:leftChars="0" w:firstLine="640"/>
        <w:rPr>
          <w:rFonts w:hint="eastAsia" w:ascii="方正仿宋_GBK" w:hAnsi="方正仿宋_GBK" w:cs="方正仿宋_GBK"/>
          <w:b w:val="0"/>
          <w:bCs w:val="0"/>
          <w:color w:val="000000"/>
          <w:sz w:val="30"/>
          <w:szCs w:val="30"/>
        </w:rPr>
        <w:sectPr>
          <w:headerReference r:id="rId3" w:type="default"/>
          <w:footerReference r:id="rId5" w:type="default"/>
          <w:headerReference r:id="rId4" w:type="even"/>
          <w:footerReference r:id="rId6" w:type="even"/>
          <w:pgSz w:w="11906" w:h="16838"/>
          <w:pgMar w:top="2098" w:right="1474" w:bottom="1984" w:left="1587" w:header="851" w:footer="1474" w:gutter="0"/>
          <w:pgNumType w:fmt="numberInDash"/>
          <w:cols w:space="720" w:num="1"/>
          <w:rtlGutter w:val="0"/>
          <w:docGrid w:type="lines" w:linePitch="440" w:charSpace="0"/>
        </w:sectPr>
      </w:pP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r>
        <w:rPr>
          <w:color w:val="000000"/>
        </w:rPr>
        <w:t>为加快推动永川区卫生健康事业高质量发展，满足人民群众不断增长的医疗卫生健康服务需求，根据《健康中国2030规划》《重庆市卫生健康发展</w:t>
      </w:r>
      <w:r>
        <w:rPr>
          <w:color w:val="000000"/>
          <w:lang w:val="en"/>
        </w:rPr>
        <w:t>“</w:t>
      </w:r>
      <w:r>
        <w:rPr>
          <w:color w:val="000000"/>
        </w:rPr>
        <w:t>十四五”规划》《重庆市永川区国民经济和社会发展第十四个五年规划和二〇三五年远景目标纲要》，结合我区卫生健康工作实际，编制本规划。</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p>
    <w:p>
      <w:pPr>
        <w:pStyle w:val="2"/>
        <w:keepNext w:val="0"/>
        <w:keepLines w:val="0"/>
        <w:pageBreakBefore w:val="0"/>
        <w:widowControl w:val="0"/>
        <w:kinsoku/>
        <w:wordWrap/>
        <w:overflowPunct/>
        <w:topLinePunct w:val="0"/>
        <w:autoSpaceDE/>
        <w:autoSpaceDN/>
        <w:bidi w:val="0"/>
        <w:snapToGrid w:val="0"/>
        <w:spacing w:afterLines="0" w:line="276" w:lineRule="auto"/>
        <w:jc w:val="center"/>
        <w:textAlignment w:val="auto"/>
        <w:rPr>
          <w:rFonts w:hint="eastAsia" w:ascii="方正黑体_GBK" w:hAnsi="方正黑体_GBK" w:cs="方正黑体_GBK"/>
          <w:color w:val="000000"/>
        </w:rPr>
      </w:pPr>
      <w:bookmarkStart w:id="28" w:name="_Toc1806736802_WPSOffice_Level1"/>
      <w:bookmarkStart w:id="29" w:name="_Toc5641"/>
      <w:bookmarkStart w:id="30" w:name="_Toc74327788"/>
      <w:r>
        <w:rPr>
          <w:rFonts w:hint="eastAsia" w:ascii="方正黑体_GBK" w:hAnsi="方正黑体_GBK" w:cs="方正黑体_GBK"/>
          <w:color w:val="000000"/>
        </w:rPr>
        <w:t xml:space="preserve">第一章  </w:t>
      </w:r>
      <w:r>
        <w:rPr>
          <w:rFonts w:hint="default" w:ascii="方正黑体_GBK" w:hAnsi="方正黑体_GBK" w:cs="方正黑体_GBK"/>
          <w:color w:val="000000"/>
          <w:lang w:val="en"/>
        </w:rPr>
        <w:t>“</w:t>
      </w:r>
      <w:r>
        <w:rPr>
          <w:rFonts w:hint="eastAsia" w:ascii="方正黑体_GBK" w:hAnsi="方正黑体_GBK" w:cs="方正黑体_GBK"/>
          <w:color w:val="000000"/>
        </w:rPr>
        <w:t>十四五</w:t>
      </w:r>
      <w:r>
        <w:rPr>
          <w:rFonts w:hint="eastAsia" w:ascii="方正黑体_GBK" w:hAnsi="方正黑体_GBK" w:cs="方正黑体_GBK"/>
          <w:color w:val="000000"/>
          <w:lang w:eastAsia="zh-CN"/>
        </w:rPr>
        <w:t>”</w:t>
      </w:r>
      <w:r>
        <w:rPr>
          <w:rFonts w:hint="eastAsia" w:ascii="方正黑体_GBK" w:hAnsi="方正黑体_GBK" w:cs="方正黑体_GBK"/>
          <w:color w:val="000000"/>
        </w:rPr>
        <w:t>卫生健康事业发展</w:t>
      </w:r>
      <w:bookmarkEnd w:id="28"/>
      <w:r>
        <w:rPr>
          <w:rFonts w:hint="eastAsia" w:ascii="方正黑体_GBK" w:hAnsi="方正黑体_GBK" w:cs="方正黑体_GBK"/>
          <w:color w:val="000000"/>
        </w:rPr>
        <w:t>基础</w:t>
      </w:r>
      <w:bookmarkEnd w:id="29"/>
      <w:bookmarkEnd w:id="30"/>
    </w:p>
    <w:p>
      <w:pPr>
        <w:pageBreakBefore w:val="0"/>
        <w:widowControl w:val="0"/>
        <w:kinsoku/>
        <w:wordWrap/>
        <w:overflowPunct/>
        <w:topLinePunct w:val="0"/>
        <w:autoSpaceDE/>
        <w:autoSpaceDN/>
        <w:bidi w:val="0"/>
        <w:snapToGrid w:val="0"/>
        <w:spacing w:afterLines="0" w:line="276" w:lineRule="auto"/>
        <w:ind w:firstLine="640"/>
        <w:jc w:val="center"/>
        <w:textAlignment w:val="auto"/>
        <w:rPr>
          <w:rFonts w:ascii="Times New Roman" w:hAnsi="Times New Roman" w:cs="Times New Roman"/>
          <w:color w:val="000000"/>
        </w:rPr>
      </w:pPr>
      <w:bookmarkStart w:id="31" w:name="_Toc74327789"/>
      <w:bookmarkStart w:id="32" w:name="_Toc26337"/>
    </w:p>
    <w:p>
      <w:pPr>
        <w:pStyle w:val="3"/>
        <w:keepNext w:val="0"/>
        <w:keepLines w:val="0"/>
        <w:pageBreakBefore w:val="0"/>
        <w:widowControl w:val="0"/>
        <w:kinsoku/>
        <w:wordWrap/>
        <w:overflowPunct/>
        <w:topLinePunct w:val="0"/>
        <w:autoSpaceDE/>
        <w:autoSpaceDN/>
        <w:bidi w:val="0"/>
        <w:snapToGrid w:val="0"/>
        <w:spacing w:afterLines="0" w:line="276" w:lineRule="auto"/>
        <w:jc w:val="center"/>
        <w:textAlignment w:val="auto"/>
        <w:rPr>
          <w:rFonts w:hint="eastAsia" w:ascii="方正楷体_GBK" w:hAnsi="方正楷体_GBK" w:cs="方正楷体_GBK"/>
          <w:color w:val="000000"/>
        </w:rPr>
      </w:pPr>
      <w:bookmarkStart w:id="33" w:name="_Toc356595893_WPSOffice_Level2"/>
      <w:r>
        <w:rPr>
          <w:rFonts w:hint="eastAsia" w:ascii="方正楷体_GBK" w:hAnsi="方正楷体_GBK" w:cs="方正楷体_GBK"/>
          <w:color w:val="000000"/>
        </w:rPr>
        <w:t>第一节</w:t>
      </w:r>
      <w:r>
        <w:rPr>
          <w:rFonts w:hint="eastAsia" w:ascii="方正楷体_GBK" w:hAnsi="方正楷体_GBK" w:cs="方正楷体_GBK"/>
          <w:color w:val="000000"/>
          <w:lang w:val="en"/>
        </w:rPr>
        <w:t xml:space="preserve"> </w:t>
      </w:r>
      <w:r>
        <w:rPr>
          <w:rFonts w:hint="eastAsia" w:ascii="方正楷体_GBK" w:hAnsi="方正楷体_GBK" w:cs="方正楷体_GBK"/>
          <w:color w:val="000000"/>
        </w:rPr>
        <w:t xml:space="preserve"> </w:t>
      </w:r>
      <w:r>
        <w:rPr>
          <w:rFonts w:hint="default" w:ascii="方正楷体_GBK" w:hAnsi="方正楷体_GBK" w:cs="方正楷体_GBK"/>
          <w:color w:val="000000"/>
          <w:lang w:val="en"/>
        </w:rPr>
        <w:t>“</w:t>
      </w:r>
      <w:r>
        <w:rPr>
          <w:rFonts w:hint="eastAsia" w:ascii="方正楷体_GBK" w:hAnsi="方正楷体_GBK" w:cs="方正楷体_GBK"/>
          <w:color w:val="000000"/>
        </w:rPr>
        <w:t>十三五”卫生健康事业发展</w:t>
      </w:r>
      <w:bookmarkEnd w:id="31"/>
      <w:r>
        <w:rPr>
          <w:rFonts w:hint="eastAsia" w:ascii="方正楷体_GBK" w:hAnsi="方正楷体_GBK" w:cs="方正楷体_GBK"/>
          <w:color w:val="000000"/>
        </w:rPr>
        <w:t>成</w:t>
      </w:r>
      <w:bookmarkEnd w:id="33"/>
      <w:r>
        <w:rPr>
          <w:rFonts w:hint="eastAsia" w:ascii="方正楷体_GBK" w:hAnsi="方正楷体_GBK" w:cs="方正楷体_GBK"/>
          <w:color w:val="000000"/>
        </w:rPr>
        <w:t>就</w:t>
      </w:r>
      <w:bookmarkEnd w:id="32"/>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r>
        <w:rPr>
          <w:color w:val="000000"/>
          <w:lang w:val="en"/>
        </w:rPr>
        <w:t>“</w:t>
      </w:r>
      <w:r>
        <w:rPr>
          <w:color w:val="000000"/>
        </w:rPr>
        <w:t>十三五”时期，全区坚持以习近平新时代中国特色社会主义思想为指导，以提高全区居民健康水平、提升人口素质为目标，坚持以人民为中心的发展思想，深入贯彻落实新发展理念，深化医改工作取得重要进展，医疗服务能力稳步提升，重大疾病防控和卫生应急工作持续加强，中医药事业蓬勃发展，重点人群健康服务扎实推进，人民健康水平稳步提升，为</w:t>
      </w:r>
      <w:r>
        <w:rPr>
          <w:color w:val="000000"/>
          <w:lang w:val="en"/>
        </w:rPr>
        <w:t>“</w:t>
      </w:r>
      <w:r>
        <w:rPr>
          <w:color w:val="000000"/>
        </w:rPr>
        <w:t>十四五”卫生健康事业发展奠定良好基础。</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bCs/>
          <w:color w:val="000000"/>
        </w:rPr>
      </w:pPr>
      <w:bookmarkStart w:id="34" w:name="_Toc648"/>
      <w:bookmarkStart w:id="35" w:name="_Toc18057"/>
      <w:bookmarkStart w:id="36" w:name="_Toc10041"/>
      <w:bookmarkStart w:id="37" w:name="_Toc74327790"/>
      <w:r>
        <w:rPr>
          <w:bCs/>
          <w:color w:val="000000"/>
        </w:rPr>
        <w:t>居民健康水平不断提高</w:t>
      </w:r>
      <w:r>
        <w:rPr>
          <w:rFonts w:eastAsia="方正楷体_GBK"/>
          <w:bCs/>
          <w:color w:val="000000"/>
        </w:rPr>
        <w:t>。</w:t>
      </w:r>
      <w:bookmarkEnd w:id="34"/>
      <w:bookmarkEnd w:id="35"/>
      <w:bookmarkEnd w:id="36"/>
      <w:bookmarkEnd w:id="37"/>
      <w:r>
        <w:rPr>
          <w:color w:val="000000"/>
        </w:rPr>
        <w:t>大力实施健康中国永川行动，全区居民</w:t>
      </w:r>
      <w:r>
        <w:rPr>
          <w:bCs/>
          <w:color w:val="000000"/>
        </w:rPr>
        <w:t>人均预期寿命提高至78.15岁，孕产妇死亡率下降至8.09/10万，婴儿死亡率下降至2.56‰，5岁以下儿童死亡率下降至4.72‰，个人卫生支出占卫生总费用比重下降至27.32%，居民健康素养水平提升至21.74%。</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bCs/>
          <w:color w:val="000000"/>
        </w:rPr>
      </w:pPr>
      <w:bookmarkStart w:id="38" w:name="_Toc6903"/>
      <w:bookmarkStart w:id="39" w:name="_Toc74327791"/>
      <w:bookmarkStart w:id="40" w:name="_Toc10115"/>
      <w:bookmarkStart w:id="41" w:name="_Toc11803"/>
      <w:r>
        <w:rPr>
          <w:bCs/>
          <w:color w:val="000000"/>
        </w:rPr>
        <w:t>医药卫生体制改革有序推进</w:t>
      </w:r>
      <w:r>
        <w:rPr>
          <w:rFonts w:eastAsia="方正楷体_GBK"/>
          <w:bCs/>
          <w:color w:val="000000"/>
        </w:rPr>
        <w:t>。</w:t>
      </w:r>
      <w:bookmarkEnd w:id="38"/>
      <w:bookmarkEnd w:id="39"/>
      <w:bookmarkEnd w:id="40"/>
      <w:bookmarkEnd w:id="41"/>
      <w:r>
        <w:rPr>
          <w:rFonts w:hint="eastAsia" w:eastAsia="方正楷体_GBK"/>
          <w:bCs/>
          <w:color w:val="000000"/>
          <w:lang w:eastAsia="zh-CN"/>
        </w:rPr>
        <w:t>“</w:t>
      </w:r>
      <w:r>
        <w:rPr>
          <w:bCs/>
          <w:color w:val="000000"/>
        </w:rPr>
        <w:t>十三五</w:t>
      </w:r>
      <w:r>
        <w:rPr>
          <w:rFonts w:hint="eastAsia"/>
          <w:bCs/>
          <w:color w:val="000000"/>
          <w:lang w:eastAsia="zh-CN"/>
        </w:rPr>
        <w:t>”</w:t>
      </w:r>
      <w:r>
        <w:rPr>
          <w:bCs/>
          <w:color w:val="000000"/>
        </w:rPr>
        <w:t>期间，顺利实施公立医院绩效考核分配方案，稳步推进区人民医院、区中医院等公立医院薪酬制度改革试点工作。全区公立医疗机构全面取消医用耗材加成。分两批推进439项、1842项医疗服务项目价格调整，逐步实现价格结构调整。分级诊疗制度进一步完善，国家级城市医联体试点建设有序推进，基本形成</w:t>
      </w:r>
      <w:r>
        <w:rPr>
          <w:bCs/>
          <w:color w:val="000000"/>
          <w:lang w:val="en"/>
        </w:rPr>
        <w:t>“</w:t>
      </w:r>
      <w:r>
        <w:rPr>
          <w:bCs/>
          <w:color w:val="000000"/>
        </w:rPr>
        <w:t>1+4+N”的网格化医联体，23家基层医疗机构签订合作协议，为患者提供</w:t>
      </w:r>
      <w:r>
        <w:rPr>
          <w:bCs/>
          <w:color w:val="000000"/>
          <w:lang w:val="en"/>
        </w:rPr>
        <w:t>“</w:t>
      </w:r>
      <w:r>
        <w:rPr>
          <w:bCs/>
          <w:color w:val="000000"/>
        </w:rPr>
        <w:t>住院直通车”、双向转诊、检验结果互认、专家社区坐诊等便捷的优质诊疗服务。完善异地就医直接结算制度，基本实现公立医疗机构收费电子票据全覆盖。深入开展医联体、医保总额付费和DRGs付费试点工作，实行以按病种付费为主的多元复合支付方式。依托区中医院医学影像中心、区人民医院心电诊断中心拓展远程诊疗服务。</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bCs/>
          <w:color w:val="000000"/>
        </w:rPr>
      </w:pPr>
      <w:r>
        <w:rPr>
          <w:bCs/>
          <w:color w:val="000000"/>
        </w:rPr>
        <w:t>公共卫生服务能力大幅提升</w:t>
      </w:r>
      <w:r>
        <w:rPr>
          <w:rFonts w:eastAsia="方正楷体_GBK"/>
          <w:bCs/>
          <w:color w:val="000000"/>
        </w:rPr>
        <w:t>。</w:t>
      </w:r>
      <w:r>
        <w:rPr>
          <w:rFonts w:eastAsia="方正楷体_GBK"/>
          <w:bCs/>
          <w:color w:val="000000"/>
          <w:lang w:val="en"/>
        </w:rPr>
        <w:t>“</w:t>
      </w:r>
      <w:r>
        <w:rPr>
          <w:bCs/>
          <w:color w:val="000000"/>
        </w:rPr>
        <w:t>十三五”期间，儿童免疫规划疫苗接种率达到97.61%以上，3岁以下儿童管理率达到91.65%以上，孕产妇系统管理率达到92.99%，孕产妇住院分娩率达到100%，妇女</w:t>
      </w:r>
      <w:r>
        <w:rPr>
          <w:bCs/>
          <w:color w:val="000000"/>
          <w:lang w:val="en"/>
        </w:rPr>
        <w:t>“</w:t>
      </w:r>
      <w:r>
        <w:rPr>
          <w:bCs/>
          <w:color w:val="000000"/>
        </w:rPr>
        <w:t>两癌”检查2.9万人，高血压和糖尿病管理率分别达到68.53%和66.39%，严重精神障碍患者管理率达到80%。不断强化母婴安全体系建设，成立母婴安全领导小组和产儿科危重抢救专家组，完善助产机构转诊机制。成功创建国家卫生城区，全区农村卫生厕所普及率达到100%，农村饮用水水质卫生监测镇覆盖率达到100%。医疗卫生体系经受住新冠肺炎疫情重大考验，</w:t>
      </w:r>
      <w:r>
        <w:rPr>
          <w:color w:val="000000"/>
          <w:szCs w:val="32"/>
        </w:rPr>
        <w:t>实现确诊病例零死亡、二代病例零发生、医护人员零感染，成为全市首批由中风险调为低风险的地区。</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bCs/>
          <w:color w:val="000000"/>
        </w:rPr>
      </w:pPr>
      <w:r>
        <w:rPr>
          <w:bCs/>
          <w:color w:val="000000"/>
        </w:rPr>
        <w:t>医疗服务能力明显增强</w:t>
      </w:r>
      <w:r>
        <w:rPr>
          <w:rFonts w:eastAsia="方正楷体_GBK"/>
          <w:bCs/>
          <w:color w:val="000000"/>
        </w:rPr>
        <w:t>。</w:t>
      </w:r>
      <w:r>
        <w:rPr>
          <w:rFonts w:eastAsia="方正楷体_GBK"/>
          <w:bCs/>
          <w:color w:val="000000"/>
          <w:lang w:val="en"/>
        </w:rPr>
        <w:t>“</w:t>
      </w:r>
      <w:r>
        <w:rPr>
          <w:bCs/>
          <w:color w:val="000000"/>
        </w:rPr>
        <w:t>十三五”期末，全区医疗卫生职工人数增加到9353人，卫生技术人员7606人，其中执业医师、执业助理医师2644人，注册护士3653人，床位数8967张。千人拥有床位</w:t>
      </w:r>
      <w:r>
        <w:rPr>
          <w:rFonts w:hint="eastAsia"/>
          <w:bCs/>
          <w:color w:val="000000"/>
          <w:lang w:val="en-US" w:eastAsia="zh-CN"/>
        </w:rPr>
        <w:t>7.86</w:t>
      </w:r>
      <w:r>
        <w:rPr>
          <w:bCs/>
          <w:color w:val="000000"/>
        </w:rPr>
        <w:t>张，千人拥有卫生技术人员数</w:t>
      </w:r>
      <w:r>
        <w:rPr>
          <w:rFonts w:hint="eastAsia"/>
          <w:bCs/>
          <w:color w:val="000000"/>
          <w:lang w:val="en-US" w:eastAsia="zh-CN"/>
        </w:rPr>
        <w:t>6.67</w:t>
      </w:r>
      <w:r>
        <w:rPr>
          <w:bCs/>
          <w:color w:val="000000"/>
        </w:rPr>
        <w:t>人，万人拥有全科医师数3.27人。重庆中新肿瘤医院、新妇幼保健院建成投用，</w:t>
      </w:r>
      <w:r>
        <w:rPr>
          <w:rFonts w:hint="eastAsia"/>
          <w:bCs/>
          <w:color w:val="000000"/>
        </w:rPr>
        <w:t>区人民医院、</w:t>
      </w:r>
      <w:r>
        <w:rPr>
          <w:bCs/>
          <w:color w:val="000000"/>
        </w:rPr>
        <w:t>区儿童医院、区精神卫生中心相继搬迁新院，新中医院一期工程完工。二级及以上医院均建成P2级PCR实验室。建成5家市级</w:t>
      </w:r>
      <w:r>
        <w:rPr>
          <w:bCs/>
          <w:color w:val="000000"/>
          <w:lang w:val="en"/>
        </w:rPr>
        <w:t>“</w:t>
      </w:r>
      <w:r>
        <w:rPr>
          <w:bCs/>
          <w:color w:val="000000"/>
        </w:rPr>
        <w:t>美丽医院”，199个星级行政村卫生室。不断加强医学科技管理体系建设，发展特色优势学科群，成功打造国家级重点（特色）专科6个，省部级重点（特色）专科8个，市级重点（特色）专科学科11个。引进高级专家、优秀中青年骨干人才、重点高校毕业生等高层次人才74人，拥有国务院政府特殊津贴专家、二级教授等永川区学科带头人12名。建成全民健康信息平台，区人民医院等3家医院获评市级互联网医院。</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bCs/>
          <w:color w:val="000000"/>
        </w:rPr>
      </w:pPr>
      <w:bookmarkStart w:id="42" w:name="_Toc3254"/>
      <w:bookmarkStart w:id="43" w:name="_Toc74327792"/>
      <w:bookmarkStart w:id="44" w:name="_Toc7435"/>
      <w:bookmarkStart w:id="45" w:name="_Toc32347"/>
      <w:r>
        <w:rPr>
          <w:bCs/>
          <w:color w:val="000000"/>
        </w:rPr>
        <w:t>中医药事业传承创新</w:t>
      </w:r>
      <w:r>
        <w:rPr>
          <w:rFonts w:eastAsia="方正楷体_GBK"/>
          <w:bCs/>
          <w:color w:val="000000"/>
        </w:rPr>
        <w:t>。</w:t>
      </w:r>
      <w:bookmarkEnd w:id="42"/>
      <w:bookmarkEnd w:id="43"/>
      <w:bookmarkEnd w:id="44"/>
      <w:bookmarkEnd w:id="45"/>
      <w:r>
        <w:rPr>
          <w:bCs/>
          <w:color w:val="000000"/>
        </w:rPr>
        <w:t>区内有国家和市级</w:t>
      </w:r>
      <w:r>
        <w:rPr>
          <w:rFonts w:hint="eastAsia"/>
          <w:bCs/>
          <w:color w:val="000000"/>
        </w:rPr>
        <w:t>中医</w:t>
      </w:r>
      <w:r>
        <w:rPr>
          <w:bCs/>
          <w:color w:val="000000"/>
        </w:rPr>
        <w:t>临床重点（特色）专科8个，重庆市名中医6名，永川区名中医11名。新建中医馆15个，基层医疗机构实现中医综合服务区全覆盖，75%以上的村卫生室能提供中医药服务。区中医院被定为国家中医紧急医学救援基地，建成全国名老中医传承工作室1个，全国基层名老中医药专家传承工作室1个，博士后工作站、博士工作站3个，打造市级中医重点专科3个。有序推进非中医类执业医师进行</w:t>
      </w:r>
      <w:r>
        <w:rPr>
          <w:bCs/>
          <w:color w:val="000000"/>
          <w:lang w:val="en"/>
        </w:rPr>
        <w:t>“</w:t>
      </w:r>
      <w:r>
        <w:rPr>
          <w:bCs/>
          <w:color w:val="000000"/>
        </w:rPr>
        <w:t>西学中”，培训基层中医药人员近5万人次。创新</w:t>
      </w:r>
      <w:r>
        <w:rPr>
          <w:bCs/>
          <w:color w:val="000000"/>
          <w:lang w:val="en"/>
        </w:rPr>
        <w:t>“</w:t>
      </w:r>
      <w:r>
        <w:rPr>
          <w:bCs/>
          <w:color w:val="000000"/>
        </w:rPr>
        <w:t>师带徒”中医技术培训班，实现中医住院医师规范化培养。</w:t>
      </w:r>
    </w:p>
    <w:p>
      <w:pPr>
        <w:pStyle w:val="4"/>
        <w:pageBreakBefore w:val="0"/>
        <w:widowControl w:val="0"/>
        <w:kinsoku/>
        <w:wordWrap/>
        <w:overflowPunct/>
        <w:topLinePunct w:val="0"/>
        <w:autoSpaceDE/>
        <w:autoSpaceDN/>
        <w:bidi w:val="0"/>
        <w:snapToGrid w:val="0"/>
        <w:spacing w:after="0" w:afterLines="0" w:line="276" w:lineRule="auto"/>
        <w:ind w:left="0" w:leftChars="0" w:firstLine="640" w:firstLineChars="200"/>
        <w:textAlignment w:val="auto"/>
        <w:rPr>
          <w:bCs/>
          <w:color w:val="000000"/>
        </w:rPr>
      </w:pPr>
      <w:bookmarkStart w:id="46" w:name="_Toc29113"/>
      <w:bookmarkStart w:id="47" w:name="_Toc74327793"/>
      <w:bookmarkStart w:id="48" w:name="_Toc13326"/>
      <w:bookmarkStart w:id="49" w:name="_Toc27802"/>
      <w:r>
        <w:rPr>
          <w:bCs/>
          <w:color w:val="000000"/>
        </w:rPr>
        <w:t>区域人口协调发展</w:t>
      </w:r>
      <w:r>
        <w:rPr>
          <w:rFonts w:eastAsia="方正楷体_GBK"/>
          <w:bCs/>
          <w:color w:val="000000"/>
        </w:rPr>
        <w:t>。</w:t>
      </w:r>
      <w:bookmarkEnd w:id="46"/>
      <w:bookmarkEnd w:id="47"/>
      <w:bookmarkEnd w:id="48"/>
      <w:bookmarkEnd w:id="49"/>
      <w:r>
        <w:rPr>
          <w:bCs/>
          <w:color w:val="000000"/>
        </w:rPr>
        <w:t>有序调整完善生育政策，加强人口信息监测管理，</w:t>
      </w:r>
      <w:r>
        <w:rPr>
          <w:bCs/>
          <w:color w:val="000000"/>
          <w:lang w:val="en"/>
        </w:rPr>
        <w:t>“</w:t>
      </w:r>
      <w:r>
        <w:rPr>
          <w:bCs/>
          <w:color w:val="000000"/>
        </w:rPr>
        <w:t>十三五”期末，人口出生率7.14‰，人口自然增长率-0.27‰，出生婴儿性别比为107.30。不断强化高危孕产妇专案及随访管理，关爱计划生育特殊家庭。公共场所规范配置母婴室，区妇幼保健院建成托育中心。二级及以上医院全面开展优质护理服务，2</w:t>
      </w:r>
      <w:r>
        <w:rPr>
          <w:rFonts w:hint="eastAsia"/>
          <w:bCs/>
          <w:color w:val="000000"/>
          <w:lang w:eastAsia="zh-CN"/>
        </w:rPr>
        <w:t>家</w:t>
      </w:r>
      <w:r>
        <w:rPr>
          <w:bCs/>
          <w:color w:val="000000"/>
        </w:rPr>
        <w:t>公立医院增设老年病科。积极推进医养结合，新增3家医养结合机构。</w:t>
      </w:r>
      <w:bookmarkStart w:id="50" w:name="_Toc74327794"/>
    </w:p>
    <w:p>
      <w:pPr>
        <w:pStyle w:val="4"/>
        <w:pageBreakBefore w:val="0"/>
        <w:widowControl w:val="0"/>
        <w:kinsoku/>
        <w:wordWrap/>
        <w:overflowPunct/>
        <w:topLinePunct w:val="0"/>
        <w:autoSpaceDE/>
        <w:autoSpaceDN/>
        <w:bidi w:val="0"/>
        <w:snapToGrid w:val="0"/>
        <w:spacing w:after="0" w:afterLines="0" w:line="276" w:lineRule="auto"/>
        <w:ind w:left="0" w:leftChars="0" w:firstLine="640" w:firstLineChars="200"/>
        <w:textAlignment w:val="auto"/>
        <w:rPr>
          <w:bCs/>
          <w:color w:val="000000"/>
        </w:rPr>
      </w:pPr>
    </w:p>
    <w:p>
      <w:pPr>
        <w:pStyle w:val="3"/>
        <w:keepNext w:val="0"/>
        <w:keepLines w:val="0"/>
        <w:pageBreakBefore w:val="0"/>
        <w:widowControl w:val="0"/>
        <w:kinsoku/>
        <w:wordWrap/>
        <w:overflowPunct/>
        <w:topLinePunct w:val="0"/>
        <w:autoSpaceDE/>
        <w:autoSpaceDN/>
        <w:bidi w:val="0"/>
        <w:snapToGrid w:val="0"/>
        <w:spacing w:afterLines="0" w:line="276" w:lineRule="auto"/>
        <w:ind w:left="0" w:leftChars="0"/>
        <w:jc w:val="center"/>
        <w:textAlignment w:val="auto"/>
        <w:rPr>
          <w:rFonts w:hint="eastAsia" w:ascii="方正楷体_GBK" w:hAnsi="方正楷体_GBK" w:cs="方正楷体_GBK"/>
          <w:color w:val="000000"/>
        </w:rPr>
      </w:pPr>
      <w:bookmarkStart w:id="51" w:name="_Toc372918241_WPSOffice_Level2"/>
      <w:bookmarkStart w:id="52" w:name="_Toc257"/>
      <w:r>
        <w:rPr>
          <w:rFonts w:hint="eastAsia" w:ascii="方正楷体_GBK" w:hAnsi="方正楷体_GBK" w:cs="方正楷体_GBK"/>
          <w:color w:val="000000"/>
        </w:rPr>
        <w:t xml:space="preserve">第二节 </w:t>
      </w:r>
      <w:r>
        <w:rPr>
          <w:rFonts w:hint="eastAsia" w:ascii="方正楷体_GBK" w:hAnsi="方正楷体_GBK" w:cs="方正楷体_GBK"/>
          <w:color w:val="000000"/>
          <w:lang w:val="en"/>
        </w:rPr>
        <w:t xml:space="preserve"> </w:t>
      </w:r>
      <w:r>
        <w:rPr>
          <w:rFonts w:hint="default" w:ascii="方正楷体_GBK" w:hAnsi="方正楷体_GBK" w:cs="方正楷体_GBK"/>
          <w:color w:val="000000"/>
          <w:lang w:val="en"/>
        </w:rPr>
        <w:t>“</w:t>
      </w:r>
      <w:r>
        <w:rPr>
          <w:rFonts w:hint="eastAsia" w:ascii="方正楷体_GBK" w:hAnsi="方正楷体_GBK" w:cs="方正楷体_GBK"/>
          <w:color w:val="000000"/>
        </w:rPr>
        <w:t>十四五”卫生健康发展面临的形</w:t>
      </w:r>
      <w:bookmarkEnd w:id="51"/>
      <w:r>
        <w:rPr>
          <w:rFonts w:hint="eastAsia" w:ascii="方正楷体_GBK" w:hAnsi="方正楷体_GBK" w:cs="方正楷体_GBK"/>
          <w:color w:val="000000"/>
        </w:rPr>
        <w:t>势</w:t>
      </w:r>
      <w:bookmarkEnd w:id="50"/>
      <w:bookmarkEnd w:id="52"/>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r>
        <w:rPr>
          <w:color w:val="000000"/>
          <w:lang w:val="en"/>
        </w:rPr>
        <w:t>“</w:t>
      </w:r>
      <w:r>
        <w:rPr>
          <w:color w:val="000000"/>
        </w:rPr>
        <w:t>十四五”时期，我国进入新发展阶段，群众多层次多样化健康需求快速增长，特别是新冠肺炎疫情后，社会公众健康意识大幅提升，健康产业成为群众关心的重大民生福祉问题、社会关注的重点产业投资领域和经济发展的新增长点，全区卫生健康事业发展面临前所未有的机遇和挑战。</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rFonts w:eastAsia="方正楷体_GBK"/>
          <w:color w:val="000000"/>
        </w:rPr>
      </w:pPr>
      <w:bookmarkStart w:id="53" w:name="_Toc28825"/>
      <w:r>
        <w:rPr>
          <w:rFonts w:eastAsia="方正楷体_GBK"/>
          <w:color w:val="000000"/>
        </w:rPr>
        <w:t>（一）发展机遇</w:t>
      </w:r>
      <w:bookmarkEnd w:id="53"/>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r>
        <w:rPr>
          <w:rStyle w:val="16"/>
          <w:b w:val="0"/>
          <w:color w:val="000000"/>
        </w:rPr>
        <w:t>1</w:t>
      </w:r>
      <w:r>
        <w:rPr>
          <w:rStyle w:val="16"/>
          <w:rFonts w:hint="eastAsia" w:ascii="方正仿宋_GBK" w:hAnsi="方正仿宋_GBK" w:eastAsia="方正仿宋_GBK" w:cs="方正仿宋_GBK"/>
          <w:b w:val="0"/>
          <w:color w:val="000000"/>
        </w:rPr>
        <w:t>﹒</w:t>
      </w:r>
      <w:r>
        <w:rPr>
          <w:rStyle w:val="16"/>
          <w:b w:val="0"/>
          <w:color w:val="000000"/>
        </w:rPr>
        <w:t>国家重大战略部署为永川卫生健康事业发展提供了历史机遇。</w:t>
      </w:r>
      <w:r>
        <w:rPr>
          <w:rStyle w:val="16"/>
          <w:rFonts w:hint="eastAsia"/>
          <w:b w:val="0"/>
          <w:color w:val="000000"/>
          <w:lang w:eastAsia="zh-CN"/>
        </w:rPr>
        <w:t>成渝地区双城经济圈建设、重庆“一区两群”协调发展等重大战略，为永川区卫生健康事业发展提供了绝佳的历史机遇</w:t>
      </w:r>
      <w:r>
        <w:rPr>
          <w:color w:val="000000"/>
        </w:rPr>
        <w:t>。抓住</w:t>
      </w:r>
      <w:r>
        <w:rPr>
          <w:rFonts w:hint="eastAsia"/>
          <w:color w:val="000000"/>
        </w:rPr>
        <w:t>国家医学中心、国家</w:t>
      </w:r>
      <w:r>
        <w:rPr>
          <w:rFonts w:hint="eastAsia"/>
          <w:color w:val="000000"/>
          <w:szCs w:val="32"/>
        </w:rPr>
        <w:t>区域医疗</w:t>
      </w:r>
      <w:r>
        <w:rPr>
          <w:color w:val="000000"/>
          <w:szCs w:val="32"/>
        </w:rPr>
        <w:t>中心</w:t>
      </w:r>
      <w:r>
        <w:rPr>
          <w:color w:val="000000"/>
        </w:rPr>
        <w:t>的发展契机，纵深推进区域间协同发展，有利于充分发挥永川的区位优势，集聚区域医疗资源，推进优质医疗资源共建共享，促进卫生资源合理配置，建设高水平医疗卫生服务体系。</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r>
        <w:rPr>
          <w:rStyle w:val="16"/>
          <w:b w:val="0"/>
          <w:color w:val="000000"/>
        </w:rPr>
        <w:t>2</w:t>
      </w:r>
      <w:r>
        <w:rPr>
          <w:rStyle w:val="16"/>
          <w:rFonts w:hint="eastAsia" w:ascii="方正仿宋_GBK" w:hAnsi="方正仿宋_GBK" w:eastAsia="方正仿宋_GBK" w:cs="方正仿宋_GBK"/>
          <w:b w:val="0"/>
          <w:color w:val="000000"/>
        </w:rPr>
        <w:t>﹒</w:t>
      </w:r>
      <w:r>
        <w:rPr>
          <w:rStyle w:val="16"/>
          <w:b w:val="0"/>
          <w:color w:val="000000"/>
        </w:rPr>
        <w:t>健康中国的全面推行为永川卫生健康事业增添了更大活力。</w:t>
      </w:r>
      <w:r>
        <w:rPr>
          <w:color w:val="000000"/>
        </w:rPr>
        <w:t>健康中国上升为国家战略，将卫生与健康事业发展摆在了经济社会发展全局的重要位置，大力发展卫生健康事业，既可增强人民体质，又能解除群众看病就医的后顾之忧，也有利于积蓄经济发展的长久势能，扩大内需潜力，推动健康发展观日益深入人心，与</w:t>
      </w:r>
      <w:r>
        <w:rPr>
          <w:color w:val="000000"/>
          <w:lang w:val="en"/>
        </w:rPr>
        <w:t>“</w:t>
      </w:r>
      <w:r>
        <w:rPr>
          <w:color w:val="000000"/>
        </w:rPr>
        <w:t>大健康”相关的产业有望进入蓬勃发展期，为永川卫生事业发展提供了内生活力。</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szCs w:val="32"/>
        </w:rPr>
      </w:pPr>
      <w:r>
        <w:rPr>
          <w:rStyle w:val="16"/>
          <w:b w:val="0"/>
          <w:color w:val="000000"/>
        </w:rPr>
        <w:t>3</w:t>
      </w:r>
      <w:r>
        <w:rPr>
          <w:rStyle w:val="16"/>
          <w:rFonts w:hint="eastAsia" w:ascii="方正仿宋_GBK" w:hAnsi="方正仿宋_GBK" w:eastAsia="方正仿宋_GBK" w:cs="方正仿宋_GBK"/>
          <w:b w:val="0"/>
          <w:color w:val="000000"/>
        </w:rPr>
        <w:t>﹒</w:t>
      </w:r>
      <w:r>
        <w:rPr>
          <w:rStyle w:val="16"/>
          <w:b w:val="0"/>
          <w:color w:val="000000"/>
        </w:rPr>
        <w:t>新一轮信息技术变革为永川卫生健康事业提供了新条件。</w:t>
      </w:r>
      <w:r>
        <w:rPr>
          <w:color w:val="000000"/>
        </w:rPr>
        <w:t>云计算、物联网、移动互联网、大数据等信息化技术日新月异，</w:t>
      </w:r>
      <w:r>
        <w:rPr>
          <w:color w:val="000000"/>
          <w:lang w:val="en"/>
        </w:rPr>
        <w:t>“</w:t>
      </w:r>
      <w:r>
        <w:rPr>
          <w:color w:val="000000"/>
        </w:rPr>
        <w:t>互联网+医疗”</w:t>
      </w:r>
      <w:r>
        <w:rPr>
          <w:color w:val="000000"/>
          <w:lang w:val="en"/>
        </w:rPr>
        <w:t>“</w:t>
      </w:r>
      <w:r>
        <w:rPr>
          <w:color w:val="000000"/>
        </w:rPr>
        <w:t>互联网+健康”等新型业态快速发展，信息技术与医疗健康服务深度融合，移动设备和智能可穿戴设备广泛应用，</w:t>
      </w:r>
      <w:bookmarkStart w:id="54" w:name="_Toc31770"/>
      <w:r>
        <w:rPr>
          <w:color w:val="000000"/>
        </w:rPr>
        <w:t>为</w:t>
      </w:r>
      <w:r>
        <w:rPr>
          <w:color w:val="000000"/>
          <w:szCs w:val="32"/>
        </w:rPr>
        <w:t>方便群众看病就医、增强经济发展新动能提供了重要抓手，也将为永川构建临床诊疗更精准、医学科研更高效、行业监管更精细的医疗发展新格局提供有利条件。</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rFonts w:eastAsia="方正楷体_GBK"/>
          <w:color w:val="000000"/>
        </w:rPr>
      </w:pPr>
      <w:r>
        <w:rPr>
          <w:rFonts w:eastAsia="方正楷体_GBK"/>
          <w:color w:val="000000"/>
        </w:rPr>
        <w:t>（二）面临挑战</w:t>
      </w:r>
      <w:bookmarkEnd w:id="54"/>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r>
        <w:rPr>
          <w:rStyle w:val="16"/>
          <w:b w:val="0"/>
          <w:color w:val="000000"/>
        </w:rPr>
        <w:t>1</w:t>
      </w:r>
      <w:r>
        <w:rPr>
          <w:rStyle w:val="16"/>
          <w:rFonts w:hint="eastAsia" w:ascii="方正仿宋_GBK" w:hAnsi="方正仿宋_GBK" w:eastAsia="方正仿宋_GBK" w:cs="方正仿宋_GBK"/>
          <w:b w:val="0"/>
          <w:color w:val="000000"/>
        </w:rPr>
        <w:t>﹒</w:t>
      </w:r>
      <w:r>
        <w:rPr>
          <w:rStyle w:val="16"/>
          <w:b w:val="0"/>
          <w:color w:val="000000"/>
        </w:rPr>
        <w:t>人民群众多元化的健康需求对卫生资源布局发展提出新要求。</w:t>
      </w:r>
      <w:r>
        <w:rPr>
          <w:color w:val="000000"/>
        </w:rPr>
        <w:t>2020年永川区地区生产总值（GDP）突破一千亿，位列重庆区县第八位。随着区内经济社会飞速发展，人民群众健康服务需求不断释放，对医疗服务内容的多样性和服务数量的需求持续增长，对医疗服务内涵和质量要求将越来越高，对于医疗服务已经从单纯的</w:t>
      </w:r>
      <w:r>
        <w:rPr>
          <w:color w:val="000000"/>
          <w:lang w:val="en"/>
        </w:rPr>
        <w:t>“</w:t>
      </w:r>
      <w:r>
        <w:rPr>
          <w:color w:val="000000"/>
        </w:rPr>
        <w:t>看得上病”转向</w:t>
      </w:r>
      <w:r>
        <w:rPr>
          <w:color w:val="000000"/>
          <w:lang w:val="en"/>
        </w:rPr>
        <w:t>“</w:t>
      </w:r>
      <w:r>
        <w:rPr>
          <w:color w:val="000000"/>
        </w:rPr>
        <w:t>看得好病”和良好的就医体验，并且从</w:t>
      </w:r>
      <w:r>
        <w:rPr>
          <w:color w:val="000000"/>
          <w:lang w:val="en"/>
        </w:rPr>
        <w:t>“</w:t>
      </w:r>
      <w:r>
        <w:rPr>
          <w:color w:val="000000"/>
        </w:rPr>
        <w:t>诊治疾病”向</w:t>
      </w:r>
      <w:r>
        <w:rPr>
          <w:color w:val="000000"/>
          <w:lang w:val="en"/>
        </w:rPr>
        <w:t>“</w:t>
      </w:r>
      <w:r>
        <w:rPr>
          <w:color w:val="000000"/>
        </w:rPr>
        <w:t>健康管理”发展。同时，不良生活习惯成为影响健康的重要因素，职业卫生、环境安全、食品安全等多种影响健康因素相互交织，重大传染病等疾病威胁依然存在，给人民群众健康带来严峻挑战。这些新需求和新挑战对我区医疗卫生资源布局提出新要求。</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r>
        <w:rPr>
          <w:rStyle w:val="16"/>
          <w:b w:val="0"/>
          <w:color w:val="000000"/>
        </w:rPr>
        <w:t>2</w:t>
      </w:r>
      <w:r>
        <w:rPr>
          <w:rStyle w:val="16"/>
          <w:rFonts w:hint="eastAsia" w:ascii="方正仿宋_GBK" w:hAnsi="方正仿宋_GBK" w:eastAsia="方正仿宋_GBK" w:cs="方正仿宋_GBK"/>
          <w:b w:val="0"/>
          <w:color w:val="000000"/>
        </w:rPr>
        <w:t>﹒</w:t>
      </w:r>
      <w:r>
        <w:rPr>
          <w:rStyle w:val="16"/>
          <w:b w:val="0"/>
          <w:color w:val="000000"/>
        </w:rPr>
        <w:t>工业化、城镇化、人口老龄化对医疗卫生服务供给能力带来巨大挑战。</w:t>
      </w:r>
      <w:r>
        <w:rPr>
          <w:color w:val="000000"/>
        </w:rPr>
        <w:t>我区正在加快建设双百区域性中心城市，城区面积进一步扩大，常住人口继续增加，卫生健康事业将面临服务能力紧缺、群众就医供给不足、分布不均等问题。随着人口老龄化趋势加快，老年人医疗健康、康复、护理等需求日益增长，且由于生活方式变化，高血压、糖尿病等慢性非传染病已成为主要健康问题，从疾病的诊治、用药以及康复等方面都考验着现有医疗</w:t>
      </w:r>
      <w:r>
        <w:rPr>
          <w:rFonts w:hint="eastAsia"/>
          <w:color w:val="000000"/>
          <w:lang w:eastAsia="zh-CN"/>
        </w:rPr>
        <w:t>体系的</w:t>
      </w:r>
      <w:r>
        <w:rPr>
          <w:color w:val="000000"/>
        </w:rPr>
        <w:t>承受能力。我区老年医疗卫生服务体系仍不够健全，老年病医院和老年康复、护理、临终关怀机构等严重设置不足，医疗卫生服务能力面临较大挑战。</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r>
        <w:rPr>
          <w:rStyle w:val="16"/>
          <w:b w:val="0"/>
          <w:color w:val="000000"/>
        </w:rPr>
        <w:t>3</w:t>
      </w:r>
      <w:r>
        <w:rPr>
          <w:rStyle w:val="16"/>
          <w:rFonts w:hint="eastAsia" w:ascii="方正仿宋_GBK" w:hAnsi="方正仿宋_GBK" w:eastAsia="方正仿宋_GBK" w:cs="方正仿宋_GBK"/>
          <w:b w:val="0"/>
          <w:color w:val="000000"/>
        </w:rPr>
        <w:t>﹒</w:t>
      </w:r>
      <w:r>
        <w:rPr>
          <w:rStyle w:val="16"/>
          <w:b w:val="0"/>
          <w:color w:val="000000"/>
        </w:rPr>
        <w:t>区域间医疗卫生能力竞争加剧对建设区域性中心形成较大考验。</w:t>
      </w:r>
      <w:r>
        <w:rPr>
          <w:color w:val="000000"/>
        </w:rPr>
        <w:t>永川地处川渝结合地带，区内拥有高水平临床诊疗中心、高层次人才培养基地、高水准科研创新和转化平台、高效率健康管理体系，在医疗方面引领和辐射周边区县及四川邻近地级市。尽管我区在医疗资源上有一定优势，但辐射带动能力仍需进一步提升。同时各毗邻地区发展势头非常迅猛，医疗行业竞争空间十分激烈，对永川建设区域性医疗中心形成较大考验。</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p>
    <w:p>
      <w:pPr>
        <w:pStyle w:val="2"/>
        <w:keepNext w:val="0"/>
        <w:keepLines w:val="0"/>
        <w:pageBreakBefore w:val="0"/>
        <w:widowControl w:val="0"/>
        <w:kinsoku/>
        <w:wordWrap/>
        <w:overflowPunct/>
        <w:topLinePunct w:val="0"/>
        <w:autoSpaceDE/>
        <w:autoSpaceDN/>
        <w:bidi w:val="0"/>
        <w:snapToGrid w:val="0"/>
        <w:spacing w:afterLines="0" w:line="276" w:lineRule="auto"/>
        <w:jc w:val="center"/>
        <w:textAlignment w:val="auto"/>
        <w:rPr>
          <w:rFonts w:hint="eastAsia" w:ascii="方正黑体_GBK" w:hAnsi="方正黑体_GBK" w:cs="方正黑体_GBK"/>
          <w:color w:val="000000"/>
        </w:rPr>
      </w:pPr>
      <w:bookmarkStart w:id="55" w:name="_Toc20009"/>
      <w:bookmarkStart w:id="56" w:name="_Toc74327795"/>
      <w:bookmarkStart w:id="57" w:name="_Toc1141970860_WPSOffice_Level1"/>
      <w:r>
        <w:rPr>
          <w:rFonts w:hint="eastAsia" w:ascii="方正黑体_GBK" w:hAnsi="方正黑体_GBK" w:cs="方正黑体_GBK"/>
          <w:color w:val="000000"/>
        </w:rPr>
        <w:t xml:space="preserve">第二章 </w:t>
      </w:r>
      <w:r>
        <w:rPr>
          <w:rFonts w:hint="eastAsia" w:ascii="方正黑体_GBK" w:hAnsi="方正黑体_GBK" w:cs="方正黑体_GBK"/>
          <w:color w:val="000000"/>
          <w:lang w:val="en"/>
        </w:rPr>
        <w:t xml:space="preserve"> </w:t>
      </w:r>
      <w:r>
        <w:rPr>
          <w:rFonts w:hint="eastAsia" w:ascii="方正黑体_GBK" w:hAnsi="方正黑体_GBK" w:cs="方正黑体_GBK"/>
          <w:color w:val="000000"/>
        </w:rPr>
        <w:t>指导思想、基本原则、发展思路</w:t>
      </w:r>
      <w:bookmarkEnd w:id="55"/>
      <w:bookmarkEnd w:id="56"/>
      <w:r>
        <w:rPr>
          <w:rFonts w:hint="eastAsia" w:ascii="方正黑体_GBK" w:hAnsi="方正黑体_GBK" w:cs="方正黑体_GBK"/>
          <w:color w:val="000000"/>
        </w:rPr>
        <w:t>和总体目标</w:t>
      </w:r>
      <w:bookmarkEnd w:id="57"/>
    </w:p>
    <w:p>
      <w:pPr>
        <w:pageBreakBefore w:val="0"/>
        <w:widowControl w:val="0"/>
        <w:kinsoku/>
        <w:wordWrap/>
        <w:overflowPunct/>
        <w:topLinePunct w:val="0"/>
        <w:autoSpaceDE/>
        <w:autoSpaceDN/>
        <w:bidi w:val="0"/>
        <w:snapToGrid w:val="0"/>
        <w:spacing w:afterLines="0" w:line="276" w:lineRule="auto"/>
        <w:ind w:firstLine="640"/>
        <w:jc w:val="center"/>
        <w:textAlignment w:val="auto"/>
        <w:rPr>
          <w:rFonts w:ascii="Times New Roman" w:hAnsi="Times New Roman" w:cs="Times New Roman"/>
          <w:color w:val="000000"/>
        </w:rPr>
      </w:pPr>
      <w:bookmarkStart w:id="58" w:name="_Toc74327796"/>
      <w:bookmarkStart w:id="59" w:name="_Toc12278"/>
    </w:p>
    <w:p>
      <w:pPr>
        <w:pStyle w:val="3"/>
        <w:keepNext w:val="0"/>
        <w:keepLines w:val="0"/>
        <w:pageBreakBefore w:val="0"/>
        <w:widowControl w:val="0"/>
        <w:kinsoku/>
        <w:wordWrap/>
        <w:overflowPunct/>
        <w:topLinePunct w:val="0"/>
        <w:autoSpaceDE/>
        <w:autoSpaceDN/>
        <w:bidi w:val="0"/>
        <w:snapToGrid w:val="0"/>
        <w:spacing w:afterLines="0" w:line="276" w:lineRule="auto"/>
        <w:jc w:val="center"/>
        <w:textAlignment w:val="auto"/>
        <w:rPr>
          <w:rFonts w:hint="eastAsia" w:ascii="方正楷体_GBK" w:hAnsi="方正楷体_GBK" w:cs="方正楷体_GBK"/>
          <w:color w:val="000000"/>
        </w:rPr>
      </w:pPr>
      <w:bookmarkStart w:id="60" w:name="_Toc671623656_WPSOffice_Level2"/>
      <w:r>
        <w:rPr>
          <w:rFonts w:hint="eastAsia" w:ascii="方正楷体_GBK" w:hAnsi="方正楷体_GBK" w:cs="方正楷体_GBK"/>
          <w:color w:val="000000"/>
        </w:rPr>
        <w:t>第一节</w:t>
      </w:r>
      <w:r>
        <w:rPr>
          <w:rFonts w:hint="eastAsia" w:ascii="方正楷体_GBK" w:hAnsi="方正楷体_GBK" w:cs="方正楷体_GBK"/>
          <w:color w:val="000000"/>
          <w:lang w:val="en"/>
        </w:rPr>
        <w:t xml:space="preserve"> </w:t>
      </w:r>
      <w:r>
        <w:rPr>
          <w:rFonts w:hint="eastAsia" w:ascii="方正楷体_GBK" w:hAnsi="方正楷体_GBK" w:cs="方正楷体_GBK"/>
          <w:color w:val="000000"/>
        </w:rPr>
        <w:t xml:space="preserve"> </w:t>
      </w:r>
      <w:bookmarkEnd w:id="58"/>
      <w:r>
        <w:rPr>
          <w:rFonts w:hint="eastAsia" w:ascii="方正楷体_GBK" w:hAnsi="方正楷体_GBK" w:cs="方正楷体_GBK"/>
          <w:color w:val="000000"/>
        </w:rPr>
        <w:t>指导思想</w:t>
      </w:r>
      <w:bookmarkEnd w:id="59"/>
      <w:bookmarkEnd w:id="60"/>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r>
        <w:rPr>
          <w:color w:val="000000"/>
        </w:rPr>
        <w:t>高举中国特色社会主义伟大旗帜，</w:t>
      </w:r>
      <w:r>
        <w:rPr>
          <w:rFonts w:hint="eastAsia"/>
          <w:color w:val="000000"/>
          <w:lang w:eastAsia="zh-CN"/>
        </w:rPr>
        <w:t>以习近平新时代中国特色社会主义思想为</w:t>
      </w:r>
      <w:r>
        <w:rPr>
          <w:rFonts w:hint="eastAsia"/>
          <w:color w:val="000000"/>
          <w:lang w:val="en-US" w:eastAsia="zh-CN"/>
        </w:rPr>
        <w:t>根本遵循</w:t>
      </w:r>
      <w:r>
        <w:rPr>
          <w:rFonts w:hint="eastAsia"/>
          <w:color w:val="000000"/>
          <w:lang w:eastAsia="zh-CN"/>
        </w:rPr>
        <w:t>，</w:t>
      </w:r>
      <w:r>
        <w:rPr>
          <w:color w:val="000000"/>
        </w:rPr>
        <w:t>深入贯彻党的十九大和十九届二中、三中、四中、五中</w:t>
      </w:r>
      <w:r>
        <w:rPr>
          <w:rFonts w:hint="eastAsia"/>
          <w:color w:val="000000"/>
        </w:rPr>
        <w:t>、六中</w:t>
      </w:r>
      <w:r>
        <w:rPr>
          <w:color w:val="000000"/>
        </w:rPr>
        <w:t>全会精神，全面贯彻习近平总书记对重庆提出的重要指示要求，</w:t>
      </w:r>
      <w:r>
        <w:rPr>
          <w:color w:val="000000"/>
          <w:u w:val="none"/>
        </w:rPr>
        <w:t>全面实施永川</w:t>
      </w:r>
      <w:r>
        <w:rPr>
          <w:color w:val="000000"/>
          <w:u w:val="none"/>
          <w:lang w:val="en"/>
        </w:rPr>
        <w:t>“</w:t>
      </w:r>
      <w:r>
        <w:rPr>
          <w:color w:val="000000"/>
          <w:u w:val="none"/>
        </w:rPr>
        <w:t>2235”总体发展思路，坚持</w:t>
      </w:r>
      <w:r>
        <w:rPr>
          <w:color w:val="000000"/>
          <w:u w:val="none"/>
          <w:lang w:val="en"/>
        </w:rPr>
        <w:t>“</w:t>
      </w:r>
      <w:r>
        <w:rPr>
          <w:color w:val="000000"/>
          <w:u w:val="none"/>
        </w:rPr>
        <w:t>成渝地区双城经济圈枢纽节点、重庆主城都市区战略支点”两大发展定位，</w:t>
      </w:r>
      <w:r>
        <w:rPr>
          <w:rFonts w:hint="eastAsia" w:ascii="方正仿宋_GBK"/>
          <w:color w:val="000000"/>
          <w:u w:val="none"/>
        </w:rPr>
        <w:t>紧扣</w:t>
      </w:r>
      <w:r>
        <w:rPr>
          <w:rFonts w:hint="default" w:ascii="方正仿宋_GBK"/>
          <w:color w:val="000000"/>
          <w:u w:val="none"/>
          <w:lang w:val="en"/>
        </w:rPr>
        <w:t>“</w:t>
      </w:r>
      <w:r>
        <w:rPr>
          <w:rFonts w:hint="eastAsia" w:ascii="方正仿宋_GBK"/>
          <w:color w:val="000000"/>
          <w:u w:val="none"/>
        </w:rPr>
        <w:t>打造高质量发展先行区、高品质生活示范区”两大发展任务，突出</w:t>
      </w:r>
      <w:r>
        <w:rPr>
          <w:rFonts w:hint="default" w:ascii="方正仿宋_GBK"/>
          <w:color w:val="000000"/>
          <w:u w:val="none"/>
          <w:lang w:val="en"/>
        </w:rPr>
        <w:t>“</w:t>
      </w:r>
      <w:r>
        <w:rPr>
          <w:rFonts w:hint="eastAsia" w:ascii="方正仿宋_GBK"/>
          <w:color w:val="000000"/>
          <w:u w:val="none"/>
        </w:rPr>
        <w:t>建设现代制造业基地、西部职教基地、‘双百’区域性中心城市”三大发展任务，实施</w:t>
      </w:r>
      <w:r>
        <w:rPr>
          <w:rFonts w:hint="default" w:ascii="方正仿宋_GBK"/>
          <w:color w:val="000000"/>
          <w:u w:val="none"/>
          <w:lang w:val="en"/>
        </w:rPr>
        <w:t>“</w:t>
      </w:r>
      <w:r>
        <w:rPr>
          <w:rFonts w:hint="eastAsia" w:ascii="方正仿宋_GBK"/>
          <w:color w:val="000000"/>
          <w:u w:val="none"/>
        </w:rPr>
        <w:t>产业能级提升、产城景融合发展、城乡融合发展、开放创新发展、绿色低碳发展”五大发展行动</w:t>
      </w:r>
      <w:r>
        <w:rPr>
          <w:rFonts w:hint="eastAsia" w:ascii="方正仿宋_GBK"/>
          <w:color w:val="000000"/>
          <w:u w:val="none"/>
          <w:lang w:eastAsia="zh-CN"/>
        </w:rPr>
        <w:t>。</w:t>
      </w:r>
      <w:r>
        <w:rPr>
          <w:color w:val="000000"/>
          <w:u w:val="none"/>
        </w:rPr>
        <w:t>立</w:t>
      </w:r>
      <w:r>
        <w:rPr>
          <w:color w:val="000000"/>
        </w:rPr>
        <w:t>足新发展阶段，完整、准确、全面贯彻新发展理念，服务和融入新发展格局，把人民健康放在优先发展战略地位，牢固树立</w:t>
      </w:r>
      <w:r>
        <w:rPr>
          <w:color w:val="000000"/>
          <w:lang w:val="en"/>
        </w:rPr>
        <w:t>“</w:t>
      </w:r>
      <w:r>
        <w:rPr>
          <w:color w:val="000000"/>
        </w:rPr>
        <w:t>大卫生、大健康”理念，坚持基层为重、预防为主、防治结合、中西医并重</w:t>
      </w:r>
      <w:r>
        <w:rPr>
          <w:color w:val="000000"/>
          <w:szCs w:val="32"/>
        </w:rPr>
        <w:t>和优势互补</w:t>
      </w:r>
      <w:r>
        <w:rPr>
          <w:color w:val="000000"/>
        </w:rPr>
        <w:t>，</w:t>
      </w:r>
      <w:r>
        <w:rPr>
          <w:color w:val="000000"/>
          <w:szCs w:val="32"/>
        </w:rPr>
        <w:t>深入实施健康中国永川行动，</w:t>
      </w:r>
      <w:r>
        <w:rPr>
          <w:color w:val="000000"/>
        </w:rPr>
        <w:t>积极落实应对人口老龄化国家战略，加快建设</w:t>
      </w:r>
      <w:r>
        <w:rPr>
          <w:rFonts w:hint="eastAsia"/>
          <w:color w:val="000000"/>
          <w:szCs w:val="32"/>
        </w:rPr>
        <w:t>区域医疗中心</w:t>
      </w:r>
      <w:r>
        <w:rPr>
          <w:color w:val="000000"/>
        </w:rPr>
        <w:t>，全方位全周期保障人民健康，为全面开启永川卫生健康事业新征程开好局、起好步。</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p>
    <w:p>
      <w:pPr>
        <w:pStyle w:val="3"/>
        <w:keepNext w:val="0"/>
        <w:keepLines w:val="0"/>
        <w:pageBreakBefore w:val="0"/>
        <w:widowControl w:val="0"/>
        <w:kinsoku/>
        <w:wordWrap/>
        <w:overflowPunct/>
        <w:topLinePunct w:val="0"/>
        <w:autoSpaceDE/>
        <w:autoSpaceDN/>
        <w:bidi w:val="0"/>
        <w:snapToGrid w:val="0"/>
        <w:spacing w:afterLines="0" w:line="276" w:lineRule="auto"/>
        <w:jc w:val="center"/>
        <w:textAlignment w:val="auto"/>
        <w:rPr>
          <w:rFonts w:hint="eastAsia" w:ascii="方正楷体_GBK" w:hAnsi="方正楷体_GBK" w:cs="方正楷体_GBK"/>
          <w:color w:val="000000"/>
        </w:rPr>
      </w:pPr>
      <w:bookmarkStart w:id="61" w:name="_Toc1058504476_WPSOffice_Level2"/>
      <w:bookmarkStart w:id="62" w:name="_Toc74327797"/>
      <w:bookmarkStart w:id="63" w:name="_Toc8591"/>
      <w:r>
        <w:rPr>
          <w:rFonts w:hint="eastAsia" w:ascii="方正楷体_GBK" w:hAnsi="方正楷体_GBK" w:cs="方正楷体_GBK"/>
          <w:color w:val="000000"/>
        </w:rPr>
        <w:t xml:space="preserve">第二节 </w:t>
      </w:r>
      <w:r>
        <w:rPr>
          <w:rFonts w:hint="eastAsia" w:ascii="方正楷体_GBK" w:hAnsi="方正楷体_GBK" w:cs="方正楷体_GBK"/>
          <w:color w:val="000000"/>
          <w:lang w:val="en"/>
        </w:rPr>
        <w:t xml:space="preserve"> </w:t>
      </w:r>
      <w:r>
        <w:rPr>
          <w:rFonts w:hint="eastAsia" w:ascii="方正楷体_GBK" w:hAnsi="方正楷体_GBK" w:cs="方正楷体_GBK"/>
          <w:color w:val="000000"/>
        </w:rPr>
        <w:t>基本原则</w:t>
      </w:r>
      <w:bookmarkEnd w:id="61"/>
      <w:bookmarkEnd w:id="62"/>
      <w:bookmarkEnd w:id="63"/>
    </w:p>
    <w:p>
      <w:pPr>
        <w:pageBreakBefore w:val="0"/>
        <w:widowControl w:val="0"/>
        <w:kinsoku/>
        <w:wordWrap/>
        <w:overflowPunct/>
        <w:topLinePunct w:val="0"/>
        <w:autoSpaceDE/>
        <w:autoSpaceDN/>
        <w:bidi w:val="0"/>
        <w:snapToGrid w:val="0"/>
        <w:spacing w:afterLines="0" w:line="276" w:lineRule="auto"/>
        <w:ind w:left="0" w:leftChars="0" w:firstLine="640"/>
        <w:textAlignment w:val="auto"/>
        <w:rPr>
          <w:rStyle w:val="16"/>
          <w:rFonts w:eastAsia="方正楷体_GBK"/>
          <w:b w:val="0"/>
          <w:bCs w:val="0"/>
          <w:color w:val="000000"/>
        </w:rPr>
      </w:pP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r>
        <w:rPr>
          <w:rStyle w:val="16"/>
          <w:rFonts w:eastAsia="方正楷体_GBK"/>
          <w:b w:val="0"/>
          <w:bCs w:val="0"/>
          <w:color w:val="000000"/>
        </w:rPr>
        <w:t>——</w:t>
      </w:r>
      <w:r>
        <w:rPr>
          <w:rStyle w:val="16"/>
          <w:b w:val="0"/>
          <w:bCs w:val="0"/>
          <w:color w:val="000000"/>
        </w:rPr>
        <w:t>政府主导，科学配置</w:t>
      </w:r>
      <w:r>
        <w:rPr>
          <w:rStyle w:val="16"/>
          <w:rFonts w:eastAsia="方正楷体_GBK"/>
          <w:b w:val="0"/>
          <w:bCs w:val="0"/>
          <w:color w:val="000000"/>
        </w:rPr>
        <w:t>。</w:t>
      </w:r>
      <w:r>
        <w:rPr>
          <w:color w:val="000000"/>
        </w:rPr>
        <w:t>围绕永川经济社会发展规划总体目标，统筹医疗卫生资源配置，优化健康要素和服务供给，实现卫生资源在区域和系统内的合理配置。以体制机制创新为切入点，不断提高贯彻新发展理念、构建新发展格局能力和水平，为实现高质量发展提供根本保证。</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szCs w:val="32"/>
        </w:rPr>
      </w:pPr>
      <w:r>
        <w:rPr>
          <w:rStyle w:val="16"/>
          <w:rFonts w:eastAsia="方正楷体_GBK"/>
          <w:b w:val="0"/>
          <w:bCs w:val="0"/>
          <w:color w:val="000000"/>
        </w:rPr>
        <w:t>—</w:t>
      </w:r>
      <w:r>
        <w:rPr>
          <w:rStyle w:val="16"/>
          <w:b w:val="0"/>
          <w:bCs w:val="0"/>
          <w:color w:val="000000"/>
        </w:rPr>
        <w:t>—以人为本，健康至上</w:t>
      </w:r>
      <w:r>
        <w:rPr>
          <w:rStyle w:val="16"/>
          <w:rFonts w:eastAsia="方正楷体_GBK"/>
          <w:b w:val="0"/>
          <w:bCs w:val="0"/>
          <w:color w:val="000000"/>
        </w:rPr>
        <w:t>。</w:t>
      </w:r>
      <w:r>
        <w:rPr>
          <w:color w:val="000000"/>
        </w:rPr>
        <w:t>坚持</w:t>
      </w:r>
      <w:r>
        <w:rPr>
          <w:rFonts w:hint="eastAsia"/>
          <w:color w:val="000000"/>
          <w:lang w:eastAsia="zh-CN"/>
        </w:rPr>
        <w:t>以</w:t>
      </w:r>
      <w:r>
        <w:rPr>
          <w:color w:val="000000"/>
        </w:rPr>
        <w:t>人民健康为中心，把提升人民健康水平作为卫生健康事业发展的根本出发点和落脚点，着力解决群众看病的痛点难点堵点，进一步健全和完善健康永川建设的指标体系、工作体系、政策体系和评价体系，实现健康与经济社会协调发展。</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r>
        <w:rPr>
          <w:rStyle w:val="16"/>
          <w:b w:val="0"/>
          <w:bCs w:val="0"/>
          <w:color w:val="000000"/>
        </w:rPr>
        <w:t>——深化改革，创新发展。</w:t>
      </w:r>
      <w:r>
        <w:rPr>
          <w:color w:val="000000"/>
        </w:rPr>
        <w:t>以改革的思维为统领，用创新的办法破解瓶颈问题，推进我区卫生健康事业发展模式的转变。立足区域实际，积极探索符合永川区的医药卫生体制改革新思路，全面深化改革，不断提高医疗服务质量。</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r>
        <w:rPr>
          <w:rStyle w:val="17"/>
          <w:rFonts w:eastAsia="方正楷体_GBK"/>
          <w:b w:val="0"/>
          <w:color w:val="000000"/>
        </w:rPr>
        <w:t>——</w:t>
      </w:r>
      <w:r>
        <w:rPr>
          <w:rStyle w:val="17"/>
          <w:b w:val="0"/>
          <w:color w:val="000000"/>
        </w:rPr>
        <w:t>医防融合，健全体系</w:t>
      </w:r>
      <w:r>
        <w:rPr>
          <w:rStyle w:val="17"/>
          <w:rFonts w:eastAsia="方正楷体_GBK"/>
          <w:b w:val="0"/>
          <w:color w:val="000000"/>
        </w:rPr>
        <w:t>。</w:t>
      </w:r>
      <w:r>
        <w:rPr>
          <w:color w:val="000000"/>
          <w:szCs w:val="32"/>
        </w:rPr>
        <w:t>贯彻预防为主的卫生与健康工作方针，完善重大疫情防控体制机制。持续健全公共卫生</w:t>
      </w:r>
      <w:r>
        <w:rPr>
          <w:color w:val="000000"/>
        </w:rPr>
        <w:t>应急体系，注重平战结合、医防融合，健全统一的应急物资保障体系，提高永川应对突发重大公共卫生事件的能力和水平。</w:t>
      </w:r>
    </w:p>
    <w:p>
      <w:pPr>
        <w:pageBreakBefore w:val="0"/>
        <w:widowControl w:val="0"/>
        <w:kinsoku/>
        <w:wordWrap/>
        <w:overflowPunct/>
        <w:topLinePunct w:val="0"/>
        <w:autoSpaceDE/>
        <w:autoSpaceDN/>
        <w:bidi w:val="0"/>
        <w:snapToGrid w:val="0"/>
        <w:spacing w:afterLines="0" w:line="276" w:lineRule="auto"/>
        <w:ind w:left="0" w:leftChars="0" w:firstLine="640"/>
        <w:textAlignment w:val="auto"/>
        <w:rPr>
          <w:color w:val="000000"/>
        </w:rPr>
      </w:pPr>
    </w:p>
    <w:p>
      <w:pPr>
        <w:pStyle w:val="3"/>
        <w:keepNext w:val="0"/>
        <w:keepLines w:val="0"/>
        <w:pageBreakBefore w:val="0"/>
        <w:widowControl w:val="0"/>
        <w:tabs>
          <w:tab w:val="left" w:pos="426"/>
        </w:tabs>
        <w:kinsoku/>
        <w:wordWrap/>
        <w:overflowPunct/>
        <w:topLinePunct w:val="0"/>
        <w:autoSpaceDE/>
        <w:autoSpaceDN/>
        <w:bidi w:val="0"/>
        <w:snapToGrid w:val="0"/>
        <w:spacing w:afterLines="0" w:line="276" w:lineRule="auto"/>
        <w:jc w:val="center"/>
        <w:textAlignment w:val="auto"/>
        <w:rPr>
          <w:rFonts w:hint="eastAsia" w:ascii="方正楷体_GBK" w:hAnsi="方正楷体_GBK" w:cs="方正楷体_GBK"/>
          <w:color w:val="000000"/>
        </w:rPr>
      </w:pPr>
      <w:bookmarkStart w:id="64" w:name="_Toc74327798"/>
      <w:bookmarkStart w:id="65" w:name="_Toc1561517520_WPSOffice_Level2"/>
      <w:bookmarkStart w:id="66" w:name="_Toc27383"/>
      <w:r>
        <w:rPr>
          <w:rFonts w:hint="eastAsia" w:ascii="方正楷体_GBK" w:hAnsi="方正楷体_GBK" w:cs="方正楷体_GBK"/>
          <w:color w:val="000000"/>
        </w:rPr>
        <w:t xml:space="preserve">第三节 </w:t>
      </w:r>
      <w:r>
        <w:rPr>
          <w:rFonts w:hint="eastAsia" w:ascii="方正楷体_GBK" w:hAnsi="方正楷体_GBK" w:cs="方正楷体_GBK"/>
          <w:color w:val="000000"/>
          <w:lang w:val="en"/>
        </w:rPr>
        <w:t xml:space="preserve"> </w:t>
      </w:r>
      <w:r>
        <w:rPr>
          <w:rFonts w:hint="eastAsia" w:ascii="方正楷体_GBK" w:hAnsi="方正楷体_GBK" w:cs="方正楷体_GBK"/>
          <w:color w:val="000000"/>
        </w:rPr>
        <w:t>发展</w:t>
      </w:r>
      <w:bookmarkEnd w:id="64"/>
      <w:r>
        <w:rPr>
          <w:rFonts w:hint="eastAsia" w:ascii="方正楷体_GBK" w:hAnsi="方正楷体_GBK" w:cs="方正楷体_GBK"/>
          <w:color w:val="000000"/>
        </w:rPr>
        <w:t>思路</w:t>
      </w:r>
      <w:bookmarkEnd w:id="65"/>
      <w:bookmarkEnd w:id="66"/>
    </w:p>
    <w:p>
      <w:pPr>
        <w:keepNext w:val="0"/>
        <w:keepLines w:val="0"/>
        <w:pageBreakBefore w:val="0"/>
        <w:widowControl w:val="0"/>
        <w:kinsoku/>
        <w:wordWrap/>
        <w:overflowPunct/>
        <w:topLinePunct w:val="0"/>
        <w:autoSpaceDE/>
        <w:autoSpaceDN/>
        <w:bidi w:val="0"/>
        <w:adjustRightInd/>
        <w:snapToGrid w:val="0"/>
        <w:spacing w:afterLines="0" w:line="276" w:lineRule="auto"/>
        <w:ind w:firstLine="640" w:firstLineChars="200"/>
        <w:textAlignment w:val="auto"/>
      </w:pPr>
    </w:p>
    <w:p>
      <w:pPr>
        <w:keepNext w:val="0"/>
        <w:keepLines w:val="0"/>
        <w:pageBreakBefore w:val="0"/>
        <w:widowControl w:val="0"/>
        <w:kinsoku/>
        <w:wordWrap/>
        <w:overflowPunct/>
        <w:topLinePunct w:val="0"/>
        <w:autoSpaceDE/>
        <w:autoSpaceDN/>
        <w:bidi w:val="0"/>
        <w:adjustRightInd/>
        <w:snapToGrid w:val="0"/>
        <w:spacing w:afterLines="0" w:line="276" w:lineRule="auto"/>
        <w:ind w:firstLine="640" w:firstLineChars="200"/>
        <w:textAlignment w:val="auto"/>
      </w:pPr>
      <w:r>
        <w:t>坚持</w:t>
      </w:r>
      <w:r>
        <w:rPr>
          <w:lang w:val="en"/>
        </w:rPr>
        <w:t>“</w:t>
      </w:r>
      <w:r>
        <w:t>175”发展思路，即：一个目标，七大任务，五</w:t>
      </w:r>
      <w:r>
        <w:rPr>
          <w:rFonts w:hint="eastAsia"/>
        </w:rPr>
        <w:t>大高地</w:t>
      </w:r>
      <w:r>
        <w:t>。</w:t>
      </w:r>
    </w:p>
    <w:p>
      <w:pPr>
        <w:keepNext w:val="0"/>
        <w:keepLines w:val="0"/>
        <w:pageBreakBefore w:val="0"/>
        <w:widowControl w:val="0"/>
        <w:kinsoku/>
        <w:wordWrap/>
        <w:overflowPunct/>
        <w:topLinePunct w:val="0"/>
        <w:autoSpaceDE/>
        <w:autoSpaceDN/>
        <w:bidi w:val="0"/>
        <w:adjustRightInd/>
        <w:snapToGrid w:val="0"/>
        <w:spacing w:afterLines="0" w:line="276" w:lineRule="auto"/>
        <w:ind w:firstLine="640" w:firstLineChars="200"/>
        <w:textAlignment w:val="auto"/>
      </w:pPr>
      <w:r>
        <w:t>围绕一个目标：围绕建设区域医疗中心这一总目标，全面推进卫生健康事业各项建设任务。</w:t>
      </w:r>
    </w:p>
    <w:p>
      <w:pPr>
        <w:keepNext w:val="0"/>
        <w:keepLines w:val="0"/>
        <w:pageBreakBefore w:val="0"/>
        <w:widowControl w:val="0"/>
        <w:kinsoku/>
        <w:wordWrap/>
        <w:overflowPunct/>
        <w:topLinePunct w:val="0"/>
        <w:autoSpaceDE/>
        <w:autoSpaceDN/>
        <w:bidi w:val="0"/>
        <w:adjustRightInd/>
        <w:snapToGrid w:val="0"/>
        <w:spacing w:afterLines="0" w:line="276" w:lineRule="auto"/>
        <w:ind w:firstLine="640" w:firstLineChars="200"/>
        <w:textAlignment w:val="auto"/>
      </w:pPr>
      <w:r>
        <w:t>推进七大任务：加强公共卫生与应急能力建设、全面深化医药卫生体制改革、提升区域医疗服务</w:t>
      </w:r>
      <w:r>
        <w:rPr>
          <w:rFonts w:hint="eastAsia"/>
        </w:rPr>
        <w:t>水平</w:t>
      </w:r>
      <w:r>
        <w:t>、加快中医药事业持续发展、强化全生命周期健康管理、促进健康产业高质量发展、完善健康优先发展支撑体系。</w:t>
      </w:r>
    </w:p>
    <w:p>
      <w:pPr>
        <w:keepNext w:val="0"/>
        <w:keepLines w:val="0"/>
        <w:pageBreakBefore w:val="0"/>
        <w:widowControl w:val="0"/>
        <w:kinsoku/>
        <w:wordWrap/>
        <w:overflowPunct/>
        <w:topLinePunct w:val="0"/>
        <w:autoSpaceDE/>
        <w:autoSpaceDN/>
        <w:bidi w:val="0"/>
        <w:adjustRightInd/>
        <w:snapToGrid w:val="0"/>
        <w:spacing w:afterLines="0" w:line="276" w:lineRule="auto"/>
        <w:ind w:firstLine="640" w:firstLineChars="200"/>
        <w:textAlignment w:val="auto"/>
      </w:pPr>
      <w:r>
        <w:t>建设五</w:t>
      </w:r>
      <w:r>
        <w:rPr>
          <w:rFonts w:hint="eastAsia"/>
        </w:rPr>
        <w:t>大高地</w:t>
      </w:r>
      <w:r>
        <w:rPr>
          <w:rFonts w:hint="eastAsia"/>
          <w:lang w:eastAsia="zh-CN"/>
        </w:rPr>
        <w:t>：</w:t>
      </w:r>
      <w:r>
        <w:t>渝西公共卫生防治高地、优质医疗服务高地、医疗卫生信息化高地、医疗产学研高地、川渝合作医疗示范高地。</w:t>
      </w:r>
    </w:p>
    <w:p>
      <w:pPr>
        <w:keepNext w:val="0"/>
        <w:keepLines w:val="0"/>
        <w:pageBreakBefore w:val="0"/>
        <w:widowControl w:val="0"/>
        <w:kinsoku/>
        <w:wordWrap/>
        <w:overflowPunct/>
        <w:topLinePunct w:val="0"/>
        <w:autoSpaceDE/>
        <w:autoSpaceDN/>
        <w:bidi w:val="0"/>
        <w:adjustRightInd/>
        <w:snapToGrid w:val="0"/>
        <w:spacing w:afterLines="0" w:line="276" w:lineRule="auto"/>
        <w:ind w:firstLine="640" w:firstLineChars="200"/>
        <w:textAlignment w:val="auto"/>
      </w:pPr>
    </w:p>
    <w:p>
      <w:pPr>
        <w:pStyle w:val="3"/>
        <w:keepNext w:val="0"/>
        <w:keepLines w:val="0"/>
        <w:pageBreakBefore w:val="0"/>
        <w:widowControl w:val="0"/>
        <w:kinsoku/>
        <w:wordWrap/>
        <w:overflowPunct/>
        <w:topLinePunct w:val="0"/>
        <w:autoSpaceDE/>
        <w:autoSpaceDN/>
        <w:bidi w:val="0"/>
        <w:adjustRightInd/>
        <w:snapToGrid w:val="0"/>
        <w:spacing w:afterLines="0" w:line="276" w:lineRule="auto"/>
        <w:jc w:val="center"/>
        <w:textAlignment w:val="auto"/>
        <w:rPr>
          <w:rFonts w:hint="eastAsia" w:ascii="方正楷体_GBK" w:hAnsi="方正楷体_GBK" w:eastAsia="方正楷体_GBK" w:cs="方正楷体_GBK"/>
          <w:bCs/>
          <w:color w:val="000000"/>
          <w:kern w:val="2"/>
          <w:sz w:val="32"/>
          <w:szCs w:val="32"/>
          <w:lang w:val="en-US" w:eastAsia="zh-CN" w:bidi="ar-SA"/>
        </w:rPr>
      </w:pPr>
      <w:bookmarkStart w:id="67" w:name="_Toc610194781_WPSOffice_Level2"/>
      <w:r>
        <w:rPr>
          <w:rFonts w:hint="eastAsia" w:ascii="方正楷体_GBK" w:hAnsi="方正楷体_GBK" w:eastAsia="方正楷体_GBK" w:cs="方正楷体_GBK"/>
          <w:bCs/>
          <w:color w:val="000000"/>
          <w:kern w:val="2"/>
          <w:sz w:val="32"/>
          <w:szCs w:val="32"/>
          <w:lang w:val="en-US" w:eastAsia="zh-CN" w:bidi="ar-SA"/>
        </w:rPr>
        <w:t xml:space="preserve">第四节 </w:t>
      </w:r>
      <w:r>
        <w:rPr>
          <w:rFonts w:hint="eastAsia" w:ascii="方正楷体_GBK" w:hAnsi="方正楷体_GBK" w:eastAsia="方正楷体_GBK" w:cs="方正楷体_GBK"/>
          <w:bCs/>
          <w:color w:val="000000"/>
          <w:kern w:val="2"/>
          <w:sz w:val="32"/>
          <w:szCs w:val="32"/>
          <w:lang w:val="en" w:eastAsia="zh-CN" w:bidi="ar-SA"/>
        </w:rPr>
        <w:t xml:space="preserve"> </w:t>
      </w:r>
      <w:r>
        <w:rPr>
          <w:rFonts w:hint="eastAsia" w:ascii="方正楷体_GBK" w:hAnsi="方正楷体_GBK" w:eastAsia="方正楷体_GBK" w:cs="方正楷体_GBK"/>
          <w:bCs/>
          <w:color w:val="000000"/>
          <w:kern w:val="2"/>
          <w:sz w:val="32"/>
          <w:szCs w:val="32"/>
          <w:lang w:val="en-US" w:eastAsia="zh-CN" w:bidi="ar-SA"/>
        </w:rPr>
        <w:t>总体目标</w:t>
      </w:r>
      <w:bookmarkEnd w:id="67"/>
    </w:p>
    <w:p>
      <w:pPr>
        <w:keepNext w:val="0"/>
        <w:keepLines w:val="0"/>
        <w:pageBreakBefore w:val="0"/>
        <w:widowControl w:val="0"/>
        <w:kinsoku/>
        <w:wordWrap/>
        <w:overflowPunct/>
        <w:topLinePunct w:val="0"/>
        <w:autoSpaceDE/>
        <w:autoSpaceDN/>
        <w:bidi w:val="0"/>
        <w:adjustRightInd/>
        <w:snapToGrid w:val="0"/>
        <w:spacing w:afterLines="0" w:line="276" w:lineRule="auto"/>
        <w:ind w:firstLine="640" w:firstLineChars="200"/>
        <w:textAlignment w:val="auto"/>
      </w:pPr>
    </w:p>
    <w:p>
      <w:pPr>
        <w:keepNext w:val="0"/>
        <w:keepLines w:val="0"/>
        <w:pageBreakBefore w:val="0"/>
        <w:widowControl w:val="0"/>
        <w:kinsoku/>
        <w:wordWrap/>
        <w:overflowPunct/>
        <w:topLinePunct w:val="0"/>
        <w:autoSpaceDE/>
        <w:autoSpaceDN/>
        <w:bidi w:val="0"/>
        <w:adjustRightInd/>
        <w:snapToGrid w:val="0"/>
        <w:spacing w:afterLines="0" w:line="276" w:lineRule="auto"/>
        <w:ind w:firstLine="640" w:firstLineChars="200"/>
        <w:textAlignment w:val="auto"/>
      </w:pPr>
      <w:r>
        <w:t>到2025年，基本建成</w:t>
      </w:r>
      <w:r>
        <w:rPr>
          <w:rFonts w:hint="eastAsia"/>
        </w:rPr>
        <w:t>区域医疗中心</w:t>
      </w:r>
      <w:r>
        <w:t>。全区医疗服务能力大幅提升，公共卫生体系进一步健全，医药卫生体制改革全面向纵深推进，卫生健康事业实现更高水平高质量发展，各项指标位居全市前列、西部一流，医疗服务范围和影响力辐射至全国。</w:t>
      </w:r>
    </w:p>
    <w:p>
      <w:pPr>
        <w:snapToGrid w:val="0"/>
        <w:spacing w:afterLines="0" w:line="276" w:lineRule="auto"/>
        <w:jc w:val="center"/>
        <w:rPr>
          <w:rFonts w:hint="eastAsia" w:ascii="方正楷体_GBK" w:hAnsi="方正楷体_GBK" w:eastAsia="方正楷体_GBK" w:cs="方正楷体_GBK"/>
          <w:b w:val="0"/>
          <w:bCs w:val="0"/>
          <w:sz w:val="24"/>
          <w:szCs w:val="24"/>
        </w:rPr>
      </w:pPr>
      <w:bookmarkStart w:id="68" w:name="_Toc191267536_WPSOffice_Level2"/>
      <w:r>
        <w:rPr>
          <w:rFonts w:hint="eastAsia" w:ascii="方正楷体_GBK" w:hAnsi="方正楷体_GBK" w:eastAsia="方正楷体_GBK" w:cs="方正楷体_GBK"/>
          <w:b w:val="0"/>
          <w:bCs w:val="0"/>
          <w:sz w:val="24"/>
          <w:szCs w:val="24"/>
        </w:rPr>
        <w:t>永川区卫生健康发展</w:t>
      </w:r>
      <w:r>
        <w:rPr>
          <w:rFonts w:hint="eastAsia" w:ascii="方正楷体_GBK" w:hAnsi="方正楷体_GBK" w:eastAsia="方正楷体_GBK" w:cs="方正楷体_GBK"/>
          <w:b w:val="0"/>
          <w:bCs w:val="0"/>
          <w:sz w:val="24"/>
          <w:szCs w:val="24"/>
          <w:lang w:val="en"/>
        </w:rPr>
        <w:t>“</w:t>
      </w:r>
      <w:r>
        <w:rPr>
          <w:rFonts w:hint="eastAsia" w:ascii="方正楷体_GBK" w:hAnsi="方正楷体_GBK" w:eastAsia="方正楷体_GBK" w:cs="方正楷体_GBK"/>
          <w:b w:val="0"/>
          <w:bCs w:val="0"/>
          <w:sz w:val="24"/>
          <w:szCs w:val="24"/>
        </w:rPr>
        <w:t>十四五”指</w:t>
      </w:r>
      <w:bookmarkEnd w:id="68"/>
      <w:r>
        <w:rPr>
          <w:rFonts w:hint="eastAsia" w:ascii="方正楷体_GBK" w:hAnsi="方正楷体_GBK" w:eastAsia="方正楷体_GBK" w:cs="方正楷体_GBK"/>
          <w:b w:val="0"/>
          <w:bCs w:val="0"/>
          <w:sz w:val="24"/>
          <w:szCs w:val="24"/>
        </w:rPr>
        <w:t>标</w:t>
      </w:r>
    </w:p>
    <w:tbl>
      <w:tblPr>
        <w:tblStyle w:val="11"/>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4"/>
        <w:gridCol w:w="4413"/>
        <w:gridCol w:w="1050"/>
        <w:gridCol w:w="997"/>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6" w:hRule="atLeast"/>
          <w:jc w:val="center"/>
        </w:trPr>
        <w:tc>
          <w:tcPr>
            <w:tcW w:w="914" w:type="dxa"/>
            <w:noWrap w:val="0"/>
            <w:vAlign w:val="center"/>
          </w:tcPr>
          <w:p>
            <w:pPr>
              <w:pageBreakBefore w:val="0"/>
              <w:kinsoku/>
              <w:wordWrap/>
              <w:overflowPunct/>
              <w:topLinePunct w:val="0"/>
              <w:bidi w:val="0"/>
              <w:snapToGrid w:val="0"/>
              <w:spacing w:afterLines="0" w:line="276" w:lineRule="auto"/>
              <w:ind w:left="0" w:leftChars="0"/>
              <w:jc w:val="center"/>
              <w:rPr>
                <w:b/>
                <w:bCs/>
                <w:color w:val="000000"/>
                <w:sz w:val="21"/>
                <w:szCs w:val="21"/>
              </w:rPr>
            </w:pPr>
            <w:r>
              <w:rPr>
                <w:b/>
                <w:bCs/>
                <w:color w:val="000000"/>
                <w:sz w:val="21"/>
                <w:szCs w:val="21"/>
              </w:rPr>
              <w:t>类别</w:t>
            </w: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b/>
                <w:bCs/>
                <w:color w:val="000000"/>
                <w:sz w:val="21"/>
                <w:szCs w:val="21"/>
              </w:rPr>
            </w:pPr>
            <w:r>
              <w:rPr>
                <w:b/>
                <w:bCs/>
                <w:color w:val="000000"/>
                <w:sz w:val="21"/>
                <w:szCs w:val="21"/>
              </w:rPr>
              <w:t xml:space="preserve">指 </w:t>
            </w:r>
            <w:r>
              <w:rPr>
                <w:rFonts w:hint="default"/>
                <w:b/>
                <w:bCs/>
                <w:color w:val="000000"/>
                <w:sz w:val="21"/>
                <w:szCs w:val="21"/>
                <w:lang w:val="en"/>
              </w:rPr>
              <w:t xml:space="preserve"> </w:t>
            </w:r>
            <w:r>
              <w:rPr>
                <w:b/>
                <w:bCs/>
                <w:color w:val="000000"/>
                <w:sz w:val="21"/>
                <w:szCs w:val="21"/>
              </w:rPr>
              <w:t>标</w:t>
            </w:r>
          </w:p>
        </w:tc>
        <w:tc>
          <w:tcPr>
            <w:tcW w:w="1050" w:type="dxa"/>
            <w:noWrap w:val="0"/>
            <w:vAlign w:val="center"/>
          </w:tcPr>
          <w:p>
            <w:pPr>
              <w:pageBreakBefore w:val="0"/>
              <w:kinsoku/>
              <w:wordWrap/>
              <w:overflowPunct/>
              <w:topLinePunct w:val="0"/>
              <w:bidi w:val="0"/>
              <w:snapToGrid w:val="0"/>
              <w:spacing w:afterLines="0" w:line="276" w:lineRule="auto"/>
              <w:ind w:left="0" w:leftChars="0"/>
              <w:jc w:val="center"/>
              <w:rPr>
                <w:b/>
                <w:bCs/>
                <w:color w:val="000000"/>
                <w:sz w:val="21"/>
                <w:szCs w:val="21"/>
                <w:highlight w:val="yellow"/>
              </w:rPr>
            </w:pPr>
            <w:r>
              <w:rPr>
                <w:b/>
                <w:bCs/>
                <w:color w:val="000000"/>
                <w:sz w:val="21"/>
                <w:szCs w:val="21"/>
                <w:lang w:val="en"/>
              </w:rPr>
              <w:t>“</w:t>
            </w:r>
            <w:r>
              <w:rPr>
                <w:b/>
                <w:bCs/>
                <w:color w:val="000000"/>
                <w:sz w:val="21"/>
                <w:szCs w:val="21"/>
              </w:rPr>
              <w:t>十三五”主要指标完成情况</w:t>
            </w:r>
          </w:p>
        </w:tc>
        <w:tc>
          <w:tcPr>
            <w:tcW w:w="997" w:type="dxa"/>
            <w:noWrap w:val="0"/>
            <w:vAlign w:val="center"/>
          </w:tcPr>
          <w:p>
            <w:pPr>
              <w:pageBreakBefore w:val="0"/>
              <w:kinsoku/>
              <w:wordWrap/>
              <w:overflowPunct/>
              <w:topLinePunct w:val="0"/>
              <w:bidi w:val="0"/>
              <w:snapToGrid w:val="0"/>
              <w:spacing w:afterLines="0" w:line="276" w:lineRule="auto"/>
              <w:ind w:left="0" w:leftChars="0"/>
              <w:jc w:val="center"/>
              <w:rPr>
                <w:b/>
                <w:bCs/>
                <w:color w:val="000000"/>
                <w:sz w:val="21"/>
                <w:szCs w:val="21"/>
              </w:rPr>
            </w:pPr>
            <w:r>
              <w:rPr>
                <w:b/>
                <w:bCs/>
                <w:color w:val="000000"/>
                <w:sz w:val="21"/>
                <w:szCs w:val="21"/>
              </w:rPr>
              <w:t>2025年</w:t>
            </w:r>
          </w:p>
          <w:p>
            <w:pPr>
              <w:pageBreakBefore w:val="0"/>
              <w:kinsoku/>
              <w:wordWrap/>
              <w:overflowPunct/>
              <w:topLinePunct w:val="0"/>
              <w:bidi w:val="0"/>
              <w:snapToGrid w:val="0"/>
              <w:spacing w:afterLines="0" w:line="276" w:lineRule="auto"/>
              <w:ind w:left="0" w:leftChars="0"/>
              <w:jc w:val="center"/>
              <w:rPr>
                <w:b/>
                <w:bCs/>
                <w:color w:val="000000"/>
                <w:sz w:val="21"/>
                <w:szCs w:val="21"/>
              </w:rPr>
            </w:pPr>
            <w:r>
              <w:rPr>
                <w:b/>
                <w:bCs/>
                <w:color w:val="000000"/>
                <w:sz w:val="21"/>
                <w:szCs w:val="21"/>
              </w:rPr>
              <w:t>（目标值）</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b/>
                <w:bCs/>
                <w:color w:val="000000"/>
                <w:sz w:val="21"/>
                <w:szCs w:val="21"/>
              </w:rPr>
            </w:pPr>
            <w:r>
              <w:rPr>
                <w:b/>
                <w:bCs/>
                <w:color w:val="000000"/>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14" w:type="dxa"/>
            <w:vMerge w:val="restart"/>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健康水平</w:t>
            </w: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color w:val="000000"/>
                <w:sz w:val="21"/>
                <w:szCs w:val="21"/>
              </w:rPr>
            </w:pPr>
            <w:r>
              <w:rPr>
                <w:color w:val="000000"/>
                <w:sz w:val="21"/>
                <w:szCs w:val="21"/>
              </w:rPr>
              <w:t>人均预期寿命（岁）</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78.15</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79.3</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14" w:type="dxa"/>
            <w:vMerge w:val="continue"/>
            <w:noWrap w:val="0"/>
            <w:vAlign w:val="center"/>
          </w:tcPr>
          <w:p>
            <w:pPr>
              <w:pageBreakBefore w:val="0"/>
              <w:kinsoku/>
              <w:wordWrap/>
              <w:overflowPunct/>
              <w:topLinePunct w:val="0"/>
              <w:bidi w:val="0"/>
              <w:snapToGrid w:val="0"/>
              <w:spacing w:afterLines="0" w:line="276" w:lineRule="auto"/>
              <w:ind w:left="0" w:leftChars="0" w:firstLine="420"/>
              <w:jc w:val="center"/>
              <w:rPr>
                <w:color w:val="000000"/>
                <w:sz w:val="21"/>
                <w:szCs w:val="21"/>
              </w:rPr>
            </w:pP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color w:val="000000"/>
                <w:sz w:val="21"/>
                <w:szCs w:val="21"/>
              </w:rPr>
            </w:pPr>
            <w:r>
              <w:rPr>
                <w:color w:val="000000"/>
                <w:sz w:val="21"/>
                <w:szCs w:val="21"/>
              </w:rPr>
              <w:t>婴儿死亡率（‰）</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2.56</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w:t>
            </w:r>
            <w:r>
              <w:rPr>
                <w:rFonts w:hint="eastAsia"/>
                <w:color w:val="000000"/>
                <w:sz w:val="21"/>
                <w:szCs w:val="21"/>
              </w:rPr>
              <w:t>3.0</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14" w:type="dxa"/>
            <w:vMerge w:val="continue"/>
            <w:noWrap w:val="0"/>
            <w:vAlign w:val="center"/>
          </w:tcPr>
          <w:p>
            <w:pPr>
              <w:pageBreakBefore w:val="0"/>
              <w:kinsoku/>
              <w:wordWrap/>
              <w:overflowPunct/>
              <w:topLinePunct w:val="0"/>
              <w:bidi w:val="0"/>
              <w:snapToGrid w:val="0"/>
              <w:spacing w:afterLines="0" w:line="276" w:lineRule="auto"/>
              <w:ind w:left="0" w:leftChars="0" w:firstLine="420"/>
              <w:jc w:val="center"/>
              <w:rPr>
                <w:color w:val="000000"/>
                <w:sz w:val="21"/>
                <w:szCs w:val="21"/>
              </w:rPr>
            </w:pP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color w:val="000000"/>
                <w:sz w:val="21"/>
                <w:szCs w:val="21"/>
              </w:rPr>
            </w:pPr>
            <w:r>
              <w:rPr>
                <w:color w:val="000000"/>
                <w:sz w:val="21"/>
                <w:szCs w:val="21"/>
              </w:rPr>
              <w:t>5岁以下儿童死亡率（‰）</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4.72</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≤4.5</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14" w:type="dxa"/>
            <w:vMerge w:val="continue"/>
            <w:noWrap w:val="0"/>
            <w:vAlign w:val="center"/>
          </w:tcPr>
          <w:p>
            <w:pPr>
              <w:pageBreakBefore w:val="0"/>
              <w:kinsoku/>
              <w:wordWrap/>
              <w:overflowPunct/>
              <w:topLinePunct w:val="0"/>
              <w:bidi w:val="0"/>
              <w:snapToGrid w:val="0"/>
              <w:spacing w:afterLines="0" w:line="276" w:lineRule="auto"/>
              <w:ind w:left="0" w:leftChars="0" w:firstLine="420"/>
              <w:jc w:val="center"/>
              <w:rPr>
                <w:color w:val="000000"/>
                <w:sz w:val="21"/>
                <w:szCs w:val="21"/>
              </w:rPr>
            </w:pP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color w:val="000000"/>
                <w:sz w:val="21"/>
                <w:szCs w:val="21"/>
              </w:rPr>
            </w:pPr>
            <w:r>
              <w:rPr>
                <w:color w:val="000000"/>
                <w:sz w:val="21"/>
                <w:szCs w:val="21"/>
              </w:rPr>
              <w:t>孕产妇死亡率（/10万）</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8.09</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≤10</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14" w:type="dxa"/>
            <w:vMerge w:val="restart"/>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健康生活</w:t>
            </w: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color w:val="000000"/>
                <w:sz w:val="21"/>
                <w:szCs w:val="21"/>
              </w:rPr>
            </w:pPr>
            <w:r>
              <w:rPr>
                <w:color w:val="000000"/>
                <w:sz w:val="21"/>
                <w:szCs w:val="21"/>
              </w:rPr>
              <w:t>居民健康素养水平（%）</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21.74</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≥30</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14" w:type="dxa"/>
            <w:vMerge w:val="continue"/>
            <w:noWrap w:val="0"/>
            <w:vAlign w:val="center"/>
          </w:tcPr>
          <w:p>
            <w:pPr>
              <w:pageBreakBefore w:val="0"/>
              <w:kinsoku/>
              <w:wordWrap/>
              <w:overflowPunct/>
              <w:topLinePunct w:val="0"/>
              <w:bidi w:val="0"/>
              <w:snapToGrid w:val="0"/>
              <w:spacing w:afterLines="0" w:line="276" w:lineRule="auto"/>
              <w:ind w:left="0" w:leftChars="0" w:firstLine="420"/>
              <w:jc w:val="center"/>
              <w:rPr>
                <w:color w:val="000000"/>
                <w:sz w:val="21"/>
                <w:szCs w:val="21"/>
              </w:rPr>
            </w:pP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color w:val="000000"/>
                <w:sz w:val="21"/>
                <w:szCs w:val="21"/>
              </w:rPr>
            </w:pPr>
            <w:r>
              <w:rPr>
                <w:color w:val="000000"/>
                <w:sz w:val="21"/>
                <w:szCs w:val="21"/>
              </w:rPr>
              <w:t>15岁以上人群吸烟率（%）</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24.4</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w:t>
            </w:r>
            <w:r>
              <w:rPr>
                <w:rFonts w:hint="eastAsia"/>
                <w:color w:val="000000"/>
                <w:sz w:val="21"/>
                <w:szCs w:val="21"/>
                <w:lang w:val="en-US" w:eastAsia="zh-CN"/>
              </w:rPr>
              <w:t>22</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14" w:type="dxa"/>
            <w:vMerge w:val="restart"/>
            <w:noWrap w:val="0"/>
            <w:vAlign w:val="center"/>
          </w:tcPr>
          <w:p>
            <w:pPr>
              <w:pStyle w:val="4"/>
              <w:pageBreakBefore w:val="0"/>
              <w:kinsoku/>
              <w:wordWrap/>
              <w:overflowPunct/>
              <w:topLinePunct w:val="0"/>
              <w:bidi w:val="0"/>
              <w:snapToGrid w:val="0"/>
              <w:spacing w:after="0" w:afterLines="0" w:line="276" w:lineRule="auto"/>
              <w:ind w:left="0" w:leftChars="0" w:firstLine="0" w:firstLineChars="0"/>
              <w:jc w:val="center"/>
              <w:rPr>
                <w:rFonts w:hint="eastAsia"/>
                <w:color w:val="000000"/>
              </w:rPr>
            </w:pPr>
            <w:r>
              <w:rPr>
                <w:color w:val="000000"/>
                <w:sz w:val="21"/>
                <w:szCs w:val="21"/>
              </w:rPr>
              <w:t>资源配置</w:t>
            </w:r>
          </w:p>
        </w:tc>
        <w:tc>
          <w:tcPr>
            <w:tcW w:w="4413"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每千人口医疗卫生机构床位数（张）</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rFonts w:hint="default" w:eastAsia="方正仿宋_GBK"/>
                <w:color w:val="000000"/>
                <w:sz w:val="21"/>
                <w:szCs w:val="21"/>
                <w:lang w:val="en-US" w:eastAsia="zh-CN"/>
              </w:rPr>
            </w:pPr>
            <w:r>
              <w:rPr>
                <w:rFonts w:hint="eastAsia"/>
                <w:color w:val="000000"/>
                <w:sz w:val="21"/>
                <w:szCs w:val="21"/>
                <w:lang w:val="en-US" w:eastAsia="zh-CN"/>
              </w:rPr>
              <w:t>7.86</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9.5</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14" w:type="dxa"/>
            <w:vMerge w:val="continue"/>
            <w:noWrap w:val="0"/>
            <w:vAlign w:val="center"/>
          </w:tcPr>
          <w:p>
            <w:pPr>
              <w:pageBreakBefore w:val="0"/>
              <w:kinsoku/>
              <w:wordWrap/>
              <w:overflowPunct/>
              <w:topLinePunct w:val="0"/>
              <w:bidi w:val="0"/>
              <w:snapToGrid w:val="0"/>
              <w:spacing w:afterLines="0" w:line="276" w:lineRule="auto"/>
              <w:ind w:left="0" w:leftChars="0" w:firstLine="420"/>
              <w:jc w:val="center"/>
              <w:rPr>
                <w:color w:val="000000"/>
                <w:sz w:val="21"/>
                <w:szCs w:val="21"/>
              </w:rPr>
            </w:pPr>
          </w:p>
        </w:tc>
        <w:tc>
          <w:tcPr>
            <w:tcW w:w="4413"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每千人口执业（助理）医师数（人）</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2.59</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3.6</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14" w:type="dxa"/>
            <w:vMerge w:val="continue"/>
            <w:noWrap w:val="0"/>
            <w:vAlign w:val="center"/>
          </w:tcPr>
          <w:p>
            <w:pPr>
              <w:pageBreakBefore w:val="0"/>
              <w:kinsoku/>
              <w:wordWrap/>
              <w:overflowPunct/>
              <w:topLinePunct w:val="0"/>
              <w:bidi w:val="0"/>
              <w:snapToGrid w:val="0"/>
              <w:spacing w:afterLines="0" w:line="276" w:lineRule="auto"/>
              <w:ind w:left="0" w:leftChars="0" w:firstLine="420"/>
              <w:jc w:val="center"/>
              <w:rPr>
                <w:color w:val="000000"/>
                <w:sz w:val="21"/>
                <w:szCs w:val="21"/>
              </w:rPr>
            </w:pP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color w:val="000000"/>
                <w:sz w:val="21"/>
                <w:szCs w:val="21"/>
              </w:rPr>
            </w:pPr>
            <w:r>
              <w:rPr>
                <w:color w:val="000000"/>
                <w:sz w:val="21"/>
                <w:szCs w:val="21"/>
              </w:rPr>
              <w:t>每千人口注册护士数（人）</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3.44</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4.32</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14" w:type="dxa"/>
            <w:vMerge w:val="continue"/>
            <w:noWrap w:val="0"/>
            <w:vAlign w:val="center"/>
          </w:tcPr>
          <w:p>
            <w:pPr>
              <w:pageBreakBefore w:val="0"/>
              <w:kinsoku/>
              <w:wordWrap/>
              <w:overflowPunct/>
              <w:topLinePunct w:val="0"/>
              <w:bidi w:val="0"/>
              <w:snapToGrid w:val="0"/>
              <w:spacing w:afterLines="0" w:line="276" w:lineRule="auto"/>
              <w:ind w:left="0" w:leftChars="0" w:firstLine="420"/>
              <w:jc w:val="center"/>
              <w:rPr>
                <w:color w:val="000000"/>
                <w:sz w:val="21"/>
                <w:szCs w:val="21"/>
              </w:rPr>
            </w:pP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color w:val="000000"/>
                <w:sz w:val="21"/>
                <w:szCs w:val="21"/>
              </w:rPr>
            </w:pPr>
            <w:r>
              <w:rPr>
                <w:color w:val="000000"/>
                <w:sz w:val="21"/>
                <w:szCs w:val="21"/>
              </w:rPr>
              <w:t>每万人口全科医师数（人）</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3.27</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3.93</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14" w:type="dxa"/>
            <w:vMerge w:val="continue"/>
            <w:noWrap w:val="0"/>
            <w:vAlign w:val="center"/>
          </w:tcPr>
          <w:p>
            <w:pPr>
              <w:pageBreakBefore w:val="0"/>
              <w:kinsoku/>
              <w:wordWrap/>
              <w:overflowPunct/>
              <w:topLinePunct w:val="0"/>
              <w:bidi w:val="0"/>
              <w:snapToGrid w:val="0"/>
              <w:spacing w:afterLines="0" w:line="276" w:lineRule="auto"/>
              <w:ind w:left="0" w:leftChars="0" w:firstLine="420"/>
              <w:jc w:val="center"/>
              <w:rPr>
                <w:color w:val="000000"/>
                <w:sz w:val="21"/>
                <w:szCs w:val="21"/>
              </w:rPr>
            </w:pP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color w:val="000000"/>
                <w:sz w:val="21"/>
                <w:szCs w:val="21"/>
              </w:rPr>
            </w:pPr>
            <w:r>
              <w:rPr>
                <w:color w:val="000000"/>
                <w:sz w:val="21"/>
                <w:szCs w:val="21"/>
              </w:rPr>
              <w:t>每万人口公共卫生人员数（人）</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0.47</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0.83</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14" w:type="dxa"/>
            <w:vMerge w:val="restart"/>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健康服务</w:t>
            </w: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color w:val="000000"/>
                <w:sz w:val="21"/>
                <w:szCs w:val="21"/>
              </w:rPr>
            </w:pPr>
            <w:r>
              <w:rPr>
                <w:color w:val="000000"/>
                <w:sz w:val="21"/>
                <w:szCs w:val="21"/>
              </w:rPr>
              <w:t>孕产妇系统管理率（%）</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92.99</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≥94</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14" w:type="dxa"/>
            <w:vMerge w:val="continue"/>
            <w:noWrap w:val="0"/>
            <w:vAlign w:val="center"/>
          </w:tcPr>
          <w:p>
            <w:pPr>
              <w:pageBreakBefore w:val="0"/>
              <w:kinsoku/>
              <w:wordWrap/>
              <w:overflowPunct/>
              <w:topLinePunct w:val="0"/>
              <w:bidi w:val="0"/>
              <w:snapToGrid w:val="0"/>
              <w:spacing w:afterLines="0" w:line="276" w:lineRule="auto"/>
              <w:ind w:left="0" w:leftChars="0" w:firstLine="420"/>
              <w:jc w:val="center"/>
              <w:rPr>
                <w:color w:val="000000"/>
                <w:sz w:val="21"/>
                <w:szCs w:val="21"/>
              </w:rPr>
            </w:pP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color w:val="000000"/>
                <w:sz w:val="21"/>
                <w:szCs w:val="21"/>
              </w:rPr>
            </w:pPr>
            <w:r>
              <w:rPr>
                <w:color w:val="000000"/>
                <w:sz w:val="21"/>
                <w:szCs w:val="21"/>
              </w:rPr>
              <w:t>3岁以下儿童系统管理率（%）</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91.65</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≥93.7</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914" w:type="dxa"/>
            <w:vMerge w:val="continue"/>
            <w:noWrap w:val="0"/>
            <w:vAlign w:val="center"/>
          </w:tcPr>
          <w:p>
            <w:pPr>
              <w:pageBreakBefore w:val="0"/>
              <w:kinsoku/>
              <w:wordWrap/>
              <w:overflowPunct/>
              <w:topLinePunct w:val="0"/>
              <w:bidi w:val="0"/>
              <w:snapToGrid w:val="0"/>
              <w:spacing w:afterLines="0" w:line="276" w:lineRule="auto"/>
              <w:ind w:left="0" w:leftChars="0" w:firstLine="420"/>
              <w:jc w:val="center"/>
              <w:rPr>
                <w:color w:val="000000"/>
                <w:sz w:val="21"/>
                <w:szCs w:val="21"/>
              </w:rPr>
            </w:pP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color w:val="000000"/>
                <w:sz w:val="21"/>
                <w:szCs w:val="21"/>
              </w:rPr>
            </w:pPr>
            <w:r>
              <w:rPr>
                <w:color w:val="000000"/>
                <w:sz w:val="21"/>
                <w:szCs w:val="21"/>
              </w:rPr>
              <w:t>产前筛查率</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78</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w:t>
            </w:r>
            <w:r>
              <w:rPr>
                <w:rFonts w:hint="eastAsia"/>
                <w:color w:val="000000"/>
                <w:sz w:val="21"/>
                <w:szCs w:val="21"/>
              </w:rPr>
              <w:t>80</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14" w:type="dxa"/>
            <w:vMerge w:val="continue"/>
            <w:noWrap w:val="0"/>
            <w:vAlign w:val="center"/>
          </w:tcPr>
          <w:p>
            <w:pPr>
              <w:pageBreakBefore w:val="0"/>
              <w:kinsoku/>
              <w:wordWrap/>
              <w:overflowPunct/>
              <w:topLinePunct w:val="0"/>
              <w:bidi w:val="0"/>
              <w:snapToGrid w:val="0"/>
              <w:spacing w:afterLines="0" w:line="276" w:lineRule="auto"/>
              <w:ind w:left="0" w:leftChars="0" w:firstLine="420"/>
              <w:jc w:val="center"/>
              <w:rPr>
                <w:color w:val="000000"/>
                <w:sz w:val="21"/>
                <w:szCs w:val="21"/>
              </w:rPr>
            </w:pPr>
          </w:p>
        </w:tc>
        <w:tc>
          <w:tcPr>
            <w:tcW w:w="4413"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0-6岁儿童眼保健和视力检查覆盖率（%）</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91.5</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w:t>
            </w:r>
            <w:r>
              <w:rPr>
                <w:rFonts w:hint="eastAsia"/>
                <w:color w:val="000000"/>
                <w:sz w:val="21"/>
                <w:szCs w:val="21"/>
              </w:rPr>
              <w:t>93</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14" w:type="dxa"/>
            <w:vMerge w:val="continue"/>
            <w:noWrap w:val="0"/>
            <w:vAlign w:val="center"/>
          </w:tcPr>
          <w:p>
            <w:pPr>
              <w:pageBreakBefore w:val="0"/>
              <w:kinsoku/>
              <w:wordWrap/>
              <w:overflowPunct/>
              <w:topLinePunct w:val="0"/>
              <w:bidi w:val="0"/>
              <w:snapToGrid w:val="0"/>
              <w:spacing w:afterLines="0" w:line="276" w:lineRule="auto"/>
              <w:ind w:left="0" w:leftChars="0" w:firstLine="420"/>
              <w:jc w:val="center"/>
              <w:rPr>
                <w:color w:val="000000"/>
                <w:sz w:val="21"/>
                <w:szCs w:val="21"/>
              </w:rPr>
            </w:pPr>
          </w:p>
        </w:tc>
        <w:tc>
          <w:tcPr>
            <w:tcW w:w="4413"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pacing w:val="-11"/>
                <w:sz w:val="21"/>
                <w:szCs w:val="21"/>
              </w:rPr>
              <w:t>城乡社区65岁以上老年人规范化健康管理覆盖率（%）</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60.07</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≥65</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14" w:type="dxa"/>
            <w:vMerge w:val="continue"/>
            <w:noWrap w:val="0"/>
            <w:vAlign w:val="center"/>
          </w:tcPr>
          <w:p>
            <w:pPr>
              <w:pageBreakBefore w:val="0"/>
              <w:kinsoku/>
              <w:wordWrap/>
              <w:overflowPunct/>
              <w:topLinePunct w:val="0"/>
              <w:bidi w:val="0"/>
              <w:snapToGrid w:val="0"/>
              <w:spacing w:afterLines="0" w:line="276" w:lineRule="auto"/>
              <w:ind w:left="0" w:leftChars="0" w:firstLine="420"/>
              <w:jc w:val="center"/>
              <w:rPr>
                <w:color w:val="000000"/>
                <w:sz w:val="21"/>
                <w:szCs w:val="21"/>
              </w:rPr>
            </w:pPr>
          </w:p>
        </w:tc>
        <w:tc>
          <w:tcPr>
            <w:tcW w:w="4413" w:type="dxa"/>
            <w:noWrap w:val="0"/>
            <w:vAlign w:val="center"/>
          </w:tcPr>
          <w:p>
            <w:pPr>
              <w:pageBreakBefore w:val="0"/>
              <w:kinsoku/>
              <w:wordWrap/>
              <w:overflowPunct/>
              <w:topLinePunct w:val="0"/>
              <w:bidi w:val="0"/>
              <w:snapToGrid w:val="0"/>
              <w:spacing w:afterLines="0" w:line="276" w:lineRule="auto"/>
              <w:ind w:left="0" w:leftChars="0"/>
              <w:jc w:val="center"/>
              <w:rPr>
                <w:rFonts w:hint="default" w:eastAsia="方正仿宋_GBK"/>
                <w:color w:val="000000"/>
                <w:sz w:val="21"/>
                <w:szCs w:val="21"/>
                <w:lang w:val="en-US" w:eastAsia="zh-CN"/>
              </w:rPr>
            </w:pPr>
            <w:r>
              <w:rPr>
                <w:rFonts w:hint="eastAsia"/>
                <w:color w:val="000000"/>
                <w:sz w:val="21"/>
                <w:szCs w:val="21"/>
                <w:lang w:eastAsia="zh-CN"/>
              </w:rPr>
              <w:t>每千人口拥有</w:t>
            </w:r>
            <w:r>
              <w:rPr>
                <w:rFonts w:hint="eastAsia"/>
                <w:color w:val="000000"/>
                <w:sz w:val="21"/>
                <w:szCs w:val="21"/>
                <w:lang w:val="en-US" w:eastAsia="zh-CN"/>
              </w:rPr>
              <w:t>3岁以下婴幼儿托位数（个）</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rFonts w:hint="default" w:eastAsia="方正仿宋_GBK"/>
                <w:color w:val="000000"/>
                <w:sz w:val="21"/>
                <w:szCs w:val="21"/>
                <w:lang w:val="en-US" w:eastAsia="zh-CN"/>
              </w:rPr>
            </w:pPr>
            <w:r>
              <w:rPr>
                <w:rFonts w:hint="eastAsia"/>
                <w:color w:val="000000"/>
                <w:sz w:val="21"/>
                <w:szCs w:val="21"/>
                <w:lang w:val="en-US" w:eastAsia="zh-CN"/>
              </w:rPr>
              <w:t>1.2</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rFonts w:hint="default" w:eastAsia="方正仿宋_GBK"/>
                <w:color w:val="000000"/>
                <w:sz w:val="21"/>
                <w:szCs w:val="21"/>
                <w:lang w:val="en-US" w:eastAsia="zh-CN"/>
              </w:rPr>
            </w:pPr>
            <w:r>
              <w:rPr>
                <w:rFonts w:hint="eastAsia"/>
                <w:color w:val="000000"/>
                <w:sz w:val="21"/>
                <w:szCs w:val="21"/>
                <w:lang w:val="en-US" w:eastAsia="zh-CN"/>
              </w:rPr>
              <w:t>4.5</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1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健康保障</w:t>
            </w:r>
          </w:p>
        </w:tc>
        <w:tc>
          <w:tcPr>
            <w:tcW w:w="4413"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个人卫生支出占卫生总费用的比重（%）</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color w:val="000000"/>
                <w:sz w:val="21"/>
                <w:szCs w:val="21"/>
              </w:rPr>
            </w:pPr>
            <w:r>
              <w:rPr>
                <w:color w:val="000000"/>
                <w:sz w:val="21"/>
                <w:szCs w:val="21"/>
              </w:rPr>
              <w:t>27.32</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rPr>
                <w:rFonts w:hint="default" w:eastAsia="方正仿宋_GBK"/>
                <w:color w:val="000000"/>
                <w:sz w:val="21"/>
                <w:szCs w:val="21"/>
                <w:lang w:val="en-US" w:eastAsia="zh-CN"/>
              </w:rPr>
            </w:pPr>
            <w:r>
              <w:rPr>
                <w:color w:val="000000"/>
                <w:sz w:val="21"/>
                <w:szCs w:val="21"/>
              </w:rPr>
              <w:t>≤</w:t>
            </w:r>
            <w:r>
              <w:rPr>
                <w:rFonts w:hint="eastAsia"/>
                <w:color w:val="000000"/>
                <w:sz w:val="21"/>
                <w:szCs w:val="21"/>
                <w:lang w:val="en-US" w:eastAsia="zh-CN"/>
              </w:rPr>
              <w:t>27</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1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健康产业</w:t>
            </w: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rFonts w:hint="eastAsia" w:eastAsia="方正仿宋_GBK"/>
                <w:color w:val="000000"/>
                <w:sz w:val="21"/>
                <w:szCs w:val="21"/>
                <w:lang w:eastAsia="zh-CN"/>
              </w:rPr>
            </w:pPr>
            <w:r>
              <w:rPr>
                <w:color w:val="000000"/>
                <w:sz w:val="21"/>
                <w:szCs w:val="21"/>
              </w:rPr>
              <w:t>健康服务业总规模</w:t>
            </w:r>
            <w:r>
              <w:rPr>
                <w:rFonts w:hint="eastAsia"/>
                <w:color w:val="000000"/>
                <w:sz w:val="21"/>
                <w:szCs w:val="21"/>
                <w:lang w:eastAsia="zh-CN"/>
              </w:rPr>
              <w:t>（亿元）</w:t>
            </w:r>
          </w:p>
        </w:tc>
        <w:tc>
          <w:tcPr>
            <w:tcW w:w="1050" w:type="dxa"/>
            <w:noWrap w:val="0"/>
            <w:vAlign w:val="center"/>
          </w:tcPr>
          <w:p>
            <w:pPr>
              <w:pageBreakBefore w:val="0"/>
              <w:kinsoku/>
              <w:wordWrap/>
              <w:overflowPunct/>
              <w:topLinePunct w:val="0"/>
              <w:bidi w:val="0"/>
              <w:snapToGrid w:val="0"/>
              <w:spacing w:afterLines="0" w:line="276" w:lineRule="auto"/>
              <w:ind w:left="0" w:leftChars="0"/>
              <w:jc w:val="center"/>
              <w:rPr>
                <w:rFonts w:hint="default" w:eastAsia="方正仿宋_GBK"/>
                <w:color w:val="000000"/>
                <w:sz w:val="21"/>
                <w:szCs w:val="21"/>
                <w:lang w:val="en-US" w:eastAsia="zh-CN"/>
              </w:rPr>
            </w:pPr>
            <w:r>
              <w:rPr>
                <w:rFonts w:hint="eastAsia"/>
                <w:color w:val="000000"/>
                <w:sz w:val="21"/>
                <w:szCs w:val="21"/>
                <w:lang w:val="en-US" w:eastAsia="zh-CN"/>
              </w:rPr>
              <w:t>——</w:t>
            </w:r>
          </w:p>
        </w:tc>
        <w:tc>
          <w:tcPr>
            <w:tcW w:w="997" w:type="dxa"/>
            <w:noWrap w:val="0"/>
            <w:vAlign w:val="center"/>
          </w:tcPr>
          <w:p>
            <w:pPr>
              <w:pageBreakBefore w:val="0"/>
              <w:kinsoku/>
              <w:wordWrap/>
              <w:overflowPunct/>
              <w:topLinePunct w:val="0"/>
              <w:bidi w:val="0"/>
              <w:snapToGrid w:val="0"/>
              <w:spacing w:afterLines="0" w:line="276" w:lineRule="auto"/>
              <w:ind w:left="0" w:leftChars="0"/>
              <w:jc w:val="center"/>
              <w:rPr>
                <w:rFonts w:hint="default" w:eastAsia="方正仿宋_GBK"/>
                <w:color w:val="000000"/>
                <w:sz w:val="21"/>
                <w:szCs w:val="21"/>
                <w:lang w:val="en-US" w:eastAsia="zh-CN"/>
              </w:rPr>
            </w:pPr>
            <w:r>
              <w:rPr>
                <w:rFonts w:hint="eastAsia"/>
                <w:color w:val="000000"/>
                <w:sz w:val="21"/>
                <w:szCs w:val="21"/>
                <w:lang w:val="en-US" w:eastAsia="zh-CN"/>
              </w:rPr>
              <w:t>100</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914" w:type="dxa"/>
            <w:vMerge w:val="restart"/>
            <w:noWrap w:val="0"/>
            <w:vAlign w:val="center"/>
          </w:tcPr>
          <w:p>
            <w:pPr>
              <w:pageBreakBefore w:val="0"/>
              <w:kinsoku/>
              <w:wordWrap/>
              <w:overflowPunct/>
              <w:topLinePunct w:val="0"/>
              <w:bidi w:val="0"/>
              <w:snapToGrid w:val="0"/>
              <w:spacing w:afterLines="0" w:line="276" w:lineRule="auto"/>
              <w:ind w:left="0" w:leftChars="0"/>
              <w:jc w:val="center"/>
              <w:rPr>
                <w:rFonts w:hint="eastAsia"/>
                <w:color w:val="000000"/>
                <w:sz w:val="21"/>
                <w:szCs w:val="21"/>
              </w:rPr>
            </w:pPr>
            <w:r>
              <w:rPr>
                <w:rFonts w:hint="eastAsia"/>
                <w:color w:val="000000"/>
                <w:sz w:val="21"/>
                <w:szCs w:val="21"/>
              </w:rPr>
              <w:t>双城经济圈卫生健康一体化</w:t>
            </w: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rFonts w:hint="eastAsia"/>
                <w:color w:val="000000"/>
                <w:sz w:val="21"/>
                <w:szCs w:val="21"/>
              </w:rPr>
            </w:pPr>
            <w:r>
              <w:rPr>
                <w:rFonts w:hint="eastAsia"/>
                <w:color w:val="000000"/>
                <w:sz w:val="21"/>
                <w:szCs w:val="21"/>
              </w:rPr>
              <w:t>区外就诊率</w:t>
            </w:r>
            <w:r>
              <w:rPr>
                <w:color w:val="000000"/>
                <w:sz w:val="21"/>
                <w:szCs w:val="21"/>
              </w:rPr>
              <w:t>（%）</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rFonts w:hint="default" w:eastAsia="方正仿宋_GBK"/>
                <w:color w:val="000000"/>
                <w:sz w:val="21"/>
                <w:szCs w:val="21"/>
                <w:lang w:val="en-US" w:eastAsia="zh-CN"/>
              </w:rPr>
            </w:pPr>
            <w:r>
              <w:rPr>
                <w:rFonts w:hint="eastAsia"/>
                <w:color w:val="000000"/>
                <w:sz w:val="21"/>
                <w:szCs w:val="21"/>
                <w:lang w:val="en-US" w:eastAsia="zh-CN"/>
              </w:rPr>
              <w:t>22</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firstLineChars="200"/>
              <w:rPr>
                <w:color w:val="000000"/>
                <w:sz w:val="21"/>
                <w:szCs w:val="21"/>
              </w:rPr>
            </w:pPr>
            <w:r>
              <w:rPr>
                <w:color w:val="000000"/>
                <w:sz w:val="21"/>
                <w:szCs w:val="21"/>
              </w:rPr>
              <w:t>≥</w:t>
            </w:r>
            <w:r>
              <w:rPr>
                <w:rFonts w:hint="eastAsia"/>
                <w:color w:val="000000"/>
                <w:sz w:val="21"/>
                <w:szCs w:val="21"/>
              </w:rPr>
              <w:t>30</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14" w:type="dxa"/>
            <w:vMerge w:val="continue"/>
            <w:noWrap w:val="0"/>
            <w:vAlign w:val="center"/>
          </w:tcPr>
          <w:p>
            <w:pPr>
              <w:pageBreakBefore w:val="0"/>
              <w:kinsoku/>
              <w:wordWrap/>
              <w:overflowPunct/>
              <w:topLinePunct w:val="0"/>
              <w:bidi w:val="0"/>
              <w:snapToGrid w:val="0"/>
              <w:spacing w:afterLines="0" w:line="276" w:lineRule="auto"/>
              <w:ind w:left="0" w:leftChars="0"/>
              <w:jc w:val="both"/>
              <w:rPr>
                <w:rFonts w:hint="eastAsia"/>
                <w:color w:val="000000"/>
                <w:sz w:val="21"/>
                <w:szCs w:val="21"/>
              </w:rPr>
            </w:pPr>
          </w:p>
        </w:tc>
        <w:tc>
          <w:tcPr>
            <w:tcW w:w="4413" w:type="dxa"/>
            <w:noWrap w:val="0"/>
            <w:vAlign w:val="center"/>
          </w:tcPr>
          <w:p>
            <w:pPr>
              <w:pageBreakBefore w:val="0"/>
              <w:kinsoku/>
              <w:wordWrap/>
              <w:overflowPunct/>
              <w:topLinePunct w:val="0"/>
              <w:bidi w:val="0"/>
              <w:snapToGrid w:val="0"/>
              <w:spacing w:afterLines="0" w:line="276" w:lineRule="auto"/>
              <w:ind w:left="0" w:leftChars="0" w:firstLine="0"/>
              <w:jc w:val="center"/>
              <w:rPr>
                <w:rFonts w:hint="eastAsia"/>
                <w:color w:val="000000"/>
                <w:sz w:val="21"/>
                <w:szCs w:val="21"/>
              </w:rPr>
            </w:pPr>
            <w:r>
              <w:rPr>
                <w:rFonts w:hint="eastAsia"/>
                <w:color w:val="000000"/>
                <w:sz w:val="21"/>
                <w:szCs w:val="21"/>
              </w:rPr>
              <w:t>区</w:t>
            </w:r>
            <w:r>
              <w:rPr>
                <w:rFonts w:hint="eastAsia"/>
                <w:color w:val="000000"/>
                <w:sz w:val="21"/>
                <w:szCs w:val="21"/>
                <w:lang w:eastAsia="zh-CN"/>
              </w:rPr>
              <w:t>内</w:t>
            </w:r>
            <w:r>
              <w:rPr>
                <w:rFonts w:hint="eastAsia"/>
                <w:color w:val="000000"/>
                <w:sz w:val="21"/>
                <w:szCs w:val="21"/>
              </w:rPr>
              <w:t>就诊率</w:t>
            </w:r>
            <w:r>
              <w:rPr>
                <w:color w:val="000000"/>
                <w:sz w:val="21"/>
                <w:szCs w:val="21"/>
              </w:rPr>
              <w:t>（%）</w:t>
            </w:r>
          </w:p>
        </w:tc>
        <w:tc>
          <w:tcPr>
            <w:tcW w:w="1050" w:type="dxa"/>
            <w:noWrap w:val="0"/>
            <w:vAlign w:val="center"/>
          </w:tcPr>
          <w:p>
            <w:pPr>
              <w:pageBreakBefore w:val="0"/>
              <w:kinsoku/>
              <w:wordWrap/>
              <w:overflowPunct/>
              <w:topLinePunct w:val="0"/>
              <w:bidi w:val="0"/>
              <w:snapToGrid w:val="0"/>
              <w:spacing w:afterLines="0" w:line="276" w:lineRule="auto"/>
              <w:ind w:left="0" w:leftChars="0" w:firstLine="420"/>
              <w:rPr>
                <w:rFonts w:hint="default" w:eastAsia="方正仿宋_GBK"/>
                <w:color w:val="000000"/>
                <w:sz w:val="21"/>
                <w:szCs w:val="21"/>
                <w:lang w:val="en-US" w:eastAsia="zh-CN"/>
              </w:rPr>
            </w:pPr>
            <w:r>
              <w:rPr>
                <w:rFonts w:hint="eastAsia"/>
                <w:color w:val="000000"/>
                <w:sz w:val="21"/>
                <w:szCs w:val="21"/>
                <w:lang w:val="en-US" w:eastAsia="zh-CN"/>
              </w:rPr>
              <w:t>91</w:t>
            </w:r>
          </w:p>
        </w:tc>
        <w:tc>
          <w:tcPr>
            <w:tcW w:w="997" w:type="dxa"/>
            <w:noWrap w:val="0"/>
            <w:vAlign w:val="center"/>
          </w:tcPr>
          <w:p>
            <w:pPr>
              <w:pageBreakBefore w:val="0"/>
              <w:kinsoku/>
              <w:wordWrap/>
              <w:overflowPunct/>
              <w:topLinePunct w:val="0"/>
              <w:bidi w:val="0"/>
              <w:snapToGrid w:val="0"/>
              <w:spacing w:afterLines="0" w:line="276" w:lineRule="auto"/>
              <w:ind w:left="0" w:leftChars="0" w:firstLine="420" w:firstLineChars="200"/>
              <w:rPr>
                <w:rFonts w:hint="default"/>
                <w:color w:val="000000"/>
                <w:sz w:val="21"/>
                <w:szCs w:val="21"/>
                <w:lang w:val="en-US"/>
              </w:rPr>
            </w:pPr>
            <w:r>
              <w:rPr>
                <w:color w:val="000000"/>
                <w:sz w:val="21"/>
                <w:szCs w:val="21"/>
              </w:rPr>
              <w:t>≥</w:t>
            </w:r>
            <w:r>
              <w:rPr>
                <w:rFonts w:hint="eastAsia"/>
                <w:color w:val="000000"/>
                <w:sz w:val="21"/>
                <w:szCs w:val="21"/>
                <w:lang w:val="en-US" w:eastAsia="zh-CN"/>
              </w:rPr>
              <w:t>94</w:t>
            </w:r>
          </w:p>
        </w:tc>
        <w:tc>
          <w:tcPr>
            <w:tcW w:w="1084" w:type="dxa"/>
            <w:noWrap w:val="0"/>
            <w:vAlign w:val="center"/>
          </w:tcPr>
          <w:p>
            <w:pPr>
              <w:pageBreakBefore w:val="0"/>
              <w:kinsoku/>
              <w:wordWrap/>
              <w:overflowPunct/>
              <w:topLinePunct w:val="0"/>
              <w:bidi w:val="0"/>
              <w:snapToGrid w:val="0"/>
              <w:spacing w:afterLines="0" w:line="276" w:lineRule="auto"/>
              <w:ind w:left="0" w:leftChars="0"/>
              <w:jc w:val="center"/>
              <w:rPr>
                <w:color w:val="000000"/>
                <w:sz w:val="21"/>
                <w:szCs w:val="21"/>
              </w:rPr>
            </w:pPr>
            <w:r>
              <w:rPr>
                <w:color w:val="000000"/>
                <w:sz w:val="21"/>
                <w:szCs w:val="21"/>
              </w:rPr>
              <w:t>预期性</w:t>
            </w:r>
          </w:p>
        </w:tc>
      </w:tr>
    </w:tbl>
    <w:p>
      <w:pPr>
        <w:pageBreakBefore w:val="0"/>
        <w:kinsoku/>
        <w:wordWrap/>
        <w:overflowPunct/>
        <w:topLinePunct w:val="0"/>
        <w:bidi w:val="0"/>
        <w:adjustRightInd w:val="0"/>
        <w:snapToGrid w:val="0"/>
        <w:spacing w:afterLines="0" w:line="276" w:lineRule="auto"/>
        <w:ind w:left="0" w:leftChars="0" w:firstLine="641"/>
        <w:rPr>
          <w:rStyle w:val="16"/>
          <w:color w:val="000000"/>
          <w:kern w:val="0"/>
          <w:szCs w:val="32"/>
        </w:rPr>
      </w:pPr>
    </w:p>
    <w:p>
      <w:pPr>
        <w:pStyle w:val="2"/>
        <w:keepNext w:val="0"/>
        <w:keepLines w:val="0"/>
        <w:pageBreakBefore w:val="0"/>
        <w:kinsoku/>
        <w:wordWrap/>
        <w:overflowPunct/>
        <w:topLinePunct w:val="0"/>
        <w:bidi w:val="0"/>
        <w:adjustRightInd/>
        <w:snapToGrid w:val="0"/>
        <w:spacing w:afterLines="0" w:line="276" w:lineRule="auto"/>
        <w:jc w:val="center"/>
        <w:rPr>
          <w:rFonts w:hint="eastAsia" w:ascii="方正黑体_GBK" w:hAnsi="方正黑体_GBK" w:cs="方正黑体_GBK"/>
          <w:color w:val="000000"/>
        </w:rPr>
      </w:pPr>
      <w:bookmarkStart w:id="69" w:name="_Toc1354608630_WPSOffice_Level1"/>
      <w:bookmarkStart w:id="70" w:name="_Toc19094"/>
      <w:bookmarkStart w:id="71" w:name="_Toc74327799"/>
      <w:r>
        <w:rPr>
          <w:rFonts w:hint="eastAsia" w:ascii="方正黑体_GBK" w:hAnsi="方正黑体_GBK" w:cs="方正黑体_GBK"/>
          <w:color w:val="000000"/>
        </w:rPr>
        <w:t>第三章  主要任务</w:t>
      </w:r>
      <w:bookmarkEnd w:id="69"/>
      <w:bookmarkEnd w:id="70"/>
      <w:bookmarkEnd w:id="71"/>
    </w:p>
    <w:p>
      <w:pPr>
        <w:pageBreakBefore w:val="0"/>
        <w:kinsoku/>
        <w:wordWrap/>
        <w:overflowPunct/>
        <w:topLinePunct w:val="0"/>
        <w:bidi w:val="0"/>
        <w:adjustRightInd w:val="0"/>
        <w:snapToGrid w:val="0"/>
        <w:spacing w:afterLines="0" w:line="276" w:lineRule="auto"/>
        <w:ind w:firstLine="641"/>
        <w:jc w:val="both"/>
        <w:rPr>
          <w:rStyle w:val="16"/>
          <w:color w:val="000000"/>
        </w:rPr>
      </w:pPr>
      <w:bookmarkStart w:id="72" w:name="_Toc74327800"/>
      <w:bookmarkStart w:id="73" w:name="_Toc29924"/>
      <w:bookmarkStart w:id="74" w:name="_Toc74327801"/>
      <w:bookmarkStart w:id="75" w:name="_Toc25707"/>
    </w:p>
    <w:p>
      <w:pPr>
        <w:pStyle w:val="3"/>
        <w:pageBreakBefore w:val="0"/>
        <w:kinsoku/>
        <w:wordWrap/>
        <w:overflowPunct/>
        <w:topLinePunct w:val="0"/>
        <w:bidi w:val="0"/>
        <w:adjustRightInd/>
        <w:snapToGrid w:val="0"/>
        <w:spacing w:afterLines="0" w:line="276" w:lineRule="auto"/>
        <w:jc w:val="center"/>
        <w:rPr>
          <w:rFonts w:hint="eastAsia" w:ascii="方正楷体_GBK" w:hAnsi="方正楷体_GBK" w:cs="方正楷体_GBK"/>
          <w:color w:val="000000"/>
        </w:rPr>
      </w:pPr>
      <w:bookmarkStart w:id="76" w:name="_Toc458794298_WPSOffice_Level2"/>
      <w:r>
        <w:rPr>
          <w:rFonts w:hint="eastAsia" w:ascii="方正楷体_GBK" w:hAnsi="方正楷体_GBK" w:cs="方正楷体_GBK"/>
          <w:color w:val="000000"/>
        </w:rPr>
        <w:t xml:space="preserve">第一节 </w:t>
      </w:r>
      <w:r>
        <w:rPr>
          <w:rFonts w:hint="eastAsia" w:ascii="方正楷体_GBK" w:hAnsi="方正楷体_GBK" w:cs="方正楷体_GBK"/>
          <w:color w:val="000000"/>
          <w:lang w:val="en-US"/>
        </w:rPr>
        <w:t xml:space="preserve"> </w:t>
      </w:r>
      <w:r>
        <w:rPr>
          <w:rFonts w:hint="eastAsia" w:ascii="方正楷体_GBK" w:hAnsi="方正楷体_GBK" w:cs="方正楷体_GBK"/>
          <w:color w:val="000000"/>
        </w:rPr>
        <w:t>加强公共卫生与应急能力建设</w:t>
      </w:r>
      <w:bookmarkEnd w:id="72"/>
      <w:bookmarkEnd w:id="73"/>
      <w:bookmarkEnd w:id="76"/>
    </w:p>
    <w:p>
      <w:pPr>
        <w:pageBreakBefore w:val="0"/>
        <w:kinsoku/>
        <w:wordWrap/>
        <w:overflowPunct/>
        <w:topLinePunct w:val="0"/>
        <w:bidi w:val="0"/>
        <w:adjustRightInd w:val="0"/>
        <w:snapToGrid w:val="0"/>
        <w:spacing w:afterLines="0" w:line="276" w:lineRule="auto"/>
        <w:ind w:left="0" w:leftChars="0" w:firstLine="641"/>
        <w:rPr>
          <w:rStyle w:val="16"/>
          <w:b w:val="0"/>
          <w:color w:val="000000"/>
        </w:rPr>
      </w:pPr>
    </w:p>
    <w:p>
      <w:pPr>
        <w:pageBreakBefore w:val="0"/>
        <w:kinsoku/>
        <w:wordWrap/>
        <w:overflowPunct/>
        <w:topLinePunct w:val="0"/>
        <w:bidi w:val="0"/>
        <w:adjustRightInd w:val="0"/>
        <w:snapToGrid w:val="0"/>
        <w:spacing w:afterLines="0" w:line="276" w:lineRule="auto"/>
        <w:ind w:left="0" w:leftChars="0" w:firstLine="641"/>
        <w:rPr>
          <w:rStyle w:val="16"/>
          <w:color w:val="000000"/>
        </w:rPr>
      </w:pPr>
      <w:r>
        <w:rPr>
          <w:rStyle w:val="16"/>
          <w:b w:val="0"/>
          <w:color w:val="000000"/>
        </w:rPr>
        <w:t>加快卫生应急体系建设。</w:t>
      </w:r>
      <w:r>
        <w:rPr>
          <w:color w:val="000000"/>
        </w:rPr>
        <w:t>健全突发重大公共卫生事件应急处置领导指挥机制，完善突发公共卫生事件监测预警处置机制，建设平战结合的重大疫情防控救治体系，建立</w:t>
      </w:r>
      <w:r>
        <w:rPr>
          <w:color w:val="000000"/>
          <w:szCs w:val="32"/>
        </w:rPr>
        <w:t>统一指挥、应急队伍、应急救治、科技支撑、物资保障完备的应急处置体系，调整优化医疗资源布局，</w:t>
      </w:r>
      <w:r>
        <w:rPr>
          <w:color w:val="000000"/>
        </w:rPr>
        <w:t>加快建设覆盖渝西片区的公共卫生防治高地。完善全区信息互通、协调处置、标准统一的120调度指挥信息系统，提升重大突发公共卫生事件</w:t>
      </w:r>
      <w:r>
        <w:rPr>
          <w:color w:val="000000"/>
          <w:lang w:val="en"/>
        </w:rPr>
        <w:t>“</w:t>
      </w:r>
      <w:r>
        <w:rPr>
          <w:color w:val="000000"/>
        </w:rPr>
        <w:t>空</w:t>
      </w:r>
      <w:r>
        <w:rPr>
          <w:rFonts w:hint="eastAsia"/>
          <w:color w:val="000000"/>
          <w:lang w:val="en-US" w:eastAsia="zh-CN"/>
        </w:rPr>
        <w:t>-</w:t>
      </w:r>
      <w:r>
        <w:rPr>
          <w:color w:val="000000"/>
        </w:rPr>
        <w:t>地”一体化急救水平，打造15分钟医疗急救圈。加强全区卫生应急队伍规范化建设，</w:t>
      </w:r>
      <w:r>
        <w:rPr>
          <w:rFonts w:hint="eastAsia"/>
          <w:color w:val="000000"/>
        </w:rPr>
        <w:t>规范建设区级医院急诊科，基层单位急救室</w:t>
      </w:r>
      <w:r>
        <w:rPr>
          <w:color w:val="000000"/>
        </w:rPr>
        <w:t>，提升基层医疗机构应急能力。推动优质医疗资源扩容和区域均衡布局，保障医疗卫生机构应急物资储备，建设智慧应急指挥调度平台、智慧应急物资储备库。</w:t>
      </w:r>
      <w:r>
        <w:rPr>
          <w:rFonts w:hint="eastAsia"/>
          <w:color w:val="000000"/>
        </w:rPr>
        <w:t>建成投用</w:t>
      </w:r>
      <w:r>
        <w:rPr>
          <w:color w:val="000000"/>
        </w:rPr>
        <w:t>平战结合的渝西公共卫生应急医院，健全救治资源平战转换机制。强化跨区域信息互联互通，提升区域间应对突发公共卫生事件能力。</w:t>
      </w:r>
    </w:p>
    <w:p>
      <w:pPr>
        <w:pageBreakBefore w:val="0"/>
        <w:kinsoku/>
        <w:wordWrap/>
        <w:overflowPunct/>
        <w:topLinePunct w:val="0"/>
        <w:bidi w:val="0"/>
        <w:adjustRightInd w:val="0"/>
        <w:snapToGrid w:val="0"/>
        <w:spacing w:afterLines="0" w:line="276" w:lineRule="auto"/>
        <w:ind w:left="0" w:leftChars="0" w:firstLine="641"/>
        <w:rPr>
          <w:color w:val="000000"/>
        </w:rPr>
      </w:pPr>
      <w:r>
        <w:rPr>
          <w:rStyle w:val="16"/>
          <w:b w:val="0"/>
          <w:color w:val="000000"/>
        </w:rPr>
        <w:t>提升区域防控能力。</w:t>
      </w:r>
      <w:r>
        <w:rPr>
          <w:color w:val="000000"/>
        </w:rPr>
        <w:t>完善以</w:t>
      </w:r>
      <w:r>
        <w:rPr>
          <w:rFonts w:hint="eastAsia"/>
          <w:color w:val="000000"/>
        </w:rPr>
        <w:t>区</w:t>
      </w:r>
      <w:r>
        <w:rPr>
          <w:color w:val="000000"/>
        </w:rPr>
        <w:t>疾病预防控制中心为主体，</w:t>
      </w:r>
      <w:r>
        <w:rPr>
          <w:color w:val="000000"/>
          <w:szCs w:val="32"/>
        </w:rPr>
        <w:t>推动疾控机构标准化建设，完善基层社区网络化疫情防控体系，织</w:t>
      </w:r>
      <w:r>
        <w:rPr>
          <w:color w:val="000000"/>
          <w:szCs w:val="32"/>
          <w:u w:val="none"/>
        </w:rPr>
        <w:t>密织牢基层防控网。</w:t>
      </w:r>
      <w:r>
        <w:rPr>
          <w:color w:val="000000"/>
          <w:u w:val="none"/>
        </w:rPr>
        <w:t>完善高端装备设施配置，打造区域实验室，</w:t>
      </w:r>
      <w:r>
        <w:rPr>
          <w:color w:val="000000"/>
          <w:szCs w:val="32"/>
          <w:u w:val="none"/>
        </w:rPr>
        <w:t>建成三级</w:t>
      </w:r>
      <w:r>
        <w:rPr>
          <w:rFonts w:hint="eastAsia"/>
          <w:color w:val="000000"/>
          <w:szCs w:val="32"/>
          <w:u w:val="none"/>
        </w:rPr>
        <w:t>区域</w:t>
      </w:r>
      <w:r>
        <w:rPr>
          <w:color w:val="000000"/>
          <w:szCs w:val="32"/>
          <w:u w:val="none"/>
        </w:rPr>
        <w:t>疾病预防控制</w:t>
      </w:r>
      <w:r>
        <w:rPr>
          <w:rFonts w:hint="eastAsia"/>
          <w:color w:val="000000"/>
          <w:szCs w:val="32"/>
          <w:u w:val="none"/>
        </w:rPr>
        <w:t>中心</w:t>
      </w:r>
      <w:r>
        <w:rPr>
          <w:color w:val="000000"/>
          <w:szCs w:val="32"/>
          <w:u w:val="none"/>
        </w:rPr>
        <w:t>。</w:t>
      </w:r>
      <w:r>
        <w:rPr>
          <w:color w:val="000000"/>
          <w:u w:val="none"/>
        </w:rPr>
        <w:t>全面提升疾病预防控制能力，创建市级公共卫生重点专科2-3个。加</w:t>
      </w:r>
      <w:r>
        <w:rPr>
          <w:color w:val="000000"/>
        </w:rPr>
        <w:t>强感染性疾病科室建设，提高传染病监管和规范治疗水平，建设渝西精神卫生传染病防治中心。建设一批区级重大慢性病防治中心，构建</w:t>
      </w:r>
      <w:r>
        <w:rPr>
          <w:color w:val="000000"/>
          <w:lang w:val="en"/>
        </w:rPr>
        <w:t>“</w:t>
      </w:r>
      <w:r>
        <w:rPr>
          <w:color w:val="000000"/>
        </w:rPr>
        <w:t>三位一体”慢病防治体系。创新医防协同机制，深化疾控机构人员进驻区级医院和医共体指导制度。完善疾控机构人员激励评价机制，加大公共卫生人才引进培养。</w:t>
      </w:r>
    </w:p>
    <w:p>
      <w:pPr>
        <w:pageBreakBefore w:val="0"/>
        <w:kinsoku/>
        <w:wordWrap/>
        <w:overflowPunct/>
        <w:topLinePunct w:val="0"/>
        <w:bidi w:val="0"/>
        <w:adjustRightInd w:val="0"/>
        <w:snapToGrid w:val="0"/>
        <w:spacing w:afterLines="0" w:line="276" w:lineRule="auto"/>
        <w:ind w:left="0" w:leftChars="0" w:firstLine="641"/>
        <w:rPr>
          <w:color w:val="000000"/>
          <w:szCs w:val="32"/>
        </w:rPr>
      </w:pPr>
      <w:r>
        <w:rPr>
          <w:rStyle w:val="16"/>
          <w:b w:val="0"/>
          <w:color w:val="000000"/>
        </w:rPr>
        <w:t>推进重点疾病和重大疾病防治。</w:t>
      </w:r>
      <w:r>
        <w:rPr>
          <w:color w:val="000000"/>
        </w:rPr>
        <w:t>实施重大疫情救治体系能力提升工程，加强传染病定点救治医院的综合学科、感染病科和重症救治专科能力建设，提高危急重症救治能力。加强传染病疫情报告、预测、预警和研判，建立多点触发的传染病监测网络，法定传染病报告率达98%以上。强化疫苗管理和接种服务，</w:t>
      </w:r>
      <w:r>
        <w:rPr>
          <w:rFonts w:hint="eastAsia"/>
          <w:color w:val="000000"/>
        </w:rPr>
        <w:t>优化</w:t>
      </w:r>
      <w:r>
        <w:rPr>
          <w:color w:val="000000"/>
        </w:rPr>
        <w:t>疫苗接种信息溯源平台建设，实施扩大国家免疫规划，儿童免疫规划疫苗接种率巩固在98%以上。有效应对流感、手足口病、麻疹等重点传染病疫情，加大艾滋病、结核病、病毒性肝炎、血吸虫病等传染病和地方病的防治力度，强化禽流感、狂犬病等人畜共患病源头治理。实施重点慢性病干预计划，强化心血管疾病、糖尿病、慢阻肺及癌症等慢性疾病的防治，重大慢病过早死亡率降低到8.5%以下。注重以预防为主的模式转变，强化健康干预和促进，加强疾病防治宣传和疾病防治教育。</w:t>
      </w:r>
      <w:r>
        <w:rPr>
          <w:color w:val="000000"/>
          <w:szCs w:val="32"/>
        </w:rPr>
        <w:t>健全防范化解因病返贫致贫长效机制，增强对困难群众基础性、兜底性保障。落实结核病救治保障政策，将经济困难的肺结核患者纳入社会救助对象。</w:t>
      </w:r>
    </w:p>
    <w:p>
      <w:pPr>
        <w:pageBreakBefore w:val="0"/>
        <w:kinsoku/>
        <w:wordWrap/>
        <w:overflowPunct/>
        <w:topLinePunct w:val="0"/>
        <w:bidi w:val="0"/>
        <w:adjustRightInd w:val="0"/>
        <w:snapToGrid w:val="0"/>
        <w:spacing w:afterLines="0" w:line="276" w:lineRule="auto"/>
        <w:ind w:left="0" w:leftChars="0" w:firstLine="641"/>
        <w:rPr>
          <w:color w:val="000000"/>
        </w:rPr>
      </w:pPr>
      <w:r>
        <w:rPr>
          <w:rStyle w:val="15"/>
          <w:b w:val="0"/>
          <w:color w:val="000000"/>
        </w:rPr>
        <w:t>完善精神卫生服务体系建设。</w:t>
      </w:r>
      <w:r>
        <w:rPr>
          <w:color w:val="000000"/>
          <w:szCs w:val="32"/>
        </w:rPr>
        <w:t>健全精神卫生综合管理工作机制，加大严重精神障碍救治救助力度，整合精神卫生服务资源，构建精神卫生服务网络。全面推进精神障碍社区康复服务，规范开展精神病患者随访管理、服药指导和康复训练等服务。完善救治救助制度，推动实施免费服用第二代抗精神病药物政策。加强社会心理服务体系建设，建立健全各部门各行业心理健康服务网络，加快建设永川区社会心理服务中心，培育心理健康服务专业人才，加强抑郁症、老年痴呆综合干预。到2025年，居民心理健康素养水平提升到20%以上。</w:t>
      </w:r>
    </w:p>
    <w:p>
      <w:pPr>
        <w:pageBreakBefore w:val="0"/>
        <w:kinsoku/>
        <w:wordWrap/>
        <w:overflowPunct/>
        <w:topLinePunct w:val="0"/>
        <w:bidi w:val="0"/>
        <w:adjustRightInd w:val="0"/>
        <w:snapToGrid w:val="0"/>
        <w:spacing w:afterLines="0" w:line="276" w:lineRule="auto"/>
        <w:ind w:left="0" w:leftChars="0" w:firstLine="641"/>
        <w:rPr>
          <w:color w:val="000000"/>
        </w:rPr>
      </w:pPr>
      <w:r>
        <w:rPr>
          <w:rStyle w:val="16"/>
          <w:b w:val="0"/>
          <w:color w:val="000000"/>
        </w:rPr>
        <w:t>深入开展爱国卫生运动。</w:t>
      </w:r>
      <w:r>
        <w:rPr>
          <w:color w:val="000000"/>
        </w:rPr>
        <w:t>推动爱国卫生工作列入政府重要议事日程，纳入政府绩效考核指标。持续开展健康城市建设，巩固</w:t>
      </w:r>
      <w:r>
        <w:rPr>
          <w:color w:val="000000"/>
          <w:lang w:val="en"/>
        </w:rPr>
        <w:t>“</w:t>
      </w:r>
      <w:r>
        <w:rPr>
          <w:color w:val="000000"/>
        </w:rPr>
        <w:t>国家卫生区”称号，巩固无烟环境建设成果，大力推动</w:t>
      </w:r>
      <w:r>
        <w:rPr>
          <w:color w:val="000000"/>
          <w:kern w:val="0"/>
          <w:szCs w:val="32"/>
        </w:rPr>
        <w:t>健康村镇、健康社区、健康单位（企业）、健康学校、健康家庭等健康细胞建</w:t>
      </w:r>
      <w:r>
        <w:rPr>
          <w:color w:val="000000"/>
        </w:rPr>
        <w:t>设。以农贸市场、密闭场所、学校等场所和薄弱环节为重点，推进城镇环境卫生综合整治。持续保障农村饮水安全，组织改善农村饮用水卫生条件。完善环境相关因素对人群健康影响监测体系。健全病媒生物检测网络，科学防治病媒生物。丰富爱国卫生工作内涵，推动爱国卫生从环境卫生治理向全面社会健康管理转变。</w:t>
      </w:r>
      <w:r>
        <w:rPr>
          <w:color w:val="000000"/>
          <w:kern w:val="0"/>
          <w:szCs w:val="32"/>
        </w:rPr>
        <w:t>实施控烟行动，逐步实现室内公共场所、室内工作场所和公共交通工具全面禁烟，推进医院、学校、机关全面禁烟。</w:t>
      </w:r>
      <w:r>
        <w:rPr>
          <w:color w:val="000000"/>
        </w:rPr>
        <w:t>到2025年，15岁以上吸烟率降到2</w:t>
      </w:r>
      <w:r>
        <w:rPr>
          <w:rFonts w:hint="eastAsia"/>
          <w:color w:val="000000"/>
          <w:lang w:val="en-US" w:eastAsia="zh-CN"/>
        </w:rPr>
        <w:t>2</w:t>
      </w:r>
      <w:r>
        <w:rPr>
          <w:color w:val="000000"/>
        </w:rPr>
        <w:t>%以下。</w:t>
      </w:r>
    </w:p>
    <w:tbl>
      <w:tblPr>
        <w:tblStyle w:val="11"/>
        <w:tblW w:w="8647"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7"/>
        <w:tblGridChange w:id="0">
          <w:tblGrid>
            <w:gridCol w:w="113"/>
            <w:gridCol w:w="8647"/>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47"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bidi w:val="0"/>
              <w:snapToGrid w:val="0"/>
              <w:spacing w:afterLines="0" w:line="276" w:lineRule="auto"/>
              <w:ind w:left="0" w:leftChars="0" w:firstLine="0"/>
              <w:jc w:val="center"/>
              <w:rPr>
                <w:rFonts w:eastAsia="黑体"/>
                <w:color w:val="000000"/>
                <w:sz w:val="28"/>
                <w:szCs w:val="28"/>
                <w:shd w:val="clear" w:color="auto" w:fill="FFFFFF"/>
              </w:rPr>
            </w:pPr>
            <w:r>
              <w:rPr>
                <w:rFonts w:hint="eastAsia" w:ascii="方正楷体_GBK" w:hAnsi="方正楷体_GBK" w:eastAsia="方正楷体_GBK" w:cs="方正楷体_GBK"/>
                <w:color w:val="000000"/>
                <w:sz w:val="24"/>
                <w:szCs w:val="24"/>
              </w:rPr>
              <w:t>专栏1   公共卫生应急项目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8647"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bidi w:val="0"/>
              <w:snapToGrid w:val="0"/>
              <w:spacing w:afterLines="0" w:line="276" w:lineRule="auto"/>
              <w:ind w:left="0" w:leftChars="0" w:firstLine="482"/>
              <w:rPr>
                <w:color w:val="000000"/>
              </w:rPr>
            </w:pPr>
            <w:r>
              <w:rPr>
                <w:b/>
                <w:bCs/>
                <w:color w:val="000000"/>
                <w:sz w:val="24"/>
              </w:rPr>
              <w:t>公共卫生应急能力工程：</w:t>
            </w:r>
            <w:r>
              <w:rPr>
                <w:color w:val="000000"/>
                <w:sz w:val="24"/>
              </w:rPr>
              <w:t>依托区中医院，建设不少于50人的国家中医紧急医学救援队队伍，由中医医院院长或业务院长担任队长，队伍以中医骨伤、外科(普外、胸外、脑外等)、皮肤、五官、急诊、重症、麻醉等专业医护人员为主，配备手术车、移动中药房、移动中医治疗室、移动影像设备、后勤保障车等移动医院设备。规范化建设紧急医学救援队、突发急性传染病防控队、中毒处置队，加强卫生应急相关专业人员培训，合理配置院前救护车数量和监护型救护车比例，2025年，突发公共卫生事件处置率达100%。</w:t>
            </w:r>
          </w:p>
        </w:tc>
      </w:tr>
    </w:tbl>
    <w:p>
      <w:pPr>
        <w:pageBreakBefore w:val="0"/>
        <w:kinsoku/>
        <w:wordWrap/>
        <w:overflowPunct/>
        <w:topLinePunct w:val="0"/>
        <w:bidi w:val="0"/>
        <w:adjustRightInd w:val="0"/>
        <w:snapToGrid w:val="0"/>
        <w:spacing w:afterLines="0" w:line="276" w:lineRule="auto"/>
        <w:ind w:firstLine="640"/>
        <w:jc w:val="both"/>
        <w:rPr>
          <w:rStyle w:val="16"/>
          <w:color w:val="000000"/>
        </w:rPr>
      </w:pPr>
    </w:p>
    <w:p>
      <w:pPr>
        <w:pStyle w:val="3"/>
        <w:pageBreakBefore w:val="0"/>
        <w:kinsoku/>
        <w:wordWrap/>
        <w:overflowPunct/>
        <w:topLinePunct w:val="0"/>
        <w:bidi w:val="0"/>
        <w:adjustRightInd/>
        <w:snapToGrid w:val="0"/>
        <w:spacing w:afterLines="0" w:line="276" w:lineRule="auto"/>
        <w:jc w:val="center"/>
        <w:rPr>
          <w:rFonts w:hint="eastAsia" w:ascii="方正楷体_GBK" w:hAnsi="方正楷体_GBK" w:cs="方正楷体_GBK"/>
          <w:color w:val="000000"/>
        </w:rPr>
      </w:pPr>
      <w:bookmarkStart w:id="77" w:name="_Toc334220360_WPSOffice_Level2"/>
      <w:r>
        <w:rPr>
          <w:rFonts w:hint="eastAsia" w:ascii="方正楷体_GBK" w:hAnsi="方正楷体_GBK" w:cs="方正楷体_GBK"/>
          <w:color w:val="000000"/>
        </w:rPr>
        <w:t xml:space="preserve">第二节 </w:t>
      </w:r>
      <w:r>
        <w:rPr>
          <w:rFonts w:hint="eastAsia" w:ascii="方正楷体_GBK" w:hAnsi="方正楷体_GBK" w:cs="方正楷体_GBK"/>
          <w:color w:val="000000"/>
          <w:lang w:val="en-US"/>
        </w:rPr>
        <w:t xml:space="preserve"> </w:t>
      </w:r>
      <w:r>
        <w:rPr>
          <w:rFonts w:hint="eastAsia" w:ascii="方正楷体_GBK" w:hAnsi="方正楷体_GBK" w:cs="方正楷体_GBK"/>
          <w:color w:val="000000"/>
        </w:rPr>
        <w:t>全面深化医药卫生体制改革</w:t>
      </w:r>
      <w:bookmarkEnd w:id="74"/>
      <w:bookmarkEnd w:id="75"/>
      <w:bookmarkEnd w:id="77"/>
    </w:p>
    <w:p>
      <w:pPr>
        <w:pageBreakBefore w:val="0"/>
        <w:kinsoku/>
        <w:wordWrap/>
        <w:overflowPunct/>
        <w:topLinePunct w:val="0"/>
        <w:bidi w:val="0"/>
        <w:adjustRightInd w:val="0"/>
        <w:snapToGrid w:val="0"/>
        <w:spacing w:afterLines="0" w:line="276" w:lineRule="auto"/>
        <w:ind w:left="0" w:leftChars="0" w:firstLine="640"/>
        <w:rPr>
          <w:rStyle w:val="16"/>
          <w:b w:val="0"/>
          <w:color w:val="000000"/>
        </w:rPr>
      </w:pPr>
    </w:p>
    <w:p>
      <w:pPr>
        <w:pageBreakBefore w:val="0"/>
        <w:kinsoku/>
        <w:wordWrap/>
        <w:overflowPunct/>
        <w:topLinePunct w:val="0"/>
        <w:bidi w:val="0"/>
        <w:adjustRightInd w:val="0"/>
        <w:snapToGrid w:val="0"/>
        <w:spacing w:afterLines="0" w:line="276" w:lineRule="auto"/>
        <w:ind w:left="0" w:leftChars="0" w:firstLine="640"/>
        <w:rPr>
          <w:color w:val="000000"/>
        </w:rPr>
      </w:pPr>
      <w:r>
        <w:rPr>
          <w:rStyle w:val="16"/>
          <w:b w:val="0"/>
          <w:color w:val="000000"/>
        </w:rPr>
        <w:t>深化公立医院综合改革。</w:t>
      </w:r>
      <w:r>
        <w:rPr>
          <w:color w:val="000000"/>
        </w:rPr>
        <w:t>大力推动公立医院高质量发展，加大对公立医院基本建设和设备购置投入。落实</w:t>
      </w:r>
      <w:r>
        <w:rPr>
          <w:color w:val="000000"/>
          <w:lang w:val="en"/>
        </w:rPr>
        <w:t>“</w:t>
      </w:r>
      <w:r>
        <w:rPr>
          <w:color w:val="000000"/>
        </w:rPr>
        <w:t>两个允许”，全面实施公立医院薪酬制度改革和编制管理创新，建立动态核增机制，探索人员总量备案管理试点。建立健全现代医院管理制度，规范内部权力运行。完善公立医院财政投入方式，适当拉开不同级别、不同专科类别医疗机构的补助标准，建立公立医院差异化补偿机制。优化公立医院绩效考核，推进预算管理和成本核算，促进医院精细化管理。</w:t>
      </w:r>
    </w:p>
    <w:p>
      <w:pPr>
        <w:pageBreakBefore w:val="0"/>
        <w:kinsoku/>
        <w:wordWrap/>
        <w:overflowPunct/>
        <w:topLinePunct w:val="0"/>
        <w:bidi w:val="0"/>
        <w:adjustRightInd w:val="0"/>
        <w:snapToGrid w:val="0"/>
        <w:spacing w:afterLines="0" w:line="276" w:lineRule="auto"/>
        <w:ind w:left="0" w:leftChars="0" w:firstLine="640"/>
        <w:jc w:val="both"/>
        <w:rPr>
          <w:color w:val="000000"/>
          <w:szCs w:val="32"/>
        </w:rPr>
      </w:pPr>
      <w:r>
        <w:rPr>
          <w:rStyle w:val="16"/>
          <w:b w:val="0"/>
          <w:color w:val="000000"/>
        </w:rPr>
        <w:t>推进分级诊疗制度。重塑</w:t>
      </w:r>
      <w:r>
        <w:rPr>
          <w:color w:val="000000"/>
        </w:rPr>
        <w:t>分级诊疗体系，抓好区域健康服务共同体建设，完善</w:t>
      </w:r>
      <w:r>
        <w:rPr>
          <w:color w:val="000000"/>
          <w:lang w:val="en"/>
        </w:rPr>
        <w:t>“</w:t>
      </w:r>
      <w:r>
        <w:rPr>
          <w:color w:val="000000"/>
        </w:rPr>
        <w:t>基层首诊、双向转诊、急慢</w:t>
      </w:r>
      <w:r>
        <w:rPr>
          <w:color w:val="000000"/>
          <w:szCs w:val="32"/>
        </w:rPr>
        <w:t>分治、上下联动”的分级诊疗格局。</w:t>
      </w:r>
      <w:r>
        <w:rPr>
          <w:color w:val="000000"/>
        </w:rPr>
        <w:t>强化医共体内优质专科诊疗资源对基层医疗卫生机构的支持和倾斜力度，努力实现</w:t>
      </w:r>
      <w:r>
        <w:rPr>
          <w:color w:val="000000"/>
          <w:lang w:val="en"/>
        </w:rPr>
        <w:t>“</w:t>
      </w:r>
      <w:r>
        <w:rPr>
          <w:color w:val="000000"/>
        </w:rPr>
        <w:t>医通、人通、财通”，促进优质资源下沉。科学建立分级诊疗病种目录和转诊标准，健全上下级医院、医共体内外、医联体之间的转诊工作机制和信息共享机制。</w:t>
      </w:r>
      <w:r>
        <w:rPr>
          <w:color w:val="000000"/>
          <w:szCs w:val="32"/>
        </w:rPr>
        <w:t>加强全科医生队伍建设，</w:t>
      </w:r>
      <w:r>
        <w:rPr>
          <w:color w:val="000000"/>
        </w:rPr>
        <w:t>推进以全科医生为主体、医防有机融合的家庭医生签约服务。</w:t>
      </w:r>
      <w:r>
        <w:rPr>
          <w:color w:val="000000"/>
          <w:szCs w:val="32"/>
        </w:rPr>
        <w:t>利用互联网技术大力推广远程会诊、在线复诊等服务，丰富家庭医生签约服务内容，推动医疗资源更加公平可及。</w:t>
      </w:r>
    </w:p>
    <w:p>
      <w:pPr>
        <w:pageBreakBefore w:val="0"/>
        <w:kinsoku/>
        <w:wordWrap/>
        <w:overflowPunct/>
        <w:topLinePunct w:val="0"/>
        <w:bidi w:val="0"/>
        <w:adjustRightInd w:val="0"/>
        <w:snapToGrid w:val="0"/>
        <w:spacing w:afterLines="0" w:line="276" w:lineRule="auto"/>
        <w:ind w:left="0" w:leftChars="0" w:firstLine="640"/>
        <w:rPr>
          <w:color w:val="000000"/>
        </w:rPr>
      </w:pPr>
      <w:r>
        <w:rPr>
          <w:rStyle w:val="16"/>
          <w:b w:val="0"/>
          <w:color w:val="000000"/>
        </w:rPr>
        <w:t>推进药品供应保障体系。</w:t>
      </w:r>
      <w:r>
        <w:rPr>
          <w:color w:val="000000"/>
        </w:rPr>
        <w:t>推进落实国家组织药品和耗材集中采购和使用工作，探索医共体内全面开展药品和耗材集体采购。促进医疗机构优先使用国家集中带量采购品种。严格落实国家基本药物制度，促进公立医疗机构基本药物优先配备使用和合理用药，提升基本药物使用占比，促进科学合理用药。完善短缺药品监测预警和分级应对机制，开展短缺药品分类储备，优化医疗机构短缺药品管理和替代使用。推进药品医疗器械监管创新发展，保障用药用械安全。</w:t>
      </w:r>
    </w:p>
    <w:p>
      <w:pPr>
        <w:pageBreakBefore w:val="0"/>
        <w:kinsoku/>
        <w:wordWrap/>
        <w:overflowPunct/>
        <w:topLinePunct w:val="0"/>
        <w:bidi w:val="0"/>
        <w:adjustRightInd w:val="0"/>
        <w:snapToGrid w:val="0"/>
        <w:spacing w:afterLines="0" w:line="276" w:lineRule="auto"/>
        <w:ind w:left="0" w:leftChars="0" w:firstLine="640"/>
        <w:rPr>
          <w:color w:val="000000"/>
        </w:rPr>
      </w:pPr>
      <w:r>
        <w:rPr>
          <w:bCs/>
          <w:color w:val="000000"/>
        </w:rPr>
        <w:t>深化医疗保障制度改革。</w:t>
      </w:r>
      <w:r>
        <w:rPr>
          <w:color w:val="000000"/>
        </w:rPr>
        <w:t>持续推进医保支付方式改革，推行以按病种付费为主的多元复合式医保支付方式，开展按疾病诊断相关分组（DRGs）付费试点，提高医疗卫生领域的公共服务支出效率。建立健全医保基金监管机制，稳步建立长期护理保险制度，引导商业健康保险发展。优化医疗保障公共服务，完善市内异地就医直接结算服务，推进门诊异地就医和门诊特定病种直接结算。建立重大疫情医疗救治费用保障机制，在突发疫情等紧急情况时，确保医疗机构先救治、后收费。提高康复服务的费用保障力度。推进</w:t>
      </w:r>
      <w:r>
        <w:rPr>
          <w:color w:val="000000"/>
          <w:lang w:val="en"/>
        </w:rPr>
        <w:t>“</w:t>
      </w:r>
      <w:r>
        <w:rPr>
          <w:color w:val="000000"/>
        </w:rPr>
        <w:t>互联网+医保监管”。</w:t>
      </w:r>
    </w:p>
    <w:p>
      <w:pPr>
        <w:pStyle w:val="4"/>
        <w:pageBreakBefore w:val="0"/>
        <w:widowControl w:val="0"/>
        <w:kinsoku/>
        <w:wordWrap/>
        <w:overflowPunct/>
        <w:topLinePunct w:val="0"/>
        <w:autoSpaceDE/>
        <w:autoSpaceDN/>
        <w:bidi w:val="0"/>
        <w:adjustRightInd w:val="0"/>
        <w:snapToGrid w:val="0"/>
        <w:spacing w:after="0" w:afterLines="0" w:line="276" w:lineRule="auto"/>
        <w:ind w:left="0" w:leftChars="0" w:firstLine="640" w:firstLineChars="200"/>
        <w:textAlignment w:val="auto"/>
        <w:rPr>
          <w:rFonts w:hint="eastAsia" w:ascii="方正仿宋_GBK" w:hAnsi="方正仿宋_GBK" w:cs="方正仿宋_GBK"/>
          <w:color w:val="000000"/>
          <w:szCs w:val="32"/>
        </w:rPr>
      </w:pPr>
      <w:r>
        <w:rPr>
          <w:rFonts w:hint="eastAsia" w:ascii="方正仿宋_GBK" w:hAnsi="方正仿宋_GBK" w:cs="方正仿宋_GBK"/>
          <w:color w:val="000000"/>
          <w:szCs w:val="32"/>
        </w:rPr>
        <w:t>推进医疗卫生行业综合监管体制改革。健全政府主导、部门协作综合监管协调机制，健全机构自治、行业自律、政府监管、社会监督相结合的多元化综合监管体系，打造专业高效、统一规范、文明公正的卫生健康执法监督队伍，实现医疗卫生行业综合监管法治化、规范化、常态化。</w:t>
      </w:r>
    </w:p>
    <w:p>
      <w:pPr>
        <w:pStyle w:val="4"/>
        <w:pageBreakBefore w:val="0"/>
        <w:widowControl w:val="0"/>
        <w:kinsoku/>
        <w:wordWrap/>
        <w:overflowPunct/>
        <w:topLinePunct w:val="0"/>
        <w:autoSpaceDE/>
        <w:autoSpaceDN/>
        <w:bidi w:val="0"/>
        <w:adjustRightInd w:val="0"/>
        <w:snapToGrid w:val="0"/>
        <w:spacing w:after="0" w:afterLines="0" w:line="276" w:lineRule="auto"/>
        <w:ind w:left="0" w:leftChars="0" w:firstLine="640" w:firstLineChars="200"/>
        <w:textAlignment w:val="auto"/>
        <w:rPr>
          <w:rFonts w:hint="eastAsia" w:ascii="方正仿宋_GBK" w:hAnsi="方正仿宋_GBK" w:cs="方正仿宋_GBK"/>
          <w:color w:val="000000"/>
          <w:szCs w:val="32"/>
        </w:rPr>
      </w:pPr>
    </w:p>
    <w:p>
      <w:pPr>
        <w:pStyle w:val="3"/>
        <w:pageBreakBefore w:val="0"/>
        <w:widowControl/>
        <w:kinsoku/>
        <w:wordWrap/>
        <w:overflowPunct/>
        <w:topLinePunct w:val="0"/>
        <w:autoSpaceDE/>
        <w:autoSpaceDN/>
        <w:bidi w:val="0"/>
        <w:adjustRightInd/>
        <w:snapToGrid w:val="0"/>
        <w:spacing w:afterLines="0" w:line="276" w:lineRule="auto"/>
        <w:jc w:val="center"/>
        <w:textAlignment w:val="auto"/>
        <w:rPr>
          <w:rFonts w:hint="eastAsia" w:ascii="方正楷体_GBK" w:hAnsi="方正楷体_GBK" w:cs="方正楷体_GBK"/>
          <w:color w:val="000000"/>
        </w:rPr>
      </w:pPr>
      <w:bookmarkStart w:id="78" w:name="_Toc11437"/>
      <w:bookmarkStart w:id="79" w:name="_Toc74327802"/>
      <w:bookmarkStart w:id="80" w:name="_Toc94912927_WPSOffice_Level2"/>
      <w:r>
        <w:rPr>
          <w:rFonts w:hint="eastAsia" w:ascii="方正楷体_GBK" w:hAnsi="方正楷体_GBK" w:cs="方正楷体_GBK"/>
          <w:color w:val="000000"/>
        </w:rPr>
        <w:t xml:space="preserve">第三节 </w:t>
      </w:r>
      <w:r>
        <w:rPr>
          <w:rFonts w:hint="eastAsia" w:ascii="方正楷体_GBK" w:hAnsi="方正楷体_GBK" w:cs="方正楷体_GBK"/>
          <w:color w:val="000000"/>
          <w:lang w:val="en-US"/>
        </w:rPr>
        <w:t xml:space="preserve"> </w:t>
      </w:r>
      <w:r>
        <w:rPr>
          <w:rFonts w:hint="eastAsia" w:ascii="方正楷体_GBK" w:hAnsi="方正楷体_GBK" w:cs="方正楷体_GBK"/>
          <w:color w:val="000000"/>
        </w:rPr>
        <w:t>提升区域医疗服务</w:t>
      </w:r>
      <w:bookmarkEnd w:id="78"/>
      <w:bookmarkEnd w:id="79"/>
      <w:r>
        <w:rPr>
          <w:rFonts w:hint="eastAsia" w:ascii="方正楷体_GBK" w:hAnsi="方正楷体_GBK" w:cs="方正楷体_GBK"/>
          <w:color w:val="000000"/>
        </w:rPr>
        <w:t>水平</w:t>
      </w:r>
      <w:bookmarkEnd w:id="80"/>
    </w:p>
    <w:p>
      <w:pPr>
        <w:pageBreakBefore w:val="0"/>
        <w:widowControl w:val="0"/>
        <w:kinsoku/>
        <w:wordWrap/>
        <w:overflowPunct/>
        <w:topLinePunct w:val="0"/>
        <w:autoSpaceDE/>
        <w:autoSpaceDN/>
        <w:bidi w:val="0"/>
        <w:adjustRightInd w:val="0"/>
        <w:snapToGrid w:val="0"/>
        <w:spacing w:afterLines="0" w:line="276" w:lineRule="auto"/>
        <w:ind w:left="0" w:leftChars="0" w:firstLine="640"/>
        <w:textAlignment w:val="auto"/>
        <w:rPr>
          <w:bCs/>
          <w:color w:val="000000"/>
        </w:rPr>
      </w:pPr>
    </w:p>
    <w:p>
      <w:pPr>
        <w:pageBreakBefore w:val="0"/>
        <w:widowControl w:val="0"/>
        <w:kinsoku/>
        <w:wordWrap/>
        <w:overflowPunct/>
        <w:topLinePunct w:val="0"/>
        <w:autoSpaceDE/>
        <w:autoSpaceDN/>
        <w:bidi w:val="0"/>
        <w:adjustRightInd w:val="0"/>
        <w:snapToGrid w:val="0"/>
        <w:spacing w:afterLines="0" w:line="276" w:lineRule="auto"/>
        <w:ind w:left="0" w:leftChars="0" w:firstLine="640"/>
        <w:textAlignment w:val="auto"/>
        <w:rPr>
          <w:color w:val="000000"/>
        </w:rPr>
      </w:pPr>
      <w:r>
        <w:rPr>
          <w:bCs/>
          <w:color w:val="000000"/>
        </w:rPr>
        <w:t>优化区域卫生资源配置。</w:t>
      </w:r>
      <w:r>
        <w:rPr>
          <w:color w:val="000000"/>
        </w:rPr>
        <w:t>完善区域医疗资源配套，均衡医疗机构布局，推进</w:t>
      </w:r>
      <w:r>
        <w:rPr>
          <w:rFonts w:hint="eastAsia"/>
          <w:color w:val="000000"/>
          <w:szCs w:val="32"/>
        </w:rPr>
        <w:t>区域医疗中心</w:t>
      </w:r>
      <w:r>
        <w:rPr>
          <w:color w:val="000000"/>
        </w:rPr>
        <w:t>建设。加强心</w:t>
      </w:r>
      <w:r>
        <w:rPr>
          <w:rFonts w:hint="eastAsia"/>
          <w:color w:val="000000"/>
        </w:rPr>
        <w:t>脑</w:t>
      </w:r>
      <w:r>
        <w:rPr>
          <w:color w:val="000000"/>
        </w:rPr>
        <w:t>血管内科、</w:t>
      </w:r>
      <w:r>
        <w:rPr>
          <w:rFonts w:hint="eastAsia"/>
          <w:color w:val="000000"/>
        </w:rPr>
        <w:t>创伤外科、</w:t>
      </w:r>
      <w:r>
        <w:rPr>
          <w:color w:val="000000"/>
        </w:rPr>
        <w:t>肿瘤专科、</w:t>
      </w:r>
      <w:r>
        <w:rPr>
          <w:rFonts w:hint="eastAsia"/>
          <w:color w:val="000000"/>
        </w:rPr>
        <w:t>儿科、</w:t>
      </w:r>
      <w:r>
        <w:rPr>
          <w:color w:val="000000"/>
        </w:rPr>
        <w:t>中医特色专科等学科建设，力争打造一批国家级、市级</w:t>
      </w:r>
      <w:r>
        <w:rPr>
          <w:rFonts w:hint="eastAsia"/>
          <w:color w:val="000000"/>
          <w:lang w:eastAsia="zh-CN"/>
        </w:rPr>
        <w:t>重点</w:t>
      </w:r>
      <w:r>
        <w:rPr>
          <w:color w:val="000000"/>
        </w:rPr>
        <w:t>特色专科。发挥心血管、儿科专科优势，探索发展</w:t>
      </w:r>
      <w:r>
        <w:rPr>
          <w:color w:val="000000"/>
          <w:lang w:val="en"/>
        </w:rPr>
        <w:t>“</w:t>
      </w:r>
      <w:r>
        <w:rPr>
          <w:color w:val="000000"/>
        </w:rPr>
        <w:t>三级专科医院+区域”模式，</w:t>
      </w:r>
      <w:r>
        <w:rPr>
          <w:rFonts w:hint="eastAsia"/>
          <w:color w:val="000000"/>
        </w:rPr>
        <w:t>引进国家</w:t>
      </w:r>
      <w:r>
        <w:rPr>
          <w:rFonts w:hint="eastAsia"/>
          <w:color w:val="000000"/>
          <w:lang w:eastAsia="zh-CN"/>
        </w:rPr>
        <w:t>、</w:t>
      </w:r>
      <w:r>
        <w:rPr>
          <w:rFonts w:hint="eastAsia"/>
          <w:color w:val="000000"/>
        </w:rPr>
        <w:t>市级优势专科进入永川，</w:t>
      </w:r>
      <w:r>
        <w:rPr>
          <w:color w:val="000000"/>
        </w:rPr>
        <w:t>促进医疗资源科学下沉。构建新型医疗急救体系，建立健全心脑血管疾病、重度创伤、危重孕产妇和危重新生儿的分级诊疗体系和机制，推动远程诊疗中心、远程影像中心、远程心电中心建设。强化区内医院与省外医院的合作，积极争取</w:t>
      </w:r>
      <w:r>
        <w:rPr>
          <w:rFonts w:hint="eastAsia"/>
          <w:color w:val="000000"/>
        </w:rPr>
        <w:t>国家区域医疗中心输出医院落户永川</w:t>
      </w:r>
      <w:r>
        <w:rPr>
          <w:color w:val="000000"/>
        </w:rPr>
        <w:t>建</w:t>
      </w:r>
      <w:r>
        <w:rPr>
          <w:rFonts w:hint="eastAsia"/>
          <w:color w:val="000000"/>
        </w:rPr>
        <w:t>设</w:t>
      </w:r>
      <w:r>
        <w:rPr>
          <w:color w:val="000000"/>
        </w:rPr>
        <w:t>区域医疗中心，推进全国优质医疗资源向区内倾斜。加快重医附属永川医院兴龙湖分院和区中医院新院区建设，加强基层医疗机构环境建设和设施设备配备。到2025年，力争全区所有基层医疗卫生机构建设达到市级公共服务设施规划标准，50%的基层医疗机构达到</w:t>
      </w:r>
      <w:r>
        <w:rPr>
          <w:color w:val="000000"/>
          <w:lang w:val="en"/>
        </w:rPr>
        <w:t>“</w:t>
      </w:r>
      <w:r>
        <w:rPr>
          <w:color w:val="000000"/>
        </w:rPr>
        <w:t>美丽医院”建设标准</w:t>
      </w:r>
      <w:r>
        <w:rPr>
          <w:rFonts w:hint="eastAsia"/>
          <w:color w:val="000000"/>
        </w:rPr>
        <w:t>，升级2-4</w:t>
      </w:r>
      <w:r>
        <w:rPr>
          <w:rFonts w:hint="eastAsia"/>
          <w:color w:val="000000"/>
          <w:lang w:eastAsia="zh-CN"/>
        </w:rPr>
        <w:t>家</w:t>
      </w:r>
      <w:r>
        <w:rPr>
          <w:rFonts w:hint="eastAsia"/>
          <w:color w:val="000000"/>
        </w:rPr>
        <w:t>基层医疗单位为二级医院。</w:t>
      </w:r>
    </w:p>
    <w:p>
      <w:pPr>
        <w:pageBreakBefore w:val="0"/>
        <w:kinsoku/>
        <w:wordWrap/>
        <w:overflowPunct/>
        <w:topLinePunct w:val="0"/>
        <w:bidi w:val="0"/>
        <w:adjustRightInd w:val="0"/>
        <w:snapToGrid w:val="0"/>
        <w:spacing w:afterLines="0" w:line="276" w:lineRule="auto"/>
        <w:ind w:left="0" w:leftChars="0" w:firstLine="640"/>
        <w:rPr>
          <w:color w:val="000000"/>
        </w:rPr>
      </w:pPr>
      <w:r>
        <w:rPr>
          <w:bCs/>
          <w:color w:val="000000"/>
        </w:rPr>
        <w:t>改善医疗服务供给。</w:t>
      </w:r>
      <w:r>
        <w:rPr>
          <w:color w:val="000000"/>
        </w:rPr>
        <w:t>推进医疗服务供给侧结构性改革，加快转变医疗机构服务理念，全面提升医疗服务应对医疗需求变化的适应能力和创新能力。</w:t>
      </w:r>
      <w:r>
        <w:rPr>
          <w:color w:val="000000"/>
          <w:szCs w:val="32"/>
        </w:rPr>
        <w:t>优化诊疗布局，营造良好就医环境。全面推进预约诊疗。大力推行日间手术，加强急诊力量。发挥</w:t>
      </w:r>
      <w:r>
        <w:rPr>
          <w:color w:val="000000"/>
          <w:szCs w:val="32"/>
          <w:lang w:val="en"/>
        </w:rPr>
        <w:t>“</w:t>
      </w:r>
      <w:r>
        <w:rPr>
          <w:color w:val="000000"/>
          <w:szCs w:val="32"/>
        </w:rPr>
        <w:t>互联网+”</w:t>
      </w:r>
      <w:r>
        <w:rPr>
          <w:color w:val="000000"/>
          <w:szCs w:val="32"/>
          <w:lang w:val="en"/>
        </w:rPr>
        <w:t>“</w:t>
      </w:r>
      <w:r>
        <w:rPr>
          <w:color w:val="000000"/>
          <w:szCs w:val="32"/>
        </w:rPr>
        <w:t>智慧医院”优势，创新便民措施，改进医疗服务流程，改善患者就医体验。</w:t>
      </w:r>
      <w:r>
        <w:rPr>
          <w:color w:val="000000"/>
        </w:rPr>
        <w:t>加强护理队伍建设，提高医疗护理水平，健全治疗—康复—长期护理服务链，到2025年，实现全区所有公立医疗机构开展优质护理服务。</w:t>
      </w:r>
    </w:p>
    <w:p>
      <w:pPr>
        <w:pageBreakBefore w:val="0"/>
        <w:kinsoku/>
        <w:wordWrap/>
        <w:overflowPunct/>
        <w:topLinePunct w:val="0"/>
        <w:bidi w:val="0"/>
        <w:adjustRightInd w:val="0"/>
        <w:snapToGrid w:val="0"/>
        <w:spacing w:afterLines="0" w:line="276" w:lineRule="auto"/>
        <w:ind w:left="0" w:leftChars="0" w:firstLine="640"/>
        <w:rPr>
          <w:color w:val="000000"/>
        </w:rPr>
      </w:pPr>
      <w:r>
        <w:rPr>
          <w:bCs/>
          <w:color w:val="000000"/>
        </w:rPr>
        <w:t>提升医疗质量安全。严格落</w:t>
      </w:r>
      <w:r>
        <w:rPr>
          <w:color w:val="000000"/>
        </w:rPr>
        <w:t>实医疗质量安全核心制度，深入推进对医疗服务质量的督查和业务指导，</w:t>
      </w:r>
      <w:r>
        <w:rPr>
          <w:color w:val="000000"/>
          <w:szCs w:val="32"/>
        </w:rPr>
        <w:t>健全医疗技术临床应用管理制度。持续推行城乡医院对口支援，规范诊疗行为，全面实施临床路径。以抗菌药物为重点推进合理用药，</w:t>
      </w:r>
      <w:r>
        <w:rPr>
          <w:color w:val="000000"/>
        </w:rPr>
        <w:t>加强</w:t>
      </w:r>
      <w:r>
        <w:rPr>
          <w:color w:val="000000"/>
          <w:lang w:val="en"/>
        </w:rPr>
        <w:t>“</w:t>
      </w:r>
      <w:r>
        <w:rPr>
          <w:color w:val="000000"/>
        </w:rPr>
        <w:t>互联网+处方监管”。</w:t>
      </w:r>
      <w:r>
        <w:rPr>
          <w:color w:val="000000"/>
          <w:szCs w:val="32"/>
        </w:rPr>
        <w:t>建立科学的医疗管理绩效评价机制、医疗质量控制动态监测和反馈机制，改善医疗质量安全。</w:t>
      </w:r>
      <w:r>
        <w:rPr>
          <w:color w:val="000000"/>
        </w:rPr>
        <w:t>加强医师执业管理，健全医师定期考核制度。加强血液质量和安全保障，血液核酸检测率达100%。提高临床合理用血水平，完善血液采供预警系统。</w:t>
      </w:r>
    </w:p>
    <w:p>
      <w:pPr>
        <w:pageBreakBefore w:val="0"/>
        <w:kinsoku/>
        <w:wordWrap/>
        <w:overflowPunct/>
        <w:topLinePunct w:val="0"/>
        <w:bidi w:val="0"/>
        <w:adjustRightInd w:val="0"/>
        <w:snapToGrid w:val="0"/>
        <w:spacing w:afterLines="0" w:line="276" w:lineRule="auto"/>
        <w:ind w:left="0" w:leftChars="0" w:firstLine="640"/>
        <w:rPr>
          <w:color w:val="000000"/>
        </w:rPr>
      </w:pPr>
      <w:r>
        <w:rPr>
          <w:bCs/>
          <w:color w:val="000000"/>
        </w:rPr>
        <w:t>提升基层服务能力。</w:t>
      </w:r>
      <w:r>
        <w:rPr>
          <w:color w:val="000000"/>
        </w:rPr>
        <w:t>充分发挥基层医疗机构在疾病初级诊疗和转诊转介中的网底作用，推进基层医疗卫生机构规范化建设，全面提升基层医疗卫生服务能力，加快构建新型基层医疗卫生服务体系。积极实施基层临床骨干、护理人员、管理人员、乡村医生能力培训项目，引导区级医院合理有效下沉优质医疗资源。开展常见慢性病以及冠心病、脑卒中等疾病的社区预防、健康教育和康复。做实做细家庭医生签约服务，提升社区服务中心业务水平。开展基层医疗机构特色科室建设，推进基层医疗机构等级评审，</w:t>
      </w:r>
      <w:r>
        <w:rPr>
          <w:rFonts w:hint="eastAsia"/>
          <w:color w:val="000000"/>
        </w:rPr>
        <w:t>创建成功6</w:t>
      </w:r>
      <w:r>
        <w:rPr>
          <w:rFonts w:hint="eastAsia"/>
          <w:color w:val="000000"/>
          <w:lang w:eastAsia="zh-CN"/>
        </w:rPr>
        <w:t>家</w:t>
      </w:r>
      <w:r>
        <w:rPr>
          <w:rFonts w:hint="eastAsia"/>
          <w:color w:val="000000"/>
        </w:rPr>
        <w:t>以上一级甲等卫生院（社区卫生服务中心），</w:t>
      </w:r>
      <w:r>
        <w:rPr>
          <w:color w:val="000000"/>
        </w:rPr>
        <w:t>促进服务质量持续改进。发挥</w:t>
      </w:r>
      <w:r>
        <w:rPr>
          <w:color w:val="000000"/>
          <w:lang w:val="en"/>
        </w:rPr>
        <w:t>“</w:t>
      </w:r>
      <w:r>
        <w:rPr>
          <w:color w:val="000000"/>
        </w:rPr>
        <w:t>互联网+医疗健康”</w:t>
      </w:r>
      <w:r>
        <w:rPr>
          <w:color w:val="000000"/>
          <w:lang w:val="en"/>
        </w:rPr>
        <w:t>“</w:t>
      </w:r>
      <w:r>
        <w:rPr>
          <w:color w:val="000000"/>
        </w:rPr>
        <w:t>智慧医院”优势，全面提升基层医疗机构服务能力。打造大安、三教、朱沱</w:t>
      </w:r>
      <w:r>
        <w:rPr>
          <w:rFonts w:hint="eastAsia"/>
          <w:color w:val="000000"/>
        </w:rPr>
        <w:t>、</w:t>
      </w:r>
      <w:r>
        <w:rPr>
          <w:color w:val="000000"/>
        </w:rPr>
        <w:t>来苏、五间、双石</w:t>
      </w:r>
      <w:r>
        <w:rPr>
          <w:rFonts w:hint="eastAsia"/>
          <w:color w:val="000000"/>
        </w:rPr>
        <w:t>6</w:t>
      </w:r>
      <w:r>
        <w:rPr>
          <w:color w:val="000000"/>
        </w:rPr>
        <w:t>家基层医疗机构为</w:t>
      </w:r>
      <w:r>
        <w:rPr>
          <w:rFonts w:hint="eastAsia"/>
          <w:color w:val="000000"/>
        </w:rPr>
        <w:t>区域</w:t>
      </w:r>
      <w:r>
        <w:rPr>
          <w:color w:val="000000"/>
        </w:rPr>
        <w:t>中心卫生院（社区卫生服务中心）</w:t>
      </w:r>
      <w:r>
        <w:rPr>
          <w:rFonts w:hint="eastAsia"/>
          <w:color w:val="000000"/>
        </w:rPr>
        <w:t>。</w:t>
      </w:r>
    </w:p>
    <w:tbl>
      <w:tblPr>
        <w:tblStyle w:val="11"/>
        <w:tblW w:w="8647"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7"/>
        <w:tblGridChange w:id="1">
          <w:tblGrid>
            <w:gridCol w:w="113"/>
            <w:gridCol w:w="8647"/>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47"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bidi w:val="0"/>
              <w:snapToGrid w:val="0"/>
              <w:spacing w:afterLines="0" w:line="276" w:lineRule="auto"/>
              <w:ind w:left="0" w:leftChars="0" w:firstLine="0"/>
              <w:jc w:val="center"/>
              <w:rPr>
                <w:rFonts w:eastAsia="黑体"/>
                <w:color w:val="000000"/>
                <w:sz w:val="28"/>
                <w:szCs w:val="28"/>
                <w:shd w:val="clear" w:color="auto" w:fill="FFFFFF"/>
              </w:rPr>
            </w:pPr>
            <w:r>
              <w:rPr>
                <w:rFonts w:hint="eastAsia" w:ascii="方正楷体_GBK" w:hAnsi="方正楷体_GBK" w:eastAsia="方正楷体_GBK" w:cs="方正楷体_GBK"/>
                <w:color w:val="000000"/>
                <w:sz w:val="24"/>
                <w:szCs w:val="24"/>
              </w:rPr>
              <w:t>专栏2   医疗服务改进项目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 w:hRule="atLeast"/>
        </w:trPr>
        <w:tc>
          <w:tcPr>
            <w:tcW w:w="8647"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bidi w:val="0"/>
              <w:snapToGrid w:val="0"/>
              <w:spacing w:afterLines="0" w:line="276" w:lineRule="auto"/>
              <w:ind w:left="0" w:leftChars="0" w:firstLine="482"/>
              <w:rPr>
                <w:color w:val="000000"/>
                <w:sz w:val="24"/>
              </w:rPr>
            </w:pPr>
            <w:r>
              <w:rPr>
                <w:b/>
                <w:bCs/>
                <w:color w:val="000000"/>
                <w:sz w:val="24"/>
              </w:rPr>
              <w:t>临床专科能力提升：</w:t>
            </w:r>
            <w:r>
              <w:rPr>
                <w:color w:val="000000"/>
                <w:sz w:val="24"/>
              </w:rPr>
              <w:t>推动区人民医院建设胸痛、卒中、创伤中心，区中医院建设胸痛、卒中中心，区妇幼保健院建设危重孕产妇、新生儿救治中心，区儿童医院建设危重儿童救治中心。</w:t>
            </w:r>
          </w:p>
          <w:p>
            <w:pPr>
              <w:pageBreakBefore w:val="0"/>
              <w:kinsoku/>
              <w:wordWrap/>
              <w:overflowPunct/>
              <w:topLinePunct w:val="0"/>
              <w:bidi w:val="0"/>
              <w:snapToGrid w:val="0"/>
              <w:spacing w:afterLines="0" w:line="276" w:lineRule="auto"/>
              <w:ind w:left="0" w:leftChars="0" w:firstLine="482"/>
              <w:rPr>
                <w:color w:val="000000"/>
                <w:sz w:val="21"/>
                <w:szCs w:val="21"/>
              </w:rPr>
            </w:pPr>
            <w:r>
              <w:rPr>
                <w:b/>
                <w:bCs/>
                <w:color w:val="000000"/>
                <w:sz w:val="24"/>
              </w:rPr>
              <w:t>基层医疗卫生机构提质增效：</w:t>
            </w:r>
            <w:r>
              <w:rPr>
                <w:color w:val="000000"/>
                <w:sz w:val="24"/>
              </w:rPr>
              <w:t>强化基层卫生人员知识储备和培训演练，推进卫生健康适宜技术下基层。稳步提升家庭医生签约服务率，老年人、慢性病患者等重点人群签约率达90%以上。到2025年，新创建区人民医院、区妇幼保健院</w:t>
            </w:r>
            <w:r>
              <w:rPr>
                <w:rFonts w:hint="eastAsia"/>
                <w:color w:val="000000"/>
                <w:sz w:val="24"/>
                <w:lang w:val="en-US" w:eastAsia="zh-CN"/>
              </w:rPr>
              <w:t>2</w:t>
            </w:r>
            <w:r>
              <w:rPr>
                <w:color w:val="000000"/>
                <w:sz w:val="24"/>
              </w:rPr>
              <w:t>家三级医院，三</w:t>
            </w:r>
            <w:r>
              <w:rPr>
                <w:rFonts w:hint="eastAsia"/>
                <w:color w:val="000000"/>
                <w:sz w:val="24"/>
              </w:rPr>
              <w:t>级</w:t>
            </w:r>
            <w:r>
              <w:rPr>
                <w:color w:val="000000"/>
                <w:sz w:val="24"/>
              </w:rPr>
              <w:t>疾控中心1家，区域内三级医疗卫生机构达到</w:t>
            </w:r>
            <w:r>
              <w:rPr>
                <w:rFonts w:hint="eastAsia"/>
                <w:color w:val="000000"/>
                <w:sz w:val="24"/>
                <w:lang w:val="en-US" w:eastAsia="zh-CN"/>
              </w:rPr>
              <w:t>5</w:t>
            </w:r>
            <w:r>
              <w:rPr>
                <w:color w:val="000000"/>
                <w:sz w:val="24"/>
              </w:rPr>
              <w:t>家。</w:t>
            </w:r>
          </w:p>
        </w:tc>
      </w:tr>
    </w:tbl>
    <w:p>
      <w:pPr>
        <w:pStyle w:val="3"/>
        <w:keepNext w:val="0"/>
        <w:keepLines w:val="0"/>
        <w:pageBreakBefore w:val="0"/>
        <w:kinsoku/>
        <w:wordWrap/>
        <w:overflowPunct/>
        <w:topLinePunct w:val="0"/>
        <w:bidi w:val="0"/>
        <w:adjustRightInd w:val="0"/>
        <w:snapToGrid w:val="0"/>
        <w:spacing w:afterLines="0" w:line="276" w:lineRule="auto"/>
        <w:jc w:val="both"/>
        <w:rPr>
          <w:color w:val="000000"/>
        </w:rPr>
      </w:pPr>
      <w:bookmarkStart w:id="81" w:name="_Toc10449"/>
      <w:bookmarkStart w:id="82" w:name="_Toc74327803"/>
    </w:p>
    <w:p>
      <w:pPr>
        <w:pStyle w:val="3"/>
        <w:pageBreakBefore w:val="0"/>
        <w:kinsoku/>
        <w:wordWrap/>
        <w:overflowPunct/>
        <w:topLinePunct w:val="0"/>
        <w:bidi w:val="0"/>
        <w:adjustRightInd/>
        <w:snapToGrid w:val="0"/>
        <w:spacing w:afterLines="0" w:line="276" w:lineRule="auto"/>
        <w:jc w:val="center"/>
        <w:rPr>
          <w:rFonts w:hint="eastAsia" w:ascii="方正楷体_GBK" w:hAnsi="方正楷体_GBK" w:cs="方正楷体_GBK"/>
          <w:color w:val="000000"/>
        </w:rPr>
      </w:pPr>
      <w:bookmarkStart w:id="83" w:name="_Toc1586337134_WPSOffice_Level2"/>
      <w:r>
        <w:rPr>
          <w:rFonts w:hint="eastAsia" w:ascii="方正楷体_GBK" w:hAnsi="方正楷体_GBK" w:cs="方正楷体_GBK"/>
          <w:color w:val="000000"/>
        </w:rPr>
        <w:t>第四节</w:t>
      </w:r>
      <w:r>
        <w:rPr>
          <w:rFonts w:hint="eastAsia" w:ascii="方正楷体_GBK" w:hAnsi="方正楷体_GBK" w:cs="方正楷体_GBK"/>
          <w:color w:val="000000"/>
          <w:lang w:val="en-US"/>
        </w:rPr>
        <w:t xml:space="preserve"> </w:t>
      </w:r>
      <w:r>
        <w:rPr>
          <w:rFonts w:hint="eastAsia" w:ascii="方正楷体_GBK" w:hAnsi="方正楷体_GBK" w:cs="方正楷体_GBK"/>
          <w:color w:val="000000"/>
        </w:rPr>
        <w:t xml:space="preserve"> 加快中医药事业持续发展</w:t>
      </w:r>
      <w:bookmarkEnd w:id="81"/>
      <w:bookmarkEnd w:id="83"/>
    </w:p>
    <w:p>
      <w:pPr>
        <w:pageBreakBefore w:val="0"/>
        <w:kinsoku/>
        <w:wordWrap/>
        <w:overflowPunct/>
        <w:topLinePunct w:val="0"/>
        <w:bidi w:val="0"/>
        <w:adjustRightInd w:val="0"/>
        <w:snapToGrid w:val="0"/>
        <w:spacing w:afterLines="0" w:line="276" w:lineRule="auto"/>
        <w:ind w:left="0" w:leftChars="0" w:firstLine="640"/>
        <w:rPr>
          <w:bCs/>
          <w:color w:val="000000"/>
        </w:rPr>
      </w:pPr>
    </w:p>
    <w:p>
      <w:pPr>
        <w:pageBreakBefore w:val="0"/>
        <w:kinsoku/>
        <w:wordWrap/>
        <w:overflowPunct/>
        <w:topLinePunct w:val="0"/>
        <w:bidi w:val="0"/>
        <w:adjustRightInd w:val="0"/>
        <w:snapToGrid w:val="0"/>
        <w:spacing w:afterLines="0" w:line="276" w:lineRule="auto"/>
        <w:ind w:left="0" w:leftChars="0" w:firstLine="640"/>
        <w:rPr>
          <w:b/>
          <w:bCs/>
          <w:color w:val="000000"/>
        </w:rPr>
      </w:pPr>
      <w:r>
        <w:rPr>
          <w:bCs/>
          <w:color w:val="000000"/>
        </w:rPr>
        <w:t>完善中医药服务体系。</w:t>
      </w:r>
      <w:r>
        <w:rPr>
          <w:color w:val="000000"/>
          <w:szCs w:val="32"/>
        </w:rPr>
        <w:t>积极创建</w:t>
      </w:r>
      <w:r>
        <w:rPr>
          <w:color w:val="000000"/>
        </w:rPr>
        <w:t>渝西片区中医医疗中心、中医疾病防治基地，争创</w:t>
      </w:r>
      <w:r>
        <w:rPr>
          <w:rFonts w:hint="eastAsia"/>
          <w:color w:val="000000"/>
        </w:rPr>
        <w:t>新一轮</w:t>
      </w:r>
      <w:r>
        <w:rPr>
          <w:color w:val="000000"/>
        </w:rPr>
        <w:t>全国基层中医药工作先进</w:t>
      </w:r>
      <w:r>
        <w:rPr>
          <w:rFonts w:hint="eastAsia"/>
          <w:color w:val="000000"/>
        </w:rPr>
        <w:t>区</w:t>
      </w:r>
      <w:r>
        <w:rPr>
          <w:color w:val="000000"/>
          <w:szCs w:val="32"/>
        </w:rPr>
        <w:t>。</w:t>
      </w:r>
      <w:r>
        <w:rPr>
          <w:color w:val="000000"/>
        </w:rPr>
        <w:t>加强全生命周期的中医药服务能力建设，打造集预防保健、疾病治疗和康复为一体的中医药服务体系。优化中医医疗机构配置，进一步加强综合医院、专科医院、妇幼保健院中医科室建设，实现基层医疗机构中医馆全覆盖，并配备充足的中医药人员。深化中医药管理体制改革，建立持续稳定的中医药发展多元投入机制。充分发挥区中医院优势，强化对社区、乡镇卫生院的帮扶指导，补齐基层中医药服务网络短板。</w:t>
      </w:r>
    </w:p>
    <w:p>
      <w:pPr>
        <w:pageBreakBefore w:val="0"/>
        <w:kinsoku/>
        <w:wordWrap/>
        <w:overflowPunct/>
        <w:topLinePunct w:val="0"/>
        <w:bidi w:val="0"/>
        <w:adjustRightInd w:val="0"/>
        <w:snapToGrid w:val="0"/>
        <w:spacing w:afterLines="0" w:line="276" w:lineRule="auto"/>
        <w:ind w:left="0" w:leftChars="0" w:firstLine="641"/>
        <w:rPr>
          <w:color w:val="000000"/>
        </w:rPr>
      </w:pPr>
      <w:r>
        <w:rPr>
          <w:bCs/>
          <w:color w:val="000000"/>
        </w:rPr>
        <w:t>提升中医药服务能力。</w:t>
      </w:r>
      <w:r>
        <w:rPr>
          <w:color w:val="000000"/>
        </w:rPr>
        <w:t>大力推进</w:t>
      </w:r>
      <w:r>
        <w:rPr>
          <w:color w:val="000000"/>
          <w:lang w:val="en"/>
        </w:rPr>
        <w:t>“</w:t>
      </w:r>
      <w:r>
        <w:rPr>
          <w:color w:val="000000"/>
        </w:rPr>
        <w:t>治未病”健康工程，将中医药优势与健康管理结合，探索融健康文化、健康管理、健康保险为一体的中医健康保障模式。建立中医药参与应急网络和应急救治工作协调机制，建设国家中医应急医疗队伍，全面提高中医药在新发突发传染病防治和公共卫生事件应急处置方面的能力。深入开展中医康复医疗、康复护理和中西医结合康复诊疗等服务，建成区域中医药康复中心，实现基层医疗机构中医药康复服务全覆盖。全面提升基层中医药服务能力，强化医疗联合体中医药工作，加快推进基层医疗机构中医馆特色建设。推动中医护理发展，推行中医日间综合服务，打造中医护理服务特色品牌。大力发展中医远程医疗、移动医疗、智慧医疗等新型医疗服务模式。</w:t>
      </w:r>
    </w:p>
    <w:p>
      <w:pPr>
        <w:pageBreakBefore w:val="0"/>
        <w:kinsoku/>
        <w:wordWrap/>
        <w:overflowPunct/>
        <w:topLinePunct w:val="0"/>
        <w:bidi w:val="0"/>
        <w:adjustRightInd w:val="0"/>
        <w:snapToGrid w:val="0"/>
        <w:spacing w:afterLines="0" w:line="276" w:lineRule="auto"/>
        <w:ind w:left="0" w:leftChars="0" w:firstLine="640"/>
        <w:rPr>
          <w:color w:val="000000"/>
          <w:szCs w:val="32"/>
        </w:rPr>
      </w:pPr>
      <w:r>
        <w:rPr>
          <w:color w:val="000000"/>
          <w:szCs w:val="32"/>
        </w:rPr>
        <w:t>提升中医药传承与创新能力。</w:t>
      </w:r>
      <w:r>
        <w:rPr>
          <w:bCs/>
          <w:color w:val="000000"/>
          <w:szCs w:val="32"/>
        </w:rPr>
        <w:t>建设市级中医临床研究基地，</w:t>
      </w:r>
      <w:r>
        <w:rPr>
          <w:color w:val="000000"/>
          <w:szCs w:val="32"/>
        </w:rPr>
        <w:t>开展中医药防治重大、难治性疾病和新发、突发传染病等临床研究，推进中医新药创制研究。加强名老中医药专家学术经验、特色技艺及地方特色中医药流派的整理和活态传承，建设区域特色中医药流派传承工作室1-3个，名老中医药专家传承工作室5-10个。</w:t>
      </w:r>
    </w:p>
    <w:p>
      <w:pPr>
        <w:pageBreakBefore w:val="0"/>
        <w:kinsoku/>
        <w:wordWrap/>
        <w:overflowPunct/>
        <w:topLinePunct w:val="0"/>
        <w:bidi w:val="0"/>
        <w:adjustRightInd w:val="0"/>
        <w:snapToGrid w:val="0"/>
        <w:spacing w:afterLines="0" w:line="276" w:lineRule="auto"/>
        <w:ind w:left="0" w:leftChars="0" w:firstLine="640"/>
        <w:rPr>
          <w:color w:val="000000"/>
        </w:rPr>
      </w:pPr>
      <w:r>
        <w:rPr>
          <w:color w:val="000000"/>
          <w:szCs w:val="32"/>
        </w:rPr>
        <w:t>推动中医药高素质人才队伍建设。</w:t>
      </w:r>
      <w:r>
        <w:rPr>
          <w:bCs/>
          <w:color w:val="000000"/>
          <w:szCs w:val="32"/>
        </w:rPr>
        <w:t>实施</w:t>
      </w:r>
      <w:r>
        <w:rPr>
          <w:bCs/>
          <w:color w:val="000000"/>
          <w:szCs w:val="32"/>
          <w:lang w:val="en"/>
        </w:rPr>
        <w:t>“</w:t>
      </w:r>
      <w:r>
        <w:rPr>
          <w:bCs/>
          <w:color w:val="000000"/>
          <w:szCs w:val="32"/>
        </w:rPr>
        <w:t>优才计划”，联合一流高校、科研机构等引进培育全国名中医等高端后备人才；建立学科带头人和骨干人才选拔机制，培养中医药学科带头人5-10名，市级名中医2-5人、区级名中医5-10人。聘请常年来院坐诊的市级知名专家每年不少于3人，每年接收医共体分院等专业技术职务人员进修10-20名以上。加强住院医师规范化培训、继续教育培训工作，扎实开展</w:t>
      </w:r>
      <w:r>
        <w:rPr>
          <w:bCs/>
          <w:color w:val="000000"/>
          <w:szCs w:val="32"/>
          <w:lang w:val="en"/>
        </w:rPr>
        <w:t>“</w:t>
      </w:r>
      <w:r>
        <w:rPr>
          <w:bCs/>
          <w:color w:val="000000"/>
          <w:szCs w:val="32"/>
        </w:rPr>
        <w:t>三基三严”考核培训，提升医技、护理人员专业技能和服务能力。逐年引进中医类别执业医师，至2025年全区中医类别执业（助理）医师占医师总数比例力争</w:t>
      </w:r>
      <w:r>
        <w:rPr>
          <w:rFonts w:hint="eastAsia"/>
          <w:bCs/>
          <w:color w:val="000000"/>
          <w:szCs w:val="32"/>
          <w:lang w:val="en-US" w:eastAsia="zh-CN"/>
        </w:rPr>
        <w:t>30</w:t>
      </w:r>
      <w:r>
        <w:rPr>
          <w:bCs/>
          <w:color w:val="000000"/>
          <w:szCs w:val="32"/>
        </w:rPr>
        <w:t>%以上。</w:t>
      </w:r>
    </w:p>
    <w:tbl>
      <w:tblPr>
        <w:tblStyle w:val="11"/>
        <w:tblW w:w="8647" w:type="dxa"/>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7"/>
        <w:tblGridChange w:id="2">
          <w:tblGrid>
            <w:gridCol w:w="113"/>
            <w:gridCol w:w="8647"/>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647"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bidi w:val="0"/>
              <w:adjustRightInd/>
              <w:snapToGrid w:val="0"/>
              <w:spacing w:afterLines="0" w:line="276" w:lineRule="auto"/>
              <w:ind w:left="0" w:leftChars="0" w:firstLine="0"/>
              <w:jc w:val="center"/>
              <w:rPr>
                <w:rFonts w:eastAsia="黑体"/>
                <w:color w:val="000000"/>
                <w:sz w:val="28"/>
                <w:szCs w:val="28"/>
                <w:shd w:val="clear" w:color="auto" w:fill="FFFFFF"/>
              </w:rPr>
            </w:pPr>
            <w:r>
              <w:rPr>
                <w:rFonts w:hint="eastAsia" w:ascii="方正楷体_GBK" w:hAnsi="方正楷体_GBK" w:eastAsia="方正楷体_GBK" w:cs="方正楷体_GBK"/>
                <w:color w:val="000000"/>
                <w:sz w:val="24"/>
                <w:szCs w:val="24"/>
              </w:rPr>
              <w:t>专栏3  中医药发展项目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8647"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bidi w:val="0"/>
              <w:snapToGrid w:val="0"/>
              <w:spacing w:afterLines="0" w:line="276" w:lineRule="auto"/>
              <w:ind w:left="0" w:leftChars="0" w:firstLine="482"/>
              <w:rPr>
                <w:color w:val="000000"/>
                <w:sz w:val="24"/>
              </w:rPr>
            </w:pPr>
            <w:r>
              <w:rPr>
                <w:b/>
                <w:bCs/>
                <w:color w:val="000000"/>
                <w:sz w:val="24"/>
              </w:rPr>
              <w:t>中医优势病种强优提质：</w:t>
            </w:r>
            <w:r>
              <w:rPr>
                <w:color w:val="000000"/>
                <w:sz w:val="24"/>
              </w:rPr>
              <w:t>加大中医耳鼻喉科相关诊疗方案和特色技术推广应用，推动区中医院骨伤科、推拿科、肿瘤科、针灸科、妇科争创市级重点学科。大力发展中医康复学，加强中医护理在老年病、慢性病防治和养生康复中的作用，打造中医护理服务特色品牌。</w:t>
            </w:r>
          </w:p>
        </w:tc>
      </w:tr>
    </w:tbl>
    <w:p>
      <w:pPr>
        <w:pageBreakBefore w:val="0"/>
        <w:kinsoku/>
        <w:wordWrap/>
        <w:overflowPunct/>
        <w:topLinePunct w:val="0"/>
        <w:bidi w:val="0"/>
        <w:adjustRightInd w:val="0"/>
        <w:snapToGrid w:val="0"/>
        <w:spacing w:afterLines="0" w:line="276" w:lineRule="auto"/>
        <w:ind w:firstLine="641"/>
        <w:jc w:val="center"/>
        <w:rPr>
          <w:rFonts w:hint="default" w:ascii="Times New Roman" w:hAnsi="Times New Roman" w:cs="Times New Roman"/>
          <w:bCs/>
          <w:color w:val="000000"/>
        </w:rPr>
      </w:pPr>
      <w:bookmarkStart w:id="84" w:name="_Toc10587"/>
    </w:p>
    <w:p>
      <w:pPr>
        <w:pStyle w:val="3"/>
        <w:pageBreakBefore w:val="0"/>
        <w:kinsoku/>
        <w:wordWrap/>
        <w:overflowPunct/>
        <w:topLinePunct w:val="0"/>
        <w:bidi w:val="0"/>
        <w:adjustRightInd/>
        <w:snapToGrid w:val="0"/>
        <w:spacing w:afterLines="0" w:line="276" w:lineRule="auto"/>
        <w:jc w:val="center"/>
        <w:rPr>
          <w:rFonts w:hint="eastAsia" w:ascii="方正楷体_GBK" w:hAnsi="方正楷体_GBK" w:cs="方正楷体_GBK"/>
          <w:color w:val="000000"/>
        </w:rPr>
      </w:pPr>
      <w:bookmarkStart w:id="85" w:name="_Toc2142618303_WPSOffice_Level2"/>
      <w:r>
        <w:rPr>
          <w:rFonts w:hint="eastAsia" w:ascii="方正楷体_GBK" w:hAnsi="方正楷体_GBK" w:cs="方正楷体_GBK"/>
          <w:color w:val="000000"/>
        </w:rPr>
        <w:t xml:space="preserve">第五节 </w:t>
      </w:r>
      <w:r>
        <w:rPr>
          <w:rFonts w:hint="eastAsia" w:ascii="方正楷体_GBK" w:hAnsi="方正楷体_GBK" w:cs="方正楷体_GBK"/>
          <w:color w:val="000000"/>
          <w:lang w:val="en-US" w:eastAsia="zh-CN"/>
        </w:rPr>
        <w:t xml:space="preserve"> </w:t>
      </w:r>
      <w:r>
        <w:rPr>
          <w:rFonts w:hint="eastAsia" w:ascii="方正楷体_GBK" w:hAnsi="方正楷体_GBK" w:cs="方正楷体_GBK"/>
          <w:color w:val="000000"/>
        </w:rPr>
        <w:t>强化全生命周期健康管理</w:t>
      </w:r>
      <w:bookmarkEnd w:id="84"/>
      <w:bookmarkEnd w:id="85"/>
    </w:p>
    <w:p>
      <w:pPr>
        <w:pageBreakBefore w:val="0"/>
        <w:kinsoku/>
        <w:wordWrap/>
        <w:overflowPunct/>
        <w:topLinePunct w:val="0"/>
        <w:bidi w:val="0"/>
        <w:adjustRightInd w:val="0"/>
        <w:snapToGrid w:val="0"/>
        <w:spacing w:afterLines="0" w:line="276" w:lineRule="auto"/>
        <w:ind w:left="0" w:leftChars="0" w:firstLine="641"/>
        <w:rPr>
          <w:bCs/>
          <w:color w:val="000000"/>
        </w:rPr>
      </w:pPr>
    </w:p>
    <w:p>
      <w:pPr>
        <w:pageBreakBefore w:val="0"/>
        <w:kinsoku/>
        <w:wordWrap/>
        <w:overflowPunct/>
        <w:topLinePunct w:val="0"/>
        <w:bidi w:val="0"/>
        <w:adjustRightInd w:val="0"/>
        <w:snapToGrid w:val="0"/>
        <w:spacing w:afterLines="0" w:line="276" w:lineRule="auto"/>
        <w:ind w:left="0" w:leftChars="0" w:firstLine="641"/>
        <w:rPr>
          <w:color w:val="000000"/>
        </w:rPr>
      </w:pPr>
      <w:r>
        <w:rPr>
          <w:bCs/>
          <w:color w:val="000000"/>
        </w:rPr>
        <w:t>完善生育政策配套衔接。</w:t>
      </w:r>
      <w:r>
        <w:rPr>
          <w:color w:val="000000"/>
        </w:rPr>
        <w:t>落实生育配套政策，保障生育对象依法享有各项福利待遇。加强新型生育文化建设，构建生育友好型社会。落实人口监测统计调查制度，持续动态更新人口信息，加强人口监测预警。促进生育政策和相关经济社会政策配套科学有效衔接，优化生育公共服务软硬件建设，完善生育支持体系。完善公共场所和用人单位的母婴设施建设，保障母婴权益。鼓励用人单位为孕期和哺乳期妇女提供灵活的工作方式及必要的便利条件。</w:t>
      </w:r>
    </w:p>
    <w:p>
      <w:pPr>
        <w:pageBreakBefore w:val="0"/>
        <w:kinsoku/>
        <w:wordWrap/>
        <w:overflowPunct/>
        <w:topLinePunct w:val="0"/>
        <w:bidi w:val="0"/>
        <w:adjustRightInd w:val="0"/>
        <w:snapToGrid w:val="0"/>
        <w:spacing w:afterLines="0" w:line="276" w:lineRule="auto"/>
        <w:ind w:left="0" w:leftChars="0" w:firstLine="641"/>
        <w:rPr>
          <w:color w:val="000000"/>
        </w:rPr>
      </w:pPr>
      <w:r>
        <w:rPr>
          <w:bCs/>
          <w:color w:val="000000"/>
        </w:rPr>
        <w:t>发展普惠托育服务体系。</w:t>
      </w:r>
      <w:r>
        <w:rPr>
          <w:color w:val="000000"/>
        </w:rPr>
        <w:t>建立健全0-3岁婴幼儿托育服务政策体系，发展普惠托育服务体系，建设一批示范性托育机构。强化社区托幼服务功能，探索建立以社区为依托，包含不同教育理念、不同层次、灵活多样的托育服务体系。鼓励社会资本进入，扩建公私合营及私立托幼机构，改善既有托幼机构的质量，提供多样化的婴幼儿义务看护和教育服务。加强托育人才队伍建设，加强托育服务机构和设施规划建设。鼓励单位为职工提供福利性婴幼儿照护服务。到2025年，覆盖城乡的多元化、多样化婴幼儿照护服务体系基本形成，婴幼儿照护服务水平明显提高。</w:t>
      </w:r>
    </w:p>
    <w:p>
      <w:pPr>
        <w:pageBreakBefore w:val="0"/>
        <w:kinsoku/>
        <w:wordWrap/>
        <w:overflowPunct/>
        <w:topLinePunct w:val="0"/>
        <w:bidi w:val="0"/>
        <w:adjustRightInd w:val="0"/>
        <w:snapToGrid w:val="0"/>
        <w:spacing w:afterLines="0" w:line="276" w:lineRule="auto"/>
        <w:ind w:left="0" w:leftChars="0" w:firstLine="641"/>
        <w:rPr>
          <w:color w:val="000000"/>
        </w:rPr>
      </w:pPr>
      <w:r>
        <w:rPr>
          <w:bCs/>
          <w:color w:val="000000"/>
        </w:rPr>
        <w:t>促进妇女儿童健康。</w:t>
      </w:r>
      <w:r>
        <w:rPr>
          <w:color w:val="000000"/>
        </w:rPr>
        <w:t>健全母婴安全保障体系，强化危重孕产妇和新生儿救治能力，加强妇产科、儿科等重点学科建设，促进妇幼与中医药融合发展。区妇幼保健院创建三甲医</w:t>
      </w:r>
      <w:r>
        <w:rPr>
          <w:color w:val="000000"/>
          <w:szCs w:val="32"/>
        </w:rPr>
        <w:t>院，增强基层机构妇幼健康服务能力，全面提升妇幼健康综合服务能力。</w:t>
      </w:r>
      <w:r>
        <w:rPr>
          <w:color w:val="000000"/>
        </w:rPr>
        <w:t>规范孕产妇健康管理，扩大妇女</w:t>
      </w:r>
      <w:r>
        <w:rPr>
          <w:color w:val="000000"/>
          <w:lang w:val="en"/>
        </w:rPr>
        <w:t>“</w:t>
      </w:r>
      <w:r>
        <w:rPr>
          <w:color w:val="000000"/>
        </w:rPr>
        <w:t>两癌”筛查项目覆盖面，推动消除艾滋病、梅毒和乙肝母婴传播。开展婚前孕前优生健康检查、产前筛查、新生儿疾病筛查等出生缺陷综合防治项目。加强0-6岁儿童生长发育监测、眼保健和视力检查、心理行为发育评估与指导等健康管理。强化母婴保健技术、人类辅助生殖技术的监督管理。</w:t>
      </w:r>
    </w:p>
    <w:p>
      <w:pPr>
        <w:pageBreakBefore w:val="0"/>
        <w:kinsoku/>
        <w:wordWrap/>
        <w:overflowPunct/>
        <w:topLinePunct w:val="0"/>
        <w:bidi w:val="0"/>
        <w:adjustRightInd w:val="0"/>
        <w:snapToGrid w:val="0"/>
        <w:spacing w:afterLines="0" w:line="276" w:lineRule="auto"/>
        <w:ind w:left="0" w:leftChars="0" w:firstLine="641"/>
        <w:rPr>
          <w:color w:val="000000"/>
        </w:rPr>
      </w:pPr>
      <w:r>
        <w:rPr>
          <w:bCs/>
          <w:color w:val="000000"/>
        </w:rPr>
        <w:t>健全老年健康服务体系。</w:t>
      </w:r>
      <w:r>
        <w:rPr>
          <w:color w:val="000000"/>
        </w:rPr>
        <w:t>推动区域内二级以上综合性医疗机构开设老年病专科，支持引导一批基层医疗机构转型为老年医院、康复医院、护理院等接续性医疗机构，设置老年医疗护理床位，为社区居家老年人提供家庭病床、巡诊等延伸医疗服务。强化老年健康管理，健全老年健康服务体系，建立健全老年健康危险因素干预、疾病早发现早诊断早治疗、失能预防三级预防体系，强化65岁以上老年人健康管理和老年人中医药健康管理。开展老年人心理健康预防和干预，积极防治老年痴呆症。完善安宁疗护服务网络，设立安宁疗护专项资金，加大政府投入和购买服务，将安宁疗护相关服务纳入收费项目。到2025年，形成规模适宜、功能完善、综合连续、覆盖城镇的安宁疗护服务体系，保障疾病终末期患者生命质量。</w:t>
      </w:r>
    </w:p>
    <w:p>
      <w:pPr>
        <w:pageBreakBefore w:val="0"/>
        <w:kinsoku/>
        <w:wordWrap/>
        <w:overflowPunct/>
        <w:topLinePunct w:val="0"/>
        <w:bidi w:val="0"/>
        <w:adjustRightInd w:val="0"/>
        <w:snapToGrid w:val="0"/>
        <w:spacing w:afterLines="0" w:line="276" w:lineRule="auto"/>
        <w:ind w:left="0" w:leftChars="0" w:firstLine="641"/>
        <w:rPr>
          <w:color w:val="000000"/>
        </w:rPr>
      </w:pPr>
      <w:r>
        <w:rPr>
          <w:bCs/>
          <w:color w:val="000000"/>
        </w:rPr>
        <w:t>创新医养结合协作机制。</w:t>
      </w:r>
      <w:r>
        <w:rPr>
          <w:color w:val="000000"/>
        </w:rPr>
        <w:t>推动公立医疗机构开展养老服务，增加康复、护理、医养结合、安宁疗护机构和床位数量，鼓励社会力量举办医养结合机构，将符合条件的医养结合机构纳入基本医疗保险定点范围。加快推进宜华健康卧龙医养一体化项目建设，打造</w:t>
      </w:r>
      <w:r>
        <w:rPr>
          <w:color w:val="000000"/>
          <w:szCs w:val="32"/>
        </w:rPr>
        <w:t>集医疗、养老、专业护理等服务于一体的养老机构。</w:t>
      </w:r>
      <w:r>
        <w:rPr>
          <w:color w:val="000000"/>
        </w:rPr>
        <w:t>促进医疗资源与养老资源深度融合，推动医疗机构开展健康养老服务，鼓励养老机构与周边医疗机构开展多种形式的签约合作。开展医养结合机构</w:t>
      </w:r>
      <w:r>
        <w:rPr>
          <w:color w:val="000000"/>
          <w:lang w:val="en"/>
        </w:rPr>
        <w:t>“</w:t>
      </w:r>
      <w:r>
        <w:rPr>
          <w:color w:val="000000"/>
        </w:rPr>
        <w:t>社区护理”</w:t>
      </w:r>
      <w:r>
        <w:rPr>
          <w:color w:val="000000"/>
          <w:lang w:val="en"/>
        </w:rPr>
        <w:t>“</w:t>
      </w:r>
      <w:r>
        <w:rPr>
          <w:color w:val="000000"/>
        </w:rPr>
        <w:t>安宁疗护”等服务，发挥中医药健康养老服务作用。支持医疗机构开展上门巡诊、护理等健康延伸服务。加强医养结合信息化支撑，增加智慧健康养老产品供给。</w:t>
      </w:r>
    </w:p>
    <w:p>
      <w:pPr>
        <w:pageBreakBefore w:val="0"/>
        <w:kinsoku/>
        <w:wordWrap/>
        <w:overflowPunct/>
        <w:topLinePunct w:val="0"/>
        <w:bidi w:val="0"/>
        <w:adjustRightInd w:val="0"/>
        <w:snapToGrid w:val="0"/>
        <w:spacing w:afterLines="0" w:line="276" w:lineRule="auto"/>
        <w:ind w:left="0" w:leftChars="0" w:firstLine="641"/>
        <w:rPr>
          <w:color w:val="000000"/>
          <w:spacing w:val="-4"/>
          <w:szCs w:val="32"/>
          <w:shd w:val="clear" w:color="auto" w:fill="FFFFFF"/>
        </w:rPr>
      </w:pPr>
      <w:r>
        <w:rPr>
          <w:bCs/>
          <w:color w:val="000000"/>
        </w:rPr>
        <w:t>促进健康永川行动。</w:t>
      </w:r>
      <w:r>
        <w:rPr>
          <w:color w:val="000000"/>
        </w:rPr>
        <w:t>大力实施健康永川促进行动，突出永川特色，强化政府、社会、个人责任，形成共建共享社会氛围。推进健康知识普及、合理膳食、全民健身、控烟、心理健康、健康环境等健康促进行动，加强健康影响因素干预。加强孕产妇和儿童保健工作，开展老年健身、保健、疾病防治与康复等健康教育和心理健康干预，维护人民全生命周期健康。持续推进</w:t>
      </w:r>
      <w:r>
        <w:rPr>
          <w:color w:val="000000"/>
          <w:lang w:val="en"/>
        </w:rPr>
        <w:t>“</w:t>
      </w:r>
      <w:r>
        <w:rPr>
          <w:color w:val="000000"/>
        </w:rPr>
        <w:t>师生健康 中国健康”主题教育活动，把健康教育融入学校教育各环节，深入开展企事业单位、医院和社区等机构健康促进工作。实施心脑血管疾病、癌症、慢性呼吸系统疾病、糖尿病防治行动，实施传染病及地方病防控行动，加大重大疾病防控力度。加强医学科学常识宣传，推动重点人群改变不良生活习惯，引导公众形成健康生活方式。到2025年，</w:t>
      </w:r>
      <w:r>
        <w:rPr>
          <w:color w:val="000000"/>
          <w:szCs w:val="32"/>
        </w:rPr>
        <w:t>经常参加体育锻炼人数比例达45.1%</w:t>
      </w:r>
      <w:r>
        <w:rPr>
          <w:color w:val="000000"/>
          <w:spacing w:val="-4"/>
          <w:szCs w:val="32"/>
          <w:shd w:val="clear" w:color="auto" w:fill="FFFFFF"/>
        </w:rPr>
        <w:t>以上</w:t>
      </w:r>
      <w:r>
        <w:rPr>
          <w:color w:val="000000"/>
          <w:szCs w:val="32"/>
        </w:rPr>
        <w:t>，居民达到《国民体质测定标准》合格以上的人数不少于93%，</w:t>
      </w:r>
      <w:r>
        <w:rPr>
          <w:color w:val="000000"/>
          <w:spacing w:val="-4"/>
          <w:szCs w:val="32"/>
          <w:shd w:val="clear" w:color="auto" w:fill="FFFFFF"/>
        </w:rPr>
        <w:t>居民环境与健康素养水平达</w:t>
      </w:r>
      <w:r>
        <w:rPr>
          <w:rFonts w:hint="eastAsia"/>
          <w:color w:val="000000"/>
          <w:spacing w:val="-4"/>
          <w:szCs w:val="32"/>
          <w:shd w:val="clear" w:color="auto" w:fill="FFFFFF"/>
          <w:lang w:val="en-US" w:eastAsia="zh-CN"/>
        </w:rPr>
        <w:t>30</w:t>
      </w:r>
      <w:r>
        <w:rPr>
          <w:color w:val="000000"/>
          <w:spacing w:val="-4"/>
          <w:szCs w:val="32"/>
          <w:shd w:val="clear" w:color="auto" w:fill="FFFFFF"/>
        </w:rPr>
        <w:t>%以上。</w:t>
      </w:r>
    </w:p>
    <w:p>
      <w:pPr>
        <w:pageBreakBefore w:val="0"/>
        <w:kinsoku/>
        <w:wordWrap/>
        <w:overflowPunct/>
        <w:topLinePunct w:val="0"/>
        <w:bidi w:val="0"/>
        <w:adjustRightInd w:val="0"/>
        <w:snapToGrid w:val="0"/>
        <w:spacing w:afterLines="0" w:line="276" w:lineRule="auto"/>
        <w:ind w:left="0" w:leftChars="0" w:firstLine="641"/>
        <w:rPr>
          <w:color w:val="000000"/>
          <w:spacing w:val="-4"/>
          <w:szCs w:val="32"/>
          <w:shd w:val="clear" w:color="auto" w:fill="FFFFFF"/>
        </w:rPr>
      </w:pPr>
      <w:r>
        <w:rPr>
          <w:rFonts w:hint="eastAsia"/>
          <w:color w:val="000000"/>
          <w:spacing w:val="-4"/>
          <w:szCs w:val="32"/>
          <w:shd w:val="clear" w:color="auto" w:fill="FFFFFF"/>
        </w:rPr>
        <w:t>强化职业健康危害源头防控和风险管控。健全完善职业病危害项目申报制度。建立健全职业病和职业病危害因素监测评估制度，扩大主动监测范围，工作场所职业病危害因素监测合格率达到 85%以上。建立中小微型企业职工健康帮扶机制，支持企业完善职业病防护设施。强化尘肺病等职业病救治保障。加强职业健康教育和健康促进，提高劳动者职业健康素养。推进健康企业建设，建设一批示范性健康企业。到 2025 年，辖区职业健康检查和职业病诊断服务覆盖率达到93%以上。</w:t>
      </w:r>
    </w:p>
    <w:tbl>
      <w:tblPr>
        <w:tblStyle w:val="11"/>
        <w:tblW w:w="839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90"/>
        <w:tblGridChange w:id="3">
          <w:tblGrid>
            <w:gridCol w:w="142"/>
            <w:gridCol w:w="8390"/>
          </w:tblGrid>
        </w:tblGridChange>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390"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snapToGrid w:val="0"/>
              <w:spacing w:afterLines="0" w:line="276" w:lineRule="auto"/>
              <w:ind w:left="0" w:leftChars="0" w:firstLine="0"/>
              <w:jc w:val="center"/>
              <w:rPr>
                <w:rFonts w:eastAsia="黑体"/>
                <w:color w:val="000000"/>
                <w:sz w:val="28"/>
                <w:szCs w:val="28"/>
                <w:shd w:val="clear" w:color="auto" w:fill="FFFFFF"/>
              </w:rPr>
            </w:pPr>
            <w:r>
              <w:rPr>
                <w:rFonts w:hint="eastAsia" w:ascii="方正楷体_GBK" w:hAnsi="方正楷体_GBK" w:eastAsia="方正楷体_GBK" w:cs="方正楷体_GBK"/>
                <w:b w:val="0"/>
                <w:bCs w:val="0"/>
                <w:color w:val="000000"/>
                <w:sz w:val="28"/>
                <w:szCs w:val="28"/>
              </w:rPr>
              <w:t>专栏4  全生命周期健康管理项目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8390"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bidi w:val="0"/>
              <w:snapToGrid w:val="0"/>
              <w:spacing w:afterLines="0" w:line="276" w:lineRule="auto"/>
              <w:ind w:left="0" w:leftChars="0" w:firstLine="482"/>
              <w:rPr>
                <w:color w:val="000000"/>
                <w:sz w:val="18"/>
                <w:szCs w:val="18"/>
              </w:rPr>
            </w:pPr>
            <w:r>
              <w:rPr>
                <w:b/>
                <w:bCs/>
                <w:color w:val="000000"/>
                <w:sz w:val="24"/>
              </w:rPr>
              <w:t>托育服务增量提质：</w:t>
            </w:r>
            <w:r>
              <w:rPr>
                <w:color w:val="000000"/>
                <w:sz w:val="24"/>
              </w:rPr>
              <w:t>实施3岁以下婴幼儿照护服务试点项目，加快发展多种形式的婴幼儿照护服务，大力发展普惠性婴幼儿照护服务，推动在居住区建设与人口规模相适应的婴幼儿照护服务设施，建立健全托育相关专业人才培养体系，加强从业人员职业技能培训。到2025年，建成3岁以下婴幼儿照护服务发展示范区，全区每千人口拥有3岁以下婴幼儿托位数预期达4.5个。</w:t>
            </w:r>
          </w:p>
        </w:tc>
      </w:tr>
    </w:tbl>
    <w:p>
      <w:pPr>
        <w:pageBreakBefore w:val="0"/>
        <w:kinsoku/>
        <w:wordWrap/>
        <w:overflowPunct/>
        <w:topLinePunct w:val="0"/>
        <w:bidi w:val="0"/>
        <w:adjustRightInd w:val="0"/>
        <w:snapToGrid w:val="0"/>
        <w:spacing w:afterLines="0" w:line="276" w:lineRule="auto"/>
        <w:ind w:firstLine="640"/>
        <w:jc w:val="center"/>
        <w:rPr>
          <w:rFonts w:hint="default" w:ascii="Times New Roman" w:hAnsi="Times New Roman" w:cs="Times New Roman"/>
          <w:color w:val="000000"/>
        </w:rPr>
      </w:pPr>
      <w:bookmarkStart w:id="86" w:name="_Toc11726"/>
    </w:p>
    <w:p>
      <w:pPr>
        <w:pStyle w:val="3"/>
        <w:keepNext w:val="0"/>
        <w:keepLines w:val="0"/>
        <w:pageBreakBefore w:val="0"/>
        <w:kinsoku/>
        <w:wordWrap/>
        <w:overflowPunct/>
        <w:topLinePunct w:val="0"/>
        <w:bidi w:val="0"/>
        <w:adjustRightInd/>
        <w:snapToGrid w:val="0"/>
        <w:spacing w:afterLines="0" w:line="276" w:lineRule="auto"/>
        <w:jc w:val="center"/>
        <w:rPr>
          <w:rFonts w:hint="eastAsia" w:ascii="方正楷体_GBK" w:hAnsi="方正楷体_GBK" w:cs="方正楷体_GBK"/>
          <w:color w:val="000000"/>
        </w:rPr>
      </w:pPr>
      <w:bookmarkStart w:id="87" w:name="_Toc1975170392_WPSOffice_Level2"/>
      <w:r>
        <w:rPr>
          <w:rFonts w:hint="eastAsia" w:ascii="方正楷体_GBK" w:hAnsi="方正楷体_GBK" w:cs="方正楷体_GBK"/>
          <w:color w:val="000000"/>
        </w:rPr>
        <w:t xml:space="preserve">第六节 </w:t>
      </w:r>
      <w:r>
        <w:rPr>
          <w:rFonts w:hint="default" w:ascii="方正楷体_GBK" w:hAnsi="方正楷体_GBK" w:cs="方正楷体_GBK"/>
          <w:color w:val="000000"/>
          <w:lang w:val="en"/>
        </w:rPr>
        <w:t xml:space="preserve"> </w:t>
      </w:r>
      <w:r>
        <w:rPr>
          <w:rFonts w:hint="eastAsia" w:ascii="方正楷体_GBK" w:hAnsi="方正楷体_GBK" w:cs="方正楷体_GBK"/>
          <w:color w:val="000000"/>
        </w:rPr>
        <w:t>促进健康产业高质量发展</w:t>
      </w:r>
      <w:bookmarkEnd w:id="86"/>
      <w:bookmarkEnd w:id="87"/>
    </w:p>
    <w:p>
      <w:pPr>
        <w:pageBreakBefore w:val="0"/>
        <w:kinsoku/>
        <w:wordWrap/>
        <w:overflowPunct/>
        <w:topLinePunct w:val="0"/>
        <w:bidi w:val="0"/>
        <w:adjustRightInd w:val="0"/>
        <w:snapToGrid w:val="0"/>
        <w:spacing w:afterLines="0" w:line="276" w:lineRule="auto"/>
        <w:ind w:left="0" w:leftChars="0" w:firstLine="640"/>
        <w:rPr>
          <w:color w:val="000000"/>
        </w:rPr>
      </w:pPr>
    </w:p>
    <w:p>
      <w:pPr>
        <w:pageBreakBefore w:val="0"/>
        <w:kinsoku/>
        <w:wordWrap/>
        <w:overflowPunct/>
        <w:topLinePunct w:val="0"/>
        <w:bidi w:val="0"/>
        <w:adjustRightInd w:val="0"/>
        <w:snapToGrid w:val="0"/>
        <w:spacing w:afterLines="0" w:line="276" w:lineRule="auto"/>
        <w:ind w:left="0" w:leftChars="0" w:firstLine="640"/>
        <w:rPr>
          <w:color w:val="000000"/>
        </w:rPr>
      </w:pPr>
      <w:r>
        <w:rPr>
          <w:color w:val="000000"/>
        </w:rPr>
        <w:t>进一步加大政府购买服务力度，支持三级公立医院与社会办医共享医学影像、医学检验、病理诊断等服务，开展全社会医疗合作管理体系。鼓励社会资本进入医疗资源薄弱区域和康复、护理等短缺专科领域。鼓励社会办医疗机构</w:t>
      </w:r>
      <w:r>
        <w:rPr>
          <w:rFonts w:hint="eastAsia"/>
          <w:color w:val="000000"/>
          <w:lang w:eastAsia="zh-CN"/>
        </w:rPr>
        <w:t>高端化、</w:t>
      </w:r>
      <w:r>
        <w:rPr>
          <w:color w:val="000000"/>
        </w:rPr>
        <w:t>差异化发展，提供特色诊疗服务。</w:t>
      </w:r>
    </w:p>
    <w:p>
      <w:pPr>
        <w:pageBreakBefore w:val="0"/>
        <w:kinsoku/>
        <w:wordWrap/>
        <w:overflowPunct/>
        <w:topLinePunct w:val="0"/>
        <w:bidi w:val="0"/>
        <w:adjustRightInd w:val="0"/>
        <w:snapToGrid w:val="0"/>
        <w:spacing w:afterLines="0" w:line="276" w:lineRule="auto"/>
        <w:ind w:left="0" w:leftChars="0" w:firstLine="640"/>
        <w:rPr>
          <w:color w:val="000000"/>
          <w:szCs w:val="32"/>
          <w:shd w:val="clear" w:color="auto" w:fill="FFFFFF"/>
        </w:rPr>
      </w:pPr>
      <w:r>
        <w:rPr>
          <w:bCs/>
          <w:color w:val="000000"/>
        </w:rPr>
        <w:t>打造健康服务高品质先行区</w:t>
      </w:r>
      <w:r>
        <w:rPr>
          <w:color w:val="000000"/>
        </w:rPr>
        <w:t>。优化健康服务产业布局，建立健全大健康产业体系，加快建设西部健康产业先行区。推动健康服务与养老等行业跨界融合发展，做优做强以医养结合为重点的健康养老产业服</w:t>
      </w:r>
      <w:r>
        <w:rPr>
          <w:color w:val="000000"/>
          <w:u w:val="none"/>
        </w:rPr>
        <w:t>务，</w:t>
      </w:r>
      <w:r>
        <w:rPr>
          <w:rFonts w:hint="eastAsia"/>
          <w:color w:val="000000"/>
          <w:u w:val="none"/>
          <w:lang w:val="en-US" w:eastAsia="zh-CN"/>
        </w:rPr>
        <w:t>重点建设</w:t>
      </w:r>
      <w:r>
        <w:rPr>
          <w:rFonts w:hint="eastAsia"/>
          <w:color w:val="000000"/>
          <w:u w:val="none"/>
        </w:rPr>
        <w:t>高端医</w:t>
      </w:r>
      <w:r>
        <w:rPr>
          <w:color w:val="000000"/>
          <w:u w:val="none"/>
        </w:rPr>
        <w:t>养结合机构。建立</w:t>
      </w:r>
      <w:r>
        <w:rPr>
          <w:color w:val="000000"/>
        </w:rPr>
        <w:t>健全</w:t>
      </w:r>
      <w:r>
        <w:rPr>
          <w:color w:val="000000"/>
          <w:lang w:val="en"/>
        </w:rPr>
        <w:t>“</w:t>
      </w:r>
      <w:r>
        <w:rPr>
          <w:color w:val="000000"/>
        </w:rPr>
        <w:t>健康+”产业新体系，促进医疗与养老、文化旅游融合，不断拓展应用场景，扩大产业生态圈。依</w:t>
      </w:r>
      <w:r>
        <w:rPr>
          <w:color w:val="000000"/>
          <w:szCs w:val="32"/>
          <w:shd w:val="clear" w:color="auto" w:fill="FFFFFF"/>
        </w:rPr>
        <w:t>托城东生态科技城，发展集临床诊疗、科研教学、健康产品供给等于一体的医教研高地。</w:t>
      </w:r>
    </w:p>
    <w:p>
      <w:pPr>
        <w:pageBreakBefore w:val="0"/>
        <w:kinsoku/>
        <w:wordWrap/>
        <w:overflowPunct/>
        <w:topLinePunct w:val="0"/>
        <w:bidi w:val="0"/>
        <w:adjustRightInd w:val="0"/>
        <w:snapToGrid w:val="0"/>
        <w:spacing w:afterLines="0" w:line="276" w:lineRule="auto"/>
        <w:ind w:left="0" w:leftChars="0" w:firstLine="640"/>
        <w:rPr>
          <w:color w:val="000000"/>
          <w:szCs w:val="32"/>
          <w:shd w:val="clear" w:color="auto" w:fill="FFFFFF"/>
        </w:rPr>
      </w:pPr>
      <w:r>
        <w:rPr>
          <w:bCs/>
          <w:color w:val="000000"/>
          <w:shd w:val="clear" w:color="auto" w:fill="FFFFFF"/>
        </w:rPr>
        <w:t>加快培育医药产业</w:t>
      </w:r>
      <w:r>
        <w:rPr>
          <w:b w:val="0"/>
          <w:bCs w:val="0"/>
          <w:color w:val="000000"/>
          <w:shd w:val="clear" w:color="auto" w:fill="FFFFFF"/>
        </w:rPr>
        <w:t>。</w:t>
      </w:r>
      <w:r>
        <w:rPr>
          <w:color w:val="000000"/>
          <w:szCs w:val="32"/>
          <w:shd w:val="clear" w:color="auto" w:fill="FFFFFF"/>
        </w:rPr>
        <w:t>坚持以技术专利转化为核心，重点发展智能医疗器械、生物制药、中医药制药、医药技术服务，建成渝西地区规模最大的健康产业园，推动健康产业高质量发展。积极引进一批仿制药企业、原料药生产企业，引导企业和项目集聚发展，构建完整生物制药产业链。大力引进中成药制剂、中医药种植生产企业。</w:t>
      </w:r>
      <w:r>
        <w:rPr>
          <w:color w:val="000000"/>
        </w:rPr>
        <w:t>提高中医药加工存储质量水平，健全中药材第三方质量检测体系，加强中药材交易市场监管。支持中药饮料、药膳、养生方便食品等产品开发</w:t>
      </w:r>
      <w:r>
        <w:rPr>
          <w:color w:val="000000"/>
          <w:szCs w:val="32"/>
          <w:shd w:val="clear" w:color="auto" w:fill="FFFFFF"/>
        </w:rPr>
        <w:t>。</w:t>
      </w:r>
      <w:r>
        <w:rPr>
          <w:color w:val="000000"/>
          <w:spacing w:val="14"/>
          <w:szCs w:val="32"/>
        </w:rPr>
        <w:t>培育引进一批医药研发外包企业，发展</w:t>
      </w:r>
      <w:r>
        <w:rPr>
          <w:color w:val="000000"/>
          <w:szCs w:val="32"/>
          <w:shd w:val="clear" w:color="auto" w:fill="FFFFFF"/>
        </w:rPr>
        <w:t>新药申报、成果转化、第三方质量和安全检验检测、认证技术服务等新兴服务业态。健全健康产业配套体系，完善产业园区基础设施建设。</w:t>
      </w:r>
    </w:p>
    <w:p>
      <w:pPr>
        <w:pageBreakBefore w:val="0"/>
        <w:kinsoku/>
        <w:wordWrap/>
        <w:overflowPunct/>
        <w:topLinePunct w:val="0"/>
        <w:bidi w:val="0"/>
        <w:adjustRightInd w:val="0"/>
        <w:snapToGrid w:val="0"/>
        <w:spacing w:afterLines="0" w:line="276" w:lineRule="auto"/>
        <w:ind w:left="0" w:leftChars="0" w:firstLine="640"/>
        <w:rPr>
          <w:color w:val="000000"/>
        </w:rPr>
      </w:pPr>
      <w:r>
        <w:rPr>
          <w:bCs/>
          <w:color w:val="000000"/>
        </w:rPr>
        <w:t>积极发展多样化健康服务。</w:t>
      </w:r>
      <w:r>
        <w:rPr>
          <w:color w:val="000000"/>
        </w:rPr>
        <w:t>发挥市场机制作用，消除体制机制障碍，扩大健康服务供给，创新服务模式。完善个性化、高端健康需求有效供给的市场机制，制定针对性的税收、土地、人才等扶持政策，积极推进医疗与养老、旅游、互联网、体育健身等领域的融合发展。鼓励引进国内外健康服务机构，大力发展体检、心理咨询、母婴照料、健康咨询、家庭医生等健康服务形式，打造地方健康服务业品牌。</w:t>
      </w:r>
    </w:p>
    <w:p>
      <w:pPr>
        <w:pageBreakBefore w:val="0"/>
        <w:kinsoku/>
        <w:wordWrap/>
        <w:overflowPunct/>
        <w:topLinePunct w:val="0"/>
        <w:bidi w:val="0"/>
        <w:adjustRightInd w:val="0"/>
        <w:snapToGrid w:val="0"/>
        <w:spacing w:afterLines="0" w:line="276" w:lineRule="auto"/>
        <w:ind w:left="0" w:leftChars="0" w:firstLine="640"/>
        <w:rPr>
          <w:color w:val="000000"/>
        </w:rPr>
      </w:pPr>
    </w:p>
    <w:p>
      <w:pPr>
        <w:pStyle w:val="3"/>
        <w:keepNext w:val="0"/>
        <w:keepLines w:val="0"/>
        <w:pageBreakBefore w:val="0"/>
        <w:kinsoku/>
        <w:wordWrap/>
        <w:overflowPunct/>
        <w:topLinePunct w:val="0"/>
        <w:bidi w:val="0"/>
        <w:adjustRightInd/>
        <w:snapToGrid w:val="0"/>
        <w:spacing w:afterLines="0" w:line="276" w:lineRule="auto"/>
        <w:ind w:left="0" w:leftChars="0"/>
        <w:jc w:val="center"/>
        <w:rPr>
          <w:rFonts w:hint="eastAsia" w:ascii="方正楷体_GBK" w:hAnsi="方正楷体_GBK" w:cs="方正楷体_GBK"/>
          <w:color w:val="000000"/>
        </w:rPr>
      </w:pPr>
      <w:bookmarkStart w:id="88" w:name="_Toc940671719_WPSOffice_Level2"/>
      <w:bookmarkStart w:id="89" w:name="_Toc8045"/>
      <w:r>
        <w:rPr>
          <w:rFonts w:hint="eastAsia" w:ascii="方正楷体_GBK" w:hAnsi="方正楷体_GBK" w:cs="方正楷体_GBK"/>
          <w:color w:val="000000"/>
        </w:rPr>
        <w:t xml:space="preserve">第七节 </w:t>
      </w:r>
      <w:r>
        <w:rPr>
          <w:rFonts w:hint="default" w:ascii="方正楷体_GBK" w:hAnsi="方正楷体_GBK" w:cs="方正楷体_GBK"/>
          <w:color w:val="000000"/>
          <w:lang w:val="en"/>
        </w:rPr>
        <w:t xml:space="preserve"> </w:t>
      </w:r>
      <w:r>
        <w:rPr>
          <w:rFonts w:hint="eastAsia" w:ascii="方正楷体_GBK" w:hAnsi="方正楷体_GBK" w:cs="方正楷体_GBK"/>
          <w:color w:val="000000"/>
        </w:rPr>
        <w:t>完善健康优先发展支撑体系</w:t>
      </w:r>
      <w:bookmarkEnd w:id="88"/>
      <w:bookmarkEnd w:id="89"/>
    </w:p>
    <w:p>
      <w:pPr>
        <w:pageBreakBefore w:val="0"/>
        <w:kinsoku/>
        <w:wordWrap/>
        <w:overflowPunct/>
        <w:topLinePunct w:val="0"/>
        <w:bidi w:val="0"/>
        <w:adjustRightInd w:val="0"/>
        <w:snapToGrid w:val="0"/>
        <w:spacing w:afterLines="0" w:line="276" w:lineRule="auto"/>
        <w:ind w:left="0" w:leftChars="0" w:firstLine="640"/>
        <w:rPr>
          <w:bCs/>
          <w:color w:val="000000"/>
        </w:rPr>
      </w:pPr>
    </w:p>
    <w:p>
      <w:pPr>
        <w:pageBreakBefore w:val="0"/>
        <w:kinsoku/>
        <w:wordWrap/>
        <w:overflowPunct/>
        <w:topLinePunct w:val="0"/>
        <w:bidi w:val="0"/>
        <w:adjustRightInd w:val="0"/>
        <w:snapToGrid w:val="0"/>
        <w:spacing w:afterLines="0" w:line="276" w:lineRule="auto"/>
        <w:ind w:left="0" w:leftChars="0" w:firstLine="640"/>
        <w:rPr>
          <w:color w:val="000000"/>
        </w:rPr>
      </w:pPr>
      <w:r>
        <w:rPr>
          <w:bCs/>
          <w:color w:val="000000"/>
        </w:rPr>
        <w:t>加强人才队伍建设</w:t>
      </w:r>
      <w:r>
        <w:rPr>
          <w:rFonts w:hint="eastAsia"/>
          <w:color w:val="000000"/>
        </w:rPr>
        <w:t>。</w:t>
      </w:r>
      <w:r>
        <w:rPr>
          <w:color w:val="000000"/>
        </w:rPr>
        <w:t>实施人才能力提升工程，不断加强全科、儿科、麻醉、重症医学、精神科、急诊、康复等紧缺专业人才培养和薄弱环节培训。依托重庆医科大学，采取属地化定向招生、定向培养、定向分配的方式，做好基层实用人才培养。加快中医药人才队伍建设，加强高端人才引育工作，积极引进高级专家、优秀中青年骨干人才、重点高校毕业生等高层次人才，提高科教研学水平。提升基层卫生人才队伍素质，落实基层医疗机构绩效工资政策，配套相关补贴和优惠政策，鼓励和引导人才扎根基层，稳定乡村医生队伍，引导和规范区域间卫生人才合理流动。到2025年，建成国家级重点（特色）专科学科10个，市级重点（特色）专科学科30个，博士后工作站进站5人，引进正高职称30人，每千名常住人口公共卫生人员达到0.8</w:t>
      </w:r>
      <w:r>
        <w:rPr>
          <w:rFonts w:hint="eastAsia"/>
          <w:color w:val="000000"/>
          <w:lang w:val="en-US" w:eastAsia="zh-CN"/>
        </w:rPr>
        <w:t>3</w:t>
      </w:r>
      <w:r>
        <w:rPr>
          <w:color w:val="000000"/>
        </w:rPr>
        <w:t>名。</w:t>
      </w:r>
    </w:p>
    <w:p>
      <w:pPr>
        <w:pageBreakBefore w:val="0"/>
        <w:kinsoku/>
        <w:wordWrap/>
        <w:overflowPunct/>
        <w:topLinePunct w:val="0"/>
        <w:bidi w:val="0"/>
        <w:adjustRightInd w:val="0"/>
        <w:snapToGrid w:val="0"/>
        <w:spacing w:afterLines="0" w:line="276" w:lineRule="auto"/>
        <w:ind w:left="0" w:leftChars="0" w:firstLine="640" w:firstLineChars="200"/>
        <w:rPr>
          <w:color w:val="000000"/>
        </w:rPr>
      </w:pPr>
      <w:r>
        <w:rPr>
          <w:bCs/>
          <w:color w:val="000000"/>
        </w:rPr>
        <w:t>强化多元化监管能力</w:t>
      </w:r>
      <w:r>
        <w:rPr>
          <w:rFonts w:hint="eastAsia"/>
          <w:color w:val="000000"/>
        </w:rPr>
        <w:t>。</w:t>
      </w:r>
      <w:r>
        <w:rPr>
          <w:color w:val="000000"/>
        </w:rPr>
        <w:t>对区域内所有医疗卫生资源实行统一规划、准入和监管。</w:t>
      </w:r>
      <w:r>
        <w:rPr>
          <w:color w:val="000000"/>
          <w:szCs w:val="32"/>
        </w:rPr>
        <w:t>加强废弃物的分类及源头管理，健全医疗废物收集转运处置体系，提升医疗废物集中处置能力，实施医疗废物多部门专项整治行动。</w:t>
      </w:r>
      <w:r>
        <w:rPr>
          <w:color w:val="000000"/>
        </w:rPr>
        <w:t>强化卫生行政部门医疗服务监管职能，完善机构、人员、技术、装备准入和退出机制。建立综合监管信息平台。实现公立医院监测数据接入全覆盖，建立公立医院动态监测与评估机制。加强社会监督和行业自律。</w:t>
      </w:r>
      <w:r>
        <w:rPr>
          <w:color w:val="000000"/>
          <w:lang w:val="zh-CN"/>
        </w:rPr>
        <w:t>加强卫生</w:t>
      </w:r>
      <w:r>
        <w:rPr>
          <w:color w:val="000000"/>
        </w:rPr>
        <w:t>健康监督执法</w:t>
      </w:r>
      <w:r>
        <w:rPr>
          <w:rFonts w:hint="eastAsia"/>
          <w:color w:val="000000"/>
        </w:rPr>
        <w:t>，</w:t>
      </w:r>
      <w:r>
        <w:rPr>
          <w:color w:val="000000"/>
        </w:rPr>
        <w:t>健全职业健康监督执法体系，</w:t>
      </w:r>
      <w:r>
        <w:rPr>
          <w:rFonts w:hint="eastAsia"/>
          <w:color w:val="000000"/>
        </w:rPr>
        <w:t>探索设置卫生监督所，</w:t>
      </w:r>
      <w:r>
        <w:rPr>
          <w:color w:val="000000"/>
        </w:rPr>
        <w:t>增强职业健康执法能力，强化食品安全、中医药服务监管和卫生健康综合行政执法工作。</w:t>
      </w:r>
      <w:r>
        <w:rPr>
          <w:color w:val="000000"/>
          <w:szCs w:val="32"/>
        </w:rPr>
        <w:t>合理增加卫生健康执法人员配置，推动执法机构的业务用房、执法装备、执法车辆达到国家规定的配置标准。规范建设执法情景模拟场所，开展执法现场教学，提高卫生健康执法能力。重点加强首席监督人员、医疗服务</w:t>
      </w:r>
      <w:r>
        <w:rPr>
          <w:rFonts w:hint="eastAsia"/>
          <w:color w:val="000000"/>
          <w:szCs w:val="32"/>
          <w:lang w:eastAsia="zh-CN"/>
        </w:rPr>
        <w:t>（</w:t>
      </w:r>
      <w:r>
        <w:rPr>
          <w:color w:val="000000"/>
          <w:szCs w:val="32"/>
        </w:rPr>
        <w:t>含中医</w:t>
      </w:r>
      <w:r>
        <w:rPr>
          <w:rFonts w:hint="eastAsia"/>
          <w:color w:val="000000"/>
          <w:szCs w:val="32"/>
          <w:lang w:eastAsia="zh-CN"/>
        </w:rPr>
        <w:t>）</w:t>
      </w:r>
      <w:r>
        <w:rPr>
          <w:color w:val="000000"/>
          <w:szCs w:val="32"/>
        </w:rPr>
        <w:t>监督、职业健康监督等急需人才培养。实施卫生监督智能化监管，建成区、镇两级</w:t>
      </w:r>
      <w:r>
        <w:rPr>
          <w:color w:val="000000"/>
          <w:szCs w:val="32"/>
          <w:lang w:val="en"/>
        </w:rPr>
        <w:t>“</w:t>
      </w:r>
      <w:r>
        <w:rPr>
          <w:color w:val="000000"/>
          <w:szCs w:val="32"/>
        </w:rPr>
        <w:t>智慧卫监”平台。进一步健全执法制度，落实执法责任制，确保严格规范公正文明执法。</w:t>
      </w:r>
    </w:p>
    <w:p>
      <w:pPr>
        <w:pageBreakBefore w:val="0"/>
        <w:kinsoku/>
        <w:wordWrap/>
        <w:overflowPunct/>
        <w:topLinePunct w:val="0"/>
        <w:bidi w:val="0"/>
        <w:adjustRightInd w:val="0"/>
        <w:snapToGrid w:val="0"/>
        <w:spacing w:afterLines="0" w:line="276" w:lineRule="auto"/>
        <w:ind w:left="0" w:leftChars="0" w:firstLine="640"/>
        <w:rPr>
          <w:color w:val="000000"/>
        </w:rPr>
      </w:pPr>
      <w:r>
        <w:rPr>
          <w:bCs/>
          <w:color w:val="000000"/>
        </w:rPr>
        <w:t>提升行政服务效能</w:t>
      </w:r>
      <w:r>
        <w:rPr>
          <w:color w:val="000000"/>
        </w:rPr>
        <w:t>。继续深化医疗卫生领域</w:t>
      </w:r>
      <w:r>
        <w:rPr>
          <w:color w:val="000000"/>
          <w:lang w:val="en"/>
        </w:rPr>
        <w:t>“</w:t>
      </w:r>
      <w:r>
        <w:rPr>
          <w:color w:val="000000"/>
        </w:rPr>
        <w:t>放管服”改革和政府职能转变工作，依法推进政务公开。优化</w:t>
      </w:r>
      <w:r>
        <w:rPr>
          <w:color w:val="000000"/>
          <w:lang w:val="en"/>
        </w:rPr>
        <w:t>“</w:t>
      </w:r>
      <w:r>
        <w:rPr>
          <w:color w:val="000000"/>
        </w:rPr>
        <w:t>渝快办”</w:t>
      </w:r>
      <w:r>
        <w:rPr>
          <w:color w:val="000000"/>
          <w:lang w:val="en"/>
        </w:rPr>
        <w:t>“</w:t>
      </w:r>
      <w:r>
        <w:rPr>
          <w:color w:val="000000"/>
        </w:rPr>
        <w:t>川渝通办”</w:t>
      </w:r>
      <w:r>
        <w:rPr>
          <w:color w:val="000000"/>
          <w:lang w:val="en"/>
        </w:rPr>
        <w:t>“</w:t>
      </w:r>
      <w:r>
        <w:rPr>
          <w:color w:val="000000"/>
        </w:rPr>
        <w:t>跨省通办”等办理流程，开展电子证照、电子签名试点工作，减少群众办事跑路次数，行政服务事项网上审批率100%，加快建设人民群众满意的服务型政府。</w:t>
      </w:r>
    </w:p>
    <w:p>
      <w:pPr>
        <w:pageBreakBefore w:val="0"/>
        <w:kinsoku/>
        <w:wordWrap/>
        <w:overflowPunct/>
        <w:topLinePunct w:val="0"/>
        <w:bidi w:val="0"/>
        <w:adjustRightInd w:val="0"/>
        <w:snapToGrid w:val="0"/>
        <w:spacing w:afterLines="0" w:line="276" w:lineRule="auto"/>
        <w:ind w:left="0" w:leftChars="0" w:firstLine="640"/>
        <w:rPr>
          <w:color w:val="000000"/>
          <w:lang w:val="zh-CN"/>
        </w:rPr>
      </w:pPr>
      <w:r>
        <w:rPr>
          <w:color w:val="000000"/>
          <w:lang w:val="zh-CN"/>
        </w:rPr>
        <w:t>筑牢安全发展防线。健全事故隐患排查和安全预防控制体系，强化风险识别、信息化管理、会商研判等工作机制，推动安全生产专项整治，强化落实医疗机构安全生产主体责任，有效防控安全生产事故。完善区域性应急中心功能，加强应急救援队伍、物资、装备建设，提升本系统应急管理信息化、网络化、智能化水平，增强全区医护人员安全意识。</w:t>
      </w:r>
    </w:p>
    <w:p>
      <w:pPr>
        <w:pageBreakBefore w:val="0"/>
        <w:kinsoku/>
        <w:wordWrap/>
        <w:overflowPunct/>
        <w:topLinePunct w:val="0"/>
        <w:bidi w:val="0"/>
        <w:adjustRightInd w:val="0"/>
        <w:snapToGrid w:val="0"/>
        <w:spacing w:afterLines="0" w:line="276" w:lineRule="auto"/>
        <w:ind w:left="0" w:leftChars="0" w:firstLine="640"/>
        <w:rPr>
          <w:color w:val="000000"/>
          <w:lang w:val="zh-CN"/>
        </w:rPr>
      </w:pPr>
    </w:p>
    <w:bookmarkEnd w:id="82"/>
    <w:p>
      <w:pPr>
        <w:pStyle w:val="2"/>
        <w:keepNext w:val="0"/>
        <w:keepLines w:val="0"/>
        <w:pageBreakBefore w:val="0"/>
        <w:kinsoku/>
        <w:wordWrap/>
        <w:overflowPunct/>
        <w:topLinePunct w:val="0"/>
        <w:bidi w:val="0"/>
        <w:adjustRightInd/>
        <w:snapToGrid w:val="0"/>
        <w:spacing w:afterLines="0" w:line="276" w:lineRule="auto"/>
        <w:jc w:val="center"/>
        <w:rPr>
          <w:rFonts w:hint="eastAsia" w:ascii="方正黑体_GBK" w:hAnsi="方正黑体_GBK" w:cs="方正黑体_GBK"/>
          <w:color w:val="000000"/>
        </w:rPr>
      </w:pPr>
      <w:bookmarkStart w:id="90" w:name="_Toc23064"/>
      <w:bookmarkStart w:id="91" w:name="_Toc74327807"/>
      <w:bookmarkStart w:id="92" w:name="_Toc185187389_WPSOffice_Level1"/>
      <w:r>
        <w:rPr>
          <w:rFonts w:hint="eastAsia" w:ascii="方正黑体_GBK" w:hAnsi="方正黑体_GBK" w:cs="方正黑体_GBK"/>
          <w:color w:val="000000"/>
        </w:rPr>
        <w:t xml:space="preserve">第四章  </w:t>
      </w:r>
      <w:bookmarkEnd w:id="90"/>
      <w:bookmarkEnd w:id="91"/>
      <w:r>
        <w:rPr>
          <w:rFonts w:hint="eastAsia" w:ascii="方正黑体_GBK" w:hAnsi="方正黑体_GBK" w:cs="方正黑体_GBK"/>
          <w:color w:val="000000"/>
        </w:rPr>
        <w:t>五大高地</w:t>
      </w:r>
      <w:bookmarkEnd w:id="92"/>
    </w:p>
    <w:p>
      <w:pPr>
        <w:pageBreakBefore w:val="0"/>
        <w:kinsoku/>
        <w:wordWrap/>
        <w:overflowPunct/>
        <w:topLinePunct w:val="0"/>
        <w:bidi w:val="0"/>
        <w:adjustRightInd w:val="0"/>
        <w:snapToGrid w:val="0"/>
        <w:spacing w:afterLines="0" w:line="276" w:lineRule="auto"/>
        <w:ind w:firstLine="640"/>
        <w:jc w:val="center"/>
        <w:rPr>
          <w:rFonts w:hint="default" w:ascii="Times New Roman" w:hAnsi="Times New Roman" w:cs="Times New Roman"/>
          <w:color w:val="000000"/>
        </w:rPr>
      </w:pPr>
      <w:bookmarkStart w:id="93" w:name="_Toc74327808"/>
      <w:bookmarkStart w:id="94" w:name="_Toc5681"/>
    </w:p>
    <w:p>
      <w:pPr>
        <w:pStyle w:val="3"/>
        <w:keepNext w:val="0"/>
        <w:keepLines w:val="0"/>
        <w:pageBreakBefore w:val="0"/>
        <w:kinsoku/>
        <w:wordWrap/>
        <w:overflowPunct/>
        <w:topLinePunct w:val="0"/>
        <w:bidi w:val="0"/>
        <w:adjustRightInd/>
        <w:snapToGrid w:val="0"/>
        <w:spacing w:afterLines="0" w:line="276" w:lineRule="auto"/>
        <w:jc w:val="center"/>
        <w:rPr>
          <w:rFonts w:hint="eastAsia" w:ascii="方正楷体_GBK" w:hAnsi="方正楷体_GBK" w:cs="方正楷体_GBK"/>
          <w:color w:val="000000"/>
        </w:rPr>
      </w:pPr>
      <w:bookmarkStart w:id="95" w:name="_Toc233395829_WPSOffice_Level2"/>
      <w:r>
        <w:rPr>
          <w:rFonts w:hint="eastAsia" w:ascii="方正楷体_GBK" w:hAnsi="方正楷体_GBK" w:cs="方正楷体_GBK"/>
          <w:color w:val="000000"/>
        </w:rPr>
        <w:t xml:space="preserve">第一节 </w:t>
      </w:r>
      <w:r>
        <w:rPr>
          <w:rFonts w:hint="default" w:ascii="方正楷体_GBK" w:hAnsi="方正楷体_GBK" w:cs="方正楷体_GBK"/>
          <w:color w:val="000000"/>
          <w:lang w:val="en"/>
        </w:rPr>
        <w:t xml:space="preserve"> </w:t>
      </w:r>
      <w:r>
        <w:rPr>
          <w:rFonts w:hint="eastAsia" w:ascii="方正楷体_GBK" w:hAnsi="方正楷体_GBK" w:cs="方正楷体_GBK"/>
          <w:color w:val="000000"/>
        </w:rPr>
        <w:t>打造渝西公共卫生防治高地</w:t>
      </w:r>
      <w:bookmarkEnd w:id="93"/>
      <w:bookmarkEnd w:id="94"/>
      <w:bookmarkEnd w:id="95"/>
    </w:p>
    <w:p>
      <w:pPr>
        <w:pageBreakBefore w:val="0"/>
        <w:kinsoku/>
        <w:wordWrap/>
        <w:overflowPunct/>
        <w:topLinePunct w:val="0"/>
        <w:bidi w:val="0"/>
        <w:adjustRightInd w:val="0"/>
        <w:snapToGrid w:val="0"/>
        <w:spacing w:afterLines="0" w:line="276" w:lineRule="auto"/>
        <w:ind w:left="0" w:leftChars="0" w:firstLine="640"/>
        <w:rPr>
          <w:color w:val="000000"/>
        </w:rPr>
      </w:pPr>
    </w:p>
    <w:p>
      <w:pPr>
        <w:pageBreakBefore w:val="0"/>
        <w:kinsoku/>
        <w:wordWrap/>
        <w:overflowPunct/>
        <w:topLinePunct w:val="0"/>
        <w:bidi w:val="0"/>
        <w:adjustRightInd w:val="0"/>
        <w:snapToGrid w:val="0"/>
        <w:spacing w:afterLines="0" w:line="276" w:lineRule="auto"/>
        <w:ind w:left="0" w:leftChars="0" w:firstLine="640"/>
        <w:rPr>
          <w:color w:val="000000"/>
        </w:rPr>
      </w:pPr>
      <w:r>
        <w:rPr>
          <w:color w:val="000000"/>
        </w:rPr>
        <w:t>围绕疾病预防控制和重大突发公共卫生事件救治，完善公共卫生重大风险评估、研判、决策机制，全面推进医疗机构和专业卫生机构的深度协作。健全联防联控机制和重大伤情救治机制，增强早期监测预警能力、快速检测能力、应急处置能力、综合救治能力。加强区级疫情预警溯源能力建设和公共卫生应急能力建设，加强基层常态化监测能力建设。</w:t>
      </w:r>
    </w:p>
    <w:p>
      <w:pPr>
        <w:pageBreakBefore w:val="0"/>
        <w:kinsoku/>
        <w:wordWrap/>
        <w:overflowPunct/>
        <w:topLinePunct w:val="0"/>
        <w:bidi w:val="0"/>
        <w:adjustRightInd w:val="0"/>
        <w:snapToGrid w:val="0"/>
        <w:spacing w:afterLines="0" w:line="276" w:lineRule="auto"/>
        <w:ind w:left="0" w:leftChars="0" w:firstLine="640"/>
        <w:rPr>
          <w:color w:val="000000"/>
        </w:rPr>
      </w:pPr>
      <w:r>
        <w:rPr>
          <w:color w:val="000000"/>
        </w:rPr>
        <w:t>推进区疾病预防控制中心搬迁重建项目，升级改造疾病预防控制体系基础设施，推动创建三级甲等疾控中心，建成区域实验室，疾病防控关键技术、监测溯源、实验室检测等能力居于全市前列，打造辐射渝西片区的区域性疾控中心。扩大疾病预防控制中心突发急性传染病防控队伍，重点提升队伍的快速响应能力和现场处置能力。建设平战结合的渝西公共卫生应急救治医院，承担片区</w:t>
      </w:r>
      <w:r>
        <w:rPr>
          <w:rFonts w:hint="eastAsia"/>
          <w:color w:val="000000"/>
          <w:lang w:eastAsia="zh-CN"/>
        </w:rPr>
        <w:t>新冠肺炎患者及</w:t>
      </w:r>
      <w:r>
        <w:rPr>
          <w:rFonts w:hint="eastAsia"/>
          <w:color w:val="000000"/>
          <w:lang w:val="en-US" w:eastAsia="zh-CN"/>
        </w:rPr>
        <w:t>其它</w:t>
      </w:r>
      <w:r>
        <w:rPr>
          <w:rFonts w:hint="eastAsia"/>
          <w:color w:val="000000"/>
          <w:lang w:eastAsia="zh-CN"/>
        </w:rPr>
        <w:t>传染病</w:t>
      </w:r>
      <w:r>
        <w:rPr>
          <w:color w:val="000000"/>
        </w:rPr>
        <w:t>危重症集中救治任务。以高水平医院建设为契机，强化重症救治能力建设，打造医疗救治高地，重点推进区人民医院、区中医院、区</w:t>
      </w:r>
      <w:r>
        <w:rPr>
          <w:rFonts w:hint="eastAsia"/>
          <w:color w:val="000000"/>
          <w:lang w:eastAsia="zh-CN"/>
        </w:rPr>
        <w:t>精神卫生中心</w:t>
      </w:r>
      <w:r>
        <w:rPr>
          <w:color w:val="000000"/>
        </w:rPr>
        <w:t>等医院专科救治中心建设。筑牢疫情医疗救治第一道关口，加强基层医疗机构医疗救治和防控能力建设，推进实施一批提升公共卫生服务能力重点项目。到2025年，每千名常住人口传染病床位达0.3张以上，建成覆盖渝西片区、辐射西南地区的公共卫生防治高地。</w:t>
      </w:r>
    </w:p>
    <w:p>
      <w:pPr>
        <w:pageBreakBefore w:val="0"/>
        <w:kinsoku/>
        <w:wordWrap/>
        <w:overflowPunct/>
        <w:topLinePunct w:val="0"/>
        <w:bidi w:val="0"/>
        <w:adjustRightInd w:val="0"/>
        <w:snapToGrid w:val="0"/>
        <w:spacing w:afterLines="0" w:line="276" w:lineRule="auto"/>
        <w:ind w:left="0" w:leftChars="0" w:firstLine="640"/>
        <w:rPr>
          <w:color w:val="000000"/>
        </w:rPr>
      </w:pPr>
    </w:p>
    <w:p>
      <w:pPr>
        <w:pStyle w:val="3"/>
        <w:keepNext w:val="0"/>
        <w:keepLines w:val="0"/>
        <w:pageBreakBefore w:val="0"/>
        <w:kinsoku/>
        <w:wordWrap/>
        <w:overflowPunct/>
        <w:topLinePunct w:val="0"/>
        <w:bidi w:val="0"/>
        <w:adjustRightInd/>
        <w:snapToGrid w:val="0"/>
        <w:spacing w:afterLines="0" w:line="276" w:lineRule="auto"/>
        <w:ind w:left="0" w:leftChars="0"/>
        <w:jc w:val="center"/>
        <w:rPr>
          <w:rFonts w:hint="eastAsia" w:ascii="方正楷体_GBK" w:hAnsi="方正楷体_GBK" w:cs="方正楷体_GBK"/>
          <w:color w:val="000000"/>
        </w:rPr>
      </w:pPr>
      <w:bookmarkStart w:id="96" w:name="_Toc74327809"/>
      <w:bookmarkStart w:id="97" w:name="_Toc3461"/>
      <w:bookmarkStart w:id="98" w:name="_Toc497690152_WPSOffice_Level2"/>
      <w:r>
        <w:rPr>
          <w:rFonts w:hint="eastAsia" w:ascii="方正楷体_GBK" w:hAnsi="方正楷体_GBK" w:cs="方正楷体_GBK"/>
          <w:color w:val="000000"/>
        </w:rPr>
        <w:t xml:space="preserve">第二节 </w:t>
      </w:r>
      <w:r>
        <w:rPr>
          <w:rFonts w:hint="default" w:ascii="方正楷体_GBK" w:hAnsi="方正楷体_GBK" w:cs="方正楷体_GBK"/>
          <w:color w:val="000000"/>
          <w:lang w:val="en"/>
        </w:rPr>
        <w:t xml:space="preserve"> </w:t>
      </w:r>
      <w:r>
        <w:rPr>
          <w:rFonts w:hint="eastAsia" w:ascii="方正楷体_GBK" w:hAnsi="方正楷体_GBK" w:cs="方正楷体_GBK"/>
          <w:color w:val="000000"/>
        </w:rPr>
        <w:t>打造优质医疗服务高地</w:t>
      </w:r>
      <w:bookmarkEnd w:id="96"/>
      <w:bookmarkEnd w:id="97"/>
      <w:bookmarkEnd w:id="98"/>
    </w:p>
    <w:p>
      <w:pPr>
        <w:pageBreakBefore w:val="0"/>
        <w:kinsoku/>
        <w:wordWrap/>
        <w:overflowPunct/>
        <w:topLinePunct w:val="0"/>
        <w:bidi w:val="0"/>
        <w:snapToGrid w:val="0"/>
        <w:spacing w:afterLines="0" w:line="276" w:lineRule="auto"/>
        <w:ind w:left="0" w:leftChars="0" w:firstLine="640" w:firstLineChars="200"/>
        <w:rPr>
          <w:color w:val="000000"/>
        </w:rPr>
      </w:pPr>
    </w:p>
    <w:p>
      <w:pPr>
        <w:pageBreakBefore w:val="0"/>
        <w:kinsoku/>
        <w:wordWrap/>
        <w:overflowPunct/>
        <w:topLinePunct w:val="0"/>
        <w:bidi w:val="0"/>
        <w:snapToGrid w:val="0"/>
        <w:spacing w:afterLines="0" w:line="276" w:lineRule="auto"/>
        <w:ind w:left="0" w:leftChars="0" w:firstLine="640" w:firstLineChars="200"/>
        <w:rPr>
          <w:rFonts w:hint="eastAsia" w:eastAsia="方正仿宋_GBK"/>
          <w:color w:val="000000"/>
          <w:lang w:eastAsia="zh-CN"/>
        </w:rPr>
      </w:pPr>
      <w:r>
        <w:rPr>
          <w:color w:val="000000"/>
        </w:rPr>
        <w:t>优化医疗供给端布局规划，强化资源统筹整合，</w:t>
      </w:r>
      <w:r>
        <w:rPr>
          <w:rFonts w:hint="eastAsia"/>
          <w:color w:val="000000"/>
        </w:rPr>
        <w:t>加大与重庆医科大学深度合作，加快建设重医附属永川医院兴龙湖分院，提升老年病、心脑血管病等优势专科水平，打造渝西老年疾病临床医学研究中心，做大做强重医附属永川医院。启动区人民医院迁建项目，积极创建三级医院，推动区人民医院建设胸痛、卒中、创伤中心，提升综合医疗服务能力</w:t>
      </w:r>
      <w:r>
        <w:rPr>
          <w:rFonts w:hint="eastAsia"/>
          <w:color w:val="000000"/>
          <w:lang w:eastAsia="zh-CN"/>
        </w:rPr>
        <w:t>，建设区域性综合医疗中心。</w:t>
      </w:r>
    </w:p>
    <w:p>
      <w:pPr>
        <w:pageBreakBefore w:val="0"/>
        <w:kinsoku/>
        <w:wordWrap/>
        <w:overflowPunct/>
        <w:topLinePunct w:val="0"/>
        <w:bidi w:val="0"/>
        <w:snapToGrid w:val="0"/>
        <w:spacing w:afterLines="0" w:line="276" w:lineRule="auto"/>
        <w:ind w:left="0" w:leftChars="0"/>
        <w:rPr>
          <w:rFonts w:hint="eastAsia" w:ascii="Times New Roman" w:hAnsi="Times New Roman" w:eastAsia="方正仿宋_GBK" w:cs="Times New Roman"/>
          <w:color w:val="000000"/>
          <w:sz w:val="32"/>
          <w:szCs w:val="32"/>
          <w:lang w:eastAsia="zh-CN"/>
        </w:rPr>
      </w:pPr>
      <w:r>
        <w:rPr>
          <w:rFonts w:hint="eastAsia"/>
          <w:color w:val="000000"/>
        </w:rPr>
        <w:t>加快建设区中医院新院区，积极争取江苏省中医院输出医院落地永川，协同共建国家区域医疗中心，建成以中医妇科为主的高水平生殖健康临床诊疗中心。加快建设国家中医紧急医学救援队伍和基地依托医院，组建国家中医紧急医学救援队伍。加大区中医院中医耳鼻喉科相关诊疗方案和特色技术推广应用，推动区中医院骨伤科、推拿科、肿瘤科、针灸科、妇科争创市级重点学科、博士授予点</w:t>
      </w:r>
      <w:r>
        <w:rPr>
          <w:rFonts w:hint="eastAsia"/>
          <w:color w:val="000000"/>
          <w:lang w:eastAsia="zh-CN"/>
        </w:rPr>
        <w:t>，建设区域性中医医疗中心。</w:t>
      </w:r>
      <w:r>
        <w:rPr>
          <w:rFonts w:hint="eastAsia" w:ascii="Times New Roman" w:hAnsi="Times New Roman" w:eastAsia="方正仿宋_GBK" w:cs="Times New Roman"/>
          <w:color w:val="000000"/>
          <w:sz w:val="32"/>
          <w:szCs w:val="32"/>
          <w:lang w:val="en-US" w:eastAsia="zh-CN"/>
        </w:rPr>
        <w:t>创建三级甲等妇幼保健院，推进区妇幼保健院建设危重孕产妇、新生儿救治中心，</w:t>
      </w:r>
      <w:r>
        <w:rPr>
          <w:rFonts w:hint="default" w:ascii="Times New Roman" w:hAnsi="Times New Roman" w:eastAsia="方正仿宋_GBK" w:cs="Times New Roman"/>
          <w:color w:val="000000"/>
          <w:sz w:val="32"/>
          <w:szCs w:val="32"/>
        </w:rPr>
        <w:t>提升妇幼</w:t>
      </w:r>
      <w:r>
        <w:rPr>
          <w:rFonts w:hint="default" w:ascii="Times New Roman" w:hAnsi="Times New Roman" w:eastAsia="方正仿宋_GBK" w:cs="Times New Roman"/>
          <w:color w:val="000000"/>
          <w:sz w:val="32"/>
          <w:szCs w:val="32"/>
          <w:lang w:val="en-US" w:eastAsia="zh-CN"/>
        </w:rPr>
        <w:t>健康</w:t>
      </w:r>
      <w:r>
        <w:rPr>
          <w:rFonts w:hint="default" w:ascii="Times New Roman" w:hAnsi="Times New Roman" w:eastAsia="方正仿宋_GBK" w:cs="Times New Roman"/>
          <w:color w:val="000000"/>
          <w:sz w:val="32"/>
          <w:szCs w:val="32"/>
        </w:rPr>
        <w:t>综合服务能力。</w:t>
      </w:r>
      <w:r>
        <w:rPr>
          <w:rFonts w:hint="eastAsia" w:ascii="Times New Roman" w:hAnsi="Times New Roman" w:eastAsia="方正仿宋_GBK" w:cs="Times New Roman"/>
          <w:color w:val="000000"/>
          <w:sz w:val="32"/>
          <w:szCs w:val="32"/>
          <w:lang w:eastAsia="zh-CN"/>
        </w:rPr>
        <w:t>发挥区儿童医院儿科专科优势，建设危重儿童救治中心，依托区儿童医院</w:t>
      </w:r>
      <w:r>
        <w:rPr>
          <w:rFonts w:hint="eastAsia"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3A</w:t>
      </w:r>
      <w:r>
        <w:rPr>
          <w:rFonts w:hint="eastAsia" w:cs="Times New Roman"/>
          <w:color w:val="000000"/>
          <w:sz w:val="32"/>
          <w:szCs w:val="32"/>
          <w:lang w:eastAsia="zh-CN"/>
        </w:rPr>
        <w:t>”</w:t>
      </w:r>
      <w:r>
        <w:rPr>
          <w:rFonts w:hint="eastAsia" w:ascii="Times New Roman" w:hAnsi="Times New Roman" w:eastAsia="方正仿宋_GBK" w:cs="Times New Roman"/>
          <w:color w:val="000000"/>
          <w:sz w:val="32"/>
          <w:szCs w:val="32"/>
          <w:lang w:eastAsia="zh-CN"/>
        </w:rPr>
        <w:t>级自闭症儿童康复训练中心，与四川毗邻城市建立川渝两地儿童自闭症专科联盟</w:t>
      </w:r>
      <w:r>
        <w:rPr>
          <w:rFonts w:hint="eastAsia" w:ascii="Times New Roman" w:hAnsi="Times New Roman" w:cs="Times New Roman"/>
          <w:color w:val="000000"/>
          <w:sz w:val="32"/>
          <w:szCs w:val="32"/>
          <w:lang w:eastAsia="zh-CN"/>
        </w:rPr>
        <w:t>，建设区域性妇女儿童医疗中心。</w:t>
      </w:r>
    </w:p>
    <w:p>
      <w:pPr>
        <w:pageBreakBefore w:val="0"/>
        <w:kinsoku/>
        <w:wordWrap/>
        <w:overflowPunct/>
        <w:topLinePunct w:val="0"/>
        <w:bidi w:val="0"/>
        <w:snapToGrid w:val="0"/>
        <w:spacing w:afterLines="0" w:line="276" w:lineRule="auto"/>
        <w:ind w:left="0" w:leftChars="0" w:firstLine="640" w:firstLineChars="200"/>
        <w:rPr>
          <w:color w:val="000000"/>
        </w:rPr>
      </w:pPr>
      <w:r>
        <w:rPr>
          <w:rFonts w:hint="eastAsia"/>
          <w:color w:val="000000"/>
          <w:lang w:eastAsia="zh-CN"/>
        </w:rPr>
        <w:t>加强</w:t>
      </w:r>
      <w:r>
        <w:rPr>
          <w:color w:val="000000"/>
        </w:rPr>
        <w:t>重庆中新肿瘤医院</w:t>
      </w:r>
      <w:r>
        <w:rPr>
          <w:rFonts w:hint="eastAsia"/>
          <w:color w:val="000000"/>
          <w:lang w:eastAsia="zh-CN"/>
        </w:rPr>
        <w:t>建设</w:t>
      </w:r>
      <w:r>
        <w:rPr>
          <w:color w:val="000000"/>
        </w:rPr>
        <w:t>，引入新加坡</w:t>
      </w:r>
      <w:r>
        <w:rPr>
          <w:color w:val="000000"/>
          <w:lang w:val="en"/>
        </w:rPr>
        <w:t>“</w:t>
      </w:r>
      <w:r>
        <w:rPr>
          <w:color w:val="000000"/>
        </w:rPr>
        <w:t>高端医疗服务平台+酒店式服务质量”经营模式，打造西部地区乃至全国一流的中高端非营利性肿瘤专科医院。发挥心血管、儿科专科优势，探索</w:t>
      </w:r>
      <w:r>
        <w:rPr>
          <w:color w:val="000000"/>
          <w:lang w:val="en"/>
        </w:rPr>
        <w:t>“</w:t>
      </w:r>
      <w:r>
        <w:rPr>
          <w:color w:val="000000"/>
        </w:rPr>
        <w:t>三级专科医院+区域”模式，促进医疗资源科学下沉。探索发展美容、眼科、口腔等特色专科，打造一批专科医疗品牌，按专业化、规范化、差异化发展方向，支持举办国际性、全国性医疗美容行业论坛等活动，提升</w:t>
      </w:r>
      <w:r>
        <w:rPr>
          <w:color w:val="000000"/>
          <w:lang w:val="en"/>
        </w:rPr>
        <w:t>“</w:t>
      </w:r>
      <w:r>
        <w:rPr>
          <w:color w:val="000000"/>
        </w:rPr>
        <w:t>永川医美”知名度。完善分级诊疗体系建设，引导镇街医疗机构与区人民医院、区中医院建立指导协作关系，利用</w:t>
      </w:r>
      <w:r>
        <w:rPr>
          <w:color w:val="000000"/>
          <w:lang w:val="en"/>
        </w:rPr>
        <w:t>“</w:t>
      </w:r>
      <w:r>
        <w:rPr>
          <w:color w:val="000000"/>
        </w:rPr>
        <w:t>互联网+医疗健康”等信息技术实现实时远程会诊以及预约诊疗。</w:t>
      </w:r>
    </w:p>
    <w:p>
      <w:pPr>
        <w:pageBreakBefore w:val="0"/>
        <w:kinsoku/>
        <w:wordWrap/>
        <w:overflowPunct/>
        <w:topLinePunct w:val="0"/>
        <w:bidi w:val="0"/>
        <w:snapToGrid w:val="0"/>
        <w:spacing w:afterLines="0" w:line="276" w:lineRule="auto"/>
        <w:ind w:left="0" w:leftChars="0" w:firstLine="640" w:firstLineChars="200"/>
        <w:rPr>
          <w:color w:val="000000"/>
        </w:rPr>
      </w:pPr>
    </w:p>
    <w:p>
      <w:pPr>
        <w:pStyle w:val="3"/>
        <w:keepNext w:val="0"/>
        <w:keepLines w:val="0"/>
        <w:pageBreakBefore w:val="0"/>
        <w:kinsoku/>
        <w:wordWrap/>
        <w:overflowPunct/>
        <w:topLinePunct w:val="0"/>
        <w:bidi w:val="0"/>
        <w:adjustRightInd/>
        <w:snapToGrid w:val="0"/>
        <w:spacing w:afterLines="0" w:line="276" w:lineRule="auto"/>
        <w:jc w:val="center"/>
        <w:rPr>
          <w:rFonts w:hint="eastAsia" w:ascii="方正楷体_GBK" w:hAnsi="方正楷体_GBK" w:cs="方正楷体_GBK"/>
          <w:color w:val="000000"/>
        </w:rPr>
      </w:pPr>
      <w:bookmarkStart w:id="99" w:name="_Toc5343"/>
      <w:bookmarkStart w:id="100" w:name="_Toc2003999280_WPSOffice_Level2"/>
      <w:bookmarkStart w:id="101" w:name="_Toc74327810"/>
      <w:r>
        <w:rPr>
          <w:rFonts w:hint="eastAsia" w:ascii="方正楷体_GBK" w:hAnsi="方正楷体_GBK" w:cs="方正楷体_GBK"/>
          <w:color w:val="000000"/>
        </w:rPr>
        <w:t xml:space="preserve">第三节 </w:t>
      </w:r>
      <w:r>
        <w:rPr>
          <w:rFonts w:hint="default" w:ascii="方正楷体_GBK" w:hAnsi="方正楷体_GBK" w:cs="方正楷体_GBK"/>
          <w:color w:val="000000"/>
          <w:lang w:val="en"/>
        </w:rPr>
        <w:t xml:space="preserve"> </w:t>
      </w:r>
      <w:r>
        <w:rPr>
          <w:rFonts w:hint="eastAsia" w:ascii="方正楷体_GBK" w:hAnsi="方正楷体_GBK" w:cs="方正楷体_GBK"/>
          <w:color w:val="000000"/>
        </w:rPr>
        <w:t>打造医疗卫生信息化高地</w:t>
      </w:r>
      <w:bookmarkEnd w:id="99"/>
      <w:bookmarkEnd w:id="100"/>
      <w:bookmarkEnd w:id="101"/>
    </w:p>
    <w:p>
      <w:pPr>
        <w:pageBreakBefore w:val="0"/>
        <w:kinsoku/>
        <w:wordWrap/>
        <w:overflowPunct/>
        <w:topLinePunct w:val="0"/>
        <w:bidi w:val="0"/>
        <w:adjustRightInd w:val="0"/>
        <w:snapToGrid w:val="0"/>
        <w:spacing w:afterLines="0" w:line="276" w:lineRule="auto"/>
        <w:ind w:left="0" w:leftChars="0" w:firstLine="640"/>
        <w:rPr>
          <w:color w:val="000000"/>
        </w:rPr>
      </w:pPr>
    </w:p>
    <w:p>
      <w:pPr>
        <w:pageBreakBefore w:val="0"/>
        <w:kinsoku/>
        <w:wordWrap/>
        <w:overflowPunct/>
        <w:topLinePunct w:val="0"/>
        <w:bidi w:val="0"/>
        <w:adjustRightInd w:val="0"/>
        <w:snapToGrid w:val="0"/>
        <w:spacing w:afterLines="0" w:line="276" w:lineRule="auto"/>
        <w:ind w:left="0" w:leftChars="0" w:firstLine="640"/>
        <w:rPr>
          <w:color w:val="000000"/>
        </w:rPr>
      </w:pPr>
      <w:r>
        <w:rPr>
          <w:color w:val="000000"/>
        </w:rPr>
        <w:t>完善全民健康信息平台基础数据库，健全行业管理、健康服务、疾病防控、健康教育、妇幼健康、综合监督、卫生应急、中医药管理等信息系统，推进医疗、医保、医药数据融合，实现卫生健康信息化，医疗数据各类基础业务应用系统协同共享。推动区域卫生健康信息平台提档升级，完善区域信息平台架构，建成以电子病历、电子健康档案为核心，数字化医院和村卫生室为基础的一体化区域卫生数据中心，建设永川智慧医疗平台。</w:t>
      </w:r>
      <w:r>
        <w:rPr>
          <w:color w:val="000000"/>
          <w:szCs w:val="32"/>
        </w:rPr>
        <w:t>创新智慧医疗永川模式，全面</w:t>
      </w:r>
      <w:r>
        <w:rPr>
          <w:color w:val="000000"/>
        </w:rPr>
        <w:t>推进智慧医院建设，发展智慧服务、智慧临床、智慧管理，提升患者就医体验、夯实智慧医疗基础、提升精细化管理水平，推动二级以上公立医院全面建成互联网医院，区人民医院、区中医院达到</w:t>
      </w:r>
      <w:r>
        <w:rPr>
          <w:color w:val="000000"/>
          <w:lang w:val="en"/>
        </w:rPr>
        <w:t>“</w:t>
      </w:r>
      <w:r>
        <w:rPr>
          <w:color w:val="000000"/>
        </w:rPr>
        <w:t>智慧医院”建设四级水平。利用5G技术，打造区域性远程会诊中心，实现与新加坡</w:t>
      </w:r>
      <w:r>
        <w:rPr>
          <w:rFonts w:hint="eastAsia"/>
          <w:color w:val="000000"/>
          <w:lang w:eastAsia="zh-CN"/>
        </w:rPr>
        <w:t>、</w:t>
      </w:r>
      <w:r>
        <w:rPr>
          <w:color w:val="000000"/>
        </w:rPr>
        <w:t>北京、上海等地知名医院，以及与内江、泸州等毗邻城市远程诊疗合作。建设集智能预警、影像监控、数据分析为一体的综合监管平台系统。鼓励医疗卫生机构与符合条件的第三方机构搭建互联网公共信息平台，发展互联网诊疗、健康咨询、社区及居家健康管理等新业态。支持建设和运营药事服务平台，提供电子处方审核、合理用药咨询和药品销售配送等服务。鼓励健康养老机构开发智慧健康养老产品，提供便民服务、动态监测、健康咨询等线上养老服务。</w:t>
      </w:r>
    </w:p>
    <w:p>
      <w:pPr>
        <w:pageBreakBefore w:val="0"/>
        <w:kinsoku/>
        <w:wordWrap/>
        <w:overflowPunct/>
        <w:topLinePunct w:val="0"/>
        <w:bidi w:val="0"/>
        <w:adjustRightInd w:val="0"/>
        <w:snapToGrid w:val="0"/>
        <w:spacing w:afterLines="0" w:line="276" w:lineRule="auto"/>
        <w:ind w:left="0" w:leftChars="0" w:firstLine="640"/>
        <w:rPr>
          <w:color w:val="000000"/>
        </w:rPr>
      </w:pPr>
    </w:p>
    <w:p>
      <w:pPr>
        <w:pStyle w:val="3"/>
        <w:keepNext w:val="0"/>
        <w:keepLines w:val="0"/>
        <w:pageBreakBefore w:val="0"/>
        <w:kinsoku/>
        <w:wordWrap/>
        <w:overflowPunct/>
        <w:topLinePunct w:val="0"/>
        <w:bidi w:val="0"/>
        <w:adjustRightInd/>
        <w:snapToGrid w:val="0"/>
        <w:spacing w:afterLines="0" w:line="276" w:lineRule="auto"/>
        <w:jc w:val="center"/>
        <w:rPr>
          <w:rFonts w:hint="eastAsia" w:ascii="方正楷体_GBK" w:hAnsi="方正楷体_GBK" w:cs="方正楷体_GBK"/>
          <w:color w:val="000000"/>
        </w:rPr>
      </w:pPr>
      <w:bookmarkStart w:id="102" w:name="_Toc9794"/>
      <w:bookmarkStart w:id="103" w:name="_Toc74327811"/>
      <w:bookmarkStart w:id="104" w:name="_Toc454422826_WPSOffice_Level2"/>
      <w:r>
        <w:rPr>
          <w:rFonts w:hint="eastAsia" w:ascii="方正楷体_GBK" w:hAnsi="方正楷体_GBK" w:cs="方正楷体_GBK"/>
          <w:color w:val="000000"/>
        </w:rPr>
        <w:t xml:space="preserve">第四节 </w:t>
      </w:r>
      <w:r>
        <w:rPr>
          <w:rFonts w:hint="default" w:ascii="方正楷体_GBK" w:hAnsi="方正楷体_GBK" w:cs="方正楷体_GBK"/>
          <w:color w:val="000000"/>
          <w:lang w:val="en"/>
        </w:rPr>
        <w:t xml:space="preserve"> </w:t>
      </w:r>
      <w:r>
        <w:rPr>
          <w:rFonts w:hint="eastAsia" w:ascii="方正楷体_GBK" w:hAnsi="方正楷体_GBK" w:cs="方正楷体_GBK"/>
          <w:color w:val="000000"/>
        </w:rPr>
        <w:t>打造医疗产学研高地</w:t>
      </w:r>
      <w:bookmarkEnd w:id="102"/>
      <w:bookmarkEnd w:id="103"/>
      <w:bookmarkEnd w:id="104"/>
    </w:p>
    <w:p>
      <w:pPr>
        <w:pageBreakBefore w:val="0"/>
        <w:kinsoku/>
        <w:wordWrap/>
        <w:overflowPunct/>
        <w:topLinePunct w:val="0"/>
        <w:bidi w:val="0"/>
        <w:adjustRightInd w:val="0"/>
        <w:snapToGrid w:val="0"/>
        <w:spacing w:afterLines="0" w:line="276" w:lineRule="auto"/>
        <w:ind w:left="0" w:leftChars="0" w:firstLine="640"/>
        <w:rPr>
          <w:color w:val="000000"/>
        </w:rPr>
      </w:pPr>
    </w:p>
    <w:p>
      <w:pPr>
        <w:pageBreakBefore w:val="0"/>
        <w:kinsoku/>
        <w:wordWrap/>
        <w:overflowPunct/>
        <w:topLinePunct w:val="0"/>
        <w:bidi w:val="0"/>
        <w:adjustRightInd w:val="0"/>
        <w:snapToGrid w:val="0"/>
        <w:spacing w:afterLines="0" w:line="276" w:lineRule="auto"/>
        <w:ind w:left="0" w:leftChars="0" w:firstLine="640"/>
        <w:rPr>
          <w:color w:val="000000"/>
        </w:rPr>
      </w:pPr>
      <w:r>
        <w:rPr>
          <w:color w:val="000000"/>
        </w:rPr>
        <w:t>全面整合全区优质医院资源，借助四川大学华西医院、重庆医科大学附属医院等医疗资源，加快</w:t>
      </w:r>
      <w:r>
        <w:rPr>
          <w:rFonts w:hint="eastAsia"/>
          <w:color w:val="000000"/>
          <w:szCs w:val="32"/>
        </w:rPr>
        <w:t>区域医疗</w:t>
      </w:r>
      <w:r>
        <w:rPr>
          <w:color w:val="000000"/>
          <w:szCs w:val="32"/>
        </w:rPr>
        <w:t>中心</w:t>
      </w:r>
      <w:r>
        <w:rPr>
          <w:rFonts w:hint="eastAsia"/>
          <w:color w:val="000000"/>
          <w:szCs w:val="32"/>
          <w:lang w:eastAsia="zh-CN"/>
        </w:rPr>
        <w:t>建设</w:t>
      </w:r>
      <w:r>
        <w:rPr>
          <w:color w:val="000000"/>
        </w:rPr>
        <w:t>，打造集临床、科研教学、健康产品供给</w:t>
      </w:r>
      <w:r>
        <w:rPr>
          <w:rFonts w:hint="eastAsia"/>
          <w:color w:val="000000"/>
          <w:lang w:eastAsia="zh-CN"/>
        </w:rPr>
        <w:t>等为</w:t>
      </w:r>
      <w:r>
        <w:rPr>
          <w:color w:val="000000"/>
        </w:rPr>
        <w:t>一体的医教研高地。建设重庆医科大学研究生院、重医全科医学院，推进渝西卫校建设公共卫生高职专科学校，打造重庆医科大学教学基地。联合四川大学华西临床医学院，强化人才培养、学科建设，打造高质量学术基地。依托成渝双城卫健人才一体化培养机制，推进实用型、创新型和复合型人才培养。加强公共卫生学科建设，加快培养引进公共卫生紧缺人才，专业公共卫生机构人员按标准配置。以产学研用融合发展为支撑，推动医疗服务、健康管理、药品器械等领域的深度对接与融合，打造具有影响力的医疗健康产业。拓展健康产业规模和服务领域计划，培育百亿级医药及医疗器械产业园。探索建立公共服务外包机制，引进先进检验机构在永建立区域检验病理中心，为区内及周边区县提供检验和病理业务标本外包服务，提升区域整体医学检验和病理分析能力。</w:t>
      </w:r>
    </w:p>
    <w:p>
      <w:pPr>
        <w:pageBreakBefore w:val="0"/>
        <w:kinsoku/>
        <w:wordWrap/>
        <w:overflowPunct/>
        <w:topLinePunct w:val="0"/>
        <w:bidi w:val="0"/>
        <w:adjustRightInd w:val="0"/>
        <w:snapToGrid w:val="0"/>
        <w:spacing w:afterLines="0" w:line="276" w:lineRule="auto"/>
        <w:ind w:left="0" w:leftChars="0" w:firstLine="640"/>
        <w:rPr>
          <w:color w:val="000000"/>
        </w:rPr>
      </w:pPr>
    </w:p>
    <w:p>
      <w:pPr>
        <w:pStyle w:val="3"/>
        <w:keepNext w:val="0"/>
        <w:keepLines w:val="0"/>
        <w:pageBreakBefore w:val="0"/>
        <w:kinsoku/>
        <w:wordWrap/>
        <w:overflowPunct/>
        <w:topLinePunct w:val="0"/>
        <w:bidi w:val="0"/>
        <w:adjustRightInd/>
        <w:snapToGrid w:val="0"/>
        <w:spacing w:afterLines="0" w:line="276" w:lineRule="auto"/>
        <w:jc w:val="center"/>
        <w:rPr>
          <w:rFonts w:hint="eastAsia" w:ascii="方正楷体_GBK" w:hAnsi="方正楷体_GBK" w:cs="方正楷体_GBK"/>
          <w:color w:val="000000"/>
        </w:rPr>
      </w:pPr>
      <w:bookmarkStart w:id="105" w:name="_Toc74327812"/>
      <w:bookmarkStart w:id="106" w:name="_Toc1348904879_WPSOffice_Level2"/>
      <w:bookmarkStart w:id="107" w:name="_Toc28023"/>
      <w:r>
        <w:rPr>
          <w:rFonts w:hint="eastAsia" w:ascii="方正楷体_GBK" w:hAnsi="方正楷体_GBK" w:cs="方正楷体_GBK"/>
          <w:color w:val="000000"/>
        </w:rPr>
        <w:t>第五节</w:t>
      </w:r>
      <w:r>
        <w:rPr>
          <w:rFonts w:hint="default" w:ascii="方正楷体_GBK" w:hAnsi="方正楷体_GBK" w:cs="方正楷体_GBK"/>
          <w:color w:val="000000"/>
          <w:lang w:val="en"/>
        </w:rPr>
        <w:t xml:space="preserve"> </w:t>
      </w:r>
      <w:r>
        <w:rPr>
          <w:rFonts w:hint="eastAsia" w:ascii="方正楷体_GBK" w:hAnsi="方正楷体_GBK" w:cs="方正楷体_GBK"/>
          <w:color w:val="000000"/>
        </w:rPr>
        <w:t xml:space="preserve"> 打造川渝合作医疗示范高地</w:t>
      </w:r>
      <w:bookmarkEnd w:id="105"/>
      <w:bookmarkEnd w:id="106"/>
      <w:bookmarkEnd w:id="107"/>
    </w:p>
    <w:p>
      <w:pPr>
        <w:pageBreakBefore w:val="0"/>
        <w:kinsoku/>
        <w:wordWrap/>
        <w:overflowPunct/>
        <w:topLinePunct w:val="0"/>
        <w:bidi w:val="0"/>
        <w:adjustRightInd w:val="0"/>
        <w:snapToGrid w:val="0"/>
        <w:spacing w:afterLines="0" w:line="276" w:lineRule="auto"/>
        <w:ind w:left="0" w:leftChars="0" w:firstLine="640"/>
        <w:rPr>
          <w:color w:val="000000"/>
        </w:rPr>
      </w:pPr>
    </w:p>
    <w:p>
      <w:pPr>
        <w:pageBreakBefore w:val="0"/>
        <w:kinsoku/>
        <w:wordWrap/>
        <w:overflowPunct/>
        <w:topLinePunct w:val="0"/>
        <w:bidi w:val="0"/>
        <w:adjustRightInd w:val="0"/>
        <w:snapToGrid w:val="0"/>
        <w:spacing w:afterLines="0" w:line="276" w:lineRule="auto"/>
        <w:ind w:left="0" w:leftChars="0" w:firstLine="640"/>
        <w:rPr>
          <w:color w:val="000000"/>
        </w:rPr>
      </w:pPr>
      <w:r>
        <w:rPr>
          <w:color w:val="000000"/>
        </w:rPr>
        <w:t>积极融入成渝地区双城经济圈建设，深化与四川省泸州市在公共卫生、医疗服务、智慧医疗、医教研等方面联动合作，健全完善互访交流、联席会议、重大课题调研、重大事项会商机制。积极拓展与内江、广安、宜宾、自贡等毗邻城市合作，探索建立跨区域基层卫生政策互通、家庭医生签约服务交流和基层医务人员培训机制，建立卫生应急和传染病防控联动机制。加强人才联合培养和科研合作，开放共建川渝医疗卫生专家库，加强医疗专业人才交流培养，推进和规范医师多点执业。推动川渝合作组建跨区域专科联盟和医疗联合体，加强两地的学术交流、医疗协作。逐步推进川渝两地二级以上公立医疗机构检验检查结果互认，实现跨省异地就医直接联网结算。增强川渝卫生健康发展协同性、联动性，共同提升川渝卫生健康服务能力，提高川渝人民群众健康水平，推动两地卫生健康一体化发展，打造成渝双城经济圈合作医疗示范高地。</w:t>
      </w:r>
    </w:p>
    <w:p>
      <w:pPr>
        <w:pageBreakBefore w:val="0"/>
        <w:kinsoku/>
        <w:wordWrap/>
        <w:overflowPunct/>
        <w:topLinePunct w:val="0"/>
        <w:bidi w:val="0"/>
        <w:adjustRightInd w:val="0"/>
        <w:snapToGrid w:val="0"/>
        <w:spacing w:afterLines="0" w:line="276" w:lineRule="auto"/>
        <w:ind w:left="0" w:leftChars="0" w:firstLine="640"/>
        <w:rPr>
          <w:color w:val="000000"/>
        </w:rPr>
      </w:pPr>
    </w:p>
    <w:p>
      <w:pPr>
        <w:pStyle w:val="2"/>
        <w:keepNext w:val="0"/>
        <w:keepLines w:val="0"/>
        <w:pageBreakBefore w:val="0"/>
        <w:kinsoku/>
        <w:wordWrap/>
        <w:overflowPunct/>
        <w:topLinePunct w:val="0"/>
        <w:bidi w:val="0"/>
        <w:adjustRightInd/>
        <w:snapToGrid w:val="0"/>
        <w:spacing w:afterLines="0" w:line="276" w:lineRule="auto"/>
        <w:jc w:val="center"/>
        <w:rPr>
          <w:rFonts w:hint="eastAsia" w:ascii="方正黑体_GBK" w:hAnsi="方正黑体_GBK" w:cs="方正黑体_GBK"/>
          <w:color w:val="000000"/>
        </w:rPr>
      </w:pPr>
      <w:bookmarkStart w:id="108" w:name="_Toc74327813"/>
      <w:bookmarkStart w:id="109" w:name="_Toc4269"/>
      <w:bookmarkStart w:id="110" w:name="_Toc1927351583_WPSOffice_Level1"/>
      <w:r>
        <w:rPr>
          <w:rFonts w:hint="eastAsia" w:ascii="方正黑体_GBK" w:hAnsi="方正黑体_GBK" w:cs="方正黑体_GBK"/>
          <w:color w:val="000000"/>
        </w:rPr>
        <w:t>第五章  保障措施</w:t>
      </w:r>
      <w:bookmarkEnd w:id="108"/>
      <w:bookmarkEnd w:id="109"/>
      <w:bookmarkEnd w:id="110"/>
    </w:p>
    <w:p>
      <w:pPr>
        <w:pageBreakBefore w:val="0"/>
        <w:kinsoku/>
        <w:wordWrap/>
        <w:overflowPunct/>
        <w:topLinePunct w:val="0"/>
        <w:bidi w:val="0"/>
        <w:adjustRightInd w:val="0"/>
        <w:snapToGrid w:val="0"/>
        <w:spacing w:afterLines="0" w:line="276" w:lineRule="auto"/>
        <w:ind w:firstLine="640"/>
        <w:jc w:val="center"/>
        <w:rPr>
          <w:rFonts w:hint="eastAsia" w:ascii="Times New Roman" w:hAnsi="Times New Roman" w:cs="Times New Roman"/>
          <w:color w:val="000000"/>
        </w:rPr>
      </w:pPr>
      <w:bookmarkStart w:id="111" w:name="_Toc74327814"/>
      <w:bookmarkStart w:id="112" w:name="_Toc15288"/>
    </w:p>
    <w:p>
      <w:pPr>
        <w:pStyle w:val="3"/>
        <w:keepNext w:val="0"/>
        <w:keepLines w:val="0"/>
        <w:pageBreakBefore w:val="0"/>
        <w:kinsoku/>
        <w:wordWrap/>
        <w:overflowPunct/>
        <w:topLinePunct w:val="0"/>
        <w:bidi w:val="0"/>
        <w:adjustRightInd/>
        <w:snapToGrid w:val="0"/>
        <w:spacing w:afterLines="0" w:line="276" w:lineRule="auto"/>
        <w:jc w:val="center"/>
        <w:rPr>
          <w:rFonts w:hint="eastAsia" w:ascii="方正楷体_GBK" w:hAnsi="方正楷体_GBK" w:cs="方正楷体_GBK"/>
          <w:color w:val="000000"/>
        </w:rPr>
      </w:pPr>
      <w:bookmarkStart w:id="113" w:name="_Toc1605779324_WPSOffice_Level2"/>
      <w:r>
        <w:rPr>
          <w:rFonts w:hint="eastAsia" w:ascii="方正楷体_GBK" w:hAnsi="方正楷体_GBK" w:cs="方正楷体_GBK"/>
          <w:color w:val="000000"/>
        </w:rPr>
        <w:t xml:space="preserve">第一节 </w:t>
      </w:r>
      <w:r>
        <w:rPr>
          <w:rFonts w:hint="default" w:ascii="方正楷体_GBK" w:hAnsi="方正楷体_GBK" w:cs="方正楷体_GBK"/>
          <w:color w:val="000000"/>
          <w:lang w:val="en"/>
        </w:rPr>
        <w:t xml:space="preserve"> </w:t>
      </w:r>
      <w:r>
        <w:rPr>
          <w:rFonts w:hint="eastAsia" w:ascii="方正楷体_GBK" w:hAnsi="方正楷体_GBK" w:cs="方正楷体_GBK"/>
          <w:color w:val="000000"/>
        </w:rPr>
        <w:t>加强组织领导</w:t>
      </w:r>
      <w:bookmarkEnd w:id="111"/>
      <w:bookmarkEnd w:id="112"/>
      <w:bookmarkEnd w:id="113"/>
    </w:p>
    <w:p>
      <w:pPr>
        <w:pageBreakBefore w:val="0"/>
        <w:kinsoku/>
        <w:wordWrap/>
        <w:overflowPunct/>
        <w:topLinePunct w:val="0"/>
        <w:bidi w:val="0"/>
        <w:adjustRightInd w:val="0"/>
        <w:snapToGrid w:val="0"/>
        <w:spacing w:afterLines="0" w:line="276" w:lineRule="auto"/>
        <w:ind w:left="0" w:leftChars="0" w:firstLine="640"/>
        <w:rPr>
          <w:rFonts w:hint="eastAsia"/>
          <w:color w:val="000000"/>
        </w:rPr>
      </w:pPr>
    </w:p>
    <w:p>
      <w:pPr>
        <w:pageBreakBefore w:val="0"/>
        <w:kinsoku/>
        <w:wordWrap/>
        <w:overflowPunct/>
        <w:topLinePunct w:val="0"/>
        <w:bidi w:val="0"/>
        <w:adjustRightInd w:val="0"/>
        <w:snapToGrid w:val="0"/>
        <w:spacing w:afterLines="0" w:line="276" w:lineRule="auto"/>
        <w:ind w:left="0" w:leftChars="0" w:firstLine="640"/>
        <w:rPr>
          <w:color w:val="000000"/>
        </w:rPr>
      </w:pPr>
      <w:r>
        <w:rPr>
          <w:rFonts w:hint="eastAsia"/>
          <w:color w:val="000000"/>
        </w:rPr>
        <w:t>区委、区政府把</w:t>
      </w:r>
      <w:r>
        <w:rPr>
          <w:rFonts w:hint="default"/>
          <w:color w:val="000000"/>
          <w:lang w:val="en"/>
        </w:rPr>
        <w:t>“</w:t>
      </w:r>
      <w:r>
        <w:rPr>
          <w:rFonts w:hint="eastAsia"/>
          <w:color w:val="000000"/>
        </w:rPr>
        <w:t>十四五”期间卫生健康工作作为全面改善民生、促进人民福祉的重要内容，全区各镇人民政府、街道办事处要充分认识</w:t>
      </w:r>
      <w:r>
        <w:rPr>
          <w:color w:val="000000"/>
        </w:rPr>
        <w:t>推进健康中国永川行动、成渝卫生健康一体化发展对促进经济社会可持续发展的重要意义和作用，将卫生健康事业列入</w:t>
      </w:r>
      <w:r>
        <w:rPr>
          <w:rFonts w:hint="eastAsia"/>
          <w:color w:val="000000"/>
        </w:rPr>
        <w:t>本地区国民</w:t>
      </w:r>
      <w:r>
        <w:rPr>
          <w:color w:val="000000"/>
        </w:rPr>
        <w:t>经济社会发展</w:t>
      </w:r>
      <w:r>
        <w:rPr>
          <w:rFonts w:hint="eastAsia"/>
          <w:color w:val="000000"/>
        </w:rPr>
        <w:t>总体</w:t>
      </w:r>
      <w:r>
        <w:rPr>
          <w:color w:val="000000"/>
        </w:rPr>
        <w:t>规划。区政府有关部门、相关单位要切实加强组织领导，及时协调解决卫生健康工作中的重大问题，努力使卫生健康事业与经济社会发展相协调，使人民健康保障水平与经济发展水平相适应，认真履职，协同一致推进规划的各项任务。</w:t>
      </w:r>
    </w:p>
    <w:p>
      <w:pPr>
        <w:pageBreakBefore w:val="0"/>
        <w:kinsoku/>
        <w:wordWrap/>
        <w:overflowPunct/>
        <w:topLinePunct w:val="0"/>
        <w:bidi w:val="0"/>
        <w:adjustRightInd w:val="0"/>
        <w:snapToGrid w:val="0"/>
        <w:spacing w:afterLines="0" w:line="276" w:lineRule="auto"/>
        <w:ind w:left="0" w:leftChars="0" w:firstLine="640"/>
        <w:rPr>
          <w:color w:val="000000"/>
        </w:rPr>
      </w:pPr>
    </w:p>
    <w:p>
      <w:pPr>
        <w:pStyle w:val="3"/>
        <w:keepNext w:val="0"/>
        <w:keepLines w:val="0"/>
        <w:pageBreakBefore w:val="0"/>
        <w:kinsoku/>
        <w:wordWrap/>
        <w:overflowPunct/>
        <w:topLinePunct w:val="0"/>
        <w:bidi w:val="0"/>
        <w:adjustRightInd/>
        <w:snapToGrid w:val="0"/>
        <w:spacing w:afterLines="0" w:line="276" w:lineRule="auto"/>
        <w:jc w:val="center"/>
        <w:rPr>
          <w:rFonts w:hint="eastAsia" w:ascii="方正楷体_GBK" w:hAnsi="方正楷体_GBK" w:cs="方正楷体_GBK"/>
          <w:color w:val="000000"/>
        </w:rPr>
      </w:pPr>
      <w:bookmarkStart w:id="114" w:name="_Toc74327815"/>
      <w:bookmarkStart w:id="115" w:name="_Toc143737943_WPSOffice_Level2"/>
      <w:bookmarkStart w:id="116" w:name="_Toc16125"/>
      <w:r>
        <w:rPr>
          <w:rFonts w:hint="eastAsia" w:ascii="方正楷体_GBK" w:hAnsi="方正楷体_GBK" w:cs="方正楷体_GBK"/>
          <w:color w:val="000000"/>
        </w:rPr>
        <w:t xml:space="preserve">第二节 </w:t>
      </w:r>
      <w:r>
        <w:rPr>
          <w:rFonts w:hint="default" w:ascii="方正楷体_GBK" w:hAnsi="方正楷体_GBK" w:cs="方正楷体_GBK"/>
          <w:color w:val="000000"/>
          <w:lang w:val="en"/>
        </w:rPr>
        <w:t xml:space="preserve"> </w:t>
      </w:r>
      <w:r>
        <w:rPr>
          <w:rFonts w:hint="eastAsia" w:ascii="方正楷体_GBK" w:hAnsi="方正楷体_GBK" w:cs="方正楷体_GBK"/>
          <w:color w:val="000000"/>
        </w:rPr>
        <w:t>保障投入机制</w:t>
      </w:r>
      <w:bookmarkEnd w:id="114"/>
      <w:bookmarkEnd w:id="115"/>
      <w:bookmarkEnd w:id="116"/>
    </w:p>
    <w:p>
      <w:pPr>
        <w:pageBreakBefore w:val="0"/>
        <w:kinsoku/>
        <w:wordWrap/>
        <w:overflowPunct/>
        <w:topLinePunct w:val="0"/>
        <w:bidi w:val="0"/>
        <w:adjustRightInd w:val="0"/>
        <w:snapToGrid w:val="0"/>
        <w:spacing w:afterLines="0" w:line="276" w:lineRule="auto"/>
        <w:ind w:left="0" w:leftChars="0" w:firstLine="640"/>
        <w:rPr>
          <w:color w:val="000000"/>
        </w:rPr>
      </w:pPr>
    </w:p>
    <w:p>
      <w:pPr>
        <w:pageBreakBefore w:val="0"/>
        <w:kinsoku/>
        <w:wordWrap/>
        <w:overflowPunct/>
        <w:topLinePunct w:val="0"/>
        <w:bidi w:val="0"/>
        <w:adjustRightInd w:val="0"/>
        <w:snapToGrid w:val="0"/>
        <w:spacing w:afterLines="0" w:line="276" w:lineRule="auto"/>
        <w:ind w:left="0" w:leftChars="0" w:firstLine="640"/>
        <w:rPr>
          <w:color w:val="000000"/>
        </w:rPr>
      </w:pPr>
      <w:r>
        <w:rPr>
          <w:color w:val="000000"/>
        </w:rPr>
        <w:t>完善政府主导的多元化卫生健康筹资机制，强化政府对卫生健康基本公共服务的投入责任，引导社会资金参与发展卫生健康事业。区级有关部门落实完善各类公立和公益性医疗卫生机构财政补偿政策，健全政府购买卫生服务的机制。优化政府卫生事业投入结构，重点支持基层卫生、公共卫生、基本医疗保障等事项，切实加强卫生基础设施建设、卫生科技创新和卫生人才培养等工作。建立适应医药卫生体制改革的投入机制，确保卫生健康改革发展顺利推进。</w:t>
      </w:r>
    </w:p>
    <w:p>
      <w:pPr>
        <w:pageBreakBefore w:val="0"/>
        <w:kinsoku/>
        <w:wordWrap/>
        <w:overflowPunct/>
        <w:topLinePunct w:val="0"/>
        <w:bidi w:val="0"/>
        <w:adjustRightInd w:val="0"/>
        <w:snapToGrid w:val="0"/>
        <w:spacing w:afterLines="0" w:line="276" w:lineRule="auto"/>
        <w:ind w:left="0" w:leftChars="0" w:firstLine="640"/>
        <w:rPr>
          <w:color w:val="000000"/>
        </w:rPr>
      </w:pPr>
    </w:p>
    <w:p>
      <w:pPr>
        <w:pStyle w:val="3"/>
        <w:keepNext w:val="0"/>
        <w:keepLines w:val="0"/>
        <w:pageBreakBefore w:val="0"/>
        <w:kinsoku/>
        <w:wordWrap/>
        <w:overflowPunct/>
        <w:topLinePunct w:val="0"/>
        <w:bidi w:val="0"/>
        <w:adjustRightInd/>
        <w:snapToGrid w:val="0"/>
        <w:spacing w:afterLines="0" w:line="276" w:lineRule="auto"/>
        <w:jc w:val="center"/>
        <w:rPr>
          <w:rFonts w:hint="eastAsia" w:ascii="方正楷体_GBK" w:hAnsi="方正楷体_GBK" w:cs="方正楷体_GBK"/>
          <w:color w:val="000000"/>
        </w:rPr>
      </w:pPr>
      <w:bookmarkStart w:id="117" w:name="_Toc643396959_WPSOffice_Level2"/>
      <w:bookmarkStart w:id="118" w:name="_Toc8363"/>
      <w:bookmarkStart w:id="119" w:name="_Toc74327816"/>
      <w:r>
        <w:rPr>
          <w:rFonts w:hint="eastAsia" w:ascii="方正楷体_GBK" w:hAnsi="方正楷体_GBK" w:cs="方正楷体_GBK"/>
          <w:color w:val="000000"/>
        </w:rPr>
        <w:t xml:space="preserve">第三节 </w:t>
      </w:r>
      <w:r>
        <w:rPr>
          <w:rFonts w:hint="default" w:ascii="方正楷体_GBK" w:hAnsi="方正楷体_GBK" w:cs="方正楷体_GBK"/>
          <w:color w:val="000000"/>
          <w:lang w:val="en"/>
        </w:rPr>
        <w:t xml:space="preserve"> </w:t>
      </w:r>
      <w:r>
        <w:rPr>
          <w:rFonts w:hint="eastAsia" w:ascii="方正楷体_GBK" w:hAnsi="方正楷体_GBK" w:cs="方正楷体_GBK"/>
          <w:color w:val="000000"/>
        </w:rPr>
        <w:t>引领规划实施</w:t>
      </w:r>
      <w:bookmarkEnd w:id="117"/>
      <w:bookmarkEnd w:id="118"/>
      <w:bookmarkEnd w:id="119"/>
    </w:p>
    <w:p>
      <w:pPr>
        <w:pageBreakBefore w:val="0"/>
        <w:kinsoku/>
        <w:wordWrap/>
        <w:overflowPunct/>
        <w:topLinePunct w:val="0"/>
        <w:bidi w:val="0"/>
        <w:adjustRightInd w:val="0"/>
        <w:snapToGrid w:val="0"/>
        <w:spacing w:afterLines="0" w:line="276" w:lineRule="auto"/>
        <w:ind w:left="0" w:leftChars="0" w:firstLine="640"/>
        <w:rPr>
          <w:color w:val="000000"/>
        </w:rPr>
      </w:pPr>
    </w:p>
    <w:p>
      <w:pPr>
        <w:pageBreakBefore w:val="0"/>
        <w:kinsoku/>
        <w:wordWrap/>
        <w:overflowPunct/>
        <w:topLinePunct w:val="0"/>
        <w:bidi w:val="0"/>
        <w:adjustRightInd w:val="0"/>
        <w:snapToGrid w:val="0"/>
        <w:spacing w:afterLines="0" w:line="276" w:lineRule="auto"/>
        <w:ind w:left="0" w:leftChars="0" w:firstLine="640"/>
        <w:rPr>
          <w:color w:val="000000"/>
        </w:rPr>
      </w:pPr>
      <w:r>
        <w:rPr>
          <w:color w:val="000000"/>
        </w:rPr>
        <w:t>充分发挥规划引领作用，对基础设施、医疗卫生、重大项目审批等公共职责领域，严格执行规划定项目、项目定概算、概算定资金，统筹要素资源保障。科学引导市场行为，形成定位准确、边界清晰、功能互补、统一衔接的规划体系，充分发挥市场在资源配置中的决定性作用。完善重大项目推进机制，确保重点项目顺利实施。</w:t>
      </w:r>
    </w:p>
    <w:p>
      <w:pPr>
        <w:pageBreakBefore w:val="0"/>
        <w:kinsoku/>
        <w:wordWrap/>
        <w:overflowPunct/>
        <w:topLinePunct w:val="0"/>
        <w:bidi w:val="0"/>
        <w:adjustRightInd w:val="0"/>
        <w:snapToGrid w:val="0"/>
        <w:spacing w:afterLines="0" w:line="276" w:lineRule="auto"/>
        <w:ind w:left="0" w:leftChars="0" w:firstLine="640"/>
        <w:rPr>
          <w:color w:val="000000"/>
        </w:rPr>
      </w:pPr>
    </w:p>
    <w:p>
      <w:pPr>
        <w:pStyle w:val="3"/>
        <w:keepNext w:val="0"/>
        <w:keepLines w:val="0"/>
        <w:pageBreakBefore w:val="0"/>
        <w:kinsoku/>
        <w:wordWrap/>
        <w:overflowPunct/>
        <w:topLinePunct w:val="0"/>
        <w:bidi w:val="0"/>
        <w:adjustRightInd/>
        <w:snapToGrid w:val="0"/>
        <w:spacing w:afterLines="0" w:line="276" w:lineRule="auto"/>
        <w:jc w:val="center"/>
        <w:rPr>
          <w:rFonts w:hint="eastAsia" w:ascii="方正楷体_GBK" w:hAnsi="方正楷体_GBK" w:cs="方正楷体_GBK"/>
          <w:color w:val="000000"/>
        </w:rPr>
      </w:pPr>
      <w:bookmarkStart w:id="120" w:name="_Toc3867"/>
      <w:bookmarkStart w:id="121" w:name="_Toc74327817"/>
      <w:bookmarkStart w:id="122" w:name="_Toc453195305_WPSOffice_Level2"/>
      <w:r>
        <w:rPr>
          <w:rFonts w:hint="eastAsia" w:ascii="方正楷体_GBK" w:hAnsi="方正楷体_GBK" w:cs="方正楷体_GBK"/>
          <w:color w:val="000000"/>
        </w:rPr>
        <w:t xml:space="preserve">第四节 </w:t>
      </w:r>
      <w:r>
        <w:rPr>
          <w:rFonts w:hint="default" w:ascii="方正楷体_GBK" w:hAnsi="方正楷体_GBK" w:cs="方正楷体_GBK"/>
          <w:color w:val="000000"/>
          <w:lang w:val="en"/>
        </w:rPr>
        <w:t xml:space="preserve"> </w:t>
      </w:r>
      <w:r>
        <w:rPr>
          <w:rFonts w:hint="eastAsia" w:ascii="方正楷体_GBK" w:hAnsi="方正楷体_GBK" w:cs="方正楷体_GBK"/>
          <w:color w:val="000000"/>
        </w:rPr>
        <w:t>完善监测评估</w:t>
      </w:r>
      <w:bookmarkEnd w:id="120"/>
      <w:bookmarkEnd w:id="121"/>
      <w:bookmarkEnd w:id="122"/>
    </w:p>
    <w:p>
      <w:pPr>
        <w:pageBreakBefore w:val="0"/>
        <w:kinsoku/>
        <w:wordWrap/>
        <w:overflowPunct/>
        <w:topLinePunct w:val="0"/>
        <w:bidi w:val="0"/>
        <w:adjustRightInd w:val="0"/>
        <w:snapToGrid w:val="0"/>
        <w:spacing w:afterLines="0" w:line="276" w:lineRule="auto"/>
        <w:ind w:left="0" w:leftChars="0" w:firstLine="640"/>
        <w:rPr>
          <w:color w:val="000000"/>
        </w:rPr>
      </w:pPr>
    </w:p>
    <w:p>
      <w:pPr>
        <w:pageBreakBefore w:val="0"/>
        <w:kinsoku/>
        <w:wordWrap/>
        <w:overflowPunct/>
        <w:topLinePunct w:val="0"/>
        <w:bidi w:val="0"/>
        <w:adjustRightInd w:val="0"/>
        <w:snapToGrid w:val="0"/>
        <w:spacing w:afterLines="0" w:line="276" w:lineRule="auto"/>
        <w:ind w:left="0" w:leftChars="0" w:firstLine="640"/>
        <w:rPr>
          <w:color w:val="000000"/>
        </w:rPr>
      </w:pPr>
      <w:r>
        <w:rPr>
          <w:color w:val="000000"/>
        </w:rPr>
        <w:t>建立规划实施情况动态评估机制，定期对规划实施进度及效果开展全面评估。监督重大项目的执行情况。完善规划中期、终期评估制度，创新评估方式，鼓励开展第三方评估，增强规划评估的客观性和准确性，对监测评估中发现的问题，及时公开项目实施相关信息，加强督导和纠偏，认真研究解决办法，接受全社会监督，确保规划目标的实现。</w:t>
      </w: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Style w:val="4"/>
        <w:pageBreakBefore w:val="0"/>
        <w:kinsoku/>
        <w:wordWrap/>
        <w:overflowPunct/>
        <w:topLinePunct w:val="0"/>
        <w:bidi w:val="0"/>
        <w:snapToGrid w:val="0"/>
        <w:spacing w:after="0" w:afterLines="0" w:line="276" w:lineRule="auto"/>
        <w:ind w:left="0" w:leftChars="0"/>
        <w:rPr>
          <w:b/>
          <w:bCs/>
        </w:rPr>
      </w:pPr>
    </w:p>
    <w:p>
      <w:pPr>
        <w:pBdr>
          <w:top w:val="single" w:color="auto" w:sz="4" w:space="0"/>
          <w:bottom w:val="single" w:color="auto" w:sz="4" w:space="0"/>
          <w:between w:val="single" w:color="auto" w:sz="4" w:space="0"/>
        </w:pBdr>
        <w:snapToGrid w:val="0"/>
        <w:spacing w:line="240" w:lineRule="auto"/>
        <w:ind w:firstLine="280" w:firstLineChars="100"/>
        <w:rPr>
          <w:rFonts w:hint="eastAsia" w:ascii="方正仿宋_GBK" w:hAnsi="方正仿宋_GBK" w:eastAsia="方正仿宋_GBK" w:cs="方正仿宋_GBK"/>
          <w:b w:val="0"/>
          <w:bCs w:val="0"/>
          <w:sz w:val="28"/>
          <w:szCs w:val="28"/>
        </w:rPr>
      </w:pPr>
      <w:r>
        <w:rPr>
          <w:rFonts w:hint="eastAsia" w:ascii="方正仿宋_GBK" w:hAnsi="方正仿宋_GBK" w:eastAsia="方正仿宋_GBK" w:cs="方正仿宋_GBK"/>
          <w:b w:val="0"/>
          <w:bCs w:val="0"/>
          <w:sz w:val="28"/>
          <w:szCs w:val="28"/>
        </w:rPr>
        <w:t>抄送：区委办，区人大办，区政协办。</w:t>
      </w:r>
    </w:p>
    <w:p>
      <w:pPr>
        <w:pageBreakBefore w:val="0"/>
        <w:pBdr>
          <w:top w:val="single" w:color="auto" w:sz="4" w:space="0"/>
          <w:bottom w:val="single" w:color="auto" w:sz="4" w:space="0"/>
          <w:between w:val="single" w:color="auto" w:sz="4" w:space="0"/>
        </w:pBdr>
        <w:kinsoku/>
        <w:wordWrap/>
        <w:overflowPunct/>
        <w:topLinePunct w:val="0"/>
        <w:bidi w:val="0"/>
        <w:snapToGrid w:val="0"/>
        <w:spacing w:after="0" w:afterLines="0"/>
        <w:ind w:left="0" w:leftChars="0" w:firstLine="280" w:firstLineChars="100"/>
        <w:rPr>
          <w:b/>
          <w:bCs/>
        </w:rPr>
      </w:pPr>
      <w:r>
        <w:rPr>
          <w:rFonts w:hint="eastAsia" w:ascii="方正仿宋_GBK" w:hAnsi="方正仿宋_GBK" w:eastAsia="方正仿宋_GBK" w:cs="方正仿宋_GBK"/>
          <w:b w:val="0"/>
          <w:bCs w:val="0"/>
          <w:sz w:val="28"/>
          <w:szCs w:val="28"/>
        </w:rPr>
        <w:t xml:space="preserve">重庆市永川区人民政府办公室         </w:t>
      </w:r>
      <w:r>
        <w:rPr>
          <w:rFonts w:hint="default" w:ascii="方正仿宋_GBK" w:hAnsi="方正仿宋_GBK" w:cs="方正仿宋_GBK"/>
          <w:b w:val="0"/>
          <w:bCs w:val="0"/>
          <w:sz w:val="28"/>
          <w:szCs w:val="28"/>
          <w:lang w:val="en"/>
        </w:rPr>
        <w:t xml:space="preserve"> </w:t>
      </w:r>
      <w:r>
        <w:rPr>
          <w:rFonts w:hint="eastAsia" w:ascii="方正仿宋_GBK" w:hAnsi="方正仿宋_GBK" w:eastAsia="方正仿宋_GBK" w:cs="方正仿宋_GBK"/>
          <w:b w:val="0"/>
          <w:bCs w:val="0"/>
          <w:sz w:val="28"/>
          <w:szCs w:val="28"/>
        </w:rPr>
        <w:t xml:space="preserve">     202</w:t>
      </w:r>
      <w:r>
        <w:rPr>
          <w:rFonts w:hint="default" w:ascii="方正仿宋_GBK" w:hAnsi="方正仿宋_GBK" w:cs="方正仿宋_GBK"/>
          <w:b w:val="0"/>
          <w:bCs w:val="0"/>
          <w:sz w:val="28"/>
          <w:szCs w:val="28"/>
          <w:lang w:val="en"/>
        </w:rPr>
        <w:t>2</w:t>
      </w:r>
      <w:r>
        <w:rPr>
          <w:rFonts w:hint="eastAsia" w:ascii="方正仿宋_GBK" w:hAnsi="方正仿宋_GBK" w:eastAsia="方正仿宋_GBK" w:cs="方正仿宋_GBK"/>
          <w:b w:val="0"/>
          <w:bCs w:val="0"/>
          <w:sz w:val="28"/>
          <w:szCs w:val="28"/>
        </w:rPr>
        <w:t>年</w:t>
      </w:r>
      <w:r>
        <w:rPr>
          <w:rFonts w:hint="eastAsia" w:ascii="方正仿宋_GBK" w:hAnsi="方正仿宋_GBK" w:cs="方正仿宋_GBK"/>
          <w:b w:val="0"/>
          <w:bCs w:val="0"/>
          <w:sz w:val="28"/>
          <w:szCs w:val="28"/>
          <w:lang w:val="en-US" w:eastAsia="zh-CN"/>
        </w:rPr>
        <w:t>3</w:t>
      </w:r>
      <w:r>
        <w:rPr>
          <w:rFonts w:hint="eastAsia" w:ascii="方正仿宋_GBK" w:hAnsi="方正仿宋_GBK" w:eastAsia="方正仿宋_GBK" w:cs="方正仿宋_GBK"/>
          <w:b w:val="0"/>
          <w:bCs w:val="0"/>
          <w:sz w:val="28"/>
          <w:szCs w:val="28"/>
        </w:rPr>
        <w:t>月</w:t>
      </w:r>
      <w:r>
        <w:rPr>
          <w:rFonts w:hint="eastAsia" w:ascii="方正仿宋_GBK" w:hAnsi="方正仿宋_GBK" w:cs="方正仿宋_GBK"/>
          <w:b w:val="0"/>
          <w:bCs w:val="0"/>
          <w:sz w:val="28"/>
          <w:szCs w:val="28"/>
          <w:lang w:val="en-US" w:eastAsia="zh-CN"/>
        </w:rPr>
        <w:t>18</w:t>
      </w:r>
      <w:r>
        <w:rPr>
          <w:rFonts w:hint="eastAsia" w:ascii="方正仿宋_GBK" w:hAnsi="方正仿宋_GBK" w:eastAsia="方正仿宋_GBK" w:cs="方正仿宋_GBK"/>
          <w:b w:val="0"/>
          <w:bCs w:val="0"/>
          <w:sz w:val="28"/>
          <w:szCs w:val="28"/>
        </w:rPr>
        <w:t>日印发</w:t>
      </w:r>
    </w:p>
    <w:sectPr>
      <w:headerReference r:id="rId7" w:type="default"/>
      <w:footerReference r:id="rId8" w:type="default"/>
      <w:pgSz w:w="11906" w:h="16838"/>
      <w:pgMar w:top="2098" w:right="1474" w:bottom="1984" w:left="1587" w:header="851" w:footer="1474" w:gutter="0"/>
      <w:pgNumType w:fmt="numberInDash"/>
      <w:cols w:space="72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240" w:lineRule="auto"/>
      <w:ind w:firstLine="360"/>
      <w:jc w:val="right"/>
      <w:rPr>
        <w:sz w:val="24"/>
      </w:rPr>
    </w:pPr>
    <w:r>
      <w:rPr>
        <w:sz w:val="2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ind w:firstLine="360"/>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- 10 -</w:t>
    </w:r>
    <w:r>
      <w:rPr>
        <w:rFonts w:ascii="宋体" w:hAnsi="宋体"/>
        <w:sz w:val="28"/>
        <w:szCs w:val="28"/>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420"/>
  <w:hyphenationZone w:val="360"/>
  <w:drawingGridVerticalSpacing w:val="220"/>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211.169.62:80/seeyon/officeservlet"/>
  </w:docVars>
  <w:rsids>
    <w:rsidRoot w:val="00CE3AB1"/>
    <w:rsid w:val="00000382"/>
    <w:rsid w:val="00003093"/>
    <w:rsid w:val="0000329F"/>
    <w:rsid w:val="00007FC6"/>
    <w:rsid w:val="000116DA"/>
    <w:rsid w:val="00013335"/>
    <w:rsid w:val="00014B91"/>
    <w:rsid w:val="00015E64"/>
    <w:rsid w:val="00017121"/>
    <w:rsid w:val="00017D4D"/>
    <w:rsid w:val="0002079A"/>
    <w:rsid w:val="0002225C"/>
    <w:rsid w:val="0002331B"/>
    <w:rsid w:val="0002417D"/>
    <w:rsid w:val="00024B01"/>
    <w:rsid w:val="00026F0E"/>
    <w:rsid w:val="000274E9"/>
    <w:rsid w:val="0002787B"/>
    <w:rsid w:val="00030168"/>
    <w:rsid w:val="00030F06"/>
    <w:rsid w:val="00031173"/>
    <w:rsid w:val="00031C22"/>
    <w:rsid w:val="00032977"/>
    <w:rsid w:val="00032B25"/>
    <w:rsid w:val="00033BC7"/>
    <w:rsid w:val="00034BAD"/>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2DD9"/>
    <w:rsid w:val="00063AD5"/>
    <w:rsid w:val="00065EDA"/>
    <w:rsid w:val="000660AB"/>
    <w:rsid w:val="00066D40"/>
    <w:rsid w:val="00067F0D"/>
    <w:rsid w:val="00070408"/>
    <w:rsid w:val="000713E8"/>
    <w:rsid w:val="000714DF"/>
    <w:rsid w:val="00071E64"/>
    <w:rsid w:val="000729F4"/>
    <w:rsid w:val="00073E02"/>
    <w:rsid w:val="000749FB"/>
    <w:rsid w:val="000761F2"/>
    <w:rsid w:val="000767F3"/>
    <w:rsid w:val="00084781"/>
    <w:rsid w:val="000858A8"/>
    <w:rsid w:val="00085E4B"/>
    <w:rsid w:val="00086EA6"/>
    <w:rsid w:val="000901C2"/>
    <w:rsid w:val="00091529"/>
    <w:rsid w:val="00095E80"/>
    <w:rsid w:val="0009670D"/>
    <w:rsid w:val="00096AB3"/>
    <w:rsid w:val="00097654"/>
    <w:rsid w:val="000A4164"/>
    <w:rsid w:val="000A7420"/>
    <w:rsid w:val="000A79DD"/>
    <w:rsid w:val="000B1CE9"/>
    <w:rsid w:val="000B43B8"/>
    <w:rsid w:val="000B4781"/>
    <w:rsid w:val="000B5FDB"/>
    <w:rsid w:val="000B6C65"/>
    <w:rsid w:val="000B7B3D"/>
    <w:rsid w:val="000C2038"/>
    <w:rsid w:val="000C2609"/>
    <w:rsid w:val="000C26F8"/>
    <w:rsid w:val="000C2B67"/>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0F6A19"/>
    <w:rsid w:val="00106917"/>
    <w:rsid w:val="00106DFA"/>
    <w:rsid w:val="00113397"/>
    <w:rsid w:val="0011527B"/>
    <w:rsid w:val="0011669C"/>
    <w:rsid w:val="00122F31"/>
    <w:rsid w:val="001230FC"/>
    <w:rsid w:val="00125E3B"/>
    <w:rsid w:val="0012609C"/>
    <w:rsid w:val="00126520"/>
    <w:rsid w:val="00130780"/>
    <w:rsid w:val="0013201D"/>
    <w:rsid w:val="00132A20"/>
    <w:rsid w:val="001355C0"/>
    <w:rsid w:val="0014002A"/>
    <w:rsid w:val="00140220"/>
    <w:rsid w:val="001410BD"/>
    <w:rsid w:val="001411E4"/>
    <w:rsid w:val="0014202A"/>
    <w:rsid w:val="00142AA9"/>
    <w:rsid w:val="00145DF4"/>
    <w:rsid w:val="00145E1D"/>
    <w:rsid w:val="00145F70"/>
    <w:rsid w:val="001475EF"/>
    <w:rsid w:val="001508A5"/>
    <w:rsid w:val="001509A5"/>
    <w:rsid w:val="0015389A"/>
    <w:rsid w:val="00153A3D"/>
    <w:rsid w:val="0015694C"/>
    <w:rsid w:val="00160E8A"/>
    <w:rsid w:val="00160F7A"/>
    <w:rsid w:val="00162C80"/>
    <w:rsid w:val="001644EB"/>
    <w:rsid w:val="0016629B"/>
    <w:rsid w:val="00166911"/>
    <w:rsid w:val="00166EAB"/>
    <w:rsid w:val="00170182"/>
    <w:rsid w:val="00171FC6"/>
    <w:rsid w:val="00175C23"/>
    <w:rsid w:val="0017677B"/>
    <w:rsid w:val="00180B55"/>
    <w:rsid w:val="00181320"/>
    <w:rsid w:val="00181EF2"/>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38EF"/>
    <w:rsid w:val="001B4706"/>
    <w:rsid w:val="001B5281"/>
    <w:rsid w:val="001B5FA3"/>
    <w:rsid w:val="001B6981"/>
    <w:rsid w:val="001B796D"/>
    <w:rsid w:val="001C0AE4"/>
    <w:rsid w:val="001C185B"/>
    <w:rsid w:val="001C436D"/>
    <w:rsid w:val="001C43B5"/>
    <w:rsid w:val="001C586A"/>
    <w:rsid w:val="001C60E9"/>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5F83"/>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582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067F"/>
    <w:rsid w:val="002316B7"/>
    <w:rsid w:val="00232ECA"/>
    <w:rsid w:val="00235010"/>
    <w:rsid w:val="00236D56"/>
    <w:rsid w:val="00237E75"/>
    <w:rsid w:val="002428FF"/>
    <w:rsid w:val="00242AFD"/>
    <w:rsid w:val="00245352"/>
    <w:rsid w:val="00245F32"/>
    <w:rsid w:val="00247742"/>
    <w:rsid w:val="00250124"/>
    <w:rsid w:val="00251358"/>
    <w:rsid w:val="0025248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753C0"/>
    <w:rsid w:val="002802D2"/>
    <w:rsid w:val="002808D6"/>
    <w:rsid w:val="00281BDD"/>
    <w:rsid w:val="00282903"/>
    <w:rsid w:val="0028300F"/>
    <w:rsid w:val="0028529E"/>
    <w:rsid w:val="00290500"/>
    <w:rsid w:val="00291105"/>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6951"/>
    <w:rsid w:val="002B7A47"/>
    <w:rsid w:val="002C1113"/>
    <w:rsid w:val="002C293B"/>
    <w:rsid w:val="002C3F0D"/>
    <w:rsid w:val="002C5979"/>
    <w:rsid w:val="002C667B"/>
    <w:rsid w:val="002C79F6"/>
    <w:rsid w:val="002D00D5"/>
    <w:rsid w:val="002D1241"/>
    <w:rsid w:val="002D3AF1"/>
    <w:rsid w:val="002D55E3"/>
    <w:rsid w:val="002E1618"/>
    <w:rsid w:val="002E3E9F"/>
    <w:rsid w:val="002E5373"/>
    <w:rsid w:val="002E5E4E"/>
    <w:rsid w:val="002E6016"/>
    <w:rsid w:val="002E792F"/>
    <w:rsid w:val="002F07E9"/>
    <w:rsid w:val="002F0EDC"/>
    <w:rsid w:val="002F1C37"/>
    <w:rsid w:val="002F37C5"/>
    <w:rsid w:val="002F609F"/>
    <w:rsid w:val="002F7604"/>
    <w:rsid w:val="002F7853"/>
    <w:rsid w:val="002F78BD"/>
    <w:rsid w:val="002F7CF4"/>
    <w:rsid w:val="003001CF"/>
    <w:rsid w:val="003018F7"/>
    <w:rsid w:val="00302648"/>
    <w:rsid w:val="00304155"/>
    <w:rsid w:val="00304E2D"/>
    <w:rsid w:val="00306347"/>
    <w:rsid w:val="003102BA"/>
    <w:rsid w:val="00312B2A"/>
    <w:rsid w:val="00313459"/>
    <w:rsid w:val="00313582"/>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3DB"/>
    <w:rsid w:val="00336B22"/>
    <w:rsid w:val="00336D04"/>
    <w:rsid w:val="00336FE1"/>
    <w:rsid w:val="00340685"/>
    <w:rsid w:val="003422A9"/>
    <w:rsid w:val="00342B1E"/>
    <w:rsid w:val="00344BEE"/>
    <w:rsid w:val="00346317"/>
    <w:rsid w:val="00346B6A"/>
    <w:rsid w:val="00350DEA"/>
    <w:rsid w:val="003519F0"/>
    <w:rsid w:val="003530C5"/>
    <w:rsid w:val="003536EE"/>
    <w:rsid w:val="00355240"/>
    <w:rsid w:val="003570D8"/>
    <w:rsid w:val="00357D61"/>
    <w:rsid w:val="0036009E"/>
    <w:rsid w:val="00360684"/>
    <w:rsid w:val="00360E8E"/>
    <w:rsid w:val="003611A8"/>
    <w:rsid w:val="0036123E"/>
    <w:rsid w:val="003624B5"/>
    <w:rsid w:val="00363066"/>
    <w:rsid w:val="00371B13"/>
    <w:rsid w:val="00372810"/>
    <w:rsid w:val="003770C7"/>
    <w:rsid w:val="0037719B"/>
    <w:rsid w:val="00380BB0"/>
    <w:rsid w:val="00380D5A"/>
    <w:rsid w:val="00380EB5"/>
    <w:rsid w:val="0038208F"/>
    <w:rsid w:val="00384420"/>
    <w:rsid w:val="0038564B"/>
    <w:rsid w:val="003903E3"/>
    <w:rsid w:val="003913F0"/>
    <w:rsid w:val="00391ED7"/>
    <w:rsid w:val="00392691"/>
    <w:rsid w:val="00392F1C"/>
    <w:rsid w:val="00393EDE"/>
    <w:rsid w:val="003958FD"/>
    <w:rsid w:val="00395E7E"/>
    <w:rsid w:val="00395F25"/>
    <w:rsid w:val="00397168"/>
    <w:rsid w:val="003975A3"/>
    <w:rsid w:val="003A09FD"/>
    <w:rsid w:val="003A29DE"/>
    <w:rsid w:val="003A3CA9"/>
    <w:rsid w:val="003A4168"/>
    <w:rsid w:val="003A5412"/>
    <w:rsid w:val="003A54DB"/>
    <w:rsid w:val="003A6062"/>
    <w:rsid w:val="003A627F"/>
    <w:rsid w:val="003A7B14"/>
    <w:rsid w:val="003B3200"/>
    <w:rsid w:val="003B32E3"/>
    <w:rsid w:val="003B3D8A"/>
    <w:rsid w:val="003B42C6"/>
    <w:rsid w:val="003B4FE4"/>
    <w:rsid w:val="003C0386"/>
    <w:rsid w:val="003C0792"/>
    <w:rsid w:val="003C0A11"/>
    <w:rsid w:val="003C0DA0"/>
    <w:rsid w:val="003C3572"/>
    <w:rsid w:val="003C5813"/>
    <w:rsid w:val="003C5DAC"/>
    <w:rsid w:val="003C730F"/>
    <w:rsid w:val="003D010F"/>
    <w:rsid w:val="003D197A"/>
    <w:rsid w:val="003D3543"/>
    <w:rsid w:val="003D3ABF"/>
    <w:rsid w:val="003D5597"/>
    <w:rsid w:val="003D5CA0"/>
    <w:rsid w:val="003D61DD"/>
    <w:rsid w:val="003D7775"/>
    <w:rsid w:val="003E0FD8"/>
    <w:rsid w:val="003E4469"/>
    <w:rsid w:val="003E5B6C"/>
    <w:rsid w:val="003F01E8"/>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2C70"/>
    <w:rsid w:val="004563B2"/>
    <w:rsid w:val="00456F24"/>
    <w:rsid w:val="00456FE6"/>
    <w:rsid w:val="004648E5"/>
    <w:rsid w:val="00466CDC"/>
    <w:rsid w:val="004670BA"/>
    <w:rsid w:val="0047035B"/>
    <w:rsid w:val="004707C9"/>
    <w:rsid w:val="00471DD3"/>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2867"/>
    <w:rsid w:val="00493354"/>
    <w:rsid w:val="0049361E"/>
    <w:rsid w:val="00497655"/>
    <w:rsid w:val="004A1974"/>
    <w:rsid w:val="004A1B93"/>
    <w:rsid w:val="004A22B3"/>
    <w:rsid w:val="004A276A"/>
    <w:rsid w:val="004A27F8"/>
    <w:rsid w:val="004A4E91"/>
    <w:rsid w:val="004A5289"/>
    <w:rsid w:val="004A55B2"/>
    <w:rsid w:val="004A55BD"/>
    <w:rsid w:val="004A5797"/>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D7ADF"/>
    <w:rsid w:val="004E045E"/>
    <w:rsid w:val="004E1E59"/>
    <w:rsid w:val="004E2003"/>
    <w:rsid w:val="004E34B5"/>
    <w:rsid w:val="004E4451"/>
    <w:rsid w:val="004E4AB6"/>
    <w:rsid w:val="004E5B19"/>
    <w:rsid w:val="004E5EA4"/>
    <w:rsid w:val="004E6476"/>
    <w:rsid w:val="004F2EF7"/>
    <w:rsid w:val="004F4E03"/>
    <w:rsid w:val="004F4E3A"/>
    <w:rsid w:val="004F4E6A"/>
    <w:rsid w:val="004F632C"/>
    <w:rsid w:val="00501FED"/>
    <w:rsid w:val="00503CBB"/>
    <w:rsid w:val="0050495F"/>
    <w:rsid w:val="00504D06"/>
    <w:rsid w:val="00505CF1"/>
    <w:rsid w:val="00506108"/>
    <w:rsid w:val="00506344"/>
    <w:rsid w:val="005063E2"/>
    <w:rsid w:val="005073B3"/>
    <w:rsid w:val="005075C4"/>
    <w:rsid w:val="00511CF8"/>
    <w:rsid w:val="005166EF"/>
    <w:rsid w:val="00517738"/>
    <w:rsid w:val="00517C76"/>
    <w:rsid w:val="00521D36"/>
    <w:rsid w:val="00522785"/>
    <w:rsid w:val="00523D39"/>
    <w:rsid w:val="00525073"/>
    <w:rsid w:val="0052522F"/>
    <w:rsid w:val="00526832"/>
    <w:rsid w:val="00527BE2"/>
    <w:rsid w:val="00527C67"/>
    <w:rsid w:val="0053488A"/>
    <w:rsid w:val="00534AB0"/>
    <w:rsid w:val="005355AE"/>
    <w:rsid w:val="00541744"/>
    <w:rsid w:val="00544048"/>
    <w:rsid w:val="0054408A"/>
    <w:rsid w:val="0054409A"/>
    <w:rsid w:val="00547913"/>
    <w:rsid w:val="00552ABE"/>
    <w:rsid w:val="00553517"/>
    <w:rsid w:val="005537DE"/>
    <w:rsid w:val="005550A0"/>
    <w:rsid w:val="0055528E"/>
    <w:rsid w:val="00555808"/>
    <w:rsid w:val="00555C9A"/>
    <w:rsid w:val="0056303B"/>
    <w:rsid w:val="005633B2"/>
    <w:rsid w:val="005645AA"/>
    <w:rsid w:val="00564F93"/>
    <w:rsid w:val="0056672E"/>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19F"/>
    <w:rsid w:val="005A36D7"/>
    <w:rsid w:val="005A64F6"/>
    <w:rsid w:val="005B030E"/>
    <w:rsid w:val="005B0E4B"/>
    <w:rsid w:val="005B13FB"/>
    <w:rsid w:val="005B2CD4"/>
    <w:rsid w:val="005B3681"/>
    <w:rsid w:val="005B5828"/>
    <w:rsid w:val="005B7D6F"/>
    <w:rsid w:val="005C176B"/>
    <w:rsid w:val="005C31F3"/>
    <w:rsid w:val="005C361D"/>
    <w:rsid w:val="005C3DA5"/>
    <w:rsid w:val="005C5515"/>
    <w:rsid w:val="005C771F"/>
    <w:rsid w:val="005D06DD"/>
    <w:rsid w:val="005D2C60"/>
    <w:rsid w:val="005D765C"/>
    <w:rsid w:val="005D78D1"/>
    <w:rsid w:val="005E2129"/>
    <w:rsid w:val="005E339F"/>
    <w:rsid w:val="005E4D94"/>
    <w:rsid w:val="005F01D9"/>
    <w:rsid w:val="005F2796"/>
    <w:rsid w:val="005F2B66"/>
    <w:rsid w:val="005F4EF1"/>
    <w:rsid w:val="005F6171"/>
    <w:rsid w:val="005F7336"/>
    <w:rsid w:val="005F7C32"/>
    <w:rsid w:val="0060015B"/>
    <w:rsid w:val="00601AEE"/>
    <w:rsid w:val="00605861"/>
    <w:rsid w:val="00606B42"/>
    <w:rsid w:val="00607B3F"/>
    <w:rsid w:val="00610347"/>
    <w:rsid w:val="00610419"/>
    <w:rsid w:val="006109BE"/>
    <w:rsid w:val="00611EEE"/>
    <w:rsid w:val="00612373"/>
    <w:rsid w:val="006142A0"/>
    <w:rsid w:val="00615CA2"/>
    <w:rsid w:val="006162DD"/>
    <w:rsid w:val="00616B00"/>
    <w:rsid w:val="00617191"/>
    <w:rsid w:val="00617CF7"/>
    <w:rsid w:val="00621730"/>
    <w:rsid w:val="0062280C"/>
    <w:rsid w:val="00622C30"/>
    <w:rsid w:val="006230A9"/>
    <w:rsid w:val="006231AB"/>
    <w:rsid w:val="0062542F"/>
    <w:rsid w:val="006265EB"/>
    <w:rsid w:val="0062703C"/>
    <w:rsid w:val="006275AA"/>
    <w:rsid w:val="00631FFA"/>
    <w:rsid w:val="006400EF"/>
    <w:rsid w:val="00640E01"/>
    <w:rsid w:val="00640FC0"/>
    <w:rsid w:val="00641C93"/>
    <w:rsid w:val="00642FD9"/>
    <w:rsid w:val="00643053"/>
    <w:rsid w:val="006446AD"/>
    <w:rsid w:val="0064596F"/>
    <w:rsid w:val="006461FA"/>
    <w:rsid w:val="00646FA8"/>
    <w:rsid w:val="00647779"/>
    <w:rsid w:val="006507D1"/>
    <w:rsid w:val="00652324"/>
    <w:rsid w:val="006526DA"/>
    <w:rsid w:val="00655280"/>
    <w:rsid w:val="00655BFB"/>
    <w:rsid w:val="006568D4"/>
    <w:rsid w:val="0066022F"/>
    <w:rsid w:val="00660332"/>
    <w:rsid w:val="0066095C"/>
    <w:rsid w:val="00662C3F"/>
    <w:rsid w:val="00663278"/>
    <w:rsid w:val="006637B3"/>
    <w:rsid w:val="00665338"/>
    <w:rsid w:val="00665AC4"/>
    <w:rsid w:val="0066777D"/>
    <w:rsid w:val="006718B7"/>
    <w:rsid w:val="006729CE"/>
    <w:rsid w:val="006734B4"/>
    <w:rsid w:val="00674AF6"/>
    <w:rsid w:val="00674C3A"/>
    <w:rsid w:val="00674F34"/>
    <w:rsid w:val="00677696"/>
    <w:rsid w:val="00680191"/>
    <w:rsid w:val="006812CB"/>
    <w:rsid w:val="0068243F"/>
    <w:rsid w:val="00683589"/>
    <w:rsid w:val="00685C1D"/>
    <w:rsid w:val="00687CBB"/>
    <w:rsid w:val="006912AB"/>
    <w:rsid w:val="006A0687"/>
    <w:rsid w:val="006A06AC"/>
    <w:rsid w:val="006A2A41"/>
    <w:rsid w:val="006A37F9"/>
    <w:rsid w:val="006A5983"/>
    <w:rsid w:val="006A6056"/>
    <w:rsid w:val="006A72DD"/>
    <w:rsid w:val="006A7719"/>
    <w:rsid w:val="006A7FC8"/>
    <w:rsid w:val="006B0734"/>
    <w:rsid w:val="006B0914"/>
    <w:rsid w:val="006B0CB0"/>
    <w:rsid w:val="006B12E1"/>
    <w:rsid w:val="006B2BBC"/>
    <w:rsid w:val="006B402B"/>
    <w:rsid w:val="006B42D1"/>
    <w:rsid w:val="006B52BB"/>
    <w:rsid w:val="006B678E"/>
    <w:rsid w:val="006C10DA"/>
    <w:rsid w:val="006C36C2"/>
    <w:rsid w:val="006C6213"/>
    <w:rsid w:val="006C6C44"/>
    <w:rsid w:val="006C7961"/>
    <w:rsid w:val="006D1279"/>
    <w:rsid w:val="006D210F"/>
    <w:rsid w:val="006D2A94"/>
    <w:rsid w:val="006D2F16"/>
    <w:rsid w:val="006D3E0D"/>
    <w:rsid w:val="006D3FE7"/>
    <w:rsid w:val="006D4447"/>
    <w:rsid w:val="006D4CBB"/>
    <w:rsid w:val="006D6265"/>
    <w:rsid w:val="006D7E39"/>
    <w:rsid w:val="006E35BD"/>
    <w:rsid w:val="006E3745"/>
    <w:rsid w:val="006E644B"/>
    <w:rsid w:val="006E65FF"/>
    <w:rsid w:val="006E6F29"/>
    <w:rsid w:val="006E75A6"/>
    <w:rsid w:val="006E794F"/>
    <w:rsid w:val="006F0ECC"/>
    <w:rsid w:val="006F1165"/>
    <w:rsid w:val="006F2093"/>
    <w:rsid w:val="006F292D"/>
    <w:rsid w:val="006F3067"/>
    <w:rsid w:val="006F42C2"/>
    <w:rsid w:val="006F5B19"/>
    <w:rsid w:val="006F6807"/>
    <w:rsid w:val="00700DB7"/>
    <w:rsid w:val="00701690"/>
    <w:rsid w:val="0070368B"/>
    <w:rsid w:val="007069BB"/>
    <w:rsid w:val="00710CEA"/>
    <w:rsid w:val="00711FF0"/>
    <w:rsid w:val="00712141"/>
    <w:rsid w:val="007123DE"/>
    <w:rsid w:val="007144F4"/>
    <w:rsid w:val="007164B9"/>
    <w:rsid w:val="007164FB"/>
    <w:rsid w:val="00721D23"/>
    <w:rsid w:val="00721FD5"/>
    <w:rsid w:val="0072376D"/>
    <w:rsid w:val="0072529B"/>
    <w:rsid w:val="00725E29"/>
    <w:rsid w:val="007260CA"/>
    <w:rsid w:val="00727F71"/>
    <w:rsid w:val="007303B8"/>
    <w:rsid w:val="00733008"/>
    <w:rsid w:val="007332DE"/>
    <w:rsid w:val="00737AE4"/>
    <w:rsid w:val="00740AAD"/>
    <w:rsid w:val="007413AF"/>
    <w:rsid w:val="00742385"/>
    <w:rsid w:val="00743812"/>
    <w:rsid w:val="00743940"/>
    <w:rsid w:val="00745ADA"/>
    <w:rsid w:val="00746629"/>
    <w:rsid w:val="00747577"/>
    <w:rsid w:val="007517B2"/>
    <w:rsid w:val="0075193E"/>
    <w:rsid w:val="00752483"/>
    <w:rsid w:val="007527F6"/>
    <w:rsid w:val="007534DB"/>
    <w:rsid w:val="00753C14"/>
    <w:rsid w:val="00753CF7"/>
    <w:rsid w:val="00753DA4"/>
    <w:rsid w:val="00754ECE"/>
    <w:rsid w:val="00757405"/>
    <w:rsid w:val="00760E60"/>
    <w:rsid w:val="0076159F"/>
    <w:rsid w:val="00761810"/>
    <w:rsid w:val="00764F3C"/>
    <w:rsid w:val="00766BBE"/>
    <w:rsid w:val="00770632"/>
    <w:rsid w:val="00770B22"/>
    <w:rsid w:val="0077352A"/>
    <w:rsid w:val="00773980"/>
    <w:rsid w:val="007741CD"/>
    <w:rsid w:val="00774A71"/>
    <w:rsid w:val="00774FF8"/>
    <w:rsid w:val="00775F80"/>
    <w:rsid w:val="00775F81"/>
    <w:rsid w:val="00781E6E"/>
    <w:rsid w:val="00782A04"/>
    <w:rsid w:val="00783418"/>
    <w:rsid w:val="007835AD"/>
    <w:rsid w:val="00787B1F"/>
    <w:rsid w:val="007916DF"/>
    <w:rsid w:val="0079195B"/>
    <w:rsid w:val="007919A3"/>
    <w:rsid w:val="00791C06"/>
    <w:rsid w:val="0079556B"/>
    <w:rsid w:val="007959AF"/>
    <w:rsid w:val="00796335"/>
    <w:rsid w:val="00796D9E"/>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205"/>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4A1F"/>
    <w:rsid w:val="007D50E5"/>
    <w:rsid w:val="007D5AE9"/>
    <w:rsid w:val="007E01E1"/>
    <w:rsid w:val="007E04A2"/>
    <w:rsid w:val="007E0DD6"/>
    <w:rsid w:val="007E25A3"/>
    <w:rsid w:val="007E2840"/>
    <w:rsid w:val="007E4AD3"/>
    <w:rsid w:val="007E4E90"/>
    <w:rsid w:val="007E7945"/>
    <w:rsid w:val="007F2486"/>
    <w:rsid w:val="007F7679"/>
    <w:rsid w:val="007F796B"/>
    <w:rsid w:val="00803248"/>
    <w:rsid w:val="0080486D"/>
    <w:rsid w:val="00805493"/>
    <w:rsid w:val="008073F7"/>
    <w:rsid w:val="008129A6"/>
    <w:rsid w:val="0081441E"/>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084"/>
    <w:rsid w:val="00852839"/>
    <w:rsid w:val="00854165"/>
    <w:rsid w:val="00854518"/>
    <w:rsid w:val="00854E46"/>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273F"/>
    <w:rsid w:val="008A31AB"/>
    <w:rsid w:val="008A3431"/>
    <w:rsid w:val="008A37BF"/>
    <w:rsid w:val="008A4020"/>
    <w:rsid w:val="008A64E8"/>
    <w:rsid w:val="008B0970"/>
    <w:rsid w:val="008B11F2"/>
    <w:rsid w:val="008B35DF"/>
    <w:rsid w:val="008B3AF0"/>
    <w:rsid w:val="008B5BED"/>
    <w:rsid w:val="008B7C55"/>
    <w:rsid w:val="008C0E9A"/>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10B6"/>
    <w:rsid w:val="008E34E6"/>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4F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B59"/>
    <w:rsid w:val="00963F82"/>
    <w:rsid w:val="009645A2"/>
    <w:rsid w:val="009671F5"/>
    <w:rsid w:val="00967785"/>
    <w:rsid w:val="009677B5"/>
    <w:rsid w:val="00967A48"/>
    <w:rsid w:val="00971B4F"/>
    <w:rsid w:val="009738C6"/>
    <w:rsid w:val="00974996"/>
    <w:rsid w:val="009766D9"/>
    <w:rsid w:val="00976D3F"/>
    <w:rsid w:val="009778FB"/>
    <w:rsid w:val="0098484C"/>
    <w:rsid w:val="00986106"/>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66BD"/>
    <w:rsid w:val="009C7C4F"/>
    <w:rsid w:val="009C7F74"/>
    <w:rsid w:val="009D07B0"/>
    <w:rsid w:val="009D089F"/>
    <w:rsid w:val="009D15D5"/>
    <w:rsid w:val="009D1802"/>
    <w:rsid w:val="009D3705"/>
    <w:rsid w:val="009D3DCE"/>
    <w:rsid w:val="009E0C60"/>
    <w:rsid w:val="009E1DFA"/>
    <w:rsid w:val="009E1FEE"/>
    <w:rsid w:val="009E24ED"/>
    <w:rsid w:val="009E2A91"/>
    <w:rsid w:val="009E2E51"/>
    <w:rsid w:val="009E32E7"/>
    <w:rsid w:val="009E702A"/>
    <w:rsid w:val="009E7151"/>
    <w:rsid w:val="009E7DBD"/>
    <w:rsid w:val="009F4DE8"/>
    <w:rsid w:val="009F519F"/>
    <w:rsid w:val="009F52B4"/>
    <w:rsid w:val="009F56BD"/>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1ACE"/>
    <w:rsid w:val="00A43770"/>
    <w:rsid w:val="00A475F1"/>
    <w:rsid w:val="00A47AAA"/>
    <w:rsid w:val="00A51228"/>
    <w:rsid w:val="00A5130D"/>
    <w:rsid w:val="00A51AA8"/>
    <w:rsid w:val="00A552FC"/>
    <w:rsid w:val="00A55473"/>
    <w:rsid w:val="00A56F21"/>
    <w:rsid w:val="00A607D0"/>
    <w:rsid w:val="00A60EDC"/>
    <w:rsid w:val="00A621A0"/>
    <w:rsid w:val="00A621AE"/>
    <w:rsid w:val="00A62796"/>
    <w:rsid w:val="00A62E0E"/>
    <w:rsid w:val="00A64F69"/>
    <w:rsid w:val="00A65230"/>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7BB"/>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03E6"/>
    <w:rsid w:val="00AB1FF0"/>
    <w:rsid w:val="00AB2B4D"/>
    <w:rsid w:val="00AB33DD"/>
    <w:rsid w:val="00AB47D5"/>
    <w:rsid w:val="00AB47DB"/>
    <w:rsid w:val="00AB49AD"/>
    <w:rsid w:val="00AB6040"/>
    <w:rsid w:val="00AB6417"/>
    <w:rsid w:val="00AB6EC4"/>
    <w:rsid w:val="00AC06CA"/>
    <w:rsid w:val="00AC23E1"/>
    <w:rsid w:val="00AC2503"/>
    <w:rsid w:val="00AC4E5F"/>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04AD4"/>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DA2"/>
    <w:rsid w:val="00B40EC6"/>
    <w:rsid w:val="00B44189"/>
    <w:rsid w:val="00B45963"/>
    <w:rsid w:val="00B467AD"/>
    <w:rsid w:val="00B46EAC"/>
    <w:rsid w:val="00B472A8"/>
    <w:rsid w:val="00B51CF1"/>
    <w:rsid w:val="00B521BE"/>
    <w:rsid w:val="00B5316B"/>
    <w:rsid w:val="00B54524"/>
    <w:rsid w:val="00B5461D"/>
    <w:rsid w:val="00B5566A"/>
    <w:rsid w:val="00B55B42"/>
    <w:rsid w:val="00B55C17"/>
    <w:rsid w:val="00B55CC5"/>
    <w:rsid w:val="00B568CA"/>
    <w:rsid w:val="00B615D8"/>
    <w:rsid w:val="00B618AC"/>
    <w:rsid w:val="00B621AB"/>
    <w:rsid w:val="00B62302"/>
    <w:rsid w:val="00B6232D"/>
    <w:rsid w:val="00B64CB4"/>
    <w:rsid w:val="00B6690F"/>
    <w:rsid w:val="00B67B40"/>
    <w:rsid w:val="00B67BCA"/>
    <w:rsid w:val="00B72FA8"/>
    <w:rsid w:val="00B7536B"/>
    <w:rsid w:val="00B75395"/>
    <w:rsid w:val="00B763A1"/>
    <w:rsid w:val="00B80273"/>
    <w:rsid w:val="00B80A58"/>
    <w:rsid w:val="00B826EB"/>
    <w:rsid w:val="00B84751"/>
    <w:rsid w:val="00B8494A"/>
    <w:rsid w:val="00B870C1"/>
    <w:rsid w:val="00B9069B"/>
    <w:rsid w:val="00B91D9C"/>
    <w:rsid w:val="00B93A30"/>
    <w:rsid w:val="00B94AB3"/>
    <w:rsid w:val="00B96E8E"/>
    <w:rsid w:val="00BA2005"/>
    <w:rsid w:val="00BA28A7"/>
    <w:rsid w:val="00BA3266"/>
    <w:rsid w:val="00BA60DC"/>
    <w:rsid w:val="00BA6B34"/>
    <w:rsid w:val="00BB04EE"/>
    <w:rsid w:val="00BB403C"/>
    <w:rsid w:val="00BB4E1C"/>
    <w:rsid w:val="00BC18BD"/>
    <w:rsid w:val="00BC1E02"/>
    <w:rsid w:val="00BC1FCD"/>
    <w:rsid w:val="00BC36E9"/>
    <w:rsid w:val="00BC3715"/>
    <w:rsid w:val="00BC5266"/>
    <w:rsid w:val="00BC5BFA"/>
    <w:rsid w:val="00BC67BD"/>
    <w:rsid w:val="00BC6EAF"/>
    <w:rsid w:val="00BD09B6"/>
    <w:rsid w:val="00BD1145"/>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371"/>
    <w:rsid w:val="00C046EE"/>
    <w:rsid w:val="00C0530B"/>
    <w:rsid w:val="00C066E5"/>
    <w:rsid w:val="00C068AF"/>
    <w:rsid w:val="00C10869"/>
    <w:rsid w:val="00C10C4D"/>
    <w:rsid w:val="00C11F23"/>
    <w:rsid w:val="00C13F06"/>
    <w:rsid w:val="00C16C53"/>
    <w:rsid w:val="00C20921"/>
    <w:rsid w:val="00C2092F"/>
    <w:rsid w:val="00C219A6"/>
    <w:rsid w:val="00C22CAC"/>
    <w:rsid w:val="00C2344D"/>
    <w:rsid w:val="00C24086"/>
    <w:rsid w:val="00C259E3"/>
    <w:rsid w:val="00C2703A"/>
    <w:rsid w:val="00C30956"/>
    <w:rsid w:val="00C33CAD"/>
    <w:rsid w:val="00C3502E"/>
    <w:rsid w:val="00C40344"/>
    <w:rsid w:val="00C4048E"/>
    <w:rsid w:val="00C4121F"/>
    <w:rsid w:val="00C41547"/>
    <w:rsid w:val="00C41F3F"/>
    <w:rsid w:val="00C42523"/>
    <w:rsid w:val="00C436F3"/>
    <w:rsid w:val="00C43896"/>
    <w:rsid w:val="00C4461E"/>
    <w:rsid w:val="00C44B4C"/>
    <w:rsid w:val="00C45EAC"/>
    <w:rsid w:val="00C46540"/>
    <w:rsid w:val="00C46AF7"/>
    <w:rsid w:val="00C50448"/>
    <w:rsid w:val="00C5060F"/>
    <w:rsid w:val="00C506EA"/>
    <w:rsid w:val="00C512E0"/>
    <w:rsid w:val="00C51825"/>
    <w:rsid w:val="00C51C7A"/>
    <w:rsid w:val="00C52073"/>
    <w:rsid w:val="00C52331"/>
    <w:rsid w:val="00C609E9"/>
    <w:rsid w:val="00C6147B"/>
    <w:rsid w:val="00C618EE"/>
    <w:rsid w:val="00C61B0B"/>
    <w:rsid w:val="00C61F68"/>
    <w:rsid w:val="00C62314"/>
    <w:rsid w:val="00C633D2"/>
    <w:rsid w:val="00C63AE6"/>
    <w:rsid w:val="00C6664E"/>
    <w:rsid w:val="00C669A6"/>
    <w:rsid w:val="00C700EA"/>
    <w:rsid w:val="00C70DA2"/>
    <w:rsid w:val="00C74178"/>
    <w:rsid w:val="00C81220"/>
    <w:rsid w:val="00C813EC"/>
    <w:rsid w:val="00C81540"/>
    <w:rsid w:val="00C81BA6"/>
    <w:rsid w:val="00C820D0"/>
    <w:rsid w:val="00C86C66"/>
    <w:rsid w:val="00C90238"/>
    <w:rsid w:val="00C91605"/>
    <w:rsid w:val="00C923FF"/>
    <w:rsid w:val="00C92A4B"/>
    <w:rsid w:val="00C9346F"/>
    <w:rsid w:val="00C93652"/>
    <w:rsid w:val="00C94455"/>
    <w:rsid w:val="00C9497A"/>
    <w:rsid w:val="00C94C33"/>
    <w:rsid w:val="00C957C9"/>
    <w:rsid w:val="00C9630F"/>
    <w:rsid w:val="00C963C8"/>
    <w:rsid w:val="00C97D88"/>
    <w:rsid w:val="00CA03B8"/>
    <w:rsid w:val="00CA0828"/>
    <w:rsid w:val="00CA102E"/>
    <w:rsid w:val="00CA1500"/>
    <w:rsid w:val="00CA40B0"/>
    <w:rsid w:val="00CA4324"/>
    <w:rsid w:val="00CA6D37"/>
    <w:rsid w:val="00CB271C"/>
    <w:rsid w:val="00CB2D6D"/>
    <w:rsid w:val="00CB3596"/>
    <w:rsid w:val="00CB40FF"/>
    <w:rsid w:val="00CB4639"/>
    <w:rsid w:val="00CB488B"/>
    <w:rsid w:val="00CB4FA8"/>
    <w:rsid w:val="00CB7034"/>
    <w:rsid w:val="00CC14CA"/>
    <w:rsid w:val="00CC1892"/>
    <w:rsid w:val="00CC23F7"/>
    <w:rsid w:val="00CC28B5"/>
    <w:rsid w:val="00CC2B6F"/>
    <w:rsid w:val="00CC41B9"/>
    <w:rsid w:val="00CC6BF9"/>
    <w:rsid w:val="00CD05B6"/>
    <w:rsid w:val="00CD08A3"/>
    <w:rsid w:val="00CD0AB2"/>
    <w:rsid w:val="00CD1289"/>
    <w:rsid w:val="00CD1563"/>
    <w:rsid w:val="00CD215C"/>
    <w:rsid w:val="00CD2B45"/>
    <w:rsid w:val="00CD30CA"/>
    <w:rsid w:val="00CD4451"/>
    <w:rsid w:val="00CD5423"/>
    <w:rsid w:val="00CD6589"/>
    <w:rsid w:val="00CD7591"/>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1DD5"/>
    <w:rsid w:val="00D3260C"/>
    <w:rsid w:val="00D32E49"/>
    <w:rsid w:val="00D32EB9"/>
    <w:rsid w:val="00D344A0"/>
    <w:rsid w:val="00D35C13"/>
    <w:rsid w:val="00D36772"/>
    <w:rsid w:val="00D3709F"/>
    <w:rsid w:val="00D37FDF"/>
    <w:rsid w:val="00D43168"/>
    <w:rsid w:val="00D44201"/>
    <w:rsid w:val="00D449A0"/>
    <w:rsid w:val="00D45301"/>
    <w:rsid w:val="00D458C9"/>
    <w:rsid w:val="00D51B3F"/>
    <w:rsid w:val="00D5420C"/>
    <w:rsid w:val="00D56306"/>
    <w:rsid w:val="00D57352"/>
    <w:rsid w:val="00D629FE"/>
    <w:rsid w:val="00D62DA9"/>
    <w:rsid w:val="00D64930"/>
    <w:rsid w:val="00D65113"/>
    <w:rsid w:val="00D6531C"/>
    <w:rsid w:val="00D66062"/>
    <w:rsid w:val="00D670CB"/>
    <w:rsid w:val="00D70611"/>
    <w:rsid w:val="00D71EB8"/>
    <w:rsid w:val="00D729CA"/>
    <w:rsid w:val="00D72A74"/>
    <w:rsid w:val="00D7510F"/>
    <w:rsid w:val="00D76291"/>
    <w:rsid w:val="00D80898"/>
    <w:rsid w:val="00D80C4C"/>
    <w:rsid w:val="00D821D8"/>
    <w:rsid w:val="00D82C34"/>
    <w:rsid w:val="00D83C6D"/>
    <w:rsid w:val="00D83E69"/>
    <w:rsid w:val="00D852CF"/>
    <w:rsid w:val="00D856F4"/>
    <w:rsid w:val="00D856F8"/>
    <w:rsid w:val="00D87744"/>
    <w:rsid w:val="00D91313"/>
    <w:rsid w:val="00D9153C"/>
    <w:rsid w:val="00D93A82"/>
    <w:rsid w:val="00D93A98"/>
    <w:rsid w:val="00D93FF7"/>
    <w:rsid w:val="00D941AB"/>
    <w:rsid w:val="00D960DF"/>
    <w:rsid w:val="00D9789E"/>
    <w:rsid w:val="00D97E6F"/>
    <w:rsid w:val="00D97F5F"/>
    <w:rsid w:val="00DA00D5"/>
    <w:rsid w:val="00DA0622"/>
    <w:rsid w:val="00DA0667"/>
    <w:rsid w:val="00DA0EB1"/>
    <w:rsid w:val="00DA105E"/>
    <w:rsid w:val="00DA1465"/>
    <w:rsid w:val="00DA1609"/>
    <w:rsid w:val="00DA21F5"/>
    <w:rsid w:val="00DA35B9"/>
    <w:rsid w:val="00DA478B"/>
    <w:rsid w:val="00DA4A04"/>
    <w:rsid w:val="00DA58BC"/>
    <w:rsid w:val="00DB09F4"/>
    <w:rsid w:val="00DB1E63"/>
    <w:rsid w:val="00DB2795"/>
    <w:rsid w:val="00DB2EB6"/>
    <w:rsid w:val="00DB347E"/>
    <w:rsid w:val="00DB58A0"/>
    <w:rsid w:val="00DB58CB"/>
    <w:rsid w:val="00DB69B6"/>
    <w:rsid w:val="00DB7B65"/>
    <w:rsid w:val="00DC2DB5"/>
    <w:rsid w:val="00DC5A62"/>
    <w:rsid w:val="00DC69E4"/>
    <w:rsid w:val="00DD19A5"/>
    <w:rsid w:val="00DD3D7D"/>
    <w:rsid w:val="00DD517B"/>
    <w:rsid w:val="00DD5BEF"/>
    <w:rsid w:val="00DD5EBE"/>
    <w:rsid w:val="00DE0422"/>
    <w:rsid w:val="00DE0530"/>
    <w:rsid w:val="00DE05A3"/>
    <w:rsid w:val="00DE0DF8"/>
    <w:rsid w:val="00DE34B8"/>
    <w:rsid w:val="00DE43AF"/>
    <w:rsid w:val="00DE4C9C"/>
    <w:rsid w:val="00DF0E0A"/>
    <w:rsid w:val="00DF1864"/>
    <w:rsid w:val="00DF1A50"/>
    <w:rsid w:val="00DF4C16"/>
    <w:rsid w:val="00DF66B4"/>
    <w:rsid w:val="00DF7206"/>
    <w:rsid w:val="00E015B5"/>
    <w:rsid w:val="00E024B3"/>
    <w:rsid w:val="00E0443C"/>
    <w:rsid w:val="00E05936"/>
    <w:rsid w:val="00E06582"/>
    <w:rsid w:val="00E076A9"/>
    <w:rsid w:val="00E13489"/>
    <w:rsid w:val="00E14E9B"/>
    <w:rsid w:val="00E15DFA"/>
    <w:rsid w:val="00E20280"/>
    <w:rsid w:val="00E22566"/>
    <w:rsid w:val="00E30C6E"/>
    <w:rsid w:val="00E31A4F"/>
    <w:rsid w:val="00E33B33"/>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0FB5"/>
    <w:rsid w:val="00E6122D"/>
    <w:rsid w:val="00E635BE"/>
    <w:rsid w:val="00E6378F"/>
    <w:rsid w:val="00E64996"/>
    <w:rsid w:val="00E653AB"/>
    <w:rsid w:val="00E67216"/>
    <w:rsid w:val="00E67469"/>
    <w:rsid w:val="00E70704"/>
    <w:rsid w:val="00E718F3"/>
    <w:rsid w:val="00E72D46"/>
    <w:rsid w:val="00E75662"/>
    <w:rsid w:val="00E76B34"/>
    <w:rsid w:val="00E7720F"/>
    <w:rsid w:val="00E773C3"/>
    <w:rsid w:val="00E81D50"/>
    <w:rsid w:val="00E834CC"/>
    <w:rsid w:val="00E84609"/>
    <w:rsid w:val="00E84742"/>
    <w:rsid w:val="00E8643F"/>
    <w:rsid w:val="00E90435"/>
    <w:rsid w:val="00E9122D"/>
    <w:rsid w:val="00E9287C"/>
    <w:rsid w:val="00E92B24"/>
    <w:rsid w:val="00E92BE7"/>
    <w:rsid w:val="00E9438F"/>
    <w:rsid w:val="00E96C3A"/>
    <w:rsid w:val="00E97C0B"/>
    <w:rsid w:val="00E97E09"/>
    <w:rsid w:val="00EA1CF8"/>
    <w:rsid w:val="00EA243C"/>
    <w:rsid w:val="00EA2742"/>
    <w:rsid w:val="00EA29CF"/>
    <w:rsid w:val="00EA5CEA"/>
    <w:rsid w:val="00EA675A"/>
    <w:rsid w:val="00EB79E0"/>
    <w:rsid w:val="00EC00A4"/>
    <w:rsid w:val="00EC16D7"/>
    <w:rsid w:val="00EC2B8B"/>
    <w:rsid w:val="00EC2D9A"/>
    <w:rsid w:val="00EC3225"/>
    <w:rsid w:val="00EC33C3"/>
    <w:rsid w:val="00EC35AD"/>
    <w:rsid w:val="00EC3D41"/>
    <w:rsid w:val="00EC48F5"/>
    <w:rsid w:val="00EC551F"/>
    <w:rsid w:val="00EC5EFB"/>
    <w:rsid w:val="00EC5F49"/>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03E"/>
    <w:rsid w:val="00EE0584"/>
    <w:rsid w:val="00EE06C4"/>
    <w:rsid w:val="00EE24C6"/>
    <w:rsid w:val="00EE31E5"/>
    <w:rsid w:val="00EE3534"/>
    <w:rsid w:val="00EE5417"/>
    <w:rsid w:val="00EE568F"/>
    <w:rsid w:val="00EE67AA"/>
    <w:rsid w:val="00EE682F"/>
    <w:rsid w:val="00EE6B56"/>
    <w:rsid w:val="00EE6C60"/>
    <w:rsid w:val="00EE6EBD"/>
    <w:rsid w:val="00EE788D"/>
    <w:rsid w:val="00EE7911"/>
    <w:rsid w:val="00EF2CE5"/>
    <w:rsid w:val="00EF3886"/>
    <w:rsid w:val="00EF6BA9"/>
    <w:rsid w:val="00EF7852"/>
    <w:rsid w:val="00F00154"/>
    <w:rsid w:val="00F010BE"/>
    <w:rsid w:val="00F016F6"/>
    <w:rsid w:val="00F0438C"/>
    <w:rsid w:val="00F051E3"/>
    <w:rsid w:val="00F05E8E"/>
    <w:rsid w:val="00F11B1B"/>
    <w:rsid w:val="00F121C4"/>
    <w:rsid w:val="00F1262F"/>
    <w:rsid w:val="00F13CD9"/>
    <w:rsid w:val="00F15134"/>
    <w:rsid w:val="00F17245"/>
    <w:rsid w:val="00F20AE0"/>
    <w:rsid w:val="00F21D33"/>
    <w:rsid w:val="00F22A55"/>
    <w:rsid w:val="00F23101"/>
    <w:rsid w:val="00F24C48"/>
    <w:rsid w:val="00F26226"/>
    <w:rsid w:val="00F26537"/>
    <w:rsid w:val="00F27FB2"/>
    <w:rsid w:val="00F30799"/>
    <w:rsid w:val="00F32897"/>
    <w:rsid w:val="00F32D25"/>
    <w:rsid w:val="00F341A9"/>
    <w:rsid w:val="00F36B44"/>
    <w:rsid w:val="00F44932"/>
    <w:rsid w:val="00F4630A"/>
    <w:rsid w:val="00F46CA7"/>
    <w:rsid w:val="00F47D50"/>
    <w:rsid w:val="00F51871"/>
    <w:rsid w:val="00F52CC4"/>
    <w:rsid w:val="00F53B51"/>
    <w:rsid w:val="00F54212"/>
    <w:rsid w:val="00F56DB0"/>
    <w:rsid w:val="00F60282"/>
    <w:rsid w:val="00F6345B"/>
    <w:rsid w:val="00F654FA"/>
    <w:rsid w:val="00F66E71"/>
    <w:rsid w:val="00F67769"/>
    <w:rsid w:val="00F67AF9"/>
    <w:rsid w:val="00F7023B"/>
    <w:rsid w:val="00F7348A"/>
    <w:rsid w:val="00F73653"/>
    <w:rsid w:val="00F74B4B"/>
    <w:rsid w:val="00F74D05"/>
    <w:rsid w:val="00F758DF"/>
    <w:rsid w:val="00F76DF5"/>
    <w:rsid w:val="00F7733F"/>
    <w:rsid w:val="00F81A1F"/>
    <w:rsid w:val="00F82061"/>
    <w:rsid w:val="00F823A8"/>
    <w:rsid w:val="00F82C7D"/>
    <w:rsid w:val="00F849A3"/>
    <w:rsid w:val="00F85A25"/>
    <w:rsid w:val="00F85BAC"/>
    <w:rsid w:val="00F87669"/>
    <w:rsid w:val="00F87913"/>
    <w:rsid w:val="00F90088"/>
    <w:rsid w:val="00F90111"/>
    <w:rsid w:val="00F92D15"/>
    <w:rsid w:val="00F92DC1"/>
    <w:rsid w:val="00F93083"/>
    <w:rsid w:val="00F93C6E"/>
    <w:rsid w:val="00F95BF4"/>
    <w:rsid w:val="00F97404"/>
    <w:rsid w:val="00FA043E"/>
    <w:rsid w:val="00FA10F8"/>
    <w:rsid w:val="00FA1E25"/>
    <w:rsid w:val="00FA1F6D"/>
    <w:rsid w:val="00FA3857"/>
    <w:rsid w:val="00FA38CB"/>
    <w:rsid w:val="00FA3B5D"/>
    <w:rsid w:val="00FA45C2"/>
    <w:rsid w:val="00FA4EE6"/>
    <w:rsid w:val="00FA7966"/>
    <w:rsid w:val="00FB0D34"/>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44B7"/>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25F2"/>
    <w:rsid w:val="00FE5C93"/>
    <w:rsid w:val="00FE5EF8"/>
    <w:rsid w:val="00FF0D24"/>
    <w:rsid w:val="00FF3FD0"/>
    <w:rsid w:val="00FF4347"/>
    <w:rsid w:val="00FF43E0"/>
    <w:rsid w:val="00FF464C"/>
    <w:rsid w:val="00FF4C39"/>
    <w:rsid w:val="014D04F0"/>
    <w:rsid w:val="018C3EA3"/>
    <w:rsid w:val="02071A05"/>
    <w:rsid w:val="030B5472"/>
    <w:rsid w:val="05661A27"/>
    <w:rsid w:val="087A2F02"/>
    <w:rsid w:val="08E45CBC"/>
    <w:rsid w:val="09830CCC"/>
    <w:rsid w:val="09DDD8BE"/>
    <w:rsid w:val="0A9C626E"/>
    <w:rsid w:val="0B800FF6"/>
    <w:rsid w:val="0F1318E6"/>
    <w:rsid w:val="111254C5"/>
    <w:rsid w:val="1211301A"/>
    <w:rsid w:val="14075BFF"/>
    <w:rsid w:val="145E0AD9"/>
    <w:rsid w:val="148F3207"/>
    <w:rsid w:val="15B309C6"/>
    <w:rsid w:val="191928D5"/>
    <w:rsid w:val="1CB53E24"/>
    <w:rsid w:val="1E3E387E"/>
    <w:rsid w:val="1E6F4049"/>
    <w:rsid w:val="1F45101A"/>
    <w:rsid w:val="1F9402D6"/>
    <w:rsid w:val="1FC856AB"/>
    <w:rsid w:val="20374066"/>
    <w:rsid w:val="21641F69"/>
    <w:rsid w:val="252A5561"/>
    <w:rsid w:val="28DE49C7"/>
    <w:rsid w:val="29E61A51"/>
    <w:rsid w:val="2A621D38"/>
    <w:rsid w:val="2C7C6A27"/>
    <w:rsid w:val="2CB02662"/>
    <w:rsid w:val="2DE4F126"/>
    <w:rsid w:val="2EAC0BD1"/>
    <w:rsid w:val="2F1BA77E"/>
    <w:rsid w:val="2F90403C"/>
    <w:rsid w:val="2FFB3CF3"/>
    <w:rsid w:val="3169130A"/>
    <w:rsid w:val="33173B9D"/>
    <w:rsid w:val="33BEE38E"/>
    <w:rsid w:val="358478F7"/>
    <w:rsid w:val="35EFED20"/>
    <w:rsid w:val="37AC04FD"/>
    <w:rsid w:val="38470D26"/>
    <w:rsid w:val="3DE5BDF2"/>
    <w:rsid w:val="3EAEBE83"/>
    <w:rsid w:val="3EFF6E64"/>
    <w:rsid w:val="3F67CD34"/>
    <w:rsid w:val="3F9D688B"/>
    <w:rsid w:val="3FD791E2"/>
    <w:rsid w:val="3FE24C9F"/>
    <w:rsid w:val="3FFD85CE"/>
    <w:rsid w:val="40133EE2"/>
    <w:rsid w:val="405F3E0A"/>
    <w:rsid w:val="41470022"/>
    <w:rsid w:val="47217A6D"/>
    <w:rsid w:val="4A9E6BAB"/>
    <w:rsid w:val="4AC4799F"/>
    <w:rsid w:val="4EB03116"/>
    <w:rsid w:val="50AC3CAD"/>
    <w:rsid w:val="520B0FE0"/>
    <w:rsid w:val="53D15935"/>
    <w:rsid w:val="574D2BFB"/>
    <w:rsid w:val="57AA11B4"/>
    <w:rsid w:val="57BF092F"/>
    <w:rsid w:val="58FB19F7"/>
    <w:rsid w:val="591E532A"/>
    <w:rsid w:val="59DD2CAE"/>
    <w:rsid w:val="5A122BD7"/>
    <w:rsid w:val="5A740596"/>
    <w:rsid w:val="5DDD1881"/>
    <w:rsid w:val="5E7D28C3"/>
    <w:rsid w:val="5EF85EF6"/>
    <w:rsid w:val="5FDFA445"/>
    <w:rsid w:val="5FE7799C"/>
    <w:rsid w:val="5FE7AAB2"/>
    <w:rsid w:val="62015EF7"/>
    <w:rsid w:val="646F3949"/>
    <w:rsid w:val="67C921F1"/>
    <w:rsid w:val="689B6A78"/>
    <w:rsid w:val="6BA664B8"/>
    <w:rsid w:val="6BC36D63"/>
    <w:rsid w:val="6D0C05DC"/>
    <w:rsid w:val="6EAF9EE6"/>
    <w:rsid w:val="6F5EB8B9"/>
    <w:rsid w:val="6FA3FDB0"/>
    <w:rsid w:val="70273FA6"/>
    <w:rsid w:val="71AD3BA4"/>
    <w:rsid w:val="72CD1A60"/>
    <w:rsid w:val="7308452B"/>
    <w:rsid w:val="73342E87"/>
    <w:rsid w:val="7378B149"/>
    <w:rsid w:val="74021368"/>
    <w:rsid w:val="7477E82E"/>
    <w:rsid w:val="76B40596"/>
    <w:rsid w:val="774E21DD"/>
    <w:rsid w:val="77CF22D4"/>
    <w:rsid w:val="78FE665B"/>
    <w:rsid w:val="7B1CF29F"/>
    <w:rsid w:val="7BFE2EA2"/>
    <w:rsid w:val="7C6F348C"/>
    <w:rsid w:val="7D7144B7"/>
    <w:rsid w:val="7F230238"/>
    <w:rsid w:val="7F3F5940"/>
    <w:rsid w:val="7F7CE39D"/>
    <w:rsid w:val="7F7DBE71"/>
    <w:rsid w:val="7F8503D7"/>
    <w:rsid w:val="7FD75954"/>
    <w:rsid w:val="85F958D0"/>
    <w:rsid w:val="A7FAD5DA"/>
    <w:rsid w:val="ABF79546"/>
    <w:rsid w:val="AE2F554A"/>
    <w:rsid w:val="B76749C9"/>
    <w:rsid w:val="B7DB51EC"/>
    <w:rsid w:val="B8FD5DB5"/>
    <w:rsid w:val="BA7B23C6"/>
    <w:rsid w:val="BDF78008"/>
    <w:rsid w:val="BE7BE53D"/>
    <w:rsid w:val="BEF76007"/>
    <w:rsid w:val="BF2FBC8D"/>
    <w:rsid w:val="BF9D94FC"/>
    <w:rsid w:val="CF96C153"/>
    <w:rsid w:val="D7F3E865"/>
    <w:rsid w:val="DEBF08AD"/>
    <w:rsid w:val="DFD7C937"/>
    <w:rsid w:val="DFE538A8"/>
    <w:rsid w:val="DFFF50EE"/>
    <w:rsid w:val="E7FFD412"/>
    <w:rsid w:val="EBD79B0C"/>
    <w:rsid w:val="EF9D4F12"/>
    <w:rsid w:val="F4F7E3DF"/>
    <w:rsid w:val="F57E1B21"/>
    <w:rsid w:val="F5ADFDC5"/>
    <w:rsid w:val="FC9F8046"/>
    <w:rsid w:val="FD577C85"/>
    <w:rsid w:val="FD7BC5D7"/>
    <w:rsid w:val="FDD76E2F"/>
    <w:rsid w:val="FEBB611A"/>
    <w:rsid w:val="FEBFD666"/>
    <w:rsid w:val="FEFB389F"/>
    <w:rsid w:val="FEFEA85A"/>
    <w:rsid w:val="FF7FFC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outlineLvl w:val="0"/>
    </w:pPr>
    <w:rPr>
      <w:rFonts w:eastAsia="方正黑体_GBK"/>
      <w:bCs/>
      <w:kern w:val="44"/>
      <w:szCs w:val="44"/>
    </w:rPr>
  </w:style>
  <w:style w:type="paragraph" w:styleId="3">
    <w:name w:val="heading 2"/>
    <w:basedOn w:val="1"/>
    <w:next w:val="1"/>
    <w:qFormat/>
    <w:uiPriority w:val="0"/>
    <w:pPr>
      <w:keepNext/>
      <w:keepLines/>
      <w:outlineLvl w:val="1"/>
    </w:pPr>
    <w:rPr>
      <w:rFonts w:eastAsia="方正楷体_GBK" w:cs="Times New Roman"/>
      <w:bCs/>
      <w:szCs w:val="32"/>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widowControl/>
      <w:spacing w:after="100" w:line="259" w:lineRule="auto"/>
      <w:ind w:firstLine="0" w:firstLineChars="0"/>
      <w:jc w:val="left"/>
    </w:pPr>
    <w:rPr>
      <w:rFonts w:ascii="Calibri" w:hAnsi="Calibri" w:eastAsia="方正黑体_GBK" w:cs="Times New Roman"/>
      <w:kern w:val="0"/>
    </w:rPr>
  </w:style>
  <w:style w:type="paragraph" w:styleId="9">
    <w:name w:val="toc 2"/>
    <w:basedOn w:val="1"/>
    <w:next w:val="1"/>
    <w:qFormat/>
    <w:uiPriority w:val="0"/>
    <w:pPr>
      <w:widowControl/>
      <w:spacing w:after="100" w:line="259" w:lineRule="auto"/>
      <w:ind w:left="220" w:firstLine="0" w:firstLineChars="0"/>
      <w:jc w:val="left"/>
    </w:pPr>
    <w:rPr>
      <w:rFonts w:ascii="Calibri" w:hAnsi="Calibri" w:eastAsia="方正楷体_GBK" w:cs="Times New Roman"/>
      <w:kern w:val="0"/>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qFormat/>
    <w:uiPriority w:val="0"/>
  </w:style>
  <w:style w:type="character" w:styleId="14">
    <w:name w:val="Hyperlink"/>
    <w:qFormat/>
    <w:uiPriority w:val="0"/>
    <w:rPr>
      <w:color w:val="0000FF"/>
      <w:u w:val="single"/>
    </w:rPr>
  </w:style>
  <w:style w:type="character" w:customStyle="1" w:styleId="15">
    <w:name w:val="标题 3 字符1"/>
    <w:qFormat/>
    <w:uiPriority w:val="9"/>
    <w:rPr>
      <w:rFonts w:ascii="Times New Roman" w:hAnsi="Times New Roman" w:eastAsia="方正仿宋_GBK"/>
      <w:b/>
      <w:bCs/>
      <w:sz w:val="32"/>
      <w:szCs w:val="32"/>
    </w:rPr>
  </w:style>
  <w:style w:type="character" w:customStyle="1" w:styleId="16">
    <w:name w:val="标题 3 字符"/>
    <w:qFormat/>
    <w:uiPriority w:val="9"/>
    <w:rPr>
      <w:rFonts w:ascii="Times New Roman" w:hAnsi="Times New Roman" w:eastAsia="方正仿宋_GBK"/>
      <w:b/>
      <w:bCs/>
      <w:sz w:val="32"/>
      <w:szCs w:val="32"/>
    </w:rPr>
  </w:style>
  <w:style w:type="character" w:customStyle="1" w:styleId="17">
    <w:name w:val="15"/>
    <w:qFormat/>
    <w:uiPriority w:val="0"/>
    <w:rPr>
      <w:rFonts w:hint="default" w:ascii="Times New Roman" w:hAnsi="Times New Roman" w:eastAsia="方正仿宋_GBK" w:cs="Times New Roman"/>
      <w:b/>
      <w:sz w:val="32"/>
      <w:szCs w:val="32"/>
    </w:rPr>
  </w:style>
  <w:style w:type="paragraph" w:customStyle="1" w:styleId="18">
    <w:name w:val="UserStyle_0"/>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35</Pages>
  <Words>18176</Words>
  <Characters>18657</Characters>
  <Lines>143</Lines>
  <Paragraphs>40</Paragraphs>
  <TotalTime>43</TotalTime>
  <ScaleCrop>false</ScaleCrop>
  <LinksUpToDate>false</LinksUpToDate>
  <CharactersWithSpaces>18830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2020-04-19T23:55:00Z</dcterms:created>
  <dc:creator>HP</dc:creator>
  <cp:lastModifiedBy>greatwall</cp:lastModifiedBy>
  <cp:lastPrinted>2022-03-30T14:57:00Z</cp:lastPrinted>
  <dcterms:modified xsi:type="dcterms:W3CDTF">2022-03-30T16:48:23Z</dcterms:modified>
  <dc:title>重庆市永川区人民政府办公室</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6417429D124240BC9184755D9DFA3950</vt:lpwstr>
  </property>
</Properties>
</file>