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240" w:lineRule="auto"/>
        <w:ind w:firstLine="0" w:firstLineChars="0"/>
        <w:jc w:val="left"/>
        <w:rPr>
          <w:rFonts w:hint="eastAsia" w:ascii="方正仿宋_GBK" w:hAnsi="方正仿宋_GBK" w:cs="方正仿宋_GBK"/>
          <w:color w:val="auto"/>
          <w:szCs w:val="32"/>
        </w:rPr>
      </w:pPr>
    </w:p>
    <w:p>
      <w:pPr>
        <w:ind w:firstLine="0" w:firstLineChars="0"/>
        <w:jc w:val="left"/>
        <w:rPr>
          <w:rFonts w:hint="eastAsia" w:ascii="方正小标宋_GBK" w:hAnsi="方正小标宋_GBK" w:eastAsia="方正小标宋_GBK" w:cs="方正小标宋_GBK"/>
          <w:color w:val="auto"/>
          <w:sz w:val="44"/>
          <w:szCs w:val="44"/>
        </w:rPr>
      </w:pPr>
    </w:p>
    <w:p>
      <w:pPr>
        <w:widowControl w:val="0"/>
        <w:spacing w:line="240" w:lineRule="auto"/>
        <w:ind w:firstLine="0" w:firstLineChars="0"/>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重庆市永川区人民政府办公室</w:t>
      </w:r>
    </w:p>
    <w:p>
      <w:pPr>
        <w:widowControl w:val="0"/>
        <w:spacing w:line="240" w:lineRule="auto"/>
        <w:ind w:firstLine="0" w:firstLineChars="0"/>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关于印发永川区农村生活污水治理专项规划（2021—2025年）的通知</w:t>
      </w:r>
    </w:p>
    <w:p>
      <w:pPr>
        <w:widowControl w:val="0"/>
        <w:spacing w:line="240" w:lineRule="auto"/>
        <w:ind w:firstLine="0" w:firstLineChars="0"/>
        <w:jc w:val="center"/>
        <w:rPr>
          <w:rFonts w:hint="eastAsia" w:ascii="方正仿宋_GBK" w:hAnsi="方正仿宋_GBK" w:cs="方正仿宋_GBK"/>
          <w:color w:val="auto"/>
          <w:szCs w:val="32"/>
        </w:rPr>
      </w:pPr>
      <w:r>
        <w:rPr>
          <w:rFonts w:hint="eastAsia" w:ascii="方正仿宋_GBK" w:hAnsi="方正仿宋_GBK" w:cs="方正仿宋_GBK"/>
          <w:color w:val="auto"/>
          <w:szCs w:val="32"/>
        </w:rPr>
        <w:t>永川府办发〔2020〕78号</w:t>
      </w:r>
    </w:p>
    <w:p>
      <w:pPr>
        <w:widowControl w:val="0"/>
        <w:adjustRightInd/>
        <w:ind w:firstLine="0" w:firstLineChars="0"/>
        <w:rPr>
          <w:rFonts w:hint="eastAsia" w:ascii="方正仿宋_GBK" w:hAnsi="方正仿宋_GBK" w:cs="方正仿宋_GBK"/>
          <w:color w:val="auto"/>
          <w:kern w:val="2"/>
          <w:szCs w:val="32"/>
        </w:rPr>
      </w:pPr>
    </w:p>
    <w:p>
      <w:pPr>
        <w:widowControl w:val="0"/>
        <w:adjustRightInd/>
        <w:ind w:firstLine="0" w:firstLineChars="0"/>
        <w:rPr>
          <w:rFonts w:hint="eastAsia" w:ascii="方正仿宋_GBK" w:hAnsi="方正仿宋_GBK" w:cs="方正仿宋_GBK"/>
          <w:color w:val="auto"/>
          <w:kern w:val="2"/>
          <w:szCs w:val="32"/>
        </w:rPr>
      </w:pPr>
      <w:r>
        <w:rPr>
          <w:rFonts w:hint="eastAsia" w:ascii="方正仿宋_GBK" w:hAnsi="方正仿宋_GBK" w:cs="方正仿宋_GBK"/>
          <w:color w:val="auto"/>
          <w:kern w:val="2"/>
          <w:szCs w:val="32"/>
        </w:rPr>
        <w:t>各镇人民政府、街道办事处，区政府有关部门，有关单位：</w:t>
      </w:r>
    </w:p>
    <w:p>
      <w:pPr>
        <w:widowControl w:val="0"/>
        <w:adjustRightInd/>
        <w:ind w:firstLine="640"/>
        <w:rPr>
          <w:rFonts w:hint="eastAsia" w:ascii="方正仿宋_GBK" w:hAnsi="方正仿宋_GBK" w:cs="方正仿宋_GBK"/>
          <w:color w:val="auto"/>
          <w:kern w:val="2"/>
          <w:szCs w:val="32"/>
        </w:rPr>
      </w:pPr>
      <w:r>
        <w:rPr>
          <w:rFonts w:hint="eastAsia" w:ascii="方正仿宋_GBK" w:hAnsi="方正仿宋_GBK" w:cs="方正仿宋_GBK"/>
          <w:color w:val="auto"/>
          <w:kern w:val="2"/>
          <w:szCs w:val="32"/>
        </w:rPr>
        <w:t>《永川区农村生活污水治理专项规划（2021—2025年）》已经区政府同意，现印发给你们，请认真贯彻落实。</w:t>
      </w:r>
    </w:p>
    <w:p>
      <w:pPr>
        <w:widowControl w:val="0"/>
        <w:adjustRightInd/>
        <w:ind w:firstLine="0" w:firstLineChars="0"/>
        <w:rPr>
          <w:rFonts w:hint="eastAsia" w:ascii="方正仿宋_GBK" w:hAnsi="方正仿宋_GBK" w:cs="方正仿宋_GBK"/>
          <w:color w:val="auto"/>
          <w:kern w:val="2"/>
          <w:szCs w:val="32"/>
        </w:rPr>
      </w:pPr>
    </w:p>
    <w:p>
      <w:pPr>
        <w:widowControl w:val="0"/>
        <w:adjustRightInd/>
        <w:ind w:firstLine="0" w:firstLineChars="0"/>
        <w:rPr>
          <w:rFonts w:hint="eastAsia" w:ascii="方正仿宋_GBK" w:hAnsi="方正仿宋_GBK" w:cs="方正仿宋_GBK"/>
          <w:color w:val="auto"/>
          <w:kern w:val="2"/>
          <w:szCs w:val="32"/>
        </w:rPr>
      </w:pPr>
    </w:p>
    <w:p>
      <w:pPr>
        <w:widowControl w:val="0"/>
        <w:wordWrap w:val="0"/>
        <w:adjustRightInd/>
        <w:spacing w:line="240" w:lineRule="auto"/>
        <w:ind w:firstLine="0" w:firstLineChars="0"/>
        <w:jc w:val="center"/>
        <w:rPr>
          <w:rFonts w:hint="eastAsia" w:ascii="方正仿宋_GBK" w:hAnsi="方正仿宋_GBK" w:cs="方正仿宋_GBK"/>
          <w:color w:val="auto"/>
          <w:kern w:val="2"/>
          <w:szCs w:val="32"/>
        </w:rPr>
      </w:pPr>
      <w:r>
        <w:rPr>
          <w:rFonts w:hint="eastAsia" w:ascii="方正仿宋_GBK" w:hAnsi="方正仿宋_GBK" w:cs="方正仿宋_GBK"/>
          <w:color w:val="auto"/>
          <w:kern w:val="2"/>
          <w:szCs w:val="32"/>
        </w:rPr>
        <w:t xml:space="preserve">                        重庆市永川区人民政府办公室</w:t>
      </w:r>
    </w:p>
    <w:p>
      <w:pPr>
        <w:widowControl w:val="0"/>
        <w:wordWrap w:val="0"/>
        <w:adjustRightInd/>
        <w:spacing w:line="240" w:lineRule="auto"/>
        <w:ind w:firstLine="0" w:firstLineChars="0"/>
        <w:jc w:val="center"/>
        <w:rPr>
          <w:rFonts w:hint="eastAsia" w:ascii="方正仿宋_GBK" w:hAnsi="方正仿宋_GBK" w:cs="方正仿宋_GBK"/>
          <w:color w:val="auto"/>
          <w:kern w:val="2"/>
          <w:szCs w:val="32"/>
        </w:rPr>
      </w:pPr>
      <w:r>
        <w:rPr>
          <w:rFonts w:hint="eastAsia" w:ascii="方正仿宋_GBK" w:hAnsi="方正仿宋_GBK" w:cs="方正仿宋_GBK"/>
          <w:color w:val="auto"/>
          <w:kern w:val="2"/>
          <w:szCs w:val="32"/>
        </w:rPr>
        <w:t xml:space="preserve">                         2020年9月14日</w:t>
      </w:r>
    </w:p>
    <w:p>
      <w:pPr>
        <w:widowControl w:val="0"/>
        <w:adjustRightInd/>
        <w:snapToGrid/>
        <w:spacing w:line="600" w:lineRule="exact"/>
        <w:ind w:firstLine="640"/>
        <w:rPr>
          <w:color w:val="auto"/>
          <w:kern w:val="2"/>
          <w:szCs w:val="32"/>
        </w:rPr>
      </w:pPr>
      <w:r>
        <w:rPr>
          <w:color w:val="auto"/>
          <w:kern w:val="2"/>
          <w:szCs w:val="32"/>
        </w:rPr>
        <w:t>（</w:t>
      </w:r>
      <w:r>
        <w:rPr>
          <w:rFonts w:hint="eastAsia"/>
          <w:color w:val="auto"/>
          <w:kern w:val="2"/>
          <w:szCs w:val="32"/>
        </w:rPr>
        <w:t>此件公开发布</w:t>
      </w:r>
      <w:r>
        <w:rPr>
          <w:color w:val="auto"/>
          <w:kern w:val="2"/>
          <w:szCs w:val="32"/>
        </w:rPr>
        <w:t>）</w:t>
      </w:r>
    </w:p>
    <w:p>
      <w:pPr>
        <w:pStyle w:val="2"/>
        <w:ind w:left="0" w:leftChars="0" w:firstLine="0" w:firstLineChars="0"/>
        <w:rPr>
          <w:color w:val="auto"/>
          <w:kern w:val="2"/>
          <w:szCs w:val="32"/>
        </w:rPr>
      </w:pPr>
    </w:p>
    <w:p>
      <w:pPr>
        <w:rPr>
          <w:color w:val="auto"/>
          <w:kern w:val="2"/>
          <w:szCs w:val="32"/>
        </w:rPr>
      </w:pPr>
      <w:r>
        <w:rPr>
          <w:color w:val="auto"/>
          <w:kern w:val="2"/>
          <w:szCs w:val="32"/>
        </w:rPr>
        <w:br w:type="page"/>
      </w:r>
    </w:p>
    <w:p>
      <w:pPr>
        <w:pStyle w:val="2"/>
        <w:ind w:left="0" w:leftChars="0" w:firstLine="0" w:firstLineChars="0"/>
        <w:rPr>
          <w:color w:val="auto"/>
          <w:kern w:val="2"/>
          <w:szCs w:val="32"/>
        </w:rPr>
      </w:pPr>
    </w:p>
    <w:p>
      <w:pPr>
        <w:widowControl w:val="0"/>
        <w:spacing w:line="220" w:lineRule="atLeast"/>
        <w:ind w:firstLine="0" w:firstLineChars="0"/>
        <w:jc w:val="center"/>
        <w:rPr>
          <w:rFonts w:hint="eastAsia" w:ascii="方正小标宋_GBK" w:hAnsi="方正小标宋_GBK" w:eastAsia="方正小标宋_GBK" w:cs="方正小标宋_GBK"/>
          <w:bCs/>
          <w:color w:val="auto"/>
          <w:sz w:val="44"/>
          <w:szCs w:val="44"/>
        </w:rPr>
      </w:pPr>
      <w:r>
        <w:rPr>
          <w:rFonts w:hint="eastAsia" w:ascii="方正小标宋_GBK" w:hAnsi="方正小标宋_GBK" w:eastAsia="方正小标宋_GBK" w:cs="方正小标宋_GBK"/>
          <w:bCs/>
          <w:color w:val="auto"/>
          <w:sz w:val="44"/>
          <w:szCs w:val="44"/>
        </w:rPr>
        <w:t>永川区农村生活污水治理专项规划</w:t>
      </w:r>
    </w:p>
    <w:p>
      <w:pPr>
        <w:widowControl w:val="0"/>
        <w:spacing w:line="220" w:lineRule="atLeast"/>
        <w:ind w:firstLine="0" w:firstLineChars="0"/>
        <w:jc w:val="center"/>
        <w:rPr>
          <w:rFonts w:hint="eastAsia" w:ascii="方正小标宋_GBK" w:hAnsi="方正小标宋_GBK" w:eastAsia="方正小标宋_GBK" w:cs="方正小标宋_GBK"/>
          <w:bCs/>
          <w:color w:val="auto"/>
          <w:sz w:val="44"/>
          <w:szCs w:val="44"/>
        </w:rPr>
      </w:pPr>
      <w:bookmarkStart w:id="0" w:name="_Toc46310431"/>
      <w:r>
        <w:rPr>
          <w:rFonts w:hint="eastAsia" w:ascii="方正小标宋_GBK" w:hAnsi="方正小标宋_GBK" w:eastAsia="方正小标宋_GBK" w:cs="方正小标宋_GBK"/>
          <w:bCs/>
          <w:color w:val="auto"/>
          <w:sz w:val="44"/>
          <w:szCs w:val="44"/>
        </w:rPr>
        <w:t>（2021-2025）</w:t>
      </w:r>
      <w:bookmarkEnd w:id="0"/>
    </w:p>
    <w:p>
      <w:pPr>
        <w:widowControl w:val="0"/>
        <w:spacing w:line="240" w:lineRule="auto"/>
        <w:ind w:firstLine="0" w:firstLineChars="0"/>
        <w:jc w:val="left"/>
        <w:rPr>
          <w:rFonts w:hint="eastAsia" w:ascii="方正仿宋_GBK" w:hAnsi="方正仿宋_GBK" w:cs="方正仿宋_GBK"/>
          <w:color w:val="auto"/>
          <w:szCs w:val="32"/>
        </w:rPr>
      </w:pPr>
    </w:p>
    <w:p>
      <w:pPr>
        <w:widowControl w:val="0"/>
        <w:spacing w:line="220" w:lineRule="atLeast"/>
        <w:ind w:firstLine="0" w:firstLineChars="0"/>
        <w:jc w:val="center"/>
        <w:rPr>
          <w:rFonts w:hint="eastAsia" w:ascii="方正黑体_GBK" w:hAnsi="方正黑体_GBK" w:eastAsia="方正黑体_GBK" w:cs="方正黑体_GBK"/>
          <w:bCs/>
          <w:color w:val="auto"/>
          <w:sz w:val="36"/>
          <w:szCs w:val="36"/>
        </w:rPr>
      </w:pPr>
      <w:sdt>
        <w:sdtPr>
          <w:rPr>
            <w:color w:val="auto"/>
          </w:rPr>
          <w:alias w:val="易错词检查"/>
          <w:id w:val="1071150"/>
        </w:sdtPr>
        <w:sdtEndPr>
          <w:rPr>
            <w:color w:val="auto"/>
          </w:rPr>
        </w:sdtEndPr>
        <w:sdtContent>
          <w:bookmarkStart w:id="1" w:name="bkReivew1071150"/>
          <w:r>
            <w:rPr>
              <w:rFonts w:hint="eastAsia" w:ascii="方正黑体_GBK" w:hAnsi="方正黑体_GBK" w:eastAsia="方正黑体_GBK" w:cs="方正黑体_GBK"/>
              <w:bCs/>
              <w:color w:val="auto"/>
              <w:sz w:val="36"/>
              <w:szCs w:val="36"/>
            </w:rPr>
            <w:t>第一部分</w:t>
          </w:r>
          <w:bookmarkEnd w:id="1"/>
        </w:sdtContent>
      </w:sdt>
      <w:r>
        <w:rPr>
          <w:rFonts w:hint="eastAsia" w:ascii="方正黑体_GBK" w:hAnsi="方正黑体_GBK" w:eastAsia="方正黑体_GBK" w:cs="方正黑体_GBK"/>
          <w:bCs/>
          <w:color w:val="auto"/>
          <w:sz w:val="36"/>
          <w:szCs w:val="36"/>
        </w:rPr>
        <w:t>：文本</w:t>
      </w:r>
    </w:p>
    <w:p>
      <w:pPr>
        <w:widowControl w:val="0"/>
        <w:spacing w:line="240" w:lineRule="auto"/>
        <w:ind w:firstLine="0" w:firstLineChars="0"/>
        <w:rPr>
          <w:rFonts w:hint="eastAsia" w:ascii="方正小标宋_GBK" w:hAnsi="方正小标宋_GBK" w:eastAsia="方正小标宋_GBK" w:cs="方正小标宋_GBK"/>
          <w:bCs/>
          <w:color w:val="auto"/>
          <w:szCs w:val="32"/>
        </w:rPr>
      </w:pPr>
    </w:p>
    <w:p>
      <w:pPr>
        <w:widowControl w:val="0"/>
        <w:ind w:firstLine="0" w:firstLineChars="0"/>
        <w:jc w:val="center"/>
        <w:rPr>
          <w:rFonts w:hint="eastAsia"/>
          <w:color w:val="auto"/>
        </w:rPr>
      </w:pPr>
      <w:bookmarkStart w:id="2" w:name="_Toc48318195"/>
      <w:bookmarkStart w:id="3" w:name="_Toc45198212"/>
      <w:r>
        <w:rPr>
          <w:rFonts w:hint="eastAsia" w:ascii="方正黑体_GBK" w:hAnsi="方正黑体_GBK" w:eastAsia="方正黑体_GBK" w:cs="方正黑体_GBK"/>
          <w:color w:val="auto"/>
          <w:szCs w:val="36"/>
        </w:rPr>
        <w:t xml:space="preserve">第1章  </w:t>
      </w:r>
      <w:r>
        <w:rPr>
          <w:rFonts w:hint="eastAsia" w:ascii="方正黑体_GBK" w:hAnsi="方正黑体_GBK" w:eastAsia="方正黑体_GBK" w:cs="方正黑体_GBK"/>
          <w:color w:val="auto"/>
        </w:rPr>
        <w:t>总  则</w:t>
      </w:r>
      <w:bookmarkEnd w:id="2"/>
      <w:bookmarkEnd w:id="3"/>
    </w:p>
    <w:p>
      <w:pPr>
        <w:widowControl w:val="0"/>
        <w:ind w:firstLine="640"/>
        <w:rPr>
          <w:rFonts w:hint="eastAsia" w:ascii="方正楷体_GBK" w:hAnsi="方正楷体_GBK" w:eastAsia="方正楷体_GBK" w:cs="方正楷体_GBK"/>
          <w:color w:val="auto"/>
        </w:rPr>
      </w:pPr>
      <w:bookmarkStart w:id="4" w:name="_Toc48318196"/>
      <w:bookmarkStart w:id="5" w:name="_Toc45198213"/>
      <w:r>
        <w:rPr>
          <w:rFonts w:hint="eastAsia" w:ascii="方正楷体_GBK" w:hAnsi="方正楷体_GBK" w:eastAsia="方正楷体_GBK" w:cs="方正楷体_GBK"/>
          <w:color w:val="auto"/>
        </w:rPr>
        <w:t>1.1  编制背景</w:t>
      </w:r>
      <w:bookmarkEnd w:id="4"/>
      <w:bookmarkEnd w:id="5"/>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实施乡村振兴战略，是党的十九大作出的重大决策。习近平总书记在十九大报告中提出，要注重农业农村的有序发展，依照产业兴旺、乡风文明、生态宜居、治理有效、生活富裕的总要求，大力实施乡村振兴战略，并将实施乡村振兴战略作为全面建</w:t>
      </w:r>
      <w:r>
        <w:rPr>
          <w:rFonts w:hint="eastAsia" w:ascii="方正仿宋_GBK" w:hAnsi="方正仿宋_GBK" w:cs="方正仿宋_GBK"/>
          <w:color w:val="auto"/>
          <w:lang w:eastAsia="zh-CN"/>
        </w:rPr>
        <w:t>成</w:t>
      </w:r>
      <w:r>
        <w:rPr>
          <w:rFonts w:hint="eastAsia" w:ascii="方正仿宋_GBK" w:hAnsi="方正仿宋_GBK" w:cs="方正仿宋_GBK"/>
          <w:color w:val="auto"/>
        </w:rPr>
        <w:t>小康社会的重大战略之一。农村生态环境建设是城乡发展必经之路，是乡村振兴战略的内在需求。以往我们将精力过多聚焦在城镇发展上，对农村生态环境建设重视不够。农村生态环境恶化导致的一系列经济社会问题越来越严重。总体看，农村生活环境恶化与农村生活污水乱排乱放，生活污水未得到有效治理有很大关系。加强</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"http://www.lidinghb.com/" \t "_blank"</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农村生活污水治理</w:t>
      </w:r>
      <w:r>
        <w:rPr>
          <w:rFonts w:hint="eastAsia" w:ascii="方正仿宋_GBK" w:hAnsi="方正仿宋_GBK" w:cs="方正仿宋_GBK"/>
          <w:color w:val="auto"/>
        </w:rPr>
        <w:fldChar w:fldCharType="end"/>
      </w:r>
      <w:r>
        <w:rPr>
          <w:rFonts w:hint="eastAsia" w:ascii="方正仿宋_GBK" w:hAnsi="方正仿宋_GBK" w:cs="方正仿宋_GBK"/>
          <w:color w:val="auto"/>
        </w:rPr>
        <w:t>对改善农村生态环境具有重要作用。</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2018年9月29日，生态环境部、住房和城乡建设部印发了《关于加快制定地方农村生活污水处理排放标准的通知》，标志着国家有了农村生活污水处理排放要求，对指导推动各地加快制定农村生活污水处理排放标准，突破当前农村污水治理的瓶颈，具有划时代的意义。</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按照重庆市生态环境局办公室、重庆市农业农</w:t>
      </w:r>
      <w:r>
        <w:rPr>
          <w:rFonts w:hint="eastAsia" w:ascii="方正仿宋_GBK" w:hAnsi="方正仿宋_GBK" w:cs="方正仿宋_GBK"/>
          <w:color w:val="auto"/>
        </w:rPr>
        <mc:AlternateContent>
          <mc:Choice Requires="wps">
            <w:drawing>
              <wp:anchor distT="0" distB="0" distL="114300" distR="114300" simplePos="0" relativeHeight="251659264" behindDoc="0" locked="0" layoutInCell="1" allowOverlap="1">
                <wp:simplePos x="0" y="0"/>
                <wp:positionH relativeFrom="column">
                  <wp:posOffset>-131445</wp:posOffset>
                </wp:positionH>
                <wp:positionV relativeFrom="paragraph">
                  <wp:posOffset>8515350</wp:posOffset>
                </wp:positionV>
                <wp:extent cx="5878830" cy="0"/>
                <wp:effectExtent l="0" t="28575" r="7620" b="28575"/>
                <wp:wrapNone/>
                <wp:docPr id="1" name="直线 7"/>
                <wp:cNvGraphicFramePr/>
                <a:graphic xmlns:a="http://schemas.openxmlformats.org/drawingml/2006/main">
                  <a:graphicData uri="http://schemas.microsoft.com/office/word/2010/wordprocessingShape">
                    <wps:wsp>
                      <wps:cNvCnPr/>
                      <wps:spPr>
                        <a:xfrm>
                          <a:off x="0" y="0"/>
                          <a:ext cx="5878830" cy="0"/>
                        </a:xfrm>
                        <a:prstGeom prst="line">
                          <a:avLst/>
                        </a:prstGeom>
                        <a:ln w="57150" cap="flat" cmpd="thinThick">
                          <a:solidFill>
                            <a:srgbClr val="FF0000"/>
                          </a:solidFill>
                          <a:prstDash val="solid"/>
                          <a:headEnd type="none" w="med" len="med"/>
                          <a:tailEnd type="none" w="med" len="med"/>
                        </a:ln>
                      </wps:spPr>
                      <wps:bodyPr upright="1"/>
                    </wps:wsp>
                  </a:graphicData>
                </a:graphic>
              </wp:anchor>
            </w:drawing>
          </mc:Choice>
          <mc:Fallback>
            <w:pict>
              <v:line id="直线 7" o:spid="_x0000_s1026" o:spt="20" style="position:absolute;left:0pt;margin-left:-10.35pt;margin-top:670.5pt;height:0pt;width:462.9pt;z-index:251659264;mso-width-relative:page;mso-height-relative:page;" filled="f" stroked="t" coordsize="21600,21600" o:gfxdata="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hVGUu1wAAAA0BAAAPAAAAAAAAAAEAIAAAADgAAABkcnMv&#10;ZG93bnJldi54bWxQSwECFAAUAAAACACHTuJATKhr6+4BAADiAwAADgAAAAAAAAABACAAAAA8AQAA&#10;ZHJzL2Uyb0RvYy54bWxQSwUGAAAAAAYABgBZAQAAnAUAAAAA&#10;">
                <v:fill on="f" focussize="0,0"/>
                <v:stroke weight="4.5pt" color="#FF0000" linestyle="thinThick" joinstyle="round"/>
                <v:imagedata o:title=""/>
                <o:lock v:ext="edit" aspectratio="f"/>
              </v:line>
            </w:pict>
          </mc:Fallback>
        </mc:AlternateContent>
      </w:r>
      <w:r>
        <w:rPr>
          <w:rFonts w:hint="eastAsia" w:ascii="方正仿宋_GBK" w:hAnsi="方正仿宋_GBK" w:cs="方正仿宋_GBK"/>
          <w:color w:val="auto"/>
        </w:rPr>
        <w:t>村委员会办公室、重庆市规划和自然资源局办公室2019年12月5日发布的《关于开展区县农村生活污水治理专项规划编制工作的通知》（渝环办〔2019〕454号）要求，为贯彻落实《关于进一步加强农业农村生态环境工作的指导意见》（环办土壤〔2019〕24号）、《关于印发&lt;县域农村生活污水治理专项规划编制指南（试行）&gt;的通知》（环办土壤〔2019〕756号）、《重庆市农业农村污染治理行动计划实施方案》（渝环函〔2019〕119号）相关文件精神，除渝中区和两江新区、高新区外，其他区县（自治县，含万盛经开区）都应当组织编制农村生活污水治理专项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按照上级要求，紧紧围绕“削减污染物排放，保护农村水环境，改善农村人居环境”和确保农村生活污水治理设施正常运行、持续发挥功效的基本目标，通过现场调研、实地考察、取样分析、广泛收集资料和充分征求各方意见的基础上，委托重庆太可环保科技有限公司编制了《永川区农村生活污水治理专项规划》（以下简称《规划》）。</w:t>
      </w:r>
    </w:p>
    <w:p>
      <w:pPr>
        <w:widowControl w:val="0"/>
        <w:ind w:firstLine="640"/>
        <w:rPr>
          <w:rFonts w:hint="eastAsia" w:ascii="方正楷体_GBK" w:hAnsi="方正楷体_GBK" w:eastAsia="方正楷体_GBK" w:cs="方正楷体_GBK"/>
          <w:color w:val="auto"/>
        </w:rPr>
      </w:pPr>
      <w:bookmarkStart w:id="6" w:name="_Toc45198214"/>
      <w:bookmarkStart w:id="7" w:name="_Toc48318197"/>
      <w:bookmarkStart w:id="8" w:name="_Toc43287791"/>
      <w:r>
        <w:rPr>
          <w:rFonts w:hint="eastAsia" w:ascii="方正楷体_GBK" w:hAnsi="方正楷体_GBK" w:eastAsia="方正楷体_GBK" w:cs="方正楷体_GBK"/>
          <w:color w:val="auto"/>
        </w:rPr>
        <w:t>1.2  指导思想</w:t>
      </w:r>
      <w:bookmarkEnd w:id="6"/>
      <w:bookmarkEnd w:id="7"/>
      <w:bookmarkEnd w:id="8"/>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以</w:t>
      </w:r>
      <w:sdt>
        <w:sdtPr>
          <w:rPr>
            <w:color w:val="auto"/>
          </w:rPr>
          <w:alias w:val="重点词检查"/>
          <w:id w:val="1183754"/>
        </w:sdtPr>
        <w:sdtEndPr>
          <w:rPr>
            <w:color w:val="auto"/>
          </w:rPr>
        </w:sdtEndPr>
        <w:sdtContent>
          <w:bookmarkStart w:id="9" w:name="bkPolitics1183754"/>
          <w:r>
            <w:rPr>
              <w:rFonts w:hint="eastAsia" w:ascii="方正仿宋_GBK" w:hAnsi="方正仿宋_GBK" w:cs="方正仿宋_GBK"/>
              <w:color w:val="auto"/>
            </w:rPr>
            <w:t>习近平新时代中国特色社会主义思想和</w:t>
          </w:r>
          <w:r>
            <w:rPr>
              <w:rFonts w:hint="eastAsia" w:ascii="方正仿宋_GBK" w:hAnsi="方正仿宋_GBK" w:cs="方正仿宋_GBK"/>
              <w:color w:val="auto"/>
              <w:lang w:eastAsia="zh-CN"/>
            </w:rPr>
            <w:t>习近平</w:t>
          </w:r>
          <w:r>
            <w:rPr>
              <w:rFonts w:hint="eastAsia" w:ascii="方正仿宋_GBK" w:hAnsi="方正仿宋_GBK" w:cs="方正仿宋_GBK"/>
              <w:color w:val="auto"/>
            </w:rPr>
            <w:t>生态文明思想</w:t>
          </w:r>
          <w:bookmarkEnd w:id="9"/>
        </w:sdtContent>
      </w:sdt>
      <w:r>
        <w:rPr>
          <w:rFonts w:hint="eastAsia" w:ascii="方正仿宋_GBK" w:hAnsi="方正仿宋_GBK" w:cs="方正仿宋_GBK"/>
          <w:color w:val="auto"/>
        </w:rPr>
        <w:t>为指导，全面贯彻习近平总书记对重庆提出“两点”定位、“两地”“</w:t>
      </w:r>
      <w:sdt>
        <w:sdtPr>
          <w:rPr>
            <w:color w:val="auto"/>
          </w:rPr>
          <w:alias w:val="敏感词检查"/>
          <w:id w:val="2181455"/>
        </w:sdtPr>
        <w:sdtEndPr>
          <w:rPr>
            <w:color w:val="auto"/>
          </w:rPr>
        </w:sdtEndPr>
        <w:sdtContent>
          <w:bookmarkStart w:id="10" w:name="bkPolitics2181455"/>
          <w:r>
            <w:rPr>
              <w:rFonts w:hint="eastAsia" w:ascii="方正仿宋_GBK" w:hAnsi="方正仿宋_GBK" w:cs="方正仿宋_GBK"/>
              <w:color w:val="auto"/>
            </w:rPr>
            <w:t>两高</w:t>
          </w:r>
          <w:bookmarkEnd w:id="10"/>
        </w:sdtContent>
      </w:sdt>
      <w:r>
        <w:rPr>
          <w:rFonts w:hint="eastAsia" w:ascii="方正仿宋_GBK" w:hAnsi="方正仿宋_GBK" w:cs="方正仿宋_GBK"/>
          <w:color w:val="auto"/>
        </w:rPr>
        <w:t>”目标、发挥“三个作用”和营造良好政治生态的重要指示，全面落实中央决策部署，牢牢把握“因地制宜，分类指导”的要求，认真贯彻全国</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"http://www.h2o-china.com/news/field?fid=83"</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生态环境</w:t>
      </w:r>
      <w:r>
        <w:rPr>
          <w:rFonts w:hint="eastAsia" w:ascii="方正仿宋_GBK" w:hAnsi="方正仿宋_GBK" w:cs="方正仿宋_GBK"/>
          <w:color w:val="auto"/>
        </w:rPr>
        <w:fldChar w:fldCharType="end"/>
      </w:r>
      <w:r>
        <w:rPr>
          <w:rFonts w:hint="eastAsia" w:ascii="方正仿宋_GBK" w:hAnsi="方正仿宋_GBK" w:cs="方正仿宋_GBK"/>
          <w:color w:val="auto"/>
        </w:rPr>
        <w:t>保护大会精神以及《关于全面加强生态环境保护坚决打好污染防治攻坚战的意见》（中发〔2018〕17号）、《农业农村污染治理攻坚战行动计划》（环土壤〔2018〕143号），认真落实农村人居环境整治三年行动的各项安排部署，学习浙江“千村示范、万村整治”工作经验做法，积极推进农村生活污水治理工作。</w:t>
      </w:r>
    </w:p>
    <w:p>
      <w:pPr>
        <w:widowControl w:val="0"/>
        <w:ind w:firstLine="640"/>
        <w:rPr>
          <w:rFonts w:hint="eastAsia" w:ascii="方正楷体_GBK" w:hAnsi="方正楷体_GBK" w:eastAsia="方正楷体_GBK" w:cs="方正楷体_GBK"/>
          <w:color w:val="auto"/>
          <w:szCs w:val="32"/>
        </w:rPr>
      </w:pPr>
      <w:bookmarkStart w:id="11" w:name="_Toc48318198"/>
      <w:bookmarkStart w:id="12" w:name="_Toc45198215"/>
      <w:r>
        <w:rPr>
          <w:rFonts w:hint="eastAsia" w:ascii="方正楷体_GBK" w:hAnsi="方正楷体_GBK" w:eastAsia="方正楷体_GBK" w:cs="方正楷体_GBK"/>
          <w:color w:val="auto"/>
          <w:szCs w:val="32"/>
        </w:rPr>
        <w:t>1.3  编制过程</w:t>
      </w:r>
      <w:bookmarkEnd w:id="11"/>
      <w:bookmarkEnd w:id="12"/>
    </w:p>
    <w:p>
      <w:pPr>
        <w:widowControl w:val="0"/>
        <w:ind w:firstLine="640"/>
        <w:rPr>
          <w:rFonts w:hint="eastAsia" w:ascii="方正仿宋_GBK" w:hAnsi="方正仿宋_GBK" w:cs="方正仿宋_GBK"/>
          <w:color w:val="auto"/>
          <w:szCs w:val="32"/>
        </w:rPr>
      </w:pPr>
      <w:bookmarkStart w:id="13" w:name="_Toc48318199"/>
      <w:bookmarkStart w:id="14" w:name="_Toc45198216"/>
      <w:r>
        <w:rPr>
          <w:rFonts w:hint="eastAsia" w:ascii="方正仿宋_GBK" w:hAnsi="方正仿宋_GBK" w:cs="方正仿宋_GBK"/>
          <w:color w:val="auto"/>
          <w:szCs w:val="32"/>
        </w:rPr>
        <w:t>1.3.1  编制主体</w:t>
      </w:r>
      <w:bookmarkEnd w:id="13"/>
      <w:bookmarkEnd w:id="14"/>
    </w:p>
    <w:p>
      <w:pPr>
        <w:widowControl w:val="0"/>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重庆太可环保科技有限公司作为本规划的编制单位，本着认真负责的态度，充分发挥专业技术优势，认真开展《规划》编制工作，确保《规划》各项措施具有科学性、系统性和可操作性。</w:t>
      </w:r>
    </w:p>
    <w:p>
      <w:pPr>
        <w:widowControl w:val="0"/>
        <w:ind w:firstLine="640"/>
        <w:rPr>
          <w:rFonts w:hint="eastAsia" w:ascii="方正仿宋_GBK" w:hAnsi="方正仿宋_GBK" w:cs="方正仿宋_GBK"/>
          <w:color w:val="auto"/>
          <w:szCs w:val="32"/>
        </w:rPr>
      </w:pPr>
      <w:bookmarkStart w:id="15" w:name="_Toc45198217"/>
      <w:bookmarkStart w:id="16" w:name="_Toc48318200"/>
      <w:r>
        <w:rPr>
          <w:rFonts w:hint="eastAsia" w:ascii="方正仿宋_GBK" w:hAnsi="方正仿宋_GBK" w:cs="方正仿宋_GBK"/>
          <w:color w:val="auto"/>
          <w:szCs w:val="32"/>
        </w:rPr>
        <w:t>1.3.2  编制路线</w:t>
      </w:r>
      <w:bookmarkEnd w:id="15"/>
      <w:bookmarkEnd w:id="16"/>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《规划》编制路线见下图1.3-1。</w:t>
      </w:r>
    </w:p>
    <w:p>
      <w:pPr>
        <w:pStyle w:val="23"/>
        <w:widowControl w:val="0"/>
        <w:shd w:val="clear" w:color="auto" w:fill="FFFFFF"/>
        <w:jc w:val="center"/>
        <w:rPr>
          <w:rFonts w:cs="Times New Roman"/>
          <w:color w:val="auto"/>
          <w:szCs w:val="22"/>
        </w:rPr>
      </w:pPr>
      <w:r>
        <w:rPr>
          <w:rFonts w:cs="Times New Roman"/>
          <w:color w:val="auto"/>
        </w:rPr>
        <w:drawing>
          <wp:inline distT="0" distB="0" distL="114300" distR="114300">
            <wp:extent cx="3221355" cy="4514215"/>
            <wp:effectExtent l="0" t="0" r="17145" b="635"/>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13"/>
                    <a:stretch>
                      <a:fillRect/>
                    </a:stretch>
                  </pic:blipFill>
                  <pic:spPr>
                    <a:xfrm>
                      <a:off x="0" y="0"/>
                      <a:ext cx="3221355" cy="4514215"/>
                    </a:xfrm>
                    <a:prstGeom prst="rect">
                      <a:avLst/>
                    </a:prstGeom>
                    <a:noFill/>
                    <a:ln>
                      <a:noFill/>
                    </a:ln>
                  </pic:spPr>
                </pic:pic>
              </a:graphicData>
            </a:graphic>
          </wp:inline>
        </w:drawing>
      </w:r>
    </w:p>
    <w:p>
      <w:pPr>
        <w:widowControl w:val="0"/>
        <w:spacing w:line="274" w:lineRule="auto"/>
        <w:ind w:firstLine="640"/>
        <w:rPr>
          <w:rFonts w:hint="eastAsia" w:ascii="方正楷体_GBK" w:hAnsi="方正楷体_GBK" w:eastAsia="方正楷体_GBK" w:cs="方正楷体_GBK"/>
          <w:color w:val="auto"/>
        </w:rPr>
      </w:pPr>
      <w:bookmarkStart w:id="17" w:name="_Toc48318201"/>
      <w:bookmarkStart w:id="18" w:name="_Toc45198218"/>
      <w:r>
        <w:rPr>
          <w:rFonts w:hint="eastAsia" w:ascii="方正楷体_GBK" w:hAnsi="方正楷体_GBK" w:eastAsia="方正楷体_GBK" w:cs="方正楷体_GBK"/>
          <w:color w:val="auto"/>
        </w:rPr>
        <w:t>1.4  规划依据</w:t>
      </w:r>
      <w:bookmarkEnd w:id="17"/>
      <w:bookmarkEnd w:id="18"/>
      <w:bookmarkStart w:id="19" w:name="_Toc48318202"/>
      <w:bookmarkStart w:id="20" w:name="_Toc45198219"/>
    </w:p>
    <w:p>
      <w:pPr>
        <w:widowControl w:val="0"/>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1.4.1  相关法律法规及政策文件</w:t>
      </w:r>
      <w:bookmarkEnd w:id="19"/>
      <w:bookmarkEnd w:id="20"/>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（1）《中华人民共和国环境保护法》（2015年）；</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（2）《中华人民共和国水污染防治法》；</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（3）《中华人民共和国水法》；</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（4）《中华人民共和国城乡规划法》；</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（5）《城镇排水与污水处理条例》中华人民共和国国务院令第641号；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（6）《国家发展改革委</w:t>
      </w:r>
      <w:sdt>
        <w:sdtPr>
          <w:rPr>
            <w:color w:val="auto"/>
          </w:rPr>
          <w:alias w:val="敏感词检查"/>
          <w:id w:val="1141141"/>
        </w:sdtPr>
        <w:sdtEndPr>
          <w:rPr>
            <w:color w:val="auto"/>
          </w:rPr>
        </w:sdtEndPr>
        <w:sdtContent>
          <w:bookmarkStart w:id="21" w:name="bkPolitics1141141"/>
          <w:r>
            <w:rPr>
              <w:rFonts w:hint="eastAsia" w:ascii="方正仿宋_GBK" w:hAnsi="方正仿宋_GBK" w:cs="方正仿宋_GBK"/>
              <w:color w:val="auto"/>
            </w:rPr>
            <w:t>住房城乡建设部</w:t>
          </w:r>
          <w:bookmarkEnd w:id="21"/>
        </w:sdtContent>
      </w:sdt>
      <w:r>
        <w:rPr>
          <w:rFonts w:hint="eastAsia" w:ascii="方正仿宋_GBK" w:hAnsi="方正仿宋_GBK" w:cs="方正仿宋_GBK"/>
          <w:color w:val="auto"/>
        </w:rPr>
        <w:t>关于印发</w:t>
      </w:r>
      <w:sdt>
        <w:sdtPr>
          <w:rPr>
            <w:color w:val="auto"/>
          </w:rPr>
          <w:alias w:val="标点符号检查"/>
          <w:id w:val="3111656"/>
        </w:sdtPr>
        <w:sdtEndPr>
          <w:rPr>
            <w:color w:val="auto"/>
          </w:rPr>
        </w:sdtEndPr>
        <w:sdtContent>
          <w:r>
            <w:rPr>
              <w:rFonts w:hint="eastAsia"/>
              <w:color w:val="auto"/>
            </w:rPr>
            <w:t>〈</w:t>
          </w:r>
          <w:r>
            <w:rPr>
              <w:rFonts w:hint="eastAsia" w:ascii="方正仿宋_GBK" w:hAnsi="方正仿宋_GBK" w:cs="方正仿宋_GBK"/>
              <w:color w:val="auto"/>
            </w:rPr>
            <w:t>“十三五”全国城镇污水处理及再生利用设施建设规划</w:t>
          </w:r>
          <w:r>
            <w:rPr>
              <w:rFonts w:hint="eastAsia"/>
              <w:color w:val="auto"/>
            </w:rPr>
            <w:t>〉</w:t>
          </w:r>
        </w:sdtContent>
      </w:sdt>
      <w:sdt>
        <w:sdtPr>
          <w:rPr>
            <w:color w:val="auto"/>
          </w:rPr>
          <w:alias w:val="标点符号检查"/>
          <w:id w:val="181514"/>
        </w:sdtPr>
        <w:sdtEndPr>
          <w:rPr>
            <w:color w:val="auto"/>
          </w:rPr>
        </w:sdtEndPr>
        <w:sdtContent/>
      </w:sdt>
      <w:r>
        <w:rPr>
          <w:rFonts w:hint="eastAsia" w:ascii="方正仿宋_GBK" w:hAnsi="方正仿宋_GBK" w:cs="方正仿宋_GBK"/>
          <w:color w:val="auto"/>
        </w:rPr>
        <w:t>的通知》（发改环资〔2016〕2849号）；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（7）《国务院关于加强城市基础设施建设的意见》（国发〔2013〕36号）；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（8）《国务院关于落实科学发展观加强环境保护工作的决定》（国发〔2005〕39号）；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（9）《国务院关于做好建设节约型社会近期重点工作的通知》（国发〔2005〕21号）；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（10）《城市污水处理及污染防治技术政策》（建城〔2000〕124号）；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（11）《城市污水再生利用技术政策》（建科〔2006〕100号）；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（12）《关于推进城市污水、垃圾处理产业化发展的意见》（计投资〔2002〕1591号）；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（13）《重庆市河道管理条例</w:t>
      </w:r>
      <w:sdt>
        <w:sdtPr>
          <w:rPr>
            <w:color w:val="auto"/>
          </w:rPr>
          <w:alias w:val="标点符号检查"/>
          <w:id w:val="3111713"/>
        </w:sdtPr>
        <w:sdtEndPr>
          <w:rPr>
            <w:color w:val="auto"/>
          </w:rPr>
        </w:sdtEndPr>
        <w:sdtContent>
          <w:bookmarkStart w:id="22" w:name="bkReivew3111713"/>
          <w:r>
            <w:rPr>
              <w:rFonts w:hint="eastAsia" w:ascii="方正仿宋_GBK" w:hAnsi="方正仿宋_GBK" w:cs="方正仿宋_GBK"/>
              <w:color w:val="auto"/>
            </w:rPr>
            <w:t>（</w:t>
          </w:r>
          <w:bookmarkEnd w:id="22"/>
        </w:sdtContent>
      </w:sdt>
      <w:r>
        <w:rPr>
          <w:rFonts w:hint="eastAsia" w:ascii="方正仿宋_GBK" w:hAnsi="方正仿宋_GBK" w:cs="方正仿宋_GBK"/>
          <w:color w:val="auto"/>
        </w:rPr>
        <w:t>2015年修订</w:t>
      </w:r>
      <w:r>
        <w:rPr>
          <w:rFonts w:hint="eastAsia" w:ascii="方正仿宋_GBK" w:hAnsi="方正仿宋_GBK" w:cs="方正仿宋_GBK"/>
          <w:color w:val="auto"/>
          <w:lang w:eastAsia="zh-CN"/>
        </w:rPr>
        <w:t>）</w:t>
      </w:r>
      <w:r>
        <w:rPr>
          <w:rFonts w:hint="eastAsia" w:ascii="方正仿宋_GBK" w:hAnsi="方正仿宋_GBK" w:cs="方正仿宋_GBK"/>
          <w:color w:val="auto"/>
        </w:rPr>
        <w:t>》（2015年7月30日经重庆市第四届人民代表大会常务委员会第十九次会议通过）；</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（14）《重庆市水污染防治条例》（2019年12月3日经市五届人大常委会第十三次会议一审通过）；</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（15）《重庆市水资源管理条例（2015年修订）》（2015年5月28日经重庆市第四届人民代表大会常务委员会第18次会议通过）；</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（16）《土壤污染环境防治法》。</w:t>
      </w:r>
    </w:p>
    <w:p>
      <w:pPr>
        <w:widowControl w:val="0"/>
        <w:ind w:firstLine="640"/>
        <w:rPr>
          <w:rFonts w:hint="eastAsia" w:ascii="方正仿宋_GBK" w:hAnsi="方正仿宋_GBK" w:cs="方正仿宋_GBK"/>
          <w:color w:val="auto"/>
          <w:szCs w:val="32"/>
        </w:rPr>
      </w:pPr>
      <w:bookmarkStart w:id="23" w:name="_Toc48318203"/>
      <w:bookmarkStart w:id="24" w:name="_Toc45198220"/>
      <w:r>
        <w:rPr>
          <w:rFonts w:hint="eastAsia" w:ascii="方正仿宋_GBK" w:hAnsi="方正仿宋_GBK" w:cs="方正仿宋_GBK"/>
          <w:color w:val="auto"/>
          <w:szCs w:val="32"/>
        </w:rPr>
        <w:t>1.4.2  相关技术标准</w:t>
      </w:r>
      <w:bookmarkEnd w:id="23"/>
      <w:bookmarkEnd w:id="24"/>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w:t>
      </w:r>
      <w:sdt>
        <w:sdtPr>
          <w:rPr>
            <w:color w:val="auto"/>
          </w:rPr>
          <w:alias w:val="敏感词检查"/>
          <w:id w:val="120044"/>
        </w:sdtPr>
        <w:sdtEndPr>
          <w:rPr>
            <w:color w:val="auto"/>
          </w:rPr>
        </w:sdtEndPr>
        <w:sdtContent>
          <w:bookmarkStart w:id="25" w:name="bkPolitics120044"/>
          <w:r>
            <w:rPr>
              <w:rFonts w:hint="eastAsia" w:ascii="方正仿宋_GBK" w:hAnsi="方正仿宋_GBK" w:cs="方正仿宋_GBK"/>
              <w:color w:val="auto"/>
            </w:rPr>
            <w:t>环保部</w:t>
          </w:r>
          <w:bookmarkEnd w:id="25"/>
        </w:sdtContent>
      </w:sdt>
      <w:r>
        <w:rPr>
          <w:rFonts w:hint="eastAsia" w:ascii="方正仿宋_GBK" w:hAnsi="方正仿宋_GBK" w:cs="方正仿宋_GBK"/>
          <w:color w:val="auto"/>
        </w:rPr>
        <w:t>《农村环境连片整治技术指南》（2013年7月）；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（2）</w:t>
      </w:r>
      <w:sdt>
        <w:sdtPr>
          <w:rPr>
            <w:color w:val="auto"/>
          </w:rPr>
          <w:alias w:val="敏感词检查"/>
          <w:id w:val="121604"/>
        </w:sdtPr>
        <w:sdtEndPr>
          <w:rPr>
            <w:color w:val="auto"/>
          </w:rPr>
        </w:sdtEndPr>
        <w:sdtContent>
          <w:bookmarkStart w:id="26" w:name="bkPolitics121604"/>
          <w:r>
            <w:rPr>
              <w:rFonts w:hint="eastAsia" w:ascii="方正仿宋_GBK" w:hAnsi="方正仿宋_GBK" w:cs="方正仿宋_GBK"/>
              <w:color w:val="auto"/>
            </w:rPr>
            <w:t>环保部</w:t>
          </w:r>
          <w:bookmarkEnd w:id="26"/>
        </w:sdtContent>
      </w:sdt>
      <w:r>
        <w:rPr>
          <w:rFonts w:hint="eastAsia" w:ascii="方正仿宋_GBK" w:hAnsi="方正仿宋_GBK" w:cs="方正仿宋_GBK"/>
          <w:color w:val="auto"/>
        </w:rPr>
        <w:t>《村镇生活污染防治最佳可行技术指南（试行）》（2013年7月）；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（3）《地表水环境质量标准》（GB3838-2002）；</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（4）《城镇污水处理厂污染物排放标准》（GB/18918-2002）；</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（5）《污水排入城市下水道水质标准》（CJ343-2010）；</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（6）《农田灌溉水质标准》（GB5084）；</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（7）《城镇污水处理厂污泥处置农用泥质》（CJ/T309）；</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（8）《城镇污水处理厂污泥处置园林绿化用泥质》（GB/T23486）；</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（9）《重庆市农村生活污水处理设施水污染物排放标准》（DB50848-2018）；</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（10）《重庆市农业农村污染治理行动计划实施方案》（渝环函〔2019〕119号）；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（11）《重庆市农村生活污水治理评价指标体系》；</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（12）《重庆市农村生活污水排放标准》；</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（13）《农村生活用水量卫生标准》（GB11730</w:t>
      </w:r>
      <w:sdt>
        <w:sdtPr>
          <w:rPr>
            <w:color w:val="auto"/>
          </w:rPr>
          <w:alias w:val="敏感词检查"/>
          <w:id w:val="61830"/>
        </w:sdtPr>
        <w:sdtEndPr>
          <w:rPr>
            <w:color w:val="auto"/>
          </w:rPr>
        </w:sdtEndPr>
        <w:sdtContent>
          <w:bookmarkStart w:id="27" w:name="bkPolitics61830"/>
          <w:r>
            <w:rPr>
              <w:rFonts w:hint="eastAsia" w:ascii="方正仿宋_GBK" w:hAnsi="方正仿宋_GBK" w:cs="方正仿宋_GBK"/>
              <w:color w:val="auto"/>
            </w:rPr>
            <w:t>-89</w:t>
          </w:r>
          <w:bookmarkEnd w:id="27"/>
        </w:sdtContent>
      </w:sdt>
      <w:r>
        <w:rPr>
          <w:rFonts w:hint="eastAsia" w:ascii="方正仿宋_GBK" w:hAnsi="方正仿宋_GBK" w:cs="方正仿宋_GBK"/>
          <w:color w:val="auto"/>
        </w:rPr>
        <w:t>）。</w:t>
      </w:r>
    </w:p>
    <w:p>
      <w:pPr>
        <w:widowControl w:val="0"/>
        <w:ind w:firstLine="640"/>
        <w:rPr>
          <w:rFonts w:hint="eastAsia" w:ascii="方正仿宋_GBK" w:hAnsi="方正仿宋_GBK" w:cs="方正仿宋_GBK"/>
          <w:color w:val="auto"/>
          <w:szCs w:val="32"/>
        </w:rPr>
      </w:pPr>
      <w:bookmarkStart w:id="28" w:name="_Toc45198221"/>
      <w:bookmarkStart w:id="29" w:name="_Toc48318204"/>
      <w:r>
        <w:rPr>
          <w:rFonts w:hint="eastAsia" w:ascii="方正仿宋_GBK" w:hAnsi="方正仿宋_GBK" w:cs="方正仿宋_GBK"/>
          <w:color w:val="auto"/>
          <w:szCs w:val="32"/>
        </w:rPr>
        <w:t>1.4.3  相关规划及文件</w:t>
      </w:r>
      <w:bookmarkEnd w:id="28"/>
      <w:bookmarkEnd w:id="29"/>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（1）《永川区城乡总体规划（2014-2030）》；</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（2）《重庆市水功能区水环境功能区划分方案》；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（3）《永川区水资源综合规划》；</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（4）《永川区水域保护规划》；</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（5）《永川区土地利用总体规划(2006-2020年)》。</w:t>
      </w:r>
    </w:p>
    <w:p>
      <w:pPr>
        <w:widowControl w:val="0"/>
        <w:ind w:firstLine="640"/>
        <w:rPr>
          <w:rFonts w:hint="eastAsia" w:ascii="方正仿宋_GBK" w:hAnsi="方正仿宋_GBK" w:cs="方正仿宋_GBK"/>
          <w:color w:val="auto"/>
          <w:szCs w:val="32"/>
        </w:rPr>
      </w:pPr>
      <w:bookmarkStart w:id="30" w:name="_Toc48318205"/>
      <w:bookmarkStart w:id="31" w:name="_Toc45198222"/>
      <w:r>
        <w:rPr>
          <w:rFonts w:hint="eastAsia" w:ascii="方正仿宋_GBK" w:hAnsi="方正仿宋_GBK" w:cs="方正仿宋_GBK"/>
          <w:color w:val="auto"/>
          <w:szCs w:val="32"/>
        </w:rPr>
        <w:t>1.4.4  工程计算依据</w:t>
      </w:r>
      <w:bookmarkEnd w:id="30"/>
      <w:bookmarkEnd w:id="31"/>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本规划工程投资估算主要采用</w:t>
      </w:r>
      <w:sdt>
        <w:sdtPr>
          <w:rPr>
            <w:color w:val="auto"/>
          </w:rPr>
          <w:alias w:val="敏感词检查"/>
          <w:id w:val="132224"/>
        </w:sdtPr>
        <w:sdtEndPr>
          <w:rPr>
            <w:color w:val="auto"/>
          </w:rPr>
        </w:sdtEndPr>
        <w:sdtContent>
          <w:bookmarkStart w:id="32" w:name="bkPolitics132224"/>
          <w:r>
            <w:rPr>
              <w:rFonts w:hint="eastAsia" w:ascii="方正仿宋_GBK" w:hAnsi="方正仿宋_GBK" w:cs="方正仿宋_GBK"/>
              <w:color w:val="auto"/>
            </w:rPr>
            <w:t>建设部</w:t>
          </w:r>
          <w:bookmarkEnd w:id="32"/>
        </w:sdtContent>
      </w:sdt>
      <w:r>
        <w:rPr>
          <w:rFonts w:hint="eastAsia" w:ascii="方正仿宋_GBK" w:hAnsi="方正仿宋_GBK" w:cs="方正仿宋_GBK"/>
          <w:color w:val="auto"/>
        </w:rPr>
        <w:t>《全国市政工程投资估算指标》（HGZ47-104-2007）及国家给水排水工程研究中心编制的《给水排水概预算与经济评价手册》，同时结合重庆市定额、取费标准、材料价格等具体情况，加以适当调整。定额依据如下：</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（1）《重庆市市政工程预算定额》（2018版）；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（2）《重庆市安装工程费用定额》（2018版）；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（3）《重庆市建筑工程计价定额》（2018版）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（4）《重庆市建设工程施工取费定额》（2018版）；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（5）《重庆市建设工程费用定额》。</w:t>
      </w:r>
    </w:p>
    <w:p>
      <w:pPr>
        <w:widowControl w:val="0"/>
        <w:spacing w:line="274" w:lineRule="auto"/>
        <w:ind w:firstLine="640"/>
        <w:rPr>
          <w:rFonts w:hint="eastAsia" w:ascii="方正楷体_GBK" w:hAnsi="方正楷体_GBK" w:eastAsia="方正楷体_GBK" w:cs="方正楷体_GBK"/>
          <w:color w:val="auto"/>
        </w:rPr>
      </w:pPr>
      <w:bookmarkStart w:id="33" w:name="_Toc48318206"/>
      <w:bookmarkStart w:id="34" w:name="_Toc43287796"/>
      <w:bookmarkStart w:id="35" w:name="_Toc45198223"/>
      <w:r>
        <w:rPr>
          <w:rFonts w:hint="eastAsia" w:ascii="方正楷体_GBK" w:hAnsi="方正楷体_GBK" w:eastAsia="方正楷体_GBK" w:cs="方正楷体_GBK"/>
          <w:color w:val="auto"/>
        </w:rPr>
        <w:t>1.5  基本原则</w:t>
      </w:r>
      <w:bookmarkEnd w:id="33"/>
      <w:bookmarkEnd w:id="34"/>
      <w:bookmarkEnd w:id="35"/>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（1）近远结合，科学安排</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围绕改善农村水环境，突出饮用水源和水生态环境的保护，近期和远期相结合，实行先易后难，先环境敏感区和污染严重地区后一般地区的次序，典型示范，以点带面，梯度推进，全面覆盖。坚持建设与管理并重，加强日常维护运行，确保治污设施发挥作用。</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综合评判农村生活污水治理的环境效益、社会效益、经济效益和</w:t>
      </w:r>
      <w:sdt>
        <w:sdtPr>
          <w:rPr>
            <w:color w:val="auto"/>
          </w:rPr>
          <w:alias w:val="非推荐词"/>
          <w:id w:val="161702"/>
        </w:sdtPr>
        <w:sdtEndPr>
          <w:rPr>
            <w:color w:val="auto"/>
          </w:rPr>
        </w:sdtEndPr>
        <w:sdtContent>
          <w:bookmarkStart w:id="36" w:name="bkReivew161702"/>
          <w:r>
            <w:rPr>
              <w:rFonts w:hint="eastAsia" w:ascii="方正仿宋_GBK" w:hAnsi="方正仿宋_GBK" w:cs="方正仿宋_GBK"/>
              <w:color w:val="auto"/>
            </w:rPr>
            <w:t>其</w:t>
          </w:r>
          <w:bookmarkEnd w:id="36"/>
          <w:r>
            <w:rPr>
              <w:rFonts w:hint="eastAsia" w:ascii="方正仿宋_GBK" w:hAnsi="方正仿宋_GBK" w:cs="方正仿宋_GBK"/>
              <w:color w:val="auto"/>
              <w:lang w:eastAsia="zh-CN"/>
            </w:rPr>
            <w:t>他</w:t>
          </w:r>
        </w:sdtContent>
      </w:sdt>
      <w:r>
        <w:rPr>
          <w:rFonts w:hint="eastAsia" w:ascii="方正仿宋_GBK" w:hAnsi="方正仿宋_GBK" w:cs="方正仿宋_GBK"/>
          <w:color w:val="auto"/>
        </w:rPr>
        <w:t>衍生效益，按照技术经济合理的要求，提出切实可行的农村生活污水治理模式。</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区位条件允许的村庄纳管处理，充分发挥城镇污水处理厂的辐射效用，提高集中污水设施利用率；对不能纳管处理的村庄，在充分利用现有设施的基础上，采用改建、扩建和新建等方式，建设和改造农村生活污水处理设施。</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（2）因地制宜，合理布局</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村庄不同的区域位置、地形地貌、土壤植被和受纳水体的环境背景等条件，充分考虑水源保护区、自然保护区、水源涵养区、生态源头地区、江河流域等不同敏感区域的敏感程度、环境容量、自净能力和区域社会发展水平及发展趋势等，提出经济实用，管理方便的农村生活污水处理技术工艺。</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（3）统筹兼顾，突出重点</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结合镇村布局规划，编制专项规划和行动计划，统筹实施城乡、区域生活污水治理。坚持环境敏感区域和规模较大村庄优先，突出规划发展村庄和撤并镇街场镇所在地村庄的生活污水治理。</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在综合考虑各种类型的村庄具体情况和水处理技术及相关工程资源的可用性，土地资源可用性和污水收集与处理工程成本效益分析的基础上，提出不同类型村庄的污水治理方案。</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（4）完善机制，长效运行</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以永川区域总体规划和环境保护规划为先导，充分考虑城乡统筹发展、经济社会发展状况和环境功能区划、生态环境容量及人口分布等因素，从全局和整体上科学安排全区农村生活污水治理工作。</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紧紧围绕绿色低碳生态，结合农田灌溉回用、生态保护修复和环境景观建设，突出水资源和氮磷资源的循环利用，努力实现村庄生活污水治理与生态农业发展、农村生态文明建设有机衔接。探索粪便污水与其他生活污水分类收集处理，推进污水源头分类和资源化利用。</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（5）政府引导，多方参与</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坚持“政府主导，农民主体，社会参与”的工作要求，加强政府调控和引导，抓好各项配套政策的制订和落实，优化资金配置，积极动员社会力量广泛参与，共同推进农村生活污水治理工作。</w:t>
      </w:r>
    </w:p>
    <w:p>
      <w:pPr>
        <w:widowControl w:val="0"/>
        <w:spacing w:line="274" w:lineRule="auto"/>
        <w:ind w:firstLine="640"/>
        <w:rPr>
          <w:rFonts w:hint="eastAsia" w:ascii="方正楷体_GBK" w:hAnsi="方正楷体_GBK" w:eastAsia="方正楷体_GBK" w:cs="方正楷体_GBK"/>
          <w:color w:val="auto"/>
        </w:rPr>
      </w:pPr>
      <w:bookmarkStart w:id="37" w:name="_Toc41913964"/>
      <w:bookmarkStart w:id="38" w:name="_Toc45198224"/>
      <w:bookmarkStart w:id="39" w:name="_Toc48318207"/>
      <w:r>
        <w:rPr>
          <w:rFonts w:hint="eastAsia" w:ascii="方正楷体_GBK" w:hAnsi="方正楷体_GBK" w:eastAsia="方正楷体_GBK" w:cs="方正楷体_GBK"/>
          <w:color w:val="auto"/>
        </w:rPr>
        <w:t>1.6  规划内容</w:t>
      </w:r>
      <w:bookmarkEnd w:id="37"/>
      <w:bookmarkEnd w:id="38"/>
      <w:bookmarkEnd w:id="39"/>
    </w:p>
    <w:p>
      <w:pPr>
        <w:widowControl w:val="0"/>
        <w:spacing w:line="274" w:lineRule="auto"/>
        <w:ind w:firstLine="640"/>
        <w:rPr>
          <w:rFonts w:hint="eastAsia"/>
          <w:color w:val="auto"/>
        </w:rPr>
      </w:pPr>
      <w:r>
        <w:rPr>
          <w:rFonts w:hint="eastAsia"/>
          <w:color w:val="auto"/>
        </w:rPr>
        <w:t>永川区农村生活污水治理专项规划包括农村生活污水处理设施建设改造规划和农村生活污水处理设施运维管理规划两部分内容。其中：</w:t>
      </w:r>
    </w:p>
    <w:p>
      <w:pPr>
        <w:widowControl w:val="0"/>
        <w:spacing w:line="274" w:lineRule="auto"/>
        <w:ind w:firstLine="640"/>
        <w:rPr>
          <w:rFonts w:hint="eastAsia"/>
          <w:color w:val="auto"/>
        </w:rPr>
      </w:pPr>
      <w:r>
        <w:rPr>
          <w:rFonts w:hint="eastAsia"/>
          <w:color w:val="auto"/>
        </w:rPr>
        <w:t>农村生活污水处理设施建设改造规划主要包括：对农村污水处理设施运行情况进行排查，对存在的问题提出改造计划或解决措施，并制定实施方案逐年落实。</w:t>
      </w:r>
    </w:p>
    <w:p>
      <w:pPr>
        <w:widowControl w:val="0"/>
        <w:spacing w:line="274" w:lineRule="auto"/>
        <w:ind w:firstLine="640"/>
        <w:rPr>
          <w:rFonts w:hint="eastAsia"/>
          <w:color w:val="auto"/>
        </w:rPr>
      </w:pPr>
      <w:r>
        <w:rPr>
          <w:rFonts w:hint="eastAsia"/>
          <w:color w:val="auto"/>
        </w:rPr>
        <w:t>农村生活污水处理设施运维管理规划主要包括：确定建设项目管理制度；确立农村生活污水处理设施运行维护的要求和内容、模式，制定运行维护费用方案；制定运行管理制度；建立健全数字化管理平台。</w:t>
      </w:r>
    </w:p>
    <w:p>
      <w:pPr>
        <w:widowControl w:val="0"/>
        <w:spacing w:line="274" w:lineRule="auto"/>
        <w:ind w:firstLine="640"/>
        <w:rPr>
          <w:rFonts w:hint="eastAsia" w:ascii="方正楷体_GBK" w:hAnsi="方正楷体_GBK" w:eastAsia="方正楷体_GBK" w:cs="方正楷体_GBK"/>
          <w:color w:val="auto"/>
        </w:rPr>
      </w:pPr>
      <w:bookmarkStart w:id="40" w:name="_Toc48318208"/>
      <w:bookmarkStart w:id="41" w:name="_Toc45198225"/>
      <w:bookmarkStart w:id="42" w:name="_Toc43287798"/>
      <w:r>
        <w:rPr>
          <w:rFonts w:hint="eastAsia" w:ascii="方正楷体_GBK" w:hAnsi="方正楷体_GBK" w:eastAsia="方正楷体_GBK" w:cs="方正楷体_GBK"/>
          <w:color w:val="auto"/>
        </w:rPr>
        <w:t>1.7  规划范围</w:t>
      </w:r>
      <w:bookmarkEnd w:id="40"/>
      <w:bookmarkEnd w:id="41"/>
      <w:bookmarkEnd w:id="42"/>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本规划范围为永川区所有村和涉农社区，包括7个街道，16个镇，涉及20个涉农社区、206个行政村。根据重庆市《2019年农村生活污水治理工作方案》，要求结合实际，以全市饮用水水源保护区、自然保护区、重要生态功能区等环境敏感区域，沿高铁两线、沿高速两旁、沿江（长江、嘉陵江、乌江）两岸、沿旅游景区周边以及沿城郊环线等“五沿”区域，常住人口1000人以上的农村居民聚居点等“三区五沿一点”区域为重点，按照生态环境部相关要求，指导各区县编制农村生活污水治理专项规划（方案），实行农村生活污水处理统一规划、统一建设、统一运行、统一管理。结合重庆市相关部门对重庆市各区县农村生活污水治理专项规划的要求，本规划将规划范围分为优先区域和一般区域。</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优先区域包括三区、五沿、38流域、水质需改善控制单元范围。其中，三区指饮用水源保护区、自然保护区、风景名胜区；五沿指沿三江、沿风景名胜区、沿建成区、沿铁路、沿高速；38流域指长江、嘉陵江、乌江及流域面积大于500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的支流控制单元。根据相关数据统计，流域面积大于500km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的支流控制单元有临江河流域（面积558km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），涉及水质需改善控制单元有小安溪和九龙河永川控制单元，综合“三区”涉及区域，统计出</w:t>
      </w:r>
      <w:r>
        <w:rPr>
          <w:rFonts w:hint="eastAsia"/>
          <w:color w:val="auto"/>
        </w:rPr>
        <w:t>永</w:t>
      </w:r>
      <w:r>
        <w:rPr>
          <w:rFonts w:hint="eastAsia" w:ascii="方正仿宋_GBK" w:hAnsi="方正仿宋_GBK" w:cs="方正仿宋_GBK"/>
          <w:color w:val="auto"/>
        </w:rPr>
        <w:t>川区涉及优先区域的村（涉农社区）共计189个。优先区域以外</w:t>
      </w:r>
      <w:sdt>
        <w:sdtPr>
          <w:rPr>
            <w:color w:val="auto"/>
          </w:rPr>
          <w:alias w:val="易错词检查"/>
          <w:id w:val="2081204"/>
        </w:sdtPr>
        <w:sdtEndPr>
          <w:rPr>
            <w:color w:val="auto"/>
          </w:rPr>
        </w:sdtEndPr>
        <w:sdtContent>
          <w:bookmarkStart w:id="43" w:name="bkReivew2081204"/>
          <w:r>
            <w:rPr>
              <w:rFonts w:hint="eastAsia" w:ascii="方正仿宋_GBK" w:hAnsi="方正仿宋_GBK" w:cs="方正仿宋_GBK"/>
              <w:color w:val="auto"/>
            </w:rPr>
            <w:t>的</w:t>
          </w:r>
          <w:bookmarkEnd w:id="43"/>
        </w:sdtContent>
      </w:sdt>
      <w:r>
        <w:rPr>
          <w:rFonts w:hint="eastAsia" w:ascii="方正仿宋_GBK" w:hAnsi="方正仿宋_GBK" w:cs="方正仿宋_GBK"/>
          <w:color w:val="auto"/>
        </w:rPr>
        <w:t>村和涉农社区为一般区域，共计37个。</w:t>
      </w:r>
    </w:p>
    <w:p>
      <w:pPr>
        <w:widowControl w:val="0"/>
        <w:spacing w:line="274" w:lineRule="auto"/>
        <w:ind w:firstLine="640"/>
        <w:rPr>
          <w:rFonts w:hint="eastAsia" w:ascii="方正楷体_GBK" w:hAnsi="方正楷体_GBK" w:eastAsia="方正楷体_GBK" w:cs="方正楷体_GBK"/>
          <w:color w:val="auto"/>
        </w:rPr>
      </w:pPr>
      <w:bookmarkStart w:id="44" w:name="_Toc48318209"/>
      <w:bookmarkStart w:id="45" w:name="_Toc45198226"/>
      <w:bookmarkStart w:id="46" w:name="_Toc40965371"/>
      <w:r>
        <w:rPr>
          <w:rFonts w:hint="eastAsia" w:ascii="方正楷体_GBK" w:hAnsi="方正楷体_GBK" w:eastAsia="方正楷体_GBK" w:cs="方正楷体_GBK"/>
          <w:color w:val="auto"/>
        </w:rPr>
        <w:t>1.8  规划年限</w:t>
      </w:r>
      <w:bookmarkEnd w:id="44"/>
      <w:bookmarkEnd w:id="45"/>
      <w:bookmarkEnd w:id="46"/>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规划基准年为2020年（文中各类基础信息源于2018-2020年统计资料）。规划年限为近期-远期，其中近期为2021-2025年，远期与永川区各镇街总体规划保持一致，至2030年，即2026-2030年。</w:t>
      </w:r>
    </w:p>
    <w:p>
      <w:pPr>
        <w:widowControl w:val="0"/>
        <w:spacing w:line="274" w:lineRule="auto"/>
        <w:ind w:firstLine="640"/>
        <w:rPr>
          <w:rFonts w:hint="eastAsia" w:ascii="方正楷体_GBK" w:hAnsi="方正楷体_GBK" w:eastAsia="方正楷体_GBK" w:cs="方正楷体_GBK"/>
          <w:color w:val="auto"/>
        </w:rPr>
      </w:pPr>
      <w:bookmarkStart w:id="47" w:name="_Toc48318210"/>
      <w:bookmarkStart w:id="48" w:name="_Toc45198227"/>
      <w:r>
        <w:rPr>
          <w:rFonts w:hint="eastAsia" w:ascii="方正楷体_GBK" w:hAnsi="方正楷体_GBK" w:eastAsia="方正楷体_GBK" w:cs="方正楷体_GBK"/>
          <w:color w:val="auto"/>
        </w:rPr>
        <w:t>1.9  规划目标</w:t>
      </w:r>
      <w:bookmarkEnd w:id="47"/>
      <w:bookmarkEnd w:id="48"/>
    </w:p>
    <w:p>
      <w:pPr>
        <w:widowControl w:val="0"/>
        <w:ind w:firstLine="640"/>
        <w:rPr>
          <w:rFonts w:hint="eastAsia" w:ascii="方正仿宋_GBK" w:hAnsi="方正仿宋_GBK" w:cs="方正仿宋_GBK"/>
          <w:color w:val="auto"/>
        </w:rPr>
      </w:pPr>
      <w:bookmarkStart w:id="49" w:name="_Toc45198228"/>
      <w:bookmarkStart w:id="50" w:name="_Toc48318211"/>
      <w:bookmarkStart w:id="51" w:name="_Toc43911281"/>
      <w:r>
        <w:rPr>
          <w:rFonts w:hint="eastAsia" w:ascii="方正仿宋_GBK" w:hAnsi="方正仿宋_GBK" w:cs="方正仿宋_GBK"/>
          <w:color w:val="auto"/>
        </w:rPr>
        <w:t>1.9.1  数据来源</w:t>
      </w:r>
      <w:bookmarkEnd w:id="49"/>
      <w:bookmarkEnd w:id="50"/>
      <w:bookmarkEnd w:id="51"/>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数据来源于永川区农村生活污水信息填报系统；永川区各部门提供的相关数据资料，包括各农村污水处理厂（站）历年监测数据、各流域范围数据、永川区城乡总体规划等。</w:t>
      </w:r>
    </w:p>
    <w:p>
      <w:pPr>
        <w:widowControl w:val="0"/>
        <w:ind w:firstLine="640"/>
        <w:rPr>
          <w:rFonts w:hint="eastAsia" w:ascii="方正仿宋_GBK" w:hAnsi="方正仿宋_GBK" w:cs="方正仿宋_GBK"/>
          <w:color w:val="auto"/>
        </w:rPr>
      </w:pPr>
      <w:bookmarkStart w:id="52" w:name="_Toc45198229"/>
      <w:bookmarkStart w:id="53" w:name="_Toc43911282"/>
      <w:bookmarkStart w:id="54" w:name="_Toc48318212"/>
      <w:r>
        <w:rPr>
          <w:rFonts w:hint="eastAsia" w:ascii="方正仿宋_GBK" w:hAnsi="方正仿宋_GBK" w:cs="方正仿宋_GBK"/>
          <w:color w:val="auto"/>
        </w:rPr>
        <w:t>1.9.2  分析过程</w:t>
      </w:r>
      <w:bookmarkEnd w:id="52"/>
      <w:bookmarkEnd w:id="53"/>
      <w:bookmarkEnd w:id="54"/>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本规划主要通过分析农村生活污水得到治理的农户覆盖率和农村生活污水治理率2个综合指标，来反映永川区农村生活污水治理的目标成效。计算方法如下：</w:t>
      </w:r>
    </w:p>
    <w:p>
      <w:pPr>
        <w:widowControl w:val="0"/>
        <w:spacing w:line="274" w:lineRule="auto"/>
        <w:ind w:firstLine="640"/>
        <w:rPr>
          <w:rFonts w:hint="eastAsia"/>
          <w:color w:val="auto"/>
        </w:rPr>
      </w:pPr>
      <w:bookmarkStart w:id="55" w:name="_Toc48318213"/>
      <w:r>
        <w:rPr>
          <w:rFonts w:hint="eastAsia"/>
          <w:color w:val="auto"/>
        </w:rPr>
        <w:t>（1）农村生活污水得到治理的农户覆盖率</w:t>
      </w:r>
      <w:bookmarkEnd w:id="55"/>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指标定义：通过纳管处理、集中设施处理、联户处理、单户利用的治理模式，生活污水得到治理的常住户数占区域常住总户数的比例。</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计算公式：农村生活污水得到治理的农户覆盖率（%）=[∑得到纳管处理的常住户数（户）+∑得到集中设施处理的常住户数（户）+∑得到联户处理的常住户数（户）+∑得到单户利用的常住户数（户）]÷∑区域常住户数（户）</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说明：①联户处理：包括小型一体化污水处理设施，人工湿地，化粪池（二格及以上）+尾水还田利用等；</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②改厕数据可能包含部分已纳管、集中设施、联户处理的常住户数，需适当扣除。</w:t>
      </w:r>
    </w:p>
    <w:p>
      <w:pPr>
        <w:widowControl w:val="0"/>
        <w:spacing w:line="274" w:lineRule="auto"/>
        <w:ind w:firstLine="640"/>
        <w:rPr>
          <w:rFonts w:hint="eastAsia" w:ascii="方正仿宋_GBK" w:hAnsi="方正仿宋_GBK" w:cs="方正仿宋_GBK"/>
          <w:color w:val="auto"/>
        </w:rPr>
      </w:pPr>
      <w:bookmarkStart w:id="56" w:name="_Toc48318214"/>
      <w:r>
        <w:rPr>
          <w:rFonts w:hint="eastAsia" w:ascii="方正仿宋_GBK" w:hAnsi="方正仿宋_GBK" w:cs="方正仿宋_GBK"/>
          <w:color w:val="auto"/>
        </w:rPr>
        <w:t>（2）农村生活污水治理率</w:t>
      </w:r>
      <w:bookmarkEnd w:id="56"/>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指标定义：通过纳管处理、集中设施处理、联户处理、单户利用的治理模式，得到治理的生活污水量占区域生活污水总量的比例。计算公式如下：</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农村生活污水治理率（%）=[∑（得到纳管处理的常住人口</w:t>
      </w:r>
      <w:sdt>
        <w:sdtPr>
          <w:rPr>
            <w:color w:val="auto"/>
          </w:rPr>
          <w:alias w:val="标点符号检查"/>
          <w:id w:val="1061756"/>
        </w:sdtPr>
        <w:sdtEndPr>
          <w:rPr>
            <w:color w:val="auto"/>
          </w:rPr>
        </w:sdtEndPr>
        <w:sdtContent>
          <w:bookmarkStart w:id="57" w:name="bkReivew1061756"/>
          <w:r>
            <w:rPr>
              <w:rFonts w:hint="eastAsia" w:ascii="方正仿宋_GBK" w:hAnsi="方正仿宋_GBK" w:cs="方正仿宋_GBK"/>
              <w:color w:val="auto"/>
            </w:rPr>
            <w:t>（</w:t>
          </w:r>
          <w:bookmarkEnd w:id="57"/>
        </w:sdtContent>
      </w:sdt>
      <w:r>
        <w:rPr>
          <w:rFonts w:hint="eastAsia" w:ascii="方正仿宋_GBK" w:hAnsi="方正仿宋_GBK" w:cs="方正仿宋_GBK"/>
          <w:color w:val="auto"/>
        </w:rPr>
        <w:t>人</w:t>
      </w:r>
      <w:sdt>
        <w:sdtPr>
          <w:rPr>
            <w:color w:val="auto"/>
          </w:rPr>
          <w:alias w:val="标点符号检查"/>
          <w:id w:val="3163654"/>
        </w:sdtPr>
        <w:sdtEndPr>
          <w:rPr>
            <w:color w:val="auto"/>
          </w:rPr>
        </w:sdtEndPr>
        <w:sdtContent>
          <w:bookmarkStart w:id="58" w:name="bkReivew3163654"/>
          <w:r>
            <w:rPr>
              <w:rFonts w:hint="eastAsia" w:ascii="方正仿宋_GBK" w:hAnsi="方正仿宋_GBK" w:cs="方正仿宋_GBK"/>
              <w:color w:val="auto"/>
            </w:rPr>
            <w:t>）</w:t>
          </w:r>
          <w:bookmarkEnd w:id="58"/>
        </w:sdtContent>
      </w:sdt>
      <w:r>
        <w:rPr>
          <w:rFonts w:hint="eastAsia" w:ascii="方正仿宋_GBK" w:hAnsi="方正仿宋_GBK" w:cs="方正仿宋_GBK"/>
          <w:color w:val="auto"/>
        </w:rPr>
        <w:t>×人均污水排放量）+∑（得到集中设施处理的常住人口</w:t>
      </w:r>
      <w:sdt>
        <w:sdtPr>
          <w:rPr>
            <w:color w:val="auto"/>
          </w:rPr>
          <w:alias w:val="标点符号检查"/>
          <w:id w:val="1032052"/>
        </w:sdtPr>
        <w:sdtEndPr>
          <w:rPr>
            <w:color w:val="auto"/>
          </w:rPr>
        </w:sdtEndPr>
        <w:sdtContent>
          <w:bookmarkStart w:id="59" w:name="bkReivew1032052"/>
          <w:r>
            <w:rPr>
              <w:rFonts w:hint="eastAsia" w:ascii="方正仿宋_GBK" w:hAnsi="方正仿宋_GBK" w:cs="方正仿宋_GBK"/>
              <w:color w:val="auto"/>
            </w:rPr>
            <w:t>（</w:t>
          </w:r>
          <w:bookmarkEnd w:id="59"/>
        </w:sdtContent>
      </w:sdt>
      <w:r>
        <w:rPr>
          <w:rFonts w:hint="eastAsia" w:ascii="方正仿宋_GBK" w:hAnsi="方正仿宋_GBK" w:cs="方正仿宋_GBK"/>
          <w:color w:val="auto"/>
        </w:rPr>
        <w:t>人</w:t>
      </w:r>
      <w:sdt>
        <w:sdtPr>
          <w:rPr>
            <w:color w:val="auto"/>
          </w:rPr>
          <w:alias w:val="标点符号检查"/>
          <w:id w:val="3121554"/>
        </w:sdtPr>
        <w:sdtEndPr>
          <w:rPr>
            <w:color w:val="auto"/>
          </w:rPr>
        </w:sdtEndPr>
        <w:sdtContent>
          <w:bookmarkStart w:id="60" w:name="bkReivew3121554"/>
          <w:r>
            <w:rPr>
              <w:rFonts w:hint="eastAsia" w:ascii="方正仿宋_GBK" w:hAnsi="方正仿宋_GBK" w:cs="方正仿宋_GBK"/>
              <w:color w:val="auto"/>
            </w:rPr>
            <w:t>）</w:t>
          </w:r>
          <w:bookmarkEnd w:id="60"/>
        </w:sdtContent>
      </w:sdt>
      <w:r>
        <w:rPr>
          <w:rFonts w:hint="eastAsia" w:ascii="方正仿宋_GBK" w:hAnsi="方正仿宋_GBK" w:cs="方正仿宋_GBK"/>
          <w:color w:val="auto"/>
        </w:rPr>
        <w:t>×人均污水排放量）+∑（得到联户处理的常住人口</w:t>
      </w:r>
      <w:sdt>
        <w:sdtPr>
          <w:rPr>
            <w:color w:val="auto"/>
          </w:rPr>
          <w:alias w:val="标点符号检查"/>
          <w:id w:val="2053021"/>
        </w:sdtPr>
        <w:sdtEndPr>
          <w:rPr>
            <w:color w:val="auto"/>
          </w:rPr>
        </w:sdtEndPr>
        <w:sdtContent>
          <w:bookmarkStart w:id="61" w:name="bkReivew2053021"/>
          <w:r>
            <w:rPr>
              <w:rFonts w:hint="eastAsia" w:ascii="方正仿宋_GBK" w:hAnsi="方正仿宋_GBK" w:cs="方正仿宋_GBK"/>
              <w:color w:val="auto"/>
            </w:rPr>
            <w:t>（</w:t>
          </w:r>
          <w:bookmarkEnd w:id="61"/>
        </w:sdtContent>
      </w:sdt>
      <w:r>
        <w:rPr>
          <w:rFonts w:hint="eastAsia" w:ascii="方正仿宋_GBK" w:hAnsi="方正仿宋_GBK" w:cs="方正仿宋_GBK"/>
          <w:color w:val="auto"/>
        </w:rPr>
        <w:t>人</w:t>
      </w:r>
      <w:sdt>
        <w:sdtPr>
          <w:rPr>
            <w:color w:val="auto"/>
          </w:rPr>
          <w:alias w:val="标点符号检查"/>
          <w:id w:val="2131756"/>
        </w:sdtPr>
        <w:sdtEndPr>
          <w:rPr>
            <w:color w:val="auto"/>
          </w:rPr>
        </w:sdtEndPr>
        <w:sdtContent>
          <w:bookmarkStart w:id="62" w:name="bkReivew2131756"/>
          <w:r>
            <w:rPr>
              <w:rFonts w:hint="eastAsia" w:ascii="方正仿宋_GBK" w:hAnsi="方正仿宋_GBK" w:cs="方正仿宋_GBK"/>
              <w:color w:val="auto"/>
            </w:rPr>
            <w:t>）</w:t>
          </w:r>
          <w:bookmarkEnd w:id="62"/>
        </w:sdtContent>
      </w:sdt>
      <w:r>
        <w:rPr>
          <w:rFonts w:hint="eastAsia" w:ascii="方正仿宋_GBK" w:hAnsi="方正仿宋_GBK" w:cs="方正仿宋_GBK"/>
          <w:color w:val="auto"/>
        </w:rPr>
        <w:t>×人均污水排放量）+∑（得到单户利用的常住人口</w:t>
      </w:r>
      <w:sdt>
        <w:sdtPr>
          <w:rPr>
            <w:color w:val="auto"/>
          </w:rPr>
          <w:alias w:val="标点符号检查"/>
          <w:id w:val="123512"/>
        </w:sdtPr>
        <w:sdtEndPr>
          <w:rPr>
            <w:color w:val="auto"/>
          </w:rPr>
        </w:sdtEndPr>
        <w:sdtContent>
          <w:bookmarkStart w:id="63" w:name="bkReivew123512"/>
          <w:r>
            <w:rPr>
              <w:rFonts w:hint="eastAsia" w:ascii="方正仿宋_GBK" w:hAnsi="方正仿宋_GBK" w:cs="方正仿宋_GBK"/>
              <w:color w:val="auto"/>
            </w:rPr>
            <w:t>（</w:t>
          </w:r>
          <w:bookmarkEnd w:id="63"/>
        </w:sdtContent>
      </w:sdt>
      <w:r>
        <w:rPr>
          <w:rFonts w:hint="eastAsia" w:ascii="方正仿宋_GBK" w:hAnsi="方正仿宋_GBK" w:cs="方正仿宋_GBK"/>
          <w:color w:val="auto"/>
        </w:rPr>
        <w:t>人</w:t>
      </w:r>
      <w:sdt>
        <w:sdtPr>
          <w:rPr>
            <w:color w:val="auto"/>
          </w:rPr>
          <w:alias w:val="标点符号检查"/>
          <w:id w:val="3003640"/>
        </w:sdtPr>
        <w:sdtEndPr>
          <w:rPr>
            <w:color w:val="auto"/>
          </w:rPr>
        </w:sdtEndPr>
        <w:sdtContent>
          <w:bookmarkStart w:id="64" w:name="bkReivew3003640"/>
          <w:r>
            <w:rPr>
              <w:rFonts w:hint="eastAsia" w:ascii="方正仿宋_GBK" w:hAnsi="方正仿宋_GBK" w:cs="方正仿宋_GBK"/>
              <w:color w:val="auto"/>
            </w:rPr>
            <w:t>）</w:t>
          </w:r>
          <w:bookmarkEnd w:id="64"/>
        </w:sdtContent>
      </w:sdt>
      <w:r>
        <w:rPr>
          <w:rFonts w:hint="eastAsia" w:ascii="方正仿宋_GBK" w:hAnsi="方正仿宋_GBK" w:cs="方正仿宋_GBK"/>
          <w:color w:val="auto"/>
        </w:rPr>
        <w:t>×人均污水排放量×资源化利用系数）]/∑（区域常住人口</w:t>
      </w:r>
      <w:sdt>
        <w:sdtPr>
          <w:rPr>
            <w:color w:val="auto"/>
          </w:rPr>
          <w:alias w:val="标点符号检查"/>
          <w:id w:val="151640"/>
        </w:sdtPr>
        <w:sdtEndPr>
          <w:rPr>
            <w:color w:val="auto"/>
          </w:rPr>
        </w:sdtEndPr>
        <w:sdtContent>
          <w:bookmarkStart w:id="65" w:name="bkReivew151640"/>
          <w:r>
            <w:rPr>
              <w:rFonts w:hint="eastAsia" w:ascii="方正仿宋_GBK" w:hAnsi="方正仿宋_GBK" w:cs="方正仿宋_GBK"/>
              <w:color w:val="auto"/>
            </w:rPr>
            <w:t>（</w:t>
          </w:r>
          <w:bookmarkEnd w:id="65"/>
        </w:sdtContent>
      </w:sdt>
      <w:r>
        <w:rPr>
          <w:rFonts w:hint="eastAsia" w:ascii="方正仿宋_GBK" w:hAnsi="方正仿宋_GBK" w:cs="方正仿宋_GBK"/>
          <w:color w:val="auto"/>
        </w:rPr>
        <w:t>人</w:t>
      </w:r>
      <w:sdt>
        <w:sdtPr>
          <w:rPr>
            <w:color w:val="auto"/>
          </w:rPr>
          <w:alias w:val="标点符号检查"/>
          <w:id w:val="1022752"/>
        </w:sdtPr>
        <w:sdtEndPr>
          <w:rPr>
            <w:color w:val="auto"/>
          </w:rPr>
        </w:sdtEndPr>
        <w:sdtContent>
          <w:bookmarkStart w:id="66" w:name="bkReivew1022752"/>
          <w:r>
            <w:rPr>
              <w:rFonts w:hint="eastAsia" w:ascii="方正仿宋_GBK" w:hAnsi="方正仿宋_GBK" w:cs="方正仿宋_GBK"/>
              <w:color w:val="auto"/>
            </w:rPr>
            <w:t>）</w:t>
          </w:r>
          <w:bookmarkEnd w:id="66"/>
        </w:sdtContent>
      </w:sdt>
      <w:r>
        <w:rPr>
          <w:rFonts w:hint="eastAsia" w:ascii="方正仿宋_GBK" w:hAnsi="方正仿宋_GBK" w:cs="方正仿宋_GBK"/>
          <w:color w:val="auto"/>
        </w:rPr>
        <w:t>×人均污水排放量）</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①人均污水排放量：可参考《农村生活污水处理工程技术标准》（GB/T51347-2019）取值，升/人.天。计算时，可默认集中区域、分散区域人均污水排放量相同。</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②资源化利用系数：根据改厕类型及实际还田量确定。参考如，卫生厕所（无害化卫生厕所）+粪污水还田利用，可取0.4。</w:t>
      </w:r>
    </w:p>
    <w:p>
      <w:pPr>
        <w:widowControl w:val="0"/>
        <w:ind w:firstLine="640"/>
        <w:rPr>
          <w:rFonts w:hint="eastAsia" w:ascii="方正仿宋_GBK" w:hAnsi="方正仿宋_GBK" w:cs="方正仿宋_GBK"/>
          <w:color w:val="auto"/>
        </w:rPr>
      </w:pPr>
      <w:bookmarkStart w:id="67" w:name="_Toc43911283"/>
      <w:bookmarkStart w:id="68" w:name="_Toc45198230"/>
      <w:bookmarkStart w:id="69" w:name="_Toc48318215"/>
      <w:r>
        <w:rPr>
          <w:rFonts w:hint="eastAsia" w:ascii="方正仿宋_GBK" w:hAnsi="方正仿宋_GBK" w:cs="方正仿宋_GBK"/>
          <w:color w:val="auto"/>
        </w:rPr>
        <w:t>1.9.3  分析结果</w:t>
      </w:r>
      <w:bookmarkEnd w:id="67"/>
      <w:bookmarkEnd w:id="68"/>
      <w:bookmarkEnd w:id="69"/>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到2025年，农村生活污水得到治理的农户覆盖率达到81.65%；农村生活污水治理率达到52.16%。相对现状，分别提高了39.81个分点和26.23个分点。规划目标见表1.9-1。</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表1.9-1  规划指标</w:t>
      </w:r>
    </w:p>
    <w:tbl>
      <w:tblPr>
        <w:tblStyle w:val="25"/>
        <w:tblW w:w="0" w:type="auto"/>
        <w:tblInd w:w="0" w:type="dxa"/>
        <w:tblLayout w:type="fixed"/>
        <w:tblCellMar>
          <w:top w:w="0" w:type="dxa"/>
          <w:left w:w="108" w:type="dxa"/>
          <w:bottom w:w="0" w:type="dxa"/>
          <w:right w:w="108" w:type="dxa"/>
        </w:tblCellMar>
      </w:tblPr>
      <w:tblGrid>
        <w:gridCol w:w="781"/>
        <w:gridCol w:w="769"/>
        <w:gridCol w:w="4524"/>
        <w:gridCol w:w="1213"/>
        <w:gridCol w:w="1774"/>
      </w:tblGrid>
      <w:tr>
        <w:tblPrEx>
          <w:tblCellMar>
            <w:top w:w="0" w:type="dxa"/>
            <w:left w:w="108" w:type="dxa"/>
            <w:bottom w:w="0" w:type="dxa"/>
            <w:right w:w="108" w:type="dxa"/>
          </w:tblCellMar>
        </w:tblPrEx>
        <w:trPr>
          <w:trHeight w:val="90" w:hRule="atLeast"/>
          <w:tblHeader/>
        </w:trPr>
        <w:tc>
          <w:tcPr>
            <w:tcW w:w="78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序号</w:t>
            </w:r>
          </w:p>
        </w:tc>
        <w:tc>
          <w:tcPr>
            <w:tcW w:w="5293" w:type="dxa"/>
            <w:gridSpan w:val="2"/>
            <w:tcBorders>
              <w:top w:val="single" w:color="auto" w:sz="4" w:space="0"/>
              <w:left w:val="nil"/>
              <w:bottom w:val="single" w:color="auto" w:sz="4" w:space="0"/>
              <w:right w:val="single" w:color="000000" w:sz="4" w:space="0"/>
            </w:tcBorders>
            <w:noWrap w:val="0"/>
            <w:vAlign w:val="center"/>
          </w:tcPr>
          <w:p>
            <w:pPr>
              <w:widowControl w:val="0"/>
              <w:adjustRightInd/>
              <w:snapToGrid/>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指标名称</w:t>
            </w:r>
          </w:p>
        </w:tc>
        <w:tc>
          <w:tcPr>
            <w:tcW w:w="1213" w:type="dxa"/>
            <w:tcBorders>
              <w:top w:val="single" w:color="auto" w:sz="4" w:space="0"/>
              <w:left w:val="nil"/>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现状指标</w:t>
            </w:r>
          </w:p>
        </w:tc>
        <w:tc>
          <w:tcPr>
            <w:tcW w:w="1774" w:type="dxa"/>
            <w:tcBorders>
              <w:top w:val="single" w:color="auto" w:sz="4" w:space="0"/>
              <w:left w:val="nil"/>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2025年目标值</w:t>
            </w:r>
          </w:p>
        </w:tc>
      </w:tr>
      <w:tr>
        <w:tblPrEx>
          <w:tblCellMar>
            <w:top w:w="0" w:type="dxa"/>
            <w:left w:w="108" w:type="dxa"/>
            <w:bottom w:w="0" w:type="dxa"/>
            <w:right w:w="108" w:type="dxa"/>
          </w:tblCellMar>
        </w:tblPrEx>
        <w:trPr>
          <w:trHeight w:val="90" w:hRule="atLeast"/>
        </w:trPr>
        <w:tc>
          <w:tcPr>
            <w:tcW w:w="781" w:type="dxa"/>
            <w:tcBorders>
              <w:top w:val="nil"/>
              <w:left w:val="single" w:color="auto" w:sz="4" w:space="0"/>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1</w:t>
            </w:r>
          </w:p>
        </w:tc>
        <w:tc>
          <w:tcPr>
            <w:tcW w:w="769" w:type="dxa"/>
            <w:vMerge w:val="restart"/>
            <w:tcBorders>
              <w:top w:val="nil"/>
              <w:left w:val="single" w:color="auto" w:sz="4" w:space="0"/>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综合</w:t>
            </w:r>
          </w:p>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指标</w:t>
            </w:r>
          </w:p>
        </w:tc>
        <w:tc>
          <w:tcPr>
            <w:tcW w:w="4524" w:type="dxa"/>
            <w:tcBorders>
              <w:top w:val="nil"/>
              <w:left w:val="nil"/>
              <w:bottom w:val="single" w:color="auto" w:sz="4" w:space="0"/>
              <w:right w:val="single" w:color="auto" w:sz="4" w:space="0"/>
            </w:tcBorders>
            <w:noWrap w:val="0"/>
            <w:vAlign w:val="center"/>
          </w:tcPr>
          <w:p>
            <w:pPr>
              <w:widowControl w:val="0"/>
              <w:adjustRightInd/>
              <w:snapToGrid/>
              <w:ind w:firstLine="0" w:firstLineChars="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农村生活污水得到治理的农户覆盖率（%）</w:t>
            </w:r>
          </w:p>
        </w:tc>
        <w:tc>
          <w:tcPr>
            <w:tcW w:w="1213" w:type="dxa"/>
            <w:tcBorders>
              <w:top w:val="nil"/>
              <w:left w:val="nil"/>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41.84</w:t>
            </w:r>
          </w:p>
        </w:tc>
        <w:tc>
          <w:tcPr>
            <w:tcW w:w="1774" w:type="dxa"/>
            <w:tcBorders>
              <w:top w:val="nil"/>
              <w:left w:val="nil"/>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81.65</w:t>
            </w:r>
          </w:p>
        </w:tc>
      </w:tr>
      <w:tr>
        <w:tblPrEx>
          <w:tblCellMar>
            <w:top w:w="0" w:type="dxa"/>
            <w:left w:w="108" w:type="dxa"/>
            <w:bottom w:w="0" w:type="dxa"/>
            <w:right w:w="108" w:type="dxa"/>
          </w:tblCellMar>
        </w:tblPrEx>
        <w:trPr>
          <w:trHeight w:val="90" w:hRule="atLeast"/>
        </w:trPr>
        <w:tc>
          <w:tcPr>
            <w:tcW w:w="781" w:type="dxa"/>
            <w:tcBorders>
              <w:top w:val="nil"/>
              <w:left w:val="single" w:color="auto" w:sz="4" w:space="0"/>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2</w:t>
            </w:r>
          </w:p>
        </w:tc>
        <w:tc>
          <w:tcPr>
            <w:tcW w:w="769" w:type="dxa"/>
            <w:vMerge w:val="continue"/>
            <w:tcBorders>
              <w:top w:val="nil"/>
              <w:left w:val="single" w:color="auto" w:sz="4" w:space="0"/>
              <w:bottom w:val="single" w:color="auto" w:sz="4" w:space="0"/>
              <w:right w:val="single" w:color="auto" w:sz="4" w:space="0"/>
            </w:tcBorders>
            <w:noWrap w:val="0"/>
            <w:vAlign w:val="center"/>
          </w:tcPr>
          <w:p>
            <w:pPr>
              <w:widowControl w:val="0"/>
              <w:adjustRightInd/>
              <w:snapToGrid/>
              <w:ind w:firstLine="480"/>
              <w:rPr>
                <w:rFonts w:hint="eastAsia" w:ascii="方正仿宋_GBK" w:hAnsi="方正仿宋_GBK" w:cs="方正仿宋_GBK"/>
                <w:color w:val="auto"/>
                <w:sz w:val="24"/>
                <w:szCs w:val="24"/>
              </w:rPr>
            </w:pPr>
          </w:p>
        </w:tc>
        <w:tc>
          <w:tcPr>
            <w:tcW w:w="4524" w:type="dxa"/>
            <w:tcBorders>
              <w:top w:val="nil"/>
              <w:left w:val="nil"/>
              <w:bottom w:val="single" w:color="auto" w:sz="4" w:space="0"/>
              <w:right w:val="single" w:color="auto" w:sz="4" w:space="0"/>
            </w:tcBorders>
            <w:noWrap w:val="0"/>
            <w:vAlign w:val="center"/>
          </w:tcPr>
          <w:p>
            <w:pPr>
              <w:widowControl w:val="0"/>
              <w:adjustRightInd/>
              <w:snapToGrid/>
              <w:ind w:firstLine="48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农村生活污水治理率（%）</w:t>
            </w:r>
          </w:p>
        </w:tc>
        <w:tc>
          <w:tcPr>
            <w:tcW w:w="1213" w:type="dxa"/>
            <w:tcBorders>
              <w:top w:val="nil"/>
              <w:left w:val="nil"/>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25.93</w:t>
            </w:r>
          </w:p>
        </w:tc>
        <w:tc>
          <w:tcPr>
            <w:tcW w:w="1774" w:type="dxa"/>
            <w:tcBorders>
              <w:top w:val="nil"/>
              <w:left w:val="nil"/>
              <w:bottom w:val="single" w:color="auto" w:sz="4" w:space="0"/>
              <w:right w:val="single" w:color="auto" w:sz="4" w:space="0"/>
            </w:tcBorders>
            <w:noWrap w:val="0"/>
            <w:vAlign w:val="center"/>
          </w:tcPr>
          <w:p>
            <w:pPr>
              <w:widowControl w:val="0"/>
              <w:adjustRightInd/>
              <w:snapToGrid/>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52.16</w:t>
            </w:r>
          </w:p>
        </w:tc>
      </w:tr>
    </w:tbl>
    <w:p>
      <w:pPr>
        <w:widowControl w:val="0"/>
        <w:ind w:firstLine="0" w:firstLineChars="0"/>
        <w:rPr>
          <w:rFonts w:hint="eastAsia" w:ascii="方正黑体_GBK" w:hAnsi="方正黑体_GBK" w:eastAsia="方正黑体_GBK" w:cs="方正黑体_GBK"/>
          <w:color w:val="auto"/>
        </w:rPr>
      </w:pPr>
      <w:bookmarkStart w:id="70" w:name="_Toc45198231"/>
      <w:bookmarkStart w:id="71" w:name="_Toc48318216"/>
      <w:bookmarkStart w:id="72" w:name="_Toc43911303"/>
    </w:p>
    <w:p>
      <w:pPr>
        <w:widowControl w:val="0"/>
        <w:spacing w:line="264" w:lineRule="auto"/>
        <w:ind w:firstLine="0" w:firstLineChars="0"/>
        <w:jc w:val="center"/>
        <w:rPr>
          <w:rFonts w:hint="eastAsia" w:ascii="方正黑体_GBK" w:hAnsi="方正黑体_GBK" w:eastAsia="方正黑体_GBK" w:cs="方正黑体_GBK"/>
          <w:color w:val="auto"/>
        </w:rPr>
      </w:pPr>
      <w:r>
        <w:rPr>
          <w:rFonts w:hint="eastAsia" w:ascii="方正黑体_GBK" w:hAnsi="方正黑体_GBK" w:eastAsia="方正黑体_GBK" w:cs="方正黑体_GBK"/>
          <w:color w:val="auto"/>
        </w:rPr>
        <w:t>第2章  污染源分析</w:t>
      </w:r>
      <w:bookmarkEnd w:id="70"/>
      <w:bookmarkEnd w:id="71"/>
      <w:bookmarkEnd w:id="72"/>
    </w:p>
    <w:p>
      <w:pPr>
        <w:widowControl w:val="0"/>
        <w:spacing w:line="264" w:lineRule="auto"/>
        <w:ind w:firstLine="640"/>
        <w:rPr>
          <w:rFonts w:hint="eastAsia" w:ascii="方正楷体_GBK" w:hAnsi="方正楷体_GBK" w:eastAsia="方正楷体_GBK" w:cs="方正楷体_GBK"/>
          <w:color w:val="auto"/>
        </w:rPr>
      </w:pPr>
      <w:bookmarkStart w:id="73" w:name="_Toc48318217"/>
      <w:bookmarkStart w:id="74" w:name="_Toc43911308"/>
      <w:bookmarkStart w:id="75" w:name="_Toc45198232"/>
      <w:r>
        <w:rPr>
          <w:rFonts w:hint="eastAsia" w:ascii="方正楷体_GBK" w:hAnsi="方正楷体_GBK" w:eastAsia="方正楷体_GBK" w:cs="方正楷体_GBK"/>
          <w:color w:val="auto"/>
        </w:rPr>
        <w:t>2.1  农村生活污水处理设施建设和运行现状</w:t>
      </w:r>
      <w:bookmarkEnd w:id="73"/>
      <w:bookmarkEnd w:id="74"/>
      <w:bookmarkEnd w:id="75"/>
    </w:p>
    <w:p>
      <w:pPr>
        <w:widowControl w:val="0"/>
        <w:spacing w:line="264" w:lineRule="auto"/>
        <w:ind w:firstLine="640"/>
        <w:rPr>
          <w:rFonts w:hint="eastAsia" w:ascii="方正仿宋_GBK" w:hAnsi="方正仿宋_GBK" w:cs="方正仿宋_GBK"/>
          <w:color w:val="auto"/>
        </w:rPr>
      </w:pPr>
      <w:bookmarkStart w:id="76" w:name="_Toc48318218"/>
      <w:bookmarkStart w:id="77" w:name="_Toc45198233"/>
      <w:r>
        <w:rPr>
          <w:rFonts w:hint="eastAsia" w:ascii="方正仿宋_GBK" w:hAnsi="方正仿宋_GBK" w:cs="方正仿宋_GBK"/>
          <w:color w:val="auto"/>
        </w:rPr>
        <w:t>2.1.1  设施现状</w:t>
      </w:r>
      <w:bookmarkEnd w:id="76"/>
      <w:bookmarkEnd w:id="77"/>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根据相关资料显示，永川区已建农村生活污水厂（站）共计62座。下面就处理模式现状、处理工艺现状及运行状况3个方面进行简要阐述。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（1）处理模式现状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农村存在集聚和分散并存的格局。城郊及重点镇街周边农村相对较为集中，居住密度较大；山区及半山区农村村庄较为分散，人口居住相对比较少。不同区域农村经济基础、所处地理位置和农民管理水平现状不同，农村生活污水在水质、水量和排水方式上不同区域也有着不同的特征。目前，永川区农村集聚区生活污水处理模式主要为纳管处理模式和集中处理模式2种。</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纳管处理模式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农村生活污水信息填报系统，通过纳管处理模式的村（涉农社区）主要分布于永川城区周边，涉及42个村（涉农社区）。其中，仅通过纳管处置的集中户数30503户，占同村（涉农社区）的91.73%（平均值）；通过纳管处置-污水处理厂（站）的集中户数30158户，占同村（涉农社区）集聚区总户数的89.17%。由此可见，仍有345户集聚区住户纳管后未进入污水处理厂（站）处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集中处理模式</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通过永川区农村生活污水信息填报系统，整理出永川区农村生活污水集中处理模式户数，见下表4.1-6。通过集中处理模式的村（涉农社区）主要分布于永川区农村集居区或人口较多的自然村，共计66个。其中，集中处置的户数16149户，占同村（涉农社区）的92.08%（平均值）；通过集中处置-污水处理厂（站）的集中户数15858户，占同村（涉农社区）集聚区总户数的90.05%。</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fldChar w:fldCharType="begin"/>
      </w:r>
      <w:r>
        <w:rPr>
          <w:rFonts w:hint="eastAsia" w:ascii="方正仿宋_GBK" w:hAnsi="方正仿宋_GBK" w:cs="方正仿宋_GBK"/>
          <w:color w:val="auto"/>
          <w:szCs w:val="32"/>
        </w:rPr>
        <w:instrText xml:space="preserve"> = 3 \* GB3 </w:instrText>
      </w:r>
      <w:r>
        <w:rPr>
          <w:rFonts w:hint="eastAsia" w:ascii="方正仿宋_GBK" w:hAnsi="方正仿宋_GBK" w:cs="方正仿宋_GBK"/>
          <w:color w:val="auto"/>
          <w:szCs w:val="32"/>
        </w:rPr>
        <w:fldChar w:fldCharType="separate"/>
      </w:r>
      <w:r>
        <w:rPr>
          <w:rFonts w:hint="eastAsia" w:ascii="方正仿宋_GBK" w:hAnsi="方正仿宋_GBK" w:cs="方正仿宋_GBK"/>
          <w:color w:val="auto"/>
          <w:szCs w:val="32"/>
        </w:rPr>
        <w:t>③</w:t>
      </w:r>
      <w:r>
        <w:rPr>
          <w:rFonts w:hint="eastAsia" w:ascii="方正仿宋_GBK" w:hAnsi="方正仿宋_GBK" w:cs="方正仿宋_GBK"/>
          <w:color w:val="auto"/>
          <w:szCs w:val="32"/>
        </w:rPr>
        <w:fldChar w:fldCharType="end"/>
      </w:r>
      <w:r>
        <w:rPr>
          <w:rFonts w:hint="eastAsia" w:ascii="方正仿宋_GBK" w:hAnsi="方正仿宋_GBK" w:cs="方正仿宋_GBK"/>
          <w:color w:val="auto"/>
          <w:szCs w:val="32"/>
        </w:rPr>
        <w:t>分散处理模式</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分散处理模式，即采用单户型污水处理设备或生态处理形式进行单独处理的模式。无法进行污水集中处理的自然村落、或不适宜建设管网收集的单一农户或较为分散的小型聚居区，用水量较少，污水</w:t>
      </w:r>
      <w:sdt>
        <w:sdtPr>
          <w:rPr>
            <w:color w:val="auto"/>
          </w:rPr>
          <w:alias w:val="易错词检查"/>
          <w:id w:val="2102614"/>
        </w:sdtPr>
        <w:sdtEndPr>
          <w:rPr>
            <w:color w:val="auto"/>
          </w:rPr>
        </w:sdtEndPr>
        <w:sdtContent>
          <w:bookmarkStart w:id="78" w:name="bkReivew2102614"/>
          <w:r>
            <w:rPr>
              <w:rFonts w:hint="eastAsia" w:ascii="方正仿宋_GBK" w:hAnsi="方正仿宋_GBK" w:cs="方正仿宋_GBK"/>
              <w:color w:val="auto"/>
              <w:szCs w:val="32"/>
            </w:rPr>
            <w:t>回</w:t>
          </w:r>
          <w:bookmarkEnd w:id="78"/>
        </w:sdtContent>
      </w:sdt>
      <w:r>
        <w:rPr>
          <w:rFonts w:hint="eastAsia" w:ascii="方正仿宋_GBK" w:hAnsi="方正仿宋_GBK" w:cs="方正仿宋_GBK"/>
          <w:color w:val="auto"/>
          <w:szCs w:val="32"/>
        </w:rPr>
        <w:t>用于灌溉率较高，且粪便污水常用作农作物肥料使用，主要采用简单的化粪池、沼气池等对污水进行处理，农户自行将处理后的生活污水用于灌溉。</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（2）处理工艺现状</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根据区住房城乡建委提供的相关资料，统计出的农村生活污水处理厂（站）处理工艺信息中，采用工艺有一体化设施、生物转盘、A</w:t>
      </w:r>
      <w:r>
        <w:rPr>
          <w:rFonts w:hint="eastAsia" w:ascii="方正仿宋_GBK" w:hAnsi="方正仿宋_GBK" w:cs="方正仿宋_GBK"/>
          <w:color w:val="auto"/>
          <w:szCs w:val="32"/>
          <w:vertAlign w:val="superscript"/>
        </w:rPr>
        <w:t>2</w:t>
      </w:r>
      <w:r>
        <w:rPr>
          <w:rFonts w:hint="eastAsia" w:ascii="方正仿宋_GBK" w:hAnsi="方正仿宋_GBK" w:cs="方正仿宋_GBK"/>
          <w:color w:val="auto"/>
          <w:szCs w:val="32"/>
        </w:rPr>
        <w:t>/O+生物滤池、A</w:t>
      </w:r>
      <w:r>
        <w:rPr>
          <w:rFonts w:hint="eastAsia" w:ascii="方正仿宋_GBK" w:hAnsi="方正仿宋_GBK" w:cs="方正仿宋_GBK"/>
          <w:color w:val="auto"/>
          <w:szCs w:val="32"/>
          <w:vertAlign w:val="superscript"/>
        </w:rPr>
        <w:t>2</w:t>
      </w:r>
      <w:r>
        <w:rPr>
          <w:rFonts w:hint="eastAsia" w:ascii="方正仿宋_GBK" w:hAnsi="方正仿宋_GBK" w:cs="方正仿宋_GBK"/>
          <w:color w:val="auto"/>
          <w:szCs w:val="32"/>
        </w:rPr>
        <w:t>/O+生物转盘、生物接触氧化、A/O+化学除磷、曝气+人工湿地等，其中，运用一体化设施较为普遍。</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（3）运行状况</w:t>
      </w:r>
    </w:p>
    <w:p>
      <w:pPr>
        <w:widowControl w:val="0"/>
        <w:spacing w:line="26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根据相关数据统计，永川区已建62个农村生活污水厂（站）均处于正常运行状态，设计规模总计15570吨/天。各污水处理厂（站）出水执行标准普遍为一级A标，仅江永污水处理厂为一级B标，梓潼观村污水处理站执行的是DB50/848-2018标准。出水水质均达标。出水去向系5条河流，分别为临江河、大陆溪、九龙河、萱花河、小安溪，其中，仅萱花河为三级支流，其余收纳水体均为长江支流。运行单位为区惠永水务和市环投公司2家。</w:t>
      </w:r>
    </w:p>
    <w:p>
      <w:pPr>
        <w:widowControl w:val="0"/>
        <w:spacing w:line="264" w:lineRule="auto"/>
        <w:ind w:firstLine="640"/>
        <w:rPr>
          <w:rFonts w:hint="eastAsia" w:ascii="方正仿宋_GBK" w:hAnsi="方正仿宋_GBK" w:cs="方正仿宋_GBK"/>
          <w:color w:val="auto"/>
        </w:rPr>
      </w:pPr>
      <w:bookmarkStart w:id="79" w:name="_Toc45198234"/>
      <w:bookmarkStart w:id="80" w:name="_Toc48318219"/>
      <w:r>
        <w:rPr>
          <w:rFonts w:hint="eastAsia" w:ascii="方正仿宋_GBK" w:hAnsi="方正仿宋_GBK" w:cs="方正仿宋_GBK"/>
          <w:color w:val="auto"/>
        </w:rPr>
        <w:t>2.1.2  管网现状</w:t>
      </w:r>
      <w:bookmarkEnd w:id="79"/>
      <w:bookmarkEnd w:id="80"/>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根据永川区农村生活污水填报系统评价体系信息，永川区农村污水处理设施及其配套管网、污水收集情况统计表见下表4.1-9。永川区农村已建配套干管和二三级管网长度为357.55km，受益农户达73267户、198928人。</w:t>
      </w:r>
    </w:p>
    <w:p>
      <w:pPr>
        <w:widowControl w:val="0"/>
        <w:spacing w:line="264" w:lineRule="auto"/>
        <w:ind w:firstLine="640"/>
        <w:rPr>
          <w:rFonts w:hint="eastAsia" w:ascii="方正仿宋_GBK" w:hAnsi="方正仿宋_GBK" w:cs="方正仿宋_GBK"/>
          <w:color w:val="auto"/>
        </w:rPr>
      </w:pPr>
      <w:bookmarkStart w:id="81" w:name="_Toc48318220"/>
      <w:bookmarkStart w:id="82" w:name="_Toc45198235"/>
      <w:r>
        <w:rPr>
          <w:rFonts w:hint="eastAsia" w:ascii="方正仿宋_GBK" w:hAnsi="方正仿宋_GBK" w:cs="方正仿宋_GBK"/>
          <w:color w:val="auto"/>
        </w:rPr>
        <w:t>2.1.3  存在问题</w:t>
      </w:r>
      <w:bookmarkEnd w:id="81"/>
      <w:bookmarkEnd w:id="82"/>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（1）运行负荷率较低，截污管网有待完善。</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（2）现场调查发现，大部分农户未进行改厕，导致实际污水收集率偏低；部分农户自办的民宿、农家乐、早餐店等配备的隔油池不标准或无隔油池。</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（3）日常管理人员缺乏相应的专业技能，调查中发现日常管理人员对当地农村污水处理设施、工艺、污水管网缺少应有的了解，难以胜任日常管理工作。</w:t>
      </w:r>
    </w:p>
    <w:p>
      <w:pPr>
        <w:widowControl w:val="0"/>
        <w:spacing w:line="264" w:lineRule="auto"/>
        <w:ind w:firstLine="640"/>
        <w:rPr>
          <w:rFonts w:hint="eastAsia" w:ascii="方正楷体_GBK" w:hAnsi="方正楷体_GBK" w:eastAsia="方正楷体_GBK" w:cs="方正楷体_GBK"/>
          <w:color w:val="auto"/>
        </w:rPr>
      </w:pPr>
      <w:bookmarkStart w:id="83" w:name="_Toc43911311"/>
      <w:bookmarkStart w:id="84" w:name="_Toc45198236"/>
      <w:bookmarkStart w:id="85" w:name="_Toc48318221"/>
      <w:r>
        <w:rPr>
          <w:rFonts w:hint="eastAsia" w:ascii="方正楷体_GBK" w:hAnsi="方正楷体_GBK" w:eastAsia="方正楷体_GBK" w:cs="方正楷体_GBK"/>
          <w:color w:val="auto"/>
        </w:rPr>
        <w:t>2.2  污染负荷量预测</w:t>
      </w:r>
      <w:bookmarkEnd w:id="83"/>
      <w:bookmarkEnd w:id="84"/>
      <w:bookmarkEnd w:id="85"/>
    </w:p>
    <w:p>
      <w:pPr>
        <w:widowControl w:val="0"/>
        <w:spacing w:line="264" w:lineRule="auto"/>
        <w:ind w:firstLine="640"/>
        <w:rPr>
          <w:rFonts w:hint="eastAsia" w:ascii="方正仿宋_GBK" w:hAnsi="方正仿宋_GBK" w:cs="方正仿宋_GBK"/>
          <w:color w:val="auto"/>
        </w:rPr>
      </w:pPr>
      <w:bookmarkStart w:id="86" w:name="_Toc48318222"/>
      <w:bookmarkStart w:id="87" w:name="_Toc45198237"/>
      <w:bookmarkStart w:id="88" w:name="_Toc43911312"/>
      <w:r>
        <w:rPr>
          <w:rFonts w:hint="eastAsia" w:ascii="方正仿宋_GBK" w:hAnsi="方正仿宋_GBK" w:cs="方正仿宋_GBK"/>
          <w:color w:val="auto"/>
        </w:rPr>
        <w:t>2.2.1  农村人口预测</w:t>
      </w:r>
      <w:bookmarkEnd w:id="86"/>
      <w:bookmarkEnd w:id="87"/>
      <w:bookmarkEnd w:id="88"/>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根据永川区统计年鉴，永川区多年平均人口自然增长率为2.58‰，</w:t>
      </w:r>
      <w:sdt>
        <w:sdtPr>
          <w:rPr>
            <w:color w:val="auto"/>
          </w:rPr>
          <w:alias w:val="易错词检查"/>
          <w:id w:val="3030502"/>
        </w:sdtPr>
        <w:sdtEndPr>
          <w:rPr>
            <w:color w:val="auto"/>
          </w:rPr>
        </w:sdtEndPr>
        <w:sdtContent>
          <w:bookmarkStart w:id="89" w:name="bkReivew3030502"/>
          <w:r>
            <w:rPr>
              <w:rFonts w:hint="eastAsia" w:ascii="方正仿宋_GBK" w:hAnsi="方正仿宋_GBK" w:cs="方正仿宋_GBK"/>
              <w:color w:val="auto"/>
            </w:rPr>
            <w:t>截</w:t>
          </w:r>
          <w:r>
            <w:rPr>
              <w:rFonts w:hint="eastAsia" w:ascii="方正仿宋_GBK" w:hAnsi="方正仿宋_GBK" w:cs="方正仿宋_GBK"/>
              <w:color w:val="auto"/>
              <w:lang w:eastAsia="zh-CN"/>
            </w:rPr>
            <w:t>至</w:t>
          </w:r>
          <w:r>
            <w:rPr>
              <w:rFonts w:hint="eastAsia" w:ascii="方正仿宋_GBK" w:hAnsi="方正仿宋_GBK" w:cs="方正仿宋_GBK"/>
              <w:color w:val="auto"/>
            </w:rPr>
            <w:t>2018年</w:t>
          </w:r>
          <w:bookmarkEnd w:id="89"/>
        </w:sdtContent>
      </w:sdt>
      <w:r>
        <w:rPr>
          <w:rFonts w:hint="eastAsia" w:ascii="方正仿宋_GBK" w:hAnsi="方正仿宋_GBK" w:cs="方正仿宋_GBK"/>
          <w:color w:val="auto"/>
        </w:rPr>
        <w:t>，永川区全区常住总人口为114.2万人，其中农村人口34.5万人，城镇人口79.70万人。</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人口是污染负荷产生的主体，其生产和生活活动是区内污染产生的根源。人口发展预测采用指数模型：</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Pi = P18（1+ai）t</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式中：Pi—规划目标年（2025年）的人口；</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P18—资料统计年（2018年）的统计人口；</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ai—规划目标年（2025年、2030年）与基准年之间的平均增长率（4.5%）；</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t—规划目标年与基准年之间的时间间隔（年），此处t=7（2025年）。</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则2025年城镇人口：M2025=Pi×r2025，其中r2025即2025年常住人口城镇化率；</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2025年农村人口：N2025=P2025－M2025；</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按照现有发展模式、人才吸引能力等水平不变的前提下，根据相关规划、计划和永川区实际情况确定出区内的人口自然增长率。根据《永川区城乡总体规划（2013年编制）》，到2025年全区常住人口将达到130万人，常住人口城镇化率将达到73%；农村常住人口35万人，城镇常住人口95万人。根据各镇街总体规划，到2030年，全区常住人口将达到152万人，常住人口城镇化率将达到76%；农村常住人口24万人，城镇常住人口128万人。</w:t>
      </w:r>
    </w:p>
    <w:p>
      <w:pPr>
        <w:widowControl w:val="0"/>
        <w:spacing w:line="252" w:lineRule="auto"/>
        <w:ind w:firstLine="640"/>
        <w:rPr>
          <w:rFonts w:hint="eastAsia" w:ascii="方正仿宋_GBK" w:hAnsi="方正仿宋_GBK" w:cs="方正仿宋_GBK"/>
          <w:color w:val="auto"/>
        </w:rPr>
      </w:pPr>
      <w:bookmarkStart w:id="90" w:name="_Toc45198238"/>
      <w:bookmarkStart w:id="91" w:name="_Toc48318223"/>
      <w:bookmarkStart w:id="92" w:name="_Toc43911313"/>
      <w:r>
        <w:rPr>
          <w:rFonts w:hint="eastAsia" w:ascii="方正仿宋_GBK" w:hAnsi="方正仿宋_GBK" w:cs="方正仿宋_GBK"/>
          <w:color w:val="auto"/>
        </w:rPr>
        <w:t>2.2.2  农村生活污水排放系数</w:t>
      </w:r>
      <w:bookmarkEnd w:id="90"/>
      <w:bookmarkEnd w:id="91"/>
      <w:bookmarkEnd w:id="92"/>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农村居民生活用水量受生活条件、排水系统、水资源利用方式、生活习惯等因素的直接影响。根据乜堪雄的《重庆经济区划及分区发展问题研究》，永川区处于渝西经济走廊，自然地理条件较好，社会经济发展具有一定的基础，城镇发展较快，其经济社会发展水平与我国西部地区平均水平相当。</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按照《农村生活饮用水量卫生标准》（GB11730-1989）、《农村给水设计规范》（CECS82：96）、《西南地区农村生活污水处理技术指南》，以及《永川区城市总体规划》指标，结合调查当地居民的用水现状、给水规划、经济条件、发展潜力等情况的基础上，以及村民生活条件的改善，厨卫设施的改造、生活习惯的改变等因素，参照表4.2-2，确定永川区域农村居民平均用水量取80-120L/人·d。</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根据《农村生活污水处理技术规范DB33/T868-2012》，设计水量应根据所纳农户实际产生的废水水量确定，可按用水量的70%～80%采用，并充分考虑建筑内部给排水设施水平和排水系统普及程度等因素。对于农村居民生活污水，进入排水系统的污水量很大程度上取决于供水的用途与污水收集系统的完善程度。规划近期</w:t>
      </w:r>
      <w:sdt>
        <w:sdtPr>
          <w:rPr>
            <w:color w:val="auto"/>
          </w:rPr>
          <w:alias w:val="易错词检查"/>
          <w:id w:val="3180124"/>
        </w:sdtPr>
        <w:sdtEndPr>
          <w:rPr>
            <w:color w:val="auto"/>
          </w:rPr>
        </w:sdtEndPr>
        <w:sdtContent>
          <w:bookmarkStart w:id="93" w:name="bkReivew3180124"/>
          <w:r>
            <w:rPr>
              <w:rFonts w:hint="eastAsia" w:ascii="方正仿宋_GBK" w:hAnsi="方正仿宋_GBK" w:cs="方正仿宋_GBK"/>
              <w:color w:val="auto"/>
            </w:rPr>
            <w:t>此</w:t>
          </w:r>
          <w:bookmarkEnd w:id="93"/>
        </w:sdtContent>
      </w:sdt>
      <w:r>
        <w:rPr>
          <w:rFonts w:hint="eastAsia" w:ascii="方正仿宋_GBK" w:hAnsi="方正仿宋_GBK" w:cs="方正仿宋_GBK"/>
          <w:color w:val="auto"/>
        </w:rPr>
        <w:t>值取0.80。</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bookmarkStart w:id="94" w:name="_Toc48318224"/>
      <w:r>
        <w:rPr>
          <w:rFonts w:hint="eastAsia" w:ascii="方正楷体_GBK" w:hAnsi="方正楷体_GBK" w:eastAsia="方正楷体_GBK" w:cs="方正楷体_GBK"/>
          <w:color w:val="auto"/>
          <w:sz w:val="28"/>
          <w:szCs w:val="28"/>
        </w:rPr>
        <w:t>2.2.2-2  农村居民生活用水定额表</w:t>
      </w:r>
      <w:bookmarkEnd w:id="94"/>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6417"/>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828" w:type="dxa"/>
            <w:noWrap w:val="0"/>
            <w:vAlign w:val="center"/>
          </w:tcPr>
          <w:p>
            <w:pPr>
              <w:widowControl w:val="0"/>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序号</w:t>
            </w:r>
          </w:p>
        </w:tc>
        <w:tc>
          <w:tcPr>
            <w:tcW w:w="6417" w:type="dxa"/>
            <w:noWrap w:val="0"/>
            <w:vAlign w:val="center"/>
          </w:tcPr>
          <w:p>
            <w:pPr>
              <w:widowControl w:val="0"/>
              <w:spacing w:line="216" w:lineRule="auto"/>
              <w:ind w:firstLine="480"/>
              <w:jc w:val="center"/>
              <w:rPr>
                <w:rFonts w:hint="eastAsia" w:ascii="方正仿宋_GBK" w:hAnsi="方正仿宋_GBK" w:cs="方正仿宋_GBK"/>
                <w:color w:val="auto"/>
                <w:sz w:val="24"/>
                <w:szCs w:val="24"/>
              </w:rPr>
            </w:pPr>
            <w:r>
              <w:rPr>
                <w:rFonts w:hint="eastAsia" w:ascii="方正黑体_GBK" w:hAnsi="方正黑体_GBK" w:eastAsia="方正黑体_GBK" w:cs="方正黑体_GBK"/>
                <w:color w:val="auto"/>
                <w:sz w:val="24"/>
                <w:szCs w:val="24"/>
              </w:rPr>
              <w:t>村庄类别</w:t>
            </w:r>
          </w:p>
        </w:tc>
        <w:tc>
          <w:tcPr>
            <w:tcW w:w="1816"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黑体_GBK" w:hAnsi="方正黑体_GBK" w:eastAsia="方正黑体_GBK" w:cs="方正黑体_GBK"/>
                <w:color w:val="auto"/>
                <w:sz w:val="24"/>
                <w:szCs w:val="24"/>
              </w:rPr>
              <w:t>用水量（</w:t>
            </w:r>
            <w:sdt>
              <w:sdtPr>
                <w:rPr>
                  <w:color w:val="auto"/>
                </w:rPr>
                <w:alias w:val="译文检查"/>
                <w:id w:val="2123714"/>
              </w:sdtPr>
              <w:sdtEndPr>
                <w:rPr>
                  <w:color w:val="auto"/>
                </w:rPr>
              </w:sdtEndPr>
              <w:sdtContent>
                <w:bookmarkStart w:id="95" w:name="bkReivew2123714"/>
                <w:r>
                  <w:rPr>
                    <w:rFonts w:hint="eastAsia" w:ascii="方正黑体_GBK" w:hAnsi="方正黑体_GBK" w:eastAsia="方正黑体_GBK" w:cs="方正黑体_GBK"/>
                    <w:color w:val="auto"/>
                    <w:sz w:val="24"/>
                    <w:szCs w:val="24"/>
                  </w:rPr>
                  <w:t>L/P.d</w:t>
                </w:r>
                <w:bookmarkEnd w:id="95"/>
              </w:sdtContent>
            </w:sdt>
            <w:r>
              <w:rPr>
                <w:rFonts w:hint="eastAsia" w:ascii="方正黑体_GBK" w:hAnsi="方正黑体_GBK" w:eastAsia="方正黑体_GBK" w:cs="方正黑体_GBK"/>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828"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1</w:t>
            </w:r>
          </w:p>
        </w:tc>
        <w:tc>
          <w:tcPr>
            <w:tcW w:w="6417" w:type="dxa"/>
            <w:noWrap w:val="0"/>
            <w:vAlign w:val="center"/>
          </w:tcPr>
          <w:p>
            <w:pPr>
              <w:widowControl w:val="0"/>
              <w:spacing w:line="216"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全日供水，室内有给排水设施且卫生设施齐全</w:t>
            </w:r>
          </w:p>
        </w:tc>
        <w:tc>
          <w:tcPr>
            <w:tcW w:w="1816"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120～180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28"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2</w:t>
            </w:r>
          </w:p>
        </w:tc>
        <w:tc>
          <w:tcPr>
            <w:tcW w:w="6417" w:type="dxa"/>
            <w:noWrap w:val="0"/>
            <w:vAlign w:val="center"/>
          </w:tcPr>
          <w:p>
            <w:pPr>
              <w:widowControl w:val="0"/>
              <w:spacing w:line="216"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全日供水，室内部分有给排水设施且卫生设施齐全</w:t>
            </w:r>
          </w:p>
        </w:tc>
        <w:tc>
          <w:tcPr>
            <w:tcW w:w="1816"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100～160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28"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3</w:t>
            </w:r>
          </w:p>
        </w:tc>
        <w:tc>
          <w:tcPr>
            <w:tcW w:w="6417" w:type="dxa"/>
            <w:noWrap w:val="0"/>
            <w:vAlign w:val="center"/>
          </w:tcPr>
          <w:p>
            <w:pPr>
              <w:widowControl w:val="0"/>
              <w:spacing w:line="216"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水龙头入户，室内部分有给排水设施且卫生设施齐全</w:t>
            </w:r>
          </w:p>
        </w:tc>
        <w:tc>
          <w:tcPr>
            <w:tcW w:w="1816"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80～120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828"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4</w:t>
            </w:r>
          </w:p>
        </w:tc>
        <w:tc>
          <w:tcPr>
            <w:tcW w:w="6417" w:type="dxa"/>
            <w:noWrap w:val="0"/>
            <w:vAlign w:val="center"/>
          </w:tcPr>
          <w:p>
            <w:pPr>
              <w:widowControl w:val="0"/>
              <w:spacing w:line="216"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水龙头入户，无卫生设施</w:t>
            </w:r>
          </w:p>
        </w:tc>
        <w:tc>
          <w:tcPr>
            <w:tcW w:w="1816"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70～90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828"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5</w:t>
            </w:r>
          </w:p>
        </w:tc>
        <w:tc>
          <w:tcPr>
            <w:tcW w:w="6417" w:type="dxa"/>
            <w:noWrap w:val="0"/>
            <w:vAlign w:val="center"/>
          </w:tcPr>
          <w:p>
            <w:pPr>
              <w:widowControl w:val="0"/>
              <w:spacing w:line="216"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集中供水点取水的边远海岛及偏僻山区</w:t>
            </w:r>
          </w:p>
        </w:tc>
        <w:tc>
          <w:tcPr>
            <w:tcW w:w="1816" w:type="dxa"/>
            <w:noWrap w:val="0"/>
            <w:vAlign w:val="center"/>
          </w:tcPr>
          <w:p>
            <w:pPr>
              <w:widowControl w:val="0"/>
              <w:spacing w:line="216" w:lineRule="auto"/>
              <w:ind w:firstLine="0" w:firstLineChars="0"/>
              <w:jc w:val="center"/>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60～70</w:t>
            </w:r>
          </w:p>
        </w:tc>
      </w:tr>
    </w:tbl>
    <w:p>
      <w:pPr>
        <w:widowControl w:val="0"/>
        <w:spacing w:line="240"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*注1：执行标准《农村生活污水处理技术规范DB33/T868-2012》</w:t>
      </w:r>
      <w:sdt>
        <w:sdtPr>
          <w:rPr>
            <w:color w:val="auto"/>
          </w:rPr>
          <w:alias w:val="标点符号检查"/>
          <w:id w:val="2132143"/>
        </w:sdtPr>
        <w:sdtEndPr>
          <w:rPr>
            <w:color w:val="auto"/>
          </w:rPr>
        </w:sdtEndPr>
        <w:sdtContent/>
      </w:sdt>
      <w:r>
        <w:rPr>
          <w:rFonts w:hint="eastAsia" w:ascii="方正仿宋_GBK" w:hAnsi="方正仿宋_GBK" w:cs="方正仿宋_GBK"/>
          <w:color w:val="auto"/>
          <w:sz w:val="24"/>
          <w:szCs w:val="24"/>
        </w:rPr>
        <w:t>；</w:t>
      </w:r>
    </w:p>
    <w:p>
      <w:pPr>
        <w:widowControl w:val="0"/>
        <w:spacing w:line="240" w:lineRule="auto"/>
        <w:ind w:firstLine="48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*注2：全日供水是指日供水时间在12小时以上；</w:t>
      </w:r>
    </w:p>
    <w:p>
      <w:pPr>
        <w:widowControl w:val="0"/>
        <w:spacing w:line="240" w:lineRule="auto"/>
        <w:ind w:left="1200" w:leftChars="150" w:hanging="720" w:hangingChars="30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*注3：各地可根据本地水资源条件和经济发展水平在相应的范围内确定用水定额。水资源丰富、经济发展水平高的地区取高值；反之取低值。</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 2.2.2-3  永川区农村生活污水定额选用表</w:t>
      </w:r>
    </w:p>
    <w:tbl>
      <w:tblPr>
        <w:tblStyle w:val="25"/>
        <w:tblW w:w="0" w:type="auto"/>
        <w:jc w:val="center"/>
        <w:tblLayout w:type="fixed"/>
        <w:tblCellMar>
          <w:top w:w="0" w:type="dxa"/>
          <w:left w:w="108" w:type="dxa"/>
          <w:bottom w:w="0" w:type="dxa"/>
          <w:right w:w="108" w:type="dxa"/>
        </w:tblCellMar>
      </w:tblPr>
      <w:tblGrid>
        <w:gridCol w:w="702"/>
        <w:gridCol w:w="934"/>
        <w:gridCol w:w="4171"/>
        <w:gridCol w:w="1627"/>
        <w:gridCol w:w="1627"/>
      </w:tblGrid>
      <w:tr>
        <w:tblPrEx>
          <w:tblCellMar>
            <w:top w:w="0" w:type="dxa"/>
            <w:left w:w="108" w:type="dxa"/>
            <w:bottom w:w="0" w:type="dxa"/>
            <w:right w:w="108" w:type="dxa"/>
          </w:tblCellMar>
        </w:tblPrEx>
        <w:trPr>
          <w:trHeight w:val="23" w:hRule="atLeast"/>
          <w:tblHeader/>
          <w:jc w:val="center"/>
        </w:trPr>
        <w:tc>
          <w:tcPr>
            <w:tcW w:w="70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bookmarkStart w:id="96" w:name="_Toc43911314"/>
            <w:r>
              <w:rPr>
                <w:rFonts w:hint="eastAsia" w:ascii="方正黑体_GBK" w:hAnsi="方正黑体_GBK" w:eastAsia="方正黑体_GBK" w:cs="方正黑体_GBK"/>
                <w:color w:val="auto"/>
                <w:sz w:val="21"/>
                <w:szCs w:val="21"/>
              </w:rPr>
              <w:t>序号</w:t>
            </w:r>
          </w:p>
        </w:tc>
        <w:tc>
          <w:tcPr>
            <w:tcW w:w="93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区位</w:t>
            </w:r>
          </w:p>
        </w:tc>
        <w:tc>
          <w:tcPr>
            <w:tcW w:w="417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村庄类型</w:t>
            </w:r>
          </w:p>
        </w:tc>
        <w:tc>
          <w:tcPr>
            <w:tcW w:w="162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最高日给水量</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（L/ 人·）</w:t>
            </w:r>
          </w:p>
        </w:tc>
        <w:tc>
          <w:tcPr>
            <w:tcW w:w="1627"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近期</w:t>
            </w:r>
          </w:p>
        </w:tc>
      </w:tr>
      <w:tr>
        <w:tblPrEx>
          <w:tblCellMar>
            <w:top w:w="0" w:type="dxa"/>
            <w:left w:w="108" w:type="dxa"/>
            <w:bottom w:w="0" w:type="dxa"/>
            <w:right w:w="108" w:type="dxa"/>
          </w:tblCellMar>
        </w:tblPrEx>
        <w:trPr>
          <w:trHeight w:val="23" w:hRule="atLeast"/>
          <w:jc w:val="center"/>
        </w:trPr>
        <w:tc>
          <w:tcPr>
            <w:tcW w:w="7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420"/>
              <w:jc w:val="center"/>
              <w:rPr>
                <w:rFonts w:hint="eastAsia" w:ascii="方正黑体_GBK" w:hAnsi="方正黑体_GBK" w:eastAsia="方正黑体_GBK" w:cs="方正黑体_GBK"/>
                <w:color w:val="auto"/>
                <w:sz w:val="21"/>
                <w:szCs w:val="21"/>
              </w:rPr>
            </w:pPr>
          </w:p>
        </w:tc>
        <w:tc>
          <w:tcPr>
            <w:tcW w:w="9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420"/>
              <w:jc w:val="center"/>
              <w:rPr>
                <w:rFonts w:hint="eastAsia" w:ascii="方正黑体_GBK" w:hAnsi="方正黑体_GBK" w:eastAsia="方正黑体_GBK" w:cs="方正黑体_GBK"/>
                <w:color w:val="auto"/>
                <w:sz w:val="21"/>
                <w:szCs w:val="21"/>
              </w:rPr>
            </w:pPr>
          </w:p>
        </w:tc>
        <w:tc>
          <w:tcPr>
            <w:tcW w:w="41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420"/>
              <w:jc w:val="center"/>
              <w:rPr>
                <w:rFonts w:hint="eastAsia" w:ascii="方正黑体_GBK" w:hAnsi="方正黑体_GBK" w:eastAsia="方正黑体_GBK" w:cs="方正黑体_GBK"/>
                <w:color w:val="auto"/>
                <w:sz w:val="21"/>
                <w:szCs w:val="21"/>
              </w:rPr>
            </w:pPr>
          </w:p>
        </w:tc>
        <w:tc>
          <w:tcPr>
            <w:tcW w:w="162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420"/>
              <w:jc w:val="center"/>
              <w:rPr>
                <w:rFonts w:hint="eastAsia" w:ascii="方正黑体_GBK" w:hAnsi="方正黑体_GBK" w:eastAsia="方正黑体_GBK" w:cs="方正黑体_GBK"/>
                <w:color w:val="auto"/>
                <w:sz w:val="21"/>
                <w:szCs w:val="21"/>
              </w:rPr>
            </w:pP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最高日排水量</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（L/人·日）</w:t>
            </w:r>
          </w:p>
        </w:tc>
      </w:tr>
      <w:tr>
        <w:tblPrEx>
          <w:tblCellMar>
            <w:top w:w="0" w:type="dxa"/>
            <w:left w:w="108" w:type="dxa"/>
            <w:bottom w:w="0" w:type="dxa"/>
            <w:right w:w="108" w:type="dxa"/>
          </w:tblCellMar>
        </w:tblPrEx>
        <w:trPr>
          <w:trHeight w:val="170" w:hRule="atLeast"/>
          <w:jc w:val="center"/>
        </w:trPr>
        <w:tc>
          <w:tcPr>
            <w:tcW w:w="702"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93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城郊</w:t>
            </w:r>
          </w:p>
        </w:tc>
        <w:tc>
          <w:tcPr>
            <w:tcW w:w="41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经济条件好，室内卫生设施齐全</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145</w:t>
            </w:r>
          </w:p>
        </w:tc>
      </w:tr>
      <w:tr>
        <w:tblPrEx>
          <w:tblCellMar>
            <w:top w:w="0" w:type="dxa"/>
            <w:left w:w="108" w:type="dxa"/>
            <w:bottom w:w="0" w:type="dxa"/>
            <w:right w:w="108" w:type="dxa"/>
          </w:tblCellMar>
        </w:tblPrEx>
        <w:trPr>
          <w:trHeight w:val="170" w:hRule="atLeast"/>
          <w:jc w:val="center"/>
        </w:trPr>
        <w:tc>
          <w:tcPr>
            <w:tcW w:w="702"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93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平原</w:t>
            </w:r>
          </w:p>
        </w:tc>
        <w:tc>
          <w:tcPr>
            <w:tcW w:w="41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经济条件较好，室内卫生设施较齐全</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r>
      <w:tr>
        <w:tblPrEx>
          <w:tblCellMar>
            <w:top w:w="0" w:type="dxa"/>
            <w:left w:w="108" w:type="dxa"/>
            <w:bottom w:w="0" w:type="dxa"/>
            <w:right w:w="108" w:type="dxa"/>
          </w:tblCellMar>
        </w:tblPrEx>
        <w:trPr>
          <w:trHeight w:val="131" w:hRule="atLeast"/>
          <w:jc w:val="center"/>
        </w:trPr>
        <w:tc>
          <w:tcPr>
            <w:tcW w:w="702"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93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半山区</w:t>
            </w:r>
          </w:p>
        </w:tc>
        <w:tc>
          <w:tcPr>
            <w:tcW w:w="41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经济条件一般，有简单的室内卫生设施</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r>
      <w:tr>
        <w:tblPrEx>
          <w:tblCellMar>
            <w:top w:w="0" w:type="dxa"/>
            <w:left w:w="108" w:type="dxa"/>
            <w:bottom w:w="0" w:type="dxa"/>
            <w:right w:w="108" w:type="dxa"/>
          </w:tblCellMar>
        </w:tblPrEx>
        <w:trPr>
          <w:trHeight w:val="90" w:hRule="atLeast"/>
          <w:jc w:val="center"/>
        </w:trPr>
        <w:tc>
          <w:tcPr>
            <w:tcW w:w="702"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93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山区</w:t>
            </w:r>
          </w:p>
        </w:tc>
        <w:tc>
          <w:tcPr>
            <w:tcW w:w="41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无卫生间和淋浴设备</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162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r>
    </w:tbl>
    <w:p>
      <w:pPr>
        <w:widowControl w:val="0"/>
        <w:spacing w:line="264" w:lineRule="auto"/>
        <w:ind w:firstLine="640"/>
        <w:rPr>
          <w:rFonts w:hint="eastAsia" w:ascii="方正仿宋_GBK" w:hAnsi="方正仿宋_GBK" w:cs="方正仿宋_GBK"/>
          <w:color w:val="auto"/>
        </w:rPr>
      </w:pPr>
      <w:bookmarkStart w:id="97" w:name="_Toc48318225"/>
      <w:bookmarkStart w:id="98" w:name="_Toc45198239"/>
      <w:r>
        <w:rPr>
          <w:rFonts w:hint="eastAsia" w:ascii="方正仿宋_GBK" w:hAnsi="方正仿宋_GBK" w:cs="方正仿宋_GBK"/>
          <w:color w:val="auto"/>
        </w:rPr>
        <w:t>2.2.3  污水量计算</w:t>
      </w:r>
      <w:bookmarkEnd w:id="96"/>
      <w:bookmarkEnd w:id="97"/>
      <w:bookmarkEnd w:id="98"/>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规划根据各个保留村庄居民点的特点选取对应污水量指标，计算出近期的污水量为1277.50t/a。</w:t>
      </w:r>
    </w:p>
    <w:p>
      <w:pPr>
        <w:widowControl w:val="0"/>
        <w:spacing w:line="264" w:lineRule="auto"/>
        <w:ind w:firstLine="0" w:firstLineChars="0"/>
        <w:rPr>
          <w:rFonts w:hint="eastAsia" w:ascii="方正仿宋_GBK" w:hAnsi="方正仿宋_GBK" w:cs="方正仿宋_GBK"/>
          <w:color w:val="auto"/>
        </w:rPr>
      </w:pPr>
    </w:p>
    <w:p>
      <w:pPr>
        <w:widowControl w:val="0"/>
        <w:spacing w:line="240" w:lineRule="auto"/>
        <w:ind w:firstLine="0" w:firstLineChars="0"/>
        <w:jc w:val="center"/>
        <w:rPr>
          <w:rFonts w:hint="eastAsia" w:ascii="方正黑体_GBK" w:hAnsi="方正黑体_GBK" w:eastAsia="方正黑体_GBK" w:cs="方正黑体_GBK"/>
          <w:color w:val="auto"/>
        </w:rPr>
      </w:pPr>
      <w:bookmarkStart w:id="99" w:name="_Toc48318226"/>
      <w:bookmarkStart w:id="100" w:name="_Toc45198240"/>
      <w:r>
        <w:rPr>
          <w:rFonts w:hint="eastAsia" w:ascii="方正黑体_GBK" w:hAnsi="方正黑体_GBK" w:eastAsia="方正黑体_GBK" w:cs="方正黑体_GBK"/>
          <w:color w:val="auto"/>
        </w:rPr>
        <w:t>第3章  规划方案</w:t>
      </w:r>
      <w:bookmarkEnd w:id="99"/>
      <w:bookmarkEnd w:id="100"/>
    </w:p>
    <w:p>
      <w:pPr>
        <w:widowControl w:val="0"/>
        <w:spacing w:line="267" w:lineRule="auto"/>
        <w:ind w:firstLine="640"/>
        <w:rPr>
          <w:rFonts w:hint="eastAsia" w:ascii="方正楷体_GBK" w:hAnsi="方正楷体_GBK" w:eastAsia="方正楷体_GBK" w:cs="方正楷体_GBK"/>
          <w:color w:val="auto"/>
        </w:rPr>
      </w:pPr>
      <w:bookmarkStart w:id="101" w:name="_Toc48318227"/>
      <w:bookmarkStart w:id="102" w:name="_Toc45198241"/>
      <w:r>
        <w:rPr>
          <w:rFonts w:hint="eastAsia" w:ascii="方正楷体_GBK" w:hAnsi="方正楷体_GBK" w:eastAsia="方正楷体_GBK" w:cs="方正楷体_GBK"/>
          <w:color w:val="auto"/>
        </w:rPr>
        <w:t>3.1  优先区域规划方案</w:t>
      </w:r>
      <w:bookmarkEnd w:id="101"/>
      <w:bookmarkEnd w:id="102"/>
    </w:p>
    <w:p>
      <w:pPr>
        <w:widowControl w:val="0"/>
        <w:ind w:firstLine="640"/>
        <w:rPr>
          <w:rFonts w:hint="eastAsia" w:ascii="方正仿宋_GBK" w:hAnsi="方正仿宋_GBK" w:cs="方正仿宋_GBK"/>
          <w:color w:val="auto"/>
        </w:rPr>
      </w:pPr>
      <w:bookmarkStart w:id="103" w:name="_Toc48318228"/>
      <w:bookmarkStart w:id="104" w:name="_Toc45198242"/>
      <w:r>
        <w:rPr>
          <w:rFonts w:hint="eastAsia" w:ascii="方正仿宋_GBK" w:hAnsi="方正仿宋_GBK" w:cs="方正仿宋_GBK"/>
          <w:color w:val="auto"/>
        </w:rPr>
        <w:t>3.1.1  区域状况</w:t>
      </w:r>
      <w:bookmarkEnd w:id="103"/>
      <w:bookmarkEnd w:id="104"/>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优先区域包括7个街道，16个镇，共计189个村（涉农社区）。涉及常住人口229676户、612266人；集中区常住户数49539户、122898人；分散区常住180137户、489368人。</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农家乐及民宿共有91家，涉及7个镇街，21个村（涉农社区），均位于优先区域。其中，共计77家农家乐及民宿配套有化粪池，占总数的84.62%；63家农家乐及民宿配套有隔油池，占总数的69.23%；44家农家乐及民宿自建污水处理设施（均为生化工艺），占总数的48.35%。</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已建污水处理设施有45个，涉及18个镇街、45个村（涉农社区）；设计规模总计11020吨/天，均处于正常运行状态；配套干管和二三级管网长度216.40km。</w:t>
      </w:r>
    </w:p>
    <w:p>
      <w:pPr>
        <w:widowControl w:val="0"/>
        <w:ind w:firstLine="640"/>
        <w:rPr>
          <w:rFonts w:hint="eastAsia" w:ascii="方正仿宋_GBK" w:hAnsi="方正仿宋_GBK" w:cs="方正仿宋_GBK"/>
          <w:color w:val="auto"/>
        </w:rPr>
      </w:pPr>
      <w:bookmarkStart w:id="105" w:name="_Toc45198243"/>
      <w:bookmarkStart w:id="106" w:name="_Toc48318229"/>
      <w:r>
        <w:rPr>
          <w:rFonts w:hint="eastAsia" w:ascii="方正仿宋_GBK" w:hAnsi="方正仿宋_GBK" w:cs="方正仿宋_GBK"/>
          <w:color w:val="auto"/>
        </w:rPr>
        <w:t>3.1.2  生活污水治理现状分析</w:t>
      </w:r>
      <w:bookmarkEnd w:id="105"/>
      <w:bookmarkEnd w:id="106"/>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（1）集中区</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根据相关资料显示，由于南大街街道谭家坝村的谭家坝、骑龙穴、檀木林、花椒田、花铺院等村民小组（1、2、3、4、9社），共计305户，以及谭家坝便民服务中心、202公交车站，</w:t>
      </w:r>
      <w:sdt>
        <w:sdtPr>
          <w:rPr>
            <w:color w:val="auto"/>
          </w:rPr>
          <w:alias w:val="易错词检查"/>
          <w:id w:val="2060131"/>
        </w:sdtPr>
        <w:sdtEndPr>
          <w:rPr>
            <w:color w:val="auto"/>
          </w:rPr>
        </w:sdtEndPr>
        <w:sdtContent>
          <w:bookmarkStart w:id="107" w:name="bkReivew2060131"/>
          <w:r>
            <w:rPr>
              <w:rFonts w:hint="eastAsia"/>
              <w:color w:val="auto"/>
              <w:lang w:eastAsia="zh-CN"/>
            </w:rPr>
            <w:t>辖区</w:t>
          </w:r>
          <w:r>
            <w:rPr>
              <w:rFonts w:hint="eastAsia" w:ascii="方正仿宋_GBK" w:hAnsi="方正仿宋_GBK" w:cs="方正仿宋_GBK"/>
              <w:color w:val="auto"/>
            </w:rPr>
            <w:t>面积</w:t>
          </w:r>
          <w:bookmarkEnd w:id="107"/>
        </w:sdtContent>
      </w:sdt>
      <w:r>
        <w:rPr>
          <w:rFonts w:hint="eastAsia" w:ascii="方正仿宋_GBK" w:hAnsi="方正仿宋_GBK" w:cs="方正仿宋_GBK"/>
          <w:color w:val="auto"/>
        </w:rPr>
        <w:t>0.85平方公里无污水管网，居民日常生产生活排污比较困难，污水无法收集，形成黑臭坑塘，严重影响辖区环境，且境内青峰河（永青河）地势低，属于低洼地带，污水有渗漏到邻近河流的风险。</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金龙镇解放村共计80户200人的集中区无集中式污水处理设施，污水无法收集，影响辖区内环境。</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运行负荷率低于60%的污水处理厂（站）有20个，分别为大河村污水处理厂、九层岩污水处理站、涨谷村污水处理厂、何埂镇李家湾村污水处理站等；生活污水收集率平均达80.67%；出水水质均达标。</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（2）分散区域</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根据资料显示，优先区域农村分散区仍有124243户未进行农户改厕。</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（3）农家乐及民宿</w:t>
      </w:r>
    </w:p>
    <w:p>
      <w:pPr>
        <w:widowControl w:val="0"/>
        <w:spacing w:line="267" w:lineRule="auto"/>
        <w:ind w:firstLine="640"/>
        <w:rPr>
          <w:rFonts w:hint="eastAsia" w:ascii="方正仿宋_GBK" w:hAnsi="方正仿宋_GBK" w:cs="方正仿宋_GBK"/>
          <w:color w:val="auto"/>
        </w:rPr>
      </w:pPr>
      <w:r>
        <w:rPr>
          <w:rFonts w:hint="eastAsia" w:ascii="方正仿宋_GBK" w:hAnsi="方正仿宋_GBK" w:cs="方正仿宋_GBK"/>
          <w:color w:val="auto"/>
        </w:rPr>
        <w:t>通过各镇街提供资料显示，优先区域共计9家民宿和农家乐无化粪池，20家无隔油池。由于地处优先区域内，其污水外排将直接影响区内生态环境。</w:t>
      </w:r>
    </w:p>
    <w:p>
      <w:pPr>
        <w:widowControl w:val="0"/>
        <w:ind w:firstLine="640"/>
        <w:rPr>
          <w:rFonts w:hint="eastAsia" w:ascii="方正仿宋_GBK" w:hAnsi="方正仿宋_GBK" w:cs="方正仿宋_GBK"/>
          <w:color w:val="auto"/>
        </w:rPr>
      </w:pPr>
      <w:bookmarkStart w:id="108" w:name="_Toc45198244"/>
      <w:bookmarkStart w:id="109" w:name="_Toc48318230"/>
      <w:r>
        <w:rPr>
          <w:rFonts w:hint="eastAsia" w:ascii="方正仿宋_GBK" w:hAnsi="方正仿宋_GBK" w:cs="方正仿宋_GBK"/>
          <w:color w:val="auto"/>
        </w:rPr>
        <w:t>3.1.3  存在问题</w:t>
      </w:r>
      <w:bookmarkEnd w:id="108"/>
      <w:bookmarkEnd w:id="109"/>
    </w:p>
    <w:p>
      <w:pPr>
        <w:widowControl w:val="0"/>
        <w:spacing w:line="267" w:lineRule="auto"/>
        <w:ind w:firstLine="640"/>
        <w:rPr>
          <w:rFonts w:hint="eastAsia"/>
          <w:color w:val="auto"/>
        </w:rPr>
      </w:pPr>
      <w:r>
        <w:rPr>
          <w:rFonts w:hint="eastAsia"/>
          <w:color w:val="auto"/>
        </w:rPr>
        <w:t>根据现状分析，梳理出优先区域农村生活污水的主要问题有以下几个方面。</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表3.1.3-1  优先区域农村生活污水问题清单</w:t>
      </w:r>
    </w:p>
    <w:tbl>
      <w:tblPr>
        <w:tblStyle w:val="25"/>
        <w:tblW w:w="0" w:type="auto"/>
        <w:jc w:val="center"/>
        <w:tblLayout w:type="fixed"/>
        <w:tblCellMar>
          <w:top w:w="0" w:type="dxa"/>
          <w:left w:w="28" w:type="dxa"/>
          <w:bottom w:w="0" w:type="dxa"/>
          <w:right w:w="28" w:type="dxa"/>
        </w:tblCellMar>
      </w:tblPr>
      <w:tblGrid>
        <w:gridCol w:w="622"/>
        <w:gridCol w:w="750"/>
        <w:gridCol w:w="974"/>
        <w:gridCol w:w="1726"/>
        <w:gridCol w:w="3864"/>
        <w:gridCol w:w="965"/>
      </w:tblGrid>
      <w:tr>
        <w:tblPrEx>
          <w:tblCellMar>
            <w:top w:w="0" w:type="dxa"/>
            <w:left w:w="28" w:type="dxa"/>
            <w:bottom w:w="0" w:type="dxa"/>
            <w:right w:w="28" w:type="dxa"/>
          </w:tblCellMar>
        </w:tblPrEx>
        <w:trPr>
          <w:cantSplit/>
          <w:trHeight w:val="559" w:hRule="atLeast"/>
          <w:tblHeader/>
          <w:jc w:val="center"/>
        </w:trPr>
        <w:tc>
          <w:tcPr>
            <w:tcW w:w="62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序号</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区域</w:t>
            </w:r>
          </w:p>
        </w:tc>
        <w:tc>
          <w:tcPr>
            <w:tcW w:w="2700" w:type="dxa"/>
            <w:gridSpan w:val="2"/>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存在问题</w:t>
            </w:r>
          </w:p>
        </w:tc>
        <w:tc>
          <w:tcPr>
            <w:tcW w:w="3864"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涉及村（涉农社区）</w:t>
            </w:r>
          </w:p>
        </w:tc>
        <w:tc>
          <w:tcPr>
            <w:tcW w:w="96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原因</w:t>
            </w:r>
          </w:p>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分析</w:t>
            </w:r>
          </w:p>
        </w:tc>
      </w:tr>
      <w:tr>
        <w:tblPrEx>
          <w:tblCellMar>
            <w:top w:w="0" w:type="dxa"/>
            <w:left w:w="28" w:type="dxa"/>
            <w:bottom w:w="0" w:type="dxa"/>
            <w:right w:w="28" w:type="dxa"/>
          </w:tblCellMar>
        </w:tblPrEx>
        <w:trPr>
          <w:cantSplit/>
          <w:trHeight w:val="840" w:hRule="atLeast"/>
          <w:jc w:val="center"/>
        </w:trPr>
        <w:tc>
          <w:tcPr>
            <w:tcW w:w="62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7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集中区</w:t>
            </w:r>
          </w:p>
        </w:tc>
        <w:tc>
          <w:tcPr>
            <w:tcW w:w="97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缺乏集中处理设施</w:t>
            </w:r>
          </w:p>
        </w:tc>
        <w:tc>
          <w:tcPr>
            <w:tcW w:w="172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谭家坝村共计305户的集中区无集中处理设施</w:t>
            </w:r>
          </w:p>
        </w:tc>
        <w:tc>
          <w:tcPr>
            <w:tcW w:w="386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谭家坝村、解放村</w:t>
            </w:r>
          </w:p>
        </w:tc>
        <w:tc>
          <w:tcPr>
            <w:tcW w:w="9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财政投入不足</w:t>
            </w:r>
          </w:p>
        </w:tc>
      </w:tr>
      <w:tr>
        <w:tblPrEx>
          <w:tblCellMar>
            <w:top w:w="0" w:type="dxa"/>
            <w:left w:w="28" w:type="dxa"/>
            <w:bottom w:w="0" w:type="dxa"/>
            <w:right w:w="28" w:type="dxa"/>
          </w:tblCellMar>
        </w:tblPrEx>
        <w:trPr>
          <w:cantSplit/>
          <w:trHeight w:val="1346" w:hRule="atLeast"/>
          <w:jc w:val="center"/>
        </w:trPr>
        <w:tc>
          <w:tcPr>
            <w:tcW w:w="62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7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97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已建污水处理设施运行负荷率低</w:t>
            </w:r>
          </w:p>
        </w:tc>
        <w:tc>
          <w:tcPr>
            <w:tcW w:w="172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20个污水处理厂（站）运行负荷率低于标准的60%</w:t>
            </w:r>
          </w:p>
        </w:tc>
        <w:tc>
          <w:tcPr>
            <w:tcW w:w="386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李家湾村、九层岩村、龙凤桥村、马银村、高滩村、黄瓜山村、双河口社区、万寿场社区、德胜桥村、凤龙村、高坡村、谭家坝村、会龙桥村、灯坪村、隆顺村、石脚迹村、石笋山村、铜鼓村、新泉村、玉宝村</w:t>
            </w:r>
          </w:p>
        </w:tc>
        <w:tc>
          <w:tcPr>
            <w:tcW w:w="9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截污管网不完善，部分污水难以收集</w:t>
            </w:r>
          </w:p>
        </w:tc>
      </w:tr>
      <w:tr>
        <w:tblPrEx>
          <w:tblCellMar>
            <w:top w:w="0" w:type="dxa"/>
            <w:left w:w="28" w:type="dxa"/>
            <w:bottom w:w="0" w:type="dxa"/>
            <w:right w:w="28" w:type="dxa"/>
          </w:tblCellMar>
        </w:tblPrEx>
        <w:trPr>
          <w:cantSplit/>
          <w:trHeight w:val="3180" w:hRule="atLeast"/>
          <w:jc w:val="center"/>
        </w:trPr>
        <w:tc>
          <w:tcPr>
            <w:tcW w:w="62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75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分散区</w:t>
            </w:r>
          </w:p>
        </w:tc>
        <w:tc>
          <w:tcPr>
            <w:tcW w:w="97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生活污水乱排乱</w:t>
            </w:r>
          </w:p>
        </w:tc>
        <w:tc>
          <w:tcPr>
            <w:tcW w:w="172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共计124243户常住户的生活污水乱排乱放没有得到管控</w:t>
            </w:r>
          </w:p>
        </w:tc>
        <w:tc>
          <w:tcPr>
            <w:tcW w:w="386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萱花村、</w:t>
            </w:r>
            <w:sdt>
              <w:sdtPr>
                <w:rPr>
                  <w:color w:val="auto"/>
                </w:rPr>
                <w:alias w:val="易错词检查"/>
                <w:id w:val="3052822"/>
              </w:sdtPr>
              <w:sdtEndPr>
                <w:rPr>
                  <w:color w:val="auto"/>
                </w:rPr>
              </w:sdtEndPr>
              <w:sdtContent>
                <w:bookmarkStart w:id="110" w:name="bkReivew3052822"/>
                <w:r>
                  <w:rPr>
                    <w:rFonts w:hint="eastAsia" w:ascii="方正仿宋_GBK" w:hAnsi="方正仿宋_GBK" w:cs="方正仿宋_GBK"/>
                    <w:color w:val="auto"/>
                    <w:spacing w:val="-6"/>
                    <w:sz w:val="21"/>
                    <w:szCs w:val="21"/>
                  </w:rPr>
                  <w:t>菜</w:t>
                </w:r>
                <w:bookmarkEnd w:id="110"/>
              </w:sdtContent>
            </w:sdt>
            <w:r>
              <w:rPr>
                <w:rFonts w:hint="eastAsia" w:ascii="方正仿宋_GBK" w:hAnsi="方正仿宋_GBK" w:cs="方正仿宋_GBK"/>
                <w:color w:val="auto"/>
                <w:spacing w:val="-6"/>
                <w:sz w:val="21"/>
                <w:szCs w:val="21"/>
              </w:rPr>
              <w:t>茵岩村、陈青桥村、冯家坪村、双河口村、复兴寺村、卢家岩村、梅家桥村、瓦窑村、芋荷湾村、朱龙花村、八角寺村、代家店村、黄瓜山村、小南村、石龙村、</w:t>
            </w:r>
            <w:sdt>
              <w:sdtPr>
                <w:rPr>
                  <w:color w:val="auto"/>
                </w:rPr>
                <w:alias w:val="敏感词检查"/>
                <w:id w:val="50054"/>
              </w:sdtPr>
              <w:sdtEndPr>
                <w:rPr>
                  <w:color w:val="auto"/>
                </w:rPr>
              </w:sdtEndPr>
              <w:sdtContent>
                <w:bookmarkStart w:id="111" w:name="bkPolitics50054"/>
                <w:r>
                  <w:rPr>
                    <w:rFonts w:hint="eastAsia" w:ascii="方正仿宋_GBK" w:hAnsi="方正仿宋_GBK" w:cs="方正仿宋_GBK"/>
                    <w:color w:val="auto"/>
                    <w:spacing w:val="-6"/>
                    <w:sz w:val="21"/>
                    <w:szCs w:val="21"/>
                  </w:rPr>
                  <w:t>玉峰</w:t>
                </w:r>
                <w:bookmarkEnd w:id="111"/>
              </w:sdtContent>
            </w:sdt>
            <w:r>
              <w:rPr>
                <w:rFonts w:hint="eastAsia" w:ascii="方正仿宋_GBK" w:hAnsi="方正仿宋_GBK" w:cs="方正仿宋_GBK"/>
                <w:color w:val="auto"/>
                <w:spacing w:val="-6"/>
                <w:sz w:val="21"/>
                <w:szCs w:val="21"/>
              </w:rPr>
              <w:t>村、解放村、石岭村、鱼龙村、石笋山村、沙坪村、转角店村、丰乐村、新泉村、联盟村、一碗水村、科名村、仓宝村、长丰村、灯坪村、金鼎村、金龙村、牌坊坝村、利民村、郝家坝村、陡沟河村、福良村、转龙村、九层岩村、洞子口村、嘉阜村、莲花塘村、凌阁堂村、马银村、燃灯村、长滩河村、梓潼观村等160个村（涉农社区）</w:t>
            </w:r>
          </w:p>
        </w:tc>
        <w:tc>
          <w:tcPr>
            <w:tcW w:w="9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财政投入不足</w:t>
            </w:r>
          </w:p>
        </w:tc>
      </w:tr>
      <w:tr>
        <w:tblPrEx>
          <w:tblCellMar>
            <w:top w:w="0" w:type="dxa"/>
            <w:left w:w="28" w:type="dxa"/>
            <w:bottom w:w="0" w:type="dxa"/>
            <w:right w:w="28" w:type="dxa"/>
          </w:tblCellMar>
        </w:tblPrEx>
        <w:trPr>
          <w:cantSplit/>
          <w:trHeight w:val="785" w:hRule="atLeast"/>
          <w:jc w:val="center"/>
        </w:trPr>
        <w:tc>
          <w:tcPr>
            <w:tcW w:w="62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75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民宿及农家乐</w:t>
            </w:r>
          </w:p>
        </w:tc>
        <w:tc>
          <w:tcPr>
            <w:tcW w:w="97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无污水处理设施</w:t>
            </w:r>
          </w:p>
        </w:tc>
        <w:tc>
          <w:tcPr>
            <w:tcW w:w="172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有20家民宿和农家乐污水为直排</w:t>
            </w:r>
          </w:p>
        </w:tc>
        <w:tc>
          <w:tcPr>
            <w:tcW w:w="386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茶竹村、大南村、谭家坝村、丰田村、胜利村、代家店村</w:t>
            </w:r>
          </w:p>
        </w:tc>
        <w:tc>
          <w:tcPr>
            <w:tcW w:w="9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执法部门监管不力</w:t>
            </w:r>
          </w:p>
        </w:tc>
      </w:tr>
    </w:tbl>
    <w:p>
      <w:pPr>
        <w:widowControl w:val="0"/>
        <w:spacing w:line="264" w:lineRule="auto"/>
        <w:ind w:firstLine="640"/>
        <w:rPr>
          <w:rFonts w:hint="eastAsia" w:ascii="方正仿宋_GBK" w:hAnsi="方正仿宋_GBK" w:cs="方正仿宋_GBK"/>
          <w:color w:val="auto"/>
        </w:rPr>
      </w:pPr>
      <w:bookmarkStart w:id="112" w:name="_Toc45198245"/>
      <w:bookmarkStart w:id="113" w:name="_Toc48318231"/>
      <w:r>
        <w:rPr>
          <w:rFonts w:hint="eastAsia" w:ascii="方正仿宋_GBK" w:hAnsi="方正仿宋_GBK" w:cs="方正仿宋_GBK"/>
          <w:color w:val="auto"/>
        </w:rPr>
        <w:t>3.1.4  方案措施</w:t>
      </w:r>
      <w:bookmarkEnd w:id="112"/>
      <w:bookmarkEnd w:id="113"/>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3.1.4.1  规划范围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规划范围包括集中区（22个村和涉农社区）、分散区（119个村和涉农社区）及民宿和农家乐（6个村和涉农社区）。共涉及村和涉农社区126个（剔除重复村和涉农社区），即谭家坝村、解放村、李家湾村、九层岩村、龙凤桥村、马银村、高滩村、黄瓜山村、双河口社区、万寿场社区、德胜桥村、凤龙村、高坡村、会龙桥村、灯坪村、隆顺村、石脚迹村、石笋山村、铜鼓村、新泉村、玉宝村、萱花村、</w:t>
      </w:r>
      <w:sdt>
        <w:sdtPr>
          <w:rPr>
            <w:color w:val="auto"/>
          </w:rPr>
          <w:alias w:val="易错词检查"/>
          <w:id w:val="1100856"/>
        </w:sdtPr>
        <w:sdtEndPr>
          <w:rPr>
            <w:color w:val="auto"/>
          </w:rPr>
        </w:sdtEndPr>
        <w:sdtContent>
          <w:bookmarkStart w:id="114" w:name="bkReivew1100856"/>
          <w:r>
            <w:rPr>
              <w:rFonts w:hint="eastAsia" w:ascii="方正仿宋_GBK" w:hAnsi="方正仿宋_GBK" w:cs="方正仿宋_GBK"/>
              <w:color w:val="auto"/>
            </w:rPr>
            <w:t>菜</w:t>
          </w:r>
          <w:bookmarkEnd w:id="114"/>
        </w:sdtContent>
      </w:sdt>
      <w:r>
        <w:rPr>
          <w:rFonts w:hint="eastAsia" w:ascii="方正仿宋_GBK" w:hAnsi="方正仿宋_GBK" w:cs="方正仿宋_GBK"/>
          <w:color w:val="auto"/>
        </w:rPr>
        <w:t>茵岩村、陈青桥村、冯家坪村、双河口村、复兴寺村、卢家岩村、梅家桥村、瓦窑村、芋荷湾村、朱龙花村、八角寺村、代家店村、小南村、石龙村、</w:t>
      </w:r>
      <w:sdt>
        <w:sdtPr>
          <w:rPr>
            <w:color w:val="auto"/>
          </w:rPr>
          <w:alias w:val="敏感词检查"/>
          <w:id w:val="3103833"/>
        </w:sdtPr>
        <w:sdtEndPr>
          <w:rPr>
            <w:color w:val="auto"/>
          </w:rPr>
        </w:sdtEndPr>
        <w:sdtContent>
          <w:bookmarkStart w:id="115" w:name="bkPolitics3103833"/>
          <w:r>
            <w:rPr>
              <w:rFonts w:hint="eastAsia" w:ascii="方正仿宋_GBK" w:hAnsi="方正仿宋_GBK" w:cs="方正仿宋_GBK"/>
              <w:color w:val="auto"/>
            </w:rPr>
            <w:t>玉峰</w:t>
          </w:r>
          <w:bookmarkEnd w:id="115"/>
        </w:sdtContent>
      </w:sdt>
      <w:r>
        <w:rPr>
          <w:rFonts w:hint="eastAsia" w:ascii="方正仿宋_GBK" w:hAnsi="方正仿宋_GBK" w:cs="方正仿宋_GBK"/>
          <w:color w:val="auto"/>
        </w:rPr>
        <w:t>村、石岭村、鱼龙村、沙坪村、转角店村、丰乐村、联盟村、一碗水村、科名村、仓宝村、长丰村、金鼎村、金龙村、牌坊坝村、利民村、郝家坝村、陡沟河村、福良村、转龙村、洞子口村、嘉阜村、莲花塘村、凌阁堂村、燃灯村、长滩河村、梓潼观村、茶竹村、大南村、丰田村、胜利村等。</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3.1.4.2  方案概述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针对谭家坝村305户集中区建设1座一体化集中污水处理站；针对解放村80户的集中区建设1座一体化集中污水处理站。对运行负荷率低于60%的20个污水处理厂（站）进行截污管网建设，共计57.5km。针对分散区未进行改厕的住户修建卫生厕所33923座。针对未配套污水处置设施的农家乐和民宿分别新建化粪池9座、隔油池20座。</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3.1.4.3  实施内容</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结合用水定额按100L/人·d计算，污水排放量按用水定额的80%计，污水收集率取85%，日变化系数取1.2，计算出污水量。根据各区域类型具体情况确定规划实施方案。</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表3.1.4-1  集中区已建污水处理设施改造布局一览表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97"/>
        <w:gridCol w:w="1065"/>
        <w:gridCol w:w="1170"/>
        <w:gridCol w:w="1110"/>
        <w:gridCol w:w="1785"/>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8" w:hRule="atLeast"/>
          <w:jc w:val="center"/>
        </w:trPr>
        <w:tc>
          <w:tcPr>
            <w:tcW w:w="697"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序号</w:t>
            </w:r>
          </w:p>
        </w:tc>
        <w:tc>
          <w:tcPr>
            <w:tcW w:w="1065"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行政村</w:t>
            </w:r>
          </w:p>
        </w:tc>
        <w:tc>
          <w:tcPr>
            <w:tcW w:w="1170"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户数（户）</w:t>
            </w:r>
          </w:p>
        </w:tc>
        <w:tc>
          <w:tcPr>
            <w:tcW w:w="1110"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人口（人）</w:t>
            </w:r>
          </w:p>
        </w:tc>
        <w:tc>
          <w:tcPr>
            <w:tcW w:w="1785"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规划处理方式</w:t>
            </w:r>
          </w:p>
        </w:tc>
        <w:tc>
          <w:tcPr>
            <w:tcW w:w="3074"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97"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1</w:t>
            </w:r>
          </w:p>
        </w:tc>
        <w:tc>
          <w:tcPr>
            <w:tcW w:w="1065"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谭家坝村</w:t>
            </w:r>
          </w:p>
        </w:tc>
        <w:tc>
          <w:tcPr>
            <w:tcW w:w="1170"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305</w:t>
            </w:r>
          </w:p>
        </w:tc>
        <w:tc>
          <w:tcPr>
            <w:tcW w:w="1110"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933</w:t>
            </w:r>
          </w:p>
        </w:tc>
        <w:tc>
          <w:tcPr>
            <w:tcW w:w="1785" w:type="dxa"/>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一体化集中污水处理设施建设</w:t>
            </w:r>
          </w:p>
        </w:tc>
        <w:tc>
          <w:tcPr>
            <w:tcW w:w="3074" w:type="dxa"/>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70m</w:t>
            </w:r>
            <w:r>
              <w:rPr>
                <w:rFonts w:hint="eastAsia" w:ascii="方正仿宋_GBK" w:hAnsi="方正仿宋_GBK" w:cs="方正仿宋_GBK"/>
                <w:bCs/>
                <w:color w:val="auto"/>
                <w:sz w:val="21"/>
                <w:szCs w:val="21"/>
                <w:vertAlign w:val="superscript"/>
              </w:rPr>
              <w:t>3</w:t>
            </w:r>
            <w:r>
              <w:rPr>
                <w:rFonts w:hint="eastAsia" w:ascii="方正仿宋_GBK" w:hAnsi="方正仿宋_GBK" w:cs="方正仿宋_GBK"/>
                <w:bCs/>
                <w:color w:val="auto"/>
                <w:sz w:val="21"/>
                <w:szCs w:val="21"/>
              </w:rPr>
              <w:t>/d的一体化集中式污水处理设施1座，管网建设3.5km（DN300的双壁波纹管）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5"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2</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解放村</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80</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200</w:t>
            </w:r>
          </w:p>
        </w:tc>
        <w:tc>
          <w:tcPr>
            <w:tcW w:w="178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一体化集中污水处理设施建设</w:t>
            </w:r>
          </w:p>
        </w:tc>
        <w:tc>
          <w:tcPr>
            <w:tcW w:w="307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管网建设2.5km（DN300的双壁波纹管）；20m3/d的一体化集中处理设施1座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5"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合计</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178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新建2座</w:t>
            </w:r>
          </w:p>
        </w:tc>
        <w:tc>
          <w:tcPr>
            <w:tcW w:w="307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70t/d、20t/d的一体化集中式污水处理设施各1座，管网建设6km（DN300的双壁波纹管）</w:t>
            </w:r>
          </w:p>
        </w:tc>
      </w:tr>
    </w:tbl>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表3.1.4-2  集中区已建污水处理设施改造布局一览表</w:t>
      </w:r>
    </w:p>
    <w:tbl>
      <w:tblPr>
        <w:tblStyle w:val="25"/>
        <w:tblW w:w="0" w:type="auto"/>
        <w:jc w:val="center"/>
        <w:tblLayout w:type="fixed"/>
        <w:tblCellMar>
          <w:top w:w="0" w:type="dxa"/>
          <w:left w:w="108" w:type="dxa"/>
          <w:bottom w:w="0" w:type="dxa"/>
          <w:right w:w="108" w:type="dxa"/>
        </w:tblCellMar>
      </w:tblPr>
      <w:tblGrid>
        <w:gridCol w:w="746"/>
        <w:gridCol w:w="1343"/>
        <w:gridCol w:w="2255"/>
        <w:gridCol w:w="1555"/>
        <w:gridCol w:w="3162"/>
      </w:tblGrid>
      <w:tr>
        <w:tblPrEx>
          <w:tblCellMar>
            <w:top w:w="0" w:type="dxa"/>
            <w:left w:w="108" w:type="dxa"/>
            <w:bottom w:w="0" w:type="dxa"/>
            <w:right w:w="108" w:type="dxa"/>
          </w:tblCellMar>
        </w:tblPrEx>
        <w:trPr>
          <w:trHeight w:val="430" w:hRule="atLeast"/>
          <w:tblHeader/>
          <w:jc w:val="center"/>
        </w:trPr>
        <w:tc>
          <w:tcPr>
            <w:tcW w:w="74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bCs/>
                <w:color w:val="auto"/>
                <w:sz w:val="21"/>
                <w:szCs w:val="21"/>
              </w:rPr>
              <w:t>序号</w:t>
            </w:r>
          </w:p>
        </w:tc>
        <w:tc>
          <w:tcPr>
            <w:tcW w:w="1343"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2255"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污水处理厂（站）</w:t>
            </w:r>
          </w:p>
        </w:tc>
        <w:tc>
          <w:tcPr>
            <w:tcW w:w="1555"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规划处理方式</w:t>
            </w:r>
          </w:p>
        </w:tc>
        <w:tc>
          <w:tcPr>
            <w:tcW w:w="3162"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trHeight w:val="568"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何埂镇李家湾村污水处理站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完善截污管网5.8km（DN300的双壁波纹管）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完善截污管网3.6km（DN300的双壁波纹管）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龙凤桥村登东场镇污水处理厂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完善截污管网2.8km（DN300的双壁波纹管）</w:t>
            </w:r>
          </w:p>
        </w:tc>
      </w:tr>
      <w:tr>
        <w:tblPrEx>
          <w:tblCellMar>
            <w:top w:w="0" w:type="dxa"/>
            <w:left w:w="108" w:type="dxa"/>
            <w:bottom w:w="0" w:type="dxa"/>
            <w:right w:w="108" w:type="dxa"/>
          </w:tblCellMar>
        </w:tblPrEx>
        <w:trPr>
          <w:trHeight w:val="551"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完善截污管网3.6km（DN300的双壁波纹管）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黄文场污水处理站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完善截污管网2.7km（DN300的双壁波纹管）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花桥污水处理厂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完善截污管网5.1km（DN300的双壁波纹管）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万寿场社区</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完善截污管网1.8km（DN300的双壁波纹管）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完善截污管网3.6km（DN300的双壁波纹管）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完善截污管网5.3km（DN300的双壁波纹管）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观音桥污水处理站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完善截污管网2.1km（DN300的双壁波纹管）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会龙桥污水处理一体化设施</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完善截污管网3.4km（DN300的双壁波纹管）</w:t>
            </w:r>
          </w:p>
        </w:tc>
      </w:tr>
      <w:tr>
        <w:tblPrEx>
          <w:tblCellMar>
            <w:top w:w="0" w:type="dxa"/>
            <w:left w:w="108" w:type="dxa"/>
            <w:bottom w:w="0" w:type="dxa"/>
            <w:right w:w="108" w:type="dxa"/>
          </w:tblCellMar>
        </w:tblPrEx>
        <w:trPr>
          <w:trHeight w:val="568"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金龙镇普莲污水处理站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完善截污管网3.4km（DN300的双壁波纹管）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隆顺村爱心楼一体化污水处理站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完善截污管网5.5km（DN300的双壁波纹管）</w:t>
            </w:r>
          </w:p>
        </w:tc>
      </w:tr>
      <w:tr>
        <w:tblPrEx>
          <w:tblCellMar>
            <w:top w:w="0" w:type="dxa"/>
            <w:left w:w="108" w:type="dxa"/>
            <w:bottom w:w="0" w:type="dxa"/>
            <w:right w:w="108" w:type="dxa"/>
          </w:tblCellMar>
        </w:tblPrEx>
        <w:trPr>
          <w:trHeight w:val="489"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完善截污管网3.7km（DN300的双壁波纹管）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完善截污管网1.8km（DN300的双壁波纹管）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铜鼓村污水处理厂</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完善截污管网1.5km（DN300的双壁波纹管）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完善截污管网1.6km（DN300的双壁波纹管）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w:t>
            </w: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玉宝村污水处理站</w:t>
            </w: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完善截污管网2.3km（DN300的双壁波纹管）</w:t>
            </w:r>
          </w:p>
        </w:tc>
      </w:tr>
      <w:tr>
        <w:tblPrEx>
          <w:tblCellMar>
            <w:top w:w="0" w:type="dxa"/>
            <w:left w:w="108" w:type="dxa"/>
            <w:bottom w:w="0" w:type="dxa"/>
            <w:right w:w="108" w:type="dxa"/>
          </w:tblCellMar>
        </w:tblPrEx>
        <w:trPr>
          <w:trHeight w:val="435" w:hRule="atLeast"/>
          <w:jc w:val="center"/>
        </w:trPr>
        <w:tc>
          <w:tcPr>
            <w:tcW w:w="74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34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22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b/>
                <w:bCs/>
                <w:color w:val="auto"/>
                <w:sz w:val="21"/>
                <w:szCs w:val="21"/>
              </w:rPr>
            </w:pPr>
          </w:p>
        </w:tc>
        <w:tc>
          <w:tcPr>
            <w:tcW w:w="15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b/>
                <w:bCs/>
                <w:color w:val="auto"/>
                <w:sz w:val="21"/>
                <w:szCs w:val="21"/>
              </w:rPr>
            </w:pPr>
          </w:p>
        </w:tc>
        <w:tc>
          <w:tcPr>
            <w:tcW w:w="31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b/>
                <w:bCs/>
                <w:color w:val="auto"/>
                <w:sz w:val="21"/>
                <w:szCs w:val="21"/>
              </w:rPr>
            </w:pPr>
            <w:r>
              <w:rPr>
                <w:rFonts w:hint="eastAsia" w:ascii="方正仿宋_GBK" w:hAnsi="方正仿宋_GBK" w:cs="方正仿宋_GBK"/>
                <w:color w:val="auto"/>
                <w:sz w:val="21"/>
                <w:szCs w:val="21"/>
              </w:rPr>
              <w:t>完善截污管网57.5km（DN300的双壁波纹管）</w:t>
            </w:r>
          </w:p>
        </w:tc>
      </w:tr>
    </w:tbl>
    <w:p>
      <w:pPr>
        <w:widowControl w:val="0"/>
        <w:spacing w:line="252"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表3.1.4-3  分散区域规划农村生活污水治理布局一览表</w:t>
      </w:r>
    </w:p>
    <w:tbl>
      <w:tblPr>
        <w:tblStyle w:val="25"/>
        <w:tblW w:w="0" w:type="auto"/>
        <w:jc w:val="center"/>
        <w:tblLayout w:type="fixed"/>
        <w:tblCellMar>
          <w:top w:w="0" w:type="dxa"/>
          <w:left w:w="108" w:type="dxa"/>
          <w:bottom w:w="0" w:type="dxa"/>
          <w:right w:w="108" w:type="dxa"/>
        </w:tblCellMar>
      </w:tblPr>
      <w:tblGrid>
        <w:gridCol w:w="662"/>
        <w:gridCol w:w="1410"/>
        <w:gridCol w:w="1155"/>
        <w:gridCol w:w="1110"/>
        <w:gridCol w:w="1065"/>
        <w:gridCol w:w="1410"/>
        <w:gridCol w:w="2079"/>
      </w:tblGrid>
      <w:tr>
        <w:tblPrEx>
          <w:tblCellMar>
            <w:top w:w="0" w:type="dxa"/>
            <w:left w:w="108" w:type="dxa"/>
            <w:bottom w:w="0" w:type="dxa"/>
            <w:right w:w="108" w:type="dxa"/>
          </w:tblCellMar>
        </w:tblPrEx>
        <w:trPr>
          <w:trHeight w:val="90" w:hRule="atLeast"/>
          <w:tblHeader/>
          <w:jc w:val="center"/>
        </w:trPr>
        <w:tc>
          <w:tcPr>
            <w:tcW w:w="66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pacing w:val="-6"/>
                <w:sz w:val="21"/>
                <w:szCs w:val="21"/>
              </w:rPr>
              <w:t>序号</w:t>
            </w:r>
          </w:p>
        </w:tc>
        <w:tc>
          <w:tcPr>
            <w:tcW w:w="141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tc>
        <w:tc>
          <w:tcPr>
            <w:tcW w:w="115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111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户数（户）</w:t>
            </w:r>
          </w:p>
        </w:tc>
        <w:tc>
          <w:tcPr>
            <w:tcW w:w="106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人口（人）</w:t>
            </w:r>
          </w:p>
        </w:tc>
        <w:tc>
          <w:tcPr>
            <w:tcW w:w="141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pacing w:val="-6"/>
                <w:sz w:val="21"/>
                <w:szCs w:val="21"/>
              </w:rPr>
              <w:t>规划处理方式</w:t>
            </w:r>
          </w:p>
        </w:tc>
        <w:tc>
          <w:tcPr>
            <w:tcW w:w="2079"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茶山竹海街道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修建卫生厕所497座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易错词检查"/>
                <w:id w:val="2051040"/>
              </w:sdtPr>
              <w:sdtEndPr>
                <w:rPr>
                  <w:color w:val="auto"/>
                </w:rPr>
              </w:sdtEndPr>
              <w:sdtContent>
                <w:bookmarkStart w:id="116" w:name="bkReivew2051040"/>
                <w:r>
                  <w:rPr>
                    <w:rFonts w:hint="eastAsia" w:ascii="方正仿宋_GBK" w:hAnsi="方正仿宋_GBK" w:cs="方正仿宋_GBK"/>
                    <w:color w:val="auto"/>
                    <w:sz w:val="21"/>
                    <w:szCs w:val="21"/>
                  </w:rPr>
                  <w:t>菜茵</w:t>
                </w:r>
                <w:bookmarkEnd w:id="116"/>
              </w:sdtContent>
            </w:sdt>
            <w:r>
              <w:rPr>
                <w:rFonts w:hint="eastAsia" w:ascii="方正仿宋_GBK" w:hAnsi="方正仿宋_GBK" w:cs="方正仿宋_GBK"/>
                <w:color w:val="auto"/>
                <w:sz w:val="21"/>
                <w:szCs w:val="21"/>
              </w:rPr>
              <w:t>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修建卫生厕所499座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冯家坪村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936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修建卫生厕所468座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491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修建卫生厕所491座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494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修建卫生厕所494座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卢家岩村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梅家桥村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493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修建卫生厕所493座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瓦窑村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芋荷湾村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880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修建卫生厕所440座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朱龙花村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482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修建卫生厕所482座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500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1000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修建卫生厕所250座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代家店村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修建卫生厕所381座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修建卫生厕所348座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小南村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修建卫生厕所306座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修建卫生厕所231座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1162825"/>
              </w:sdtPr>
              <w:sdtEndPr>
                <w:rPr>
                  <w:color w:val="auto"/>
                </w:rPr>
              </w:sdtEndPr>
              <w:sdtContent>
                <w:bookmarkStart w:id="117" w:name="bkPolitics1162825"/>
                <w:r>
                  <w:rPr>
                    <w:rFonts w:hint="eastAsia" w:ascii="方正仿宋_GBK" w:hAnsi="方正仿宋_GBK" w:cs="方正仿宋_GBK"/>
                    <w:color w:val="auto"/>
                    <w:sz w:val="21"/>
                    <w:szCs w:val="21"/>
                  </w:rPr>
                  <w:t>玉峰</w:t>
                </w:r>
                <w:bookmarkEnd w:id="117"/>
              </w:sdtContent>
            </w:sdt>
            <w:r>
              <w:rPr>
                <w:rFonts w:hint="eastAsia" w:ascii="方正仿宋_GBK" w:hAnsi="方正仿宋_GBK" w:cs="方正仿宋_GBK"/>
                <w:color w:val="auto"/>
                <w:sz w:val="21"/>
                <w:szCs w:val="21"/>
              </w:rPr>
              <w:t>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修建卫生厕所285座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解放村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修建卫生厕所226座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石岭村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修建卫生厕所208座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修建卫生厕所420座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494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修建卫生厕所330座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沙坪村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493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修建卫生厕所300座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转角店村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修建卫生厕所450座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丰乐村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495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修建卫生厕所400座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修建卫生厕所410座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联盟村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修建卫生厕所425座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一碗水村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仓宝村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450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修建卫生厕所450座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长丰村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478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956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修建卫生厕所400座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修建卫生厕所266座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修建卫生厕所210座</w:t>
            </w:r>
          </w:p>
        </w:tc>
      </w:tr>
      <w:tr>
        <w:tblPrEx>
          <w:tblCellMar>
            <w:top w:w="0" w:type="dxa"/>
            <w:left w:w="108" w:type="dxa"/>
            <w:bottom w:w="0" w:type="dxa"/>
            <w:right w:w="108" w:type="dxa"/>
          </w:tblCellMar>
        </w:tblPrEx>
        <w:trPr>
          <w:trHeight w:val="33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修建卫生厕所39座</w:t>
            </w:r>
          </w:p>
        </w:tc>
      </w:tr>
      <w:tr>
        <w:tblPrEx>
          <w:tblCellMar>
            <w:top w:w="0" w:type="dxa"/>
            <w:left w:w="108" w:type="dxa"/>
            <w:bottom w:w="0" w:type="dxa"/>
            <w:right w:w="108" w:type="dxa"/>
          </w:tblCellMar>
        </w:tblPrEx>
        <w:trPr>
          <w:trHeight w:val="312"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牌坊坝村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修建卫生厕所378座</w:t>
            </w:r>
          </w:p>
        </w:tc>
      </w:tr>
      <w:tr>
        <w:tblPrEx>
          <w:tblCellMar>
            <w:top w:w="0" w:type="dxa"/>
            <w:left w:w="108" w:type="dxa"/>
            <w:bottom w:w="0" w:type="dxa"/>
            <w:right w:w="108" w:type="dxa"/>
          </w:tblCellMar>
        </w:tblPrEx>
        <w:trPr>
          <w:trHeight w:val="32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利民村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修建卫生厕所240座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郝家坝村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487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修建卫生厕所156座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陡沟河村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938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修建卫生厕所132座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福良村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修建卫生厕所218座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修建卫生厕所231座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修建卫生厕所180座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洞子口村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487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修建卫生厕所397座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嘉阜村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495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修建卫生厕所392座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莲花塘村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修建卫生厕所117座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凌阁堂村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修建卫生厕所177座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修建卫生厕所356座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长滩河村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484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修建卫生厕所440座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488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修建卫生厕所458座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141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茶山竹海街道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安溪村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268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修建卫生厕所103座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修建卫生厕所123座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柏树桥村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修建卫生厕所86座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中山路街道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187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修建卫生厕所72座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本尊村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修建卫生厕所123座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茶山竹海街道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茶园村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修建卫生厕所17座</w:t>
            </w:r>
          </w:p>
        </w:tc>
      </w:tr>
      <w:tr>
        <w:tblPrEx>
          <w:tblCellMar>
            <w:top w:w="0" w:type="dxa"/>
            <w:left w:w="108" w:type="dxa"/>
            <w:bottom w:w="0" w:type="dxa"/>
            <w:right w:w="108" w:type="dxa"/>
          </w:tblCellMar>
        </w:tblPrEx>
        <w:trPr>
          <w:trHeight w:val="32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茶山竹海街道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修建卫生厕所55座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打鱼河村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修建卫生厕所41座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413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修建卫生厕所159座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南大街街道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修建卫生厕所492座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修建卫生厕所128座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141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茶山竹海街道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255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修建卫生厕所98座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大双庆村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修建卫生厕所92座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卫星湖街道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修建卫生厕所92座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211</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549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修建卫生厕所211座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丁家岩村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504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修建卫生厕所194座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151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修建卫生厕所58座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二郎坝村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616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修建卫生厕所237座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丰田村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348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修建卫生厕所134座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卫星湖街道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671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修建卫生厕所258座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585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修建卫生厕所225座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复生桥村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452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修建卫生厕所174座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562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修建卫生厕所216座</w:t>
            </w:r>
          </w:p>
        </w:tc>
      </w:tr>
      <w:tr>
        <w:tblPrEx>
          <w:tblCellMar>
            <w:top w:w="0" w:type="dxa"/>
            <w:left w:w="108" w:type="dxa"/>
            <w:bottom w:w="0" w:type="dxa"/>
            <w:right w:w="108" w:type="dxa"/>
          </w:tblCellMar>
        </w:tblPrEx>
        <w:trPr>
          <w:trHeight w:val="317"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修建卫生厕所180座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修建卫生厕所243座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修建卫生厕所317座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古佛村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325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修建卫生厕所125座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关门山村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374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修建卫生厕所144座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官禄岩村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850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修建卫生厕所327座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茶山竹海街道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1"/>
                <w:sz w:val="21"/>
                <w:szCs w:val="21"/>
              </w:rPr>
            </w:pPr>
            <w:r>
              <w:rPr>
                <w:rFonts w:hint="eastAsia" w:ascii="方正仿宋_GBK" w:hAnsi="方正仿宋_GBK" w:cs="方正仿宋_GBK"/>
                <w:color w:val="auto"/>
                <w:sz w:val="21"/>
                <w:szCs w:val="21"/>
              </w:rPr>
              <w:t>桂花村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356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桂林村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424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修建卫生厕所163座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寒泸村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244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修建卫生厕所94座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合兴村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395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修建卫生厕所152座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和平村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216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修建卫生厕所83座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738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修建卫生厕所284座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374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修建卫生厕所144座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31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697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修建卫生厕所268座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修建卫生厕所317座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307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修建卫生厕所118座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脚盆井村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244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修建卫生厕所94座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金门村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177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修建卫生厕所68座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修建卫生厕所20座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景圣村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263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修建卫生厕所101座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445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修建卫生厕所171座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巨龙村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修建卫生厕所19座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莲花石村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修建卫生厕所61座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凉风垭村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修建卫生厕所126座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灵英村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796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修建卫生厕所306座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柳溪村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465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修建卫生厕所179座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龙安村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359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修建卫生厕所138座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龙洞桥村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修建卫生厕所178座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209</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543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修建卫生厕所209座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龙井口村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263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修建卫生厕所101座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157</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408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修建卫生厕所157座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884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修建卫生厕所442座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磨心桥村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修建卫生厕所96座</w:t>
            </w:r>
          </w:p>
        </w:tc>
      </w:tr>
      <w:tr>
        <w:tblPrEx>
          <w:tblCellMar>
            <w:top w:w="0" w:type="dxa"/>
            <w:left w:w="108" w:type="dxa"/>
            <w:bottom w:w="0" w:type="dxa"/>
            <w:right w:w="108" w:type="dxa"/>
          </w:tblCellMar>
        </w:tblPrEx>
        <w:trPr>
          <w:trHeight w:val="306"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南华村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修建卫生厕所63座</w:t>
            </w:r>
          </w:p>
        </w:tc>
      </w:tr>
      <w:tr>
        <w:tblPrEx>
          <w:tblCellMar>
            <w:top w:w="0" w:type="dxa"/>
            <w:left w:w="108" w:type="dxa"/>
            <w:bottom w:w="0" w:type="dxa"/>
            <w:right w:w="108" w:type="dxa"/>
          </w:tblCellMar>
        </w:tblPrEx>
        <w:trPr>
          <w:trHeight w:val="312"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牛门口村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修建卫生厕所14座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牛尾铺村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修建卫生厕所50座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欧家坝村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390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修建卫生厕所150座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188</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修建卫生厕所188座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314</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816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修建卫生厕所314座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七郎村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354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修建卫生厕所136座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三台村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192</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修建卫生厕所192座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三星村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60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修建卫生厕所23座</w:t>
            </w:r>
          </w:p>
        </w:tc>
      </w:tr>
      <w:tr>
        <w:tblPrEx>
          <w:tblCellMar>
            <w:top w:w="0" w:type="dxa"/>
            <w:left w:w="108" w:type="dxa"/>
            <w:bottom w:w="0" w:type="dxa"/>
            <w:right w:w="108" w:type="dxa"/>
          </w:tblCellMar>
        </w:tblPrEx>
        <w:trPr>
          <w:trHeight w:val="314"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石宝寺村</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146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修建卫生厕所56座</w:t>
            </w:r>
          </w:p>
        </w:tc>
      </w:tr>
      <w:tr>
        <w:tblPrEx>
          <w:tblCellMar>
            <w:top w:w="0" w:type="dxa"/>
            <w:left w:w="108" w:type="dxa"/>
            <w:bottom w:w="0" w:type="dxa"/>
            <w:right w:w="108" w:type="dxa"/>
          </w:tblCellMar>
        </w:tblPrEx>
        <w:trPr>
          <w:trHeight w:val="340" w:hRule="atLeast"/>
          <w:jc w:val="center"/>
        </w:trPr>
        <w:tc>
          <w:tcPr>
            <w:tcW w:w="66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w:t>
            </w:r>
          </w:p>
        </w:tc>
        <w:tc>
          <w:tcPr>
            <w:tcW w:w="11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33923 </w:t>
            </w:r>
          </w:p>
        </w:tc>
        <w:tc>
          <w:tcPr>
            <w:tcW w:w="106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73512 </w:t>
            </w:r>
          </w:p>
        </w:tc>
        <w:tc>
          <w:tcPr>
            <w:tcW w:w="14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w:t>
            </w:r>
          </w:p>
        </w:tc>
        <w:tc>
          <w:tcPr>
            <w:tcW w:w="20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修建卫生厕所33923座</w:t>
            </w:r>
          </w:p>
        </w:tc>
      </w:tr>
    </w:tbl>
    <w:p>
      <w:pPr>
        <w:pStyle w:val="11"/>
        <w:widowControl w:val="0"/>
        <w:spacing w:line="264" w:lineRule="auto"/>
        <w:rPr>
          <w:rFonts w:hint="eastAsia" w:ascii="方正楷体_GBK" w:hAnsi="方正楷体_GBK" w:cs="方正楷体_GBK"/>
          <w:color w:val="auto"/>
          <w:szCs w:val="28"/>
        </w:rPr>
      </w:pPr>
      <w:r>
        <w:rPr>
          <w:rFonts w:hint="eastAsia" w:ascii="方正楷体_GBK" w:hAnsi="方正楷体_GBK" w:cs="方正楷体_GBK"/>
          <w:color w:val="auto"/>
          <w:szCs w:val="28"/>
        </w:rPr>
        <w:t>表3.1.4-4</w:t>
      </w:r>
      <w:r>
        <w:rPr>
          <w:rFonts w:hint="eastAsia" w:ascii="方正楷体_GBK" w:hAnsi="方正楷体_GBK" w:cs="方正楷体_GBK"/>
          <w:color w:val="auto"/>
          <w:szCs w:val="28"/>
          <w:lang w:val="en-US" w:eastAsia="zh-CN"/>
        </w:rPr>
        <w:t xml:space="preserve">  </w:t>
      </w:r>
      <w:r>
        <w:rPr>
          <w:rFonts w:hint="eastAsia" w:ascii="方正楷体_GBK" w:hAnsi="方正楷体_GBK" w:cs="方正楷体_GBK"/>
          <w:color w:val="auto"/>
          <w:szCs w:val="28"/>
        </w:rPr>
        <w:t>农家乐及民宿域规划农村生活污水治理布局一览表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2"/>
        <w:gridCol w:w="1261"/>
        <w:gridCol w:w="1521"/>
        <w:gridCol w:w="1384"/>
        <w:gridCol w:w="1710"/>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6" w:hRule="atLeast"/>
          <w:tblHeader/>
          <w:jc w:val="center"/>
        </w:trPr>
        <w:tc>
          <w:tcPr>
            <w:tcW w:w="672"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1261"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1521"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项目名称</w:t>
            </w:r>
          </w:p>
        </w:tc>
        <w:tc>
          <w:tcPr>
            <w:tcW w:w="1384"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实际接待人数（人/年）</w:t>
            </w:r>
          </w:p>
        </w:tc>
        <w:tc>
          <w:tcPr>
            <w:tcW w:w="1710"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规划处理方式</w:t>
            </w:r>
          </w:p>
        </w:tc>
        <w:tc>
          <w:tcPr>
            <w:tcW w:w="2354"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01" w:hRule="atLeas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林里山庄生活污水整治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新建1座化粪池和1座隔油池各6立方米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84" w:hRule="atLeas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玉竹园生活污水整治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新建1座化粪池和1座隔油池各7立方米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春竹山庄生活污水整治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新建1座化粪池和1座隔油池各10立方米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竹海同聚庄生活污水整治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新建1座化粪池和1座隔油池各10立方米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茶山居生活污水整治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新建1座化粪池和1座隔油池各5立方米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竹海湖山庄生活污水整治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新建1座化粪池和1座隔油池各12立方米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梁四农家乐生活污水整治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新建1座化粪池和1座隔油池各10立方米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凤凰山庄生活污水整治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新建1座化粪池和1座隔油池各12立方米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261" w:type="dxa"/>
            <w:noWrap w:val="0"/>
            <w:vAlign w:val="center"/>
          </w:tcPr>
          <w:p>
            <w:pPr>
              <w:widowControl w:val="0"/>
              <w:adjustRightInd/>
              <w:spacing w:line="216" w:lineRule="auto"/>
              <w:ind w:firstLine="0" w:firstLineChars="0"/>
              <w:jc w:val="left"/>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信刚农家乐生活污水整治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新建1座化粪池和1座隔油池各8立方米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友园小酌生活污水整治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新建1座隔油池6立方米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为黍山庄生活污水整治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新建1座隔油池7立方米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22" w:hRule="atLeas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521" w:type="dxa"/>
            <w:noWrap w:val="0"/>
            <w:vAlign w:val="center"/>
          </w:tcPr>
          <w:p>
            <w:pPr>
              <w:widowControl w:val="0"/>
              <w:adjustRightInd/>
              <w:spacing w:line="192"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荷莲坊十里荷香农家乐生活污水整治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新建1座隔油池5立方米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车园山庄生活污水整治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新建1座隔油池9立方米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29" w:hRule="atLeas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大堰塘农家乐生活污水整治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新建1座隔油池6立方米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山里味道生活污水整治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新建1座隔油池10立方米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三圣农家乐生活污水整治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新建1座隔油池8立方米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金盆寨农家乐生活污水整治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新建1座隔油池10立方米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葡萄山庄生活污水整治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新建1座隔油池14立方米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陈常义餐馆生活污水整治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新建1座隔油池8立方米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丰岩农家乐生活污水整治</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1710"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新建1座隔油池8立方米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2"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合计</w:t>
            </w:r>
          </w:p>
        </w:tc>
        <w:tc>
          <w:tcPr>
            <w:tcW w:w="1261"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1521" w:type="dxa"/>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20家农家乐及民宿</w:t>
            </w:r>
          </w:p>
        </w:tc>
        <w:tc>
          <w:tcPr>
            <w:tcW w:w="1384"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59500</w:t>
            </w:r>
          </w:p>
        </w:tc>
        <w:tc>
          <w:tcPr>
            <w:tcW w:w="1710" w:type="dxa"/>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2354" w:type="dxa"/>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新建9座化粪池共80立方米、20座隔油池共171立方米</w:t>
            </w:r>
          </w:p>
        </w:tc>
      </w:tr>
    </w:tbl>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3.1.4.4  实施计划</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2019年农村生活污水治理工作方案》，要求按照以城（镇）带乡、就近联建、独立建设、资源利用等模式，实施农村生活污水分类治理。对靠近城镇的村和涉农社区，推动城（镇）污水处理设施和服务向近郊周边农村延伸，污水纳入管网集中处理；对聚居规模较大的独立村（涉农社区）或有条件的相邻村（涉农社区），建设或联合建设集中式污水处理设施及配套工程；对位置偏远、规模较小、居住分散的村（涉农社区），鼓励建设人工湿地等分散式污水处理设施；鼓励散居农户采用自然湿地、生物塘、农村沼气、化粪池等生态化和资源化的处理方式。加强农村农家乐、民宿生活污水处理的监管，引导农家乐、民宿业主自建隔油池、化粪池等预处理设施，厨房水、粪污经预处理后，纳入污水收集管网集中处理，或处理达到相应的排放标准后排放、资源化利用。</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优先区域规划任务拟于2021—2024年完成。2021年，拟完成任务主要为集中区谭家坝村和解放村建设1座集中污水处理设施；完善9座已建污水处理厂（站）的截污管网建设；新建5369座卫生厕所；完善20家农家乐及民宿的生活污水整治工程。2022年，完善11座已建污水处理厂（站）的截污管网建设；新建5009座卫生厕所。2023年，分散区新建卫生厕所12292座。2024年，分散区新建修建卫生厕所11253座。实施计划见附表1。</w:t>
      </w:r>
      <w:bookmarkStart w:id="118" w:name="_Toc45198246"/>
    </w:p>
    <w:p>
      <w:pPr>
        <w:widowControl w:val="0"/>
        <w:spacing w:line="255" w:lineRule="auto"/>
        <w:ind w:firstLine="640"/>
        <w:rPr>
          <w:rFonts w:hint="eastAsia" w:ascii="方正楷体_GBK" w:hAnsi="方正楷体_GBK" w:eastAsia="方正楷体_GBK" w:cs="方正楷体_GBK"/>
          <w:color w:val="auto"/>
        </w:rPr>
      </w:pPr>
      <w:bookmarkStart w:id="119" w:name="_Toc48318232"/>
      <w:r>
        <w:rPr>
          <w:rFonts w:hint="eastAsia" w:ascii="方正楷体_GBK" w:hAnsi="方正楷体_GBK" w:eastAsia="方正楷体_GBK" w:cs="方正楷体_GBK"/>
          <w:color w:val="auto"/>
        </w:rPr>
        <w:t>3.2  一般区域规划方案</w:t>
      </w:r>
      <w:bookmarkEnd w:id="118"/>
      <w:bookmarkEnd w:id="119"/>
    </w:p>
    <w:p>
      <w:pPr>
        <w:widowControl w:val="0"/>
        <w:spacing w:line="255" w:lineRule="auto"/>
        <w:ind w:firstLine="640"/>
        <w:rPr>
          <w:rFonts w:hint="eastAsia" w:ascii="方正仿宋_GBK" w:hAnsi="方正仿宋_GBK" w:cs="方正仿宋_GBK"/>
          <w:color w:val="auto"/>
        </w:rPr>
      </w:pPr>
      <w:bookmarkStart w:id="120" w:name="_Toc48318233"/>
      <w:bookmarkStart w:id="121" w:name="_Toc45198247"/>
      <w:r>
        <w:rPr>
          <w:rFonts w:hint="eastAsia" w:ascii="方正仿宋_GBK" w:hAnsi="方正仿宋_GBK" w:cs="方正仿宋_GBK"/>
          <w:color w:val="auto"/>
        </w:rPr>
        <w:t>3.2.1  区域状况</w:t>
      </w:r>
      <w:bookmarkEnd w:id="120"/>
      <w:bookmarkEnd w:id="121"/>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一般区域包括7个镇，共计37个村（涉农社区）。涉及常住人口43561户、122694人，集中区常住户数6842户、20976人，分散区常住36719户、101718人。</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已建污水处理设施有17个，涉及9个镇街、12个村（涉农社区）；设计规模总计4550吨/天，均处于正常运行状态；配套干管和二三级管网长度140.95km；均有长期运行记录。</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一般区域不涉及农家乐及民宿。</w:t>
      </w:r>
    </w:p>
    <w:p>
      <w:pPr>
        <w:widowControl w:val="0"/>
        <w:spacing w:line="255" w:lineRule="auto"/>
        <w:ind w:firstLine="640"/>
        <w:rPr>
          <w:rFonts w:hint="eastAsia" w:ascii="方正仿宋_GBK" w:hAnsi="方正仿宋_GBK" w:cs="方正仿宋_GBK"/>
          <w:color w:val="auto"/>
        </w:rPr>
      </w:pPr>
      <w:bookmarkStart w:id="122" w:name="_Toc45198248"/>
      <w:bookmarkStart w:id="123" w:name="_Toc48318234"/>
      <w:r>
        <w:rPr>
          <w:rFonts w:hint="eastAsia" w:ascii="方正仿宋_GBK" w:hAnsi="方正仿宋_GBK" w:cs="方正仿宋_GBK"/>
          <w:color w:val="auto"/>
        </w:rPr>
        <w:t>3.2.2  生活污水治理现状分析</w:t>
      </w:r>
      <w:bookmarkEnd w:id="122"/>
      <w:bookmarkEnd w:id="123"/>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（1）集中区</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根据相关资料显示，日常运行负荷率小于60%的污水处理厂（站）有5个；生活污水收集率平均达81%；出水水质均达标。</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（2）分散区域</w:t>
      </w:r>
    </w:p>
    <w:p>
      <w:pPr>
        <w:widowControl w:val="0"/>
        <w:spacing w:line="255" w:lineRule="auto"/>
        <w:ind w:firstLine="640"/>
        <w:rPr>
          <w:rFonts w:hint="eastAsia" w:ascii="方正仿宋_GBK" w:hAnsi="方正仿宋_GBK" w:cs="方正仿宋_GBK"/>
          <w:color w:val="auto"/>
        </w:rPr>
      </w:pPr>
      <w:r>
        <w:rPr>
          <w:rFonts w:hint="eastAsia" w:ascii="方正仿宋_GBK" w:hAnsi="方正仿宋_GBK" w:cs="方正仿宋_GBK"/>
          <w:color w:val="auto"/>
        </w:rPr>
        <w:t>根据资料显示，一般区域农村分散区仍有11781户未进行农户改厕。</w:t>
      </w:r>
    </w:p>
    <w:p>
      <w:pPr>
        <w:widowControl w:val="0"/>
        <w:spacing w:line="255" w:lineRule="auto"/>
        <w:ind w:firstLine="640"/>
        <w:rPr>
          <w:rFonts w:hint="eastAsia" w:ascii="方正仿宋_GBK" w:hAnsi="方正仿宋_GBK" w:cs="方正仿宋_GBK"/>
          <w:color w:val="auto"/>
        </w:rPr>
      </w:pPr>
      <w:bookmarkStart w:id="124" w:name="_Toc45198249"/>
      <w:bookmarkStart w:id="125" w:name="_Toc48318235"/>
      <w:r>
        <w:rPr>
          <w:rFonts w:hint="eastAsia" w:ascii="方正仿宋_GBK" w:hAnsi="方正仿宋_GBK" w:cs="方正仿宋_GBK"/>
          <w:color w:val="auto"/>
        </w:rPr>
        <w:t>3.2.3  存在问题</w:t>
      </w:r>
      <w:bookmarkEnd w:id="124"/>
      <w:bookmarkEnd w:id="125"/>
    </w:p>
    <w:p>
      <w:pPr>
        <w:widowControl w:val="0"/>
        <w:spacing w:line="255" w:lineRule="auto"/>
        <w:ind w:firstLine="640"/>
        <w:rPr>
          <w:rFonts w:hint="eastAsia"/>
          <w:color w:val="auto"/>
        </w:rPr>
      </w:pPr>
      <w:r>
        <w:rPr>
          <w:rFonts w:hint="eastAsia" w:ascii="方正仿宋_GBK" w:hAnsi="方正仿宋_GBK" w:cs="方正仿宋_GBK"/>
          <w:color w:val="auto"/>
        </w:rPr>
        <w:t>根据现状分析，梳理出一般区域农村生活污水的主要问题有以下几个方面。</w:t>
      </w:r>
    </w:p>
    <w:p>
      <w:pPr>
        <w:widowControl w:val="0"/>
        <w:spacing w:line="240" w:lineRule="auto"/>
        <w:ind w:firstLine="0" w:firstLineChars="0"/>
        <w:jc w:val="center"/>
        <w:rPr>
          <w:rFonts w:hint="eastAsia" w:ascii="方正楷体_GBK" w:hAnsi="方正楷体_GBK" w:eastAsia="方正楷体_GBK" w:cs="方正楷体_GBK"/>
          <w:color w:val="auto"/>
          <w:sz w:val="28"/>
        </w:rPr>
      </w:pPr>
      <w:r>
        <w:rPr>
          <w:rFonts w:hint="eastAsia" w:ascii="方正楷体_GBK" w:hAnsi="方正楷体_GBK" w:eastAsia="方正楷体_GBK" w:cs="方正楷体_GBK"/>
          <w:color w:val="auto"/>
          <w:sz w:val="28"/>
        </w:rPr>
        <w:t>表3.2.3-1  一般区域农村生活污水问题清单</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930"/>
        <w:gridCol w:w="1243"/>
        <w:gridCol w:w="1805"/>
        <w:gridCol w:w="2568"/>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jc w:val="center"/>
        </w:trPr>
        <w:tc>
          <w:tcPr>
            <w:tcW w:w="883"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930"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区域</w:t>
            </w:r>
          </w:p>
        </w:tc>
        <w:tc>
          <w:tcPr>
            <w:tcW w:w="3048" w:type="dxa"/>
            <w:gridSpan w:val="2"/>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存在问题</w:t>
            </w:r>
          </w:p>
        </w:tc>
        <w:tc>
          <w:tcPr>
            <w:tcW w:w="2568"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涉及村（涉农社区）</w:t>
            </w:r>
          </w:p>
        </w:tc>
        <w:tc>
          <w:tcPr>
            <w:tcW w:w="1633"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原因分析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83" w:type="dxa"/>
            <w:tcBorders>
              <w:bottom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930" w:type="dxa"/>
            <w:tcBorders>
              <w:bottom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集中区</w:t>
            </w:r>
          </w:p>
        </w:tc>
        <w:tc>
          <w:tcPr>
            <w:tcW w:w="1243" w:type="dxa"/>
            <w:tcBorders>
              <w:bottom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已建污水处理设施运行负荷率较低</w:t>
            </w:r>
          </w:p>
        </w:tc>
        <w:tc>
          <w:tcPr>
            <w:tcW w:w="1805" w:type="dxa"/>
            <w:tcBorders>
              <w:bottom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有5个污水处理厂（站）运行负荷率低于标准的60%</w:t>
            </w:r>
          </w:p>
        </w:tc>
        <w:tc>
          <w:tcPr>
            <w:tcW w:w="2568" w:type="dxa"/>
            <w:tcBorders>
              <w:bottom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大河村、涨谷村、五家坡村、金宝山村、大磨子村</w:t>
            </w:r>
          </w:p>
        </w:tc>
        <w:tc>
          <w:tcPr>
            <w:tcW w:w="1633" w:type="dxa"/>
            <w:tcBorders>
              <w:bottom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截污管网不完善，部分污水难以收集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83"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930"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分散区</w:t>
            </w:r>
          </w:p>
        </w:tc>
        <w:tc>
          <w:tcPr>
            <w:tcW w:w="1243"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生活污水乱排乱</w:t>
            </w:r>
          </w:p>
        </w:tc>
        <w:tc>
          <w:tcPr>
            <w:tcW w:w="1805" w:type="dxa"/>
            <w:vMerge w:val="restart"/>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共计11781户常住户的生活污水乱排乱放没有得到管控</w:t>
            </w:r>
          </w:p>
        </w:tc>
        <w:tc>
          <w:tcPr>
            <w:tcW w:w="2568" w:type="dxa"/>
            <w:vMerge w:val="restart"/>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笋桥村、龙宝山村、龙汇垭村、水渡滩村、滩子口村、四明村、大河村、四望山村、新岸山村、马道子村、围子山村、石碓窝村、江永村、花园村、向前村、大牌坊村、涨谷村等35个村（涉农社区）</w:t>
            </w:r>
          </w:p>
        </w:tc>
        <w:tc>
          <w:tcPr>
            <w:tcW w:w="1633"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财政投入不足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883" w:type="dxa"/>
            <w:vMerge w:val="continue"/>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930" w:type="dxa"/>
            <w:vMerge w:val="continue"/>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43" w:type="dxa"/>
            <w:vMerge w:val="continue"/>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805" w:type="dxa"/>
            <w:vMerge w:val="continue"/>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2568" w:type="dxa"/>
            <w:vMerge w:val="continue"/>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33" w:type="dxa"/>
            <w:vMerge w:val="continue"/>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r>
    </w:tbl>
    <w:p>
      <w:pPr>
        <w:widowControl w:val="0"/>
        <w:spacing w:line="264" w:lineRule="auto"/>
        <w:ind w:firstLine="640"/>
        <w:rPr>
          <w:rFonts w:hint="eastAsia" w:ascii="方正仿宋_GBK" w:hAnsi="方正仿宋_GBK" w:cs="方正仿宋_GBK"/>
          <w:color w:val="auto"/>
        </w:rPr>
      </w:pPr>
      <w:bookmarkStart w:id="126" w:name="_Toc45198250"/>
      <w:bookmarkStart w:id="127" w:name="_Toc48318236"/>
      <w:r>
        <w:rPr>
          <w:rFonts w:hint="eastAsia" w:ascii="方正仿宋_GBK" w:hAnsi="方正仿宋_GBK" w:cs="方正仿宋_GBK"/>
          <w:color w:val="auto"/>
        </w:rPr>
        <w:t>3.2.4  方案措施</w:t>
      </w:r>
      <w:bookmarkEnd w:id="126"/>
      <w:bookmarkEnd w:id="127"/>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3.2.4.1  规划范围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规划范围包括集中区（5个村和涉农社区）、分散区（17个村和涉农社区）。共涉及村（涉农社区）20个（剔除重复村和涉农社区），即大河村、涨谷村、五家坡村、金宝山村、大磨子村、笋桥村、龙宝山村、龙汇垭村、水渡滩村、滩子口村、四明村、四望山村、新岸山村、马道子村、围子山村、石碓窝村、江永村、花园村、向前村、大牌坊村等。</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3.2.4.2  方案概述</w:t>
      </w:r>
    </w:p>
    <w:p>
      <w:pPr>
        <w:widowControl w:val="0"/>
        <w:tabs>
          <w:tab w:val="left" w:pos="594"/>
        </w:tabs>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对运行负荷率低于60%的5个污水处理厂（站）进行截污管网建设，共计13.7km。针对分散区未进行改厕的住户修建卫生厕所8576座。</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3.2.4.3  实施内容</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结合用水定额按100L/人·d计算，污水排放量按用水定额的80%计，污水收集率取85%，日变化系数取1.2，计算出污水量。根据各区域类型具体情况确定规划实施方案。</w:t>
      </w:r>
    </w:p>
    <w:p>
      <w:pPr>
        <w:widowControl w:val="0"/>
        <w:ind w:firstLine="0" w:firstLineChars="0"/>
        <w:jc w:val="center"/>
        <w:rPr>
          <w:rFonts w:hint="eastAsia" w:ascii="方正楷体_GBK" w:hAnsi="方正楷体_GBK" w:eastAsia="方正楷体_GBK" w:cs="方正楷体_GBK"/>
          <w:color w:val="auto"/>
          <w:sz w:val="28"/>
        </w:rPr>
      </w:pPr>
      <w:r>
        <w:rPr>
          <w:rFonts w:hint="eastAsia" w:ascii="方正楷体_GBK" w:hAnsi="方正楷体_GBK" w:eastAsia="方正楷体_GBK" w:cs="方正楷体_GBK"/>
          <w:color w:val="auto"/>
          <w:sz w:val="28"/>
        </w:rPr>
        <w:t>表3.2.4-1  集中区已建污水处理设施改造布局一览表</w:t>
      </w:r>
    </w:p>
    <w:tbl>
      <w:tblPr>
        <w:tblStyle w:val="25"/>
        <w:tblW w:w="0" w:type="auto"/>
        <w:jc w:val="center"/>
        <w:tblLayout w:type="fixed"/>
        <w:tblCellMar>
          <w:top w:w="0" w:type="dxa"/>
          <w:left w:w="108" w:type="dxa"/>
          <w:bottom w:w="0" w:type="dxa"/>
          <w:right w:w="108" w:type="dxa"/>
        </w:tblCellMar>
      </w:tblPr>
      <w:tblGrid>
        <w:gridCol w:w="725"/>
        <w:gridCol w:w="1202"/>
        <w:gridCol w:w="2163"/>
        <w:gridCol w:w="1741"/>
        <w:gridCol w:w="3136"/>
      </w:tblGrid>
      <w:tr>
        <w:tblPrEx>
          <w:tblCellMar>
            <w:top w:w="0" w:type="dxa"/>
            <w:left w:w="108" w:type="dxa"/>
            <w:bottom w:w="0" w:type="dxa"/>
            <w:right w:w="108" w:type="dxa"/>
          </w:tblCellMar>
        </w:tblPrEx>
        <w:trPr>
          <w:trHeight w:val="422" w:hRule="atLeast"/>
          <w:tblHeader/>
          <w:jc w:val="center"/>
        </w:trPr>
        <w:tc>
          <w:tcPr>
            <w:tcW w:w="725" w:type="dxa"/>
            <w:tcBorders>
              <w:top w:val="single" w:color="auto" w:sz="4" w:space="0"/>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b/>
                <w:bCs/>
                <w:color w:val="auto"/>
                <w:sz w:val="21"/>
                <w:szCs w:val="21"/>
              </w:rPr>
            </w:pPr>
            <w:r>
              <w:rPr>
                <w:rFonts w:hint="eastAsia" w:ascii="方正黑体_GBK" w:hAnsi="方正黑体_GBK" w:eastAsia="方正黑体_GBK" w:cs="方正黑体_GBK"/>
                <w:color w:val="auto"/>
                <w:sz w:val="21"/>
                <w:szCs w:val="21"/>
              </w:rPr>
              <w:t>序号</w:t>
            </w:r>
          </w:p>
        </w:tc>
        <w:tc>
          <w:tcPr>
            <w:tcW w:w="1202" w:type="dxa"/>
            <w:tcBorders>
              <w:top w:val="single" w:color="auto" w:sz="4" w:space="0"/>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2163" w:type="dxa"/>
            <w:tcBorders>
              <w:top w:val="single" w:color="auto" w:sz="4" w:space="0"/>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污水处理厂（站）</w:t>
            </w:r>
          </w:p>
        </w:tc>
        <w:tc>
          <w:tcPr>
            <w:tcW w:w="1741" w:type="dxa"/>
            <w:tcBorders>
              <w:top w:val="single" w:color="auto" w:sz="4" w:space="0"/>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规划处理方式</w:t>
            </w:r>
          </w:p>
        </w:tc>
        <w:tc>
          <w:tcPr>
            <w:tcW w:w="3136" w:type="dxa"/>
            <w:tcBorders>
              <w:top w:val="single" w:color="auto" w:sz="4" w:space="0"/>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trHeight w:val="521" w:hRule="atLeast"/>
          <w:jc w:val="center"/>
        </w:trPr>
        <w:tc>
          <w:tcPr>
            <w:tcW w:w="725" w:type="dxa"/>
            <w:tcBorders>
              <w:top w:val="nil"/>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202"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2163"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大河村污水处理厂</w:t>
            </w:r>
          </w:p>
        </w:tc>
        <w:tc>
          <w:tcPr>
            <w:tcW w:w="1741"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rPr>
            </w:pPr>
            <w:r>
              <w:rPr>
                <w:rFonts w:hint="eastAsia" w:ascii="方正仿宋_GBK" w:hAnsi="方正仿宋_GBK" w:cs="方正仿宋_GBK"/>
                <w:color w:val="auto"/>
                <w:sz w:val="21"/>
              </w:rPr>
              <w:t>管网截污</w:t>
            </w:r>
          </w:p>
        </w:tc>
        <w:tc>
          <w:tcPr>
            <w:tcW w:w="3136" w:type="dxa"/>
            <w:tcBorders>
              <w:top w:val="nil"/>
              <w:left w:val="nil"/>
              <w:bottom w:val="single" w:color="auto" w:sz="4" w:space="0"/>
              <w:right w:val="single" w:color="auto" w:sz="4" w:space="0"/>
            </w:tcBorders>
            <w:noWrap w:val="0"/>
            <w:vAlign w:val="center"/>
          </w:tcPr>
          <w:p>
            <w:pPr>
              <w:widowControl w:val="0"/>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完善截污管网2.8km（DN300的双壁波纹管）</w:t>
            </w:r>
          </w:p>
        </w:tc>
      </w:tr>
      <w:tr>
        <w:tblPrEx>
          <w:tblCellMar>
            <w:top w:w="0" w:type="dxa"/>
            <w:left w:w="108" w:type="dxa"/>
            <w:bottom w:w="0" w:type="dxa"/>
            <w:right w:w="108" w:type="dxa"/>
          </w:tblCellMar>
        </w:tblPrEx>
        <w:trPr>
          <w:trHeight w:val="489" w:hRule="atLeast"/>
          <w:jc w:val="center"/>
        </w:trPr>
        <w:tc>
          <w:tcPr>
            <w:tcW w:w="725" w:type="dxa"/>
            <w:tcBorders>
              <w:top w:val="nil"/>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202"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2163"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涨谷村污水处理厂</w:t>
            </w:r>
          </w:p>
        </w:tc>
        <w:tc>
          <w:tcPr>
            <w:tcW w:w="1741"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rPr>
            </w:pPr>
            <w:r>
              <w:rPr>
                <w:rFonts w:hint="eastAsia" w:ascii="方正仿宋_GBK" w:hAnsi="方正仿宋_GBK" w:cs="方正仿宋_GBK"/>
                <w:color w:val="auto"/>
                <w:sz w:val="21"/>
              </w:rPr>
              <w:t>管网截污</w:t>
            </w:r>
          </w:p>
        </w:tc>
        <w:tc>
          <w:tcPr>
            <w:tcW w:w="3136" w:type="dxa"/>
            <w:tcBorders>
              <w:top w:val="nil"/>
              <w:left w:val="nil"/>
              <w:bottom w:val="single" w:color="auto" w:sz="4" w:space="0"/>
              <w:right w:val="single" w:color="auto" w:sz="4" w:space="0"/>
            </w:tcBorders>
            <w:noWrap w:val="0"/>
            <w:vAlign w:val="center"/>
          </w:tcPr>
          <w:p>
            <w:pPr>
              <w:widowControl w:val="0"/>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完善截污管网2.1km（DN300的双壁波纹管）</w:t>
            </w:r>
          </w:p>
        </w:tc>
      </w:tr>
      <w:tr>
        <w:tblPrEx>
          <w:tblCellMar>
            <w:top w:w="0" w:type="dxa"/>
            <w:left w:w="108" w:type="dxa"/>
            <w:bottom w:w="0" w:type="dxa"/>
            <w:right w:w="108" w:type="dxa"/>
          </w:tblCellMar>
        </w:tblPrEx>
        <w:trPr>
          <w:trHeight w:val="551" w:hRule="atLeast"/>
          <w:jc w:val="center"/>
        </w:trPr>
        <w:tc>
          <w:tcPr>
            <w:tcW w:w="725" w:type="dxa"/>
            <w:tcBorders>
              <w:top w:val="nil"/>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202"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w:t>
            </w:r>
          </w:p>
        </w:tc>
        <w:tc>
          <w:tcPr>
            <w:tcW w:w="2163"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五家坡村污水处理厂</w:t>
            </w:r>
          </w:p>
        </w:tc>
        <w:tc>
          <w:tcPr>
            <w:tcW w:w="1741"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rPr>
            </w:pPr>
            <w:r>
              <w:rPr>
                <w:rFonts w:hint="eastAsia" w:ascii="方正仿宋_GBK" w:hAnsi="方正仿宋_GBK" w:cs="方正仿宋_GBK"/>
                <w:color w:val="auto"/>
                <w:sz w:val="21"/>
              </w:rPr>
              <w:t>管网截污</w:t>
            </w:r>
          </w:p>
        </w:tc>
        <w:tc>
          <w:tcPr>
            <w:tcW w:w="3136" w:type="dxa"/>
            <w:tcBorders>
              <w:top w:val="nil"/>
              <w:left w:val="nil"/>
              <w:bottom w:val="single" w:color="auto" w:sz="4" w:space="0"/>
              <w:right w:val="single" w:color="auto" w:sz="4" w:space="0"/>
            </w:tcBorders>
            <w:noWrap w:val="0"/>
            <w:vAlign w:val="center"/>
          </w:tcPr>
          <w:p>
            <w:pPr>
              <w:widowControl w:val="0"/>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完善截污管网2.2km（DN300的双壁波纹管）</w:t>
            </w:r>
          </w:p>
        </w:tc>
      </w:tr>
      <w:tr>
        <w:tblPrEx>
          <w:tblCellMar>
            <w:top w:w="0" w:type="dxa"/>
            <w:left w:w="108" w:type="dxa"/>
            <w:bottom w:w="0" w:type="dxa"/>
            <w:right w:w="108" w:type="dxa"/>
          </w:tblCellMar>
        </w:tblPrEx>
        <w:trPr>
          <w:trHeight w:val="521" w:hRule="atLeast"/>
          <w:jc w:val="center"/>
        </w:trPr>
        <w:tc>
          <w:tcPr>
            <w:tcW w:w="725" w:type="dxa"/>
            <w:tcBorders>
              <w:top w:val="nil"/>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202"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金宝山村</w:t>
            </w:r>
          </w:p>
        </w:tc>
        <w:tc>
          <w:tcPr>
            <w:tcW w:w="2163"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粉店污水处理站</w:t>
            </w:r>
          </w:p>
        </w:tc>
        <w:tc>
          <w:tcPr>
            <w:tcW w:w="1741"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rPr>
            </w:pPr>
            <w:r>
              <w:rPr>
                <w:rFonts w:hint="eastAsia" w:ascii="方正仿宋_GBK" w:hAnsi="方正仿宋_GBK" w:cs="方正仿宋_GBK"/>
                <w:color w:val="auto"/>
                <w:sz w:val="21"/>
              </w:rPr>
              <w:t>管网截污</w:t>
            </w:r>
          </w:p>
        </w:tc>
        <w:tc>
          <w:tcPr>
            <w:tcW w:w="3136" w:type="dxa"/>
            <w:tcBorders>
              <w:top w:val="nil"/>
              <w:left w:val="nil"/>
              <w:bottom w:val="single" w:color="auto" w:sz="4" w:space="0"/>
              <w:right w:val="single" w:color="auto" w:sz="4" w:space="0"/>
            </w:tcBorders>
            <w:noWrap w:val="0"/>
            <w:vAlign w:val="center"/>
          </w:tcPr>
          <w:p>
            <w:pPr>
              <w:widowControl w:val="0"/>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完善截污管网2.5km（DN300的双壁波纹管）</w:t>
            </w:r>
          </w:p>
        </w:tc>
      </w:tr>
      <w:tr>
        <w:tblPrEx>
          <w:tblCellMar>
            <w:top w:w="0" w:type="dxa"/>
            <w:left w:w="108" w:type="dxa"/>
            <w:bottom w:w="0" w:type="dxa"/>
            <w:right w:w="108" w:type="dxa"/>
          </w:tblCellMar>
        </w:tblPrEx>
        <w:trPr>
          <w:trHeight w:val="566" w:hRule="atLeast"/>
          <w:jc w:val="center"/>
        </w:trPr>
        <w:tc>
          <w:tcPr>
            <w:tcW w:w="725" w:type="dxa"/>
            <w:tcBorders>
              <w:top w:val="nil"/>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202"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大磨子村</w:t>
            </w:r>
          </w:p>
        </w:tc>
        <w:tc>
          <w:tcPr>
            <w:tcW w:w="2163"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大磨污水处理站</w:t>
            </w:r>
          </w:p>
        </w:tc>
        <w:tc>
          <w:tcPr>
            <w:tcW w:w="1741"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rPr>
            </w:pPr>
            <w:r>
              <w:rPr>
                <w:rFonts w:hint="eastAsia" w:ascii="方正仿宋_GBK" w:hAnsi="方正仿宋_GBK" w:cs="方正仿宋_GBK"/>
                <w:color w:val="auto"/>
                <w:sz w:val="21"/>
              </w:rPr>
              <w:t>管网截污</w:t>
            </w:r>
          </w:p>
        </w:tc>
        <w:tc>
          <w:tcPr>
            <w:tcW w:w="3136" w:type="dxa"/>
            <w:tcBorders>
              <w:top w:val="nil"/>
              <w:left w:val="nil"/>
              <w:bottom w:val="single" w:color="auto" w:sz="4" w:space="0"/>
              <w:right w:val="single" w:color="auto" w:sz="4" w:space="0"/>
            </w:tcBorders>
            <w:noWrap w:val="0"/>
            <w:vAlign w:val="center"/>
          </w:tcPr>
          <w:p>
            <w:pPr>
              <w:widowControl w:val="0"/>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完善截污管网4.1km（DN300的双壁波纹管）</w:t>
            </w:r>
          </w:p>
        </w:tc>
      </w:tr>
      <w:tr>
        <w:tblPrEx>
          <w:tblCellMar>
            <w:top w:w="0" w:type="dxa"/>
            <w:left w:w="108" w:type="dxa"/>
            <w:bottom w:w="0" w:type="dxa"/>
            <w:right w:w="108" w:type="dxa"/>
          </w:tblCellMar>
        </w:tblPrEx>
        <w:trPr>
          <w:trHeight w:val="544" w:hRule="atLeast"/>
          <w:jc w:val="center"/>
        </w:trPr>
        <w:tc>
          <w:tcPr>
            <w:tcW w:w="725" w:type="dxa"/>
            <w:tcBorders>
              <w:top w:val="nil"/>
              <w:left w:val="single" w:color="auto" w:sz="4" w:space="0"/>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b/>
                <w:color w:val="auto"/>
                <w:sz w:val="21"/>
                <w:szCs w:val="21"/>
              </w:rPr>
            </w:pPr>
            <w:r>
              <w:rPr>
                <w:rFonts w:hint="eastAsia" w:ascii="方正仿宋_GBK" w:hAnsi="方正仿宋_GBK" w:cs="方正仿宋_GBK"/>
                <w:bCs/>
                <w:color w:val="auto"/>
                <w:sz w:val="21"/>
                <w:szCs w:val="21"/>
              </w:rPr>
              <w:t>合计</w:t>
            </w:r>
          </w:p>
        </w:tc>
        <w:tc>
          <w:tcPr>
            <w:tcW w:w="1202"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b/>
                <w:color w:val="auto"/>
                <w:sz w:val="21"/>
                <w:szCs w:val="21"/>
              </w:rPr>
            </w:pPr>
          </w:p>
        </w:tc>
        <w:tc>
          <w:tcPr>
            <w:tcW w:w="2163"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b/>
                <w:color w:val="auto"/>
                <w:sz w:val="21"/>
                <w:szCs w:val="21"/>
              </w:rPr>
            </w:pPr>
            <w:r>
              <w:rPr>
                <w:rFonts w:hint="eastAsia" w:ascii="方正仿宋_GBK" w:hAnsi="方正仿宋_GBK" w:cs="方正仿宋_GBK"/>
                <w:bCs/>
                <w:color w:val="auto"/>
                <w:sz w:val="21"/>
                <w:szCs w:val="21"/>
              </w:rPr>
              <w:t>5座污水处理厂（站）</w:t>
            </w:r>
            <w:r>
              <w:rPr>
                <w:rFonts w:hint="eastAsia" w:ascii="方正仿宋_GBK" w:hAnsi="方正仿宋_GBK" w:cs="方正仿宋_GBK"/>
                <w:b/>
                <w:color w:val="auto"/>
                <w:sz w:val="21"/>
                <w:szCs w:val="21"/>
              </w:rPr>
              <w:t>　</w:t>
            </w:r>
          </w:p>
        </w:tc>
        <w:tc>
          <w:tcPr>
            <w:tcW w:w="1741"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b/>
                <w:color w:val="auto"/>
                <w:sz w:val="21"/>
                <w:szCs w:val="21"/>
              </w:rPr>
            </w:pPr>
          </w:p>
        </w:tc>
        <w:tc>
          <w:tcPr>
            <w:tcW w:w="3136" w:type="dxa"/>
            <w:tcBorders>
              <w:top w:val="nil"/>
              <w:left w:val="nil"/>
              <w:bottom w:val="single" w:color="auto" w:sz="4" w:space="0"/>
              <w:right w:val="single" w:color="auto" w:sz="4" w:space="0"/>
            </w:tcBorders>
            <w:noWrap w:val="0"/>
            <w:vAlign w:val="center"/>
          </w:tcPr>
          <w:p>
            <w:pPr>
              <w:widowControl w:val="0"/>
              <w:spacing w:line="216" w:lineRule="auto"/>
              <w:ind w:firstLine="0" w:firstLineChars="0"/>
              <w:rPr>
                <w:rFonts w:hint="eastAsia" w:ascii="方正仿宋_GBK" w:hAnsi="方正仿宋_GBK" w:cs="方正仿宋_GBK"/>
                <w:b/>
                <w:color w:val="auto"/>
                <w:sz w:val="21"/>
                <w:szCs w:val="21"/>
              </w:rPr>
            </w:pPr>
            <w:r>
              <w:rPr>
                <w:rFonts w:hint="eastAsia" w:ascii="方正仿宋_GBK" w:hAnsi="方正仿宋_GBK" w:cs="方正仿宋_GBK"/>
                <w:bCs/>
                <w:color w:val="auto"/>
                <w:sz w:val="21"/>
                <w:szCs w:val="21"/>
              </w:rPr>
              <w:t>完善截污管网13.7km（DN300的双壁波纹管）</w:t>
            </w:r>
          </w:p>
        </w:tc>
      </w:tr>
    </w:tbl>
    <w:p>
      <w:pPr>
        <w:widowControl w:val="0"/>
        <w:ind w:firstLine="0" w:firstLineChars="0"/>
        <w:jc w:val="center"/>
        <w:rPr>
          <w:rFonts w:hint="eastAsia" w:ascii="方正楷体_GBK" w:hAnsi="方正楷体_GBK" w:eastAsia="方正楷体_GBK" w:cs="方正楷体_GBK"/>
          <w:color w:val="auto"/>
          <w:sz w:val="28"/>
        </w:rPr>
      </w:pPr>
      <w:r>
        <w:rPr>
          <w:rFonts w:hint="eastAsia" w:ascii="方正楷体_GBK" w:hAnsi="方正楷体_GBK" w:eastAsia="方正楷体_GBK" w:cs="方正楷体_GBK"/>
          <w:color w:val="auto"/>
          <w:sz w:val="28"/>
        </w:rPr>
        <w:t>表3.2.4-2  分散区域规划农村生活污水治理布局一览表</w:t>
      </w:r>
    </w:p>
    <w:tbl>
      <w:tblPr>
        <w:tblStyle w:val="25"/>
        <w:tblW w:w="0" w:type="auto"/>
        <w:jc w:val="center"/>
        <w:tblLayout w:type="fixed"/>
        <w:tblCellMar>
          <w:top w:w="0" w:type="dxa"/>
          <w:left w:w="108" w:type="dxa"/>
          <w:bottom w:w="0" w:type="dxa"/>
          <w:right w:w="108" w:type="dxa"/>
        </w:tblCellMar>
      </w:tblPr>
      <w:tblGrid>
        <w:gridCol w:w="678"/>
        <w:gridCol w:w="1122"/>
        <w:gridCol w:w="1477"/>
        <w:gridCol w:w="1129"/>
        <w:gridCol w:w="2299"/>
        <w:gridCol w:w="2357"/>
      </w:tblGrid>
      <w:tr>
        <w:tblPrEx>
          <w:tblCellMar>
            <w:top w:w="0" w:type="dxa"/>
            <w:left w:w="108" w:type="dxa"/>
            <w:bottom w:w="0" w:type="dxa"/>
            <w:right w:w="108" w:type="dxa"/>
          </w:tblCellMar>
        </w:tblPrEx>
        <w:trPr>
          <w:trHeight w:val="405" w:hRule="atLeast"/>
          <w:tblHeader/>
          <w:jc w:val="center"/>
        </w:trPr>
        <w:tc>
          <w:tcPr>
            <w:tcW w:w="67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1122"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1477"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户数（户）</w:t>
            </w:r>
          </w:p>
        </w:tc>
        <w:tc>
          <w:tcPr>
            <w:tcW w:w="1129"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人数</w:t>
            </w:r>
          </w:p>
        </w:tc>
        <w:tc>
          <w:tcPr>
            <w:tcW w:w="2299"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规划处理方式</w:t>
            </w:r>
          </w:p>
        </w:tc>
        <w:tc>
          <w:tcPr>
            <w:tcW w:w="2357"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984</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修建卫生厕所492座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龙宝山村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龙汇垭村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478</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956</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修建卫生厕所478座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水渡滩村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469</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938</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修建卫生厕所469座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滩子口村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475</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修建卫生厕所475座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496</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992</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修建卫生厕所496座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493</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986</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修建卫生厕所493座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四望山村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新岸山村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497</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994</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修建卫生厕所497座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马道子村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495</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990</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修建卫生厕所495座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围子山村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984</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修建卫生厕所492座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785</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1570</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修建卫生厕所785座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花园村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479</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958</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修建卫生厕所479座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493</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986</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修建卫生厕所493座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大牌坊村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475</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修建卫生厕所475座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490</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43" w:hRule="atLeast"/>
          <w:jc w:val="center"/>
        </w:trPr>
        <w:tc>
          <w:tcPr>
            <w:tcW w:w="67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1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47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8576</w:t>
            </w:r>
          </w:p>
        </w:tc>
        <w:tc>
          <w:tcPr>
            <w:tcW w:w="112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17152</w:t>
            </w:r>
          </w:p>
        </w:tc>
        <w:tc>
          <w:tcPr>
            <w:tcW w:w="229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2357"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修建卫生厕所8576座</w:t>
            </w: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3.2.4.4  实施计划</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2019年农村生活污水治理工作方案》，要求按照以城（镇）带乡、就近联建、独立建设、资源利用等模式，实施农村生活污水分类治理。对靠近城镇的村（涉农社区），推动城（镇）污水处理设施和服务向近郊周边农村延伸，污水纳入管网集中处理；对聚居规模较大的独立村（涉农社区）或有条件的相邻村（涉农社区），建设或联合建设集中式污水处理设施及配套工程；对位置偏远、规模较小、居住分散的村，鼓励建设人工湿地等分散式污水处理设施；鼓励散居农户采用自然湿地、生物塘、农村沼气、化粪池等生态化和资源化的处理方式。加强农村农家乐、民宿生活污水处理的监管，引导农家乐、民宿业主自建隔油池、化粪池等预处理设施，厨房水、粪污经预处理后，纳入污水收集管网集中处理，或处理达到相应的排放标准后排放、资源化利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一般区域规划任务拟于2022-2025年完成。2022年，完成5座已建污水处理厂（站）的截污管网建设。2025年，分散区新建卫生厕所8576座。实施计划见附表2。</w:t>
      </w:r>
    </w:p>
    <w:p>
      <w:pPr>
        <w:widowControl w:val="0"/>
        <w:spacing w:line="264" w:lineRule="auto"/>
        <w:ind w:firstLine="640"/>
        <w:rPr>
          <w:rFonts w:hint="eastAsia" w:ascii="方正楷体_GBK" w:hAnsi="方正楷体_GBK" w:eastAsia="方正楷体_GBK" w:cs="方正楷体_GBK"/>
          <w:color w:val="auto"/>
        </w:rPr>
      </w:pPr>
      <w:bookmarkStart w:id="128" w:name="_Toc45198251"/>
      <w:bookmarkStart w:id="129" w:name="_Toc48318237"/>
      <w:r>
        <w:rPr>
          <w:rFonts w:hint="eastAsia" w:ascii="方正楷体_GBK" w:hAnsi="方正楷体_GBK" w:eastAsia="方正楷体_GBK" w:cs="方正楷体_GBK"/>
          <w:color w:val="auto"/>
        </w:rPr>
        <w:t>3.3  永川区系统规划方案</w:t>
      </w:r>
      <w:bookmarkEnd w:id="128"/>
      <w:bookmarkEnd w:id="129"/>
    </w:p>
    <w:p>
      <w:pPr>
        <w:widowControl w:val="0"/>
        <w:spacing w:line="264" w:lineRule="auto"/>
        <w:ind w:firstLine="640"/>
        <w:rPr>
          <w:rFonts w:hint="eastAsia" w:ascii="方正仿宋_GBK" w:hAnsi="方正仿宋_GBK" w:cs="方正仿宋_GBK"/>
          <w:color w:val="auto"/>
        </w:rPr>
      </w:pPr>
      <w:bookmarkStart w:id="130" w:name="_Toc45198252"/>
      <w:bookmarkStart w:id="131" w:name="_Toc48318238"/>
      <w:r>
        <w:rPr>
          <w:rFonts w:hint="eastAsia" w:ascii="方正仿宋_GBK" w:hAnsi="方正仿宋_GBK" w:cs="方正仿宋_GBK"/>
          <w:color w:val="auto"/>
        </w:rPr>
        <w:t>3.3.1  区域状况</w:t>
      </w:r>
      <w:bookmarkEnd w:id="130"/>
      <w:bookmarkEnd w:id="131"/>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永川辖区内村（涉农社区）共计226个，涉及7个街道，16个镇。区内农村常住人口273237户、734960人；集中区常住户数56381户、143874人；分散区常住216856户、591086人。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农家乐及民宿共有91家，涉及7个镇街，21个村（涉农社区），均位于优先区域。其中，共计77家农家乐及民宿配套有化粪池，占总数的84.62%；63家农家乐及民宿配套有隔油池，占总数的69.23%；44家农家乐及民宿自建污水处理设施（均为生化工艺），占总数的48.35%。</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已建污水处理设施有62个，涉及18个镇街、57个村（涉农社区）；设计规模总计15570吨/天，均处于正常运行状态；配套干管和二三级管网长度357.55km。</w:t>
      </w:r>
    </w:p>
    <w:p>
      <w:pPr>
        <w:widowControl w:val="0"/>
        <w:spacing w:line="264" w:lineRule="auto"/>
        <w:ind w:firstLine="640"/>
        <w:rPr>
          <w:rFonts w:hint="eastAsia" w:ascii="方正仿宋_GBK" w:hAnsi="方正仿宋_GBK" w:cs="方正仿宋_GBK"/>
          <w:color w:val="auto"/>
        </w:rPr>
      </w:pPr>
      <w:bookmarkStart w:id="132" w:name="_Toc45198253"/>
      <w:bookmarkStart w:id="133" w:name="_Toc48318239"/>
      <w:r>
        <w:rPr>
          <w:rFonts w:hint="eastAsia" w:ascii="方正仿宋_GBK" w:hAnsi="方正仿宋_GBK" w:cs="方正仿宋_GBK"/>
          <w:color w:val="auto"/>
        </w:rPr>
        <w:t>3.3.2  生活污水治理现状分析</w:t>
      </w:r>
      <w:bookmarkEnd w:id="132"/>
      <w:bookmarkEnd w:id="133"/>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（1）集中区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根据相关资料显示，由于南大街街道谭家坝村的谭家坝、骑龙穴、檀木林、花椒田、花铺院等村民小组（1、2、3、4、9社），共计305户，以及谭家坝便民服务中心、202公交车站，</w:t>
      </w:r>
      <w:sdt>
        <w:sdtPr>
          <w:rPr>
            <w:color w:val="auto"/>
          </w:rPr>
          <w:alias w:val="易错词检查"/>
          <w:id w:val="3081336"/>
        </w:sdtPr>
        <w:sdtEndPr>
          <w:rPr>
            <w:color w:val="auto"/>
          </w:rPr>
        </w:sdtEndPr>
        <w:sdtContent>
          <w:bookmarkStart w:id="134" w:name="bkReivew3081336"/>
          <w:r>
            <w:rPr>
              <w:rFonts w:hint="eastAsia"/>
              <w:color w:val="auto"/>
              <w:lang w:eastAsia="zh-CN"/>
            </w:rPr>
            <w:t>辖区</w:t>
          </w:r>
          <w:r>
            <w:rPr>
              <w:rFonts w:hint="eastAsia" w:ascii="方正仿宋_GBK" w:hAnsi="方正仿宋_GBK" w:cs="方正仿宋_GBK"/>
              <w:color w:val="auto"/>
            </w:rPr>
            <w:t>面积</w:t>
          </w:r>
          <w:bookmarkEnd w:id="134"/>
        </w:sdtContent>
      </w:sdt>
      <w:r>
        <w:rPr>
          <w:rFonts w:hint="eastAsia" w:ascii="方正仿宋_GBK" w:hAnsi="方正仿宋_GBK" w:cs="方正仿宋_GBK"/>
          <w:color w:val="auto"/>
        </w:rPr>
        <w:t>0.85平方公里无污水管网，居民日常生产生活排污比较困难，污水无法收集，形成黑臭坑塘，严重影响辖区环境，且境内青峰河（永青河）地势低，属于低洼地带，污水有渗漏到邻近河流的风险。金龙镇解放村共计80户200人的集中区无集中式污水处理设施，污水无法收集，影响辖区内环境。</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运行负荷率低于60%的污水处理厂（站）有25个，分别为大河村污水处理厂、九层岩污水处理站、涨谷村污水处理厂、何埂镇李家湾村污水处理站等；生活污水收集率平均达80.5%；出水水质均达标。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（2）分散区域</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根据资料显示，农村分散区仍有136024户未进行改厕。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（3）农家乐及民宿</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通过各镇街提供资料显示，区内共计9家民宿和农家乐无化粪池，20家无隔油池。由于地处优先区域内，其污水外排将直接影响区内生态环境。</w:t>
      </w:r>
    </w:p>
    <w:p>
      <w:pPr>
        <w:widowControl w:val="0"/>
        <w:spacing w:line="264" w:lineRule="auto"/>
        <w:ind w:firstLine="640"/>
        <w:rPr>
          <w:rFonts w:hint="eastAsia" w:ascii="方正仿宋_GBK" w:hAnsi="方正仿宋_GBK" w:cs="方正仿宋_GBK"/>
          <w:color w:val="auto"/>
        </w:rPr>
      </w:pPr>
      <w:bookmarkStart w:id="135" w:name="_Toc45198254"/>
      <w:bookmarkStart w:id="136" w:name="_Toc48318240"/>
      <w:r>
        <w:rPr>
          <w:rFonts w:hint="eastAsia" w:ascii="方正仿宋_GBK" w:hAnsi="方正仿宋_GBK" w:cs="方正仿宋_GBK"/>
          <w:color w:val="auto"/>
        </w:rPr>
        <w:t>3.3.3  存在问题</w:t>
      </w:r>
      <w:bookmarkEnd w:id="135"/>
      <w:bookmarkEnd w:id="136"/>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根据现状分析，梳理出农村生活污水的主要问题有以下几个方面。</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表3.3.3-1  永川区农村生活污水问题清单</w:t>
      </w:r>
    </w:p>
    <w:tbl>
      <w:tblPr>
        <w:tblStyle w:val="25"/>
        <w:tblW w:w="0" w:type="auto"/>
        <w:jc w:val="center"/>
        <w:tblLayout w:type="fixed"/>
        <w:tblCellMar>
          <w:top w:w="0" w:type="dxa"/>
          <w:left w:w="28" w:type="dxa"/>
          <w:bottom w:w="0" w:type="dxa"/>
          <w:right w:w="28" w:type="dxa"/>
        </w:tblCellMar>
      </w:tblPr>
      <w:tblGrid>
        <w:gridCol w:w="638"/>
        <w:gridCol w:w="750"/>
        <w:gridCol w:w="1020"/>
        <w:gridCol w:w="1530"/>
        <w:gridCol w:w="3899"/>
        <w:gridCol w:w="1065"/>
      </w:tblGrid>
      <w:tr>
        <w:tblPrEx>
          <w:tblCellMar>
            <w:top w:w="0" w:type="dxa"/>
            <w:left w:w="28" w:type="dxa"/>
            <w:bottom w:w="0" w:type="dxa"/>
            <w:right w:w="28" w:type="dxa"/>
          </w:tblCellMar>
        </w:tblPrEx>
        <w:trPr>
          <w:trHeight w:val="385" w:hRule="atLeast"/>
          <w:tblHeader/>
          <w:jc w:val="center"/>
        </w:trPr>
        <w:tc>
          <w:tcPr>
            <w:tcW w:w="63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区域</w:t>
            </w:r>
          </w:p>
        </w:tc>
        <w:tc>
          <w:tcPr>
            <w:tcW w:w="2550" w:type="dxa"/>
            <w:gridSpan w:val="2"/>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存在问题</w:t>
            </w:r>
          </w:p>
        </w:tc>
        <w:tc>
          <w:tcPr>
            <w:tcW w:w="3899"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涉及村（涉农社区）</w:t>
            </w:r>
          </w:p>
        </w:tc>
        <w:tc>
          <w:tcPr>
            <w:tcW w:w="1065"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原因分析</w:t>
            </w:r>
          </w:p>
        </w:tc>
      </w:tr>
      <w:tr>
        <w:tblPrEx>
          <w:tblCellMar>
            <w:top w:w="0" w:type="dxa"/>
            <w:left w:w="28" w:type="dxa"/>
            <w:bottom w:w="0" w:type="dxa"/>
            <w:right w:w="28" w:type="dxa"/>
          </w:tblCellMar>
        </w:tblPrEx>
        <w:trPr>
          <w:trHeight w:val="837" w:hRule="atLeast"/>
          <w:jc w:val="center"/>
        </w:trPr>
        <w:tc>
          <w:tcPr>
            <w:tcW w:w="638"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7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集中区</w:t>
            </w:r>
          </w:p>
        </w:tc>
        <w:tc>
          <w:tcPr>
            <w:tcW w:w="10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缺乏集中处理设施</w:t>
            </w:r>
          </w:p>
        </w:tc>
        <w:tc>
          <w:tcPr>
            <w:tcW w:w="15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谭家坝村共计305户的集中区无集中处理设施</w:t>
            </w:r>
          </w:p>
        </w:tc>
        <w:tc>
          <w:tcPr>
            <w:tcW w:w="389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谭家坝村、解放村</w:t>
            </w:r>
          </w:p>
        </w:tc>
        <w:tc>
          <w:tcPr>
            <w:tcW w:w="106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财政投入不足</w:t>
            </w:r>
          </w:p>
        </w:tc>
      </w:tr>
      <w:tr>
        <w:tblPrEx>
          <w:tblCellMar>
            <w:top w:w="0" w:type="dxa"/>
            <w:left w:w="28" w:type="dxa"/>
            <w:bottom w:w="0" w:type="dxa"/>
            <w:right w:w="28" w:type="dxa"/>
          </w:tblCellMar>
        </w:tblPrEx>
        <w:trPr>
          <w:trHeight w:val="1882" w:hRule="atLeast"/>
          <w:jc w:val="center"/>
        </w:trPr>
        <w:tc>
          <w:tcPr>
            <w:tcW w:w="638"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7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已建污水处理设施运行负荷率低</w:t>
            </w:r>
          </w:p>
        </w:tc>
        <w:tc>
          <w:tcPr>
            <w:tcW w:w="15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有25个污水处理厂（站）运行负荷率低于标准的60%</w:t>
            </w:r>
          </w:p>
        </w:tc>
        <w:tc>
          <w:tcPr>
            <w:tcW w:w="389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九层岩村、龙凤桥村、马银村、高滩村、黄瓜山村、双河口社区、万寿场社区、德胜桥村、凤龙村、高坡村、谭家坝村、会龙桥村、灯坪村、隆顺村、石脚迹村、石笋山村、铜鼓村、新泉村、玉宝村、大河村、涨谷村、五家坡村、金宝山村、大磨子村</w:t>
            </w:r>
          </w:p>
        </w:tc>
        <w:tc>
          <w:tcPr>
            <w:tcW w:w="106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截污管网不完善，部分污水难以收集</w:t>
            </w:r>
          </w:p>
        </w:tc>
      </w:tr>
      <w:tr>
        <w:tblPrEx>
          <w:tblCellMar>
            <w:top w:w="0" w:type="dxa"/>
            <w:left w:w="28" w:type="dxa"/>
            <w:bottom w:w="0" w:type="dxa"/>
            <w:right w:w="28" w:type="dxa"/>
          </w:tblCellMar>
        </w:tblPrEx>
        <w:trPr>
          <w:trHeight w:val="4554" w:hRule="atLeast"/>
          <w:jc w:val="center"/>
        </w:trPr>
        <w:tc>
          <w:tcPr>
            <w:tcW w:w="638"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分散区</w:t>
            </w:r>
          </w:p>
        </w:tc>
        <w:tc>
          <w:tcPr>
            <w:tcW w:w="10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生活污水乱排乱</w:t>
            </w:r>
          </w:p>
        </w:tc>
        <w:tc>
          <w:tcPr>
            <w:tcW w:w="15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共计136024户常住户的生活污水乱排乱放没有得到管控</w:t>
            </w:r>
          </w:p>
        </w:tc>
        <w:tc>
          <w:tcPr>
            <w:tcW w:w="389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sdt>
              <w:sdtPr>
                <w:rPr>
                  <w:color w:val="auto"/>
                </w:rPr>
                <w:alias w:val="易错词检查"/>
                <w:id w:val="1180240"/>
              </w:sdtPr>
              <w:sdtEndPr>
                <w:rPr>
                  <w:color w:val="auto"/>
                </w:rPr>
              </w:sdtEndPr>
              <w:sdtContent>
                <w:bookmarkStart w:id="137" w:name="bkReivew1180240"/>
                <w:r>
                  <w:rPr>
                    <w:rFonts w:hint="eastAsia" w:ascii="方正仿宋_GBK" w:hAnsi="方正仿宋_GBK" w:cs="方正仿宋_GBK"/>
                    <w:color w:val="auto"/>
                    <w:sz w:val="21"/>
                    <w:szCs w:val="21"/>
                  </w:rPr>
                  <w:t>菜</w:t>
                </w:r>
                <w:bookmarkEnd w:id="137"/>
              </w:sdtContent>
            </w:sdt>
            <w:r>
              <w:rPr>
                <w:rFonts w:hint="eastAsia" w:ascii="方正仿宋_GBK" w:hAnsi="方正仿宋_GBK" w:cs="方正仿宋_GBK"/>
                <w:color w:val="auto"/>
                <w:sz w:val="21"/>
                <w:szCs w:val="21"/>
              </w:rPr>
              <w:t>茵岩村、陈青桥村、冯家坪村、双河口村、复兴寺村、卢家岩村、梅家桥村、瓦窑村、芋荷湾村、朱龙花村、八角寺村、代家店村、黄瓜山村、小南村、石龙村、</w:t>
            </w:r>
            <w:sdt>
              <w:sdtPr>
                <w:rPr>
                  <w:color w:val="auto"/>
                </w:rPr>
                <w:alias w:val="敏感词检查"/>
                <w:id w:val="1181201"/>
              </w:sdtPr>
              <w:sdtEndPr>
                <w:rPr>
                  <w:color w:val="auto"/>
                </w:rPr>
              </w:sdtEndPr>
              <w:sdtContent>
                <w:bookmarkStart w:id="138" w:name="bkPolitics1181201"/>
                <w:r>
                  <w:rPr>
                    <w:rFonts w:hint="eastAsia" w:ascii="方正仿宋_GBK" w:hAnsi="方正仿宋_GBK" w:cs="方正仿宋_GBK"/>
                    <w:color w:val="auto"/>
                    <w:sz w:val="21"/>
                    <w:szCs w:val="21"/>
                  </w:rPr>
                  <w:t>玉峰</w:t>
                </w:r>
                <w:bookmarkEnd w:id="138"/>
              </w:sdtContent>
            </w:sdt>
            <w:r>
              <w:rPr>
                <w:rFonts w:hint="eastAsia" w:ascii="方正仿宋_GBK" w:hAnsi="方正仿宋_GBK" w:cs="方正仿宋_GBK"/>
                <w:color w:val="auto"/>
                <w:sz w:val="21"/>
                <w:szCs w:val="21"/>
              </w:rPr>
              <w:t>村、解放村、石岭村、鱼龙村、石笋山村、沙坪村、转角店村、丰乐村、新泉村、联盟村、一碗水村、科名村、仓宝村、长丰村、灯坪村、金鼎村、金龙村、牌坊坝村、利民村、郝家坝村、陡沟河村、福良村、转龙村、九层岩村、洞子口村、嘉阜村、莲花塘村、凌阁堂村、马银村、燃灯村、长滩河村、梓潼观村、笋桥村、龙宝山村、龙汇垭村、水渡滩村、滩子口村、四明村、大河村、四望山村、新岸山村、马道子村、围子山村、石碓窝村、江永村、花园村、向前村、大牌坊村、涨谷村等195个村（涉农社区）</w:t>
            </w:r>
          </w:p>
        </w:tc>
        <w:tc>
          <w:tcPr>
            <w:tcW w:w="106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财政投入不足</w:t>
            </w:r>
          </w:p>
        </w:tc>
      </w:tr>
      <w:tr>
        <w:tblPrEx>
          <w:tblCellMar>
            <w:top w:w="0" w:type="dxa"/>
            <w:left w:w="28" w:type="dxa"/>
            <w:bottom w:w="0" w:type="dxa"/>
            <w:right w:w="28" w:type="dxa"/>
          </w:tblCellMar>
        </w:tblPrEx>
        <w:trPr>
          <w:trHeight w:val="694" w:hRule="atLeast"/>
          <w:jc w:val="center"/>
        </w:trPr>
        <w:tc>
          <w:tcPr>
            <w:tcW w:w="638"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民宿及农家乐</w:t>
            </w:r>
          </w:p>
        </w:tc>
        <w:tc>
          <w:tcPr>
            <w:tcW w:w="10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11"/>
                <w:sz w:val="21"/>
                <w:szCs w:val="21"/>
              </w:rPr>
              <w:t>无生活污水处理设施</w:t>
            </w:r>
          </w:p>
        </w:tc>
        <w:tc>
          <w:tcPr>
            <w:tcW w:w="15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有20家民宿和农家乐污水为直排</w:t>
            </w:r>
          </w:p>
        </w:tc>
        <w:tc>
          <w:tcPr>
            <w:tcW w:w="389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茶竹村、大南村、谭家坝村、丰田村、胜利村、代家店村</w:t>
            </w:r>
          </w:p>
        </w:tc>
        <w:tc>
          <w:tcPr>
            <w:tcW w:w="106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执法部门监管不力</w:t>
            </w:r>
          </w:p>
        </w:tc>
      </w:tr>
    </w:tbl>
    <w:p>
      <w:pPr>
        <w:widowControl w:val="0"/>
        <w:ind w:firstLine="640"/>
        <w:rPr>
          <w:rFonts w:hint="eastAsia" w:ascii="方正仿宋_GBK" w:hAnsi="方正仿宋_GBK" w:cs="方正仿宋_GBK"/>
          <w:color w:val="auto"/>
        </w:rPr>
      </w:pPr>
      <w:bookmarkStart w:id="139" w:name="_Toc48318241"/>
      <w:bookmarkStart w:id="140" w:name="_Toc45198255"/>
      <w:r>
        <w:rPr>
          <w:rFonts w:hint="eastAsia" w:ascii="方正仿宋_GBK" w:hAnsi="方正仿宋_GBK" w:cs="方正仿宋_GBK"/>
          <w:color w:val="auto"/>
        </w:rPr>
        <w:t>3.3.4  方案措施</w:t>
      </w:r>
      <w:bookmarkEnd w:id="139"/>
      <w:bookmarkEnd w:id="140"/>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3.3.4.1  规划范围</w:t>
      </w:r>
    </w:p>
    <w:p>
      <w:pPr>
        <w:widowControl w:val="0"/>
        <w:ind w:firstLine="640"/>
        <w:rPr>
          <w:rFonts w:hint="eastAsia"/>
          <w:color w:val="auto"/>
        </w:rPr>
      </w:pPr>
      <w:r>
        <w:rPr>
          <w:rFonts w:hint="eastAsia" w:ascii="方正仿宋_GBK" w:hAnsi="方正仿宋_GBK" w:cs="方正仿宋_GBK"/>
          <w:color w:val="auto"/>
        </w:rPr>
        <w:t>规划范围包括集中区（27个村和涉农社区）、分散区（136个村和涉农社区）及民宿和农家乐（6个村和涉农社区）。共涉及村和涉农社区146个（剔除重复村和涉农社区），即谭家坝村、解放村、李家湾村、九层岩村、龙凤桥村、马银村、高滩村、黄瓜山村、双河口社区、万寿场社区、德胜桥村、凤龙村、高坡村、</w:t>
      </w:r>
      <w:r>
        <w:rPr>
          <w:rFonts w:hint="eastAsia"/>
          <w:color w:val="auto"/>
        </w:rPr>
        <w:t>会龙桥村、灯坪村、隆顺村、石脚迹村、石笋山村、铜鼓村、新泉村、玉宝村、萱花村、</w:t>
      </w:r>
      <w:sdt>
        <w:sdtPr>
          <w:rPr>
            <w:color w:val="auto"/>
          </w:rPr>
          <w:alias w:val="易错词检查"/>
          <w:id w:val="1020211"/>
        </w:sdtPr>
        <w:sdtEndPr>
          <w:rPr>
            <w:color w:val="auto"/>
          </w:rPr>
        </w:sdtEndPr>
        <w:sdtContent>
          <w:bookmarkStart w:id="141" w:name="bkReivew1020211"/>
          <w:r>
            <w:rPr>
              <w:rFonts w:hint="eastAsia"/>
              <w:color w:val="auto"/>
            </w:rPr>
            <w:t>菜</w:t>
          </w:r>
          <w:bookmarkEnd w:id="141"/>
        </w:sdtContent>
      </w:sdt>
      <w:r>
        <w:rPr>
          <w:rFonts w:hint="eastAsia"/>
          <w:color w:val="auto"/>
        </w:rPr>
        <w:t>茵岩村、陈青桥村、冯家坪村、双河口村、复兴寺村、卢家岩村、梅家桥村、瓦窑村、芋荷湾村、朱龙花村、八角寺村、代家店村、小南村、石龙村、</w:t>
      </w:r>
      <w:sdt>
        <w:sdtPr>
          <w:rPr>
            <w:color w:val="auto"/>
          </w:rPr>
          <w:alias w:val="敏感词检查"/>
          <w:id w:val="23345"/>
        </w:sdtPr>
        <w:sdtEndPr>
          <w:rPr>
            <w:color w:val="auto"/>
          </w:rPr>
        </w:sdtEndPr>
        <w:sdtContent>
          <w:bookmarkStart w:id="142" w:name="bkPolitics23345"/>
          <w:r>
            <w:rPr>
              <w:rFonts w:hint="eastAsia"/>
              <w:color w:val="auto"/>
            </w:rPr>
            <w:t>玉峰</w:t>
          </w:r>
          <w:bookmarkEnd w:id="142"/>
        </w:sdtContent>
      </w:sdt>
      <w:r>
        <w:rPr>
          <w:rFonts w:hint="eastAsia"/>
          <w:color w:val="auto"/>
        </w:rPr>
        <w:t>村、石岭村、鱼龙村、沙坪村、转角店村、丰乐村、联盟村、一碗水村、科名村、仓宝村、长丰村、金鼎村、金龙村、牌坊坝村、利民村、郝家坝村、陡沟河村、福良村、转龙村、洞子口村、嘉阜村、莲花塘村、凌阁堂村、燃灯村、长滩河村、梓潼观村、茶竹村、大南村、丰田村、胜利村、大河村、涨谷村、五家坡村、金宝山村、大磨子村、笋桥村、龙宝山村、龙汇垭村、水渡滩村、滩子口村、四明村、四望山村、新岸山村、马道子村、围子山村、石碓窝村、江永村、花园村、向前村、大牌坊村。</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3.3.4.2  方案概述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针对谭家坝村305户集中区建设1座一体化集中污水处理设施；针对解放村80户的集中区建设1座一体化集中污水处理站。对运行负荷率低于60%的25个污水处理厂（站）进行截污管网建设，共计71.2km。针对分散区未进行改厕的住户修建卫生厕所42499座。针对未配套污水处置设施的农家乐和民宿分别新建化粪池9座、隔油池20座。</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3.3.4.3  实施内容</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结合用水定额按 100L/人·d 计算，污水排放量按用水定额的80%计，污水收集率取85%，日变化系数取1.2，计算出污水量。根据各区域类型具体情况确定规划实施方案。</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表3.3.4-1  集中区已建污水处理设施改造布局一览表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85"/>
        <w:gridCol w:w="800"/>
        <w:gridCol w:w="825"/>
        <w:gridCol w:w="1714"/>
        <w:gridCol w:w="4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blHeader/>
          <w:jc w:val="center"/>
        </w:trPr>
        <w:tc>
          <w:tcPr>
            <w:tcW w:w="641"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序号</w:t>
            </w:r>
          </w:p>
        </w:tc>
        <w:tc>
          <w:tcPr>
            <w:tcW w:w="985"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行政村</w:t>
            </w:r>
          </w:p>
        </w:tc>
        <w:tc>
          <w:tcPr>
            <w:tcW w:w="800"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户数（户）</w:t>
            </w:r>
          </w:p>
        </w:tc>
        <w:tc>
          <w:tcPr>
            <w:tcW w:w="825"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人口（人）</w:t>
            </w:r>
          </w:p>
        </w:tc>
        <w:tc>
          <w:tcPr>
            <w:tcW w:w="1714"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规划处理方式</w:t>
            </w:r>
          </w:p>
        </w:tc>
        <w:tc>
          <w:tcPr>
            <w:tcW w:w="4096"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1"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1</w:t>
            </w:r>
          </w:p>
        </w:tc>
        <w:tc>
          <w:tcPr>
            <w:tcW w:w="985"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pacing w:val="-11"/>
                <w:sz w:val="21"/>
                <w:szCs w:val="21"/>
              </w:rPr>
              <w:t>谭家坝村</w:t>
            </w:r>
          </w:p>
        </w:tc>
        <w:tc>
          <w:tcPr>
            <w:tcW w:w="80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305</w:t>
            </w:r>
          </w:p>
        </w:tc>
        <w:tc>
          <w:tcPr>
            <w:tcW w:w="825"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933</w:t>
            </w:r>
          </w:p>
        </w:tc>
        <w:tc>
          <w:tcPr>
            <w:tcW w:w="1714" w:type="dxa"/>
            <w:noWrap w:val="0"/>
            <w:vAlign w:val="center"/>
          </w:tcPr>
          <w:p>
            <w:pPr>
              <w:widowControl w:val="0"/>
              <w:adjustRightInd/>
              <w:spacing w:line="240"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一体化集中污水处理设施建设</w:t>
            </w:r>
          </w:p>
        </w:tc>
        <w:tc>
          <w:tcPr>
            <w:tcW w:w="4096" w:type="dxa"/>
            <w:noWrap w:val="0"/>
            <w:vAlign w:val="center"/>
          </w:tcPr>
          <w:p>
            <w:pPr>
              <w:widowControl w:val="0"/>
              <w:adjustRightInd/>
              <w:spacing w:line="240"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70m</w:t>
            </w:r>
            <w:r>
              <w:rPr>
                <w:rFonts w:hint="eastAsia" w:ascii="方正仿宋_GBK" w:hAnsi="方正仿宋_GBK" w:cs="方正仿宋_GBK"/>
                <w:bCs/>
                <w:color w:val="auto"/>
                <w:sz w:val="21"/>
                <w:szCs w:val="21"/>
                <w:vertAlign w:val="superscript"/>
              </w:rPr>
              <w:t>3</w:t>
            </w:r>
            <w:r>
              <w:rPr>
                <w:rFonts w:hint="eastAsia" w:ascii="方正仿宋_GBK" w:hAnsi="方正仿宋_GBK" w:cs="方正仿宋_GBK"/>
                <w:bCs/>
                <w:color w:val="auto"/>
                <w:sz w:val="21"/>
                <w:szCs w:val="21"/>
              </w:rPr>
              <w:t>/d的一体化集中式污水处理设施1座，管网建设3.5km（DN300的双壁波纹管）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2</w:t>
            </w:r>
          </w:p>
        </w:tc>
        <w:tc>
          <w:tcPr>
            <w:tcW w:w="98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解放村</w:t>
            </w:r>
          </w:p>
        </w:tc>
        <w:tc>
          <w:tcPr>
            <w:tcW w:w="80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80</w:t>
            </w:r>
          </w:p>
        </w:tc>
        <w:tc>
          <w:tcPr>
            <w:tcW w:w="82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200</w:t>
            </w:r>
          </w:p>
        </w:tc>
        <w:tc>
          <w:tcPr>
            <w:tcW w:w="171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一体化集中污水处理设施建设</w:t>
            </w:r>
          </w:p>
        </w:tc>
        <w:tc>
          <w:tcPr>
            <w:tcW w:w="409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管网建设2.5km（DN300的双壁波纹管）；20m3/d的一体化集中处理设施1座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4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合计</w:t>
            </w:r>
          </w:p>
        </w:tc>
        <w:tc>
          <w:tcPr>
            <w:tcW w:w="98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p>
        </w:tc>
        <w:tc>
          <w:tcPr>
            <w:tcW w:w="80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p>
        </w:tc>
        <w:tc>
          <w:tcPr>
            <w:tcW w:w="82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p>
        </w:tc>
        <w:tc>
          <w:tcPr>
            <w:tcW w:w="171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新建2座</w:t>
            </w:r>
          </w:p>
        </w:tc>
        <w:tc>
          <w:tcPr>
            <w:tcW w:w="409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pacing w:val="-6"/>
                <w:sz w:val="21"/>
                <w:szCs w:val="21"/>
              </w:rPr>
              <w:t>70t/d、20t/d的一体化集中式污水处理设施各1座，管网建设6km（DN300的双壁波纹管）</w:t>
            </w:r>
          </w:p>
        </w:tc>
      </w:tr>
    </w:tbl>
    <w:p>
      <w:pPr>
        <w:pStyle w:val="11"/>
        <w:widowControl w:val="0"/>
        <w:rPr>
          <w:rFonts w:hint="eastAsia" w:ascii="方正楷体_GBK" w:hAnsi="方正楷体_GBK" w:cs="方正楷体_GBK"/>
          <w:color w:val="auto"/>
          <w:szCs w:val="28"/>
        </w:rPr>
      </w:pPr>
      <w:r>
        <w:rPr>
          <w:rFonts w:hint="eastAsia" w:ascii="方正楷体_GBK" w:hAnsi="方正楷体_GBK" w:cs="方正楷体_GBK"/>
          <w:color w:val="auto"/>
          <w:szCs w:val="28"/>
        </w:rPr>
        <w:t>表3.3.4-2</w:t>
      </w:r>
      <w:r>
        <w:rPr>
          <w:rFonts w:hint="eastAsia" w:ascii="方正楷体_GBK" w:hAnsi="方正楷体_GBK" w:cs="方正楷体_GBK"/>
          <w:color w:val="auto"/>
          <w:szCs w:val="28"/>
          <w:lang w:val="en-US" w:eastAsia="zh-CN"/>
        </w:rPr>
        <w:t xml:space="preserve">  </w:t>
      </w:r>
      <w:r>
        <w:rPr>
          <w:rFonts w:hint="eastAsia" w:ascii="方正楷体_GBK" w:hAnsi="方正楷体_GBK" w:cs="方正楷体_GBK"/>
          <w:color w:val="auto"/>
          <w:szCs w:val="28"/>
        </w:rPr>
        <w:t>集中区已建污水处理设施改造布局一览表</w:t>
      </w:r>
    </w:p>
    <w:tbl>
      <w:tblPr>
        <w:tblStyle w:val="25"/>
        <w:tblW w:w="0" w:type="auto"/>
        <w:tblInd w:w="0" w:type="dxa"/>
        <w:tblLayout w:type="fixed"/>
        <w:tblCellMar>
          <w:top w:w="0" w:type="dxa"/>
          <w:left w:w="108" w:type="dxa"/>
          <w:bottom w:w="0" w:type="dxa"/>
          <w:right w:w="108" w:type="dxa"/>
        </w:tblCellMar>
      </w:tblPr>
      <w:tblGrid>
        <w:gridCol w:w="637"/>
        <w:gridCol w:w="1362"/>
        <w:gridCol w:w="2251"/>
        <w:gridCol w:w="1675"/>
        <w:gridCol w:w="3136"/>
      </w:tblGrid>
      <w:tr>
        <w:tblPrEx>
          <w:tblCellMar>
            <w:top w:w="0" w:type="dxa"/>
            <w:left w:w="108" w:type="dxa"/>
            <w:bottom w:w="0" w:type="dxa"/>
            <w:right w:w="108" w:type="dxa"/>
          </w:tblCellMar>
        </w:tblPrEx>
        <w:trPr>
          <w:trHeight w:val="440" w:hRule="atLeast"/>
          <w:tblHeader/>
        </w:trPr>
        <w:tc>
          <w:tcPr>
            <w:tcW w:w="637"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1362"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2251"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污水处理厂（站）</w:t>
            </w:r>
          </w:p>
        </w:tc>
        <w:tc>
          <w:tcPr>
            <w:tcW w:w="1675"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规划处理方式</w:t>
            </w:r>
          </w:p>
        </w:tc>
        <w:tc>
          <w:tcPr>
            <w:tcW w:w="3136"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何埂镇李家湾村污水处理站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完善截污管网5.8km（DN300的双壁波纹管）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完善截污管网3.6km（DN300的双壁波纹管）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龙凤桥村登东场镇污水处理厂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完善截污管网2.8km（DN300的双壁波纹管）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完善截污管网3.6km（DN300的双壁波纹管）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黄文场污水处理站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完善截污管网2.7km（DN300的双壁波纹管）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双河口社区</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花桥污水处理厂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完善截污管网5.1km（DN300的双壁波纹管）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万寿场社区</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完善截污管网1.8km（DN300的双壁波纹管）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完善截污管网3.6km（DN300的双壁波纹管）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完善截污管网5.3km（DN300的双壁波纹管）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观音桥污水处理站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完善截污管网2.1km（DN300的双壁波纹管）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会龙桥污水处理一</w:t>
            </w:r>
            <w:sdt>
              <w:sdtPr>
                <w:rPr>
                  <w:color w:val="auto"/>
                </w:rPr>
                <w:alias w:val="易错词检查"/>
                <w:id w:val="170550"/>
              </w:sdtPr>
              <w:sdtEndPr>
                <w:rPr>
                  <w:color w:val="auto"/>
                </w:rPr>
              </w:sdtEndPr>
              <w:sdtContent>
                <w:r>
                  <w:rPr>
                    <w:rFonts w:hint="eastAsia" w:ascii="方正仿宋_GBK" w:hAnsi="方正仿宋_GBK" w:cs="方正仿宋_GBK"/>
                    <w:color w:val="auto"/>
                    <w:sz w:val="21"/>
                    <w:szCs w:val="21"/>
                    <w:lang w:eastAsia="zh-CN"/>
                  </w:rPr>
                  <w:t>体</w:t>
                </w:r>
              </w:sdtContent>
            </w:sdt>
            <w:r>
              <w:rPr>
                <w:rFonts w:hint="eastAsia" w:ascii="方正仿宋_GBK" w:hAnsi="方正仿宋_GBK" w:cs="方正仿宋_GBK"/>
                <w:color w:val="auto"/>
                <w:sz w:val="21"/>
                <w:szCs w:val="21"/>
              </w:rPr>
              <w:t>化设施</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完善截污管网3.4km（DN300的双壁波纹管）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金龙镇普莲污水处理站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完善截污管网3.4km（DN300的双壁波纹管）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隆顺村爱心楼一体化污水处理站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完善截污管网5.5km（DN300的双壁波纹管）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完善截污管网3.7km（DN300的双壁波纹管）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完善截污管网1.8km（DN300的双壁波纹管）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完善截污管网1.5km（DN300的双壁波纹管）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完善截污管网1.6km（DN300的双壁波纹管）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完善截污管网2.3km（DN300的双壁波纹管）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完善截污管网2.8km（DN300的双壁波纹管）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完善截污管网2.1km（DN300的双壁波纹管）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五家坡村污水处理厂</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完善截污管网2.2km（DN300的双壁波纹管）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金宝山村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完善截污管网2.5km（DN300的双壁波纹管）</w:t>
            </w:r>
          </w:p>
        </w:tc>
      </w:tr>
      <w:tr>
        <w:tblPrEx>
          <w:tblCellMar>
            <w:top w:w="0" w:type="dxa"/>
            <w:left w:w="108" w:type="dxa"/>
            <w:bottom w:w="0" w:type="dxa"/>
            <w:right w:w="108" w:type="dxa"/>
          </w:tblCellMar>
        </w:tblPrEx>
        <w:trPr>
          <w:trHeight w:val="525"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大磨子村</w:t>
            </w: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大磨污水处理站</w:t>
            </w: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管网截污</w:t>
            </w: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完善截污管网4.1km（DN300的双壁波纹管）</w:t>
            </w:r>
          </w:p>
        </w:tc>
      </w:tr>
      <w:tr>
        <w:tblPrEx>
          <w:tblCellMar>
            <w:top w:w="0" w:type="dxa"/>
            <w:left w:w="108" w:type="dxa"/>
            <w:bottom w:w="0" w:type="dxa"/>
            <w:right w:w="108" w:type="dxa"/>
          </w:tblCellMar>
        </w:tblPrEx>
        <w:trPr>
          <w:trHeight w:val="510" w:hRule="atLeast"/>
        </w:trPr>
        <w:tc>
          <w:tcPr>
            <w:tcW w:w="637"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36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225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167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313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完善截污管网71.2km（DN300的双壁波纹管）</w:t>
            </w:r>
          </w:p>
        </w:tc>
      </w:tr>
    </w:tbl>
    <w:p>
      <w:pPr>
        <w:widowControl w:val="0"/>
        <w:adjustRightInd/>
        <w:spacing w:line="240" w:lineRule="auto"/>
        <w:ind w:firstLine="0" w:firstLineChars="0"/>
        <w:jc w:val="center"/>
        <w:rPr>
          <w:rFonts w:hint="eastAsia" w:ascii="方正楷体_GBK" w:hAnsi="方正楷体_GBK" w:eastAsia="方正楷体_GBK" w:cs="方正楷体_GBK"/>
          <w:bCs/>
          <w:color w:val="auto"/>
          <w:sz w:val="28"/>
          <w:szCs w:val="28"/>
        </w:rPr>
      </w:pPr>
      <w:r>
        <w:rPr>
          <w:rFonts w:hint="eastAsia" w:ascii="方正楷体_GBK" w:hAnsi="方正楷体_GBK" w:eastAsia="方正楷体_GBK" w:cs="方正楷体_GBK"/>
          <w:bCs/>
          <w:color w:val="auto"/>
          <w:sz w:val="28"/>
          <w:szCs w:val="28"/>
        </w:rPr>
        <w:t>表3.3.4-3  分散区域规划农村生活污水治理布局一览表</w:t>
      </w:r>
    </w:p>
    <w:tbl>
      <w:tblPr>
        <w:tblStyle w:val="25"/>
        <w:tblW w:w="0" w:type="auto"/>
        <w:jc w:val="center"/>
        <w:tblLayout w:type="fixed"/>
        <w:tblCellMar>
          <w:top w:w="0" w:type="dxa"/>
          <w:left w:w="108" w:type="dxa"/>
          <w:bottom w:w="0" w:type="dxa"/>
          <w:right w:w="108" w:type="dxa"/>
        </w:tblCellMar>
      </w:tblPr>
      <w:tblGrid>
        <w:gridCol w:w="672"/>
        <w:gridCol w:w="1553"/>
        <w:gridCol w:w="1084"/>
        <w:gridCol w:w="1069"/>
        <w:gridCol w:w="1085"/>
        <w:gridCol w:w="1471"/>
        <w:gridCol w:w="2127"/>
      </w:tblGrid>
      <w:tr>
        <w:tblPrEx>
          <w:tblCellMar>
            <w:top w:w="0" w:type="dxa"/>
            <w:left w:w="108" w:type="dxa"/>
            <w:bottom w:w="0" w:type="dxa"/>
            <w:right w:w="108" w:type="dxa"/>
          </w:tblCellMar>
        </w:tblPrEx>
        <w:trPr>
          <w:trHeight w:val="386" w:hRule="atLeast"/>
          <w:tblHeader/>
          <w:jc w:val="center"/>
        </w:trPr>
        <w:tc>
          <w:tcPr>
            <w:tcW w:w="67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1553"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tc>
        <w:tc>
          <w:tcPr>
            <w:tcW w:w="1084"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tc>
        <w:tc>
          <w:tcPr>
            <w:tcW w:w="1069"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户数（户）</w:t>
            </w:r>
          </w:p>
        </w:tc>
        <w:tc>
          <w:tcPr>
            <w:tcW w:w="1085"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人口（人）</w:t>
            </w:r>
          </w:p>
        </w:tc>
        <w:tc>
          <w:tcPr>
            <w:tcW w:w="1471"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pacing w:val="-6"/>
                <w:sz w:val="21"/>
                <w:szCs w:val="21"/>
              </w:rPr>
              <w:t>规划处理方式</w:t>
            </w:r>
          </w:p>
        </w:tc>
        <w:tc>
          <w:tcPr>
            <w:tcW w:w="2127" w:type="dxa"/>
            <w:tcBorders>
              <w:top w:val="single" w:color="auto" w:sz="4" w:space="0"/>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trHeight w:val="323"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修建卫生厕所497座</w:t>
            </w:r>
          </w:p>
        </w:tc>
      </w:tr>
      <w:tr>
        <w:tblPrEx>
          <w:tblCellMar>
            <w:top w:w="0" w:type="dxa"/>
            <w:left w:w="108" w:type="dxa"/>
            <w:bottom w:w="0" w:type="dxa"/>
            <w:right w:w="108" w:type="dxa"/>
          </w:tblCellMar>
        </w:tblPrEx>
        <w:trPr>
          <w:trHeight w:val="323"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sdt>
              <w:sdtPr>
                <w:rPr>
                  <w:color w:val="auto"/>
                </w:rPr>
                <w:alias w:val="易错词检查"/>
                <w:id w:val="3053512"/>
              </w:sdtPr>
              <w:sdtEndPr>
                <w:rPr>
                  <w:color w:val="auto"/>
                </w:rPr>
              </w:sdtEndPr>
              <w:sdtContent>
                <w:bookmarkStart w:id="143" w:name="bkReivew3053512"/>
                <w:r>
                  <w:rPr>
                    <w:rFonts w:hint="eastAsia" w:ascii="方正仿宋_GBK" w:hAnsi="方正仿宋_GBK" w:cs="方正仿宋_GBK"/>
                    <w:color w:val="auto"/>
                    <w:sz w:val="21"/>
                    <w:szCs w:val="21"/>
                  </w:rPr>
                  <w:t>菜茵</w:t>
                </w:r>
                <w:bookmarkEnd w:id="143"/>
              </w:sdtContent>
            </w:sdt>
            <w:r>
              <w:rPr>
                <w:rFonts w:hint="eastAsia" w:ascii="方正仿宋_GBK" w:hAnsi="方正仿宋_GBK" w:cs="方正仿宋_GBK"/>
                <w:color w:val="auto"/>
                <w:sz w:val="21"/>
                <w:szCs w:val="21"/>
              </w:rPr>
              <w:t>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23"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修建卫生厕所499座</w:t>
            </w:r>
          </w:p>
        </w:tc>
      </w:tr>
      <w:tr>
        <w:tblPrEx>
          <w:tblCellMar>
            <w:top w:w="0" w:type="dxa"/>
            <w:left w:w="108" w:type="dxa"/>
            <w:bottom w:w="0" w:type="dxa"/>
            <w:right w:w="108" w:type="dxa"/>
          </w:tblCellMar>
        </w:tblPrEx>
        <w:trPr>
          <w:trHeight w:val="323"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冯家坪村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936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修建卫生厕所468座</w:t>
            </w:r>
          </w:p>
        </w:tc>
      </w:tr>
      <w:tr>
        <w:tblPrEx>
          <w:tblCellMar>
            <w:top w:w="0" w:type="dxa"/>
            <w:left w:w="108" w:type="dxa"/>
            <w:bottom w:w="0" w:type="dxa"/>
            <w:right w:w="108" w:type="dxa"/>
          </w:tblCellMar>
        </w:tblPrEx>
        <w:trPr>
          <w:trHeight w:val="323"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491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修建卫生厕所491座</w:t>
            </w:r>
          </w:p>
        </w:tc>
      </w:tr>
      <w:tr>
        <w:tblPrEx>
          <w:tblCellMar>
            <w:top w:w="0" w:type="dxa"/>
            <w:left w:w="108" w:type="dxa"/>
            <w:bottom w:w="0" w:type="dxa"/>
            <w:right w:w="108" w:type="dxa"/>
          </w:tblCellMar>
        </w:tblPrEx>
        <w:trPr>
          <w:trHeight w:val="323"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494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修建卫生厕所494座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卢家岩村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梅家桥村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493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修建卫生厕所493座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瓦窑村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芋荷湾村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880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修建卫生厕所440座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朱龙花村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482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修建卫生厕所482座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500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1000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修建卫生厕所250座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代家店村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修建卫生厕所381座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修建卫生厕所348座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小南村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修建卫生厕所306座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修建卫生厕所231座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3040516"/>
              </w:sdtPr>
              <w:sdtEndPr>
                <w:rPr>
                  <w:color w:val="auto"/>
                </w:rPr>
              </w:sdtEndPr>
              <w:sdtContent>
                <w:bookmarkStart w:id="144" w:name="bkPolitics3040516"/>
                <w:r>
                  <w:rPr>
                    <w:rFonts w:hint="eastAsia" w:ascii="方正仿宋_GBK" w:hAnsi="方正仿宋_GBK" w:cs="方正仿宋_GBK"/>
                    <w:color w:val="auto"/>
                    <w:sz w:val="21"/>
                    <w:szCs w:val="21"/>
                  </w:rPr>
                  <w:t>玉峰</w:t>
                </w:r>
                <w:bookmarkEnd w:id="144"/>
              </w:sdtContent>
            </w:sdt>
            <w:r>
              <w:rPr>
                <w:rFonts w:hint="eastAsia" w:ascii="方正仿宋_GBK" w:hAnsi="方正仿宋_GBK" w:cs="方正仿宋_GBK"/>
                <w:color w:val="auto"/>
                <w:sz w:val="21"/>
                <w:szCs w:val="21"/>
              </w:rPr>
              <w:t>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修建卫生厕所285座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解放村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修建卫生厕所226座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石岭村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修建卫生厕所208座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修建卫生厕所420座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494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修建卫生厕所330座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沙坪村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493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修建卫生厕所300座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转角店村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修建卫生厕所450座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丰乐村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495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修建卫生厕所400座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修建卫生厕所410座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联盟村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修建卫生厕所425座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一碗水村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修建卫生厕所480座</w:t>
            </w:r>
          </w:p>
        </w:tc>
      </w:tr>
      <w:tr>
        <w:tblPrEx>
          <w:tblCellMar>
            <w:top w:w="0" w:type="dxa"/>
            <w:left w:w="108" w:type="dxa"/>
            <w:bottom w:w="0" w:type="dxa"/>
            <w:right w:w="108" w:type="dxa"/>
          </w:tblCellMar>
        </w:tblPrEx>
        <w:trPr>
          <w:trHeight w:val="32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仓宝村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450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修建卫生厕所450座</w:t>
            </w:r>
          </w:p>
        </w:tc>
      </w:tr>
      <w:tr>
        <w:tblPrEx>
          <w:tblCellMar>
            <w:top w:w="0" w:type="dxa"/>
            <w:left w:w="108" w:type="dxa"/>
            <w:bottom w:w="0" w:type="dxa"/>
            <w:right w:w="108" w:type="dxa"/>
          </w:tblCellMar>
        </w:tblPrEx>
        <w:trPr>
          <w:trHeight w:val="31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长丰村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478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956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修建卫生厕所400座</w:t>
            </w:r>
          </w:p>
        </w:tc>
      </w:tr>
      <w:tr>
        <w:tblPrEx>
          <w:tblCellMar>
            <w:top w:w="0" w:type="dxa"/>
            <w:left w:w="108" w:type="dxa"/>
            <w:bottom w:w="0" w:type="dxa"/>
            <w:right w:w="108" w:type="dxa"/>
          </w:tblCellMar>
        </w:tblPrEx>
        <w:trPr>
          <w:trHeight w:val="32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修建卫生厕所266座</w:t>
            </w:r>
          </w:p>
        </w:tc>
      </w:tr>
      <w:tr>
        <w:tblPrEx>
          <w:tblCellMar>
            <w:top w:w="0" w:type="dxa"/>
            <w:left w:w="108" w:type="dxa"/>
            <w:bottom w:w="0" w:type="dxa"/>
            <w:right w:w="108" w:type="dxa"/>
          </w:tblCellMar>
        </w:tblPrEx>
        <w:trPr>
          <w:trHeight w:val="31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修建卫生厕所210座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修建卫生厕所39座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牌坊坝村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修建卫生厕所378座</w:t>
            </w:r>
          </w:p>
        </w:tc>
      </w:tr>
      <w:tr>
        <w:tblPrEx>
          <w:tblCellMar>
            <w:top w:w="0" w:type="dxa"/>
            <w:left w:w="108" w:type="dxa"/>
            <w:bottom w:w="0" w:type="dxa"/>
            <w:right w:w="108" w:type="dxa"/>
          </w:tblCellMar>
        </w:tblPrEx>
        <w:trPr>
          <w:trHeight w:val="32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利民村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修建卫生厕所240座</w:t>
            </w:r>
          </w:p>
        </w:tc>
      </w:tr>
      <w:tr>
        <w:tblPrEx>
          <w:tblCellMar>
            <w:top w:w="0" w:type="dxa"/>
            <w:left w:w="108" w:type="dxa"/>
            <w:bottom w:w="0" w:type="dxa"/>
            <w:right w:w="108" w:type="dxa"/>
          </w:tblCellMar>
        </w:tblPrEx>
        <w:trPr>
          <w:trHeight w:val="31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郝家坝村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487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修建卫生厕所156座</w:t>
            </w:r>
          </w:p>
        </w:tc>
      </w:tr>
      <w:tr>
        <w:tblPrEx>
          <w:tblCellMar>
            <w:top w:w="0" w:type="dxa"/>
            <w:left w:w="108" w:type="dxa"/>
            <w:bottom w:w="0" w:type="dxa"/>
            <w:right w:w="108" w:type="dxa"/>
          </w:tblCellMar>
        </w:tblPrEx>
        <w:trPr>
          <w:trHeight w:val="31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陡沟河村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938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修建卫生厕所132座</w:t>
            </w:r>
          </w:p>
        </w:tc>
      </w:tr>
      <w:tr>
        <w:tblPrEx>
          <w:tblCellMar>
            <w:top w:w="0" w:type="dxa"/>
            <w:left w:w="108" w:type="dxa"/>
            <w:bottom w:w="0" w:type="dxa"/>
            <w:right w:w="108" w:type="dxa"/>
          </w:tblCellMar>
        </w:tblPrEx>
        <w:trPr>
          <w:trHeight w:val="32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福良村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修建卫生厕所218座</w:t>
            </w:r>
          </w:p>
        </w:tc>
      </w:tr>
      <w:tr>
        <w:tblPrEx>
          <w:tblCellMar>
            <w:top w:w="0" w:type="dxa"/>
            <w:left w:w="108" w:type="dxa"/>
            <w:bottom w:w="0" w:type="dxa"/>
            <w:right w:w="108" w:type="dxa"/>
          </w:tblCellMar>
        </w:tblPrEx>
        <w:trPr>
          <w:trHeight w:val="32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修建卫生厕所231座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499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修建卫生厕所180座</w:t>
            </w:r>
          </w:p>
        </w:tc>
      </w:tr>
      <w:tr>
        <w:tblPrEx>
          <w:tblCellMar>
            <w:top w:w="0" w:type="dxa"/>
            <w:left w:w="108" w:type="dxa"/>
            <w:bottom w:w="0" w:type="dxa"/>
            <w:right w:w="108" w:type="dxa"/>
          </w:tblCellMar>
        </w:tblPrEx>
        <w:trPr>
          <w:trHeight w:val="34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洞子口村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487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修建卫生厕所397座</w:t>
            </w:r>
          </w:p>
        </w:tc>
      </w:tr>
      <w:tr>
        <w:tblPrEx>
          <w:tblCellMar>
            <w:top w:w="0" w:type="dxa"/>
            <w:left w:w="108" w:type="dxa"/>
            <w:bottom w:w="0" w:type="dxa"/>
            <w:right w:w="108" w:type="dxa"/>
          </w:tblCellMar>
        </w:tblPrEx>
        <w:trPr>
          <w:trHeight w:val="31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嘉阜村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495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修建卫生厕所392座</w:t>
            </w:r>
          </w:p>
        </w:tc>
      </w:tr>
      <w:tr>
        <w:tblPrEx>
          <w:tblCellMar>
            <w:top w:w="0" w:type="dxa"/>
            <w:left w:w="108" w:type="dxa"/>
            <w:bottom w:w="0" w:type="dxa"/>
            <w:right w:w="108" w:type="dxa"/>
          </w:tblCellMar>
        </w:tblPrEx>
        <w:trPr>
          <w:trHeight w:val="31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莲花塘村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修建卫生厕所117座</w:t>
            </w:r>
          </w:p>
        </w:tc>
      </w:tr>
      <w:tr>
        <w:tblPrEx>
          <w:tblCellMar>
            <w:top w:w="0" w:type="dxa"/>
            <w:left w:w="108" w:type="dxa"/>
            <w:bottom w:w="0" w:type="dxa"/>
            <w:right w:w="108" w:type="dxa"/>
          </w:tblCellMar>
        </w:tblPrEx>
        <w:trPr>
          <w:trHeight w:val="342"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凌阁堂村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497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修建卫生厕所177座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496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修建卫生厕所356座</w:t>
            </w:r>
          </w:p>
        </w:tc>
      </w:tr>
      <w:tr>
        <w:tblPrEx>
          <w:tblCellMar>
            <w:top w:w="0" w:type="dxa"/>
            <w:left w:w="108" w:type="dxa"/>
            <w:bottom w:w="0" w:type="dxa"/>
            <w:right w:w="108" w:type="dxa"/>
          </w:tblCellMar>
        </w:tblPrEx>
        <w:trPr>
          <w:trHeight w:val="297"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490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长滩河村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484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修建卫生厕所440座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488 </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修建卫生厕所458座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安溪村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268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修建卫生厕所103座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修建卫生厕所123座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柏树桥村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修建卫生厕所86座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187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修建卫生厕所72座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本尊村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修建卫生厕所123座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茶园村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143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修建卫生厕所55座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打鱼河村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修建卫生厕所41座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413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修建卫生厕所159座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修建卫生厕所492座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333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修建卫生厕所128座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255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修建卫生厕所98座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大双庆村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239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修建卫生厕所92座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239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修建卫生厕所92座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211</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549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修建卫生厕所211座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丁家岩村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504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修建卫生厕所194座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151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修建卫生厕所58座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二郎坝村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616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修建卫生厕所237座</w:t>
            </w:r>
          </w:p>
        </w:tc>
      </w:tr>
      <w:tr>
        <w:tblPrEx>
          <w:tblCellMar>
            <w:top w:w="0" w:type="dxa"/>
            <w:left w:w="108" w:type="dxa"/>
            <w:bottom w:w="0" w:type="dxa"/>
            <w:right w:w="108" w:type="dxa"/>
          </w:tblCellMar>
        </w:tblPrEx>
        <w:trPr>
          <w:trHeight w:val="34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丰田村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348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修建卫生厕所134座</w:t>
            </w:r>
          </w:p>
        </w:tc>
      </w:tr>
      <w:tr>
        <w:tblPrEx>
          <w:tblCellMar>
            <w:top w:w="0" w:type="dxa"/>
            <w:left w:w="108" w:type="dxa"/>
            <w:bottom w:w="0" w:type="dxa"/>
            <w:right w:w="108" w:type="dxa"/>
          </w:tblCellMar>
        </w:tblPrEx>
        <w:trPr>
          <w:trHeight w:val="33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671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修建卫生厕所258座</w:t>
            </w:r>
          </w:p>
        </w:tc>
      </w:tr>
      <w:tr>
        <w:tblPrEx>
          <w:tblCellMar>
            <w:top w:w="0" w:type="dxa"/>
            <w:left w:w="108" w:type="dxa"/>
            <w:bottom w:w="0" w:type="dxa"/>
            <w:right w:w="108" w:type="dxa"/>
          </w:tblCellMar>
        </w:tblPrEx>
        <w:trPr>
          <w:trHeight w:val="31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585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修建卫生厕所225座</w:t>
            </w:r>
          </w:p>
        </w:tc>
      </w:tr>
      <w:tr>
        <w:tblPrEx>
          <w:tblCellMar>
            <w:top w:w="0" w:type="dxa"/>
            <w:left w:w="108" w:type="dxa"/>
            <w:bottom w:w="0" w:type="dxa"/>
            <w:right w:w="108" w:type="dxa"/>
          </w:tblCellMar>
        </w:tblPrEx>
        <w:trPr>
          <w:trHeight w:val="33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复生桥村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452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修建卫生厕所174座</w:t>
            </w:r>
          </w:p>
        </w:tc>
      </w:tr>
      <w:tr>
        <w:tblPrEx>
          <w:tblCellMar>
            <w:top w:w="0" w:type="dxa"/>
            <w:left w:w="108" w:type="dxa"/>
            <w:bottom w:w="0" w:type="dxa"/>
            <w:right w:w="108" w:type="dxa"/>
          </w:tblCellMar>
        </w:tblPrEx>
        <w:trPr>
          <w:trHeight w:val="34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562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修建卫生厕所216座</w:t>
            </w:r>
          </w:p>
        </w:tc>
      </w:tr>
      <w:tr>
        <w:tblPrEx>
          <w:tblCellMar>
            <w:top w:w="0" w:type="dxa"/>
            <w:left w:w="108" w:type="dxa"/>
            <w:bottom w:w="0" w:type="dxa"/>
            <w:right w:w="108" w:type="dxa"/>
          </w:tblCellMar>
        </w:tblPrEx>
        <w:trPr>
          <w:trHeight w:val="346"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修建卫生厕所180座</w:t>
            </w:r>
          </w:p>
        </w:tc>
      </w:tr>
      <w:tr>
        <w:tblPrEx>
          <w:tblCellMar>
            <w:top w:w="0" w:type="dxa"/>
            <w:left w:w="108" w:type="dxa"/>
            <w:bottom w:w="0" w:type="dxa"/>
            <w:right w:w="108" w:type="dxa"/>
          </w:tblCellMar>
        </w:tblPrEx>
        <w:trPr>
          <w:trHeight w:val="33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632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修建卫生厕所243座</w:t>
            </w:r>
          </w:p>
        </w:tc>
      </w:tr>
      <w:tr>
        <w:tblPrEx>
          <w:tblCellMar>
            <w:top w:w="0" w:type="dxa"/>
            <w:left w:w="108" w:type="dxa"/>
            <w:bottom w:w="0" w:type="dxa"/>
            <w:right w:w="108" w:type="dxa"/>
          </w:tblCellMar>
        </w:tblPrEx>
        <w:trPr>
          <w:trHeight w:val="319"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修建卫生厕所317座</w:t>
            </w:r>
          </w:p>
        </w:tc>
      </w:tr>
      <w:tr>
        <w:tblPrEx>
          <w:tblCellMar>
            <w:top w:w="0" w:type="dxa"/>
            <w:left w:w="108" w:type="dxa"/>
            <w:bottom w:w="0" w:type="dxa"/>
            <w:right w:w="108" w:type="dxa"/>
          </w:tblCellMar>
        </w:tblPrEx>
        <w:trPr>
          <w:trHeight w:val="33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古佛村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325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修建卫生厕所125座</w:t>
            </w:r>
          </w:p>
        </w:tc>
      </w:tr>
      <w:tr>
        <w:tblPrEx>
          <w:tblCellMar>
            <w:top w:w="0" w:type="dxa"/>
            <w:left w:w="108" w:type="dxa"/>
            <w:bottom w:w="0" w:type="dxa"/>
            <w:right w:w="108" w:type="dxa"/>
          </w:tblCellMar>
        </w:tblPrEx>
        <w:trPr>
          <w:trHeight w:val="33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关门山村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修建卫生厕所7座</w:t>
            </w:r>
          </w:p>
        </w:tc>
      </w:tr>
      <w:tr>
        <w:tblPrEx>
          <w:tblCellMar>
            <w:top w:w="0" w:type="dxa"/>
            <w:left w:w="108" w:type="dxa"/>
            <w:bottom w:w="0" w:type="dxa"/>
            <w:right w:w="108" w:type="dxa"/>
          </w:tblCellMar>
        </w:tblPrEx>
        <w:trPr>
          <w:trHeight w:val="33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374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修建卫生厕所144座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官禄岩村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850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修建卫生厕所327座</w:t>
            </w:r>
          </w:p>
        </w:tc>
      </w:tr>
      <w:tr>
        <w:tblPrEx>
          <w:tblCellMar>
            <w:top w:w="0" w:type="dxa"/>
            <w:left w:w="108" w:type="dxa"/>
            <w:bottom w:w="0" w:type="dxa"/>
            <w:right w:w="108" w:type="dxa"/>
          </w:tblCellMar>
        </w:tblPrEx>
        <w:trPr>
          <w:trHeight w:val="33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356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修建卫生厕所137座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桂林村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424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修建卫生厕所163座</w:t>
            </w:r>
          </w:p>
        </w:tc>
      </w:tr>
      <w:tr>
        <w:tblPrEx>
          <w:tblCellMar>
            <w:top w:w="0" w:type="dxa"/>
            <w:left w:w="108" w:type="dxa"/>
            <w:bottom w:w="0" w:type="dxa"/>
            <w:right w:w="108" w:type="dxa"/>
          </w:tblCellMar>
        </w:tblPrEx>
        <w:trPr>
          <w:trHeight w:val="289"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寒泸村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244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修建卫生厕所94座</w:t>
            </w:r>
          </w:p>
        </w:tc>
      </w:tr>
      <w:tr>
        <w:tblPrEx>
          <w:tblCellMar>
            <w:top w:w="0" w:type="dxa"/>
            <w:left w:w="108" w:type="dxa"/>
            <w:bottom w:w="0" w:type="dxa"/>
            <w:right w:w="108" w:type="dxa"/>
          </w:tblCellMar>
        </w:tblPrEx>
        <w:trPr>
          <w:trHeight w:val="33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合兴村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395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修建卫生厕所152座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和平村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216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修建卫生厕所83座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738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修建卫生厕所284座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374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修建卫生厕所144座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31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697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修建卫生厕所268座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修建卫生厕所317座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226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修建卫生厕所87座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307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修建卫生厕所118座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脚盆井村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244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修建卫生厕所94座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金门村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177 </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修建卫生厕所68座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修建卫生厕所20座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景圣村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263</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修建卫生厕所101座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445</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修建卫生厕所171座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巨龙村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修建卫生厕所19座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修建卫生厕所127座</w:t>
            </w:r>
          </w:p>
        </w:tc>
      </w:tr>
      <w:tr>
        <w:tblPrEx>
          <w:tblCellMar>
            <w:top w:w="0" w:type="dxa"/>
            <w:left w:w="108" w:type="dxa"/>
            <w:bottom w:w="0" w:type="dxa"/>
            <w:right w:w="108" w:type="dxa"/>
          </w:tblCellMar>
        </w:tblPrEx>
        <w:trPr>
          <w:trHeight w:val="349"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修建卫生厕所61座</w:t>
            </w:r>
          </w:p>
        </w:tc>
      </w:tr>
      <w:tr>
        <w:tblPrEx>
          <w:tblCellMar>
            <w:top w:w="0" w:type="dxa"/>
            <w:left w:w="108" w:type="dxa"/>
            <w:bottom w:w="0" w:type="dxa"/>
            <w:right w:w="108" w:type="dxa"/>
          </w:tblCellMar>
        </w:tblPrEx>
        <w:trPr>
          <w:trHeight w:val="33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凉风垭村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修建卫生厕所126座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灵英村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修建卫生厕所306座</w:t>
            </w:r>
          </w:p>
        </w:tc>
      </w:tr>
      <w:tr>
        <w:tblPrEx>
          <w:tblCellMar>
            <w:top w:w="0" w:type="dxa"/>
            <w:left w:w="108" w:type="dxa"/>
            <w:bottom w:w="0" w:type="dxa"/>
            <w:right w:w="108" w:type="dxa"/>
          </w:tblCellMar>
        </w:tblPrEx>
        <w:trPr>
          <w:trHeight w:val="319"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柳溪村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修建卫生厕所179座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龙安村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359</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修建卫生厕所138座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龙洞桥村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463</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修建卫生厕所178座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543</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修建卫生厕所209座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龙井口村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263</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修建卫生厕所101座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修建卫生厕所157座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884</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修建卫生厕所442座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磨心桥村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修建卫生厕所96座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南华村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修建卫生厕所63座</w:t>
            </w:r>
          </w:p>
        </w:tc>
      </w:tr>
      <w:tr>
        <w:tblPrEx>
          <w:tblCellMar>
            <w:top w:w="0" w:type="dxa"/>
            <w:left w:w="108" w:type="dxa"/>
            <w:bottom w:w="0" w:type="dxa"/>
            <w:right w:w="108" w:type="dxa"/>
          </w:tblCellMar>
        </w:tblPrEx>
        <w:trPr>
          <w:trHeight w:val="304"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牛门口村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修建卫生厕所14座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牛尾铺村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修建卫生厕所50座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欧家坝村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修建卫生厕所150座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修建卫生厕所188座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314</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修建卫生厕所314座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七郎村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354</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修建卫生厕所136座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三台村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499</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修建卫生厕所192座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三星村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修建卫生厕所23座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石宝寺村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修建卫生厕所56座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984</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修建卫生厕所492座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龙宝山村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龙汇垭村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478</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修建卫生厕所478座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水渡滩村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修建卫生厕所469座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滩子口村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修建卫生厕所475座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496</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992</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修建卫生厕所496座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修建卫生厕所493座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四望山村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新岸山村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497</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994</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修建卫生厕所497座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马道子村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修建卫生厕所495座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围子山村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984</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修建卫生厕所492座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131</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1570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修建卫生厕所785座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修建卫生厕所489座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花园村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958</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修建卫生厕所479座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493</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986</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修建卫生厕所493座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大牌坊村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475</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修建卫生厕所475座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490</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农户改厕</w:t>
            </w: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修建卫生厕所490座</w:t>
            </w:r>
          </w:p>
        </w:tc>
      </w:tr>
      <w:tr>
        <w:tblPrEx>
          <w:tblCellMar>
            <w:top w:w="0" w:type="dxa"/>
            <w:left w:w="108" w:type="dxa"/>
            <w:bottom w:w="0" w:type="dxa"/>
            <w:right w:w="108" w:type="dxa"/>
          </w:tblCellMar>
        </w:tblPrEx>
        <w:trPr>
          <w:trHeight w:val="341" w:hRule="atLeast"/>
          <w:jc w:val="center"/>
        </w:trPr>
        <w:tc>
          <w:tcPr>
            <w:tcW w:w="672"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553"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108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1069"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42499</w:t>
            </w:r>
          </w:p>
        </w:tc>
        <w:tc>
          <w:tcPr>
            <w:tcW w:w="10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17152</w:t>
            </w:r>
          </w:p>
        </w:tc>
        <w:tc>
          <w:tcPr>
            <w:tcW w:w="147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p>
        </w:tc>
        <w:tc>
          <w:tcPr>
            <w:tcW w:w="212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修建卫生厕所42499座</w:t>
            </w:r>
          </w:p>
        </w:tc>
      </w:tr>
    </w:tbl>
    <w:p>
      <w:pPr>
        <w:widowControl w:val="0"/>
        <w:adjustRightInd/>
        <w:snapToGrid/>
        <w:ind w:firstLine="0" w:firstLineChars="0"/>
        <w:jc w:val="center"/>
        <w:rPr>
          <w:rFonts w:hint="eastAsia" w:ascii="方正楷体_GBK" w:hAnsi="方正楷体_GBK" w:eastAsia="方正楷体_GBK" w:cs="方正楷体_GBK"/>
          <w:bCs/>
          <w:color w:val="auto"/>
          <w:sz w:val="28"/>
          <w:szCs w:val="28"/>
        </w:rPr>
      </w:pPr>
      <w:r>
        <w:rPr>
          <w:rFonts w:hint="eastAsia" w:ascii="方正楷体_GBK" w:hAnsi="方正楷体_GBK" w:eastAsia="方正楷体_GBK" w:cs="方正楷体_GBK"/>
          <w:bCs/>
          <w:color w:val="auto"/>
          <w:sz w:val="28"/>
          <w:szCs w:val="28"/>
        </w:rPr>
        <w:t>表3.3.4-4  农家乐及民宿规划农村生活污水治理布局一览表</w:t>
      </w:r>
    </w:p>
    <w:tbl>
      <w:tblPr>
        <w:tblStyle w:val="25"/>
        <w:tblW w:w="0" w:type="auto"/>
        <w:jc w:val="center"/>
        <w:tblLayout w:type="fixed"/>
        <w:tblCellMar>
          <w:top w:w="0" w:type="dxa"/>
          <w:left w:w="108" w:type="dxa"/>
          <w:bottom w:w="0" w:type="dxa"/>
          <w:right w:w="108" w:type="dxa"/>
        </w:tblCellMar>
      </w:tblPr>
      <w:tblGrid>
        <w:gridCol w:w="628"/>
        <w:gridCol w:w="1245"/>
        <w:gridCol w:w="1620"/>
        <w:gridCol w:w="1515"/>
        <w:gridCol w:w="1643"/>
        <w:gridCol w:w="2411"/>
      </w:tblGrid>
      <w:tr>
        <w:tblPrEx>
          <w:tblCellMar>
            <w:top w:w="0" w:type="dxa"/>
            <w:left w:w="108" w:type="dxa"/>
            <w:bottom w:w="0" w:type="dxa"/>
            <w:right w:w="108" w:type="dxa"/>
          </w:tblCellMar>
        </w:tblPrEx>
        <w:trPr>
          <w:trHeight w:val="90" w:hRule="atLeast"/>
          <w:tblHeader/>
          <w:jc w:val="center"/>
        </w:trPr>
        <w:tc>
          <w:tcPr>
            <w:tcW w:w="62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124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tc>
        <w:tc>
          <w:tcPr>
            <w:tcW w:w="162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项目名称</w:t>
            </w:r>
          </w:p>
        </w:tc>
        <w:tc>
          <w:tcPr>
            <w:tcW w:w="151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实际接待人数（人/年）</w:t>
            </w:r>
          </w:p>
        </w:tc>
        <w:tc>
          <w:tcPr>
            <w:tcW w:w="1643"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规划处理方式</w:t>
            </w:r>
          </w:p>
        </w:tc>
        <w:tc>
          <w:tcPr>
            <w:tcW w:w="2411"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实施方案</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南大街街道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林里山庄生活污水整治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新建1座化粪池和1座隔油池各6立方米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玉竹园生活污水整治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新建1座化粪池和1座隔油池各7立方米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春竹山庄生活污水整治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新建1座化粪池和1座隔油池各10立方米</w:t>
            </w:r>
          </w:p>
        </w:tc>
      </w:tr>
      <w:tr>
        <w:tblPrEx>
          <w:tblCellMar>
            <w:top w:w="0" w:type="dxa"/>
            <w:left w:w="108" w:type="dxa"/>
            <w:bottom w:w="0" w:type="dxa"/>
            <w:right w:w="108" w:type="dxa"/>
          </w:tblCellMar>
        </w:tblPrEx>
        <w:trPr>
          <w:trHeight w:val="635"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竹海同聚庄生活污水整治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新建1座化粪池和1座隔油池各10立方米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茶山居生活污水整治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w:t>
            </w:r>
          </w:p>
        </w:tc>
        <w:tc>
          <w:tcPr>
            <w:tcW w:w="1643" w:type="dxa"/>
            <w:tcBorders>
              <w:top w:val="nil"/>
              <w:left w:val="nil"/>
              <w:bottom w:val="nil"/>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新建1座化粪池和1座隔油池各5立方米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竹海湖山庄生活污水整治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5000</w:t>
            </w:r>
          </w:p>
        </w:tc>
        <w:tc>
          <w:tcPr>
            <w:tcW w:w="1643"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新建1座化粪池和1座隔油池各12立方米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梁四农家乐生活污水整治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新建1座化粪池和1座隔油池各10立方米</w:t>
            </w:r>
          </w:p>
        </w:tc>
      </w:tr>
      <w:tr>
        <w:tblPrEx>
          <w:tblCellMar>
            <w:top w:w="0" w:type="dxa"/>
            <w:left w:w="108" w:type="dxa"/>
            <w:bottom w:w="0" w:type="dxa"/>
            <w:right w:w="108" w:type="dxa"/>
          </w:tblCellMar>
        </w:tblPrEx>
        <w:trPr>
          <w:trHeight w:val="553"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凤凰山庄生活污水整治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新建1座化粪池和1座隔油池各12立方米</w:t>
            </w:r>
          </w:p>
        </w:tc>
      </w:tr>
      <w:tr>
        <w:tblPrEx>
          <w:tblCellMar>
            <w:top w:w="0" w:type="dxa"/>
            <w:left w:w="108" w:type="dxa"/>
            <w:bottom w:w="0" w:type="dxa"/>
            <w:right w:w="108" w:type="dxa"/>
          </w:tblCellMar>
        </w:tblPrEx>
        <w:trPr>
          <w:trHeight w:val="549"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信刚农家乐生活污水整治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经化粪池和隔油池处置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新建1座化粪池和1座隔油池各8立方米</w:t>
            </w:r>
          </w:p>
        </w:tc>
      </w:tr>
      <w:tr>
        <w:tblPrEx>
          <w:tblCellMar>
            <w:top w:w="0" w:type="dxa"/>
            <w:left w:w="108" w:type="dxa"/>
            <w:bottom w:w="0" w:type="dxa"/>
            <w:right w:w="108" w:type="dxa"/>
          </w:tblCellMar>
        </w:tblPrEx>
        <w:trPr>
          <w:trHeight w:val="564"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南大街街道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友园小酌生活污水整治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新建1座隔油池6立方米</w:t>
            </w:r>
          </w:p>
        </w:tc>
      </w:tr>
      <w:tr>
        <w:tblPrEx>
          <w:tblCellMar>
            <w:top w:w="0" w:type="dxa"/>
            <w:left w:w="108" w:type="dxa"/>
            <w:bottom w:w="0" w:type="dxa"/>
            <w:right w:w="108" w:type="dxa"/>
          </w:tblCellMar>
        </w:tblPrEx>
        <w:trPr>
          <w:trHeight w:val="534"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南大街街道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为黍山庄生活污水整治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新建1座隔油池7立方米</w:t>
            </w:r>
          </w:p>
        </w:tc>
      </w:tr>
      <w:tr>
        <w:tblPrEx>
          <w:tblCellMar>
            <w:top w:w="0" w:type="dxa"/>
            <w:left w:w="108" w:type="dxa"/>
            <w:bottom w:w="0" w:type="dxa"/>
            <w:right w:w="108" w:type="dxa"/>
          </w:tblCellMar>
        </w:tblPrEx>
        <w:trPr>
          <w:trHeight w:val="709"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南大街街道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荷莲坊十里荷香农家乐生活污水整治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新建1座隔油池5立方米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南大街街道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车园山庄生活污水整治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新建1座隔油池9立方米</w:t>
            </w:r>
          </w:p>
        </w:tc>
      </w:tr>
      <w:tr>
        <w:tblPrEx>
          <w:tblCellMar>
            <w:top w:w="0" w:type="dxa"/>
            <w:left w:w="108" w:type="dxa"/>
            <w:bottom w:w="0" w:type="dxa"/>
            <w:right w:w="108" w:type="dxa"/>
          </w:tblCellMar>
        </w:tblPrEx>
        <w:trPr>
          <w:trHeight w:val="594"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大堰塘农家乐生活污水整治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新建1座隔油池6立方米</w:t>
            </w:r>
          </w:p>
        </w:tc>
      </w:tr>
      <w:tr>
        <w:tblPrEx>
          <w:tblCellMar>
            <w:top w:w="0" w:type="dxa"/>
            <w:left w:w="108" w:type="dxa"/>
            <w:bottom w:w="0" w:type="dxa"/>
            <w:right w:w="108" w:type="dxa"/>
          </w:tblCellMar>
        </w:tblPrEx>
        <w:trPr>
          <w:trHeight w:val="551"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山里味道生活污水整治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新建1座隔油池10立方米</w:t>
            </w:r>
          </w:p>
        </w:tc>
      </w:tr>
      <w:tr>
        <w:tblPrEx>
          <w:tblCellMar>
            <w:top w:w="0" w:type="dxa"/>
            <w:left w:w="108" w:type="dxa"/>
            <w:bottom w:w="0" w:type="dxa"/>
            <w:right w:w="108" w:type="dxa"/>
          </w:tblCellMar>
        </w:tblPrEx>
        <w:trPr>
          <w:trHeight w:val="581"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三圣农家乐生活污水整治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新建1座隔油池8立方米</w:t>
            </w:r>
          </w:p>
        </w:tc>
      </w:tr>
      <w:tr>
        <w:tblPrEx>
          <w:tblCellMar>
            <w:top w:w="0" w:type="dxa"/>
            <w:left w:w="108" w:type="dxa"/>
            <w:bottom w:w="0" w:type="dxa"/>
            <w:right w:w="108" w:type="dxa"/>
          </w:tblCellMar>
        </w:tblPrEx>
        <w:trPr>
          <w:trHeight w:val="519"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金盆寨农家乐生活污水整治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新建1座隔油池10立方米</w:t>
            </w:r>
          </w:p>
        </w:tc>
      </w:tr>
      <w:tr>
        <w:tblPrEx>
          <w:tblCellMar>
            <w:top w:w="0" w:type="dxa"/>
            <w:left w:w="108" w:type="dxa"/>
            <w:bottom w:w="0" w:type="dxa"/>
            <w:right w:w="108" w:type="dxa"/>
          </w:tblCellMar>
        </w:tblPrEx>
        <w:trPr>
          <w:trHeight w:val="534"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葡萄山庄生活污水整治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新建1座隔油池14立方米</w:t>
            </w:r>
          </w:p>
        </w:tc>
      </w:tr>
      <w:tr>
        <w:tblPrEx>
          <w:tblCellMar>
            <w:top w:w="0" w:type="dxa"/>
            <w:left w:w="108" w:type="dxa"/>
            <w:bottom w:w="0" w:type="dxa"/>
            <w:right w:w="108" w:type="dxa"/>
          </w:tblCellMar>
        </w:tblPrEx>
        <w:trPr>
          <w:trHeight w:val="626"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陈常义餐馆生活污水整治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新建1座隔油池8立方米</w:t>
            </w:r>
          </w:p>
        </w:tc>
      </w:tr>
      <w:tr>
        <w:tblPrEx>
          <w:tblCellMar>
            <w:top w:w="0" w:type="dxa"/>
            <w:left w:w="108" w:type="dxa"/>
            <w:bottom w:w="0" w:type="dxa"/>
            <w:right w:w="108" w:type="dxa"/>
          </w:tblCellMar>
        </w:tblPrEx>
        <w:trPr>
          <w:trHeight w:val="534" w:hRule="atLeast"/>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胜利路街道</w:t>
            </w: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丰岩农家乐生活污水整治</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新增隔油池过滤处置</w:t>
            </w: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新建1座隔油池8立方米</w:t>
            </w:r>
          </w:p>
        </w:tc>
      </w:tr>
      <w:tr>
        <w:tblPrEx>
          <w:tblCellMar>
            <w:top w:w="0" w:type="dxa"/>
            <w:left w:w="108" w:type="dxa"/>
            <w:bottom w:w="0" w:type="dxa"/>
            <w:right w:w="108" w:type="dxa"/>
          </w:tblCellMar>
        </w:tblPrEx>
        <w:trPr>
          <w:jc w:val="center"/>
        </w:trPr>
        <w:tc>
          <w:tcPr>
            <w:tcW w:w="628"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合计</w:t>
            </w:r>
          </w:p>
        </w:tc>
        <w:tc>
          <w:tcPr>
            <w:tcW w:w="12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16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20家农家乐及民宿</w:t>
            </w:r>
          </w:p>
        </w:tc>
        <w:tc>
          <w:tcPr>
            <w:tcW w:w="151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59500</w:t>
            </w:r>
          </w:p>
        </w:tc>
        <w:tc>
          <w:tcPr>
            <w:tcW w:w="164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bCs/>
                <w:color w:val="auto"/>
                <w:sz w:val="21"/>
                <w:szCs w:val="21"/>
              </w:rPr>
            </w:pPr>
          </w:p>
        </w:tc>
        <w:tc>
          <w:tcPr>
            <w:tcW w:w="24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新建9座化粪池共80立方米、20座隔油池171立方米</w:t>
            </w:r>
          </w:p>
        </w:tc>
      </w:tr>
    </w:tbl>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3.3.4.4  实施计划</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本规划任务拟于2021—2025年完成。优先区域规划任务拟于2021—2024年完成。2021年，拟完成任务主要为集中区谭家坝村和解放村建设1座集中污水处理设施；完善9座已建污水处理厂（站）的截污管网建设，共计57.5km；新建5369座卫生厕所；完善20家农家乐及民宿的生活污水整治工程。2022年，完善16座已建污水处理厂（站）的截污管网建设，共计13.7km；新建5009座卫生厕所。2023年，分散区新建卫生厕所12292座。2024年，分散区新建修建卫生厕所11253座。2025年，新建卫生厕所8576座。实施计划见附表3。</w:t>
      </w:r>
      <w:bookmarkStart w:id="145" w:name="_Toc45198256"/>
    </w:p>
    <w:p>
      <w:pPr>
        <w:widowControl w:val="0"/>
        <w:spacing w:line="252" w:lineRule="auto"/>
        <w:ind w:firstLine="640"/>
        <w:rPr>
          <w:rFonts w:hint="eastAsia" w:ascii="方正仿宋_GBK" w:hAnsi="方正仿宋_GBK" w:cs="方正仿宋_GBK"/>
          <w:color w:val="auto"/>
        </w:rPr>
      </w:pPr>
      <w:bookmarkStart w:id="146" w:name="_Toc48318242"/>
      <w:r>
        <w:rPr>
          <w:rFonts w:hint="eastAsia" w:ascii="方正仿宋_GBK" w:hAnsi="方正仿宋_GBK" w:cs="方正仿宋_GBK"/>
          <w:color w:val="auto"/>
        </w:rPr>
        <w:t>3.3.5  投资估算与资金筹措</w:t>
      </w:r>
      <w:bookmarkEnd w:id="145"/>
      <w:bookmarkEnd w:id="146"/>
    </w:p>
    <w:p>
      <w:pPr>
        <w:widowControl w:val="0"/>
        <w:spacing w:line="252" w:lineRule="auto"/>
        <w:ind w:firstLine="640"/>
        <w:rPr>
          <w:rFonts w:hint="eastAsia" w:ascii="方正仿宋_GBK" w:hAnsi="方正仿宋_GBK" w:cs="方正仿宋_GBK"/>
          <w:color w:val="auto"/>
        </w:rPr>
      </w:pPr>
      <w:bookmarkStart w:id="147" w:name="_Toc43911328"/>
      <w:r>
        <w:rPr>
          <w:rFonts w:hint="eastAsia" w:ascii="方正仿宋_GBK" w:hAnsi="方正仿宋_GBK" w:cs="方正仿宋_GBK"/>
          <w:color w:val="auto"/>
        </w:rPr>
        <w:t>3.3.5.1  建设改造投资估算</w:t>
      </w:r>
      <w:bookmarkEnd w:id="147"/>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本工程投资估算主要采用</w:t>
      </w:r>
      <w:sdt>
        <w:sdtPr>
          <w:rPr>
            <w:color w:val="auto"/>
          </w:rPr>
          <w:alias w:val="敏感词检查"/>
          <w:id w:val="2000820"/>
        </w:sdtPr>
        <w:sdtEndPr>
          <w:rPr>
            <w:color w:val="auto"/>
          </w:rPr>
        </w:sdtEndPr>
        <w:sdtContent>
          <w:bookmarkStart w:id="148" w:name="bkPolitics2000820"/>
          <w:r>
            <w:rPr>
              <w:rFonts w:hint="eastAsia" w:ascii="方正仿宋_GBK" w:hAnsi="方正仿宋_GBK" w:cs="方正仿宋_GBK"/>
              <w:color w:val="auto"/>
            </w:rPr>
            <w:t>建设部</w:t>
          </w:r>
          <w:bookmarkEnd w:id="148"/>
        </w:sdtContent>
      </w:sdt>
      <w:r>
        <w:rPr>
          <w:rFonts w:hint="eastAsia" w:ascii="方正仿宋_GBK" w:hAnsi="方正仿宋_GBK" w:cs="方正仿宋_GBK"/>
          <w:color w:val="auto"/>
        </w:rPr>
        <w:t>《全国市政工程投资估算指标》（HGZ47-104-2007）及国家给水排水工程研究中心编制的《给水排水概预算与经济评价手册》，同时结合重庆市定额、取费标准、材料价格等具体情况，加以适当调整。定额依据如下：</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（1）《重庆市市政工程预算定额》（2018版）</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（2）《重庆市安装工程费用定额》（2018版）</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（3）《重庆市建筑工程计价定额》（2018版）</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（4）《重庆市建设工程施工取费定额》（2018版）</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（5）《农村生活污水处理项目建设和投资指南》（2013年）</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（6）《重庆市建设工程费用定额》</w:t>
      </w:r>
    </w:p>
    <w:p>
      <w:pPr>
        <w:widowControl w:val="0"/>
        <w:spacing w:line="252" w:lineRule="auto"/>
        <w:ind w:firstLine="640"/>
        <w:rPr>
          <w:rFonts w:hint="eastAsia" w:ascii="方正仿宋_GBK" w:hAnsi="方正仿宋_GBK" w:cs="方正仿宋_GBK"/>
          <w:color w:val="auto"/>
        </w:rPr>
      </w:pPr>
      <w:bookmarkStart w:id="149" w:name="_Toc43911329"/>
      <w:r>
        <w:rPr>
          <w:rFonts w:hint="eastAsia" w:ascii="方正仿宋_GBK" w:hAnsi="方正仿宋_GBK" w:cs="方正仿宋_GBK"/>
          <w:color w:val="auto"/>
        </w:rPr>
        <w:t>3.3.5.2  主要工程单价取定</w:t>
      </w:r>
      <w:bookmarkEnd w:id="149"/>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（1）DN200管道300元/m（双壁波纹管）；</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（2）DN300管网按500元/m（双壁波纹管）；</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（3）卫生厕所3000元/座；</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（4）三格式化粪池5000元/座；</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（5）隔油池1500元/座；</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（6）占地补偿26元/m</w:t>
      </w:r>
      <w:r>
        <w:rPr>
          <w:rFonts w:hint="eastAsia" w:ascii="方正仿宋_GBK" w:hAnsi="方正仿宋_GBK" w:cs="方正仿宋_GBK"/>
          <w:color w:val="auto"/>
          <w:vertAlign w:val="superscript"/>
        </w:rPr>
        <w:t>2</w:t>
      </w:r>
      <w:r>
        <w:rPr>
          <w:rFonts w:hint="eastAsia" w:ascii="方正仿宋_GBK" w:hAnsi="方正仿宋_GBK" w:cs="方正仿宋_GBK"/>
          <w:color w:val="auto"/>
        </w:rPr>
        <w:t>；</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（7）一体化集中处理设施15000元/m</w:t>
      </w:r>
      <w:r>
        <w:rPr>
          <w:rFonts w:hint="eastAsia" w:ascii="方正仿宋_GBK" w:hAnsi="方正仿宋_GBK" w:cs="方正仿宋_GBK"/>
          <w:color w:val="auto"/>
          <w:vertAlign w:val="superscript"/>
        </w:rPr>
        <w:t>3</w:t>
      </w:r>
      <w:r>
        <w:rPr>
          <w:rFonts w:hint="eastAsia" w:ascii="方正仿宋_GBK" w:hAnsi="方正仿宋_GBK" w:cs="方正仿宋_GBK"/>
          <w:color w:val="auto"/>
        </w:rPr>
        <w:t>。</w:t>
      </w:r>
    </w:p>
    <w:p>
      <w:pPr>
        <w:widowControl w:val="0"/>
        <w:spacing w:line="252" w:lineRule="auto"/>
        <w:ind w:firstLine="640"/>
        <w:rPr>
          <w:rFonts w:hint="eastAsia" w:ascii="方正仿宋_GBK" w:hAnsi="方正仿宋_GBK" w:cs="方正仿宋_GBK"/>
          <w:color w:val="auto"/>
        </w:rPr>
      </w:pPr>
      <w:bookmarkStart w:id="150" w:name="_Toc43911330"/>
      <w:r>
        <w:rPr>
          <w:rFonts w:hint="eastAsia" w:ascii="方正仿宋_GBK" w:hAnsi="方正仿宋_GBK" w:cs="方正仿宋_GBK"/>
          <w:color w:val="auto"/>
        </w:rPr>
        <w:t>3.3.5.3  投资估算</w:t>
      </w:r>
      <w:bookmarkEnd w:id="150"/>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根据投资估算可知（见下表3.3.5-1），本规划总投资15972.02万元。优先区域总投资12707.87万元，一般区域总投资3264.15万元，分别占总投资的79.56%、20.44%。2021年总投资3113.67万元，占总投资的19.49%；2022年总投资3222.05万元，占总投资的20.17%；2023年总投资3687.60万元，占总投资的23.09%；2024年总投资3375.90万元，占总投资的21.14%；2025年总投资2572.80万元，占总投资的16.11%。</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表3.3.5.3-1  投资估算汇总表</w:t>
      </w:r>
    </w:p>
    <w:tbl>
      <w:tblPr>
        <w:tblStyle w:val="25"/>
        <w:tblW w:w="0" w:type="auto"/>
        <w:jc w:val="center"/>
        <w:tblLayout w:type="fixed"/>
        <w:tblCellMar>
          <w:top w:w="0" w:type="dxa"/>
          <w:left w:w="0" w:type="dxa"/>
          <w:bottom w:w="0" w:type="dxa"/>
          <w:right w:w="0" w:type="dxa"/>
        </w:tblCellMar>
      </w:tblPr>
      <w:tblGrid>
        <w:gridCol w:w="712"/>
        <w:gridCol w:w="780"/>
        <w:gridCol w:w="683"/>
        <w:gridCol w:w="705"/>
        <w:gridCol w:w="690"/>
        <w:gridCol w:w="720"/>
        <w:gridCol w:w="720"/>
        <w:gridCol w:w="615"/>
        <w:gridCol w:w="690"/>
        <w:gridCol w:w="660"/>
        <w:gridCol w:w="705"/>
        <w:gridCol w:w="615"/>
        <w:gridCol w:w="770"/>
        <w:gridCol w:w="582"/>
      </w:tblGrid>
      <w:tr>
        <w:tblPrEx>
          <w:tblCellMar>
            <w:top w:w="0" w:type="dxa"/>
            <w:left w:w="0" w:type="dxa"/>
            <w:bottom w:w="0" w:type="dxa"/>
            <w:right w:w="0" w:type="dxa"/>
          </w:tblCellMar>
        </w:tblPrEx>
        <w:trPr>
          <w:trHeight w:val="586" w:hRule="atLeast"/>
          <w:tblHeader/>
          <w:jc w:val="center"/>
        </w:trPr>
        <w:tc>
          <w:tcPr>
            <w:tcW w:w="71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区域</w:t>
            </w:r>
          </w:p>
        </w:tc>
        <w:tc>
          <w:tcPr>
            <w:tcW w:w="78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措施</w:t>
            </w:r>
          </w:p>
        </w:tc>
        <w:tc>
          <w:tcPr>
            <w:tcW w:w="1388" w:type="dxa"/>
            <w:gridSpan w:val="2"/>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2021年</w:t>
            </w:r>
          </w:p>
        </w:tc>
        <w:tc>
          <w:tcPr>
            <w:tcW w:w="1410" w:type="dxa"/>
            <w:gridSpan w:val="2"/>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2022年</w:t>
            </w:r>
          </w:p>
        </w:tc>
        <w:tc>
          <w:tcPr>
            <w:tcW w:w="1335" w:type="dxa"/>
            <w:gridSpan w:val="2"/>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2023年</w:t>
            </w:r>
          </w:p>
        </w:tc>
        <w:tc>
          <w:tcPr>
            <w:tcW w:w="1350" w:type="dxa"/>
            <w:gridSpan w:val="2"/>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2024年</w:t>
            </w:r>
          </w:p>
        </w:tc>
        <w:tc>
          <w:tcPr>
            <w:tcW w:w="1320" w:type="dxa"/>
            <w:gridSpan w:val="2"/>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2025年</w:t>
            </w:r>
          </w:p>
        </w:tc>
        <w:tc>
          <w:tcPr>
            <w:tcW w:w="1352" w:type="dxa"/>
            <w:gridSpan w:val="2"/>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总计</w:t>
            </w:r>
          </w:p>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（万元）</w:t>
            </w:r>
          </w:p>
        </w:tc>
      </w:tr>
      <w:tr>
        <w:tblPrEx>
          <w:tblCellMar>
            <w:top w:w="0" w:type="dxa"/>
            <w:left w:w="0" w:type="dxa"/>
            <w:bottom w:w="0" w:type="dxa"/>
            <w:right w:w="0" w:type="dxa"/>
          </w:tblCellMar>
        </w:tblPrEx>
        <w:trPr>
          <w:trHeight w:val="790" w:hRule="atLeast"/>
          <w:tblHeader/>
          <w:jc w:val="center"/>
        </w:trPr>
        <w:tc>
          <w:tcPr>
            <w:tcW w:w="71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p>
        </w:tc>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z w:val="21"/>
                <w:szCs w:val="21"/>
              </w:rPr>
            </w:pP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（万元）</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占总</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（万元）</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占总</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（万元）</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占总</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（万元）</w:t>
            </w: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占总</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（万元）</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占总</w:t>
            </w:r>
          </w:p>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投资%</w:t>
            </w: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总投资（万元）</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黑体_GBK" w:hAnsi="方正黑体_GBK" w:eastAsia="方正黑体_GBK" w:cs="方正黑体_GBK"/>
                <w:color w:val="auto"/>
                <w:spacing w:val="-11"/>
                <w:sz w:val="21"/>
                <w:szCs w:val="21"/>
              </w:rPr>
            </w:pPr>
            <w:r>
              <w:rPr>
                <w:rFonts w:hint="eastAsia" w:ascii="方正黑体_GBK" w:hAnsi="方正黑体_GBK" w:eastAsia="方正黑体_GBK" w:cs="方正黑体_GBK"/>
                <w:color w:val="auto"/>
                <w:spacing w:val="-11"/>
                <w:sz w:val="21"/>
                <w:szCs w:val="21"/>
              </w:rPr>
              <w:t>%</w:t>
            </w:r>
          </w:p>
        </w:tc>
      </w:tr>
      <w:tr>
        <w:tblPrEx>
          <w:tblCellMar>
            <w:top w:w="0" w:type="dxa"/>
            <w:left w:w="0" w:type="dxa"/>
            <w:bottom w:w="0" w:type="dxa"/>
            <w:right w:w="0" w:type="dxa"/>
          </w:tblCellMar>
        </w:tblPrEx>
        <w:trPr>
          <w:trHeight w:val="390" w:hRule="atLeast"/>
          <w:jc w:val="center"/>
        </w:trPr>
        <w:tc>
          <w:tcPr>
            <w:tcW w:w="712" w:type="dxa"/>
            <w:vMerge w:val="restart"/>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优先</w:t>
            </w:r>
          </w:p>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区域</w:t>
            </w: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集中区污水处理设施建设</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435.32</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2.73</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435.32</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2.73</w:t>
            </w:r>
          </w:p>
        </w:tc>
      </w:tr>
      <w:tr>
        <w:tblPrEx>
          <w:tblCellMar>
            <w:top w:w="0" w:type="dxa"/>
            <w:left w:w="0" w:type="dxa"/>
            <w:bottom w:w="0" w:type="dxa"/>
            <w:right w:w="0" w:type="dxa"/>
          </w:tblCellMar>
        </w:tblPrEx>
        <w:trPr>
          <w:trHeight w:val="390"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截污管网建设</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 xml:space="preserve">1002.00 </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6.27</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1028.00 </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6.44</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2030.00 </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12.71</w:t>
            </w:r>
          </w:p>
        </w:tc>
      </w:tr>
      <w:tr>
        <w:tblPrEx>
          <w:tblCellMar>
            <w:top w:w="0" w:type="dxa"/>
            <w:left w:w="0" w:type="dxa"/>
            <w:bottom w:w="0" w:type="dxa"/>
            <w:right w:w="0" w:type="dxa"/>
          </w:tblCellMar>
        </w:tblPrEx>
        <w:trPr>
          <w:trHeight w:val="390"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农户污水收集设施建设</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r>
              <w:rPr>
                <w:rFonts w:hint="eastAsia" w:ascii="方正仿宋_GBK" w:hAnsi="方正仿宋_GBK" w:cs="方正仿宋_GBK"/>
                <w:color w:val="auto"/>
                <w:spacing w:val="-6"/>
                <w:sz w:val="21"/>
                <w:szCs w:val="21"/>
              </w:rPr>
              <w:t xml:space="preserve">610.70 </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1502.7</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3687.6</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23.09 </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3375.90 </w:t>
            </w: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21.14</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 xml:space="preserve">10176.90 </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63.72</w:t>
            </w:r>
          </w:p>
        </w:tc>
      </w:tr>
      <w:tr>
        <w:tblPrEx>
          <w:tblCellMar>
            <w:top w:w="0" w:type="dxa"/>
            <w:left w:w="0" w:type="dxa"/>
            <w:bottom w:w="0" w:type="dxa"/>
            <w:right w:w="0" w:type="dxa"/>
          </w:tblCellMar>
        </w:tblPrEx>
        <w:trPr>
          <w:trHeight w:val="390"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农家乐生活污水整治</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65.65</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0.41</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65.65</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0.41</w:t>
            </w:r>
          </w:p>
        </w:tc>
      </w:tr>
      <w:tr>
        <w:tblPrEx>
          <w:tblCellMar>
            <w:top w:w="0" w:type="dxa"/>
            <w:left w:w="0" w:type="dxa"/>
            <w:bottom w:w="0" w:type="dxa"/>
            <w:right w:w="0" w:type="dxa"/>
          </w:tblCellMar>
        </w:tblPrEx>
        <w:trPr>
          <w:trHeight w:val="390"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小计</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 xml:space="preserve">3113.67 </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19.49</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2530.70 </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15.84</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3687.60 </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23.09</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3375.90 </w:t>
            </w: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21.14</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 xml:space="preserve">12707.87 </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79.56 </w:t>
            </w:r>
          </w:p>
        </w:tc>
      </w:tr>
      <w:tr>
        <w:tblPrEx>
          <w:tblCellMar>
            <w:top w:w="0" w:type="dxa"/>
            <w:left w:w="0" w:type="dxa"/>
            <w:bottom w:w="0" w:type="dxa"/>
            <w:right w:w="0" w:type="dxa"/>
          </w:tblCellMar>
        </w:tblPrEx>
        <w:trPr>
          <w:trHeight w:val="390" w:hRule="atLeast"/>
          <w:jc w:val="center"/>
        </w:trPr>
        <w:tc>
          <w:tcPr>
            <w:tcW w:w="712" w:type="dxa"/>
            <w:vMerge w:val="restart"/>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w:t>
            </w:r>
          </w:p>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区域</w:t>
            </w: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集中区污水处理设施建设</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CellMar>
            <w:top w:w="0" w:type="dxa"/>
            <w:left w:w="0" w:type="dxa"/>
            <w:bottom w:w="0" w:type="dxa"/>
            <w:right w:w="0" w:type="dxa"/>
          </w:tblCellMar>
        </w:tblPrEx>
        <w:trPr>
          <w:trHeight w:val="390"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截污管网建设</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691.35</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4.33</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691.35</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4.33</w:t>
            </w:r>
          </w:p>
        </w:tc>
      </w:tr>
      <w:tr>
        <w:tblPrEx>
          <w:tblCellMar>
            <w:top w:w="0" w:type="dxa"/>
            <w:left w:w="0" w:type="dxa"/>
            <w:bottom w:w="0" w:type="dxa"/>
            <w:right w:w="0" w:type="dxa"/>
          </w:tblCellMar>
        </w:tblPrEx>
        <w:trPr>
          <w:trHeight w:val="390"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农户污水收集设施建设</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2572.8</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16.11</w:t>
            </w: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2572.80</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16.11</w:t>
            </w:r>
          </w:p>
        </w:tc>
      </w:tr>
      <w:tr>
        <w:tblPrEx>
          <w:tblCellMar>
            <w:top w:w="0" w:type="dxa"/>
            <w:left w:w="0" w:type="dxa"/>
            <w:bottom w:w="0" w:type="dxa"/>
            <w:right w:w="0" w:type="dxa"/>
          </w:tblCellMar>
        </w:tblPrEx>
        <w:trPr>
          <w:trHeight w:val="555" w:hRule="atLeast"/>
          <w:jc w:val="center"/>
        </w:trPr>
        <w:tc>
          <w:tcPr>
            <w:tcW w:w="712" w:type="dxa"/>
            <w:vMerge w:val="continue"/>
            <w:tcBorders>
              <w:top w:val="nil"/>
              <w:left w:val="single" w:color="auto" w:sz="4" w:space="0"/>
              <w:bottom w:val="single" w:color="auto" w:sz="4" w:space="0"/>
              <w:right w:val="single" w:color="auto" w:sz="4" w:space="0"/>
            </w:tcBorders>
            <w:noWrap w:val="0"/>
            <w:vAlign w:val="center"/>
          </w:tcPr>
          <w:p>
            <w:pPr>
              <w:widowControl w:val="0"/>
              <w:spacing w:line="240" w:lineRule="auto"/>
              <w:ind w:firstLine="0" w:firstLineChars="0"/>
              <w:rPr>
                <w:rFonts w:hint="eastAsia" w:ascii="方正仿宋_GBK" w:hAnsi="方正仿宋_GBK" w:cs="方正仿宋_GBK"/>
                <w:color w:val="auto"/>
                <w:sz w:val="21"/>
                <w:szCs w:val="21"/>
              </w:rPr>
            </w:pPr>
          </w:p>
        </w:tc>
        <w:tc>
          <w:tcPr>
            <w:tcW w:w="78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小计</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691.35</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4.33</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2572.8</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16.11</w:t>
            </w: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3264.15</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20.44</w:t>
            </w:r>
          </w:p>
        </w:tc>
      </w:tr>
      <w:tr>
        <w:tblPrEx>
          <w:tblCellMar>
            <w:top w:w="0" w:type="dxa"/>
            <w:left w:w="0" w:type="dxa"/>
            <w:bottom w:w="0" w:type="dxa"/>
            <w:right w:w="0" w:type="dxa"/>
          </w:tblCellMar>
        </w:tblPrEx>
        <w:trPr>
          <w:trHeight w:val="535" w:hRule="atLeast"/>
          <w:jc w:val="center"/>
        </w:trPr>
        <w:tc>
          <w:tcPr>
            <w:tcW w:w="1492" w:type="dxa"/>
            <w:gridSpan w:val="2"/>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总计</w:t>
            </w:r>
          </w:p>
        </w:tc>
        <w:tc>
          <w:tcPr>
            <w:tcW w:w="683"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 xml:space="preserve">3113.67 </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19.49</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3222.05 </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72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3687.60 </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23.09</w:t>
            </w:r>
          </w:p>
        </w:tc>
        <w:tc>
          <w:tcPr>
            <w:tcW w:w="69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3375.90 </w:t>
            </w:r>
          </w:p>
        </w:tc>
        <w:tc>
          <w:tcPr>
            <w:tcW w:w="66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21.14</w:t>
            </w:r>
          </w:p>
        </w:tc>
        <w:tc>
          <w:tcPr>
            <w:tcW w:w="70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2572.8</w:t>
            </w:r>
          </w:p>
        </w:tc>
        <w:tc>
          <w:tcPr>
            <w:tcW w:w="615"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16.11</w:t>
            </w:r>
          </w:p>
        </w:tc>
        <w:tc>
          <w:tcPr>
            <w:tcW w:w="770"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 xml:space="preserve">15972.02 </w:t>
            </w:r>
          </w:p>
        </w:tc>
        <w:tc>
          <w:tcPr>
            <w:tcW w:w="582" w:type="dxa"/>
            <w:tcBorders>
              <w:top w:val="nil"/>
              <w:left w:val="nil"/>
              <w:bottom w:val="single" w:color="auto" w:sz="4" w:space="0"/>
              <w:right w:val="single" w:color="auto" w:sz="4" w:space="0"/>
            </w:tcBorders>
            <w:noWrap w:val="0"/>
            <w:vAlign w:val="center"/>
          </w:tcPr>
          <w:p>
            <w:pPr>
              <w:widowControl w:val="0"/>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w:t>
            </w:r>
          </w:p>
        </w:tc>
      </w:tr>
    </w:tbl>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3.3.5.4  资金筹措</w:t>
      </w:r>
    </w:p>
    <w:p>
      <w:pPr>
        <w:widowControl w:val="0"/>
        <w:spacing w:line="252" w:lineRule="auto"/>
        <w:ind w:firstLine="640"/>
        <w:rPr>
          <w:rFonts w:hint="eastAsia"/>
          <w:color w:val="auto"/>
        </w:rPr>
      </w:pPr>
      <w:r>
        <w:rPr>
          <w:rFonts w:hint="eastAsia"/>
          <w:color w:val="auto"/>
        </w:rPr>
        <w:t>集中区污水处理建设、截污管网建设及农户污水收集设施建设等工程的资金主要争取上级专项资金统筹安排。民宿及农家乐投资由经营单位自行解决。</w:t>
      </w:r>
    </w:p>
    <w:p>
      <w:pPr>
        <w:widowControl w:val="0"/>
        <w:spacing w:line="240" w:lineRule="auto"/>
        <w:ind w:firstLine="0" w:firstLineChars="0"/>
        <w:rPr>
          <w:rFonts w:hint="eastAsia" w:ascii="方正仿宋_GBK" w:hAnsi="方正仿宋_GBK" w:cs="方正仿宋_GBK"/>
          <w:color w:val="auto"/>
        </w:rPr>
      </w:pPr>
    </w:p>
    <w:p>
      <w:pPr>
        <w:widowControl w:val="0"/>
        <w:spacing w:line="252" w:lineRule="auto"/>
        <w:ind w:firstLine="0" w:firstLineChars="0"/>
        <w:jc w:val="center"/>
        <w:rPr>
          <w:rFonts w:hint="eastAsia" w:ascii="方正黑体_GBK" w:hAnsi="方正黑体_GBK" w:eastAsia="方正黑体_GBK" w:cs="方正黑体_GBK"/>
          <w:color w:val="auto"/>
        </w:rPr>
      </w:pPr>
      <w:bookmarkStart w:id="151" w:name="_Toc41579302"/>
      <w:bookmarkStart w:id="152" w:name="_Toc45198257"/>
      <w:bookmarkStart w:id="153" w:name="_Toc48318243"/>
      <w:r>
        <w:rPr>
          <w:rFonts w:hint="eastAsia" w:ascii="方正黑体_GBK" w:hAnsi="方正黑体_GBK" w:eastAsia="方正黑体_GBK" w:cs="方正黑体_GBK"/>
          <w:color w:val="auto"/>
        </w:rPr>
        <w:t>第4章  运行管理</w:t>
      </w:r>
      <w:bookmarkEnd w:id="151"/>
      <w:r>
        <w:rPr>
          <w:rFonts w:hint="eastAsia" w:ascii="方正黑体_GBK" w:hAnsi="方正黑体_GBK" w:eastAsia="方正黑体_GBK" w:cs="方正黑体_GBK"/>
          <w:color w:val="auto"/>
        </w:rPr>
        <w:t>规划</w:t>
      </w:r>
      <w:bookmarkEnd w:id="152"/>
      <w:bookmarkEnd w:id="153"/>
    </w:p>
    <w:p>
      <w:pPr>
        <w:widowControl w:val="0"/>
        <w:spacing w:line="252" w:lineRule="auto"/>
        <w:ind w:firstLine="640"/>
        <w:rPr>
          <w:rFonts w:hint="eastAsia" w:ascii="方正楷体_GBK" w:hAnsi="方正楷体_GBK" w:eastAsia="方正楷体_GBK" w:cs="方正楷体_GBK"/>
          <w:color w:val="auto"/>
        </w:rPr>
      </w:pPr>
      <w:bookmarkStart w:id="154" w:name="_Toc45198258"/>
      <w:bookmarkStart w:id="155" w:name="_Toc41579303"/>
      <w:bookmarkStart w:id="156" w:name="_Toc48318244"/>
      <w:r>
        <w:rPr>
          <w:rFonts w:hint="eastAsia" w:ascii="方正楷体_GBK" w:hAnsi="方正楷体_GBK" w:eastAsia="方正楷体_GBK" w:cs="方正楷体_GBK"/>
          <w:color w:val="auto"/>
        </w:rPr>
        <w:t>4.1  建设项目管理</w:t>
      </w:r>
      <w:bookmarkEnd w:id="154"/>
      <w:bookmarkEnd w:id="155"/>
      <w:bookmarkEnd w:id="156"/>
    </w:p>
    <w:p>
      <w:pPr>
        <w:widowControl w:val="0"/>
        <w:spacing w:line="252" w:lineRule="auto"/>
        <w:ind w:firstLine="640"/>
        <w:rPr>
          <w:rFonts w:hint="eastAsia"/>
          <w:color w:val="auto"/>
        </w:rPr>
      </w:pPr>
      <w:r>
        <w:rPr>
          <w:rFonts w:hint="eastAsia"/>
          <w:color w:val="auto"/>
        </w:rPr>
        <w:t>成立区农村生活污水治理工程建设领导小组，负责全区农村生活污水治理项目的领导、统筹和监督。下设办公室，负责项目立项、建设计划安排、工程招投标、工程设计方案审核、工程验收、建设资金下拨等工作的协调和组织。</w:t>
      </w:r>
    </w:p>
    <w:p>
      <w:pPr>
        <w:widowControl w:val="0"/>
        <w:spacing w:line="252" w:lineRule="auto"/>
        <w:ind w:firstLine="640"/>
        <w:rPr>
          <w:rFonts w:hint="eastAsia" w:ascii="方正楷体_GBK" w:hAnsi="方正楷体_GBK" w:eastAsia="方正楷体_GBK" w:cs="方正楷体_GBK"/>
          <w:color w:val="auto"/>
        </w:rPr>
      </w:pPr>
      <w:bookmarkStart w:id="157" w:name="_Toc45198259"/>
      <w:bookmarkStart w:id="158" w:name="_Toc41579304"/>
      <w:bookmarkStart w:id="159" w:name="_Toc48318245"/>
      <w:r>
        <w:rPr>
          <w:rFonts w:hint="eastAsia" w:ascii="方正楷体_GBK" w:hAnsi="方正楷体_GBK" w:eastAsia="方正楷体_GBK" w:cs="方正楷体_GBK"/>
          <w:color w:val="auto"/>
        </w:rPr>
        <w:t>4.2  日常运行维护</w:t>
      </w:r>
      <w:bookmarkEnd w:id="157"/>
      <w:bookmarkEnd w:id="158"/>
      <w:bookmarkEnd w:id="159"/>
    </w:p>
    <w:p>
      <w:pPr>
        <w:widowControl w:val="0"/>
        <w:spacing w:line="252" w:lineRule="auto"/>
        <w:ind w:firstLine="640"/>
        <w:rPr>
          <w:rFonts w:hint="eastAsia" w:ascii="方正仿宋_GBK" w:hAnsi="方正仿宋_GBK" w:cs="方正仿宋_GBK"/>
          <w:color w:val="auto"/>
        </w:rPr>
      </w:pPr>
      <w:bookmarkStart w:id="160" w:name="_Toc45198260"/>
      <w:bookmarkStart w:id="161" w:name="_Toc41579305"/>
      <w:bookmarkStart w:id="162" w:name="_Toc48318246"/>
      <w:r>
        <w:rPr>
          <w:rFonts w:hint="eastAsia" w:ascii="方正仿宋_GBK" w:hAnsi="方正仿宋_GBK" w:cs="方正仿宋_GBK"/>
          <w:color w:val="auto"/>
        </w:rPr>
        <w:t>4.2.1  运行维护要求与内容</w:t>
      </w:r>
      <w:bookmarkEnd w:id="160"/>
      <w:bookmarkEnd w:id="161"/>
      <w:bookmarkEnd w:id="162"/>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农村生活污水及生活垃圾处理适宜技术推荐（试行）》运维管理要求，采用常规工艺（活性污泥、人工湿地、氧化塘等）的污水处理设施，设计单位应提出详细的设施运行方案（方案内容应包含：日常维护重点；格栅渣清理周期；各功能池的清理周期；主要构筑物及设备的维护频率等）。</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采用一体化污水处理设施的污水处理设施，为保证设施运行效果，设施供应厂商须对运营人员进行集中培训。污水处理设施运营人员定额建议见表4.2-1。</w:t>
      </w:r>
    </w:p>
    <w:p>
      <w:pPr>
        <w:widowControl w:val="0"/>
        <w:spacing w:line="240" w:lineRule="auto"/>
        <w:ind w:firstLine="0" w:firstLineChars="0"/>
        <w:jc w:val="center"/>
        <w:rPr>
          <w:rFonts w:hint="eastAsia" w:ascii="方正仿宋_GBK" w:hAnsi="方正仿宋_GBK" w:cs="方正仿宋_GBK"/>
          <w:color w:val="auto"/>
          <w:sz w:val="28"/>
          <w:szCs w:val="28"/>
        </w:rPr>
      </w:pPr>
      <w:r>
        <w:rPr>
          <w:rFonts w:hint="eastAsia" w:ascii="方正楷体_GBK" w:hAnsi="方正楷体_GBK" w:eastAsia="方正楷体_GBK" w:cs="方正楷体_GBK"/>
          <w:color w:val="auto"/>
          <w:sz w:val="28"/>
          <w:szCs w:val="28"/>
        </w:rPr>
        <w:t>表4.2-1  污水处理设施运营人员定额表</w:t>
      </w:r>
    </w:p>
    <w:p>
      <w:pPr>
        <w:widowControl w:val="0"/>
        <w:spacing w:line="252" w:lineRule="auto"/>
        <w:ind w:firstLine="640"/>
        <w:rPr>
          <w:rFonts w:hint="eastAsia" w:ascii="方正仿宋_GBK" w:hAnsi="方正仿宋_GBK" w:cs="方正仿宋_GBK"/>
          <w:color w:val="auto"/>
        </w:rPr>
      </w:pPr>
      <w:bookmarkStart w:id="163" w:name="_Toc48318247"/>
      <w:bookmarkStart w:id="164" w:name="_Toc41579306"/>
      <w:bookmarkStart w:id="165" w:name="_Toc45198261"/>
      <w:r>
        <w:rPr>
          <w:rFonts w:hint="eastAsia" w:ascii="方正仿宋_GBK" w:hAnsi="方正仿宋_GBK" w:cs="方正仿宋_GBK"/>
          <w:color w:val="auto"/>
        </w:rPr>
        <w:drawing>
          <wp:anchor distT="0" distB="0" distL="114300" distR="114300" simplePos="0" relativeHeight="251661312" behindDoc="0" locked="0" layoutInCell="1" allowOverlap="1">
            <wp:simplePos x="0" y="0"/>
            <wp:positionH relativeFrom="column">
              <wp:posOffset>16510</wp:posOffset>
            </wp:positionH>
            <wp:positionV relativeFrom="paragraph">
              <wp:posOffset>41910</wp:posOffset>
            </wp:positionV>
            <wp:extent cx="5669280" cy="1412240"/>
            <wp:effectExtent l="0" t="0" r="7620" b="16510"/>
            <wp:wrapTopAndBottom/>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4"/>
                    <a:stretch>
                      <a:fillRect/>
                    </a:stretch>
                  </pic:blipFill>
                  <pic:spPr>
                    <a:xfrm>
                      <a:off x="0" y="0"/>
                      <a:ext cx="5669280" cy="1412240"/>
                    </a:xfrm>
                    <a:prstGeom prst="rect">
                      <a:avLst/>
                    </a:prstGeom>
                    <a:noFill/>
                    <a:ln>
                      <a:noFill/>
                    </a:ln>
                  </pic:spPr>
                </pic:pic>
              </a:graphicData>
            </a:graphic>
          </wp:anchor>
        </w:drawing>
      </w:r>
      <w:r>
        <w:rPr>
          <w:rFonts w:hint="eastAsia" w:ascii="方正仿宋_GBK" w:hAnsi="方正仿宋_GBK" w:cs="方正仿宋_GBK"/>
          <w:color w:val="auto"/>
        </w:rPr>
        <w:t>4.2.2  运行维护模式</w:t>
      </w:r>
      <w:bookmarkEnd w:id="163"/>
      <w:bookmarkEnd w:id="164"/>
      <w:bookmarkEnd w:id="165"/>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（1）专业化社会运行管理模式</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由永川区政府将污水处理设施委托给专业环境保护设施运营单位运行管理。运营方负责提供管理方法和技术，保证设施正常运行和污染物达标排放，提高污水处理设施的运行效率，同时永川区政府向其支付相应费用。建议项目设计时同时进行设施托管，托管方技术人员参与设施设计过程，避免后期设施改造造成浪费，托管方认可设施设计实施后，对设施正常运行和污染物达标排放终身负责并承担相应的责任。</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（2）专业管理机构运行管理模式</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由区住房城乡建委设立专职机构、聘请专业人员负责设施的运行管理，可通过建立工程管理委员会，具体负责辖区内农村生活污水处理设施管理养护的督察、指导、服务、考核工作。运行人员必须经相关技能培训（重庆市污水处理运行人员培训）后持证上岗。</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（3）城乡统筹运行管理模式</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农村污水处理设施可纳入城乡统筹管理体系，由区住房城乡建委具体负责辖区内村生活污水处理设施运行管理工作。</w:t>
      </w:r>
    </w:p>
    <w:p>
      <w:pPr>
        <w:widowControl w:val="0"/>
        <w:spacing w:line="252" w:lineRule="auto"/>
        <w:ind w:firstLine="640"/>
        <w:rPr>
          <w:rFonts w:hint="eastAsia" w:ascii="方正仿宋_GBK" w:hAnsi="方正仿宋_GBK" w:cs="方正仿宋_GBK"/>
          <w:color w:val="auto"/>
        </w:rPr>
      </w:pPr>
      <w:bookmarkStart w:id="166" w:name="_Toc41579307"/>
      <w:bookmarkStart w:id="167" w:name="_Toc48318248"/>
      <w:bookmarkStart w:id="168" w:name="_Toc45198262"/>
      <w:r>
        <w:rPr>
          <w:rFonts w:hint="eastAsia" w:ascii="方正仿宋_GBK" w:hAnsi="方正仿宋_GBK" w:cs="方正仿宋_GBK"/>
          <w:color w:val="auto"/>
        </w:rPr>
        <w:t>4.2.3  运行费用方案</w:t>
      </w:r>
      <w:bookmarkEnd w:id="166"/>
      <w:bookmarkEnd w:id="167"/>
      <w:bookmarkEnd w:id="168"/>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（1）运行费用预测</w:t>
      </w:r>
    </w:p>
    <w:p>
      <w:pPr>
        <w:widowControl w:val="0"/>
        <w:spacing w:line="252" w:lineRule="auto"/>
        <w:ind w:firstLine="640"/>
        <w:rPr>
          <w:rFonts w:hint="eastAsia" w:ascii="方正楷体_GBK" w:hAnsi="方正楷体_GBK" w:eastAsia="方正楷体_GBK" w:cs="方正楷体_GBK"/>
          <w:color w:val="auto"/>
          <w:sz w:val="28"/>
          <w:szCs w:val="28"/>
        </w:rPr>
      </w:pPr>
      <w:r>
        <w:rPr>
          <w:rFonts w:hint="eastAsia" w:ascii="方正仿宋_GBK" w:hAnsi="方正仿宋_GBK" w:cs="方正仿宋_GBK"/>
          <w:color w:val="auto"/>
        </w:rPr>
        <w:t>根据各区域村庄污水治理技术的差异，每个设施的运行管理费用预计在5800-8800元/年，治理运行费用详见下表。</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表4.2-1  农村生活污水治理运行费用估算</w:t>
      </w:r>
    </w:p>
    <w:tbl>
      <w:tblPr>
        <w:tblStyle w:val="25"/>
        <w:tblW w:w="0" w:type="auto"/>
        <w:jc w:val="center"/>
        <w:tblLayout w:type="fixed"/>
        <w:tblCellMar>
          <w:top w:w="0" w:type="dxa"/>
          <w:left w:w="108" w:type="dxa"/>
          <w:bottom w:w="0" w:type="dxa"/>
          <w:right w:w="108" w:type="dxa"/>
        </w:tblCellMar>
      </w:tblPr>
      <w:tblGrid>
        <w:gridCol w:w="1205"/>
        <w:gridCol w:w="1204"/>
        <w:gridCol w:w="2032"/>
        <w:gridCol w:w="2031"/>
        <w:gridCol w:w="2589"/>
      </w:tblGrid>
      <w:tr>
        <w:tblPrEx>
          <w:tblCellMar>
            <w:top w:w="0" w:type="dxa"/>
            <w:left w:w="108" w:type="dxa"/>
            <w:bottom w:w="0" w:type="dxa"/>
            <w:right w:w="108" w:type="dxa"/>
          </w:tblCellMar>
        </w:tblPrEx>
        <w:trPr>
          <w:trHeight w:val="326" w:hRule="atLeast"/>
          <w:tblHeader/>
          <w:jc w:val="center"/>
        </w:trPr>
        <w:tc>
          <w:tcPr>
            <w:tcW w:w="120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4"/>
              </w:rPr>
            </w:pPr>
            <w:r>
              <w:rPr>
                <w:rFonts w:hint="eastAsia" w:ascii="方正黑体_GBK" w:hAnsi="方正黑体_GBK" w:eastAsia="方正黑体_GBK" w:cs="方正黑体_GBK"/>
                <w:bCs/>
                <w:color w:val="auto"/>
                <w:sz w:val="21"/>
                <w:szCs w:val="24"/>
              </w:rPr>
              <w:t>序号</w:t>
            </w:r>
          </w:p>
        </w:tc>
        <w:tc>
          <w:tcPr>
            <w:tcW w:w="1204"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4"/>
              </w:rPr>
            </w:pPr>
            <w:r>
              <w:rPr>
                <w:rFonts w:hint="eastAsia" w:ascii="方正黑体_GBK" w:hAnsi="方正黑体_GBK" w:eastAsia="方正黑体_GBK" w:cs="方正黑体_GBK"/>
                <w:bCs/>
                <w:color w:val="auto"/>
                <w:sz w:val="21"/>
                <w:szCs w:val="24"/>
              </w:rPr>
              <w:t>项目名称</w:t>
            </w:r>
          </w:p>
        </w:tc>
        <w:tc>
          <w:tcPr>
            <w:tcW w:w="2032"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4"/>
              </w:rPr>
            </w:pPr>
            <w:r>
              <w:rPr>
                <w:rFonts w:hint="eastAsia" w:ascii="方正黑体_GBK" w:hAnsi="方正黑体_GBK" w:eastAsia="方正黑体_GBK" w:cs="方正黑体_GBK"/>
                <w:bCs/>
                <w:color w:val="auto"/>
                <w:sz w:val="21"/>
                <w:szCs w:val="24"/>
              </w:rPr>
              <w:t>月度成本（元）</w:t>
            </w:r>
          </w:p>
        </w:tc>
        <w:tc>
          <w:tcPr>
            <w:tcW w:w="2031"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4"/>
              </w:rPr>
            </w:pPr>
            <w:r>
              <w:rPr>
                <w:rFonts w:hint="eastAsia" w:ascii="方正黑体_GBK" w:hAnsi="方正黑体_GBK" w:eastAsia="方正黑体_GBK" w:cs="方正黑体_GBK"/>
                <w:bCs/>
                <w:color w:val="auto"/>
                <w:sz w:val="21"/>
                <w:szCs w:val="24"/>
              </w:rPr>
              <w:t>年度成本（元）</w:t>
            </w:r>
          </w:p>
        </w:tc>
        <w:tc>
          <w:tcPr>
            <w:tcW w:w="2589"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4"/>
              </w:rPr>
            </w:pPr>
            <w:r>
              <w:rPr>
                <w:rFonts w:hint="eastAsia" w:ascii="方正黑体_GBK" w:hAnsi="方正黑体_GBK" w:eastAsia="方正黑体_GBK" w:cs="方正黑体_GBK"/>
                <w:bCs/>
                <w:color w:val="auto"/>
                <w:sz w:val="21"/>
                <w:szCs w:val="24"/>
              </w:rPr>
              <w:t>备注</w:t>
            </w:r>
          </w:p>
        </w:tc>
      </w:tr>
      <w:tr>
        <w:tblPrEx>
          <w:tblCellMar>
            <w:top w:w="0" w:type="dxa"/>
            <w:left w:w="108" w:type="dxa"/>
            <w:bottom w:w="0" w:type="dxa"/>
            <w:right w:w="108" w:type="dxa"/>
          </w:tblCellMar>
        </w:tblPrEx>
        <w:trPr>
          <w:trHeight w:val="326" w:hRule="atLeast"/>
          <w:jc w:val="center"/>
        </w:trPr>
        <w:tc>
          <w:tcPr>
            <w:tcW w:w="1205"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1</w:t>
            </w:r>
          </w:p>
        </w:tc>
        <w:tc>
          <w:tcPr>
            <w:tcW w:w="120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人员工资</w:t>
            </w:r>
          </w:p>
        </w:tc>
        <w:tc>
          <w:tcPr>
            <w:tcW w:w="203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700-800</w:t>
            </w:r>
          </w:p>
        </w:tc>
        <w:tc>
          <w:tcPr>
            <w:tcW w:w="203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8400-9600</w:t>
            </w:r>
          </w:p>
        </w:tc>
        <w:tc>
          <w:tcPr>
            <w:tcW w:w="258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1人兼职</w:t>
            </w:r>
          </w:p>
        </w:tc>
      </w:tr>
      <w:tr>
        <w:tblPrEx>
          <w:tblCellMar>
            <w:top w:w="0" w:type="dxa"/>
            <w:left w:w="108" w:type="dxa"/>
            <w:bottom w:w="0" w:type="dxa"/>
            <w:right w:w="108" w:type="dxa"/>
          </w:tblCellMar>
        </w:tblPrEx>
        <w:trPr>
          <w:trHeight w:val="326" w:hRule="atLeast"/>
          <w:jc w:val="center"/>
        </w:trPr>
        <w:tc>
          <w:tcPr>
            <w:tcW w:w="1205"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2</w:t>
            </w:r>
          </w:p>
        </w:tc>
        <w:tc>
          <w:tcPr>
            <w:tcW w:w="120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填料更换</w:t>
            </w:r>
          </w:p>
        </w:tc>
        <w:tc>
          <w:tcPr>
            <w:tcW w:w="203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p>
        </w:tc>
        <w:tc>
          <w:tcPr>
            <w:tcW w:w="203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500-800</w:t>
            </w:r>
          </w:p>
        </w:tc>
        <w:tc>
          <w:tcPr>
            <w:tcW w:w="258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p>
        </w:tc>
      </w:tr>
      <w:tr>
        <w:tblPrEx>
          <w:tblCellMar>
            <w:top w:w="0" w:type="dxa"/>
            <w:left w:w="108" w:type="dxa"/>
            <w:bottom w:w="0" w:type="dxa"/>
            <w:right w:w="108" w:type="dxa"/>
          </w:tblCellMar>
        </w:tblPrEx>
        <w:trPr>
          <w:trHeight w:val="326" w:hRule="atLeast"/>
          <w:jc w:val="center"/>
        </w:trPr>
        <w:tc>
          <w:tcPr>
            <w:tcW w:w="1205"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3</w:t>
            </w:r>
          </w:p>
        </w:tc>
        <w:tc>
          <w:tcPr>
            <w:tcW w:w="120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系统维修</w:t>
            </w:r>
          </w:p>
        </w:tc>
        <w:tc>
          <w:tcPr>
            <w:tcW w:w="203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p>
        </w:tc>
        <w:tc>
          <w:tcPr>
            <w:tcW w:w="203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1500-3000</w:t>
            </w:r>
          </w:p>
        </w:tc>
        <w:tc>
          <w:tcPr>
            <w:tcW w:w="258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暂定投资的千分之一</w:t>
            </w:r>
          </w:p>
        </w:tc>
      </w:tr>
      <w:tr>
        <w:tblPrEx>
          <w:tblCellMar>
            <w:top w:w="0" w:type="dxa"/>
            <w:left w:w="108" w:type="dxa"/>
            <w:bottom w:w="0" w:type="dxa"/>
            <w:right w:w="108" w:type="dxa"/>
          </w:tblCellMar>
        </w:tblPrEx>
        <w:trPr>
          <w:trHeight w:val="326" w:hRule="atLeast"/>
          <w:jc w:val="center"/>
        </w:trPr>
        <w:tc>
          <w:tcPr>
            <w:tcW w:w="1205"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4</w:t>
            </w:r>
          </w:p>
        </w:tc>
        <w:tc>
          <w:tcPr>
            <w:tcW w:w="1204"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杂项</w:t>
            </w:r>
          </w:p>
        </w:tc>
        <w:tc>
          <w:tcPr>
            <w:tcW w:w="203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p>
        </w:tc>
        <w:tc>
          <w:tcPr>
            <w:tcW w:w="203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200</w:t>
            </w:r>
          </w:p>
        </w:tc>
        <w:tc>
          <w:tcPr>
            <w:tcW w:w="258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零星工具、用具</w:t>
            </w:r>
          </w:p>
        </w:tc>
      </w:tr>
      <w:tr>
        <w:tblPrEx>
          <w:tblCellMar>
            <w:top w:w="0" w:type="dxa"/>
            <w:left w:w="108" w:type="dxa"/>
            <w:bottom w:w="0" w:type="dxa"/>
            <w:right w:w="108" w:type="dxa"/>
          </w:tblCellMar>
        </w:tblPrEx>
        <w:trPr>
          <w:trHeight w:val="326" w:hRule="atLeast"/>
          <w:jc w:val="center"/>
        </w:trPr>
        <w:tc>
          <w:tcPr>
            <w:tcW w:w="4441" w:type="dxa"/>
            <w:gridSpan w:val="3"/>
            <w:tcBorders>
              <w:top w:val="single" w:color="auto" w:sz="4" w:space="0"/>
              <w:left w:val="single" w:color="auto" w:sz="4" w:space="0"/>
              <w:bottom w:val="single" w:color="auto" w:sz="4" w:space="0"/>
              <w:right w:val="single" w:color="000000"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总计</w:t>
            </w:r>
          </w:p>
        </w:tc>
        <w:tc>
          <w:tcPr>
            <w:tcW w:w="203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r>
              <w:rPr>
                <w:rFonts w:hint="eastAsia" w:ascii="方正仿宋_GBK" w:hAnsi="方正仿宋_GBK" w:cs="方正仿宋_GBK"/>
                <w:color w:val="auto"/>
                <w:sz w:val="21"/>
                <w:szCs w:val="24"/>
              </w:rPr>
              <w:t>10400-13600</w:t>
            </w:r>
          </w:p>
        </w:tc>
        <w:tc>
          <w:tcPr>
            <w:tcW w:w="2589"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4"/>
              </w:rPr>
            </w:pPr>
          </w:p>
        </w:tc>
      </w:tr>
    </w:tbl>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按照生态环境部、农业农村部《关于印发农业农村污染治理攻坚战行动计划》要求，日处理规模20吨以上的污水处理站需定期进行出水水质检测，建议将水质检测费用纳入运行费用预算。</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（2）运行费用来源</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治理运行管理将遵循“工业反哺农业、城市支持农村”的建设方针，农村生活污水项目将享受与城市公共设施相同的条件，运行费用主要由政府承担，同时适当考虑村集体经济水平。拟采用的方案如下：</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①全部费用由村集体经济承担：适用于月人均集体经济收入超过800元的村，年集体经济总收入至少达到100万元，运行费用占村集体经济总收入的比例小于1%。</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②农户、村集体经济与政府共同承担：坚持“谁污染、谁治理，谁受益、谁付费”的原则，对有自来水管网覆盖且建成投用生活污水集中处理设施的农村集中居住区，可通过自来水公司代收的方式按量向农户收取一定污水处理费。对无自来水管网覆盖且建成投用生活污水集中处理设施的农村集中居住区，综合考虑村集体经济状况、农户承受能力、污水处理成本等因素，合理确定计费方式和付费标准，开征农村生活污水处理费，不足部分由地方财政统筹解决。适用于月人均集体经济收入在300～800元的村，村承担运行费用中的人员工资、电费、杂项等费用，政府承担水泵维修更换、填料更换、系统维修费用。</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③全部费用由政府承担：适用于月人均集体经济收入小于300元的村，政府费用通过两部分支付，一部分在年初直接向项目村拨付，用于支付运行费用中的人员工资、电费、杂项等费用；另一部分由地方财政统筹建立维修基金，用于支付水泵维修更换、填料更换、系统维修费用。</w:t>
      </w:r>
    </w:p>
    <w:p>
      <w:pPr>
        <w:widowControl w:val="0"/>
        <w:spacing w:line="252" w:lineRule="auto"/>
        <w:ind w:firstLine="640"/>
        <w:rPr>
          <w:rFonts w:hint="eastAsia" w:ascii="方正楷体_GBK" w:hAnsi="方正楷体_GBK" w:eastAsia="方正楷体_GBK" w:cs="方正楷体_GBK"/>
          <w:color w:val="auto"/>
        </w:rPr>
      </w:pPr>
      <w:bookmarkStart w:id="169" w:name="_Toc45198263"/>
      <w:bookmarkStart w:id="170" w:name="_Toc48318249"/>
      <w:bookmarkStart w:id="171" w:name="_Toc41579308"/>
      <w:r>
        <w:rPr>
          <w:rFonts w:hint="eastAsia" w:ascii="方正楷体_GBK" w:hAnsi="方正楷体_GBK" w:eastAsia="方正楷体_GBK" w:cs="方正楷体_GBK"/>
          <w:color w:val="auto"/>
        </w:rPr>
        <w:t>4.3  污水处理设施的运行管理制度</w:t>
      </w:r>
      <w:bookmarkEnd w:id="169"/>
      <w:bookmarkEnd w:id="170"/>
      <w:bookmarkEnd w:id="171"/>
    </w:p>
    <w:p>
      <w:pPr>
        <w:widowControl w:val="0"/>
        <w:spacing w:line="252" w:lineRule="auto"/>
        <w:ind w:firstLine="640"/>
        <w:rPr>
          <w:rFonts w:hint="eastAsia"/>
          <w:color w:val="auto"/>
        </w:rPr>
      </w:pPr>
      <w:r>
        <w:rPr>
          <w:rFonts w:hint="eastAsia"/>
          <w:color w:val="auto"/>
        </w:rPr>
        <w:t>污水处理站需制定严格、健全的管理制度，包括：人员工作职责、职业道德规范、工作纪律规定、设备场地管理制度和清扫卫生制度、设备维护保养管理制度等，亦可根据污水站的实际情况而制定。</w:t>
      </w:r>
    </w:p>
    <w:p>
      <w:pPr>
        <w:widowControl w:val="0"/>
        <w:spacing w:line="252" w:lineRule="auto"/>
        <w:ind w:firstLine="640"/>
        <w:rPr>
          <w:rFonts w:hint="eastAsia" w:ascii="方正楷体_GBK" w:hAnsi="方正楷体_GBK" w:eastAsia="方正楷体_GBK" w:cs="方正楷体_GBK"/>
          <w:color w:val="auto"/>
        </w:rPr>
      </w:pPr>
      <w:bookmarkStart w:id="172" w:name="_Toc48318250"/>
      <w:bookmarkStart w:id="173" w:name="_Toc41579309"/>
      <w:bookmarkStart w:id="174" w:name="_Toc45198264"/>
      <w:r>
        <w:rPr>
          <w:rFonts w:hint="eastAsia" w:ascii="方正楷体_GBK" w:hAnsi="方正楷体_GBK" w:eastAsia="方正楷体_GBK" w:cs="方正楷体_GBK"/>
          <w:color w:val="auto"/>
        </w:rPr>
        <w:t>4.4  建立数字化管理平台</w:t>
      </w:r>
      <w:bookmarkEnd w:id="172"/>
      <w:bookmarkEnd w:id="173"/>
      <w:bookmarkEnd w:id="174"/>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利用云平台、大数据、物联网等技术收集、整合和展示区域内环境治理设施运维管理的各环节数据，包含远程监控，图像视频，运维监督，监察巡检，故障统计，治理报表，统计分析、考核填报、信息公开等，并实现智能手机客户端的管理监控，适应新时代互联网+管理模式。这种信息化、智能化运维管控手段可以解决行业痛点，节约运维成本。所以，信息化和智能化管理，正成为环保行业发展的共识。每月通报排名，发动企业、市民参与监督、评判污水治理工作，实现治水“末端监测”向“全程监管”转变。</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智慧水务，是借助水智能系统形成的水务管理模式，在常规的水处理/管理术基础上，借助信息控制融合系统，对污水、中水等各种水处理设施的运行数据进行一元化管理，从而提高整体的水循环经营效率。智慧水务一般通过智慧水网工程予以实施，使水资源管理部门能够对供水厂、污水处理厂、工厂、水路管道网等进行有关水量和水质的实时最佳控制。</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建立农村生活污水智能管理云平台和监控中心，将区域内污水处理设施、河道水质、水库管理、水文站纳入云控平台。运营主管通过物联网数字化技术实现各污水处理厂/站、泵站的关键生产指标（进出水水量、进出水污染物浓度、集水井水位等）、生产运行数据（设备开关、电流、电压等）的自动采集、远程实时监视、智能预警，加强各级管理人员对各厂运行情况的实时监管力度。并且通过对生产现场的各类运行数据的分析和数据挖掘，为各污水处理设施运营管理提供实时运行监测、全厂过程控制、工艺运行模拟、运行异常预警、优化运行决策等功能，提供整体综合运营决策的工艺分析、设备分析、成本分析、风险分析等功能。同时，出台“互联网+智慧水务”考核办法和黑臭河、垃圾河“反弹”问题责任追究制度，对纳入智慧化管理平台的各部门工作任务完成情况及水环境问题进通报。</w:t>
      </w:r>
      <w:bookmarkStart w:id="175" w:name="_Toc41913732"/>
      <w:bookmarkStart w:id="176" w:name="_Toc45198265"/>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农村生活污水数字化管理平台建设为远期规划任务，新改建内容、投资金额及其资金来源将体现在远期规划</w:t>
      </w:r>
      <w:sdt>
        <w:sdtPr>
          <w:rPr>
            <w:color w:val="auto"/>
          </w:rPr>
          <w:alias w:val="易错词检查"/>
          <w:id w:val="113344"/>
        </w:sdtPr>
        <w:sdtEndPr>
          <w:rPr>
            <w:color w:val="auto"/>
          </w:rPr>
        </w:sdtEndPr>
        <w:sdtContent>
          <w:bookmarkStart w:id="177" w:name="bkReivew113344"/>
          <w:r>
            <w:rPr>
              <w:rFonts w:hint="eastAsia" w:ascii="方正仿宋_GBK" w:hAnsi="方正仿宋_GBK" w:cs="方正仿宋_GBK"/>
              <w:color w:val="auto"/>
            </w:rPr>
            <w:t>的</w:t>
          </w:r>
          <w:bookmarkEnd w:id="177"/>
        </w:sdtContent>
      </w:sdt>
      <w:r>
        <w:rPr>
          <w:rFonts w:hint="eastAsia" w:ascii="方正仿宋_GBK" w:hAnsi="方正仿宋_GBK" w:cs="方正仿宋_GBK"/>
          <w:color w:val="auto"/>
        </w:rPr>
        <w:t>实施工程中。</w:t>
      </w:r>
    </w:p>
    <w:p>
      <w:pPr>
        <w:widowControl w:val="0"/>
        <w:spacing w:line="252" w:lineRule="auto"/>
        <w:ind w:firstLine="0" w:firstLineChars="0"/>
        <w:rPr>
          <w:rFonts w:hint="eastAsia" w:ascii="方正仿宋_GBK" w:hAnsi="方正仿宋_GBK" w:cs="方正仿宋_GBK"/>
          <w:color w:val="auto"/>
        </w:rPr>
      </w:pPr>
    </w:p>
    <w:p>
      <w:pPr>
        <w:widowControl w:val="0"/>
        <w:spacing w:line="252" w:lineRule="auto"/>
        <w:ind w:firstLine="0" w:firstLineChars="0"/>
        <w:jc w:val="center"/>
        <w:rPr>
          <w:rFonts w:hint="eastAsia" w:ascii="方正黑体_GBK" w:hAnsi="方正黑体_GBK" w:eastAsia="方正黑体_GBK" w:cs="方正黑体_GBK"/>
          <w:color w:val="auto"/>
        </w:rPr>
      </w:pPr>
      <w:bookmarkStart w:id="178" w:name="_Toc48318251"/>
      <w:r>
        <w:rPr>
          <w:rFonts w:hint="eastAsia" w:ascii="方正黑体_GBK" w:hAnsi="方正黑体_GBK" w:eastAsia="方正黑体_GBK" w:cs="方正黑体_GBK"/>
          <w:color w:val="auto"/>
        </w:rPr>
        <w:t>第5章  保障措施</w:t>
      </w:r>
      <w:bookmarkEnd w:id="175"/>
      <w:bookmarkEnd w:id="176"/>
      <w:bookmarkEnd w:id="178"/>
    </w:p>
    <w:p>
      <w:pPr>
        <w:widowControl w:val="0"/>
        <w:spacing w:line="252" w:lineRule="auto"/>
        <w:ind w:firstLine="640"/>
        <w:rPr>
          <w:rFonts w:hint="eastAsia"/>
          <w:color w:val="auto"/>
        </w:rPr>
      </w:pPr>
      <w:r>
        <w:rPr>
          <w:rFonts w:hint="eastAsia"/>
          <w:color w:val="auto"/>
        </w:rPr>
        <w:t>农村生活污水处理是一项涉及面广、工作量大的系统工程，也是一项社会效益和生态效益十分显著的民心工程，需要政府的积极引导、大力推动，更需要农民的积极参与和自觉行动。各地、各部门务必要统一思想，提高认识，加大工作力度。</w:t>
      </w:r>
    </w:p>
    <w:p>
      <w:pPr>
        <w:widowControl w:val="0"/>
        <w:spacing w:line="252" w:lineRule="auto"/>
        <w:ind w:firstLine="640"/>
        <w:rPr>
          <w:rFonts w:hint="eastAsia" w:ascii="方正楷体_GBK" w:hAnsi="方正楷体_GBK" w:eastAsia="方正楷体_GBK" w:cs="方正楷体_GBK"/>
          <w:color w:val="auto"/>
        </w:rPr>
      </w:pPr>
      <w:bookmarkStart w:id="179" w:name="_Toc41913733"/>
      <w:bookmarkStart w:id="180" w:name="_Toc45198266"/>
      <w:bookmarkStart w:id="181" w:name="_Toc48318252"/>
      <w:r>
        <w:rPr>
          <w:rFonts w:hint="eastAsia" w:ascii="方正楷体_GBK" w:hAnsi="方正楷体_GBK" w:eastAsia="方正楷体_GBK" w:cs="方正楷体_GBK"/>
          <w:color w:val="auto"/>
        </w:rPr>
        <w:t>5.1  组织保障</w:t>
      </w:r>
      <w:bookmarkEnd w:id="179"/>
      <w:bookmarkEnd w:id="180"/>
      <w:bookmarkEnd w:id="181"/>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结合重庆市《2019年农村生活污水治理工作方案》，成立农村生活污水治理领导小组或永川区水环境综合治理领导小组，以区委区政府领导担任领导小组组长，抽调各相关职能部门集中办公，做好统筹协调工作。各相关单位要高度重视，积极支持，密切配合，形成主体责任明确、部门密切配合、上下齐抓共管的工作格局。</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充分结合规范化管理和标准化运维相关目标要求来统筹运维管理规划实施方案。全区农村生活污水治理形成区、镇街两级联动、制度保障、统筹推进的管理模式，坚持属地为主、政府主导原则，建立起以区级政府为责任主体、镇（街道办事处）为管理主体、村级组织为落实主体、农户为受益主体以及第三方专业服务机构为服务主体的“五位一体”的永川区农村生活污水治理设施运维管理体系。</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区政府将治理设施运维管理工作纳入对部门和镇（街道）综合考核的内容之一，一级抓一级、层层抓落实。坚持属地为主、规范管理。建立健全“属地为主、条块结合、权责明确”的农村生活污水治理设施运行维护管理机制，加强部门之间、上下之间的联动协作。确保农村生活污水治理设施运行、维护、监测、监管等各项工作有序进行。“五位一体”运维组织架构图见下图5.1-1。</w:t>
      </w:r>
    </w:p>
    <w:p>
      <w:pPr>
        <w:pStyle w:val="23"/>
        <w:widowControl w:val="0"/>
        <w:shd w:val="clear" w:color="auto" w:fill="FFFFFF"/>
        <w:ind w:firstLine="640" w:firstLineChars="200"/>
        <w:jc w:val="center"/>
        <w:rPr>
          <w:rFonts w:cs="Times New Roman"/>
          <w:color w:val="auto"/>
        </w:rPr>
      </w:pPr>
      <w:r>
        <w:rPr>
          <w:rFonts w:cs="Times New Roman"/>
          <w:color w:val="auto"/>
        </w:rPr>
        <w:drawing>
          <wp:inline distT="0" distB="0" distL="114300" distR="114300">
            <wp:extent cx="4980305" cy="2420620"/>
            <wp:effectExtent l="0" t="0" r="0" b="17780"/>
            <wp:docPr id="8" name="图片 122" descr="C:\Users\cqtkhb\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2" descr="C:\Users\cqtkhb\Desktop\图片1.png"/>
                    <pic:cNvPicPr>
                      <a:picLocks noChangeAspect="1"/>
                    </pic:cNvPicPr>
                  </pic:nvPicPr>
                  <pic:blipFill>
                    <a:blip r:embed="rId15"/>
                    <a:stretch>
                      <a:fillRect/>
                    </a:stretch>
                  </pic:blipFill>
                  <pic:spPr>
                    <a:xfrm>
                      <a:off x="0" y="0"/>
                      <a:ext cx="4980305" cy="2420620"/>
                    </a:xfrm>
                    <a:prstGeom prst="rect">
                      <a:avLst/>
                    </a:prstGeom>
                    <a:noFill/>
                    <a:ln>
                      <a:noFill/>
                    </a:ln>
                  </pic:spPr>
                </pic:pic>
              </a:graphicData>
            </a:graphic>
          </wp:inline>
        </w:drawing>
      </w:r>
    </w:p>
    <w:p>
      <w:pPr>
        <w:pStyle w:val="11"/>
        <w:widowControl w:val="0"/>
        <w:spacing w:line="240" w:lineRule="auto"/>
        <w:rPr>
          <w:rFonts w:hint="eastAsia" w:ascii="方正楷体_GBK" w:hAnsi="方正楷体_GBK" w:cs="方正楷体_GBK"/>
          <w:color w:val="auto"/>
        </w:rPr>
      </w:pPr>
      <w:r>
        <w:rPr>
          <w:rFonts w:hint="eastAsia" w:ascii="方正楷体_GBK" w:hAnsi="方正楷体_GBK" w:cs="方正楷体_GBK"/>
          <w:color w:val="auto"/>
        </w:rPr>
        <w:t>图5.1-1 “五位一体”运维组织架构图</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区住房城乡建委：作为农村生活污水治理设施运行维护管理的行业主管部门，负责全区治理设施运行维护服务项目统一招投标，借助市场机制购买服务，引进第三方环保专业（生活污水治理设施运行服务）运行维护公司（以下简称“运维公司”）和水质监测机构，建立农村治污设施的集约化、科学化运行维护管理长效机制；统筹运行维护经费的分配；负责制定具体的治理设施运行维护管理工作方案和考核办法，牵头做好运行维护管理日常考核工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2.区农业农村委：配合做好运行维护管理日常考核及其他工作；协助做好农村生活污水治理设施基础信息库建设，电子信息库资料在工程竣工验收后及时会同纸质资料移交住建部门保管。</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3.区财政局：负责治理设施运行维护资金的预算安排、拨付和使用监督。</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区生态环境局：负责环境污染防治监管，及时处理各类企业不达标污（废）水排入农村生活污水管网及处理系统案件；制定具体工作方案，定期、不定期对村级污水治理设施进出水水质进行监督性监测；监督、管理第三方水质监测机构工作；对水质处理情况进行评价，并及时报告镇（街道）和行业主管部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5.区审计局：负责治理设施运行维护资金的审计监督。</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6.区卫生健康委：负责组织培训农户厕所维护工作，引导农户做好厕所管理和维护。</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7.国网永川供电分公司：负责供电线路的安全检查与维护，如需停电，须提前七天将停电线路、时间、区域在相关媒体进行公告，并及时通知镇（街道）、运维公司。</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8.镇（街道）：指导、督促村级组织、农户按各自职责开展日常运行维护管理工作。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9.村级组织：引导农户做好化粪池（厕所）水、厨房水、卫生间水、洗涤水（以下简称“四水”）接入状况检查和破损报告。</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10.农户：作为受益主体，有义务主动检查自家“四水”接入状况，负责出户检查井（清扫口）以内的化粪池、接户管、户用检查井的渗漏、堵塞、破损</w:t>
      </w:r>
      <w:sdt>
        <w:sdtPr>
          <w:rPr>
            <w:color w:val="auto"/>
          </w:rPr>
          <w:alias w:val="易错词检查"/>
          <w:id w:val="2132621"/>
        </w:sdtPr>
        <w:sdtEndPr>
          <w:rPr>
            <w:color w:val="auto"/>
          </w:rPr>
        </w:sdtEndPr>
        <w:sdtContent>
          <w:bookmarkStart w:id="182" w:name="bkReivew2132621"/>
          <w:r>
            <w:rPr>
              <w:rFonts w:hint="eastAsia" w:ascii="方正仿宋_GBK" w:hAnsi="方正仿宋_GBK" w:cs="方正仿宋_GBK"/>
              <w:color w:val="auto"/>
            </w:rPr>
            <w:t>的</w:t>
          </w:r>
          <w:bookmarkEnd w:id="182"/>
        </w:sdtContent>
      </w:sdt>
      <w:r>
        <w:rPr>
          <w:rFonts w:hint="eastAsia" w:ascii="方正仿宋_GBK" w:hAnsi="方正仿宋_GBK" w:cs="方正仿宋_GBK"/>
          <w:color w:val="auto"/>
        </w:rPr>
        <w:t>维修、维护和更换，自觉管理房前屋后污水管网、清扫井及周边环境卫生，及时将管网等治理设施破损状况向村级组织报告；做到五小行业污（废）水达标接入；严禁将雨水、工业性污（废）水接入管网系统。</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11.运维公司（惠永水务）：</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（1）终端处理系统运行维护管理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①终端处理系统治理区域、工艺模式、设计规模等概况及操作规程、安全警示标识标牌设置齐全。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②每周对终端处理系统进行巡检，检查终端处理设施供电电源是否正常；检查各类设备设施运行是否正常，仪表、信号指示是否正确；检查进出水水质和水量有无明显异常，有无工业污水偷排现象；检查安全设施是否完好，各类门锁有无破损，检查周边环境，做好日常性清洁卫生工作；检查湿地植物生长情况和过滤系统有无堵塞等，发现问题及时处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③每周对终端处理系统进行日常性保养、清洁工作，做好机电设备传动试验，清除格栅垃圾、清理湿地杂草等；每年按计划对各类设备设施进行保养，并做好记录。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④根据终端处理系统处理能力和出水标准每月，定期分类进行取样、检测，做好检测数据统计、分析，发现进、出水水质、水量出现异常情况，应及时采取措施，控制处理工艺，确保出水达标；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⑤每年对终端处理系统各类处理池进行疏通和污物清理，保障系统正常运行。</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（2）泵站运行维护管理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①泵站收集区域、设计规模等概况及操作规程、安全警示标识标牌设置齐全。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②每周对泵站进行巡检，检查泵站供电电源是否正常；检查各类设备设施运行是否正常，压力、流量有无异常，仪表、信号指示是否正确；检查进出水水质和水量有无明显异常，有无工业污水偷排现象；检查安全设施是否完好，各类门锁有无破损，检查周边环境，做好日常性清洁卫生工作等，发现问题及时处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③每周对泵站进行日常性保养、清洁工作，做好机电设备传动试验，清除格栅垃圾；每年按计划对各类设备设施进行二级保养，并做好记录。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（3）污水管道运行维护管理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①每周对污水管道进行巡检，检查窨井盖、井圈有无移位、松动、缺损，井内防坠装置有无松动、脱落，窨井地面有无沉降；检查窨井污水有无满溢，井内有否积淤、堵塞，窨井内有无工业污水、雨水、建筑泥浆偷排现象；检查管道有无渗漏、堵塞等异常现象，管线路面有无违章施工、违章建筑、塌陷沉降等，并做好记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②对巡查中（含镇村巡查）发现的窨井盖破损、污水管道堵塞、沉降破损、污水满溢等及时进行更换、维修和疏通冲洗，30分钟内到达现场进行处理，其中井盖破损1小时内完成更换，污水管道堵塞2小时内完成疏通，并做好相关记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③每年对污水管道、窨井进行清淤、疏通，确保污水畅通排放，并做好记录。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（4）日常运行维护管理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A.编制各类污水处理设施的档案资料文件（内容包含：污水处理设施的名称、所属区域、地址、联系人、联系电话、设计水量、工艺、排放标准，主要设备的型号、参数、运行状况及控制节点数值等；巡检及报修状况，水质检测及数字记录情况等），建立日报、月报和年报台账，并及时报送永川区住房和城乡建设委员、所属镇街、相关监管部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B.保证设备、设施长期稳定运行，中标单位每年根据行业有关标准或设施维护要求准备一份设施运营与维护手册，包括进行定期和年度检验、日常维护、大修维护和年度维护的内容、标准、程序和计划。</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C.负责合同期内污水治理设施的管网清淤、植被养护、站点检查、设施运转、进出水检测等日常管理。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D.定期做好污水治理设施的巡查，正确开展故障的处置，及时登记巡查和复查村（涉农社区）运行维护协管员履行巡查情况。</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E.对严重影响污水治理系统设施正常运行或破坏设施、占压设施的违章建筑等问题，及时上报村和镇（街道），立即采取措施防止或减少危害后果。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F.协助村（涉农社区）做好路面维护，严格管控重型车辆通行。</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G.负责和指导村（涉农社区）运行维护协管员做好治理设施的维护和清理，负责周围环境卫生和绿化养护管理。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H.接收智能化管理平台监督主体的信息指令，并落实巡查和整改，协助指导站点电磁流量计、能源监测、风机、采样仪、仪表箱、数据收集和传输器安装调试等工作。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I.负责运行维护巡查员</w:t>
      </w:r>
      <w:r>
        <w:rPr>
          <w:rFonts w:hint="eastAsia" w:ascii="方正仿宋_GBK" w:hAnsi="方正仿宋_GBK" w:eastAsia="方正仿宋_GBK" w:cs="方正仿宋_GBK"/>
          <w:color w:val="auto"/>
        </w:rPr>
        <w:t>〔</w:t>
      </w:r>
      <w:r>
        <w:rPr>
          <w:rFonts w:hint="eastAsia" w:ascii="方正仿宋_GBK" w:hAnsi="方正仿宋_GBK" w:cs="方正仿宋_GBK"/>
          <w:color w:val="auto"/>
        </w:rPr>
        <w:t>含镇、街道和村</w:t>
      </w:r>
      <w:sdt>
        <w:sdtPr>
          <w:rPr>
            <w:color w:val="auto"/>
          </w:rPr>
          <w:alias w:val="标点符号检查"/>
          <w:id w:val="2151643"/>
        </w:sdtPr>
        <w:sdtEndPr>
          <w:rPr>
            <w:color w:val="auto"/>
          </w:rPr>
        </w:sdtEndPr>
        <w:sdtContent>
          <w:bookmarkStart w:id="183" w:name="bkReivew2151643"/>
          <w:r>
            <w:rPr>
              <w:rFonts w:hint="eastAsia" w:ascii="方正仿宋_GBK" w:hAnsi="方正仿宋_GBK" w:cs="方正仿宋_GBK"/>
              <w:color w:val="auto"/>
            </w:rPr>
            <w:t>（</w:t>
          </w:r>
          <w:bookmarkEnd w:id="183"/>
        </w:sdtContent>
      </w:sdt>
      <w:r>
        <w:rPr>
          <w:rFonts w:hint="eastAsia" w:ascii="方正仿宋_GBK" w:hAnsi="方正仿宋_GBK" w:cs="方正仿宋_GBK"/>
          <w:color w:val="auto"/>
        </w:rPr>
        <w:t>涉农社区</w:t>
      </w:r>
      <w:sdt>
        <w:sdtPr>
          <w:rPr>
            <w:color w:val="auto"/>
          </w:rPr>
          <w:alias w:val="标点符号检查"/>
          <w:id w:val="111703"/>
        </w:sdtPr>
        <w:sdtEndPr>
          <w:rPr>
            <w:color w:val="auto"/>
          </w:rPr>
        </w:sdtEndPr>
        <w:sdtContent>
          <w:bookmarkStart w:id="184" w:name="bkReivew111703"/>
          <w:r>
            <w:rPr>
              <w:rFonts w:hint="eastAsia" w:ascii="方正仿宋_GBK" w:hAnsi="方正仿宋_GBK" w:cs="方正仿宋_GBK"/>
              <w:color w:val="auto"/>
            </w:rPr>
            <w:t>）</w:t>
          </w:r>
          <w:bookmarkEnd w:id="184"/>
        </w:sdtContent>
      </w:sdt>
      <w:r>
        <w:rPr>
          <w:rFonts w:hint="eastAsia" w:ascii="方正仿宋_GBK" w:hAnsi="方正仿宋_GBK" w:cs="方正仿宋_GBK"/>
          <w:color w:val="auto"/>
        </w:rPr>
        <w:t>运行维护协管员</w:t>
      </w:r>
      <w:r>
        <w:rPr>
          <w:rFonts w:hint="eastAsia" w:ascii="方正仿宋_GBK" w:hAnsi="方正仿宋_GBK" w:eastAsia="方正仿宋_GBK" w:cs="方正仿宋_GBK"/>
          <w:color w:val="auto"/>
        </w:rPr>
        <w:t>〕</w:t>
      </w:r>
      <w:r>
        <w:rPr>
          <w:rFonts w:hint="eastAsia" w:ascii="方正仿宋_GBK" w:hAnsi="方正仿宋_GBK" w:cs="方正仿宋_GBK"/>
          <w:color w:val="auto"/>
        </w:rPr>
        <w:t>的教育、管理和业务培训工作。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J.协助完成区住房城乡建委、镇（街道）交办的其他事项。</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K.运行维护单位巡查组每周对污水治理设施进行巡查一次，如发现处理运行过程中有较大问题，6小时内报告给公司负责人，由公司负责人进行现场勘查后，报告给镇（街道）；指导村（涉农社区）运行维护协管员开展日常运行工作和常见问题的处置，并实行考勤考核工作；组织运行过程中有维修工程的施工的，应将工程内容、分项清单、质量要求、完成时间等，根据工程量和审批程序及时上报镇（街道）和区住房城乡建委。</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L.设有专门的分析实验室，能开展污水相关监测因子的比对分析工作。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M.建立24小时应急抢险中心，及时接收镇（街道）关于污水治理设施运行应急情况的反馈，并第一时间到场处置。</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N.运行维护单位应每周至少开展1次全方位的巡检，定期检查管网畅通、配电设施、植被养护、水质等情况，落实因自身运行维护管理不当造成设施设备损坏的维修和更新。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O.运行维护单位应建立一村一档，落实人员培训、操作规程、岗位责任、设施故障预防、应急措施和日常检查记录等管理制度。</w:t>
      </w:r>
    </w:p>
    <w:p>
      <w:pPr>
        <w:widowControl w:val="0"/>
        <w:spacing w:line="264" w:lineRule="auto"/>
        <w:ind w:firstLine="640"/>
        <w:rPr>
          <w:rFonts w:hint="eastAsia" w:ascii="方正楷体_GBK" w:hAnsi="方正楷体_GBK" w:eastAsia="方正楷体_GBK" w:cs="方正楷体_GBK"/>
          <w:color w:val="auto"/>
        </w:rPr>
      </w:pPr>
      <w:bookmarkStart w:id="185" w:name="_Toc45198267"/>
      <w:bookmarkStart w:id="186" w:name="_Toc48318253"/>
      <w:bookmarkStart w:id="187" w:name="_Toc41913734"/>
      <w:r>
        <w:rPr>
          <w:rFonts w:hint="eastAsia" w:ascii="方正楷体_GBK" w:hAnsi="方正楷体_GBK" w:eastAsia="方正楷体_GBK" w:cs="方正楷体_GBK"/>
          <w:color w:val="auto"/>
        </w:rPr>
        <w:t>5.2  资金保障</w:t>
      </w:r>
      <w:bookmarkEnd w:id="185"/>
      <w:bookmarkEnd w:id="186"/>
      <w:bookmarkEnd w:id="187"/>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区政府应根据农村生活污水治理计划，筹措落实资金，建立“政府扶持、群众自筹、社会参与”的资金筹措机制，保障农村生活污水治理设施正常运行。深入发动社会各界捐资助力，引导和支持企业、社会团体、个人等社会力量，通过投资、捐助、认建等形式，参与农村生活污水处理设施运行维护管理；同时积极争取重庆市财政及中央财政的专项城建补助资金；创新融资方式，鼓励采取政府与社会资本合作（PPP）模式，综合运用股权融资、债权融资等多种方式，鼓励和引导社会资本、金融资本参与农村生活污水处理设施项目的建设和运营。项目资金由区财政局、区住房城乡建委及镇（街道）财政等部门共同监管，专款专用，实行专账核算制度。</w:t>
      </w:r>
    </w:p>
    <w:p>
      <w:pPr>
        <w:widowControl w:val="0"/>
        <w:spacing w:line="264" w:lineRule="auto"/>
        <w:ind w:firstLine="640"/>
        <w:rPr>
          <w:rFonts w:hint="eastAsia" w:ascii="方正楷体_GBK" w:hAnsi="方正楷体_GBK" w:eastAsia="方正楷体_GBK" w:cs="方正楷体_GBK"/>
          <w:color w:val="auto"/>
        </w:rPr>
      </w:pPr>
      <w:bookmarkStart w:id="188" w:name="_Toc48318254"/>
      <w:bookmarkStart w:id="189" w:name="_Toc41913735"/>
      <w:bookmarkStart w:id="190" w:name="_Toc45198268"/>
      <w:r>
        <w:rPr>
          <w:rFonts w:hint="eastAsia" w:ascii="方正楷体_GBK" w:hAnsi="方正楷体_GBK" w:eastAsia="方正楷体_GBK" w:cs="方正楷体_GBK"/>
          <w:color w:val="auto"/>
        </w:rPr>
        <w:t>5.3  技术保障</w:t>
      </w:r>
      <w:bookmarkEnd w:id="188"/>
      <w:bookmarkEnd w:id="189"/>
      <w:bookmarkEnd w:id="190"/>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治理工程需要前期科学的规划设计，应该委托给在农村生活污水治理领域有丰富工程经验的规划设计公司来承担。同时要严把审核关，通过组织专家会审对总体规划方案、农村新建的污水管网及处理设施规划设计进行论证、结合永川区农村实际情况选用合理的实施方案。施工招标阶段应通过公开招标选用有工程经验的施工单位进行施工。实际施工时可以分片区分阶段分标段施工完成，切不可追求速度盲目赶工期，最终导致施工质量不合格。农村污水处理设施运行管理应该交付给有经验的环保或污水处理公司，定期不定期</w:t>
      </w:r>
      <w:sdt>
        <w:sdtPr>
          <w:rPr>
            <w:color w:val="auto"/>
          </w:rPr>
          <w:alias w:val="易错词检查"/>
          <w:id w:val="3073020"/>
        </w:sdtPr>
        <w:sdtEndPr>
          <w:rPr>
            <w:color w:val="auto"/>
          </w:rPr>
        </w:sdtEndPr>
        <w:sdtContent>
          <w:bookmarkStart w:id="191" w:name="bkReivew3073020"/>
          <w:r>
            <w:rPr>
              <w:rFonts w:hint="eastAsia" w:ascii="方正仿宋_GBK" w:hAnsi="方正仿宋_GBK" w:cs="方正仿宋_GBK"/>
              <w:color w:val="auto"/>
            </w:rPr>
            <w:t>的</w:t>
          </w:r>
          <w:bookmarkEnd w:id="191"/>
        </w:sdtContent>
      </w:sdt>
      <w:r>
        <w:rPr>
          <w:rFonts w:hint="eastAsia" w:ascii="方正仿宋_GBK" w:hAnsi="方正仿宋_GBK" w:cs="方正仿宋_GBK"/>
          <w:color w:val="auto"/>
        </w:rPr>
        <w:t>进行检查、监测，及时跟踪各项数据，确保污水处理设施正常运行。对于专业技术和管理人员要定期培训，及时更新专业技术知识。</w:t>
      </w:r>
    </w:p>
    <w:p>
      <w:pPr>
        <w:widowControl w:val="0"/>
        <w:spacing w:line="264" w:lineRule="auto"/>
        <w:ind w:firstLine="640"/>
        <w:rPr>
          <w:rFonts w:hint="eastAsia"/>
          <w:color w:val="auto"/>
        </w:rPr>
      </w:pPr>
      <w:r>
        <w:rPr>
          <w:rFonts w:hint="eastAsia"/>
          <w:color w:val="auto"/>
        </w:rPr>
        <w:t>加大农村生活污水处理技术研发和集约化处理设施推广应用。采用运行状态远程实时监控系统，综合运用互联网、物联网等技术，建立数字化服务网络系统和平台。加强与科研院所的合作，引进有实力的单位对永川区农村生活污水进行技术支持，同时，加强对本地施工队伍的培训，引进装备化的技术工艺，避免由于人员素质导致的施工质量问题。开展针对永川区污水处理设施运行管理中普遍性问题的技术</w:t>
      </w:r>
      <w:r>
        <w:rPr>
          <w:rFonts w:hint="eastAsia"/>
          <w:color w:val="auto"/>
          <w:lang w:eastAsia="zh-CN"/>
        </w:rPr>
        <w:t>攻关</w:t>
      </w:r>
      <w:bookmarkStart w:id="468" w:name="_GoBack"/>
      <w:bookmarkEnd w:id="468"/>
      <w:r>
        <w:rPr>
          <w:rFonts w:hint="eastAsia"/>
          <w:color w:val="auto"/>
        </w:rPr>
        <w:t>和示范，并通过示范工程进行新技术的推广。为永川区农村生活污水治理工程建设提供技术保障。</w:t>
      </w:r>
    </w:p>
    <w:p>
      <w:pPr>
        <w:widowControl w:val="0"/>
        <w:spacing w:line="264" w:lineRule="auto"/>
        <w:ind w:firstLine="640"/>
        <w:rPr>
          <w:rFonts w:hint="eastAsia" w:ascii="方正楷体_GBK" w:hAnsi="方正楷体_GBK" w:eastAsia="方正楷体_GBK" w:cs="方正楷体_GBK"/>
          <w:color w:val="auto"/>
        </w:rPr>
      </w:pPr>
      <w:bookmarkStart w:id="192" w:name="_Toc45198269"/>
      <w:bookmarkStart w:id="193" w:name="_Toc41913736"/>
      <w:bookmarkStart w:id="194" w:name="_Toc48318255"/>
      <w:r>
        <w:rPr>
          <w:rFonts w:hint="eastAsia" w:ascii="方正楷体_GBK" w:hAnsi="方正楷体_GBK" w:eastAsia="方正楷体_GBK" w:cs="方正楷体_GBK"/>
          <w:color w:val="auto"/>
        </w:rPr>
        <w:t>5.4  监管保障</w:t>
      </w:r>
      <w:bookmarkEnd w:id="192"/>
      <w:bookmarkEnd w:id="193"/>
      <w:bookmarkEnd w:id="194"/>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围绕村点覆盖全面、群众受益广泛、设施运行常态、治污效果良好的工作目标，坚持城乡一体和供排水一体原则，严把项目监管验收，实施有序规范移交，确保农村生活污水治理设施一次建设、长久使用、持续发挥效用。完善“五位一体”</w:t>
      </w:r>
      <w:sdt>
        <w:sdtPr>
          <w:rPr>
            <w:color w:val="auto"/>
          </w:rPr>
          <w:alias w:val="易错词检查"/>
          <w:id w:val="142826"/>
        </w:sdtPr>
        <w:sdtEndPr>
          <w:rPr>
            <w:color w:val="auto"/>
          </w:rPr>
        </w:sdtEndPr>
        <w:sdtContent>
          <w:bookmarkStart w:id="195" w:name="bkReivew142826"/>
          <w:r>
            <w:rPr>
              <w:rFonts w:hint="eastAsia" w:ascii="方正仿宋_GBK" w:hAnsi="方正仿宋_GBK" w:cs="方正仿宋_GBK"/>
              <w:color w:val="auto"/>
            </w:rPr>
            <w:t>的</w:t>
          </w:r>
          <w:bookmarkEnd w:id="195"/>
        </w:sdtContent>
      </w:sdt>
      <w:r>
        <w:rPr>
          <w:rFonts w:hint="eastAsia" w:ascii="方正仿宋_GBK" w:hAnsi="方正仿宋_GBK" w:cs="方正仿宋_GBK"/>
          <w:color w:val="auto"/>
        </w:rPr>
        <w:t>区农村生活污水治理设施运维管理体系，强化项目所在镇、村参与日常监管。根据农村生活污水处理设施规模和所处环境，以处理水量计量、水质监测、污泥规范处置、污水收集系统和终端处理系统的“防渗漏、防堵塞、防破损、防故障”为主要任务，建立数据监测、巡查维修、设备更换等制度，实现农村生活污水处理设施长期稳定运行。</w:t>
      </w:r>
    </w:p>
    <w:p>
      <w:pPr>
        <w:widowControl w:val="0"/>
        <w:spacing w:line="264" w:lineRule="auto"/>
        <w:ind w:firstLine="640"/>
        <w:rPr>
          <w:rFonts w:hint="eastAsia" w:ascii="方正黑体_GBK" w:hAnsi="方正黑体_GBK" w:eastAsia="方正黑体_GBK" w:cs="方正黑体_GBK"/>
          <w:color w:val="auto"/>
        </w:rPr>
      </w:pPr>
      <w:r>
        <w:rPr>
          <w:rFonts w:hint="eastAsia" w:ascii="方正仿宋_GBK" w:hAnsi="方正仿宋_GBK" w:cs="方正仿宋_GBK"/>
          <w:color w:val="auto"/>
        </w:rPr>
        <w:t>建设农村生活污水治理智能化运维管理信息平台，健全运行维护管理制度。采用远程实时监控系统，综合运用互联网、物联网等技术，建立数字化服务网络系统和平台，对监测重点区域的农村生活污水处理设施运行状态进行实时监控，掌握农村生活污水处理设施运行动态。探索建立农村生活污水处理收费制度，鼓励各地适时收取农村生活污水处理费用，努力提高村民环保意识，确保设施长效运行。加强农村生活污水治理的宣传发动，使这项工作成为全区上下和社会各界共同关心的民生实事工程，形成群众广泛参与、社会各界大力支持的农村治污良好氛围。</w:t>
      </w:r>
      <w:bookmarkStart w:id="196" w:name="_Toc45198270"/>
      <w:bookmarkStart w:id="197" w:name="_Toc43911332"/>
      <w:bookmarkStart w:id="198" w:name="_Toc48318256"/>
    </w:p>
    <w:p>
      <w:pPr>
        <w:widowControl w:val="0"/>
        <w:spacing w:line="264" w:lineRule="auto"/>
        <w:ind w:firstLine="0" w:firstLineChars="0"/>
        <w:rPr>
          <w:rFonts w:hint="eastAsia" w:ascii="方正黑体_GBK" w:hAnsi="方正黑体_GBK" w:eastAsia="方正黑体_GBK" w:cs="方正黑体_GBK"/>
          <w:color w:val="auto"/>
        </w:rPr>
      </w:pPr>
    </w:p>
    <w:p>
      <w:pPr>
        <w:widowControl w:val="0"/>
        <w:spacing w:line="264" w:lineRule="auto"/>
        <w:ind w:firstLine="0" w:firstLineChars="0"/>
        <w:jc w:val="center"/>
        <w:rPr>
          <w:rFonts w:hint="eastAsia" w:ascii="方正黑体_GBK" w:hAnsi="方正黑体_GBK" w:eastAsia="方正黑体_GBK" w:cs="方正黑体_GBK"/>
          <w:color w:val="auto"/>
        </w:rPr>
      </w:pPr>
      <w:r>
        <w:rPr>
          <w:rFonts w:hint="eastAsia" w:ascii="方正黑体_GBK" w:hAnsi="方正黑体_GBK" w:eastAsia="方正黑体_GBK" w:cs="方正黑体_GBK"/>
          <w:color w:val="auto"/>
        </w:rPr>
        <w:t>第6章  效益分析</w:t>
      </w:r>
      <w:bookmarkEnd w:id="196"/>
      <w:bookmarkEnd w:id="197"/>
      <w:bookmarkEnd w:id="198"/>
    </w:p>
    <w:p>
      <w:pPr>
        <w:widowControl w:val="0"/>
        <w:spacing w:line="264" w:lineRule="auto"/>
        <w:ind w:firstLine="640"/>
        <w:rPr>
          <w:rFonts w:hint="eastAsia" w:ascii="方正楷体_GBK" w:hAnsi="方正楷体_GBK" w:eastAsia="方正楷体_GBK" w:cs="方正楷体_GBK"/>
          <w:color w:val="auto"/>
        </w:rPr>
      </w:pPr>
      <w:bookmarkStart w:id="199" w:name="_Toc43911333"/>
      <w:bookmarkStart w:id="200" w:name="_Toc48318257"/>
      <w:bookmarkStart w:id="201" w:name="_Toc45198271"/>
      <w:r>
        <w:rPr>
          <w:rFonts w:hint="eastAsia" w:ascii="方正楷体_GBK" w:hAnsi="方正楷体_GBK" w:eastAsia="方正楷体_GBK" w:cs="方正楷体_GBK"/>
          <w:color w:val="auto"/>
        </w:rPr>
        <w:t>6.1  经济效益</w:t>
      </w:r>
      <w:bookmarkEnd w:id="199"/>
      <w:bookmarkEnd w:id="200"/>
      <w:bookmarkEnd w:id="201"/>
    </w:p>
    <w:p>
      <w:pPr>
        <w:widowControl w:val="0"/>
        <w:spacing w:line="264" w:lineRule="auto"/>
        <w:ind w:firstLine="640"/>
        <w:rPr>
          <w:rFonts w:hint="eastAsia"/>
          <w:color w:val="auto"/>
        </w:rPr>
      </w:pPr>
      <w:r>
        <w:rPr>
          <w:rFonts w:hint="eastAsia"/>
          <w:color w:val="auto"/>
        </w:rPr>
        <w:t>农村生活污水的有效处理，是保证经济高质量发展、改善农村生态环境质量，保障人民健康重要条件之一。由于污水处理设施属于环境治理基础设施，投资较大，从直接经济效益上看，建设污水处理设施的直接投资效益并不显著，尤其是作为没有建立收费机制的农村污水治理。但从广义上看，其投资的间接经济效果是显著的，它主要通过减少污水对社会造成的经济损失而表现出来，其表现形式如下：</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（1）避免供水设施因水污染而提前报废或增加投资及运行费用。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（2）可避免因水污染而造成农产品产量、质量下降。</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可避免因水污染而造成居民健康水平下降，医疗保健费用增加。根据国内资料统计，排水系统及污水处理设施的建设，每投资1元可减少水污染所造成的健康损失、地价损失、经济发展损失等达3.72元，即每投资1元的间接经济效益为3.72元，由此可见，进行污水治理经济效益是明显的。</w:t>
      </w:r>
    </w:p>
    <w:p>
      <w:pPr>
        <w:widowControl w:val="0"/>
        <w:spacing w:line="264" w:lineRule="auto"/>
        <w:ind w:firstLine="640"/>
        <w:rPr>
          <w:rFonts w:hint="eastAsia" w:ascii="方正楷体_GBK" w:hAnsi="方正楷体_GBK" w:eastAsia="方正楷体_GBK" w:cs="方正楷体_GBK"/>
          <w:color w:val="auto"/>
        </w:rPr>
      </w:pPr>
      <w:bookmarkStart w:id="202" w:name="_Toc43911334"/>
      <w:bookmarkStart w:id="203" w:name="_Toc48318258"/>
      <w:bookmarkStart w:id="204" w:name="_Toc45198272"/>
      <w:r>
        <w:rPr>
          <w:rFonts w:hint="eastAsia" w:ascii="方正楷体_GBK" w:hAnsi="方正楷体_GBK" w:eastAsia="方正楷体_GBK" w:cs="方正楷体_GBK"/>
          <w:color w:val="auto"/>
        </w:rPr>
        <w:t>6.2  社会效益</w:t>
      </w:r>
      <w:bookmarkEnd w:id="202"/>
      <w:bookmarkEnd w:id="203"/>
      <w:bookmarkEnd w:id="204"/>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农村生活污水处理对于全面实施乡村振兴战略、改善农村人居环境，改善农村水环境质量具有重要作用，社会效益十分显著。</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（1）有利于促进社会经济持续发展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可大大减少农村点源污染，有助于实现污染物总量控制目标，促进节能减排，为经济社会可持续发展提供更多的环境承载能力和环境容量空间。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（2）有利于改善环境民生，提高生活品质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规划实施将极大改善永川区农村水环境质量，完善城乡污水处理基础设施，减少因水污染引起的各类健康问题和环境卫生问题，进一步改善城乡水环境面貌，提高村民生活品质。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（3）有利于加快城乡一体化，促进社会和谐发展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规划实施将大大提高永川区城乡环保一体化水平，有利于推进新型城镇化发展和乡村振兴战略，对维护社会稳定和构建和谐社会具有重要作用。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（4）有利于提高全社会环保意识，树立生态文明理念</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本规划的实施需要各级政府、村集体、广大村民的共同参与，实施过程就是一次生动的、深刻的环保宣传课，通过规划实施，将使广大农村居民和镇村基层部门体会到环境保护的重要性和必要性，提高全社会环保责任意识，从而加快形成符合生态文明理念的生产生活方式和消费模式。</w:t>
      </w:r>
    </w:p>
    <w:p>
      <w:pPr>
        <w:widowControl w:val="0"/>
        <w:spacing w:line="264" w:lineRule="auto"/>
        <w:ind w:firstLine="640"/>
        <w:rPr>
          <w:rFonts w:hint="eastAsia" w:ascii="方正楷体_GBK" w:hAnsi="方正楷体_GBK" w:eastAsia="方正楷体_GBK" w:cs="方正楷体_GBK"/>
          <w:color w:val="auto"/>
        </w:rPr>
      </w:pPr>
      <w:bookmarkStart w:id="205" w:name="_Toc45198273"/>
      <w:bookmarkStart w:id="206" w:name="_Toc48318259"/>
      <w:bookmarkStart w:id="207" w:name="_Toc43911335"/>
      <w:r>
        <w:rPr>
          <w:rFonts w:hint="eastAsia" w:ascii="方正楷体_GBK" w:hAnsi="方正楷体_GBK" w:eastAsia="方正楷体_GBK" w:cs="方正楷体_GBK"/>
          <w:color w:val="auto"/>
        </w:rPr>
        <w:t>6.3  环境效益</w:t>
      </w:r>
      <w:bookmarkEnd w:id="205"/>
      <w:bookmarkEnd w:id="206"/>
      <w:bookmarkEnd w:id="207"/>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处理的最直接效果就是环境条件的改善，通过对集中区、分散区即农家乐和民宿等区域生态环境的综合治理，可提高居民的生活环境质量。规划实施后，永川区农村生活污水将得到更加有效治理，污染物排放量将大幅减少，进一步改善农村水环境质量，保障饮用水源</w:t>
      </w:r>
      <w:sdt>
        <w:sdtPr>
          <w:rPr>
            <w:color w:val="auto"/>
          </w:rPr>
          <w:alias w:val="易错词检查"/>
          <w:id w:val="23302"/>
        </w:sdtPr>
        <w:sdtEndPr>
          <w:rPr>
            <w:color w:val="auto"/>
          </w:rPr>
        </w:sdtEndPr>
        <w:sdtContent>
          <w:bookmarkStart w:id="208" w:name="bkReivew23302"/>
          <w:r>
            <w:rPr>
              <w:rFonts w:hint="eastAsia" w:ascii="方正仿宋_GBK" w:hAnsi="方正仿宋_GBK" w:cs="方正仿宋_GBK"/>
              <w:color w:val="auto"/>
            </w:rPr>
            <w:t>的</w:t>
          </w:r>
          <w:bookmarkEnd w:id="208"/>
        </w:sdtContent>
      </w:sdt>
      <w:r>
        <w:rPr>
          <w:rFonts w:hint="eastAsia" w:ascii="方正仿宋_GBK" w:hAnsi="方正仿宋_GBK" w:cs="方正仿宋_GBK"/>
          <w:color w:val="auto"/>
        </w:rPr>
        <w:t>水质安全。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经初步测算，规划实施后，全区主要污染物排放削减量为：COD7201.38t/a、氨氮1209.88t/a、总氮1512.29t/a、总磷535.98t/a。</w:t>
      </w:r>
      <w:bookmarkStart w:id="209" w:name="_Toc48318260"/>
    </w:p>
    <w:p>
      <w:pPr>
        <w:widowControl w:val="0"/>
        <w:spacing w:line="264" w:lineRule="auto"/>
        <w:ind w:firstLine="0" w:firstLineChars="0"/>
        <w:rPr>
          <w:rFonts w:hint="eastAsia" w:ascii="方正仿宋_GBK" w:hAnsi="方正仿宋_GBK" w:cs="方正仿宋_GBK"/>
          <w:color w:val="auto"/>
        </w:rPr>
      </w:pPr>
    </w:p>
    <w:p>
      <w:pPr>
        <w:widowControl w:val="0"/>
        <w:spacing w:line="264" w:lineRule="auto"/>
        <w:ind w:firstLine="0" w:firstLineChars="0"/>
        <w:jc w:val="center"/>
        <w:rPr>
          <w:rFonts w:hint="eastAsia" w:ascii="方正黑体_GBK" w:hAnsi="方正黑体_GBK" w:eastAsia="方正黑体_GBK" w:cs="方正黑体_GBK"/>
          <w:color w:val="auto"/>
        </w:rPr>
      </w:pPr>
      <w:r>
        <w:rPr>
          <w:rFonts w:hint="eastAsia" w:ascii="方正黑体_GBK" w:hAnsi="方正黑体_GBK" w:eastAsia="方正黑体_GBK" w:cs="方正黑体_GBK"/>
          <w:color w:val="auto"/>
        </w:rPr>
        <w:t>第7章  规划目标达成分析</w:t>
      </w:r>
      <w:bookmarkEnd w:id="209"/>
    </w:p>
    <w:p>
      <w:pPr>
        <w:widowControl w:val="0"/>
        <w:spacing w:line="264" w:lineRule="auto"/>
        <w:ind w:firstLine="640"/>
        <w:rPr>
          <w:rFonts w:hint="eastAsia" w:ascii="方正楷体_GBK" w:hAnsi="方正楷体_GBK" w:eastAsia="方正楷体_GBK" w:cs="方正楷体_GBK"/>
          <w:color w:val="auto"/>
        </w:rPr>
      </w:pPr>
      <w:bookmarkStart w:id="210" w:name="_Toc48318261"/>
      <w:r>
        <w:rPr>
          <w:rFonts w:hint="eastAsia" w:ascii="方正楷体_GBK" w:hAnsi="方正楷体_GBK" w:eastAsia="方正楷体_GBK" w:cs="方正楷体_GBK"/>
          <w:color w:val="auto"/>
        </w:rPr>
        <w:t>7.1  农村生活污水得到治理的农户覆盖率</w:t>
      </w:r>
      <w:bookmarkEnd w:id="210"/>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通过在集中居住区域新建污水处理设施、完善污水收集管网，在分散区域新建卫生厕所，至2025年农村生活污水得到治理的农户覆盖率为81.65%。</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7.1-1  永川区农村生活污水得到治理农户规划汇总表</w:t>
      </w:r>
    </w:p>
    <w:tbl>
      <w:tblPr>
        <w:tblStyle w:val="25"/>
        <w:tblW w:w="0" w:type="auto"/>
        <w:jc w:val="center"/>
        <w:tblLayout w:type="fixed"/>
        <w:tblCellMar>
          <w:top w:w="0" w:type="dxa"/>
          <w:left w:w="108" w:type="dxa"/>
          <w:bottom w:w="0" w:type="dxa"/>
          <w:right w:w="108" w:type="dxa"/>
        </w:tblCellMar>
      </w:tblPr>
      <w:tblGrid>
        <w:gridCol w:w="1497"/>
        <w:gridCol w:w="1296"/>
        <w:gridCol w:w="1220"/>
        <w:gridCol w:w="1218"/>
        <w:gridCol w:w="1822"/>
        <w:gridCol w:w="2008"/>
      </w:tblGrid>
      <w:tr>
        <w:tblPrEx>
          <w:tblCellMar>
            <w:top w:w="0" w:type="dxa"/>
            <w:left w:w="108" w:type="dxa"/>
            <w:bottom w:w="0" w:type="dxa"/>
            <w:right w:w="108" w:type="dxa"/>
          </w:tblCellMar>
        </w:tblPrEx>
        <w:trPr>
          <w:trHeight w:val="570" w:hRule="atLeast"/>
          <w:jc w:val="center"/>
        </w:trPr>
        <w:tc>
          <w:tcPr>
            <w:tcW w:w="1497"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bookmarkStart w:id="211" w:name="_Toc45436328"/>
            <w:r>
              <w:rPr>
                <w:rFonts w:hint="eastAsia" w:ascii="方正黑体_GBK" w:hAnsi="方正黑体_GBK" w:eastAsia="方正黑体_GBK" w:cs="方正黑体_GBK"/>
                <w:color w:val="auto"/>
                <w:sz w:val="21"/>
                <w:szCs w:val="21"/>
              </w:rPr>
              <w:t>规划阶段</w:t>
            </w:r>
          </w:p>
        </w:tc>
        <w:tc>
          <w:tcPr>
            <w:tcW w:w="1296"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（户）</w:t>
            </w:r>
          </w:p>
        </w:tc>
        <w:tc>
          <w:tcPr>
            <w:tcW w:w="1220"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纳管区域（户）</w:t>
            </w:r>
          </w:p>
        </w:tc>
        <w:tc>
          <w:tcPr>
            <w:tcW w:w="1218"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集中处理区（户）</w:t>
            </w:r>
          </w:p>
        </w:tc>
        <w:tc>
          <w:tcPr>
            <w:tcW w:w="1822"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分散区域污水排放得到管控（户）</w:t>
            </w:r>
          </w:p>
        </w:tc>
        <w:tc>
          <w:tcPr>
            <w:tcW w:w="2008"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污水得到治理的农户覆盖率（%）</w:t>
            </w:r>
          </w:p>
        </w:tc>
      </w:tr>
      <w:tr>
        <w:tblPrEx>
          <w:tblCellMar>
            <w:top w:w="0" w:type="dxa"/>
            <w:left w:w="108" w:type="dxa"/>
            <w:bottom w:w="0" w:type="dxa"/>
            <w:right w:w="108" w:type="dxa"/>
          </w:tblCellMar>
        </w:tblPrEx>
        <w:trPr>
          <w:trHeight w:val="360" w:hRule="atLeast"/>
          <w:jc w:val="center"/>
        </w:trPr>
        <w:tc>
          <w:tcPr>
            <w:tcW w:w="1497"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2020年现状</w:t>
            </w:r>
          </w:p>
        </w:tc>
        <w:tc>
          <w:tcPr>
            <w:tcW w:w="1296"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273237</w:t>
            </w:r>
          </w:p>
        </w:tc>
        <w:tc>
          <w:tcPr>
            <w:tcW w:w="1220"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30503</w:t>
            </w:r>
          </w:p>
        </w:tc>
        <w:tc>
          <w:tcPr>
            <w:tcW w:w="121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16149</w:t>
            </w:r>
          </w:p>
        </w:tc>
        <w:tc>
          <w:tcPr>
            <w:tcW w:w="18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80832</w:t>
            </w:r>
          </w:p>
        </w:tc>
        <w:tc>
          <w:tcPr>
            <w:tcW w:w="200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41.84</w:t>
            </w:r>
          </w:p>
        </w:tc>
      </w:tr>
      <w:tr>
        <w:tblPrEx>
          <w:tblCellMar>
            <w:top w:w="0" w:type="dxa"/>
            <w:left w:w="108" w:type="dxa"/>
            <w:bottom w:w="0" w:type="dxa"/>
            <w:right w:w="108" w:type="dxa"/>
          </w:tblCellMar>
        </w:tblPrEx>
        <w:trPr>
          <w:trHeight w:val="360" w:hRule="atLeast"/>
          <w:jc w:val="center"/>
        </w:trPr>
        <w:tc>
          <w:tcPr>
            <w:tcW w:w="1497"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5年新增数</w:t>
            </w:r>
          </w:p>
        </w:tc>
        <w:tc>
          <w:tcPr>
            <w:tcW w:w="1296"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-143117</w:t>
            </w:r>
          </w:p>
        </w:tc>
        <w:tc>
          <w:tcPr>
            <w:tcW w:w="1220"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8914</w:t>
            </w:r>
          </w:p>
        </w:tc>
        <w:tc>
          <w:tcPr>
            <w:tcW w:w="121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385</w:t>
            </w:r>
          </w:p>
        </w:tc>
        <w:tc>
          <w:tcPr>
            <w:tcW w:w="18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42499</w:t>
            </w:r>
          </w:p>
        </w:tc>
        <w:tc>
          <w:tcPr>
            <w:tcW w:w="200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39.81</w:t>
            </w:r>
          </w:p>
        </w:tc>
      </w:tr>
      <w:tr>
        <w:tblPrEx>
          <w:tblCellMar>
            <w:top w:w="0" w:type="dxa"/>
            <w:left w:w="108" w:type="dxa"/>
            <w:bottom w:w="0" w:type="dxa"/>
            <w:right w:w="108" w:type="dxa"/>
          </w:tblCellMar>
        </w:tblPrEx>
        <w:trPr>
          <w:trHeight w:val="360" w:hRule="atLeast"/>
          <w:jc w:val="center"/>
        </w:trPr>
        <w:tc>
          <w:tcPr>
            <w:tcW w:w="1497"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到2025年</w:t>
            </w:r>
          </w:p>
        </w:tc>
        <w:tc>
          <w:tcPr>
            <w:tcW w:w="1296"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130120</w:t>
            </w:r>
          </w:p>
        </w:tc>
        <w:tc>
          <w:tcPr>
            <w:tcW w:w="1220"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39417</w:t>
            </w:r>
          </w:p>
        </w:tc>
        <w:tc>
          <w:tcPr>
            <w:tcW w:w="121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16534</w:t>
            </w:r>
          </w:p>
        </w:tc>
        <w:tc>
          <w:tcPr>
            <w:tcW w:w="1822"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123331</w:t>
            </w:r>
          </w:p>
        </w:tc>
        <w:tc>
          <w:tcPr>
            <w:tcW w:w="200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81.65</w:t>
            </w:r>
          </w:p>
        </w:tc>
      </w:tr>
    </w:tbl>
    <w:p>
      <w:pPr>
        <w:widowControl w:val="0"/>
        <w:spacing w:line="264" w:lineRule="auto"/>
        <w:ind w:firstLine="640"/>
        <w:rPr>
          <w:rFonts w:hint="eastAsia" w:ascii="方正楷体_GBK" w:hAnsi="方正楷体_GBK" w:eastAsia="方正楷体_GBK" w:cs="方正楷体_GBK"/>
          <w:color w:val="auto"/>
        </w:rPr>
      </w:pPr>
      <w:bookmarkStart w:id="212" w:name="_Toc48318262"/>
      <w:r>
        <w:rPr>
          <w:rFonts w:hint="eastAsia" w:ascii="方正楷体_GBK" w:hAnsi="方正楷体_GBK" w:eastAsia="方正楷体_GBK" w:cs="方正楷体_GBK"/>
          <w:color w:val="auto"/>
        </w:rPr>
        <w:t>7.2  农村生活污水治理率</w:t>
      </w:r>
      <w:bookmarkEnd w:id="211"/>
      <w:bookmarkEnd w:id="212"/>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通过在集中居住区域新建污水处理设施、完善污水收集管网，在分散区域新建卫生厕所，至2025年农村生活污水治理率为52.16%。</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bookmarkStart w:id="213" w:name="_Toc48318263"/>
      <w:r>
        <w:rPr>
          <w:rFonts w:hint="eastAsia" w:ascii="方正楷体_GBK" w:hAnsi="方正楷体_GBK" w:eastAsia="方正楷体_GBK" w:cs="方正楷体_GBK"/>
          <w:color w:val="auto"/>
          <w:sz w:val="28"/>
          <w:szCs w:val="28"/>
        </w:rPr>
        <w:t>7.1-2  永川区农村生活污水治理规划汇总表</w:t>
      </w:r>
      <w:bookmarkEnd w:id="213"/>
    </w:p>
    <w:tbl>
      <w:tblPr>
        <w:tblStyle w:val="25"/>
        <w:tblW w:w="0" w:type="auto"/>
        <w:jc w:val="center"/>
        <w:tblLayout w:type="fixed"/>
        <w:tblCellMar>
          <w:top w:w="0" w:type="dxa"/>
          <w:left w:w="108" w:type="dxa"/>
          <w:bottom w:w="0" w:type="dxa"/>
          <w:right w:w="108" w:type="dxa"/>
        </w:tblCellMar>
      </w:tblPr>
      <w:tblGrid>
        <w:gridCol w:w="1528"/>
        <w:gridCol w:w="1180"/>
        <w:gridCol w:w="1478"/>
        <w:gridCol w:w="1633"/>
        <w:gridCol w:w="1871"/>
        <w:gridCol w:w="1371"/>
      </w:tblGrid>
      <w:tr>
        <w:tblPrEx>
          <w:tblCellMar>
            <w:top w:w="0" w:type="dxa"/>
            <w:left w:w="108" w:type="dxa"/>
            <w:bottom w:w="0" w:type="dxa"/>
            <w:right w:w="108" w:type="dxa"/>
          </w:tblCellMar>
        </w:tblPrEx>
        <w:trPr>
          <w:trHeight w:val="90" w:hRule="atLeast"/>
          <w:jc w:val="center"/>
        </w:trPr>
        <w:tc>
          <w:tcPr>
            <w:tcW w:w="152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bookmarkStart w:id="214" w:name="_Toc45198274"/>
            <w:bookmarkStart w:id="215" w:name="_Toc43223623"/>
            <w:r>
              <w:rPr>
                <w:rFonts w:hint="eastAsia" w:ascii="方正黑体_GBK" w:hAnsi="方正黑体_GBK" w:eastAsia="方正黑体_GBK" w:cs="方正黑体_GBK"/>
                <w:color w:val="auto"/>
                <w:sz w:val="21"/>
                <w:szCs w:val="21"/>
              </w:rPr>
              <w:t>规划阶段</w:t>
            </w:r>
          </w:p>
        </w:tc>
        <w:tc>
          <w:tcPr>
            <w:tcW w:w="1180"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常住（人）</w:t>
            </w:r>
          </w:p>
        </w:tc>
        <w:tc>
          <w:tcPr>
            <w:tcW w:w="1478"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纳管区域</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得到处理（人）</w:t>
            </w:r>
          </w:p>
        </w:tc>
        <w:tc>
          <w:tcPr>
            <w:tcW w:w="1633"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集中处理区域</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得到处理（人）</w:t>
            </w:r>
          </w:p>
        </w:tc>
        <w:tc>
          <w:tcPr>
            <w:tcW w:w="1871"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分散区域污水</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得到处置（人）</w:t>
            </w:r>
          </w:p>
        </w:tc>
        <w:tc>
          <w:tcPr>
            <w:tcW w:w="1371" w:type="dxa"/>
            <w:tcBorders>
              <w:top w:val="single" w:color="auto" w:sz="4" w:space="0"/>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农村生活</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污水治理率</w:t>
            </w:r>
          </w:p>
        </w:tc>
      </w:tr>
      <w:tr>
        <w:tblPrEx>
          <w:tblCellMar>
            <w:top w:w="0" w:type="dxa"/>
            <w:left w:w="108" w:type="dxa"/>
            <w:bottom w:w="0" w:type="dxa"/>
            <w:right w:w="108" w:type="dxa"/>
          </w:tblCellMar>
        </w:tblPrEx>
        <w:trPr>
          <w:trHeight w:val="360" w:hRule="atLeast"/>
          <w:jc w:val="center"/>
        </w:trPr>
        <w:tc>
          <w:tcPr>
            <w:tcW w:w="152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2020年现状</w:t>
            </w:r>
          </w:p>
        </w:tc>
        <w:tc>
          <w:tcPr>
            <w:tcW w:w="1180"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734960</w:t>
            </w:r>
          </w:p>
        </w:tc>
        <w:tc>
          <w:tcPr>
            <w:tcW w:w="147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82048</w:t>
            </w:r>
          </w:p>
        </w:tc>
        <w:tc>
          <w:tcPr>
            <w:tcW w:w="1633"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43438</w:t>
            </w:r>
          </w:p>
        </w:tc>
        <w:tc>
          <w:tcPr>
            <w:tcW w:w="18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217424</w:t>
            </w:r>
          </w:p>
        </w:tc>
        <w:tc>
          <w:tcPr>
            <w:tcW w:w="13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25.93</w:t>
            </w:r>
          </w:p>
        </w:tc>
      </w:tr>
      <w:tr>
        <w:tblPrEx>
          <w:tblCellMar>
            <w:top w:w="0" w:type="dxa"/>
            <w:left w:w="108" w:type="dxa"/>
            <w:bottom w:w="0" w:type="dxa"/>
            <w:right w:w="108" w:type="dxa"/>
          </w:tblCellMar>
        </w:tblPrEx>
        <w:trPr>
          <w:trHeight w:val="360" w:hRule="atLeast"/>
          <w:jc w:val="center"/>
        </w:trPr>
        <w:tc>
          <w:tcPr>
            <w:tcW w:w="152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5年新增数</w:t>
            </w:r>
          </w:p>
        </w:tc>
        <w:tc>
          <w:tcPr>
            <w:tcW w:w="1180"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-384960</w:t>
            </w:r>
          </w:p>
        </w:tc>
        <w:tc>
          <w:tcPr>
            <w:tcW w:w="147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22955</w:t>
            </w:r>
          </w:p>
        </w:tc>
        <w:tc>
          <w:tcPr>
            <w:tcW w:w="1633"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1133</w:t>
            </w:r>
          </w:p>
        </w:tc>
        <w:tc>
          <w:tcPr>
            <w:tcW w:w="18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90664</w:t>
            </w:r>
          </w:p>
        </w:tc>
        <w:tc>
          <w:tcPr>
            <w:tcW w:w="13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26.23</w:t>
            </w:r>
          </w:p>
        </w:tc>
      </w:tr>
      <w:tr>
        <w:tblPrEx>
          <w:tblCellMar>
            <w:top w:w="0" w:type="dxa"/>
            <w:left w:w="108" w:type="dxa"/>
            <w:bottom w:w="0" w:type="dxa"/>
            <w:right w:w="108" w:type="dxa"/>
          </w:tblCellMar>
        </w:tblPrEx>
        <w:trPr>
          <w:trHeight w:val="360" w:hRule="atLeast"/>
          <w:jc w:val="center"/>
        </w:trPr>
        <w:tc>
          <w:tcPr>
            <w:tcW w:w="1528" w:type="dxa"/>
            <w:tcBorders>
              <w:top w:val="nil"/>
              <w:left w:val="single" w:color="auto" w:sz="4" w:space="0"/>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到2025年</w:t>
            </w:r>
          </w:p>
        </w:tc>
        <w:tc>
          <w:tcPr>
            <w:tcW w:w="1180"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350000</w:t>
            </w:r>
          </w:p>
        </w:tc>
        <w:tc>
          <w:tcPr>
            <w:tcW w:w="1478"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105003</w:t>
            </w:r>
          </w:p>
        </w:tc>
        <w:tc>
          <w:tcPr>
            <w:tcW w:w="1633"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44571</w:t>
            </w:r>
          </w:p>
        </w:tc>
        <w:tc>
          <w:tcPr>
            <w:tcW w:w="18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308088</w:t>
            </w:r>
          </w:p>
        </w:tc>
        <w:tc>
          <w:tcPr>
            <w:tcW w:w="1371" w:type="dxa"/>
            <w:tcBorders>
              <w:top w:val="nil"/>
              <w:left w:val="nil"/>
              <w:bottom w:val="single" w:color="auto" w:sz="4" w:space="0"/>
              <w:right w:val="single" w:color="auto" w:sz="4" w:space="0"/>
            </w:tcBorders>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52.16</w:t>
            </w:r>
          </w:p>
        </w:tc>
      </w:tr>
    </w:tbl>
    <w:p>
      <w:pPr>
        <w:widowControl w:val="0"/>
        <w:spacing w:line="240" w:lineRule="auto"/>
        <w:ind w:firstLine="0" w:firstLineChars="0"/>
        <w:rPr>
          <w:rFonts w:hint="eastAsia" w:ascii="方正黑体_GBK" w:hAnsi="方正黑体_GBK" w:eastAsia="方正黑体_GBK" w:cs="方正黑体_GBK"/>
          <w:color w:val="auto"/>
        </w:rPr>
      </w:pPr>
      <w:bookmarkStart w:id="216" w:name="_Toc48318264"/>
    </w:p>
    <w:p>
      <w:pPr>
        <w:widowControl w:val="0"/>
        <w:ind w:firstLine="0" w:firstLineChars="0"/>
        <w:jc w:val="center"/>
        <w:rPr>
          <w:rFonts w:hint="eastAsia" w:ascii="方正黑体_GBK" w:hAnsi="方正黑体_GBK" w:eastAsia="方正黑体_GBK" w:cs="方正黑体_GBK"/>
          <w:color w:val="auto"/>
        </w:rPr>
      </w:pPr>
      <w:r>
        <w:rPr>
          <w:rFonts w:hint="eastAsia" w:ascii="方正黑体_GBK" w:hAnsi="方正黑体_GBK" w:eastAsia="方正黑体_GBK" w:cs="方正黑体_GBK"/>
          <w:color w:val="auto"/>
        </w:rPr>
        <w:t>第8章  总结及建议</w:t>
      </w:r>
      <w:bookmarkEnd w:id="214"/>
      <w:bookmarkEnd w:id="215"/>
      <w:bookmarkEnd w:id="216"/>
    </w:p>
    <w:p>
      <w:pPr>
        <w:widowControl w:val="0"/>
        <w:ind w:firstLine="640"/>
        <w:rPr>
          <w:rFonts w:hint="eastAsia" w:ascii="方正楷体_GBK" w:hAnsi="方正楷体_GBK" w:eastAsia="方正楷体_GBK" w:cs="方正楷体_GBK"/>
          <w:color w:val="auto"/>
        </w:rPr>
      </w:pPr>
      <w:bookmarkStart w:id="217" w:name="_Toc48318265"/>
      <w:bookmarkStart w:id="218" w:name="_Toc45198275"/>
      <w:bookmarkStart w:id="219" w:name="_Toc43223624"/>
      <w:r>
        <w:rPr>
          <w:rFonts w:hint="eastAsia" w:ascii="方正楷体_GBK" w:hAnsi="方正楷体_GBK" w:eastAsia="方正楷体_GBK" w:cs="方正楷体_GBK"/>
          <w:color w:val="auto"/>
        </w:rPr>
        <w:t>8.1  总结</w:t>
      </w:r>
      <w:bookmarkEnd w:id="217"/>
      <w:bookmarkEnd w:id="218"/>
      <w:bookmarkEnd w:id="219"/>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（1）到2025年，农村生活污水得到治理的农户覆盖率达到81.65%；农村生活污水治理率达到52.16%。分别比现在提高39.81%和26.23%。</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（2）规划措施实施后，全区主要污染物排放削减量为：COD7201.38t/a、氨氮1209.88t/a、总氮1512.29t/a、总磷535.98t/a。</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（3）本规划总投资15972.02万元。优先区域总投资12707.87万元，一般区域总投资3264.15万元，分别占总投资的79.56%、20.44%。</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2021年总投资3113.67万元，占总投资的19.49%。拟完成任务主要为集中区谭家坝村和解放村建设1座集中污水处理设施；完善9座已建污水处理厂（站）的截污管网建设，共计57.5km；新建5369座卫生厕所；完善20家农家乐及民宿的生活污水整治工程。</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2022年总投资3222.05万元，占总投资的20.17%。完善16座已建污水处理厂（站）的截污管网建设，共计13.7km；新建5009座卫生厕所。</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2023年总投资3687.60万元，占总投资的23.09%。分散区新建卫生厕所12292座。</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2024年总投资3375.90万元，占总投资的21.14%。分散区新建修建卫生厕所11253座</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2025年总投资2572.80万元，占总投资的16.11%。新建卫生厕所8576座。</w:t>
      </w:r>
    </w:p>
    <w:p>
      <w:pPr>
        <w:widowControl w:val="0"/>
        <w:ind w:firstLine="640"/>
        <w:rPr>
          <w:rFonts w:hint="eastAsia" w:ascii="方正楷体_GBK" w:hAnsi="方正楷体_GBK" w:eastAsia="方正楷体_GBK" w:cs="方正楷体_GBK"/>
          <w:color w:val="auto"/>
        </w:rPr>
      </w:pPr>
      <w:bookmarkStart w:id="220" w:name="_Toc43223625"/>
      <w:bookmarkStart w:id="221" w:name="_Toc48318266"/>
      <w:bookmarkStart w:id="222" w:name="_Toc45198276"/>
      <w:r>
        <w:rPr>
          <w:rFonts w:hint="eastAsia" w:ascii="方正楷体_GBK" w:hAnsi="方正楷体_GBK" w:eastAsia="方正楷体_GBK" w:cs="方正楷体_GBK"/>
          <w:color w:val="auto"/>
        </w:rPr>
        <w:t>8.2  建议</w:t>
      </w:r>
      <w:bookmarkEnd w:id="220"/>
      <w:bookmarkEnd w:id="221"/>
      <w:bookmarkEnd w:id="222"/>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（1）尽快对规划建设项目进行可行性研究，促进项目的实施建设，对已落实的项目加强管理，保障其按期完工，确保工程质量。</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（2）应当充分重视管网建设项目和污水处理厂建设项目，切实遵循“管网配套”的原则；</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（3）需加强污水处理厂的建设监管和运行维护，通过制度创新保障其顺利运转和出水达标排放；</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（4）项目总投资数额较大，应加大资金争取力度，有效整合各类资金，扩大资金筹措渠道。</w:t>
      </w:r>
    </w:p>
    <w:p>
      <w:pPr>
        <w:widowControl w:val="0"/>
        <w:adjustRightInd/>
        <w:ind w:firstLine="0" w:firstLineChars="0"/>
        <w:jc w:val="center"/>
        <w:rPr>
          <w:rFonts w:hint="eastAsia" w:ascii="方正黑体_GBK" w:hAnsi="方正黑体_GBK" w:eastAsia="方正黑体_GBK" w:cs="方正黑体_GBK"/>
          <w:bCs/>
          <w:color w:val="auto"/>
          <w:sz w:val="36"/>
          <w:szCs w:val="36"/>
        </w:rPr>
      </w:pPr>
      <w:r>
        <w:rPr>
          <w:color w:val="auto"/>
          <w:sz w:val="24"/>
          <w:szCs w:val="24"/>
        </w:rPr>
        <w:br w:type="page"/>
      </w:r>
      <w:r>
        <w:rPr>
          <w:rFonts w:hint="eastAsia" w:ascii="方正黑体_GBK" w:hAnsi="方正黑体_GBK" w:eastAsia="方正黑体_GBK" w:cs="方正黑体_GBK"/>
          <w:bCs/>
          <w:color w:val="auto"/>
          <w:sz w:val="36"/>
          <w:szCs w:val="36"/>
        </w:rPr>
        <w:t>第二部分：说明书</w:t>
      </w:r>
    </w:p>
    <w:p>
      <w:pPr>
        <w:widowControl w:val="0"/>
        <w:adjustRightInd/>
        <w:spacing w:line="240" w:lineRule="auto"/>
        <w:ind w:firstLine="0" w:firstLineChars="0"/>
        <w:rPr>
          <w:rFonts w:hint="eastAsia" w:ascii="方正仿宋_GBK" w:hAnsi="方正仿宋_GBK" w:cs="方正仿宋_GBK"/>
          <w:bCs/>
          <w:color w:val="auto"/>
          <w:sz w:val="30"/>
          <w:szCs w:val="30"/>
        </w:rPr>
      </w:pPr>
    </w:p>
    <w:p>
      <w:pPr>
        <w:widowControl w:val="0"/>
        <w:ind w:firstLine="0" w:firstLineChars="0"/>
        <w:jc w:val="center"/>
        <w:rPr>
          <w:rFonts w:hint="eastAsia" w:ascii="方正黑体_GBK" w:hAnsi="方正黑体_GBK" w:eastAsia="方正黑体_GBK" w:cs="方正黑体_GBK"/>
          <w:color w:val="auto"/>
        </w:rPr>
      </w:pPr>
      <w:bookmarkStart w:id="223" w:name="_Toc48318267"/>
      <w:bookmarkStart w:id="224" w:name="_Toc45199262"/>
      <w:r>
        <w:rPr>
          <w:rFonts w:hint="eastAsia" w:ascii="方正黑体_GBK" w:hAnsi="方正黑体_GBK" w:eastAsia="方正黑体_GBK" w:cs="方正黑体_GBK"/>
          <w:color w:val="auto"/>
        </w:rPr>
        <w:t>第1章  总  则</w:t>
      </w:r>
      <w:bookmarkEnd w:id="223"/>
      <w:bookmarkEnd w:id="224"/>
    </w:p>
    <w:p>
      <w:pPr>
        <w:widowControl w:val="0"/>
        <w:ind w:firstLine="640"/>
        <w:rPr>
          <w:rFonts w:hint="eastAsia" w:ascii="方正楷体_GBK" w:hAnsi="方正楷体_GBK" w:eastAsia="方正楷体_GBK" w:cs="方正楷体_GBK"/>
          <w:color w:val="auto"/>
        </w:rPr>
      </w:pPr>
      <w:bookmarkStart w:id="225" w:name="_Toc48318268"/>
      <w:bookmarkStart w:id="226" w:name="_Toc45199263"/>
      <w:r>
        <w:rPr>
          <w:rFonts w:hint="eastAsia" w:ascii="方正楷体_GBK" w:hAnsi="方正楷体_GBK" w:eastAsia="方正楷体_GBK" w:cs="方正楷体_GBK"/>
          <w:color w:val="auto"/>
        </w:rPr>
        <w:t>1.1  规划背景</w:t>
      </w:r>
      <w:bookmarkEnd w:id="225"/>
      <w:bookmarkEnd w:id="226"/>
    </w:p>
    <w:p>
      <w:pPr>
        <w:widowControl w:val="0"/>
        <w:ind w:firstLine="640"/>
        <w:rPr>
          <w:rFonts w:hint="eastAsia" w:ascii="方正仿宋_GBK" w:hAnsi="方正仿宋_GBK" w:cs="方正仿宋_GBK"/>
          <w:color w:val="auto"/>
        </w:rPr>
      </w:pPr>
      <w:bookmarkStart w:id="227" w:name="_Toc45199264"/>
      <w:bookmarkStart w:id="228" w:name="_Toc48318269"/>
      <w:r>
        <w:rPr>
          <w:rFonts w:hint="eastAsia" w:ascii="方正仿宋_GBK" w:hAnsi="方正仿宋_GBK" w:cs="方正仿宋_GBK"/>
          <w:color w:val="auto"/>
        </w:rPr>
        <w:t>1.1.1  国家层面</w:t>
      </w:r>
      <w:bookmarkEnd w:id="227"/>
      <w:bookmarkEnd w:id="228"/>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（1）党的十九大报告明确提出乡村振兴战略</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党的十九大明确提出加快农业农村发展是关系到全面实现小康的核心问题，必须始终把解决好“三农”问题作为全党工作重中之重。要坚持农业农村优先发展，按照产业兴旺、生态宜居、乡风文明、治理有效、生活富裕的总要求，建立健全城乡融合发展体制机制和政策体系，加快推进农业农村现代化。加强农村人居环境整治，实施农村生活污水治理是实现农村人居环境整治的重要抓手。</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（2）农村人居环境整治三年行动方案</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2018年2月，中共中央办公厅、国务院办公厅印发了《农村人居环境整治三年行动方案》，重点推进农村生活垃圾治理、厕所粪污治理、农村生活污水治理、提升村容村貌、加强村庄规划管理、完善建设和管护机制等六项重大任务。到2020年，实现农村人居环境明显改善，村庄环境基本干净整洁有序，村民环境与健康意识普遍增强。</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（3）全国改善农村人居环境工作会议明确指出改善农村人居环境是实施乡村振兴战略的重大任务</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2018年4月26日，全国改善农村人居环境工作会议指出：改善农村人居环境，是实施乡村振兴战略的重大任务，也是全面建成小康社会的基本要求。整合各种资源，强化政策措施，因地制宜，突出实效，扎实推进农村人居环境治理各项重点任务，通过持续努力，加快补齐突出短板，改善村容村貌，加强农村垃圾、生活污水治理，不断提升农村人居环境水平，为建设生态文明和美丽中国作出新贡献。</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（4）国家发展改革委关于《扎实推进农村人居环境整治行动的通知》（发改农经〔2018〕343号）文件对人居环境整治提出了要求</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该文件明确指出：以建设美丽宜居村庄为导向，以农村垃圾、污水治理和村容村貌提升为主攻方向，动员各方力量，整合各种资源，强化各项举措，加快补齐农村人居环境突出短板。中西部有较好基础、基本具备条件的地区，人居环境质量较大提升，力争实现90%左右的村庄生活垃圾得到治理，卫生厕所普及率达到85%左右，生活污水乱排乱放得到管控，村内道路通行条件明显改善。地处偏远、经济欠发达等地区，在优先保障农民基本生活条件基础上，实现人居环境干净整洁的基本要求。</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（5）生态环境部农业农村部印发了农业农村污染治理攻坚战行动计划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2018年11月6日，生态环境部、农业农村部印发农业农村污染治理攻坚战行动计划的通知，到2020年，实现“一保两治三减四提升”：“一保”，即保护农村饮用水水源，农村饮水安全更有保障；“两治”，即治理农村生活垃圾和污水，实现村庄环境干净整洁有序；“三减”，即减少化肥、农药使用量和农业用水总量；“四提升”，即提升主要由农业面源污染造成的超标水体水质、农业废弃物综合利用率、环境监管能力和农村居民参与度。</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梯次推进农村生活污水治理，开展协同治理，推动城镇污水处理设施和服务向农村延伸，加强改厕与农村生活污水治理的有效衔接，将农村水环境治理纳入河长制、湖长制管理。到2020年，东部地区、中西部城市近郊区的农村生活污水治理率明显提高；中西部有较好基础、基本具备条件的地区，生活污水乱排乱放得到管控。</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强化农业农村生态环境监管执法。创新监管手段，运用卫星遥感、大数据、APP等技术装备，充分利用乡村治安网格化管理平台，及时发现农业农村环境问题。鼓励公众监督，对农村地区生态破坏和环境污染事件进行举报。结合第二次全国污染源普查和相关部门已开展的污染源调查统计工作，建立农业农村生态环境管理信息平台。构建农业农村生态环境监测体系，结合现有环境监测网络和农村环境质量试点监测工作，加强对农村集中式饮用水水源、日处理能力20吨及以上的农村生活污水处理设施出水和畜禽规模养殖场排污口的水质监测。</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（6）生态环境部出台了全国区域农村生活污水治理专项规划编制指南（试行）</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2019年7月，生态环境部发布《全国区域农村生活污水治理专项规划编制指南（试行）》，全面指导区域农村生活污水治理专项规划编制，优先治理水源保护区、生态涵养区、风景名胜区等周边村庄，以及人口较为集中的重点村、中心村。重点治理污染严重及发展农家乐、民宿等乡村旅游的村庄。并提出了污水治理模式、工艺、目标、出水标准及污泥处置方式等，适用范围为全国所有区县农村地区。</w:t>
      </w:r>
    </w:p>
    <w:p>
      <w:pPr>
        <w:widowControl w:val="0"/>
        <w:ind w:firstLine="640"/>
        <w:rPr>
          <w:rFonts w:hint="eastAsia" w:ascii="方正仿宋_GBK" w:hAnsi="方正仿宋_GBK" w:cs="方正仿宋_GBK"/>
          <w:color w:val="auto"/>
        </w:rPr>
      </w:pPr>
      <w:bookmarkStart w:id="229" w:name="_Toc48318270"/>
      <w:bookmarkStart w:id="230" w:name="_Toc45199265"/>
      <w:r>
        <w:rPr>
          <w:rFonts w:hint="eastAsia" w:ascii="方正仿宋_GBK" w:hAnsi="方正仿宋_GBK" w:cs="方正仿宋_GBK"/>
          <w:color w:val="auto"/>
        </w:rPr>
        <w:t>1.1.2  重庆市层面</w:t>
      </w:r>
      <w:bookmarkEnd w:id="229"/>
      <w:bookmarkEnd w:id="230"/>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（1）出台了《2019年农村生活污水治理工作方案》</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重庆市生态环境局办公室、</w:t>
      </w:r>
      <w:sdt>
        <w:sdtPr>
          <w:rPr>
            <w:color w:val="auto"/>
          </w:rPr>
          <w:alias w:val="敏感词检查"/>
          <w:id w:val="1173226"/>
        </w:sdtPr>
        <w:sdtEndPr>
          <w:rPr>
            <w:color w:val="auto"/>
          </w:rPr>
        </w:sdtEndPr>
        <w:sdtContent>
          <w:bookmarkStart w:id="231" w:name="bkPolitics1173226"/>
          <w:r>
            <w:rPr>
              <w:rFonts w:hint="eastAsia" w:ascii="方正仿宋_GBK" w:hAnsi="方正仿宋_GBK" w:cs="方正仿宋_GBK"/>
              <w:color w:val="auto"/>
            </w:rPr>
            <w:t>农业农村委员会</w:t>
          </w:r>
          <w:bookmarkEnd w:id="231"/>
        </w:sdtContent>
      </w:sdt>
      <w:r>
        <w:rPr>
          <w:rFonts w:hint="eastAsia" w:ascii="方正仿宋_GBK" w:hAnsi="方正仿宋_GBK" w:cs="方正仿宋_GBK"/>
          <w:color w:val="auto"/>
        </w:rPr>
        <w:t>办公室于2019年6月印发了《2019年农村生活污水治理工作方案》，方案指出：以习近平新时代中国特色社会主义思想为指导，全面贯彻党的十九大和十九届二中、三中全会精神，全面贯彻习近平总书记对重庆提出“两点”定位、“两地”“</w:t>
      </w:r>
      <w:sdt>
        <w:sdtPr>
          <w:rPr>
            <w:color w:val="auto"/>
          </w:rPr>
          <w:alias w:val="敏感词检查"/>
          <w:id w:val="2824"/>
        </w:sdtPr>
        <w:sdtEndPr>
          <w:rPr>
            <w:color w:val="auto"/>
          </w:rPr>
        </w:sdtEndPr>
        <w:sdtContent>
          <w:bookmarkStart w:id="232" w:name="bkPolitics2824"/>
          <w:r>
            <w:rPr>
              <w:rFonts w:hint="eastAsia" w:ascii="方正仿宋_GBK" w:hAnsi="方正仿宋_GBK" w:cs="方正仿宋_GBK"/>
              <w:color w:val="auto"/>
            </w:rPr>
            <w:t>两高</w:t>
          </w:r>
          <w:bookmarkEnd w:id="232"/>
        </w:sdtContent>
      </w:sdt>
      <w:r>
        <w:rPr>
          <w:rFonts w:hint="eastAsia" w:ascii="方正仿宋_GBK" w:hAnsi="方正仿宋_GBK" w:cs="方正仿宋_GBK"/>
          <w:color w:val="auto"/>
        </w:rPr>
        <w:t>”目标、发挥“三个作用”和营造良好政治生态的重要指示要求，全面落实党中央决策部署，牢牢把握“因地制宜，分类指导”的要求，认真贯彻全国</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"http://www.h2o-china.com/news/field?fid=83"</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生态环境</w:t>
      </w:r>
      <w:r>
        <w:rPr>
          <w:rFonts w:hint="eastAsia" w:ascii="方正仿宋_GBK" w:hAnsi="方正仿宋_GBK" w:cs="方正仿宋_GBK"/>
          <w:color w:val="auto"/>
        </w:rPr>
        <w:fldChar w:fldCharType="end"/>
      </w:r>
      <w:r>
        <w:rPr>
          <w:rFonts w:hint="eastAsia" w:ascii="方正仿宋_GBK" w:hAnsi="方正仿宋_GBK" w:cs="方正仿宋_GBK"/>
          <w:color w:val="auto"/>
        </w:rPr>
        <w:t>保护大会精神以及《关于全面加强生态环境保护坚决打好污染防治攻坚战的意见》（中发〔2018〕17号）、《农业农村污染治理攻坚战行动计划》（环土壤〔2018〕143号），深入贯彻落实农村人居环境整治三年行动的各项安排部署，学习浙江“千村示范、万村整治”工作经验做法，积极推进农村生活污水治理工作。</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（2）制定了《重庆市农村人居环境整治三年行动实施方案（2018-2020年）》</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重庆市委、市政府于2018年8月印发了《重庆市农村人居环境整治三年行动实施方案（2018-2020年）》，《方案》采取项目化、事项化、清单化形式，部署了农村垃圾治理、“厕所革命”、生活污水治理、村容村貌提升、农业生产废弃物资源化利用等重点任务，确定了21个重点项目，并针对重庆实际，加大了农村户厕改造和入户道路建设力度。</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户厕改造方面，《方案》在《重庆市实施乡村振兴战略行动计划》（简称乡村振兴战略行动计划）确定的37.5万户改造任务基础上，新增改厕任务79.5万户，到2020年全市卫生厕所普及率达到85%。</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入户道路建设方面，《方案》提高了建设标准，由1米左右宽的人行便道提高到1-3米宽，结合乡村振兴战略行动计划实施的4.15万公里“四好农村路”，基本实现30户以上的村聚居点入户道路“院院通”“户户连”，基本解决村内道路泥泞、村民出行不便的问题。</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《方案》着眼长远、突出三年，确定的三年目标任务只是我市农村人居环境整治工作的起步，为完成农村人居环境整治长期任务实现良好开局。</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（3）重庆市农村工作会议和扶贫开发工作会议对生活污水治理提出了要求</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2019年2月27日，全市农村工作会议和扶贫开发工作会议召开。市委书记陈敏尔出席会议并讲话。他强调，要对照全面建成小康社会目标要求，加快补齐“三农”领域短板。要补齐农民增收短板，深挖农民增收潜力，多渠道持续增加农民收入。要补齐农村人居环境短板，加大农村“厕所革命”投入，全面推进农村生活垃圾、生活污水治理，扎实推进危旧房改造整治。要补齐农村基础设施短板，深入推进农村水电路讯等设施建设，完善农产品物流设施。要补齐农村公共服务短板，持续加强乡村公共卫生体系建设，提高农村教育、养老、公共文化服务水平。</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（4）出台了《重庆市农业农村污染治理攻坚战行动计划实施方案》</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方案》指出，到2020年，实现“一保两治三减四提升”。“一保”即保护农村饮用水源，农村饮水安全更有保障；“两治”即治理农村生活垃圾和污水，实现村庄环境干净整洁有序；“三减”即减少化肥、农药使用量和农业用水总量；“四提升”即提升主要由农业面源污染造成的超标水体水质、农业废弃物综合利用率、环境监管能力和农村居民参与度。</w:t>
      </w:r>
    </w:p>
    <w:p>
      <w:pPr>
        <w:widowControl w:val="0"/>
        <w:ind w:firstLine="640"/>
        <w:rPr>
          <w:rFonts w:hint="eastAsia" w:ascii="方正仿宋_GBK" w:hAnsi="方正仿宋_GBK" w:cs="方正仿宋_GBK"/>
          <w:color w:val="auto"/>
        </w:rPr>
      </w:pPr>
      <w:bookmarkStart w:id="233" w:name="_Toc45199266"/>
      <w:bookmarkStart w:id="234" w:name="_Toc48318271"/>
      <w:r>
        <w:rPr>
          <w:rFonts w:hint="eastAsia" w:ascii="方正仿宋_GBK" w:hAnsi="方正仿宋_GBK" w:cs="方正仿宋_GBK"/>
          <w:color w:val="auto"/>
        </w:rPr>
        <w:t>1.1.3  永川区层面</w:t>
      </w:r>
      <w:bookmarkEnd w:id="233"/>
      <w:bookmarkEnd w:id="234"/>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（1）制定了《永川区农业农村污染治理攻坚战行动计划实施方案》</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根据《永川区农业农村污染治理攻坚战行动计划实施方案》，开展农业农村污染治理攻坚战，既是农村人居环境整治的重要内容，也是促进乡村振兴的具体抓手。要做实基础工作，紧盯目标、吃透要求，进一步细化任务措施、时间节点和工作进度，确保各项任务梯次推进、目标全面落实。要引导基层自治，充分发挥村“两委”在农村生产生活中的核心领导和示范带动作用，通过完善村规民约、建立利益共享机制等方式，切实把村民参与污染防治的自主性、积极性调动起来、激发出来，进一步凝聚工作合力。要强化基本保障，建立健全涉农资金统筹整合长效机制，保持资金投入力度和节奏的连续性、稳定性，推动各项工作有力有序、纵深发展。</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（2）制定了《永川区污染防治攻坚战实施方案（2018-2020）》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2017年6月，永川区委、区政府印发了《永川区污染防治攻坚战实施方案（2018-2020）》，把污染治理的范围从临江河一条河的流域综合治理拓展到全区所有河流和水库湖泊，把污染治理的主要着力点从水污染的治理拓展到天、地、山、声、环境安全，从而全面打响了污染防治的攻坚之战。</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深化农业农村污染整治。大力整治养殖污染，加强养殖粪污、秸秆等废弃物资源化利用，推进农作物病虫害统防统治和绿色防控技术、推广有机肥及绿肥等产品，使化肥、农药用量逐年下降，生物技术防虫治病和有机复合肥等得到深入推广。此外，还将结合美丽乡村建设，加快农村基础设施建设和示范清洁院落、清洁田园创建等，打造一批特色小镇、美丽乡村。</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（3）永川区召开了农村人居环境整治村庄清洁行动推进会</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2019年农村人居环境整治村庄清洁行动推进会在区人防指挥中心召开。副区长杨华参加会议，他强调，2019年是深入学习贯彻习近平总书记关于改善农村人居环境系列重要指示精神，认真落实中央农村工作会议、全国深入学习浙江“千万工程”经验，全面扎实推进农村人居环境整治会议精神，全面推进农村人居环境整治的关键之年。我区将重点从全面推进农村“厕所革命”、全面推进农村生活垃圾治理、有序推进农村生活污水治理、全面整治提升村容村貌、加快推进农业生产废弃物资源化利用、加强村规划编制引领、引导村民养成良好卫生习惯等方面推进各项目标建设，力争实现“三个100%”目标，即清洁行动覆盖农村常住农户100%，农民知晓度达到100%，农户参与度达到100%，为村民营造一个干净整洁的生活环境。</w:t>
      </w:r>
    </w:p>
    <w:p>
      <w:pPr>
        <w:widowControl w:val="0"/>
        <w:ind w:firstLine="640"/>
        <w:rPr>
          <w:rFonts w:hint="eastAsia" w:ascii="方正楷体_GBK" w:hAnsi="方正楷体_GBK" w:eastAsia="方正楷体_GBK" w:cs="方正楷体_GBK"/>
          <w:color w:val="auto"/>
        </w:rPr>
      </w:pPr>
      <w:bookmarkStart w:id="235" w:name="_Toc45199267"/>
      <w:bookmarkStart w:id="236" w:name="_Toc48318272"/>
      <w:r>
        <w:rPr>
          <w:rFonts w:hint="eastAsia" w:ascii="方正楷体_GBK" w:hAnsi="方正楷体_GBK" w:eastAsia="方正楷体_GBK" w:cs="方正楷体_GBK"/>
          <w:color w:val="auto"/>
        </w:rPr>
        <w:t>1.2  指导思想</w:t>
      </w:r>
      <w:bookmarkEnd w:id="235"/>
      <w:bookmarkEnd w:id="236"/>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以</w:t>
      </w:r>
      <w:sdt>
        <w:sdtPr>
          <w:rPr>
            <w:color w:val="auto"/>
          </w:rPr>
          <w:alias w:val="重点词检查"/>
          <w:id w:val="3033204"/>
        </w:sdtPr>
        <w:sdtEndPr>
          <w:rPr>
            <w:color w:val="auto"/>
          </w:rPr>
        </w:sdtEndPr>
        <w:sdtContent>
          <w:bookmarkStart w:id="237" w:name="bkPolitics3033204"/>
          <w:r>
            <w:rPr>
              <w:rFonts w:hint="eastAsia" w:ascii="方正仿宋_GBK" w:hAnsi="方正仿宋_GBK" w:cs="方正仿宋_GBK"/>
              <w:color w:val="auto"/>
            </w:rPr>
            <w:t>习近平新时代中国特色社会主义思想和</w:t>
          </w:r>
          <w:r>
            <w:rPr>
              <w:rFonts w:hint="eastAsia" w:ascii="方正仿宋_GBK" w:hAnsi="方正仿宋_GBK" w:cs="方正仿宋_GBK"/>
              <w:color w:val="auto"/>
              <w:lang w:eastAsia="zh-CN"/>
            </w:rPr>
            <w:t>习近平</w:t>
          </w:r>
          <w:r>
            <w:rPr>
              <w:rFonts w:hint="eastAsia" w:ascii="方正仿宋_GBK" w:hAnsi="方正仿宋_GBK" w:cs="方正仿宋_GBK"/>
              <w:color w:val="auto"/>
            </w:rPr>
            <w:t>生态文明思想</w:t>
          </w:r>
          <w:bookmarkEnd w:id="237"/>
        </w:sdtContent>
      </w:sdt>
      <w:r>
        <w:rPr>
          <w:rFonts w:hint="eastAsia" w:ascii="方正仿宋_GBK" w:hAnsi="方正仿宋_GBK" w:cs="方正仿宋_GBK"/>
          <w:color w:val="auto"/>
        </w:rPr>
        <w:t>为指导，全面贯彻习近平总书记对重庆提出“两点”定位、“两地”“</w:t>
      </w:r>
      <w:sdt>
        <w:sdtPr>
          <w:rPr>
            <w:color w:val="auto"/>
          </w:rPr>
          <w:alias w:val="敏感词检查"/>
          <w:id w:val="2183135"/>
        </w:sdtPr>
        <w:sdtEndPr>
          <w:rPr>
            <w:color w:val="auto"/>
          </w:rPr>
        </w:sdtEndPr>
        <w:sdtContent>
          <w:bookmarkStart w:id="238" w:name="bkPolitics2183135"/>
          <w:r>
            <w:rPr>
              <w:rFonts w:hint="eastAsia" w:ascii="方正仿宋_GBK" w:hAnsi="方正仿宋_GBK" w:cs="方正仿宋_GBK"/>
              <w:color w:val="auto"/>
            </w:rPr>
            <w:t>两高</w:t>
          </w:r>
          <w:bookmarkEnd w:id="238"/>
        </w:sdtContent>
      </w:sdt>
      <w:r>
        <w:rPr>
          <w:rFonts w:hint="eastAsia" w:ascii="方正仿宋_GBK" w:hAnsi="方正仿宋_GBK" w:cs="方正仿宋_GBK"/>
          <w:color w:val="auto"/>
        </w:rPr>
        <w:t>”目标、发挥“三个作用”和营造良好政治生态的重要指示要求，全面落实党中央决策部署，牢牢把握“因地制宜，分类指导”的要求，认真贯彻全国</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"http://www.h2o-china.com/news/field?fid=83"</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生态环境</w:t>
      </w:r>
      <w:r>
        <w:rPr>
          <w:rFonts w:hint="eastAsia" w:ascii="方正仿宋_GBK" w:hAnsi="方正仿宋_GBK" w:cs="方正仿宋_GBK"/>
          <w:color w:val="auto"/>
        </w:rPr>
        <w:fldChar w:fldCharType="end"/>
      </w:r>
      <w:r>
        <w:rPr>
          <w:rFonts w:hint="eastAsia" w:ascii="方正仿宋_GBK" w:hAnsi="方正仿宋_GBK" w:cs="方正仿宋_GBK"/>
          <w:color w:val="auto"/>
        </w:rPr>
        <w:t>保护大会精神以及《关于全面加强生态环境保护坚决打好污染防治攻坚战的意见》（中发〔2018〕17号）、《农业农村污染治理攻坚战行动计划》（环土壤〔2018〕143号），深入贯彻落实农村人居环境整治三年行动的各项安排部署，学习浙江“千村示范、万村整治”工作经验做法，积极推进农村生活污水治理工作。</w:t>
      </w:r>
    </w:p>
    <w:p>
      <w:pPr>
        <w:widowControl w:val="0"/>
        <w:ind w:firstLine="640"/>
        <w:rPr>
          <w:rFonts w:hint="eastAsia" w:ascii="方正楷体_GBK" w:hAnsi="方正楷体_GBK" w:eastAsia="方正楷体_GBK" w:cs="方正楷体_GBK"/>
          <w:color w:val="auto"/>
        </w:rPr>
      </w:pPr>
      <w:bookmarkStart w:id="239" w:name="_Toc45199268"/>
      <w:bookmarkStart w:id="240" w:name="_Toc48318273"/>
      <w:r>
        <w:rPr>
          <w:rFonts w:hint="eastAsia" w:ascii="方正楷体_GBK" w:hAnsi="方正楷体_GBK" w:eastAsia="方正楷体_GBK" w:cs="方正楷体_GBK"/>
          <w:color w:val="auto"/>
        </w:rPr>
        <w:t>1.3  编制依据</w:t>
      </w:r>
      <w:bookmarkEnd w:id="239"/>
      <w:bookmarkEnd w:id="240"/>
    </w:p>
    <w:p>
      <w:pPr>
        <w:widowControl w:val="0"/>
        <w:ind w:firstLine="640"/>
        <w:rPr>
          <w:rFonts w:hint="eastAsia" w:ascii="方正仿宋_GBK" w:hAnsi="方正仿宋_GBK" w:cs="方正仿宋_GBK"/>
          <w:color w:val="auto"/>
        </w:rPr>
      </w:pPr>
      <w:bookmarkStart w:id="241" w:name="_Toc45199269"/>
      <w:bookmarkStart w:id="242" w:name="_Toc48318274"/>
      <w:r>
        <w:rPr>
          <w:rFonts w:hint="eastAsia" w:ascii="方正仿宋_GBK" w:hAnsi="方正仿宋_GBK" w:cs="方正仿宋_GBK"/>
          <w:color w:val="auto"/>
        </w:rPr>
        <w:t>1.3.1  相关法律法规及政策文件</w:t>
      </w:r>
      <w:bookmarkEnd w:id="241"/>
      <w:bookmarkEnd w:id="242"/>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（1）《中华人民共和国环境保护法》（2015年）；</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（2）《中华人民共和国水污染防治法》；</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（3）《中华人民共和国水法》；</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（4）《中华人民共和国城乡规划法》；</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（5）《城镇排水与污水处理条例》中华人民共和国国务院令第641号；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（6）《国家发展改革委</w:t>
      </w:r>
      <w:sdt>
        <w:sdtPr>
          <w:rPr>
            <w:color w:val="auto"/>
          </w:rPr>
          <w:alias w:val="敏感词检查"/>
          <w:id w:val="1022251"/>
        </w:sdtPr>
        <w:sdtEndPr>
          <w:rPr>
            <w:color w:val="auto"/>
          </w:rPr>
        </w:sdtEndPr>
        <w:sdtContent>
          <w:bookmarkStart w:id="243" w:name="bkPolitics1022251"/>
          <w:r>
            <w:rPr>
              <w:rFonts w:hint="eastAsia" w:ascii="方正仿宋_GBK" w:hAnsi="方正仿宋_GBK" w:cs="方正仿宋_GBK"/>
              <w:color w:val="auto"/>
            </w:rPr>
            <w:t>住房城乡建设部</w:t>
          </w:r>
          <w:bookmarkEnd w:id="243"/>
        </w:sdtContent>
      </w:sdt>
      <w:r>
        <w:rPr>
          <w:rFonts w:hint="eastAsia" w:ascii="方正仿宋_GBK" w:hAnsi="方正仿宋_GBK" w:cs="方正仿宋_GBK"/>
          <w:color w:val="auto"/>
        </w:rPr>
        <w:t>关于印发</w:t>
      </w:r>
      <w:sdt>
        <w:sdtPr>
          <w:rPr>
            <w:color w:val="auto"/>
          </w:rPr>
          <w:alias w:val="标点符号检查"/>
          <w:id w:val="171353"/>
        </w:sdtPr>
        <w:sdtEndPr>
          <w:rPr>
            <w:color w:val="auto"/>
          </w:rPr>
        </w:sdtEndPr>
        <w:sdtContent>
          <w:bookmarkStart w:id="244" w:name="bkReivew171353"/>
          <w:r>
            <w:rPr>
              <w:rFonts w:hint="eastAsia"/>
              <w:color w:val="auto"/>
            </w:rPr>
            <w:t>〈</w:t>
          </w:r>
          <w:r>
            <w:rPr>
              <w:rFonts w:hint="eastAsia" w:ascii="方正仿宋_GBK" w:hAnsi="方正仿宋_GBK" w:cs="方正仿宋_GBK"/>
              <w:color w:val="auto"/>
            </w:rPr>
            <w:t>“十三五”全国城镇污水处理及再生利用设施建设规划</w:t>
          </w:r>
          <w:r>
            <w:rPr>
              <w:rFonts w:hint="eastAsia"/>
              <w:color w:val="auto"/>
            </w:rPr>
            <w:t>〉</w:t>
          </w:r>
          <w:bookmarkEnd w:id="244"/>
        </w:sdtContent>
      </w:sdt>
      <w:sdt>
        <w:sdtPr>
          <w:rPr>
            <w:color w:val="auto"/>
          </w:rPr>
          <w:alias w:val="标点符号检查"/>
          <w:id w:val="3171253"/>
          <w:showingPlcHdr/>
        </w:sdtPr>
        <w:sdtEndPr>
          <w:rPr>
            <w:color w:val="auto"/>
          </w:rPr>
        </w:sdtEndPr>
        <w:sdtContent/>
      </w:sdt>
      <w:r>
        <w:rPr>
          <w:rFonts w:hint="eastAsia" w:ascii="方正仿宋_GBK" w:hAnsi="方正仿宋_GBK" w:cs="方正仿宋_GBK"/>
          <w:color w:val="auto"/>
        </w:rPr>
        <w:t>的通知》（发改环资〔2016〕2849号）；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（7）《国务院关于加强城市基础设施建设的意见》（国发〔2013〕36号）；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（8）《国务院关于落实科学发展观加强环境保护工作的决定》（国发〔2005〕39号）；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（9）《国务院关于做好建设节约型社会近期重点工作的通知》（国发〔2005〕21号）；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（10）《城市污水处理及污染防治技术政策》（建城〔2000〕124号）；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（11）《城市污水再生利用技术政策》（建科〔2006〕100号）；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（12）《关于推进城市污水、垃圾处理产业化发展的意见》（计投资〔2002〕1591号）；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（13）《重庆市河道管理条例</w:t>
      </w:r>
      <w:sdt>
        <w:sdtPr>
          <w:rPr>
            <w:color w:val="auto"/>
          </w:rPr>
          <w:alias w:val="标点符号检查"/>
          <w:id w:val="182745"/>
        </w:sdtPr>
        <w:sdtEndPr>
          <w:rPr>
            <w:color w:val="auto"/>
          </w:rPr>
        </w:sdtEndPr>
        <w:sdtContent>
          <w:bookmarkStart w:id="245" w:name="bkReivew182745"/>
          <w:r>
            <w:rPr>
              <w:rFonts w:hint="eastAsia" w:ascii="方正仿宋_GBK" w:hAnsi="方正仿宋_GBK" w:cs="方正仿宋_GBK"/>
              <w:color w:val="auto"/>
            </w:rPr>
            <w:t>（</w:t>
          </w:r>
          <w:bookmarkEnd w:id="245"/>
        </w:sdtContent>
      </w:sdt>
      <w:r>
        <w:rPr>
          <w:rFonts w:hint="eastAsia" w:ascii="方正仿宋_GBK" w:hAnsi="方正仿宋_GBK" w:cs="方正仿宋_GBK"/>
          <w:color w:val="auto"/>
        </w:rPr>
        <w:t>2015年修订</w:t>
      </w:r>
      <w:r>
        <w:rPr>
          <w:rFonts w:hint="eastAsia" w:ascii="方正仿宋_GBK" w:hAnsi="方正仿宋_GBK" w:cs="方正仿宋_GBK"/>
          <w:color w:val="auto"/>
          <w:lang w:eastAsia="zh-CN"/>
        </w:rPr>
        <w:t>）</w:t>
      </w:r>
      <w:r>
        <w:rPr>
          <w:rFonts w:hint="eastAsia" w:ascii="方正仿宋_GBK" w:hAnsi="方正仿宋_GBK" w:cs="方正仿宋_GBK"/>
          <w:color w:val="auto"/>
        </w:rPr>
        <w:t>》（2015年7月30日经重庆市第四届人民代表大会常务委员会第十九次会议通过）；</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（14）《重庆市水污染防治条例》（2019年12月3日经市五届人大常委会第十三次会议一审通过）；</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（15）《重庆市水资源管理条例（2015年修订）》（2015年5月28日经重庆市第四届人民代表大会常务委员会第18次会议通过）；</w:t>
      </w:r>
    </w:p>
    <w:p>
      <w:pPr>
        <w:widowControl w:val="0"/>
        <w:ind w:firstLine="640"/>
        <w:rPr>
          <w:rFonts w:hint="eastAsia"/>
          <w:color w:val="auto"/>
        </w:rPr>
      </w:pPr>
      <w:r>
        <w:rPr>
          <w:rFonts w:hint="eastAsia" w:ascii="方正仿宋_GBK" w:hAnsi="方正仿宋_GBK" w:cs="方正仿宋_GBK"/>
          <w:color w:val="auto"/>
        </w:rPr>
        <w:t>（16）《土壤污染环境防治法》</w:t>
      </w:r>
      <w:r>
        <w:rPr>
          <w:rFonts w:hint="eastAsia"/>
          <w:color w:val="auto"/>
        </w:rPr>
        <w:t>。</w:t>
      </w:r>
    </w:p>
    <w:p>
      <w:pPr>
        <w:widowControl w:val="0"/>
        <w:ind w:firstLine="640"/>
        <w:rPr>
          <w:rFonts w:hint="eastAsia" w:ascii="方正仿宋_GBK" w:hAnsi="方正仿宋_GBK" w:cs="方正仿宋_GBK"/>
          <w:color w:val="auto"/>
        </w:rPr>
      </w:pPr>
      <w:bookmarkStart w:id="246" w:name="_Toc45199270"/>
      <w:bookmarkStart w:id="247" w:name="_Toc48318275"/>
      <w:r>
        <w:rPr>
          <w:rFonts w:hint="eastAsia" w:ascii="方正仿宋_GBK" w:hAnsi="方正仿宋_GBK" w:cs="方正仿宋_GBK"/>
          <w:color w:val="auto"/>
        </w:rPr>
        <w:t>1.3.2  相关技术标准</w:t>
      </w:r>
      <w:bookmarkEnd w:id="246"/>
      <w:bookmarkEnd w:id="247"/>
    </w:p>
    <w:p>
      <w:pPr>
        <w:widowControl w:val="0"/>
        <w:ind w:firstLine="600"/>
        <w:rPr>
          <w:rFonts w:hint="eastAsia" w:ascii="方正仿宋_GBK" w:hAnsi="方正仿宋_GBK" w:cs="方正仿宋_GBK"/>
          <w:color w:val="auto"/>
          <w:sz w:val="30"/>
          <w:szCs w:val="30"/>
        </w:rPr>
      </w:pPr>
      <w:r>
        <w:rPr>
          <w:rFonts w:hint="eastAsia" w:ascii="方正仿宋_GBK" w:hAnsi="方正仿宋_GBK" w:cs="方正仿宋_GBK"/>
          <w:color w:val="auto"/>
          <w:sz w:val="30"/>
          <w:szCs w:val="30"/>
        </w:rPr>
        <w:t>（1）</w:t>
      </w:r>
      <w:sdt>
        <w:sdtPr>
          <w:rPr>
            <w:color w:val="auto"/>
          </w:rPr>
          <w:alias w:val="敏感词检查"/>
          <w:id w:val="2072525"/>
        </w:sdtPr>
        <w:sdtEndPr>
          <w:rPr>
            <w:color w:val="auto"/>
          </w:rPr>
        </w:sdtEndPr>
        <w:sdtContent>
          <w:bookmarkStart w:id="248" w:name="bkPolitics2072525"/>
          <w:r>
            <w:rPr>
              <w:rFonts w:hint="eastAsia" w:ascii="方正仿宋_GBK" w:hAnsi="方正仿宋_GBK" w:cs="方正仿宋_GBK"/>
              <w:color w:val="auto"/>
              <w:sz w:val="30"/>
              <w:szCs w:val="30"/>
            </w:rPr>
            <w:t>环保部</w:t>
          </w:r>
          <w:bookmarkEnd w:id="248"/>
        </w:sdtContent>
      </w:sdt>
      <w:r>
        <w:rPr>
          <w:rFonts w:hint="eastAsia" w:ascii="方正仿宋_GBK" w:hAnsi="方正仿宋_GBK" w:cs="方正仿宋_GBK"/>
          <w:color w:val="auto"/>
          <w:sz w:val="30"/>
          <w:szCs w:val="30"/>
        </w:rPr>
        <w:t>《农村环境连片整治技术指南》（2013年7月）；</w:t>
      </w:r>
    </w:p>
    <w:p>
      <w:pPr>
        <w:widowControl w:val="0"/>
        <w:ind w:firstLine="600"/>
        <w:rPr>
          <w:rFonts w:hint="eastAsia" w:ascii="方正仿宋_GBK" w:hAnsi="方正仿宋_GBK" w:cs="方正仿宋_GBK"/>
          <w:color w:val="auto"/>
          <w:sz w:val="30"/>
          <w:szCs w:val="30"/>
        </w:rPr>
      </w:pPr>
      <w:r>
        <w:rPr>
          <w:rFonts w:hint="eastAsia" w:ascii="方正仿宋_GBK" w:hAnsi="方正仿宋_GBK" w:cs="方正仿宋_GBK"/>
          <w:color w:val="auto"/>
          <w:sz w:val="30"/>
          <w:szCs w:val="30"/>
        </w:rPr>
        <w:t>（2）</w:t>
      </w:r>
      <w:sdt>
        <w:sdtPr>
          <w:rPr>
            <w:color w:val="auto"/>
          </w:rPr>
          <w:alias w:val="敏感词检查"/>
          <w:id w:val="1111045"/>
        </w:sdtPr>
        <w:sdtEndPr>
          <w:rPr>
            <w:color w:val="auto"/>
          </w:rPr>
        </w:sdtEndPr>
        <w:sdtContent>
          <w:bookmarkStart w:id="249" w:name="bkPolitics1111045"/>
          <w:r>
            <w:rPr>
              <w:rFonts w:hint="eastAsia" w:ascii="方正仿宋_GBK" w:hAnsi="方正仿宋_GBK" w:cs="方正仿宋_GBK"/>
              <w:color w:val="auto"/>
              <w:sz w:val="30"/>
              <w:szCs w:val="30"/>
            </w:rPr>
            <w:t>环保部</w:t>
          </w:r>
          <w:bookmarkEnd w:id="249"/>
        </w:sdtContent>
      </w:sdt>
      <w:r>
        <w:rPr>
          <w:rFonts w:hint="eastAsia" w:ascii="方正仿宋_GBK" w:hAnsi="方正仿宋_GBK" w:cs="方正仿宋_GBK"/>
          <w:color w:val="auto"/>
          <w:sz w:val="30"/>
          <w:szCs w:val="30"/>
        </w:rPr>
        <w:t>《村镇生活污染防治最佳可行技术指南（试行）》（2013年7月）；</w:t>
      </w:r>
    </w:p>
    <w:p>
      <w:pPr>
        <w:widowControl w:val="0"/>
        <w:ind w:firstLine="600"/>
        <w:rPr>
          <w:rFonts w:hint="eastAsia" w:ascii="方正仿宋_GBK" w:hAnsi="方正仿宋_GBK" w:cs="方正仿宋_GBK"/>
          <w:color w:val="auto"/>
          <w:sz w:val="30"/>
          <w:szCs w:val="30"/>
        </w:rPr>
      </w:pPr>
      <w:r>
        <w:rPr>
          <w:rFonts w:hint="eastAsia" w:ascii="方正仿宋_GBK" w:hAnsi="方正仿宋_GBK" w:cs="方正仿宋_GBK"/>
          <w:color w:val="auto"/>
          <w:sz w:val="30"/>
          <w:szCs w:val="30"/>
        </w:rPr>
        <w:t>（3）《地表水环境质量标准》（GB3838-2002）；</w:t>
      </w:r>
    </w:p>
    <w:p>
      <w:pPr>
        <w:widowControl w:val="0"/>
        <w:ind w:firstLine="600"/>
        <w:rPr>
          <w:rFonts w:hint="eastAsia" w:ascii="方正仿宋_GBK" w:hAnsi="方正仿宋_GBK" w:cs="方正仿宋_GBK"/>
          <w:color w:val="auto"/>
          <w:sz w:val="30"/>
          <w:szCs w:val="30"/>
        </w:rPr>
      </w:pPr>
      <w:r>
        <w:rPr>
          <w:rFonts w:hint="eastAsia" w:ascii="方正仿宋_GBK" w:hAnsi="方正仿宋_GBK" w:cs="方正仿宋_GBK"/>
          <w:color w:val="auto"/>
          <w:sz w:val="30"/>
          <w:szCs w:val="30"/>
        </w:rPr>
        <w:t>（4）《城镇污水处理厂污染物排放标准》（GB∕18918-2002）；</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（5）《污水排入城市下水道水质标准》（CJ343-2010）；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（6）《农田灌溉水质标准》（GB5084）；</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（7）《城镇污水处理厂污泥处置农用泥质》（CJ/T309）；</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（8）《城镇污水处理厂污泥处置园林绿化用泥质》（GB/T23486）；</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（9）《重庆市农村生活污水处理设施水污染物排放标准》(DB50848-2018) ；</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（10）《重庆市农业农村污染治理行动计划实施方案》（渝环函〔2019〕119号）；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（11）《重庆市农村生活污水治理评价指标体系》；</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（12）《重庆市农村生活污水排放标准》；</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（13）《农村生活用水量卫生标准》（GB11730</w:t>
      </w:r>
      <w:sdt>
        <w:sdtPr>
          <w:rPr>
            <w:color w:val="auto"/>
          </w:rPr>
          <w:alias w:val="敏感词检查"/>
          <w:id w:val="3182322"/>
        </w:sdtPr>
        <w:sdtEndPr>
          <w:rPr>
            <w:color w:val="auto"/>
          </w:rPr>
        </w:sdtEndPr>
        <w:sdtContent>
          <w:bookmarkStart w:id="250" w:name="bkPolitics3182322"/>
          <w:r>
            <w:rPr>
              <w:rFonts w:hint="eastAsia" w:ascii="方正仿宋_GBK" w:hAnsi="方正仿宋_GBK" w:cs="方正仿宋_GBK"/>
              <w:color w:val="auto"/>
            </w:rPr>
            <w:t>-89</w:t>
          </w:r>
          <w:bookmarkEnd w:id="250"/>
        </w:sdtContent>
      </w:sdt>
      <w:r>
        <w:rPr>
          <w:rFonts w:hint="eastAsia" w:ascii="方正仿宋_GBK" w:hAnsi="方正仿宋_GBK" w:cs="方正仿宋_GBK"/>
          <w:color w:val="auto"/>
        </w:rPr>
        <w:t>）。</w:t>
      </w:r>
    </w:p>
    <w:p>
      <w:pPr>
        <w:widowControl w:val="0"/>
        <w:ind w:firstLine="640"/>
        <w:rPr>
          <w:rFonts w:hint="eastAsia" w:ascii="方正仿宋_GBK" w:hAnsi="方正仿宋_GBK" w:cs="方正仿宋_GBK"/>
          <w:color w:val="auto"/>
        </w:rPr>
      </w:pPr>
      <w:bookmarkStart w:id="251" w:name="_Toc45199271"/>
      <w:bookmarkStart w:id="252" w:name="_Toc48318276"/>
      <w:r>
        <w:rPr>
          <w:rFonts w:hint="eastAsia" w:ascii="方正仿宋_GBK" w:hAnsi="方正仿宋_GBK" w:cs="方正仿宋_GBK"/>
          <w:color w:val="auto"/>
        </w:rPr>
        <w:t>1.3.3  相关规划及文件</w:t>
      </w:r>
      <w:bookmarkEnd w:id="251"/>
      <w:bookmarkEnd w:id="252"/>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（1）《永川区城乡总体规划（2014-2030）》；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（2）《重庆市水功能区水环境功能区划分方案》；</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（3）《永川区水资源综合规划》；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（4）《永川区水域保护规划》；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（5）《永川区土地利用总体规划</w:t>
      </w:r>
      <w:r>
        <w:rPr>
          <w:rFonts w:hint="eastAsia" w:ascii="方正仿宋_GBK" w:hAnsi="方正仿宋_GBK" w:cs="方正仿宋_GBK"/>
          <w:color w:val="auto"/>
          <w:lang w:eastAsia="zh-CN"/>
        </w:rPr>
        <w:t>（</w:t>
      </w:r>
      <w:r>
        <w:rPr>
          <w:rFonts w:hint="eastAsia" w:ascii="方正仿宋_GBK" w:hAnsi="方正仿宋_GBK" w:cs="方正仿宋_GBK"/>
          <w:color w:val="auto"/>
        </w:rPr>
        <w:t>2006-2020年</w:t>
      </w:r>
      <w:r>
        <w:rPr>
          <w:rFonts w:hint="eastAsia" w:ascii="方正仿宋_GBK" w:hAnsi="方正仿宋_GBK" w:cs="方正仿宋_GBK"/>
          <w:color w:val="auto"/>
          <w:lang w:eastAsia="zh-CN"/>
        </w:rPr>
        <w:t>）</w:t>
      </w:r>
      <w:r>
        <w:rPr>
          <w:rFonts w:hint="eastAsia" w:ascii="方正仿宋_GBK" w:hAnsi="方正仿宋_GBK" w:cs="方正仿宋_GBK"/>
          <w:color w:val="auto"/>
        </w:rPr>
        <w:t>》。</w:t>
      </w:r>
    </w:p>
    <w:p>
      <w:pPr>
        <w:widowControl w:val="0"/>
        <w:ind w:firstLine="640"/>
        <w:rPr>
          <w:rFonts w:hint="eastAsia" w:ascii="方正楷体_GBK" w:hAnsi="方正楷体_GBK" w:eastAsia="方正楷体_GBK" w:cs="方正楷体_GBK"/>
          <w:color w:val="auto"/>
        </w:rPr>
      </w:pPr>
      <w:bookmarkStart w:id="253" w:name="_Toc48318277"/>
      <w:bookmarkStart w:id="254" w:name="_Toc45199272"/>
      <w:r>
        <w:rPr>
          <w:rFonts w:hint="eastAsia" w:ascii="方正楷体_GBK" w:hAnsi="方正楷体_GBK" w:eastAsia="方正楷体_GBK" w:cs="方正楷体_GBK"/>
          <w:color w:val="auto"/>
        </w:rPr>
        <w:t>1.4  基本原则</w:t>
      </w:r>
      <w:bookmarkEnd w:id="253"/>
      <w:bookmarkEnd w:id="254"/>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（1）近远结合，科学安排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围绕改善区域农村水环境，突出饮用水源和水生态环境的保护，近期和远期相结合，实行先易后难，先环境敏感区和污染严重地区后一般地区的次序，典型示范，以点带面，梯度推进，全面覆盖。坚持建设与管理并重，加强日常维护运行，确保治污设施发挥作用。</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综合评判农村生活污水治理的环境效益、社会效益、经济效益和</w:t>
      </w:r>
      <w:sdt>
        <w:sdtPr>
          <w:rPr>
            <w:color w:val="auto"/>
          </w:rPr>
          <w:alias w:val="非推荐词"/>
          <w:id w:val="102035"/>
        </w:sdtPr>
        <w:sdtEndPr>
          <w:rPr>
            <w:color w:val="auto"/>
          </w:rPr>
        </w:sdtEndPr>
        <w:sdtContent>
          <w:bookmarkStart w:id="255" w:name="bkReivew102035"/>
          <w:r>
            <w:rPr>
              <w:rFonts w:hint="eastAsia" w:ascii="方正仿宋_GBK" w:hAnsi="方正仿宋_GBK" w:cs="方正仿宋_GBK"/>
              <w:color w:val="auto"/>
            </w:rPr>
            <w:t>其</w:t>
          </w:r>
          <w:bookmarkEnd w:id="255"/>
          <w:r>
            <w:rPr>
              <w:rFonts w:hint="eastAsia" w:ascii="方正仿宋_GBK" w:hAnsi="方正仿宋_GBK" w:cs="方正仿宋_GBK"/>
              <w:color w:val="auto"/>
              <w:lang w:eastAsia="zh-CN"/>
            </w:rPr>
            <w:t>他</w:t>
          </w:r>
        </w:sdtContent>
      </w:sdt>
      <w:r>
        <w:rPr>
          <w:rFonts w:hint="eastAsia" w:ascii="方正仿宋_GBK" w:hAnsi="方正仿宋_GBK" w:cs="方正仿宋_GBK"/>
          <w:color w:val="auto"/>
        </w:rPr>
        <w:t>衍生效益，按照技术经济合理的要求，提出切实可行的农村生活污水治理模式。</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区位条件允许的村进行纳管处理，充分发挥城镇污水处理厂的辐射效用，提高集中污水设施利用率；对不能纳管处理的村庄，在充分利用现有设施的基础上，采用改建、扩建和新建等方式，建设和改造农村生活污水处理设施。</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（2）因地制宜，合理布局</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根据各村（涉农社区）不同的区域位置、地形地貌、土壤植被和受纳水体的环境背景等条件，充分考虑水源保护区、自然保护区、水源涵养区、生态源头地区、江河流域等不同敏感区域的敏感程度、环境容量、自净能力和区域社会发展水平及发展趋势等因素，提出经济实用，管理方便的农村生活污水处理技术工艺。</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（3）统筹兼顾，突出重点</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结合镇村布局规划，编制专项规划和行动计划，统筹实施城乡、区域生活污水治理。坚持环境敏感区域和规模较大村庄优先，突出规划发展村和撤并场镇所在地村（涉农社区）的生活污水治理。</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综合考虑各种类型的村（涉农社区）具体情况和水处理技术及相关工程资源的可用性，土地资源可用性和污水收集与处理工程成本效益分析的基础上，提出不同类型的污水治理方案。</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（4）完善机制，长效运行</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以永川区域总体规划和环境保护规划为先导，充分考虑城乡统筹发展、经济社会发展状况和环境功能区划、生态环境容量及人口分布等因素，从全局和整体上科学安排永川区的农村生活污水治理工作。</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紧紧围绕绿色低碳生态，结合农田灌溉回用、生态保护修复和环境景观建设，突出水资源和氮磷资源的循环利用，努力实现农村生活污水治理与生态农业发展、农村生态文明建设有机衔接。探索粪便污水与其他生活污水分类收集处理，推进污水源头分类和资源化利用。</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（5）政府引导，多方参与</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坚持“政府主导，农民主体，社会参与”的工作要求，加强政府调控和引导，抓好各项配套政策的制订和落实，优化资金配置，并积极动员社会力量广泛参与，共同推进农村生活污水治理工作。</w:t>
      </w:r>
    </w:p>
    <w:p>
      <w:pPr>
        <w:widowControl w:val="0"/>
        <w:ind w:firstLine="640"/>
        <w:rPr>
          <w:rFonts w:hint="eastAsia" w:ascii="方正楷体_GBK" w:hAnsi="方正楷体_GBK" w:eastAsia="方正楷体_GBK" w:cs="方正楷体_GBK"/>
          <w:color w:val="auto"/>
        </w:rPr>
      </w:pPr>
      <w:bookmarkStart w:id="256" w:name="_Toc45199273"/>
      <w:bookmarkStart w:id="257" w:name="_Toc48318278"/>
      <w:r>
        <w:rPr>
          <w:rFonts w:hint="eastAsia" w:ascii="方正楷体_GBK" w:hAnsi="方正楷体_GBK" w:eastAsia="方正楷体_GBK" w:cs="方正楷体_GBK"/>
          <w:color w:val="auto"/>
        </w:rPr>
        <w:t>1.5  规划内容</w:t>
      </w:r>
      <w:bookmarkEnd w:id="256"/>
      <w:bookmarkEnd w:id="257"/>
    </w:p>
    <w:p>
      <w:pPr>
        <w:widowControl w:val="0"/>
        <w:ind w:firstLine="640"/>
        <w:rPr>
          <w:rFonts w:hint="eastAsia"/>
          <w:color w:val="auto"/>
        </w:rPr>
      </w:pPr>
      <w:r>
        <w:rPr>
          <w:rFonts w:hint="eastAsia"/>
          <w:color w:val="auto"/>
        </w:rPr>
        <w:t>永川区农村生活污水治理专项规划包括农村生活污水处理设施建设改造规划和农村生活污水处理设施运维管理规划两部分内容。其中：</w:t>
      </w:r>
    </w:p>
    <w:p>
      <w:pPr>
        <w:widowControl w:val="0"/>
        <w:ind w:firstLine="640"/>
        <w:rPr>
          <w:rFonts w:hint="eastAsia"/>
          <w:color w:val="auto"/>
        </w:rPr>
      </w:pPr>
      <w:r>
        <w:rPr>
          <w:rFonts w:hint="eastAsia"/>
          <w:color w:val="auto"/>
        </w:rPr>
        <w:t>农村生活污水处理设施建设改造规划主要包括：对已实施的农村污水治理专项规划进行评估；对农村污水处理设施运行情况进行排查，对存在的问题提出改造计划或解决措施，并制定实施方案逐年落实。</w:t>
      </w:r>
    </w:p>
    <w:p>
      <w:pPr>
        <w:widowControl w:val="0"/>
        <w:ind w:firstLine="640"/>
        <w:rPr>
          <w:rFonts w:hint="eastAsia"/>
          <w:color w:val="auto"/>
        </w:rPr>
      </w:pPr>
      <w:r>
        <w:rPr>
          <w:rFonts w:hint="eastAsia"/>
          <w:color w:val="auto"/>
        </w:rPr>
        <w:t>农村生活污水处理设施运维管理规划主要包括：确定建设项目管理制度；确立农村生活污水处理设施运行维护的要求和内容、模式，制定运行维护费用方案；制定运行管理制度；建立健全数字化管理平台。</w:t>
      </w:r>
    </w:p>
    <w:p>
      <w:pPr>
        <w:widowControl w:val="0"/>
        <w:ind w:firstLine="640"/>
        <w:rPr>
          <w:rFonts w:hint="eastAsia" w:ascii="方正楷体_GBK" w:hAnsi="方正楷体_GBK" w:eastAsia="方正楷体_GBK" w:cs="方正楷体_GBK"/>
          <w:color w:val="auto"/>
        </w:rPr>
      </w:pPr>
      <w:bookmarkStart w:id="258" w:name="_Toc45199274"/>
      <w:bookmarkStart w:id="259" w:name="_Toc48318279"/>
      <w:r>
        <w:rPr>
          <w:rFonts w:hint="eastAsia" w:ascii="方正楷体_GBK" w:hAnsi="方正楷体_GBK" w:eastAsia="方正楷体_GBK" w:cs="方正楷体_GBK"/>
          <w:color w:val="auto"/>
        </w:rPr>
        <w:t>1.6  规划范围</w:t>
      </w:r>
      <w:bookmarkEnd w:id="258"/>
      <w:bookmarkEnd w:id="259"/>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本规划范围为永川区所有村（涉农社区），包括7个街道，16个镇，涉及206个行政村，20个涉农社区。根据重庆市《2019年农村生活污水治理工作方案》，要求结合实际，以全市饮用水水源保护区、自然保护区、重要生态功能区等环境敏感区域，沿高铁两线、沿高速两旁、沿江（长江、嘉陵江、乌江）两岸、沿旅游景区周边以及沿城郊环线等“五沿”区域，常住人口1000人以上的农村居民聚居点等“三区五沿一点”区域为重点，按照生态环境部相关要求，指导各区县编制农村生活污水治理专项规划（方案），实行农村生活污水处理统一规划、统一建设、统一运行、统一管理。结合重庆市相关部门对重庆市各区县农村生活污水治理专项规划的要求，本规划将规划范围分为优先区域和一般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优先区域包括三区、五沿、38流域、水质需改善控制单元范围。其中，三区指饮用水源保护区、自然保护区、风景名胜区；五沿是指沿三江、沿风景名胜区、沿建成区、沿铁路、沿高速；38流域指长江、嘉陵江、乌江及流域面积大于500km2的支流控制单元。根据相关数据统计，流域面积大于500km2的支流控制单元有临江河流域（面积558km2），涉及水质需改善控制单元有小安溪和九龙河永川控制单元，综合“三区”涉及区域，统计出永川区涉及优先区域的村（涉农社区）共计189个。优先区域以外的村（涉农社区）为一般区域，共计37个。优先区域和一般区域图见下图1.6-1。优先区域涉及村（涉农社区）名单见下表1.6-1、表1.6-2。</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表1.6-1  优先区域统计名单</w:t>
      </w:r>
    </w:p>
    <w:tbl>
      <w:tblPr>
        <w:tblStyle w:val="25"/>
        <w:tblW w:w="0" w:type="auto"/>
        <w:jc w:val="center"/>
        <w:tblLayout w:type="fixed"/>
        <w:tblCellMar>
          <w:top w:w="0" w:type="dxa"/>
          <w:left w:w="108" w:type="dxa"/>
          <w:bottom w:w="0" w:type="dxa"/>
          <w:right w:w="108" w:type="dxa"/>
        </w:tblCellMar>
      </w:tblPr>
      <w:tblGrid>
        <w:gridCol w:w="1734"/>
        <w:gridCol w:w="1611"/>
        <w:gridCol w:w="1510"/>
        <w:gridCol w:w="1510"/>
        <w:gridCol w:w="2696"/>
      </w:tblGrid>
      <w:tr>
        <w:tblPrEx>
          <w:tblCellMar>
            <w:top w:w="0" w:type="dxa"/>
            <w:left w:w="108" w:type="dxa"/>
            <w:bottom w:w="0" w:type="dxa"/>
            <w:right w:w="108" w:type="dxa"/>
          </w:tblCellMar>
        </w:tblPrEx>
        <w:trPr>
          <w:trHeight w:val="351" w:hRule="atLeast"/>
          <w:tblHeader/>
          <w:jc w:val="center"/>
        </w:trPr>
        <w:tc>
          <w:tcPr>
            <w:tcW w:w="1734"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镇街街道</w:t>
            </w:r>
          </w:p>
        </w:tc>
        <w:tc>
          <w:tcPr>
            <w:tcW w:w="1611"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村（涉农社区）</w:t>
            </w:r>
          </w:p>
        </w:tc>
        <w:tc>
          <w:tcPr>
            <w:tcW w:w="151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常住（户）</w:t>
            </w:r>
          </w:p>
        </w:tc>
        <w:tc>
          <w:tcPr>
            <w:tcW w:w="151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常住（人）</w:t>
            </w:r>
          </w:p>
        </w:tc>
        <w:tc>
          <w:tcPr>
            <w:tcW w:w="2696"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区域类型</w:t>
            </w:r>
          </w:p>
        </w:tc>
      </w:tr>
      <w:tr>
        <w:tblPrEx>
          <w:tblCellMar>
            <w:top w:w="0" w:type="dxa"/>
            <w:left w:w="108" w:type="dxa"/>
            <w:bottom w:w="0" w:type="dxa"/>
            <w:right w:w="108" w:type="dxa"/>
          </w:tblCellMar>
        </w:tblPrEx>
        <w:trPr>
          <w:trHeight w:val="290"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本尊村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古佛村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凉风垭村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欧家坝村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1989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通明村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汪家岩村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5491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0"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2075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rPr>
          <w:trHeight w:val="280"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2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云峰村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粽粑社区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2330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9321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安溪村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3058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茶园村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1903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易错词检查"/>
                <w:id w:val="3143032"/>
              </w:sdtPr>
              <w:sdtEndPr>
                <w:rPr>
                  <w:color w:val="auto"/>
                </w:rPr>
              </w:sdtEndPr>
              <w:sdtContent>
                <w:bookmarkStart w:id="260" w:name="bkReivew3143032"/>
                <w:r>
                  <w:rPr>
                    <w:rFonts w:hint="eastAsia" w:ascii="方正仿宋_GBK" w:hAnsi="方正仿宋_GBK" w:cs="方正仿宋_GBK"/>
                    <w:color w:val="auto"/>
                    <w:sz w:val="21"/>
                    <w:szCs w:val="21"/>
                  </w:rPr>
                  <w:t>菜茵</w:t>
                </w:r>
                <w:bookmarkEnd w:id="260"/>
              </w:sdtContent>
            </w:sdt>
            <w:r>
              <w:rPr>
                <w:rFonts w:hint="eastAsia" w:ascii="方正仿宋_GBK" w:hAnsi="方正仿宋_GBK" w:cs="方正仿宋_GBK"/>
                <w:color w:val="auto"/>
                <w:sz w:val="21"/>
                <w:szCs w:val="21"/>
              </w:rPr>
              <w:t>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3184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莲花塘村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6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瓦窑村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1880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卢家岩村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朱龙花村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2621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芋荷湾村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3328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冯家坪村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2894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梅家桥村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3025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07"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1908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2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长滩河村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4011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2416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官禄岩村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2763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5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灵英村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3555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2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rPr>
          <w:trHeight w:val="246"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二郎坝村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2217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3572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68"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91"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8123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34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陈家祠社区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6542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18004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6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铁山村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小坎村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3548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5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云雾山村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仓宝村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5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丰乐村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1886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5984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4730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联盟村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54"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狮子村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一碗水村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长丰村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转角店村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3620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沙坪村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3792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5"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龙井口村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5"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5"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万胜村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5"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2481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5"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2816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寒泸村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2674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金门村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1742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铜凉村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3067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嘉阜村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2118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3728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1896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洞子口村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解放村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2915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金龙场社区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3"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柏树桥村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大双庆村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7052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5108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磨心桥村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2543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石牛寺村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梳妆台村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4715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水磨滩村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3910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塔院村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唐家坪村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2588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五根松村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2210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关门山村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1816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68"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桂林村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龙安村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龙洞桥村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2465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6162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天堂村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5466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代家店村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2068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7184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小南村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兴隆村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2120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2769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凌阁堂村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4604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青峰场社区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3541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2836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4908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陡沟河村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4663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郝家坝村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2880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利民村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4830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川主庙社区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10050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三台村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2856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19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石岭村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2328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07"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永安村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永玻村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1072320"/>
              </w:sdtPr>
              <w:sdtEndPr>
                <w:rPr>
                  <w:color w:val="auto"/>
                </w:rPr>
              </w:sdtEndPr>
              <w:sdtContent>
                <w:bookmarkStart w:id="261" w:name="bkPolitics1072320"/>
                <w:r>
                  <w:rPr>
                    <w:rFonts w:hint="eastAsia" w:ascii="方正仿宋_GBK" w:hAnsi="方正仿宋_GBK" w:cs="方正仿宋_GBK"/>
                    <w:color w:val="auto"/>
                    <w:sz w:val="21"/>
                    <w:szCs w:val="21"/>
                  </w:rPr>
                  <w:t>玉峰</w:t>
                </w:r>
                <w:bookmarkEnd w:id="261"/>
              </w:sdtContent>
            </w:sdt>
            <w:r>
              <w:rPr>
                <w:rFonts w:hint="eastAsia" w:ascii="方正仿宋_GBK" w:hAnsi="方正仿宋_GBK" w:cs="方正仿宋_GBK"/>
                <w:color w:val="auto"/>
                <w:sz w:val="21"/>
                <w:szCs w:val="21"/>
              </w:rPr>
              <w:t>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3611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07"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3226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19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新观音村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3023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丰田村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3449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永钢村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5319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永青村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6842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万寿场社区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177"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3214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2128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5081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堂皇坝村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1665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rPr>
          <w:trHeight w:val="19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杨广桥村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3252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杨家店村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2611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复生桥村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1673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脚盆井村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2184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丁家岩村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2282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牛尾铺村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2078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3715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3470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2782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五龙桥村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1890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响滩子村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打鱼河村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松江社区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2785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南华村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七郎村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1937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3197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石龟寺村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1473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4777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星湖社区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8668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5839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小竹溪村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4567</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和平村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2199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双创村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1838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2041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2020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90"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友胜村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2329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合兴村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2804</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景圣村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1811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珍宝村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1127</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2711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巨龙村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1935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双星村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614</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仙龙社区</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1930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牛门口村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431</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石宝寺村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1935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4220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2345</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云谷村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742</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2402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2"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子庄村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2849</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水质需改善控制单元</w:t>
            </w:r>
          </w:p>
        </w:tc>
      </w:tr>
      <w:tr>
        <w:tblPrEx>
          <w:tblCellMar>
            <w:top w:w="0" w:type="dxa"/>
            <w:left w:w="108" w:type="dxa"/>
            <w:bottom w:w="0" w:type="dxa"/>
            <w:right w:w="108" w:type="dxa"/>
          </w:tblCellMar>
        </w:tblPrEx>
        <w:trPr>
          <w:trHeight w:val="222"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三星村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304"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瓦子铺村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38流域</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孙家口村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3568</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1168</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双龙村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1916</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3861</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望城村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3" w:hRule="atLeast"/>
          <w:jc w:val="center"/>
        </w:trPr>
        <w:tc>
          <w:tcPr>
            <w:tcW w:w="1734"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1835</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6000</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三区</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福良村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1089</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3563</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r>
        <w:tblPrEx>
          <w:tblCellMar>
            <w:top w:w="0" w:type="dxa"/>
            <w:left w:w="108" w:type="dxa"/>
            <w:bottom w:w="0" w:type="dxa"/>
            <w:right w:w="108" w:type="dxa"/>
          </w:tblCellMar>
        </w:tblPrEx>
        <w:trPr>
          <w:trHeight w:val="283" w:hRule="atLeast"/>
          <w:jc w:val="center"/>
        </w:trPr>
        <w:tc>
          <w:tcPr>
            <w:tcW w:w="1734"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1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793</w:t>
            </w:r>
          </w:p>
        </w:tc>
        <w:tc>
          <w:tcPr>
            <w:tcW w:w="15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2702</w:t>
            </w:r>
          </w:p>
        </w:tc>
        <w:tc>
          <w:tcPr>
            <w:tcW w:w="26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五沿</w:t>
            </w:r>
          </w:p>
        </w:tc>
      </w:tr>
    </w:tbl>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表1.6-2  一般区域统计名单</w:t>
      </w:r>
    </w:p>
    <w:tbl>
      <w:tblPr>
        <w:tblStyle w:val="25"/>
        <w:tblW w:w="0" w:type="auto"/>
        <w:jc w:val="center"/>
        <w:tblLayout w:type="fixed"/>
        <w:tblCellMar>
          <w:top w:w="0" w:type="dxa"/>
          <w:left w:w="108" w:type="dxa"/>
          <w:bottom w:w="0" w:type="dxa"/>
          <w:right w:w="108" w:type="dxa"/>
        </w:tblCellMar>
      </w:tblPr>
      <w:tblGrid>
        <w:gridCol w:w="1836"/>
        <w:gridCol w:w="1908"/>
        <w:gridCol w:w="1878"/>
        <w:gridCol w:w="1879"/>
        <w:gridCol w:w="1560"/>
      </w:tblGrid>
      <w:tr>
        <w:tblPrEx>
          <w:tblCellMar>
            <w:top w:w="0" w:type="dxa"/>
            <w:left w:w="108" w:type="dxa"/>
            <w:bottom w:w="0" w:type="dxa"/>
            <w:right w:w="108" w:type="dxa"/>
          </w:tblCellMar>
        </w:tblPrEx>
        <w:trPr>
          <w:trHeight w:val="329" w:hRule="atLeast"/>
          <w:tblHeader/>
          <w:jc w:val="center"/>
        </w:trPr>
        <w:tc>
          <w:tcPr>
            <w:tcW w:w="183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镇街街道</w:t>
            </w:r>
          </w:p>
        </w:tc>
        <w:tc>
          <w:tcPr>
            <w:tcW w:w="1908"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村（涉农社区）</w:t>
            </w:r>
          </w:p>
        </w:tc>
        <w:tc>
          <w:tcPr>
            <w:tcW w:w="1878"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常住（户）</w:t>
            </w:r>
          </w:p>
        </w:tc>
        <w:tc>
          <w:tcPr>
            <w:tcW w:w="1879"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常住（人）</w:t>
            </w:r>
          </w:p>
        </w:tc>
        <w:tc>
          <w:tcPr>
            <w:tcW w:w="156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区域类型</w:t>
            </w:r>
          </w:p>
        </w:tc>
      </w:tr>
      <w:tr>
        <w:tblPrEx>
          <w:tblCellMar>
            <w:top w:w="0" w:type="dxa"/>
            <w:left w:w="108" w:type="dxa"/>
            <w:bottom w:w="0" w:type="dxa"/>
            <w:right w:w="108" w:type="dxa"/>
          </w:tblCellMar>
        </w:tblPrEx>
        <w:trPr>
          <w:trHeight w:val="233" w:hRule="atLeast"/>
          <w:jc w:val="center"/>
        </w:trPr>
        <w:tc>
          <w:tcPr>
            <w:tcW w:w="18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宝峰场社区</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1162</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trHeight w:val="283" w:hRule="atLeast"/>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泸永桥村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1198</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3898</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973</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2393</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杨大口村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715</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花园村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762</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2465</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黄沙村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2231</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石松村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2968</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大松林村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825</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1723</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王坪村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1125</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3648</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茅园村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旗山村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新街子村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893</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3125</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鱼岭村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387</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1026</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大磨子村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647</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大牌坊村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614</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1721</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大石坝村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491</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1429</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405</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1144</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金宝山村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873</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2473</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太平桥村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529</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1384</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张家场社区</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478</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1375</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rPr>
          <w:trHeight w:val="253" w:hRule="atLeast"/>
          <w:jc w:val="center"/>
        </w:trPr>
        <w:tc>
          <w:tcPr>
            <w:tcW w:w="18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1766</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5750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1053</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3895</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龙宝山村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978</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3252</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龙汇垭村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2718</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马道子村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854</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水渡滩村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1235</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2821</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1076</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3120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四望山村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4786</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1282</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滩子口村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3560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围子山村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1032</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3922</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新岸山村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3412</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1630</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5059</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r>
        <w:tblPrEx>
          <w:tblCellMar>
            <w:top w:w="0" w:type="dxa"/>
            <w:left w:w="108" w:type="dxa"/>
            <w:bottom w:w="0" w:type="dxa"/>
            <w:right w:w="108" w:type="dxa"/>
          </w:tblCellMar>
        </w:tblPrEx>
        <w:trPr>
          <w:jc w:val="center"/>
        </w:trPr>
        <w:tc>
          <w:tcPr>
            <w:tcW w:w="18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90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w:t>
            </w:r>
          </w:p>
        </w:tc>
        <w:tc>
          <w:tcPr>
            <w:tcW w:w="187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933</w:t>
            </w:r>
          </w:p>
        </w:tc>
        <w:tc>
          <w:tcPr>
            <w:tcW w:w="18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2260</w:t>
            </w:r>
          </w:p>
        </w:tc>
        <w:tc>
          <w:tcPr>
            <w:tcW w:w="15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一般区域</w:t>
            </w:r>
          </w:p>
        </w:tc>
      </w:tr>
    </w:tbl>
    <w:p>
      <w:pPr>
        <w:pStyle w:val="23"/>
        <w:widowControl w:val="0"/>
        <w:shd w:val="clear" w:color="auto" w:fill="FFFFFF"/>
        <w:rPr>
          <w:rFonts w:cs="Times New Roman"/>
          <w:b/>
          <w:color w:val="auto"/>
          <w:sz w:val="21"/>
          <w:szCs w:val="22"/>
        </w:rPr>
      </w:pPr>
    </w:p>
    <w:p>
      <w:pPr>
        <w:pStyle w:val="23"/>
        <w:widowControl w:val="0"/>
        <w:shd w:val="clear" w:color="auto" w:fill="FFFFFF"/>
        <w:jc w:val="center"/>
        <w:rPr>
          <w:rFonts w:cs="Times New Roman"/>
          <w:color w:val="auto"/>
          <w:szCs w:val="22"/>
        </w:rPr>
      </w:pPr>
      <w:r>
        <w:rPr>
          <w:rFonts w:cs="Times New Roman"/>
          <w:color w:val="auto"/>
        </w:rPr>
        <w:drawing>
          <wp:anchor distT="0" distB="0" distL="114300" distR="114300" simplePos="0" relativeHeight="251660288" behindDoc="0" locked="0" layoutInCell="1" allowOverlap="1">
            <wp:simplePos x="0" y="0"/>
            <wp:positionH relativeFrom="column">
              <wp:posOffset>490855</wp:posOffset>
            </wp:positionH>
            <wp:positionV relativeFrom="paragraph">
              <wp:posOffset>3608070</wp:posOffset>
            </wp:positionV>
            <wp:extent cx="1280795" cy="684530"/>
            <wp:effectExtent l="0" t="0" r="14605" b="127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1280795" cy="684530"/>
                    </a:xfrm>
                    <a:prstGeom prst="rect">
                      <a:avLst/>
                    </a:prstGeom>
                    <a:noFill/>
                    <a:ln>
                      <a:noFill/>
                    </a:ln>
                  </pic:spPr>
                </pic:pic>
              </a:graphicData>
            </a:graphic>
          </wp:anchor>
        </w:drawing>
      </w:r>
      <w:r>
        <w:rPr>
          <w:rFonts w:cs="Times New Roman"/>
          <w:color w:val="auto"/>
          <w:szCs w:val="22"/>
        </w:rPr>
        <w:drawing>
          <wp:inline distT="0" distB="0" distL="114300" distR="114300">
            <wp:extent cx="4747260" cy="4421505"/>
            <wp:effectExtent l="0" t="0" r="15240" b="17145"/>
            <wp:docPr id="9" name="图片 98" descr="F:\太可环保\0永川区污水处理成果最终--加班成果\最终成果\永川区农村生活污水专项治理规划6.3\永川出图\优先区域，放在文本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8" descr="F:\太可环保\0永川区污水处理成果最终--加班成果\最终成果\永川区农村生活污水专项治理规划6.3\永川出图\优先区域，放在文本中.jpg"/>
                    <pic:cNvPicPr>
                      <a:picLocks noChangeAspect="1"/>
                    </pic:cNvPicPr>
                  </pic:nvPicPr>
                  <pic:blipFill>
                    <a:blip r:embed="rId17"/>
                    <a:srcRect l="6624" t="8151" r="42976" b="7880"/>
                    <a:stretch>
                      <a:fillRect/>
                    </a:stretch>
                  </pic:blipFill>
                  <pic:spPr>
                    <a:xfrm>
                      <a:off x="0" y="0"/>
                      <a:ext cx="4747260" cy="4421505"/>
                    </a:xfrm>
                    <a:prstGeom prst="rect">
                      <a:avLst/>
                    </a:prstGeom>
                    <a:noFill/>
                    <a:ln>
                      <a:noFill/>
                    </a:ln>
                  </pic:spPr>
                </pic:pic>
              </a:graphicData>
            </a:graphic>
          </wp:inline>
        </w:drawing>
      </w:r>
    </w:p>
    <w:p>
      <w:pPr>
        <w:widowControl w:val="0"/>
        <w:ind w:firstLine="56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图1.6-1  优先区域和一般区域范围图</w:t>
      </w:r>
    </w:p>
    <w:p>
      <w:pPr>
        <w:widowControl w:val="0"/>
        <w:ind w:firstLine="640"/>
        <w:rPr>
          <w:rFonts w:hint="eastAsia" w:ascii="方正楷体_GBK" w:hAnsi="方正楷体_GBK" w:eastAsia="方正楷体_GBK" w:cs="方正楷体_GBK"/>
          <w:color w:val="auto"/>
        </w:rPr>
      </w:pPr>
      <w:bookmarkStart w:id="262" w:name="_Toc45199275"/>
      <w:bookmarkStart w:id="263" w:name="_Toc48318280"/>
      <w:r>
        <w:rPr>
          <w:rFonts w:hint="eastAsia" w:ascii="方正楷体_GBK" w:hAnsi="方正楷体_GBK" w:eastAsia="方正楷体_GBK" w:cs="方正楷体_GBK"/>
          <w:color w:val="auto"/>
        </w:rPr>
        <w:t>1.7  规划年限</w:t>
      </w:r>
      <w:bookmarkEnd w:id="262"/>
      <w:bookmarkEnd w:id="263"/>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规划基准年为2020年（文中各类基础信息源于2018-2020年统计资料）。规划年限为近期-远期，其中近期为2021-2025年，远期与永川区各镇街总体规划保持一致，至2030年，即2026-2030年。</w:t>
      </w:r>
    </w:p>
    <w:p>
      <w:pPr>
        <w:widowControl w:val="0"/>
        <w:ind w:firstLine="640"/>
        <w:rPr>
          <w:rFonts w:hint="eastAsia" w:ascii="方正楷体_GBK" w:hAnsi="方正楷体_GBK" w:eastAsia="方正楷体_GBK" w:cs="方正楷体_GBK"/>
          <w:color w:val="auto"/>
        </w:rPr>
      </w:pPr>
      <w:bookmarkStart w:id="264" w:name="_Toc45199276"/>
      <w:bookmarkStart w:id="265" w:name="_Toc48318281"/>
      <w:r>
        <w:rPr>
          <w:rFonts w:hint="eastAsia" w:ascii="方正楷体_GBK" w:hAnsi="方正楷体_GBK" w:eastAsia="方正楷体_GBK" w:cs="方正楷体_GBK"/>
          <w:color w:val="auto"/>
        </w:rPr>
        <w:t>1.8  规划指标</w:t>
      </w:r>
      <w:bookmarkEnd w:id="264"/>
      <w:bookmarkEnd w:id="265"/>
    </w:p>
    <w:p>
      <w:pPr>
        <w:widowControl w:val="0"/>
        <w:ind w:firstLine="640"/>
        <w:rPr>
          <w:rFonts w:hint="eastAsia" w:ascii="方正仿宋_GBK" w:hAnsi="方正仿宋_GBK" w:cs="方正仿宋_GBK"/>
          <w:color w:val="auto"/>
        </w:rPr>
      </w:pPr>
      <w:bookmarkStart w:id="266" w:name="_Toc45199277"/>
      <w:bookmarkStart w:id="267" w:name="_Toc48318282"/>
      <w:r>
        <w:rPr>
          <w:rFonts w:hint="eastAsia" w:ascii="方正仿宋_GBK" w:hAnsi="方正仿宋_GBK" w:cs="方正仿宋_GBK"/>
          <w:color w:val="auto"/>
        </w:rPr>
        <w:t>1.8.1  数据来源</w:t>
      </w:r>
      <w:bookmarkEnd w:id="266"/>
      <w:bookmarkEnd w:id="267"/>
    </w:p>
    <w:p>
      <w:pPr>
        <w:widowControl w:val="0"/>
        <w:ind w:firstLine="640"/>
        <w:rPr>
          <w:rFonts w:hint="eastAsia"/>
          <w:color w:val="auto"/>
        </w:rPr>
      </w:pPr>
      <w:r>
        <w:rPr>
          <w:rFonts w:hint="eastAsia"/>
          <w:color w:val="auto"/>
        </w:rPr>
        <w:t>数据来源于永川区农村生活污水信息填报系统；永川区各部门提供的相关数据资料，包括各农村污水处理厂（站）历年监测数据、各流域范围数据、永川区城乡总体规划等。</w:t>
      </w:r>
    </w:p>
    <w:p>
      <w:pPr>
        <w:widowControl w:val="0"/>
        <w:ind w:firstLine="640"/>
        <w:rPr>
          <w:rFonts w:hint="eastAsia" w:ascii="方正仿宋_GBK" w:hAnsi="方正仿宋_GBK" w:cs="方正仿宋_GBK"/>
          <w:color w:val="auto"/>
        </w:rPr>
      </w:pPr>
      <w:bookmarkStart w:id="268" w:name="_Toc48318283"/>
      <w:bookmarkStart w:id="269" w:name="_Toc45199278"/>
      <w:r>
        <w:rPr>
          <w:rFonts w:hint="eastAsia" w:ascii="方正仿宋_GBK" w:hAnsi="方正仿宋_GBK" w:cs="方正仿宋_GBK"/>
          <w:color w:val="auto"/>
        </w:rPr>
        <w:t>1.8.2  分析过程</w:t>
      </w:r>
      <w:bookmarkEnd w:id="268"/>
      <w:bookmarkEnd w:id="269"/>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本规划主要通过分析农村生活污水得到治理的农户覆盖率和农村生活污水治理率2个综合指标，来反映永川区农村生活污水治理的目标成效。计算方法如下：</w:t>
      </w:r>
    </w:p>
    <w:p>
      <w:pPr>
        <w:widowControl w:val="0"/>
        <w:ind w:firstLine="640"/>
        <w:rPr>
          <w:rFonts w:hint="eastAsia" w:ascii="方正仿宋_GBK" w:hAnsi="方正仿宋_GBK" w:cs="方正仿宋_GBK"/>
          <w:color w:val="auto"/>
        </w:rPr>
      </w:pPr>
      <w:bookmarkStart w:id="270" w:name="_Toc48318284"/>
      <w:r>
        <w:rPr>
          <w:rFonts w:hint="eastAsia" w:ascii="方正仿宋_GBK" w:hAnsi="方正仿宋_GBK" w:cs="方正仿宋_GBK"/>
          <w:color w:val="auto"/>
        </w:rPr>
        <w:t>（1）农村生活污水得到治理的农户覆盖率</w:t>
      </w:r>
      <w:bookmarkEnd w:id="270"/>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指标定义：通过纳管处理、集中设施处理、联户处理、单户利用的治理模式，生活污水得到治理的常住户数占区域常住总户数的比例。</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计算公式：农村生活污水得到治理的农户覆盖率（%）=[∑得到纳管处理的常住户数（户）+∑得到集中设施处理的常住户数（户）+∑得到联户处理的常住户数（户）+∑得到单户利用的常住户数（户）]÷∑区域常住户数（户）</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说明：①联户处理：包括小型一体化污水处理设施，人工湿地，化粪池（二格及以上）+尾水还田利用等；</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②改厕数据可能包含部分已纳管、集中设施、联户处理的常住户数，需适当扣除。</w:t>
      </w:r>
    </w:p>
    <w:p>
      <w:pPr>
        <w:widowControl w:val="0"/>
        <w:ind w:firstLine="640"/>
        <w:rPr>
          <w:rFonts w:hint="eastAsia" w:ascii="方正仿宋_GBK" w:hAnsi="方正仿宋_GBK" w:cs="方正仿宋_GBK"/>
          <w:color w:val="auto"/>
        </w:rPr>
      </w:pPr>
      <w:bookmarkStart w:id="271" w:name="_Toc48318285"/>
      <w:r>
        <w:rPr>
          <w:rFonts w:hint="eastAsia" w:ascii="方正仿宋_GBK" w:hAnsi="方正仿宋_GBK" w:cs="方正仿宋_GBK"/>
          <w:color w:val="auto"/>
        </w:rPr>
        <w:t>（2）农村生活污水治理率</w:t>
      </w:r>
      <w:bookmarkEnd w:id="271"/>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指标定义：通过纳管处理、集中设施处理、联户处理、单户利用的治理模式，得到治理的生活污水量占区域生活污水总量的比例。计算公式如下：</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农村生活污水治理率（%）=[∑（得到纳管处理的常住人口</w:t>
      </w:r>
      <w:sdt>
        <w:sdtPr>
          <w:rPr>
            <w:color w:val="auto"/>
          </w:rPr>
          <w:alias w:val="标点符号检查"/>
          <w:id w:val="2030206"/>
        </w:sdtPr>
        <w:sdtEndPr>
          <w:rPr>
            <w:color w:val="auto"/>
          </w:rPr>
        </w:sdtEndPr>
        <w:sdtContent>
          <w:bookmarkStart w:id="272" w:name="bkReivew2030206"/>
          <w:r>
            <w:rPr>
              <w:rFonts w:hint="eastAsia" w:ascii="方正仿宋_GBK" w:hAnsi="方正仿宋_GBK" w:cs="方正仿宋_GBK"/>
              <w:color w:val="auto"/>
            </w:rPr>
            <w:t>（</w:t>
          </w:r>
          <w:bookmarkEnd w:id="272"/>
        </w:sdtContent>
      </w:sdt>
      <w:r>
        <w:rPr>
          <w:rFonts w:hint="eastAsia" w:ascii="方正仿宋_GBK" w:hAnsi="方正仿宋_GBK" w:cs="方正仿宋_GBK"/>
          <w:color w:val="auto"/>
        </w:rPr>
        <w:t>人</w:t>
      </w:r>
      <w:sdt>
        <w:sdtPr>
          <w:rPr>
            <w:color w:val="auto"/>
          </w:rPr>
          <w:alias w:val="标点符号检查"/>
          <w:id w:val="2100550"/>
        </w:sdtPr>
        <w:sdtEndPr>
          <w:rPr>
            <w:color w:val="auto"/>
          </w:rPr>
        </w:sdtEndPr>
        <w:sdtContent>
          <w:bookmarkStart w:id="273" w:name="bkReivew2100550"/>
          <w:r>
            <w:rPr>
              <w:rFonts w:hint="eastAsia" w:ascii="方正仿宋_GBK" w:hAnsi="方正仿宋_GBK" w:cs="方正仿宋_GBK"/>
              <w:color w:val="auto"/>
            </w:rPr>
            <w:t>）</w:t>
          </w:r>
          <w:bookmarkEnd w:id="273"/>
        </w:sdtContent>
      </w:sdt>
      <w:r>
        <w:rPr>
          <w:rFonts w:hint="eastAsia" w:ascii="方正仿宋_GBK" w:hAnsi="方正仿宋_GBK" w:cs="方正仿宋_GBK"/>
          <w:color w:val="auto"/>
        </w:rPr>
        <w:t>×人均污水排放量）+∑（得到集中设施处理的常住人口</w:t>
      </w:r>
      <w:sdt>
        <w:sdtPr>
          <w:rPr>
            <w:color w:val="auto"/>
          </w:rPr>
          <w:alias w:val="标点符号检查"/>
          <w:id w:val="2143720"/>
        </w:sdtPr>
        <w:sdtEndPr>
          <w:rPr>
            <w:color w:val="auto"/>
          </w:rPr>
        </w:sdtEndPr>
        <w:sdtContent>
          <w:bookmarkStart w:id="274" w:name="bkReivew2143720"/>
          <w:r>
            <w:rPr>
              <w:rFonts w:hint="eastAsia" w:ascii="方正仿宋_GBK" w:hAnsi="方正仿宋_GBK" w:cs="方正仿宋_GBK"/>
              <w:color w:val="auto"/>
            </w:rPr>
            <w:t>（</w:t>
          </w:r>
          <w:bookmarkEnd w:id="274"/>
        </w:sdtContent>
      </w:sdt>
      <w:r>
        <w:rPr>
          <w:rFonts w:hint="eastAsia" w:ascii="方正仿宋_GBK" w:hAnsi="方正仿宋_GBK" w:cs="方正仿宋_GBK"/>
          <w:color w:val="auto"/>
        </w:rPr>
        <w:t>人</w:t>
      </w:r>
      <w:sdt>
        <w:sdtPr>
          <w:rPr>
            <w:color w:val="auto"/>
          </w:rPr>
          <w:alias w:val="标点符号检查"/>
          <w:id w:val="62310"/>
        </w:sdtPr>
        <w:sdtEndPr>
          <w:rPr>
            <w:color w:val="auto"/>
          </w:rPr>
        </w:sdtEndPr>
        <w:sdtContent>
          <w:bookmarkStart w:id="275" w:name="bkReivew62310"/>
          <w:r>
            <w:rPr>
              <w:rFonts w:hint="eastAsia" w:ascii="方正仿宋_GBK" w:hAnsi="方正仿宋_GBK" w:cs="方正仿宋_GBK"/>
              <w:color w:val="auto"/>
            </w:rPr>
            <w:t>）</w:t>
          </w:r>
          <w:bookmarkEnd w:id="275"/>
        </w:sdtContent>
      </w:sdt>
      <w:r>
        <w:rPr>
          <w:rFonts w:hint="eastAsia" w:ascii="方正仿宋_GBK" w:hAnsi="方正仿宋_GBK" w:cs="方正仿宋_GBK"/>
          <w:color w:val="auto"/>
        </w:rPr>
        <w:t>×人均污水排放量）+∑（得到联户处理的常住人口</w:t>
      </w:r>
      <w:sdt>
        <w:sdtPr>
          <w:rPr>
            <w:color w:val="auto"/>
          </w:rPr>
          <w:alias w:val="标点符号检查"/>
          <w:id w:val="2082642"/>
        </w:sdtPr>
        <w:sdtEndPr>
          <w:rPr>
            <w:color w:val="auto"/>
          </w:rPr>
        </w:sdtEndPr>
        <w:sdtContent>
          <w:bookmarkStart w:id="276" w:name="bkReivew2082642"/>
          <w:r>
            <w:rPr>
              <w:rFonts w:hint="eastAsia" w:ascii="方正仿宋_GBK" w:hAnsi="方正仿宋_GBK" w:cs="方正仿宋_GBK"/>
              <w:color w:val="auto"/>
            </w:rPr>
            <w:t>（</w:t>
          </w:r>
          <w:bookmarkEnd w:id="276"/>
        </w:sdtContent>
      </w:sdt>
      <w:r>
        <w:rPr>
          <w:rFonts w:hint="eastAsia" w:ascii="方正仿宋_GBK" w:hAnsi="方正仿宋_GBK" w:cs="方正仿宋_GBK"/>
          <w:color w:val="auto"/>
        </w:rPr>
        <w:t>人</w:t>
      </w:r>
      <w:sdt>
        <w:sdtPr>
          <w:rPr>
            <w:color w:val="auto"/>
          </w:rPr>
          <w:alias w:val="标点符号检查"/>
          <w:id w:val="1113514"/>
        </w:sdtPr>
        <w:sdtEndPr>
          <w:rPr>
            <w:color w:val="auto"/>
          </w:rPr>
        </w:sdtEndPr>
        <w:sdtContent>
          <w:bookmarkStart w:id="277" w:name="bkReivew1113514"/>
          <w:r>
            <w:rPr>
              <w:rFonts w:hint="eastAsia" w:ascii="方正仿宋_GBK" w:hAnsi="方正仿宋_GBK" w:cs="方正仿宋_GBK"/>
              <w:color w:val="auto"/>
            </w:rPr>
            <w:t>）</w:t>
          </w:r>
          <w:bookmarkEnd w:id="277"/>
        </w:sdtContent>
      </w:sdt>
      <w:r>
        <w:rPr>
          <w:rFonts w:hint="eastAsia" w:ascii="方正仿宋_GBK" w:hAnsi="方正仿宋_GBK" w:cs="方正仿宋_GBK"/>
          <w:color w:val="auto"/>
        </w:rPr>
        <w:t>×人均污水排放量）+∑（得到单户利用的常住人口</w:t>
      </w:r>
      <w:sdt>
        <w:sdtPr>
          <w:rPr>
            <w:color w:val="auto"/>
          </w:rPr>
          <w:alias w:val="标点符号检查"/>
          <w:id w:val="3180014"/>
        </w:sdtPr>
        <w:sdtEndPr>
          <w:rPr>
            <w:color w:val="auto"/>
          </w:rPr>
        </w:sdtEndPr>
        <w:sdtContent>
          <w:bookmarkStart w:id="278" w:name="bkReivew3180014"/>
          <w:r>
            <w:rPr>
              <w:rFonts w:hint="eastAsia" w:ascii="方正仿宋_GBK" w:hAnsi="方正仿宋_GBK" w:cs="方正仿宋_GBK"/>
              <w:color w:val="auto"/>
            </w:rPr>
            <w:t>（</w:t>
          </w:r>
          <w:bookmarkEnd w:id="278"/>
        </w:sdtContent>
      </w:sdt>
      <w:r>
        <w:rPr>
          <w:rFonts w:hint="eastAsia" w:ascii="方正仿宋_GBK" w:hAnsi="方正仿宋_GBK" w:cs="方正仿宋_GBK"/>
          <w:color w:val="auto"/>
        </w:rPr>
        <w:t>人</w:t>
      </w:r>
      <w:sdt>
        <w:sdtPr>
          <w:rPr>
            <w:color w:val="auto"/>
          </w:rPr>
          <w:alias w:val="标点符号检查"/>
          <w:id w:val="1101034"/>
        </w:sdtPr>
        <w:sdtEndPr>
          <w:rPr>
            <w:color w:val="auto"/>
          </w:rPr>
        </w:sdtEndPr>
        <w:sdtContent>
          <w:bookmarkStart w:id="279" w:name="bkReivew1101034"/>
          <w:r>
            <w:rPr>
              <w:rFonts w:hint="eastAsia" w:ascii="方正仿宋_GBK" w:hAnsi="方正仿宋_GBK" w:cs="方正仿宋_GBK"/>
              <w:color w:val="auto"/>
            </w:rPr>
            <w:t>）</w:t>
          </w:r>
          <w:bookmarkEnd w:id="279"/>
        </w:sdtContent>
      </w:sdt>
      <w:r>
        <w:rPr>
          <w:rFonts w:hint="eastAsia" w:ascii="方正仿宋_GBK" w:hAnsi="方正仿宋_GBK" w:cs="方正仿宋_GBK"/>
          <w:color w:val="auto"/>
        </w:rPr>
        <w:t>×人均污水排放量×资源化利用系数）]/∑（区域常住人口</w:t>
      </w:r>
      <w:sdt>
        <w:sdtPr>
          <w:rPr>
            <w:color w:val="auto"/>
          </w:rPr>
          <w:alias w:val="标点符号检查"/>
          <w:id w:val="2062042"/>
        </w:sdtPr>
        <w:sdtEndPr>
          <w:rPr>
            <w:color w:val="auto"/>
          </w:rPr>
        </w:sdtEndPr>
        <w:sdtContent>
          <w:bookmarkStart w:id="280" w:name="bkReivew2062042"/>
          <w:r>
            <w:rPr>
              <w:rFonts w:hint="eastAsia" w:ascii="方正仿宋_GBK" w:hAnsi="方正仿宋_GBK" w:cs="方正仿宋_GBK"/>
              <w:color w:val="auto"/>
            </w:rPr>
            <w:t>（</w:t>
          </w:r>
          <w:bookmarkEnd w:id="280"/>
        </w:sdtContent>
      </w:sdt>
      <w:r>
        <w:rPr>
          <w:rFonts w:hint="eastAsia" w:ascii="方正仿宋_GBK" w:hAnsi="方正仿宋_GBK" w:cs="方正仿宋_GBK"/>
          <w:color w:val="auto"/>
        </w:rPr>
        <w:t>人</w:t>
      </w:r>
      <w:sdt>
        <w:sdtPr>
          <w:rPr>
            <w:color w:val="auto"/>
          </w:rPr>
          <w:alias w:val="标点符号检查"/>
          <w:id w:val="2112802"/>
        </w:sdtPr>
        <w:sdtEndPr>
          <w:rPr>
            <w:color w:val="auto"/>
          </w:rPr>
        </w:sdtEndPr>
        <w:sdtContent>
          <w:bookmarkStart w:id="281" w:name="bkReivew2112802"/>
          <w:r>
            <w:rPr>
              <w:rFonts w:hint="eastAsia" w:ascii="方正仿宋_GBK" w:hAnsi="方正仿宋_GBK" w:cs="方正仿宋_GBK"/>
              <w:color w:val="auto"/>
            </w:rPr>
            <w:t>）</w:t>
          </w:r>
          <w:bookmarkEnd w:id="281"/>
        </w:sdtContent>
      </w:sdt>
      <w:r>
        <w:rPr>
          <w:rFonts w:hint="eastAsia" w:ascii="方正仿宋_GBK" w:hAnsi="方正仿宋_GBK" w:cs="方正仿宋_GBK"/>
          <w:color w:val="auto"/>
        </w:rPr>
        <w:t>×人均污水排放量）</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①人均污水排放量：可参考《农村生活污水处理工程技术标准》（GB/T 51347-2019）取值，升/人.天。计算时，可默认集中区域、分散区域人均污水排放量相同。</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②资源化利用系数：根据改厕类型及实际还田量确定。参考如，卫生厕所（无害化卫生厕所）+粪污水还田利用，可取0.4。</w:t>
      </w:r>
    </w:p>
    <w:p>
      <w:pPr>
        <w:widowControl w:val="0"/>
        <w:ind w:firstLine="640"/>
        <w:rPr>
          <w:rFonts w:hint="eastAsia" w:ascii="方正仿宋_GBK" w:hAnsi="方正仿宋_GBK" w:cs="方正仿宋_GBK"/>
          <w:color w:val="auto"/>
        </w:rPr>
      </w:pPr>
      <w:bookmarkStart w:id="282" w:name="_Toc48318286"/>
      <w:bookmarkStart w:id="283" w:name="_Toc45199279"/>
      <w:r>
        <w:rPr>
          <w:rFonts w:hint="eastAsia" w:ascii="方正仿宋_GBK" w:hAnsi="方正仿宋_GBK" w:cs="方正仿宋_GBK"/>
          <w:color w:val="auto"/>
        </w:rPr>
        <w:t>1.8.3  分析结果</w:t>
      </w:r>
      <w:bookmarkEnd w:id="282"/>
      <w:bookmarkEnd w:id="283"/>
    </w:p>
    <w:p>
      <w:pPr>
        <w:widowControl w:val="0"/>
        <w:ind w:firstLine="640"/>
        <w:rPr>
          <w:rFonts w:hint="eastAsia" w:ascii="方正仿宋_GBK" w:hAnsi="方正仿宋_GBK" w:cs="方正仿宋_GBK"/>
          <w:color w:val="auto"/>
        </w:rPr>
      </w:pPr>
      <w:bookmarkStart w:id="284" w:name="_Toc45199280"/>
      <w:r>
        <w:rPr>
          <w:rFonts w:hint="eastAsia" w:ascii="方正仿宋_GBK" w:hAnsi="方正仿宋_GBK" w:cs="方正仿宋_GBK"/>
          <w:color w:val="auto"/>
        </w:rPr>
        <w:t>到2025年，农村生活污水得到治理的农户覆盖率达到81.65%；农村生活污水治理率达到52.16%。相对现状来，分别提高了39.81个分点和26.23个分点。规划目标见下表1.9-1。</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表1.9-1  规划指标</w:t>
      </w:r>
    </w:p>
    <w:tbl>
      <w:tblPr>
        <w:tblStyle w:val="25"/>
        <w:tblW w:w="0" w:type="auto"/>
        <w:jc w:val="center"/>
        <w:tblLayout w:type="fixed"/>
        <w:tblCellMar>
          <w:top w:w="0" w:type="dxa"/>
          <w:left w:w="108" w:type="dxa"/>
          <w:bottom w:w="0" w:type="dxa"/>
          <w:right w:w="108" w:type="dxa"/>
        </w:tblCellMar>
      </w:tblPr>
      <w:tblGrid>
        <w:gridCol w:w="732"/>
        <w:gridCol w:w="986"/>
        <w:gridCol w:w="4296"/>
        <w:gridCol w:w="1434"/>
        <w:gridCol w:w="1613"/>
      </w:tblGrid>
      <w:tr>
        <w:tblPrEx>
          <w:tblCellMar>
            <w:top w:w="0" w:type="dxa"/>
            <w:left w:w="108" w:type="dxa"/>
            <w:bottom w:w="0" w:type="dxa"/>
            <w:right w:w="108" w:type="dxa"/>
          </w:tblCellMar>
        </w:tblPrEx>
        <w:trPr>
          <w:trHeight w:val="634" w:hRule="atLeast"/>
          <w:tblHeader/>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5282" w:type="dxa"/>
            <w:gridSpan w:val="2"/>
            <w:tcBorders>
              <w:top w:val="single" w:color="auto" w:sz="4" w:space="0"/>
              <w:left w:val="nil"/>
              <w:bottom w:val="single" w:color="auto" w:sz="4" w:space="0"/>
              <w:right w:val="single" w:color="000000"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指标名称</w:t>
            </w:r>
          </w:p>
        </w:tc>
        <w:tc>
          <w:tcPr>
            <w:tcW w:w="1434"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现状指标</w:t>
            </w:r>
          </w:p>
        </w:tc>
        <w:tc>
          <w:tcPr>
            <w:tcW w:w="1613"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2025年目标值</w:t>
            </w:r>
          </w:p>
        </w:tc>
      </w:tr>
      <w:tr>
        <w:tblPrEx>
          <w:tblCellMar>
            <w:top w:w="0" w:type="dxa"/>
            <w:left w:w="108" w:type="dxa"/>
            <w:bottom w:w="0" w:type="dxa"/>
            <w:right w:w="108" w:type="dxa"/>
          </w:tblCellMar>
        </w:tblPrEx>
        <w:trPr>
          <w:trHeight w:val="634" w:hRule="atLeast"/>
          <w:jc w:val="center"/>
        </w:trPr>
        <w:tc>
          <w:tcPr>
            <w:tcW w:w="73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986"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综合线指标</w:t>
            </w:r>
          </w:p>
        </w:tc>
        <w:tc>
          <w:tcPr>
            <w:tcW w:w="42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农村生活污水得到治理的农户覆盖率（%）</w:t>
            </w:r>
          </w:p>
        </w:tc>
        <w:tc>
          <w:tcPr>
            <w:tcW w:w="143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41.84</w:t>
            </w:r>
          </w:p>
        </w:tc>
        <w:tc>
          <w:tcPr>
            <w:tcW w:w="161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81.65</w:t>
            </w:r>
          </w:p>
        </w:tc>
      </w:tr>
      <w:tr>
        <w:tblPrEx>
          <w:tblCellMar>
            <w:top w:w="0" w:type="dxa"/>
            <w:left w:w="108" w:type="dxa"/>
            <w:bottom w:w="0" w:type="dxa"/>
            <w:right w:w="108" w:type="dxa"/>
          </w:tblCellMar>
        </w:tblPrEx>
        <w:trPr>
          <w:trHeight w:val="634" w:hRule="atLeast"/>
          <w:jc w:val="center"/>
        </w:trPr>
        <w:tc>
          <w:tcPr>
            <w:tcW w:w="73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986"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420"/>
              <w:jc w:val="center"/>
              <w:rPr>
                <w:rFonts w:hint="eastAsia" w:ascii="方正仿宋_GBK" w:hAnsi="方正仿宋_GBK" w:cs="方正仿宋_GBK"/>
                <w:color w:val="auto"/>
                <w:sz w:val="21"/>
                <w:szCs w:val="21"/>
              </w:rPr>
            </w:pPr>
          </w:p>
        </w:tc>
        <w:tc>
          <w:tcPr>
            <w:tcW w:w="429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农村生活污水治理率（%）</w:t>
            </w:r>
          </w:p>
        </w:tc>
        <w:tc>
          <w:tcPr>
            <w:tcW w:w="143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25.93</w:t>
            </w:r>
          </w:p>
        </w:tc>
        <w:tc>
          <w:tcPr>
            <w:tcW w:w="161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52.16</w:t>
            </w:r>
          </w:p>
        </w:tc>
      </w:tr>
    </w:tbl>
    <w:p>
      <w:pPr>
        <w:widowControl w:val="0"/>
        <w:ind w:firstLine="0" w:firstLineChars="0"/>
        <w:rPr>
          <w:rFonts w:hint="eastAsia" w:ascii="方正黑体_GBK" w:hAnsi="方正黑体_GBK" w:eastAsia="方正黑体_GBK" w:cs="方正黑体_GBK"/>
          <w:color w:val="auto"/>
        </w:rPr>
      </w:pPr>
      <w:bookmarkStart w:id="285" w:name="_Toc48318287"/>
    </w:p>
    <w:p>
      <w:pPr>
        <w:widowControl w:val="0"/>
        <w:ind w:firstLine="0" w:firstLineChars="0"/>
        <w:jc w:val="center"/>
        <w:rPr>
          <w:rFonts w:hint="eastAsia" w:ascii="方正黑体_GBK" w:hAnsi="方正黑体_GBK" w:eastAsia="方正黑体_GBK" w:cs="方正黑体_GBK"/>
          <w:color w:val="auto"/>
        </w:rPr>
      </w:pPr>
      <w:r>
        <w:rPr>
          <w:rFonts w:hint="eastAsia" w:ascii="方正黑体_GBK" w:hAnsi="方正黑体_GBK" w:eastAsia="方正黑体_GBK" w:cs="方正黑体_GBK"/>
          <w:color w:val="auto"/>
        </w:rPr>
        <w:t>第2章  区域概况</w:t>
      </w:r>
      <w:bookmarkEnd w:id="284"/>
      <w:bookmarkEnd w:id="285"/>
      <w:bookmarkStart w:id="286" w:name="_Toc48318288"/>
      <w:bookmarkStart w:id="287" w:name="_Toc45199281"/>
    </w:p>
    <w:p>
      <w:pPr>
        <w:widowControl w:val="0"/>
        <w:ind w:firstLine="640"/>
        <w:jc w:val="left"/>
        <w:rPr>
          <w:rFonts w:hint="eastAsia"/>
          <w:color w:val="auto"/>
        </w:rPr>
      </w:pPr>
      <w:r>
        <w:rPr>
          <w:rFonts w:hint="eastAsia" w:ascii="方正楷体_GBK" w:hAnsi="方正楷体_GBK" w:eastAsia="方正楷体_GBK" w:cs="方正楷体_GBK"/>
          <w:color w:val="auto"/>
        </w:rPr>
        <w:t>2.1  地理位置</w:t>
      </w:r>
      <w:bookmarkEnd w:id="286"/>
      <w:bookmarkEnd w:id="287"/>
    </w:p>
    <w:p>
      <w:pPr>
        <w:widowControl w:val="0"/>
        <w:ind w:firstLine="640"/>
        <w:rPr>
          <w:rFonts w:hint="eastAsia"/>
          <w:color w:val="auto"/>
        </w:rPr>
      </w:pPr>
      <w:r>
        <w:rPr>
          <w:rFonts w:hint="eastAsia" w:ascii="方正仿宋_GBK" w:hAnsi="方正仿宋_GBK" w:cs="方正仿宋_GBK"/>
          <w:color w:val="auto"/>
        </w:rPr>
        <w:t>永川区地处四川盆地东南，重庆市西部，长江上游北岸，成渝两市陆路交通之要冲，地理位置为东经105°37′37″～106°05′06″，北纬28°56′16″～29°34′23″之间，东与璧山、江津，南与四川省泸县、合江，西与永川、大足，北与铜梁等七县（区）接壤，</w:t>
      </w:r>
      <w:sdt>
        <w:sdtPr>
          <w:rPr>
            <w:color w:val="auto"/>
          </w:rPr>
          <w:alias w:val="易错词检查"/>
          <w:id w:val="3021814"/>
        </w:sdtPr>
        <w:sdtEndPr>
          <w:rPr>
            <w:color w:val="auto"/>
          </w:rPr>
        </w:sdtEndPr>
        <w:sdtContent>
          <w:bookmarkStart w:id="288" w:name="bkReivew3021814"/>
          <w:r>
            <w:rPr>
              <w:rFonts w:hint="eastAsia"/>
              <w:color w:val="auto"/>
              <w:lang w:eastAsia="zh-CN"/>
            </w:rPr>
            <w:t>辖区</w:t>
          </w:r>
          <w:r>
            <w:rPr>
              <w:rFonts w:hint="eastAsia" w:ascii="方正仿宋_GBK" w:hAnsi="方正仿宋_GBK" w:cs="方正仿宋_GBK"/>
              <w:color w:val="auto"/>
            </w:rPr>
            <w:t>面积</w:t>
          </w:r>
          <w:bookmarkEnd w:id="288"/>
        </w:sdtContent>
      </w:sdt>
      <w:r>
        <w:rPr>
          <w:rFonts w:hint="eastAsia" w:ascii="方正仿宋_GBK" w:hAnsi="方正仿宋_GBK" w:cs="方正仿宋_GBK"/>
          <w:color w:val="auto"/>
        </w:rPr>
        <w:t>1576km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w:t>
      </w:r>
    </w:p>
    <w:p>
      <w:pPr>
        <w:widowControl w:val="0"/>
        <w:ind w:firstLine="0" w:firstLineChars="0"/>
        <w:jc w:val="center"/>
        <w:rPr>
          <w:color w:val="auto"/>
        </w:rPr>
      </w:pPr>
      <w:r>
        <w:rPr>
          <w:color w:val="auto"/>
        </w:rPr>
        <w:drawing>
          <wp:inline distT="0" distB="0" distL="114300" distR="114300">
            <wp:extent cx="5494655" cy="1932940"/>
            <wp:effectExtent l="0" t="0" r="10795" b="10160"/>
            <wp:docPr id="10" name="图片 91"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1" descr="1111"/>
                    <pic:cNvPicPr>
                      <a:picLocks noChangeAspect="1"/>
                    </pic:cNvPicPr>
                  </pic:nvPicPr>
                  <pic:blipFill>
                    <a:blip r:embed="rId18"/>
                    <a:stretch>
                      <a:fillRect/>
                    </a:stretch>
                  </pic:blipFill>
                  <pic:spPr>
                    <a:xfrm>
                      <a:off x="0" y="0"/>
                      <a:ext cx="5494655" cy="1932940"/>
                    </a:xfrm>
                    <a:prstGeom prst="rect">
                      <a:avLst/>
                    </a:prstGeom>
                    <a:noFill/>
                    <a:ln>
                      <a:noFill/>
                    </a:ln>
                  </pic:spPr>
                </pic:pic>
              </a:graphicData>
            </a:graphic>
          </wp:inline>
        </w:drawing>
      </w:r>
    </w:p>
    <w:p>
      <w:pPr>
        <w:pStyle w:val="11"/>
        <w:widowControl w:val="0"/>
        <w:spacing w:line="240" w:lineRule="auto"/>
        <w:rPr>
          <w:rFonts w:hint="eastAsia" w:ascii="方正楷体_GBK" w:hAnsi="方正楷体_GBK" w:cs="方正楷体_GBK"/>
          <w:color w:val="auto"/>
        </w:rPr>
      </w:pPr>
      <w:r>
        <w:rPr>
          <w:rFonts w:hint="eastAsia" w:ascii="方正楷体_GBK" w:hAnsi="方正楷体_GBK" w:cs="方正楷体_GBK"/>
          <w:color w:val="auto"/>
          <w:lang w:val="en-US" w:eastAsia="zh-CN"/>
        </w:rPr>
        <w:t xml:space="preserve"> </w:t>
      </w:r>
      <w:r>
        <w:rPr>
          <w:rFonts w:hint="eastAsia" w:ascii="方正楷体_GBK" w:hAnsi="方正楷体_GBK" w:cs="方正楷体_GBK"/>
          <w:color w:val="auto"/>
        </w:rPr>
        <w:t>图2.1-</w:t>
      </w:r>
      <w:r>
        <w:rPr>
          <w:rFonts w:hint="eastAsia" w:ascii="方正楷体_GBK" w:hAnsi="方正楷体_GBK" w:cs="方正楷体_GBK"/>
          <w:color w:val="auto"/>
          <w:lang w:val="en-US" w:eastAsia="zh-CN"/>
        </w:rPr>
        <w:t xml:space="preserve">1  </w:t>
      </w:r>
      <w:r>
        <w:rPr>
          <w:rFonts w:hint="eastAsia" w:ascii="方正楷体_GBK" w:hAnsi="方正楷体_GBK" w:cs="方正楷体_GBK"/>
          <w:color w:val="auto"/>
        </w:rPr>
        <w:t>永川区在全国区位图</w:t>
      </w:r>
      <w:r>
        <w:rPr>
          <w:rFonts w:hint="eastAsia" w:ascii="方正楷体_GBK" w:hAnsi="方正楷体_GBK" w:cs="方正楷体_GBK"/>
          <w:color w:val="auto"/>
          <w:lang w:val="en-US" w:eastAsia="zh-CN"/>
        </w:rPr>
        <w:t xml:space="preserve">      </w:t>
      </w:r>
      <w:r>
        <w:rPr>
          <w:rFonts w:hint="eastAsia" w:ascii="方正楷体_GBK" w:hAnsi="方正楷体_GBK" w:cs="方正楷体_GBK"/>
          <w:color w:val="auto"/>
        </w:rPr>
        <w:t>图2.1-2 永川区在重庆区位图</w:t>
      </w:r>
    </w:p>
    <w:p>
      <w:pPr>
        <w:widowControl w:val="0"/>
        <w:ind w:firstLine="640"/>
        <w:rPr>
          <w:rFonts w:hint="eastAsia" w:ascii="方正楷体_GBK" w:hAnsi="方正楷体_GBK" w:eastAsia="方正楷体_GBK" w:cs="方正楷体_GBK"/>
          <w:color w:val="auto"/>
        </w:rPr>
      </w:pPr>
      <w:bookmarkStart w:id="289" w:name="_Toc45199282"/>
      <w:bookmarkStart w:id="290" w:name="_Toc48318289"/>
      <w:r>
        <w:rPr>
          <w:rFonts w:hint="eastAsia" w:ascii="方正楷体_GBK" w:hAnsi="方正楷体_GBK" w:eastAsia="方正楷体_GBK" w:cs="方正楷体_GBK"/>
          <w:color w:val="auto"/>
        </w:rPr>
        <w:t>2.2  自然条件</w:t>
      </w:r>
      <w:bookmarkEnd w:id="289"/>
      <w:bookmarkEnd w:id="290"/>
    </w:p>
    <w:p>
      <w:pPr>
        <w:widowControl w:val="0"/>
        <w:ind w:firstLine="640"/>
        <w:rPr>
          <w:rFonts w:hint="eastAsia" w:ascii="方正仿宋_GBK" w:hAnsi="方正仿宋_GBK" w:cs="方正仿宋_GBK"/>
          <w:color w:val="auto"/>
        </w:rPr>
      </w:pPr>
      <w:bookmarkStart w:id="291" w:name="_Toc48318290"/>
      <w:bookmarkStart w:id="292" w:name="_Toc45199283"/>
      <w:r>
        <w:rPr>
          <w:rFonts w:hint="eastAsia" w:ascii="方正仿宋_GBK" w:hAnsi="方正仿宋_GBK" w:cs="方正仿宋_GBK"/>
          <w:color w:val="auto"/>
        </w:rPr>
        <w:t>2.2.1  气候特征</w:t>
      </w:r>
      <w:bookmarkEnd w:id="291"/>
      <w:bookmarkEnd w:id="292"/>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永川区地处中亚热带湿润气候区，四季分明，雨量充沛，无霜期长，夏季日照多，冬季日照少，且早春霜雪少，夏热多伏旱，晚秋多阴雨，冬短少严寒等特点。</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城区有永川气象站，根据永川气象站1956-2015年气象资料统计：多年平均气温17.7℃，多年平均降雨量1043.96mm。年际降水变化大，最大年降水量为1442.9mm（1962年），最小年降雨量为711.6mm（1961年），降水年内分配不均，各季占年降水量的比例为：春季22.4％，夏季46.2％，秋季24.4％，冬季6％。多年平均蒸发量1128.90mm，多年平均相对湿度82％，多年平均风速1.5m/s，最大平均风速15.5m/s，风向NNW，瞬时最大风速26.0m/s（10级），发生在1974年7月31日，多年平均日照时数1248.2h。永川区气象站气象特征值统计见表2.2-1。</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表2.2-1  永川区气象站历年月气象特征值统计表</w:t>
      </w:r>
    </w:p>
    <w:tbl>
      <w:tblPr>
        <w:tblStyle w:val="25"/>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493"/>
        <w:gridCol w:w="557"/>
        <w:gridCol w:w="486"/>
        <w:gridCol w:w="493"/>
        <w:gridCol w:w="596"/>
        <w:gridCol w:w="608"/>
        <w:gridCol w:w="635"/>
        <w:gridCol w:w="615"/>
        <w:gridCol w:w="601"/>
        <w:gridCol w:w="658"/>
        <w:gridCol w:w="501"/>
        <w:gridCol w:w="488"/>
        <w:gridCol w:w="487"/>
        <w:gridCol w:w="6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blHeader/>
          <w:jc w:val="center"/>
        </w:trPr>
        <w:tc>
          <w:tcPr>
            <w:tcW w:w="1493"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月  份</w:t>
            </w:r>
          </w:p>
        </w:tc>
        <w:tc>
          <w:tcPr>
            <w:tcW w:w="557"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1</w:t>
            </w:r>
          </w:p>
        </w:tc>
        <w:tc>
          <w:tcPr>
            <w:tcW w:w="486"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2</w:t>
            </w:r>
          </w:p>
        </w:tc>
        <w:tc>
          <w:tcPr>
            <w:tcW w:w="493"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3</w:t>
            </w:r>
          </w:p>
        </w:tc>
        <w:tc>
          <w:tcPr>
            <w:tcW w:w="596"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4</w:t>
            </w:r>
          </w:p>
        </w:tc>
        <w:tc>
          <w:tcPr>
            <w:tcW w:w="608"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5</w:t>
            </w:r>
          </w:p>
        </w:tc>
        <w:tc>
          <w:tcPr>
            <w:tcW w:w="635"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6</w:t>
            </w:r>
          </w:p>
        </w:tc>
        <w:tc>
          <w:tcPr>
            <w:tcW w:w="615"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7</w:t>
            </w:r>
          </w:p>
        </w:tc>
        <w:tc>
          <w:tcPr>
            <w:tcW w:w="601"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8</w:t>
            </w:r>
          </w:p>
        </w:tc>
        <w:tc>
          <w:tcPr>
            <w:tcW w:w="658"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9</w:t>
            </w:r>
          </w:p>
        </w:tc>
        <w:tc>
          <w:tcPr>
            <w:tcW w:w="501"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10</w:t>
            </w:r>
          </w:p>
        </w:tc>
        <w:tc>
          <w:tcPr>
            <w:tcW w:w="488"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11</w:t>
            </w:r>
          </w:p>
        </w:tc>
        <w:tc>
          <w:tcPr>
            <w:tcW w:w="487"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12</w:t>
            </w:r>
          </w:p>
        </w:tc>
        <w:tc>
          <w:tcPr>
            <w:tcW w:w="683"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4"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多年平均气温（℃）</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13.1</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21.9</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24.5</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27.2</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27.4</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22.9</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5"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多年平均最高</w:t>
            </w:r>
          </w:p>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温度</w:t>
            </w:r>
            <w:r>
              <w:rPr>
                <w:rFonts w:hint="eastAsia" w:ascii="方正仿宋_GBK" w:hAnsi="方正仿宋_GBK" w:cs="方正仿宋_GBK"/>
                <w:color w:val="auto"/>
                <w:sz w:val="21"/>
                <w:szCs w:val="21"/>
              </w:rPr>
              <w:t>（℃）</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23.3</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25.9</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28.6</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32.7</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32.9</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27.2</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21.5</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11.9</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5"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多年平均最低</w:t>
            </w:r>
          </w:p>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温度</w:t>
            </w:r>
            <w:r>
              <w:rPr>
                <w:rFonts w:hint="eastAsia" w:ascii="方正仿宋_GBK" w:hAnsi="方正仿宋_GBK" w:cs="方正仿宋_GBK"/>
                <w:color w:val="auto"/>
                <w:sz w:val="21"/>
                <w:szCs w:val="21"/>
              </w:rPr>
              <w:t>（℃）</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18.5</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21.2</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24.1</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23.8</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11.3</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4"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蒸发量（mm）</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28.60</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38.07</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72.84</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108.99</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145.35</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134.61</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173.74</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185.97</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111.75</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59.12</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42.32</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27.54</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1128.90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5"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多年平均降</w:t>
            </w:r>
          </w:p>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雨量（mm）</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19.8</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33.7</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73.8</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132.5</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168.5</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171.5</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148.0</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140.1</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80.0</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41.3</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19.5</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1043.96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4"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占年均降雨量（%）</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12.9</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16.4</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16.7</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11.7</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5"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多年平均相对</w:t>
            </w:r>
          </w:p>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湿度（</w:t>
            </w:r>
            <w:r>
              <w:rPr>
                <w:rFonts w:hint="eastAsia" w:ascii="方正仿宋_GBK" w:hAnsi="方正仿宋_GBK" w:cs="方正仿宋_GBK"/>
                <w:color w:val="auto"/>
                <w:sz w:val="21"/>
                <w:szCs w:val="21"/>
              </w:rPr>
              <w:t>%）</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4"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最小相对湿度（%）</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5"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多年平均风速（m/s）</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4"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最大风速（m/s）</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16.0</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17.3</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21.3</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26.0</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13.0</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16.0</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10.7</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4"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风向</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NNW</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10" w:hRule="atLeast"/>
          <w:jc w:val="center"/>
        </w:trPr>
        <w:tc>
          <w:tcPr>
            <w:tcW w:w="1493" w:type="dxa"/>
            <w:noWrap w:val="0"/>
            <w:vAlign w:val="center"/>
          </w:tcPr>
          <w:p>
            <w:pPr>
              <w:pStyle w:val="35"/>
              <w:widowControl w:val="0"/>
              <w:spacing w:line="216" w:lineRule="auto"/>
              <w:rPr>
                <w:rFonts w:hint="eastAsia" w:ascii="方正仿宋_GBK" w:hAnsi="方正仿宋_GBK" w:cs="方正仿宋_GBK"/>
                <w:color w:val="auto"/>
                <w:spacing w:val="-11"/>
                <w:sz w:val="21"/>
                <w:szCs w:val="21"/>
              </w:rPr>
            </w:pPr>
            <w:r>
              <w:rPr>
                <w:rFonts w:hint="eastAsia" w:ascii="方正仿宋_GBK" w:hAnsi="方正仿宋_GBK" w:cs="方正仿宋_GBK"/>
                <w:color w:val="auto"/>
                <w:spacing w:val="-11"/>
                <w:sz w:val="21"/>
                <w:szCs w:val="21"/>
              </w:rPr>
              <w:t>多年平均日照</w:t>
            </w:r>
          </w:p>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时数</w:t>
            </w:r>
            <w:r>
              <w:rPr>
                <w:rFonts w:hint="eastAsia" w:ascii="方正仿宋_GBK" w:hAnsi="方正仿宋_GBK" w:cs="方正仿宋_GBK"/>
                <w:color w:val="auto"/>
                <w:sz w:val="21"/>
                <w:szCs w:val="21"/>
              </w:rPr>
              <w:t>（h）</w:t>
            </w:r>
          </w:p>
        </w:tc>
        <w:tc>
          <w:tcPr>
            <w:tcW w:w="55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37.1</w:t>
            </w:r>
          </w:p>
        </w:tc>
        <w:tc>
          <w:tcPr>
            <w:tcW w:w="48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44.0</w:t>
            </w:r>
          </w:p>
        </w:tc>
        <w:tc>
          <w:tcPr>
            <w:tcW w:w="49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83.3</w:t>
            </w:r>
          </w:p>
        </w:tc>
        <w:tc>
          <w:tcPr>
            <w:tcW w:w="596"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124.7</w:t>
            </w:r>
          </w:p>
        </w:tc>
        <w:tc>
          <w:tcPr>
            <w:tcW w:w="60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134.7</w:t>
            </w:r>
          </w:p>
        </w:tc>
        <w:tc>
          <w:tcPr>
            <w:tcW w:w="63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129.9</w:t>
            </w:r>
          </w:p>
        </w:tc>
        <w:tc>
          <w:tcPr>
            <w:tcW w:w="615"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w:t>
            </w:r>
          </w:p>
        </w:tc>
        <w:tc>
          <w:tcPr>
            <w:tcW w:w="6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216.6</w:t>
            </w:r>
          </w:p>
        </w:tc>
        <w:tc>
          <w:tcPr>
            <w:tcW w:w="65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115.4</w:t>
            </w:r>
          </w:p>
        </w:tc>
        <w:tc>
          <w:tcPr>
            <w:tcW w:w="501"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68.0</w:t>
            </w:r>
          </w:p>
        </w:tc>
        <w:tc>
          <w:tcPr>
            <w:tcW w:w="488"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54.9</w:t>
            </w:r>
          </w:p>
        </w:tc>
        <w:tc>
          <w:tcPr>
            <w:tcW w:w="487"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37.2</w:t>
            </w:r>
          </w:p>
        </w:tc>
        <w:tc>
          <w:tcPr>
            <w:tcW w:w="683" w:type="dxa"/>
            <w:noWrap w:val="0"/>
            <w:vAlign w:val="center"/>
          </w:tcPr>
          <w:p>
            <w:pPr>
              <w:pStyle w:val="35"/>
              <w:widowControl w:val="0"/>
              <w:spacing w:line="216" w:lineRule="auto"/>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1248.2</w:t>
            </w:r>
          </w:p>
        </w:tc>
      </w:tr>
    </w:tbl>
    <w:p>
      <w:pPr>
        <w:widowControl w:val="0"/>
        <w:ind w:firstLine="640"/>
        <w:rPr>
          <w:rFonts w:hint="eastAsia" w:ascii="方正仿宋_GBK" w:hAnsi="方正仿宋_GBK" w:cs="方正仿宋_GBK"/>
          <w:color w:val="auto"/>
        </w:rPr>
      </w:pPr>
      <w:bookmarkStart w:id="293" w:name="_Toc48318291"/>
      <w:bookmarkStart w:id="294" w:name="_Toc45199284"/>
      <w:r>
        <w:rPr>
          <w:rFonts w:hint="eastAsia" w:ascii="方正仿宋_GBK" w:hAnsi="方正仿宋_GBK" w:cs="方正仿宋_GBK"/>
          <w:color w:val="auto"/>
        </w:rPr>
        <w:t>2.2.2  地形地貌</w:t>
      </w:r>
      <w:bookmarkEnd w:id="293"/>
      <w:bookmarkEnd w:id="294"/>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永川区地处川东平行岭谷的西南端，平行岭谷在这里作帚状散开，逐渐趋于倾没。地势北高南低。丘陵占全区总面积的70%以上，低山次之，山脉呈东西排列，南北走向分布。</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地质构造：永川区隶属于新华夏系第三沉降带，川东南褶皱带的永川帚状褶皱束。境内呈北东～西南走向展布不对称的高幅度紧密褶皱。其特点是背斜窄，向斜宽，两翼不对称。</w:t>
      </w:r>
    </w:p>
    <w:p>
      <w:pPr>
        <w:widowControl w:val="0"/>
        <w:ind w:firstLine="640"/>
        <w:rPr>
          <w:rFonts w:hint="eastAsia"/>
          <w:color w:val="auto"/>
        </w:rPr>
      </w:pPr>
      <w:r>
        <w:rPr>
          <w:rFonts w:hint="eastAsia" w:ascii="方正仿宋_GBK" w:hAnsi="方正仿宋_GBK" w:cs="方正仿宋_GBK"/>
          <w:color w:val="auto"/>
        </w:rPr>
        <w:t>最高点在永川城区北面的箕山薄刀岭，最低点在境内南端松溉镇中河坝长江出境处。其地貌总特点是：东面云雾山、西面巴岳山、英山包围全境，箕山、黄瓜山直贯其中，五条背斜、中低山大致组成“川”字形岭群。三个向斜，板桥、</w:t>
      </w:r>
      <w:r>
        <w:rPr>
          <w:rFonts w:hint="eastAsia"/>
          <w:color w:val="auto"/>
        </w:rPr>
        <w:t>来苏向斜是西南高、东北低，石庙向斜是中间高，南北低，经流水切割，向斜谷地多已地形倒置，形成各式丘陵地貌。按地貌形态及成因</w:t>
      </w:r>
      <w:sdt>
        <w:sdtPr>
          <w:rPr>
            <w:color w:val="auto"/>
          </w:rPr>
          <w:alias w:val="易错词检查"/>
          <w:id w:val="2132214"/>
        </w:sdtPr>
        <w:sdtEndPr>
          <w:rPr>
            <w:color w:val="auto"/>
          </w:rPr>
        </w:sdtEndPr>
        <w:sdtContent>
          <w:bookmarkStart w:id="295" w:name="bkReivew2132214"/>
          <w:r>
            <w:rPr>
              <w:rFonts w:hint="eastAsia"/>
              <w:color w:val="auto"/>
            </w:rPr>
            <w:t>归划</w:t>
          </w:r>
          <w:bookmarkEnd w:id="295"/>
        </w:sdtContent>
      </w:sdt>
      <w:r>
        <w:rPr>
          <w:rFonts w:hint="eastAsia"/>
          <w:color w:val="auto"/>
        </w:rPr>
        <w:t>为浅丘、中丘、深丘、低山、中山五种类型。</w:t>
      </w:r>
    </w:p>
    <w:p>
      <w:pPr>
        <w:widowControl w:val="0"/>
        <w:adjustRightInd/>
        <w:snapToGrid/>
        <w:ind w:firstLine="640"/>
        <w:jc w:val="center"/>
        <w:rPr>
          <w:snapToGrid w:val="0"/>
          <w:color w:val="auto"/>
        </w:rPr>
      </w:pPr>
      <w:r>
        <w:rPr>
          <w:color w:val="auto"/>
        </w:rPr>
        <w:drawing>
          <wp:inline distT="0" distB="0" distL="114300" distR="114300">
            <wp:extent cx="2252980" cy="3521075"/>
            <wp:effectExtent l="0" t="0" r="13970" b="3175"/>
            <wp:docPr id="11" name="图片 23" descr="G:\水生态咨询部\项目 Projects\重庆永川区水生态文明城市建设实施方案\1.6 绘图 Graphics\GIS\map\高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G:\水生态咨询部\项目 Projects\重庆永川区水生态文明城市建设实施方案\1.6 绘图 Graphics\GIS\map\高程.jpg"/>
                    <pic:cNvPicPr>
                      <a:picLocks noChangeAspect="1"/>
                    </pic:cNvPicPr>
                  </pic:nvPicPr>
                  <pic:blipFill>
                    <a:blip r:embed="rId19"/>
                    <a:srcRect l="6929" t="6355" r="4756" b="5493"/>
                    <a:stretch>
                      <a:fillRect/>
                    </a:stretch>
                  </pic:blipFill>
                  <pic:spPr>
                    <a:xfrm>
                      <a:off x="0" y="0"/>
                      <a:ext cx="2252980" cy="3521075"/>
                    </a:xfrm>
                    <a:prstGeom prst="rect">
                      <a:avLst/>
                    </a:prstGeom>
                    <a:noFill/>
                    <a:ln>
                      <a:noFill/>
                    </a:ln>
                  </pic:spPr>
                </pic:pic>
              </a:graphicData>
            </a:graphic>
          </wp:inline>
        </w:drawing>
      </w:r>
      <w:r>
        <w:rPr>
          <w:color w:val="auto"/>
        </w:rPr>
        <w:drawing>
          <wp:inline distT="0" distB="0" distL="114300" distR="114300">
            <wp:extent cx="2242185" cy="3485515"/>
            <wp:effectExtent l="0" t="0" r="5715" b="635"/>
            <wp:docPr id="12" name="图片 25" descr="G:\水生态咨询部\项目 Projects\重庆永川区水生态文明城市建设实施方案\1.6 绘图 Graphics\GIS\map\坡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descr="G:\水生态咨询部\项目 Projects\重庆永川区水生态文明城市建设实施方案\1.6 绘图 Graphics\GIS\map\坡向.jpg"/>
                    <pic:cNvPicPr>
                      <a:picLocks noChangeAspect="1"/>
                    </pic:cNvPicPr>
                  </pic:nvPicPr>
                  <pic:blipFill>
                    <a:blip r:embed="rId20"/>
                    <a:srcRect l="6929" t="6355" r="7692" b="5493"/>
                    <a:stretch>
                      <a:fillRect/>
                    </a:stretch>
                  </pic:blipFill>
                  <pic:spPr>
                    <a:xfrm>
                      <a:off x="0" y="0"/>
                      <a:ext cx="2242185" cy="3485515"/>
                    </a:xfrm>
                    <a:prstGeom prst="rect">
                      <a:avLst/>
                    </a:prstGeom>
                    <a:noFill/>
                    <a:ln>
                      <a:noFill/>
                    </a:ln>
                  </pic:spPr>
                </pic:pic>
              </a:graphicData>
            </a:graphic>
          </wp:inline>
        </w:drawing>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 xml:space="preserve">         图2.2-1  永川区高程图      图2.2-2  永川区坡向图</w:t>
      </w:r>
    </w:p>
    <w:p>
      <w:pPr>
        <w:widowControl w:val="0"/>
        <w:spacing w:line="300" w:lineRule="auto"/>
        <w:ind w:firstLine="640"/>
        <w:rPr>
          <w:rFonts w:hint="eastAsia" w:ascii="方正仿宋_GBK" w:hAnsi="方正仿宋_GBK" w:cs="方正仿宋_GBK"/>
          <w:color w:val="auto"/>
        </w:rPr>
      </w:pPr>
      <w:bookmarkStart w:id="296" w:name="_Toc45199285"/>
      <w:bookmarkStart w:id="297" w:name="_Toc48318292"/>
      <w:r>
        <w:rPr>
          <w:rFonts w:hint="eastAsia" w:ascii="方正仿宋_GBK" w:hAnsi="方正仿宋_GBK" w:cs="方正仿宋_GBK"/>
          <w:color w:val="auto"/>
        </w:rPr>
        <w:t>2.2.3  土壤植被</w:t>
      </w:r>
      <w:bookmarkEnd w:id="296"/>
      <w:bookmarkEnd w:id="297"/>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全区耕地土壤按其发生条件、主要特点和生产性能共分为五个土类，十七个土属，六十三个土种，九十七个变种。</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土壤受成土母质的制约和气候、地貌的影响，基本与地质构造相吻合。在五条低山上，除少量飞仙关母质发育而成的暗紫色泥土外，大量分布着须家河组厚砂岩发育的冷沙土和嘉陵江组灰岩发育的矿子黄泥土壤。土质过沙或过粘，</w:t>
      </w:r>
      <w:sdt>
        <w:sdtPr>
          <w:rPr>
            <w:color w:val="auto"/>
          </w:rPr>
          <w:alias w:val="易错词检查"/>
          <w:id w:val="1023324"/>
        </w:sdtPr>
        <w:sdtEndPr>
          <w:rPr>
            <w:color w:val="auto"/>
          </w:rPr>
        </w:sdtEndPr>
        <w:sdtContent>
          <w:bookmarkStart w:id="298" w:name="bkReivew1023324"/>
          <w:r>
            <w:rPr>
              <w:rFonts w:hint="eastAsia" w:ascii="方正仿宋_GBK" w:hAnsi="方正仿宋_GBK" w:cs="方正仿宋_GBK"/>
              <w:color w:val="auto"/>
            </w:rPr>
            <w:t>酸瘦</w:t>
          </w:r>
          <w:bookmarkEnd w:id="298"/>
        </w:sdtContent>
      </w:sdt>
      <w:r>
        <w:rPr>
          <w:rFonts w:hint="eastAsia" w:ascii="方正仿宋_GBK" w:hAnsi="方正仿宋_GBK" w:cs="方正仿宋_GBK"/>
          <w:color w:val="auto"/>
        </w:rPr>
        <w:t>缺磷。区域面积占全区总土地面积的2%左右。山上林地多，农耕地少。</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在五条低山两翼，呈带状或环状分布为自流井组砂泥岩发育而成的暗紫色泥土。该区由于地表起伏大，丘高坡陡，植被少，常受山洪侵袭冲刷，旱地土薄</w:t>
      </w:r>
      <w:sdt>
        <w:sdtPr>
          <w:rPr>
            <w:color w:val="auto"/>
          </w:rPr>
          <w:alias w:val="易错词检查"/>
          <w:id w:val="3150253"/>
        </w:sdtPr>
        <w:sdtEndPr>
          <w:rPr>
            <w:color w:val="auto"/>
          </w:rPr>
        </w:sdtEndPr>
        <w:sdtContent>
          <w:bookmarkStart w:id="299" w:name="bkReivew3150253"/>
          <w:r>
            <w:rPr>
              <w:rFonts w:hint="eastAsia" w:ascii="方正仿宋_GBK" w:hAnsi="方正仿宋_GBK" w:cs="方正仿宋_GBK"/>
              <w:color w:val="auto"/>
            </w:rPr>
            <w:t>酸瘦</w:t>
          </w:r>
          <w:bookmarkEnd w:id="299"/>
        </w:sdtContent>
      </w:sdt>
      <w:r>
        <w:rPr>
          <w:rFonts w:hint="eastAsia" w:ascii="方正仿宋_GBK" w:hAnsi="方正仿宋_GBK" w:cs="方正仿宋_GBK"/>
          <w:color w:val="auto"/>
        </w:rPr>
        <w:t>，跑水跑肥跑土，造成稻田泥沙淤积。</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在山麓深丘向浅丘过渡地带，呈条形或块状分布为下沙溪庙组紫色厚泥岩夹石骨子为主，旱地土层瘦薄，易受干旱威胁。</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在三个向斜广大浅丘区，成片分布为上沙溪庙组紫色砂页岩母质发育的灰棕色泥土和溪河两岸阶地上少量近代河流沉淀物形成的紫色冲积土。沙溪庙灰粽紫色泥土矿质体品质好，土层深厚，沙、粘比例适中，易耕作；冲积土肥力高，沙性重。该区域地势平缓开阔，溪河发育，光热资源丰富，从而形成永川区粮、油、蔬菜、柑桔、蚕桑的主要分布区。该区域面积占全区总面积的34%左右，耕地田土比大约5:1。</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永川区自然植被属亚热带偏湿润性常绿针阔叶混交林亚带，长江上游低山丘陵植被小区。植被的分布与地貌、土壤类型基本一致。</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低山以松、杉、楠木、香樟、蜀桂、丝栗、水冬瓜混交林为主，下层由油茶、映山红栀子、铁芒箕覆盖，有成片的楠竹、慈竹等竹林。</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山麓以马尾松为主，林下及空旷地带均由铁芒箕、白茅草占据，形成独特群落。在冲刷深沟的前沿，常见有芭茅、旱雀麦、细叶早熟禾及中华箸（蓑衣草）等草类。深中丘，多为柏树、油桐、黄荆、马桑——毛尖麦藓群落。居民点旁、溪河两岸多为竹类。浅丘宽谷，植被群落多为桉树——刺齿凤尾蕨——鳞叶藓，而这一群落中树种比较混杂，且零星分散，多为人工栽培。方山、中丘植被以耐旱、偏碱、缺锌型为主，典型的有爬岩姜（藓蕨）、抢石莲、牛毛藓等，禾类有白茅、芭茅、鼠尾栗、果园雀稗、房县野青茅等。灌丛以黄荆为主。</w:t>
      </w:r>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森林是本区自然植被的主植被。建国初期全区（未含朱沱片区）有林业用地面积30360hm</w:t>
      </w:r>
      <w:r>
        <w:rPr>
          <w:rFonts w:hint="eastAsia" w:ascii="方正仿宋_GBK" w:hAnsi="方正仿宋_GBK" w:cs="方正仿宋_GBK"/>
          <w:color w:val="auto"/>
          <w:vertAlign w:val="superscript"/>
        </w:rPr>
        <w:t>2</w:t>
      </w:r>
      <w:r>
        <w:rPr>
          <w:rFonts w:hint="eastAsia" w:ascii="方正仿宋_GBK" w:hAnsi="方正仿宋_GBK" w:cs="方正仿宋_GBK"/>
          <w:color w:val="auto"/>
        </w:rPr>
        <w:t>，其中有林地面积26407hm</w:t>
      </w:r>
      <w:r>
        <w:rPr>
          <w:rFonts w:hint="eastAsia" w:ascii="方正仿宋_GBK" w:hAnsi="方正仿宋_GBK" w:cs="方正仿宋_GBK"/>
          <w:color w:val="auto"/>
          <w:vertAlign w:val="superscript"/>
        </w:rPr>
        <w:t>2</w:t>
      </w:r>
      <w:r>
        <w:rPr>
          <w:rFonts w:hint="eastAsia" w:ascii="方正仿宋_GBK" w:hAnsi="方正仿宋_GBK" w:cs="方正仿宋_GBK"/>
          <w:color w:val="auto"/>
        </w:rPr>
        <w:t>。森林覆盖率为16.74%，活立木蓄积量91万m</w:t>
      </w:r>
      <w:r>
        <w:rPr>
          <w:rFonts w:hint="eastAsia" w:ascii="方正仿宋_GBK" w:hAnsi="方正仿宋_GBK" w:cs="方正仿宋_GBK"/>
          <w:color w:val="auto"/>
          <w:vertAlign w:val="superscript"/>
        </w:rPr>
        <w:t>3</w:t>
      </w:r>
      <w:r>
        <w:rPr>
          <w:rFonts w:hint="eastAsia" w:ascii="方正仿宋_GBK" w:hAnsi="方正仿宋_GBK" w:cs="方正仿宋_GBK"/>
          <w:color w:val="auto"/>
        </w:rPr>
        <w:t>。现今全区林业用地达29727hm</w:t>
      </w:r>
      <w:r>
        <w:rPr>
          <w:rFonts w:hint="eastAsia" w:ascii="方正仿宋_GBK" w:hAnsi="方正仿宋_GBK" w:cs="方正仿宋_GBK"/>
          <w:color w:val="auto"/>
          <w:vertAlign w:val="superscript"/>
        </w:rPr>
        <w:t>2</w:t>
      </w:r>
      <w:r>
        <w:rPr>
          <w:rFonts w:hint="eastAsia" w:ascii="方正仿宋_GBK" w:hAnsi="方正仿宋_GBK" w:cs="方正仿宋_GBK"/>
          <w:color w:val="auto"/>
        </w:rPr>
        <w:t>，其中有林地面积24833hm2，森林覆盖率18.9%，但存在树种结构不合理，龄组比例失调，近期利用率和生产率不高，经济和生态效益低下等问题。幼、中、成林组比例为17.6:21.4:1，幼、中龄林组面积占有林地面积的97.5%。</w:t>
      </w:r>
    </w:p>
    <w:p>
      <w:pPr>
        <w:widowControl w:val="0"/>
        <w:spacing w:line="300" w:lineRule="auto"/>
        <w:ind w:firstLine="640"/>
        <w:rPr>
          <w:rFonts w:hint="eastAsia" w:ascii="方正仿宋_GBK" w:hAnsi="方正仿宋_GBK" w:cs="方正仿宋_GBK"/>
          <w:color w:val="auto"/>
        </w:rPr>
      </w:pPr>
      <w:bookmarkStart w:id="300" w:name="_Toc45199286"/>
      <w:bookmarkStart w:id="301" w:name="_Toc48318293"/>
      <w:r>
        <w:rPr>
          <w:rFonts w:hint="eastAsia" w:ascii="方正仿宋_GBK" w:hAnsi="方正仿宋_GBK" w:cs="方正仿宋_GBK"/>
          <w:color w:val="auto"/>
        </w:rPr>
        <w:t>2.2.4  河流水系</w:t>
      </w:r>
      <w:bookmarkEnd w:id="300"/>
      <w:bookmarkEnd w:id="301"/>
    </w:p>
    <w:p>
      <w:pPr>
        <w:widowControl w:val="0"/>
        <w:spacing w:line="300"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境内河流分属长上干、涪江两大水系。有干流6条，支流229条。属长上干水系（北岸盆地区）的有龙溪河、大陆溪、临江河、九龙河。属涪江水系（涪江丘陵区）的有小安溪。根据《重庆市都市区防洪规划（2016-2030年）技术大纲》中的要求结合永川区实际情况，本次主要对流域面积大于50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以上以及重要城镇段河流进行分析，共16条，其中流域面积大于1000km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的河流有2条（长江、小安溪），流域面积在1000～500km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的河流有2条（临江河、九龙河），流域面积在500～50km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的河流有7条（大陆溪、龙溪河、板桥河、圣水河、太平河、大竹溪、大河溪)，城区河道主要有临江河、红旗河、跳蹬河、玉屏河、胜利河、萱花河。各流域基本情况见表2.2-2。</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表2.2-2  永川区境内主要河流基本情况</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189"/>
        <w:gridCol w:w="1640"/>
        <w:gridCol w:w="1635"/>
        <w:gridCol w:w="207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blHeader/>
          <w:jc w:val="center"/>
        </w:trPr>
        <w:tc>
          <w:tcPr>
            <w:tcW w:w="2295" w:type="dxa"/>
            <w:gridSpan w:val="2"/>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河流</w:t>
            </w:r>
          </w:p>
        </w:tc>
        <w:tc>
          <w:tcPr>
            <w:tcW w:w="1640" w:type="dxa"/>
            <w:noWrap w:val="0"/>
            <w:vAlign w:val="center"/>
          </w:tcPr>
          <w:p>
            <w:pPr>
              <w:pStyle w:val="35"/>
              <w:widowControl w:val="0"/>
              <w:spacing w:line="216" w:lineRule="auto"/>
              <w:jc w:val="left"/>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全流域面（km</w:t>
            </w:r>
            <w:r>
              <w:rPr>
                <w:rFonts w:hint="eastAsia" w:ascii="方正黑体_GBK" w:hAnsi="方正黑体_GBK" w:eastAsia="方正黑体_GBK" w:cs="方正黑体_GBK"/>
                <w:color w:val="auto"/>
                <w:sz w:val="21"/>
                <w:szCs w:val="21"/>
                <w:vertAlign w:val="superscript"/>
              </w:rPr>
              <w:t xml:space="preserve">2 </w:t>
            </w:r>
            <w:r>
              <w:rPr>
                <w:rFonts w:hint="eastAsia" w:ascii="方正黑体_GBK" w:hAnsi="方正黑体_GBK" w:eastAsia="方正黑体_GBK" w:cs="方正黑体_GBK"/>
                <w:color w:val="auto"/>
                <w:sz w:val="21"/>
                <w:szCs w:val="21"/>
              </w:rPr>
              <w:t>）</w:t>
            </w:r>
          </w:p>
        </w:tc>
        <w:tc>
          <w:tcPr>
            <w:tcW w:w="1635"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河道全长（km）</w:t>
            </w:r>
          </w:p>
        </w:tc>
        <w:tc>
          <w:tcPr>
            <w:tcW w:w="2071" w:type="dxa"/>
            <w:noWrap w:val="0"/>
            <w:vAlign w:val="center"/>
          </w:tcPr>
          <w:p>
            <w:pPr>
              <w:pStyle w:val="35"/>
              <w:widowControl w:val="0"/>
              <w:spacing w:line="216" w:lineRule="auto"/>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境内流域面积（km</w:t>
            </w:r>
            <w:r>
              <w:rPr>
                <w:rFonts w:hint="eastAsia" w:ascii="方正黑体_GBK" w:hAnsi="方正黑体_GBK" w:eastAsia="方正黑体_GBK" w:cs="方正黑体_GBK"/>
                <w:color w:val="auto"/>
                <w:sz w:val="21"/>
                <w:szCs w:val="21"/>
                <w:vertAlign w:val="superscript"/>
              </w:rPr>
              <w:t>2</w:t>
            </w:r>
            <w:r>
              <w:rPr>
                <w:rFonts w:hint="eastAsia" w:ascii="方正黑体_GBK" w:hAnsi="方正黑体_GBK" w:eastAsia="方正黑体_GBK" w:cs="方正黑体_GBK"/>
                <w:color w:val="auto"/>
                <w:sz w:val="21"/>
                <w:szCs w:val="21"/>
              </w:rPr>
              <w:t>）</w:t>
            </w:r>
          </w:p>
        </w:tc>
        <w:tc>
          <w:tcPr>
            <w:tcW w:w="1420" w:type="dxa"/>
            <w:noWrap w:val="0"/>
            <w:vAlign w:val="center"/>
          </w:tcPr>
          <w:p>
            <w:pPr>
              <w:pStyle w:val="35"/>
              <w:widowControl w:val="0"/>
              <w:spacing w:line="216" w:lineRule="auto"/>
              <w:jc w:val="left"/>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境内河（km）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06"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长江</w:t>
            </w: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干流</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1800000</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6300</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56.85</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06"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龙溪河</w:t>
            </w: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干流</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502</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33.75</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06" w:type="dxa"/>
            <w:vMerge w:val="restart"/>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干流</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455.4</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66.1</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06" w:type="dxa"/>
            <w:vMerge w:val="continue"/>
            <w:noWrap w:val="0"/>
            <w:vAlign w:val="center"/>
          </w:tcPr>
          <w:p>
            <w:pPr>
              <w:pStyle w:val="35"/>
              <w:widowControl w:val="0"/>
              <w:spacing w:line="216" w:lineRule="auto"/>
              <w:rPr>
                <w:rFonts w:hint="eastAsia" w:ascii="方正仿宋_GBK" w:hAnsi="方正仿宋_GBK" w:cs="方正仿宋_GBK"/>
                <w:color w:val="auto"/>
                <w:sz w:val="21"/>
                <w:szCs w:val="21"/>
              </w:rPr>
            </w:pP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大河溪</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79.21</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23.13</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79.21</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106" w:type="dxa"/>
            <w:vMerge w:val="restart"/>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干流</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730</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556.48</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06" w:type="dxa"/>
            <w:vMerge w:val="continue"/>
            <w:noWrap w:val="0"/>
            <w:vAlign w:val="center"/>
          </w:tcPr>
          <w:p>
            <w:pPr>
              <w:pStyle w:val="35"/>
              <w:widowControl w:val="0"/>
              <w:spacing w:line="216" w:lineRule="auto"/>
              <w:rPr>
                <w:rFonts w:hint="eastAsia" w:ascii="方正仿宋_GBK" w:hAnsi="方正仿宋_GBK" w:cs="方正仿宋_GBK"/>
                <w:color w:val="auto"/>
                <w:sz w:val="21"/>
                <w:szCs w:val="21"/>
              </w:rPr>
            </w:pP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86.09</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26.44</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86.09</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106" w:type="dxa"/>
            <w:vMerge w:val="continue"/>
            <w:noWrap w:val="0"/>
            <w:vAlign w:val="center"/>
          </w:tcPr>
          <w:p>
            <w:pPr>
              <w:pStyle w:val="35"/>
              <w:widowControl w:val="0"/>
              <w:spacing w:line="216" w:lineRule="auto"/>
              <w:rPr>
                <w:rFonts w:hint="eastAsia" w:ascii="方正仿宋_GBK" w:hAnsi="方正仿宋_GBK" w:cs="方正仿宋_GBK"/>
                <w:color w:val="auto"/>
                <w:sz w:val="21"/>
                <w:szCs w:val="21"/>
              </w:rPr>
            </w:pP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圣水河</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99.4</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99.4</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106"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干流</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1060</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201.2</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106" w:type="dxa"/>
            <w:vMerge w:val="restart"/>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干流</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1692</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170</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402</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106" w:type="dxa"/>
            <w:vMerge w:val="continue"/>
            <w:noWrap w:val="0"/>
            <w:vAlign w:val="center"/>
          </w:tcPr>
          <w:p>
            <w:pPr>
              <w:pStyle w:val="35"/>
              <w:widowControl w:val="0"/>
              <w:spacing w:line="216" w:lineRule="auto"/>
              <w:rPr>
                <w:rFonts w:hint="eastAsia" w:ascii="方正仿宋_GBK" w:hAnsi="方正仿宋_GBK" w:cs="方正仿宋_GBK"/>
                <w:color w:val="auto"/>
                <w:sz w:val="21"/>
                <w:szCs w:val="21"/>
              </w:rPr>
            </w:pP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太平河</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28.78</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106" w:type="dxa"/>
            <w:vMerge w:val="continue"/>
            <w:noWrap w:val="0"/>
            <w:vAlign w:val="center"/>
          </w:tcPr>
          <w:p>
            <w:pPr>
              <w:pStyle w:val="35"/>
              <w:widowControl w:val="0"/>
              <w:spacing w:line="216" w:lineRule="auto"/>
              <w:rPr>
                <w:rFonts w:hint="eastAsia" w:ascii="方正仿宋_GBK" w:hAnsi="方正仿宋_GBK" w:cs="方正仿宋_GBK"/>
                <w:color w:val="auto"/>
                <w:sz w:val="21"/>
                <w:szCs w:val="21"/>
              </w:rPr>
            </w:pPr>
          </w:p>
        </w:tc>
        <w:tc>
          <w:tcPr>
            <w:tcW w:w="1189"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板桥河</w:t>
            </w:r>
          </w:p>
        </w:tc>
        <w:tc>
          <w:tcPr>
            <w:tcW w:w="164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w:t>
            </w:r>
          </w:p>
        </w:tc>
        <w:tc>
          <w:tcPr>
            <w:tcW w:w="1635"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34.4</w:t>
            </w:r>
          </w:p>
        </w:tc>
        <w:tc>
          <w:tcPr>
            <w:tcW w:w="2071"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w:t>
            </w:r>
          </w:p>
        </w:tc>
        <w:tc>
          <w:tcPr>
            <w:tcW w:w="1420" w:type="dxa"/>
            <w:noWrap w:val="0"/>
            <w:vAlign w:val="center"/>
          </w:tcPr>
          <w:p>
            <w:pPr>
              <w:pStyle w:val="35"/>
              <w:widowControl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34.4</w:t>
            </w:r>
          </w:p>
        </w:tc>
      </w:tr>
    </w:tbl>
    <w:p>
      <w:pPr>
        <w:ind w:firstLine="640"/>
        <w:rPr>
          <w:color w:val="auto"/>
        </w:rPr>
      </w:pPr>
      <w:r>
        <w:rPr>
          <w:color w:val="auto"/>
        </w:rPr>
        <w:drawing>
          <wp:inline distT="0" distB="0" distL="114300" distR="114300">
            <wp:extent cx="4429760" cy="3855720"/>
            <wp:effectExtent l="0" t="0" r="8890" b="11430"/>
            <wp:docPr id="13" name="图片 121" descr="永川水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1" descr="永川水系"/>
                    <pic:cNvPicPr>
                      <a:picLocks noChangeAspect="1"/>
                    </pic:cNvPicPr>
                  </pic:nvPicPr>
                  <pic:blipFill>
                    <a:blip r:embed="rId21"/>
                    <a:srcRect l="8852" t="7526" r="9390" b="2786"/>
                    <a:stretch>
                      <a:fillRect/>
                    </a:stretch>
                  </pic:blipFill>
                  <pic:spPr>
                    <a:xfrm>
                      <a:off x="0" y="0"/>
                      <a:ext cx="4429760" cy="3855720"/>
                    </a:xfrm>
                    <a:prstGeom prst="rect">
                      <a:avLst/>
                    </a:prstGeom>
                    <a:noFill/>
                    <a:ln>
                      <a:noFill/>
                    </a:ln>
                  </pic:spPr>
                </pic:pic>
              </a:graphicData>
            </a:graphic>
          </wp:inline>
        </w:drawing>
      </w:r>
    </w:p>
    <w:p>
      <w:pPr>
        <w:pStyle w:val="11"/>
        <w:widowControl w:val="0"/>
        <w:rPr>
          <w:rFonts w:hint="eastAsia" w:ascii="方正楷体_GBK" w:hAnsi="方正楷体_GBK" w:cs="方正楷体_GBK"/>
          <w:color w:val="auto"/>
        </w:rPr>
      </w:pPr>
      <w:r>
        <w:rPr>
          <w:rFonts w:hint="eastAsia" w:ascii="方正楷体_GBK" w:hAnsi="方正楷体_GBK" w:cs="方正楷体_GBK"/>
          <w:color w:val="auto"/>
        </w:rPr>
        <w:t>图2.2.4-1</w:t>
      </w:r>
      <w:r>
        <w:rPr>
          <w:rFonts w:hint="eastAsia" w:ascii="方正楷体_GBK" w:hAnsi="方正楷体_GBK" w:cs="方正楷体_GBK"/>
          <w:color w:val="auto"/>
          <w:lang w:val="en-US" w:eastAsia="zh-CN"/>
        </w:rPr>
        <w:t xml:space="preserve">  </w:t>
      </w:r>
      <w:r>
        <w:rPr>
          <w:rFonts w:hint="eastAsia" w:ascii="方正楷体_GBK" w:hAnsi="方正楷体_GBK" w:cs="方正楷体_GBK"/>
          <w:color w:val="auto"/>
        </w:rPr>
        <w:t>永川区水系图</w:t>
      </w:r>
    </w:p>
    <w:p>
      <w:pPr>
        <w:widowControl w:val="0"/>
        <w:ind w:firstLine="640"/>
        <w:rPr>
          <w:rFonts w:hint="eastAsia" w:ascii="方正仿宋_GBK" w:hAnsi="方正仿宋_GBK" w:cs="方正仿宋_GBK"/>
          <w:color w:val="auto"/>
        </w:rPr>
      </w:pPr>
      <w:bookmarkStart w:id="302" w:name="_Toc45199287"/>
      <w:bookmarkStart w:id="303" w:name="_Toc48318294"/>
      <w:r>
        <w:rPr>
          <w:rFonts w:hint="eastAsia" w:ascii="方正仿宋_GBK" w:hAnsi="方正仿宋_GBK" w:cs="方正仿宋_GBK"/>
          <w:color w:val="auto"/>
        </w:rPr>
        <w:t>2.2.5  水资源</w:t>
      </w:r>
      <w:bookmarkEnd w:id="302"/>
      <w:bookmarkEnd w:id="303"/>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永川区水资源的特点是：南部边境长江过境水资源十分丰富，当地地表水资源缺乏。永川常住人口人均多年平均当地水资源量781.5m</w:t>
      </w:r>
      <w:r>
        <w:rPr>
          <w:rFonts w:hint="eastAsia" w:ascii="方正仿宋_GBK" w:hAnsi="方正仿宋_GBK" w:cs="方正仿宋_GBK"/>
          <w:color w:val="auto"/>
          <w:vertAlign w:val="superscript"/>
        </w:rPr>
        <w:t>3</w:t>
      </w:r>
      <w:r>
        <w:rPr>
          <w:rFonts w:hint="eastAsia" w:ascii="方正仿宋_GBK" w:hAnsi="方正仿宋_GBK" w:cs="方正仿宋_GBK"/>
          <w:color w:val="auto"/>
        </w:rPr>
        <w:t>，亩均当地水资源量754m</w:t>
      </w:r>
      <w:r>
        <w:rPr>
          <w:rFonts w:hint="eastAsia" w:ascii="方正仿宋_GBK" w:hAnsi="方正仿宋_GBK" w:cs="方正仿宋_GBK"/>
          <w:color w:val="auto"/>
          <w:vertAlign w:val="superscript"/>
        </w:rPr>
        <w:t>3</w:t>
      </w:r>
      <w:r>
        <w:rPr>
          <w:rFonts w:hint="eastAsia" w:ascii="方正仿宋_GBK" w:hAnsi="方正仿宋_GBK" w:cs="方正仿宋_GBK"/>
          <w:color w:val="auto"/>
        </w:rPr>
        <w:t>，低于全国平均水平和重庆市的平均水平。</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表2.2-3  多年平均水资源情况对比表</w:t>
      </w:r>
    </w:p>
    <w:tbl>
      <w:tblPr>
        <w:tblStyle w:val="25"/>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36"/>
        <w:gridCol w:w="2921"/>
        <w:gridCol w:w="39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6" w:hRule="atLeast"/>
          <w:tblHeader/>
          <w:jc w:val="center"/>
        </w:trPr>
        <w:tc>
          <w:tcPr>
            <w:tcW w:w="2236" w:type="dxa"/>
            <w:noWrap w:val="0"/>
            <w:vAlign w:val="center"/>
          </w:tcPr>
          <w:p>
            <w:pPr>
              <w:pStyle w:val="35"/>
              <w:widowControl w:val="0"/>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区域</w:t>
            </w:r>
          </w:p>
        </w:tc>
        <w:tc>
          <w:tcPr>
            <w:tcW w:w="2921" w:type="dxa"/>
            <w:noWrap w:val="0"/>
            <w:vAlign w:val="center"/>
          </w:tcPr>
          <w:p>
            <w:pPr>
              <w:pStyle w:val="35"/>
              <w:widowControl w:val="0"/>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水资源总量（亿m</w:t>
            </w:r>
            <w:r>
              <w:rPr>
                <w:rFonts w:hint="eastAsia" w:ascii="方正黑体_GBK" w:hAnsi="方正黑体_GBK" w:eastAsia="方正黑体_GBK" w:cs="方正黑体_GBK"/>
                <w:color w:val="auto"/>
                <w:sz w:val="24"/>
                <w:szCs w:val="24"/>
                <w:vertAlign w:val="superscript"/>
              </w:rPr>
              <w:t>3</w:t>
            </w:r>
            <w:r>
              <w:rPr>
                <w:rFonts w:hint="eastAsia" w:ascii="方正黑体_GBK" w:hAnsi="方正黑体_GBK" w:eastAsia="方正黑体_GBK" w:cs="方正黑体_GBK"/>
                <w:color w:val="auto"/>
                <w:sz w:val="24"/>
                <w:szCs w:val="24"/>
              </w:rPr>
              <w:t>）</w:t>
            </w:r>
          </w:p>
        </w:tc>
        <w:tc>
          <w:tcPr>
            <w:tcW w:w="3904" w:type="dxa"/>
            <w:noWrap w:val="0"/>
            <w:vAlign w:val="center"/>
          </w:tcPr>
          <w:p>
            <w:pPr>
              <w:pStyle w:val="35"/>
              <w:widowControl w:val="0"/>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人均水资源占有量（m</w:t>
            </w:r>
            <w:r>
              <w:rPr>
                <w:rFonts w:hint="eastAsia" w:ascii="方正黑体_GBK" w:hAnsi="方正黑体_GBK" w:eastAsia="方正黑体_GBK" w:cs="方正黑体_GBK"/>
                <w:color w:val="auto"/>
                <w:sz w:val="24"/>
                <w:szCs w:val="24"/>
                <w:vertAlign w:val="superscript"/>
              </w:rPr>
              <w:t>3</w:t>
            </w:r>
            <w:r>
              <w:rPr>
                <w:rFonts w:hint="eastAsia" w:ascii="方正黑体_GBK" w:hAnsi="方正黑体_GBK" w:eastAsia="方正黑体_GBK" w:cs="方正黑体_GBK"/>
                <w:color w:val="auto"/>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0" w:hRule="atLeast"/>
          <w:jc w:val="center"/>
        </w:trPr>
        <w:tc>
          <w:tcPr>
            <w:tcW w:w="2236"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全国</w:t>
            </w:r>
          </w:p>
        </w:tc>
        <w:tc>
          <w:tcPr>
            <w:tcW w:w="2921"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23256.7</w:t>
            </w:r>
          </w:p>
        </w:tc>
        <w:tc>
          <w:tcPr>
            <w:tcW w:w="3904"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1697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6" w:hRule="atLeast"/>
          <w:jc w:val="center"/>
        </w:trPr>
        <w:tc>
          <w:tcPr>
            <w:tcW w:w="2236"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重庆市</w:t>
            </w:r>
          </w:p>
        </w:tc>
        <w:tc>
          <w:tcPr>
            <w:tcW w:w="2921"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514.58</w:t>
            </w:r>
          </w:p>
        </w:tc>
        <w:tc>
          <w:tcPr>
            <w:tcW w:w="3904"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1763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0" w:hRule="atLeast"/>
          <w:jc w:val="center"/>
        </w:trPr>
        <w:tc>
          <w:tcPr>
            <w:tcW w:w="2236"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永川区</w:t>
            </w:r>
          </w:p>
        </w:tc>
        <w:tc>
          <w:tcPr>
            <w:tcW w:w="2921"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7.30</w:t>
            </w:r>
          </w:p>
        </w:tc>
        <w:tc>
          <w:tcPr>
            <w:tcW w:w="3904" w:type="dxa"/>
            <w:noWrap w:val="0"/>
            <w:vAlign w:val="center"/>
          </w:tcPr>
          <w:p>
            <w:pPr>
              <w:pStyle w:val="35"/>
              <w:widowControl w:val="0"/>
              <w:rPr>
                <w:rFonts w:hint="eastAsia" w:ascii="方正仿宋_GBK" w:hAnsi="方正仿宋_GBK" w:cs="方正仿宋_GBK"/>
                <w:color w:val="auto"/>
                <w:sz w:val="24"/>
                <w:szCs w:val="24"/>
              </w:rPr>
            </w:pPr>
            <w:r>
              <w:rPr>
                <w:rFonts w:hint="eastAsia" w:ascii="方正仿宋_GBK" w:hAnsi="方正仿宋_GBK" w:cs="方正仿宋_GBK"/>
                <w:color w:val="auto"/>
                <w:sz w:val="24"/>
                <w:szCs w:val="24"/>
              </w:rPr>
              <w:t>781.5</w:t>
            </w:r>
          </w:p>
        </w:tc>
      </w:tr>
    </w:tbl>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（1）地表水资源：根据《重庆市水资源综合规划水资源调查评价报告》，永川区多年平均当地地表水资源量为7.30亿m</w:t>
      </w:r>
      <w:r>
        <w:rPr>
          <w:rFonts w:hint="eastAsia" w:ascii="方正仿宋_GBK" w:hAnsi="方正仿宋_GBK" w:cs="方正仿宋_GBK"/>
          <w:color w:val="auto"/>
          <w:vertAlign w:val="superscript"/>
        </w:rPr>
        <w:t>3</w:t>
      </w:r>
      <w:r>
        <w:rPr>
          <w:rFonts w:hint="eastAsia" w:ascii="方正仿宋_GBK" w:hAnsi="方正仿宋_GBK" w:cs="方正仿宋_GBK"/>
          <w:color w:val="auto"/>
        </w:rPr>
        <w:t>，多年平均径流深为463.3mm，径流系数为0.45；永川区有长江沿境南而过，多年平均过境水资源量为2768.67亿m</w:t>
      </w:r>
      <w:r>
        <w:rPr>
          <w:rFonts w:hint="eastAsia" w:ascii="方正仿宋_GBK" w:hAnsi="方正仿宋_GBK" w:cs="方正仿宋_GBK"/>
          <w:color w:val="auto"/>
          <w:vertAlign w:val="superscript"/>
        </w:rPr>
        <w:t>3</w:t>
      </w:r>
      <w:r>
        <w:rPr>
          <w:rFonts w:hint="eastAsia" w:ascii="方正仿宋_GBK" w:hAnsi="方正仿宋_GBK" w:cs="方正仿宋_GBK"/>
          <w:color w:val="auto"/>
        </w:rPr>
        <w:t>。</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（2）地下水资源：现状城市区域内地下水资源相对丰富。按贮藏类型可将地下水分为低山碳酸岩岩溶水、低山碎屑岩裂隙孔隙水和红层基岩碎屑岩裂隙水。多年平均地下水资源量为1.29亿m</w:t>
      </w:r>
      <w:r>
        <w:rPr>
          <w:rFonts w:hint="eastAsia" w:ascii="方正仿宋_GBK" w:hAnsi="方正仿宋_GBK" w:cs="方正仿宋_GBK"/>
          <w:color w:val="auto"/>
          <w:vertAlign w:val="superscript"/>
        </w:rPr>
        <w:t>3</w:t>
      </w:r>
      <w:r>
        <w:rPr>
          <w:rFonts w:hint="eastAsia" w:ascii="方正仿宋_GBK" w:hAnsi="方正仿宋_GBK" w:cs="方正仿宋_GBK"/>
          <w:color w:val="auto"/>
        </w:rPr>
        <w:t>，地下水资源模量为8.18 万m3/km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，入渗系数为0.078。</w:t>
      </w:r>
    </w:p>
    <w:p>
      <w:pPr>
        <w:widowControl w:val="0"/>
        <w:ind w:firstLine="640"/>
        <w:rPr>
          <w:rFonts w:hint="eastAsia" w:ascii="方正仿宋_GBK" w:hAnsi="方正仿宋_GBK" w:cs="方正仿宋_GBK"/>
          <w:color w:val="auto"/>
        </w:rPr>
      </w:pPr>
      <w:bookmarkStart w:id="304" w:name="_Toc45199288"/>
      <w:bookmarkStart w:id="305" w:name="_Toc48318295"/>
      <w:r>
        <w:rPr>
          <w:rFonts w:hint="eastAsia" w:ascii="方正仿宋_GBK" w:hAnsi="方正仿宋_GBK" w:cs="方正仿宋_GBK"/>
          <w:color w:val="auto"/>
        </w:rPr>
        <w:t>2.2.6  土地资源</w:t>
      </w:r>
      <w:bookmarkEnd w:id="304"/>
      <w:bookmarkEnd w:id="305"/>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永川区土地总面积1576平方公里，其中建设用地280.71平方公里，占总面积的比例为17.81%；林地面积346.12平方公里，占比为21.96%；耕地面积714.48平方公里，占比45.34%；湿地面积69.21%，占比4.39%。</w:t>
      </w:r>
    </w:p>
    <w:p>
      <w:pPr>
        <w:widowControl w:val="0"/>
        <w:spacing w:line="240" w:lineRule="auto"/>
        <w:ind w:firstLine="0" w:firstLineChars="0"/>
        <w:jc w:val="center"/>
        <w:rPr>
          <w:rFonts w:hint="eastAsia" w:ascii="方正仿宋_GBK" w:hAnsi="方正仿宋_GBK" w:cs="方正仿宋_GBK"/>
          <w:b/>
          <w:color w:val="auto"/>
          <w:spacing w:val="6"/>
          <w:sz w:val="28"/>
          <w:szCs w:val="28"/>
        </w:rPr>
      </w:pPr>
      <w:r>
        <w:rPr>
          <w:rFonts w:hint="eastAsia" w:ascii="方正楷体_GBK" w:hAnsi="方正楷体_GBK" w:eastAsia="方正楷体_GBK" w:cs="方正楷体_GBK"/>
          <w:bCs/>
          <w:color w:val="auto"/>
          <w:spacing w:val="6"/>
          <w:sz w:val="28"/>
          <w:szCs w:val="28"/>
        </w:rPr>
        <w:t>表1-1  永川区土地利用现状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08"/>
        <w:gridCol w:w="3577"/>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黑体_GBK" w:hAnsi="方正黑体_GBK" w:eastAsia="方正黑体_GBK" w:cs="方正黑体_GBK"/>
                <w:bCs/>
                <w:color w:val="auto"/>
                <w:sz w:val="24"/>
                <w:szCs w:val="24"/>
              </w:rPr>
            </w:pPr>
            <w:r>
              <w:rPr>
                <w:rFonts w:hint="eastAsia" w:ascii="方正黑体_GBK" w:hAnsi="方正黑体_GBK" w:eastAsia="方正黑体_GBK" w:cs="方正黑体_GBK"/>
                <w:bCs/>
                <w:color w:val="auto"/>
                <w:sz w:val="24"/>
                <w:szCs w:val="24"/>
              </w:rPr>
              <w:t>土地类型</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黑体_GBK" w:hAnsi="方正黑体_GBK" w:eastAsia="方正黑体_GBK" w:cs="方正黑体_GBK"/>
                <w:bCs/>
                <w:color w:val="auto"/>
                <w:sz w:val="24"/>
                <w:szCs w:val="24"/>
              </w:rPr>
            </w:pPr>
            <w:r>
              <w:rPr>
                <w:rFonts w:hint="eastAsia" w:ascii="方正黑体_GBK" w:hAnsi="方正黑体_GBK" w:eastAsia="方正黑体_GBK" w:cs="方正黑体_GBK"/>
                <w:bCs/>
                <w:color w:val="auto"/>
                <w:sz w:val="24"/>
                <w:szCs w:val="24"/>
              </w:rPr>
              <w:t>面积（平方公里）</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黑体_GBK" w:hAnsi="方正黑体_GBK" w:eastAsia="方正黑体_GBK" w:cs="方正黑体_GBK"/>
                <w:bCs/>
                <w:color w:val="auto"/>
                <w:sz w:val="24"/>
                <w:szCs w:val="24"/>
              </w:rPr>
            </w:pPr>
            <w:r>
              <w:rPr>
                <w:rFonts w:hint="eastAsia" w:ascii="方正黑体_GBK" w:hAnsi="方正黑体_GBK" w:eastAsia="方正黑体_GBK" w:cs="方正黑体_GBK"/>
                <w:bCs/>
                <w:color w:val="auto"/>
                <w:sz w:val="24"/>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建设用地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280.71</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17.81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林地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346.12</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耕地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714.48</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45.34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湿地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69.24</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园地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159.15</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草地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4.4</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未利用地</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1.9</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608" w:type="dxa"/>
            <w:noWrap w:val="0"/>
            <w:tcMar>
              <w:top w:w="15" w:type="dxa"/>
              <w:left w:w="15" w:type="dxa"/>
              <w:right w:w="15" w:type="dxa"/>
            </w:tcMar>
            <w:vAlign w:val="center"/>
          </w:tcPr>
          <w:p>
            <w:pPr>
              <w:widowControl w:val="0"/>
              <w:adjustRightInd/>
              <w:spacing w:line="240" w:lineRule="auto"/>
              <w:ind w:firstLine="0" w:firstLineChars="0"/>
              <w:jc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合计</w:t>
            </w:r>
          </w:p>
        </w:tc>
        <w:tc>
          <w:tcPr>
            <w:tcW w:w="3577"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1576</w:t>
            </w:r>
          </w:p>
        </w:tc>
        <w:tc>
          <w:tcPr>
            <w:tcW w:w="2690" w:type="dxa"/>
            <w:noWrap w:val="0"/>
            <w:tcMar>
              <w:top w:w="15" w:type="dxa"/>
              <w:left w:w="15" w:type="dxa"/>
              <w:right w:w="15" w:type="dxa"/>
            </w:tcMar>
            <w:vAlign w:val="center"/>
          </w:tcPr>
          <w:p>
            <w:pPr>
              <w:widowControl w:val="0"/>
              <w:adjustRightInd/>
              <w:spacing w:line="240" w:lineRule="auto"/>
              <w:ind w:firstLine="0" w:firstLineChars="0"/>
              <w:jc w:val="center"/>
              <w:textAlignment w:val="center"/>
              <w:rPr>
                <w:rFonts w:hint="eastAsia" w:ascii="方正仿宋_GBK" w:hAnsi="方正仿宋_GBK" w:cs="方正仿宋_GBK"/>
                <w:bCs/>
                <w:color w:val="auto"/>
                <w:sz w:val="24"/>
                <w:szCs w:val="24"/>
              </w:rPr>
            </w:pPr>
            <w:r>
              <w:rPr>
                <w:rFonts w:hint="eastAsia" w:ascii="方正仿宋_GBK" w:hAnsi="方正仿宋_GBK" w:cs="方正仿宋_GBK"/>
                <w:bCs/>
                <w:color w:val="auto"/>
                <w:sz w:val="24"/>
                <w:szCs w:val="24"/>
              </w:rPr>
              <w:t>100.00</w:t>
            </w:r>
          </w:p>
        </w:tc>
      </w:tr>
    </w:tbl>
    <w:p>
      <w:pPr>
        <w:widowControl w:val="0"/>
        <w:spacing w:line="264" w:lineRule="auto"/>
        <w:ind w:firstLine="640"/>
        <w:rPr>
          <w:rFonts w:hint="eastAsia" w:ascii="方正楷体_GBK" w:hAnsi="方正楷体_GBK" w:eastAsia="方正楷体_GBK" w:cs="方正楷体_GBK"/>
          <w:color w:val="auto"/>
        </w:rPr>
      </w:pPr>
      <w:bookmarkStart w:id="306" w:name="_Toc45199289"/>
      <w:bookmarkStart w:id="307" w:name="_Toc48318296"/>
      <w:r>
        <w:rPr>
          <w:rFonts w:hint="eastAsia" w:ascii="方正楷体_GBK" w:hAnsi="方正楷体_GBK" w:eastAsia="方正楷体_GBK" w:cs="方正楷体_GBK"/>
          <w:color w:val="auto"/>
        </w:rPr>
        <w:t>2.3  社会经济概况</w:t>
      </w:r>
      <w:bookmarkEnd w:id="306"/>
      <w:bookmarkEnd w:id="307"/>
    </w:p>
    <w:p>
      <w:pPr>
        <w:widowControl w:val="0"/>
        <w:ind w:firstLine="640"/>
        <w:rPr>
          <w:rFonts w:hint="eastAsia" w:ascii="方正仿宋_GBK" w:hAnsi="方正仿宋_GBK" w:cs="方正仿宋_GBK"/>
          <w:color w:val="auto"/>
        </w:rPr>
      </w:pPr>
      <w:bookmarkStart w:id="308" w:name="_Toc48318297"/>
      <w:bookmarkStart w:id="309" w:name="_Toc45199290"/>
      <w:r>
        <w:rPr>
          <w:rFonts w:hint="eastAsia" w:ascii="方正仿宋_GBK" w:hAnsi="方正仿宋_GBK" w:cs="方正仿宋_GBK"/>
          <w:color w:val="auto"/>
        </w:rPr>
        <w:t>2.3.1  人口与行政区划</w:t>
      </w:r>
      <w:bookmarkEnd w:id="308"/>
      <w:bookmarkEnd w:id="309"/>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w:t>
      </w:r>
      <w:sdt>
        <w:sdtPr>
          <w:rPr>
            <w:color w:val="auto"/>
          </w:rPr>
          <w:alias w:val="易错词检查"/>
          <w:id w:val="2150116"/>
        </w:sdtPr>
        <w:sdtEndPr>
          <w:rPr>
            <w:color w:val="auto"/>
          </w:rPr>
        </w:sdtEndPr>
        <w:sdtContent>
          <w:bookmarkStart w:id="310" w:name="bkReivew2150116"/>
          <w:r>
            <w:rPr>
              <w:rFonts w:hint="eastAsia"/>
              <w:color w:val="auto"/>
              <w:lang w:eastAsia="zh-CN"/>
            </w:rPr>
            <w:t>辖区</w:t>
          </w:r>
          <w:r>
            <w:rPr>
              <w:rFonts w:hint="eastAsia" w:ascii="方正仿宋_GBK" w:hAnsi="方正仿宋_GBK" w:cs="方正仿宋_GBK"/>
              <w:color w:val="auto"/>
            </w:rPr>
            <w:t>面积</w:t>
          </w:r>
          <w:bookmarkEnd w:id="310"/>
        </w:sdtContent>
      </w:sdt>
      <w:r>
        <w:rPr>
          <w:rFonts w:hint="eastAsia" w:ascii="方正仿宋_GBK" w:hAnsi="方正仿宋_GBK" w:cs="方正仿宋_GBK"/>
          <w:color w:val="auto"/>
        </w:rPr>
        <w:t>1576平方公里，辖16个镇、7个街道，55个社区居委会、206个行政村。7个街道分别为中山路街道、胜利路街道、南大街街道、茶山竹海街道、大安街道、陈食街道、卫星湖街道。16个镇分别为青峰镇、金龙镇、临江镇、何埂镇、松溉镇、仙龙镇、吉安镇、五间镇、来苏镇、宝峰镇、双石镇、红炉镇、永荣镇、三教镇、板桥镇、朱沱镇。全区常住人口114.31万人，比上年增加0.11万人。其中，城镇常住人口81.47万人，常住人口城镇化率为71.27%，比上年提高1.51个百分点。</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户籍人口114.21万人。其中，男性57.68万人，女性56.53万人。城镇人口51.9万人。人口自然增长率2.09‰。人口出生率7.97‰，出生人数8810人。死亡率5.88‰，死亡人数6505人。出生婴儿男女性别比1.113:1。</w:t>
      </w:r>
    </w:p>
    <w:p>
      <w:pPr>
        <w:pStyle w:val="11"/>
        <w:widowControl w:val="0"/>
        <w:spacing w:line="240" w:lineRule="auto"/>
        <w:rPr>
          <w:rFonts w:hint="eastAsia" w:ascii="方正楷体_GBK" w:hAnsi="方正楷体_GBK" w:cs="方正楷体_GBK"/>
          <w:color w:val="auto"/>
        </w:rPr>
      </w:pPr>
      <w:r>
        <w:rPr>
          <w:rFonts w:hint="eastAsia" w:ascii="方正楷体_GBK" w:hAnsi="方正楷体_GBK" w:cs="方正楷体_GBK"/>
          <w:color w:val="auto"/>
        </w:rPr>
        <w:t>表2.3-1</w:t>
      </w:r>
      <w:r>
        <w:rPr>
          <w:rFonts w:hint="eastAsia" w:ascii="方正楷体_GBK" w:hAnsi="方正楷体_GBK" w:cs="方正楷体_GBK"/>
          <w:color w:val="auto"/>
          <w:lang w:val="en-US" w:eastAsia="zh-CN"/>
        </w:rPr>
        <w:t xml:space="preserve">  </w:t>
      </w:r>
      <w:r>
        <w:rPr>
          <w:rFonts w:hint="eastAsia" w:ascii="方正楷体_GBK" w:hAnsi="方正楷体_GBK" w:cs="方正楷体_GBK"/>
          <w:color w:val="auto"/>
        </w:rPr>
        <w:t>永川区农村人口统计表</w:t>
      </w:r>
    </w:p>
    <w:p>
      <w:pPr>
        <w:pStyle w:val="23"/>
        <w:widowControl w:val="0"/>
        <w:jc w:val="center"/>
        <w:rPr>
          <w:rFonts w:cs="Times New Roman"/>
          <w:color w:val="auto"/>
          <w:szCs w:val="22"/>
        </w:rPr>
      </w:pPr>
      <w:r>
        <w:rPr>
          <w:rFonts w:cs="Times New Roman"/>
          <w:color w:val="auto"/>
        </w:rPr>
        <w:drawing>
          <wp:inline distT="0" distB="0" distL="114300" distR="114300">
            <wp:extent cx="5026025" cy="4826000"/>
            <wp:effectExtent l="0" t="0" r="3175" b="12700"/>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pic:cNvPicPr>
                  </pic:nvPicPr>
                  <pic:blipFill>
                    <a:blip r:embed="rId22"/>
                    <a:stretch>
                      <a:fillRect/>
                    </a:stretch>
                  </pic:blipFill>
                  <pic:spPr>
                    <a:xfrm>
                      <a:off x="0" y="0"/>
                      <a:ext cx="5026025" cy="4826000"/>
                    </a:xfrm>
                    <a:prstGeom prst="rect">
                      <a:avLst/>
                    </a:prstGeom>
                    <a:noFill/>
                    <a:ln>
                      <a:noFill/>
                    </a:ln>
                  </pic:spPr>
                </pic:pic>
              </a:graphicData>
            </a:graphic>
          </wp:inline>
        </w:drawing>
      </w:r>
    </w:p>
    <w:p>
      <w:pPr>
        <w:widowControl w:val="0"/>
        <w:ind w:firstLine="640"/>
        <w:rPr>
          <w:rFonts w:hint="eastAsia" w:ascii="方正仿宋_GBK" w:hAnsi="方正仿宋_GBK" w:cs="方正仿宋_GBK"/>
          <w:color w:val="auto"/>
        </w:rPr>
      </w:pPr>
      <w:bookmarkStart w:id="311" w:name="_Toc48318298"/>
      <w:bookmarkStart w:id="312" w:name="_Toc45199291"/>
      <w:r>
        <w:rPr>
          <w:rFonts w:hint="eastAsia" w:ascii="方正仿宋_GBK" w:hAnsi="方正仿宋_GBK" w:cs="方正仿宋_GBK"/>
          <w:color w:val="auto"/>
        </w:rPr>
        <w:t>2.3.2  经济发展状况</w:t>
      </w:r>
      <w:bookmarkEnd w:id="311"/>
      <w:bookmarkEnd w:id="312"/>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经重庆市统计局核定，永川区地区2019年生产总值952.7亿元，按可比价计算，比上年增长9%。第一产业增加值67.6亿元，比上年增长1.5%。第二产业增加值515.5亿元，比上年增长9.2%。其中，工业增加值389.2亿元，比上年增长10.3%。第三产业增加值369.5亿元，比上年增长10%。三次产业结构由2018年的7.4:50.3:42.3调整为7.1:54.1:38.8。 </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全年全市居民消费价格总水平比上年上涨2.7%。八大类商品和服务价格“七涨一降”。除交通和通信价格下降1.4%外，食品烟酒、衣着、居住、生活用品及服务、教育文化和娱乐、医疗保健、其他用品和服务类价格分别上涨6.8%、0.2%、2.0%、0.6%、1.9%、0.7%和2.8%。</w:t>
      </w:r>
    </w:p>
    <w:p>
      <w:pPr>
        <w:widowControl w:val="0"/>
        <w:ind w:firstLine="640"/>
        <w:rPr>
          <w:rFonts w:hint="eastAsia" w:ascii="方正楷体_GBK" w:hAnsi="方正楷体_GBK" w:eastAsia="方正楷体_GBK" w:cs="方正楷体_GBK"/>
          <w:color w:val="auto"/>
        </w:rPr>
      </w:pPr>
      <w:bookmarkStart w:id="313" w:name="_Toc48318299"/>
      <w:bookmarkStart w:id="314" w:name="_Toc45199292"/>
      <w:r>
        <w:rPr>
          <w:rFonts w:hint="eastAsia" w:ascii="方正楷体_GBK" w:hAnsi="方正楷体_GBK" w:eastAsia="方正楷体_GBK" w:cs="方正楷体_GBK"/>
          <w:color w:val="auto"/>
        </w:rPr>
        <w:t>2.4  生态环境保护状况</w:t>
      </w:r>
      <w:bookmarkEnd w:id="313"/>
      <w:bookmarkEnd w:id="314"/>
    </w:p>
    <w:p>
      <w:pPr>
        <w:widowControl w:val="0"/>
        <w:ind w:firstLine="640"/>
        <w:rPr>
          <w:rFonts w:hint="eastAsia" w:ascii="方正仿宋_GBK" w:hAnsi="方正仿宋_GBK" w:cs="方正仿宋_GBK"/>
          <w:color w:val="auto"/>
        </w:rPr>
      </w:pPr>
      <w:bookmarkStart w:id="315" w:name="_Toc48318300"/>
      <w:bookmarkStart w:id="316" w:name="_Toc45199293"/>
      <w:r>
        <w:rPr>
          <w:rFonts w:hint="eastAsia" w:ascii="方正仿宋_GBK" w:hAnsi="方正仿宋_GBK" w:cs="方正仿宋_GBK"/>
          <w:color w:val="auto"/>
        </w:rPr>
        <w:t>2.4.1  生态环境敏感区分布及保护情况</w:t>
      </w:r>
      <w:bookmarkEnd w:id="315"/>
      <w:bookmarkEnd w:id="316"/>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根据《重庆市人民政府关于发布重庆市生态保护红线的通知》（渝府发〔2018〕25号），永川区生态保护红线面积为98.48km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，占永川</w:t>
      </w:r>
      <w:sdt>
        <w:sdtPr>
          <w:rPr>
            <w:color w:val="auto"/>
          </w:rPr>
          <w:alias w:val="敏感词检查"/>
          <w:id w:val="3100154"/>
        </w:sdtPr>
        <w:sdtEndPr>
          <w:rPr>
            <w:color w:val="auto"/>
          </w:rPr>
        </w:sdtEndPr>
        <w:sdtContent>
          <w:bookmarkStart w:id="317" w:name="bkPolitics3100154"/>
          <w:r>
            <w:rPr>
              <w:rFonts w:hint="eastAsia" w:ascii="方正仿宋_GBK" w:hAnsi="方正仿宋_GBK" w:cs="方正仿宋_GBK"/>
              <w:color w:val="auto"/>
            </w:rPr>
            <w:t>区幅员</w:t>
          </w:r>
          <w:bookmarkEnd w:id="317"/>
        </w:sdtContent>
      </w:sdt>
      <w:r>
        <w:rPr>
          <w:rFonts w:hint="eastAsia" w:ascii="方正仿宋_GBK" w:hAnsi="方正仿宋_GBK" w:cs="方正仿宋_GBK"/>
          <w:color w:val="auto"/>
        </w:rPr>
        <w:t>面积的6.24%，主要集中分布于茶山竹海街道、三教镇，在金龙镇、大安街道、陈食街道、临江镇、何埂镇、五间镇、双石镇、松溉镇、朱沱镇亦有少量分布。</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生态保护红线区域中，61.24%的面积为已有的各类受保护区域，包括永川区孙家口水库水源地、上游水库水源地、长江上游珍稀特有鱼类国家级自然保护区、茶山竹海国家森林公园、青龙湖国家森林公园、石笋山市级森林公园、云龙山市级森林公园、重庆市云雾坪森林公园等，面积为60.31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；38.76%的面积为通过生态功能评价识别出来的重点生态功能区，面积为38.17km</w:t>
      </w:r>
      <w:r>
        <w:rPr>
          <w:rFonts w:hint="eastAsia" w:ascii="方正仿宋_GBK" w:hAnsi="方正仿宋_GBK" w:cs="方正仿宋_GBK"/>
          <w:color w:val="auto"/>
          <w:vertAlign w:val="superscript"/>
        </w:rPr>
        <w:t>2</w:t>
      </w:r>
      <w:r>
        <w:rPr>
          <w:rFonts w:hint="eastAsia" w:ascii="方正仿宋_GBK" w:hAnsi="方正仿宋_GBK" w:cs="方正仿宋_GBK"/>
          <w:color w:val="auto"/>
        </w:rPr>
        <w:t>。</w:t>
      </w:r>
    </w:p>
    <w:p>
      <w:pPr>
        <w:widowControl w:val="0"/>
        <w:spacing w:line="274" w:lineRule="auto"/>
        <w:ind w:firstLine="640"/>
        <w:rPr>
          <w:rFonts w:hint="eastAsia" w:ascii="方正仿宋_GBK" w:hAnsi="方正仿宋_GBK" w:cs="方正仿宋_GBK"/>
          <w:color w:val="auto"/>
        </w:rPr>
      </w:pPr>
      <w:r>
        <w:rPr>
          <w:rFonts w:hint="eastAsia" w:ascii="方正仿宋_GBK" w:hAnsi="方正仿宋_GBK" w:cs="方正仿宋_GBK"/>
          <w:color w:val="auto"/>
        </w:rPr>
        <w:t>通过实地调研发现，永川区城区饮用水源地保护状况良好，水质逐年稳定达标，但部分镇街集中式饮用水源地未进行规范化建设，保护状况较差；自然保护区、森林公园、风景名胜区等生态环境敏感区总体上保护状况良好，但仍然存在监管不力的问题。</w:t>
      </w:r>
    </w:p>
    <w:p>
      <w:pPr>
        <w:widowControl w:val="0"/>
        <w:ind w:firstLine="640"/>
        <w:rPr>
          <w:rFonts w:hint="eastAsia" w:ascii="方正仿宋_GBK" w:hAnsi="方正仿宋_GBK" w:cs="方正仿宋_GBK"/>
          <w:color w:val="auto"/>
        </w:rPr>
      </w:pPr>
      <w:bookmarkStart w:id="318" w:name="_Toc48318301"/>
      <w:bookmarkStart w:id="319" w:name="_Toc45199294"/>
      <w:r>
        <w:rPr>
          <w:rFonts w:hint="eastAsia" w:ascii="方正仿宋_GBK" w:hAnsi="方正仿宋_GBK" w:cs="方正仿宋_GBK"/>
          <w:color w:val="auto"/>
        </w:rPr>
        <w:t>2.4.2  环境质量状况</w:t>
      </w:r>
      <w:bookmarkEnd w:id="318"/>
      <w:bookmarkEnd w:id="319"/>
    </w:p>
    <w:p>
      <w:pPr>
        <w:widowControl w:val="0"/>
        <w:spacing w:line="27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（1）水环境质量状况</w:t>
      </w:r>
    </w:p>
    <w:p>
      <w:pPr>
        <w:widowControl w:val="0"/>
        <w:spacing w:line="274" w:lineRule="auto"/>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根据2020年01月-2020年04月重庆市地表水考核断面水质监测数据及评价结果，临江河、汇龙河、小安溪出境断面水质保持于同期的</w:t>
      </w:r>
      <w:r>
        <w:rPr>
          <w:rFonts w:hint="eastAsia" w:ascii="方正仿宋_GBK" w:hAnsi="方正仿宋_GBK" w:cs="方正仿宋_GBK"/>
          <w:color w:val="auto"/>
          <w:szCs w:val="32"/>
          <w:lang w:eastAsia="zh-CN"/>
        </w:rPr>
        <w:t>Ⅳ</w:t>
      </w:r>
      <w:r>
        <w:rPr>
          <w:rFonts w:hint="eastAsia" w:ascii="方正仿宋_GBK" w:hAnsi="方正仿宋_GBK" w:cs="方正仿宋_GBK"/>
          <w:color w:val="auto"/>
          <w:szCs w:val="32"/>
        </w:rPr>
        <w:t>类提升至</w:t>
      </w:r>
      <w:r>
        <w:rPr>
          <w:rFonts w:hint="eastAsia" w:ascii="方正仿宋_GBK" w:hAnsi="方正仿宋_GBK" w:cs="方正仿宋_GBK"/>
          <w:color w:val="auto"/>
          <w:szCs w:val="32"/>
          <w:lang w:eastAsia="zh-CN"/>
        </w:rPr>
        <w:t>Ⅲ</w:t>
      </w:r>
      <w:r>
        <w:rPr>
          <w:rFonts w:hint="eastAsia" w:ascii="方正仿宋_GBK" w:hAnsi="方正仿宋_GBK" w:cs="方正仿宋_GBK"/>
          <w:color w:val="auto"/>
          <w:szCs w:val="32"/>
        </w:rPr>
        <w:t>类，水质改善明显；双河水库和四明水厂水库水质均达到《地表水环境质量标准》（GB3838-2002）</w:t>
      </w:r>
      <w:r>
        <w:rPr>
          <w:rFonts w:hint="eastAsia" w:ascii="方正仿宋_GBK" w:hAnsi="方正仿宋_GBK" w:cs="方正仿宋_GBK"/>
          <w:color w:val="auto"/>
          <w:szCs w:val="32"/>
          <w:lang w:eastAsia="zh-CN"/>
        </w:rPr>
        <w:t>Ⅲ</w:t>
      </w:r>
      <w:r>
        <w:rPr>
          <w:rFonts w:hint="eastAsia" w:ascii="方正仿宋_GBK" w:hAnsi="方正仿宋_GBK" w:cs="方正仿宋_GBK"/>
          <w:color w:val="auto"/>
          <w:szCs w:val="32"/>
        </w:rPr>
        <w:t>类标准，水质达标率为100%；湾凼断面由去年同期的</w:t>
      </w:r>
      <w:r>
        <w:rPr>
          <w:rFonts w:hint="eastAsia" w:ascii="方正仿宋_GBK" w:hAnsi="方正仿宋_GBK" w:cs="方正仿宋_GBK"/>
          <w:color w:val="auto"/>
          <w:szCs w:val="32"/>
          <w:lang w:eastAsia="zh-CN"/>
        </w:rPr>
        <w:t>Ⅲ</w:t>
      </w:r>
      <w:r>
        <w:rPr>
          <w:rFonts w:hint="eastAsia" w:ascii="方正仿宋_GBK" w:hAnsi="方正仿宋_GBK" w:cs="方正仿宋_GBK"/>
          <w:color w:val="auto"/>
          <w:szCs w:val="32"/>
        </w:rPr>
        <w:t>类下降至</w:t>
      </w:r>
      <w:r>
        <w:rPr>
          <w:rFonts w:hint="eastAsia" w:ascii="方正仿宋_GBK" w:hAnsi="方正仿宋_GBK" w:cs="方正仿宋_GBK"/>
          <w:color w:val="auto"/>
          <w:szCs w:val="32"/>
          <w:lang w:eastAsia="zh-CN"/>
        </w:rPr>
        <w:t>Ⅳ</w:t>
      </w:r>
      <w:r>
        <w:rPr>
          <w:rFonts w:hint="eastAsia" w:ascii="方正仿宋_GBK" w:hAnsi="方正仿宋_GBK" w:cs="方正仿宋_GBK"/>
          <w:color w:val="auto"/>
          <w:szCs w:val="32"/>
        </w:rPr>
        <w:t>类，水质状况有所恶化。</w:t>
      </w:r>
    </w:p>
    <w:p>
      <w:pPr>
        <w:pStyle w:val="11"/>
        <w:widowControl w:val="0"/>
        <w:spacing w:line="240" w:lineRule="auto"/>
        <w:rPr>
          <w:rFonts w:hint="eastAsia" w:ascii="方正楷体_GBK" w:hAnsi="方正楷体_GBK" w:cs="方正楷体_GBK"/>
          <w:color w:val="auto"/>
          <w:szCs w:val="28"/>
        </w:rPr>
      </w:pPr>
      <w:r>
        <w:rPr>
          <w:rFonts w:hint="eastAsia" w:ascii="方正楷体_GBK" w:hAnsi="方正楷体_GBK" w:cs="方正楷体_GBK"/>
          <w:color w:val="auto"/>
          <w:szCs w:val="28"/>
        </w:rPr>
        <w:t>表2.4-1</w:t>
      </w:r>
      <w:r>
        <w:rPr>
          <w:rFonts w:hint="eastAsia" w:ascii="方正楷体_GBK" w:hAnsi="方正楷体_GBK" w:cs="方正楷体_GBK"/>
          <w:color w:val="auto"/>
          <w:szCs w:val="28"/>
          <w:lang w:val="en-US" w:eastAsia="zh-CN"/>
        </w:rPr>
        <w:t xml:space="preserve">  </w:t>
      </w:r>
      <w:r>
        <w:rPr>
          <w:rFonts w:hint="eastAsia" w:ascii="方正楷体_GBK" w:hAnsi="方正楷体_GBK" w:cs="方正楷体_GBK"/>
          <w:color w:val="auto"/>
          <w:szCs w:val="28"/>
        </w:rPr>
        <w:t>2020.1-4月重庆市地表水考核断面水质监测数据</w:t>
      </w:r>
    </w:p>
    <w:p>
      <w:pPr>
        <w:pStyle w:val="11"/>
        <w:widowControl w:val="0"/>
        <w:spacing w:line="240" w:lineRule="auto"/>
        <w:rPr>
          <w:rFonts w:hint="eastAsia" w:ascii="方正楷体_GBK" w:hAnsi="方正楷体_GBK" w:cs="方正楷体_GBK"/>
          <w:color w:val="auto"/>
          <w:szCs w:val="28"/>
        </w:rPr>
      </w:pPr>
      <w:r>
        <w:rPr>
          <w:rFonts w:hint="eastAsia" w:ascii="方正楷体_GBK" w:hAnsi="方正楷体_GBK" w:cs="方正楷体_GBK"/>
          <w:color w:val="auto"/>
          <w:szCs w:val="28"/>
        </w:rPr>
        <w:t>及评价结果（单月）</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3440"/>
        <w:gridCol w:w="2364"/>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1629"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河流名称</w:t>
            </w:r>
          </w:p>
        </w:tc>
        <w:tc>
          <w:tcPr>
            <w:tcW w:w="3440"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断面</w:t>
            </w:r>
          </w:p>
        </w:tc>
        <w:tc>
          <w:tcPr>
            <w:tcW w:w="2364"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断面属性</w:t>
            </w:r>
          </w:p>
        </w:tc>
        <w:tc>
          <w:tcPr>
            <w:tcW w:w="1628"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水质类别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长江</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朱沱</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国控考核</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长江</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朱沱</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国控考核</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长江</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朱沱</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国控考核</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太平河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漫水桥</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市控考核断面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太平河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漫水桥</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市控考核断面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汇龙河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龙门滩</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汇龙河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龙门滩</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汇龙河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龙门滩</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小安溪</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双河水库</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小安溪</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双河水库</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小安溪</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双河水库</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大陆溪河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四明水厂</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临江河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水厂</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临江河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水厂</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临江河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水厂</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市控评价断面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大陆溪河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湾凼</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市控考核断面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大陆溪河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湾凼</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市控考核断面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lang w:eastAsia="zh-CN"/>
              </w:rPr>
              <w:t>Ⅳ</w:t>
            </w:r>
            <w:r>
              <w:rPr>
                <w:rFonts w:hint="eastAsia" w:ascii="方正仿宋_GBK" w:hAnsi="方正仿宋_GBK" w:cs="方正仿宋_GBK"/>
                <w:bCs/>
                <w:color w:val="auto"/>
                <w:sz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9"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大陆溪河</w:t>
            </w:r>
          </w:p>
        </w:tc>
        <w:tc>
          <w:tcPr>
            <w:tcW w:w="3440"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湾凼</w:t>
            </w:r>
          </w:p>
        </w:tc>
        <w:tc>
          <w:tcPr>
            <w:tcW w:w="2364"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szCs w:val="21"/>
              </w:rPr>
              <w:t>市控考核断面</w:t>
            </w:r>
          </w:p>
        </w:tc>
        <w:tc>
          <w:tcPr>
            <w:tcW w:w="1628" w:type="dxa"/>
            <w:noWrap w:val="0"/>
            <w:vAlign w:val="center"/>
          </w:tcPr>
          <w:p>
            <w:pPr>
              <w:widowControl w:val="0"/>
              <w:adjustRightInd/>
              <w:spacing w:line="240" w:lineRule="auto"/>
              <w:ind w:firstLine="0" w:firstLineChars="0"/>
              <w:jc w:val="center"/>
              <w:rPr>
                <w:rFonts w:hint="eastAsia" w:ascii="方正仿宋_GBK" w:hAnsi="方正仿宋_GBK" w:cs="方正仿宋_GBK"/>
                <w:bCs/>
                <w:color w:val="auto"/>
                <w:sz w:val="21"/>
                <w:szCs w:val="21"/>
              </w:rPr>
            </w:pPr>
            <w:r>
              <w:rPr>
                <w:rFonts w:hint="eastAsia" w:ascii="方正仿宋_GBK" w:hAnsi="方正仿宋_GBK" w:cs="方正仿宋_GBK"/>
                <w:bCs/>
                <w:color w:val="auto"/>
                <w:sz w:val="21"/>
                <w:lang w:eastAsia="zh-CN"/>
              </w:rPr>
              <w:t>Ⅳ</w:t>
            </w:r>
            <w:r>
              <w:rPr>
                <w:rFonts w:hint="eastAsia" w:ascii="方正仿宋_GBK" w:hAnsi="方正仿宋_GBK" w:cs="方正仿宋_GBK"/>
                <w:bCs/>
                <w:color w:val="auto"/>
                <w:sz w:val="21"/>
              </w:rPr>
              <w:t>类</w:t>
            </w: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（2）大气环境质量状况</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根据永川区2019年环境质量公报，城区空气质量优良天数为298天，其中优133天、良165天，无重污染天数，优良率81.6%。</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根据相关资料显示，2020年，截至6月3日，全区优良天数为144天，同比增加19天，PM2.5、PM10和O3浓度同比分别下降为19.0%、14.3%和3.7%。</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（3）声环境质量状况</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根据相关资料显示，2019年永川区共布设120个监测网格，覆盖建成区面积43.20平方公里，声环境质量达到城市区域环境噪声总体水平二级，区域环境噪声质量属于“较好”。</w:t>
      </w:r>
      <w:bookmarkStart w:id="320" w:name="_Toc45199295"/>
    </w:p>
    <w:p>
      <w:pPr>
        <w:widowControl w:val="0"/>
        <w:spacing w:line="264" w:lineRule="auto"/>
        <w:ind w:firstLine="0" w:firstLineChars="0"/>
        <w:rPr>
          <w:rFonts w:hint="eastAsia" w:ascii="方正仿宋_GBK" w:hAnsi="方正仿宋_GBK" w:cs="方正仿宋_GBK"/>
          <w:color w:val="auto"/>
        </w:rPr>
      </w:pPr>
    </w:p>
    <w:p>
      <w:pPr>
        <w:widowControl w:val="0"/>
        <w:spacing w:line="264" w:lineRule="auto"/>
        <w:ind w:firstLine="0" w:firstLineChars="0"/>
        <w:jc w:val="center"/>
        <w:rPr>
          <w:rFonts w:hint="eastAsia" w:ascii="方正黑体_GBK" w:hAnsi="方正黑体_GBK" w:eastAsia="方正黑体_GBK" w:cs="方正黑体_GBK"/>
          <w:color w:val="auto"/>
        </w:rPr>
      </w:pPr>
      <w:bookmarkStart w:id="321" w:name="_Toc48318302"/>
      <w:r>
        <w:rPr>
          <w:rFonts w:hint="eastAsia" w:ascii="方正黑体_GBK" w:hAnsi="方正黑体_GBK" w:eastAsia="方正黑体_GBK" w:cs="方正黑体_GBK"/>
          <w:color w:val="auto"/>
        </w:rPr>
        <w:t>第3章  相关规划解读</w:t>
      </w:r>
      <w:bookmarkEnd w:id="320"/>
      <w:bookmarkEnd w:id="321"/>
    </w:p>
    <w:p>
      <w:pPr>
        <w:widowControl w:val="0"/>
        <w:spacing w:line="264" w:lineRule="auto"/>
        <w:ind w:firstLine="640"/>
        <w:rPr>
          <w:rFonts w:hint="eastAsia" w:ascii="方正楷体_GBK" w:hAnsi="方正楷体_GBK" w:eastAsia="方正楷体_GBK" w:cs="方正楷体_GBK"/>
          <w:color w:val="auto"/>
        </w:rPr>
      </w:pPr>
      <w:bookmarkStart w:id="322" w:name="_Toc45199296"/>
      <w:bookmarkStart w:id="323" w:name="_Toc48318303"/>
      <w:r>
        <w:rPr>
          <w:rFonts w:hint="eastAsia" w:ascii="方正楷体_GBK" w:hAnsi="方正楷体_GBK" w:eastAsia="方正楷体_GBK" w:cs="方正楷体_GBK"/>
          <w:color w:val="auto"/>
        </w:rPr>
        <w:t>3.1  《重庆市永川区城乡总体规划（2013年编制）》</w:t>
      </w:r>
      <w:bookmarkEnd w:id="322"/>
      <w:bookmarkEnd w:id="323"/>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（1）区域发展定位</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重庆重要的制造业基地，西部职业教育城，区域商贸物流中心。</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（2）产业空间布局</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以基础型产业为依托、以优势工业和区域物流业为支柱的特色产业结构。</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（3）人口与城镇化预测</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至2025年全区常住人口130万人，城镇人口95万人，城镇化水平约73%。</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至2025中心城区年常住人口85万人；城市人口80万人。至2025年各镇区常住人口45万人；城镇人口15万人，其中朱沱、松溉两镇6万人、其余14个镇9万人。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（4）村镇规模结构与职能结构</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规划形成“中心城区-镇/功能组团”的城镇体系结构。功能组团为港桥功能组团，由朱沱镇与松溉镇组成；镇包括中心镇和一般镇，其中中心镇有三教镇、板桥镇、来苏镇与何埂镇，共4个；一般镇，为双石镇、五间镇、临江镇、红炉镇等10个。各镇详细职能见下表3.1-1。</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表3.1-1  永川区各镇详细职能统计表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35"/>
        <w:gridCol w:w="886"/>
        <w:gridCol w:w="941"/>
        <w:gridCol w:w="735"/>
        <w:gridCol w:w="762"/>
        <w:gridCol w:w="649"/>
        <w:gridCol w:w="613"/>
        <w:gridCol w:w="786"/>
        <w:gridCol w:w="1063"/>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blHeader/>
          <w:jc w:val="center"/>
        </w:trPr>
        <w:tc>
          <w:tcPr>
            <w:tcW w:w="2121" w:type="dxa"/>
            <w:gridSpan w:val="2"/>
            <w:vMerge w:val="restart"/>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等级</w:t>
            </w:r>
          </w:p>
        </w:tc>
        <w:tc>
          <w:tcPr>
            <w:tcW w:w="941" w:type="dxa"/>
            <w:vMerge w:val="restart"/>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名称</w:t>
            </w:r>
          </w:p>
        </w:tc>
        <w:tc>
          <w:tcPr>
            <w:tcW w:w="2146" w:type="dxa"/>
            <w:gridSpan w:val="3"/>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基准年现状人口</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（万人）</w:t>
            </w:r>
          </w:p>
        </w:tc>
        <w:tc>
          <w:tcPr>
            <w:tcW w:w="1399" w:type="dxa"/>
            <w:gridSpan w:val="2"/>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规划期末人口</w:t>
            </w:r>
          </w:p>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（万人）</w:t>
            </w:r>
          </w:p>
        </w:tc>
        <w:tc>
          <w:tcPr>
            <w:tcW w:w="1063" w:type="dxa"/>
            <w:vMerge w:val="restart"/>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规划期末规划城镇建设用地（km²）</w:t>
            </w:r>
          </w:p>
        </w:tc>
        <w:tc>
          <w:tcPr>
            <w:tcW w:w="1289" w:type="dxa"/>
            <w:vMerge w:val="restart"/>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职能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5" w:hRule="atLeast"/>
          <w:tblHeader/>
          <w:jc w:val="center"/>
        </w:trPr>
        <w:tc>
          <w:tcPr>
            <w:tcW w:w="2121" w:type="dxa"/>
            <w:gridSpan w:val="2"/>
            <w:vMerge w:val="continue"/>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p>
        </w:tc>
        <w:tc>
          <w:tcPr>
            <w:tcW w:w="941" w:type="dxa"/>
            <w:vMerge w:val="continue"/>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p>
        </w:tc>
        <w:tc>
          <w:tcPr>
            <w:tcW w:w="735"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户籍</w:t>
            </w:r>
          </w:p>
        </w:tc>
        <w:tc>
          <w:tcPr>
            <w:tcW w:w="762"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w:t>
            </w:r>
          </w:p>
        </w:tc>
        <w:tc>
          <w:tcPr>
            <w:tcW w:w="649"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城镇</w:t>
            </w:r>
          </w:p>
        </w:tc>
        <w:tc>
          <w:tcPr>
            <w:tcW w:w="613"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w:t>
            </w:r>
          </w:p>
        </w:tc>
        <w:tc>
          <w:tcPr>
            <w:tcW w:w="786" w:type="dxa"/>
            <w:noWrap w:val="0"/>
            <w:vAlign w:val="center"/>
          </w:tcPr>
          <w:p>
            <w:pPr>
              <w:widowControl w:val="0"/>
              <w:adjustRightInd/>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城镇</w:t>
            </w:r>
          </w:p>
        </w:tc>
        <w:tc>
          <w:tcPr>
            <w:tcW w:w="1063" w:type="dxa"/>
            <w:vMerge w:val="continue"/>
            <w:noWrap w:val="0"/>
            <w:vAlign w:val="center"/>
          </w:tcPr>
          <w:p>
            <w:pPr>
              <w:widowControl w:val="0"/>
              <w:adjustRightInd/>
              <w:spacing w:line="240" w:lineRule="auto"/>
              <w:ind w:firstLine="0" w:firstLineChars="0"/>
              <w:jc w:val="center"/>
              <w:rPr>
                <w:color w:val="auto"/>
                <w:sz w:val="22"/>
              </w:rPr>
            </w:pPr>
          </w:p>
        </w:tc>
        <w:tc>
          <w:tcPr>
            <w:tcW w:w="1289" w:type="dxa"/>
            <w:vMerge w:val="continue"/>
            <w:noWrap w:val="0"/>
            <w:vAlign w:val="center"/>
          </w:tcPr>
          <w:p>
            <w:pPr>
              <w:widowControl w:val="0"/>
              <w:adjustRightInd/>
              <w:spacing w:line="240" w:lineRule="auto"/>
              <w:ind w:firstLine="0" w:firstLineChars="0"/>
              <w:jc w:val="center"/>
              <w:rPr>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5" w:hRule="atLeast"/>
          <w:jc w:val="center"/>
        </w:trPr>
        <w:tc>
          <w:tcPr>
            <w:tcW w:w="12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中心城区</w:t>
            </w:r>
          </w:p>
        </w:tc>
        <w:tc>
          <w:tcPr>
            <w:tcW w:w="886"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58.90</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58.47</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w:t>
            </w:r>
          </w:p>
        </w:tc>
        <w:tc>
          <w:tcPr>
            <w:tcW w:w="613"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786"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1063"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综合型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6" w:hRule="atLeast"/>
          <w:jc w:val="center"/>
        </w:trPr>
        <w:tc>
          <w:tcPr>
            <w:tcW w:w="1235"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功能组团/镇</w:t>
            </w:r>
          </w:p>
        </w:tc>
        <w:tc>
          <w:tcPr>
            <w:tcW w:w="886"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港桥功能组团</w:t>
            </w: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8.69</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5.83</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w:t>
            </w:r>
          </w:p>
        </w:tc>
        <w:tc>
          <w:tcPr>
            <w:tcW w:w="613"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786"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063"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工业、商贸型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2.18</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0.50</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工业、旅游型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中心镇</w:t>
            </w: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6.43</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063"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3.54</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0.33</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5.65</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4.14</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0.71</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5.73</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3.81</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一般镇</w:t>
            </w: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3.25</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0.69</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063" w:type="dxa"/>
            <w:vMerge w:val="restart"/>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工业、商贸型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2.62</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0.62</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3.72</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0.61</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工业、商贸型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0.69</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1.96</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0.19</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2.21</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0.12</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5.36</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0.37</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3.48</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2.17</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0.29</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农业型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235"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8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941"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0.39</w:t>
            </w:r>
          </w:p>
        </w:tc>
        <w:tc>
          <w:tcPr>
            <w:tcW w:w="61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786"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063" w:type="dxa"/>
            <w:vMerge w:val="continue"/>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工业型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062" w:type="dxa"/>
            <w:gridSpan w:val="3"/>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735"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112.31</w:t>
            </w:r>
          </w:p>
        </w:tc>
        <w:tc>
          <w:tcPr>
            <w:tcW w:w="762"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102.47</w:t>
            </w:r>
          </w:p>
        </w:tc>
        <w:tc>
          <w:tcPr>
            <w:tcW w:w="64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63.11</w:t>
            </w:r>
          </w:p>
        </w:tc>
        <w:tc>
          <w:tcPr>
            <w:tcW w:w="613"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c>
          <w:tcPr>
            <w:tcW w:w="786"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c>
          <w:tcPr>
            <w:tcW w:w="1063"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1289" w:type="dxa"/>
            <w:noWrap w:val="0"/>
            <w:vAlign w:val="center"/>
          </w:tcPr>
          <w:p>
            <w:pPr>
              <w:widowControl w:val="0"/>
              <w:adjustRightInd/>
              <w:spacing w:line="240" w:lineRule="auto"/>
              <w:ind w:firstLine="0" w:firstLineChars="0"/>
              <w:jc w:val="center"/>
              <w:rPr>
                <w:rFonts w:hint="eastAsia" w:ascii="方正仿宋_GBK" w:hAnsi="方正仿宋_GBK" w:cs="方正仿宋_GBK"/>
                <w:color w:val="auto"/>
                <w:sz w:val="21"/>
                <w:szCs w:val="21"/>
              </w:rPr>
            </w:pPr>
          </w:p>
        </w:tc>
      </w:tr>
    </w:tbl>
    <w:p>
      <w:pPr>
        <w:widowControl w:val="0"/>
        <w:ind w:firstLine="640"/>
        <w:rPr>
          <w:rFonts w:hint="eastAsia" w:ascii="方正仿宋_GBK" w:hAnsi="方正仿宋_GBK" w:cs="方正仿宋_GBK"/>
          <w:color w:val="auto"/>
          <w:szCs w:val="32"/>
        </w:rPr>
      </w:pPr>
      <w:r>
        <w:rPr>
          <w:rFonts w:hint="eastAsia" w:ascii="方正仿宋_GBK" w:hAnsi="方正仿宋_GBK" w:cs="方正仿宋_GBK"/>
          <w:color w:val="auto"/>
          <w:szCs w:val="32"/>
        </w:rPr>
        <w:t>（5）交通规划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铁路及场站规划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在建成渝城际铁路在永川城区北部过境，线路平行于成渝高速公路，并在瓦子铺设客运站。预留渝昆铁路通道，在东南高速公路环线以北，为临江-凤凰湖工业园-卫星湖走向，在城南预留铁路客货站。预留重庆铁路货运环线通道，与西三环高速公路-东南绕城高速公路平行，在城南与渝昆铁路共站，在永川城西新建客货站。成渝铁路扩容改造，城区段外迁与重庆铁路货运环线并线，在永川城西共客货站。预留重庆主城-永川-永川的市郊铁路通道。部分利用既有成渝铁路线位，在栏杆滩站向东经陈食、大安走向，改造既有永川站，栏杆滩站，新建陈食客运站和大安客运站。</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高速公路及出入口规划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规划形成“一环六射”高速公路网，中心城区新增6个高速公路出入口，分别为成渝高速西出入口、丰田出入口、谭家坝出入口、双凤出入口、陈食出入口、观音寺出入口。</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城市道路</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快速路：规划两条快速路。一条由现状一环路西段和南段组成，并在兴龙大道向东延伸至东南绕城高速；一条为兴龙大道及其南延伸段。</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主干路：规划形成“十四横十纵”的结构，其中新老城区之间具有贯通性的交通通道有6条。</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十四横：昌州大道、渝西大道东段延伸至观音寺出入口、汇龙大道向西延伸至南大街、渝西大道中段-渝西大道西段、永和大道、人民大道、西部商贸物流片区至新城区跨河主干路、兴南路-三星北路、高铁站前主干路、城区至陈食主干路、凤凰湖产业片区内的四条横向主干路。</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十纵：新城区东侧快速路接昌龙大道、官井路接内环东路、红河大道、汇龙大道接星光大道、萱花路接探花路、城西纵向路、凤凰湖产业片区的四条纵向主干路。</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（6）给水工程规划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中心城区供水采取分区供水方式，各供水区形成相对独立的供水系统，各供区间加强联络，发挥水厂之间的互补、应急作用。</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规划3座市政水厂。保留</w:t>
      </w:r>
      <w:sdt>
        <w:sdtPr>
          <w:rPr>
            <w:color w:val="auto"/>
          </w:rPr>
          <w:alias w:val="易错词检查"/>
          <w:id w:val="2100713"/>
        </w:sdtPr>
        <w:sdtEndPr>
          <w:rPr>
            <w:color w:val="auto"/>
          </w:rPr>
        </w:sdtEndPr>
        <w:sdtContent>
          <w:bookmarkStart w:id="324" w:name="bkReivew2100713"/>
          <w:r>
            <w:rPr>
              <w:rFonts w:hint="eastAsia" w:ascii="方正仿宋_GBK" w:hAnsi="方正仿宋_GBK" w:cs="方正仿宋_GBK"/>
              <w:color w:val="auto"/>
            </w:rPr>
            <w:t>侨</w:t>
          </w:r>
          <w:bookmarkEnd w:id="324"/>
        </w:sdtContent>
      </w:sdt>
      <w:r>
        <w:rPr>
          <w:rFonts w:hint="eastAsia" w:ascii="方正仿宋_GBK" w:hAnsi="方正仿宋_GBK" w:cs="方正仿宋_GBK"/>
          <w:color w:val="auto"/>
        </w:rPr>
        <w:t>立水厂，规模5万立方米/日，保留孙家口水厂，规模3万立方米/日；续建三水厂，规模20万立方米/日。</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改造、完善城市输配水管网，加强供区间的供水联络，保障供水安全。中心城区消防供水与市政供水共用一套管网系统，在城市道路上设置室外市政消火栓，消火栓间距不大于120米，保护半径不大于150米。</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（7）排水工程规划</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中心城区规划3座主要污水厂和2座小型污水厂。扩建永川污水厂，规模为12万立方米/日，配套建设再生水厂，规模为4万立方米/日；扩建工业园区污水厂，规模为5万立方米/日；新建城南污水厂，规模为3万立方米/日。大安和陈食各规划1座小型污水厂。</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按自然地形和污水厂布局划分污水分区，沿自然河道和高程较低的道路敷设污水截流干管，沿途收集污水至污水厂。</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采用重庆市暴雨强度公式，设计重现期一般道路取3~5年，重要区域取10年，主要排水通道取10~20年。工程与非工程措施相结合防止城市内涝。雨水就近分散排放，排入景观水体时采取措施防止初期雨水对水体的污染。</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4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④</w:t>
      </w:r>
      <w:r>
        <w:rPr>
          <w:rFonts w:hint="eastAsia" w:ascii="方正仿宋_GBK" w:hAnsi="方正仿宋_GBK" w:cs="方正仿宋_GBK"/>
          <w:color w:val="auto"/>
        </w:rPr>
        <w:fldChar w:fldCharType="end"/>
      </w:r>
      <w:r>
        <w:rPr>
          <w:rFonts w:hint="eastAsia" w:ascii="方正仿宋_GBK" w:hAnsi="方正仿宋_GBK" w:cs="方正仿宋_GBK"/>
          <w:color w:val="auto"/>
        </w:rPr>
        <w:t>在永川污水厂内设置污泥处理设施，处理中心城区污水厂污泥。</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（8）生态环境保护</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1.水污染防治</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严格保护饮用水源。至2025年，集中式饮用水源水质达标率100%，坚决取缔水源保护区内的直接排污口，严防养殖业污染水源，禁止有毒有害物质进入饮用水水源保护区，强化水污染事故的预防和应急处理。加强对水源涵养区植被的保护。</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加强城镇生活污水和工业废水治理。至2025年，中心城区污水集中处理率超过98%；全面推进工业废水达标排放，至规模期末，工业废水排放达标率超过98%；工业用水循环利用率不低于90%。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2.大气污染防治</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调整能源结构，推广清洁能源的使用，提倡绿色交通，确保空气污染物达标，着手建立工业特征污染物监测与管理机制。严格控制扬尘污染、工业废气污染和机动车尾气污染。至2025年，环境空气质量达标率100%，重点工业企业污染物排放稳定达标率不低于98%，城市居民燃气化率达到100%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中心城区和郊区总体大气环境质量为Ⅱ级，森林公园大气环境质量达到Ⅰ级。</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3.噪声、辐射、固体废弃物污染防治</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巩固并扩大噪声达标区，防治生活、工业、交通和施工噪声污染。声环境质量达标区覆盖率达到100%。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严格执行建设项目辐射环境影响评价和辐射安全许可证制度，贯彻执行《中华人民共和国放射性污染防治法》。</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推行垃圾分类收集，完善垃圾收运体系，强化对垃圾回收管理力度。加强危险废弃物收集处理。生活垃圾无害化处理率达到100%以上，危险废物处置率达到100%，工业固体废物处置利用率达到90%。</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4.农业面源污染防治</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加大农业面源污染控制力度，鼓励畜禽粪便资源化，确保养殖废水达标排放，严格控制氮肥、磷肥施用量，禁止使用高毒农药。</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5.土壤环境治理</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划定土壤优先区域，开展被污染土壤的环境风险控制，实施土壤污染治理与修复，严格控制固体废弃物污染土壤。</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6.环境质量分区</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水环境质量分区：饮用水源一级保护区按《中华人民共和国地表水环境质量标准》（GB3838-2002）</w:t>
      </w:r>
      <w:r>
        <w:rPr>
          <w:rFonts w:hint="eastAsia" w:ascii="方正仿宋_GBK" w:hAnsi="方正仿宋_GBK" w:cs="方正仿宋_GBK"/>
          <w:color w:val="auto"/>
          <w:lang w:eastAsia="zh-CN"/>
        </w:rPr>
        <w:t>Ⅱ</w:t>
      </w:r>
      <w:r>
        <w:rPr>
          <w:rFonts w:hint="eastAsia" w:ascii="方正仿宋_GBK" w:hAnsi="方正仿宋_GBK" w:cs="方正仿宋_GBK"/>
          <w:color w:val="auto"/>
        </w:rPr>
        <w:t>类水质控制，二级保护区按</w:t>
      </w:r>
      <w:r>
        <w:rPr>
          <w:rFonts w:hint="eastAsia" w:ascii="方正仿宋_GBK" w:hAnsi="方正仿宋_GBK" w:cs="方正仿宋_GBK"/>
          <w:color w:val="auto"/>
          <w:lang w:eastAsia="zh-CN"/>
        </w:rPr>
        <w:t>Ⅲ</w:t>
      </w:r>
      <w:r>
        <w:rPr>
          <w:rFonts w:hint="eastAsia" w:ascii="方正仿宋_GBK" w:hAnsi="方正仿宋_GBK" w:cs="方正仿宋_GBK"/>
          <w:color w:val="auto"/>
        </w:rPr>
        <w:t>类水质控制，其余水域按水功能区划标准执行。饮用水源一级保护区：孙家口水库以取水口为圆心，1000米为半径所划的扇形区域为一级保护区；卫星湖水库整个水库为一级保护区；临江河红河闸坝至麻柳河桥下（红江闸坝上游）为一级保护区，执行</w:t>
      </w:r>
      <w:r>
        <w:rPr>
          <w:rFonts w:hint="eastAsia" w:ascii="方正仿宋_GBK" w:hAnsi="方正仿宋_GBK" w:cs="方正仿宋_GBK"/>
          <w:color w:val="auto"/>
          <w:lang w:eastAsia="zh-CN"/>
        </w:rPr>
        <w:t>Ⅱ</w:t>
      </w:r>
      <w:r>
        <w:rPr>
          <w:rFonts w:hint="eastAsia" w:ascii="方正仿宋_GBK" w:hAnsi="方正仿宋_GBK" w:cs="方正仿宋_GBK"/>
          <w:color w:val="auto"/>
        </w:rPr>
        <w:t>类水质标准。饮用水源二级保护区：临江河麻柳河桥以上区域为二级保护区，执行</w:t>
      </w:r>
      <w:r>
        <w:rPr>
          <w:rFonts w:hint="eastAsia" w:ascii="方正仿宋_GBK" w:hAnsi="方正仿宋_GBK" w:cs="方正仿宋_GBK"/>
          <w:color w:val="auto"/>
          <w:lang w:eastAsia="zh-CN"/>
        </w:rPr>
        <w:t>Ⅲ</w:t>
      </w:r>
      <w:r>
        <w:rPr>
          <w:rFonts w:hint="eastAsia" w:ascii="方正仿宋_GBK" w:hAnsi="方正仿宋_GBK" w:cs="方正仿宋_GBK"/>
          <w:color w:val="auto"/>
        </w:rPr>
        <w:t>类水质标准。</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大气环境质量分区：茶山竹海森林公园、代家店森林公园为一类环境空气功能区，其余区域为二类环境空气质量功能区，分别执行《环境空气质量标准》（GB 3095-2012）中的一级和二级标准。</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声环境质量分区：根据《声环境质量标准》（GB3096-2008），将中心城区划分为四类噪声环境功能区：1类声环境功能区、2类声环境功能区、3类声环境功能区和4类声环境功能区，各类声环境功能区严格按《声环境质量标准》控制噪声。</w:t>
      </w:r>
    </w:p>
    <w:p>
      <w:pPr>
        <w:widowControl w:val="0"/>
        <w:ind w:firstLine="640"/>
        <w:rPr>
          <w:rFonts w:hint="eastAsia" w:ascii="方正楷体_GBK" w:hAnsi="方正楷体_GBK" w:eastAsia="方正楷体_GBK" w:cs="方正楷体_GBK"/>
          <w:color w:val="auto"/>
        </w:rPr>
      </w:pPr>
      <w:bookmarkStart w:id="325" w:name="_Toc48318304"/>
      <w:bookmarkStart w:id="326" w:name="_Toc45199297"/>
      <w:r>
        <w:rPr>
          <w:rFonts w:hint="eastAsia" w:ascii="方正楷体_GBK" w:hAnsi="方正楷体_GBK" w:eastAsia="方正楷体_GBK" w:cs="方正楷体_GBK"/>
          <w:color w:val="auto"/>
        </w:rPr>
        <w:t>3.2  《永川区乡村旅游发展规划》（2020-2030年）</w:t>
      </w:r>
      <w:bookmarkEnd w:id="325"/>
      <w:bookmarkEnd w:id="326"/>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（1）旅游发展目标</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至2022年，永川区乡村旅游年接待游客量约1900万人次，占全区年游客接待总量的68%；实现年旅游收入126亿元，占全区年旅游收入的55%；建成3个田园综合体示范园、2个特色旅游街区，3家乡村度假酒店，6家精品民宿；永川成为川渝地区知名的乡村休闲度假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至2025年，永川区乡村旅游年接待游客量约2000万人次，占全区年游客接待总量的67%；实现旅游年收入156亿元，占全区年旅游收入的52%；建成6个田园综合体示范园、3个特色旅游街区，6家乡村度假酒店，10家精品民宿；永川成为成渝双城经济圈著名的乡村休闲度假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至2030年，永川区乡村旅游年接待游客量约2480万人次，占全区年游客接待总量的62%；实现旅游年收入240亿元，占全区年旅游收入的46%；建成9个田园综合体示范园、2个特色旅游街区，9家乡村度假酒店，15家精品民宿；永川成为西南地区著名的乡村休闲度假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（2）旅游发展定位</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将永川乡村地区打造成休闲度假功能为主的复合型乡村旅游目的地，成为永川建设中国西部休闲度假旅游名城的重要支撑。</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（3）旅游总体布局</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全区乡村旅游按照“一江、五山、多点”进行布局发展。</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1.一江：长江沿岸</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地域范围：松溉镇、朱沱镇除工业园区外的区域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功能定位：人文观光度假旅游目的地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形象定位：人文江岸</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充分挖掘祠堂文化、江岸文化、抗战文化，结合非物质文化遗产和国内宗祠建筑资源，以国家AAAAA级旅游景区为建设目标，对松溉古镇核心区1.8平方公里进行提档升级，拓展开发5平方公里度假区。发掘利用朱沱镇汉东城遗址，整合朱沱老街，建设</w:t>
      </w:r>
      <w:sdt>
        <w:sdtPr>
          <w:rPr>
            <w:color w:val="auto"/>
          </w:rPr>
          <w:alias w:val="易错词检查"/>
          <w:id w:val="1162825"/>
        </w:sdtPr>
        <w:sdtEndPr>
          <w:rPr>
            <w:color w:val="auto"/>
          </w:rPr>
        </w:sdtEndPr>
        <w:sdtContent>
          <w:bookmarkStart w:id="327" w:name="bkReivew1162825"/>
          <w:r>
            <w:rPr>
              <w:rFonts w:hint="eastAsia" w:ascii="方正仿宋_GBK" w:hAnsi="方正仿宋_GBK" w:cs="方正仿宋_GBK"/>
              <w:color w:val="auto"/>
            </w:rPr>
            <w:t>高品</w:t>
          </w:r>
          <w:bookmarkEnd w:id="327"/>
          <w:r>
            <w:rPr>
              <w:rFonts w:hint="eastAsia" w:ascii="方正仿宋_GBK" w:hAnsi="方正仿宋_GBK" w:cs="方正仿宋_GBK"/>
              <w:color w:val="auto"/>
              <w:lang w:eastAsia="zh-CN"/>
            </w:rPr>
            <w:t>位</w:t>
          </w:r>
        </w:sdtContent>
      </w:sdt>
      <w:r>
        <w:rPr>
          <w:rFonts w:hint="eastAsia" w:ascii="方正仿宋_GBK" w:hAnsi="方正仿宋_GBK" w:cs="方正仿宋_GBK"/>
          <w:color w:val="auto"/>
        </w:rPr>
        <w:t>遗址公园，有效提升永川乡村旅游人文品质。</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2.五山：黄瓜山、箕山、云雾山、巴岳山、英山区域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A、黄瓜山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地域范围：南大街街道、卫星湖街道、吉安镇、五间镇、仙龙镇、来苏镇部分区域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功能定位：现代农业体验旅游目的地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形象定位：花果梨乡</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结合泛黄瓜山区域“翠山拥丘谷，湖川绕碧园”的优越地形地貌，承接中国西部欢乐城外溢游客，突出农耕稻作文化特色，大力推进农文旅商融合发展，整合黄瓜山区域及周边各大小特色园区，丰富乡村体验项目，通过优化游线，增添景观、度假、休憩、导览等设施，实现黄瓜山提档升级，建设独具永川山湖田园特征的高品质乡村度假聚落，打造国内知名的重庆地区代表性乡村旅游先行示范区。</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重点项目：</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B、箕山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地域范围：茶山竹海街道全域，胜利路街道、中山路街道、大安街道、板桥镇、金龙镇部分区域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功能定位：生态康养度假旅游目的地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形象定位：茶竹和韵</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发展思路：结合箕山隐文化、茶竹文化、民俗文化、现代养生与医疗，提升茶山竹海国家康养示范基地景观品质和服务功能，创建国家AAAAA级旅游景区，打造以康养度假为主要功能的复合型生态度假旅游目的地。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重点项目：</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C、云雾山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地域范围：大安街道、陈食街道、何埂镇、临江镇、金龙镇部分区域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功能定位：浪漫休闲体验旅游目的地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形象定位：西部情山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发展思路：以石笋山为开发核心，突出爱情、亲情、友情主题，结合宗教祈福文化，融入低空旅游体验，将该区域打造成为以浪漫祈福旅游为特色的片区。</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D、巴岳山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地域范围：双石镇、三教镇大部分区域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功能定位：森林生态研学旅游目的地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形象定位：巴岳桢楠</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三教镇桢楠公园建设为重点，强化国内最大桢楠自然林保护，培育楠木，带动巴岳山茶园、特色农业园区等资源开发，将该片区打造成为永川西北部自然生态休闲游片区，区域知名的楠木森林主题休闲度假旅游区。</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E、英山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地域范围：红炉镇全域、宝峰镇全域、永荣镇全域，青峰镇、来苏镇、双石镇部分区域</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功能定位：矿业科普研学旅游目的地</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形象定位：悦动英山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以红炉镇等英山片区工矿遗址特色资源为主，围绕工业矿址、小安溪源、会龙峡谷、生态茶园等旅游资源，重点开展矿址生态修复工程，结合英山片区茶产业优势、人文遗迹、森林生态及乡村景观，大力开发工矿业特色科普观光、乡村自驾、户外运动等旅游产品，形成特色科普观光休闲游片区，打造渝西知名的运动主题乡村生态休闲走廊。</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3.多点：何埂、板桥、青峰、来苏、三教、金龙、五间等旅游资源富集镇</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A、何埂镇</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形象特色：最美</w:t>
      </w:r>
      <w:sdt>
        <w:sdtPr>
          <w:rPr>
            <w:color w:val="auto"/>
          </w:rPr>
          <w:alias w:val="易错词检查"/>
          <w:id w:val="3003051"/>
        </w:sdtPr>
        <w:sdtEndPr>
          <w:rPr>
            <w:color w:val="auto"/>
          </w:rPr>
        </w:sdtEndPr>
        <w:sdtContent>
          <w:bookmarkStart w:id="328" w:name="bkReivew3003051"/>
          <w:r>
            <w:rPr>
              <w:rFonts w:hint="eastAsia" w:ascii="方正仿宋_GBK" w:hAnsi="方正仿宋_GBK" w:cs="方正仿宋_GBK"/>
              <w:color w:val="auto"/>
            </w:rPr>
            <w:t>情</w:t>
          </w:r>
          <w:bookmarkEnd w:id="328"/>
        </w:sdtContent>
      </w:sdt>
      <w:r>
        <w:rPr>
          <w:rFonts w:hint="eastAsia" w:ascii="方正仿宋_GBK" w:hAnsi="方正仿宋_GBK" w:cs="方正仿宋_GBK"/>
          <w:color w:val="auto"/>
        </w:rPr>
        <w:t>山</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发展思路：以最美情山为形象特色，以石笋山为龙头，联合圣水湖现代农业园区资源打造情山圣水乡村旅游区，发展乡村景区、田园综合体、乡村度假酒店、养生养老设施、特色民宿、野营基地等项目，打造旅游商品生产基地、一二三产业融合发展示范镇、宜居宜游农旅强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B、板桥镇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形象特色：最美廊街</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发展思路：修缮板桥古镇，丰富廊街业态，整治柳溪河，在本尊寺周边打造“佛花”艺术田园，配套发展乡村休闲接待设施，鼓励食品产业园发展工业旅游，积极融入泛箕山旅游集聚区，建设北部边贸和文旅小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C、青峰镇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形象特色：最美酒乡</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发展思路：依托镇区内的水体资源和英山山脉，提升山湖景观环境，做好做精青峰里四季游产品，大力实施农副产品旅游商品化发展，打造一二三产业融合发展示范镇。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D、来苏镇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形象特色：最美林盘</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发展思路：整合辖区梳妆台、斜塔、古井、古桥、崖居等人文资源以及农业产业化资源，保护性开发林盘聚落，发展乡村景区、田园综合体、特色民宿等，做强“来苏三宝”，打造旅游商品生产基地、一二三产业融合发展示范镇、农文旅融合发展特色小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E、三教镇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形象特色：桢楠康养小镇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发展思路：借力桢楠公园，有序发展生态康养产业，保护开发石龙山摩崖石刻，推动农副产品加工及桢楠衍生产业链发展，适当发展乡村休闲度假产品，鼓励工业园区优势企业发展工业旅游，打造一二三产业融合发展示范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F、金龙镇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形象特色：最美山乡</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发展思路：依托永璧高速金龙道口大力发展道口经济，建设与茶山竹海快速通道，持续整治美化九龙河，提升场镇风貌和服务功能，整合九龙河现代农业园区发展乡村旅游，丰富茶山竹海东侧旅游产品，打造永川北部边陲农旅小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G、五间镇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形象特色：最美瓜田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发展思路：整合圣水湖现代农业园区资源，丰富五间西瓜地、圣水湖桃花岛及食用菌生产基地的观光体验功能，开发景圣中学研学旅行基地，探索“永川香珍”等农副产品旅游商品化开发，打造旅游商品生产基地。</w:t>
      </w:r>
    </w:p>
    <w:p>
      <w:pPr>
        <w:widowControl w:val="0"/>
        <w:spacing w:line="264" w:lineRule="auto"/>
        <w:ind w:firstLine="640"/>
        <w:rPr>
          <w:rFonts w:hint="eastAsia" w:ascii="方正楷体_GBK" w:hAnsi="方正楷体_GBK" w:eastAsia="方正楷体_GBK" w:cs="方正楷体_GBK"/>
          <w:color w:val="auto"/>
        </w:rPr>
      </w:pPr>
      <w:bookmarkStart w:id="329" w:name="_Toc48318305"/>
      <w:bookmarkStart w:id="330" w:name="_Toc45199298"/>
      <w:r>
        <w:rPr>
          <w:rFonts w:hint="eastAsia" w:ascii="方正楷体_GBK" w:hAnsi="方正楷体_GBK" w:eastAsia="方正楷体_GBK" w:cs="方正楷体_GBK"/>
          <w:color w:val="auto"/>
        </w:rPr>
        <w:t>3.3  《重庆市生态功能区划》</w:t>
      </w:r>
      <w:bookmarkEnd w:id="329"/>
      <w:bookmarkEnd w:id="330"/>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（1）区划目标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明确区域生态系统类型的结构与过程特征；</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诊断区域主要生态环境问题及成因；</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分析不同生态因子和生态过程对人类活动胁迫的敏感性特点；</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4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④</w:t>
      </w:r>
      <w:r>
        <w:rPr>
          <w:rFonts w:hint="eastAsia" w:ascii="方正仿宋_GBK" w:hAnsi="方正仿宋_GBK" w:cs="方正仿宋_GBK"/>
          <w:color w:val="auto"/>
        </w:rPr>
        <w:fldChar w:fldCharType="end"/>
      </w:r>
      <w:r>
        <w:rPr>
          <w:rFonts w:hint="eastAsia" w:ascii="方正仿宋_GBK" w:hAnsi="方正仿宋_GBK" w:cs="方正仿宋_GBK"/>
          <w:color w:val="auto"/>
        </w:rPr>
        <w:t>评价不同生态环境要素的生态服务功能的重要性；</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5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⑤</w:t>
      </w:r>
      <w:r>
        <w:rPr>
          <w:rFonts w:hint="eastAsia" w:ascii="方正仿宋_GBK" w:hAnsi="方正仿宋_GBK" w:cs="方正仿宋_GBK"/>
          <w:color w:val="auto"/>
        </w:rPr>
        <w:fldChar w:fldCharType="end"/>
      </w:r>
      <w:r>
        <w:rPr>
          <w:rFonts w:hint="eastAsia" w:ascii="方正仿宋_GBK" w:hAnsi="方正仿宋_GBK" w:cs="方正仿宋_GBK"/>
          <w:color w:val="auto"/>
        </w:rPr>
        <w:t>制定全市生态功能区划方案；</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6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⑥</w:t>
      </w:r>
      <w:r>
        <w:rPr>
          <w:rFonts w:hint="eastAsia" w:ascii="方正仿宋_GBK" w:hAnsi="方正仿宋_GBK" w:cs="方正仿宋_GBK"/>
          <w:color w:val="auto"/>
        </w:rPr>
        <w:fldChar w:fldCharType="end"/>
      </w:r>
      <w:r>
        <w:rPr>
          <w:rFonts w:hint="eastAsia" w:ascii="方正仿宋_GBK" w:hAnsi="方正仿宋_GBK" w:cs="方正仿宋_GBK"/>
          <w:color w:val="auto"/>
        </w:rPr>
        <w:t>揭示重庆市区域生态环境问题的形成机制；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7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⑦</w:t>
      </w:r>
      <w:r>
        <w:rPr>
          <w:rFonts w:hint="eastAsia" w:ascii="方正仿宋_GBK" w:hAnsi="方正仿宋_GBK" w:cs="方正仿宋_GBK"/>
          <w:color w:val="auto"/>
        </w:rPr>
        <w:fldChar w:fldCharType="end"/>
      </w:r>
      <w:r>
        <w:rPr>
          <w:rFonts w:hint="eastAsia" w:ascii="方正仿宋_GBK" w:hAnsi="方正仿宋_GBK" w:cs="方正仿宋_GBK"/>
          <w:color w:val="auto"/>
        </w:rPr>
        <w:t>提出生态环境保护和建设的对策。</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（2）区划依据</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生态功能分区是依据区域生态环境敏感性、生态服务功能重要性以及生态环境特征的相似性和差异性而进行的地理空间分区。生态功能区划进行3级分区。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一级区划分：以中国生态环境综合区划三级区为基础，根据重庆市地形、地貌和气候等自然生态环境特征的空间变化进行适当的调整。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二级区划分：主要依据生态系统的相似性和生态服务功能类型基本一致性，结合生态系统类型空间分布的定性分析。</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三级区划分：依据生态服务功能的重要性、生态环境敏感性与主要生态环境问题的综合评价，按照其空间分布的差异性和相似性。</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（3）永川区所在生态功能区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位于渝西丘陵农业生态亚区-永川-璧山水土保持-营养物质保持生态功能区，为典型的平行岭谷丘陵地貌。森林覆盖率较低，林地面积比仅14.64%。中亚热带温润季风气候，热量丰富，雨量充沛。区内有储藏丰富的天然气、煤、灰岩等矿产资源，尤其以天然气储量最大。</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主要生态环境问题为森林质量下降，生态功能降低。水资源相对短缺，时空分布不均。农村面源污染严重。资源开发和基础设施建设不当，生态环境破坏严重。主导生态功能为水土保持和水体保护，辅助功能为农业营养物质保持、次级河流及矿山污染控制等。生态功能保护与建设的主导方向是防止土地生产力因水资源短缺、土壤侵蚀与环境污染等而退化，应突出农业生态环境建设、农村面源污染和矿山污染治理。主要任务是加大环境保护基础设施的投入；不断优化工业产业结构，加强矿产资源的环境监督与管理；加强复合农业和绿色生态农业建设。加强对云雾山的生态保护工作。加强大中型水库的保护和建设工作。区内云雾山以及一些典型的湿地生态系统应重点保护；自然保护区、森林公园、地质公园和风景名胜区应划为禁止开发区，依法强制保护，严禁开发。</w:t>
      </w:r>
      <w:bookmarkStart w:id="331" w:name="_Toc45199299"/>
    </w:p>
    <w:p>
      <w:pPr>
        <w:widowControl w:val="0"/>
        <w:spacing w:line="240" w:lineRule="auto"/>
        <w:ind w:firstLine="0" w:firstLineChars="0"/>
        <w:rPr>
          <w:rFonts w:hint="eastAsia" w:ascii="方正仿宋_GBK" w:hAnsi="方正仿宋_GBK" w:cs="方正仿宋_GBK"/>
          <w:color w:val="auto"/>
        </w:rPr>
      </w:pPr>
    </w:p>
    <w:p>
      <w:pPr>
        <w:widowControl w:val="0"/>
        <w:spacing w:line="264" w:lineRule="auto"/>
        <w:ind w:firstLine="0" w:firstLineChars="0"/>
        <w:jc w:val="center"/>
        <w:rPr>
          <w:rFonts w:hint="eastAsia" w:ascii="方正黑体_GBK" w:hAnsi="方正黑体_GBK" w:eastAsia="方正黑体_GBK" w:cs="方正黑体_GBK"/>
          <w:color w:val="auto"/>
        </w:rPr>
      </w:pPr>
      <w:bookmarkStart w:id="332" w:name="_Toc48318306"/>
      <w:r>
        <w:rPr>
          <w:rFonts w:hint="eastAsia" w:ascii="方正黑体_GBK" w:hAnsi="方正黑体_GBK" w:eastAsia="方正黑体_GBK" w:cs="方正黑体_GBK"/>
          <w:color w:val="auto"/>
        </w:rPr>
        <w:t>第4章  污染源分析</w:t>
      </w:r>
      <w:bookmarkEnd w:id="331"/>
      <w:bookmarkEnd w:id="332"/>
    </w:p>
    <w:p>
      <w:pPr>
        <w:widowControl w:val="0"/>
        <w:spacing w:line="264" w:lineRule="auto"/>
        <w:ind w:firstLine="640"/>
        <w:rPr>
          <w:rFonts w:hint="eastAsia" w:ascii="方正楷体_GBK" w:hAnsi="方正楷体_GBK" w:eastAsia="方正楷体_GBK" w:cs="方正楷体_GBK"/>
          <w:color w:val="auto"/>
        </w:rPr>
      </w:pPr>
      <w:bookmarkStart w:id="333" w:name="_Toc45199300"/>
      <w:bookmarkStart w:id="334" w:name="_Toc48318307"/>
      <w:r>
        <w:rPr>
          <w:rFonts w:hint="eastAsia" w:ascii="方正楷体_GBK" w:hAnsi="方正楷体_GBK" w:eastAsia="方正楷体_GBK" w:cs="方正楷体_GBK"/>
          <w:color w:val="auto"/>
        </w:rPr>
        <w:t>4.1  用水及排水体制</w:t>
      </w:r>
      <w:bookmarkEnd w:id="333"/>
      <w:bookmarkEnd w:id="334"/>
      <w:bookmarkStart w:id="335" w:name="_Toc45199301"/>
    </w:p>
    <w:p>
      <w:pPr>
        <w:widowControl w:val="0"/>
        <w:spacing w:line="264" w:lineRule="auto"/>
        <w:ind w:firstLine="640"/>
        <w:rPr>
          <w:rFonts w:hint="eastAsia" w:ascii="方正仿宋_GBK" w:hAnsi="方正仿宋_GBK" w:cs="方正仿宋_GBK"/>
          <w:color w:val="auto"/>
        </w:rPr>
      </w:pPr>
      <w:bookmarkStart w:id="336" w:name="_Toc48318308"/>
      <w:r>
        <w:rPr>
          <w:rFonts w:hint="eastAsia" w:ascii="方正仿宋_GBK" w:hAnsi="方正仿宋_GBK" w:cs="方正仿宋_GBK"/>
          <w:color w:val="auto"/>
        </w:rPr>
        <w:t>4.1.1  用水情况</w:t>
      </w:r>
      <w:bookmarkEnd w:id="335"/>
      <w:bookmarkEnd w:id="336"/>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4.1.1.1  用水方式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根据永川区农村生活污水填报系统基础信息统计（见下表4.1-1），永川区农村聚居点共有94个，主要用水方式</w:t>
      </w:r>
      <w:sdt>
        <w:sdtPr>
          <w:rPr>
            <w:color w:val="auto"/>
          </w:rPr>
          <w:alias w:val="易错词检查"/>
          <w:id w:val="170434"/>
        </w:sdtPr>
        <w:sdtEndPr>
          <w:rPr>
            <w:color w:val="auto"/>
          </w:rPr>
        </w:sdtEndPr>
        <w:sdtContent>
          <w:bookmarkStart w:id="337" w:name="bkReivew170434"/>
          <w:r>
            <w:rPr>
              <w:rFonts w:hint="eastAsia" w:ascii="方正仿宋_GBK" w:hAnsi="方正仿宋_GBK" w:cs="方正仿宋_GBK"/>
              <w:color w:val="auto"/>
            </w:rPr>
            <w:t>为</w:t>
          </w:r>
          <w:bookmarkEnd w:id="337"/>
        </w:sdtContent>
      </w:sdt>
      <w:r>
        <w:rPr>
          <w:rFonts w:hint="eastAsia" w:ascii="方正仿宋_GBK" w:hAnsi="方正仿宋_GBK" w:cs="方正仿宋_GBK"/>
          <w:color w:val="auto"/>
        </w:rPr>
        <w:t>自来水和分散取水2种。其中，聚居点自来水供水量为177001.8万t，使用自来水的户数有28468户，占农村常住总户数的10.42%；受益人口91015人，占农村常住总人口的12.38%。分散取水的户数1337户，占农村常住总户数的0.49%；受益人口4281人，占农村常住总人口的0.58%。</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表4.1-1  永川区农村聚居点用水方式的数量统计表</w:t>
      </w:r>
    </w:p>
    <w:tbl>
      <w:tblPr>
        <w:tblStyle w:val="25"/>
        <w:tblW w:w="0" w:type="auto"/>
        <w:jc w:val="center"/>
        <w:tblLayout w:type="fixed"/>
        <w:tblCellMar>
          <w:top w:w="0" w:type="dxa"/>
          <w:left w:w="28" w:type="dxa"/>
          <w:bottom w:w="0" w:type="dxa"/>
          <w:right w:w="28" w:type="dxa"/>
        </w:tblCellMar>
      </w:tblPr>
      <w:tblGrid>
        <w:gridCol w:w="506"/>
        <w:gridCol w:w="840"/>
        <w:gridCol w:w="1260"/>
        <w:gridCol w:w="1147"/>
        <w:gridCol w:w="779"/>
        <w:gridCol w:w="819"/>
        <w:gridCol w:w="710"/>
        <w:gridCol w:w="792"/>
        <w:gridCol w:w="724"/>
        <w:gridCol w:w="759"/>
        <w:gridCol w:w="723"/>
      </w:tblGrid>
      <w:tr>
        <w:tblPrEx>
          <w:tblCellMar>
            <w:top w:w="0" w:type="dxa"/>
            <w:left w:w="28" w:type="dxa"/>
            <w:bottom w:w="0" w:type="dxa"/>
            <w:right w:w="28" w:type="dxa"/>
          </w:tblCellMar>
        </w:tblPrEx>
        <w:trPr>
          <w:trHeight w:val="492" w:hRule="atLeast"/>
          <w:tblHeader/>
          <w:jc w:val="center"/>
        </w:trPr>
        <w:tc>
          <w:tcPr>
            <w:tcW w:w="50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84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（街道）</w:t>
            </w:r>
          </w:p>
        </w:tc>
        <w:tc>
          <w:tcPr>
            <w:tcW w:w="126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（社区）</w:t>
            </w:r>
          </w:p>
        </w:tc>
        <w:tc>
          <w:tcPr>
            <w:tcW w:w="1147"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聚居点名称</w:t>
            </w:r>
          </w:p>
        </w:tc>
        <w:tc>
          <w:tcPr>
            <w:tcW w:w="779"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常住（户）</w:t>
            </w:r>
          </w:p>
        </w:tc>
        <w:tc>
          <w:tcPr>
            <w:tcW w:w="819"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常住（人）</w:t>
            </w:r>
          </w:p>
        </w:tc>
        <w:tc>
          <w:tcPr>
            <w:tcW w:w="71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自来水（户）</w:t>
            </w:r>
          </w:p>
        </w:tc>
        <w:tc>
          <w:tcPr>
            <w:tcW w:w="792"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自来水（人）</w:t>
            </w:r>
          </w:p>
        </w:tc>
        <w:tc>
          <w:tcPr>
            <w:tcW w:w="724"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自来水（吨）</w:t>
            </w:r>
          </w:p>
        </w:tc>
        <w:tc>
          <w:tcPr>
            <w:tcW w:w="759"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分散水（户）</w:t>
            </w:r>
          </w:p>
        </w:tc>
        <w:tc>
          <w:tcPr>
            <w:tcW w:w="723"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分散水（人）</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龙门滩村委会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龙门滩村聚居点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721</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2421</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721</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2421</w:t>
            </w:r>
          </w:p>
        </w:tc>
      </w:tr>
      <w:tr>
        <w:tblPrEx>
          <w:tblCellMar>
            <w:top w:w="0" w:type="dxa"/>
            <w:left w:w="28" w:type="dxa"/>
            <w:bottom w:w="0" w:type="dxa"/>
            <w:right w:w="28" w:type="dxa"/>
          </w:tblCellMar>
        </w:tblPrEx>
        <w:trPr>
          <w:trHeight w:val="49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高洞子村委会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高洞子村聚居点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r>
      <w:tr>
        <w:tblPrEx>
          <w:tblCellMar>
            <w:top w:w="0" w:type="dxa"/>
            <w:left w:w="28" w:type="dxa"/>
            <w:bottom w:w="0" w:type="dxa"/>
            <w:right w:w="28" w:type="dxa"/>
          </w:tblCellMar>
        </w:tblPrEx>
        <w:trPr>
          <w:trHeight w:val="48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寿永场社区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1354</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5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汪家岩村委会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汪家岩村农民新村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763</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1673</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22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龙凤桥村委会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永川区宝峰镇登东场镇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天星桥村委会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燕子岩居民点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50"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五家坡村委会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2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8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云峰村委会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人头冲</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4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陈食</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原马银乡场镇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梓潼观村委会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原莲花场镇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50"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双河口村委会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原两河场镇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1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陈青桥村委会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青桥大院</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花果山村委会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1301</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1301</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1951</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巴渝新区居民点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5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石桥新村居民点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r>
      <w:tr>
        <w:tblPrEx>
          <w:tblCellMar>
            <w:top w:w="0" w:type="dxa"/>
            <w:left w:w="28" w:type="dxa"/>
            <w:bottom w:w="0" w:type="dxa"/>
            <w:right w:w="28" w:type="dxa"/>
          </w:tblCellMar>
        </w:tblPrEx>
        <w:trPr>
          <w:trHeight w:val="34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二郎坝村委会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1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德胜桥村委会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井湾居住点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云雾山村委会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隆济居民点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花果山村委会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花果山居民点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茶店社区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4563</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4563</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6844.5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石庙社区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8123</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8123</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12184.5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8"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铁山村委会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173</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173</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丰乐村委会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花朝门</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玉宝村委会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玉龙湖</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r>
      <w:tr>
        <w:tblPrEx>
          <w:tblCellMar>
            <w:top w:w="0" w:type="dxa"/>
            <w:left w:w="28" w:type="dxa"/>
            <w:bottom w:w="0" w:type="dxa"/>
            <w:right w:w="28" w:type="dxa"/>
          </w:tblCellMar>
        </w:tblPrEx>
        <w:trPr>
          <w:trHeight w:val="293"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科名村委会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308</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308</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08"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新泉村委会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水碾场镇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634</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634</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03"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石笋山村委会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柏林居民点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一碗水村委会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17"/>
                <w:sz w:val="21"/>
                <w:szCs w:val="21"/>
              </w:rPr>
              <w:t>一碗水居民点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03"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转角店村委会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聚美场镇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3641</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3641</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8250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李家湾村委会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17"/>
                <w:sz w:val="21"/>
                <w:szCs w:val="21"/>
              </w:rPr>
              <w:t>李家湾居民点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老红炉场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487</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471</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464</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5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会龙桥村委会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新店社区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553</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553</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852</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将家坝、高桥</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3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万胜村委会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万胜村新农村居民点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6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红炉镇红石村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吉安镇尖山场镇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610"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石松村委会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吉安镇黄沙村污水处理站</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6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同天农民新村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03"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金龙镇金龙村场镇附近居民点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9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金龙场社区居委会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金龙镇金鼎场镇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6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金龙场社区居委会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金龙镇普莲场镇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364</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金龙镇金鼎村九合居民安置点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金龙镇燃灯村农民新村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60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金龙镇普莲农民新村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0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磨心桥村委会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来仪污水处理厂</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观音井村委会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观音井村新村居民点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157</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157</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392.5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塔院村委会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塔院村居民联建房</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246.8</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4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王坪村委会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骏源小区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临江镇普安村聚居点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临江镇高滩村聚居点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6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爱心楼聚居点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8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黄瓜山村委会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怡居苑小区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1263</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大南村委会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红旗小学大南分校</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6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永川区九中</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772</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柳河康居</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八角寺村委会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八角寺村新村居民点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胡豆坪村委会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419</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419</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1232</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佛岩寺村委会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佛岩寺联建房、康居楼</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1173</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凌阁堂村委会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永青苑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261</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763</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261</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763</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5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牌坊坝村委会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17"/>
                <w:sz w:val="21"/>
                <w:szCs w:val="21"/>
              </w:rPr>
              <w:t>小拱桥居民点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368</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368</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892</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0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青峰场社区居委会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3541</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3541</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10860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8"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sdt>
              <w:sdtPr>
                <w:rPr>
                  <w:color w:val="auto"/>
                </w:rPr>
                <w:alias w:val="敏感词检查"/>
                <w:id w:val="2011033"/>
              </w:sdtPr>
              <w:sdtEndPr>
                <w:rPr>
                  <w:color w:val="auto"/>
                </w:rPr>
              </w:sdtEndPr>
              <w:sdtContent>
                <w:bookmarkStart w:id="338" w:name="bkPolitics2011033"/>
                <w:r>
                  <w:rPr>
                    <w:rFonts w:hint="eastAsia" w:ascii="方正仿宋_GBK" w:hAnsi="方正仿宋_GBK" w:cs="方正仿宋_GBK"/>
                    <w:color w:val="auto"/>
                    <w:spacing w:val="-17"/>
                    <w:sz w:val="21"/>
                    <w:szCs w:val="21"/>
                  </w:rPr>
                  <w:t>玉峰</w:t>
                </w:r>
                <w:bookmarkEnd w:id="338"/>
              </w:sdtContent>
            </w:sdt>
            <w:r>
              <w:rPr>
                <w:rFonts w:hint="eastAsia" w:ascii="方正仿宋_GBK" w:hAnsi="方正仿宋_GBK" w:cs="方正仿宋_GBK"/>
                <w:color w:val="auto"/>
                <w:spacing w:val="-17"/>
                <w:sz w:val="21"/>
                <w:szCs w:val="21"/>
              </w:rPr>
              <w:t>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3103843"/>
              </w:sdtPr>
              <w:sdtEndPr>
                <w:rPr>
                  <w:color w:val="auto"/>
                </w:rPr>
              </w:sdtEndPr>
              <w:sdtContent>
                <w:bookmarkStart w:id="339" w:name="bkPolitics3103843"/>
                <w:r>
                  <w:rPr>
                    <w:rFonts w:hint="eastAsia" w:ascii="方正仿宋_GBK" w:hAnsi="方正仿宋_GBK" w:cs="方正仿宋_GBK"/>
                    <w:color w:val="auto"/>
                    <w:sz w:val="21"/>
                    <w:szCs w:val="21"/>
                  </w:rPr>
                  <w:t>玉峰</w:t>
                </w:r>
                <w:bookmarkEnd w:id="339"/>
              </w:sdtContent>
            </w:sdt>
            <w:r>
              <w:rPr>
                <w:rFonts w:hint="eastAsia" w:ascii="方正仿宋_GBK" w:hAnsi="方正仿宋_GBK" w:cs="方正仿宋_GBK"/>
                <w:color w:val="auto"/>
                <w:sz w:val="21"/>
                <w:szCs w:val="21"/>
              </w:rPr>
              <w:t>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利民村委会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奉节移民1处、万州移民2处</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197</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197</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74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双河口社区花桥场镇居民点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859</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2568</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859</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2568</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1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8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万寿康居工程</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483</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1449</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1656</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太平农贸市场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1541</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89"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中心桥街1号</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1323</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1323</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90"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新街子村委会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新街子农民新村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0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旗山村委会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高院墙、</w:t>
            </w:r>
            <w:sdt>
              <w:sdtPr>
                <w:rPr>
                  <w:color w:val="auto"/>
                </w:rPr>
                <w:alias w:val="易错词检查"/>
                <w:id w:val="2141335"/>
              </w:sdtPr>
              <w:sdtEndPr>
                <w:rPr>
                  <w:color w:val="auto"/>
                </w:rPr>
              </w:sdtEndPr>
              <w:sdtContent>
                <w:bookmarkStart w:id="340" w:name="bkReivew2141335"/>
                <w:r>
                  <w:rPr>
                    <w:rFonts w:hint="eastAsia" w:ascii="方正仿宋_GBK" w:hAnsi="方正仿宋_GBK" w:cs="方正仿宋_GBK"/>
                    <w:color w:val="auto"/>
                    <w:spacing w:val="-17"/>
                    <w:sz w:val="21"/>
                    <w:szCs w:val="21"/>
                  </w:rPr>
                  <w:t>黄</w:t>
                </w:r>
                <w:r>
                  <w:rPr>
                    <w:rFonts w:hint="eastAsia" w:ascii="方正仿宋_GBK" w:hAnsi="方正仿宋_GBK" w:cs="方正仿宋_GBK"/>
                    <w:color w:val="auto"/>
                    <w:spacing w:val="-17"/>
                    <w:sz w:val="21"/>
                    <w:szCs w:val="21"/>
                    <w:lang w:eastAsia="zh-CN"/>
                  </w:rPr>
                  <w:t>桷</w:t>
                </w:r>
                <w:r>
                  <w:rPr>
                    <w:rFonts w:hint="eastAsia" w:ascii="方正仿宋_GBK" w:hAnsi="方正仿宋_GBK" w:cs="方正仿宋_GBK"/>
                    <w:color w:val="auto"/>
                    <w:spacing w:val="-17"/>
                    <w:sz w:val="21"/>
                    <w:szCs w:val="21"/>
                  </w:rPr>
                  <w:t>树</w:t>
                </w:r>
                <w:bookmarkEnd w:id="340"/>
              </w:sdtContent>
            </w:sdt>
            <w:r>
              <w:rPr>
                <w:rFonts w:hint="eastAsia" w:ascii="方正仿宋_GBK" w:hAnsi="方正仿宋_GBK" w:cs="方正仿宋_GBK"/>
                <w:color w:val="auto"/>
                <w:spacing w:val="-17"/>
                <w:sz w:val="21"/>
                <w:szCs w:val="21"/>
              </w:rPr>
              <w:t>、后溪河</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381</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381</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571</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293"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大竹溪村委会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双凤场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动物园安置区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石脚迹村委会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737</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737</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26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小竹溪村委会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双凤场镇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90"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c>
          <w:tcPr>
            <w:tcW w:w="8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盛水场镇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788</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1798</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788</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1798</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4885</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7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26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张家场社区居委会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仙龙镇张家场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4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仙龙镇</w:t>
            </w:r>
            <w:sdt>
              <w:sdtPr>
                <w:rPr>
                  <w:color w:val="auto"/>
                </w:rPr>
                <w:alias w:val="易错词检查"/>
                <w:id w:val="2142841"/>
              </w:sdtPr>
              <w:sdtEndPr>
                <w:rPr>
                  <w:color w:val="auto"/>
                </w:rPr>
              </w:sdtEndPr>
              <w:sdtContent>
                <w:bookmarkStart w:id="341" w:name="bkReivew2142841"/>
                <w:r>
                  <w:rPr>
                    <w:rFonts w:hint="eastAsia" w:ascii="方正仿宋_GBK" w:hAnsi="方正仿宋_GBK" w:cs="方正仿宋_GBK"/>
                    <w:color w:val="auto"/>
                    <w:spacing w:val="-17"/>
                    <w:sz w:val="21"/>
                    <w:szCs w:val="21"/>
                  </w:rPr>
                  <w:t>大</w:t>
                </w:r>
                <w:bookmarkEnd w:id="341"/>
              </w:sdtContent>
            </w:sdt>
            <w:r>
              <w:rPr>
                <w:rFonts w:hint="eastAsia" w:ascii="方正仿宋_GBK" w:hAnsi="方正仿宋_GBK" w:cs="方正仿宋_GBK"/>
                <w:color w:val="auto"/>
                <w:spacing w:val="-17"/>
                <w:sz w:val="21"/>
                <w:szCs w:val="21"/>
              </w:rPr>
              <w:t>磨场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57"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张家场社区居委会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17"/>
                <w:sz w:val="21"/>
                <w:szCs w:val="21"/>
              </w:rPr>
              <w:t>仙龙镇粉店场</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1950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9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子庄村委会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子庄村三星桥农民新村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w:t>
            </w:r>
          </w:p>
        </w:tc>
      </w:tr>
      <w:tr>
        <w:tblPrEx>
          <w:tblCellMar>
            <w:top w:w="0" w:type="dxa"/>
            <w:left w:w="28" w:type="dxa"/>
            <w:bottom w:w="0" w:type="dxa"/>
            <w:right w:w="28" w:type="dxa"/>
          </w:tblCellMar>
        </w:tblPrEx>
        <w:trPr>
          <w:trHeight w:val="75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6"/>
                <w:sz w:val="21"/>
                <w:szCs w:val="21"/>
              </w:rPr>
              <w:t>白云寺村委会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白云寺村韦家沟农贸市场居民点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19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东岳村委会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东岳村独树新村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59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北大桥村委会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北大桥村郑家楼联建房</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5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孙家口村委会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牌坊新村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876</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876</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2130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孙家口村委会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凤锦新城</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2"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孙家口村委会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昌州古韵</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986</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c>
          <w:tcPr>
            <w:tcW w:w="84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石碓窝村委会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879</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879</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2540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1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1835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1835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0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494</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494</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1542</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5534</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8"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335</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335</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5"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四明居民小组</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23"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336"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涨谷场镇</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2040</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620</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2040</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3900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624"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w:t>
            </w:r>
          </w:p>
        </w:tc>
        <w:tc>
          <w:tcPr>
            <w:tcW w:w="84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九层岩村委会</w:t>
            </w: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九层岩村雀山居民点</w:t>
            </w: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r>
      <w:tr>
        <w:tblPrEx>
          <w:tblCellMar>
            <w:top w:w="0" w:type="dxa"/>
            <w:left w:w="28" w:type="dxa"/>
            <w:bottom w:w="0" w:type="dxa"/>
            <w:right w:w="28" w:type="dxa"/>
          </w:tblCellMar>
        </w:tblPrEx>
        <w:trPr>
          <w:trHeight w:val="401" w:hRule="atLeast"/>
          <w:jc w:val="center"/>
        </w:trPr>
        <w:tc>
          <w:tcPr>
            <w:tcW w:w="506"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c>
          <w:tcPr>
            <w:tcW w:w="8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147"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77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29640</w:t>
            </w:r>
          </w:p>
        </w:tc>
        <w:tc>
          <w:tcPr>
            <w:tcW w:w="81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94612</w:t>
            </w:r>
          </w:p>
        </w:tc>
        <w:tc>
          <w:tcPr>
            <w:tcW w:w="71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28468</w:t>
            </w:r>
          </w:p>
        </w:tc>
        <w:tc>
          <w:tcPr>
            <w:tcW w:w="7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91015</w:t>
            </w:r>
          </w:p>
        </w:tc>
        <w:tc>
          <w:tcPr>
            <w:tcW w:w="724"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177001.8</w:t>
            </w:r>
          </w:p>
        </w:tc>
        <w:tc>
          <w:tcPr>
            <w:tcW w:w="75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1337</w:t>
            </w:r>
          </w:p>
        </w:tc>
        <w:tc>
          <w:tcPr>
            <w:tcW w:w="72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4281</w:t>
            </w:r>
          </w:p>
        </w:tc>
      </w:tr>
    </w:tbl>
    <w:p>
      <w:pPr>
        <w:widowControl w:val="0"/>
        <w:spacing w:line="279" w:lineRule="auto"/>
        <w:ind w:firstLine="640"/>
        <w:rPr>
          <w:rFonts w:hint="eastAsia" w:ascii="方正仿宋_GBK" w:hAnsi="方正仿宋_GBK" w:cs="方正仿宋_GBK"/>
          <w:color w:val="auto"/>
        </w:rPr>
      </w:pPr>
      <w:r>
        <w:rPr>
          <w:rFonts w:hint="eastAsia" w:ascii="方正仿宋_GBK" w:hAnsi="方正仿宋_GBK" w:cs="方正仿宋_GBK"/>
          <w:color w:val="auto"/>
        </w:rPr>
        <w:t>4.1.1.2  用水结构</w:t>
      </w:r>
    </w:p>
    <w:p>
      <w:pPr>
        <w:widowControl w:val="0"/>
        <w:spacing w:line="279" w:lineRule="auto"/>
        <w:ind w:firstLine="640"/>
        <w:rPr>
          <w:rFonts w:hint="eastAsia" w:ascii="方正仿宋_GBK" w:hAnsi="方正仿宋_GBK" w:cs="方正仿宋_GBK"/>
          <w:color w:val="auto"/>
        </w:rPr>
      </w:pPr>
      <w:r>
        <w:rPr>
          <w:rFonts w:hint="eastAsia" w:ascii="方正仿宋_GBK" w:hAnsi="方正仿宋_GBK" w:cs="方正仿宋_GBK"/>
          <w:color w:val="auto"/>
        </w:rPr>
        <w:t>通过调查发现，永川区农村生活用水结构主要分为厨房用水、卫生用水及其他用水3大类。其中，厨房用水包括炊事、饮用、餐具洗涤，卫生用水包括洗漱、衣服洗涤、盆浴、淋浴、冲厕、清洁用水，其他用水包括浇灌花草、洗车、养鱼等。不同用水结构下，卫生用水占有量较大；存在季节性差别，夏季比冬季用水量多，这是由于夏季洗浴频次较多，用水量也有所增加。</w:t>
      </w:r>
    </w:p>
    <w:p>
      <w:pPr>
        <w:widowControl w:val="0"/>
        <w:spacing w:line="279" w:lineRule="auto"/>
        <w:ind w:firstLine="640"/>
        <w:rPr>
          <w:rFonts w:hint="eastAsia" w:ascii="方正仿宋_GBK" w:hAnsi="方正仿宋_GBK" w:cs="方正仿宋_GBK"/>
          <w:color w:val="auto"/>
        </w:rPr>
      </w:pPr>
      <w:bookmarkStart w:id="342" w:name="_Toc45199302"/>
      <w:bookmarkStart w:id="343" w:name="_Toc48318309"/>
      <w:r>
        <w:rPr>
          <w:rFonts w:hint="eastAsia" w:ascii="方正仿宋_GBK" w:hAnsi="方正仿宋_GBK" w:cs="方正仿宋_GBK"/>
          <w:color w:val="auto"/>
        </w:rPr>
        <w:t>4.1.2  排水情况</w:t>
      </w:r>
      <w:bookmarkEnd w:id="342"/>
      <w:bookmarkEnd w:id="343"/>
    </w:p>
    <w:p>
      <w:pPr>
        <w:widowControl w:val="0"/>
        <w:spacing w:line="279" w:lineRule="auto"/>
        <w:ind w:firstLine="640"/>
        <w:rPr>
          <w:rFonts w:hint="eastAsia" w:ascii="方正仿宋_GBK" w:hAnsi="方正仿宋_GBK" w:cs="方正仿宋_GBK"/>
          <w:color w:val="auto"/>
        </w:rPr>
      </w:pPr>
      <w:r>
        <w:rPr>
          <w:rFonts w:hint="eastAsia" w:ascii="方正仿宋_GBK" w:hAnsi="方正仿宋_GBK" w:cs="方正仿宋_GBK"/>
          <w:color w:val="auto"/>
        </w:rPr>
        <w:t>4.1.2.1  排污情况</w:t>
      </w:r>
    </w:p>
    <w:p>
      <w:pPr>
        <w:widowControl w:val="0"/>
        <w:spacing w:line="279" w:lineRule="auto"/>
        <w:ind w:firstLine="640"/>
        <w:rPr>
          <w:rFonts w:hint="eastAsia" w:ascii="方正仿宋_GBK" w:hAnsi="方正仿宋_GBK" w:cs="方正仿宋_GBK"/>
          <w:color w:val="auto"/>
        </w:rPr>
      </w:pPr>
      <w:r>
        <w:rPr>
          <w:rFonts w:hint="eastAsia" w:ascii="方正仿宋_GBK" w:hAnsi="方正仿宋_GBK" w:cs="方正仿宋_GBK"/>
          <w:color w:val="auto"/>
        </w:rPr>
        <w:t>通过实地调查发现，永川区各村缺乏排污规划，收水方式主要采取的是雨污合流制。75%的村（涉农社区）直接将生活污水通过房前屋后的小沟或小渠排至附近的水体，或者修建一些简易的排洪、排污两用沟渠，或直接将污水倾倒在地，或将部分可用的生活污水用来喂养家畜等。根据永川区农村生活污水填报系统信息统计，生活污水乱排乱放得到管控的常住户数有208230户，占永川区农村常住户数的76.21%。</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通过现场走访，当地村委反映实现农村雨污分流极度困难，主要</w:t>
      </w:r>
      <w:sdt>
        <w:sdtPr>
          <w:rPr>
            <w:color w:val="auto"/>
          </w:rPr>
          <w:alias w:val="语义重复"/>
          <w:id w:val="3033821"/>
        </w:sdtPr>
        <w:sdtEndPr>
          <w:rPr>
            <w:color w:val="auto"/>
          </w:rPr>
        </w:sdtEndPr>
        <w:sdtContent>
          <w:bookmarkStart w:id="344" w:name="bkReivew3033821"/>
          <w:r>
            <w:rPr>
              <w:rFonts w:hint="eastAsia" w:ascii="方正仿宋_GBK" w:hAnsi="方正仿宋_GBK" w:cs="方正仿宋_GBK"/>
              <w:color w:val="auto"/>
            </w:rPr>
            <w:t>原因是</w:t>
          </w:r>
          <w:bookmarkEnd w:id="344"/>
        </w:sdtContent>
      </w:sdt>
      <w:r>
        <w:rPr>
          <w:rFonts w:hint="eastAsia" w:ascii="方正仿宋_GBK" w:hAnsi="方正仿宋_GBK" w:cs="方正仿宋_GBK"/>
          <w:color w:val="auto"/>
        </w:rPr>
        <w:t>财政投入不足，雨污分流配套设施的建设费用（据实地咨询，一般1个村要再建1套污水管网需投入50-100万元）和运营费用短缺，进而导致农村生活污水处理工程难以进行。</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4.1.2.2  资源化利用情况</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农村生活污水处理后进行回用，不仅节约水资源，还将改善居住环境卫生。利用污水灌溉是将污水处理与农业用水结合起来的一种污水处理方式，同时又是一种开源节流的灌溉方式，农村生活污水回灌农田，须符合农业灌溉水质标准（GB5084-92）。</w:t>
      </w:r>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永川区农村生活污水通过管网收集后处理方式可分为2种，一是纳入城镇污水管道，输送至污水处理厂统一处理；二是自建终端处理尾水排至附近农田水沟或池塘或自渗进行自然处理。永川区农村生活污水的资源化利用主要为农田灌溉，把出水井的水引至周边绿化带、茶叶园等，作为浇灌用水。对于畜禽养殖黑水收集，鼓励农户将畜禽养殖黑水、化粪池第一格清理物、豆制品加工废水等统一回收至畜禽养殖黑水收集池，进行堆肥处理，堆肥后，供全村农户用于农作物施肥，解决黑水收集和处理问题。</w:t>
      </w:r>
    </w:p>
    <w:p>
      <w:pPr>
        <w:widowControl w:val="0"/>
        <w:ind w:firstLine="640"/>
        <w:rPr>
          <w:rFonts w:hint="eastAsia" w:ascii="方正仿宋_GBK" w:hAnsi="方正仿宋_GBK" w:cs="方正仿宋_GBK"/>
          <w:color w:val="auto"/>
        </w:rPr>
      </w:pPr>
      <w:bookmarkStart w:id="345" w:name="_Toc48318310"/>
      <w:bookmarkStart w:id="346" w:name="_Toc45199303"/>
      <w:r>
        <w:rPr>
          <w:rFonts w:hint="eastAsia" w:ascii="方正仿宋_GBK" w:hAnsi="方正仿宋_GBK" w:cs="方正仿宋_GBK"/>
          <w:color w:val="auto"/>
        </w:rPr>
        <w:t>4.1.3  农户改厕普及情况</w:t>
      </w:r>
      <w:bookmarkEnd w:id="345"/>
      <w:bookmarkEnd w:id="346"/>
    </w:p>
    <w:p>
      <w:pPr>
        <w:widowControl w:val="0"/>
        <w:ind w:firstLine="640"/>
        <w:rPr>
          <w:rFonts w:hint="eastAsia" w:ascii="方正楷体_GBK" w:hAnsi="方正楷体_GBK" w:eastAsia="方正楷体_GBK" w:cs="方正楷体_GBK"/>
          <w:color w:val="auto"/>
          <w:sz w:val="28"/>
          <w:szCs w:val="28"/>
        </w:rPr>
      </w:pPr>
      <w:r>
        <w:rPr>
          <w:rFonts w:hint="eastAsia" w:ascii="方正仿宋_GBK" w:hAnsi="方正仿宋_GBK" w:cs="方正仿宋_GBK"/>
          <w:color w:val="auto"/>
        </w:rPr>
        <w:t>根据永川区农村生活污水填报系统评价体系信息，统计出永川区农村改厕普及情况，见下表4.1-3。永川区农村已改厕户数为80618户，占常住户数的29.47%。其中，改厕户数小于5户的村（涉农社区）有13个，分别为板桥社区、青峰场社区、川主庙社区、中心桥社区、太平社区、松江社区、五间社区、茶店社区、石庙社区、汉东村、望城村、景圣村、笋桥村，占常住户数的0.0055%。</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表4.1-3  永川区农村改厕普及情况统计表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590"/>
        <w:gridCol w:w="1500"/>
        <w:gridCol w:w="1560"/>
        <w:gridCol w:w="1530"/>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trPr>
        <w:tc>
          <w:tcPr>
            <w:tcW w:w="1407"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tc>
        <w:tc>
          <w:tcPr>
            <w:tcW w:w="1590"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村（社区）</w:t>
            </w:r>
          </w:p>
        </w:tc>
        <w:tc>
          <w:tcPr>
            <w:tcW w:w="1500"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常住户数（户）</w:t>
            </w:r>
          </w:p>
        </w:tc>
        <w:tc>
          <w:tcPr>
            <w:tcW w:w="1560"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常住人口数</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w:t>
            </w:r>
          </w:p>
        </w:tc>
        <w:tc>
          <w:tcPr>
            <w:tcW w:w="1530"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已改厕户数量（户）</w:t>
            </w:r>
          </w:p>
        </w:tc>
        <w:tc>
          <w:tcPr>
            <w:tcW w:w="1474"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受益率%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汪家岩村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2037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4942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4100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2938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凉风垭村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欧家坝村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本尊村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通明村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2335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古佛村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3081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宝峰场社区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泸永桥村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4049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杨大口村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2293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茶山竹海街道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粽粑社区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安溪村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2653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云峰村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4556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3766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朱龙花村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卢家岩村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芋荷湾村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冯家坪村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2913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梅家桥村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易错词检查"/>
                <w:id w:val="2042653"/>
              </w:sdtPr>
              <w:sdtEndPr>
                <w:rPr>
                  <w:color w:val="auto"/>
                </w:rPr>
              </w:sdtEndPr>
              <w:sdtContent>
                <w:bookmarkStart w:id="347" w:name="bkReivew2042653"/>
                <w:r>
                  <w:rPr>
                    <w:rFonts w:hint="eastAsia" w:ascii="方正仿宋_GBK" w:hAnsi="方正仿宋_GBK" w:cs="方正仿宋_GBK"/>
                    <w:color w:val="auto"/>
                    <w:sz w:val="21"/>
                    <w:szCs w:val="21"/>
                  </w:rPr>
                  <w:t>菜茵</w:t>
                </w:r>
                <w:bookmarkEnd w:id="347"/>
              </w:sdtContent>
            </w:sdt>
            <w:r>
              <w:rPr>
                <w:rFonts w:hint="eastAsia" w:ascii="方正仿宋_GBK" w:hAnsi="方正仿宋_GBK" w:cs="方正仿宋_GBK"/>
                <w:color w:val="auto"/>
                <w:sz w:val="21"/>
                <w:szCs w:val="21"/>
              </w:rPr>
              <w:t>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3783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瓦窑村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2525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3039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1414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3530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云雾山村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4049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4430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铁山村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二郎坝村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1895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5432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陈家祠社区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5246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7816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灵英村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小坎村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1668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官禄岩村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4614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转角店村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3933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4402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2612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1666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3320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1666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2329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6352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狮子村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沙坪村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3925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2492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长丰村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联盟村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仓宝村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一碗水村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2691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578</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1873</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1998</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796</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845</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2234</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万胜村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780</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1290</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218</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龙井口村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691</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2057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188</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1199</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3094</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538</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石松村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1336</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3787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462</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寒泸村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1240</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3944</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769</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铜凉村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819</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548</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黄沙村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5286</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895</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1160</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3510</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682</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金门村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990</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3291</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650</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1696</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3737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1402</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1225</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3045</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790</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金龙场社区</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816</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1529</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3661</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嘉阜村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1661</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3707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1035</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解放村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3003</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1180</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洞子口村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1492</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3956</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864</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1370</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3419</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776</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磨心桥村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1221</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3557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王坪村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1027</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3092</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1679</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4838</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303</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关门山村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977</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3132</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330</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塔院村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1297</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3389</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柏树桥村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1082</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梳妆台村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1459</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4383</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水磨滩村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3678</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唐家坪村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1121</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2992</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石牛寺村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3155</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五根松村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835</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2195</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572</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大松林村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1076</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2941</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42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大双庆村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2763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7004</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397</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1815</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3883</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186</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龙洞桥村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1044</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2252</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1710</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4712</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2904</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天堂村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933</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2362</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龙安村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834</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1878</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天星村</w:t>
            </w:r>
          </w:p>
        </w:tc>
        <w:tc>
          <w:tcPr>
            <w:tcW w:w="150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1216</w:t>
            </w:r>
          </w:p>
        </w:tc>
        <w:tc>
          <w:tcPr>
            <w:tcW w:w="156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2997</w:t>
            </w:r>
          </w:p>
        </w:tc>
        <w:tc>
          <w:tcPr>
            <w:tcW w:w="1530"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255</w:t>
            </w:r>
          </w:p>
        </w:tc>
        <w:tc>
          <w:tcPr>
            <w:tcW w:w="1474" w:type="dxa"/>
            <w:noWrap w:val="0"/>
            <w:vAlign w:val="center"/>
          </w:tcPr>
          <w:p>
            <w:pPr>
              <w:widowControl w:val="0"/>
              <w:adjustRightInd/>
              <w:spacing w:line="212"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5466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2068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7184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兴隆村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2120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代家店村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3450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1902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5677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青峰场社区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4090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凌阁堂村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4132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永玻村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川主庙社区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2678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三台村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3445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陡沟河村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1470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4417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新观音村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郝家坝村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3431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利民村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4213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3588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3680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1113351"/>
              </w:sdtPr>
              <w:sdtEndPr>
                <w:rPr>
                  <w:color w:val="auto"/>
                </w:rPr>
              </w:sdtEndPr>
              <w:sdtContent>
                <w:bookmarkStart w:id="348" w:name="bkPolitics1113351"/>
                <w:r>
                  <w:rPr>
                    <w:rFonts w:hint="eastAsia" w:ascii="方正仿宋_GBK" w:hAnsi="方正仿宋_GBK" w:cs="方正仿宋_GBK"/>
                    <w:color w:val="auto"/>
                    <w:sz w:val="21"/>
                    <w:szCs w:val="21"/>
                  </w:rPr>
                  <w:t>玉峰</w:t>
                </w:r>
                <w:bookmarkEnd w:id="348"/>
              </w:sdtContent>
            </w:sdt>
            <w:r>
              <w:rPr>
                <w:rFonts w:hint="eastAsia" w:ascii="方正仿宋_GBK" w:hAnsi="方正仿宋_GBK" w:cs="方正仿宋_GBK"/>
                <w:color w:val="auto"/>
                <w:sz w:val="21"/>
                <w:szCs w:val="21"/>
              </w:rPr>
              <w:t>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永安村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3726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万寿场社区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3073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永青村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2820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5315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2027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5032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丰田村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2245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堂皇坝村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4270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永钢村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1898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5263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杨广桥村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杨家店村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1552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2889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丁家岩村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复生桥村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脚盆井村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牛尾铺村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五龙桥村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响滩子村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松江社区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4614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旗山村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3229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打鱼河村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新街子村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3336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茅园村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1653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5839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1827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小竹溪村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星湖社区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8668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南华村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七郎村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1937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石龟寺村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1473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4777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3300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6578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友胜村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和平村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2724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合兴村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2932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双创村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3245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景圣村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珍宝村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张家场社区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3593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金宝山村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4461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3634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仙龙社区</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949</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巨龙村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石宝寺村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牛门口村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3077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大牌坊村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3934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大石坝村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双星村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2628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子庄村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3620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4220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云谷村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三星村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瓦子铺村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望城村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3861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孙家口村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3568</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1552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3747</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1162</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1434</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围子山村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3271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水渡滩村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3186</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新岸山村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马道子村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3150</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福良村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3195</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312</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滩子口村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1583</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3992</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龙宝山村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1085</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3061</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263</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龙汇垭村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1011</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2703</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281</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1429</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4724</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四望山村</w:t>
            </w: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1507</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4679</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07"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合计</w:t>
            </w:r>
          </w:p>
        </w:tc>
        <w:tc>
          <w:tcPr>
            <w:tcW w:w="159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50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271396</w:t>
            </w:r>
          </w:p>
        </w:tc>
        <w:tc>
          <w:tcPr>
            <w:tcW w:w="156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728868</w:t>
            </w:r>
          </w:p>
        </w:tc>
        <w:tc>
          <w:tcPr>
            <w:tcW w:w="1530"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80618</w:t>
            </w:r>
          </w:p>
        </w:tc>
        <w:tc>
          <w:tcPr>
            <w:tcW w:w="1474"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29.47</w:t>
            </w:r>
          </w:p>
        </w:tc>
      </w:tr>
    </w:tbl>
    <w:p>
      <w:pPr>
        <w:widowControl w:val="0"/>
        <w:spacing w:line="264" w:lineRule="auto"/>
        <w:ind w:firstLine="640"/>
        <w:rPr>
          <w:rFonts w:hint="eastAsia" w:ascii="方正仿宋_GBK" w:hAnsi="方正仿宋_GBK" w:cs="方正仿宋_GBK"/>
          <w:color w:val="auto"/>
        </w:rPr>
      </w:pPr>
      <w:bookmarkStart w:id="349" w:name="_Toc48318311"/>
      <w:bookmarkStart w:id="350" w:name="_Toc45199304"/>
      <w:r>
        <w:rPr>
          <w:rFonts w:hint="eastAsia" w:ascii="方正仿宋_GBK" w:hAnsi="方正仿宋_GBK" w:cs="方正仿宋_GBK"/>
          <w:color w:val="auto"/>
        </w:rPr>
        <w:t>4.1.4  农村生活污水处理设施建设和运行现状</w:t>
      </w:r>
      <w:bookmarkEnd w:id="349"/>
      <w:bookmarkEnd w:id="350"/>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4.1.4.1  设施现状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根据相关资料显示，永川区已建农村生活污水厂（站）共计62座。下面就处理模式现状、处理工艺现状及运行状况3个方面进行简要阐述。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（1）处理模式现状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农村存在集聚和分散并存的格局。城郊及重点镇街周边农村相对较为集中，居住密度较大；山区及半山区农村村庄较为分散，人口居住相对比较少。不同区域农村经济基础、所处地理位置和农民管理水平现状不同，农村生活污水在水质、水量和排水方式上不同区域也有着不同的特征。目前，永川区农村集聚区生活污水处理模式主要为纳管处理模式和集中处理模式2种。</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1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①</w:t>
      </w:r>
      <w:r>
        <w:rPr>
          <w:rFonts w:hint="eastAsia" w:ascii="方正仿宋_GBK" w:hAnsi="方正仿宋_GBK" w:cs="方正仿宋_GBK"/>
          <w:color w:val="auto"/>
        </w:rPr>
        <w:fldChar w:fldCharType="end"/>
      </w:r>
      <w:r>
        <w:rPr>
          <w:rFonts w:hint="eastAsia" w:ascii="方正仿宋_GBK" w:hAnsi="方正仿宋_GBK" w:cs="方正仿宋_GBK"/>
          <w:color w:val="auto"/>
        </w:rPr>
        <w:t>纳管处理模式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通过永川区农村生活污水信息填报系统，整理出永川区农村生活污水纳管处理模式户数，见下表4.1-5。通过纳管处理模式的村（涉农社区）主要分布于永川区城区周边，涉及42个村（涉农社区）。其中，仅通过纳管处置的集中户数30503户，占同村（涉农社区）的91.73%（平均值）；通过纳管处置-污水处理厂（站）的集中户数30158户，占同村（涉农社区）集聚区总户数的89.17%。由此可见，仍有345户集聚区住户纳管后未进入污水处理厂（站）处理。</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表4.1-5  永川区农村生活污水纳管处理模式集中处理户数统计表</w:t>
      </w:r>
    </w:p>
    <w:tbl>
      <w:tblPr>
        <w:tblStyle w:val="25"/>
        <w:tblW w:w="0" w:type="auto"/>
        <w:jc w:val="center"/>
        <w:tblLayout w:type="fixed"/>
        <w:tblCellMar>
          <w:top w:w="0" w:type="dxa"/>
          <w:left w:w="28" w:type="dxa"/>
          <w:bottom w:w="0" w:type="dxa"/>
          <w:right w:w="28" w:type="dxa"/>
        </w:tblCellMar>
      </w:tblPr>
      <w:tblGrid>
        <w:gridCol w:w="1057"/>
        <w:gridCol w:w="1080"/>
        <w:gridCol w:w="900"/>
        <w:gridCol w:w="960"/>
        <w:gridCol w:w="825"/>
        <w:gridCol w:w="1005"/>
        <w:gridCol w:w="1035"/>
        <w:gridCol w:w="1155"/>
        <w:gridCol w:w="1692"/>
      </w:tblGrid>
      <w:tr>
        <w:tblPrEx>
          <w:tblCellMar>
            <w:top w:w="0" w:type="dxa"/>
            <w:left w:w="28" w:type="dxa"/>
            <w:bottom w:w="0" w:type="dxa"/>
            <w:right w:w="28" w:type="dxa"/>
          </w:tblCellMar>
        </w:tblPrEx>
        <w:trPr>
          <w:trHeight w:val="23" w:hRule="atLeast"/>
          <w:tblHeader/>
          <w:jc w:val="center"/>
        </w:trPr>
        <w:tc>
          <w:tcPr>
            <w:tcW w:w="1057"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镇街</w:t>
            </w:r>
          </w:p>
        </w:tc>
        <w:tc>
          <w:tcPr>
            <w:tcW w:w="108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村（社区）</w:t>
            </w:r>
          </w:p>
        </w:tc>
        <w:tc>
          <w:tcPr>
            <w:tcW w:w="90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集中区域-常住户数（户）</w:t>
            </w:r>
          </w:p>
        </w:tc>
        <w:tc>
          <w:tcPr>
            <w:tcW w:w="96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集中区域-常住人口数（人）</w:t>
            </w:r>
          </w:p>
        </w:tc>
        <w:tc>
          <w:tcPr>
            <w:tcW w:w="1830" w:type="dxa"/>
            <w:gridSpan w:val="2"/>
            <w:tcBorders>
              <w:top w:val="single" w:color="auto" w:sz="4" w:space="0"/>
              <w:left w:val="nil"/>
              <w:bottom w:val="single" w:color="auto" w:sz="4" w:space="0"/>
              <w:right w:val="single" w:color="000000"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纳管处置</w:t>
            </w:r>
          </w:p>
        </w:tc>
        <w:tc>
          <w:tcPr>
            <w:tcW w:w="2190" w:type="dxa"/>
            <w:gridSpan w:val="2"/>
            <w:tcBorders>
              <w:top w:val="single" w:color="auto" w:sz="4" w:space="0"/>
              <w:left w:val="nil"/>
              <w:bottom w:val="single" w:color="auto" w:sz="4" w:space="0"/>
              <w:right w:val="single" w:color="000000"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纳管处置-污水</w:t>
            </w:r>
          </w:p>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处理厂（站）</w:t>
            </w:r>
          </w:p>
        </w:tc>
        <w:tc>
          <w:tcPr>
            <w:tcW w:w="1692" w:type="dxa"/>
            <w:vMerge w:val="restart"/>
            <w:tcBorders>
              <w:top w:val="single" w:color="auto" w:sz="4" w:space="0"/>
              <w:left w:val="nil"/>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纳管处置-集中污水</w:t>
            </w:r>
          </w:p>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处理厂（站）名称</w:t>
            </w:r>
          </w:p>
        </w:tc>
      </w:tr>
      <w:tr>
        <w:tblPrEx>
          <w:tblCellMar>
            <w:top w:w="0" w:type="dxa"/>
            <w:left w:w="28" w:type="dxa"/>
            <w:bottom w:w="0" w:type="dxa"/>
            <w:right w:w="28" w:type="dxa"/>
          </w:tblCellMar>
        </w:tblPrEx>
        <w:trPr>
          <w:trHeight w:val="665" w:hRule="atLeast"/>
          <w:tblHeader/>
          <w:jc w:val="center"/>
        </w:trPr>
        <w:tc>
          <w:tcPr>
            <w:tcW w:w="1057"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b/>
                <w:bCs/>
                <w:color w:val="auto"/>
                <w:sz w:val="18"/>
                <w:szCs w:val="18"/>
              </w:rPr>
            </w:pPr>
          </w:p>
        </w:tc>
        <w:tc>
          <w:tcPr>
            <w:tcW w:w="1080"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b/>
                <w:bCs/>
                <w:color w:val="auto"/>
                <w:sz w:val="18"/>
                <w:szCs w:val="18"/>
              </w:rPr>
            </w:pPr>
          </w:p>
        </w:tc>
        <w:tc>
          <w:tcPr>
            <w:tcW w:w="900"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b/>
                <w:bCs/>
                <w:color w:val="auto"/>
                <w:sz w:val="18"/>
                <w:szCs w:val="18"/>
              </w:rPr>
            </w:pPr>
          </w:p>
        </w:tc>
        <w:tc>
          <w:tcPr>
            <w:tcW w:w="960"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b/>
                <w:bCs/>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户数（户）</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占同村（涉农社区）集聚区户数%</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集中处理的户数（户）</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占同村</w:t>
            </w:r>
          </w:p>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（涉农社区）聚区户数%</w:t>
            </w:r>
          </w:p>
        </w:tc>
        <w:tc>
          <w:tcPr>
            <w:tcW w:w="1692" w:type="dxa"/>
            <w:vMerge w:val="continue"/>
            <w:tcBorders>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b/>
                <w:bCs/>
                <w:color w:val="auto"/>
                <w:sz w:val="18"/>
                <w:szCs w:val="18"/>
              </w:rPr>
            </w:pPr>
          </w:p>
        </w:tc>
      </w:tr>
      <w:tr>
        <w:tblPrEx>
          <w:tblCellMar>
            <w:top w:w="0" w:type="dxa"/>
            <w:left w:w="28" w:type="dxa"/>
            <w:bottom w:w="0" w:type="dxa"/>
            <w:right w:w="28" w:type="dxa"/>
          </w:tblCellMar>
        </w:tblPrEx>
        <w:trPr>
          <w:trHeight w:val="286"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朱沱镇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汉东村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1100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3000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1100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1100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朱沱污水处理厂</w:t>
            </w:r>
          </w:p>
        </w:tc>
      </w:tr>
      <w:tr>
        <w:tblPrEx>
          <w:tblCellMar>
            <w:top w:w="0" w:type="dxa"/>
            <w:left w:w="28" w:type="dxa"/>
            <w:bottom w:w="0" w:type="dxa"/>
            <w:right w:w="28" w:type="dxa"/>
          </w:tblCellMar>
        </w:tblPrEx>
        <w:trPr>
          <w:trHeight w:val="241"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中山路街道</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双龙村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916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916</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916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916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永川渝西污水处理厂</w:t>
            </w:r>
          </w:p>
        </w:tc>
      </w:tr>
      <w:tr>
        <w:tblPrEx>
          <w:tblCellMar>
            <w:top w:w="0" w:type="dxa"/>
            <w:left w:w="28" w:type="dxa"/>
            <w:bottom w:w="0" w:type="dxa"/>
            <w:right w:w="28" w:type="dxa"/>
          </w:tblCellMar>
        </w:tblPrEx>
        <w:trPr>
          <w:trHeight w:val="23"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孙家口村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225</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563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225</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225</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渝西污水处理厂</w:t>
            </w:r>
          </w:p>
        </w:tc>
      </w:tr>
      <w:tr>
        <w:tblPrEx>
          <w:tblCellMar>
            <w:top w:w="0" w:type="dxa"/>
            <w:left w:w="28" w:type="dxa"/>
            <w:bottom w:w="0" w:type="dxa"/>
            <w:right w:w="28" w:type="dxa"/>
          </w:tblCellMar>
        </w:tblPrEx>
        <w:trPr>
          <w:trHeight w:val="241"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永荣镇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东岳村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88</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264</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88</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88</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永荣镇污水处理厂</w:t>
            </w:r>
          </w:p>
        </w:tc>
      </w:tr>
      <w:tr>
        <w:tblPrEx>
          <w:tblCellMar>
            <w:top w:w="0" w:type="dxa"/>
            <w:left w:w="28" w:type="dxa"/>
            <w:bottom w:w="0" w:type="dxa"/>
            <w:right w:w="28" w:type="dxa"/>
          </w:tblCellMar>
        </w:tblPrEx>
        <w:trPr>
          <w:trHeight w:val="286"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仙龙镇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仙龙社区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949</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1607</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949</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949</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仙龙镇污水处理厂</w:t>
            </w:r>
          </w:p>
        </w:tc>
      </w:tr>
      <w:tr>
        <w:tblPrEx>
          <w:tblCellMar>
            <w:top w:w="0" w:type="dxa"/>
            <w:left w:w="28" w:type="dxa"/>
            <w:bottom w:w="0" w:type="dxa"/>
            <w:right w:w="28" w:type="dxa"/>
          </w:tblCellMar>
        </w:tblPrEx>
        <w:trPr>
          <w:trHeight w:val="271"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巨龙村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630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仙龙镇污水处理厂</w:t>
            </w:r>
          </w:p>
        </w:tc>
      </w:tr>
      <w:tr>
        <w:tblPrEx>
          <w:tblCellMar>
            <w:top w:w="0" w:type="dxa"/>
            <w:left w:w="28" w:type="dxa"/>
            <w:bottom w:w="0" w:type="dxa"/>
            <w:right w:w="28" w:type="dxa"/>
          </w:tblCellMar>
        </w:tblPrEx>
        <w:trPr>
          <w:trHeight w:val="27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牛门口村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620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仙龙镇污水处理厂</w:t>
            </w:r>
          </w:p>
        </w:tc>
      </w:tr>
      <w:tr>
        <w:tblPrEx>
          <w:tblCellMar>
            <w:top w:w="0" w:type="dxa"/>
            <w:left w:w="28" w:type="dxa"/>
            <w:bottom w:w="0" w:type="dxa"/>
            <w:right w:w="28" w:type="dxa"/>
          </w:tblCellMar>
        </w:tblPrEx>
        <w:trPr>
          <w:trHeight w:val="290"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五间镇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五间社区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3300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6578</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3300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3300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五间污水处理厂</w:t>
            </w:r>
          </w:p>
        </w:tc>
      </w:tr>
      <w:tr>
        <w:tblPrEx>
          <w:tblCellMar>
            <w:top w:w="0" w:type="dxa"/>
            <w:left w:w="28" w:type="dxa"/>
            <w:bottom w:w="0" w:type="dxa"/>
            <w:right w:w="28" w:type="dxa"/>
          </w:tblCellMar>
        </w:tblPrEx>
        <w:trPr>
          <w:trHeight w:val="290"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卫星湖街道</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星湖社区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956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8668</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956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956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卫星湖污水处理厂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松溉镇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松江社区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1150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2763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1150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1140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99.13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松溉污水处理厂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新街子村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401</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1250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401</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310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77.31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松溉污水处理厂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茅园村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252</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松溉污水处理厂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双石镇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双石社区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2201</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3801</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2201</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2201</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双石镇污水处理厂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丁家岩村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76</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双石镇污水处理厂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胜利路街道</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永钢村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811</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2333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811</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811</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蚂蟥桥污水处理站</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永青村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254</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城区污水处理厂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三教镇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川主庙社区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2678</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6237</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2678</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2522</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94.17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三教污水处理厂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利民村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243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50.00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三教污水处理厂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陡沟河村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51</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142</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51</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51</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三教污水处理厂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三台村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107</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三教污水处理厂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sdt>
              <w:sdtPr>
                <w:rPr>
                  <w:color w:val="auto"/>
                </w:rPr>
                <w:alias w:val="敏感词检查"/>
                <w:id w:val="3082406"/>
              </w:sdtPr>
              <w:sdtEndPr>
                <w:rPr>
                  <w:color w:val="auto"/>
                </w:rPr>
              </w:sdtEndPr>
              <w:sdtContent>
                <w:bookmarkStart w:id="351" w:name="bkPolitics3082406"/>
                <w:r>
                  <w:rPr>
                    <w:color w:val="auto"/>
                    <w:sz w:val="18"/>
                    <w:szCs w:val="18"/>
                  </w:rPr>
                  <w:t>玉峰</w:t>
                </w:r>
                <w:bookmarkEnd w:id="351"/>
              </w:sdtContent>
            </w:sdt>
            <w:r>
              <w:rPr>
                <w:color w:val="auto"/>
                <w:sz w:val="18"/>
                <w:szCs w:val="18"/>
              </w:rPr>
              <w:t>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31</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54</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31</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31</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三教园区污水处理厂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青峰镇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青峰场社区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929</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1400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929</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929</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青峰污水处理厂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凌阁堂村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240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836</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240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240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青峰污水处理厂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佛岩寺村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210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780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210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210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青峰污水处理厂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牌坊坝村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72</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315</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72</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72</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青峰污水处理厂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莲花石村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46</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青峰污水处理厂</w:t>
            </w:r>
          </w:p>
        </w:tc>
      </w:tr>
      <w:tr>
        <w:tblPrEx>
          <w:tblCellMar>
            <w:top w:w="0" w:type="dxa"/>
            <w:left w:w="28" w:type="dxa"/>
            <w:bottom w:w="0" w:type="dxa"/>
            <w:right w:w="28" w:type="dxa"/>
          </w:tblCellMar>
        </w:tblPrEx>
        <w:trPr>
          <w:trHeight w:val="290"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临江镇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隆顺村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157</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479</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67</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42.68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67</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42.68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临江镇污水处理厂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来苏镇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观音井村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658</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1863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10.64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10.64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来苏污水处理厂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塔院村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472</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1329</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10.59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10.59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来苏污水处理厂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金龙镇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金龙场社区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1257</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99.26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金龙镇污水处理厂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金龙村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356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1220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356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345</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96.91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金龙镇污水处理厂</w:t>
            </w:r>
          </w:p>
        </w:tc>
      </w:tr>
      <w:tr>
        <w:tblPrEx>
          <w:tblCellMar>
            <w:top w:w="0" w:type="dxa"/>
            <w:left w:w="28" w:type="dxa"/>
            <w:bottom w:w="0" w:type="dxa"/>
            <w:right w:w="28" w:type="dxa"/>
          </w:tblCellMar>
        </w:tblPrEx>
        <w:trPr>
          <w:trHeight w:val="26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燃灯村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242</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81</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金龙镇污水处理厂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何埂镇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何埂社区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1666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3320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1666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1666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何埂镇污水处理厂</w:t>
            </w:r>
          </w:p>
        </w:tc>
      </w:tr>
      <w:tr>
        <w:tblPrEx>
          <w:tblCellMar>
            <w:top w:w="0" w:type="dxa"/>
            <w:left w:w="28" w:type="dxa"/>
            <w:bottom w:w="0" w:type="dxa"/>
            <w:right w:w="28" w:type="dxa"/>
          </w:tblCellMar>
        </w:tblPrEx>
        <w:trPr>
          <w:trHeight w:val="26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丰乐村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615</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2163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615</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615</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何埂镇污水处理厂</w:t>
            </w:r>
          </w:p>
        </w:tc>
      </w:tr>
      <w:tr>
        <w:tblPrEx>
          <w:tblCellMar>
            <w:top w:w="0" w:type="dxa"/>
            <w:left w:w="28" w:type="dxa"/>
            <w:bottom w:w="0" w:type="dxa"/>
            <w:right w:w="28" w:type="dxa"/>
          </w:tblCellMar>
        </w:tblPrEx>
        <w:trPr>
          <w:trHeight w:val="245"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一碗水村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180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600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180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180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何埂镇污水处理厂</w:t>
            </w:r>
          </w:p>
        </w:tc>
      </w:tr>
      <w:tr>
        <w:tblPrEx>
          <w:tblCellMar>
            <w:top w:w="0" w:type="dxa"/>
            <w:left w:w="28" w:type="dxa"/>
            <w:bottom w:w="0" w:type="dxa"/>
            <w:right w:w="28" w:type="dxa"/>
          </w:tblCellMar>
        </w:tblPrEx>
        <w:trPr>
          <w:trHeight w:val="290"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大安街道</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陈家祠社区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5246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7816</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5246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5246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大安污水处理厂</w:t>
            </w:r>
          </w:p>
        </w:tc>
      </w:tr>
      <w:tr>
        <w:tblPrEx>
          <w:tblCellMar>
            <w:top w:w="0" w:type="dxa"/>
            <w:left w:w="28" w:type="dxa"/>
            <w:bottom w:w="0" w:type="dxa"/>
            <w:right w:w="28" w:type="dxa"/>
          </w:tblCellMar>
        </w:tblPrEx>
        <w:trPr>
          <w:trHeight w:val="245"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陈食街道</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瓦窑村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226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679</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146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64.60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125</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55.31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陈食污水处理厂</w:t>
            </w:r>
          </w:p>
        </w:tc>
      </w:tr>
      <w:tr>
        <w:tblPrEx>
          <w:tblCellMar>
            <w:top w:w="0" w:type="dxa"/>
            <w:left w:w="28" w:type="dxa"/>
            <w:bottom w:w="0" w:type="dxa"/>
            <w:right w:w="28" w:type="dxa"/>
          </w:tblCellMar>
        </w:tblPrEx>
        <w:trPr>
          <w:trHeight w:val="275"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陈青桥村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180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24.24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9.09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陈食污水处理厂</w:t>
            </w:r>
          </w:p>
        </w:tc>
      </w:tr>
      <w:tr>
        <w:tblPrEx>
          <w:tblCellMar>
            <w:top w:w="0" w:type="dxa"/>
            <w:left w:w="28" w:type="dxa"/>
            <w:bottom w:w="0" w:type="dxa"/>
            <w:right w:w="28" w:type="dxa"/>
          </w:tblCellMar>
        </w:tblPrEx>
        <w:trPr>
          <w:trHeight w:val="290"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11"/>
                <w:sz w:val="18"/>
                <w:szCs w:val="18"/>
              </w:rPr>
              <w:t>茶山竹海街道</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粽粑社区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1746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2706</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1746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1746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碧水源污水处理厂</w:t>
            </w:r>
          </w:p>
        </w:tc>
      </w:tr>
      <w:tr>
        <w:tblPrEx>
          <w:tblCellMar>
            <w:top w:w="0" w:type="dxa"/>
            <w:left w:w="28" w:type="dxa"/>
            <w:bottom w:w="0" w:type="dxa"/>
            <w:right w:w="28" w:type="dxa"/>
          </w:tblCellMar>
        </w:tblPrEx>
        <w:trPr>
          <w:trHeight w:val="290" w:hRule="atLeast"/>
          <w:jc w:val="center"/>
        </w:trPr>
        <w:tc>
          <w:tcPr>
            <w:tcW w:w="1057"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宝峰镇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pacing w:val="-6"/>
                <w:sz w:val="18"/>
                <w:szCs w:val="18"/>
              </w:rPr>
              <w:t>宝峰场社区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1112</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1153</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1112</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1112</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宝峰镇污水处理厂</w:t>
            </w:r>
          </w:p>
        </w:tc>
      </w:tr>
      <w:tr>
        <w:tblPrEx>
          <w:tblCellMar>
            <w:top w:w="0" w:type="dxa"/>
            <w:left w:w="28" w:type="dxa"/>
            <w:bottom w:w="0" w:type="dxa"/>
            <w:right w:w="28" w:type="dxa"/>
          </w:tblCellMar>
        </w:tblPrEx>
        <w:trPr>
          <w:trHeight w:val="290" w:hRule="atLeast"/>
          <w:jc w:val="center"/>
        </w:trPr>
        <w:tc>
          <w:tcPr>
            <w:tcW w:w="1057"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泸永桥村</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156</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499</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156</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156</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宝峰镇污水处理厂</w:t>
            </w:r>
          </w:p>
        </w:tc>
      </w:tr>
      <w:tr>
        <w:tblPrEx>
          <w:tblCellMar>
            <w:top w:w="0" w:type="dxa"/>
            <w:left w:w="28" w:type="dxa"/>
            <w:bottom w:w="0" w:type="dxa"/>
            <w:right w:w="28" w:type="dxa"/>
          </w:tblCellMar>
        </w:tblPrEx>
        <w:trPr>
          <w:trHeight w:val="290"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板桥镇</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板桥社区</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1250</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4100</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1250</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1250</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 xml:space="preserve">100.00 </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18"/>
                <w:szCs w:val="18"/>
              </w:rPr>
            </w:pPr>
            <w:r>
              <w:rPr>
                <w:color w:val="auto"/>
                <w:sz w:val="18"/>
                <w:szCs w:val="18"/>
              </w:rPr>
              <w:t>板桥镇污水处理厂</w:t>
            </w:r>
          </w:p>
        </w:tc>
      </w:tr>
      <w:tr>
        <w:tblPrEx>
          <w:tblCellMar>
            <w:top w:w="0" w:type="dxa"/>
            <w:left w:w="28" w:type="dxa"/>
            <w:bottom w:w="0" w:type="dxa"/>
            <w:right w:w="28" w:type="dxa"/>
          </w:tblCellMar>
        </w:tblPrEx>
        <w:trPr>
          <w:trHeight w:val="538" w:hRule="atLeast"/>
          <w:jc w:val="center"/>
        </w:trPr>
        <w:tc>
          <w:tcPr>
            <w:tcW w:w="1057"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合计</w:t>
            </w:r>
          </w:p>
        </w:tc>
        <w:tc>
          <w:tcPr>
            <w:tcW w:w="108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　</w:t>
            </w:r>
          </w:p>
        </w:tc>
        <w:tc>
          <w:tcPr>
            <w:tcW w:w="9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31733</w:t>
            </w:r>
          </w:p>
        </w:tc>
        <w:tc>
          <w:tcPr>
            <w:tcW w:w="9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73341</w:t>
            </w:r>
          </w:p>
        </w:tc>
        <w:tc>
          <w:tcPr>
            <w:tcW w:w="82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30503</w:t>
            </w:r>
          </w:p>
        </w:tc>
        <w:tc>
          <w:tcPr>
            <w:tcW w:w="100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91.73</w:t>
            </w:r>
          </w:p>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（平均值）</w:t>
            </w:r>
          </w:p>
        </w:tc>
        <w:tc>
          <w:tcPr>
            <w:tcW w:w="10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30158</w:t>
            </w:r>
          </w:p>
        </w:tc>
        <w:tc>
          <w:tcPr>
            <w:tcW w:w="11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89.17</w:t>
            </w:r>
          </w:p>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（平均值）</w:t>
            </w:r>
          </w:p>
        </w:tc>
        <w:tc>
          <w:tcPr>
            <w:tcW w:w="1692"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楷体_GBK" w:hAnsi="方正楷体_GBK" w:eastAsia="方正楷体_GBK" w:cs="方正楷体_GBK"/>
                <w:color w:val="auto"/>
                <w:sz w:val="18"/>
                <w:szCs w:val="18"/>
              </w:rPr>
            </w:pPr>
            <w:r>
              <w:rPr>
                <w:rFonts w:hint="eastAsia" w:ascii="方正楷体_GBK" w:hAnsi="方正楷体_GBK" w:eastAsia="方正楷体_GBK" w:cs="方正楷体_GBK"/>
                <w:color w:val="auto"/>
                <w:sz w:val="18"/>
                <w:szCs w:val="18"/>
              </w:rPr>
              <w:t>　</w:t>
            </w: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2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②</w:t>
      </w:r>
      <w:r>
        <w:rPr>
          <w:rFonts w:hint="eastAsia" w:ascii="方正仿宋_GBK" w:hAnsi="方正仿宋_GBK" w:cs="方正仿宋_GBK"/>
          <w:color w:val="auto"/>
        </w:rPr>
        <w:fldChar w:fldCharType="end"/>
      </w:r>
      <w:r>
        <w:rPr>
          <w:rFonts w:hint="eastAsia" w:ascii="方正仿宋_GBK" w:hAnsi="方正仿宋_GBK" w:cs="方正仿宋_GBK"/>
          <w:color w:val="auto"/>
        </w:rPr>
        <w:t>集中处理模式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通过永川区农村生活污水信息填报系统，整理出永川区农村生活污水集中处理模式户数，见下表4.1-6。通过集中处理模式的村（涉农社区）主要分布于永川区农村集居区或人口较多的自然村，共计66个。其中，集中处置的户数16149户，占同村（涉农社区）的92.08%（平均值）；通过集中处置-污水处理厂（站）的集中户数15858户，占同村（涉农社区）集聚区总户数的90.05%。</w:t>
      </w:r>
    </w:p>
    <w:p>
      <w:pPr>
        <w:widowControl w:val="0"/>
        <w:spacing w:line="264"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表4.1-6  永川区农村生活污水集中处理模式户数统计表</w:t>
      </w:r>
    </w:p>
    <w:tbl>
      <w:tblPr>
        <w:tblStyle w:val="25"/>
        <w:tblW w:w="0" w:type="auto"/>
        <w:jc w:val="center"/>
        <w:tblLayout w:type="fixed"/>
        <w:tblCellMar>
          <w:top w:w="0" w:type="dxa"/>
          <w:left w:w="28" w:type="dxa"/>
          <w:bottom w:w="0" w:type="dxa"/>
          <w:right w:w="28" w:type="dxa"/>
        </w:tblCellMar>
      </w:tblPr>
      <w:tblGrid>
        <w:gridCol w:w="936"/>
        <w:gridCol w:w="1005"/>
        <w:gridCol w:w="915"/>
        <w:gridCol w:w="1005"/>
        <w:gridCol w:w="855"/>
        <w:gridCol w:w="1018"/>
        <w:gridCol w:w="1052"/>
        <w:gridCol w:w="1125"/>
        <w:gridCol w:w="1741"/>
      </w:tblGrid>
      <w:tr>
        <w:tblPrEx>
          <w:tblCellMar>
            <w:top w:w="0" w:type="dxa"/>
            <w:left w:w="28" w:type="dxa"/>
            <w:bottom w:w="0" w:type="dxa"/>
            <w:right w:w="28" w:type="dxa"/>
          </w:tblCellMar>
        </w:tblPrEx>
        <w:trPr>
          <w:trHeight w:val="291" w:hRule="atLeast"/>
          <w:tblHeader/>
          <w:jc w:val="center"/>
        </w:trPr>
        <w:tc>
          <w:tcPr>
            <w:tcW w:w="936"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镇街</w:t>
            </w:r>
          </w:p>
        </w:tc>
        <w:tc>
          <w:tcPr>
            <w:tcW w:w="1005"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村（社区）</w:t>
            </w:r>
          </w:p>
        </w:tc>
        <w:tc>
          <w:tcPr>
            <w:tcW w:w="915"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集中区域-常住户数（户）</w:t>
            </w:r>
          </w:p>
        </w:tc>
        <w:tc>
          <w:tcPr>
            <w:tcW w:w="1005"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集中区域-常住人口数（人）</w:t>
            </w:r>
          </w:p>
        </w:tc>
        <w:tc>
          <w:tcPr>
            <w:tcW w:w="1873" w:type="dxa"/>
            <w:gridSpan w:val="2"/>
            <w:tcBorders>
              <w:top w:val="single" w:color="auto" w:sz="4" w:space="0"/>
              <w:left w:val="nil"/>
              <w:bottom w:val="single" w:color="auto" w:sz="4" w:space="0"/>
              <w:right w:val="single" w:color="000000"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集中处置</w:t>
            </w:r>
          </w:p>
        </w:tc>
        <w:tc>
          <w:tcPr>
            <w:tcW w:w="2177" w:type="dxa"/>
            <w:gridSpan w:val="2"/>
            <w:tcBorders>
              <w:top w:val="single" w:color="auto" w:sz="4" w:space="0"/>
              <w:left w:val="nil"/>
              <w:bottom w:val="nil"/>
              <w:right w:val="single" w:color="000000" w:sz="4" w:space="0"/>
            </w:tcBorders>
            <w:noWrap w:val="0"/>
            <w:vAlign w:val="center"/>
          </w:tcPr>
          <w:p>
            <w:pPr>
              <w:widowControl w:val="0"/>
              <w:adjustRightInd/>
              <w:spacing w:line="216" w:lineRule="auto"/>
              <w:ind w:firstLine="0" w:firstLineChars="0"/>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集中处置-污水处理厂（站）</w:t>
            </w:r>
          </w:p>
        </w:tc>
        <w:tc>
          <w:tcPr>
            <w:tcW w:w="1741"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集中处置-集中污水</w:t>
            </w:r>
          </w:p>
          <w:p>
            <w:pPr>
              <w:widowControl w:val="0"/>
              <w:adjustRightInd/>
              <w:spacing w:line="204"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处理厂（站）名称</w:t>
            </w:r>
          </w:p>
        </w:tc>
      </w:tr>
      <w:tr>
        <w:tblPrEx>
          <w:tblCellMar>
            <w:top w:w="0" w:type="dxa"/>
            <w:left w:w="28" w:type="dxa"/>
            <w:bottom w:w="0" w:type="dxa"/>
            <w:right w:w="28" w:type="dxa"/>
          </w:tblCellMar>
        </w:tblPrEx>
        <w:trPr>
          <w:trHeight w:val="438" w:hRule="atLeast"/>
          <w:tblHeader/>
          <w:jc w:val="center"/>
        </w:trPr>
        <w:tc>
          <w:tcPr>
            <w:tcW w:w="936"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18"/>
                <w:szCs w:val="18"/>
              </w:rPr>
            </w:pPr>
          </w:p>
        </w:tc>
        <w:tc>
          <w:tcPr>
            <w:tcW w:w="1005"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18"/>
                <w:szCs w:val="18"/>
              </w:rPr>
            </w:pPr>
          </w:p>
        </w:tc>
        <w:tc>
          <w:tcPr>
            <w:tcW w:w="915"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18"/>
                <w:szCs w:val="18"/>
              </w:rPr>
            </w:pPr>
          </w:p>
        </w:tc>
        <w:tc>
          <w:tcPr>
            <w:tcW w:w="1005"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常住户数（户）</w:t>
            </w:r>
          </w:p>
        </w:tc>
        <w:tc>
          <w:tcPr>
            <w:tcW w:w="101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sdt>
              <w:sdtPr>
                <w:rPr>
                  <w:color w:val="auto"/>
                </w:rPr>
                <w:alias w:val="易错词检查"/>
                <w:id w:val="3110116"/>
              </w:sdtPr>
              <w:sdtEndPr>
                <w:rPr>
                  <w:color w:val="auto"/>
                </w:rPr>
              </w:sdtEndPr>
              <w:sdtContent>
                <w:bookmarkStart w:id="352" w:name="bkReivew3110116"/>
                <w:r>
                  <w:rPr>
                    <w:rFonts w:hint="eastAsia" w:ascii="方正黑体_GBK" w:hAnsi="方正黑体_GBK" w:eastAsia="方正黑体_GBK" w:cs="方正黑体_GBK"/>
                    <w:color w:val="auto"/>
                    <w:sz w:val="18"/>
                    <w:szCs w:val="18"/>
                  </w:rPr>
                  <w:t>占同</w:t>
                </w:r>
                <w:bookmarkEnd w:id="352"/>
              </w:sdtContent>
            </w:sdt>
            <w:r>
              <w:rPr>
                <w:rFonts w:hint="eastAsia" w:ascii="方正黑体_GBK" w:hAnsi="方正黑体_GBK" w:eastAsia="方正黑体_GBK" w:cs="方正黑体_GBK"/>
                <w:color w:val="auto"/>
                <w:sz w:val="18"/>
                <w:szCs w:val="18"/>
              </w:rPr>
              <w:t>社区集聚区户数%</w:t>
            </w:r>
          </w:p>
        </w:tc>
        <w:tc>
          <w:tcPr>
            <w:tcW w:w="1052"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集中处理的户数（户）</w:t>
            </w:r>
          </w:p>
        </w:tc>
        <w:tc>
          <w:tcPr>
            <w:tcW w:w="112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18"/>
                <w:szCs w:val="18"/>
              </w:rPr>
            </w:pPr>
            <w:sdt>
              <w:sdtPr>
                <w:rPr>
                  <w:color w:val="auto"/>
                </w:rPr>
                <w:alias w:val="易错词检查"/>
                <w:id w:val="3023034"/>
              </w:sdtPr>
              <w:sdtEndPr>
                <w:rPr>
                  <w:color w:val="auto"/>
                </w:rPr>
              </w:sdtEndPr>
              <w:sdtContent>
                <w:bookmarkStart w:id="353" w:name="bkReivew3023034"/>
                <w:r>
                  <w:rPr>
                    <w:rFonts w:hint="eastAsia" w:ascii="方正黑体_GBK" w:hAnsi="方正黑体_GBK" w:eastAsia="方正黑体_GBK" w:cs="方正黑体_GBK"/>
                    <w:color w:val="auto"/>
                    <w:sz w:val="18"/>
                    <w:szCs w:val="18"/>
                  </w:rPr>
                  <w:t>占同</w:t>
                </w:r>
                <w:bookmarkEnd w:id="353"/>
              </w:sdtContent>
            </w:sdt>
            <w:r>
              <w:rPr>
                <w:rFonts w:hint="eastAsia" w:ascii="方正黑体_GBK" w:hAnsi="方正黑体_GBK" w:eastAsia="方正黑体_GBK" w:cs="方正黑体_GBK"/>
                <w:color w:val="auto"/>
                <w:sz w:val="18"/>
                <w:szCs w:val="18"/>
              </w:rPr>
              <w:t>社区集聚区户数%</w:t>
            </w:r>
          </w:p>
        </w:tc>
        <w:tc>
          <w:tcPr>
            <w:tcW w:w="1741"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汪家岩村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514</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高洞子村污水处理厂</w:t>
            </w: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天星桥村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龙凤桥村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登东场镇污水处理厂</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五家坡村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287</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五家坡村污水处理厂</w:t>
            </w: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陈食街道</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陈青桥村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39.39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75.76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79.82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马银村污水处理站</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梓潼观村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82.67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梓潼观村污水处理厂</w:t>
            </w: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大安街道</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铜鼓村污水处理厂</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德胜桥村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云雾山村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234</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189</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花果山村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362</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二郎坝村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156</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156</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156</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铁山村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892</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石庙社区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749</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1129</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749</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749</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石庙污水处理厂</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茶店社区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茶店污水处理厂站</w:t>
            </w: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231</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李家湾村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科名村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218</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98.62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218</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石笋山村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2230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98.67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转角店村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1790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92.47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会龙桥村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会龙桥污水处理站</w:t>
            </w: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尖山村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尖山村污水处理站</w:t>
            </w: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石松村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2150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563</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97.07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黄沙村污水处理厂</w:t>
            </w: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金鼎村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1012</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96.97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503</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1510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97.81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503</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金龙镇普莲污水处理站</w:t>
            </w:r>
          </w:p>
        </w:tc>
      </w:tr>
      <w:tr>
        <w:tblPrEx>
          <w:tblCellMar>
            <w:top w:w="0" w:type="dxa"/>
            <w:left w:w="28" w:type="dxa"/>
            <w:bottom w:w="0" w:type="dxa"/>
            <w:right w:w="28" w:type="dxa"/>
          </w:tblCellMar>
        </w:tblPrEx>
        <w:trPr>
          <w:trHeight w:val="228"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磨心桥村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2013</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8.89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8.89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来仪污水处理厂</w:t>
            </w:r>
          </w:p>
        </w:tc>
      </w:tr>
      <w:tr>
        <w:tblPrEx>
          <w:tblCellMar>
            <w:top w:w="0" w:type="dxa"/>
            <w:left w:w="28" w:type="dxa"/>
            <w:bottom w:w="0" w:type="dxa"/>
            <w:right w:w="28" w:type="dxa"/>
          </w:tblCellMar>
        </w:tblPrEx>
        <w:trPr>
          <w:trHeight w:val="228"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王坪村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17.48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17.48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王坪村污水处理厂</w:t>
            </w:r>
          </w:p>
        </w:tc>
      </w:tr>
      <w:tr>
        <w:tblPrEx>
          <w:tblCellMar>
            <w:top w:w="0" w:type="dxa"/>
            <w:left w:w="28" w:type="dxa"/>
            <w:bottom w:w="0" w:type="dxa"/>
            <w:right w:w="28" w:type="dxa"/>
          </w:tblCellMar>
        </w:tblPrEx>
        <w:trPr>
          <w:trHeight w:val="228"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龙洞桥村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石笋山村污水处理厂</w:t>
            </w:r>
          </w:p>
        </w:tc>
      </w:tr>
      <w:tr>
        <w:tblPrEx>
          <w:tblCellMar>
            <w:top w:w="0" w:type="dxa"/>
            <w:left w:w="28" w:type="dxa"/>
            <w:bottom w:w="0" w:type="dxa"/>
            <w:right w:w="28" w:type="dxa"/>
          </w:tblCellMar>
        </w:tblPrEx>
        <w:trPr>
          <w:trHeight w:val="228"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普安村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181</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普安村污水处理站</w:t>
            </w:r>
          </w:p>
        </w:tc>
      </w:tr>
      <w:tr>
        <w:tblPrEx>
          <w:tblCellMar>
            <w:top w:w="0" w:type="dxa"/>
            <w:left w:w="28" w:type="dxa"/>
            <w:bottom w:w="0" w:type="dxa"/>
            <w:right w:w="28" w:type="dxa"/>
          </w:tblCellMar>
        </w:tblPrEx>
        <w:trPr>
          <w:trHeight w:val="228"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479</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57.32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57.32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28"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高滩村污水处理站</w:t>
            </w:r>
          </w:p>
        </w:tc>
      </w:tr>
      <w:tr>
        <w:tblPrEx>
          <w:tblCellMar>
            <w:top w:w="0" w:type="dxa"/>
            <w:left w:w="28" w:type="dxa"/>
            <w:bottom w:w="0" w:type="dxa"/>
            <w:right w:w="28" w:type="dxa"/>
          </w:tblCellMar>
        </w:tblPrEx>
        <w:trPr>
          <w:trHeight w:val="245"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w:t>
            </w:r>
          </w:p>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谭家坝村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178</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50.00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69.66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观音桥污水处理站</w:t>
            </w:r>
          </w:p>
        </w:tc>
      </w:tr>
      <w:tr>
        <w:tblPrEx>
          <w:tblCellMar>
            <w:top w:w="0" w:type="dxa"/>
            <w:left w:w="28" w:type="dxa"/>
            <w:bottom w:w="0" w:type="dxa"/>
            <w:right w:w="28" w:type="dxa"/>
          </w:tblCellMar>
        </w:tblPrEx>
        <w:trPr>
          <w:trHeight w:val="245"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八角寺村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八角寺永隆污水处理厂</w:t>
            </w:r>
          </w:p>
        </w:tc>
      </w:tr>
      <w:tr>
        <w:tblPrEx>
          <w:tblCellMar>
            <w:top w:w="0" w:type="dxa"/>
            <w:left w:w="28" w:type="dxa"/>
            <w:bottom w:w="0" w:type="dxa"/>
            <w:right w:w="28" w:type="dxa"/>
          </w:tblCellMar>
        </w:tblPrEx>
        <w:trPr>
          <w:trHeight w:val="245"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黄瓜山村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1145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双楼安置房污水处理站</w:t>
            </w:r>
          </w:p>
        </w:tc>
      </w:tr>
      <w:tr>
        <w:tblPrEx>
          <w:tblCellMar>
            <w:top w:w="0" w:type="dxa"/>
            <w:left w:w="28" w:type="dxa"/>
            <w:bottom w:w="0" w:type="dxa"/>
            <w:right w:w="28" w:type="dxa"/>
          </w:tblCellMar>
        </w:tblPrEx>
        <w:trPr>
          <w:trHeight w:val="245"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1632</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大南村九中污水处理厂</w:t>
            </w:r>
          </w:p>
        </w:tc>
      </w:tr>
      <w:tr>
        <w:tblPrEx>
          <w:tblCellMar>
            <w:top w:w="0" w:type="dxa"/>
            <w:left w:w="28" w:type="dxa"/>
            <w:bottom w:w="0" w:type="dxa"/>
            <w:right w:w="28" w:type="dxa"/>
          </w:tblCellMar>
        </w:tblPrEx>
        <w:trPr>
          <w:trHeight w:val="245" w:hRule="atLeast"/>
          <w:jc w:val="center"/>
        </w:trPr>
        <w:tc>
          <w:tcPr>
            <w:tcW w:w="93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胡豆坪村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428</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963</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428</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428</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5"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云龙村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5"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永玻村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5"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双河口社区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1104</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1064</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96.38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1104</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16"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w:t>
            </w:r>
          </w:p>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867</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万寿污水处理站</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万寿场社区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861</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4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中心桥村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114</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协</w:t>
            </w:r>
            <w:sdt>
              <w:sdtPr>
                <w:rPr>
                  <w:color w:val="auto"/>
                </w:rPr>
                <w:alias w:val="易错词检查"/>
                <w:id w:val="2003526"/>
              </w:sdtPr>
              <w:sdtEndPr>
                <w:rPr>
                  <w:color w:val="auto"/>
                </w:rPr>
              </w:sdtEndPr>
              <w:sdtContent>
                <w:bookmarkStart w:id="354" w:name="bkReivew2003526"/>
                <w:r>
                  <w:rPr>
                    <w:rFonts w:hint="eastAsia" w:ascii="方正仿宋_GBK" w:hAnsi="方正仿宋_GBK" w:cs="方正仿宋_GBK"/>
                    <w:color w:val="auto"/>
                    <w:sz w:val="18"/>
                    <w:szCs w:val="18"/>
                  </w:rPr>
                  <w:t>合</w:t>
                </w:r>
                <w:bookmarkEnd w:id="354"/>
              </w:sdtContent>
            </w:sdt>
            <w:r>
              <w:rPr>
                <w:rFonts w:hint="eastAsia" w:ascii="方正仿宋_GBK" w:hAnsi="方正仿宋_GBK" w:cs="方正仿宋_GBK"/>
                <w:color w:val="auto"/>
                <w:sz w:val="18"/>
                <w:szCs w:val="18"/>
              </w:rPr>
              <w:t>污水处理厂</w:t>
            </w:r>
          </w:p>
        </w:tc>
      </w:tr>
      <w:tr>
        <w:tblPrEx>
          <w:tblCellMar>
            <w:top w:w="0" w:type="dxa"/>
            <w:left w:w="28" w:type="dxa"/>
            <w:bottom w:w="0" w:type="dxa"/>
            <w:right w:w="28" w:type="dxa"/>
          </w:tblCellMar>
        </w:tblPrEx>
        <w:trPr>
          <w:trHeight w:val="228"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太平社区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太平社区污水处理厂</w:t>
            </w:r>
          </w:p>
        </w:tc>
      </w:tr>
      <w:tr>
        <w:tblPrEx>
          <w:tblCellMar>
            <w:top w:w="0" w:type="dxa"/>
            <w:left w:w="28" w:type="dxa"/>
            <w:bottom w:w="0" w:type="dxa"/>
            <w:right w:w="28" w:type="dxa"/>
          </w:tblCellMar>
        </w:tblPrEx>
        <w:trPr>
          <w:trHeight w:val="228"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中心桥社区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中心桥社区污水处理厂</w:t>
            </w:r>
          </w:p>
        </w:tc>
      </w:tr>
      <w:tr>
        <w:tblPrEx>
          <w:tblCellMar>
            <w:top w:w="0" w:type="dxa"/>
            <w:left w:w="28" w:type="dxa"/>
            <w:bottom w:w="0" w:type="dxa"/>
            <w:right w:w="28" w:type="dxa"/>
          </w:tblCellMar>
        </w:tblPrEx>
        <w:trPr>
          <w:trHeight w:val="2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w:t>
            </w:r>
          </w:p>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石脚迹村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297</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48.78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48.78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石脚迹村污水处理厂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840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23.08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23.08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大竹溪村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286</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34.97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34.97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双凤污水处理厂</w:t>
            </w:r>
          </w:p>
        </w:tc>
      </w:tr>
      <w:tr>
        <w:tblPrEx>
          <w:tblCellMar>
            <w:top w:w="0" w:type="dxa"/>
            <w:left w:w="28" w:type="dxa"/>
            <w:bottom w:w="0" w:type="dxa"/>
            <w:right w:w="28" w:type="dxa"/>
          </w:tblCellMar>
        </w:tblPrEx>
        <w:trPr>
          <w:trHeight w:val="215"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小竹溪村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719</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41.67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41.67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双凤污水处理厂</w:t>
            </w:r>
          </w:p>
        </w:tc>
      </w:tr>
      <w:tr>
        <w:tblPrEx>
          <w:tblCellMar>
            <w:top w:w="0" w:type="dxa"/>
            <w:left w:w="28" w:type="dxa"/>
            <w:bottom w:w="0" w:type="dxa"/>
            <w:right w:w="28" w:type="dxa"/>
          </w:tblCellMar>
        </w:tblPrEx>
        <w:trPr>
          <w:trHeight w:val="2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粉店村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粉店污水处理站</w:t>
            </w:r>
          </w:p>
        </w:tc>
      </w:tr>
      <w:tr>
        <w:tblPrEx>
          <w:tblCellMar>
            <w:top w:w="0" w:type="dxa"/>
            <w:left w:w="28" w:type="dxa"/>
            <w:bottom w:w="0" w:type="dxa"/>
            <w:right w:w="28" w:type="dxa"/>
          </w:tblCellMar>
        </w:tblPrEx>
        <w:trPr>
          <w:trHeight w:val="209"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大磨子村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大磨污水处理站</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张家村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张家场污水处理厂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金宝山村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粉店污水处理站</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张家场社区</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687</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302</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张家场污水处理厂</w:t>
            </w:r>
          </w:p>
        </w:tc>
      </w:tr>
      <w:tr>
        <w:tblPrEx>
          <w:tblCellMar>
            <w:top w:w="0" w:type="dxa"/>
            <w:left w:w="28" w:type="dxa"/>
            <w:bottom w:w="0" w:type="dxa"/>
            <w:right w:w="28" w:type="dxa"/>
          </w:tblCellMar>
        </w:tblPrEx>
        <w:trPr>
          <w:trHeight w:val="2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永荣镇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白云寺村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子庄村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三星桥污水处理厂</w:t>
            </w:r>
          </w:p>
        </w:tc>
      </w:tr>
      <w:tr>
        <w:tblPrEx>
          <w:tblCellMar>
            <w:top w:w="0" w:type="dxa"/>
            <w:left w:w="28" w:type="dxa"/>
            <w:bottom w:w="0" w:type="dxa"/>
            <w:right w:w="28" w:type="dxa"/>
          </w:tblCellMar>
        </w:tblPrEx>
        <w:trPr>
          <w:trHeight w:val="23" w:hRule="atLeast"/>
          <w:jc w:val="center"/>
        </w:trPr>
        <w:tc>
          <w:tcPr>
            <w:tcW w:w="936"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四明村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1020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四明村污水处理厂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1215</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九层岩村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九层岩污水处理站</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转龙村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335</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1600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335</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335</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转龙村污水处理厂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江永村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1542</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江永村污水处理厂</w:t>
            </w:r>
          </w:p>
        </w:tc>
      </w:tr>
      <w:tr>
        <w:tblPrEx>
          <w:tblCellMar>
            <w:top w:w="0" w:type="dxa"/>
            <w:left w:w="28" w:type="dxa"/>
            <w:bottom w:w="0" w:type="dxa"/>
            <w:right w:w="28" w:type="dxa"/>
          </w:tblCellMar>
        </w:tblPrEx>
        <w:trPr>
          <w:trHeight w:val="23" w:hRule="atLeast"/>
          <w:jc w:val="center"/>
        </w:trPr>
        <w:tc>
          <w:tcPr>
            <w:tcW w:w="936"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18"/>
                <w:szCs w:val="18"/>
              </w:rPr>
            </w:pP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620</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2040</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620</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620</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xml:space="preserve">100.00 </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涨谷村污水处理厂</w:t>
            </w:r>
          </w:p>
        </w:tc>
      </w:tr>
      <w:tr>
        <w:tblPrEx>
          <w:tblCellMar>
            <w:top w:w="0" w:type="dxa"/>
            <w:left w:w="28" w:type="dxa"/>
            <w:bottom w:w="0" w:type="dxa"/>
            <w:right w:w="28" w:type="dxa"/>
          </w:tblCellMar>
        </w:tblPrEx>
        <w:trPr>
          <w:trHeight w:val="23" w:hRule="atLeast"/>
          <w:jc w:val="center"/>
        </w:trPr>
        <w:tc>
          <w:tcPr>
            <w:tcW w:w="936" w:type="dxa"/>
            <w:tcBorders>
              <w:top w:val="nil"/>
              <w:left w:val="single" w:color="auto" w:sz="4" w:space="0"/>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c>
          <w:tcPr>
            <w:tcW w:w="91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17941</w:t>
            </w:r>
          </w:p>
        </w:tc>
        <w:tc>
          <w:tcPr>
            <w:tcW w:w="100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49926</w:t>
            </w:r>
          </w:p>
        </w:tc>
        <w:tc>
          <w:tcPr>
            <w:tcW w:w="85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15858</w:t>
            </w:r>
          </w:p>
        </w:tc>
        <w:tc>
          <w:tcPr>
            <w:tcW w:w="1018"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90.05</w:t>
            </w:r>
          </w:p>
          <w:p>
            <w:pPr>
              <w:widowControl w:val="0"/>
              <w:adjustRightInd/>
              <w:spacing w:line="204" w:lineRule="auto"/>
              <w:ind w:firstLine="0" w:firstLineChars="0"/>
              <w:jc w:val="left"/>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（平均值）</w:t>
            </w:r>
          </w:p>
        </w:tc>
        <w:tc>
          <w:tcPr>
            <w:tcW w:w="1052"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16149</w:t>
            </w:r>
          </w:p>
        </w:tc>
        <w:tc>
          <w:tcPr>
            <w:tcW w:w="112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92.08</w:t>
            </w:r>
          </w:p>
          <w:p>
            <w:pPr>
              <w:widowControl w:val="0"/>
              <w:adjustRightInd/>
              <w:spacing w:line="204"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（平均值）</w:t>
            </w:r>
          </w:p>
        </w:tc>
        <w:tc>
          <w:tcPr>
            <w:tcW w:w="174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18"/>
                <w:szCs w:val="18"/>
              </w:rPr>
            </w:pP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 3 \* GB3 </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③</w:t>
      </w:r>
      <w:r>
        <w:rPr>
          <w:rFonts w:hint="eastAsia" w:ascii="方正仿宋_GBK" w:hAnsi="方正仿宋_GBK" w:cs="方正仿宋_GBK"/>
          <w:color w:val="auto"/>
        </w:rPr>
        <w:fldChar w:fldCharType="end"/>
      </w:r>
      <w:r>
        <w:rPr>
          <w:rFonts w:hint="eastAsia" w:ascii="方正仿宋_GBK" w:hAnsi="方正仿宋_GBK" w:cs="方正仿宋_GBK"/>
          <w:color w:val="auto"/>
        </w:rPr>
        <w:t>分散处理模式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分散处理模式，即采用单户型污水处理设备或生态处理形式进行单独处理的模式。无法进行污水集中处理的自然村落、或不适宜建设管网收集的单一农户或较为分散的小型聚居区，用水量较少，污水</w:t>
      </w:r>
      <w:sdt>
        <w:sdtPr>
          <w:rPr>
            <w:color w:val="auto"/>
          </w:rPr>
          <w:alias w:val="易错词检查"/>
          <w:id w:val="1021525"/>
        </w:sdtPr>
        <w:sdtEndPr>
          <w:rPr>
            <w:color w:val="auto"/>
          </w:rPr>
        </w:sdtEndPr>
        <w:sdtContent>
          <w:bookmarkStart w:id="355" w:name="bkReivew1021525"/>
          <w:r>
            <w:rPr>
              <w:rFonts w:hint="eastAsia" w:ascii="方正仿宋_GBK" w:hAnsi="方正仿宋_GBK" w:cs="方正仿宋_GBK"/>
              <w:color w:val="auto"/>
            </w:rPr>
            <w:t>回</w:t>
          </w:r>
          <w:bookmarkEnd w:id="355"/>
        </w:sdtContent>
      </w:sdt>
      <w:r>
        <w:rPr>
          <w:rFonts w:hint="eastAsia" w:ascii="方正仿宋_GBK" w:hAnsi="方正仿宋_GBK" w:cs="方正仿宋_GBK"/>
          <w:color w:val="auto"/>
        </w:rPr>
        <w:t>用于灌溉率较高，且粪便污水常用作农作物肥料使用，主要采用简单的化粪池、沼气池等对污水进行处理，农户自行将处理后的生活污水用于灌溉。</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（2）处理工艺现状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住建委提供的相关资料，统计出的农村生活污水处理厂（站）处理工艺信息中，采用工艺有一体化设施、生物转盘、A2/O+生物滤池、A2/O+生物转盘、生物接触氧化、A/O+化学除磷、曝气+人工湿地等，其中，运用一体化设施较为普遍。</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表4.1-7  永川区农村生活污水处理厂（站）处理工艺统计表</w:t>
      </w:r>
    </w:p>
    <w:tbl>
      <w:tblPr>
        <w:tblStyle w:val="25"/>
        <w:tblW w:w="0" w:type="auto"/>
        <w:jc w:val="center"/>
        <w:tblLayout w:type="fixed"/>
        <w:tblCellMar>
          <w:top w:w="0" w:type="dxa"/>
          <w:left w:w="28" w:type="dxa"/>
          <w:bottom w:w="0" w:type="dxa"/>
          <w:right w:w="28" w:type="dxa"/>
        </w:tblCellMar>
      </w:tblPr>
      <w:tblGrid>
        <w:gridCol w:w="742"/>
        <w:gridCol w:w="1260"/>
        <w:gridCol w:w="1170"/>
        <w:gridCol w:w="3135"/>
        <w:gridCol w:w="1001"/>
        <w:gridCol w:w="1593"/>
      </w:tblGrid>
      <w:tr>
        <w:tblPrEx>
          <w:tblCellMar>
            <w:top w:w="0" w:type="dxa"/>
            <w:left w:w="28" w:type="dxa"/>
            <w:bottom w:w="0" w:type="dxa"/>
            <w:right w:w="28" w:type="dxa"/>
          </w:tblCellMar>
        </w:tblPrEx>
        <w:trPr>
          <w:trHeight w:val="407" w:hRule="atLeast"/>
          <w:tblHeader/>
          <w:jc w:val="center"/>
        </w:trPr>
        <w:tc>
          <w:tcPr>
            <w:tcW w:w="742"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序号</w:t>
            </w:r>
          </w:p>
        </w:tc>
        <w:tc>
          <w:tcPr>
            <w:tcW w:w="126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所在镇街</w:t>
            </w:r>
          </w:p>
        </w:tc>
        <w:tc>
          <w:tcPr>
            <w:tcW w:w="117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流域</w:t>
            </w:r>
          </w:p>
        </w:tc>
        <w:tc>
          <w:tcPr>
            <w:tcW w:w="313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污水处理设施名称</w:t>
            </w:r>
          </w:p>
        </w:tc>
        <w:tc>
          <w:tcPr>
            <w:tcW w:w="1001"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级别</w:t>
            </w:r>
          </w:p>
        </w:tc>
        <w:tc>
          <w:tcPr>
            <w:tcW w:w="1593"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4"/>
                <w:szCs w:val="24"/>
              </w:rPr>
            </w:pPr>
            <w:r>
              <w:rPr>
                <w:rFonts w:hint="eastAsia" w:ascii="方正黑体_GBK" w:hAnsi="方正黑体_GBK" w:eastAsia="方正黑体_GBK" w:cs="方正黑体_GBK"/>
                <w:color w:val="auto"/>
                <w:sz w:val="24"/>
                <w:szCs w:val="24"/>
              </w:rPr>
              <w:t>技术工艺</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涨谷污水处理站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大河污水处理站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江永污水处理厂</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生物转盘</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转龙村污水处理站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四明村污水处理站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6</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石碓窝污水站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7</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朱沱镇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大陆溪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九层岩污水站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8</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永荣镇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三星桥污水处理厂</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9</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永荣镇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白云寺村（韦家沟）污水处理站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10</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仙龙镇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粉店污水站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仙龙镇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大磨污水站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仙龙镇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张家村污水处理站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13</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卫星湖</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石脚迹污水处理站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14</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卫星湖</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凤龙村污水处理站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15</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卫星湖</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双凤场污水处理站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16</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双石</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协和煤矿污水站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17</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双石</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大涧口污水站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18</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双石</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永福煤矿污水站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19</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双石</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中心桥社区污水站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20</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双石</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太平社区污水处理站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胜利路</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万寿污水处理站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胜利路</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蚂蟥桥污水处理站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23</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三教</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花桥污水处理站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rFonts w:hint="eastAsia" w:ascii="方正仿宋_GBK" w:hAnsi="方正仿宋_GBK" w:cs="方正仿宋_GBK"/>
                <w:color w:val="auto"/>
                <w:sz w:val="21"/>
                <w:szCs w:val="21"/>
              </w:rPr>
              <w:t>A2/O+生物滤</w:t>
            </w:r>
            <w:r>
              <w:rPr>
                <w:color w:val="auto"/>
                <w:sz w:val="21"/>
                <w:szCs w:val="21"/>
              </w:rPr>
              <w:t>池</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24</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南大街</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观音桥污水站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25</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南大街</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双楼污水处理站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26</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南大街</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黄文场污水处理站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27</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南大街</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永隆场污水处理厂</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rFonts w:hint="eastAsia" w:ascii="方正仿宋_GBK" w:hAnsi="方正仿宋_GBK" w:cs="方正仿宋_GBK"/>
                <w:color w:val="auto"/>
                <w:sz w:val="21"/>
                <w:szCs w:val="21"/>
              </w:rPr>
              <w:t>A2/O+生</w:t>
            </w:r>
            <w:r>
              <w:rPr>
                <w:color w:val="auto"/>
                <w:sz w:val="21"/>
                <w:szCs w:val="21"/>
              </w:rPr>
              <w:t>物滤池</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28</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color w:val="auto"/>
                <w:sz w:val="21"/>
                <w:szCs w:val="21"/>
              </w:rPr>
            </w:pPr>
            <w:r>
              <w:rPr>
                <w:color w:val="auto"/>
                <w:sz w:val="21"/>
                <w:szCs w:val="21"/>
              </w:rPr>
              <w:t>南大街</w:t>
            </w:r>
            <w:r>
              <w:rPr>
                <w:rFonts w:hint="eastAsia"/>
                <w:color w:val="auto"/>
                <w:sz w:val="21"/>
                <w:szCs w:val="21"/>
              </w:rPr>
              <w:t>街道</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永川区九中污水处理厂</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rFonts w:hint="eastAsia" w:ascii="方正仿宋_GBK" w:hAnsi="方正仿宋_GBK" w:cs="方正仿宋_GBK"/>
                <w:color w:val="auto"/>
                <w:sz w:val="21"/>
                <w:szCs w:val="21"/>
              </w:rPr>
              <w:t>A2/O+生物</w:t>
            </w:r>
            <w:r>
              <w:rPr>
                <w:color w:val="auto"/>
                <w:sz w:val="21"/>
                <w:szCs w:val="21"/>
              </w:rPr>
              <w:t>滤池</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29</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隆顺村污水站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30</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普安村污水处理站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高滩村污水处理站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来苏</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来仪污水处理厂</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rFonts w:hint="eastAsia" w:ascii="方正仿宋_GBK" w:hAnsi="方正仿宋_GBK" w:cs="方正仿宋_GBK"/>
                <w:color w:val="auto"/>
                <w:sz w:val="21"/>
                <w:szCs w:val="21"/>
              </w:rPr>
              <w:t>A2/O+生物</w:t>
            </w:r>
            <w:r>
              <w:rPr>
                <w:color w:val="auto"/>
                <w:sz w:val="21"/>
                <w:szCs w:val="21"/>
              </w:rPr>
              <w:t>转盘</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33</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来苏</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王坪污水处理站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34</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金龙</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普莲污水站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35</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金龙</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复兴（金鼎）污水处理站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36</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吉安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尖山村污水处理站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37</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吉安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黄沙村污水处理站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生物接触氧化</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38</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新店拉法基安置区污水处理站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39</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回龙桥社区新农村建设集中点</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40</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罗汉污水处理站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29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四合村污水站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29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会龙桥村污水处理站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29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43</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红石村污水处理站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44</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何埂</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玉宝村污水处理站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45</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何埂</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石笋山村污水处理站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46</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何埂</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李家湾污水处理站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47</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何埂</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科名上场口污水处理站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48</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何埂</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新泉村污水处理站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49</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何埂</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转角</w:t>
            </w:r>
            <w:sdt>
              <w:sdtPr>
                <w:rPr>
                  <w:color w:val="auto"/>
                </w:rPr>
                <w:alias w:val="易错词检查"/>
                <w:id w:val="1051153"/>
              </w:sdtPr>
              <w:sdtEndPr>
                <w:rPr>
                  <w:color w:val="auto"/>
                </w:rPr>
              </w:sdtEndPr>
              <w:sdtContent>
                <w:bookmarkStart w:id="356" w:name="bkReivew1051153"/>
                <w:r>
                  <w:rPr>
                    <w:color w:val="auto"/>
                    <w:sz w:val="21"/>
                    <w:szCs w:val="21"/>
                  </w:rPr>
                  <w:t>店</w:t>
                </w:r>
                <w:bookmarkEnd w:id="356"/>
              </w:sdtContent>
            </w:sdt>
            <w:r>
              <w:rPr>
                <w:color w:val="auto"/>
                <w:sz w:val="21"/>
                <w:szCs w:val="21"/>
              </w:rPr>
              <w:t>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1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50</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花果山村污水站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29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高坡污水处理站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2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sdt>
              <w:sdtPr>
                <w:rPr>
                  <w:color w:val="auto"/>
                </w:rPr>
                <w:alias w:val="易错词检查"/>
                <w:id w:val="1130021"/>
              </w:sdtPr>
              <w:sdtEndPr>
                <w:rPr>
                  <w:color w:val="auto"/>
                </w:rPr>
              </w:sdtEndPr>
              <w:sdtContent>
                <w:bookmarkStart w:id="357" w:name="bkReivew1130021"/>
                <w:r>
                  <w:rPr>
                    <w:color w:val="auto"/>
                    <w:sz w:val="21"/>
                    <w:szCs w:val="21"/>
                  </w:rPr>
                  <w:t>得</w:t>
                </w:r>
                <w:bookmarkEnd w:id="357"/>
              </w:sdtContent>
            </w:sdt>
            <w:r>
              <w:rPr>
                <w:color w:val="auto"/>
                <w:sz w:val="21"/>
                <w:szCs w:val="21"/>
              </w:rPr>
              <w:t>胜桥污水站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1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53</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隆济污水站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1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54</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铜鼓污水处理站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4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55</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石庙污水处理站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rFonts w:hint="eastAsia" w:ascii="方正仿宋_GBK" w:hAnsi="方正仿宋_GBK" w:cs="方正仿宋_GBK"/>
                <w:color w:val="auto"/>
                <w:sz w:val="21"/>
                <w:szCs w:val="21"/>
              </w:rPr>
              <w:t>A/O+化</w:t>
            </w:r>
            <w:r>
              <w:rPr>
                <w:color w:val="auto"/>
                <w:sz w:val="21"/>
                <w:szCs w:val="21"/>
              </w:rPr>
              <w:t>学除磷</w:t>
            </w:r>
          </w:p>
        </w:tc>
      </w:tr>
      <w:tr>
        <w:tblPrEx>
          <w:tblCellMar>
            <w:top w:w="0" w:type="dxa"/>
            <w:left w:w="28" w:type="dxa"/>
            <w:bottom w:w="0" w:type="dxa"/>
            <w:right w:w="28" w:type="dxa"/>
          </w:tblCellMar>
        </w:tblPrEx>
        <w:trPr>
          <w:trHeight w:val="31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56</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大安</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九龙河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茶店污水处理站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1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57</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陈食</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陈青桥村污水处理站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2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58</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陈食</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梓潼观村污水处理站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曝气+人工湿地</w:t>
            </w:r>
          </w:p>
        </w:tc>
      </w:tr>
      <w:tr>
        <w:tblPrEx>
          <w:tblCellMar>
            <w:top w:w="0" w:type="dxa"/>
            <w:left w:w="28" w:type="dxa"/>
            <w:bottom w:w="0" w:type="dxa"/>
            <w:right w:w="28" w:type="dxa"/>
          </w:tblCellMar>
        </w:tblPrEx>
        <w:trPr>
          <w:trHeight w:val="32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59</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陈食</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马银污水处理站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27"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60</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宝峰</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伍家坡村污水处理站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1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61</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宝峰</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临江河</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龙凤桥村（登东）污水处理站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r>
        <w:tblPrEx>
          <w:tblCellMar>
            <w:top w:w="0" w:type="dxa"/>
            <w:left w:w="28" w:type="dxa"/>
            <w:bottom w:w="0" w:type="dxa"/>
            <w:right w:w="28" w:type="dxa"/>
          </w:tblCellMar>
        </w:tblPrEx>
        <w:trPr>
          <w:trHeight w:val="322" w:hRule="atLeast"/>
          <w:jc w:val="center"/>
        </w:trPr>
        <w:tc>
          <w:tcPr>
            <w:tcW w:w="7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62</w:t>
            </w:r>
          </w:p>
        </w:tc>
        <w:tc>
          <w:tcPr>
            <w:tcW w:w="126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板桥</w:t>
            </w:r>
            <w:r>
              <w:rPr>
                <w:rFonts w:hint="eastAsia"/>
                <w:color w:val="auto"/>
                <w:sz w:val="21"/>
                <w:szCs w:val="21"/>
              </w:rPr>
              <w:t>镇</w:t>
            </w:r>
          </w:p>
        </w:tc>
        <w:tc>
          <w:tcPr>
            <w:tcW w:w="117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小安溪</w:t>
            </w:r>
          </w:p>
        </w:tc>
        <w:tc>
          <w:tcPr>
            <w:tcW w:w="313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高洞子（寿永）污水处理站</w:t>
            </w:r>
          </w:p>
        </w:tc>
        <w:tc>
          <w:tcPr>
            <w:tcW w:w="10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村级</w:t>
            </w:r>
          </w:p>
        </w:tc>
        <w:tc>
          <w:tcPr>
            <w:tcW w:w="1593"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color w:val="auto"/>
                <w:sz w:val="21"/>
                <w:szCs w:val="21"/>
              </w:rPr>
            </w:pPr>
            <w:r>
              <w:rPr>
                <w:color w:val="auto"/>
                <w:sz w:val="21"/>
                <w:szCs w:val="21"/>
              </w:rPr>
              <w:t>一体化设施</w:t>
            </w: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（3）运行状况</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农村生活污水填报系统基础信息统计（见下表4.1-8），永川区已建62个农村生活污水厂（站）均处于正常运行状态，设计规模总计15570吨/天。各污水处理厂（站）出水执行标准普遍为一级A标，仅江永污水处理厂为一级B标，梓潼观村污水处理站执行的是DB50/848-2018标准。出水水质均达标。出水去向系5条河流，分别为临江河、大陆溪、九龙河、萱花河、小安溪，其中，仅萱花河为三级支流，其余收纳水体均为长江支流。运行单位为区惠永水务和市环投公司2家。</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表4.1-8  永川区农村生活污水处理厂（站）运行状况统计表</w:t>
      </w:r>
    </w:p>
    <w:tbl>
      <w:tblPr>
        <w:tblStyle w:val="25"/>
        <w:tblW w:w="0" w:type="auto"/>
        <w:jc w:val="center"/>
        <w:tblLayout w:type="fixed"/>
        <w:tblCellMar>
          <w:top w:w="0" w:type="dxa"/>
          <w:left w:w="28" w:type="dxa"/>
          <w:bottom w:w="0" w:type="dxa"/>
          <w:right w:w="28" w:type="dxa"/>
        </w:tblCellMar>
      </w:tblPr>
      <w:tblGrid>
        <w:gridCol w:w="481"/>
        <w:gridCol w:w="801"/>
        <w:gridCol w:w="720"/>
        <w:gridCol w:w="1156"/>
        <w:gridCol w:w="630"/>
        <w:gridCol w:w="645"/>
        <w:gridCol w:w="930"/>
        <w:gridCol w:w="885"/>
        <w:gridCol w:w="1200"/>
        <w:gridCol w:w="750"/>
        <w:gridCol w:w="794"/>
      </w:tblGrid>
      <w:tr>
        <w:tblPrEx>
          <w:tblCellMar>
            <w:top w:w="0" w:type="dxa"/>
            <w:left w:w="28" w:type="dxa"/>
            <w:bottom w:w="0" w:type="dxa"/>
            <w:right w:w="28" w:type="dxa"/>
          </w:tblCellMar>
        </w:tblPrEx>
        <w:trPr>
          <w:trHeight w:val="750" w:hRule="atLeast"/>
          <w:tblHeader/>
          <w:jc w:val="center"/>
        </w:trPr>
        <w:tc>
          <w:tcPr>
            <w:tcW w:w="48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801"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所在</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tc>
        <w:tc>
          <w:tcPr>
            <w:tcW w:w="72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流域</w:t>
            </w:r>
          </w:p>
        </w:tc>
        <w:tc>
          <w:tcPr>
            <w:tcW w:w="1156"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pacing w:val="-6"/>
                <w:sz w:val="21"/>
                <w:szCs w:val="21"/>
              </w:rPr>
            </w:pPr>
            <w:r>
              <w:rPr>
                <w:rFonts w:hint="eastAsia" w:ascii="方正黑体_GBK" w:hAnsi="方正黑体_GBK" w:eastAsia="方正黑体_GBK" w:cs="方正黑体_GBK"/>
                <w:color w:val="auto"/>
                <w:spacing w:val="-6"/>
                <w:sz w:val="21"/>
                <w:szCs w:val="21"/>
              </w:rPr>
              <w:t>污水处理</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pacing w:val="-6"/>
                <w:sz w:val="21"/>
                <w:szCs w:val="21"/>
              </w:rPr>
              <w:t>设施名称</w:t>
            </w:r>
          </w:p>
        </w:tc>
        <w:tc>
          <w:tcPr>
            <w:tcW w:w="63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级别</w:t>
            </w:r>
          </w:p>
        </w:tc>
        <w:tc>
          <w:tcPr>
            <w:tcW w:w="64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是否建成</w:t>
            </w:r>
          </w:p>
        </w:tc>
        <w:tc>
          <w:tcPr>
            <w:tcW w:w="93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设计能力（m³/d）</w:t>
            </w:r>
          </w:p>
        </w:tc>
        <w:tc>
          <w:tcPr>
            <w:tcW w:w="885"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建成</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时间</w:t>
            </w:r>
          </w:p>
        </w:tc>
        <w:tc>
          <w:tcPr>
            <w:tcW w:w="120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技术</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工艺</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出水</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标准</w:t>
            </w:r>
          </w:p>
        </w:tc>
        <w:tc>
          <w:tcPr>
            <w:tcW w:w="794"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运行</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单位</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江永污水处理厂</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生物转盘</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转龙村污水处理站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四明村污水处理站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石碓窝污水站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大陆溪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九层岩污水站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三星桥污水处理厂</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726"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168"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白云寺村（韦家沟）污水处理站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44"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张家村污水处理站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石脚迹污水处理站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凤龙村污水处理站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双凤场污水处理站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2013</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协和煤矿污水站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72"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永福煤矿污水站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27"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中心桥社区污水站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太平社区污水处理站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蚂蟥桥污水处理站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花桥污水处理站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A2/O+生物滤池</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市环投公司</w:t>
            </w:r>
          </w:p>
        </w:tc>
      </w:tr>
      <w:tr>
        <w:tblPrEx>
          <w:tblCellMar>
            <w:top w:w="0" w:type="dxa"/>
            <w:left w:w="28" w:type="dxa"/>
            <w:bottom w:w="0" w:type="dxa"/>
            <w:right w:w="28" w:type="dxa"/>
          </w:tblCellMar>
        </w:tblPrEx>
        <w:trPr>
          <w:trHeight w:val="427"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观音桥污水站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671"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双楼污水处理站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黄文场污水处理站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641"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永隆场污水处理厂</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A2/O+生物滤池</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市环投公司</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永川区九中污水处理厂</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A2/O+生物滤池</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市环投公司</w:t>
            </w:r>
          </w:p>
        </w:tc>
      </w:tr>
      <w:tr>
        <w:tblPrEx>
          <w:tblCellMar>
            <w:top w:w="0" w:type="dxa"/>
            <w:left w:w="28" w:type="dxa"/>
            <w:bottom w:w="0" w:type="dxa"/>
            <w:right w:w="28" w:type="dxa"/>
          </w:tblCellMar>
        </w:tblPrEx>
        <w:trPr>
          <w:trHeight w:val="596"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隆顺村污水站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566"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普安村污水处理站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566"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高滩村污水处理站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03"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来仪污水处理厂</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A2/O+生物转盘</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市环投公司</w:t>
            </w:r>
          </w:p>
        </w:tc>
      </w:tr>
      <w:tr>
        <w:tblPrEx>
          <w:tblCellMar>
            <w:top w:w="0" w:type="dxa"/>
            <w:left w:w="28" w:type="dxa"/>
            <w:bottom w:w="0" w:type="dxa"/>
            <w:right w:w="28" w:type="dxa"/>
          </w:tblCellMar>
        </w:tblPrEx>
        <w:trPr>
          <w:trHeight w:val="487"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王坪污水处理站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42"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w:t>
            </w:r>
          </w:p>
        </w:tc>
        <w:tc>
          <w:tcPr>
            <w:tcW w:w="801"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72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普莲污水站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885"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357"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复兴（金鼎）污水处理站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2016</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尖山村污水处理站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63"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黄沙村污水处理站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2016</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生物接触氧化</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664"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新店拉法基安置区污水处理站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559"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回龙桥社区新农村建设集中点</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罗汉污水处理站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四合村污水站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399"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红石村污水处理站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玉宝村污水处理站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李家湾污水处理站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科名上场口污水处理站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新泉村污水处理站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转角</w:t>
            </w:r>
            <w:sdt>
              <w:sdtPr>
                <w:rPr>
                  <w:color w:val="auto"/>
                </w:rPr>
                <w:alias w:val="易错词检查"/>
                <w:id w:val="3031730"/>
              </w:sdtPr>
              <w:sdtEndPr>
                <w:rPr>
                  <w:color w:val="auto"/>
                </w:rPr>
              </w:sdtEndPr>
              <w:sdtContent>
                <w:bookmarkStart w:id="358" w:name="bkReivew3031730"/>
                <w:r>
                  <w:rPr>
                    <w:rFonts w:hint="eastAsia" w:ascii="方正仿宋_GBK" w:hAnsi="方正仿宋_GBK" w:cs="方正仿宋_GBK"/>
                    <w:color w:val="auto"/>
                    <w:spacing w:val="-6"/>
                    <w:sz w:val="21"/>
                    <w:szCs w:val="21"/>
                  </w:rPr>
                  <w:t>店</w:t>
                </w:r>
                <w:bookmarkEnd w:id="358"/>
              </w:sdtContent>
            </w:sdt>
            <w:r>
              <w:rPr>
                <w:rFonts w:hint="eastAsia" w:ascii="方正仿宋_GBK" w:hAnsi="方正仿宋_GBK" w:cs="方正仿宋_GBK"/>
                <w:color w:val="auto"/>
                <w:spacing w:val="-6"/>
                <w:sz w:val="21"/>
                <w:szCs w:val="21"/>
              </w:rPr>
              <w:t>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566"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583"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sdt>
              <w:sdtPr>
                <w:rPr>
                  <w:color w:val="auto"/>
                </w:rPr>
                <w:alias w:val="易错词检查"/>
                <w:id w:val="2160121"/>
              </w:sdtPr>
              <w:sdtEndPr>
                <w:rPr>
                  <w:color w:val="auto"/>
                </w:rPr>
              </w:sdtEndPr>
              <w:sdtContent>
                <w:bookmarkStart w:id="359" w:name="bkReivew2160121"/>
                <w:r>
                  <w:rPr>
                    <w:rFonts w:hint="eastAsia" w:ascii="方正仿宋_GBK" w:hAnsi="方正仿宋_GBK" w:cs="方正仿宋_GBK"/>
                    <w:color w:val="auto"/>
                    <w:spacing w:val="-17"/>
                    <w:sz w:val="21"/>
                    <w:szCs w:val="21"/>
                  </w:rPr>
                  <w:t>得</w:t>
                </w:r>
                <w:bookmarkEnd w:id="359"/>
              </w:sdtContent>
            </w:sdt>
            <w:r>
              <w:rPr>
                <w:rFonts w:hint="eastAsia" w:ascii="方正仿宋_GBK" w:hAnsi="方正仿宋_GBK" w:cs="方正仿宋_GBK"/>
                <w:color w:val="auto"/>
                <w:spacing w:val="-17"/>
                <w:sz w:val="21"/>
                <w:szCs w:val="21"/>
              </w:rPr>
              <w:t>胜桥污水站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隆济污水站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2019</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74"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17"/>
                <w:sz w:val="21"/>
                <w:szCs w:val="21"/>
              </w:rPr>
            </w:pPr>
            <w:r>
              <w:rPr>
                <w:rFonts w:hint="eastAsia" w:ascii="方正仿宋_GBK" w:hAnsi="方正仿宋_GBK" w:cs="方正仿宋_GBK"/>
                <w:color w:val="auto"/>
                <w:spacing w:val="-17"/>
                <w:sz w:val="21"/>
                <w:szCs w:val="21"/>
              </w:rPr>
              <w:t>A/O+化学除磷</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市环投公司</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2013</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trHeight w:val="429" w:hRule="atLeast"/>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曝气+人工湿地</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2013</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伍家坡村污水处理站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临江河</w:t>
            </w:r>
          </w:p>
        </w:tc>
        <w:tc>
          <w:tcPr>
            <w:tcW w:w="1156"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龙凤桥村（登东）污水处理站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2017</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r>
        <w:tblPrEx>
          <w:tblCellMar>
            <w:top w:w="0" w:type="dxa"/>
            <w:left w:w="28" w:type="dxa"/>
            <w:bottom w:w="0" w:type="dxa"/>
            <w:right w:w="28" w:type="dxa"/>
          </w:tblCellMar>
        </w:tblPrEx>
        <w:trPr>
          <w:jc w:val="center"/>
        </w:trPr>
        <w:tc>
          <w:tcPr>
            <w:tcW w:w="48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w:t>
            </w:r>
          </w:p>
        </w:tc>
        <w:tc>
          <w:tcPr>
            <w:tcW w:w="8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72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小安溪</w:t>
            </w:r>
          </w:p>
        </w:tc>
        <w:tc>
          <w:tcPr>
            <w:tcW w:w="115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高洞子（寿永）污水处理站</w:t>
            </w:r>
          </w:p>
        </w:tc>
        <w:tc>
          <w:tcPr>
            <w:tcW w:w="6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村级</w:t>
            </w:r>
          </w:p>
        </w:tc>
        <w:tc>
          <w:tcPr>
            <w:tcW w:w="6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是</w:t>
            </w:r>
          </w:p>
        </w:tc>
        <w:tc>
          <w:tcPr>
            <w:tcW w:w="93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500</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2015</w:t>
            </w:r>
          </w:p>
        </w:tc>
        <w:tc>
          <w:tcPr>
            <w:tcW w:w="120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一体化设施</w:t>
            </w:r>
          </w:p>
        </w:tc>
        <w:tc>
          <w:tcPr>
            <w:tcW w:w="750"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一级</w:t>
            </w:r>
          </w:p>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B标</w:t>
            </w:r>
          </w:p>
        </w:tc>
        <w:tc>
          <w:tcPr>
            <w:tcW w:w="794" w:type="dxa"/>
            <w:tcBorders>
              <w:top w:val="nil"/>
              <w:left w:val="nil"/>
              <w:bottom w:val="single" w:color="auto" w:sz="4" w:space="0"/>
              <w:right w:val="single" w:color="auto" w:sz="4" w:space="0"/>
            </w:tcBorders>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区惠永水务</w:t>
            </w: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4.1.4.2  管网现状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根据永川区农村生活污水填报系统评价体系信息，永川区农村污水处理设施及其配套管网、污水收集情况统计表见下表4.1-9。永川区农村已建配套干管和二三级管网长度为357.55km，受益农户达73267户、198928人。</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表4.1-9  永川区农村污水处理设施及配套管网、污水收集情况统计表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66"/>
        <w:gridCol w:w="1925"/>
        <w:gridCol w:w="3659"/>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366" w:type="dxa"/>
            <w:noWrap w:val="0"/>
            <w:vAlign w:val="center"/>
          </w:tcPr>
          <w:p>
            <w:pPr>
              <w:widowControl w:val="0"/>
              <w:adjustRightInd/>
              <w:spacing w:line="228"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镇（街道）</w:t>
            </w:r>
          </w:p>
        </w:tc>
        <w:tc>
          <w:tcPr>
            <w:tcW w:w="1925" w:type="dxa"/>
            <w:noWrap w:val="0"/>
            <w:vAlign w:val="center"/>
          </w:tcPr>
          <w:p>
            <w:pPr>
              <w:widowControl w:val="0"/>
              <w:adjustRightInd/>
              <w:spacing w:line="228"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村（社区）</w:t>
            </w:r>
          </w:p>
        </w:tc>
        <w:tc>
          <w:tcPr>
            <w:tcW w:w="3659" w:type="dxa"/>
            <w:noWrap w:val="0"/>
            <w:vAlign w:val="center"/>
          </w:tcPr>
          <w:p>
            <w:pPr>
              <w:widowControl w:val="0"/>
              <w:adjustRightInd/>
              <w:spacing w:line="228"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污水处理厂名称</w:t>
            </w:r>
          </w:p>
        </w:tc>
        <w:tc>
          <w:tcPr>
            <w:tcW w:w="1951" w:type="dxa"/>
            <w:noWrap w:val="0"/>
            <w:vAlign w:val="center"/>
          </w:tcPr>
          <w:p>
            <w:pPr>
              <w:widowControl w:val="0"/>
              <w:adjustRightInd/>
              <w:spacing w:line="228"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配套干管和二三级</w:t>
            </w:r>
          </w:p>
          <w:p>
            <w:pPr>
              <w:widowControl w:val="0"/>
              <w:adjustRightInd/>
              <w:spacing w:line="228"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管网长度(km)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366"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板桥镇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高洞子村委会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高洞子村（寿永）污水处理厂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宝峰镇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五家坡村委会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五家坡村污水处理厂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龙凤桥村委会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龙凤桥村登东场镇污水处理厂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陈食街道</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马银村委会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马银村污水处理站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陈青桥村委会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陈青桥村污水处理站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梓潼观村委会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梓潼观村污水处理厂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大安街道</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茶店社区居委会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茶店社区污水处理厂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二郎坝村委会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二郎坝村石庙污水处理厂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高坡村委会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高坡村污水处理厂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花果山村委会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花果山村污水处理厂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茶店社区</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茶店污水处理站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石庙社区</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石庙污水处理厂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云雾山村委会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云雾山村隆济污水处理厂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铜鼓村委会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铜鼓村污水处理厂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德胜桥村委会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德胜桥村污水处理厂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何埂镇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转角店村委会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转角店村污水处理厂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新泉村委会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新泉村污水处理站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玉宝村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玉宝村污水处理站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科名村委会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科名村小学污水处理站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李家湾村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何埂镇李家湾村污水处理站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石笋山村委会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石笋山村污水处理厂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5" w:hRule="atLeast"/>
          <w:jc w:val="center"/>
        </w:trPr>
        <w:tc>
          <w:tcPr>
            <w:tcW w:w="1366"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红炉镇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会龙桥村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会龙桥污水处理一</w:t>
            </w:r>
            <w:sdt>
              <w:sdtPr>
                <w:rPr>
                  <w:color w:val="auto"/>
                  <w:sz w:val="21"/>
                  <w:szCs w:val="21"/>
                </w:rPr>
                <w:alias w:val="易错词检查"/>
                <w:id w:val="161416"/>
              </w:sdtPr>
              <w:sdtEndPr>
                <w:rPr>
                  <w:color w:val="auto"/>
                  <w:sz w:val="21"/>
                  <w:szCs w:val="21"/>
                </w:rPr>
              </w:sdtEndPr>
              <w:sdtContent>
                <w:r>
                  <w:rPr>
                    <w:rFonts w:hint="eastAsia"/>
                    <w:color w:val="auto"/>
                    <w:sz w:val="21"/>
                    <w:szCs w:val="21"/>
                    <w:lang w:eastAsia="zh-CN"/>
                  </w:rPr>
                  <w:t>体</w:t>
                </w:r>
              </w:sdtContent>
            </w:sdt>
            <w:r>
              <w:rPr>
                <w:color w:val="auto"/>
                <w:sz w:val="21"/>
                <w:szCs w:val="21"/>
              </w:rPr>
              <w:t>化设施</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吉安镇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石松村委会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黄沙村污水处理厂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3"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尖山村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尖山村污水处理站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金龙镇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金鼎村委会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金鼎村污水处理厂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灯坪村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金龙镇普莲污水处理站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来苏镇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王坪村委会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王坪村污水处理厂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磨心桥村委会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磨心桥村来仪污水处理厂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临江镇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隆顺村委会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隆顺村爱心楼一体化污水处理站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高滩村委会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高滩村污水处理站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普安村委会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普安村污水处理站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南大街街道</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八角寺村委会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八角寺永隆污水处理厂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黄瓜山村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双楼安置房污水处理站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黄瓜山村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黄文场污水处理站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谭家坝村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观音桥污水处理站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大南村委会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大南村九中污水处理厂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5" w:hRule="atLeast"/>
          <w:jc w:val="center"/>
        </w:trPr>
        <w:tc>
          <w:tcPr>
            <w:tcW w:w="1366"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青峰镇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胡豆坪村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青峰胡豆坪村污水处理一体化设施</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三教镇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双河口社区</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花桥污水处理厂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2" w:hRule="atLeast"/>
          <w:jc w:val="center"/>
        </w:trPr>
        <w:tc>
          <w:tcPr>
            <w:tcW w:w="1366"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胜利路街道</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万寿场社区</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万寿污水处理站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双石镇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中心桥社区居委会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中心桥社区污水处理厂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中心桥村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协</w:t>
            </w:r>
            <w:sdt>
              <w:sdtPr>
                <w:rPr>
                  <w:color w:val="auto"/>
                </w:rPr>
                <w:alias w:val="易错词检查"/>
                <w:id w:val="2010824"/>
              </w:sdtPr>
              <w:sdtEndPr>
                <w:rPr>
                  <w:color w:val="auto"/>
                </w:rPr>
              </w:sdtEndPr>
              <w:sdtContent>
                <w:bookmarkStart w:id="360" w:name="bkReivew2010824"/>
                <w:r>
                  <w:rPr>
                    <w:color w:val="auto"/>
                    <w:sz w:val="21"/>
                    <w:szCs w:val="21"/>
                  </w:rPr>
                  <w:t>合</w:t>
                </w:r>
                <w:bookmarkEnd w:id="360"/>
              </w:sdtContent>
            </w:sdt>
            <w:r>
              <w:rPr>
                <w:color w:val="auto"/>
                <w:sz w:val="21"/>
                <w:szCs w:val="21"/>
              </w:rPr>
              <w:t>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8"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太平社区</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太平社区污水处理厂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卫星湖街道</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小竹溪村委会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小竹溪村双凤污水处理厂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2"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石脚迹村委会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石脚迹村污水处理厂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凤龙村委会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凤龙村污水处理厂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仙龙镇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张家场社区居委会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张家场社区污水处理厂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大磨子村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大磨污水处理站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7"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金宝山村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粉店污水处理站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永荣镇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子庄村委会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子庄村三星桥污水处理厂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7" w:hRule="atLeast"/>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白云寺村委会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白云寺村污水处理厂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restart"/>
            <w:noWrap w:val="0"/>
            <w:vAlign w:val="center"/>
          </w:tcPr>
          <w:p>
            <w:pPr>
              <w:widowControl w:val="0"/>
              <w:adjustRightInd/>
              <w:spacing w:line="228" w:lineRule="auto"/>
              <w:ind w:firstLine="0" w:firstLineChars="0"/>
              <w:jc w:val="center"/>
              <w:rPr>
                <w:color w:val="auto"/>
                <w:sz w:val="21"/>
                <w:szCs w:val="21"/>
              </w:rPr>
            </w:pPr>
            <w:r>
              <w:rPr>
                <w:color w:val="auto"/>
                <w:sz w:val="21"/>
                <w:szCs w:val="21"/>
              </w:rPr>
              <w:t>朱沱镇</w:t>
            </w: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四明村委会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四明村污水处理厂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九层岩村</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九层岩污水处理站</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大河村委会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大河村污水处理厂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转龙村委会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转龙村污水处理厂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江永村委会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江永村污水处理厂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66" w:type="dxa"/>
            <w:vMerge w:val="continue"/>
            <w:noWrap w:val="0"/>
            <w:vAlign w:val="center"/>
          </w:tcPr>
          <w:p>
            <w:pPr>
              <w:widowControl w:val="0"/>
              <w:adjustRightInd/>
              <w:spacing w:line="228" w:lineRule="auto"/>
              <w:ind w:firstLine="0" w:firstLineChars="0"/>
              <w:jc w:val="center"/>
              <w:rPr>
                <w:color w:val="auto"/>
                <w:sz w:val="21"/>
                <w:szCs w:val="21"/>
              </w:rPr>
            </w:pPr>
          </w:p>
        </w:tc>
        <w:tc>
          <w:tcPr>
            <w:tcW w:w="1925"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涨谷村委会</w:t>
            </w:r>
          </w:p>
        </w:tc>
        <w:tc>
          <w:tcPr>
            <w:tcW w:w="3659"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涨谷村污水处理厂</w:t>
            </w: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7" w:hRule="atLeast"/>
          <w:jc w:val="center"/>
        </w:trPr>
        <w:tc>
          <w:tcPr>
            <w:tcW w:w="1366"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合计</w:t>
            </w:r>
          </w:p>
        </w:tc>
        <w:tc>
          <w:tcPr>
            <w:tcW w:w="1925" w:type="dxa"/>
            <w:noWrap w:val="0"/>
            <w:vAlign w:val="center"/>
          </w:tcPr>
          <w:p>
            <w:pPr>
              <w:widowControl w:val="0"/>
              <w:adjustRightInd/>
              <w:spacing w:line="228" w:lineRule="auto"/>
              <w:ind w:firstLine="0" w:firstLineChars="0"/>
              <w:jc w:val="center"/>
              <w:rPr>
                <w:color w:val="auto"/>
                <w:sz w:val="21"/>
                <w:szCs w:val="21"/>
              </w:rPr>
            </w:pPr>
          </w:p>
        </w:tc>
        <w:tc>
          <w:tcPr>
            <w:tcW w:w="3659" w:type="dxa"/>
            <w:noWrap w:val="0"/>
            <w:vAlign w:val="center"/>
          </w:tcPr>
          <w:p>
            <w:pPr>
              <w:widowControl w:val="0"/>
              <w:adjustRightInd/>
              <w:spacing w:line="228" w:lineRule="auto"/>
              <w:ind w:firstLine="0" w:firstLineChars="0"/>
              <w:jc w:val="center"/>
              <w:rPr>
                <w:color w:val="auto"/>
                <w:sz w:val="21"/>
                <w:szCs w:val="21"/>
              </w:rPr>
            </w:pPr>
          </w:p>
        </w:tc>
        <w:tc>
          <w:tcPr>
            <w:tcW w:w="1951" w:type="dxa"/>
            <w:noWrap w:val="0"/>
            <w:vAlign w:val="center"/>
          </w:tcPr>
          <w:p>
            <w:pPr>
              <w:widowControl w:val="0"/>
              <w:adjustRightInd/>
              <w:spacing w:line="228" w:lineRule="auto"/>
              <w:ind w:firstLine="0" w:firstLineChars="0"/>
              <w:jc w:val="center"/>
              <w:rPr>
                <w:color w:val="auto"/>
                <w:sz w:val="21"/>
                <w:szCs w:val="21"/>
              </w:rPr>
            </w:pPr>
            <w:r>
              <w:rPr>
                <w:color w:val="auto"/>
                <w:sz w:val="21"/>
                <w:szCs w:val="21"/>
              </w:rPr>
              <w:t>357.55</w:t>
            </w:r>
          </w:p>
        </w:tc>
      </w:tr>
    </w:tbl>
    <w:p>
      <w:pPr>
        <w:widowControl w:val="0"/>
        <w:spacing w:line="264" w:lineRule="auto"/>
        <w:ind w:firstLine="640"/>
        <w:rPr>
          <w:rFonts w:hint="eastAsia" w:ascii="方正仿宋_GBK" w:hAnsi="方正仿宋_GBK" w:cs="方正仿宋_GBK"/>
          <w:color w:val="auto"/>
        </w:rPr>
      </w:pPr>
      <w:bookmarkStart w:id="361" w:name="_Toc48318312"/>
      <w:bookmarkStart w:id="362" w:name="_Toc45199305"/>
      <w:r>
        <w:rPr>
          <w:rFonts w:hint="eastAsia" w:ascii="方正仿宋_GBK" w:hAnsi="方正仿宋_GBK" w:cs="方正仿宋_GBK"/>
          <w:color w:val="auto"/>
        </w:rPr>
        <w:t>4.1.5  存在问题</w:t>
      </w:r>
      <w:bookmarkEnd w:id="361"/>
      <w:bookmarkEnd w:id="362"/>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（1）已建污水处理厂（站）运行负荷率较低，截污管网有待完善。</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（2）现场调查发现，不少农户无化粪池、厨房洗涤水未接入，导致实际污水收集率偏低；部分农户自办的民宿、农家乐等配备的隔油池不标准或无隔油池。</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（3）日常管理人员缺乏相应的专业技能，调查中发现日常管理人员对当地农村污水处理设施、工艺、污水管网缺少应有的了解，难以胜任日常管理工作。</w:t>
      </w:r>
      <w:bookmarkStart w:id="363" w:name="_Toc45199306"/>
    </w:p>
    <w:p>
      <w:pPr>
        <w:widowControl w:val="0"/>
        <w:spacing w:line="264" w:lineRule="auto"/>
        <w:ind w:firstLine="640"/>
        <w:rPr>
          <w:rFonts w:hint="eastAsia" w:ascii="方正楷体_GBK" w:hAnsi="方正楷体_GBK" w:eastAsia="方正楷体_GBK" w:cs="方正楷体_GBK"/>
          <w:color w:val="auto"/>
        </w:rPr>
      </w:pPr>
      <w:bookmarkStart w:id="364" w:name="_Toc48318313"/>
      <w:r>
        <w:rPr>
          <w:rFonts w:hint="eastAsia" w:ascii="方正楷体_GBK" w:hAnsi="方正楷体_GBK" w:eastAsia="方正楷体_GBK" w:cs="方正楷体_GBK"/>
          <w:color w:val="auto"/>
        </w:rPr>
        <w:t>4.2  农家乐及民宿情况</w:t>
      </w:r>
      <w:bookmarkEnd w:id="363"/>
      <w:bookmarkEnd w:id="364"/>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共有农家乐及民宿91家，涉及7个镇街，21个村（涉农社区），均位于优先区域。其中，共计77家农家乐及民宿配套有化粪池，占总数的84.62%；63家农家乐及民宿配套有隔油池，占总数的69.23%；44家农家乐及民宿自建污水处理设施（均为生化工艺），占总数的48.35%。</w:t>
      </w:r>
    </w:p>
    <w:p>
      <w:pPr>
        <w:widowControl w:val="0"/>
        <w:spacing w:line="264" w:lineRule="auto"/>
        <w:ind w:firstLine="616"/>
        <w:rPr>
          <w:rFonts w:hint="eastAsia" w:ascii="方正仿宋_GBK" w:hAnsi="方正仿宋_GBK" w:cs="方正仿宋_GBK"/>
          <w:color w:val="auto"/>
        </w:rPr>
      </w:pPr>
      <w:r>
        <w:rPr>
          <w:rFonts w:hint="eastAsia" w:ascii="方正仿宋_GBK" w:hAnsi="方正仿宋_GBK" w:cs="方正仿宋_GBK"/>
          <w:color w:val="auto"/>
          <w:spacing w:val="-6"/>
        </w:rPr>
        <w:t>整体来看，永川区农家乐及民宿的生活污水治理基础配套设施（化粪池和隔油池）的完善情况仍有缺口，还需进一步加强整治。</w:t>
      </w:r>
      <w:bookmarkStart w:id="365" w:name="_Toc45199307"/>
    </w:p>
    <w:p>
      <w:pPr>
        <w:widowControl w:val="0"/>
        <w:spacing w:line="264" w:lineRule="auto"/>
        <w:ind w:firstLine="640"/>
        <w:rPr>
          <w:rFonts w:hint="eastAsia" w:ascii="方正楷体_GBK" w:hAnsi="方正楷体_GBK" w:eastAsia="方正楷体_GBK" w:cs="方正楷体_GBK"/>
          <w:color w:val="auto"/>
        </w:rPr>
      </w:pPr>
      <w:bookmarkStart w:id="366" w:name="_Toc48318314"/>
      <w:r>
        <w:rPr>
          <w:rFonts w:hint="eastAsia" w:ascii="方正楷体_GBK" w:hAnsi="方正楷体_GBK" w:eastAsia="方正楷体_GBK" w:cs="方正楷体_GBK"/>
          <w:color w:val="auto"/>
        </w:rPr>
        <w:t>4.3  污染负荷量预测</w:t>
      </w:r>
      <w:bookmarkEnd w:id="365"/>
      <w:bookmarkEnd w:id="366"/>
      <w:bookmarkStart w:id="367" w:name="_Toc45199308"/>
    </w:p>
    <w:p>
      <w:pPr>
        <w:widowControl w:val="0"/>
        <w:spacing w:line="264" w:lineRule="auto"/>
        <w:ind w:firstLine="640"/>
        <w:rPr>
          <w:rFonts w:hint="eastAsia" w:ascii="方正仿宋_GBK" w:hAnsi="方正仿宋_GBK" w:cs="方正仿宋_GBK"/>
          <w:color w:val="auto"/>
        </w:rPr>
      </w:pPr>
      <w:bookmarkStart w:id="368" w:name="_Toc48318315"/>
      <w:r>
        <w:rPr>
          <w:rFonts w:hint="eastAsia" w:ascii="方正仿宋_GBK" w:hAnsi="方正仿宋_GBK" w:cs="方正仿宋_GBK"/>
          <w:color w:val="auto"/>
        </w:rPr>
        <w:t>4.3.1  农村人口预测</w:t>
      </w:r>
      <w:bookmarkEnd w:id="367"/>
      <w:bookmarkEnd w:id="368"/>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4.3.1.1  农村人口发展分析</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根据永川区统计年鉴，永川区多年平均人口自然增长率为2.58‰，</w:t>
      </w:r>
      <w:sdt>
        <w:sdtPr>
          <w:rPr>
            <w:color w:val="auto"/>
          </w:rPr>
          <w:alias w:val="易错词检查"/>
          <w:id w:val="1042432"/>
        </w:sdtPr>
        <w:sdtEndPr>
          <w:rPr>
            <w:color w:val="auto"/>
          </w:rPr>
        </w:sdtEndPr>
        <w:sdtContent>
          <w:bookmarkStart w:id="369" w:name="bkReivew1042432"/>
          <w:r>
            <w:rPr>
              <w:rFonts w:hint="eastAsia" w:ascii="方正仿宋_GBK" w:hAnsi="方正仿宋_GBK" w:cs="方正仿宋_GBK"/>
              <w:color w:val="auto"/>
            </w:rPr>
            <w:t>截</w:t>
          </w:r>
          <w:r>
            <w:rPr>
              <w:rFonts w:hint="eastAsia" w:ascii="方正仿宋_GBK" w:hAnsi="方正仿宋_GBK" w:cs="方正仿宋_GBK"/>
              <w:color w:val="auto"/>
              <w:lang w:eastAsia="zh-CN"/>
            </w:rPr>
            <w:t>至</w:t>
          </w:r>
          <w:r>
            <w:rPr>
              <w:rFonts w:hint="eastAsia" w:ascii="方正仿宋_GBK" w:hAnsi="方正仿宋_GBK" w:cs="方正仿宋_GBK"/>
              <w:color w:val="auto"/>
            </w:rPr>
            <w:t>2018年</w:t>
          </w:r>
          <w:bookmarkEnd w:id="369"/>
        </w:sdtContent>
      </w:sdt>
      <w:r>
        <w:rPr>
          <w:rFonts w:hint="eastAsia" w:ascii="方正仿宋_GBK" w:hAnsi="方正仿宋_GBK" w:cs="方正仿宋_GBK"/>
          <w:color w:val="auto"/>
        </w:rPr>
        <w:t>，永川区全区常住总人口为114.2万人，其中农村人口34.5万人，城镇人口79.70万人。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人口是污染负荷产生的主体，其生产和生活活动是区内污染产生的根源。人口发展预测采用指数模型：</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Pi = P18（1+ai）t</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式中：Pi—规划目标年（2025年）的人口；</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P18—资料统计年（2018年）的统计人口；</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ai—规划目标年（2025年、2030年）与基准年之间的平均增长率（4.5%）；</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t—规划目标年与基准年之间的时间间隔（年），此处t=7（2025年）。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则2025年城镇人口：M2025=Pi×r2025，其中r2025即2025年常住人口城镇化率；</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2025年农村人口：N2025=P2025－M2025；</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按照现有发展模式、人才吸引能力等水平不变的前提下，根据相关规划、计划和永川区实际情况确定出区内的人口自然增长率。根据《永川区城乡总体规划（2013年编制）》，到2025年全区常住人口将达到130万人，常住人口城镇化率将达到73%；农村常住人口35万人，城镇常住人口95万人。根据各镇街总体规划，到2030年，全区常住人口将达到152万人，常住人口城镇化率将达到76%；农村常住人口24万人，城镇常住人口128万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4.3.1.2  农村人口发展预测</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根据以上人口预测模型，各村（涉农社区）人口预测如下表4.2-1所示。</w:t>
      </w:r>
    </w:p>
    <w:p>
      <w:pPr>
        <w:widowControl w:val="0"/>
        <w:spacing w:line="264"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表4.2-1  永川区农村人口预测表</w:t>
      </w:r>
    </w:p>
    <w:tbl>
      <w:tblPr>
        <w:tblStyle w:val="25"/>
        <w:tblW w:w="0" w:type="auto"/>
        <w:tblInd w:w="0" w:type="dxa"/>
        <w:tblLayout w:type="fixed"/>
        <w:tblCellMar>
          <w:top w:w="0" w:type="dxa"/>
          <w:left w:w="28" w:type="dxa"/>
          <w:bottom w:w="0" w:type="dxa"/>
          <w:right w:w="28" w:type="dxa"/>
        </w:tblCellMar>
      </w:tblPr>
      <w:tblGrid>
        <w:gridCol w:w="1540"/>
        <w:gridCol w:w="1601"/>
        <w:gridCol w:w="1548"/>
        <w:gridCol w:w="2106"/>
        <w:gridCol w:w="2106"/>
      </w:tblGrid>
      <w:tr>
        <w:tblPrEx>
          <w:tblCellMar>
            <w:top w:w="0" w:type="dxa"/>
            <w:left w:w="28" w:type="dxa"/>
            <w:bottom w:w="0" w:type="dxa"/>
            <w:right w:w="28" w:type="dxa"/>
          </w:tblCellMar>
        </w:tblPrEx>
        <w:trPr>
          <w:trHeight w:val="535" w:hRule="atLeast"/>
          <w:tblHeader/>
        </w:trPr>
        <w:tc>
          <w:tcPr>
            <w:tcW w:w="154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镇街</w:t>
            </w:r>
          </w:p>
        </w:tc>
        <w:tc>
          <w:tcPr>
            <w:tcW w:w="1601"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村（社区）</w:t>
            </w:r>
          </w:p>
        </w:tc>
        <w:tc>
          <w:tcPr>
            <w:tcW w:w="1548"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现状常住</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人口数（人）</w:t>
            </w:r>
          </w:p>
        </w:tc>
        <w:tc>
          <w:tcPr>
            <w:tcW w:w="2106"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近期（2025年）</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人口数（人）</w:t>
            </w:r>
          </w:p>
        </w:tc>
        <w:tc>
          <w:tcPr>
            <w:tcW w:w="2106"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远期（2030年）</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人口数（人）</w:t>
            </w:r>
          </w:p>
        </w:tc>
      </w:tr>
      <w:tr>
        <w:tblPrEx>
          <w:tblCellMar>
            <w:top w:w="0" w:type="dxa"/>
            <w:left w:w="28" w:type="dxa"/>
            <w:bottom w:w="0" w:type="dxa"/>
            <w:right w:w="28" w:type="dxa"/>
          </w:tblCellMar>
        </w:tblPrEx>
        <w:trPr>
          <w:trHeight w:val="288" w:hRule="atLeast"/>
        </w:trPr>
        <w:tc>
          <w:tcPr>
            <w:tcW w:w="1540" w:type="dxa"/>
            <w:vMerge w:val="restart"/>
            <w:tcBorders>
              <w:top w:val="nil"/>
              <w:left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4100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1506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1295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544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863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742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2938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928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凉风垭村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924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欧家坝村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714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614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本尊村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810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696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通明村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2335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858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737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814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662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569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古佛村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555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477 </w:t>
            </w:r>
          </w:p>
        </w:tc>
      </w:tr>
      <w:tr>
        <w:tblPrEx>
          <w:tblCellMar>
            <w:top w:w="0" w:type="dxa"/>
            <w:left w:w="28" w:type="dxa"/>
            <w:bottom w:w="0" w:type="dxa"/>
            <w:right w:w="28" w:type="dxa"/>
          </w:tblCellMar>
        </w:tblPrEx>
        <w:trPr>
          <w:trHeight w:val="288" w:hRule="atLeast"/>
        </w:trPr>
        <w:tc>
          <w:tcPr>
            <w:tcW w:w="1540" w:type="dxa"/>
            <w:vMerge w:val="continue"/>
            <w:tcBorders>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汪家岩村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4942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1816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1561 </w:t>
            </w:r>
          </w:p>
        </w:tc>
      </w:tr>
      <w:tr>
        <w:tblPrEx>
          <w:tblCellMar>
            <w:top w:w="0" w:type="dxa"/>
            <w:left w:w="28" w:type="dxa"/>
            <w:bottom w:w="0" w:type="dxa"/>
            <w:right w:w="28" w:type="dxa"/>
          </w:tblCellMar>
        </w:tblPrEx>
        <w:trPr>
          <w:trHeight w:val="288"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宝峰场社区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424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364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泸永桥村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4049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1488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1279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1350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1161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3081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1132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973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1177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1011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杨大口村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2293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843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724 </w:t>
            </w:r>
          </w:p>
        </w:tc>
      </w:tr>
      <w:tr>
        <w:tblPrEx>
          <w:tblCellMar>
            <w:top w:w="0" w:type="dxa"/>
            <w:left w:w="28" w:type="dxa"/>
            <w:bottom w:w="0" w:type="dxa"/>
            <w:right w:w="28" w:type="dxa"/>
          </w:tblCellMar>
        </w:tblPrEx>
        <w:trPr>
          <w:trHeight w:val="288"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粽粑社区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1044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898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318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273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安溪村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2653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838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654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562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云峰村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787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676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832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715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741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637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561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482 </w:t>
            </w:r>
          </w:p>
        </w:tc>
      </w:tr>
      <w:tr>
        <w:tblPrEx>
          <w:tblCellMar>
            <w:top w:w="0" w:type="dxa"/>
            <w:left w:w="28" w:type="dxa"/>
            <w:bottom w:w="0" w:type="dxa"/>
            <w:right w:w="28" w:type="dxa"/>
          </w:tblCellMar>
        </w:tblPrEx>
        <w:trPr>
          <w:trHeight w:val="288"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朱龙花村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1207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1037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卢家岩村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740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636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1295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1113 </w:t>
            </w:r>
          </w:p>
        </w:tc>
      </w:tr>
      <w:tr>
        <w:tblPrEx>
          <w:tblCellMar>
            <w:top w:w="0" w:type="dxa"/>
            <w:left w:w="28" w:type="dxa"/>
            <w:bottom w:w="0" w:type="dxa"/>
            <w:right w:w="28" w:type="dxa"/>
          </w:tblCellMar>
        </w:tblPrEx>
        <w:trPr>
          <w:trHeight w:val="28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4556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1674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1439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芋荷湾村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836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718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冯家坪村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2913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920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梅家桥村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1021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易错词检查"/>
                <w:id w:val="3052653"/>
              </w:sdtPr>
              <w:sdtEndPr>
                <w:rPr>
                  <w:color w:val="auto"/>
                </w:rPr>
              </w:sdtEndPr>
              <w:sdtContent>
                <w:bookmarkStart w:id="370" w:name="bkReivew3052653"/>
                <w:r>
                  <w:rPr>
                    <w:rFonts w:hint="eastAsia" w:ascii="方正仿宋_GBK" w:hAnsi="方正仿宋_GBK" w:cs="方正仿宋_GBK"/>
                    <w:color w:val="auto"/>
                    <w:sz w:val="21"/>
                    <w:szCs w:val="21"/>
                  </w:rPr>
                  <w:t>菜茵</w:t>
                </w:r>
                <w:bookmarkEnd w:id="370"/>
              </w:sdtContent>
            </w:sdt>
            <w:r>
              <w:rPr>
                <w:rFonts w:hint="eastAsia" w:ascii="方正仿宋_GBK" w:hAnsi="方正仿宋_GBK" w:cs="方正仿宋_GBK"/>
                <w:color w:val="auto"/>
                <w:sz w:val="21"/>
                <w:szCs w:val="21"/>
              </w:rPr>
              <w:t>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3783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1390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1195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瓦窑村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2525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797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3039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1117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960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3766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1384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1189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1055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906 </w:t>
            </w:r>
          </w:p>
        </w:tc>
      </w:tr>
      <w:tr>
        <w:tblPrEx>
          <w:tblCellMar>
            <w:top w:w="0" w:type="dxa"/>
            <w:left w:w="28" w:type="dxa"/>
            <w:bottom w:w="0" w:type="dxa"/>
            <w:right w:w="28" w:type="dxa"/>
          </w:tblCellMar>
        </w:tblPrEx>
        <w:trPr>
          <w:trHeight w:val="282"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陈家祠社区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7816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2872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2468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415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357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584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502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1066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917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铁山村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1737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1493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灵英村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1583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1360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5432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1996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1716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1711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1471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云雾山村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4049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1488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1279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1100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945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官禄岩村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4614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1695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1457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1328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二郎坝村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1286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1106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3530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1297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1115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4430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1628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1399 </w:t>
            </w:r>
          </w:p>
        </w:tc>
      </w:tr>
      <w:tr>
        <w:tblPrEx>
          <w:tblCellMar>
            <w:top w:w="0" w:type="dxa"/>
            <w:left w:w="28" w:type="dxa"/>
            <w:bottom w:w="0" w:type="dxa"/>
            <w:right w:w="28" w:type="dxa"/>
          </w:tblCellMar>
        </w:tblPrEx>
        <w:trPr>
          <w:trHeight w:val="282"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3320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1220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1049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6352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2334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2006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狮子村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958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823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沙坪村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3925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1240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2612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825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2492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916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787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长丰村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791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3933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1242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4402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1617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1390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1046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899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联盟村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835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718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866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744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893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768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转角店村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1098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943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仓宝村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603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518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一碗水村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2691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850 </w:t>
            </w:r>
          </w:p>
        </w:tc>
      </w:tr>
      <w:tr>
        <w:tblPrEx>
          <w:tblCellMar>
            <w:top w:w="0" w:type="dxa"/>
            <w:left w:w="28" w:type="dxa"/>
            <w:bottom w:w="0" w:type="dxa"/>
            <w:right w:w="28" w:type="dxa"/>
          </w:tblCellMar>
        </w:tblPrEx>
        <w:trPr>
          <w:trHeight w:val="282"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734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631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2234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706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万胜村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474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407 </w:t>
            </w:r>
          </w:p>
        </w:tc>
      </w:tr>
      <w:tr>
        <w:tblPrEx>
          <w:tblCellMar>
            <w:top w:w="0" w:type="dxa"/>
            <w:left w:w="28" w:type="dxa"/>
            <w:bottom w:w="0" w:type="dxa"/>
            <w:right w:w="28" w:type="dxa"/>
          </w:tblCellMar>
        </w:tblPrEx>
        <w:trPr>
          <w:trHeight w:val="90"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龙井口村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2057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756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650 </w:t>
            </w:r>
          </w:p>
        </w:tc>
      </w:tr>
      <w:tr>
        <w:tblPrEx>
          <w:tblCellMar>
            <w:top w:w="0" w:type="dxa"/>
            <w:left w:w="28" w:type="dxa"/>
            <w:bottom w:w="0" w:type="dxa"/>
            <w:right w:w="28" w:type="dxa"/>
          </w:tblCellMar>
        </w:tblPrEx>
        <w:trPr>
          <w:trHeight w:val="298"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688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592 </w:t>
            </w:r>
          </w:p>
        </w:tc>
      </w:tr>
      <w:tr>
        <w:tblPrEx>
          <w:tblCellMar>
            <w:top w:w="0" w:type="dxa"/>
            <w:left w:w="28" w:type="dxa"/>
            <w:bottom w:w="0" w:type="dxa"/>
            <w:right w:w="28" w:type="dxa"/>
          </w:tblCellMar>
        </w:tblPrEx>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寒泸村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3944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1246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铜凉村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910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782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5286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1942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1669 </w:t>
            </w:r>
          </w:p>
        </w:tc>
      </w:tr>
      <w:tr>
        <w:tblPrEx>
          <w:tblCellMar>
            <w:top w:w="0" w:type="dxa"/>
            <w:left w:w="28" w:type="dxa"/>
            <w:bottom w:w="0" w:type="dxa"/>
            <w:right w:w="28" w:type="dxa"/>
          </w:tblCellMar>
        </w:tblPrEx>
        <w:trPr>
          <w:trHeight w:val="31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3510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1290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1109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1137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977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金门村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3291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1209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1039 </w:t>
            </w:r>
          </w:p>
        </w:tc>
      </w:tr>
      <w:tr>
        <w:tblPrEx>
          <w:tblCellMar>
            <w:top w:w="0" w:type="dxa"/>
            <w:left w:w="28" w:type="dxa"/>
            <w:bottom w:w="0" w:type="dxa"/>
            <w:right w:w="28" w:type="dxa"/>
          </w:tblCellMar>
        </w:tblPrEx>
        <w:trPr>
          <w:trHeight w:val="26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石松村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3787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1391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1196 </w:t>
            </w:r>
          </w:p>
        </w:tc>
      </w:tr>
      <w:tr>
        <w:tblPrEx>
          <w:tblCellMar>
            <w:top w:w="0" w:type="dxa"/>
            <w:left w:w="28" w:type="dxa"/>
            <w:bottom w:w="0" w:type="dxa"/>
            <w:right w:w="28" w:type="dxa"/>
          </w:tblCellMar>
        </w:tblPrEx>
        <w:trPr>
          <w:trHeight w:val="297"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金龙场社区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462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397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1156 </w:t>
            </w:r>
          </w:p>
        </w:tc>
      </w:tr>
      <w:tr>
        <w:tblPrEx>
          <w:tblCellMar>
            <w:top w:w="0" w:type="dxa"/>
            <w:left w:w="28" w:type="dxa"/>
            <w:bottom w:w="0" w:type="dxa"/>
            <w:right w:w="28" w:type="dxa"/>
          </w:tblCellMar>
        </w:tblPrEx>
        <w:trPr>
          <w:trHeight w:val="31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嘉阜村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3707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1362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1171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3737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1373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解放村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1103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948 </w:t>
            </w:r>
          </w:p>
        </w:tc>
      </w:tr>
      <w:tr>
        <w:tblPrEx>
          <w:tblCellMar>
            <w:top w:w="0" w:type="dxa"/>
            <w:left w:w="28" w:type="dxa"/>
            <w:bottom w:w="0" w:type="dxa"/>
            <w:right w:w="28" w:type="dxa"/>
          </w:tblCellMar>
        </w:tblPrEx>
        <w:trPr>
          <w:trHeight w:val="22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洞子口村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3956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1454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1249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1256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3045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1119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962 </w:t>
            </w:r>
          </w:p>
        </w:tc>
      </w:tr>
      <w:tr>
        <w:tblPrEx>
          <w:tblCellMar>
            <w:top w:w="0" w:type="dxa"/>
            <w:left w:w="28" w:type="dxa"/>
            <w:bottom w:w="0" w:type="dxa"/>
            <w:right w:w="28" w:type="dxa"/>
          </w:tblCellMar>
        </w:tblPrEx>
        <w:trPr>
          <w:trHeight w:val="297"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4838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1778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1528 </w:t>
            </w:r>
          </w:p>
        </w:tc>
      </w:tr>
      <w:tr>
        <w:tblPrEx>
          <w:tblCellMar>
            <w:top w:w="0" w:type="dxa"/>
            <w:left w:w="28" w:type="dxa"/>
            <w:bottom w:w="0" w:type="dxa"/>
            <w:right w:w="28" w:type="dxa"/>
          </w:tblCellMar>
        </w:tblPrEx>
        <w:trPr>
          <w:trHeight w:val="25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关门山村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3132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989 </w:t>
            </w:r>
          </w:p>
        </w:tc>
      </w:tr>
      <w:tr>
        <w:tblPrEx>
          <w:tblCellMar>
            <w:top w:w="0" w:type="dxa"/>
            <w:left w:w="28" w:type="dxa"/>
            <w:bottom w:w="0" w:type="dxa"/>
            <w:right w:w="28" w:type="dxa"/>
          </w:tblCellMar>
        </w:tblPrEx>
        <w:trPr>
          <w:trHeight w:val="28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塔院村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3389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1070 </w:t>
            </w:r>
          </w:p>
        </w:tc>
      </w:tr>
      <w:tr>
        <w:tblPrEx>
          <w:tblCellMar>
            <w:top w:w="0" w:type="dxa"/>
            <w:left w:w="28" w:type="dxa"/>
            <w:bottom w:w="0" w:type="dxa"/>
            <w:right w:w="28" w:type="dxa"/>
          </w:tblCellMar>
        </w:tblPrEx>
        <w:trPr>
          <w:trHeight w:val="252"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柏树桥村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1259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梳妆台村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4383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1610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1384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磨心桥村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3557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1307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1123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水磨滩村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1351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1162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唐家坪村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1099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945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石牛寺村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五根松村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2195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807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693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大松林村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王坪村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1136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977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大双庆村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934 </w:t>
            </w:r>
          </w:p>
        </w:tc>
      </w:tr>
      <w:tr>
        <w:tblPrEx>
          <w:tblCellMar>
            <w:top w:w="0" w:type="dxa"/>
            <w:left w:w="28" w:type="dxa"/>
            <w:bottom w:w="0" w:type="dxa"/>
            <w:right w:w="28" w:type="dxa"/>
          </w:tblCellMar>
        </w:tblPrEx>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2573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2212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4712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1731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1488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3883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1427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1226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1067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917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天堂村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2362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868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746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龙洞桥村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711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龙安村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690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593 </w:t>
            </w:r>
          </w:p>
        </w:tc>
      </w:tr>
      <w:tr>
        <w:tblPrEx>
          <w:tblCellMar>
            <w:top w:w="0" w:type="dxa"/>
            <w:left w:w="28" w:type="dxa"/>
            <w:bottom w:w="0" w:type="dxa"/>
            <w:right w:w="28" w:type="dxa"/>
          </w:tblCellMar>
        </w:tblPrEx>
        <w:trPr>
          <w:trHeight w:val="29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1101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947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831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714 </w:t>
            </w:r>
          </w:p>
        </w:tc>
      </w:tr>
      <w:tr>
        <w:tblPrEx>
          <w:tblCellMar>
            <w:top w:w="0" w:type="dxa"/>
            <w:left w:w="28" w:type="dxa"/>
            <w:bottom w:w="0" w:type="dxa"/>
            <w:right w:w="28" w:type="dxa"/>
          </w:tblCellMar>
        </w:tblPrEx>
        <w:trPr>
          <w:trHeight w:val="237"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3145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2703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879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756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兴隆村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1797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1545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7184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2640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2269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代家店村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3450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1268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1090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5466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2008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1726 </w:t>
            </w:r>
          </w:p>
        </w:tc>
      </w:tr>
      <w:tr>
        <w:tblPrEx>
          <w:tblCellMar>
            <w:top w:w="0" w:type="dxa"/>
            <w:left w:w="28" w:type="dxa"/>
            <w:bottom w:w="0" w:type="dxa"/>
            <w:right w:w="28" w:type="dxa"/>
          </w:tblCellMar>
        </w:tblPrEx>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青峰场社区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514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5677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2086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1793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4090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1503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1292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凌阁堂村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1582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1360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4132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1518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1305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814 </w:t>
            </w:r>
          </w:p>
        </w:tc>
      </w:tr>
      <w:tr>
        <w:tblPrEx>
          <w:tblCellMar>
            <w:top w:w="0" w:type="dxa"/>
            <w:left w:w="28" w:type="dxa"/>
            <w:bottom w:w="0" w:type="dxa"/>
            <w:right w:w="28" w:type="dxa"/>
          </w:tblCellMar>
        </w:tblPrEx>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川主庙社区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2292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1970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689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592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三台村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3445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1266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1088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陡沟河村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4417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1623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1395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新观音村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1056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908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郝家坝村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3431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1261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1084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利民村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4213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1548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1331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3588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1318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1133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永玻村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1736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1492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1349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1160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3680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1352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1162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3022025"/>
              </w:sdtPr>
              <w:sdtEndPr>
                <w:rPr>
                  <w:color w:val="auto"/>
                </w:rPr>
              </w:sdtEndPr>
              <w:sdtContent>
                <w:bookmarkStart w:id="371" w:name="bkPolitics3022025"/>
                <w:r>
                  <w:rPr>
                    <w:rFonts w:hint="eastAsia" w:ascii="方正仿宋_GBK" w:hAnsi="方正仿宋_GBK" w:cs="方正仿宋_GBK"/>
                    <w:color w:val="auto"/>
                    <w:sz w:val="21"/>
                    <w:szCs w:val="21"/>
                  </w:rPr>
                  <w:t>玉峰</w:t>
                </w:r>
                <w:bookmarkEnd w:id="371"/>
              </w:sdtContent>
            </w:sdt>
            <w:r>
              <w:rPr>
                <w:rFonts w:hint="eastAsia" w:ascii="方正仿宋_GBK" w:hAnsi="方正仿宋_GBK" w:cs="方正仿宋_GBK"/>
                <w:color w:val="auto"/>
                <w:sz w:val="21"/>
                <w:szCs w:val="21"/>
              </w:rPr>
              <w:t>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573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493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861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740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1348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永安村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3726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1369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1177 </w:t>
            </w:r>
          </w:p>
        </w:tc>
      </w:tr>
      <w:tr>
        <w:tblPrEx>
          <w:tblCellMar>
            <w:top w:w="0" w:type="dxa"/>
            <w:left w:w="28" w:type="dxa"/>
            <w:bottom w:w="0" w:type="dxa"/>
            <w:right w:w="28" w:type="dxa"/>
          </w:tblCellMar>
        </w:tblPrEx>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万寿场社区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316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272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永青村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5315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1953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1679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5032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1849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1589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丰田村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2245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825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709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堂皇坝村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4270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1569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1349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永钢村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5263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1934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1662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杨广桥村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1140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980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杨家店村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881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757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3073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1129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971 </w:t>
            </w:r>
          </w:p>
        </w:tc>
      </w:tr>
      <w:tr>
        <w:tblPrEx>
          <w:tblCellMar>
            <w:top w:w="0" w:type="dxa"/>
            <w:left w:w="28" w:type="dxa"/>
            <w:bottom w:w="0" w:type="dxa"/>
            <w:right w:w="28" w:type="dxa"/>
          </w:tblCellMar>
        </w:tblPrEx>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1397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1200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215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185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518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445 </w:t>
            </w:r>
          </w:p>
        </w:tc>
      </w:tr>
      <w:tr>
        <w:tblPrEx>
          <w:tblCellMar>
            <w:top w:w="0" w:type="dxa"/>
            <w:left w:w="28" w:type="dxa"/>
            <w:bottom w:w="0" w:type="dxa"/>
            <w:right w:w="28" w:type="dxa"/>
          </w:tblCellMar>
        </w:tblPrEx>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2889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1062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912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丁家岩村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808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695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复生桥村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848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729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1253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1077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脚盆井村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564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485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牛尾铺村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848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729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522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448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五龙桥村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647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556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响滩子村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631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543 </w:t>
            </w:r>
          </w:p>
        </w:tc>
      </w:tr>
      <w:tr>
        <w:tblPrEx>
          <w:tblCellMar>
            <w:top w:w="0" w:type="dxa"/>
            <w:left w:w="28" w:type="dxa"/>
            <w:bottom w:w="0" w:type="dxa"/>
            <w:right w:w="28" w:type="dxa"/>
          </w:tblCellMar>
        </w:tblPrEx>
        <w:trPr>
          <w:trHeight w:val="283"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松江社区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4614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1695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1457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旗山村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3229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1020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打鱼河村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795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683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478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411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新街子村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3336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1226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1054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茅园村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309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266 </w:t>
            </w:r>
          </w:p>
        </w:tc>
      </w:tr>
      <w:tr>
        <w:tblPrEx>
          <w:tblCellMar>
            <w:top w:w="0" w:type="dxa"/>
            <w:left w:w="28" w:type="dxa"/>
            <w:bottom w:w="0" w:type="dxa"/>
            <w:right w:w="28" w:type="dxa"/>
          </w:tblCellMar>
        </w:tblPrEx>
        <w:trPr>
          <w:trHeight w:val="283"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星湖社区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8668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3185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2738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5839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2145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1844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623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535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小竹溪村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1678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1442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1206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1036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七郎村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1168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1004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石龟寺村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4777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1755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1509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1682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1446 </w:t>
            </w:r>
          </w:p>
        </w:tc>
      </w:tr>
      <w:tr>
        <w:tblPrEx>
          <w:tblCellMar>
            <w:top w:w="0" w:type="dxa"/>
            <w:left w:w="28" w:type="dxa"/>
            <w:bottom w:w="0" w:type="dxa"/>
            <w:right w:w="28" w:type="dxa"/>
          </w:tblCellMar>
        </w:tblPrEx>
        <w:trPr>
          <w:trHeight w:val="283"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6578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2417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2077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友胜村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935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和平村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2724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1001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860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合兴村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2932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1077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926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双创村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3245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1192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1025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景圣村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629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541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774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珍宝村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1465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1259 </w:t>
            </w:r>
          </w:p>
        </w:tc>
      </w:tr>
      <w:tr>
        <w:tblPrEx>
          <w:tblCellMar>
            <w:top w:w="0" w:type="dxa"/>
            <w:left w:w="28" w:type="dxa"/>
            <w:bottom w:w="0" w:type="dxa"/>
            <w:right w:w="28" w:type="dxa"/>
          </w:tblCellMar>
        </w:tblPrEx>
        <w:trPr>
          <w:trHeight w:val="283"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590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508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张家场社区</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217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巨龙村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1600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1375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石宝寺村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1711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1470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牛门口村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3077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1131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972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3634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1335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1148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大牌坊村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3934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1242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大石坝村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1464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1259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3593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1320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1135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双星村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3529</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1297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1115 </w:t>
            </w:r>
          </w:p>
        </w:tc>
      </w:tr>
      <w:tr>
        <w:tblPrEx>
          <w:tblCellMar>
            <w:top w:w="0" w:type="dxa"/>
            <w:left w:w="28" w:type="dxa"/>
            <w:bottom w:w="0" w:type="dxa"/>
            <w:right w:w="28" w:type="dxa"/>
          </w:tblCellMar>
        </w:tblPrEx>
        <w:trPr>
          <w:trHeight w:val="283"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2628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830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1345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1156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1103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948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金宝山村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4461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1639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1409 </w:t>
            </w:r>
          </w:p>
        </w:tc>
      </w:tr>
      <w:tr>
        <w:tblPrEx>
          <w:tblCellMar>
            <w:top w:w="0" w:type="dxa"/>
            <w:left w:w="28" w:type="dxa"/>
            <w:bottom w:w="0" w:type="dxa"/>
            <w:right w:w="28" w:type="dxa"/>
          </w:tblCellMar>
        </w:tblPrEx>
        <w:trPr>
          <w:trHeight w:val="287"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895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769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云谷村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704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605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子庄村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3620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1330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1143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4220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1551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1333 </w:t>
            </w:r>
          </w:p>
        </w:tc>
      </w:tr>
      <w:tr>
        <w:tblPrEx>
          <w:tblCellMar>
            <w:top w:w="0" w:type="dxa"/>
            <w:left w:w="28" w:type="dxa"/>
            <w:bottom w:w="0" w:type="dxa"/>
            <w:right w:w="28" w:type="dxa"/>
          </w:tblCellMar>
        </w:tblPrEx>
        <w:trPr>
          <w:trHeight w:val="287" w:hRule="atLeast"/>
        </w:trPr>
        <w:tc>
          <w:tcPr>
            <w:tcW w:w="1540" w:type="dxa"/>
            <w:vMerge w:val="restart"/>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三星村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154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133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瓦子铺村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望城村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1168</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429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369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3861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1419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1219 </w:t>
            </w:r>
          </w:p>
        </w:tc>
      </w:tr>
      <w:tr>
        <w:tblPrEx>
          <w:tblCellMar>
            <w:top w:w="0" w:type="dxa"/>
            <w:left w:w="28" w:type="dxa"/>
            <w:bottom w:w="0" w:type="dxa"/>
            <w:right w:w="28" w:type="dxa"/>
          </w:tblCellMar>
        </w:tblPrEx>
        <w:trPr>
          <w:trHeight w:val="287" w:hRule="atLeast"/>
        </w:trPr>
        <w:tc>
          <w:tcPr>
            <w:tcW w:w="1540" w:type="dxa"/>
            <w:vMerge w:val="continue"/>
            <w:tcBorders>
              <w:top w:val="nil"/>
              <w:left w:val="single" w:color="auto" w:sz="4" w:space="0"/>
              <w:bottom w:val="single" w:color="000000"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孙家口村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2572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2211 </w:t>
            </w:r>
          </w:p>
        </w:tc>
      </w:tr>
      <w:tr>
        <w:tblPrEx>
          <w:tblCellMar>
            <w:top w:w="0" w:type="dxa"/>
            <w:left w:w="28" w:type="dxa"/>
            <w:bottom w:w="0" w:type="dxa"/>
            <w:right w:w="28" w:type="dxa"/>
          </w:tblCellMar>
        </w:tblPrEx>
        <w:trPr>
          <w:trHeight w:val="287" w:hRule="atLeast"/>
        </w:trPr>
        <w:tc>
          <w:tcPr>
            <w:tcW w:w="1540" w:type="dxa"/>
            <w:vMerge w:val="restart"/>
            <w:tcBorders>
              <w:top w:val="nil"/>
              <w:left w:val="single" w:color="auto" w:sz="4" w:space="0"/>
              <w:right w:val="nil"/>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1160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997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围子山村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3271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1202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1033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水渡滩村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3186</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1171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1006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新岸山村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1021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bottom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1682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1446 </w:t>
            </w:r>
          </w:p>
        </w:tc>
      </w:tr>
      <w:tr>
        <w:tblPrEx>
          <w:tblCellMar>
            <w:top w:w="0" w:type="dxa"/>
            <w:left w:w="28" w:type="dxa"/>
            <w:bottom w:w="0" w:type="dxa"/>
            <w:right w:w="28" w:type="dxa"/>
          </w:tblCellMar>
        </w:tblPrEx>
        <w:trPr>
          <w:trHeight w:val="287" w:hRule="atLeast"/>
        </w:trPr>
        <w:tc>
          <w:tcPr>
            <w:tcW w:w="1540" w:type="dxa"/>
            <w:vMerge w:val="continue"/>
            <w:tcBorders>
              <w:top w:val="single" w:color="auto" w:sz="4" w:space="0"/>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1548"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2472</w:t>
            </w:r>
          </w:p>
        </w:tc>
        <w:tc>
          <w:tcPr>
            <w:tcW w:w="2106"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908 </w:t>
            </w:r>
          </w:p>
        </w:tc>
        <w:tc>
          <w:tcPr>
            <w:tcW w:w="2106"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781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马道子村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3150</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995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1159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996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福良村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3195</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1174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1009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1258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1081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滩子口村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3992</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1467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1261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1379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1185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3747</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1377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1183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龙宝山村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3061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1125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967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龙汇垭村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2703</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993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854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4571</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1680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1444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w:t>
            </w:r>
          </w:p>
        </w:tc>
        <w:tc>
          <w:tcPr>
            <w:tcW w:w="1548"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4724</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1736 </w:t>
            </w:r>
          </w:p>
        </w:tc>
        <w:tc>
          <w:tcPr>
            <w:tcW w:w="2106"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1492 </w:t>
            </w:r>
          </w:p>
        </w:tc>
      </w:tr>
      <w:tr>
        <w:tblPrEx>
          <w:tblCellMar>
            <w:top w:w="0" w:type="dxa"/>
            <w:left w:w="28" w:type="dxa"/>
            <w:bottom w:w="0" w:type="dxa"/>
            <w:right w:w="28" w:type="dxa"/>
          </w:tblCellMar>
        </w:tblPrEx>
        <w:trPr>
          <w:trHeight w:val="287" w:hRule="atLeast"/>
        </w:trPr>
        <w:tc>
          <w:tcPr>
            <w:tcW w:w="1540" w:type="dxa"/>
            <w:vMerge w:val="continue"/>
            <w:tcBorders>
              <w:left w:val="single" w:color="auto" w:sz="4" w:space="0"/>
              <w:bottom w:val="single" w:color="000000" w:sz="4" w:space="0"/>
              <w:right w:val="nil"/>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p>
        </w:tc>
        <w:tc>
          <w:tcPr>
            <w:tcW w:w="1601"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四望山村</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4679</w:t>
            </w:r>
          </w:p>
        </w:tc>
        <w:tc>
          <w:tcPr>
            <w:tcW w:w="210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1719 </w:t>
            </w:r>
          </w:p>
        </w:tc>
        <w:tc>
          <w:tcPr>
            <w:tcW w:w="2106"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 xml:space="preserve">1478 </w:t>
            </w:r>
          </w:p>
        </w:tc>
      </w:tr>
    </w:tbl>
    <w:p>
      <w:pPr>
        <w:widowControl w:val="0"/>
        <w:spacing w:line="288" w:lineRule="auto"/>
        <w:ind w:firstLine="640"/>
        <w:rPr>
          <w:rFonts w:hint="eastAsia" w:ascii="方正仿宋_GBK" w:hAnsi="方正仿宋_GBK" w:cs="方正仿宋_GBK"/>
          <w:color w:val="auto"/>
        </w:rPr>
      </w:pPr>
      <w:bookmarkStart w:id="372" w:name="_Toc48318316"/>
      <w:bookmarkStart w:id="373" w:name="_Toc45199309"/>
      <w:r>
        <w:rPr>
          <w:rFonts w:hint="eastAsia" w:ascii="方正仿宋_GBK" w:hAnsi="方正仿宋_GBK" w:cs="方正仿宋_GBK"/>
          <w:color w:val="auto"/>
        </w:rPr>
        <w:t>4.3.2  农村生活污水排放系数</w:t>
      </w:r>
      <w:bookmarkEnd w:id="372"/>
      <w:bookmarkEnd w:id="373"/>
    </w:p>
    <w:p>
      <w:pPr>
        <w:widowControl w:val="0"/>
        <w:spacing w:line="288" w:lineRule="auto"/>
        <w:ind w:firstLine="640"/>
        <w:rPr>
          <w:rFonts w:hint="eastAsia" w:ascii="方正仿宋_GBK" w:hAnsi="方正仿宋_GBK" w:cs="方正仿宋_GBK"/>
          <w:color w:val="auto"/>
        </w:rPr>
      </w:pPr>
      <w:r>
        <w:rPr>
          <w:rFonts w:hint="eastAsia" w:ascii="方正仿宋_GBK" w:hAnsi="方正仿宋_GBK" w:cs="方正仿宋_GBK"/>
          <w:color w:val="auto"/>
        </w:rPr>
        <w:t>农村居民生活用水量受生活条件、排水系统、水资源利用方式、生活习惯等因素的直接影响。永川区处于渝西经济走廊区，自然地理条件较好，社会经济发展具有一定的基础，城镇发展较快，其经济社会发展水平与我国西部地区平均水平相当。</w:t>
      </w:r>
    </w:p>
    <w:p>
      <w:pPr>
        <w:widowControl w:val="0"/>
        <w:spacing w:line="288" w:lineRule="auto"/>
        <w:ind w:firstLine="640"/>
        <w:rPr>
          <w:rFonts w:hint="eastAsia" w:ascii="方正仿宋_GBK" w:hAnsi="方正仿宋_GBK" w:cs="方正仿宋_GBK"/>
          <w:color w:val="auto"/>
        </w:rPr>
      </w:pPr>
      <w:r>
        <w:rPr>
          <w:rFonts w:hint="eastAsia" w:ascii="方正仿宋_GBK" w:hAnsi="方正仿宋_GBK" w:cs="方正仿宋_GBK"/>
          <w:color w:val="auto"/>
        </w:rPr>
        <w:t>按照《农村生活饮用水量卫生标准》（GB11730-1989）、《农村给水设计规范》（CECS82：96）、《西南地区农村生活污水处理技术指南》，以及《永川区城市总体规划》指标，结合调查当地居民的用水现状、给水规划、经济条件、发展潜力等情况的基础上，以及村民生活条件的改善，厨卫设施的改造、生活习惯的改变等因素，参照表4.2-2，确定永川区域农村居民平均用水量取80-120L/人·d。</w:t>
      </w:r>
    </w:p>
    <w:p>
      <w:pPr>
        <w:widowControl w:val="0"/>
        <w:spacing w:line="288" w:lineRule="auto"/>
        <w:ind w:firstLine="640"/>
        <w:rPr>
          <w:rFonts w:hint="eastAsia" w:ascii="方正仿宋_GBK" w:hAnsi="方正仿宋_GBK" w:cs="方正仿宋_GBK"/>
          <w:color w:val="auto"/>
        </w:rPr>
      </w:pPr>
      <w:r>
        <w:rPr>
          <w:rFonts w:hint="eastAsia" w:ascii="方正仿宋_GBK" w:hAnsi="方正仿宋_GBK" w:cs="方正仿宋_GBK"/>
          <w:color w:val="auto"/>
        </w:rPr>
        <w:t>根据《农村生活污水处理技术规范DB33/T868-2012》，设计水量应根据所纳农户实际产生的废水水量确定，可按用水量的70%～80%采用，并充分考虑建筑内部给排水设施水平和排水系统普及程度等因素。对于农村居民生活污水，进入排水系统的污水量很大程度上取决于供水的用途与污水收集系统的完善程度。规划近期</w:t>
      </w:r>
      <w:sdt>
        <w:sdtPr>
          <w:rPr>
            <w:color w:val="auto"/>
          </w:rPr>
          <w:alias w:val="易错词检查"/>
          <w:id w:val="2140811"/>
        </w:sdtPr>
        <w:sdtEndPr>
          <w:rPr>
            <w:color w:val="auto"/>
          </w:rPr>
        </w:sdtEndPr>
        <w:sdtContent>
          <w:bookmarkStart w:id="374" w:name="bkReivew2140811"/>
          <w:r>
            <w:rPr>
              <w:rFonts w:hint="eastAsia" w:ascii="方正仿宋_GBK" w:hAnsi="方正仿宋_GBK" w:cs="方正仿宋_GBK"/>
              <w:color w:val="auto"/>
            </w:rPr>
            <w:t>此</w:t>
          </w:r>
          <w:bookmarkEnd w:id="374"/>
        </w:sdtContent>
      </w:sdt>
      <w:r>
        <w:rPr>
          <w:rFonts w:hint="eastAsia" w:ascii="方正仿宋_GBK" w:hAnsi="方正仿宋_GBK" w:cs="方正仿宋_GBK"/>
          <w:color w:val="auto"/>
        </w:rPr>
        <w:t>值取0.80。</w:t>
      </w:r>
    </w:p>
    <w:p>
      <w:pPr>
        <w:widowControl w:val="0"/>
        <w:ind w:firstLine="0" w:firstLineChars="0"/>
        <w:jc w:val="center"/>
        <w:rPr>
          <w:rFonts w:hint="eastAsia" w:ascii="方正楷体_GBK" w:hAnsi="方正楷体_GBK" w:eastAsia="方正楷体_GBK" w:cs="方正楷体_GBK"/>
          <w:color w:val="auto"/>
          <w:sz w:val="28"/>
          <w:szCs w:val="28"/>
        </w:rPr>
      </w:pPr>
      <w:bookmarkStart w:id="375" w:name="_Toc48318317"/>
      <w:r>
        <w:rPr>
          <w:rFonts w:hint="eastAsia" w:ascii="方正楷体_GBK" w:hAnsi="方正楷体_GBK" w:eastAsia="方正楷体_GBK" w:cs="方正楷体_GBK"/>
          <w:color w:val="auto"/>
          <w:sz w:val="28"/>
          <w:szCs w:val="28"/>
        </w:rPr>
        <w:t>4.2-2  农村居民生活用水定额表</w:t>
      </w:r>
      <w:bookmarkEnd w:id="375"/>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6532"/>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10" w:type="dxa"/>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4"/>
                <w:szCs w:val="32"/>
              </w:rPr>
            </w:pPr>
            <w:r>
              <w:rPr>
                <w:rFonts w:hint="eastAsia" w:ascii="方正黑体_GBK" w:hAnsi="方正黑体_GBK" w:eastAsia="方正黑体_GBK" w:cs="方正黑体_GBK"/>
                <w:bCs/>
                <w:color w:val="auto"/>
                <w:sz w:val="24"/>
                <w:szCs w:val="32"/>
              </w:rPr>
              <w:t>序号</w:t>
            </w:r>
          </w:p>
        </w:tc>
        <w:tc>
          <w:tcPr>
            <w:tcW w:w="6532" w:type="dxa"/>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4"/>
                <w:szCs w:val="32"/>
              </w:rPr>
            </w:pPr>
            <w:r>
              <w:rPr>
                <w:rFonts w:hint="eastAsia" w:ascii="方正黑体_GBK" w:hAnsi="方正黑体_GBK" w:eastAsia="方正黑体_GBK" w:cs="方正黑体_GBK"/>
                <w:bCs/>
                <w:color w:val="auto"/>
                <w:sz w:val="24"/>
                <w:szCs w:val="32"/>
              </w:rPr>
              <w:t>村庄类别</w:t>
            </w:r>
          </w:p>
        </w:tc>
        <w:tc>
          <w:tcPr>
            <w:tcW w:w="1719" w:type="dxa"/>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4"/>
                <w:szCs w:val="32"/>
              </w:rPr>
            </w:pPr>
            <w:r>
              <w:rPr>
                <w:rFonts w:hint="eastAsia" w:ascii="方正黑体_GBK" w:hAnsi="方正黑体_GBK" w:eastAsia="方正黑体_GBK" w:cs="方正黑体_GBK"/>
                <w:bCs/>
                <w:color w:val="auto"/>
                <w:sz w:val="24"/>
                <w:szCs w:val="32"/>
              </w:rPr>
              <w:t>用水量（</w:t>
            </w:r>
            <w:sdt>
              <w:sdtPr>
                <w:rPr>
                  <w:color w:val="auto"/>
                </w:rPr>
                <w:alias w:val="译文检查"/>
                <w:id w:val="2030214"/>
              </w:sdtPr>
              <w:sdtEndPr>
                <w:rPr>
                  <w:color w:val="auto"/>
                </w:rPr>
              </w:sdtEndPr>
              <w:sdtContent>
                <w:bookmarkStart w:id="376" w:name="bkReivew2030214"/>
                <w:r>
                  <w:rPr>
                    <w:rFonts w:hint="eastAsia" w:ascii="方正黑体_GBK" w:hAnsi="方正黑体_GBK" w:eastAsia="方正黑体_GBK" w:cs="方正黑体_GBK"/>
                    <w:bCs/>
                    <w:color w:val="auto"/>
                    <w:sz w:val="24"/>
                    <w:szCs w:val="32"/>
                  </w:rPr>
                  <w:t>L/P.d</w:t>
                </w:r>
                <w:bookmarkEnd w:id="376"/>
              </w:sdtContent>
            </w:sdt>
            <w:r>
              <w:rPr>
                <w:rFonts w:hint="eastAsia" w:ascii="方正黑体_GBK" w:hAnsi="方正黑体_GBK" w:eastAsia="方正黑体_GBK" w:cs="方正黑体_GBK"/>
                <w:bCs/>
                <w:color w:val="auto"/>
                <w:sz w:val="24"/>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10"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1</w:t>
            </w:r>
          </w:p>
        </w:tc>
        <w:tc>
          <w:tcPr>
            <w:tcW w:w="6532"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全日供水，室内有给排水设施且卫生设施齐全</w:t>
            </w:r>
          </w:p>
        </w:tc>
        <w:tc>
          <w:tcPr>
            <w:tcW w:w="1719"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120～180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10"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2</w:t>
            </w:r>
          </w:p>
        </w:tc>
        <w:tc>
          <w:tcPr>
            <w:tcW w:w="6532"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全日供水，室内部分有给排水设施且卫生设施齐全</w:t>
            </w:r>
          </w:p>
        </w:tc>
        <w:tc>
          <w:tcPr>
            <w:tcW w:w="1719"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100～160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10"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3</w:t>
            </w:r>
          </w:p>
        </w:tc>
        <w:tc>
          <w:tcPr>
            <w:tcW w:w="6532"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水龙头入户，室内部分有给排水设施且卫生设施齐全</w:t>
            </w:r>
          </w:p>
        </w:tc>
        <w:tc>
          <w:tcPr>
            <w:tcW w:w="1719"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80～120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10"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4</w:t>
            </w:r>
          </w:p>
        </w:tc>
        <w:tc>
          <w:tcPr>
            <w:tcW w:w="6532"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水龙头入户，无卫生设施</w:t>
            </w:r>
          </w:p>
        </w:tc>
        <w:tc>
          <w:tcPr>
            <w:tcW w:w="1719"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70～90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10"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5</w:t>
            </w:r>
          </w:p>
        </w:tc>
        <w:tc>
          <w:tcPr>
            <w:tcW w:w="6532"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集中供水点取水的边远海岛及偏僻山区</w:t>
            </w:r>
          </w:p>
        </w:tc>
        <w:tc>
          <w:tcPr>
            <w:tcW w:w="1719" w:type="dxa"/>
            <w:noWrap w:val="0"/>
            <w:vAlign w:val="center"/>
          </w:tcPr>
          <w:p>
            <w:pPr>
              <w:pStyle w:val="23"/>
              <w:widowControl w:val="0"/>
              <w:snapToGrid w:val="0"/>
              <w:spacing w:line="240" w:lineRule="auto"/>
              <w:jc w:val="center"/>
              <w:rPr>
                <w:rFonts w:hint="eastAsia" w:ascii="方正仿宋_GBK" w:hAnsi="方正仿宋_GBK" w:cs="方正仿宋_GBK"/>
                <w:color w:val="auto"/>
                <w:sz w:val="24"/>
                <w:szCs w:val="32"/>
              </w:rPr>
            </w:pPr>
            <w:r>
              <w:rPr>
                <w:rFonts w:hint="eastAsia" w:ascii="方正仿宋_GBK" w:hAnsi="方正仿宋_GBK" w:cs="方正仿宋_GBK"/>
                <w:color w:val="auto"/>
                <w:sz w:val="24"/>
                <w:szCs w:val="32"/>
              </w:rPr>
              <w:t>60～70</w:t>
            </w:r>
          </w:p>
        </w:tc>
      </w:tr>
    </w:tbl>
    <w:p>
      <w:pPr>
        <w:pStyle w:val="23"/>
        <w:widowControl w:val="0"/>
        <w:shd w:val="clear" w:color="auto" w:fill="FFFFFF"/>
        <w:snapToGrid w:val="0"/>
        <w:spacing w:line="288" w:lineRule="auto"/>
        <w:ind w:firstLine="482"/>
        <w:outlineLvl w:val="0"/>
        <w:rPr>
          <w:rFonts w:hint="eastAsia" w:ascii="方正仿宋_GBK" w:hAnsi="方正仿宋_GBK" w:cs="方正仿宋_GBK"/>
          <w:color w:val="auto"/>
          <w:sz w:val="24"/>
        </w:rPr>
      </w:pPr>
      <w:r>
        <w:rPr>
          <w:rFonts w:hint="eastAsia" w:ascii="方正仿宋_GBK" w:hAnsi="方正仿宋_GBK" w:cs="方正仿宋_GBK"/>
          <w:color w:val="auto"/>
          <w:sz w:val="24"/>
        </w:rPr>
        <w:t>*注1：执行标准《农村生活污水处理技术规范 DB 33/T 868-2012》</w:t>
      </w:r>
    </w:p>
    <w:p>
      <w:pPr>
        <w:pStyle w:val="23"/>
        <w:widowControl w:val="0"/>
        <w:shd w:val="clear" w:color="auto" w:fill="FFFFFF"/>
        <w:snapToGrid w:val="0"/>
        <w:spacing w:line="288" w:lineRule="auto"/>
        <w:ind w:firstLine="482"/>
        <w:rPr>
          <w:rFonts w:hint="eastAsia" w:ascii="方正仿宋_GBK" w:hAnsi="方正仿宋_GBK" w:cs="方正仿宋_GBK"/>
          <w:color w:val="auto"/>
          <w:sz w:val="24"/>
        </w:rPr>
      </w:pPr>
      <w:r>
        <w:rPr>
          <w:rFonts w:hint="eastAsia" w:ascii="方正仿宋_GBK" w:hAnsi="方正仿宋_GBK" w:cs="方正仿宋_GBK"/>
          <w:color w:val="auto"/>
          <w:sz w:val="24"/>
        </w:rPr>
        <w:t>*注2：全日供水是指日供水时间在12小时以上；</w:t>
      </w:r>
    </w:p>
    <w:p>
      <w:pPr>
        <w:pStyle w:val="23"/>
        <w:widowControl w:val="0"/>
        <w:shd w:val="clear" w:color="auto" w:fill="FFFFFF"/>
        <w:snapToGrid w:val="0"/>
        <w:spacing w:line="288" w:lineRule="auto"/>
        <w:ind w:firstLine="482"/>
        <w:rPr>
          <w:rFonts w:hint="eastAsia" w:ascii="方正仿宋_GBK" w:hAnsi="方正仿宋_GBK" w:cs="方正仿宋_GBK"/>
          <w:color w:val="auto"/>
          <w:sz w:val="24"/>
        </w:rPr>
      </w:pPr>
      <w:r>
        <w:rPr>
          <w:rFonts w:hint="eastAsia" w:ascii="方正仿宋_GBK" w:hAnsi="方正仿宋_GBK" w:cs="方正仿宋_GBK"/>
          <w:color w:val="auto"/>
          <w:sz w:val="24"/>
        </w:rPr>
        <w:t>*注2：各地可根据本地水资源条件和经济发展水平在相应的范围内确定用水定额。水资源丰富、经济发展水平高的地区取高值；反之取低值。</w:t>
      </w:r>
    </w:p>
    <w:p>
      <w:pPr>
        <w:pStyle w:val="11"/>
        <w:widowControl w:val="0"/>
        <w:rPr>
          <w:rFonts w:hint="eastAsia" w:ascii="方正楷体_GBK" w:hAnsi="方正楷体_GBK" w:cs="方正楷体_GBK"/>
          <w:color w:val="auto"/>
          <w:szCs w:val="28"/>
        </w:rPr>
      </w:pPr>
      <w:r>
        <w:rPr>
          <w:rFonts w:hint="eastAsia" w:ascii="方正楷体_GBK" w:hAnsi="方正楷体_GBK" w:cs="方正楷体_GBK"/>
          <w:color w:val="auto"/>
          <w:szCs w:val="28"/>
        </w:rPr>
        <w:t>表 4.2-3</w:t>
      </w:r>
      <w:r>
        <w:rPr>
          <w:rFonts w:hint="eastAsia" w:ascii="方正楷体_GBK" w:hAnsi="方正楷体_GBK" w:cs="方正楷体_GBK"/>
          <w:color w:val="auto"/>
          <w:szCs w:val="28"/>
          <w:lang w:val="en-US" w:eastAsia="zh-CN"/>
        </w:rPr>
        <w:t xml:space="preserve">  </w:t>
      </w:r>
      <w:r>
        <w:rPr>
          <w:rFonts w:hint="eastAsia" w:ascii="方正楷体_GBK" w:hAnsi="方正楷体_GBK" w:cs="方正楷体_GBK"/>
          <w:color w:val="auto"/>
          <w:szCs w:val="28"/>
        </w:rPr>
        <w:t>永川区农村生活污水定额选用表</w:t>
      </w:r>
    </w:p>
    <w:tbl>
      <w:tblPr>
        <w:tblStyle w:val="25"/>
        <w:tblW w:w="0" w:type="auto"/>
        <w:jc w:val="center"/>
        <w:tblLayout w:type="fixed"/>
        <w:tblCellMar>
          <w:top w:w="0" w:type="dxa"/>
          <w:left w:w="108" w:type="dxa"/>
          <w:bottom w:w="0" w:type="dxa"/>
          <w:right w:w="108" w:type="dxa"/>
        </w:tblCellMar>
      </w:tblPr>
      <w:tblGrid>
        <w:gridCol w:w="642"/>
        <w:gridCol w:w="885"/>
        <w:gridCol w:w="3540"/>
        <w:gridCol w:w="1545"/>
        <w:gridCol w:w="2449"/>
      </w:tblGrid>
      <w:tr>
        <w:tblPrEx>
          <w:tblCellMar>
            <w:top w:w="0" w:type="dxa"/>
            <w:left w:w="108" w:type="dxa"/>
            <w:bottom w:w="0" w:type="dxa"/>
            <w:right w:w="108" w:type="dxa"/>
          </w:tblCellMar>
        </w:tblPrEx>
        <w:trPr>
          <w:trHeight w:val="289" w:hRule="atLeast"/>
          <w:tblHeader/>
          <w:jc w:val="center"/>
        </w:trPr>
        <w:tc>
          <w:tcPr>
            <w:tcW w:w="64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88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区位</w:t>
            </w:r>
          </w:p>
        </w:tc>
        <w:tc>
          <w:tcPr>
            <w:tcW w:w="354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村庄类型</w:t>
            </w:r>
          </w:p>
        </w:tc>
        <w:tc>
          <w:tcPr>
            <w:tcW w:w="154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最高日给水量</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（L/ 人·）</w:t>
            </w:r>
          </w:p>
        </w:tc>
        <w:tc>
          <w:tcPr>
            <w:tcW w:w="2449" w:type="dxa"/>
            <w:tcBorders>
              <w:top w:val="single" w:color="auto" w:sz="4" w:space="0"/>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近期</w:t>
            </w:r>
          </w:p>
        </w:tc>
      </w:tr>
      <w:tr>
        <w:tblPrEx>
          <w:tblCellMar>
            <w:top w:w="0" w:type="dxa"/>
            <w:left w:w="108" w:type="dxa"/>
            <w:bottom w:w="0" w:type="dxa"/>
            <w:right w:w="108" w:type="dxa"/>
          </w:tblCellMar>
        </w:tblPrEx>
        <w:trPr>
          <w:trHeight w:val="297" w:hRule="atLeast"/>
          <w:tblHeader/>
          <w:jc w:val="center"/>
        </w:trPr>
        <w:tc>
          <w:tcPr>
            <w:tcW w:w="64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黑体_GBK" w:hAnsi="方正黑体_GBK" w:eastAsia="方正黑体_GBK" w:cs="方正黑体_GBK"/>
                <w:color w:val="auto"/>
                <w:sz w:val="21"/>
                <w:szCs w:val="21"/>
              </w:rPr>
            </w:pPr>
          </w:p>
        </w:tc>
        <w:tc>
          <w:tcPr>
            <w:tcW w:w="88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黑体_GBK" w:hAnsi="方正黑体_GBK" w:eastAsia="方正黑体_GBK" w:cs="方正黑体_GBK"/>
                <w:color w:val="auto"/>
                <w:sz w:val="21"/>
                <w:szCs w:val="21"/>
              </w:rPr>
            </w:pPr>
          </w:p>
        </w:tc>
        <w:tc>
          <w:tcPr>
            <w:tcW w:w="35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黑体_GBK" w:hAnsi="方正黑体_GBK" w:eastAsia="方正黑体_GBK" w:cs="方正黑体_GBK"/>
                <w:color w:val="auto"/>
                <w:sz w:val="21"/>
                <w:szCs w:val="21"/>
              </w:rPr>
            </w:pPr>
          </w:p>
        </w:tc>
        <w:tc>
          <w:tcPr>
            <w:tcW w:w="154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黑体_GBK" w:hAnsi="方正黑体_GBK" w:eastAsia="方正黑体_GBK" w:cs="方正黑体_GBK"/>
                <w:color w:val="auto"/>
                <w:sz w:val="21"/>
                <w:szCs w:val="21"/>
              </w:rPr>
            </w:pPr>
          </w:p>
        </w:tc>
        <w:tc>
          <w:tcPr>
            <w:tcW w:w="244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最高日排水量（L/人·日）</w:t>
            </w:r>
          </w:p>
        </w:tc>
      </w:tr>
      <w:tr>
        <w:tblPrEx>
          <w:tblCellMar>
            <w:top w:w="0" w:type="dxa"/>
            <w:left w:w="108" w:type="dxa"/>
            <w:bottom w:w="0" w:type="dxa"/>
            <w:right w:w="108" w:type="dxa"/>
          </w:tblCellMar>
        </w:tblPrEx>
        <w:trPr>
          <w:trHeight w:val="354" w:hRule="atLeast"/>
          <w:jc w:val="center"/>
        </w:trPr>
        <w:tc>
          <w:tcPr>
            <w:tcW w:w="6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城郊</w:t>
            </w:r>
          </w:p>
        </w:tc>
        <w:tc>
          <w:tcPr>
            <w:tcW w:w="35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经济条件好，室内卫生设施齐全</w:t>
            </w:r>
          </w:p>
        </w:tc>
        <w:tc>
          <w:tcPr>
            <w:tcW w:w="15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w:t>
            </w:r>
          </w:p>
        </w:tc>
        <w:tc>
          <w:tcPr>
            <w:tcW w:w="244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145</w:t>
            </w:r>
          </w:p>
        </w:tc>
      </w:tr>
      <w:tr>
        <w:tblPrEx>
          <w:tblCellMar>
            <w:top w:w="0" w:type="dxa"/>
            <w:left w:w="108" w:type="dxa"/>
            <w:bottom w:w="0" w:type="dxa"/>
            <w:right w:w="108" w:type="dxa"/>
          </w:tblCellMar>
        </w:tblPrEx>
        <w:trPr>
          <w:trHeight w:val="414" w:hRule="atLeast"/>
          <w:jc w:val="center"/>
        </w:trPr>
        <w:tc>
          <w:tcPr>
            <w:tcW w:w="6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平原</w:t>
            </w:r>
          </w:p>
        </w:tc>
        <w:tc>
          <w:tcPr>
            <w:tcW w:w="35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经济条件较好，室内卫生设施较齐全</w:t>
            </w:r>
          </w:p>
        </w:tc>
        <w:tc>
          <w:tcPr>
            <w:tcW w:w="15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c>
          <w:tcPr>
            <w:tcW w:w="244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w:t>
            </w:r>
          </w:p>
        </w:tc>
      </w:tr>
      <w:tr>
        <w:tblPrEx>
          <w:tblCellMar>
            <w:top w:w="0" w:type="dxa"/>
            <w:left w:w="108" w:type="dxa"/>
            <w:bottom w:w="0" w:type="dxa"/>
            <w:right w:w="108" w:type="dxa"/>
          </w:tblCellMar>
        </w:tblPrEx>
        <w:trPr>
          <w:trHeight w:val="384" w:hRule="atLeast"/>
          <w:jc w:val="center"/>
        </w:trPr>
        <w:tc>
          <w:tcPr>
            <w:tcW w:w="6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半山区</w:t>
            </w:r>
          </w:p>
        </w:tc>
        <w:tc>
          <w:tcPr>
            <w:tcW w:w="35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经济条件一般，有简单的室内卫生设施</w:t>
            </w:r>
          </w:p>
        </w:tc>
        <w:tc>
          <w:tcPr>
            <w:tcW w:w="15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c>
          <w:tcPr>
            <w:tcW w:w="244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r>
      <w:tr>
        <w:tblPrEx>
          <w:tblCellMar>
            <w:top w:w="0" w:type="dxa"/>
            <w:left w:w="108" w:type="dxa"/>
            <w:bottom w:w="0" w:type="dxa"/>
            <w:right w:w="108" w:type="dxa"/>
          </w:tblCellMar>
        </w:tblPrEx>
        <w:trPr>
          <w:trHeight w:val="434" w:hRule="atLeast"/>
          <w:jc w:val="center"/>
        </w:trPr>
        <w:tc>
          <w:tcPr>
            <w:tcW w:w="642" w:type="dxa"/>
            <w:tcBorders>
              <w:top w:val="nil"/>
              <w:left w:val="single" w:color="auto" w:sz="4" w:space="0"/>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w:t>
            </w:r>
          </w:p>
        </w:tc>
        <w:tc>
          <w:tcPr>
            <w:tcW w:w="88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山区</w:t>
            </w:r>
          </w:p>
        </w:tc>
        <w:tc>
          <w:tcPr>
            <w:tcW w:w="3540"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无卫生间和淋浴设备</w:t>
            </w:r>
          </w:p>
        </w:tc>
        <w:tc>
          <w:tcPr>
            <w:tcW w:w="1545"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w:t>
            </w:r>
          </w:p>
        </w:tc>
        <w:tc>
          <w:tcPr>
            <w:tcW w:w="2449" w:type="dxa"/>
            <w:tcBorders>
              <w:top w:val="nil"/>
              <w:left w:val="nil"/>
              <w:bottom w:val="single" w:color="auto" w:sz="4" w:space="0"/>
              <w:right w:val="single" w:color="auto" w:sz="4" w:space="0"/>
            </w:tcBorders>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r>
    </w:tbl>
    <w:p>
      <w:pPr>
        <w:widowControl w:val="0"/>
        <w:ind w:firstLine="640"/>
        <w:rPr>
          <w:rFonts w:hint="eastAsia" w:ascii="方正仿宋_GBK" w:hAnsi="方正仿宋_GBK" w:cs="方正仿宋_GBK"/>
          <w:color w:val="auto"/>
        </w:rPr>
      </w:pPr>
      <w:bookmarkStart w:id="377" w:name="_Toc48318318"/>
      <w:bookmarkStart w:id="378" w:name="_Toc45199310"/>
      <w:r>
        <w:rPr>
          <w:rFonts w:hint="eastAsia" w:ascii="方正仿宋_GBK" w:hAnsi="方正仿宋_GBK" w:cs="方正仿宋_GBK"/>
          <w:color w:val="auto"/>
        </w:rPr>
        <w:t>4.3.3  污水量计算</w:t>
      </w:r>
      <w:bookmarkEnd w:id="377"/>
      <w:bookmarkEnd w:id="378"/>
    </w:p>
    <w:p>
      <w:pPr>
        <w:widowControl w:val="0"/>
        <w:ind w:firstLine="640"/>
        <w:rPr>
          <w:rFonts w:hint="eastAsia" w:ascii="方正仿宋_GBK" w:hAnsi="方正仿宋_GBK" w:cs="方正仿宋_GBK"/>
          <w:color w:val="auto"/>
        </w:rPr>
      </w:pPr>
      <w:r>
        <w:rPr>
          <w:rFonts w:hint="eastAsia" w:ascii="方正仿宋_GBK" w:hAnsi="方正仿宋_GBK" w:cs="方正仿宋_GBK"/>
          <w:color w:val="auto"/>
        </w:rPr>
        <w:t>规划根据各个保留村庄居民点的特点选取对应污水量指标，计算出近期的污水量，各镇街农村生活污水处理量详见下表4.2-4。</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表4.2-4  永川区终端处理污水量预测汇总表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436"/>
        <w:gridCol w:w="2106"/>
        <w:gridCol w:w="2346"/>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blHeader/>
          <w:jc w:val="center"/>
        </w:trPr>
        <w:tc>
          <w:tcPr>
            <w:tcW w:w="1427"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镇  街</w:t>
            </w:r>
          </w:p>
        </w:tc>
        <w:tc>
          <w:tcPr>
            <w:tcW w:w="1436"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村（社区）</w:t>
            </w:r>
          </w:p>
        </w:tc>
        <w:tc>
          <w:tcPr>
            <w:tcW w:w="2106"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现状常住人口数（人）</w:t>
            </w:r>
          </w:p>
        </w:tc>
        <w:tc>
          <w:tcPr>
            <w:tcW w:w="2346"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近期（2025年）</w:t>
            </w:r>
          </w:p>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人口数（人）</w:t>
            </w:r>
          </w:p>
        </w:tc>
        <w:tc>
          <w:tcPr>
            <w:tcW w:w="1746" w:type="dxa"/>
            <w:noWrap w:val="0"/>
            <w:vAlign w:val="center"/>
          </w:tcPr>
          <w:p>
            <w:pPr>
              <w:widowControl w:val="0"/>
              <w:adjustRightInd/>
              <w:spacing w:line="216"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近期</w:t>
            </w:r>
            <w:sdt>
              <w:sdtPr>
                <w:rPr>
                  <w:color w:val="auto"/>
                </w:rPr>
                <w:alias w:val="易错词检查"/>
                <w:id w:val="2152610"/>
              </w:sdtPr>
              <w:sdtEndPr>
                <w:rPr>
                  <w:color w:val="auto"/>
                </w:rPr>
              </w:sdtEndPr>
              <w:sdtContent>
                <w:bookmarkStart w:id="379" w:name="bkReivew2152610"/>
                <w:r>
                  <w:rPr>
                    <w:rFonts w:hint="eastAsia" w:ascii="方正黑体_GBK" w:hAnsi="方正黑体_GBK" w:eastAsia="方正黑体_GBK" w:cs="方正黑体_GBK"/>
                    <w:color w:val="auto"/>
                    <w:sz w:val="21"/>
                    <w:szCs w:val="21"/>
                  </w:rPr>
                  <w:t>污水量</w:t>
                </w:r>
                <w:r>
                  <w:rPr>
                    <w:rFonts w:hint="eastAsia" w:ascii="方正黑体_GBK" w:hAnsi="方正黑体_GBK" w:eastAsia="方正黑体_GBK" w:cs="方正黑体_GBK"/>
                    <w:color w:val="auto"/>
                    <w:sz w:val="21"/>
                    <w:szCs w:val="21"/>
                  </w:rPr>
                  <w:br w:type="textWrapping"/>
                </w:r>
                <w:bookmarkEnd w:id="379"/>
              </w:sdtContent>
            </w:sdt>
            <w:r>
              <w:rPr>
                <w:rFonts w:hint="eastAsia" w:ascii="方正黑体_GBK" w:hAnsi="方正黑体_GBK" w:eastAsia="方正黑体_GBK" w:cs="方正黑体_GBK"/>
                <w:color w:val="auto"/>
                <w:sz w:val="21"/>
                <w:szCs w:val="21"/>
              </w:rPr>
              <w:t>（吨/天）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板桥社区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4100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柳溪村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高洞子村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2938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凉风垭村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2927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欧家坝村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本尊村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通明村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2335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龙门滩村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1802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662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古佛村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汪家岩村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4942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1816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宝峰场社区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泸永桥村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4049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龙凤桥村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3081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五家坡村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3202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杨大口村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2293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茶山竹海</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街道</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粽粑社区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茶竹村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安溪村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2653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萱花村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1781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云峰村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茶园村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陈食街道</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朱龙花村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卢家岩村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2013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陈青桥村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4556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1674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芋荷湾村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冯家坪村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2913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梅家桥村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易错词检查"/>
                <w:id w:val="21246"/>
              </w:sdtPr>
              <w:sdtEndPr>
                <w:rPr>
                  <w:color w:val="auto"/>
                </w:rPr>
              </w:sdtEndPr>
              <w:sdtContent>
                <w:bookmarkStart w:id="380" w:name="bkReivew21246"/>
                <w:r>
                  <w:rPr>
                    <w:rFonts w:hint="eastAsia" w:ascii="方正仿宋_GBK" w:hAnsi="方正仿宋_GBK" w:cs="方正仿宋_GBK"/>
                    <w:color w:val="auto"/>
                    <w:sz w:val="21"/>
                    <w:szCs w:val="21"/>
                  </w:rPr>
                  <w:t>菜茵</w:t>
                </w:r>
                <w:bookmarkEnd w:id="380"/>
              </w:sdtContent>
            </w:sdt>
            <w:r>
              <w:rPr>
                <w:rFonts w:hint="eastAsia" w:ascii="方正仿宋_GBK" w:hAnsi="方正仿宋_GBK" w:cs="方正仿宋_GBK"/>
                <w:color w:val="auto"/>
                <w:sz w:val="21"/>
                <w:szCs w:val="21"/>
              </w:rPr>
              <w:t>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3783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瓦窑村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2525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复兴寺村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3039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梓潼观村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3766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马银村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大安街道</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陈家祠社区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7816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石庙社区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茶店社区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1590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铁山村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1737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灵英村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花果山村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5432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小坎村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云雾山村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4049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德胜桥村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官禄岩村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4614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荷花村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二郎坝村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3501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高坡村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3530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铜鼓村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4430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1628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何埂社区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3320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丰乐村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6352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2334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狮子村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2607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沙坪村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3925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李家湾村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2612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花园村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2492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长丰村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2506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新泉村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3933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石笋山村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4402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2848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联盟村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2273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科名村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2357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玉宝村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转角店村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2987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仓宝村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1640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603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一碗水村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2691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红炉镇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1998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红庆村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2234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万胜村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龙井口村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2057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会龙桥村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吉安镇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寒泸村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3944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铜凉村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910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5286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1942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向前村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3510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尖山村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金门村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3291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石松村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3787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金龙场社区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嘉阜村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3707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灯坪村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3737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解放村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洞子口村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3956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1454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燃灯村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金鼎村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3045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来苏镇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观音井村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4838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关门山村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3132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塔院村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3389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1245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柏树桥村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梳妆台村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4383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1610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磨心桥村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3557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水磨滩村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唐家坪村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1099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石牛寺村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五根松村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2195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大松林村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王坪村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大双庆村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临江镇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隆顺村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高滩村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4712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1731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普安村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3883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2904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天堂村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2362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龙洞桥村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2252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龙安村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690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天星村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2997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桂林村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南大街街道</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8560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3145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兴隆村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4891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1797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谭家坝村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7184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2640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八角寺村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2940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代家店村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3450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黄瓜山村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5466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2008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青峰场社区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胡豆坪村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5677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2086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佛岩寺村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4090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凌阁堂村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4306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1582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4132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莲花石村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947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三教镇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川主庙社区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2292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双河口社区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1875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三台村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3445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陡沟河村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4417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1623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新观音村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2875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郝家坝村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3431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1261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利民村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4213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3588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1318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永玻村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1736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石岭村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3680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1352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sdt>
              <w:sdtPr>
                <w:rPr>
                  <w:color w:val="auto"/>
                </w:rPr>
                <w:alias w:val="敏感词检查"/>
                <w:id w:val="3133104"/>
              </w:sdtPr>
              <w:sdtEndPr>
                <w:rPr>
                  <w:color w:val="auto"/>
                </w:rPr>
              </w:sdtEndPr>
              <w:sdtContent>
                <w:bookmarkStart w:id="381" w:name="bkPolitics3133104"/>
                <w:r>
                  <w:rPr>
                    <w:rFonts w:hint="eastAsia" w:ascii="方正仿宋_GBK" w:hAnsi="方正仿宋_GBK" w:cs="方正仿宋_GBK"/>
                    <w:color w:val="auto"/>
                    <w:sz w:val="21"/>
                    <w:szCs w:val="21"/>
                  </w:rPr>
                  <w:t>玉峰</w:t>
                </w:r>
                <w:bookmarkEnd w:id="381"/>
              </w:sdtContent>
            </w:sdt>
            <w:r>
              <w:rPr>
                <w:rFonts w:hint="eastAsia" w:ascii="方正仿宋_GBK" w:hAnsi="方正仿宋_GBK" w:cs="方正仿宋_GBK"/>
                <w:color w:val="auto"/>
                <w:sz w:val="21"/>
                <w:szCs w:val="21"/>
              </w:rPr>
              <w:t>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2343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牌坊村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3670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永安村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3726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胜利路街道</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万寿场社区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永青村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5315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1953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胜利村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5032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1849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丰田村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2245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825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堂皇坝村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4270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1569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永钢村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5263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1934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杨广桥村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3102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杨家店村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2398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万寿村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3073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双石社区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3801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1397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1409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518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大涧口村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2889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丁家岩村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2200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复生桥村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中心桥村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3411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脚盆井村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564</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牛尾铺村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2307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1420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五龙桥村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1760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647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响滩子村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631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松溉镇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松江社区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4614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旗山村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3229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打鱼河村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2164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鱼岭村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1302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新街子村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3336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1226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茅园村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842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卫星湖街道</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星湖社区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8668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3185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大竹溪村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5839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2145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凤龙村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1695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623</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小竹溪村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1678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南华村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3281</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1206</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七郎村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3179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1168</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石龟寺村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4777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1755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石脚迹村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五间社区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6578</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2417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友胜村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2959</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1087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和平村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2724</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1001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合兴村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2932</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1077</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双创村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3245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1192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景圣村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1713</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629</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2450</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珍宝村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1465</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仙龙镇</w:t>
            </w: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仙龙社区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590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张家场社区</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687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252</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巨龙村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4355</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1600</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石宝寺村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4656</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牛门口村</w:t>
            </w:r>
          </w:p>
        </w:tc>
        <w:tc>
          <w:tcPr>
            <w:tcW w:w="210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3077</w:t>
            </w:r>
          </w:p>
        </w:tc>
        <w:tc>
          <w:tcPr>
            <w:tcW w:w="23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1131</w:t>
            </w:r>
          </w:p>
        </w:tc>
        <w:tc>
          <w:tcPr>
            <w:tcW w:w="1746"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大磨子村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3634</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1335</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大牌坊村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3934</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1445</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大石坝村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3985</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1464</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张家村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3593</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1320</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双星村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3529</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1297</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金石村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2628</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966</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太平桥村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3661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1345</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粉店村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1103</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金宝山村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4461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1639</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永荣镇</w:t>
            </w: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东岳村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2435</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895</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云谷村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1917</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704</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子庄村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3620</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1330</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白云寺村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4220</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1551</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中山路街道</w:t>
            </w: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三星村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420</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154</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瓦子铺村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286</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望城村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456</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北大桥村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1168</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429</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双龙村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3861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1419</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孙家口村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7000</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2572</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427" w:type="dxa"/>
            <w:vMerge w:val="restart"/>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朱沱镇</w:t>
            </w: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汉东村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3156</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1160</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围子山村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3271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1202</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水渡滩村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3186</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1171</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新岸山村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3233</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1188</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涨谷村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4577</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1682</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九层岩村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2472</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908</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马道子村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3150</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1157</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转龙村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3153</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1159</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福良村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3195</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1174</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石碓窝村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3424</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1258</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滩子口村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3992</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1467</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四明村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3753</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1379</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江永村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3747</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1377</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龙宝山村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3061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1125</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龙汇垭村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2703</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993</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大河村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4571</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1680</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笋桥村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4724</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1736</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427" w:type="dxa"/>
            <w:vMerge w:val="continue"/>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p>
        </w:tc>
        <w:tc>
          <w:tcPr>
            <w:tcW w:w="143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四望山村</w:t>
            </w:r>
          </w:p>
        </w:tc>
        <w:tc>
          <w:tcPr>
            <w:tcW w:w="210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4679</w:t>
            </w:r>
          </w:p>
        </w:tc>
        <w:tc>
          <w:tcPr>
            <w:tcW w:w="23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1719</w:t>
            </w:r>
          </w:p>
        </w:tc>
        <w:tc>
          <w:tcPr>
            <w:tcW w:w="1746" w:type="dxa"/>
            <w:noWrap w:val="0"/>
            <w:vAlign w:val="center"/>
          </w:tcPr>
          <w:p>
            <w:pPr>
              <w:widowControl w:val="0"/>
              <w:adjustRightInd/>
              <w:spacing w:line="204"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151</w:t>
            </w:r>
          </w:p>
        </w:tc>
      </w:tr>
    </w:tbl>
    <w:p>
      <w:pPr>
        <w:widowControl w:val="0"/>
        <w:ind w:firstLine="640"/>
        <w:jc w:val="center"/>
        <w:rPr>
          <w:rFonts w:hint="eastAsia" w:ascii="方正黑体_GBK" w:hAnsi="方正黑体_GBK" w:eastAsia="方正黑体_GBK" w:cs="方正黑体_GBK"/>
          <w:color w:val="auto"/>
        </w:rPr>
      </w:pPr>
      <w:bookmarkStart w:id="382" w:name="_Toc45199311"/>
      <w:bookmarkStart w:id="383" w:name="_Toc48318319"/>
    </w:p>
    <w:p>
      <w:pPr>
        <w:widowControl w:val="0"/>
        <w:ind w:firstLine="640"/>
        <w:jc w:val="center"/>
        <w:rPr>
          <w:rFonts w:hint="eastAsia" w:ascii="方正黑体_GBK" w:hAnsi="方正黑体_GBK" w:eastAsia="方正黑体_GBK" w:cs="方正黑体_GBK"/>
          <w:color w:val="auto"/>
        </w:rPr>
      </w:pPr>
      <w:r>
        <w:rPr>
          <w:rFonts w:hint="eastAsia" w:ascii="方正黑体_GBK" w:hAnsi="方正黑体_GBK" w:eastAsia="方正黑体_GBK" w:cs="方正黑体_GBK"/>
          <w:color w:val="auto"/>
        </w:rPr>
        <w:t>第5章  农村污水处理设施建设改造规划</w:t>
      </w:r>
      <w:bookmarkEnd w:id="382"/>
      <w:bookmarkEnd w:id="383"/>
    </w:p>
    <w:p>
      <w:pPr>
        <w:widowControl w:val="0"/>
        <w:ind w:firstLine="640"/>
        <w:rPr>
          <w:rFonts w:hint="eastAsia" w:ascii="方正楷体_GBK" w:hAnsi="方正楷体_GBK" w:eastAsia="方正楷体_GBK" w:cs="方正楷体_GBK"/>
          <w:color w:val="auto"/>
        </w:rPr>
      </w:pPr>
      <w:bookmarkStart w:id="384" w:name="_Toc48318320"/>
      <w:bookmarkStart w:id="385" w:name="_Toc45199312"/>
      <w:r>
        <w:rPr>
          <w:rFonts w:hint="eastAsia" w:ascii="方正楷体_GBK" w:hAnsi="方正楷体_GBK" w:eastAsia="方正楷体_GBK" w:cs="方正楷体_GBK"/>
          <w:color w:val="auto"/>
        </w:rPr>
        <w:t>5.1  排水体制及收集方式</w:t>
      </w:r>
      <w:bookmarkEnd w:id="384"/>
      <w:bookmarkEnd w:id="385"/>
    </w:p>
    <w:p>
      <w:pPr>
        <w:widowControl w:val="0"/>
        <w:spacing w:line="264" w:lineRule="auto"/>
        <w:ind w:firstLine="640"/>
        <w:rPr>
          <w:rFonts w:hint="eastAsia" w:ascii="方正仿宋_GBK" w:hAnsi="方正仿宋_GBK" w:cs="方正仿宋_GBK"/>
          <w:color w:val="auto"/>
        </w:rPr>
      </w:pPr>
      <w:bookmarkStart w:id="386" w:name="_Toc45199313"/>
      <w:bookmarkStart w:id="387" w:name="_Toc48318321"/>
      <w:r>
        <w:rPr>
          <w:rFonts w:hint="eastAsia" w:ascii="方正仿宋_GBK" w:hAnsi="方正仿宋_GBK" w:cs="方正仿宋_GBK"/>
          <w:color w:val="auto"/>
        </w:rPr>
        <w:t>5.1.1  排水体制</w:t>
      </w:r>
      <w:bookmarkEnd w:id="386"/>
      <w:bookmarkEnd w:id="387"/>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本次农村生活污水处理规划采用的排水体制为雨污分流制。新建污水收集系统必须为完全分流制。已建成的合流制污水收集系统的地方，应依据自身条件尽快改造为分流制；目前确实无法改造的，宜采用截流式合流制。</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采用分流制排水系统的村庄，应敷设独立的污水收集管网，雨水收集可根据各地实际采用沟渠、管道收集或就地自然排放。雨水收集应充分利用地形以自流方式及时就近排入池塘、河流等水体。</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采用截流式合流制排水系统，应在进入处理设施前的主干管上设置截流井或</w:t>
      </w:r>
      <w:sdt>
        <w:sdtPr>
          <w:rPr>
            <w:color w:val="auto"/>
          </w:rPr>
          <w:alias w:val="非推荐词"/>
          <w:id w:val="2040842"/>
        </w:sdtPr>
        <w:sdtEndPr>
          <w:rPr>
            <w:color w:val="auto"/>
          </w:rPr>
        </w:sdtEndPr>
        <w:sdtContent>
          <w:bookmarkStart w:id="388" w:name="bkReivew2040842"/>
          <w:r>
            <w:rPr>
              <w:rFonts w:hint="eastAsia" w:ascii="方正仿宋_GBK" w:hAnsi="方正仿宋_GBK" w:cs="方正仿宋_GBK"/>
              <w:color w:val="auto"/>
            </w:rPr>
            <w:t>其</w:t>
          </w:r>
          <w:bookmarkEnd w:id="388"/>
          <w:r>
            <w:rPr>
              <w:rFonts w:hint="eastAsia" w:ascii="方正仿宋_GBK" w:hAnsi="方正仿宋_GBK" w:cs="方正仿宋_GBK"/>
              <w:color w:val="auto"/>
              <w:lang w:eastAsia="zh-CN"/>
            </w:rPr>
            <w:t>他</w:t>
          </w:r>
        </w:sdtContent>
      </w:sdt>
      <w:r>
        <w:rPr>
          <w:rFonts w:hint="eastAsia" w:ascii="方正仿宋_GBK" w:hAnsi="方正仿宋_GBK" w:cs="方正仿宋_GBK"/>
          <w:color w:val="auto"/>
        </w:rPr>
        <w:t>截流措施，晴天的污水和下雨初期的雨污混合水输送到污水处理设施处理后排放，混合污水超过截流管输水能力后溢流排入水体。</w:t>
      </w:r>
    </w:p>
    <w:p>
      <w:pPr>
        <w:widowControl w:val="0"/>
        <w:spacing w:line="264" w:lineRule="auto"/>
        <w:ind w:firstLine="640"/>
        <w:rPr>
          <w:rFonts w:hint="eastAsia" w:ascii="方正仿宋_GBK" w:hAnsi="方正仿宋_GBK" w:cs="方正仿宋_GBK"/>
          <w:color w:val="auto"/>
        </w:rPr>
      </w:pPr>
      <w:bookmarkStart w:id="389" w:name="_Toc45199314"/>
      <w:bookmarkStart w:id="390" w:name="_Toc48318322"/>
      <w:r>
        <w:rPr>
          <w:rFonts w:hint="eastAsia" w:ascii="方正仿宋_GBK" w:hAnsi="方正仿宋_GBK" w:cs="方正仿宋_GBK"/>
          <w:color w:val="auto"/>
        </w:rPr>
        <w:t>5.1.2  农村生活污水收集方式</w:t>
      </w:r>
      <w:bookmarkEnd w:id="389"/>
      <w:bookmarkEnd w:id="390"/>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5.1.2.1  收集原则</w:t>
      </w:r>
    </w:p>
    <w:p>
      <w:pPr>
        <w:widowControl w:val="0"/>
        <w:spacing w:line="264" w:lineRule="auto"/>
        <w:ind w:firstLine="640"/>
        <w:rPr>
          <w:rFonts w:hint="eastAsia"/>
          <w:color w:val="auto"/>
        </w:rPr>
      </w:pPr>
      <w:r>
        <w:rPr>
          <w:rFonts w:hint="eastAsia"/>
          <w:color w:val="auto"/>
        </w:rPr>
        <w:t>①能收则收。村庄生活污水包括冲厕污水、洗浴污水、厨房污水和其他洗涤污水，洗浴污水、厨房污水和其他洗涤污水可直接接入污水收集管网；厕所污水须经化粪池预处理后接入污水收集管道；接入污水收集管道前应设沉砂井。庭院污水应纳入排水系统，通过管道进入污水收集管网。</w:t>
      </w:r>
    </w:p>
    <w:p>
      <w:pPr>
        <w:widowControl w:val="0"/>
        <w:spacing w:line="264" w:lineRule="auto"/>
        <w:ind w:firstLine="640"/>
        <w:rPr>
          <w:rFonts w:hint="eastAsia"/>
          <w:color w:val="auto"/>
        </w:rPr>
      </w:pPr>
      <w:r>
        <w:rPr>
          <w:rFonts w:hint="eastAsia"/>
          <w:color w:val="auto"/>
        </w:rPr>
        <w:t>②</w:t>
      </w:r>
      <w:sdt>
        <w:sdtPr>
          <w:rPr>
            <w:color w:val="auto"/>
          </w:rPr>
          <w:alias w:val="易错词检查"/>
          <w:id w:val="1032851"/>
        </w:sdtPr>
        <w:sdtEndPr>
          <w:rPr>
            <w:color w:val="auto"/>
          </w:rPr>
        </w:sdtEndPr>
        <w:sdtContent>
          <w:bookmarkStart w:id="391" w:name="bkReivew1032851"/>
          <w:r>
            <w:rPr>
              <w:rFonts w:hint="eastAsia"/>
              <w:color w:val="auto"/>
            </w:rPr>
            <w:t>因村制宜</w:t>
          </w:r>
          <w:bookmarkEnd w:id="391"/>
        </w:sdtContent>
      </w:sdt>
      <w:r>
        <w:rPr>
          <w:rFonts w:hint="eastAsia"/>
          <w:color w:val="auto"/>
        </w:rPr>
        <w:t>。村庄人口密度低，生活污水排放面广，因此不能直接套用城市污水集中收集模式。有条件且位于城镇污水处理厂服务范围内的村庄，应建设和完善污水收集系统，将污水纳入到城镇污水处理厂集中处理；</w:t>
      </w:r>
      <w:sdt>
        <w:sdtPr>
          <w:rPr>
            <w:color w:val="auto"/>
          </w:rPr>
          <w:alias w:val="非推荐词"/>
          <w:id w:val="1101315"/>
        </w:sdtPr>
        <w:sdtEndPr>
          <w:rPr>
            <w:color w:val="auto"/>
          </w:rPr>
        </w:sdtEndPr>
        <w:sdtContent>
          <w:bookmarkStart w:id="392" w:name="bkReivew1101315"/>
          <w:r>
            <w:rPr>
              <w:rFonts w:hint="eastAsia"/>
              <w:color w:val="auto"/>
            </w:rPr>
            <w:t>其</w:t>
          </w:r>
          <w:bookmarkEnd w:id="392"/>
          <w:r>
            <w:rPr>
              <w:rFonts w:hint="eastAsia"/>
              <w:color w:val="auto"/>
              <w:lang w:eastAsia="zh-CN"/>
            </w:rPr>
            <w:t>他</w:t>
          </w:r>
        </w:sdtContent>
      </w:sdt>
      <w:r>
        <w:rPr>
          <w:rFonts w:hint="eastAsia"/>
          <w:color w:val="auto"/>
        </w:rPr>
        <w:t>村庄应根据农村实际，结合当地的地形条件、村落分布，因地制宜地从分散收集和集中收集两种模式中选取，并配套建设独立污水处理设施。</w:t>
      </w:r>
    </w:p>
    <w:p>
      <w:pPr>
        <w:widowControl w:val="0"/>
        <w:spacing w:line="264" w:lineRule="auto"/>
        <w:ind w:firstLine="640"/>
        <w:rPr>
          <w:rFonts w:hint="eastAsia"/>
          <w:color w:val="auto"/>
        </w:rPr>
      </w:pPr>
      <w:r>
        <w:rPr>
          <w:rFonts w:hint="eastAsia"/>
          <w:color w:val="auto"/>
        </w:rPr>
        <w:t>③经济合理。收集系统应与当地经济条件、村庄的地形、地貌及周边的人文自然环境相协调，在自然条件下能够依靠重力收集的，优先选择重力收集系统；特殊情况下，可以选择压力收集系统或真空收集系统。</w:t>
      </w:r>
    </w:p>
    <w:p>
      <w:pPr>
        <w:widowControl w:val="0"/>
        <w:spacing w:line="264" w:lineRule="auto"/>
        <w:ind w:firstLine="640"/>
        <w:rPr>
          <w:rFonts w:hint="eastAsia"/>
          <w:color w:val="auto"/>
        </w:rPr>
      </w:pPr>
      <w:r>
        <w:rPr>
          <w:rFonts w:hint="eastAsia"/>
          <w:color w:val="auto"/>
        </w:rPr>
        <w:t>④安全可靠。重力收集系统应保证施工质量，尽可能使用成品检查井和优质管材，加强施工质量监管，减少管道和检查井渗漏。压力收集系统及真空收集系统的设计、施工及验收须严格按相关标准、规范或规程执行，要保证污水收集管道安全可靠运行。此外，污水收集系统须配套突发事件防范和应急设施，泵房及集水池应按有关规定做应急设计。</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5.1.2.2  农村生活污水收集系统</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农村生活污水及生活垃圾处理适宜技术推荐（试行）》，按照村庄居民生活习惯自然村落的基本情况和工程应用实际情况，生活污水收集系统可分为单户收集系统、多户收集系统和农村集聚区收集系统。</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（1）单户收集系统一般污水量不大于0.5m³/d，服务人口5人以下，服务家庭户数1户。此类收集系统适用于单一住户生活污水收集。</w:t>
      </w:r>
    </w:p>
    <w:p>
      <w:pPr>
        <w:widowControl w:val="0"/>
        <w:ind w:firstLine="640"/>
        <w:jc w:val="center"/>
        <w:rPr>
          <w:color w:val="auto"/>
        </w:rPr>
      </w:pPr>
      <w:r>
        <w:rPr>
          <w:color w:val="auto"/>
        </w:rPr>
        <w:drawing>
          <wp:inline distT="0" distB="0" distL="114300" distR="114300">
            <wp:extent cx="4219575" cy="1078230"/>
            <wp:effectExtent l="0" t="0" r="9525" b="762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3"/>
                    <a:stretch>
                      <a:fillRect/>
                    </a:stretch>
                  </pic:blipFill>
                  <pic:spPr>
                    <a:xfrm>
                      <a:off x="0" y="0"/>
                      <a:ext cx="4219575" cy="1078230"/>
                    </a:xfrm>
                    <a:prstGeom prst="rect">
                      <a:avLst/>
                    </a:prstGeom>
                    <a:noFill/>
                    <a:ln>
                      <a:noFill/>
                    </a:ln>
                  </pic:spPr>
                </pic:pic>
              </a:graphicData>
            </a:graphic>
          </wp:inline>
        </w:drawing>
      </w:r>
    </w:p>
    <w:p>
      <w:pPr>
        <w:widowControl w:val="0"/>
        <w:spacing w:line="264"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图5.1-1  单户式污水收集系统示意图</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若该户为农家乐经营户，则虚线框内隔油池必须设置，若为普通住户，可不设隔油池。</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多户收集系统一般污水量不大于5m³/d，服务人口50人以下，服务家庭户数2～10户，污水处理设施布置在村落中；在单户收集系统基础上，将各户的污水用管道引入污水处理设施。此类收集系统适用于宜多户合并处理的农居点生活污水收集。</w:t>
      </w:r>
    </w:p>
    <w:p>
      <w:pPr>
        <w:pStyle w:val="23"/>
        <w:widowControl w:val="0"/>
        <w:shd w:val="clear" w:color="auto" w:fill="FFFFFF"/>
        <w:ind w:firstLine="640" w:firstLineChars="200"/>
        <w:jc w:val="center"/>
        <w:rPr>
          <w:rFonts w:cs="Times New Roman"/>
          <w:color w:val="auto"/>
        </w:rPr>
      </w:pPr>
      <w:r>
        <w:rPr>
          <w:rFonts w:cs="Times New Roman"/>
          <w:color w:val="auto"/>
        </w:rPr>
        <w:drawing>
          <wp:inline distT="0" distB="0" distL="114300" distR="114300">
            <wp:extent cx="4266565" cy="1316990"/>
            <wp:effectExtent l="0" t="0" r="635" b="16510"/>
            <wp:docPr id="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pic:cNvPicPr>
                      <a:picLocks noChangeAspect="1"/>
                    </pic:cNvPicPr>
                  </pic:nvPicPr>
                  <pic:blipFill>
                    <a:blip r:embed="rId24"/>
                    <a:stretch>
                      <a:fillRect/>
                    </a:stretch>
                  </pic:blipFill>
                  <pic:spPr>
                    <a:xfrm>
                      <a:off x="0" y="0"/>
                      <a:ext cx="4266565" cy="1316990"/>
                    </a:xfrm>
                    <a:prstGeom prst="rect">
                      <a:avLst/>
                    </a:prstGeom>
                    <a:noFill/>
                    <a:ln>
                      <a:noFill/>
                    </a:ln>
                  </pic:spPr>
                </pic:pic>
              </a:graphicData>
            </a:graphic>
          </wp:inline>
        </w:drawing>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图5.1-2  多户式污水收集系统示意图</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若涉及农家乐经营户，则虚线框内隔油池必须设置，若为普通住户，可不设隔油池。</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农村集居区收集系统服务人口50人以上的村庄，服务家庭户数10户以上；网管设置在单户收集系统基础上，将各户的污水用管道引入污水处理设施。此类收集系统适用于整村、联村或新建农村生活小区生活污水收集。</w:t>
      </w:r>
    </w:p>
    <w:p>
      <w:pPr>
        <w:pStyle w:val="23"/>
        <w:widowControl w:val="0"/>
        <w:shd w:val="clear" w:color="auto" w:fill="FFFFFF"/>
        <w:ind w:firstLine="640" w:firstLineChars="200"/>
        <w:jc w:val="center"/>
        <w:rPr>
          <w:rFonts w:cs="Times New Roman"/>
          <w:color w:val="auto"/>
        </w:rPr>
      </w:pPr>
      <w:r>
        <w:rPr>
          <w:rFonts w:cs="Times New Roman"/>
          <w:color w:val="auto"/>
        </w:rPr>
        <w:drawing>
          <wp:inline distT="0" distB="0" distL="114300" distR="114300">
            <wp:extent cx="4286250" cy="2009775"/>
            <wp:effectExtent l="0" t="0" r="0" b="9525"/>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25"/>
                    <a:stretch>
                      <a:fillRect/>
                    </a:stretch>
                  </pic:blipFill>
                  <pic:spPr>
                    <a:xfrm>
                      <a:off x="0" y="0"/>
                      <a:ext cx="4286250" cy="2009775"/>
                    </a:xfrm>
                    <a:prstGeom prst="rect">
                      <a:avLst/>
                    </a:prstGeom>
                    <a:noFill/>
                    <a:ln>
                      <a:noFill/>
                    </a:ln>
                  </pic:spPr>
                </pic:pic>
              </a:graphicData>
            </a:graphic>
          </wp:inline>
        </w:drawing>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图5.1-3  多户式污水收集系统示意图</w:t>
      </w:r>
    </w:p>
    <w:p>
      <w:pPr>
        <w:widowControl w:val="0"/>
        <w:spacing w:line="252" w:lineRule="auto"/>
        <w:ind w:firstLine="640"/>
        <w:rPr>
          <w:rFonts w:hint="eastAsia"/>
          <w:color w:val="auto"/>
        </w:rPr>
      </w:pPr>
      <w:r>
        <w:rPr>
          <w:rFonts w:hint="eastAsia"/>
          <w:color w:val="auto"/>
        </w:rPr>
        <w:t>若涉及农家乐经营户，则虚线框内隔油池必须设置，若为普通住户，可不设隔油池。</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5.1.2.3  农村生活污水收集系统设计</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农村生活污水收集系统设计应参照《重庆市农村生活污水及生活垃圾处理适宜技术推荐（试行）》执行。</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（1）根据农村生活污水排放量和相关规范要求，合理选择管径和管材。</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管径75～160mm，管材选用U-PVC管；管径200mm及以上，管材选用双壁波纹管。主管管径应根据接入户数科学选用，一般不小于160mm。当接入户数在25～100户，可选用管径为160～200mm；当接入户数在101～400户，选用管径不小于200mm；当接入户数在400户以上，选用管径不小于300mm。若经水力计算需选用更大管径的，以计算结果为准。支管一般选用管径范围110～200mm。若经水力计算需采用更大管径的，以计算结果为准。</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（2）设计最小流速及充满度</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①管道流速计算采用如下公式：</w:t>
      </w:r>
    </w:p>
    <w:p>
      <w:pPr>
        <w:widowControl w:val="0"/>
        <w:spacing w:line="252" w:lineRule="auto"/>
        <w:ind w:firstLine="640"/>
        <w:rPr>
          <w:rFonts w:hint="eastAsia" w:ascii="方正仿宋_GBK" w:hAnsi="方正仿宋_GBK" w:cs="方正仿宋_GBK"/>
          <w:color w:val="auto"/>
        </w:rPr>
      </w:pPr>
      <w:bookmarkStart w:id="393" w:name="_Toc48318323"/>
      <w:r>
        <w:rPr>
          <w:rFonts w:hint="eastAsia" w:ascii="方正仿宋_GBK" w:hAnsi="方正仿宋_GBK" w:cs="方正仿宋_GBK"/>
          <w:color w:val="auto"/>
        </w:rPr>
        <w:t>V=1/n×R2/3Xi1/2</w:t>
      </w:r>
      <w:bookmarkEnd w:id="393"/>
    </w:p>
    <w:p>
      <w:pPr>
        <w:widowControl w:val="0"/>
        <w:spacing w:line="252" w:lineRule="auto"/>
        <w:ind w:firstLine="640"/>
        <w:rPr>
          <w:rFonts w:hint="eastAsia" w:ascii="方正仿宋_GBK" w:hAnsi="方正仿宋_GBK" w:cs="方正仿宋_GBK"/>
          <w:color w:val="auto"/>
        </w:rPr>
      </w:pPr>
      <w:bookmarkStart w:id="394" w:name="_Toc48318324"/>
      <w:r>
        <w:rPr>
          <w:rFonts w:hint="eastAsia" w:ascii="方正仿宋_GBK" w:hAnsi="方正仿宋_GBK" w:cs="方正仿宋_GBK"/>
          <w:color w:val="auto"/>
        </w:rPr>
        <w:t>V――流速（m/s）</w:t>
      </w:r>
      <w:bookmarkEnd w:id="394"/>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R――水力半径（m）</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i――水力坡度</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n――</w:t>
      </w:r>
      <w:r>
        <w:rPr>
          <w:rFonts w:hint="eastAsia" w:ascii="方正仿宋_GBK" w:hAnsi="方正仿宋_GBK" w:cs="方正仿宋_GBK"/>
          <w:color w:val="auto"/>
          <w:lang w:eastAsia="zh-CN"/>
        </w:rPr>
        <w:t>粗糙</w:t>
      </w:r>
      <w:r>
        <w:rPr>
          <w:rFonts w:hint="eastAsia" w:ascii="方正仿宋_GBK" w:hAnsi="方正仿宋_GBK" w:cs="方正仿宋_GBK"/>
          <w:color w:val="auto"/>
        </w:rPr>
        <w:t>系数，砼排水管、钢筋砼排水管0.014、塑料管0.01。</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②最小设计坡度</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管道埋深宜浅不宜深，并适当减小检查井间距。后期应加强管道的疏通与维护，防止管道淤积堵塞。管径为160mm、200mm、300mm最小坡度分别为：5‰、4‰、3‰。</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（3）提倡采用成品窨井、化粪池等设施。</w:t>
      </w:r>
    </w:p>
    <w:p>
      <w:pPr>
        <w:widowControl w:val="0"/>
        <w:spacing w:line="252" w:lineRule="auto"/>
        <w:ind w:firstLine="640"/>
        <w:rPr>
          <w:rFonts w:hint="eastAsia" w:ascii="方正仿宋_GBK" w:hAnsi="方正仿宋_GBK" w:cs="方正仿宋_GBK"/>
          <w:color w:val="auto"/>
        </w:rPr>
      </w:pPr>
      <w:r>
        <w:rPr>
          <w:rFonts w:hint="eastAsia" w:ascii="方正仿宋_GBK" w:hAnsi="方正仿宋_GBK" w:cs="方正仿宋_GBK"/>
          <w:color w:val="auto"/>
        </w:rPr>
        <w:t>化粪池采用“三格式”化粪池，容积可根据农村实际和居住人口数量确定。化粪池推荐容积一般3人为1.8m³，5人为2.2m³，7人为2.5m³，人口超过7人或多户联用的，根据排水量测算确定容积。检查井在直线管线上的最大间距应根据疏通方法等具体情况确定，应满足《建筑给水排水设计规范》GB50015-2003</w:t>
      </w:r>
      <w:sdt>
        <w:sdtPr>
          <w:rPr>
            <w:color w:val="auto"/>
          </w:rPr>
          <w:alias w:val="标点符号检查"/>
          <w:id w:val="2182733"/>
        </w:sdtPr>
        <w:sdtEndPr>
          <w:rPr>
            <w:color w:val="auto"/>
          </w:rPr>
        </w:sdtEndPr>
        <w:sdtContent/>
      </w:sdt>
      <w:r>
        <w:rPr>
          <w:rFonts w:hint="eastAsia" w:ascii="方正仿宋_GBK" w:hAnsi="方正仿宋_GBK" w:cs="方正仿宋_GBK"/>
          <w:color w:val="auto"/>
        </w:rPr>
        <w:t>（2009版）中4.5.2-4.5.6节的规定。</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表5.1-1  检查井最大井距</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3022"/>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021" w:type="dxa"/>
            <w:vMerge w:val="restart"/>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管径（mm）</w:t>
            </w:r>
          </w:p>
        </w:tc>
        <w:tc>
          <w:tcPr>
            <w:tcW w:w="6040" w:type="dxa"/>
            <w:gridSpan w:val="2"/>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检查井最大井距（m）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021" w:type="dxa"/>
            <w:vMerge w:val="continue"/>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1"/>
                <w:szCs w:val="21"/>
              </w:rPr>
            </w:pPr>
          </w:p>
        </w:tc>
        <w:tc>
          <w:tcPr>
            <w:tcW w:w="3022" w:type="dxa"/>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污水管道</w:t>
            </w:r>
          </w:p>
        </w:tc>
        <w:tc>
          <w:tcPr>
            <w:tcW w:w="3018" w:type="dxa"/>
            <w:noWrap w:val="0"/>
            <w:vAlign w:val="center"/>
          </w:tcPr>
          <w:p>
            <w:pPr>
              <w:pStyle w:val="23"/>
              <w:widowControl w:val="0"/>
              <w:snapToGrid w:val="0"/>
              <w:spacing w:line="240"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雨水/合流管道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021" w:type="dxa"/>
            <w:noWrap w:val="0"/>
            <w:vAlign w:val="center"/>
          </w:tcPr>
          <w:p>
            <w:pPr>
              <w:pStyle w:val="23"/>
              <w:widowControl w:val="0"/>
              <w:snapToGrid w:val="0"/>
              <w:spacing w:line="240"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150～200</w:t>
            </w:r>
          </w:p>
        </w:tc>
        <w:tc>
          <w:tcPr>
            <w:tcW w:w="3022" w:type="dxa"/>
            <w:noWrap w:val="0"/>
            <w:vAlign w:val="center"/>
          </w:tcPr>
          <w:p>
            <w:pPr>
              <w:pStyle w:val="23"/>
              <w:widowControl w:val="0"/>
              <w:snapToGrid w:val="0"/>
              <w:spacing w:line="240"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20</w:t>
            </w:r>
          </w:p>
        </w:tc>
        <w:tc>
          <w:tcPr>
            <w:tcW w:w="3018" w:type="dxa"/>
            <w:noWrap w:val="0"/>
            <w:vAlign w:val="center"/>
          </w:tcPr>
          <w:p>
            <w:pPr>
              <w:pStyle w:val="23"/>
              <w:widowControl w:val="0"/>
              <w:snapToGrid w:val="0"/>
              <w:spacing w:line="240"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jc w:val="center"/>
        </w:trPr>
        <w:tc>
          <w:tcPr>
            <w:tcW w:w="3021" w:type="dxa"/>
            <w:noWrap w:val="0"/>
            <w:vAlign w:val="center"/>
          </w:tcPr>
          <w:p>
            <w:pPr>
              <w:pStyle w:val="23"/>
              <w:widowControl w:val="0"/>
              <w:snapToGrid w:val="0"/>
              <w:spacing w:line="240"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300～400</w:t>
            </w:r>
          </w:p>
        </w:tc>
        <w:tc>
          <w:tcPr>
            <w:tcW w:w="3022" w:type="dxa"/>
            <w:noWrap w:val="0"/>
            <w:vAlign w:val="center"/>
          </w:tcPr>
          <w:p>
            <w:pPr>
              <w:pStyle w:val="23"/>
              <w:widowControl w:val="0"/>
              <w:snapToGrid w:val="0"/>
              <w:spacing w:line="240"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30</w:t>
            </w:r>
          </w:p>
        </w:tc>
        <w:tc>
          <w:tcPr>
            <w:tcW w:w="3018" w:type="dxa"/>
            <w:noWrap w:val="0"/>
            <w:vAlign w:val="center"/>
          </w:tcPr>
          <w:p>
            <w:pPr>
              <w:pStyle w:val="23"/>
              <w:widowControl w:val="0"/>
              <w:snapToGrid w:val="0"/>
              <w:spacing w:line="240"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40</w:t>
            </w:r>
          </w:p>
        </w:tc>
      </w:tr>
    </w:tbl>
    <w:p>
      <w:pPr>
        <w:widowControl w:val="0"/>
        <w:spacing w:line="264" w:lineRule="auto"/>
        <w:ind w:firstLine="640"/>
        <w:rPr>
          <w:rFonts w:hint="eastAsia" w:ascii="方正楷体_GBK" w:hAnsi="方正楷体_GBK" w:eastAsia="方正楷体_GBK" w:cs="方正楷体_GBK"/>
          <w:color w:val="auto"/>
        </w:rPr>
      </w:pPr>
      <w:bookmarkStart w:id="395" w:name="_Toc48318325"/>
      <w:bookmarkStart w:id="396" w:name="_Toc45199315"/>
      <w:r>
        <w:rPr>
          <w:rFonts w:hint="eastAsia" w:ascii="方正楷体_GBK" w:hAnsi="方正楷体_GBK" w:eastAsia="方正楷体_GBK" w:cs="方正楷体_GBK"/>
          <w:color w:val="auto"/>
        </w:rPr>
        <w:t>5.2  排放标准</w:t>
      </w:r>
      <w:bookmarkEnd w:id="395"/>
      <w:bookmarkEnd w:id="396"/>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农村生活污水集中处理设施水污染物排放标准》（DB50/848-2018），将农村生活污水集中处理后水污染物排放标准值分为一级标准、二级标准，各标准适用情况见表5.2-1。经处理后向环境直接排放的污水出水水质，其中各污染物最高允许排放浓度应符合下表5.2-2的规定。</w:t>
      </w:r>
    </w:p>
    <w:p>
      <w:pPr>
        <w:widowControl w:val="0"/>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表5.2-1  各级标准</w:t>
      </w:r>
      <w:sdt>
        <w:sdtPr>
          <w:rPr>
            <w:color w:val="auto"/>
          </w:rPr>
          <w:alias w:val="易错词检查"/>
          <w:id w:val="3003125"/>
        </w:sdtPr>
        <w:sdtEndPr>
          <w:rPr>
            <w:color w:val="auto"/>
          </w:rPr>
        </w:sdtEndPr>
        <w:sdtContent>
          <w:bookmarkStart w:id="397" w:name="bkReivew3003125"/>
          <w:r>
            <w:rPr>
              <w:rFonts w:hint="eastAsia" w:ascii="方正楷体_GBK" w:hAnsi="方正楷体_GBK" w:eastAsia="方正楷体_GBK" w:cs="方正楷体_GBK"/>
              <w:color w:val="auto"/>
              <w:sz w:val="28"/>
              <w:szCs w:val="28"/>
            </w:rPr>
            <w:t>适用情况</w:t>
          </w:r>
          <w:bookmarkEnd w:id="397"/>
        </w:sdtContent>
      </w:sdt>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4"/>
        <w:gridCol w:w="2206"/>
        <w:gridCol w:w="2527"/>
        <w:gridCol w:w="17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tblHeader/>
          <w:jc w:val="center"/>
        </w:trPr>
        <w:tc>
          <w:tcPr>
            <w:tcW w:w="2624" w:type="dxa"/>
            <w:vMerge w:val="restart"/>
            <w:noWrap w:val="0"/>
            <w:vAlign w:val="center"/>
          </w:tcPr>
          <w:p>
            <w:pPr>
              <w:pStyle w:val="33"/>
              <w:snapToGrid w:val="0"/>
              <w:spacing w:before="0" w:line="216"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排放规模受纳水体</w:t>
            </w:r>
          </w:p>
        </w:tc>
        <w:tc>
          <w:tcPr>
            <w:tcW w:w="6437" w:type="dxa"/>
            <w:gridSpan w:val="3"/>
            <w:noWrap w:val="0"/>
            <w:vAlign w:val="center"/>
          </w:tcPr>
          <w:p>
            <w:pPr>
              <w:pStyle w:val="33"/>
              <w:snapToGrid w:val="0"/>
              <w:spacing w:before="0" w:line="216" w:lineRule="auto"/>
              <w:ind w:firstLine="0" w:firstLineChars="0"/>
              <w:rPr>
                <w:rFonts w:hint="eastAsia" w:ascii="方正黑体_GBK" w:hAnsi="方正黑体_GBK" w:eastAsia="方正黑体_GBK" w:cs="方正黑体_GBK"/>
                <w:bCs/>
                <w:color w:val="auto"/>
                <w:sz w:val="21"/>
                <w:szCs w:val="21"/>
                <w:lang w:eastAsia="zh-CN"/>
              </w:rPr>
            </w:pPr>
            <w:r>
              <w:rPr>
                <w:rFonts w:hint="eastAsia" w:ascii="方正黑体_GBK" w:hAnsi="方正黑体_GBK" w:eastAsia="方正黑体_GBK" w:cs="方正黑体_GBK"/>
                <w:bCs/>
                <w:color w:val="auto"/>
                <w:sz w:val="21"/>
                <w:szCs w:val="21"/>
                <w:lang w:eastAsia="zh-CN"/>
              </w:rPr>
              <w:t>农村生活污水集中处理设施规模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blHeader/>
          <w:jc w:val="center"/>
        </w:trPr>
        <w:tc>
          <w:tcPr>
            <w:tcW w:w="2624" w:type="dxa"/>
            <w:vMerge w:val="continue"/>
            <w:tcBorders>
              <w:top w:val="nil"/>
            </w:tcBorders>
            <w:noWrap w:val="0"/>
            <w:vAlign w:val="center"/>
          </w:tcPr>
          <w:p>
            <w:pPr>
              <w:widowControl w:val="0"/>
              <w:adjustRightInd/>
              <w:spacing w:line="216" w:lineRule="auto"/>
              <w:ind w:firstLine="420"/>
              <w:jc w:val="center"/>
              <w:rPr>
                <w:rFonts w:hint="eastAsia" w:ascii="方正黑体_GBK" w:hAnsi="方正黑体_GBK" w:eastAsia="方正黑体_GBK" w:cs="方正黑体_GBK"/>
                <w:bCs/>
                <w:color w:val="auto"/>
                <w:sz w:val="21"/>
                <w:szCs w:val="21"/>
              </w:rPr>
            </w:pPr>
          </w:p>
        </w:tc>
        <w:tc>
          <w:tcPr>
            <w:tcW w:w="2206" w:type="dxa"/>
            <w:noWrap w:val="0"/>
            <w:vAlign w:val="center"/>
          </w:tcPr>
          <w:p>
            <w:pPr>
              <w:pStyle w:val="33"/>
              <w:snapToGrid w:val="0"/>
              <w:spacing w:before="0" w:line="192"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大于500m</w:t>
            </w:r>
            <w:r>
              <w:rPr>
                <w:rFonts w:hint="eastAsia" w:ascii="方正黑体_GBK" w:hAnsi="方正黑体_GBK" w:eastAsia="方正黑体_GBK" w:cs="方正黑体_GBK"/>
                <w:bCs/>
                <w:color w:val="auto"/>
                <w:position w:val="6"/>
                <w:sz w:val="21"/>
                <w:szCs w:val="21"/>
              </w:rPr>
              <w:t>3</w:t>
            </w:r>
            <w:r>
              <w:rPr>
                <w:rFonts w:hint="eastAsia" w:ascii="方正黑体_GBK" w:hAnsi="方正黑体_GBK" w:eastAsia="方正黑体_GBK" w:cs="方正黑体_GBK"/>
                <w:bCs/>
                <w:color w:val="auto"/>
                <w:sz w:val="21"/>
                <w:szCs w:val="21"/>
              </w:rPr>
              <w:t>/d</w:t>
            </w:r>
          </w:p>
          <w:p>
            <w:pPr>
              <w:pStyle w:val="33"/>
              <w:snapToGrid w:val="0"/>
              <w:spacing w:before="0" w:line="192"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（含500 m</w:t>
            </w:r>
            <w:r>
              <w:rPr>
                <w:rFonts w:hint="eastAsia" w:ascii="方正黑体_GBK" w:hAnsi="方正黑体_GBK" w:eastAsia="方正黑体_GBK" w:cs="方正黑体_GBK"/>
                <w:bCs/>
                <w:color w:val="auto"/>
                <w:position w:val="7"/>
                <w:sz w:val="21"/>
                <w:szCs w:val="21"/>
              </w:rPr>
              <w:t>3</w:t>
            </w:r>
            <w:r>
              <w:rPr>
                <w:rFonts w:hint="eastAsia" w:ascii="方正黑体_GBK" w:hAnsi="方正黑体_GBK" w:eastAsia="方正黑体_GBK" w:cs="方正黑体_GBK"/>
                <w:bCs/>
                <w:color w:val="auto"/>
                <w:sz w:val="21"/>
                <w:szCs w:val="21"/>
              </w:rPr>
              <w:t>/d）</w:t>
            </w:r>
          </w:p>
        </w:tc>
        <w:tc>
          <w:tcPr>
            <w:tcW w:w="2527" w:type="dxa"/>
            <w:noWrap w:val="0"/>
            <w:vAlign w:val="center"/>
          </w:tcPr>
          <w:p>
            <w:pPr>
              <w:pStyle w:val="33"/>
              <w:snapToGrid w:val="0"/>
              <w:spacing w:before="0" w:line="192"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100m</w:t>
            </w:r>
            <w:r>
              <w:rPr>
                <w:rFonts w:hint="eastAsia" w:ascii="方正黑体_GBK" w:hAnsi="方正黑体_GBK" w:eastAsia="方正黑体_GBK" w:cs="方正黑体_GBK"/>
                <w:bCs/>
                <w:color w:val="auto"/>
                <w:position w:val="6"/>
                <w:sz w:val="21"/>
                <w:szCs w:val="21"/>
              </w:rPr>
              <w:t>3</w:t>
            </w:r>
            <w:r>
              <w:rPr>
                <w:rFonts w:hint="eastAsia" w:ascii="方正黑体_GBK" w:hAnsi="方正黑体_GBK" w:eastAsia="方正黑体_GBK" w:cs="方正黑体_GBK"/>
                <w:bCs/>
                <w:color w:val="auto"/>
                <w:sz w:val="21"/>
                <w:szCs w:val="21"/>
              </w:rPr>
              <w:t xml:space="preserve">/d（含100 </w:t>
            </w:r>
            <w:r>
              <w:rPr>
                <w:rFonts w:hint="eastAsia" w:ascii="方正黑体_GBK" w:hAnsi="方正黑体_GBK" w:eastAsia="方正黑体_GBK" w:cs="方正黑体_GBK"/>
                <w:bCs/>
                <w:color w:val="auto"/>
                <w:position w:val="6"/>
                <w:sz w:val="21"/>
                <w:szCs w:val="21"/>
              </w:rPr>
              <w:t>3</w:t>
            </w:r>
            <w:r>
              <w:rPr>
                <w:rFonts w:hint="eastAsia" w:ascii="方正黑体_GBK" w:hAnsi="方正黑体_GBK" w:eastAsia="方正黑体_GBK" w:cs="方正黑体_GBK"/>
                <w:bCs/>
                <w:color w:val="auto"/>
                <w:sz w:val="21"/>
                <w:szCs w:val="21"/>
              </w:rPr>
              <w:t>/d）～500m</w:t>
            </w:r>
            <w:r>
              <w:rPr>
                <w:rFonts w:hint="eastAsia" w:ascii="方正黑体_GBK" w:hAnsi="方正黑体_GBK" w:eastAsia="方正黑体_GBK" w:cs="方正黑体_GBK"/>
                <w:bCs/>
                <w:color w:val="auto"/>
                <w:position w:val="6"/>
                <w:sz w:val="21"/>
                <w:szCs w:val="21"/>
              </w:rPr>
              <w:t>3</w:t>
            </w:r>
            <w:r>
              <w:rPr>
                <w:rFonts w:hint="eastAsia" w:ascii="方正黑体_GBK" w:hAnsi="方正黑体_GBK" w:eastAsia="方正黑体_GBK" w:cs="方正黑体_GBK"/>
                <w:bCs/>
                <w:color w:val="auto"/>
                <w:sz w:val="21"/>
                <w:szCs w:val="21"/>
              </w:rPr>
              <w:t>/d（不含500m</w:t>
            </w:r>
            <w:r>
              <w:rPr>
                <w:rFonts w:hint="eastAsia" w:ascii="方正黑体_GBK" w:hAnsi="方正黑体_GBK" w:eastAsia="方正黑体_GBK" w:cs="方正黑体_GBK"/>
                <w:bCs/>
                <w:color w:val="auto"/>
                <w:position w:val="6"/>
                <w:sz w:val="21"/>
                <w:szCs w:val="21"/>
              </w:rPr>
              <w:t>3</w:t>
            </w:r>
            <w:r>
              <w:rPr>
                <w:rFonts w:hint="eastAsia" w:ascii="方正黑体_GBK" w:hAnsi="方正黑体_GBK" w:eastAsia="方正黑体_GBK" w:cs="方正黑体_GBK"/>
                <w:bCs/>
                <w:color w:val="auto"/>
                <w:sz w:val="21"/>
                <w:szCs w:val="21"/>
              </w:rPr>
              <w:t>/d）</w:t>
            </w:r>
          </w:p>
        </w:tc>
        <w:tc>
          <w:tcPr>
            <w:tcW w:w="1704" w:type="dxa"/>
            <w:noWrap w:val="0"/>
            <w:vAlign w:val="center"/>
          </w:tcPr>
          <w:p>
            <w:pPr>
              <w:pStyle w:val="33"/>
              <w:snapToGrid w:val="0"/>
              <w:spacing w:before="0" w:line="216"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小于100m</w:t>
            </w:r>
            <w:r>
              <w:rPr>
                <w:rFonts w:hint="eastAsia" w:ascii="方正黑体_GBK" w:hAnsi="方正黑体_GBK" w:eastAsia="方正黑体_GBK" w:cs="方正黑体_GBK"/>
                <w:bCs/>
                <w:color w:val="auto"/>
                <w:position w:val="6"/>
                <w:sz w:val="21"/>
                <w:szCs w:val="21"/>
              </w:rPr>
              <w:t>3</w:t>
            </w:r>
            <w:r>
              <w:rPr>
                <w:rFonts w:hint="eastAsia" w:ascii="方正黑体_GBK" w:hAnsi="方正黑体_GBK" w:eastAsia="方正黑体_GBK" w:cs="方正黑体_GBK"/>
                <w:bCs/>
                <w:color w:val="auto"/>
                <w:sz w:val="21"/>
                <w:szCs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jc w:val="center"/>
        </w:trPr>
        <w:tc>
          <w:tcPr>
            <w:tcW w:w="2624" w:type="dxa"/>
            <w:noWrap w:val="0"/>
            <w:vAlign w:val="center"/>
          </w:tcPr>
          <w:p>
            <w:pPr>
              <w:pStyle w:val="33"/>
              <w:snapToGrid w:val="0"/>
              <w:spacing w:before="0" w:line="216" w:lineRule="auto"/>
              <w:ind w:firstLine="0" w:firstLineChars="0"/>
              <w:jc w:val="both"/>
              <w:rPr>
                <w:rFonts w:ascii="Times New Roman" w:hAnsi="Times New Roman" w:eastAsia="方正仿宋_GBK" w:cs="Times New Roman"/>
                <w:color w:val="auto"/>
                <w:sz w:val="21"/>
                <w:szCs w:val="21"/>
                <w:lang w:eastAsia="zh-CN"/>
              </w:rPr>
            </w:pPr>
            <w:r>
              <w:rPr>
                <w:rFonts w:ascii="Times New Roman" w:hAnsi="Times New Roman" w:eastAsia="方正仿宋_GBK" w:cs="Times New Roman"/>
                <w:color w:val="auto"/>
                <w:sz w:val="21"/>
                <w:szCs w:val="21"/>
                <w:lang w:eastAsia="zh-CN"/>
              </w:rPr>
              <w:t>直接排入长江干流、乌江干流、嘉陵江干流、湖泊水库、未达到水环境功能类别的水体</w:t>
            </w:r>
          </w:p>
        </w:tc>
        <w:tc>
          <w:tcPr>
            <w:tcW w:w="2206" w:type="dxa"/>
            <w:noWrap w:val="0"/>
            <w:vAlign w:val="center"/>
          </w:tcPr>
          <w:p>
            <w:pPr>
              <w:pStyle w:val="33"/>
              <w:snapToGrid w:val="0"/>
              <w:spacing w:before="0" w:line="216" w:lineRule="auto"/>
              <w:ind w:firstLine="0" w:firstLineChars="0"/>
              <w:jc w:val="both"/>
              <w:rPr>
                <w:rFonts w:ascii="Times New Roman" w:hAnsi="Times New Roman" w:eastAsia="方正仿宋_GBK" w:cs="Times New Roman"/>
                <w:color w:val="auto"/>
                <w:sz w:val="21"/>
                <w:szCs w:val="21"/>
                <w:lang w:eastAsia="zh-CN"/>
              </w:rPr>
            </w:pPr>
            <w:r>
              <w:rPr>
                <w:rFonts w:ascii="Times New Roman" w:hAnsi="Times New Roman" w:eastAsia="方正仿宋_GBK" w:cs="Times New Roman"/>
                <w:color w:val="auto"/>
                <w:sz w:val="21"/>
                <w:szCs w:val="21"/>
                <w:lang w:eastAsia="zh-CN"/>
              </w:rPr>
              <w:t>《城镇污水处理厂污染物排放标准》（GB18918）</w:t>
            </w:r>
          </w:p>
        </w:tc>
        <w:tc>
          <w:tcPr>
            <w:tcW w:w="2527" w:type="dxa"/>
            <w:noWrap w:val="0"/>
            <w:vAlign w:val="center"/>
          </w:tcPr>
          <w:p>
            <w:pPr>
              <w:pStyle w:val="33"/>
              <w:snapToGrid w:val="0"/>
              <w:spacing w:before="0" w:line="216" w:lineRule="auto"/>
              <w:ind w:firstLine="0" w:firstLineChars="0"/>
              <w:rPr>
                <w:rFonts w:ascii="Times New Roman" w:hAnsi="Times New Roman" w:eastAsia="方正仿宋_GBK" w:cs="Times New Roman"/>
                <w:color w:val="auto"/>
                <w:sz w:val="21"/>
                <w:szCs w:val="21"/>
              </w:rPr>
            </w:pPr>
            <w:sdt>
              <w:sdtPr>
                <w:rPr>
                  <w:color w:val="auto"/>
                </w:rPr>
                <w:alias w:val="易错词检查"/>
                <w:id w:val="3071055"/>
              </w:sdtPr>
              <w:sdtEndPr>
                <w:rPr>
                  <w:color w:val="auto"/>
                </w:rPr>
              </w:sdtEndPr>
              <w:sdtContent>
                <w:bookmarkStart w:id="398" w:name="bkReivew3071055"/>
                <w:r>
                  <w:rPr>
                    <w:rFonts w:ascii="Times New Roman" w:hAnsi="Times New Roman" w:eastAsia="方正仿宋_GBK" w:cs="Times New Roman"/>
                    <w:color w:val="auto"/>
                    <w:sz w:val="21"/>
                    <w:szCs w:val="21"/>
                  </w:rPr>
                  <w:t>一级标准</w:t>
                </w:r>
                <w:bookmarkEnd w:id="398"/>
              </w:sdtContent>
            </w:sdt>
          </w:p>
        </w:tc>
        <w:tc>
          <w:tcPr>
            <w:tcW w:w="1704" w:type="dxa"/>
            <w:noWrap w:val="0"/>
            <w:vAlign w:val="center"/>
          </w:tcPr>
          <w:p>
            <w:pPr>
              <w:pStyle w:val="33"/>
              <w:snapToGrid w:val="0"/>
              <w:spacing w:before="0" w:line="216" w:lineRule="auto"/>
              <w:ind w:firstLine="0" w:firstLineChars="0"/>
              <w:rPr>
                <w:rFonts w:ascii="Times New Roman" w:hAnsi="Times New Roman" w:eastAsia="方正仿宋_GBK" w:cs="Times New Roman"/>
                <w:color w:val="auto"/>
                <w:sz w:val="21"/>
                <w:szCs w:val="21"/>
              </w:rPr>
            </w:pPr>
            <w:sdt>
              <w:sdtPr>
                <w:rPr>
                  <w:color w:val="auto"/>
                </w:rPr>
                <w:alias w:val="易错词检查"/>
                <w:id w:val="3133816"/>
              </w:sdtPr>
              <w:sdtEndPr>
                <w:rPr>
                  <w:color w:val="auto"/>
                </w:rPr>
              </w:sdtEndPr>
              <w:sdtContent>
                <w:bookmarkStart w:id="399" w:name="bkReivew3133816"/>
                <w:r>
                  <w:rPr>
                    <w:rFonts w:ascii="Times New Roman" w:hAnsi="Times New Roman" w:eastAsia="方正仿宋_GBK" w:cs="Times New Roman"/>
                    <w:color w:val="auto"/>
                    <w:sz w:val="21"/>
                    <w:szCs w:val="21"/>
                  </w:rPr>
                  <w:t>一级标准</w:t>
                </w:r>
                <w:bookmarkEnd w:id="399"/>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4" w:hRule="atLeast"/>
          <w:jc w:val="center"/>
        </w:trPr>
        <w:tc>
          <w:tcPr>
            <w:tcW w:w="2624" w:type="dxa"/>
            <w:noWrap w:val="0"/>
            <w:vAlign w:val="center"/>
          </w:tcPr>
          <w:p>
            <w:pPr>
              <w:pStyle w:val="33"/>
              <w:snapToGrid w:val="0"/>
              <w:spacing w:before="0" w:line="216" w:lineRule="auto"/>
              <w:ind w:firstLine="0" w:firstLineChars="0"/>
              <w:rPr>
                <w:rFonts w:ascii="Times New Roman" w:hAnsi="Times New Roman" w:eastAsia="方正仿宋_GBK" w:cs="Times New Roman"/>
                <w:color w:val="auto"/>
                <w:sz w:val="21"/>
                <w:szCs w:val="21"/>
              </w:rPr>
            </w:pPr>
            <w:r>
              <w:rPr>
                <w:rFonts w:ascii="Times New Roman" w:hAnsi="Times New Roman" w:eastAsia="方正仿宋_GBK" w:cs="Times New Roman"/>
                <w:color w:val="auto"/>
                <w:sz w:val="21"/>
                <w:szCs w:val="21"/>
              </w:rPr>
              <w:t>排入</w:t>
            </w:r>
            <w:sdt>
              <w:sdtPr>
                <w:rPr>
                  <w:color w:val="auto"/>
                </w:rPr>
                <w:alias w:val="非推荐词"/>
                <w:id w:val="3073851"/>
              </w:sdtPr>
              <w:sdtEndPr>
                <w:rPr>
                  <w:color w:val="auto"/>
                </w:rPr>
              </w:sdtEndPr>
              <w:sdtContent>
                <w:bookmarkStart w:id="400" w:name="bkReivew3073851"/>
                <w:r>
                  <w:rPr>
                    <w:rFonts w:ascii="Times New Roman" w:hAnsi="Times New Roman" w:eastAsia="方正仿宋_GBK" w:cs="Times New Roman"/>
                    <w:color w:val="auto"/>
                    <w:sz w:val="21"/>
                    <w:szCs w:val="21"/>
                  </w:rPr>
                  <w:t>其它</w:t>
                </w:r>
                <w:bookmarkEnd w:id="400"/>
              </w:sdtContent>
            </w:sdt>
            <w:r>
              <w:rPr>
                <w:rFonts w:ascii="Times New Roman" w:hAnsi="Times New Roman" w:eastAsia="方正仿宋_GBK" w:cs="Times New Roman"/>
                <w:color w:val="auto"/>
                <w:sz w:val="21"/>
                <w:szCs w:val="21"/>
              </w:rPr>
              <w:t>水体</w:t>
            </w:r>
          </w:p>
        </w:tc>
        <w:tc>
          <w:tcPr>
            <w:tcW w:w="2206" w:type="dxa"/>
            <w:noWrap w:val="0"/>
            <w:vAlign w:val="center"/>
          </w:tcPr>
          <w:p>
            <w:pPr>
              <w:pStyle w:val="33"/>
              <w:snapToGrid w:val="0"/>
              <w:spacing w:before="0" w:line="216" w:lineRule="auto"/>
              <w:ind w:firstLine="0" w:firstLineChars="0"/>
              <w:jc w:val="both"/>
              <w:rPr>
                <w:rFonts w:ascii="Times New Roman" w:hAnsi="Times New Roman" w:eastAsia="方正仿宋_GBK" w:cs="Times New Roman"/>
                <w:color w:val="auto"/>
                <w:sz w:val="21"/>
                <w:szCs w:val="21"/>
                <w:lang w:eastAsia="zh-CN"/>
              </w:rPr>
            </w:pPr>
            <w:r>
              <w:rPr>
                <w:rFonts w:ascii="Times New Roman" w:hAnsi="Times New Roman" w:eastAsia="方正仿宋_GBK" w:cs="Times New Roman"/>
                <w:color w:val="auto"/>
                <w:sz w:val="21"/>
                <w:szCs w:val="21"/>
                <w:lang w:eastAsia="zh-CN"/>
              </w:rPr>
              <w:t>《城镇污水处理厂污染物排放标准》（GB18918）</w:t>
            </w:r>
          </w:p>
        </w:tc>
        <w:tc>
          <w:tcPr>
            <w:tcW w:w="2527" w:type="dxa"/>
            <w:noWrap w:val="0"/>
            <w:vAlign w:val="center"/>
          </w:tcPr>
          <w:p>
            <w:pPr>
              <w:pStyle w:val="33"/>
              <w:snapToGrid w:val="0"/>
              <w:spacing w:before="0" w:line="216" w:lineRule="auto"/>
              <w:ind w:firstLine="0" w:firstLineChars="0"/>
              <w:rPr>
                <w:rFonts w:ascii="Times New Roman" w:hAnsi="Times New Roman" w:eastAsia="方正仿宋_GBK" w:cs="Times New Roman"/>
                <w:color w:val="auto"/>
                <w:sz w:val="21"/>
                <w:szCs w:val="21"/>
              </w:rPr>
            </w:pPr>
            <w:sdt>
              <w:sdtPr>
                <w:rPr>
                  <w:color w:val="auto"/>
                </w:rPr>
                <w:alias w:val="易错词检查"/>
                <w:id w:val="3020831"/>
              </w:sdtPr>
              <w:sdtEndPr>
                <w:rPr>
                  <w:color w:val="auto"/>
                </w:rPr>
              </w:sdtEndPr>
              <w:sdtContent>
                <w:bookmarkStart w:id="401" w:name="bkReivew3020831"/>
                <w:r>
                  <w:rPr>
                    <w:rFonts w:ascii="Times New Roman" w:hAnsi="Times New Roman" w:eastAsia="方正仿宋_GBK" w:cs="Times New Roman"/>
                    <w:color w:val="auto"/>
                    <w:sz w:val="21"/>
                    <w:szCs w:val="21"/>
                  </w:rPr>
                  <w:t>一级标准</w:t>
                </w:r>
                <w:bookmarkEnd w:id="401"/>
              </w:sdtContent>
            </w:sdt>
          </w:p>
        </w:tc>
        <w:tc>
          <w:tcPr>
            <w:tcW w:w="1704" w:type="dxa"/>
            <w:noWrap w:val="0"/>
            <w:vAlign w:val="center"/>
          </w:tcPr>
          <w:p>
            <w:pPr>
              <w:pStyle w:val="33"/>
              <w:snapToGrid w:val="0"/>
              <w:spacing w:before="0" w:line="216" w:lineRule="auto"/>
              <w:ind w:firstLine="0" w:firstLineChars="0"/>
              <w:rPr>
                <w:rFonts w:ascii="Times New Roman" w:hAnsi="Times New Roman" w:eastAsia="方正仿宋_GBK" w:cs="Times New Roman"/>
                <w:color w:val="auto"/>
                <w:sz w:val="21"/>
                <w:szCs w:val="21"/>
              </w:rPr>
            </w:pPr>
            <w:r>
              <w:rPr>
                <w:rFonts w:ascii="Times New Roman" w:hAnsi="Times New Roman" w:eastAsia="方正仿宋_GBK" w:cs="Times New Roman"/>
                <w:color w:val="auto"/>
                <w:sz w:val="21"/>
                <w:szCs w:val="21"/>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jc w:val="center"/>
        </w:trPr>
        <w:tc>
          <w:tcPr>
            <w:tcW w:w="9061" w:type="dxa"/>
            <w:gridSpan w:val="4"/>
            <w:noWrap w:val="0"/>
            <w:vAlign w:val="center"/>
          </w:tcPr>
          <w:p>
            <w:pPr>
              <w:pStyle w:val="33"/>
              <w:snapToGrid w:val="0"/>
              <w:spacing w:before="0" w:line="216" w:lineRule="auto"/>
              <w:ind w:firstLine="0" w:firstLineChars="0"/>
              <w:jc w:val="both"/>
              <w:rPr>
                <w:rFonts w:ascii="Times New Roman" w:hAnsi="Times New Roman" w:eastAsia="方正仿宋_GBK" w:cs="Times New Roman"/>
                <w:color w:val="auto"/>
                <w:sz w:val="21"/>
                <w:szCs w:val="21"/>
                <w:lang w:eastAsia="zh-CN"/>
              </w:rPr>
            </w:pPr>
            <w:r>
              <w:rPr>
                <w:rFonts w:hint="eastAsia" w:ascii="方正楷体_GBK" w:hAnsi="方正楷体_GBK" w:eastAsia="方正楷体_GBK" w:cs="方正楷体_GBK"/>
                <w:color w:val="auto"/>
                <w:sz w:val="21"/>
                <w:szCs w:val="21"/>
                <w:lang w:eastAsia="zh-CN"/>
              </w:rPr>
              <w:t>注1：直接排入是指生活污水集中处理设施的排放口距受纳水体的距离在2km以内。</w:t>
            </w:r>
          </w:p>
        </w:tc>
      </w:tr>
    </w:tbl>
    <w:p>
      <w:pPr>
        <w:widowControl w:val="0"/>
        <w:spacing w:line="264"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表5.2-2  水污染物最高允许排放浓度限值</w:t>
      </w:r>
    </w:p>
    <w:tbl>
      <w:tblPr>
        <w:tblStyle w:val="2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37"/>
        <w:gridCol w:w="3430"/>
        <w:gridCol w:w="2342"/>
        <w:gridCol w:w="24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7" w:hRule="atLeast"/>
          <w:jc w:val="center"/>
        </w:trPr>
        <w:tc>
          <w:tcPr>
            <w:tcW w:w="837" w:type="dxa"/>
            <w:tcBorders>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序号</w:t>
            </w:r>
          </w:p>
        </w:tc>
        <w:tc>
          <w:tcPr>
            <w:tcW w:w="3430" w:type="dxa"/>
            <w:tcBorders>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控制项目名称</w:t>
            </w:r>
          </w:p>
        </w:tc>
        <w:tc>
          <w:tcPr>
            <w:tcW w:w="2342" w:type="dxa"/>
            <w:tcBorders>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黑体_GBK" w:hAnsi="方正黑体_GBK" w:eastAsia="方正黑体_GBK" w:cs="方正黑体_GBK"/>
                <w:bCs/>
                <w:color w:val="auto"/>
                <w:sz w:val="21"/>
                <w:szCs w:val="21"/>
              </w:rPr>
            </w:pPr>
            <w:sdt>
              <w:sdtPr>
                <w:rPr>
                  <w:color w:val="auto"/>
                </w:rPr>
                <w:alias w:val="易错词检查"/>
                <w:id w:val="43020"/>
              </w:sdtPr>
              <w:sdtEndPr>
                <w:rPr>
                  <w:color w:val="auto"/>
                </w:rPr>
              </w:sdtEndPr>
              <w:sdtContent>
                <w:bookmarkStart w:id="402" w:name="bkReivew43020"/>
                <w:r>
                  <w:rPr>
                    <w:rFonts w:hint="eastAsia" w:ascii="方正黑体_GBK" w:hAnsi="方正黑体_GBK" w:eastAsia="方正黑体_GBK" w:cs="方正黑体_GBK"/>
                    <w:bCs/>
                    <w:color w:val="auto"/>
                    <w:sz w:val="21"/>
                    <w:szCs w:val="21"/>
                  </w:rPr>
                  <w:t>一级标准</w:t>
                </w:r>
                <w:bookmarkEnd w:id="402"/>
              </w:sdtContent>
            </w:sdt>
          </w:p>
        </w:tc>
        <w:tc>
          <w:tcPr>
            <w:tcW w:w="2452" w:type="dxa"/>
            <w:tcBorders>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二级标准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837" w:type="dxa"/>
            <w:tcBorders>
              <w:top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1</w:t>
            </w:r>
          </w:p>
        </w:tc>
        <w:tc>
          <w:tcPr>
            <w:tcW w:w="3430"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pH值</w:t>
            </w:r>
          </w:p>
        </w:tc>
        <w:tc>
          <w:tcPr>
            <w:tcW w:w="4794"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8" w:hRule="atLeast"/>
          <w:jc w:val="center"/>
        </w:trPr>
        <w:tc>
          <w:tcPr>
            <w:tcW w:w="837" w:type="dxa"/>
            <w:tcBorders>
              <w:top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2</w:t>
            </w:r>
          </w:p>
        </w:tc>
        <w:tc>
          <w:tcPr>
            <w:tcW w:w="3430"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化学需氧量</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COD</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vertAlign w:val="subscript"/>
              </w:rPr>
              <w:t>C</w:t>
            </w:r>
            <w:r>
              <w:rPr>
                <w:rFonts w:hint="eastAsia" w:ascii="方正仿宋_GBK" w:hAnsi="方正仿宋_GBK" w:eastAsia="方正仿宋_GBK" w:cs="方正仿宋_GBK"/>
                <w:color w:val="auto"/>
                <w:sz w:val="21"/>
                <w:szCs w:val="21"/>
              </w:rPr>
              <w:t>，mg/L</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80</w:t>
            </w:r>
          </w:p>
        </w:tc>
        <w:tc>
          <w:tcPr>
            <w:tcW w:w="2453"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84" w:hRule="atLeast"/>
          <w:jc w:val="center"/>
        </w:trPr>
        <w:tc>
          <w:tcPr>
            <w:tcW w:w="837" w:type="dxa"/>
            <w:tcBorders>
              <w:top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3</w:t>
            </w:r>
          </w:p>
        </w:tc>
        <w:tc>
          <w:tcPr>
            <w:tcW w:w="3430"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悬浮物</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SS</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，mg/L</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30</w:t>
            </w:r>
          </w:p>
        </w:tc>
        <w:tc>
          <w:tcPr>
            <w:tcW w:w="2453"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3" w:hRule="atLeast"/>
          <w:jc w:val="center"/>
        </w:trPr>
        <w:tc>
          <w:tcPr>
            <w:tcW w:w="837" w:type="dxa"/>
            <w:tcBorders>
              <w:top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lang w:eastAsia="zh-CN"/>
              </w:rPr>
            </w:pPr>
            <w:r>
              <w:rPr>
                <w:rFonts w:hint="eastAsia" w:ascii="方正仿宋_GBK" w:hAnsi="方正仿宋_GBK" w:eastAsia="方正仿宋_GBK" w:cs="方正仿宋_GBK"/>
                <w:color w:val="auto"/>
                <w:sz w:val="21"/>
                <w:szCs w:val="21"/>
                <w:lang w:eastAsia="zh-CN"/>
              </w:rPr>
              <w:t>4</w:t>
            </w:r>
          </w:p>
        </w:tc>
        <w:tc>
          <w:tcPr>
            <w:tcW w:w="3430"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position w:val="1"/>
                <w:sz w:val="21"/>
                <w:szCs w:val="21"/>
              </w:rPr>
              <w:t>氨氮</w:t>
            </w:r>
            <w:r>
              <w:rPr>
                <w:rFonts w:hint="eastAsia" w:ascii="方正仿宋_GBK" w:hAnsi="方正仿宋_GBK" w:eastAsia="方正仿宋_GBK" w:cs="方正仿宋_GBK"/>
                <w:color w:val="auto"/>
                <w:position w:val="1"/>
                <w:sz w:val="21"/>
                <w:szCs w:val="21"/>
                <w:lang w:eastAsia="zh-CN"/>
              </w:rPr>
              <w:t>（</w:t>
            </w:r>
            <w:r>
              <w:rPr>
                <w:rFonts w:hint="eastAsia" w:ascii="方正仿宋_GBK" w:hAnsi="方正仿宋_GBK" w:eastAsia="方正仿宋_GBK" w:cs="方正仿宋_GBK"/>
                <w:color w:val="auto"/>
                <w:position w:val="1"/>
                <w:sz w:val="21"/>
                <w:szCs w:val="21"/>
              </w:rPr>
              <w:t>NH</w:t>
            </w:r>
            <w:r>
              <w:rPr>
                <w:rFonts w:hint="eastAsia" w:ascii="方正仿宋_GBK" w:hAnsi="方正仿宋_GBK" w:eastAsia="方正仿宋_GBK" w:cs="方正仿宋_GBK"/>
                <w:color w:val="auto"/>
                <w:sz w:val="21"/>
                <w:szCs w:val="21"/>
              </w:rPr>
              <w:t>3</w:t>
            </w:r>
            <w:r>
              <w:rPr>
                <w:rFonts w:hint="eastAsia" w:ascii="方正仿宋_GBK" w:hAnsi="方正仿宋_GBK" w:eastAsia="方正仿宋_GBK" w:cs="方正仿宋_GBK"/>
                <w:color w:val="auto"/>
                <w:position w:val="1"/>
                <w:sz w:val="21"/>
                <w:szCs w:val="21"/>
              </w:rPr>
              <w:t>-N</w:t>
            </w:r>
            <w:r>
              <w:rPr>
                <w:rFonts w:hint="eastAsia" w:ascii="方正仿宋_GBK" w:hAnsi="方正仿宋_GBK" w:eastAsia="方正仿宋_GBK" w:cs="方正仿宋_GBK"/>
                <w:color w:val="auto"/>
                <w:position w:val="1"/>
                <w:sz w:val="21"/>
                <w:szCs w:val="21"/>
                <w:lang w:eastAsia="zh-CN"/>
              </w:rPr>
              <w:t>）</w:t>
            </w:r>
            <w:r>
              <w:rPr>
                <w:rFonts w:hint="eastAsia" w:ascii="方正仿宋_GBK" w:hAnsi="方正仿宋_GBK" w:eastAsia="方正仿宋_GBK" w:cs="方正仿宋_GBK"/>
                <w:color w:val="auto"/>
                <w:position w:val="1"/>
                <w:sz w:val="21"/>
                <w:szCs w:val="21"/>
              </w:rPr>
              <w:t>，g/L</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20</w:t>
            </w:r>
          </w:p>
        </w:tc>
        <w:tc>
          <w:tcPr>
            <w:tcW w:w="2453"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8" w:hRule="atLeast"/>
          <w:jc w:val="center"/>
        </w:trPr>
        <w:tc>
          <w:tcPr>
            <w:tcW w:w="837" w:type="dxa"/>
            <w:tcBorders>
              <w:top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5</w:t>
            </w:r>
          </w:p>
        </w:tc>
        <w:tc>
          <w:tcPr>
            <w:tcW w:w="3430"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总磷</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以P计</w:t>
            </w:r>
            <w:r>
              <w:rPr>
                <w:rFonts w:hint="eastAsia" w:ascii="方正仿宋_GBK" w:hAnsi="方正仿宋_GBK" w:eastAsia="方正仿宋_GBK" w:cs="方正仿宋_GBK"/>
                <w:color w:val="auto"/>
                <w:sz w:val="21"/>
                <w:szCs w:val="21"/>
                <w:lang w:eastAsia="zh-CN"/>
              </w:rPr>
              <w:t>）</w:t>
            </w:r>
            <w:r>
              <w:rPr>
                <w:rFonts w:hint="eastAsia" w:ascii="方正仿宋_GBK" w:hAnsi="方正仿宋_GBK" w:eastAsia="方正仿宋_GBK" w:cs="方正仿宋_GBK"/>
                <w:color w:val="auto"/>
                <w:sz w:val="21"/>
                <w:szCs w:val="21"/>
              </w:rPr>
              <w:t>，g/L</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3.0</w:t>
            </w:r>
          </w:p>
        </w:tc>
        <w:tc>
          <w:tcPr>
            <w:tcW w:w="2453"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69" w:hRule="atLeast"/>
          <w:jc w:val="center"/>
        </w:trPr>
        <w:tc>
          <w:tcPr>
            <w:tcW w:w="837" w:type="dxa"/>
            <w:tcBorders>
              <w:top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6</w:t>
            </w:r>
          </w:p>
        </w:tc>
        <w:tc>
          <w:tcPr>
            <w:tcW w:w="3430"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动植物油，mg/L</w:t>
            </w:r>
          </w:p>
        </w:tc>
        <w:tc>
          <w:tcPr>
            <w:tcW w:w="2341"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5</w:t>
            </w:r>
          </w:p>
        </w:tc>
        <w:tc>
          <w:tcPr>
            <w:tcW w:w="2453" w:type="dxa"/>
            <w:tcBorders>
              <w:top w:val="single" w:color="000000" w:sz="4" w:space="0"/>
              <w:left w:val="single" w:color="000000" w:sz="4" w:space="0"/>
              <w:bottom w:val="single" w:color="000000" w:sz="4" w:space="0"/>
              <w:right w:val="single" w:color="000000" w:sz="4" w:space="0"/>
            </w:tcBorders>
            <w:noWrap w:val="0"/>
            <w:vAlign w:val="center"/>
          </w:tcPr>
          <w:p>
            <w:pPr>
              <w:pStyle w:val="33"/>
              <w:snapToGrid w:val="0"/>
              <w:spacing w:before="0" w:line="240" w:lineRule="auto"/>
              <w:ind w:firstLine="0" w:firstLineChars="0"/>
              <w:rPr>
                <w:rFonts w:hint="eastAsia" w:ascii="方正仿宋_GBK" w:hAnsi="方正仿宋_GBK" w:eastAsia="方正仿宋_GBK" w:cs="方正仿宋_GBK"/>
                <w:color w:val="auto"/>
                <w:sz w:val="21"/>
                <w:szCs w:val="21"/>
              </w:rPr>
            </w:pPr>
            <w:r>
              <w:rPr>
                <w:rFonts w:hint="eastAsia" w:ascii="方正仿宋_GBK" w:hAnsi="方正仿宋_GBK" w:eastAsia="方正仿宋_GBK" w:cs="方正仿宋_GBK"/>
                <w:color w:val="auto"/>
                <w:sz w:val="21"/>
                <w:szCs w:val="21"/>
              </w:rPr>
              <w:t>10</w:t>
            </w:r>
          </w:p>
        </w:tc>
      </w:tr>
    </w:tbl>
    <w:p>
      <w:pPr>
        <w:widowControl w:val="0"/>
        <w:spacing w:line="264" w:lineRule="auto"/>
        <w:ind w:firstLine="640"/>
        <w:rPr>
          <w:rFonts w:hint="eastAsia" w:ascii="方正楷体_GBK" w:hAnsi="方正楷体_GBK" w:eastAsia="方正楷体_GBK" w:cs="方正楷体_GBK"/>
          <w:color w:val="auto"/>
        </w:rPr>
      </w:pPr>
      <w:bookmarkStart w:id="403" w:name="_Toc45199316"/>
      <w:bookmarkStart w:id="404" w:name="_Toc48318326"/>
      <w:r>
        <w:rPr>
          <w:rFonts w:hint="eastAsia" w:ascii="方正楷体_GBK" w:hAnsi="方正楷体_GBK" w:eastAsia="方正楷体_GBK" w:cs="方正楷体_GBK"/>
          <w:color w:val="auto"/>
        </w:rPr>
        <w:t>5.3  农村污水处理模式</w:t>
      </w:r>
      <w:bookmarkEnd w:id="403"/>
      <w:bookmarkEnd w:id="404"/>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永川区地形地貌复杂多样，地域发展不平衡，不同地域间农村差别较大，加之农村地区长期以来形成的居住方式，生活习惯等方面的差异，根据近年来开展的农村生活污水治理工作实践，规划推荐农村生活污水治理宜采用多元化的污水治理模式，具体包括进厂治理、村域自建分户或联户和传统资源化利用等污水治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（1）以村域收集的相对集中型治理模式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以村或自然村为收集区域建设管网，建小型污水处理站。主要针对人口相对集中的村，将生活污水经过管网收集后，收集到处理池中。污水处理工艺主要采用一体化污水设施。</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（2）分散型（单户、联户）治理模式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将农户污水进行联户或独户收集后单独治理，该治理模式具有布局灵活、节约管网铺设成本、施工简单等特点，适用于农户居住分散、地形条件复杂、施工难度较大、污水不易集中收集的村庄。主要采用厌氧池+人工湿地、三格式化粪池等处理工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（3）农家乐和民宿治理模式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农家乐和民宿需配备隔油池（器），对污水进行预处理。考虑到相关部门今后便于对农家乐及民宿管理，相关部门在进行审批时，应要求同步配套化粪池和隔油池。</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（4）资源化利用模式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针对农村家庭人口少，以传统旱厕形式收集</w:t>
      </w:r>
      <w:r>
        <w:rPr>
          <w:rFonts w:hint="eastAsia" w:ascii="方正仿宋_GBK" w:hAnsi="方正仿宋_GBK" w:cs="方正仿宋_GBK"/>
          <w:color w:val="auto"/>
          <w:lang w:eastAsia="zh-CN"/>
        </w:rPr>
        <w:t>粪</w:t>
      </w:r>
      <w:r>
        <w:rPr>
          <w:rFonts w:hint="eastAsia" w:ascii="方正仿宋_GBK" w:hAnsi="方正仿宋_GBK" w:cs="方正仿宋_GBK"/>
          <w:color w:val="auto"/>
        </w:rPr>
        <w:t>便的农户，可考虑进行资源化利用。可对厕所进行适当的改进，既符合卫生要求，又方便农业生产消纳利用。</w:t>
      </w:r>
    </w:p>
    <w:p>
      <w:pPr>
        <w:widowControl w:val="0"/>
        <w:spacing w:line="264" w:lineRule="auto"/>
        <w:ind w:firstLine="640"/>
        <w:rPr>
          <w:rFonts w:hint="eastAsia" w:ascii="方正楷体_GBK" w:hAnsi="方正楷体_GBK" w:eastAsia="方正楷体_GBK" w:cs="方正楷体_GBK"/>
          <w:color w:val="auto"/>
        </w:rPr>
      </w:pPr>
      <w:bookmarkStart w:id="405" w:name="_Toc45199317"/>
      <w:bookmarkStart w:id="406" w:name="_Toc48318327"/>
      <w:r>
        <w:rPr>
          <w:rFonts w:hint="eastAsia" w:ascii="方正楷体_GBK" w:hAnsi="方正楷体_GBK" w:eastAsia="方正楷体_GBK" w:cs="方正楷体_GBK"/>
          <w:color w:val="auto"/>
        </w:rPr>
        <w:t>5.4  处理工艺</w:t>
      </w:r>
      <w:bookmarkEnd w:id="405"/>
      <w:bookmarkEnd w:id="406"/>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结合《重庆市农村生活污水及生活垃圾处理适宜技术推荐（试行）》，重庆市农村生活污水的处理工艺常用的主要有：厌氧+潜流人工湿、微曝气+潜流人工湿地、CCQ周期循环生物膜法、生物接触氧化+潜流人工湿地、逆向曝气污水处理、一体化氧化沟、A</w:t>
      </w:r>
      <w:r>
        <w:rPr>
          <w:rFonts w:hint="eastAsia" w:ascii="方正仿宋_GBK" w:hAnsi="方正仿宋_GBK" w:cs="方正仿宋_GBK"/>
          <w:color w:val="auto"/>
          <w:vertAlign w:val="superscript"/>
        </w:rPr>
        <w:t>2</w:t>
      </w:r>
      <w:r>
        <w:rPr>
          <w:rFonts w:hint="eastAsia" w:ascii="方正仿宋_GBK" w:hAnsi="方正仿宋_GBK" w:cs="方正仿宋_GBK"/>
          <w:color w:val="auto"/>
        </w:rPr>
        <w:t>/O+生物滤池等。</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（1）生物接触氧化</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生物接触氧化法是以附着在载体（俗称填料）上的生物膜为主，净化有机废水的一种高效水处理工艺。是具有活性污泥法特点的生物膜法，兼有活性污泥法和生物膜法的优点。在可生化条件下，不论应用于工业废水还是养殖污水、生活污水的处理，都取得了良好的经济效益。该工艺因具有高效节能、占地面积小、耐冲击负荷、运行管理方便等特点而被广泛应用于各行各业的污水处理系统。</w:t>
      </w:r>
    </w:p>
    <w:p>
      <w:pPr>
        <w:widowControl w:val="0"/>
        <w:pBdr>
          <w:top w:val="single" w:color="E0E0E0" w:sz="6" w:space="0"/>
          <w:left w:val="single" w:color="E0E0E0" w:sz="6" w:space="0"/>
          <w:bottom w:val="single" w:color="E0E0E0" w:sz="6" w:space="0"/>
          <w:right w:val="single" w:color="E0E0E0" w:sz="6" w:space="0"/>
        </w:pBdr>
        <w:shd w:val="clear" w:color="auto" w:fill="FFFFFF"/>
        <w:adjustRightInd/>
        <w:snapToGrid/>
        <w:ind w:firstLine="0" w:firstLineChars="0"/>
        <w:jc w:val="center"/>
        <w:rPr>
          <w:color w:val="auto"/>
          <w:shd w:val="clear" w:color="auto" w:fill="FFFFFF"/>
        </w:rPr>
      </w:pPr>
      <w:r>
        <w:rPr>
          <w:color w:val="auto"/>
          <w:sz w:val="21"/>
          <w:szCs w:val="21"/>
          <w:u w:val="none"/>
          <w:shd w:val="clear" w:color="auto" w:fill="FFFFFF"/>
        </w:rPr>
        <w:drawing>
          <wp:inline distT="0" distB="0" distL="114300" distR="114300">
            <wp:extent cx="2790825" cy="1417320"/>
            <wp:effectExtent l="0" t="0" r="9525" b="11430"/>
            <wp:docPr id="18" name="图片 92" descr="IMG_25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2" descr="IMG_256"/>
                    <pic:cNvPicPr>
                      <a:picLocks noChangeAspect="1"/>
                    </pic:cNvPicPr>
                  </pic:nvPicPr>
                  <pic:blipFill>
                    <a:blip r:embed="rId27"/>
                    <a:stretch>
                      <a:fillRect/>
                    </a:stretch>
                  </pic:blipFill>
                  <pic:spPr>
                    <a:xfrm>
                      <a:off x="0" y="0"/>
                      <a:ext cx="2790825" cy="1417320"/>
                    </a:xfrm>
                    <a:prstGeom prst="rect">
                      <a:avLst/>
                    </a:prstGeom>
                    <a:noFill/>
                    <a:ln>
                      <a:noFill/>
                    </a:ln>
                  </pic:spPr>
                </pic:pic>
              </a:graphicData>
            </a:graphic>
          </wp:inline>
        </w:drawing>
      </w:r>
    </w:p>
    <w:p>
      <w:pPr>
        <w:widowControl w:val="0"/>
        <w:spacing w:line="240" w:lineRule="auto"/>
        <w:ind w:firstLine="640"/>
        <w:rPr>
          <w:rFonts w:hint="eastAsia" w:ascii="方正仿宋_GBK" w:hAnsi="方正仿宋_GBK" w:cs="方正仿宋_GBK"/>
          <w:color w:val="auto"/>
          <w:szCs w:val="32"/>
          <w:shd w:val="clear" w:color="auto" w:fill="FFFFFF"/>
        </w:rPr>
      </w:pP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"https://baike.baidu.com/item/%E7%94%9F%E7%89%A9%E5%A4%84%E7%90%86" \t "https://baike.baidu.com/item/%E7%94%9F%E7%89%A9%E6%8E%A5%E8%A7%A6%E6%B0%A7%E5%8C%96%E6%B3%95/_blank"</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生物处理</w:t>
      </w:r>
      <w:r>
        <w:rPr>
          <w:rFonts w:hint="eastAsia" w:ascii="方正仿宋_GBK" w:hAnsi="方正仿宋_GBK" w:cs="方正仿宋_GBK"/>
          <w:color w:val="auto"/>
        </w:rPr>
        <w:fldChar w:fldCharType="end"/>
      </w:r>
      <w:r>
        <w:rPr>
          <w:rFonts w:hint="eastAsia" w:ascii="方正仿宋_GBK" w:hAnsi="方正仿宋_GBK" w:cs="方正仿宋_GBK"/>
          <w:color w:val="auto"/>
        </w:rPr>
        <w:t>：是经过物化处理后的环节，也是整个污水处理循环流程中的重要环节，在这里氨氮、亚硝酸、硝酸盐、硫化氢等有害物质都将得到去除，对以后流程中水质的进一步处理将起到关键作用。</w:t>
      </w:r>
      <w:bookmarkStart w:id="407" w:name="1-1"/>
      <w:bookmarkEnd w:id="407"/>
      <w:bookmarkStart w:id="408" w:name="1-2"/>
      <w:bookmarkEnd w:id="408"/>
      <w:bookmarkStart w:id="409" w:name="1_1"/>
      <w:bookmarkEnd w:id="409"/>
      <w:bookmarkStart w:id="410" w:name="1_2"/>
      <w:bookmarkEnd w:id="410"/>
    </w:p>
    <w:p>
      <w:pPr>
        <w:widowControl w:val="0"/>
        <w:spacing w:line="240" w:lineRule="auto"/>
        <w:ind w:firstLine="640"/>
        <w:rPr>
          <w:rFonts w:hint="eastAsia" w:ascii="方正仿宋_GBK" w:hAnsi="方正仿宋_GBK" w:cs="方正仿宋_GBK"/>
          <w:color w:val="auto"/>
        </w:rPr>
      </w:pPr>
      <w:r>
        <w:rPr>
          <w:rFonts w:hint="eastAsia" w:ascii="方正仿宋_GBK" w:hAnsi="方正仿宋_GBK" w:cs="方正仿宋_GBK"/>
          <w:color w:val="auto"/>
        </w:rPr>
        <w:t>生物接触氧化法是一种介于</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"https://baike.baidu.com/item/%E6%B4%BB%E6%80%A7%E6%B1%A1%E6%B3%A5%E6%B3%95" \t "https://baike.baidu.com/item/%E7%94%9F%E7%89%A9%E6%8E%A5%E8%A7%A6%E6%B0%A7%E5%8C%96%E6%B3%95/_blank"</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活性污泥法</w:t>
      </w:r>
      <w:r>
        <w:rPr>
          <w:rFonts w:hint="eastAsia" w:ascii="方正仿宋_GBK" w:hAnsi="方正仿宋_GBK" w:cs="方正仿宋_GBK"/>
          <w:color w:val="auto"/>
        </w:rPr>
        <w:fldChar w:fldCharType="end"/>
      </w:r>
      <w:r>
        <w:rPr>
          <w:rFonts w:hint="eastAsia" w:ascii="方正仿宋_GBK" w:hAnsi="方正仿宋_GBK" w:cs="方正仿宋_GBK"/>
          <w:color w:val="auto"/>
        </w:rPr>
        <w:t>与</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"https://baike.baidu.com/item/%E7%94%9F%E7%89%A9%E6%BB%A4%E6%B1%A0" \t "https://baike.baidu.com/item/%E7%94%9F%E7%89%A9%E6%8E%A5%E8%A7%A6%E6%B0%A7%E5%8C%96%E6%B3%95/_blank"</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生物滤池</w:t>
      </w:r>
      <w:r>
        <w:rPr>
          <w:rFonts w:hint="eastAsia" w:ascii="方正仿宋_GBK" w:hAnsi="方正仿宋_GBK" w:cs="方正仿宋_GBK"/>
          <w:color w:val="auto"/>
        </w:rPr>
        <w:fldChar w:fldCharType="end"/>
      </w:r>
      <w:r>
        <w:rPr>
          <w:rFonts w:hint="eastAsia" w:ascii="方正仿宋_GBK" w:hAnsi="方正仿宋_GBK" w:cs="方正仿宋_GBK"/>
          <w:color w:val="auto"/>
        </w:rPr>
        <w:t>之间的生物膜法工艺，其特点是在池内设置填料，池底曝气对污水进行充氧，并使池体内污水处于流动状态，以保证污水与污水中的填料充分接触，避免</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"https://baike.baidu.com/item/%E7%94%9F%E7%89%A9%E6%8E%A5%E8%A7%A6%E6%B0%A7%E5%8C%96%E6%B1%A0" \t "https://baike.baidu.com/item/%E7%94%9F%E7%89%A9%E6%8E%A5%E8%A7%A6%E6%B0%A7%E5%8C%96%E6%B3%95/_blank"</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生物接触氧化池</w:t>
      </w:r>
      <w:r>
        <w:rPr>
          <w:rFonts w:hint="eastAsia" w:ascii="方正仿宋_GBK" w:hAnsi="方正仿宋_GBK" w:cs="方正仿宋_GBK"/>
          <w:color w:val="auto"/>
        </w:rPr>
        <w:fldChar w:fldCharType="end"/>
      </w:r>
      <w:r>
        <w:rPr>
          <w:rFonts w:hint="eastAsia" w:ascii="方正仿宋_GBK" w:hAnsi="方正仿宋_GBK" w:cs="方正仿宋_GBK"/>
          <w:color w:val="auto"/>
        </w:rPr>
        <w:t>中存在污水与填料接触不均的缺陷。其净化废水的基本原理与一般生物膜法相同，以生物膜吸附废水中的有机物，在有氧的条件下，有机物由微生物氧化分解，废水得到净化。</w:t>
      </w:r>
    </w:p>
    <w:p>
      <w:pPr>
        <w:widowControl w:val="0"/>
        <w:spacing w:line="240" w:lineRule="auto"/>
        <w:ind w:firstLine="640"/>
        <w:rPr>
          <w:rFonts w:hint="eastAsia" w:ascii="方正仿宋_GBK" w:hAnsi="方正仿宋_GBK" w:cs="方正仿宋_GBK"/>
          <w:color w:val="auto"/>
        </w:rPr>
      </w:pPr>
      <w:r>
        <w:rPr>
          <w:rFonts w:hint="eastAsia" w:ascii="方正仿宋_GBK" w:hAnsi="方正仿宋_GBK" w:cs="方正仿宋_GBK"/>
          <w:color w:val="auto"/>
        </w:rPr>
        <w:t>生物接触氧化法是生物膜法的一种，兼具活性污泥和生物膜两者的优点。相比于传统的活性污泥法及生物滤池法，它具有比表面积大、污泥浓度高、污泥龄长、氧利用率高、节省动力消耗、污泥产量少、运行费用低、设备易操作、易维修等工艺优点，在国内外得到广泛的研究与应用。</w:t>
      </w:r>
    </w:p>
    <w:p>
      <w:pPr>
        <w:widowControl w:val="0"/>
        <w:pBdr>
          <w:top w:val="single" w:color="E0E0E0" w:sz="6" w:space="0"/>
          <w:left w:val="single" w:color="E0E0E0" w:sz="6" w:space="0"/>
          <w:bottom w:val="single" w:color="E0E0E0" w:sz="6" w:space="0"/>
          <w:right w:val="single" w:color="E0E0E0" w:sz="6" w:space="0"/>
        </w:pBdr>
        <w:shd w:val="clear" w:color="auto" w:fill="FFFFFF"/>
        <w:adjustRightInd/>
        <w:snapToGrid/>
        <w:ind w:firstLine="640"/>
        <w:jc w:val="center"/>
        <w:rPr>
          <w:color w:val="auto"/>
          <w:shd w:val="clear" w:color="auto" w:fill="FFFFFF"/>
        </w:rPr>
      </w:pPr>
      <w:r>
        <w:rPr>
          <w:color w:val="auto"/>
          <w:sz w:val="21"/>
          <w:szCs w:val="21"/>
          <w:u w:val="none"/>
          <w:shd w:val="clear" w:color="auto" w:fill="FFFFFF"/>
        </w:rPr>
        <w:drawing>
          <wp:inline distT="0" distB="0" distL="114300" distR="114300">
            <wp:extent cx="2371090" cy="1506855"/>
            <wp:effectExtent l="0" t="0" r="10160" b="17145"/>
            <wp:docPr id="19" name="图片 27" descr="IMG_257">
              <a:hlinkClick xmlns:a="http://schemas.openxmlformats.org/drawingml/2006/main" r:id="rId28" tooltip="生物接触氧化法"/>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descr="IMG_257"/>
                    <pic:cNvPicPr>
                      <a:picLocks noChangeAspect="1"/>
                    </pic:cNvPicPr>
                  </pic:nvPicPr>
                  <pic:blipFill>
                    <a:blip r:embed="rId29"/>
                    <a:stretch>
                      <a:fillRect/>
                    </a:stretch>
                  </pic:blipFill>
                  <pic:spPr>
                    <a:xfrm>
                      <a:off x="0" y="0"/>
                      <a:ext cx="2371090" cy="1506855"/>
                    </a:xfrm>
                    <a:prstGeom prst="rect">
                      <a:avLst/>
                    </a:prstGeom>
                    <a:noFill/>
                    <a:ln>
                      <a:noFill/>
                    </a:ln>
                  </pic:spPr>
                </pic:pic>
              </a:graphicData>
            </a:graphic>
          </wp:inline>
        </w:drawing>
      </w:r>
    </w:p>
    <w:p>
      <w:pPr>
        <w:widowControl w:val="0"/>
        <w:spacing w:line="216" w:lineRule="auto"/>
        <w:ind w:firstLine="0" w:firstLineChars="0"/>
        <w:jc w:val="center"/>
        <w:rPr>
          <w:rFonts w:hint="eastAsia" w:ascii="方正楷体_GBK" w:hAnsi="方正楷体_GBK" w:eastAsia="方正楷体_GBK" w:cs="方正楷体_GBK"/>
          <w:color w:val="auto"/>
          <w:sz w:val="24"/>
          <w:szCs w:val="24"/>
        </w:rPr>
      </w:pPr>
      <w:r>
        <w:rPr>
          <w:rFonts w:hint="eastAsia" w:ascii="方正楷体_GBK" w:hAnsi="方正楷体_GBK" w:eastAsia="方正楷体_GBK" w:cs="方正楷体_GBK"/>
          <w:color w:val="auto"/>
          <w:sz w:val="24"/>
          <w:szCs w:val="24"/>
        </w:rPr>
        <w:t>生物接触氧化法</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特点：其净化效率高，处理所需时间短，对进水有机负荷的变动适应性较强，不必进行污泥回流，同时没有</w:t>
      </w:r>
      <w:r>
        <w:rPr>
          <w:rFonts w:hint="eastAsia" w:ascii="方正仿宋_GBK" w:hAnsi="方正仿宋_GBK" w:cs="方正仿宋_GBK"/>
          <w:color w:val="auto"/>
        </w:rPr>
        <w:fldChar w:fldCharType="begin"/>
      </w:r>
      <w:r>
        <w:rPr>
          <w:rFonts w:hint="eastAsia" w:ascii="方正仿宋_GBK" w:hAnsi="方正仿宋_GBK" w:cs="方正仿宋_GBK"/>
          <w:color w:val="auto"/>
        </w:rPr>
        <w:instrText xml:space="preserve"> HYPERLINK "https://baike.baidu.com/item/%E6%B1%A1%E6%B3%A5%E8%86%A8%E8%83%80" \t "https://baike.baidu.com/item/%E7%94%9F%E7%89%A9%E6%8E%A5%E8%A7%A6%E6%B0%A7%E5%8C%96%E6%B3%95/_blank"</w:instrText>
      </w:r>
      <w:r>
        <w:rPr>
          <w:rFonts w:hint="eastAsia" w:ascii="方正仿宋_GBK" w:hAnsi="方正仿宋_GBK" w:cs="方正仿宋_GBK"/>
          <w:color w:val="auto"/>
        </w:rPr>
        <w:fldChar w:fldCharType="separate"/>
      </w:r>
      <w:r>
        <w:rPr>
          <w:rFonts w:hint="eastAsia" w:ascii="方正仿宋_GBK" w:hAnsi="方正仿宋_GBK" w:cs="方正仿宋_GBK"/>
          <w:color w:val="auto"/>
        </w:rPr>
        <w:t>污泥膨胀</w:t>
      </w:r>
      <w:r>
        <w:rPr>
          <w:rFonts w:hint="eastAsia" w:ascii="方正仿宋_GBK" w:hAnsi="方正仿宋_GBK" w:cs="方正仿宋_GBK"/>
          <w:color w:val="auto"/>
        </w:rPr>
        <w:fldChar w:fldCharType="end"/>
      </w:r>
      <w:r>
        <w:rPr>
          <w:rFonts w:hint="eastAsia" w:ascii="方正仿宋_GBK" w:hAnsi="方正仿宋_GBK" w:cs="方正仿宋_GBK"/>
          <w:color w:val="auto"/>
        </w:rPr>
        <w:t>问题，运行管理方便。存在的问题主要是池内填料间的生物膜有时会出现堵塞现象，尚待改进。用于处理工业废水、养殖污水、生活污水。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（2）曝气+人工湿地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所谓人工湿地处理技术就是一种生态工程方法，通过将特定的湿地植物种植在一定的填料上，进而在一定程度上建立起人工湿地生态系统，污水中的污染物质和营养物质通过系统时，被系统充分</w:t>
      </w:r>
      <w:sdt>
        <w:sdtPr>
          <w:rPr>
            <w:color w:val="auto"/>
          </w:rPr>
          <w:alias w:val="易错词检查"/>
          <w:id w:val="1183742"/>
        </w:sdtPr>
        <w:sdtEndPr>
          <w:rPr>
            <w:color w:val="auto"/>
          </w:rPr>
        </w:sdtEndPr>
        <w:sdtContent>
          <w:bookmarkStart w:id="411" w:name="bkReivew1183742"/>
          <w:r>
            <w:rPr>
              <w:rFonts w:hint="eastAsia" w:ascii="方正仿宋_GBK" w:hAnsi="方正仿宋_GBK" w:cs="方正仿宋_GBK"/>
              <w:color w:val="auto"/>
            </w:rPr>
            <w:t>的</w:t>
          </w:r>
          <w:bookmarkEnd w:id="411"/>
        </w:sdtContent>
      </w:sdt>
      <w:r>
        <w:rPr>
          <w:rFonts w:hint="eastAsia" w:ascii="方正仿宋_GBK" w:hAnsi="方正仿宋_GBK" w:cs="方正仿宋_GBK"/>
          <w:color w:val="auto"/>
        </w:rPr>
        <w:t>吸收或分解，进而起到净化水质的作用。无论是建造成本，还是运行成本，人工湿地处理技术都比较低，而且操作简单，并且净化出水的水质非常好。如果湿地植物选择</w:t>
      </w:r>
      <w:sdt>
        <w:sdtPr>
          <w:rPr>
            <w:color w:val="auto"/>
          </w:rPr>
          <w:alias w:val="易错词检查"/>
          <w:id w:val="3110742"/>
        </w:sdtPr>
        <w:sdtEndPr>
          <w:rPr>
            <w:color w:val="auto"/>
          </w:rPr>
        </w:sdtEndPr>
        <w:sdtContent>
          <w:bookmarkStart w:id="412" w:name="bkReivew3110742"/>
          <w:r>
            <w:rPr>
              <w:rFonts w:hint="eastAsia" w:ascii="方正仿宋_GBK" w:hAnsi="方正仿宋_GBK" w:cs="方正仿宋_GBK"/>
              <w:color w:val="auto"/>
            </w:rPr>
            <w:t>的</w:t>
          </w:r>
          <w:bookmarkEnd w:id="412"/>
        </w:sdtContent>
      </w:sdt>
      <w:r>
        <w:rPr>
          <w:rFonts w:hint="eastAsia" w:ascii="方正仿宋_GBK" w:hAnsi="方正仿宋_GBK" w:cs="方正仿宋_GBK"/>
          <w:color w:val="auto"/>
        </w:rPr>
        <w:t>比较合理，那么在一定程度上可以起到美化环境的作用。污水经过人工湿地系统进行处理后，其水质可以达到地面水水质标准，可以说人工湿地处理技术是一种深度处理方法。在除氮磷方面，人工湿地有着独特的优势，但是同时存在着一些问题。在人工湿地中，由于系统内部处于厌氧状态，进而制约了硝化反硝化过程，使得湿地系统不能很好地发挥除氮功能。目前，在人工湿地系统内部，由于大部分出现厌氧状态，并且比较严重，而硝化过程需要溶解氧。经研究显示，对于1.0mg/L的氨氮，当系统中溶解氧超过4.6mg/L时，硝化才能顺利进行。因此，湿地降低了污水对氨氮的去除率，通常情况下不超过60%。人工湿地不能提供硝酸盐促进反硝化作用，系统脱氮潜力受到影响和制约。 新型曝气人工湿地是由人工建造和控制运行的与沼泽地类似的地面，将污水有控制</w:t>
      </w:r>
      <w:sdt>
        <w:sdtPr>
          <w:rPr>
            <w:color w:val="auto"/>
          </w:rPr>
          <w:alias w:val="易错词检查"/>
          <w:id w:val="2110140"/>
        </w:sdtPr>
        <w:sdtEndPr>
          <w:rPr>
            <w:color w:val="auto"/>
          </w:rPr>
        </w:sdtEndPr>
        <w:sdtContent>
          <w:bookmarkStart w:id="413" w:name="bkReivew2110140"/>
          <w:r>
            <w:rPr>
              <w:rFonts w:hint="eastAsia" w:ascii="方正仿宋_GBK" w:hAnsi="方正仿宋_GBK" w:cs="方正仿宋_GBK"/>
              <w:color w:val="auto"/>
            </w:rPr>
            <w:t>的</w:t>
          </w:r>
          <w:bookmarkEnd w:id="413"/>
        </w:sdtContent>
      </w:sdt>
      <w:r>
        <w:rPr>
          <w:rFonts w:hint="eastAsia" w:ascii="方正仿宋_GBK" w:hAnsi="方正仿宋_GBK" w:cs="方正仿宋_GBK"/>
          <w:color w:val="auto"/>
        </w:rPr>
        <w:t>投配到经人工建造的湿地上，污水在沿一定方向流动的过程中，鼓风机通过池底底部曝气管向反应池供氧，主要利用人工介质、植物、微生物的物理、化学、生物三重协同作用，对污水进行处理的一种技术。其作用机理包括吸附、滞留、过滤、氧化还原、沉淀、微生物分解、转化、植物遮蔽、残留物积累、蒸腾水分和养分吸收及各类动物的作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与传统人工湿地相比，新型的曝气人工湿地处理系统采用了便于更换的曝气管曝气，鼓风机通过池底部曝气管向反应池供氧，通过池体内填料的缝隙切割作用，有效</w:t>
      </w:r>
      <w:sdt>
        <w:sdtPr>
          <w:rPr>
            <w:color w:val="auto"/>
          </w:rPr>
          <w:alias w:val="易错词检查"/>
          <w:id w:val="51114"/>
        </w:sdtPr>
        <w:sdtEndPr>
          <w:rPr>
            <w:color w:val="auto"/>
          </w:rPr>
        </w:sdtEndPr>
        <w:sdtContent>
          <w:bookmarkStart w:id="414" w:name="bkReivew51114"/>
          <w:r>
            <w:rPr>
              <w:rFonts w:hint="eastAsia" w:ascii="方正仿宋_GBK" w:hAnsi="方正仿宋_GBK" w:cs="方正仿宋_GBK"/>
              <w:color w:val="auto"/>
            </w:rPr>
            <w:t>的</w:t>
          </w:r>
          <w:bookmarkEnd w:id="414"/>
        </w:sdtContent>
      </w:sdt>
      <w:r>
        <w:rPr>
          <w:rFonts w:hint="eastAsia" w:ascii="方正仿宋_GBK" w:hAnsi="方正仿宋_GBK" w:cs="方正仿宋_GBK"/>
          <w:color w:val="auto"/>
        </w:rPr>
        <w:t>提高了氧气的转移效率，同时通过巧妙</w:t>
      </w:r>
      <w:sdt>
        <w:sdtPr>
          <w:rPr>
            <w:color w:val="auto"/>
          </w:rPr>
          <w:alias w:val="易错词检查"/>
          <w:id w:val="3003301"/>
        </w:sdtPr>
        <w:sdtEndPr>
          <w:rPr>
            <w:color w:val="auto"/>
          </w:rPr>
        </w:sdtEndPr>
        <w:sdtContent>
          <w:bookmarkStart w:id="415" w:name="bkReivew3003301"/>
          <w:r>
            <w:rPr>
              <w:rFonts w:hint="eastAsia" w:ascii="方正仿宋_GBK" w:hAnsi="方正仿宋_GBK" w:cs="方正仿宋_GBK"/>
              <w:color w:val="auto"/>
            </w:rPr>
            <w:t>的</w:t>
          </w:r>
          <w:bookmarkEnd w:id="415"/>
        </w:sdtContent>
      </w:sdt>
      <w:r>
        <w:rPr>
          <w:rFonts w:hint="eastAsia" w:ascii="方正仿宋_GBK" w:hAnsi="方正仿宋_GBK" w:cs="方正仿宋_GBK"/>
          <w:color w:val="auto"/>
        </w:rPr>
        <w:t>控制水流迫使其向前和向上同时流动，在此过程中与氧气进行了充分接触；而生长在填料表面的生物膜的微生物群落得到足够的氧气供应，进而靠微生物的生化作用，去除了污水中的污染物，使得出水水质达标排放至受纳水体。</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（3）A</w:t>
      </w:r>
      <w:r>
        <w:rPr>
          <w:rFonts w:hint="eastAsia" w:ascii="方正仿宋_GBK" w:hAnsi="方正仿宋_GBK" w:cs="方正仿宋_GBK"/>
          <w:color w:val="auto"/>
          <w:vertAlign w:val="superscript"/>
        </w:rPr>
        <w:t>2</w:t>
      </w:r>
      <w:r>
        <w:rPr>
          <w:rFonts w:hint="eastAsia" w:ascii="方正仿宋_GBK" w:hAnsi="方正仿宋_GBK" w:cs="方正仿宋_GBK"/>
          <w:color w:val="auto"/>
        </w:rPr>
        <w:t>/O</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A2／O工艺作为一种最简单的同步脱氮除磷工艺，具有构造简单、水力停留时间短、设计运行经验成熟、控制复杂性小和不易产生污泥膨胀等一系列优点，是目前国内外城镇污水处理厂的主体工艺。然而，A2／O工艺中的硝化菌、反硝化菌和聚磷菌在有机负荷、泥龄以及碳源需求上的矛盾，使难在单一的生化系统中同时取得良好的脱氮除磷效果，阻碍了生物脱氮除磷技术的应用。曝气生物滤池以其灵活的模块化设计、占地面积小、硝化效果稳定等优点越来越受到人们的青睐，但曝气生物滤池存在工作周期短、反冲洗频率高、容易发生堵塞等问题。A2／O一曝气生物滤池工艺集A2／0反应器与曝气生物滤池优势于一体，成功解决了传统工艺中聚磷菌、反硝化菌与硝化菌的竞争性矛盾，可同时取得脱氮除磷的良好效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工艺特点：①连续流条件下实现了有机物、氮、磷的同步深度去除，解决了传统生物脱氮除磷工艺中氮、磷不能同步去除的公认难题。②短泥龄的聚磷菌和反硝化菌以悬浮状态生长在A</w:t>
      </w:r>
      <w:r>
        <w:rPr>
          <w:rFonts w:hint="eastAsia" w:ascii="方正仿宋_GBK" w:hAnsi="方正仿宋_GBK" w:cs="方正仿宋_GBK"/>
          <w:color w:val="auto"/>
          <w:vertAlign w:val="superscript"/>
        </w:rPr>
        <w:t>2</w:t>
      </w:r>
      <w:r>
        <w:rPr>
          <w:rFonts w:hint="eastAsia" w:ascii="方正仿宋_GBK" w:hAnsi="方正仿宋_GBK" w:cs="方正仿宋_GBK"/>
          <w:color w:val="auto"/>
        </w:rPr>
        <w:t>／O反应器中，长泥龄的硝化菌固着生长在曝气生物滤池的填料上，泥龄的分离使该工艺硝化效果稳定，为反硝化除磷提供了必要条件。③无需投加化学药剂，节省运行成本。④总的水</w:t>
      </w:r>
      <w:sdt>
        <w:sdtPr>
          <w:rPr>
            <w:color w:val="auto"/>
          </w:rPr>
          <w:alias w:val="易错词检查"/>
          <w:id w:val="3152256"/>
        </w:sdtPr>
        <w:sdtEndPr>
          <w:rPr>
            <w:color w:val="auto"/>
          </w:rPr>
        </w:sdtEndPr>
        <w:sdtContent>
          <w:bookmarkStart w:id="416" w:name="bkReivew3152256"/>
          <w:r>
            <w:rPr>
              <w:rFonts w:hint="eastAsia" w:ascii="方正仿宋_GBK" w:hAnsi="方正仿宋_GBK" w:cs="方正仿宋_GBK"/>
              <w:color w:val="auto"/>
            </w:rPr>
            <w:t>力</w:t>
          </w:r>
          <w:bookmarkEnd w:id="416"/>
        </w:sdtContent>
      </w:sdt>
      <w:r>
        <w:rPr>
          <w:rFonts w:hint="eastAsia" w:ascii="方正仿宋_GBK" w:hAnsi="方正仿宋_GBK" w:cs="方正仿宋_GBK"/>
          <w:color w:val="auto"/>
        </w:rPr>
        <w:t>停留时间不长，基建费用不高。⑤曝气生物滤池的模块化设计使占地面积更少，适合我国国情。⑥抗水力负荷能力强，适应不同季节及温差变化，处理效果稳定可靠。</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（4）人工湿地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指用人工构筑成水池或沟槽，底面铺设防渗漏隔水层，充填一定深度的基质层，种植水生植物，利用基质、植物、微生物的物理、化学、生物三重协同作用使污水得到净化。按照污水流动方式，分为表面流人工湿地、水平流人工湿地和垂直流人工湿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人工湿地污水处理系统是一个综合的生态系统，具有如下优点：</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①建造和运行费用便宜；②易于维护，技术含量低；③可进行有效可靠的废水处理；④可缓冲对水力和污染负荷的冲击；⑤可提供和间接</w:t>
      </w:r>
      <w:sdt>
        <w:sdtPr>
          <w:rPr>
            <w:color w:val="auto"/>
          </w:rPr>
          <w:alias w:val="易错词检查"/>
          <w:id w:val="52522"/>
        </w:sdtPr>
        <w:sdtEndPr>
          <w:rPr>
            <w:color w:val="auto"/>
          </w:rPr>
        </w:sdtEndPr>
        <w:sdtContent>
          <w:bookmarkStart w:id="417" w:name="bkReivew52522"/>
          <w:r>
            <w:rPr>
              <w:rFonts w:hint="eastAsia" w:ascii="方正仿宋_GBK" w:hAnsi="方正仿宋_GBK" w:cs="方正仿宋_GBK"/>
              <w:color w:val="auto"/>
            </w:rPr>
            <w:t>提供效益</w:t>
          </w:r>
          <w:bookmarkEnd w:id="417"/>
        </w:sdtContent>
      </w:sdt>
      <w:r>
        <w:rPr>
          <w:rFonts w:hint="eastAsia" w:ascii="方正仿宋_GBK" w:hAnsi="方正仿宋_GBK" w:cs="方正仿宋_GBK"/>
          <w:color w:val="auto"/>
        </w:rPr>
        <w:t>，如水产、畜产、造纸原料、建材、绿化、野生动物栖息、娱乐和教育。</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不足之处：①占地面积大；②易受病虫害影响；③生物和水力复杂性加大了对其处理机制、工艺动力学和影响因素的认识理解，设计运行参数不精确，因此常由于设计不当使出水达不到设计要求或不能达标排放，有的人工湿地反而成了污染源。</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（5）A/O+化学除磷</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A/O工艺法也叫厌氧好氧工艺法，A（Anoxic）是缺氧段，用于脱氮；O（Oxic）是好氧段，用于除水中的有机物。缺氧好氧共同作用除磷。</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该工艺的特点：①流程简单，无需外加碳源与后曝气池，以原污水为碳源，建设和运行费用较低；②反硝化在前，硝化在后，设内循环，以原污水中的有机底物作为碳源，效果好，反硝化反应充分；③曝气池在后，使反硝化残留物得以进一步去除，提高了处理水水质；O段的前段采用强曝气，后段减少气量，使内循环液的DO含量降低，以保证A段的缺氧状态。④A段搅拌，只起使污泥悬浮，而避免DO的增加。A/O法脱氮工艺的优点：①系统简单，运行费低，占地小；②以原污水中的含碳有机物和内源代谢产物为碳源，节省了投加外碳源的费用；③好氧池在后，可进一步去除有机物；④缺氧池在先，由于反硝化消耗了部分碳源有机物，可减轻好氧池负荷；⑤反硝化产生的碱度可补偿硝化过程对碱度的消耗。</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A/O法脱氮工艺的缺点：①由于没有独立的污泥回流系统，从而不能培养出具有独特功能的污泥，难降解物质的降解率较低；②若要提高脱氮效率，必须加大内循环比，因而加大运行费用；③内循环液来自曝气池，</w:t>
      </w:r>
      <w:r>
        <w:rPr>
          <w:rFonts w:hint="eastAsia" w:ascii="方正仿宋_GBK" w:hAnsi="方正仿宋_GBK" w:cs="方正仿宋_GBK"/>
          <w:color w:val="auto"/>
          <w:spacing w:val="-6"/>
        </w:rPr>
        <w:t>含有一定的DO，使A段难以保持理想的缺氧状态，影响反硝化效果，脱氮率很难达到90%。不满足国家一级排放标准，顾需要其他手段辅助降P，通过投加混凝剂的化学沉淀法强化对磷的去除，明显提高了该工艺的除磷效果。</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（6）厌氧+好氧+沉淀（A</w:t>
      </w:r>
      <w:r>
        <w:rPr>
          <w:rFonts w:hint="eastAsia" w:ascii="方正仿宋_GBK" w:hAnsi="方正仿宋_GBK" w:cs="方正仿宋_GBK"/>
          <w:color w:val="auto"/>
          <w:vertAlign w:val="superscript"/>
        </w:rPr>
        <w:t>2</w:t>
      </w:r>
      <w:r>
        <w:rPr>
          <w:rFonts w:hint="eastAsia" w:ascii="方正仿宋_GBK" w:hAnsi="方正仿宋_GBK" w:cs="方正仿宋_GBK"/>
          <w:color w:val="auto"/>
        </w:rPr>
        <w:t>／O工艺）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好氧-沉淀-厌氧(OSA)工艺实质是在传统活性污泥工艺的污泥回流过程中增加一个厌氧反应器，不需要通过物理或化学手段进行预处理，也不需要添加任何化学药剂，已被证实能在不影响出水水质的前提下，实现污泥减量，同时改善了污泥沉降性能OSA工艺被认为是很有前景的方法，只要在曝气池和沉淀池间插入一个污泥厌氧池，即可对传统的活性污泥工艺进行改造，使得基建和运行成本较低。</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（7）生物转盘</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生物转盘一种生物膜法污水处理技术，20世纪60年代由原联该工艺具有系统设计灵活、安装便捷、操作简单、系统可靠、操作和运行费用低等优点；不需要曝气，也无需污泥回流，节约能源，同时在较短的接触时间就可得到较高的净化效果，现已广泛应用于各种生活污水和工业污水的处理。其净化有机物的机理与生物滤池基本相同，但构造形式却与生物滤池不同。转盘中生物膜生长的表面积大，又不会发生如生物滤池中滤料堵塞的现象，即使堵塞也很容易清洗、生物转盘没有污泥膨胀的可能，因此允许进水有机物浓度较高，适宜于处理较高浓度的有机污水；污水在生物转盘中的停留时间比活性污泥法及生物滤池长，生物转盘能够承受冲击负荷的能力比活性污泥法和生物滤池都高。即使在长时间超负荷工作引起工作效率降低后，恢复转盘的正常工作也很快；污泥龄长，在转盘上能够增殖世代期很长的微生物，如硝化菌、反硝化菌等，因此，生物转盘具有硝化、反硝化的功能；生物转盘的流态，从一个生物转盘单</w:t>
      </w:r>
      <w:sdt>
        <w:sdtPr>
          <w:rPr>
            <w:color w:val="auto"/>
          </w:rPr>
          <w:alias w:val="非推荐词"/>
          <w:id w:val="1123556"/>
        </w:sdtPr>
        <w:sdtEndPr>
          <w:rPr>
            <w:color w:val="auto"/>
          </w:rPr>
        </w:sdtEndPr>
        <w:sdtContent>
          <w:bookmarkStart w:id="418" w:name="bkReivew1123556"/>
          <w:r>
            <w:rPr>
              <w:rFonts w:hint="eastAsia" w:ascii="方正仿宋_GBK" w:hAnsi="方正仿宋_GBK" w:cs="方正仿宋_GBK"/>
              <w:color w:val="auto"/>
            </w:rPr>
            <w:t>元来</w:t>
          </w:r>
          <w:bookmarkEnd w:id="418"/>
        </w:sdtContent>
      </w:sdt>
      <w:r>
        <w:rPr>
          <w:rFonts w:hint="eastAsia" w:ascii="方正仿宋_GBK" w:hAnsi="方正仿宋_GBK" w:cs="方正仿宋_GBK"/>
          <w:color w:val="auto"/>
        </w:rPr>
        <w:t>看是完全混合型的，在转盘不断转动的条件下，接触氧化槽内的污水能够得到良好的混合，但多级生物转盘又应作为推流式，因此，生物转盘的流态，应按完全混合-推流来考虑。生物转盘也有其缺点：制作盘片的材料价格较高，使生物转盘的建造费用高；由于盘片材料的限制，使转盘的直径还不宜做得太大；当水量较大时，将需要很多盘片，并且转盘水深较浅占地面积相对较大。因此，生物转盘适宜处理水量较小的有机污水。</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（8）处理技术对比</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邦德国开创，是在生物滤池的基础上发展起来的，亦称为浸没式生物滤池。</w:t>
      </w:r>
    </w:p>
    <w:p>
      <w:pPr>
        <w:widowControl w:val="0"/>
        <w:spacing w:line="240" w:lineRule="auto"/>
        <w:ind w:firstLine="0" w:firstLineChars="0"/>
        <w:jc w:val="center"/>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sz w:val="28"/>
          <w:szCs w:val="28"/>
        </w:rPr>
        <w:t>表5.4-1  技术比较参照表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7"/>
        <w:gridCol w:w="1635"/>
        <w:gridCol w:w="1635"/>
        <w:gridCol w:w="2685"/>
        <w:gridCol w:w="2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4" w:hRule="atLeast"/>
          <w:tblHeader/>
          <w:jc w:val="center"/>
        </w:trPr>
        <w:tc>
          <w:tcPr>
            <w:tcW w:w="877" w:type="dxa"/>
            <w:noWrap w:val="0"/>
            <w:vAlign w:val="center"/>
          </w:tcPr>
          <w:p>
            <w:pPr>
              <w:pStyle w:val="23"/>
              <w:widowControl w:val="0"/>
              <w:snapToGrid w:val="0"/>
              <w:spacing w:line="216"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工艺</w:t>
            </w:r>
          </w:p>
          <w:p>
            <w:pPr>
              <w:pStyle w:val="23"/>
              <w:widowControl w:val="0"/>
              <w:snapToGrid w:val="0"/>
              <w:spacing w:line="216"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名称</w:t>
            </w:r>
          </w:p>
        </w:tc>
        <w:tc>
          <w:tcPr>
            <w:tcW w:w="1635" w:type="dxa"/>
            <w:noWrap w:val="0"/>
            <w:vAlign w:val="center"/>
          </w:tcPr>
          <w:p>
            <w:pPr>
              <w:pStyle w:val="23"/>
              <w:widowControl w:val="0"/>
              <w:snapToGrid w:val="0"/>
              <w:spacing w:line="216" w:lineRule="auto"/>
              <w:jc w:val="center"/>
              <w:rPr>
                <w:rFonts w:hint="eastAsia" w:ascii="方正黑体_GBK" w:hAnsi="方正黑体_GBK" w:eastAsia="方正黑体_GBK" w:cs="方正黑体_GBK"/>
                <w:bCs/>
                <w:color w:val="auto"/>
                <w:sz w:val="21"/>
                <w:szCs w:val="21"/>
              </w:rPr>
            </w:pPr>
            <w:sdt>
              <w:sdtPr>
                <w:rPr>
                  <w:color w:val="auto"/>
                </w:rPr>
                <w:alias w:val="易错词检查"/>
                <w:id w:val="2081845"/>
              </w:sdtPr>
              <w:sdtEndPr>
                <w:rPr>
                  <w:color w:val="auto"/>
                </w:rPr>
              </w:sdtEndPr>
              <w:sdtContent>
                <w:bookmarkStart w:id="419" w:name="bkReivew2081845"/>
                <w:r>
                  <w:rPr>
                    <w:rFonts w:hint="eastAsia" w:ascii="方正黑体_GBK" w:hAnsi="方正黑体_GBK" w:eastAsia="方正黑体_GBK" w:cs="方正黑体_GBK"/>
                    <w:bCs/>
                    <w:color w:val="auto"/>
                    <w:sz w:val="21"/>
                    <w:szCs w:val="21"/>
                  </w:rPr>
                  <w:t>实用范围</w:t>
                </w:r>
                <w:bookmarkEnd w:id="419"/>
              </w:sdtContent>
            </w:sdt>
          </w:p>
        </w:tc>
        <w:tc>
          <w:tcPr>
            <w:tcW w:w="1635" w:type="dxa"/>
            <w:noWrap w:val="0"/>
            <w:vAlign w:val="center"/>
          </w:tcPr>
          <w:p>
            <w:pPr>
              <w:pStyle w:val="23"/>
              <w:widowControl w:val="0"/>
              <w:snapToGrid w:val="0"/>
              <w:spacing w:line="216"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处理效果</w:t>
            </w:r>
          </w:p>
        </w:tc>
        <w:tc>
          <w:tcPr>
            <w:tcW w:w="2685" w:type="dxa"/>
            <w:noWrap w:val="0"/>
            <w:vAlign w:val="center"/>
          </w:tcPr>
          <w:p>
            <w:pPr>
              <w:pStyle w:val="23"/>
              <w:widowControl w:val="0"/>
              <w:snapToGrid w:val="0"/>
              <w:spacing w:line="216"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优  点</w:t>
            </w:r>
          </w:p>
        </w:tc>
        <w:tc>
          <w:tcPr>
            <w:tcW w:w="2069" w:type="dxa"/>
            <w:noWrap w:val="0"/>
            <w:vAlign w:val="center"/>
          </w:tcPr>
          <w:p>
            <w:pPr>
              <w:pStyle w:val="23"/>
              <w:widowControl w:val="0"/>
              <w:snapToGrid w:val="0"/>
              <w:spacing w:line="216" w:lineRule="auto"/>
              <w:jc w:val="center"/>
              <w:rPr>
                <w:rFonts w:hint="eastAsia" w:ascii="方正黑体_GBK" w:hAnsi="方正黑体_GBK" w:eastAsia="方正黑体_GBK" w:cs="方正黑体_GBK"/>
                <w:bCs/>
                <w:color w:val="auto"/>
                <w:sz w:val="21"/>
                <w:szCs w:val="21"/>
              </w:rPr>
            </w:pPr>
            <w:r>
              <w:rPr>
                <w:rFonts w:hint="eastAsia" w:ascii="方正黑体_GBK" w:hAnsi="方正黑体_GBK" w:eastAsia="方正黑体_GBK" w:cs="方正黑体_GBK"/>
                <w:bCs/>
                <w:color w:val="auto"/>
                <w:sz w:val="21"/>
                <w:szCs w:val="21"/>
              </w:rPr>
              <w:t>缺  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77" w:type="dxa"/>
            <w:noWrap w:val="0"/>
            <w:vAlign w:val="center"/>
          </w:tcPr>
          <w:p>
            <w:pPr>
              <w:pStyle w:val="23"/>
              <w:widowControl w:val="0"/>
              <w:snapToGrid w:val="0"/>
              <w:spacing w:line="216"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生物接触氧化</w:t>
            </w:r>
          </w:p>
        </w:tc>
        <w:tc>
          <w:tcPr>
            <w:tcW w:w="1635" w:type="dxa"/>
            <w:noWrap w:val="0"/>
            <w:vAlign w:val="center"/>
          </w:tcPr>
          <w:p>
            <w:pPr>
              <w:widowControl w:val="0"/>
              <w:shd w:val="clear" w:color="auto" w:fill="FFFFFF"/>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shd w:val="clear" w:color="auto" w:fill="FFFFFF"/>
              </w:rPr>
              <w:t>处理工业废水、养殖污水、生活污水</w:t>
            </w:r>
          </w:p>
        </w:tc>
        <w:tc>
          <w:tcPr>
            <w:tcW w:w="1635" w:type="dxa"/>
            <w:noWrap w:val="0"/>
            <w:vAlign w:val="center"/>
          </w:tcPr>
          <w:p>
            <w:pPr>
              <w:widowControl w:val="0"/>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水质达到GB8978-1996《污水综合排放标准》表4中二级标准</w:t>
            </w:r>
          </w:p>
        </w:tc>
        <w:tc>
          <w:tcPr>
            <w:tcW w:w="268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shd w:val="clear" w:color="auto" w:fill="FFFFFF"/>
              </w:rPr>
              <w:t>具有高效节能、占地面积小、耐冲击负荷、运行管理方便</w:t>
            </w:r>
          </w:p>
        </w:tc>
        <w:tc>
          <w:tcPr>
            <w:tcW w:w="2069"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shd w:val="clear" w:color="auto" w:fill="FFFFFF"/>
              </w:rPr>
              <w:t>池内填料间的生物膜有时会出现堵塞现象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40" w:hRule="atLeast"/>
          <w:jc w:val="center"/>
        </w:trPr>
        <w:tc>
          <w:tcPr>
            <w:tcW w:w="877"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pacing w:val="-6"/>
                <w:sz w:val="21"/>
                <w:szCs w:val="21"/>
              </w:rPr>
            </w:pPr>
            <w:r>
              <w:rPr>
                <w:rFonts w:hint="eastAsia" w:ascii="方正仿宋_GBK" w:hAnsi="方正仿宋_GBK" w:cs="方正仿宋_GBK"/>
                <w:color w:val="auto"/>
                <w:spacing w:val="-6"/>
                <w:sz w:val="21"/>
                <w:szCs w:val="21"/>
              </w:rPr>
              <w:t>曝气+</w:t>
            </w:r>
          </w:p>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人工湿地</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适用于高P，高N废水及有机物含量较高的废水</w:t>
            </w:r>
          </w:p>
        </w:tc>
        <w:tc>
          <w:tcPr>
            <w:tcW w:w="1635" w:type="dxa"/>
            <w:noWrap w:val="0"/>
            <w:vAlign w:val="center"/>
          </w:tcPr>
          <w:p>
            <w:pPr>
              <w:widowControl w:val="0"/>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水质达到（GB18918-2002）一级B标准</w:t>
            </w:r>
          </w:p>
        </w:tc>
        <w:tc>
          <w:tcPr>
            <w:tcW w:w="2685" w:type="dxa"/>
            <w:noWrap w:val="0"/>
            <w:vAlign w:val="center"/>
          </w:tcPr>
          <w:p>
            <w:pPr>
              <w:pStyle w:val="23"/>
              <w:widowControl w:val="0"/>
              <w:snapToGrid w:val="0"/>
              <w:spacing w:line="204"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新型的曝气人工湿地处理系统采用了便于更换的曝气管曝气，鼓风机通过池底部曝气管向反应池供氧，通过池体内填料的缝隙切割作用，有效</w:t>
            </w:r>
            <w:sdt>
              <w:sdtPr>
                <w:rPr>
                  <w:color w:val="auto"/>
                </w:rPr>
                <w:alias w:val="易错词检查"/>
                <w:id w:val="12426"/>
              </w:sdtPr>
              <w:sdtEndPr>
                <w:rPr>
                  <w:color w:val="auto"/>
                </w:rPr>
              </w:sdtEndPr>
              <w:sdtContent>
                <w:bookmarkStart w:id="420" w:name="bkReivew12426"/>
                <w:r>
                  <w:rPr>
                    <w:rFonts w:hint="eastAsia" w:ascii="方正仿宋_GBK" w:hAnsi="方正仿宋_GBK" w:cs="方正仿宋_GBK"/>
                    <w:color w:val="auto"/>
                    <w:sz w:val="21"/>
                    <w:szCs w:val="21"/>
                  </w:rPr>
                  <w:t>的</w:t>
                </w:r>
                <w:bookmarkEnd w:id="420"/>
              </w:sdtContent>
            </w:sdt>
            <w:r>
              <w:rPr>
                <w:rFonts w:hint="eastAsia" w:ascii="方正仿宋_GBK" w:hAnsi="方正仿宋_GBK" w:cs="方正仿宋_GBK"/>
                <w:color w:val="auto"/>
                <w:sz w:val="21"/>
                <w:szCs w:val="21"/>
              </w:rPr>
              <w:t>提高了氧气的转移效率，进而靠微生物的生化作用，去除了污水中的污染物</w:t>
            </w:r>
          </w:p>
        </w:tc>
        <w:tc>
          <w:tcPr>
            <w:tcW w:w="2069" w:type="dxa"/>
            <w:noWrap w:val="0"/>
            <w:vAlign w:val="center"/>
          </w:tcPr>
          <w:p>
            <w:pPr>
              <w:pStyle w:val="23"/>
              <w:widowControl w:val="0"/>
              <w:snapToGrid w:val="0"/>
              <w:spacing w:line="216"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占地面积大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80" w:hRule="atLeast"/>
          <w:jc w:val="center"/>
        </w:trPr>
        <w:tc>
          <w:tcPr>
            <w:tcW w:w="877"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w:t>
            </w:r>
            <w:r>
              <w:rPr>
                <w:rFonts w:hint="eastAsia" w:ascii="方正仿宋_GBK" w:hAnsi="方正仿宋_GBK" w:cs="方正仿宋_GBK"/>
                <w:color w:val="auto"/>
                <w:sz w:val="21"/>
                <w:szCs w:val="21"/>
                <w:vertAlign w:val="superscript"/>
              </w:rPr>
              <w:t>2</w:t>
            </w:r>
            <w:r>
              <w:rPr>
                <w:rFonts w:hint="eastAsia" w:ascii="方正仿宋_GBK" w:hAnsi="方正仿宋_GBK" w:cs="方正仿宋_GBK"/>
                <w:color w:val="auto"/>
                <w:sz w:val="21"/>
                <w:szCs w:val="21"/>
              </w:rPr>
              <w:t>/O</w:t>
            </w:r>
          </w:p>
        </w:tc>
        <w:tc>
          <w:tcPr>
            <w:tcW w:w="1635" w:type="dxa"/>
            <w:noWrap w:val="0"/>
            <w:vAlign w:val="center"/>
          </w:tcPr>
          <w:p>
            <w:pPr>
              <w:pStyle w:val="23"/>
              <w:widowControl w:val="0"/>
              <w:snapToGrid w:val="0"/>
              <w:spacing w:line="204"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17"/>
                <w:sz w:val="21"/>
                <w:szCs w:val="21"/>
              </w:rPr>
              <w:t>可用于市政污水和工业废水的处理，包括生活污水、高氨氮化工废水、旅游景区及宾馆饭店污水、分散型农村生活污水，尤其适用于低C／N值污水的深度脱氮除磷。</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可达到</w:t>
            </w:r>
            <w:sdt>
              <w:sdtPr>
                <w:rPr>
                  <w:color w:val="auto"/>
                </w:rPr>
                <w:alias w:val="标点符号检查"/>
                <w:id w:val="3181355"/>
              </w:sdtPr>
              <w:sdtEndPr>
                <w:rPr>
                  <w:color w:val="auto"/>
                </w:rPr>
              </w:sdtEndPr>
              <w:sdtContent>
                <w:bookmarkStart w:id="421" w:name="bkReivew3181355"/>
                <w:r>
                  <w:rPr>
                    <w:rFonts w:hint="eastAsia" w:ascii="方正仿宋_GBK" w:hAnsi="方正仿宋_GBK" w:cs="方正仿宋_GBK"/>
                    <w:color w:val="auto"/>
                    <w:sz w:val="21"/>
                    <w:szCs w:val="21"/>
                  </w:rPr>
                  <w:t>（</w:t>
                </w:r>
                <w:bookmarkEnd w:id="421"/>
              </w:sdtContent>
            </w:sdt>
            <w:r>
              <w:rPr>
                <w:rFonts w:hint="eastAsia" w:ascii="方正仿宋_GBK" w:hAnsi="方正仿宋_GBK" w:cs="方正仿宋_GBK"/>
                <w:color w:val="auto"/>
                <w:sz w:val="21"/>
                <w:szCs w:val="21"/>
              </w:rPr>
              <w:t>DB33/973</w:t>
            </w:r>
            <w:sdt>
              <w:sdtPr>
                <w:rPr>
                  <w:color w:val="auto"/>
                </w:rPr>
                <w:alias w:val="标点符号检查"/>
                <w:id w:val="3072742"/>
              </w:sdtPr>
              <w:sdtEndPr>
                <w:rPr>
                  <w:color w:val="auto"/>
                </w:rPr>
              </w:sdtEndPr>
              <w:sdtContent>
                <w:bookmarkStart w:id="422" w:name="bkReivew3072742"/>
                <w:r>
                  <w:rPr>
                    <w:rFonts w:hint="eastAsia" w:ascii="方正仿宋_GBK" w:hAnsi="方正仿宋_GBK" w:cs="方正仿宋_GBK"/>
                    <w:color w:val="auto"/>
                    <w:sz w:val="21"/>
                    <w:szCs w:val="21"/>
                  </w:rPr>
                  <w:t>-</w:t>
                </w:r>
                <w:bookmarkEnd w:id="422"/>
              </w:sdtContent>
            </w:sdt>
            <w:r>
              <w:rPr>
                <w:rFonts w:hint="eastAsia" w:ascii="方正仿宋_GBK" w:hAnsi="方正仿宋_GBK" w:cs="方正仿宋_GBK"/>
                <w:color w:val="auto"/>
                <w:sz w:val="21"/>
                <w:szCs w:val="21"/>
              </w:rPr>
              <w:t>2015</w:t>
            </w:r>
            <w:sdt>
              <w:sdtPr>
                <w:rPr>
                  <w:color w:val="auto"/>
                </w:rPr>
                <w:alias w:val="标点符号检查"/>
                <w:id w:val="2032632"/>
              </w:sdtPr>
              <w:sdtEndPr>
                <w:rPr>
                  <w:color w:val="auto"/>
                </w:rPr>
              </w:sdtEndPr>
              <w:sdtContent>
                <w:bookmarkStart w:id="423" w:name="bkReivew2032632"/>
                <w:r>
                  <w:rPr>
                    <w:rFonts w:hint="eastAsia" w:ascii="方正仿宋_GBK" w:hAnsi="方正仿宋_GBK" w:cs="方正仿宋_GBK"/>
                    <w:color w:val="auto"/>
                    <w:sz w:val="21"/>
                    <w:szCs w:val="21"/>
                  </w:rPr>
                  <w:t>）</w:t>
                </w:r>
                <w:bookmarkEnd w:id="423"/>
              </w:sdtContent>
            </w:sdt>
            <w:r>
              <w:rPr>
                <w:rFonts w:hint="eastAsia" w:ascii="方正仿宋_GBK" w:hAnsi="方正仿宋_GBK" w:cs="方正仿宋_GBK"/>
                <w:color w:val="auto"/>
                <w:sz w:val="21"/>
                <w:szCs w:val="21"/>
              </w:rPr>
              <w:t>一级排放标准</w:t>
            </w:r>
          </w:p>
        </w:tc>
        <w:tc>
          <w:tcPr>
            <w:tcW w:w="268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解决了传统生物脱氮除磷工艺中氮、磷不能同步去除的公认难题，无需投加化学药剂，节省运行成本，曝气生物滤池的模块化设计使占地面积更少，适合我国国情</w:t>
            </w:r>
          </w:p>
        </w:tc>
        <w:tc>
          <w:tcPr>
            <w:tcW w:w="2069"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流程复杂，造价高，</w:t>
            </w:r>
            <w:r>
              <w:rPr>
                <w:rFonts w:hint="eastAsia" w:ascii="方正仿宋_GBK" w:hAnsi="方正仿宋_GBK" w:cs="方正仿宋_GBK"/>
                <w:color w:val="auto"/>
                <w:sz w:val="21"/>
                <w:szCs w:val="21"/>
                <w:shd w:val="clear" w:color="auto" w:fill="FFFFFF"/>
              </w:rPr>
              <w:t>污泥内回流量大，能耗较高;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2" w:hRule="atLeast"/>
          <w:jc w:val="center"/>
        </w:trPr>
        <w:tc>
          <w:tcPr>
            <w:tcW w:w="877" w:type="dxa"/>
            <w:noWrap w:val="0"/>
            <w:vAlign w:val="center"/>
          </w:tcPr>
          <w:p>
            <w:pPr>
              <w:pStyle w:val="23"/>
              <w:widowControl w:val="0"/>
              <w:snapToGrid w:val="0"/>
              <w:spacing w:line="216"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人工</w:t>
            </w:r>
          </w:p>
          <w:p>
            <w:pPr>
              <w:pStyle w:val="23"/>
              <w:widowControl w:val="0"/>
              <w:snapToGrid w:val="0"/>
              <w:spacing w:line="216"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湿地</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比较适合于处理水量不大、水质变化不很大、运行维护力量不强的城镇污水。在实际运行中常与各类处理工艺配合使用，作为前端处理设施的尾水处理，可加强脱氮除磷效果</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达到《城镇污水处理厂污染物排放标准》（GB1318918-2002）三级标准</w:t>
            </w:r>
          </w:p>
        </w:tc>
        <w:tc>
          <w:tcPr>
            <w:tcW w:w="268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建造和运行费用便宜；易于维护，技术含量低；可进行有效可靠的废水处理；可缓冲对水力和污染负荷的冲击；可提供和间接</w:t>
            </w:r>
            <w:sdt>
              <w:sdtPr>
                <w:rPr>
                  <w:color w:val="auto"/>
                </w:rPr>
                <w:alias w:val="易错词检查"/>
                <w:id w:val="123750"/>
              </w:sdtPr>
              <w:sdtEndPr>
                <w:rPr>
                  <w:color w:val="auto"/>
                </w:rPr>
              </w:sdtEndPr>
              <w:sdtContent>
                <w:bookmarkStart w:id="424" w:name="bkReivew123750"/>
                <w:r>
                  <w:rPr>
                    <w:rFonts w:hint="eastAsia" w:ascii="方正仿宋_GBK" w:hAnsi="方正仿宋_GBK" w:cs="方正仿宋_GBK"/>
                    <w:color w:val="auto"/>
                    <w:sz w:val="21"/>
                    <w:szCs w:val="21"/>
                    <w:lang w:eastAsia="zh-CN"/>
                  </w:rPr>
                  <w:t>提供</w:t>
                </w:r>
                <w:r>
                  <w:rPr>
                    <w:rFonts w:hint="eastAsia" w:ascii="方正仿宋_GBK" w:hAnsi="方正仿宋_GBK" w:cs="方正仿宋_GBK"/>
                    <w:color w:val="auto"/>
                    <w:sz w:val="21"/>
                    <w:szCs w:val="21"/>
                  </w:rPr>
                  <w:t>效益</w:t>
                </w:r>
                <w:bookmarkEnd w:id="424"/>
              </w:sdtContent>
            </w:sdt>
          </w:p>
        </w:tc>
        <w:tc>
          <w:tcPr>
            <w:tcW w:w="2069" w:type="dxa"/>
            <w:noWrap w:val="0"/>
            <w:vAlign w:val="center"/>
          </w:tcPr>
          <w:p>
            <w:pPr>
              <w:widowControl w:val="0"/>
              <w:adjustRightInd/>
              <w:spacing w:line="204"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对进入的水质有一定的要求，占地面大；易受病虫害影响；生物和水力复杂性加大了对其处理制工艺动力学和影响因素的认识理解设计运行参数不精确，因此常由于设计不当使出水达不到设计要求或不能达标放，有的人工湿地反而成了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88" w:hRule="atLeast"/>
          <w:jc w:val="center"/>
        </w:trPr>
        <w:tc>
          <w:tcPr>
            <w:tcW w:w="877"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A/O+化学除磷</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适用于高浓度有机物及含磷较高的废水</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可达到</w:t>
            </w:r>
            <w:sdt>
              <w:sdtPr>
                <w:rPr>
                  <w:color w:val="auto"/>
                </w:rPr>
                <w:alias w:val="标点符号检查"/>
                <w:id w:val="3000120"/>
              </w:sdtPr>
              <w:sdtEndPr>
                <w:rPr>
                  <w:color w:val="auto"/>
                </w:rPr>
              </w:sdtEndPr>
              <w:sdtContent>
                <w:bookmarkStart w:id="425" w:name="bkReivew3000120"/>
                <w:r>
                  <w:rPr>
                    <w:rFonts w:hint="eastAsia" w:ascii="方正仿宋_GBK" w:hAnsi="方正仿宋_GBK" w:cs="方正仿宋_GBK"/>
                    <w:color w:val="auto"/>
                    <w:sz w:val="21"/>
                    <w:szCs w:val="21"/>
                  </w:rPr>
                  <w:t>（</w:t>
                </w:r>
                <w:bookmarkEnd w:id="425"/>
              </w:sdtContent>
            </w:sdt>
            <w:r>
              <w:rPr>
                <w:rFonts w:hint="eastAsia" w:ascii="方正仿宋_GBK" w:hAnsi="方正仿宋_GBK" w:cs="方正仿宋_GBK"/>
                <w:color w:val="auto"/>
                <w:sz w:val="21"/>
                <w:szCs w:val="21"/>
              </w:rPr>
              <w:t>DB33/973</w:t>
            </w:r>
            <w:sdt>
              <w:sdtPr>
                <w:rPr>
                  <w:color w:val="auto"/>
                </w:rPr>
                <w:alias w:val="标点符号检查"/>
                <w:id w:val="183014"/>
              </w:sdtPr>
              <w:sdtEndPr>
                <w:rPr>
                  <w:color w:val="auto"/>
                </w:rPr>
              </w:sdtEndPr>
              <w:sdtContent>
                <w:bookmarkStart w:id="426" w:name="bkReivew183014"/>
                <w:r>
                  <w:rPr>
                    <w:rFonts w:hint="eastAsia" w:ascii="方正仿宋_GBK" w:hAnsi="方正仿宋_GBK" w:cs="方正仿宋_GBK"/>
                    <w:color w:val="auto"/>
                    <w:sz w:val="21"/>
                    <w:szCs w:val="21"/>
                  </w:rPr>
                  <w:t>-</w:t>
                </w:r>
                <w:bookmarkEnd w:id="426"/>
              </w:sdtContent>
            </w:sdt>
            <w:r>
              <w:rPr>
                <w:rFonts w:hint="eastAsia" w:ascii="方正仿宋_GBK" w:hAnsi="方正仿宋_GBK" w:cs="方正仿宋_GBK"/>
                <w:color w:val="auto"/>
                <w:sz w:val="21"/>
                <w:szCs w:val="21"/>
              </w:rPr>
              <w:t>2015</w:t>
            </w:r>
            <w:sdt>
              <w:sdtPr>
                <w:rPr>
                  <w:color w:val="auto"/>
                </w:rPr>
                <w:alias w:val="标点符号检查"/>
                <w:id w:val="2143122"/>
              </w:sdtPr>
              <w:sdtEndPr>
                <w:rPr>
                  <w:color w:val="auto"/>
                </w:rPr>
              </w:sdtEndPr>
              <w:sdtContent>
                <w:bookmarkStart w:id="427" w:name="bkReivew2143122"/>
                <w:r>
                  <w:rPr>
                    <w:rFonts w:hint="eastAsia" w:ascii="方正仿宋_GBK" w:hAnsi="方正仿宋_GBK" w:cs="方正仿宋_GBK"/>
                    <w:color w:val="auto"/>
                    <w:sz w:val="21"/>
                    <w:szCs w:val="21"/>
                  </w:rPr>
                  <w:t>）</w:t>
                </w:r>
                <w:bookmarkEnd w:id="427"/>
              </w:sdtContent>
            </w:sdt>
            <w:r>
              <w:rPr>
                <w:rFonts w:hint="eastAsia" w:ascii="方正仿宋_GBK" w:hAnsi="方正仿宋_GBK" w:cs="方正仿宋_GBK"/>
                <w:color w:val="auto"/>
                <w:sz w:val="21"/>
                <w:szCs w:val="21"/>
              </w:rPr>
              <w:t>一级排放标准</w:t>
            </w:r>
          </w:p>
        </w:tc>
        <w:tc>
          <w:tcPr>
            <w:tcW w:w="2685"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以原污水中的含碳有机物和内源代谢产物为碳源，节省了投加外碳源的费用；好氧池在后，可进一步去除有机物；缺氧池在先，由于反硝化消耗了部分碳源有机物，可减轻好氧池负荷；通</w:t>
            </w:r>
            <w:r>
              <w:rPr>
                <w:rFonts w:hint="eastAsia" w:ascii="方正仿宋_GBK" w:hAnsi="方正仿宋_GBK" w:cs="方正仿宋_GBK"/>
                <w:color w:val="auto"/>
                <w:sz w:val="21"/>
                <w:szCs w:val="21"/>
                <w:shd w:val="clear" w:color="auto" w:fill="FFFFFF"/>
              </w:rPr>
              <w:t>过投加混凝剂的化学沉淀法强化对磷的去除，明显提高了该工艺的除磷效果</w:t>
            </w:r>
          </w:p>
        </w:tc>
        <w:tc>
          <w:tcPr>
            <w:tcW w:w="2069" w:type="dxa"/>
            <w:noWrap w:val="0"/>
            <w:vAlign w:val="center"/>
          </w:tcPr>
          <w:p>
            <w:pPr>
              <w:pStyle w:val="23"/>
              <w:widowControl w:val="0"/>
              <w:snapToGrid w:val="0"/>
              <w:spacing w:line="204"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由于没有独立的污泥回流系统，从而不能培养出具有独特功能的污泥，难降解物质的降解率较低；若要提高脱氮效率，必须加大内循环比，因而加大运行费用</w:t>
            </w:r>
            <w:r>
              <w:rPr>
                <w:rFonts w:hint="eastAsia" w:ascii="方正仿宋_GBK" w:hAnsi="方正仿宋_GBK" w:cs="方正仿宋_GBK"/>
                <w:color w:val="auto"/>
                <w:spacing w:val="-6"/>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72" w:hRule="atLeast"/>
          <w:jc w:val="center"/>
        </w:trPr>
        <w:tc>
          <w:tcPr>
            <w:tcW w:w="877" w:type="dxa"/>
            <w:noWrap w:val="0"/>
            <w:vAlign w:val="center"/>
          </w:tcPr>
          <w:p>
            <w:pPr>
              <w:widowControl w:val="0"/>
              <w:adjustRightInd/>
              <w:spacing w:line="216" w:lineRule="auto"/>
              <w:ind w:firstLine="0" w:firstLineChars="0"/>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厌氧+好氧+沉淀</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shd w:val="clear" w:color="auto" w:fill="FFFFFF"/>
              </w:rPr>
              <w:t>其出水达到国家《城镇污水处理厂污染物排放标准》（GB 18918—2002)—级B标准。</w:t>
            </w:r>
          </w:p>
        </w:tc>
        <w:tc>
          <w:tcPr>
            <w:tcW w:w="2685" w:type="dxa"/>
            <w:noWrap w:val="0"/>
            <w:vAlign w:val="center"/>
          </w:tcPr>
          <w:p>
            <w:pPr>
              <w:widowControl w:val="0"/>
              <w:adjustRightInd/>
              <w:spacing w:line="216" w:lineRule="auto"/>
              <w:ind w:firstLine="0" w:firstLineChars="0"/>
              <w:rPr>
                <w:rFonts w:hint="eastAsia" w:ascii="方正仿宋_GBK" w:hAnsi="方正仿宋_GBK" w:cs="方正仿宋_GBK"/>
                <w:color w:val="auto"/>
                <w:sz w:val="21"/>
                <w:szCs w:val="21"/>
              </w:rPr>
            </w:pPr>
            <w:r>
              <w:rPr>
                <w:rFonts w:hint="eastAsia" w:ascii="方正仿宋_GBK" w:hAnsi="方正仿宋_GBK" w:cs="方正仿宋_GBK"/>
                <w:color w:val="auto"/>
                <w:spacing w:val="-11"/>
                <w:sz w:val="21"/>
                <w:szCs w:val="21"/>
              </w:rPr>
              <w:t>不需要通过物理或化学手段进行预处理， 也不需要添加任何化学药剂 ，已被证实能在不影响出水水质的前提下， 实现污泥减量， 同时改善了污泥沉降性能使得基建和运行成本较低.</w:t>
            </w:r>
          </w:p>
        </w:tc>
        <w:tc>
          <w:tcPr>
            <w:tcW w:w="2069" w:type="dxa"/>
            <w:noWrap w:val="0"/>
            <w:vAlign w:val="center"/>
          </w:tcPr>
          <w:p>
            <w:pPr>
              <w:pStyle w:val="23"/>
              <w:widowControl w:val="0"/>
              <w:snapToGrid w:val="0"/>
              <w:spacing w:line="204"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在水力冲击下，厌氧池和好氧生化池内束状填料可能发生纤维束缠绕、成团、断裂等现象</w:t>
            </w:r>
            <w:sdt>
              <w:sdtPr>
                <w:rPr>
                  <w:color w:val="auto"/>
                </w:rPr>
                <w:alias w:val="标点符号检查"/>
                <w:id w:val="3041216"/>
              </w:sdtPr>
              <w:sdtEndPr>
                <w:rPr>
                  <w:color w:val="auto"/>
                </w:rPr>
              </w:sdtEndP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31" w:hRule="atLeast"/>
          <w:jc w:val="center"/>
        </w:trPr>
        <w:tc>
          <w:tcPr>
            <w:tcW w:w="877" w:type="dxa"/>
            <w:noWrap w:val="0"/>
            <w:vAlign w:val="center"/>
          </w:tcPr>
          <w:p>
            <w:pPr>
              <w:pStyle w:val="23"/>
              <w:widowControl w:val="0"/>
              <w:snapToGrid w:val="0"/>
              <w:spacing w:line="216"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生物</w:t>
            </w:r>
          </w:p>
          <w:p>
            <w:pPr>
              <w:pStyle w:val="23"/>
              <w:widowControl w:val="0"/>
              <w:snapToGrid w:val="0"/>
              <w:spacing w:line="216" w:lineRule="auto"/>
              <w:jc w:val="center"/>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转盘</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pacing w:val="-6"/>
                <w:sz w:val="21"/>
                <w:szCs w:val="21"/>
              </w:rPr>
              <w:t>应用于各种生活污水和工业污水的处理</w:t>
            </w:r>
          </w:p>
        </w:tc>
        <w:tc>
          <w:tcPr>
            <w:tcW w:w="163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达到《城镇污水处理厂污染物排放标准》（GB1318918-2002）三级标准</w:t>
            </w:r>
          </w:p>
        </w:tc>
        <w:tc>
          <w:tcPr>
            <w:tcW w:w="2685" w:type="dxa"/>
            <w:noWrap w:val="0"/>
            <w:vAlign w:val="center"/>
          </w:tcPr>
          <w:p>
            <w:pPr>
              <w:pStyle w:val="23"/>
              <w:widowControl w:val="0"/>
              <w:snapToGrid w:val="0"/>
              <w:spacing w:line="216" w:lineRule="auto"/>
              <w:rPr>
                <w:rFonts w:hint="eastAsia" w:ascii="方正仿宋_GBK" w:hAnsi="方正仿宋_GBK" w:cs="方正仿宋_GBK"/>
                <w:color w:val="auto"/>
                <w:sz w:val="21"/>
                <w:szCs w:val="21"/>
              </w:rPr>
            </w:pPr>
            <w:r>
              <w:rPr>
                <w:rFonts w:hint="eastAsia" w:ascii="方正仿宋_GBK" w:hAnsi="方正仿宋_GBK" w:cs="方正仿宋_GBK"/>
                <w:color w:val="auto"/>
                <w:sz w:val="21"/>
                <w:szCs w:val="21"/>
              </w:rPr>
              <w:t>系统设计灵活、安装便捷、操作简单、系统可靠、操作和运行费，不需要曝气，也无需污泥回流，节约能源，</w:t>
            </w:r>
            <w:r>
              <w:rPr>
                <w:rFonts w:hint="eastAsia" w:ascii="方正仿宋_GBK" w:hAnsi="方正仿宋_GBK" w:cs="方正仿宋_GBK"/>
                <w:color w:val="auto"/>
                <w:sz w:val="21"/>
                <w:szCs w:val="21"/>
                <w:shd w:val="clear" w:color="auto" w:fill="FFFFFF"/>
              </w:rPr>
              <w:t>转盘中生物膜生长的表面积大，又不会发生如生物滤池中滤料堵塞的现象，即使堵塞也很容易清洗、生物转盘没有污泥膨胀的可能</w:t>
            </w:r>
          </w:p>
        </w:tc>
        <w:tc>
          <w:tcPr>
            <w:tcW w:w="2069" w:type="dxa"/>
            <w:noWrap w:val="0"/>
            <w:vAlign w:val="center"/>
          </w:tcPr>
          <w:p>
            <w:pPr>
              <w:widowControl w:val="0"/>
              <w:shd w:val="clear" w:color="auto" w:fill="FFFFFF"/>
              <w:adjustRightInd/>
              <w:spacing w:line="204" w:lineRule="auto"/>
              <w:ind w:firstLine="0" w:firstLineChars="0"/>
              <w:rPr>
                <w:rFonts w:hint="eastAsia" w:ascii="方正仿宋_GBK" w:hAnsi="方正仿宋_GBK" w:cs="方正仿宋_GBK"/>
                <w:color w:val="auto"/>
                <w:sz w:val="21"/>
                <w:szCs w:val="21"/>
                <w:shd w:val="clear" w:color="auto" w:fill="FFFFFF"/>
              </w:rPr>
            </w:pPr>
            <w:r>
              <w:rPr>
                <w:rFonts w:hint="eastAsia" w:ascii="方正仿宋_GBK" w:hAnsi="方正仿宋_GBK" w:cs="方正仿宋_GBK"/>
                <w:color w:val="auto"/>
                <w:spacing w:val="-6"/>
                <w:sz w:val="21"/>
                <w:szCs w:val="21"/>
                <w:shd w:val="clear" w:color="auto" w:fill="FFFFFF"/>
              </w:rPr>
              <w:t>制作盘片的材料价格较高，使生物转盘的建造费用高；由于盘片材料的限制，使转盘的直径还不宜做得太大；当水量较大时，将需要很多盘片，并且转盘水深较浅占地面积相对较大。因此，生物转盘适宜处理水量较小的有机污水</w:t>
            </w:r>
          </w:p>
        </w:tc>
      </w:tr>
    </w:tbl>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综合考虑永川区农村地区的经济水平、地质地势、污水水质情况、水质要求、后期维护管理情况等各方面情况，同时结合各镇街现有设施各处理工艺的运行效果等，本规划建议针对不同的出水要求，在现有设施的基础上，根据现场条件，可采用“A2/O、AO、人工湿地”3种工艺技术对新增扩面设施进行建设。对于现有设施，则在充分利用现有设施条件的基础上，尽可能利用上述2种工艺技术进行提升改造。</w:t>
      </w:r>
    </w:p>
    <w:p>
      <w:pPr>
        <w:widowControl w:val="0"/>
        <w:spacing w:line="264" w:lineRule="auto"/>
        <w:ind w:firstLine="640"/>
        <w:rPr>
          <w:rFonts w:hint="eastAsia" w:ascii="方正楷体_GBK" w:hAnsi="方正楷体_GBK" w:eastAsia="方正楷体_GBK" w:cs="方正楷体_GBK"/>
          <w:color w:val="auto"/>
        </w:rPr>
      </w:pPr>
      <w:bookmarkStart w:id="428" w:name="_Toc45199318"/>
      <w:bookmarkStart w:id="429" w:name="_Toc48318328"/>
      <w:r>
        <w:rPr>
          <w:rFonts w:hint="eastAsia" w:ascii="方正楷体_GBK" w:hAnsi="方正楷体_GBK" w:eastAsia="方正楷体_GBK" w:cs="方正楷体_GBK"/>
          <w:color w:val="auto"/>
        </w:rPr>
        <w:t>5.5  污水再生利用</w:t>
      </w:r>
      <w:bookmarkEnd w:id="428"/>
      <w:bookmarkEnd w:id="429"/>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处理后污水的处置方式主要有灌溉农田、重复利用和排放水体。对各种处置方式分述如下：</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（1）灌溉农田</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目前，我国不少城市将处理后污水用于农业灌溉，取得了较好的效果。待处理厂建成后，排放水经测定符合《农业灌溉水质标准》（GB5084-2005），可用于农田和林业灌溉。</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（2）重复利用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污水的回用（重复利用）是污水最终处置的发展方向，重复利用可以节约水资源，缓解季节性城市供水紧张问题，可创造出较大的经济效益。回用水用于冲厕、道路浇洒、绿化浇灌、车辆冲洗等用途时应符合现行《城市污水再生利用城市杂用水水质标准》GB/T18920相关规定；用于景观环境用水时应符合现行《城市污水再生利用景观环境用水水质》GB/T18921相关规定。</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（3）排放水体</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排放水体是常用也是最便利的处置方式，当重复利用或灌溉不具备条件时，均采用排放水体处置。尾水宜利用村庄周边沟渠、水塘、土地等途径进一步净化后排入受纳水体。</w:t>
      </w:r>
    </w:p>
    <w:p>
      <w:pPr>
        <w:widowControl w:val="0"/>
        <w:spacing w:line="264" w:lineRule="auto"/>
        <w:ind w:firstLine="640"/>
        <w:rPr>
          <w:rFonts w:hint="eastAsia" w:ascii="方正仿宋_GBK" w:hAnsi="方正仿宋_GBK" w:cs="方正仿宋_GBK"/>
          <w:color w:val="auto"/>
        </w:rPr>
      </w:pPr>
      <w:bookmarkStart w:id="430" w:name="_Toc48318329"/>
      <w:bookmarkStart w:id="431" w:name="_Toc45199319"/>
      <w:r>
        <w:rPr>
          <w:rFonts w:hint="eastAsia" w:ascii="方正仿宋_GBK" w:hAnsi="方正仿宋_GBK" w:cs="方正仿宋_GBK"/>
          <w:color w:val="auto"/>
        </w:rPr>
        <w:t>5.6  污泥处置</w:t>
      </w:r>
      <w:bookmarkEnd w:id="430"/>
      <w:bookmarkEnd w:id="431"/>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根据《重庆市农村生活污水及生活垃圾处理适宜技术推荐</w:t>
      </w:r>
      <w:r>
        <w:rPr>
          <w:rFonts w:hint="default" w:ascii="方正仿宋_GBK" w:hAnsi="方正仿宋_GBK" w:cs="方正仿宋_GBK"/>
          <w:color w:val="auto"/>
          <w:lang w:val="en"/>
        </w:rPr>
        <w:t>（试行）》</w:t>
      </w:r>
      <w:r>
        <w:rPr>
          <w:rFonts w:hint="eastAsia" w:ascii="方正仿宋_GBK" w:hAnsi="方正仿宋_GBK" w:cs="方正仿宋_GBK"/>
          <w:color w:val="auto"/>
        </w:rPr>
        <w:t>，污水污泥处理管理要求的一般规定为：</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（1）污水处理过程中产生的污泥经检测符合国家现行有关标准规定的，应进行综合利用。</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（2）污水处理污泥宜采用重力浓缩、污泥自然干化场等方式处理。</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（3）污水处理污泥如用于还田，应进行堆肥处理，有害物质含量应符合国家现行有关标准规定。</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（4）污水处理污泥的性质确定，需委托有资质的单位进行分析鉴定。</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结合《重庆市农村生活污水及生活垃圾处理适宜技术推荐</w:t>
      </w:r>
      <w:r>
        <w:rPr>
          <w:rFonts w:hint="default" w:ascii="方正仿宋_GBK" w:hAnsi="方正仿宋_GBK" w:cs="方正仿宋_GBK"/>
          <w:color w:val="auto"/>
          <w:lang w:val="en"/>
        </w:rPr>
        <w:t>（试行）》</w:t>
      </w:r>
      <w:r>
        <w:rPr>
          <w:rFonts w:hint="eastAsia" w:ascii="方正仿宋_GBK" w:hAnsi="方正仿宋_GBK" w:cs="方正仿宋_GBK"/>
          <w:color w:val="auto"/>
        </w:rPr>
        <w:t>，本规划采用污泥干化场</w:t>
      </w:r>
      <w:sdt>
        <w:sdtPr>
          <w:rPr>
            <w:color w:val="auto"/>
          </w:rPr>
          <w:alias w:val="易错词检查"/>
          <w:id w:val="613"/>
        </w:sdtPr>
        <w:sdtEndPr>
          <w:rPr>
            <w:color w:val="auto"/>
          </w:rPr>
        </w:sdtEndPr>
        <w:sdtContent>
          <w:bookmarkStart w:id="432" w:name="bkReivew613"/>
          <w:r>
            <w:rPr>
              <w:rFonts w:hint="eastAsia" w:ascii="方正仿宋_GBK" w:hAnsi="方正仿宋_GBK" w:cs="方正仿宋_GBK"/>
              <w:color w:val="auto"/>
            </w:rPr>
            <w:t>的</w:t>
          </w:r>
          <w:bookmarkEnd w:id="432"/>
        </w:sdtContent>
      </w:sdt>
      <w:r>
        <w:rPr>
          <w:rFonts w:hint="eastAsia" w:ascii="方正仿宋_GBK" w:hAnsi="方正仿宋_GBK" w:cs="方正仿宋_GBK"/>
          <w:color w:val="auto"/>
        </w:rPr>
        <w:t>处理方式：</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（1）污泥自然干化场的固体通量负荷，宜根据污泥性质、年平均气温、降雨量和蒸发量等因素，参照相似地区经验确定。</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（2）干化场分块数不宜小于3块，干化场高度以采用0.5～1.0m。</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（3）干化场宜设人工排水层，排水层填料宜分为两层，每层厚度宜为0.2m，下层宜采用粗矿渣、砾石或碎石，上层宜采用细矿渣或砂。</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（4）人工排水层下层宜设不透水层。不透水层宜采用黏土，其厚度宜为0.2-0.4m，也可采用厚度为0.1-0.2m的低强度等级的混凝土或厚度为0.15-0.3m的灰土。不透水层坡向排水设施的坡度宜为</w:t>
      </w:r>
      <w:sdt>
        <w:sdtPr>
          <w:rPr>
            <w:color w:val="auto"/>
          </w:rPr>
          <w:alias w:val="标点符号检查"/>
          <w:id w:val="2112756"/>
        </w:sdtPr>
        <w:sdtEndPr>
          <w:rPr>
            <w:color w:val="auto"/>
          </w:rPr>
        </w:sdtEndPr>
        <w:sdtContent>
          <w:bookmarkStart w:id="433" w:name="bkReivew2112756"/>
          <w:r>
            <w:rPr>
              <w:rFonts w:hint="eastAsia" w:ascii="方正仿宋_GBK" w:hAnsi="方正仿宋_GBK" w:cs="方正仿宋_GBK"/>
              <w:color w:val="auto"/>
            </w:rPr>
            <w:t>1-2%</w:t>
          </w:r>
          <w:bookmarkEnd w:id="433"/>
        </w:sdtContent>
      </w:sdt>
      <w:r>
        <w:rPr>
          <w:rFonts w:hint="eastAsia" w:ascii="方正仿宋_GBK" w:hAnsi="方正仿宋_GBK" w:cs="方正仿宋_GBK"/>
          <w:color w:val="auto"/>
        </w:rPr>
        <w:t>。</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（5）干化场应有排除上层污泥水的设施，上层污泥水应返回污水处理系统，不得直接排放。</w:t>
      </w:r>
    </w:p>
    <w:p>
      <w:pPr>
        <w:widowControl w:val="0"/>
        <w:spacing w:line="264" w:lineRule="auto"/>
        <w:ind w:firstLine="640"/>
        <w:rPr>
          <w:rFonts w:hint="eastAsia" w:ascii="方正楷体_GBK" w:hAnsi="方正楷体_GBK" w:eastAsia="方正楷体_GBK" w:cs="方正楷体_GBK"/>
          <w:color w:val="auto"/>
        </w:rPr>
      </w:pPr>
      <w:bookmarkStart w:id="434" w:name="_Toc45199320"/>
      <w:bookmarkStart w:id="435" w:name="_Toc48318330"/>
      <w:r>
        <w:rPr>
          <w:rFonts w:hint="eastAsia" w:ascii="方正楷体_GBK" w:hAnsi="方正楷体_GBK" w:eastAsia="方正楷体_GBK" w:cs="方正楷体_GBK"/>
          <w:color w:val="auto"/>
        </w:rPr>
        <w:t>5.7  系统方案</w:t>
      </w:r>
      <w:bookmarkEnd w:id="434"/>
      <w:bookmarkEnd w:id="435"/>
    </w:p>
    <w:p>
      <w:pPr>
        <w:widowControl w:val="0"/>
        <w:spacing w:line="264" w:lineRule="auto"/>
        <w:ind w:firstLine="640"/>
        <w:rPr>
          <w:rFonts w:hint="eastAsia" w:ascii="方正仿宋_GBK" w:hAnsi="方正仿宋_GBK" w:cs="方正仿宋_GBK"/>
          <w:color w:val="auto"/>
        </w:rPr>
      </w:pPr>
      <w:bookmarkStart w:id="436" w:name="_Toc48318331"/>
      <w:bookmarkStart w:id="437" w:name="_Toc45199321"/>
      <w:r>
        <w:rPr>
          <w:rFonts w:hint="eastAsia" w:ascii="方正仿宋_GBK" w:hAnsi="方正仿宋_GBK" w:cs="方正仿宋_GBK"/>
          <w:color w:val="auto"/>
        </w:rPr>
        <w:t>5.7.1  总体布局</w:t>
      </w:r>
      <w:bookmarkEnd w:id="436"/>
      <w:bookmarkEnd w:id="437"/>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5.7.1.1  布局原则</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szCs w:val="32"/>
        </w:rPr>
        <w:t>（</w:t>
      </w:r>
      <w:r>
        <w:rPr>
          <w:rFonts w:hint="eastAsia" w:ascii="方正仿宋_GBK" w:hAnsi="方正仿宋_GBK" w:cs="方正仿宋_GBK"/>
          <w:color w:val="auto"/>
        </w:rPr>
        <w:t>1）合理利用现有处理设施；</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（2）分区分重点规划；</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（3）统筹城乡发展，优先纳管。</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5.7.1.2  总体布局</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根据重庆市生态环境局关于农村生活污水治理规划的要求，规划布局应从优先区域（三区、五沿、38流域、水质改善控制区）和一般区域（优先区域以外的区域）出发，200户以上或常住人口500人以上的集聚区的污水处理设施及其配套设施全覆盖；已有设施进行管网提升、设施设备改造提升、运行维护工程及监测监管的工程；农家乐及民宿应配套相应的污水处理工程；针对分散农户，应普及生活污水处置工程。</w:t>
      </w:r>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5.7.1.3  规划系统方案</w:t>
      </w:r>
    </w:p>
    <w:p>
      <w:pPr>
        <w:widowControl w:val="0"/>
        <w:spacing w:line="264" w:lineRule="auto"/>
        <w:ind w:firstLine="640"/>
        <w:rPr>
          <w:rFonts w:hint="eastAsia"/>
          <w:color w:val="auto"/>
        </w:rPr>
      </w:pPr>
      <w:r>
        <w:rPr>
          <w:rFonts w:hint="eastAsia"/>
          <w:color w:val="auto"/>
        </w:rPr>
        <w:t>永川区农村生活污水治理规划（近期）系统方案详见文本。</w:t>
      </w:r>
    </w:p>
    <w:p>
      <w:pPr>
        <w:widowControl w:val="0"/>
        <w:spacing w:line="264" w:lineRule="auto"/>
        <w:ind w:firstLine="640"/>
        <w:rPr>
          <w:rFonts w:hint="eastAsia" w:ascii="方正仿宋_GBK" w:hAnsi="方正仿宋_GBK" w:cs="方正仿宋_GBK"/>
          <w:color w:val="auto"/>
        </w:rPr>
      </w:pPr>
      <w:bookmarkStart w:id="438" w:name="_Toc48318332"/>
      <w:bookmarkStart w:id="439" w:name="_Toc45199322"/>
      <w:r>
        <w:rPr>
          <w:rFonts w:hint="eastAsia" w:ascii="方正仿宋_GBK" w:hAnsi="方正仿宋_GBK" w:cs="方正仿宋_GBK"/>
          <w:color w:val="auto"/>
        </w:rPr>
        <w:t>5.7.2  验收移交</w:t>
      </w:r>
      <w:bookmarkEnd w:id="438"/>
      <w:bookmarkEnd w:id="439"/>
    </w:p>
    <w:p>
      <w:pPr>
        <w:widowControl w:val="0"/>
        <w:spacing w:line="264" w:lineRule="auto"/>
        <w:ind w:firstLine="640"/>
        <w:rPr>
          <w:rFonts w:hint="eastAsia" w:ascii="方正仿宋_GBK" w:hAnsi="方正仿宋_GBK" w:cs="方正仿宋_GBK"/>
          <w:color w:val="auto"/>
        </w:rPr>
      </w:pPr>
      <w:r>
        <w:rPr>
          <w:rFonts w:hint="eastAsia" w:ascii="方正仿宋_GBK" w:hAnsi="方正仿宋_GBK" w:cs="方正仿宋_GBK"/>
          <w:color w:val="auto"/>
        </w:rPr>
        <w:t>农村生活污水处理设施建设既要保证工程质量合格，也要保证出水水质达标。在完成规划核实及工程竣工验收合格的基础上，由建设单位组织验收移交。经建设、接管等单位现场检查，无质量遗留问题的，严格核对相关资料，共同签署市政工程竣工移交接收表，并加盖双方单位印章，市政工程即正式移交接管单位管理。工程验收后，建设及管理部门应妥善保管竣工图等相关资料，以备查验。环保验收和运维移交应确保水质水量、工艺、规模与设计相符，设备材料完整。</w:t>
      </w:r>
      <w:bookmarkStart w:id="440" w:name="_Toc45199323"/>
    </w:p>
    <w:bookmarkEnd w:id="440"/>
    <w:p>
      <w:pPr>
        <w:widowControl w:val="0"/>
        <w:adjustRightInd/>
        <w:snapToGrid/>
        <w:spacing w:line="274" w:lineRule="auto"/>
        <w:ind w:firstLine="640"/>
        <w:rPr>
          <w:rFonts w:hint="eastAsia" w:ascii="方正仿宋_GBK" w:hAnsi="方正仿宋_GBK" w:cs="方正仿宋_GBK"/>
          <w:color w:val="auto"/>
          <w:szCs w:val="32"/>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720" w:footer="1474" w:gutter="0"/>
          <w:pgNumType w:fmt="numberInDash"/>
          <w:cols w:space="720" w:num="1"/>
          <w:docGrid w:linePitch="312" w:charSpace="0"/>
        </w:sectPr>
      </w:pPr>
    </w:p>
    <w:p>
      <w:pPr>
        <w:widowControl w:val="0"/>
        <w:spacing w:line="240" w:lineRule="auto"/>
        <w:ind w:firstLine="720"/>
        <w:jc w:val="center"/>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color w:val="auto"/>
          <w:sz w:val="36"/>
          <w:szCs w:val="36"/>
        </w:rPr>
        <w:t>附表</w:t>
      </w:r>
      <w:bookmarkStart w:id="441" w:name="_Toc48318333"/>
      <w:bookmarkStart w:id="442" w:name="_Toc45198277"/>
      <w:r>
        <w:rPr>
          <w:rFonts w:hint="eastAsia" w:ascii="方正小标宋_GBK" w:hAnsi="方正小标宋_GBK" w:eastAsia="方正小标宋_GBK" w:cs="方正小标宋_GBK"/>
          <w:color w:val="auto"/>
          <w:sz w:val="36"/>
          <w:szCs w:val="36"/>
        </w:rPr>
        <w:t>1  优先区域工程实施计划表</w:t>
      </w:r>
      <w:bookmarkEnd w:id="441"/>
      <w:bookmarkEnd w:id="442"/>
    </w:p>
    <w:tbl>
      <w:tblPr>
        <w:tblStyle w:val="25"/>
        <w:tblW w:w="0" w:type="auto"/>
        <w:jc w:val="center"/>
        <w:tblLayout w:type="fixed"/>
        <w:tblCellMar>
          <w:top w:w="0" w:type="dxa"/>
          <w:left w:w="108" w:type="dxa"/>
          <w:bottom w:w="0" w:type="dxa"/>
          <w:right w:w="108" w:type="dxa"/>
        </w:tblCellMar>
      </w:tblPr>
      <w:tblGrid>
        <w:gridCol w:w="377"/>
        <w:gridCol w:w="390"/>
        <w:gridCol w:w="825"/>
        <w:gridCol w:w="765"/>
        <w:gridCol w:w="675"/>
        <w:gridCol w:w="690"/>
        <w:gridCol w:w="915"/>
        <w:gridCol w:w="765"/>
        <w:gridCol w:w="2190"/>
        <w:gridCol w:w="690"/>
        <w:gridCol w:w="765"/>
        <w:gridCol w:w="859"/>
        <w:gridCol w:w="761"/>
        <w:gridCol w:w="819"/>
        <w:gridCol w:w="681"/>
        <w:gridCol w:w="661"/>
        <w:gridCol w:w="617"/>
        <w:gridCol w:w="678"/>
        <w:gridCol w:w="596"/>
      </w:tblGrid>
      <w:tr>
        <w:tblPrEx>
          <w:tblCellMar>
            <w:top w:w="0" w:type="dxa"/>
            <w:left w:w="108" w:type="dxa"/>
            <w:bottom w:w="0" w:type="dxa"/>
            <w:right w:w="108" w:type="dxa"/>
          </w:tblCellMar>
        </w:tblPrEx>
        <w:trPr>
          <w:trHeight w:val="316" w:hRule="atLeast"/>
          <w:tblHeader/>
          <w:jc w:val="center"/>
        </w:trPr>
        <w:tc>
          <w:tcPr>
            <w:tcW w:w="37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区域</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类型</w:t>
            </w:r>
          </w:p>
        </w:tc>
        <w:tc>
          <w:tcPr>
            <w:tcW w:w="3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建设</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类型</w:t>
            </w:r>
          </w:p>
        </w:tc>
        <w:tc>
          <w:tcPr>
            <w:tcW w:w="82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镇街</w:t>
            </w:r>
          </w:p>
        </w:tc>
        <w:tc>
          <w:tcPr>
            <w:tcW w:w="76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行政村</w:t>
            </w:r>
          </w:p>
        </w:tc>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户数</w:t>
            </w:r>
            <w:r>
              <w:rPr>
                <w:rFonts w:hint="eastAsia" w:ascii="方正黑体_GBK" w:hAnsi="方正黑体_GBK" w:eastAsia="方正黑体_GBK" w:cs="方正黑体_GBK"/>
                <w:color w:val="auto"/>
                <w:spacing w:val="-17"/>
                <w:sz w:val="18"/>
                <w:szCs w:val="18"/>
              </w:rPr>
              <w:t>（户）</w:t>
            </w:r>
          </w:p>
        </w:tc>
        <w:tc>
          <w:tcPr>
            <w:tcW w:w="6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人口</w:t>
            </w:r>
            <w:r>
              <w:rPr>
                <w:rFonts w:hint="eastAsia" w:ascii="方正黑体_GBK" w:hAnsi="方正黑体_GBK" w:eastAsia="方正黑体_GBK" w:cs="方正黑体_GBK"/>
                <w:color w:val="auto"/>
                <w:spacing w:val="-17"/>
                <w:sz w:val="18"/>
                <w:szCs w:val="18"/>
              </w:rPr>
              <w:t>（人）</w:t>
            </w:r>
          </w:p>
        </w:tc>
        <w:tc>
          <w:tcPr>
            <w:tcW w:w="91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项目</w:t>
            </w:r>
          </w:p>
        </w:tc>
        <w:tc>
          <w:tcPr>
            <w:tcW w:w="76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规划</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处理</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方式</w:t>
            </w:r>
          </w:p>
        </w:tc>
        <w:tc>
          <w:tcPr>
            <w:tcW w:w="21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规模</w:t>
            </w:r>
          </w:p>
        </w:tc>
        <w:tc>
          <w:tcPr>
            <w:tcW w:w="1455" w:type="dxa"/>
            <w:gridSpan w:val="2"/>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点位（经纬度）</w:t>
            </w:r>
          </w:p>
        </w:tc>
        <w:tc>
          <w:tcPr>
            <w:tcW w:w="85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占地</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pacing w:val="-23"/>
                <w:sz w:val="18"/>
                <w:szCs w:val="18"/>
              </w:rPr>
              <w:t>（平方米）</w:t>
            </w:r>
          </w:p>
        </w:tc>
        <w:tc>
          <w:tcPr>
            <w:tcW w:w="76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投资</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pacing w:val="-17"/>
                <w:sz w:val="18"/>
                <w:szCs w:val="18"/>
              </w:rPr>
              <w:t>（万元）</w:t>
            </w:r>
          </w:p>
        </w:tc>
        <w:tc>
          <w:tcPr>
            <w:tcW w:w="81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承担</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单位</w:t>
            </w:r>
          </w:p>
        </w:tc>
        <w:tc>
          <w:tcPr>
            <w:tcW w:w="68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完成</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时间</w:t>
            </w:r>
          </w:p>
        </w:tc>
        <w:tc>
          <w:tcPr>
            <w:tcW w:w="2552" w:type="dxa"/>
            <w:gridSpan w:val="4"/>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污染物削减量（t/a）</w:t>
            </w:r>
          </w:p>
        </w:tc>
      </w:tr>
      <w:tr>
        <w:tblPrEx>
          <w:tblCellMar>
            <w:top w:w="0" w:type="dxa"/>
            <w:left w:w="108" w:type="dxa"/>
            <w:bottom w:w="0" w:type="dxa"/>
            <w:right w:w="108" w:type="dxa"/>
          </w:tblCellMar>
        </w:tblPrEx>
        <w:trPr>
          <w:trHeight w:val="383" w:hRule="atLeast"/>
          <w:tblHeader/>
          <w:jc w:val="center"/>
        </w:trPr>
        <w:tc>
          <w:tcPr>
            <w:tcW w:w="37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3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82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91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6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21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纬度</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经度</w:t>
            </w:r>
          </w:p>
        </w:tc>
        <w:tc>
          <w:tcPr>
            <w:tcW w:w="8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6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81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8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COD</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氨氮</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总氮</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总磷</w:t>
            </w:r>
          </w:p>
        </w:tc>
      </w:tr>
      <w:tr>
        <w:tblPrEx>
          <w:tblCellMar>
            <w:top w:w="0" w:type="dxa"/>
            <w:left w:w="108" w:type="dxa"/>
            <w:bottom w:w="0" w:type="dxa"/>
            <w:right w:w="108" w:type="dxa"/>
          </w:tblCellMar>
        </w:tblPrEx>
        <w:trPr>
          <w:trHeight w:val="1448" w:hRule="atLeast"/>
          <w:jc w:val="center"/>
        </w:trPr>
        <w:tc>
          <w:tcPr>
            <w:tcW w:w="377"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3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41366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92775</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70t/d、20t/d的一体化集中式污水处理设施各1座，管网建设6km（DN300的双壁波纹管）；完善截污管网57.5km；新建卫生厕所33923座；新建9座化粪池共80立方米、20座隔油池共171立方米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12707.87</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6302.07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800.28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1000.31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88.75</w:t>
            </w:r>
          </w:p>
        </w:tc>
      </w:tr>
      <w:tr>
        <w:trPr>
          <w:trHeight w:val="709" w:hRule="atLeast"/>
          <w:jc w:val="center"/>
        </w:trPr>
        <w:tc>
          <w:tcPr>
            <w:tcW w:w="377"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集中区</w:t>
            </w:r>
          </w:p>
        </w:tc>
        <w:tc>
          <w:tcPr>
            <w:tcW w:w="39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谭家坝村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933</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谭家坝村新建集中污水处理设施建设</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一体化集中设施处理</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70t/d的一体化集中式污水处理设施1座，管网建设3.5km（DN300的双壁波纹管）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29.324605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105.86378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280.24</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101.44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31.03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38.79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w:t>
            </w:r>
          </w:p>
        </w:tc>
      </w:tr>
      <w:tr>
        <w:tblPrEx>
          <w:tblCellMar>
            <w:top w:w="0" w:type="dxa"/>
            <w:left w:w="108" w:type="dxa"/>
            <w:bottom w:w="0" w:type="dxa"/>
            <w:right w:w="108" w:type="dxa"/>
          </w:tblCellMar>
        </w:tblPrEx>
        <w:trPr>
          <w:trHeight w:val="69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解放村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23"/>
                <w:sz w:val="18"/>
                <w:szCs w:val="18"/>
              </w:rPr>
              <w:t>解放村新建集中处理设施建设</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一体化集中设施处理</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管网建设2.5km（DN300的双壁波纹管）；20t/d的一体化集中处理设施1座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29.473506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106.06022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155.08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36.35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w:t>
            </w:r>
          </w:p>
        </w:tc>
      </w:tr>
      <w:tr>
        <w:tblPrEx>
          <w:tblCellMar>
            <w:top w:w="0" w:type="dxa"/>
            <w:left w:w="108" w:type="dxa"/>
            <w:bottom w:w="0" w:type="dxa"/>
            <w:right w:w="108" w:type="dxa"/>
          </w:tblCellMar>
        </w:tblPrEx>
        <w:trPr>
          <w:trHeight w:val="76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1133</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70t/d、20t/d的一体化集中式污水处理设施各1座，管网建设6km（DN300的双壁波纹管）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435.32</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137.79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35.54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44.42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4.18</w:t>
            </w:r>
          </w:p>
        </w:tc>
      </w:tr>
      <w:tr>
        <w:tblPrEx>
          <w:tblCellMar>
            <w:top w:w="0" w:type="dxa"/>
            <w:left w:w="108" w:type="dxa"/>
            <w:bottom w:w="0" w:type="dxa"/>
            <w:right w:w="108" w:type="dxa"/>
          </w:tblCellMar>
        </w:tblPrEx>
        <w:trPr>
          <w:trHeight w:val="50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改建设施</w:t>
            </w: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李家湾村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738</w:t>
            </w:r>
          </w:p>
        </w:tc>
        <w:tc>
          <w:tcPr>
            <w:tcW w:w="91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何埂镇李家湾村污水处理站完善截污管网5.8km（DN300的双壁波纹管）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29.109173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105.86066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rPr>
          <w:trHeight w:val="56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九层岩村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九层岩污水处理站完善截污管网3.6km（DN300的双壁波纹管）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28.953421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105.82437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5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龙凤桥村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龙凤桥村登东场镇污水处理厂完善截污管网2.8km（DN300的双壁波纹管）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29.205565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105.9742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0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马银村污水处理站完善截污管网3.6km（DN300的双壁波纹管）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29.222084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105.95983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43"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高滩村污水处理站完善截污管网3km（DN300的双壁波纹管）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29.494446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105.93647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rPr>
          <w:trHeight w:val="50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黄瓜山村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黄文场污水处理站完善截污管网2.7km（DN300的双壁波纹管）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29.118087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105.91262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双河口社区</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花桥污水处理厂完善截污管网5.1km（DN300的双壁波纹管）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29.273759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105.75586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42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万寿场社区</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万寿污水处理站完善截污管网5km（DN300的双壁波纹管）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29.04363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105.76154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48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德胜桥村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德胜桥村污水处理厂完善截污管网1.8km（DN300的双壁波纹管）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29.418736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106.05684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rPr>
          <w:trHeight w:val="42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3225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8164</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完善截污管网28.9km（DN300的双壁波纹管）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1002</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r>
      <w:tr>
        <w:tblPrEx>
          <w:tblCellMar>
            <w:top w:w="0" w:type="dxa"/>
            <w:left w:w="108" w:type="dxa"/>
            <w:bottom w:w="0" w:type="dxa"/>
            <w:right w:w="108" w:type="dxa"/>
          </w:tblCellMar>
        </w:tblPrEx>
        <w:trPr>
          <w:trHeight w:val="61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884</w:t>
            </w:r>
          </w:p>
        </w:tc>
        <w:tc>
          <w:tcPr>
            <w:tcW w:w="91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凤龙村污水处理厂完善截污管网3.6km（DN300的双壁波纹管）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29.458766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106.05072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5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高坡村污水处理厂完善截污管网5.3km（DN300的双壁波纹管）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29.291594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105.9198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1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谭家坝村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777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观音桥污水处理站完善截污管网2.1km（DN300的双壁波纹管）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29.438236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105.99856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rPr>
          <w:trHeight w:val="596"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会龙桥村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会龙桥污水处理一</w:t>
            </w:r>
            <w:sdt>
              <w:sdtPr>
                <w:rPr>
                  <w:color w:val="auto"/>
                </w:rPr>
                <w:alias w:val="易错词检查"/>
                <w:id w:val="160114"/>
              </w:sdtPr>
              <w:sdtEndPr>
                <w:rPr>
                  <w:rFonts w:hint="eastAsia" w:ascii="方正仿宋_GBK" w:hAnsi="方正仿宋_GBK" w:cs="方正仿宋_GBK"/>
                  <w:color w:val="auto"/>
                  <w:sz w:val="18"/>
                  <w:szCs w:val="18"/>
                </w:rPr>
              </w:sdtEndPr>
              <w:sdtContent>
                <w:r>
                  <w:rPr>
                    <w:rFonts w:hint="eastAsia" w:ascii="方正仿宋_GBK" w:hAnsi="方正仿宋_GBK" w:cs="方正仿宋_GBK"/>
                    <w:color w:val="auto"/>
                    <w:sz w:val="18"/>
                    <w:szCs w:val="18"/>
                    <w:lang w:eastAsia="zh-CN"/>
                  </w:rPr>
                  <w:t>体</w:t>
                </w:r>
              </w:sdtContent>
            </w:sdt>
            <w:r>
              <w:rPr>
                <w:rFonts w:hint="eastAsia" w:ascii="方正仿宋_GBK" w:hAnsi="方正仿宋_GBK" w:cs="方正仿宋_GBK"/>
                <w:color w:val="auto"/>
                <w:sz w:val="18"/>
                <w:szCs w:val="18"/>
              </w:rPr>
              <w:t>化设施完善截污管网3.4km（DN300的双壁波纹管）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29.346933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105.76522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5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金龙镇普莲污水处理站完善截污管网3.4km（DN300的双壁波纹管）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29.257887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105.96903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7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隆顺村爱心楼一体化污水处理站完善截污管网5.5km（DN300的双壁波纹管）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29.225205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105.88685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3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石脚迹村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871</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石脚迹村污水处理厂完善截污管网3.7km（DN300的双壁波纹管）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29.168609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105.95167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rPr>
          <w:trHeight w:val="57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石笋山村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石笋山村污水处理厂完善截污管网1.8km（DN300的双壁波纹管）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29.324605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105.86378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33"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铜鼓村污水处理厂完善截污管网1.5km（DN300的双壁波纹管）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29.374961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106.00843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1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新泉村污水处理站完善截污管网1.6km（DN300的双壁波纹管）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29.174633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105.92903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6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玉宝村污水处理站完善截污管网2.3km（DN300的双壁波纹管）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29.168104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105.90191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rPr>
          <w:trHeight w:val="9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3833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9966</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完善截污管网28.6km（DN300的双壁波纹管）</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1028</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r>
      <w:tr>
        <w:tblPrEx>
          <w:tblCellMar>
            <w:top w:w="0" w:type="dxa"/>
            <w:left w:w="108" w:type="dxa"/>
            <w:bottom w:w="0" w:type="dxa"/>
            <w:right w:w="108" w:type="dxa"/>
          </w:tblCellMar>
        </w:tblPrEx>
        <w:trPr>
          <w:trHeight w:val="525" w:hRule="atLeast"/>
          <w:jc w:val="center"/>
        </w:trPr>
        <w:tc>
          <w:tcPr>
            <w:tcW w:w="377"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分散区域</w:t>
            </w:r>
          </w:p>
        </w:tc>
        <w:tc>
          <w:tcPr>
            <w:tcW w:w="39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安溪村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268</w:t>
            </w:r>
          </w:p>
        </w:tc>
        <w:tc>
          <w:tcPr>
            <w:tcW w:w="91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29.412141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105.90541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0.26</w:t>
            </w:r>
          </w:p>
        </w:tc>
      </w:tr>
      <w:tr>
        <w:tblPrEx>
          <w:tblCellMar>
            <w:top w:w="0" w:type="dxa"/>
            <w:left w:w="108" w:type="dxa"/>
            <w:bottom w:w="0" w:type="dxa"/>
            <w:right w:w="108" w:type="dxa"/>
          </w:tblCellMar>
        </w:tblPrEx>
        <w:trPr>
          <w:trHeight w:val="45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永荣镇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白云寺村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29.316512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105.6788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柏树桥村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29.258535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105.78529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15.63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0.21</w:t>
            </w:r>
          </w:p>
        </w:tc>
      </w:tr>
      <w:tr>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中山路街道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北大桥村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29.369469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105.96087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0.18</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本尊村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29.521674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105.93986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茶园村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29.507585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105.98671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0.04</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修建卫生厕所55座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29.392137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105.90194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0.14</w:t>
            </w:r>
          </w:p>
        </w:tc>
      </w:tr>
      <w:tr>
        <w:trPr>
          <w:trHeight w:val="55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松溉镇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打鱼河村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29.100904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105.90348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7.45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w:t>
            </w:r>
          </w:p>
        </w:tc>
      </w:tr>
      <w:tr>
        <w:tblPrEx>
          <w:tblCellMar>
            <w:top w:w="0" w:type="dxa"/>
            <w:left w:w="108" w:type="dxa"/>
            <w:bottom w:w="0" w:type="dxa"/>
            <w:right w:w="108" w:type="dxa"/>
          </w:tblCellMar>
        </w:tblPrEx>
        <w:trPr>
          <w:trHeight w:val="52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大涧口村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29.405463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105.83434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29.333784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105.89168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89.43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11.09</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29.535973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105.9533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23.27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r>
      <w:tr>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29.455432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105.95025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17.81</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0.24</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大双庆村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29.349731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105.97478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大竹溪村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29.260424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105.91263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德胜桥村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修建卫生厕所211座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29.418736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106.05684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38.35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0.53</w:t>
            </w:r>
          </w:p>
        </w:tc>
      </w:tr>
      <w:tr>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丁家岩村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29.406934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105.84719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35.26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0.48</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永荣镇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东岳村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151</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29.348015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105.66847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0.14</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二郎坝村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616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修建卫生厕所237座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29.416986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106.01336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43.08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0.59</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29.320385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105.94891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0.33</w:t>
            </w:r>
          </w:p>
        </w:tc>
      </w:tr>
      <w:tr>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671</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修建卫生厕所258座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29.291594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105.9198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77.4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0.64</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佛岩寺村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修建卫生厕所225座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29.34345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105.84064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0.56</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复生桥村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29.422311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105.84809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31.63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高洞子村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修建卫生厕所216座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29.496937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105.94324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64.8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39.26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0.54</w:t>
            </w:r>
          </w:p>
        </w:tc>
      </w:tr>
      <w:tr>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修建卫生厕所180座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29.383726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105.99001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修建卫生厕所243座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29.438236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105.99856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44.17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29.245282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105.9673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57.62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0.79</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古佛村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修建卫生厕所125座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29.504485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105.97579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关门山村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29.297167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105.76466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观音井村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29.284542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105.78656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26.17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0.36</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官禄岩村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修建卫生厕所327座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29.405156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106.03942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59.44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0.81</w:t>
            </w:r>
          </w:p>
        </w:tc>
      </w:tr>
      <w:tr>
        <w:tblPrEx>
          <w:tblCellMar>
            <w:top w:w="0" w:type="dxa"/>
            <w:left w:w="108" w:type="dxa"/>
            <w:bottom w:w="0" w:type="dxa"/>
            <w:right w:w="108" w:type="dxa"/>
          </w:tblCellMar>
        </w:tblPrEx>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桂花村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29.475078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105.99614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r>
      <w:tr>
        <w:trPr>
          <w:trHeight w:val="47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桂林村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修建卫生厕所163座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29.265449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105.98369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29.63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0.41</w:t>
            </w:r>
          </w:p>
        </w:tc>
      </w:tr>
      <w:tr>
        <w:tblPrEx>
          <w:tblCellMar>
            <w:top w:w="0" w:type="dxa"/>
            <w:left w:w="108" w:type="dxa"/>
            <w:bottom w:w="0" w:type="dxa"/>
            <w:right w:w="108" w:type="dxa"/>
          </w:tblCellMar>
        </w:tblPrEx>
        <w:trPr>
          <w:trHeight w:val="49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寒泸村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29.157365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105.764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9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汉东村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29.01456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105.85377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49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五间镇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合兴村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29.178701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105.82832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r>
      <w:tr>
        <w:trPr>
          <w:trHeight w:val="498"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五间镇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和平村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29.184093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105.84612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0.21</w:t>
            </w:r>
          </w:p>
        </w:tc>
      </w:tr>
      <w:tr>
        <w:tblPrEx>
          <w:tblCellMar>
            <w:top w:w="0" w:type="dxa"/>
            <w:left w:w="108" w:type="dxa"/>
            <w:bottom w:w="0" w:type="dxa"/>
            <w:right w:w="108" w:type="dxa"/>
          </w:tblCellMar>
        </w:tblPrEx>
        <w:trPr>
          <w:trHeight w:val="43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5369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7"/>
                <w:sz w:val="18"/>
                <w:szCs w:val="18"/>
              </w:rPr>
              <w:t>13664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修建卫生厕所5369座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1611</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118.65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148.31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13.11</w:t>
            </w:r>
          </w:p>
        </w:tc>
      </w:tr>
      <w:tr>
        <w:tblPrEx>
          <w:tblCellMar>
            <w:top w:w="0" w:type="dxa"/>
            <w:left w:w="108" w:type="dxa"/>
            <w:bottom w:w="0" w:type="dxa"/>
            <w:right w:w="108" w:type="dxa"/>
          </w:tblCellMar>
        </w:tblPrEx>
        <w:trPr>
          <w:trHeight w:val="45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修建卫生厕所284座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29.408427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106.00787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85.2</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51.62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0.71</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红庆村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29.367458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105.75338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26.17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0.36</w:t>
            </w:r>
          </w:p>
        </w:tc>
      </w:tr>
      <w:tr>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29.349818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105.72552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胡豆坪村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修建卫生厕所268座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29.352812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105.8634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48.71</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0.67</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花果山村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29.3791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106.06856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57.62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0.79</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会龙桥村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29.346933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105.76522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15.81</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0.22</w:t>
            </w:r>
          </w:p>
        </w:tc>
      </w:tr>
      <w:tr>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尖山村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修建卫生厕所118座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29.209443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105.81261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21.45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0.29</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脚盆井村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29.441617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105.83888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金门村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177</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29.20503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105.77127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0.17</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29.134335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105.81869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0.05</w:t>
            </w:r>
          </w:p>
        </w:tc>
      </w:tr>
      <w:tr>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五间镇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景圣村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29.161922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105.83852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29.249316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105.95006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31.08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0.43</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巨龙村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29.150322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105.80435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0.05</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李家湾村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29.109173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105.86066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23.08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r>
      <w:tr>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莲花石村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29.33227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105.80775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0.15</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凉风垭村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29.504952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105.93951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灵英村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修建卫生厕所306座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29.371507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106.00137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55.62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6.89</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0.76</w:t>
            </w:r>
          </w:p>
        </w:tc>
      </w:tr>
      <w:tr>
        <w:tblPrEx>
          <w:tblCellMar>
            <w:top w:w="0" w:type="dxa"/>
            <w:left w:w="108" w:type="dxa"/>
            <w:bottom w:w="0" w:type="dxa"/>
            <w:right w:w="108" w:type="dxa"/>
          </w:tblCellMar>
        </w:tblPrEx>
        <w:trPr>
          <w:trHeight w:val="48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柳溪村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465</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29.542414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105.9758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32.54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r>
      <w:tr>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龙安村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29.225363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105.97521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龙洞桥村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29.190684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105.96975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0.44</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龙凤桥村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修建卫生厕所209座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29.277048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105.75331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62.7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37.99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0.52</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龙井口村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263</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29.308843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105.72945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r>
      <w:tr>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龙门滩村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29.541213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105.98747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28.54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0.39</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修建卫生厕所442座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29.257887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105.96903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80.34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磨心桥村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29.277926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105.8032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0.24</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南华村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29.244218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105.92717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11.45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0.16</w:t>
            </w:r>
          </w:p>
        </w:tc>
      </w:tr>
      <w:tr>
        <w:trPr>
          <w:trHeight w:val="45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牛门口村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29.166018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105.79589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0.03</w:t>
            </w:r>
          </w:p>
        </w:tc>
      </w:tr>
      <w:tr>
        <w:tblPrEx>
          <w:tblCellMar>
            <w:top w:w="0" w:type="dxa"/>
            <w:left w:w="108" w:type="dxa"/>
            <w:bottom w:w="0" w:type="dxa"/>
            <w:right w:w="108" w:type="dxa"/>
          </w:tblCellMar>
        </w:tblPrEx>
        <w:trPr>
          <w:trHeight w:val="43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牛尾铺村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29.41546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105.83543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0.12</w:t>
            </w:r>
          </w:p>
        </w:tc>
      </w:tr>
      <w:tr>
        <w:tblPrEx>
          <w:tblCellMar>
            <w:top w:w="0" w:type="dxa"/>
            <w:left w:w="108" w:type="dxa"/>
            <w:bottom w:w="0" w:type="dxa"/>
            <w:right w:w="108" w:type="dxa"/>
          </w:tblCellMar>
        </w:tblPrEx>
        <w:trPr>
          <w:trHeight w:val="43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欧家坝村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29.531353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105.93203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27.27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0.37</w:t>
            </w:r>
          </w:p>
        </w:tc>
      </w:tr>
      <w:tr>
        <w:tblPrEx>
          <w:tblCellMar>
            <w:top w:w="0" w:type="dxa"/>
            <w:left w:w="108" w:type="dxa"/>
            <w:bottom w:w="0" w:type="dxa"/>
            <w:right w:w="108" w:type="dxa"/>
          </w:tblCellMar>
        </w:tblPrEx>
        <w:trPr>
          <w:trHeight w:val="46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牌坊村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修建卫生厕所188座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29.472547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105.91617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34.17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0.47</w:t>
            </w:r>
          </w:p>
        </w:tc>
      </w:tr>
      <w:tr>
        <w:trPr>
          <w:trHeight w:val="9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普安村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29.246543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105.94891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57.08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0.78</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七郎村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29.214408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105.90185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24.72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r>
      <w:tr>
        <w:tblPrEx>
          <w:tblCellMar>
            <w:top w:w="0" w:type="dxa"/>
            <w:left w:w="108" w:type="dxa"/>
            <w:bottom w:w="0" w:type="dxa"/>
            <w:right w:w="108" w:type="dxa"/>
          </w:tblCellMar>
        </w:tblPrEx>
        <w:trPr>
          <w:trHeight w:val="48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三台村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29.489258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105.88981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0.48</w:t>
            </w:r>
          </w:p>
        </w:tc>
      </w:tr>
      <w:tr>
        <w:tblPrEx>
          <w:tblCellMar>
            <w:top w:w="0" w:type="dxa"/>
            <w:left w:w="108" w:type="dxa"/>
            <w:bottom w:w="0" w:type="dxa"/>
            <w:right w:w="108" w:type="dxa"/>
          </w:tblCellMar>
        </w:tblPrEx>
        <w:trPr>
          <w:trHeight w:val="52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中山路街道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三星村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29.347464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105.96012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0.06</w:t>
            </w:r>
          </w:p>
        </w:tc>
      </w:tr>
      <w:tr>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石宝寺村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29.131381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105.78252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0.14</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7"/>
                <w:sz w:val="18"/>
                <w:szCs w:val="18"/>
              </w:rPr>
              <w:t>12758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修建卫生厕所5009座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1503</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910.49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112.86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141.07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12.47</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萱花村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29.375724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105.90829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sdt>
              <w:sdtPr>
                <w:rPr>
                  <w:color w:val="auto"/>
                </w:rPr>
                <w:alias w:val="易错词检查"/>
                <w:id w:val="3013524"/>
              </w:sdtPr>
              <w:sdtEndPr>
                <w:rPr>
                  <w:color w:val="auto"/>
                </w:rPr>
              </w:sdtEndPr>
              <w:sdtContent>
                <w:bookmarkStart w:id="443" w:name="bkReivew3013524"/>
                <w:r>
                  <w:rPr>
                    <w:rFonts w:hint="eastAsia" w:ascii="方正仿宋_GBK" w:hAnsi="方正仿宋_GBK" w:cs="方正仿宋_GBK"/>
                    <w:color w:val="auto"/>
                    <w:spacing w:val="-23"/>
                    <w:sz w:val="18"/>
                    <w:szCs w:val="18"/>
                  </w:rPr>
                  <w:t>菜茵</w:t>
                </w:r>
                <w:bookmarkEnd w:id="443"/>
              </w:sdtContent>
            </w:sdt>
            <w:r>
              <w:rPr>
                <w:rFonts w:hint="eastAsia" w:ascii="方正仿宋_GBK" w:hAnsi="方正仿宋_GBK" w:cs="方正仿宋_GBK"/>
                <w:color w:val="auto"/>
                <w:spacing w:val="-23"/>
                <w:sz w:val="18"/>
                <w:szCs w:val="18"/>
              </w:rPr>
              <w:t>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29.313536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105.98099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陈青桥村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29.31141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106.01665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冯家坪村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29.281462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105.9727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13.18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双河口村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修建卫生厕所491座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29.330128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106.02065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147.3</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89.25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复兴寺村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29.281714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106.02367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89.79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卢家岩村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29.342584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106.0194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梅家桥村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29.303646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106.00668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瓦窑村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29.318602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106.00116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11.04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芋荷湾村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修建卫生厕所440座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29.291992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106.02167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79.98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w:t>
            </w:r>
          </w:p>
        </w:tc>
      </w:tr>
      <w:tr>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朱龙花村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修建卫生厕所482座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29.323629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105.99727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144.6</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87.61</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10.86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八角寺村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29.296827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105.86626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90.89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代家店村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29.301453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105.89402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9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黄瓜山村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29.246976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105.84855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rPr>
          <w:trHeight w:val="49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9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6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sdt>
              <w:sdtPr>
                <w:rPr>
                  <w:color w:val="auto"/>
                </w:rPr>
                <w:alias w:val="敏感词检查"/>
                <w:id w:val="123022"/>
              </w:sdtPr>
              <w:sdtEndPr>
                <w:rPr>
                  <w:color w:val="auto"/>
                </w:rPr>
              </w:sdtEndPr>
              <w:sdtContent>
                <w:bookmarkStart w:id="444" w:name="bkPolitics123022"/>
                <w:r>
                  <w:rPr>
                    <w:rFonts w:hint="eastAsia" w:ascii="方正仿宋_GBK" w:hAnsi="方正仿宋_GBK" w:cs="方正仿宋_GBK"/>
                    <w:color w:val="auto"/>
                    <w:sz w:val="18"/>
                    <w:szCs w:val="18"/>
                  </w:rPr>
                  <w:t>玉峰</w:t>
                </w:r>
                <w:bookmarkEnd w:id="444"/>
              </w:sdtContent>
            </w:sdt>
            <w:r>
              <w:rPr>
                <w:rFonts w:hint="eastAsia" w:ascii="方正仿宋_GBK" w:hAnsi="方正仿宋_GBK" w:cs="方正仿宋_GBK"/>
                <w:color w:val="auto"/>
                <w:sz w:val="18"/>
                <w:szCs w:val="18"/>
              </w:rPr>
              <w:t>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6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解放村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rPr>
          <w:trHeight w:val="49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石岭村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52"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鱼龙村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29.160409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105.91843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3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石笋山村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29.168609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105.95167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89.79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6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沙坪村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29.137507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105.85591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rPr>
          <w:trHeight w:val="45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转角店村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29.120722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105.91376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3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丰乐村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29.137065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105.87762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89.98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97"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29.174633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105.92903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2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12292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24584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新建12292座卫生厕所</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3687.6</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2234.32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7"/>
                <w:sz w:val="18"/>
                <w:szCs w:val="18"/>
              </w:rPr>
              <w:t>276.95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346.18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30.6</w:t>
            </w:r>
          </w:p>
        </w:tc>
      </w:tr>
      <w:tr>
        <w:trPr>
          <w:trHeight w:val="42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联盟村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29.145015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105.90399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2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一碗水村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29.120091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105.88142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5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科名村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29.178007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105.88031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87.25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10.81</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1.19</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仓宝村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修建卫生厕所450座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29.133816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105.92117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10.14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r>
      <w:tr>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长丰村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29.154542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105.89134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86.89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10.77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13.46</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1.19</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29.458766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106.05072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金鼎村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29.45616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106.01598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29.515479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106.07234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牌坊坝村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29.332225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105.80782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利民村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29.497228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105.87462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郝家坝村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29.483065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105.84955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10.97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陡沟河村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29.489765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105.87929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85.25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1.17</w:t>
            </w:r>
          </w:p>
        </w:tc>
      </w:tr>
      <w:tr>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福良村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29.327817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105.88768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转龙村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29.00528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105.78239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九层岩村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28.953421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105.82437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洞子口村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29.438079</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106.03435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88.52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10.97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r>
      <w:tr>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嘉阜村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29.29548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105.95948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148.5</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89.98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莲花塘村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29.342416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105.83344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6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凌阁堂村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29.335642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105.97011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2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29.499672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106.04917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11.18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rPr>
          <w:trHeight w:val="45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燃灯村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29.514783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106.07179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11.04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7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长滩河村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968</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修建卫生厕所484座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29.291504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105.96216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145.2</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87.98</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13.63</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r>
      <w:tr>
        <w:tblPrEx>
          <w:tblCellMar>
            <w:top w:w="0" w:type="dxa"/>
            <w:left w:w="108" w:type="dxa"/>
            <w:bottom w:w="0" w:type="dxa"/>
            <w:right w:w="108" w:type="dxa"/>
          </w:tblCellMar>
        </w:tblPrEx>
        <w:trPr>
          <w:trHeight w:val="52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梓潼观村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976</w:t>
            </w:r>
          </w:p>
        </w:tc>
        <w:tc>
          <w:tcPr>
            <w:tcW w:w="91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修建卫生厕所488座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29.291267</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105.96236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146.4</w:t>
            </w:r>
          </w:p>
        </w:tc>
        <w:tc>
          <w:tcPr>
            <w:tcW w:w="81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10.99</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r>
      <w:tr>
        <w:tblPrEx>
          <w:tblCellMar>
            <w:top w:w="0" w:type="dxa"/>
            <w:left w:w="108" w:type="dxa"/>
            <w:bottom w:w="0" w:type="dxa"/>
            <w:right w:w="108" w:type="dxa"/>
          </w:tblCellMar>
        </w:tblPrEx>
        <w:trPr>
          <w:trHeight w:val="51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11253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22506</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新建卫生厕所11253座</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3375.9</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2045.46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253.54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316.92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28.01</w:t>
            </w:r>
          </w:p>
        </w:tc>
      </w:tr>
      <w:tr>
        <w:trPr>
          <w:trHeight w:val="724" w:hRule="atLeast"/>
          <w:jc w:val="center"/>
        </w:trPr>
        <w:tc>
          <w:tcPr>
            <w:tcW w:w="377"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农家乐及民宿</w:t>
            </w:r>
          </w:p>
        </w:tc>
        <w:tc>
          <w:tcPr>
            <w:tcW w:w="39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林里山庄生活污水整治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新建1座化粪池和1座隔油池各6立方米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39.9632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116.4002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林里</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山庄</w:t>
            </w:r>
          </w:p>
        </w:tc>
        <w:tc>
          <w:tcPr>
            <w:tcW w:w="681"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72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z w:val="18"/>
                <w:szCs w:val="18"/>
              </w:rPr>
              <w:t>玉竹园生活污水整治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新建1座化粪池和1座隔油池各7立方米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39.9632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116.4003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玉竹园</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0.04</w:t>
            </w:r>
          </w:p>
        </w:tc>
      </w:tr>
      <w:tr>
        <w:tblPrEx>
          <w:tblCellMar>
            <w:top w:w="0" w:type="dxa"/>
            <w:left w:w="108" w:type="dxa"/>
            <w:bottom w:w="0" w:type="dxa"/>
            <w:right w:w="108" w:type="dxa"/>
          </w:tblCellMar>
        </w:tblPrEx>
        <w:trPr>
          <w:trHeight w:val="69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春竹山庄生活污水整治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29.4181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105.9348</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春竹</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0.06</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0.07</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0.01</w:t>
            </w:r>
          </w:p>
        </w:tc>
      </w:tr>
      <w:tr>
        <w:tblPrEx>
          <w:tblCellMar>
            <w:top w:w="0" w:type="dxa"/>
            <w:left w:w="108" w:type="dxa"/>
            <w:bottom w:w="0" w:type="dxa"/>
            <w:right w:w="108" w:type="dxa"/>
          </w:tblCellMar>
        </w:tblPrEx>
        <w:trPr>
          <w:trHeight w:val="67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竹海同聚庄生活污水整治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29.4184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105.9371</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同聚庄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rPr>
          <w:trHeight w:val="70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茶山居生活污水整治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新建1座化粪池和1座隔油池各5立方米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29.4182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105.9373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茶山居</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0.21</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73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竹海湖山庄生活污水整治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新建1座化粪池和1座隔油池各12立方米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29.993</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105.9377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竹海湖山庄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2.73</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0.42</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0.04</w:t>
            </w:r>
          </w:p>
        </w:tc>
      </w:tr>
      <w:tr>
        <w:tblPrEx>
          <w:tblCellMar>
            <w:top w:w="0" w:type="dxa"/>
            <w:left w:w="108" w:type="dxa"/>
            <w:bottom w:w="0" w:type="dxa"/>
            <w:right w:w="108" w:type="dxa"/>
          </w:tblCellMar>
        </w:tblPrEx>
        <w:trPr>
          <w:trHeight w:val="70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梁四农家乐生活污水整治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29.2534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105.5642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梁四</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2.27</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0.35</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0.03</w:t>
            </w:r>
          </w:p>
        </w:tc>
      </w:tr>
      <w:tr>
        <w:tblPrEx>
          <w:tblCellMar>
            <w:top w:w="0" w:type="dxa"/>
            <w:left w:w="108" w:type="dxa"/>
            <w:bottom w:w="0" w:type="dxa"/>
            <w:right w:w="108" w:type="dxa"/>
          </w:tblCellMar>
        </w:tblPrEx>
        <w:trPr>
          <w:trHeight w:val="660"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23"/>
                <w:sz w:val="18"/>
                <w:szCs w:val="18"/>
              </w:rPr>
              <w:t>凤凰山庄生活污水整治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新建1座化粪池和1座隔油池各12立方米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29.2534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105.5642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凤凰</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rPr>
          <w:trHeight w:val="705"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信刚农家乐生活污水整治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新建1座化粪池和1座隔油池各8立方米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29.2126</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105.5135</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信刚</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0.87</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0.18</w:t>
            </w:r>
          </w:p>
        </w:tc>
      </w:tr>
      <w:tr>
        <w:tblPrEx>
          <w:tblCellMar>
            <w:top w:w="0" w:type="dxa"/>
            <w:left w:w="108" w:type="dxa"/>
            <w:bottom w:w="0" w:type="dxa"/>
            <w:right w:w="108" w:type="dxa"/>
          </w:tblCellMar>
        </w:tblPrEx>
        <w:trPr>
          <w:trHeight w:val="69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代家店村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友园小酌生活污水整治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新建1座隔油池6立方米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29.2148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105.5054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友园</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小酌</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6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代家店村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为黍山庄生活污水整治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新建1座隔油池7立方米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29.1474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105.5136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为黍</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91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23"/>
                <w:sz w:val="18"/>
                <w:szCs w:val="18"/>
              </w:rPr>
            </w:pPr>
            <w:r>
              <w:rPr>
                <w:rFonts w:hint="eastAsia" w:ascii="方正仿宋_GBK" w:hAnsi="方正仿宋_GBK" w:cs="方正仿宋_GBK"/>
                <w:color w:val="auto"/>
                <w:spacing w:val="-23"/>
                <w:sz w:val="18"/>
                <w:szCs w:val="18"/>
              </w:rPr>
              <w:t>谭家坝村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荷莲坊十里荷香农家乐生活污水整治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新建1座隔油池5立方米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29.2148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105.5054</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7"/>
                <w:sz w:val="18"/>
                <w:szCs w:val="18"/>
              </w:rPr>
              <w:t>荷莲坊十里荷香农家乐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rPr>
          <w:trHeight w:val="77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7"/>
                <w:sz w:val="18"/>
                <w:szCs w:val="18"/>
              </w:rPr>
              <w:t>车园山庄生活污水整治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新建1座隔油池9立方米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29.365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105.87806</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车园</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7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大堰塘农家乐生活污水整治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新建1座隔油池6立方米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29.364722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105.87722</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大堰塘农家乐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7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7"/>
                <w:sz w:val="18"/>
                <w:szCs w:val="18"/>
              </w:rPr>
              <w:t>山里味道生活污水整治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新建1座隔油池10立方米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29.364722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105.87667</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山里</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味道</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14"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三圣农家乐生活污水整治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29.365</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105.87583</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三圣</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rPr>
          <w:trHeight w:val="77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金盆寨农家乐生活污水整治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新建1座隔油池10立方米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29.362524</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105.88389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金盆寨农家乐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53"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7"/>
                <w:sz w:val="18"/>
                <w:szCs w:val="18"/>
              </w:rPr>
              <w:t>葡萄山庄生活污水整治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新建1座隔油池14立方米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29.362511</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105.84389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葡萄</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山庄</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23"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陈常义餐馆生活污水整治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29.36252</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105.88329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陈常义餐馆</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83"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2500</w:t>
            </w: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丰岩农家乐生活污水整治</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29.36258</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105.21839</w:t>
            </w: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丰岩</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农家乐</w:t>
            </w:r>
          </w:p>
        </w:tc>
        <w:tc>
          <w:tcPr>
            <w:tcW w:w="681"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rPr>
          <w:trHeight w:val="719" w:hRule="atLeast"/>
          <w:jc w:val="center"/>
        </w:trPr>
        <w:tc>
          <w:tcPr>
            <w:tcW w:w="377"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39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2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91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新建9座化粪池共80立方米、20座隔油池共171立方米</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65.65</w:t>
            </w:r>
          </w:p>
        </w:tc>
        <w:tc>
          <w:tcPr>
            <w:tcW w:w="81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16.82</w:t>
            </w:r>
          </w:p>
        </w:tc>
        <w:tc>
          <w:tcPr>
            <w:tcW w:w="617"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2.75</w:t>
            </w:r>
          </w:p>
        </w:tc>
        <w:tc>
          <w:tcPr>
            <w:tcW w:w="67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w:t>
            </w:r>
          </w:p>
        </w:tc>
        <w:tc>
          <w:tcPr>
            <w:tcW w:w="596"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r>
    </w:tbl>
    <w:p>
      <w:pPr>
        <w:widowControl w:val="0"/>
        <w:ind w:firstLine="640"/>
        <w:jc w:val="center"/>
        <w:rPr>
          <w:color w:val="auto"/>
        </w:rPr>
        <w:sectPr>
          <w:pgSz w:w="16783" w:h="11850" w:orient="landscape"/>
          <w:pgMar w:top="1417" w:right="1134" w:bottom="1134" w:left="1134" w:header="720" w:footer="1474" w:gutter="0"/>
          <w:pgNumType w:fmt="numberInDash"/>
          <w:cols w:space="720" w:num="1"/>
          <w:docGrid w:linePitch="312" w:charSpace="0"/>
        </w:sectPr>
      </w:pPr>
    </w:p>
    <w:p>
      <w:pPr>
        <w:widowControl w:val="0"/>
        <w:ind w:firstLine="720"/>
        <w:jc w:val="center"/>
        <w:rPr>
          <w:rFonts w:hint="eastAsia" w:ascii="方正小标宋_GBK" w:hAnsi="方正小标宋_GBK" w:eastAsia="方正小标宋_GBK" w:cs="方正小标宋_GBK"/>
          <w:color w:val="auto"/>
          <w:sz w:val="36"/>
          <w:szCs w:val="36"/>
        </w:rPr>
      </w:pPr>
      <w:bookmarkStart w:id="445" w:name="_Toc48318334"/>
      <w:bookmarkStart w:id="446" w:name="_Toc48318335"/>
      <w:bookmarkStart w:id="447" w:name="_Toc45198278"/>
      <w:r>
        <w:rPr>
          <w:rFonts w:hint="eastAsia" w:ascii="方正小标宋_GBK" w:hAnsi="方正小标宋_GBK" w:eastAsia="方正小标宋_GBK" w:cs="方正小标宋_GBK"/>
          <w:color w:val="auto"/>
          <w:sz w:val="36"/>
          <w:szCs w:val="36"/>
        </w:rPr>
        <w:t>附表2</w:t>
      </w:r>
      <w:bookmarkEnd w:id="445"/>
      <w:bookmarkEnd w:id="446"/>
      <w:bookmarkStart w:id="448" w:name="_Toc48318336"/>
      <w:r>
        <w:rPr>
          <w:rFonts w:hint="eastAsia" w:ascii="方正小标宋_GBK" w:hAnsi="方正小标宋_GBK" w:eastAsia="方正小标宋_GBK" w:cs="方正小标宋_GBK"/>
          <w:color w:val="auto"/>
          <w:sz w:val="36"/>
          <w:szCs w:val="36"/>
        </w:rPr>
        <w:t xml:space="preserve">  一般区域工程实施计划表</w:t>
      </w:r>
      <w:bookmarkEnd w:id="448"/>
    </w:p>
    <w:tbl>
      <w:tblPr>
        <w:tblStyle w:val="25"/>
        <w:tblW w:w="0" w:type="auto"/>
        <w:jc w:val="center"/>
        <w:tblLayout w:type="fixed"/>
        <w:tblCellMar>
          <w:top w:w="0" w:type="dxa"/>
          <w:left w:w="108" w:type="dxa"/>
          <w:bottom w:w="0" w:type="dxa"/>
          <w:right w:w="108" w:type="dxa"/>
        </w:tblCellMar>
      </w:tblPr>
      <w:tblGrid>
        <w:gridCol w:w="469"/>
        <w:gridCol w:w="450"/>
        <w:gridCol w:w="780"/>
        <w:gridCol w:w="911"/>
        <w:gridCol w:w="668"/>
        <w:gridCol w:w="668"/>
        <w:gridCol w:w="513"/>
        <w:gridCol w:w="675"/>
        <w:gridCol w:w="2040"/>
        <w:gridCol w:w="1035"/>
        <w:gridCol w:w="1080"/>
        <w:gridCol w:w="645"/>
        <w:gridCol w:w="702"/>
        <w:gridCol w:w="779"/>
        <w:gridCol w:w="655"/>
        <w:gridCol w:w="661"/>
        <w:gridCol w:w="658"/>
        <w:gridCol w:w="661"/>
        <w:gridCol w:w="672"/>
      </w:tblGrid>
      <w:tr>
        <w:tblPrEx>
          <w:tblCellMar>
            <w:top w:w="0" w:type="dxa"/>
            <w:left w:w="108" w:type="dxa"/>
            <w:bottom w:w="0" w:type="dxa"/>
            <w:right w:w="108" w:type="dxa"/>
          </w:tblCellMar>
        </w:tblPrEx>
        <w:trPr>
          <w:trHeight w:val="325" w:hRule="atLeast"/>
          <w:tblHeader/>
          <w:jc w:val="center"/>
        </w:trPr>
        <w:tc>
          <w:tcPr>
            <w:tcW w:w="46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区域类型</w:t>
            </w:r>
          </w:p>
        </w:tc>
        <w:tc>
          <w:tcPr>
            <w:tcW w:w="45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建设类型</w:t>
            </w:r>
          </w:p>
        </w:tc>
        <w:tc>
          <w:tcPr>
            <w:tcW w:w="78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镇街</w:t>
            </w:r>
          </w:p>
        </w:tc>
        <w:tc>
          <w:tcPr>
            <w:tcW w:w="91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行政村</w:t>
            </w:r>
          </w:p>
        </w:tc>
        <w:tc>
          <w:tcPr>
            <w:tcW w:w="66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户数（户）</w:t>
            </w:r>
          </w:p>
        </w:tc>
        <w:tc>
          <w:tcPr>
            <w:tcW w:w="66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人口（人）</w:t>
            </w:r>
          </w:p>
        </w:tc>
        <w:tc>
          <w:tcPr>
            <w:tcW w:w="51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项目</w:t>
            </w:r>
          </w:p>
        </w:tc>
        <w:tc>
          <w:tcPr>
            <w:tcW w:w="67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规划处理方式</w:t>
            </w:r>
          </w:p>
        </w:tc>
        <w:tc>
          <w:tcPr>
            <w:tcW w:w="204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规模</w:t>
            </w:r>
          </w:p>
        </w:tc>
        <w:tc>
          <w:tcPr>
            <w:tcW w:w="2115" w:type="dxa"/>
            <w:gridSpan w:val="2"/>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点位（经纬度）</w:t>
            </w:r>
          </w:p>
        </w:tc>
        <w:tc>
          <w:tcPr>
            <w:tcW w:w="645"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占地</w:t>
            </w:r>
          </w:p>
        </w:tc>
        <w:tc>
          <w:tcPr>
            <w:tcW w:w="70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投资</w:t>
            </w:r>
            <w:r>
              <w:rPr>
                <w:rFonts w:hint="eastAsia" w:ascii="方正黑体_GBK" w:hAnsi="方正黑体_GBK" w:eastAsia="方正黑体_GBK" w:cs="方正黑体_GBK"/>
                <w:color w:val="auto"/>
                <w:spacing w:val="-23"/>
                <w:sz w:val="18"/>
                <w:szCs w:val="18"/>
              </w:rPr>
              <w:t>（万元）</w:t>
            </w:r>
          </w:p>
        </w:tc>
        <w:tc>
          <w:tcPr>
            <w:tcW w:w="77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承担</w:t>
            </w:r>
          </w:p>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单位</w:t>
            </w:r>
          </w:p>
        </w:tc>
        <w:tc>
          <w:tcPr>
            <w:tcW w:w="65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完成时间</w:t>
            </w:r>
          </w:p>
        </w:tc>
        <w:tc>
          <w:tcPr>
            <w:tcW w:w="2652" w:type="dxa"/>
            <w:gridSpan w:val="4"/>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污染物削减量（t/a）</w:t>
            </w:r>
          </w:p>
        </w:tc>
      </w:tr>
      <w:tr>
        <w:tblPrEx>
          <w:tblCellMar>
            <w:top w:w="0" w:type="dxa"/>
            <w:left w:w="108" w:type="dxa"/>
            <w:bottom w:w="0" w:type="dxa"/>
            <w:right w:w="108" w:type="dxa"/>
          </w:tblCellMar>
        </w:tblPrEx>
        <w:trPr>
          <w:trHeight w:val="264" w:hRule="atLeast"/>
          <w:tblHeader/>
          <w:jc w:val="center"/>
        </w:trPr>
        <w:tc>
          <w:tcPr>
            <w:tcW w:w="46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4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8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91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6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6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51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7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204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纬度</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经度</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pacing w:val="-28"/>
                <w:sz w:val="18"/>
                <w:szCs w:val="18"/>
              </w:rPr>
            </w:pPr>
            <w:r>
              <w:rPr>
                <w:rFonts w:hint="eastAsia" w:ascii="方正黑体_GBK" w:hAnsi="方正黑体_GBK" w:eastAsia="方正黑体_GBK" w:cs="方正黑体_GBK"/>
                <w:color w:val="auto"/>
                <w:spacing w:val="-11"/>
                <w:sz w:val="18"/>
                <w:szCs w:val="18"/>
              </w:rPr>
              <w:t>（平方米）</w:t>
            </w:r>
          </w:p>
        </w:tc>
        <w:tc>
          <w:tcPr>
            <w:tcW w:w="70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7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COD</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氨氮</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总氮</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总磷</w:t>
            </w:r>
          </w:p>
        </w:tc>
      </w:tr>
      <w:tr>
        <w:tblPrEx>
          <w:tblCellMar>
            <w:top w:w="0" w:type="dxa"/>
            <w:left w:w="108" w:type="dxa"/>
            <w:bottom w:w="0" w:type="dxa"/>
            <w:right w:w="108" w:type="dxa"/>
          </w:tblCellMar>
        </w:tblPrEx>
        <w:trPr>
          <w:trHeight w:val="644" w:hRule="atLeast"/>
          <w:jc w:val="center"/>
        </w:trPr>
        <w:tc>
          <w:tcPr>
            <w:tcW w:w="469"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10432</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21978</w:t>
            </w:r>
          </w:p>
        </w:tc>
        <w:tc>
          <w:tcPr>
            <w:tcW w:w="51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完善截污管网13.7km（DN300的双壁波纹管）；新建卫生厕所8576座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3264.15</w:t>
            </w:r>
          </w:p>
        </w:tc>
        <w:tc>
          <w:tcPr>
            <w:tcW w:w="77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12707.87</w:t>
            </w:r>
          </w:p>
        </w:tc>
        <w:tc>
          <w:tcPr>
            <w:tcW w:w="6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899.31</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409.6</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511.98</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447.23</w:t>
            </w:r>
          </w:p>
        </w:tc>
      </w:tr>
      <w:tr>
        <w:tblPrEx>
          <w:tblCellMar>
            <w:top w:w="0" w:type="dxa"/>
            <w:left w:w="108" w:type="dxa"/>
            <w:bottom w:w="0" w:type="dxa"/>
            <w:right w:w="108" w:type="dxa"/>
          </w:tblCellMar>
        </w:tblPrEx>
        <w:trPr>
          <w:trHeight w:val="629" w:hRule="atLeast"/>
          <w:jc w:val="center"/>
        </w:trPr>
        <w:tc>
          <w:tcPr>
            <w:tcW w:w="46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集中区</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改建设施</w:t>
            </w: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358</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931</w:t>
            </w:r>
          </w:p>
        </w:tc>
        <w:tc>
          <w:tcPr>
            <w:tcW w:w="513"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大河村污水处理厂完善截污管网2.8km（DN300的双壁波纹管）</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29.058416</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105.85203</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w:t>
            </w:r>
          </w:p>
        </w:tc>
        <w:tc>
          <w:tcPr>
            <w:tcW w:w="77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6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04"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959</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涨谷村污水处理厂截完善污管网2.1km（DN300的双壁波纹管）</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28.980986</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105.82577</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4"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五家坡村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370</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962</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五家坡村污水处理厂完善截污管网2.2km（DN300的双壁波纹管）</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29.252744</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105.72962</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114.75</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704"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金宝山村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380</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粉店污水处理站完善截污管网2.5km（DN300的双壁波纹管）</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29.082442</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105.76168</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127.3</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59"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大磨子村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985</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大磨污水处理站完善截污管网4.1km（DN300的双壁波纹管）</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29.085523</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105.76112</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204.3</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456" w:hRule="atLeast"/>
          <w:jc w:val="center"/>
        </w:trPr>
        <w:tc>
          <w:tcPr>
            <w:tcW w:w="469"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7058</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1856</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4826</w:t>
            </w:r>
          </w:p>
        </w:tc>
        <w:tc>
          <w:tcPr>
            <w:tcW w:w="51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完善截污管网13.7km（DN300的双壁波纹管）</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691.35</w:t>
            </w:r>
          </w:p>
        </w:tc>
        <w:tc>
          <w:tcPr>
            <w:tcW w:w="77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r>
      <w:tr>
        <w:tblPrEx>
          <w:tblCellMar>
            <w:top w:w="0" w:type="dxa"/>
            <w:left w:w="108" w:type="dxa"/>
            <w:bottom w:w="0" w:type="dxa"/>
            <w:right w:w="108" w:type="dxa"/>
          </w:tblCellMar>
        </w:tblPrEx>
        <w:trPr>
          <w:trHeight w:val="492" w:hRule="atLeast"/>
          <w:jc w:val="center"/>
        </w:trPr>
        <w:tc>
          <w:tcPr>
            <w:tcW w:w="46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分散区</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笋桥村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984</w:t>
            </w:r>
          </w:p>
        </w:tc>
        <w:tc>
          <w:tcPr>
            <w:tcW w:w="513"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29.044449</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105.84197</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147.6</w:t>
            </w:r>
          </w:p>
        </w:tc>
        <w:tc>
          <w:tcPr>
            <w:tcW w:w="779"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6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27.08</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3.36</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0.37</w:t>
            </w:r>
          </w:p>
        </w:tc>
      </w:tr>
      <w:tr>
        <w:tblPrEx>
          <w:tblCellMar>
            <w:top w:w="0" w:type="dxa"/>
            <w:left w:w="108" w:type="dxa"/>
            <w:bottom w:w="0" w:type="dxa"/>
            <w:right w:w="108" w:type="dxa"/>
          </w:tblCellMar>
        </w:tblPrEx>
        <w:trPr>
          <w:trHeight w:val="492"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龙宝山村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29.054956</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105.81855</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19.09</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2.37</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2.96</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0.26</w:t>
            </w:r>
          </w:p>
        </w:tc>
      </w:tr>
      <w:tr>
        <w:tblPrEx>
          <w:tblCellMar>
            <w:top w:w="0" w:type="dxa"/>
            <w:left w:w="108" w:type="dxa"/>
            <w:bottom w:w="0" w:type="dxa"/>
            <w:right w:w="108" w:type="dxa"/>
          </w:tblCellMar>
        </w:tblPrEx>
        <w:trPr>
          <w:trHeight w:val="492"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龙汇垭村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478</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956</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修建卫生厕所478座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29.077897</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105.83049</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143.4</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18.36</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2.28</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r>
      <w:tr>
        <w:tblPrEx>
          <w:tblCellMar>
            <w:top w:w="0" w:type="dxa"/>
            <w:left w:w="108" w:type="dxa"/>
            <w:bottom w:w="0" w:type="dxa"/>
            <w:right w:w="108" w:type="dxa"/>
          </w:tblCellMar>
        </w:tblPrEx>
        <w:trPr>
          <w:trHeight w:val="474"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水渡滩村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938</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修建卫生厕所469座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29.326794</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105.92886</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140.7</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23.45</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3.63</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r>
      <w:tr>
        <w:tblPrEx>
          <w:tblCellMar>
            <w:top w:w="0" w:type="dxa"/>
            <w:left w:w="108" w:type="dxa"/>
            <w:bottom w:w="0" w:type="dxa"/>
            <w:right w:w="108" w:type="dxa"/>
          </w:tblCellMar>
        </w:tblPrEx>
        <w:trPr>
          <w:trHeight w:val="477"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滩子口村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475</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950</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修建卫生厕所475座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29.326794</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105.92886</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142.5</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27.81</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3.45</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4.31</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四明村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29.326794</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105.92886</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22.18</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2.75</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3.44</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29.078818</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105.85013</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67.71</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8.39</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10.49</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0.93</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四望山村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29.033374</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105.86008</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66.8</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8.28</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10.35</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0.91</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新岸山村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29.004108</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105.84205</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49.08</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6.08</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7.6</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0.67</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马道子村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495</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990</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28.987469</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105.80272</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148.5</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48.62</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6.03</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7.53</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0.67</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围子山村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984</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29.012603</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105.83546</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147.6</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45.44</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5.63</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7.04</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0.62</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石碓窝村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785</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1570</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修建卫生厕所785座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29.029807</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105.81786</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235.5</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42.72</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5.29</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6.62</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0.58</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江永村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29.023207</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105.81145</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71.11</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花园村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479</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958</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修建卫生厕所479座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29.106522</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105.87877</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143.7</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87.07</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69.65</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87.07</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87.07</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向前村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29.16413</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105.73631</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71.69</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大牌坊村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475</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950</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修建卫生厕所475座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29.105937</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105.74593</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142.5</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86.34</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69.07</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86.34</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86.34</w:t>
            </w:r>
          </w:p>
        </w:tc>
      </w:tr>
      <w:tr>
        <w:tblPrEx>
          <w:tblCellMar>
            <w:top w:w="0" w:type="dxa"/>
            <w:left w:w="108" w:type="dxa"/>
            <w:bottom w:w="0" w:type="dxa"/>
            <w:right w:w="108" w:type="dxa"/>
          </w:tblCellMar>
        </w:tblPrEx>
        <w:trPr>
          <w:trHeight w:val="453" w:hRule="atLeast"/>
          <w:jc w:val="center"/>
        </w:trPr>
        <w:tc>
          <w:tcPr>
            <w:tcW w:w="46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513"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28.980986</w:t>
            </w: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105.82577</w:t>
            </w: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779"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71.25</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r>
      <w:tr>
        <w:tblPrEx>
          <w:tblCellMar>
            <w:top w:w="0" w:type="dxa"/>
            <w:left w:w="108" w:type="dxa"/>
            <w:bottom w:w="0" w:type="dxa"/>
            <w:right w:w="108" w:type="dxa"/>
          </w:tblCellMar>
        </w:tblPrEx>
        <w:trPr>
          <w:trHeight w:val="570" w:hRule="atLeast"/>
          <w:jc w:val="center"/>
        </w:trPr>
        <w:tc>
          <w:tcPr>
            <w:tcW w:w="469"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9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8576</w:t>
            </w:r>
          </w:p>
        </w:tc>
        <w:tc>
          <w:tcPr>
            <w:tcW w:w="66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17152</w:t>
            </w:r>
          </w:p>
        </w:tc>
        <w:tc>
          <w:tcPr>
            <w:tcW w:w="51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7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04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新建卫生厕所8576座</w:t>
            </w:r>
          </w:p>
        </w:tc>
        <w:tc>
          <w:tcPr>
            <w:tcW w:w="103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8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4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0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2572.8</w:t>
            </w:r>
          </w:p>
        </w:tc>
        <w:tc>
          <w:tcPr>
            <w:tcW w:w="779"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899.31</w:t>
            </w:r>
          </w:p>
        </w:tc>
        <w:tc>
          <w:tcPr>
            <w:tcW w:w="658"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409.6</w:t>
            </w:r>
          </w:p>
        </w:tc>
        <w:tc>
          <w:tcPr>
            <w:tcW w:w="66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511.98</w:t>
            </w:r>
          </w:p>
        </w:tc>
        <w:tc>
          <w:tcPr>
            <w:tcW w:w="672"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447.23</w:t>
            </w:r>
          </w:p>
        </w:tc>
      </w:tr>
      <w:bookmarkEnd w:id="447"/>
    </w:tbl>
    <w:p>
      <w:pPr>
        <w:pStyle w:val="23"/>
        <w:widowControl w:val="0"/>
        <w:shd w:val="clear" w:color="auto" w:fill="FFFFFF"/>
        <w:spacing w:line="360" w:lineRule="auto"/>
        <w:ind w:firstLine="465"/>
        <w:rPr>
          <w:rFonts w:cs="Times New Roman"/>
          <w:b/>
          <w:color w:val="auto"/>
          <w:sz w:val="21"/>
          <w:szCs w:val="36"/>
        </w:rPr>
        <w:sectPr>
          <w:pgSz w:w="16783" w:h="11850" w:orient="landscape"/>
          <w:pgMar w:top="1417" w:right="1134" w:bottom="1134" w:left="1134" w:header="720" w:footer="1474" w:gutter="0"/>
          <w:pgNumType w:fmt="numberInDash"/>
          <w:cols w:space="720" w:num="1"/>
          <w:docGrid w:linePitch="312" w:charSpace="0"/>
        </w:sectPr>
      </w:pPr>
    </w:p>
    <w:p>
      <w:pPr>
        <w:widowControl w:val="0"/>
        <w:spacing w:line="240" w:lineRule="auto"/>
        <w:ind w:firstLine="720"/>
        <w:jc w:val="center"/>
        <w:rPr>
          <w:rFonts w:hint="eastAsia" w:ascii="方正小标宋_GBK" w:hAnsi="方正小标宋_GBK" w:eastAsia="方正小标宋_GBK" w:cs="方正小标宋_GBK"/>
          <w:color w:val="auto"/>
          <w:sz w:val="36"/>
          <w:szCs w:val="36"/>
        </w:rPr>
      </w:pPr>
      <w:bookmarkStart w:id="449" w:name="_Toc48318337"/>
      <w:bookmarkStart w:id="450" w:name="_Toc45198279"/>
      <w:r>
        <w:rPr>
          <w:rFonts w:hint="eastAsia" w:ascii="方正小标宋_GBK" w:hAnsi="方正小标宋_GBK" w:eastAsia="方正小标宋_GBK" w:cs="方正小标宋_GBK"/>
          <w:color w:val="auto"/>
          <w:sz w:val="36"/>
          <w:szCs w:val="36"/>
        </w:rPr>
        <w:t>附表3</w:t>
      </w:r>
      <w:bookmarkEnd w:id="449"/>
      <w:bookmarkStart w:id="451" w:name="_Toc48318338"/>
      <w:r>
        <w:rPr>
          <w:rFonts w:hint="eastAsia" w:ascii="方正小标宋_GBK" w:hAnsi="方正小标宋_GBK" w:eastAsia="方正小标宋_GBK" w:cs="方正小标宋_GBK"/>
          <w:color w:val="auto"/>
          <w:sz w:val="36"/>
          <w:szCs w:val="36"/>
        </w:rPr>
        <w:t xml:space="preserve">  永川区农村生活污水专项治理规划实施计划表</w:t>
      </w:r>
      <w:bookmarkEnd w:id="450"/>
      <w:bookmarkEnd w:id="451"/>
    </w:p>
    <w:tbl>
      <w:tblPr>
        <w:tblStyle w:val="25"/>
        <w:tblW w:w="0" w:type="auto"/>
        <w:jc w:val="center"/>
        <w:tblLayout w:type="fixed"/>
        <w:tblCellMar>
          <w:top w:w="0" w:type="dxa"/>
          <w:left w:w="108" w:type="dxa"/>
          <w:bottom w:w="0" w:type="dxa"/>
          <w:right w:w="108" w:type="dxa"/>
        </w:tblCellMar>
      </w:tblPr>
      <w:tblGrid>
        <w:gridCol w:w="634"/>
        <w:gridCol w:w="405"/>
        <w:gridCol w:w="434"/>
        <w:gridCol w:w="811"/>
        <w:gridCol w:w="855"/>
        <w:gridCol w:w="690"/>
        <w:gridCol w:w="720"/>
        <w:gridCol w:w="855"/>
        <w:gridCol w:w="1020"/>
        <w:gridCol w:w="2190"/>
        <w:gridCol w:w="750"/>
        <w:gridCol w:w="750"/>
        <w:gridCol w:w="690"/>
        <w:gridCol w:w="750"/>
        <w:gridCol w:w="450"/>
        <w:gridCol w:w="750"/>
        <w:gridCol w:w="693"/>
        <w:gridCol w:w="681"/>
        <w:gridCol w:w="594"/>
      </w:tblGrid>
      <w:tr>
        <w:tblPrEx>
          <w:tblCellMar>
            <w:top w:w="0" w:type="dxa"/>
            <w:left w:w="108" w:type="dxa"/>
            <w:bottom w:w="0" w:type="dxa"/>
            <w:right w:w="108" w:type="dxa"/>
          </w:tblCellMar>
        </w:tblPrEx>
        <w:trPr>
          <w:trHeight w:val="798" w:hRule="atLeast"/>
          <w:tblHeader/>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bookmarkStart w:id="452" w:name="_Toc45198280"/>
            <w:bookmarkStart w:id="453" w:name="_Toc46310503"/>
            <w:r>
              <w:rPr>
                <w:rFonts w:hint="eastAsia" w:ascii="方正黑体_GBK" w:hAnsi="方正黑体_GBK" w:eastAsia="方正黑体_GBK" w:cs="方正黑体_GBK"/>
                <w:color w:val="auto"/>
                <w:sz w:val="18"/>
                <w:szCs w:val="18"/>
              </w:rPr>
              <w:t>完成时间</w:t>
            </w:r>
          </w:p>
        </w:tc>
        <w:tc>
          <w:tcPr>
            <w:tcW w:w="40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区域类型</w:t>
            </w:r>
          </w:p>
        </w:tc>
        <w:tc>
          <w:tcPr>
            <w:tcW w:w="434"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建设类型</w:t>
            </w:r>
          </w:p>
        </w:tc>
        <w:tc>
          <w:tcPr>
            <w:tcW w:w="81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镇街</w:t>
            </w:r>
          </w:p>
        </w:tc>
        <w:tc>
          <w:tcPr>
            <w:tcW w:w="85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行政村</w:t>
            </w:r>
          </w:p>
        </w:tc>
        <w:tc>
          <w:tcPr>
            <w:tcW w:w="6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pacing w:val="-11"/>
                <w:sz w:val="18"/>
                <w:szCs w:val="18"/>
              </w:rPr>
            </w:pPr>
            <w:r>
              <w:rPr>
                <w:rFonts w:hint="eastAsia" w:ascii="方正黑体_GBK" w:hAnsi="方正黑体_GBK" w:eastAsia="方正黑体_GBK" w:cs="方正黑体_GBK"/>
                <w:color w:val="auto"/>
                <w:spacing w:val="-11"/>
                <w:sz w:val="18"/>
                <w:szCs w:val="18"/>
              </w:rPr>
              <w:t>户数（户）</w:t>
            </w:r>
          </w:p>
        </w:tc>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pacing w:val="-11"/>
                <w:sz w:val="18"/>
                <w:szCs w:val="18"/>
              </w:rPr>
            </w:pPr>
            <w:r>
              <w:rPr>
                <w:rFonts w:hint="eastAsia" w:ascii="方正黑体_GBK" w:hAnsi="方正黑体_GBK" w:eastAsia="方正黑体_GBK" w:cs="方正黑体_GBK"/>
                <w:color w:val="auto"/>
                <w:spacing w:val="-11"/>
                <w:sz w:val="18"/>
                <w:szCs w:val="18"/>
              </w:rPr>
              <w:t>人口（人）</w:t>
            </w:r>
          </w:p>
        </w:tc>
        <w:tc>
          <w:tcPr>
            <w:tcW w:w="85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项目</w:t>
            </w:r>
          </w:p>
        </w:tc>
        <w:tc>
          <w:tcPr>
            <w:tcW w:w="102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规划处理方式</w:t>
            </w:r>
          </w:p>
        </w:tc>
        <w:tc>
          <w:tcPr>
            <w:tcW w:w="21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规模</w:t>
            </w:r>
          </w:p>
        </w:tc>
        <w:tc>
          <w:tcPr>
            <w:tcW w:w="1500" w:type="dxa"/>
            <w:gridSpan w:val="2"/>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点位（经纬度）</w:t>
            </w:r>
          </w:p>
        </w:tc>
        <w:tc>
          <w:tcPr>
            <w:tcW w:w="69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占地（平方米）</w:t>
            </w:r>
          </w:p>
        </w:tc>
        <w:tc>
          <w:tcPr>
            <w:tcW w:w="75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投资（万元）</w:t>
            </w:r>
          </w:p>
        </w:tc>
        <w:tc>
          <w:tcPr>
            <w:tcW w:w="4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承担单位</w:t>
            </w:r>
          </w:p>
        </w:tc>
        <w:tc>
          <w:tcPr>
            <w:tcW w:w="2718" w:type="dxa"/>
            <w:gridSpan w:val="4"/>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污染物削减量（t/a）</w:t>
            </w:r>
          </w:p>
        </w:tc>
      </w:tr>
      <w:tr>
        <w:tblPrEx>
          <w:tblCellMar>
            <w:top w:w="0" w:type="dxa"/>
            <w:left w:w="108" w:type="dxa"/>
            <w:bottom w:w="0" w:type="dxa"/>
            <w:right w:w="108" w:type="dxa"/>
          </w:tblCellMar>
        </w:tblPrEx>
        <w:trPr>
          <w:trHeight w:val="318" w:hRule="atLeast"/>
          <w:tblHeader/>
          <w:jc w:val="center"/>
        </w:trPr>
        <w:tc>
          <w:tcPr>
            <w:tcW w:w="6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40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43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81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6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10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21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纬度</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经度</w:t>
            </w:r>
          </w:p>
        </w:tc>
        <w:tc>
          <w:tcPr>
            <w:tcW w:w="69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黑体_GBK" w:hAnsi="方正黑体_GBK" w:eastAsia="方正黑体_GBK" w:cs="方正黑体_GBK"/>
                <w:color w:val="auto"/>
                <w:sz w:val="18"/>
                <w:szCs w:val="18"/>
              </w:rPr>
            </w:pP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COD</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氨氮</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总氮</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黑体_GBK" w:hAnsi="方正黑体_GBK" w:eastAsia="方正黑体_GBK" w:cs="方正黑体_GBK"/>
                <w:color w:val="auto"/>
                <w:sz w:val="18"/>
                <w:szCs w:val="18"/>
              </w:rPr>
            </w:pPr>
            <w:r>
              <w:rPr>
                <w:rFonts w:hint="eastAsia" w:ascii="方正黑体_GBK" w:hAnsi="方正黑体_GBK" w:eastAsia="方正黑体_GBK" w:cs="方正黑体_GBK"/>
                <w:color w:val="auto"/>
                <w:sz w:val="18"/>
                <w:szCs w:val="18"/>
              </w:rPr>
              <w:t>总磷</w:t>
            </w:r>
          </w:p>
        </w:tc>
      </w:tr>
      <w:tr>
        <w:tblPrEx>
          <w:tblCellMar>
            <w:top w:w="0" w:type="dxa"/>
            <w:left w:w="108" w:type="dxa"/>
            <w:bottom w:w="0" w:type="dxa"/>
            <w:right w:w="108" w:type="dxa"/>
          </w:tblCellMar>
        </w:tblPrEx>
        <w:trPr>
          <w:trHeight w:val="1721"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总计</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51798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114753</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70t/d、20t/d的一体化集中式污水处理设施各1座，管网建设6km（DN300的双壁波纹管）；完善截污管网71.2km；新建卫生厕所42499座；新建9座化粪池共80立方米、20座隔油池共171立方米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15972.02</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6302.07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800.28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7"/>
                <w:sz w:val="18"/>
                <w:szCs w:val="18"/>
              </w:rPr>
              <w:t>1000.31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88.75</w:t>
            </w:r>
          </w:p>
        </w:tc>
      </w:tr>
      <w:tr>
        <w:tblPrEx>
          <w:tblCellMar>
            <w:top w:w="0" w:type="dxa"/>
            <w:left w:w="108" w:type="dxa"/>
            <w:bottom w:w="0" w:type="dxa"/>
            <w:right w:w="108" w:type="dxa"/>
          </w:tblCellMar>
        </w:tblPrEx>
        <w:trPr>
          <w:trHeight w:val="868" w:hRule="atLeast"/>
          <w:jc w:val="center"/>
        </w:trPr>
        <w:tc>
          <w:tcPr>
            <w:tcW w:w="6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c>
          <w:tcPr>
            <w:tcW w:w="40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集中区</w:t>
            </w: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谭家坝村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933</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谭家坝村新建集中污水处理设施建设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一体化集中设施处理</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70t/d的一体化集中式污水处理设施1座，管网建设3.5km（DN300的双壁波纹管）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29.324605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105.86378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280.24</w:t>
            </w:r>
          </w:p>
        </w:tc>
        <w:tc>
          <w:tcPr>
            <w:tcW w:w="450" w:type="dxa"/>
            <w:vMerge w:val="restart"/>
            <w:tcBorders>
              <w:top w:val="nil"/>
              <w:left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101.44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31.03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38.79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w:t>
            </w:r>
          </w:p>
        </w:tc>
      </w:tr>
      <w:tr>
        <w:tblPrEx>
          <w:tblCellMar>
            <w:top w:w="0" w:type="dxa"/>
            <w:left w:w="108" w:type="dxa"/>
            <w:bottom w:w="0" w:type="dxa"/>
            <w:right w:w="108" w:type="dxa"/>
          </w:tblCellMar>
        </w:tblPrEx>
        <w:trPr>
          <w:trHeight w:val="90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解放村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w:t>
            </w:r>
          </w:p>
        </w:tc>
        <w:tc>
          <w:tcPr>
            <w:tcW w:w="855" w:type="dxa"/>
            <w:tcBorders>
              <w:top w:val="nil"/>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解放村新建集中处理设施建设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一体化集中设施处理</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管网建设2.5km（DN300的双壁波纹管）；20t/d的一体化集中处理设施1座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29.473506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106.06022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155.08</w:t>
            </w:r>
          </w:p>
        </w:tc>
        <w:tc>
          <w:tcPr>
            <w:tcW w:w="450" w:type="dxa"/>
            <w:vMerge w:val="continue"/>
            <w:tcBorders>
              <w:left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36.35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w:t>
            </w:r>
          </w:p>
        </w:tc>
      </w:tr>
      <w:tr>
        <w:tblPrEx>
          <w:tblCellMar>
            <w:top w:w="0" w:type="dxa"/>
            <w:left w:w="108" w:type="dxa"/>
            <w:bottom w:w="0" w:type="dxa"/>
            <w:right w:w="108" w:type="dxa"/>
          </w:tblCellMar>
        </w:tblPrEx>
        <w:trPr>
          <w:trHeight w:val="88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1133</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70t/d、20t/d的一体化集中式污水处理设施各1座，管网建设6km（DN300的双壁波纹管）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435.32</w:t>
            </w:r>
          </w:p>
        </w:tc>
        <w:tc>
          <w:tcPr>
            <w:tcW w:w="450" w:type="dxa"/>
            <w:vMerge w:val="continue"/>
            <w:tcBorders>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35.54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44.42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4.18</w:t>
            </w:r>
          </w:p>
        </w:tc>
      </w:tr>
      <w:tr>
        <w:tblPrEx>
          <w:tblCellMar>
            <w:top w:w="0" w:type="dxa"/>
            <w:left w:w="108" w:type="dxa"/>
            <w:bottom w:w="0" w:type="dxa"/>
            <w:right w:w="108" w:type="dxa"/>
          </w:tblCellMar>
        </w:tblPrEx>
        <w:trPr>
          <w:trHeight w:val="684"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李家湾村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738</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何埂镇李家湾村污水处理站完善截污管网5.8km（DN300的双壁波纹管）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29.109173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105.86066</w:t>
            </w:r>
          </w:p>
        </w:tc>
        <w:tc>
          <w:tcPr>
            <w:tcW w:w="69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4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0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九层岩村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九层岩污水处理站完善截污管网3.6km（DN300的双壁波纹管）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28.953421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105.82437</w:t>
            </w:r>
          </w:p>
        </w:tc>
        <w:tc>
          <w:tcPr>
            <w:tcW w:w="69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4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9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龙凤桥村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龙凤桥村登东场镇污水处理厂完善截污管网2.8km（DN300的双壁波纹管）</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29.205565</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105.9742</w:t>
            </w:r>
          </w:p>
        </w:tc>
        <w:tc>
          <w:tcPr>
            <w:tcW w:w="69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84</w:t>
            </w:r>
          </w:p>
        </w:tc>
        <w:tc>
          <w:tcPr>
            <w:tcW w:w="45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3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single" w:color="auto" w:sz="4" w:space="0"/>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马银村污水处理站完善截污管网3.6km（DN300的双壁波纹管）</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29.222084</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105.95983</w:t>
            </w:r>
          </w:p>
        </w:tc>
        <w:tc>
          <w:tcPr>
            <w:tcW w:w="69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450" w:type="dxa"/>
            <w:vMerge w:val="continue"/>
            <w:tcBorders>
              <w:top w:val="single" w:color="auto" w:sz="4" w:space="0"/>
              <w:left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single" w:color="auto" w:sz="4" w:space="0"/>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7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高滩村污水处理站完善截污管网3km（DN300的双壁波纹管）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29.494446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105.93647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w:t>
            </w:r>
          </w:p>
        </w:tc>
        <w:tc>
          <w:tcPr>
            <w:tcW w:w="450" w:type="dxa"/>
            <w:vMerge w:val="continue"/>
            <w:tcBorders>
              <w:left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黄瓜山村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黄文场污水处理站完善截污管网2.7km（DN300的双壁波纹管）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29.118087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105.91262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w:t>
            </w:r>
          </w:p>
        </w:tc>
        <w:tc>
          <w:tcPr>
            <w:tcW w:w="450" w:type="dxa"/>
            <w:vMerge w:val="continue"/>
            <w:tcBorders>
              <w:left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5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双河口社区</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花桥污水处理厂完善截污管网5.1km（DN300的双壁波纹管）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29.273759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105.75586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153</w:t>
            </w:r>
          </w:p>
        </w:tc>
        <w:tc>
          <w:tcPr>
            <w:tcW w:w="450" w:type="dxa"/>
            <w:vMerge w:val="continue"/>
            <w:tcBorders>
              <w:left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6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万寿场社区</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万寿污水处理站完善截污管网5km（DN300的双壁波纹管）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29.04363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105.76154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450" w:type="dxa"/>
            <w:vMerge w:val="continue"/>
            <w:tcBorders>
              <w:left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0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德胜桥村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8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德胜桥村污水处理厂完善截污管网1.8km（DN300的双壁波纹管）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29.418736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106.05684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450" w:type="dxa"/>
            <w:vMerge w:val="continue"/>
            <w:tcBorders>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4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3225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8164</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完善截污管网28.9km（DN300的双壁波纹管）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1002</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分散区域</w:t>
            </w: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安溪村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268</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农户污水收集设施建设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29.412141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105.90541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0.26</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永荣镇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白云寺村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29.316512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105.6788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柏树桥村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29.258535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105.78529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15.63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0.21</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中山路街道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北大桥村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29.369469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105.96087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0.18</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本尊村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29.521674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105.93986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茶园村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29.507585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105.98671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0.04</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29.392137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105.90194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0.14</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松溉镇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打鱼河村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29.100904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105.90348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大涧口村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29.405463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105.83434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29.333784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105.89168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89.43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29.535973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105.9533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23.27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29.455432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105.95025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17.81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0.24</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大双庆村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29.349731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105.97478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大竹溪村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29.260424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105.91263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德胜桥村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修建卫生厕所211座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29.418736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106.05684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38.35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0.53</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丁家岩村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29.406934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105.84719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35.26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0.48</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永荣镇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东岳村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151</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29.348015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105.66847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0.14</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二郎坝村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616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修建卫生厕所237座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29.416986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106.01336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0.59</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29.320385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105.94891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0.33</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671</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修建卫生厕所258座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29.291594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77.4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0.64</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佛岩寺村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修建卫生厕所225座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29.34345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105.84064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0.56</w:t>
            </w:r>
          </w:p>
        </w:tc>
      </w:tr>
      <w:tr>
        <w:tblPrEx>
          <w:tblCellMar>
            <w:top w:w="0" w:type="dxa"/>
            <w:left w:w="108" w:type="dxa"/>
            <w:bottom w:w="0" w:type="dxa"/>
            <w:right w:w="108" w:type="dxa"/>
          </w:tblCellMar>
        </w:tblPrEx>
        <w:trPr>
          <w:trHeight w:val="44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复生桥村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29.422311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105.84809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31.63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0.43</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高洞子村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修建卫生厕所216座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29.496937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105.94324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64.8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39.26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0.54</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修建卫生厕所180座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29.383726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105.99001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修建卫生厕所243座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29.438236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105.99856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44.17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29.245282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105.9673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57.62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0.79</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古佛村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29.504485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105.97579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关门山村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29.297167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105.76466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观音井村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29.284542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105.78656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26.17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0.36</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官禄岩村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修建卫生厕所327座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29.405156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106.03942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59.44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0.81</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桂花村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29.475078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105.99614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桂林村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修建卫生厕所163座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29.265449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105.98369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29.63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0.41</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寒泸村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29.157365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汉东村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29.01456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105.85377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五间镇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合兴村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29.178701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105.82832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27.63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r>
      <w:tr>
        <w:tblPrEx>
          <w:tblCellMar>
            <w:top w:w="0" w:type="dxa"/>
            <w:left w:w="108" w:type="dxa"/>
            <w:bottom w:w="0" w:type="dxa"/>
            <w:right w:w="108" w:type="dxa"/>
          </w:tblCellMar>
        </w:tblPrEx>
        <w:trPr>
          <w:trHeight w:val="45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五间镇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和平村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29.184093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105.84612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0.21</w:t>
            </w:r>
          </w:p>
        </w:tc>
      </w:tr>
      <w:tr>
        <w:tblPrEx>
          <w:tblCellMar>
            <w:top w:w="0" w:type="dxa"/>
            <w:left w:w="108" w:type="dxa"/>
            <w:bottom w:w="0" w:type="dxa"/>
            <w:right w:w="108" w:type="dxa"/>
          </w:tblCellMar>
        </w:tblPrEx>
        <w:trPr>
          <w:trHeight w:val="52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5369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13664</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修建卫生厕所5369座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1611</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118.65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148.31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13.11</w:t>
            </w:r>
          </w:p>
        </w:tc>
      </w:tr>
      <w:tr>
        <w:tblPrEx>
          <w:tblCellMar>
            <w:top w:w="0" w:type="dxa"/>
            <w:left w:w="108" w:type="dxa"/>
            <w:bottom w:w="0" w:type="dxa"/>
            <w:right w:w="108" w:type="dxa"/>
          </w:tblCellMar>
        </w:tblPrEx>
        <w:trPr>
          <w:trHeight w:val="70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农家乐及民宿</w:t>
            </w: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林里山庄生活污水整治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新建1座化粪池和1座隔油池各6立方米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39.9632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116.4002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林里山庄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69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z w:val="18"/>
                <w:szCs w:val="18"/>
              </w:rPr>
              <w:t>玉竹园生活污水整治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新建1座化粪池和1座隔油池各7立方米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39.9632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116.4003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玉竹园</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0.04</w:t>
            </w:r>
          </w:p>
        </w:tc>
      </w:tr>
      <w:tr>
        <w:tblPrEx>
          <w:tblCellMar>
            <w:top w:w="0" w:type="dxa"/>
            <w:left w:w="108" w:type="dxa"/>
            <w:bottom w:w="0" w:type="dxa"/>
            <w:right w:w="108" w:type="dxa"/>
          </w:tblCellMar>
        </w:tblPrEx>
        <w:trPr>
          <w:trHeight w:val="89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春竹山庄生活污水整治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29.4181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105.9348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春竹山庄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0.01</w:t>
            </w:r>
          </w:p>
        </w:tc>
      </w:tr>
      <w:tr>
        <w:tblPrEx>
          <w:tblCellMar>
            <w:top w:w="0" w:type="dxa"/>
            <w:left w:w="108" w:type="dxa"/>
            <w:bottom w:w="0" w:type="dxa"/>
            <w:right w:w="108" w:type="dxa"/>
          </w:tblCellMar>
        </w:tblPrEx>
        <w:trPr>
          <w:trHeight w:val="106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竹海同聚庄生活污水整治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29.4184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105.9371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竹海同聚庄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6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茶山居生活污水整治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新建1座化粪池和1座隔油池各5立方米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29.4182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105.9373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茶山居</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112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竹海湖山庄生活污水整治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新建1座化粪池和1座隔油池各12立方米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29.993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105.9377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竹海湖山庄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2.73</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0.04</w:t>
            </w:r>
          </w:p>
        </w:tc>
      </w:tr>
      <w:tr>
        <w:tblPrEx>
          <w:tblCellMar>
            <w:top w:w="0" w:type="dxa"/>
            <w:left w:w="108" w:type="dxa"/>
            <w:bottom w:w="0" w:type="dxa"/>
            <w:right w:w="108" w:type="dxa"/>
          </w:tblCellMar>
        </w:tblPrEx>
        <w:trPr>
          <w:trHeight w:val="109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梁四农家乐生活污水整治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pacing w:val="-17"/>
                <w:sz w:val="18"/>
                <w:szCs w:val="18"/>
              </w:rPr>
            </w:pPr>
            <w:r>
              <w:rPr>
                <w:rFonts w:hint="eastAsia" w:ascii="方正仿宋_GBK" w:hAnsi="方正仿宋_GBK" w:cs="方正仿宋_GBK"/>
                <w:color w:val="auto"/>
                <w:spacing w:val="-17"/>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29.2534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105.5642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梁四农家乐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0.03</w:t>
            </w:r>
          </w:p>
        </w:tc>
      </w:tr>
      <w:tr>
        <w:tblPrEx>
          <w:tblCellMar>
            <w:top w:w="0" w:type="dxa"/>
            <w:left w:w="108" w:type="dxa"/>
            <w:bottom w:w="0" w:type="dxa"/>
            <w:right w:w="108" w:type="dxa"/>
          </w:tblCellMar>
        </w:tblPrEx>
        <w:trPr>
          <w:trHeight w:val="89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凤凰山庄生活污水整治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新建1座化粪池和1座隔油池各12立方米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29.2534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105.5642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凤凰山庄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0.02</w:t>
            </w:r>
          </w:p>
        </w:tc>
      </w:tr>
      <w:tr>
        <w:tblPrEx>
          <w:tblCellMar>
            <w:top w:w="0" w:type="dxa"/>
            <w:left w:w="108" w:type="dxa"/>
            <w:bottom w:w="0" w:type="dxa"/>
            <w:right w:w="108" w:type="dxa"/>
          </w:tblCellMar>
        </w:tblPrEx>
        <w:trPr>
          <w:trHeight w:val="1111"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信刚农家乐生活污水整治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经化粪池和隔油池处置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新建1座化粪池和1座隔油池各8立方米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29.2126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105.5135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信刚农家乐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0.87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0.18</w:t>
            </w:r>
          </w:p>
        </w:tc>
      </w:tr>
      <w:tr>
        <w:tblPrEx>
          <w:tblCellMar>
            <w:top w:w="0" w:type="dxa"/>
            <w:left w:w="108" w:type="dxa"/>
            <w:bottom w:w="0" w:type="dxa"/>
            <w:right w:w="108" w:type="dxa"/>
          </w:tblCellMar>
        </w:tblPrEx>
        <w:trPr>
          <w:trHeight w:val="88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代家店村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友园小酌生活污水整治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新建1座隔油池6立方米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29.2148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105.5054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友园小酌</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9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代家店村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为黍山庄生活污水整治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新建1座隔油池7立方米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29.1474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105.5136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为黍山庄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219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谭家坝村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荷莲坊十里荷香农家乐生活污水整治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新建1座隔油池5立方米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29.2148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105.5054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荷莲坊十里荷香农家乐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8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车园山庄生活污水整治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新建1座隔油池9立方米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105.87806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车园山庄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136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大堰塘农家乐生活污水整治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新建1座隔油池6立方米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29.364722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105.87722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大堰塘农家乐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6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山里味道生活污水整治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新建1座隔油池10立方米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29.364722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105.87667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山里味道</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106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三圣农家乐生活污水整治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105.87583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三圣农家乐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1294"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金盆寨农家乐生活污水整治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新建1座隔油池10立方米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29.362524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105.88389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金盆寨农家乐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89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葡萄山庄生活污水整治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新建1座隔油池14立方米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29.362511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105.84389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葡萄山庄</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1141"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陈常义餐馆生活污水整治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105.88329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陈常义餐馆</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1111"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丰岩农家乐生活污水整治</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新增隔油池过滤处置</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29.36258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105.21839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丰岩农家乐</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7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新建9座化粪池共80立方米、20座隔油池共171立方米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65.65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16.82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r>
      <w:tr>
        <w:tblPrEx>
          <w:tblCellMar>
            <w:top w:w="0" w:type="dxa"/>
            <w:left w:w="108" w:type="dxa"/>
            <w:bottom w:w="0" w:type="dxa"/>
            <w:right w:w="108" w:type="dxa"/>
          </w:tblCellMar>
        </w:tblPrEx>
        <w:trPr>
          <w:trHeight w:val="690"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8979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22961</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70t/d、20t/d的一体化集中式污水处理设施各1座，管网建设6km（DN300的双壁波纹管）；完善截污管网28.9km（DN300的双壁波纹管）；修建卫生厕所5369座；新建9座化粪池共80立方米、20座隔油池共171立方米</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3113.67</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1111.81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156.94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196.13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17.67</w:t>
            </w:r>
          </w:p>
        </w:tc>
      </w:tr>
      <w:tr>
        <w:tblPrEx>
          <w:tblCellMar>
            <w:top w:w="0" w:type="dxa"/>
            <w:left w:w="108" w:type="dxa"/>
            <w:bottom w:w="0" w:type="dxa"/>
            <w:right w:w="108" w:type="dxa"/>
          </w:tblCellMar>
        </w:tblPrEx>
        <w:trPr>
          <w:trHeight w:val="660" w:hRule="atLeast"/>
          <w:jc w:val="center"/>
        </w:trPr>
        <w:tc>
          <w:tcPr>
            <w:tcW w:w="6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c>
          <w:tcPr>
            <w:tcW w:w="40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集中区</w:t>
            </w: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884</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凤龙村污水处理厂完善截污管网3.6km（DN300的双壁波纹管）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29.458766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106.05072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高坡村污水处理厂完善截污管网5.3km（DN300的双壁波纹管）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29.291594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谭家坝村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777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观音桥污水处理站完善截污管网2.1km（DN300的双壁波纹管）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29.438236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105.99856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6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会龙桥村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会龙桥污水处理一</w:t>
            </w:r>
            <w:r>
              <w:rPr>
                <w:rFonts w:hint="eastAsia" w:ascii="方正仿宋_GBK" w:hAnsi="方正仿宋_GBK" w:cs="方正仿宋_GBK"/>
                <w:color w:val="auto"/>
                <w:sz w:val="18"/>
                <w:szCs w:val="18"/>
                <w:lang w:eastAsia="zh-CN"/>
              </w:rPr>
              <w:t>体</w:t>
            </w:r>
            <w:r>
              <w:rPr>
                <w:rFonts w:hint="eastAsia" w:ascii="方正仿宋_GBK" w:hAnsi="方正仿宋_GBK" w:cs="方正仿宋_GBK"/>
                <w:color w:val="auto"/>
                <w:sz w:val="18"/>
                <w:szCs w:val="18"/>
              </w:rPr>
              <w:t>化设施完善截污管网3.4km（DN300的双壁波纹管）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29.346933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105.76522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3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金龙镇普莲污水处理站完善截污管网3.4km（DN300的双壁波纹管）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29.257887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105.96903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隆顺村爱心楼一体化污水处理站完善截污管网5.5km（DN300的双壁波纹管）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29.225205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105.88685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6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石脚迹村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871</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石脚迹村污水处理厂完善截污管网3.7km（DN300的双壁波纹管）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29.168609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105.95167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9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石笋山村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石笋山村污水处理厂完善截污管网1.8km（DN300的双壁波纹管）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29.324605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105.86378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1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铜鼓村污水处理厂完善截污管网1.5km（DN300的双壁波纹管）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29.374961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106.00843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新泉村污水处理站完善截污管网1.6km（DN300的双壁波纹管）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29.174633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105.92903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玉宝村污水处理站完善截污管网2.3km（DN300的双壁波纹管）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29.168104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105.90191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3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931</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大河村污水处理厂完善截污管网2.8km（DN300的双壁波纹管）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29.058416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105.85203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6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涨谷村污水处理厂截完善污管网2.1km（DN300的双壁波纹管）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28.980986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105.82577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五家坡村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五家坡村污水处理厂完善截污管网2.2km（DN300的双壁波纹管）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29.252744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105.72962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114.75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4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金宝山村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粉店污水处理站完善截污管网2.5km（DN300的双壁波纹管）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29.082442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105.76168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66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大磨子村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管网</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大磨污水处理站完善截污管网4.1km（DN300的双壁波纹管）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29.085523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105.76112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204.3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r>
      <w:tr>
        <w:tblPrEx>
          <w:tblCellMar>
            <w:top w:w="0" w:type="dxa"/>
            <w:left w:w="108" w:type="dxa"/>
            <w:bottom w:w="0" w:type="dxa"/>
            <w:right w:w="108" w:type="dxa"/>
          </w:tblCellMar>
        </w:tblPrEx>
        <w:trPr>
          <w:trHeight w:val="55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14792</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完善截污管网42.3km（DN300的双壁波纹管）</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1719.35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r>
      <w:tr>
        <w:tblPrEx>
          <w:tblCellMar>
            <w:top w:w="0" w:type="dxa"/>
            <w:left w:w="108" w:type="dxa"/>
            <w:bottom w:w="0" w:type="dxa"/>
            <w:right w:w="108" w:type="dxa"/>
          </w:tblCellMar>
        </w:tblPrEx>
        <w:trPr>
          <w:trHeight w:val="504"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分散区</w:t>
            </w: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738</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修建卫生厕所284座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29.408427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106.00787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85.2</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51.62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0.71</w:t>
            </w:r>
          </w:p>
        </w:tc>
      </w:tr>
      <w:tr>
        <w:tblPrEx>
          <w:tblCellMar>
            <w:top w:w="0" w:type="dxa"/>
            <w:left w:w="108" w:type="dxa"/>
            <w:bottom w:w="0" w:type="dxa"/>
            <w:right w:w="108" w:type="dxa"/>
          </w:tblCellMar>
        </w:tblPrEx>
        <w:trPr>
          <w:trHeight w:val="48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红庆村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29.367458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105.75338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26.17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0.36</w:t>
            </w:r>
          </w:p>
        </w:tc>
      </w:tr>
      <w:tr>
        <w:tblPrEx>
          <w:tblCellMar>
            <w:top w:w="0" w:type="dxa"/>
            <w:left w:w="108" w:type="dxa"/>
            <w:bottom w:w="0" w:type="dxa"/>
            <w:right w:w="108" w:type="dxa"/>
          </w:tblCellMar>
        </w:tblPrEx>
        <w:trPr>
          <w:trHeight w:val="52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29.349818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105.72552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0.03</w:t>
            </w:r>
          </w:p>
        </w:tc>
      </w:tr>
      <w:tr>
        <w:tblPrEx>
          <w:tblCellMar>
            <w:top w:w="0" w:type="dxa"/>
            <w:left w:w="108" w:type="dxa"/>
            <w:bottom w:w="0" w:type="dxa"/>
            <w:right w:w="108" w:type="dxa"/>
          </w:tblCellMar>
        </w:tblPrEx>
        <w:trPr>
          <w:trHeight w:val="45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胡豆坪村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修建卫生厕所268座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29.352812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105.8634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0.67</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花果山村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29.3791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106.06856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57.62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0.79</w:t>
            </w:r>
          </w:p>
        </w:tc>
      </w:tr>
      <w:tr>
        <w:tblPrEx>
          <w:tblCellMar>
            <w:top w:w="0" w:type="dxa"/>
            <w:left w:w="108" w:type="dxa"/>
            <w:bottom w:w="0" w:type="dxa"/>
            <w:right w:w="108" w:type="dxa"/>
          </w:tblCellMar>
        </w:tblPrEx>
        <w:trPr>
          <w:trHeight w:val="45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会龙桥村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29.346933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105.76522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15.81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0.22</w:t>
            </w:r>
          </w:p>
        </w:tc>
      </w:tr>
      <w:tr>
        <w:tblPrEx>
          <w:tblCellMar>
            <w:top w:w="0" w:type="dxa"/>
            <w:left w:w="108" w:type="dxa"/>
            <w:bottom w:w="0" w:type="dxa"/>
            <w:right w:w="108" w:type="dxa"/>
          </w:tblCellMar>
        </w:tblPrEx>
        <w:trPr>
          <w:trHeight w:val="51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尖山村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修建卫生厕所118座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29.209443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105.81261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0.29</w:t>
            </w:r>
          </w:p>
        </w:tc>
      </w:tr>
      <w:tr>
        <w:tblPrEx>
          <w:tblCellMar>
            <w:top w:w="0" w:type="dxa"/>
            <w:left w:w="108" w:type="dxa"/>
            <w:bottom w:w="0" w:type="dxa"/>
            <w:right w:w="108" w:type="dxa"/>
          </w:tblCellMar>
        </w:tblPrEx>
        <w:trPr>
          <w:trHeight w:val="48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脚盆井村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29.441617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105.83888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0.23</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金门村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177</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29.20503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105.77127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0.17</w:t>
            </w:r>
          </w:p>
        </w:tc>
      </w:tr>
      <w:tr>
        <w:tblPrEx>
          <w:tblCellMar>
            <w:top w:w="0" w:type="dxa"/>
            <w:left w:w="108" w:type="dxa"/>
            <w:bottom w:w="0" w:type="dxa"/>
            <w:right w:w="108" w:type="dxa"/>
          </w:tblCellMar>
        </w:tblPrEx>
        <w:trPr>
          <w:trHeight w:val="48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29.134335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105.81869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0.05</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五间镇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景圣村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29.161922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105.83852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r>
      <w:tr>
        <w:tblPrEx>
          <w:tblCellMar>
            <w:top w:w="0" w:type="dxa"/>
            <w:left w:w="108" w:type="dxa"/>
            <w:bottom w:w="0" w:type="dxa"/>
            <w:right w:w="108" w:type="dxa"/>
          </w:tblCellMar>
        </w:tblPrEx>
        <w:trPr>
          <w:trHeight w:val="51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29.249316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105.95006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0.43</w:t>
            </w:r>
          </w:p>
        </w:tc>
      </w:tr>
      <w:tr>
        <w:tblPrEx>
          <w:tblCellMar>
            <w:top w:w="0" w:type="dxa"/>
            <w:left w:w="108" w:type="dxa"/>
            <w:bottom w:w="0" w:type="dxa"/>
            <w:right w:w="108" w:type="dxa"/>
          </w:tblCellMar>
        </w:tblPrEx>
        <w:trPr>
          <w:trHeight w:val="51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巨龙村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29.150322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105.80435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0.05</w:t>
            </w:r>
          </w:p>
        </w:tc>
      </w:tr>
      <w:tr>
        <w:tblPrEx>
          <w:tblCellMar>
            <w:top w:w="0" w:type="dxa"/>
            <w:left w:w="108" w:type="dxa"/>
            <w:bottom w:w="0" w:type="dxa"/>
            <w:right w:w="108" w:type="dxa"/>
          </w:tblCellMar>
        </w:tblPrEx>
        <w:trPr>
          <w:trHeight w:val="51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李家湾村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29.109173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105.86066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r>
      <w:tr>
        <w:tblPrEx>
          <w:tblCellMar>
            <w:top w:w="0" w:type="dxa"/>
            <w:left w:w="108" w:type="dxa"/>
            <w:bottom w:w="0" w:type="dxa"/>
            <w:right w:w="108" w:type="dxa"/>
          </w:tblCellMar>
        </w:tblPrEx>
        <w:trPr>
          <w:trHeight w:val="489"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莲花石村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29.33227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105.80775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0.15</w:t>
            </w:r>
          </w:p>
        </w:tc>
      </w:tr>
      <w:tr>
        <w:tblPrEx>
          <w:tblCellMar>
            <w:top w:w="0" w:type="dxa"/>
            <w:left w:w="108" w:type="dxa"/>
            <w:bottom w:w="0" w:type="dxa"/>
            <w:right w:w="108" w:type="dxa"/>
          </w:tblCellMar>
        </w:tblPrEx>
        <w:trPr>
          <w:trHeight w:val="48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凉风垭村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29.504952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105.93951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0.31</w:t>
            </w:r>
          </w:p>
        </w:tc>
      </w:tr>
      <w:tr>
        <w:tblPrEx>
          <w:tblCellMar>
            <w:top w:w="0" w:type="dxa"/>
            <w:left w:w="108" w:type="dxa"/>
            <w:bottom w:w="0" w:type="dxa"/>
            <w:right w:w="108" w:type="dxa"/>
          </w:tblCellMar>
        </w:tblPrEx>
        <w:trPr>
          <w:trHeight w:val="48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大安</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灵英村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修建卫生厕所306座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29.371507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106.00137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55.62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0.76</w:t>
            </w:r>
          </w:p>
        </w:tc>
      </w:tr>
      <w:tr>
        <w:tblPrEx>
          <w:tblCellMar>
            <w:top w:w="0" w:type="dxa"/>
            <w:left w:w="108" w:type="dxa"/>
            <w:bottom w:w="0" w:type="dxa"/>
            <w:right w:w="108" w:type="dxa"/>
          </w:tblCellMar>
        </w:tblPrEx>
        <w:trPr>
          <w:trHeight w:val="36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柳溪村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465</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29.542414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105.9758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32.54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0.45</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龙安村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29.225363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105.97521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龙洞桥村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29.190684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105.96975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0.44</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宝峰镇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龙凤桥村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修建卫生厕所209座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29.277048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105.75331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62.7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37.99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0.52</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龙井口村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263</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29.308843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105.72945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龙门滩村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29.541213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105.98747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28.54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0.39</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修建卫生厕所442座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29.257887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105.96903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80.34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来苏镇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磨心桥村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29.277926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105.8032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0.24</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南华村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29.244218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105.92717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0.16</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牛门口村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29.166018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105.79589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0.03</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双石镇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牛尾铺村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29.41546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105.83543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0.12</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板桥镇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欧家坝村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29.531353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105.93203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27.27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0.37</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牌坊村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修建卫生厕所188座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29.472547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105.91617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34.17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0.47</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临江镇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普安村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29.246543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105.94891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0.78</w:t>
            </w:r>
          </w:p>
        </w:tc>
      </w:tr>
      <w:tr>
        <w:tblPrEx>
          <w:tblCellMar>
            <w:top w:w="0" w:type="dxa"/>
            <w:left w:w="108" w:type="dxa"/>
            <w:bottom w:w="0" w:type="dxa"/>
            <w:right w:w="108" w:type="dxa"/>
          </w:tblCellMar>
        </w:tblPrEx>
        <w:trPr>
          <w:trHeight w:val="50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卫星湖街道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七郎村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29.214408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105.90185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0.34</w:t>
            </w:r>
          </w:p>
        </w:tc>
      </w:tr>
      <w:tr>
        <w:tblPrEx>
          <w:tblCellMar>
            <w:top w:w="0" w:type="dxa"/>
            <w:left w:w="108" w:type="dxa"/>
            <w:bottom w:w="0" w:type="dxa"/>
            <w:right w:w="108" w:type="dxa"/>
          </w:tblCellMar>
        </w:tblPrEx>
        <w:trPr>
          <w:trHeight w:val="49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三台村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29.489258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105.88981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0.48</w:t>
            </w:r>
          </w:p>
        </w:tc>
      </w:tr>
      <w:tr>
        <w:tblPrEx>
          <w:tblCellMar>
            <w:top w:w="0" w:type="dxa"/>
            <w:left w:w="108" w:type="dxa"/>
            <w:bottom w:w="0" w:type="dxa"/>
            <w:right w:w="108" w:type="dxa"/>
          </w:tblCellMar>
        </w:tblPrEx>
        <w:trPr>
          <w:trHeight w:val="49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中山路街道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三星村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29.347464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105.96012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0.06</w:t>
            </w:r>
          </w:p>
        </w:tc>
      </w:tr>
      <w:tr>
        <w:tblPrEx>
          <w:tblCellMar>
            <w:top w:w="0" w:type="dxa"/>
            <w:left w:w="108" w:type="dxa"/>
            <w:bottom w:w="0" w:type="dxa"/>
            <w:right w:w="108" w:type="dxa"/>
          </w:tblCellMar>
        </w:tblPrEx>
        <w:trPr>
          <w:trHeight w:val="49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石宝寺村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29.131381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105.78252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0.14</w:t>
            </w:r>
          </w:p>
        </w:tc>
      </w:tr>
      <w:tr>
        <w:tblPrEx>
          <w:tblCellMar>
            <w:top w:w="0" w:type="dxa"/>
            <w:left w:w="108" w:type="dxa"/>
            <w:bottom w:w="0" w:type="dxa"/>
            <w:right w:w="108" w:type="dxa"/>
          </w:tblCellMar>
        </w:tblPrEx>
        <w:trPr>
          <w:trHeight w:val="54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小计</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12758</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修建卫生厕所5009座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1503</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910.49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112.86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141.07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12.47</w:t>
            </w:r>
          </w:p>
        </w:tc>
      </w:tr>
      <w:tr>
        <w:tblPrEx>
          <w:tblCellMar>
            <w:top w:w="0" w:type="dxa"/>
            <w:left w:w="108" w:type="dxa"/>
            <w:bottom w:w="0" w:type="dxa"/>
            <w:right w:w="108" w:type="dxa"/>
          </w:tblCellMar>
        </w:tblPrEx>
        <w:trPr>
          <w:trHeight w:val="570"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27550</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完善截污管网42.3km（DN300的双壁波纹管）；修建卫生厕所5009座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3222.05</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910.49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112.86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141.07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12.47</w:t>
            </w:r>
          </w:p>
        </w:tc>
      </w:tr>
      <w:tr>
        <w:tblPrEx>
          <w:tblCellMar>
            <w:top w:w="0" w:type="dxa"/>
            <w:left w:w="108" w:type="dxa"/>
            <w:bottom w:w="0" w:type="dxa"/>
            <w:right w:w="108" w:type="dxa"/>
          </w:tblCellMar>
        </w:tblPrEx>
        <w:trPr>
          <w:trHeight w:val="506" w:hRule="atLeast"/>
          <w:jc w:val="center"/>
        </w:trPr>
        <w:tc>
          <w:tcPr>
            <w:tcW w:w="6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茶山竹海街道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萱花村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29.375724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105.90829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sdt>
              <w:sdtPr>
                <w:rPr>
                  <w:color w:val="auto"/>
                </w:rPr>
                <w:alias w:val="易错词检查"/>
                <w:id w:val="170205"/>
              </w:sdtPr>
              <w:sdtEndPr>
                <w:rPr>
                  <w:color w:val="auto"/>
                </w:rPr>
              </w:sdtEndPr>
              <w:sdtContent>
                <w:bookmarkStart w:id="454" w:name="bkReivew170205"/>
                <w:r>
                  <w:rPr>
                    <w:rFonts w:hint="eastAsia" w:ascii="方正仿宋_GBK" w:hAnsi="方正仿宋_GBK" w:cs="方正仿宋_GBK"/>
                    <w:color w:val="auto"/>
                    <w:spacing w:val="-11"/>
                    <w:sz w:val="18"/>
                    <w:szCs w:val="18"/>
                  </w:rPr>
                  <w:t>菜茵</w:t>
                </w:r>
                <w:bookmarkEnd w:id="454"/>
              </w:sdtContent>
            </w:sdt>
            <w:r>
              <w:rPr>
                <w:rFonts w:hint="eastAsia" w:ascii="方正仿宋_GBK" w:hAnsi="方正仿宋_GBK" w:cs="方正仿宋_GBK"/>
                <w:color w:val="auto"/>
                <w:spacing w:val="-11"/>
                <w:sz w:val="18"/>
                <w:szCs w:val="18"/>
              </w:rPr>
              <w:t>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29.313536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105.98099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陈青桥村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29.31141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106.01665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冯家坪村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29.281462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105.9727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13.18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双河口村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491</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修建卫生厕所491座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29.330128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106.02065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147.3</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89.25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复兴寺村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29.281714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106.02367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89.79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卢家岩村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29.342584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106.0194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梅家桥村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29.303646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106.00668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506"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瓦窑村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29.318602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106.00116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芋荷湾村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修建卫生厕所440座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29.291992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106.02167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79.98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朱龙花村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29.323629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105.99727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87.61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八角寺村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29.296827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105.86626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代家店村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29.301453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105.89402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黄瓜山村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29.246976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105.84855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南大街街道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sdt>
              <w:sdtPr>
                <w:rPr>
                  <w:color w:val="auto"/>
                </w:rPr>
                <w:alias w:val="敏感词检查"/>
                <w:id w:val="1010434"/>
              </w:sdtPr>
              <w:sdtEndPr>
                <w:rPr>
                  <w:color w:val="auto"/>
                </w:rPr>
              </w:sdtEndPr>
              <w:sdtContent>
                <w:bookmarkStart w:id="455" w:name="bkPolitics1010434"/>
                <w:r>
                  <w:rPr>
                    <w:rFonts w:hint="eastAsia" w:ascii="方正仿宋_GBK" w:hAnsi="方正仿宋_GBK" w:cs="方正仿宋_GBK"/>
                    <w:color w:val="auto"/>
                    <w:sz w:val="18"/>
                    <w:szCs w:val="18"/>
                  </w:rPr>
                  <w:t>玉峰</w:t>
                </w:r>
                <w:bookmarkEnd w:id="455"/>
              </w:sdtContent>
            </w:sdt>
            <w:r>
              <w:rPr>
                <w:rFonts w:hint="eastAsia" w:ascii="方正仿宋_GBK" w:hAnsi="方正仿宋_GBK" w:cs="方正仿宋_GBK"/>
                <w:color w:val="auto"/>
                <w:sz w:val="18"/>
                <w:szCs w:val="18"/>
              </w:rPr>
              <w:t>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解放村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石岭村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鱼龙村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29.160409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105.91843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石笋山村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29.168609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105.95167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89.79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沙坪村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29.137507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105.85591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转角店村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29.120722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105.91376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7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丰乐村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29.137065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105.87762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89.98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540"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29.174633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105.92903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25"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24584</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新建12292座卫生厕所</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3687.6</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2234.32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276.95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346.18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30.6</w:t>
            </w:r>
          </w:p>
        </w:tc>
      </w:tr>
      <w:tr>
        <w:tblPrEx>
          <w:tblCellMar>
            <w:top w:w="0" w:type="dxa"/>
            <w:left w:w="108" w:type="dxa"/>
            <w:bottom w:w="0" w:type="dxa"/>
            <w:right w:w="108" w:type="dxa"/>
          </w:tblCellMar>
        </w:tblPrEx>
        <w:trPr>
          <w:trHeight w:val="513" w:hRule="atLeast"/>
          <w:jc w:val="center"/>
        </w:trPr>
        <w:tc>
          <w:tcPr>
            <w:tcW w:w="6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联盟村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29.145015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105.90399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一碗水村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29.120091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105.88142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科名村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29.178007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105.88031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87.25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1.19</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仓宝村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修建卫生厕所450座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29.133816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105.92117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长丰村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29.154542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105.89134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10.77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1.19</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29.458766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106.05072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金鼎村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29.45616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106.01598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29.515479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106.07234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牌坊坝村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29.332225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105.80782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利民村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29.497228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105.87462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郝家坝村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29.483065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105.84955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r>
      <w:tr>
        <w:tblPrEx>
          <w:tblCellMar>
            <w:top w:w="0" w:type="dxa"/>
            <w:left w:w="108" w:type="dxa"/>
            <w:bottom w:w="0" w:type="dxa"/>
            <w:right w:w="108" w:type="dxa"/>
          </w:tblCellMar>
        </w:tblPrEx>
        <w:trPr>
          <w:trHeight w:val="513"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陡沟河村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29.489765</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105.87929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85.25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1.17</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福良村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29.327817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105.88768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转龙村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29.00528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105.78239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九层岩村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28.953421</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105.82437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洞子口村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29.438079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106.03435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88.52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嘉阜村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29.29548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105.95948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89.98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莲花塘村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29.342416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105.83344</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青峰镇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凌阁堂村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29.335642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105.97011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90.34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29.499672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106.04917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90.16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燃灯村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29.514783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106.07179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长滩河村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484</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修建卫生厕所484座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29.291504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105.96216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145.2</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87.98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r>
      <w:tr>
        <w:tblPrEx>
          <w:tblCellMar>
            <w:top w:w="0" w:type="dxa"/>
            <w:left w:w="108" w:type="dxa"/>
            <w:bottom w:w="0" w:type="dxa"/>
            <w:right w:w="108" w:type="dxa"/>
          </w:tblCellMar>
        </w:tblPrEx>
        <w:trPr>
          <w:trHeight w:val="488"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陈食</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街道</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梓潼观村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29.291267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105.96236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r>
      <w:tr>
        <w:tblPrEx>
          <w:tblCellMar>
            <w:top w:w="0" w:type="dxa"/>
            <w:left w:w="108" w:type="dxa"/>
            <w:bottom w:w="0" w:type="dxa"/>
            <w:right w:w="108" w:type="dxa"/>
          </w:tblCellMar>
        </w:tblPrEx>
        <w:trPr>
          <w:trHeight w:val="435"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11253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22506</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新建卫生厕所11253座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3375.9</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　</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2045.46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253.54</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316.92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28.01</w:t>
            </w:r>
          </w:p>
        </w:tc>
      </w:tr>
      <w:tr>
        <w:tblPrEx>
          <w:tblCellMar>
            <w:top w:w="0" w:type="dxa"/>
            <w:left w:w="108" w:type="dxa"/>
            <w:bottom w:w="0" w:type="dxa"/>
            <w:right w:w="108" w:type="dxa"/>
          </w:tblCellMar>
        </w:tblPrEx>
        <w:trPr>
          <w:trHeight w:val="375" w:hRule="atLeast"/>
          <w:jc w:val="center"/>
        </w:trPr>
        <w:tc>
          <w:tcPr>
            <w:tcW w:w="6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c>
          <w:tcPr>
            <w:tcW w:w="40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分散区</w:t>
            </w:r>
          </w:p>
        </w:tc>
        <w:tc>
          <w:tcPr>
            <w:tcW w:w="434"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拟建设施</w:t>
            </w: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笋桥村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984</w:t>
            </w:r>
          </w:p>
        </w:tc>
        <w:tc>
          <w:tcPr>
            <w:tcW w:w="855"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29.044449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105.84197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147.6</w:t>
            </w:r>
          </w:p>
        </w:tc>
        <w:tc>
          <w:tcPr>
            <w:tcW w:w="450" w:type="dxa"/>
            <w:vMerge w:val="restart"/>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jc w:val="left"/>
              <w:rPr>
                <w:rFonts w:hint="eastAsia" w:ascii="方正仿宋_GBK" w:hAnsi="方正仿宋_GBK" w:cs="方正仿宋_GBK"/>
                <w:color w:val="auto"/>
                <w:sz w:val="18"/>
                <w:szCs w:val="18"/>
              </w:rPr>
            </w:pPr>
          </w:p>
          <w:p>
            <w:pPr>
              <w:widowControl w:val="0"/>
              <w:adjustRightInd/>
              <w:spacing w:line="192" w:lineRule="auto"/>
              <w:ind w:firstLine="0" w:firstLineChars="0"/>
              <w:rPr>
                <w:rFonts w:hint="eastAsia" w:ascii="方正仿宋_GBK" w:hAnsi="方正仿宋_GBK" w:cs="方正仿宋_GBK"/>
                <w:color w:val="auto"/>
                <w:sz w:val="18"/>
                <w:szCs w:val="18"/>
              </w:rPr>
            </w:pP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0.37</w:t>
            </w:r>
          </w:p>
        </w:tc>
      </w:tr>
      <w:tr>
        <w:tblPrEx>
          <w:tblCellMar>
            <w:top w:w="0" w:type="dxa"/>
            <w:left w:w="108" w:type="dxa"/>
            <w:bottom w:w="0" w:type="dxa"/>
            <w:right w:w="108" w:type="dxa"/>
          </w:tblCellMar>
        </w:tblPrEx>
        <w:trPr>
          <w:trHeight w:val="52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龙宝山村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29.054956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105.81855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19.09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0.26</w:t>
            </w:r>
          </w:p>
        </w:tc>
      </w:tr>
      <w:tr>
        <w:tblPrEx>
          <w:tblCellMar>
            <w:top w:w="0" w:type="dxa"/>
            <w:left w:w="108" w:type="dxa"/>
            <w:bottom w:w="0" w:type="dxa"/>
            <w:right w:w="108" w:type="dxa"/>
          </w:tblCellMar>
        </w:tblPrEx>
        <w:trPr>
          <w:trHeight w:val="49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龙汇垭村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478</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修建卫生厕所478座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29.077897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105.83049</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143.4</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18.36</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0.25</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水渡滩村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23.45</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0.32</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滩子口村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27.81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0.38</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四明村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992</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29.326794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105.92886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148.8</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22.18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0.3</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29.078818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105.85013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67.71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10.49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0.93</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四望山村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29.033374</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105.86008</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10.35</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0.91</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新岸山村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497</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29.004108</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105.84205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149.1</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49.08</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6.08</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7.6</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0.67</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马道子村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28.987469</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105.80272</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48.62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7.53</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0.67</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围子山村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492</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984</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29.012603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105.83546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147.6</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45.44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5.63</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0.62</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石碓窝村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修建卫生厕所785座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29.029807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105.81786</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235.5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42.72</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6.62</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0.58</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江永村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29.023207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105.81145</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71.11</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88.89</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88.89</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何埂镇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花园村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479</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958</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修建卫生厕所479座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29.106522</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105.87877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69.65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87.07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87.07</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吉安镇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向前村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493</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986</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29.16413</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105.73631</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147.9</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71.69</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89.61</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89.61</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仙龙镇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大牌坊村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475</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修建卫生厕所475座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29.105937</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105.74593</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142.5</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86.34</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69.07</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86.34</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86.34</w:t>
            </w:r>
          </w:p>
        </w:tc>
      </w:tr>
      <w:tr>
        <w:tblPrEx>
          <w:tblCellMar>
            <w:top w:w="0" w:type="dxa"/>
            <w:left w:w="108" w:type="dxa"/>
            <w:bottom w:w="0" w:type="dxa"/>
            <w:right w:w="108" w:type="dxa"/>
          </w:tblCellMar>
        </w:tblPrEx>
        <w:trPr>
          <w:trHeight w:val="465" w:hRule="atLeast"/>
          <w:jc w:val="center"/>
        </w:trPr>
        <w:tc>
          <w:tcPr>
            <w:tcW w:w="6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0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434"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朱沱镇</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490</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980</w:t>
            </w:r>
          </w:p>
        </w:tc>
        <w:tc>
          <w:tcPr>
            <w:tcW w:w="855"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w:t>
            </w:r>
          </w:p>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改厕</w:t>
            </w: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28.980986</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105.82577</w:t>
            </w: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450" w:type="dxa"/>
            <w:vMerge w:val="continue"/>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71.25</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89.07</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89.07</w:t>
            </w:r>
          </w:p>
        </w:tc>
      </w:tr>
      <w:tr>
        <w:tblPrEx>
          <w:tblCellMar>
            <w:top w:w="0" w:type="dxa"/>
            <w:left w:w="108" w:type="dxa"/>
            <w:bottom w:w="0" w:type="dxa"/>
            <w:right w:w="108" w:type="dxa"/>
          </w:tblCellMar>
        </w:tblPrEx>
        <w:trPr>
          <w:trHeight w:val="610" w:hRule="atLeast"/>
          <w:jc w:val="center"/>
        </w:trPr>
        <w:tc>
          <w:tcPr>
            <w:tcW w:w="634" w:type="dxa"/>
            <w:tcBorders>
              <w:top w:val="nil"/>
              <w:left w:val="single" w:color="auto" w:sz="4" w:space="0"/>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合计</w:t>
            </w:r>
          </w:p>
        </w:tc>
        <w:tc>
          <w:tcPr>
            <w:tcW w:w="40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43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1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8576</w:t>
            </w:r>
          </w:p>
        </w:tc>
        <w:tc>
          <w:tcPr>
            <w:tcW w:w="7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17152</w:t>
            </w:r>
          </w:p>
        </w:tc>
        <w:tc>
          <w:tcPr>
            <w:tcW w:w="855"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102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21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修建卫生厕所8576座</w:t>
            </w: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69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2572.8</w:t>
            </w:r>
          </w:p>
        </w:tc>
        <w:tc>
          <w:tcPr>
            <w:tcW w:w="4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p>
        </w:tc>
        <w:tc>
          <w:tcPr>
            <w:tcW w:w="750"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899.31</w:t>
            </w:r>
          </w:p>
        </w:tc>
        <w:tc>
          <w:tcPr>
            <w:tcW w:w="693"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409.6</w:t>
            </w:r>
          </w:p>
        </w:tc>
        <w:tc>
          <w:tcPr>
            <w:tcW w:w="681"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511.98</w:t>
            </w:r>
          </w:p>
        </w:tc>
        <w:tc>
          <w:tcPr>
            <w:tcW w:w="594" w:type="dxa"/>
            <w:tcBorders>
              <w:top w:val="nil"/>
              <w:left w:val="nil"/>
              <w:bottom w:val="single" w:color="auto" w:sz="4" w:space="0"/>
              <w:right w:val="single" w:color="auto" w:sz="4" w:space="0"/>
            </w:tcBorders>
            <w:noWrap w:val="0"/>
            <w:vAlign w:val="center"/>
          </w:tcPr>
          <w:p>
            <w:pPr>
              <w:widowControl w:val="0"/>
              <w:adjustRightInd/>
              <w:spacing w:line="192"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447.23</w:t>
            </w:r>
          </w:p>
        </w:tc>
      </w:tr>
    </w:tbl>
    <w:p>
      <w:pPr>
        <w:ind w:firstLine="640"/>
        <w:rPr>
          <w:color w:val="auto"/>
        </w:rPr>
        <w:sectPr>
          <w:pgSz w:w="16783" w:h="11850" w:orient="landscape"/>
          <w:pgMar w:top="1417" w:right="1134" w:bottom="1134" w:left="1134" w:header="720" w:footer="1474" w:gutter="0"/>
          <w:pgNumType w:fmt="numberInDash"/>
          <w:cols w:space="720" w:num="1"/>
          <w:docGrid w:linePitch="312" w:charSpace="0"/>
        </w:sectPr>
      </w:pPr>
    </w:p>
    <w:p>
      <w:pPr>
        <w:widowControl w:val="0"/>
        <w:spacing w:line="240" w:lineRule="auto"/>
        <w:ind w:firstLine="720"/>
        <w:jc w:val="center"/>
        <w:rPr>
          <w:rFonts w:hint="eastAsia" w:ascii="方正小标宋_GBK" w:hAnsi="方正小标宋_GBK" w:eastAsia="方正小标宋_GBK" w:cs="方正小标宋_GBK"/>
          <w:color w:val="auto"/>
          <w:sz w:val="36"/>
          <w:szCs w:val="36"/>
        </w:rPr>
      </w:pPr>
      <w:bookmarkStart w:id="456" w:name="_Toc48318339"/>
      <w:r>
        <w:rPr>
          <w:rFonts w:hint="eastAsia" w:ascii="方正小标宋_GBK" w:hAnsi="方正小标宋_GBK" w:eastAsia="方正小标宋_GBK" w:cs="方正小标宋_GBK"/>
          <w:color w:val="auto"/>
          <w:sz w:val="36"/>
          <w:szCs w:val="36"/>
        </w:rPr>
        <w:t>附表4</w:t>
      </w:r>
      <w:bookmarkEnd w:id="456"/>
      <w:bookmarkStart w:id="457" w:name="_Toc48318340"/>
      <w:r>
        <w:rPr>
          <w:rFonts w:hint="eastAsia" w:ascii="方正小标宋_GBK" w:hAnsi="方正小标宋_GBK" w:eastAsia="方正小标宋_GBK" w:cs="方正小标宋_GBK"/>
          <w:color w:val="auto"/>
          <w:sz w:val="36"/>
          <w:szCs w:val="36"/>
        </w:rPr>
        <w:t xml:space="preserve">  任务分解表</w:t>
      </w:r>
      <w:bookmarkEnd w:id="452"/>
      <w:bookmarkEnd w:id="453"/>
      <w:bookmarkEnd w:id="457"/>
    </w:p>
    <w:tbl>
      <w:tblPr>
        <w:tblStyle w:val="25"/>
        <w:tblW w:w="0" w:type="auto"/>
        <w:jc w:val="center"/>
        <w:tblLayout w:type="fixed"/>
        <w:tblCellMar>
          <w:top w:w="0" w:type="dxa"/>
          <w:left w:w="0" w:type="dxa"/>
          <w:bottom w:w="0" w:type="dxa"/>
          <w:right w:w="0" w:type="dxa"/>
        </w:tblCellMar>
      </w:tblPr>
      <w:tblGrid>
        <w:gridCol w:w="660"/>
        <w:gridCol w:w="1350"/>
        <w:gridCol w:w="2610"/>
        <w:gridCol w:w="5325"/>
        <w:gridCol w:w="2835"/>
        <w:gridCol w:w="1027"/>
      </w:tblGrid>
      <w:tr>
        <w:tblPrEx>
          <w:tblCellMar>
            <w:top w:w="0" w:type="dxa"/>
            <w:left w:w="0" w:type="dxa"/>
            <w:bottom w:w="0" w:type="dxa"/>
            <w:right w:w="0" w:type="dxa"/>
          </w:tblCellMar>
        </w:tblPrEx>
        <w:trPr>
          <w:cantSplit/>
          <w:trHeight w:val="517" w:hRule="atLeast"/>
          <w:tblHeader/>
          <w:jc w:val="center"/>
        </w:trPr>
        <w:tc>
          <w:tcPr>
            <w:tcW w:w="660" w:type="dxa"/>
            <w:vMerge w:val="restart"/>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序号</w:t>
            </w:r>
          </w:p>
        </w:tc>
        <w:tc>
          <w:tcPr>
            <w:tcW w:w="1350" w:type="dxa"/>
            <w:vMerge w:val="restar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行政村</w:t>
            </w:r>
          </w:p>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（涉农社区）</w:t>
            </w:r>
          </w:p>
        </w:tc>
        <w:tc>
          <w:tcPr>
            <w:tcW w:w="2610" w:type="dxa"/>
            <w:vMerge w:val="restar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项目类型</w:t>
            </w:r>
          </w:p>
        </w:tc>
        <w:tc>
          <w:tcPr>
            <w:tcW w:w="5325" w:type="dxa"/>
            <w:vMerge w:val="restar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任务内容</w:t>
            </w:r>
          </w:p>
        </w:tc>
        <w:tc>
          <w:tcPr>
            <w:tcW w:w="2835" w:type="dxa"/>
            <w:vMerge w:val="restar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承担单位</w:t>
            </w:r>
          </w:p>
        </w:tc>
        <w:tc>
          <w:tcPr>
            <w:tcW w:w="1027" w:type="dxa"/>
            <w:vMerge w:val="restart"/>
            <w:tcBorders>
              <w:top w:val="single" w:color="auto" w:sz="4" w:space="0"/>
              <w:left w:val="single" w:color="000000" w:sz="4" w:space="0"/>
              <w:bottom w:val="single" w:color="000000" w:sz="4" w:space="0"/>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黑体_GBK" w:hAnsi="方正黑体_GBK" w:eastAsia="方正黑体_GBK" w:cs="方正黑体_GBK"/>
                <w:color w:val="auto"/>
                <w:sz w:val="21"/>
                <w:szCs w:val="21"/>
              </w:rPr>
            </w:pPr>
            <w:r>
              <w:rPr>
                <w:rFonts w:hint="eastAsia" w:ascii="方正黑体_GBK" w:hAnsi="方正黑体_GBK" w:eastAsia="方正黑体_GBK" w:cs="方正黑体_GBK"/>
                <w:color w:val="auto"/>
                <w:sz w:val="21"/>
                <w:szCs w:val="21"/>
              </w:rPr>
              <w:t>完成时间</w:t>
            </w:r>
          </w:p>
        </w:tc>
      </w:tr>
      <w:tr>
        <w:tblPrEx>
          <w:tblCellMar>
            <w:top w:w="0" w:type="dxa"/>
            <w:left w:w="0" w:type="dxa"/>
            <w:bottom w:w="0" w:type="dxa"/>
            <w:right w:w="0" w:type="dxa"/>
          </w:tblCellMar>
        </w:tblPrEx>
        <w:trPr>
          <w:cantSplit/>
          <w:trHeight w:val="312" w:hRule="atLeast"/>
          <w:tblHeader/>
          <w:jc w:val="center"/>
        </w:trPr>
        <w:tc>
          <w:tcPr>
            <w:tcW w:w="660" w:type="dxa"/>
            <w:vMerge w:val="continue"/>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360"/>
              <w:jc w:val="center"/>
              <w:rPr>
                <w:rFonts w:hint="eastAsia" w:ascii="方正仿宋_GBK" w:hAnsi="方正仿宋_GBK" w:cs="方正仿宋_GBK"/>
                <w:color w:val="auto"/>
                <w:sz w:val="18"/>
                <w:szCs w:val="18"/>
              </w:rPr>
            </w:pPr>
          </w:p>
        </w:tc>
        <w:tc>
          <w:tcPr>
            <w:tcW w:w="261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360"/>
              <w:jc w:val="center"/>
              <w:rPr>
                <w:rFonts w:hint="eastAsia" w:ascii="方正仿宋_GBK" w:hAnsi="方正仿宋_GBK" w:cs="方正仿宋_GBK"/>
                <w:color w:val="auto"/>
                <w:sz w:val="18"/>
                <w:szCs w:val="18"/>
              </w:rPr>
            </w:pPr>
          </w:p>
        </w:tc>
        <w:tc>
          <w:tcPr>
            <w:tcW w:w="532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360"/>
              <w:jc w:val="center"/>
              <w:rPr>
                <w:rFonts w:hint="eastAsia" w:ascii="方正仿宋_GBK" w:hAnsi="方正仿宋_GBK" w:cs="方正仿宋_GBK"/>
                <w:color w:val="auto"/>
                <w:sz w:val="18"/>
                <w:szCs w:val="18"/>
              </w:rPr>
            </w:pPr>
          </w:p>
        </w:tc>
        <w:tc>
          <w:tcPr>
            <w:tcW w:w="283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360"/>
              <w:jc w:val="center"/>
              <w:rPr>
                <w:rFonts w:hint="eastAsia" w:ascii="方正仿宋_GBK" w:hAnsi="方正仿宋_GBK" w:cs="方正仿宋_GBK"/>
                <w:color w:val="auto"/>
                <w:sz w:val="18"/>
                <w:szCs w:val="18"/>
              </w:rPr>
            </w:pPr>
          </w:p>
        </w:tc>
        <w:tc>
          <w:tcPr>
            <w:tcW w:w="1027" w:type="dxa"/>
            <w:vMerge w:val="continue"/>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p>
        </w:tc>
      </w:tr>
      <w:tr>
        <w:tblPrEx>
          <w:tblCellMar>
            <w:top w:w="0" w:type="dxa"/>
            <w:left w:w="0" w:type="dxa"/>
            <w:bottom w:w="0" w:type="dxa"/>
            <w:right w:w="0" w:type="dxa"/>
          </w:tblCellMar>
        </w:tblPrEx>
        <w:trPr>
          <w:cantSplit/>
          <w:trHeight w:val="492"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谭家坝村</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新建集中处理设施</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新建70t/d的一体化集中式污水处理设施1座，管网建设3.5千米（DN300的双壁波纹管）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465"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解放村</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新建集中处理设施</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新建管网建设2.5千米（DN300的双壁波纹管）；20t/d的一体化集中处理设施1座</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67"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万寿场社区</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万寿污水处理站完善截污管网5千米（DN300的双壁波纹管）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63"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黄瓜山村</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黄文场污水处理站完善截污管网2.7千米（DN300的双壁波纹管）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48"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德胜桥村</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德胜桥村污水处理厂完善截污管网1.8千米（DN300的双壁波纹管）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33"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马银村污水处理站完善截污管网3.6千米（DN300的双壁波纹管）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48"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九层岩村</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九层岩污水处理站完善截污管网3.6千米（DN300的双壁波纹管）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33"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双河口社区</w:t>
            </w:r>
          </w:p>
        </w:tc>
        <w:tc>
          <w:tcPr>
            <w:tcW w:w="2610"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花桥污水处理厂完善截污管网5.1千米（DN300的双壁波纹管）</w:t>
            </w:r>
          </w:p>
        </w:tc>
        <w:tc>
          <w:tcPr>
            <w:tcW w:w="28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nil"/>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38" w:hRule="atLeast"/>
          <w:jc w:val="center"/>
        </w:trPr>
        <w:tc>
          <w:tcPr>
            <w:tcW w:w="66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w:t>
            </w:r>
          </w:p>
        </w:tc>
        <w:tc>
          <w:tcPr>
            <w:tcW w:w="135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261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高滩村污水处理站完善截污管网3千米（DN300的双壁波纹管）</w:t>
            </w:r>
          </w:p>
        </w:tc>
        <w:tc>
          <w:tcPr>
            <w:tcW w:w="283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auto" w:sz="4" w:space="0"/>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63" w:hRule="atLeast"/>
          <w:jc w:val="center"/>
        </w:trPr>
        <w:tc>
          <w:tcPr>
            <w:tcW w:w="660" w:type="dxa"/>
            <w:tcBorders>
              <w:top w:val="single" w:color="000000" w:sz="4" w:space="0"/>
              <w:left w:val="single" w:color="auto" w:sz="4" w:space="0"/>
              <w:bottom w:val="single" w:color="000000" w:sz="4" w:space="0"/>
              <w:right w:val="single" w:color="auto"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w:t>
            </w:r>
          </w:p>
        </w:tc>
        <w:tc>
          <w:tcPr>
            <w:tcW w:w="13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李家湾村</w:t>
            </w:r>
          </w:p>
        </w:tc>
        <w:tc>
          <w:tcPr>
            <w:tcW w:w="261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何埂镇李家湾村污水处理站完善截污管网5.8千米（DN300的双壁波纹管）</w:t>
            </w:r>
          </w:p>
        </w:tc>
        <w:tc>
          <w:tcPr>
            <w:tcW w:w="28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63" w:hRule="atLeast"/>
          <w:jc w:val="center"/>
        </w:trPr>
        <w:tc>
          <w:tcPr>
            <w:tcW w:w="660" w:type="dxa"/>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w:t>
            </w:r>
          </w:p>
        </w:tc>
        <w:tc>
          <w:tcPr>
            <w:tcW w:w="135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龙凤桥村</w:t>
            </w:r>
          </w:p>
        </w:tc>
        <w:tc>
          <w:tcPr>
            <w:tcW w:w="261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龙凤桥村登东场镇污水处理厂完善截污管网2.8千米（DN300的双壁波纹管）</w:t>
            </w:r>
          </w:p>
        </w:tc>
        <w:tc>
          <w:tcPr>
            <w:tcW w:w="2835"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auto" w:sz="4" w:space="0"/>
              <w:left w:val="single" w:color="000000" w:sz="4" w:space="0"/>
              <w:bottom w:val="single" w:color="auto" w:sz="4" w:space="0"/>
              <w:right w:val="single" w:color="auto"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38" w:hRule="atLeast"/>
          <w:jc w:val="center"/>
        </w:trPr>
        <w:tc>
          <w:tcPr>
            <w:tcW w:w="66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w:t>
            </w:r>
          </w:p>
        </w:tc>
        <w:tc>
          <w:tcPr>
            <w:tcW w:w="135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北大桥村</w:t>
            </w:r>
          </w:p>
        </w:tc>
        <w:tc>
          <w:tcPr>
            <w:tcW w:w="261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农户污水收集设施建设</w:t>
            </w:r>
          </w:p>
        </w:tc>
        <w:tc>
          <w:tcPr>
            <w:tcW w:w="5325"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修建卫生厕所72座</w:t>
            </w:r>
          </w:p>
        </w:tc>
        <w:tc>
          <w:tcPr>
            <w:tcW w:w="2835"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1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2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2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安溪村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39"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茶园村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桂花村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德胜桥村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修建卫生厕所211座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二郎坝村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修建卫生厕所237座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修建卫生厕所180座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修建卫生厕所243座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官禄岩村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修建卫生厕所327座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大竹溪村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修建卫生厕所258座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汉东村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大涧口村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丁家岩村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复生桥村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桂林村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修建卫生厕所163座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佛岩寺村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修建卫生厕所225座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打鱼河村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柏树桥村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大双庆村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0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关门山村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观音井村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39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本尊村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高洞子村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修建卫生厕所216座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古佛村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寒泸村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白云寺村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东岳村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合兴村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和平村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大堰塘农家乐生活污水整治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新建1座隔油池6立方米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大堰塘农家乐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49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山里味道生活污水整治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新建1座隔油池10立方米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山里味道</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三圣农家乐生活污水整治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三圣农家乐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金盆寨农家乐生活污水整治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新建1座隔油池10立方米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金盆寨农家乐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胜利村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葡萄山庄生活污水整治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新建1座隔油池14立方米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葡萄山庄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陈常义餐馆生活污水整治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陈常义餐馆</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丰田村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丰岩农家乐生活污水整治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新建1座隔油池8立方米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丰岩农家乐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林里山庄生活污水整治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新建1座化粪池和1座隔油池各6立方米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林里山庄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代家店村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友园小酌生活污水整治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新建1座隔油池6立方米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友园小酌</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代家店村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为黍山庄生活污水整治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新建1座隔油池7立方米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为黍山庄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z w:val="18"/>
                <w:szCs w:val="18"/>
              </w:rPr>
              <w:t>谭家坝村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11"/>
                <w:sz w:val="18"/>
                <w:szCs w:val="18"/>
              </w:rPr>
            </w:pPr>
            <w:r>
              <w:rPr>
                <w:rFonts w:hint="eastAsia" w:ascii="方正仿宋_GBK" w:hAnsi="方正仿宋_GBK" w:cs="方正仿宋_GBK"/>
                <w:color w:val="auto"/>
                <w:spacing w:val="-11"/>
                <w:sz w:val="18"/>
                <w:szCs w:val="18"/>
              </w:rPr>
              <w:t>荷莲坊十里荷香农家乐生活污水整治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新建1座隔油池5立方米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荷莲坊十里荷香农家乐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59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车园山庄生活污水整治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新建1座隔油池9立方米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车园山庄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90"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玉竹园生活污水整治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新建1座化粪池和1座隔油池各7立方米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玉竹园</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8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春竹山庄生活污水整治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春竹山庄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竹海同聚庄生活污水整治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竹海同聚庄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6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茶山居生活污水整治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新建1座化粪池和1座隔油池各5立方米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茶山居</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8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竹海湖山庄生活污水整治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新建1座化粪池和1座隔油池各12立方米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竹海湖山庄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梁四农家乐生活污水整治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新建1座化粪池和1座隔油池各10立方米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梁四农家乐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98"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凤凰山庄生活污水整治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新建1座化粪池和1座隔油池各12立方米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凤凰山庄</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28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茶竹村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信刚农家乐生活污水整治</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新建1座化粪池和1座隔油池各8立方米</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信刚农家乐</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2021年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谭家坝村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观音桥污水处理站完善截污管网2.1千米（DN300的双壁波纹管）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69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高坡村污水处理厂完善截污管网5.3千米（DN300的双壁波纹管）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铜鼓村污水处理厂完善截污管网1.5千米（DN300的双壁波纹管）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凤龙村污水处理厂完善截污管网3.6千米（DN300的双壁波纹管）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石脚迹村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石脚迹村污水处理厂完善截污管网3.7千米（DN300的双壁波纹管）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大河村污水处理厂完善截污管网2.8千米（DN300的双壁波纹管）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涨谷村污水处理厂截完善污管网2.1千米（DN300的双壁波纹管）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11"/>
                <w:sz w:val="18"/>
                <w:szCs w:val="18"/>
              </w:rPr>
              <w:t>隆顺村爱心楼一体化污水处理站完善截污管网5.5千米（DN300的双壁波纹管）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石笋山村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pacing w:val="-6"/>
                <w:sz w:val="18"/>
                <w:szCs w:val="18"/>
              </w:rPr>
            </w:pPr>
            <w:r>
              <w:rPr>
                <w:rFonts w:hint="eastAsia" w:ascii="方正仿宋_GBK" w:hAnsi="方正仿宋_GBK" w:cs="方正仿宋_GBK"/>
                <w:color w:val="auto"/>
                <w:spacing w:val="-6"/>
                <w:sz w:val="18"/>
                <w:szCs w:val="18"/>
              </w:rPr>
              <w:t>石笋山村污水处理厂完善截污管网1.8千米（DN300的双壁波纹管）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新泉村污水处理站完善截污管网1.6千米（DN300的双壁波纹管）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玉宝村污水处理站完善截污管网2.3千米（DN300的双壁波纹管）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3"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79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金宝山村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粉店污水处理站完善截污管网2.5千米（DN300的双壁波纹管）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大磨子村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大磨污水处理站完善截污管网4.1千米（DN300的双壁波纹管）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0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会龙桥村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会龙桥污水处理一</w:t>
            </w:r>
            <w:r>
              <w:rPr>
                <w:rFonts w:hint="eastAsia" w:ascii="方正仿宋_GBK" w:hAnsi="方正仿宋_GBK" w:cs="方正仿宋_GBK"/>
                <w:color w:val="auto"/>
                <w:spacing w:val="-11"/>
                <w:sz w:val="18"/>
                <w:szCs w:val="18"/>
                <w:lang w:eastAsia="zh-CN"/>
              </w:rPr>
              <w:t>体</w:t>
            </w:r>
            <w:r>
              <w:rPr>
                <w:rFonts w:hint="eastAsia" w:ascii="方正仿宋_GBK" w:hAnsi="方正仿宋_GBK" w:cs="方正仿宋_GBK"/>
                <w:color w:val="auto"/>
                <w:spacing w:val="-11"/>
                <w:sz w:val="18"/>
                <w:szCs w:val="18"/>
              </w:rPr>
              <w:t>化设施完善截污管网3.4千米（DN300的双壁波纹管）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16"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11"/>
                <w:sz w:val="18"/>
                <w:szCs w:val="18"/>
              </w:rPr>
              <w:t>金龙镇普莲污水处理站完善截污管网3.4千米（DN300的双壁波纹管）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33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五家坡村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截污管网建设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pacing w:val="-6"/>
                <w:sz w:val="18"/>
                <w:szCs w:val="18"/>
              </w:rPr>
              <w:t>五家坡村污水处理厂完善截污管网2.2千米（DN300的双壁波纹管）</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重庆市永川区惠永水务有限公司</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三星村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荷花村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修建卫生厕所284座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花果山村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灵英村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修建卫生厕所306座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南华村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89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七郎村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牌坊村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修建卫生厕所188座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三台村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脚盆井村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牛尾铺村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龙安村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修建卫生厕所138座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龙洞桥村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隆顺村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修建卫生厕所442座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普安村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修建卫生厕所314座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99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胡豆坪村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修建卫生厕所268座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莲花石村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2"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李家湾村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巨龙村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牛门口村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石宝寺村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磨心桥村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红庆村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修建卫生厕所144座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红石村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5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109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会龙桥村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修建卫生厕所87座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龙井口村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凉风垭村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修建卫生厕所126座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5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柳溪村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修建卫生厕所179座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8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龙门滩村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欧家坝村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修建卫生厕所150座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尖山村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修建卫生厕所118座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金门村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修建卫生厕所68座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龙凤桥村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修建卫生厕所209座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景圣村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修建卫生厕所101座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2022年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119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八角寺村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修建卫生厕所500座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代家店村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黄瓜山村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小南村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萱花村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66"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sdt>
              <w:sdtPr>
                <w:rPr>
                  <w:color w:val="auto"/>
                </w:rPr>
                <w:alias w:val="易错词检查"/>
                <w:id w:val="3151352"/>
              </w:sdtPr>
              <w:sdtEndPr>
                <w:rPr>
                  <w:color w:val="auto"/>
                </w:rPr>
              </w:sdtEndPr>
              <w:sdtContent>
                <w:bookmarkStart w:id="458" w:name="bkReivew3151352"/>
                <w:r>
                  <w:rPr>
                    <w:rFonts w:hint="eastAsia" w:ascii="方正仿宋_GBK" w:hAnsi="方正仿宋_GBK" w:cs="方正仿宋_GBK"/>
                    <w:color w:val="auto"/>
                    <w:sz w:val="18"/>
                    <w:szCs w:val="18"/>
                  </w:rPr>
                  <w:t>菜茵</w:t>
                </w:r>
                <w:bookmarkEnd w:id="458"/>
              </w:sdtContent>
            </w:sdt>
            <w:r>
              <w:rPr>
                <w:rFonts w:hint="eastAsia" w:ascii="方正仿宋_GBK" w:hAnsi="方正仿宋_GBK" w:cs="方正仿宋_GBK"/>
                <w:color w:val="auto"/>
                <w:sz w:val="18"/>
                <w:szCs w:val="18"/>
              </w:rPr>
              <w:t>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86"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陈青桥村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冯家坪村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双河口村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修建卫生厕所491座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复兴寺村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129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卢家岩村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梅家桥村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瓦窑村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芋荷湾村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修建卫生厕所440座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朱龙花村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sdt>
              <w:sdtPr>
                <w:rPr>
                  <w:color w:val="auto"/>
                </w:rPr>
                <w:alias w:val="敏感词检查"/>
                <w:id w:val="3060645"/>
              </w:sdtPr>
              <w:sdtEndPr>
                <w:rPr>
                  <w:color w:val="auto"/>
                </w:rPr>
              </w:sdtEndPr>
              <w:sdtContent>
                <w:bookmarkStart w:id="459" w:name="bkPolitics3060645"/>
                <w:r>
                  <w:rPr>
                    <w:rFonts w:hint="eastAsia" w:ascii="方正仿宋_GBK" w:hAnsi="方正仿宋_GBK" w:cs="方正仿宋_GBK"/>
                    <w:color w:val="auto"/>
                    <w:sz w:val="18"/>
                    <w:szCs w:val="18"/>
                  </w:rPr>
                  <w:t>玉峰</w:t>
                </w:r>
                <w:bookmarkEnd w:id="459"/>
              </w:sdtContent>
            </w:sdt>
            <w:r>
              <w:rPr>
                <w:rFonts w:hint="eastAsia" w:ascii="方正仿宋_GBK" w:hAnsi="方正仿宋_GBK" w:cs="方正仿宋_GBK"/>
                <w:color w:val="auto"/>
                <w:sz w:val="18"/>
                <w:szCs w:val="18"/>
              </w:rPr>
              <w:t>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石岭村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鱼龙村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石笋山村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139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沙坪村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转角店村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丰乐村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新泉村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解放村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2023年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莲花塘村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马银村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8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长滩河村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修建卫生厕所484座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66"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梓潼观村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8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福良村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149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转龙村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九层岩村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利民村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郝家坝村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陡沟河村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牌坊坝村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56"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凌阁堂村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联盟村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一碗水村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科名村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159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仓宝村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修建卫生厕所450座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长丰村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灯坪村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金鼎村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金龙村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洞子口村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嘉阜村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燃灯村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2024年</w:t>
            </w:r>
          </w:p>
        </w:tc>
      </w:tr>
      <w:tr>
        <w:tblPrEx>
          <w:tblCellMar>
            <w:top w:w="0" w:type="dxa"/>
            <w:left w:w="0" w:type="dxa"/>
            <w:bottom w:w="0" w:type="dxa"/>
            <w:right w:w="0" w:type="dxa"/>
          </w:tblCellMar>
        </w:tblPrEx>
        <w:trPr>
          <w:cantSplit/>
          <w:trHeight w:val="291"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笋桥村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龙宝山村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169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龙汇垭村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修建卫生厕所478座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水渡滩村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修建卫生厕所469座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滩子口村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四明村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修建卫生厕所496座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大河村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174</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四望山村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175</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新岸山村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修建卫生厕所497座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176</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马道子村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177</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围子山村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修建卫生厕所492座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178</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石碓窝村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修建卫生厕所785座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179</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江永村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修建卫生厕所489座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180</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涨谷村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修建卫生厕所490座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181</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花园村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修建卫生厕所479座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182</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大牌坊村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修建卫生厕所475座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r>
        <w:tblPrEx>
          <w:tblCellMar>
            <w:top w:w="0" w:type="dxa"/>
            <w:left w:w="0" w:type="dxa"/>
            <w:bottom w:w="0" w:type="dxa"/>
            <w:right w:w="0" w:type="dxa"/>
          </w:tblCellMar>
        </w:tblPrEx>
        <w:trPr>
          <w:cantSplit/>
          <w:trHeight w:val="317" w:hRule="atLeast"/>
          <w:jc w:val="center"/>
        </w:trPr>
        <w:tc>
          <w:tcPr>
            <w:tcW w:w="6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183</w:t>
            </w:r>
          </w:p>
        </w:tc>
        <w:tc>
          <w:tcPr>
            <w:tcW w:w="13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向前村</w:t>
            </w:r>
          </w:p>
        </w:tc>
        <w:tc>
          <w:tcPr>
            <w:tcW w:w="2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农户污水收集设施建设</w:t>
            </w:r>
          </w:p>
        </w:tc>
        <w:tc>
          <w:tcPr>
            <w:tcW w:w="53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修建卫生厕所493座</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永川区卫生健康委员会</w:t>
            </w:r>
          </w:p>
        </w:tc>
        <w:tc>
          <w:tcPr>
            <w:tcW w:w="102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val="0"/>
              <w:kinsoku w:val="0"/>
              <w:overflowPunct w:val="0"/>
              <w:autoSpaceDE w:val="0"/>
              <w:autoSpaceDN w:val="0"/>
              <w:spacing w:line="240" w:lineRule="auto"/>
              <w:ind w:firstLine="0" w:firstLineChars="0"/>
              <w:jc w:val="center"/>
              <w:rPr>
                <w:rFonts w:hint="eastAsia" w:ascii="方正仿宋_GBK" w:hAnsi="方正仿宋_GBK" w:cs="方正仿宋_GBK"/>
                <w:color w:val="auto"/>
                <w:sz w:val="18"/>
                <w:szCs w:val="18"/>
              </w:rPr>
            </w:pPr>
            <w:r>
              <w:rPr>
                <w:rFonts w:hint="eastAsia" w:ascii="方正仿宋_GBK" w:hAnsi="方正仿宋_GBK" w:cs="方正仿宋_GBK"/>
                <w:color w:val="auto"/>
                <w:sz w:val="18"/>
                <w:szCs w:val="18"/>
              </w:rPr>
              <w:t>2025年</w:t>
            </w:r>
          </w:p>
        </w:tc>
      </w:tr>
    </w:tbl>
    <w:p>
      <w:pPr>
        <w:widowControl w:val="0"/>
        <w:ind w:firstLine="480"/>
        <w:jc w:val="center"/>
        <w:rPr>
          <w:color w:val="auto"/>
          <w:sz w:val="24"/>
          <w:szCs w:val="24"/>
        </w:rPr>
        <w:sectPr>
          <w:pgSz w:w="16838" w:h="11906" w:orient="landscape"/>
          <w:pgMar w:top="2098" w:right="1474" w:bottom="1984" w:left="1587" w:header="720" w:footer="1474" w:gutter="0"/>
          <w:pgNumType w:fmt="numberInDash"/>
          <w:cols w:space="720" w:num="1"/>
          <w:docGrid w:linePitch="312" w:charSpace="0"/>
        </w:sectPr>
      </w:pPr>
    </w:p>
    <w:p>
      <w:pPr>
        <w:pStyle w:val="3"/>
        <w:ind w:firstLine="0" w:firstLineChars="0"/>
        <w:jc w:val="center"/>
        <w:rPr>
          <w:rFonts w:hint="eastAsia"/>
          <w:color w:val="auto"/>
        </w:rPr>
        <w:sectPr>
          <w:pgSz w:w="16838" w:h="11906" w:orient="landscape"/>
          <w:pgMar w:top="2098" w:right="1474" w:bottom="1984" w:left="1587" w:header="720" w:footer="1474" w:gutter="0"/>
          <w:pgNumType w:fmt="numberInDash"/>
          <w:cols w:space="720" w:num="1"/>
          <w:docGrid w:linePitch="312" w:charSpace="0"/>
        </w:sectPr>
      </w:pPr>
      <w:bookmarkStart w:id="460" w:name="图1"/>
      <w:bookmarkEnd w:id="460"/>
      <w:r>
        <w:rPr>
          <w:color w:val="auto"/>
        </w:rPr>
        <w:drawing>
          <wp:anchor distT="0" distB="0" distL="114300" distR="114300" simplePos="0" relativeHeight="251663360" behindDoc="0" locked="0" layoutInCell="1" allowOverlap="1">
            <wp:simplePos x="0" y="0"/>
            <wp:positionH relativeFrom="column">
              <wp:posOffset>358775</wp:posOffset>
            </wp:positionH>
            <wp:positionV relativeFrom="paragraph">
              <wp:posOffset>124460</wp:posOffset>
            </wp:positionV>
            <wp:extent cx="8003540" cy="5039995"/>
            <wp:effectExtent l="0" t="0" r="16510" b="8255"/>
            <wp:wrapNone/>
            <wp:docPr id="5" name="图片 6" descr="行政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行政区划"/>
                    <pic:cNvPicPr>
                      <a:picLocks noChangeAspect="1"/>
                    </pic:cNvPicPr>
                  </pic:nvPicPr>
                  <pic:blipFill>
                    <a:blip r:embed="rId30"/>
                    <a:stretch>
                      <a:fillRect/>
                    </a:stretch>
                  </pic:blipFill>
                  <pic:spPr>
                    <a:xfrm>
                      <a:off x="0" y="0"/>
                      <a:ext cx="8003540" cy="5039995"/>
                    </a:xfrm>
                    <a:prstGeom prst="rect">
                      <a:avLst/>
                    </a:prstGeom>
                    <a:noFill/>
                    <a:ln>
                      <a:noFill/>
                    </a:ln>
                  </pic:spPr>
                </pic:pic>
              </a:graphicData>
            </a:graphic>
          </wp:anchor>
        </w:drawing>
      </w:r>
    </w:p>
    <w:p>
      <w:pPr>
        <w:widowControl w:val="0"/>
        <w:ind w:firstLine="0" w:firstLineChars="0"/>
        <w:jc w:val="center"/>
        <w:rPr>
          <w:color w:val="auto"/>
          <w:sz w:val="24"/>
          <w:szCs w:val="24"/>
        </w:rPr>
        <w:sectPr>
          <w:pgSz w:w="16838" w:h="11906" w:orient="landscape"/>
          <w:pgMar w:top="2098" w:right="1474" w:bottom="1984" w:left="1587" w:header="720" w:footer="1474" w:gutter="0"/>
          <w:pgNumType w:fmt="numberInDash"/>
          <w:cols w:space="720" w:num="1"/>
          <w:docGrid w:linePitch="312" w:charSpace="0"/>
        </w:sectPr>
      </w:pPr>
      <w:bookmarkStart w:id="461" w:name="图2"/>
      <w:bookmarkEnd w:id="461"/>
      <w:r>
        <w:rPr>
          <w:color w:val="auto"/>
          <w:sz w:val="24"/>
          <w:szCs w:val="24"/>
        </w:rPr>
        <w:drawing>
          <wp:inline distT="0" distB="0" distL="114300" distR="114300">
            <wp:extent cx="7764145" cy="5039995"/>
            <wp:effectExtent l="0" t="0" r="8255" b="8255"/>
            <wp:docPr id="20" name="图片 21" descr="优先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优先区域"/>
                    <pic:cNvPicPr>
                      <a:picLocks noChangeAspect="1"/>
                    </pic:cNvPicPr>
                  </pic:nvPicPr>
                  <pic:blipFill>
                    <a:blip r:embed="rId31"/>
                    <a:stretch>
                      <a:fillRect/>
                    </a:stretch>
                  </pic:blipFill>
                  <pic:spPr>
                    <a:xfrm>
                      <a:off x="0" y="0"/>
                      <a:ext cx="7764145" cy="5039995"/>
                    </a:xfrm>
                    <a:prstGeom prst="rect">
                      <a:avLst/>
                    </a:prstGeom>
                    <a:noFill/>
                    <a:ln>
                      <a:noFill/>
                    </a:ln>
                  </pic:spPr>
                </pic:pic>
              </a:graphicData>
            </a:graphic>
          </wp:inline>
        </w:drawing>
      </w:r>
    </w:p>
    <w:p>
      <w:pPr>
        <w:widowControl w:val="0"/>
        <w:ind w:firstLine="0" w:firstLineChars="0"/>
        <w:jc w:val="center"/>
        <w:rPr>
          <w:color w:val="auto"/>
          <w:sz w:val="24"/>
          <w:szCs w:val="24"/>
        </w:rPr>
        <w:sectPr>
          <w:pgSz w:w="16838" w:h="11906" w:orient="landscape"/>
          <w:pgMar w:top="2098" w:right="1474" w:bottom="1984" w:left="1587" w:header="720" w:footer="1474" w:gutter="0"/>
          <w:pgNumType w:fmt="numberInDash"/>
          <w:cols w:space="720" w:num="1"/>
          <w:docGrid w:linePitch="312" w:charSpace="0"/>
        </w:sectPr>
      </w:pPr>
      <w:r>
        <w:rPr>
          <w:color w:val="auto"/>
          <w:sz w:val="24"/>
          <w:szCs w:val="24"/>
        </w:rPr>
        <w:drawing>
          <wp:inline distT="0" distB="0" distL="114300" distR="114300">
            <wp:extent cx="8030845" cy="5039995"/>
            <wp:effectExtent l="0" t="0" r="8255" b="8255"/>
            <wp:docPr id="21" name="图片 17" descr="一般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一般区域"/>
                    <pic:cNvPicPr>
                      <a:picLocks noChangeAspect="1"/>
                    </pic:cNvPicPr>
                  </pic:nvPicPr>
                  <pic:blipFill>
                    <a:blip r:embed="rId32"/>
                    <a:stretch>
                      <a:fillRect/>
                    </a:stretch>
                  </pic:blipFill>
                  <pic:spPr>
                    <a:xfrm>
                      <a:off x="0" y="0"/>
                      <a:ext cx="8030845" cy="5039995"/>
                    </a:xfrm>
                    <a:prstGeom prst="rect">
                      <a:avLst/>
                    </a:prstGeom>
                    <a:noFill/>
                    <a:ln>
                      <a:noFill/>
                    </a:ln>
                  </pic:spPr>
                </pic:pic>
              </a:graphicData>
            </a:graphic>
          </wp:inline>
        </w:drawing>
      </w:r>
      <w:bookmarkStart w:id="462" w:name="图3"/>
      <w:bookmarkEnd w:id="462"/>
    </w:p>
    <w:p>
      <w:pPr>
        <w:widowControl w:val="0"/>
        <w:ind w:firstLine="0" w:firstLineChars="0"/>
        <w:jc w:val="center"/>
        <w:rPr>
          <w:color w:val="auto"/>
          <w:sz w:val="24"/>
          <w:szCs w:val="24"/>
        </w:rPr>
        <w:sectPr>
          <w:pgSz w:w="16838" w:h="11906" w:orient="landscape"/>
          <w:pgMar w:top="2098" w:right="1474" w:bottom="1984" w:left="1587" w:header="720" w:footer="1474" w:gutter="0"/>
          <w:pgNumType w:fmt="numberInDash"/>
          <w:cols w:space="720" w:num="1"/>
          <w:docGrid w:linePitch="312" w:charSpace="0"/>
        </w:sectPr>
      </w:pPr>
      <w:r>
        <w:rPr>
          <w:color w:val="auto"/>
          <w:sz w:val="24"/>
          <w:szCs w:val="24"/>
        </w:rPr>
        <w:drawing>
          <wp:inline distT="0" distB="0" distL="114300" distR="114300">
            <wp:extent cx="7954645" cy="5039995"/>
            <wp:effectExtent l="0" t="0" r="8255" b="8255"/>
            <wp:docPr id="22" name="图片 18" descr="2021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2021年工程"/>
                    <pic:cNvPicPr>
                      <a:picLocks noChangeAspect="1"/>
                    </pic:cNvPicPr>
                  </pic:nvPicPr>
                  <pic:blipFill>
                    <a:blip r:embed="rId33"/>
                    <a:stretch>
                      <a:fillRect/>
                    </a:stretch>
                  </pic:blipFill>
                  <pic:spPr>
                    <a:xfrm>
                      <a:off x="0" y="0"/>
                      <a:ext cx="7954645" cy="5039995"/>
                    </a:xfrm>
                    <a:prstGeom prst="rect">
                      <a:avLst/>
                    </a:prstGeom>
                    <a:noFill/>
                    <a:ln>
                      <a:noFill/>
                    </a:ln>
                  </pic:spPr>
                </pic:pic>
              </a:graphicData>
            </a:graphic>
          </wp:inline>
        </w:drawing>
      </w:r>
      <w:bookmarkStart w:id="463" w:name="图4"/>
      <w:bookmarkEnd w:id="463"/>
    </w:p>
    <w:p>
      <w:pPr>
        <w:widowControl w:val="0"/>
        <w:ind w:firstLine="0" w:firstLineChars="0"/>
        <w:jc w:val="center"/>
        <w:rPr>
          <w:color w:val="auto"/>
          <w:sz w:val="24"/>
          <w:szCs w:val="24"/>
        </w:rPr>
        <w:sectPr>
          <w:pgSz w:w="16838" w:h="11906" w:orient="landscape"/>
          <w:pgMar w:top="2098" w:right="1474" w:bottom="1984" w:left="1587" w:header="720" w:footer="1474" w:gutter="0"/>
          <w:pgNumType w:fmt="numberInDash"/>
          <w:cols w:space="720" w:num="1"/>
          <w:docGrid w:linePitch="312" w:charSpace="0"/>
        </w:sectPr>
      </w:pPr>
      <w:r>
        <w:rPr>
          <w:color w:val="auto"/>
          <w:sz w:val="24"/>
          <w:szCs w:val="24"/>
        </w:rPr>
        <w:drawing>
          <wp:inline distT="0" distB="0" distL="114300" distR="114300">
            <wp:extent cx="7917815" cy="5039995"/>
            <wp:effectExtent l="0" t="0" r="6985" b="8255"/>
            <wp:docPr id="23" name="图片 19" descr="2022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2022年工程"/>
                    <pic:cNvPicPr>
                      <a:picLocks noChangeAspect="1"/>
                    </pic:cNvPicPr>
                  </pic:nvPicPr>
                  <pic:blipFill>
                    <a:blip r:embed="rId34"/>
                    <a:stretch>
                      <a:fillRect/>
                    </a:stretch>
                  </pic:blipFill>
                  <pic:spPr>
                    <a:xfrm>
                      <a:off x="0" y="0"/>
                      <a:ext cx="7917815" cy="5039995"/>
                    </a:xfrm>
                    <a:prstGeom prst="rect">
                      <a:avLst/>
                    </a:prstGeom>
                    <a:noFill/>
                    <a:ln>
                      <a:noFill/>
                    </a:ln>
                  </pic:spPr>
                </pic:pic>
              </a:graphicData>
            </a:graphic>
          </wp:inline>
        </w:drawing>
      </w:r>
      <w:bookmarkStart w:id="464" w:name="图5"/>
      <w:bookmarkEnd w:id="464"/>
    </w:p>
    <w:p>
      <w:pPr>
        <w:widowControl w:val="0"/>
        <w:ind w:firstLine="0" w:firstLineChars="0"/>
        <w:jc w:val="center"/>
        <w:rPr>
          <w:color w:val="auto"/>
          <w:sz w:val="24"/>
          <w:szCs w:val="24"/>
        </w:rPr>
        <w:sectPr>
          <w:pgSz w:w="16838" w:h="11906" w:orient="landscape"/>
          <w:pgMar w:top="2098" w:right="1474" w:bottom="1984" w:left="1587" w:header="720" w:footer="1474" w:gutter="0"/>
          <w:pgNumType w:fmt="numberInDash"/>
          <w:cols w:space="720" w:num="1"/>
          <w:docGrid w:linePitch="312" w:charSpace="0"/>
        </w:sectPr>
      </w:pPr>
      <w:r>
        <w:rPr>
          <w:color w:val="auto"/>
          <w:sz w:val="24"/>
          <w:szCs w:val="24"/>
        </w:rPr>
        <w:drawing>
          <wp:inline distT="0" distB="0" distL="114300" distR="114300">
            <wp:extent cx="7823200" cy="5039995"/>
            <wp:effectExtent l="0" t="0" r="6350" b="8255"/>
            <wp:docPr id="24" name="图片 20" descr="2023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2023年工程"/>
                    <pic:cNvPicPr>
                      <a:picLocks noChangeAspect="1"/>
                    </pic:cNvPicPr>
                  </pic:nvPicPr>
                  <pic:blipFill>
                    <a:blip r:embed="rId35"/>
                    <a:stretch>
                      <a:fillRect/>
                    </a:stretch>
                  </pic:blipFill>
                  <pic:spPr>
                    <a:xfrm>
                      <a:off x="0" y="0"/>
                      <a:ext cx="7823200" cy="5039995"/>
                    </a:xfrm>
                    <a:prstGeom prst="rect">
                      <a:avLst/>
                    </a:prstGeom>
                    <a:noFill/>
                    <a:ln>
                      <a:noFill/>
                    </a:ln>
                  </pic:spPr>
                </pic:pic>
              </a:graphicData>
            </a:graphic>
          </wp:inline>
        </w:drawing>
      </w:r>
      <w:bookmarkStart w:id="465" w:name="图6"/>
      <w:bookmarkEnd w:id="465"/>
    </w:p>
    <w:p>
      <w:pPr>
        <w:widowControl w:val="0"/>
        <w:ind w:firstLine="0" w:firstLineChars="0"/>
        <w:jc w:val="center"/>
        <w:rPr>
          <w:color w:val="auto"/>
          <w:sz w:val="24"/>
          <w:szCs w:val="24"/>
        </w:rPr>
      </w:pPr>
      <w:bookmarkStart w:id="466" w:name="图7"/>
      <w:r>
        <w:rPr>
          <w:color w:val="auto"/>
          <w:sz w:val="24"/>
          <w:szCs w:val="24"/>
        </w:rPr>
        <w:drawing>
          <wp:anchor distT="0" distB="0" distL="114300" distR="114300" simplePos="0" relativeHeight="251662336" behindDoc="0" locked="0" layoutInCell="1" allowOverlap="1">
            <wp:simplePos x="0" y="0"/>
            <wp:positionH relativeFrom="page">
              <wp:posOffset>1501775</wp:posOffset>
            </wp:positionH>
            <wp:positionV relativeFrom="page">
              <wp:posOffset>1227455</wp:posOffset>
            </wp:positionV>
            <wp:extent cx="7822565" cy="4811395"/>
            <wp:effectExtent l="0" t="0" r="6985" b="8255"/>
            <wp:wrapNone/>
            <wp:docPr id="4" name="图片 5" descr="2024年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2024年工程"/>
                    <pic:cNvPicPr>
                      <a:picLocks noChangeAspect="1"/>
                    </pic:cNvPicPr>
                  </pic:nvPicPr>
                  <pic:blipFill>
                    <a:blip r:embed="rId36"/>
                    <a:stretch>
                      <a:fillRect/>
                    </a:stretch>
                  </pic:blipFill>
                  <pic:spPr>
                    <a:xfrm>
                      <a:off x="0" y="0"/>
                      <a:ext cx="7822565" cy="4811395"/>
                    </a:xfrm>
                    <a:prstGeom prst="rect">
                      <a:avLst/>
                    </a:prstGeom>
                    <a:noFill/>
                    <a:ln>
                      <a:noFill/>
                    </a:ln>
                  </pic:spPr>
                </pic:pic>
              </a:graphicData>
            </a:graphic>
          </wp:anchor>
        </w:drawing>
      </w:r>
      <w:bookmarkEnd w:id="466"/>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widowControl w:val="0"/>
        <w:ind w:firstLine="480"/>
        <w:jc w:val="center"/>
        <w:rPr>
          <w:color w:val="auto"/>
          <w:sz w:val="24"/>
          <w:szCs w:val="24"/>
        </w:rPr>
      </w:pPr>
    </w:p>
    <w:p>
      <w:pPr>
        <w:pStyle w:val="23"/>
        <w:widowControl w:val="0"/>
        <w:shd w:val="clear" w:color="auto" w:fill="FFFFFF"/>
        <w:spacing w:line="360" w:lineRule="auto"/>
        <w:jc w:val="center"/>
        <w:rPr>
          <w:rFonts w:cs="Times New Roman"/>
          <w:color w:val="auto"/>
        </w:rPr>
        <w:sectPr>
          <w:pgSz w:w="16838" w:h="11906" w:orient="landscape"/>
          <w:pgMar w:top="2098" w:right="1474" w:bottom="1984" w:left="1587" w:header="720" w:footer="1474" w:gutter="0"/>
          <w:pgNumType w:fmt="numberInDash"/>
          <w:cols w:space="720" w:num="1"/>
          <w:docGrid w:linePitch="312" w:charSpace="0"/>
        </w:sectPr>
      </w:pPr>
      <w:bookmarkStart w:id="467" w:name="图8"/>
      <w:bookmarkEnd w:id="467"/>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widowControl w:val="0"/>
        <w:spacing w:line="240" w:lineRule="auto"/>
        <w:ind w:firstLine="0" w:firstLineChars="0"/>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ind w:firstLine="0" w:firstLineChars="0"/>
        <w:jc w:val="left"/>
        <w:rPr>
          <w:rFonts w:hint="eastAsia" w:ascii="方正仿宋_GBK" w:hAnsi="方正仿宋_GBK" w:cs="方正仿宋_GBK"/>
          <w:color w:val="auto"/>
        </w:rPr>
      </w:pPr>
    </w:p>
    <w:p>
      <w:pPr>
        <w:pStyle w:val="2"/>
        <w:rPr>
          <w:rFonts w:hint="eastAsia" w:ascii="方正仿宋_GBK" w:hAnsi="方正仿宋_GBK" w:cs="方正仿宋_GBK"/>
          <w:color w:val="auto"/>
        </w:rPr>
      </w:pPr>
    </w:p>
    <w:p>
      <w:pPr>
        <w:pStyle w:val="2"/>
        <w:rPr>
          <w:rFonts w:hint="eastAsia" w:ascii="方正仿宋_GBK" w:hAnsi="方正仿宋_GBK" w:cs="方正仿宋_GBK"/>
          <w:color w:val="auto"/>
        </w:rPr>
      </w:pPr>
    </w:p>
    <w:p>
      <w:pPr>
        <w:widowControl w:val="0"/>
        <w:spacing w:line="264" w:lineRule="auto"/>
        <w:ind w:firstLine="0" w:firstLineChars="0"/>
        <w:rPr>
          <w:rFonts w:hint="eastAsia" w:ascii="方正仿宋_GBK" w:hAnsi="方正仿宋_GBK" w:cs="方正仿宋_GBK"/>
          <w:color w:val="auto"/>
        </w:rPr>
      </w:pPr>
    </w:p>
    <w:p>
      <w:pPr>
        <w:widowControl w:val="0"/>
        <w:spacing w:line="264" w:lineRule="auto"/>
        <w:ind w:firstLine="0" w:firstLineChars="0"/>
        <w:rPr>
          <w:rFonts w:hint="eastAsia" w:ascii="方正仿宋_GBK" w:hAnsi="方正仿宋_GBK" w:cs="方正仿宋_GBK"/>
          <w:color w:val="auto"/>
        </w:rPr>
      </w:pPr>
    </w:p>
    <w:p>
      <w:pPr>
        <w:widowControl w:val="0"/>
        <w:pBdr>
          <w:top w:val="single" w:color="auto" w:sz="4" w:space="0"/>
          <w:bottom w:val="single" w:color="auto" w:sz="4" w:space="0"/>
          <w:between w:val="single" w:color="auto" w:sz="4" w:space="0"/>
        </w:pBdr>
        <w:spacing w:line="264" w:lineRule="auto"/>
        <w:ind w:firstLine="280" w:firstLineChars="100"/>
        <w:rPr>
          <w:rFonts w:hint="eastAsia" w:ascii="方正仿宋_GBK" w:hAnsi="方正仿宋_GBK" w:cs="方正仿宋_GBK"/>
          <w:color w:val="auto"/>
          <w:sz w:val="28"/>
          <w:szCs w:val="28"/>
        </w:rPr>
      </w:pPr>
      <w:r>
        <w:rPr>
          <w:rFonts w:hint="eastAsia" w:ascii="方正仿宋_GBK" w:hAnsi="方正仿宋_GBK" w:cs="方正仿宋_GBK"/>
          <w:color w:val="auto"/>
          <w:sz w:val="28"/>
          <w:szCs w:val="28"/>
        </w:rPr>
        <w:t>抄送：区委办，区人大办，区政协办。</w:t>
      </w:r>
    </w:p>
    <w:p>
      <w:pPr>
        <w:widowControl w:val="0"/>
        <w:pBdr>
          <w:top w:val="single" w:color="auto" w:sz="4" w:space="0"/>
          <w:bottom w:val="single" w:color="auto" w:sz="4" w:space="0"/>
          <w:between w:val="single" w:color="auto" w:sz="4" w:space="0"/>
        </w:pBdr>
        <w:spacing w:line="264" w:lineRule="auto"/>
        <w:ind w:firstLine="280" w:firstLineChars="100"/>
        <w:rPr>
          <w:rFonts w:hint="eastAsia" w:ascii="方正仿宋_GBK" w:hAnsi="方正仿宋_GBK" w:cs="方正仿宋_GBK"/>
          <w:color w:val="auto"/>
          <w:sz w:val="28"/>
          <w:szCs w:val="28"/>
        </w:rPr>
      </w:pPr>
      <w:r>
        <w:rPr>
          <w:rFonts w:hint="eastAsia" w:ascii="方正仿宋_GBK" w:hAnsi="方正仿宋_GBK" w:cs="方正仿宋_GBK"/>
          <w:color w:val="auto"/>
          <w:sz w:val="28"/>
          <w:szCs w:val="28"/>
        </w:rPr>
        <w:t>重庆市永川区人民政府办公室              2020年9月20日印发</w:t>
      </w:r>
    </w:p>
    <w:sectPr>
      <w:footerReference r:id="rId11" w:type="default"/>
      <w:pgSz w:w="11906" w:h="16838"/>
      <w:pgMar w:top="2098" w:right="1474" w:bottom="1984" w:left="1587" w:header="720" w:footer="1474" w:gutter="0"/>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Tahoma">
    <w:altName w:val="DejaVu Sans"/>
    <w:panose1 w:val="020B0604030504040204"/>
    <w:charset w:val="00"/>
    <w:family w:val="swiss"/>
    <w:pitch w:val="default"/>
    <w:sig w:usb0="00000000" w:usb1="00000000" w:usb2="00000029" w:usb3="00000000" w:csb0="200101FF" w:csb1="2028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Cambria">
    <w:altName w:val="FreeSerif"/>
    <w:panose1 w:val="02040503050406030204"/>
    <w:charset w:val="00"/>
    <w:family w:val="roman"/>
    <w:pitch w:val="default"/>
    <w:sig w:usb0="00000000" w:usb1="00000000" w:usb2="00000000" w:usb3="00000000" w:csb0="2000019F" w:csb1="00000000"/>
  </w:font>
  <w:font w:name="FreeSerif">
    <w:panose1 w:val="02020603050405020304"/>
    <w:charset w:val="00"/>
    <w:family w:val="auto"/>
    <w:pitch w:val="default"/>
    <w:sig w:usb0="E59FAFFF" w:usb1="C200FDFF" w:usb2="43501B29" w:usb3="04000043" w:csb0="600101FF" w:csb1="FFFF0000"/>
  </w:font>
  <w:font w:name="Calibri Light">
    <w:altName w:val="DejaVu Sans"/>
    <w:panose1 w:val="020F0302020204030204"/>
    <w:charset w:val="00"/>
    <w:family w:val="swiss"/>
    <w:pitch w:val="default"/>
    <w:sig w:usb0="00000000" w:usb1="00000000" w:usb2="00000000" w:usb3="00000000" w:csb0="0000019F" w:csb1="00000000"/>
  </w:font>
  <w:font w:name="方正小标宋_GBK">
    <w:panose1 w:val="03000509000000000000"/>
    <w:charset w:val="86"/>
    <w:family w:val="script"/>
    <w:pitch w:val="default"/>
    <w:sig w:usb0="00000001" w:usb1="080E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0" w:firstLineChars="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ind w:firstLine="0" w:firstLineChars="0"/>
                            <w:rPr>
                              <w:rFonts w:hint="eastAsia" w:eastAsia="方正仿宋_GBK"/>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ascii="宋体" w:hAnsi="宋体" w:eastAsia="宋体" w:cs="宋体"/>
                              <w:sz w:val="28"/>
                              <w:szCs w:val="28"/>
                            </w:rPr>
                            <w:t>- 20 -</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FgAAAGRycy9QSwECFAAUAAAACACHTuJAzql5uc8AAAAFAQAADwAAAAAAAAAB&#10;ACAAAAA4AAAAZHJzL2Rvd25yZXYueG1sUEsBAhQAFAAAAAgAh07iQMoLGkjKAQAAmwMAAA4AAAAA&#10;AAAAAQAgAAAANAEAAGRycy9lMm9Eb2MueG1sUEsFBgAAAAAGAAYAWQEAAHAFAAAAAA==&#10;">
              <v:fill on="f" focussize="0,0"/>
              <v:stroke on="f"/>
              <v:imagedata o:title=""/>
              <o:lock v:ext="edit" aspectratio="f"/>
              <v:textbox inset="0mm,0mm,0mm,0mm" style="mso-fit-shape-to-text:t;">
                <w:txbxContent>
                  <w:p>
                    <w:pPr>
                      <w:pStyle w:val="16"/>
                      <w:ind w:firstLine="0" w:firstLineChars="0"/>
                      <w:rPr>
                        <w:rFonts w:hint="eastAsia" w:eastAsia="方正仿宋_GBK"/>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ascii="宋体" w:hAnsi="宋体" w:eastAsia="宋体" w:cs="宋体"/>
                        <w:sz w:val="28"/>
                        <w:szCs w:val="28"/>
                      </w:rPr>
                      <w:t>- 20 -</w:t>
                    </w:r>
                    <w:r>
                      <w:rPr>
                        <w:rFonts w:hint="eastAsia" w:ascii="宋体" w:hAnsi="宋体" w:eastAsia="宋体" w:cs="宋体"/>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0" w:firstLineChars="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ind w:firstLine="0" w:firstLineChars="0"/>
                            <w:rPr>
                              <w:rFonts w:hint="eastAsia" w:eastAsia="方正仿宋_GBK"/>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ascii="宋体" w:hAnsi="宋体" w:eastAsia="宋体" w:cs="宋体"/>
                              <w:sz w:val="28"/>
                              <w:szCs w:val="28"/>
                            </w:rPr>
                            <w:t>- 212 -</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FgAAAGRycy9QSwECFAAUAAAACACHTuJAzql5uc8AAAAFAQAADwAAAAAAAAAB&#10;ACAAAAA4AAAAZHJzL2Rvd25yZXYueG1sUEsBAhQAFAAAAAgAh07iQH0fVWDKAQAAmwMAAA4AAAAA&#10;AAAAAQAgAAAANAEAAGRycy9lMm9Eb2MueG1sUEsFBgAAAAAGAAYAWQEAAHAFAAAAAA==&#10;">
              <v:fill on="f" focussize="0,0"/>
              <v:stroke on="f"/>
              <v:imagedata o:title=""/>
              <o:lock v:ext="edit" aspectratio="f"/>
              <v:textbox inset="0mm,0mm,0mm,0mm" style="mso-fit-shape-to-text:t;">
                <w:txbxContent>
                  <w:p>
                    <w:pPr>
                      <w:pStyle w:val="16"/>
                      <w:ind w:firstLine="0" w:firstLineChars="0"/>
                      <w:rPr>
                        <w:rFonts w:hint="eastAsia" w:eastAsia="方正仿宋_GBK"/>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ascii="宋体" w:hAnsi="宋体" w:eastAsia="宋体" w:cs="宋体"/>
                        <w:sz w:val="28"/>
                        <w:szCs w:val="28"/>
                      </w:rPr>
                      <w:t>- 212 -</w:t>
                    </w:r>
                    <w:r>
                      <w:rPr>
                        <w:rFonts w:hint="eastAsia" w:ascii="宋体" w:hAnsi="宋体" w:eastAsia="宋体" w:cs="宋体"/>
                        <w:sz w:val="28"/>
                        <w:szCs w:val="2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ind w:firstLine="640"/>
      </w:pPr>
      <w:r>
        <w:separator/>
      </w:r>
    </w:p>
  </w:footnote>
  <w:footnote w:type="continuationSeparator" w:id="1">
    <w:p>
      <w:pPr>
        <w:spacing w:line="276"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AB1"/>
    <w:rsid w:val="00000382"/>
    <w:rsid w:val="00002568"/>
    <w:rsid w:val="00003093"/>
    <w:rsid w:val="0000329F"/>
    <w:rsid w:val="00007FC6"/>
    <w:rsid w:val="00010FE4"/>
    <w:rsid w:val="000116DA"/>
    <w:rsid w:val="00013335"/>
    <w:rsid w:val="00014B91"/>
    <w:rsid w:val="00015E64"/>
    <w:rsid w:val="00015FF7"/>
    <w:rsid w:val="00017121"/>
    <w:rsid w:val="0002225C"/>
    <w:rsid w:val="0002331B"/>
    <w:rsid w:val="0002417D"/>
    <w:rsid w:val="00024B01"/>
    <w:rsid w:val="00026F0E"/>
    <w:rsid w:val="000274E9"/>
    <w:rsid w:val="00030168"/>
    <w:rsid w:val="00031173"/>
    <w:rsid w:val="00031311"/>
    <w:rsid w:val="00031C22"/>
    <w:rsid w:val="00032977"/>
    <w:rsid w:val="00032B25"/>
    <w:rsid w:val="00033BC7"/>
    <w:rsid w:val="00035E05"/>
    <w:rsid w:val="00037023"/>
    <w:rsid w:val="0004032B"/>
    <w:rsid w:val="000415C6"/>
    <w:rsid w:val="00041B53"/>
    <w:rsid w:val="00041E75"/>
    <w:rsid w:val="0004373C"/>
    <w:rsid w:val="00043866"/>
    <w:rsid w:val="00043AB3"/>
    <w:rsid w:val="000460AE"/>
    <w:rsid w:val="000476FF"/>
    <w:rsid w:val="00051EA7"/>
    <w:rsid w:val="00055746"/>
    <w:rsid w:val="00056F10"/>
    <w:rsid w:val="00057F7E"/>
    <w:rsid w:val="000604B2"/>
    <w:rsid w:val="0006085E"/>
    <w:rsid w:val="00060E1C"/>
    <w:rsid w:val="00063AD5"/>
    <w:rsid w:val="00065EDA"/>
    <w:rsid w:val="000660AB"/>
    <w:rsid w:val="00066D40"/>
    <w:rsid w:val="00067F0D"/>
    <w:rsid w:val="00070408"/>
    <w:rsid w:val="000713E8"/>
    <w:rsid w:val="000714DF"/>
    <w:rsid w:val="00071E64"/>
    <w:rsid w:val="000729F4"/>
    <w:rsid w:val="000749FB"/>
    <w:rsid w:val="000761F2"/>
    <w:rsid w:val="000767F3"/>
    <w:rsid w:val="00084781"/>
    <w:rsid w:val="000858A8"/>
    <w:rsid w:val="000901C2"/>
    <w:rsid w:val="00091529"/>
    <w:rsid w:val="0009670D"/>
    <w:rsid w:val="00096AB3"/>
    <w:rsid w:val="000A4164"/>
    <w:rsid w:val="000A7420"/>
    <w:rsid w:val="000A79DD"/>
    <w:rsid w:val="000B04EF"/>
    <w:rsid w:val="000B1CE9"/>
    <w:rsid w:val="000B43B8"/>
    <w:rsid w:val="000B4781"/>
    <w:rsid w:val="000B5FDB"/>
    <w:rsid w:val="000B6C65"/>
    <w:rsid w:val="000B7B3D"/>
    <w:rsid w:val="000C2038"/>
    <w:rsid w:val="000C2609"/>
    <w:rsid w:val="000C3C38"/>
    <w:rsid w:val="000C622A"/>
    <w:rsid w:val="000C6AF8"/>
    <w:rsid w:val="000C6B0C"/>
    <w:rsid w:val="000C6B21"/>
    <w:rsid w:val="000C702E"/>
    <w:rsid w:val="000C7DF8"/>
    <w:rsid w:val="000D2B51"/>
    <w:rsid w:val="000D2C2B"/>
    <w:rsid w:val="000D3F02"/>
    <w:rsid w:val="000D5654"/>
    <w:rsid w:val="000D6290"/>
    <w:rsid w:val="000D6346"/>
    <w:rsid w:val="000D63AE"/>
    <w:rsid w:val="000D70C0"/>
    <w:rsid w:val="000E02EF"/>
    <w:rsid w:val="000E0E10"/>
    <w:rsid w:val="000E0E39"/>
    <w:rsid w:val="000E2E8F"/>
    <w:rsid w:val="000E3696"/>
    <w:rsid w:val="000E5323"/>
    <w:rsid w:val="000E534A"/>
    <w:rsid w:val="000F045B"/>
    <w:rsid w:val="000F2923"/>
    <w:rsid w:val="000F51C7"/>
    <w:rsid w:val="000F54A2"/>
    <w:rsid w:val="000F6DDE"/>
    <w:rsid w:val="00106917"/>
    <w:rsid w:val="00113397"/>
    <w:rsid w:val="0011527B"/>
    <w:rsid w:val="0011669C"/>
    <w:rsid w:val="00122F31"/>
    <w:rsid w:val="001230FC"/>
    <w:rsid w:val="00125E3B"/>
    <w:rsid w:val="0012609C"/>
    <w:rsid w:val="00126520"/>
    <w:rsid w:val="00130780"/>
    <w:rsid w:val="0013201D"/>
    <w:rsid w:val="00132A20"/>
    <w:rsid w:val="0014002A"/>
    <w:rsid w:val="00140220"/>
    <w:rsid w:val="001411E4"/>
    <w:rsid w:val="00142AA9"/>
    <w:rsid w:val="00145DF4"/>
    <w:rsid w:val="00145E1D"/>
    <w:rsid w:val="00145F70"/>
    <w:rsid w:val="001508A5"/>
    <w:rsid w:val="001509A5"/>
    <w:rsid w:val="0015389A"/>
    <w:rsid w:val="00153A3D"/>
    <w:rsid w:val="0015694C"/>
    <w:rsid w:val="00160E8A"/>
    <w:rsid w:val="00160F7A"/>
    <w:rsid w:val="00162C80"/>
    <w:rsid w:val="001644EB"/>
    <w:rsid w:val="00166911"/>
    <w:rsid w:val="00166EAB"/>
    <w:rsid w:val="00170182"/>
    <w:rsid w:val="00171FC6"/>
    <w:rsid w:val="00175C23"/>
    <w:rsid w:val="0017677B"/>
    <w:rsid w:val="00180B55"/>
    <w:rsid w:val="00181320"/>
    <w:rsid w:val="00182365"/>
    <w:rsid w:val="00190910"/>
    <w:rsid w:val="00190B5C"/>
    <w:rsid w:val="0019263C"/>
    <w:rsid w:val="00192BD7"/>
    <w:rsid w:val="0019633C"/>
    <w:rsid w:val="00197446"/>
    <w:rsid w:val="001A0CE8"/>
    <w:rsid w:val="001A280B"/>
    <w:rsid w:val="001A35F7"/>
    <w:rsid w:val="001A368C"/>
    <w:rsid w:val="001A3C53"/>
    <w:rsid w:val="001A3EB5"/>
    <w:rsid w:val="001A3EDE"/>
    <w:rsid w:val="001A4DD4"/>
    <w:rsid w:val="001A7BC4"/>
    <w:rsid w:val="001A7BCB"/>
    <w:rsid w:val="001B1681"/>
    <w:rsid w:val="001B232E"/>
    <w:rsid w:val="001B236F"/>
    <w:rsid w:val="001B5281"/>
    <w:rsid w:val="001B5FA3"/>
    <w:rsid w:val="001B6981"/>
    <w:rsid w:val="001B796D"/>
    <w:rsid w:val="001C0AE4"/>
    <w:rsid w:val="001C185B"/>
    <w:rsid w:val="001C436D"/>
    <w:rsid w:val="001C43B5"/>
    <w:rsid w:val="001C586A"/>
    <w:rsid w:val="001C69ED"/>
    <w:rsid w:val="001C6D8F"/>
    <w:rsid w:val="001C7F40"/>
    <w:rsid w:val="001D01DF"/>
    <w:rsid w:val="001D1323"/>
    <w:rsid w:val="001D1889"/>
    <w:rsid w:val="001D328C"/>
    <w:rsid w:val="001D6275"/>
    <w:rsid w:val="001D735E"/>
    <w:rsid w:val="001D75CD"/>
    <w:rsid w:val="001D7777"/>
    <w:rsid w:val="001E14DC"/>
    <w:rsid w:val="001E1567"/>
    <w:rsid w:val="001E3E01"/>
    <w:rsid w:val="001E5DD4"/>
    <w:rsid w:val="001E6849"/>
    <w:rsid w:val="001E7EA3"/>
    <w:rsid w:val="001F345D"/>
    <w:rsid w:val="001F5290"/>
    <w:rsid w:val="001F5A35"/>
    <w:rsid w:val="001F6064"/>
    <w:rsid w:val="001F6855"/>
    <w:rsid w:val="001F6DA4"/>
    <w:rsid w:val="001F76DB"/>
    <w:rsid w:val="00200A81"/>
    <w:rsid w:val="00200EFD"/>
    <w:rsid w:val="002010BC"/>
    <w:rsid w:val="0020136C"/>
    <w:rsid w:val="0020364A"/>
    <w:rsid w:val="002045EA"/>
    <w:rsid w:val="00204C4A"/>
    <w:rsid w:val="002052BE"/>
    <w:rsid w:val="00206690"/>
    <w:rsid w:val="0021037F"/>
    <w:rsid w:val="002103C1"/>
    <w:rsid w:val="002137BE"/>
    <w:rsid w:val="0021392F"/>
    <w:rsid w:val="002140CF"/>
    <w:rsid w:val="002140D8"/>
    <w:rsid w:val="00214A94"/>
    <w:rsid w:val="00215824"/>
    <w:rsid w:val="002166FA"/>
    <w:rsid w:val="00216C56"/>
    <w:rsid w:val="0021707D"/>
    <w:rsid w:val="00220483"/>
    <w:rsid w:val="0022084D"/>
    <w:rsid w:val="00220AFE"/>
    <w:rsid w:val="00220DF3"/>
    <w:rsid w:val="002220F6"/>
    <w:rsid w:val="00222EB0"/>
    <w:rsid w:val="0022355D"/>
    <w:rsid w:val="00224040"/>
    <w:rsid w:val="00224147"/>
    <w:rsid w:val="0022439F"/>
    <w:rsid w:val="00226F12"/>
    <w:rsid w:val="0023028B"/>
    <w:rsid w:val="002316B7"/>
    <w:rsid w:val="00235010"/>
    <w:rsid w:val="00236D56"/>
    <w:rsid w:val="00237E75"/>
    <w:rsid w:val="002428FF"/>
    <w:rsid w:val="00242AFD"/>
    <w:rsid w:val="00245352"/>
    <w:rsid w:val="00245F32"/>
    <w:rsid w:val="00247742"/>
    <w:rsid w:val="00250124"/>
    <w:rsid w:val="00251358"/>
    <w:rsid w:val="0025354C"/>
    <w:rsid w:val="00256678"/>
    <w:rsid w:val="00257070"/>
    <w:rsid w:val="0026223F"/>
    <w:rsid w:val="0026233C"/>
    <w:rsid w:val="0026342D"/>
    <w:rsid w:val="00264224"/>
    <w:rsid w:val="00265878"/>
    <w:rsid w:val="002669DB"/>
    <w:rsid w:val="002678DD"/>
    <w:rsid w:val="00267B54"/>
    <w:rsid w:val="00270AF8"/>
    <w:rsid w:val="00271879"/>
    <w:rsid w:val="00275090"/>
    <w:rsid w:val="00275B73"/>
    <w:rsid w:val="002802D2"/>
    <w:rsid w:val="00281BDD"/>
    <w:rsid w:val="002827F3"/>
    <w:rsid w:val="00282903"/>
    <w:rsid w:val="0028300F"/>
    <w:rsid w:val="0028529E"/>
    <w:rsid w:val="00285E24"/>
    <w:rsid w:val="00290500"/>
    <w:rsid w:val="0029229C"/>
    <w:rsid w:val="00292AD6"/>
    <w:rsid w:val="00294488"/>
    <w:rsid w:val="00294F1E"/>
    <w:rsid w:val="00295286"/>
    <w:rsid w:val="00295FDC"/>
    <w:rsid w:val="0029604E"/>
    <w:rsid w:val="002963BC"/>
    <w:rsid w:val="002A04DB"/>
    <w:rsid w:val="002A05F8"/>
    <w:rsid w:val="002A0EE7"/>
    <w:rsid w:val="002A1DED"/>
    <w:rsid w:val="002A1ED7"/>
    <w:rsid w:val="002A452E"/>
    <w:rsid w:val="002A69F6"/>
    <w:rsid w:val="002A7176"/>
    <w:rsid w:val="002B112B"/>
    <w:rsid w:val="002B190E"/>
    <w:rsid w:val="002B2343"/>
    <w:rsid w:val="002B2777"/>
    <w:rsid w:val="002B7A47"/>
    <w:rsid w:val="002C1113"/>
    <w:rsid w:val="002C1FCF"/>
    <w:rsid w:val="002C293B"/>
    <w:rsid w:val="002C5979"/>
    <w:rsid w:val="002C667B"/>
    <w:rsid w:val="002C79F6"/>
    <w:rsid w:val="002D00D5"/>
    <w:rsid w:val="002D1241"/>
    <w:rsid w:val="002D3AF1"/>
    <w:rsid w:val="002E1618"/>
    <w:rsid w:val="002E3E9F"/>
    <w:rsid w:val="002E5373"/>
    <w:rsid w:val="002E5E4E"/>
    <w:rsid w:val="002E792F"/>
    <w:rsid w:val="002F07E9"/>
    <w:rsid w:val="002F0EDC"/>
    <w:rsid w:val="002F1C37"/>
    <w:rsid w:val="002F7604"/>
    <w:rsid w:val="002F7853"/>
    <w:rsid w:val="002F78BD"/>
    <w:rsid w:val="002F7CF4"/>
    <w:rsid w:val="003001CF"/>
    <w:rsid w:val="003018F7"/>
    <w:rsid w:val="00302648"/>
    <w:rsid w:val="00304155"/>
    <w:rsid w:val="00306347"/>
    <w:rsid w:val="003102BA"/>
    <w:rsid w:val="00312B2A"/>
    <w:rsid w:val="00313459"/>
    <w:rsid w:val="00314E9E"/>
    <w:rsid w:val="00315C61"/>
    <w:rsid w:val="00315E67"/>
    <w:rsid w:val="00316D18"/>
    <w:rsid w:val="00317A16"/>
    <w:rsid w:val="00323594"/>
    <w:rsid w:val="003247B9"/>
    <w:rsid w:val="00325703"/>
    <w:rsid w:val="00327FAD"/>
    <w:rsid w:val="00330574"/>
    <w:rsid w:val="003319E3"/>
    <w:rsid w:val="00331F3D"/>
    <w:rsid w:val="003323F1"/>
    <w:rsid w:val="00332A67"/>
    <w:rsid w:val="00333F1D"/>
    <w:rsid w:val="00336B22"/>
    <w:rsid w:val="00336D04"/>
    <w:rsid w:val="00336FE1"/>
    <w:rsid w:val="00340685"/>
    <w:rsid w:val="003422A9"/>
    <w:rsid w:val="00342B1E"/>
    <w:rsid w:val="00344BEE"/>
    <w:rsid w:val="00346317"/>
    <w:rsid w:val="00350DEA"/>
    <w:rsid w:val="003530C5"/>
    <w:rsid w:val="00355240"/>
    <w:rsid w:val="003570D8"/>
    <w:rsid w:val="00357D61"/>
    <w:rsid w:val="0036009E"/>
    <w:rsid w:val="00360684"/>
    <w:rsid w:val="00360E8E"/>
    <w:rsid w:val="003611A8"/>
    <w:rsid w:val="0036123E"/>
    <w:rsid w:val="00363066"/>
    <w:rsid w:val="00371B13"/>
    <w:rsid w:val="00372810"/>
    <w:rsid w:val="003770C7"/>
    <w:rsid w:val="0037719B"/>
    <w:rsid w:val="00380BB0"/>
    <w:rsid w:val="00380D5A"/>
    <w:rsid w:val="00380EB5"/>
    <w:rsid w:val="0038208F"/>
    <w:rsid w:val="00384420"/>
    <w:rsid w:val="0038564B"/>
    <w:rsid w:val="003903E3"/>
    <w:rsid w:val="003913F0"/>
    <w:rsid w:val="00392691"/>
    <w:rsid w:val="00392F1C"/>
    <w:rsid w:val="003958FD"/>
    <w:rsid w:val="00395F25"/>
    <w:rsid w:val="003975A3"/>
    <w:rsid w:val="003A09FD"/>
    <w:rsid w:val="003A29DE"/>
    <w:rsid w:val="003A3CA9"/>
    <w:rsid w:val="003A4168"/>
    <w:rsid w:val="003A5412"/>
    <w:rsid w:val="003A54DB"/>
    <w:rsid w:val="003A6062"/>
    <w:rsid w:val="003A7B14"/>
    <w:rsid w:val="003B3200"/>
    <w:rsid w:val="003B32E3"/>
    <w:rsid w:val="003B3D8A"/>
    <w:rsid w:val="003B42C6"/>
    <w:rsid w:val="003B4FE4"/>
    <w:rsid w:val="003C0386"/>
    <w:rsid w:val="003C0792"/>
    <w:rsid w:val="003C0A11"/>
    <w:rsid w:val="003C0DA0"/>
    <w:rsid w:val="003C2C2F"/>
    <w:rsid w:val="003C5813"/>
    <w:rsid w:val="003C5DAC"/>
    <w:rsid w:val="003C730F"/>
    <w:rsid w:val="003D010F"/>
    <w:rsid w:val="003D3543"/>
    <w:rsid w:val="003D3ABF"/>
    <w:rsid w:val="003D5597"/>
    <w:rsid w:val="003D5CA0"/>
    <w:rsid w:val="003D61DD"/>
    <w:rsid w:val="003D7775"/>
    <w:rsid w:val="003E0FD8"/>
    <w:rsid w:val="003E4469"/>
    <w:rsid w:val="003F0225"/>
    <w:rsid w:val="003F4E5F"/>
    <w:rsid w:val="003F5E8A"/>
    <w:rsid w:val="004002C1"/>
    <w:rsid w:val="00401638"/>
    <w:rsid w:val="00401FD1"/>
    <w:rsid w:val="0040283C"/>
    <w:rsid w:val="00406782"/>
    <w:rsid w:val="004074AF"/>
    <w:rsid w:val="00407B6E"/>
    <w:rsid w:val="00410789"/>
    <w:rsid w:val="00411D13"/>
    <w:rsid w:val="00412BB8"/>
    <w:rsid w:val="004148F8"/>
    <w:rsid w:val="0041595F"/>
    <w:rsid w:val="00415A2B"/>
    <w:rsid w:val="00415B16"/>
    <w:rsid w:val="00416796"/>
    <w:rsid w:val="00416C1B"/>
    <w:rsid w:val="00416E30"/>
    <w:rsid w:val="00422B22"/>
    <w:rsid w:val="00422ED4"/>
    <w:rsid w:val="0042331F"/>
    <w:rsid w:val="0042580B"/>
    <w:rsid w:val="00426909"/>
    <w:rsid w:val="004271EF"/>
    <w:rsid w:val="00430559"/>
    <w:rsid w:val="00432138"/>
    <w:rsid w:val="00432546"/>
    <w:rsid w:val="00432DDA"/>
    <w:rsid w:val="00433CAD"/>
    <w:rsid w:val="00436211"/>
    <w:rsid w:val="0044037B"/>
    <w:rsid w:val="004422E1"/>
    <w:rsid w:val="00442BEA"/>
    <w:rsid w:val="00443407"/>
    <w:rsid w:val="00446F3A"/>
    <w:rsid w:val="00451491"/>
    <w:rsid w:val="00452A7D"/>
    <w:rsid w:val="00452C5B"/>
    <w:rsid w:val="004563B2"/>
    <w:rsid w:val="00456F24"/>
    <w:rsid w:val="00456FE6"/>
    <w:rsid w:val="004648E5"/>
    <w:rsid w:val="00466CDC"/>
    <w:rsid w:val="004670BA"/>
    <w:rsid w:val="0047035B"/>
    <w:rsid w:val="004707C9"/>
    <w:rsid w:val="00472AA6"/>
    <w:rsid w:val="004730AE"/>
    <w:rsid w:val="004735E9"/>
    <w:rsid w:val="00473DA3"/>
    <w:rsid w:val="004756FE"/>
    <w:rsid w:val="004757F9"/>
    <w:rsid w:val="00475856"/>
    <w:rsid w:val="0047618E"/>
    <w:rsid w:val="00476BF9"/>
    <w:rsid w:val="00476FEC"/>
    <w:rsid w:val="00480ADB"/>
    <w:rsid w:val="004813F7"/>
    <w:rsid w:val="00482441"/>
    <w:rsid w:val="00484A69"/>
    <w:rsid w:val="0048562D"/>
    <w:rsid w:val="00486664"/>
    <w:rsid w:val="00486B4A"/>
    <w:rsid w:val="00490890"/>
    <w:rsid w:val="004913AA"/>
    <w:rsid w:val="004918FD"/>
    <w:rsid w:val="00493354"/>
    <w:rsid w:val="00497655"/>
    <w:rsid w:val="004A1974"/>
    <w:rsid w:val="004A1B93"/>
    <w:rsid w:val="004A22B3"/>
    <w:rsid w:val="004A276A"/>
    <w:rsid w:val="004A27F8"/>
    <w:rsid w:val="004A4E91"/>
    <w:rsid w:val="004A5289"/>
    <w:rsid w:val="004A55B2"/>
    <w:rsid w:val="004A55BD"/>
    <w:rsid w:val="004A5A3E"/>
    <w:rsid w:val="004B00B2"/>
    <w:rsid w:val="004B034D"/>
    <w:rsid w:val="004B05C2"/>
    <w:rsid w:val="004B1AA9"/>
    <w:rsid w:val="004B1AE8"/>
    <w:rsid w:val="004B22A6"/>
    <w:rsid w:val="004B2A16"/>
    <w:rsid w:val="004B353B"/>
    <w:rsid w:val="004B77ED"/>
    <w:rsid w:val="004C1BB7"/>
    <w:rsid w:val="004C2358"/>
    <w:rsid w:val="004C602E"/>
    <w:rsid w:val="004C6C3F"/>
    <w:rsid w:val="004D0001"/>
    <w:rsid w:val="004D05A4"/>
    <w:rsid w:val="004D2B5A"/>
    <w:rsid w:val="004D2FAE"/>
    <w:rsid w:val="004D37D9"/>
    <w:rsid w:val="004D53E2"/>
    <w:rsid w:val="004E045E"/>
    <w:rsid w:val="004E2003"/>
    <w:rsid w:val="004E34B5"/>
    <w:rsid w:val="004E4451"/>
    <w:rsid w:val="004E4AB6"/>
    <w:rsid w:val="004E5B19"/>
    <w:rsid w:val="004E6476"/>
    <w:rsid w:val="004F1774"/>
    <w:rsid w:val="004F2EF7"/>
    <w:rsid w:val="004F3755"/>
    <w:rsid w:val="004F4E03"/>
    <w:rsid w:val="004F4E3A"/>
    <w:rsid w:val="004F4E6A"/>
    <w:rsid w:val="004F632C"/>
    <w:rsid w:val="00501FED"/>
    <w:rsid w:val="0050495F"/>
    <w:rsid w:val="00504D06"/>
    <w:rsid w:val="00505CF1"/>
    <w:rsid w:val="00506344"/>
    <w:rsid w:val="005063E2"/>
    <w:rsid w:val="005075C4"/>
    <w:rsid w:val="00511CF8"/>
    <w:rsid w:val="00517738"/>
    <w:rsid w:val="00517C76"/>
    <w:rsid w:val="00521D36"/>
    <w:rsid w:val="00523D39"/>
    <w:rsid w:val="00525073"/>
    <w:rsid w:val="0052522F"/>
    <w:rsid w:val="00526832"/>
    <w:rsid w:val="00527BE2"/>
    <w:rsid w:val="00527C67"/>
    <w:rsid w:val="0053488A"/>
    <w:rsid w:val="00534AB0"/>
    <w:rsid w:val="005355AE"/>
    <w:rsid w:val="00541744"/>
    <w:rsid w:val="00544048"/>
    <w:rsid w:val="0054409A"/>
    <w:rsid w:val="00547913"/>
    <w:rsid w:val="00550DDB"/>
    <w:rsid w:val="00552ABE"/>
    <w:rsid w:val="00553517"/>
    <w:rsid w:val="005537DE"/>
    <w:rsid w:val="005550A0"/>
    <w:rsid w:val="0055528E"/>
    <w:rsid w:val="00555808"/>
    <w:rsid w:val="00555C9A"/>
    <w:rsid w:val="0056303B"/>
    <w:rsid w:val="005633B2"/>
    <w:rsid w:val="005645AA"/>
    <w:rsid w:val="00564A07"/>
    <w:rsid w:val="00564F93"/>
    <w:rsid w:val="00566C60"/>
    <w:rsid w:val="00566EDC"/>
    <w:rsid w:val="00567AB2"/>
    <w:rsid w:val="00567E6D"/>
    <w:rsid w:val="00572219"/>
    <w:rsid w:val="0057299E"/>
    <w:rsid w:val="005735B2"/>
    <w:rsid w:val="00575FE2"/>
    <w:rsid w:val="005768CC"/>
    <w:rsid w:val="00576B02"/>
    <w:rsid w:val="00576BF2"/>
    <w:rsid w:val="0058062E"/>
    <w:rsid w:val="005813FC"/>
    <w:rsid w:val="00582E9D"/>
    <w:rsid w:val="00584AFF"/>
    <w:rsid w:val="00586EDE"/>
    <w:rsid w:val="00586EE6"/>
    <w:rsid w:val="00587BF5"/>
    <w:rsid w:val="00590FF3"/>
    <w:rsid w:val="00591049"/>
    <w:rsid w:val="0059296C"/>
    <w:rsid w:val="005935FE"/>
    <w:rsid w:val="00593B26"/>
    <w:rsid w:val="00594305"/>
    <w:rsid w:val="00594FC3"/>
    <w:rsid w:val="00595909"/>
    <w:rsid w:val="00595EB6"/>
    <w:rsid w:val="005A1AB2"/>
    <w:rsid w:val="005A36D7"/>
    <w:rsid w:val="005A64F6"/>
    <w:rsid w:val="005B030E"/>
    <w:rsid w:val="005B0E4B"/>
    <w:rsid w:val="005B2CD4"/>
    <w:rsid w:val="005B3681"/>
    <w:rsid w:val="005C176B"/>
    <w:rsid w:val="005C31F3"/>
    <w:rsid w:val="005C361D"/>
    <w:rsid w:val="005C3DA5"/>
    <w:rsid w:val="005C5515"/>
    <w:rsid w:val="005C771F"/>
    <w:rsid w:val="005D06DD"/>
    <w:rsid w:val="005D765C"/>
    <w:rsid w:val="005D78D1"/>
    <w:rsid w:val="005E2129"/>
    <w:rsid w:val="005E4D94"/>
    <w:rsid w:val="005F01D9"/>
    <w:rsid w:val="005F2796"/>
    <w:rsid w:val="005F4EF1"/>
    <w:rsid w:val="005F4F7F"/>
    <w:rsid w:val="005F6171"/>
    <w:rsid w:val="005F7336"/>
    <w:rsid w:val="005F7C32"/>
    <w:rsid w:val="006016C5"/>
    <w:rsid w:val="00601AEE"/>
    <w:rsid w:val="00603C20"/>
    <w:rsid w:val="00606B42"/>
    <w:rsid w:val="00607B3F"/>
    <w:rsid w:val="00610419"/>
    <w:rsid w:val="00611EEE"/>
    <w:rsid w:val="00612373"/>
    <w:rsid w:val="006128E8"/>
    <w:rsid w:val="00615CA2"/>
    <w:rsid w:val="006162DD"/>
    <w:rsid w:val="00616B00"/>
    <w:rsid w:val="00617191"/>
    <w:rsid w:val="00617CF7"/>
    <w:rsid w:val="00621730"/>
    <w:rsid w:val="0062280C"/>
    <w:rsid w:val="006230A9"/>
    <w:rsid w:val="006231AB"/>
    <w:rsid w:val="0062542F"/>
    <w:rsid w:val="006265EB"/>
    <w:rsid w:val="0062703C"/>
    <w:rsid w:val="006275AA"/>
    <w:rsid w:val="00631FFA"/>
    <w:rsid w:val="006400EF"/>
    <w:rsid w:val="00640E01"/>
    <w:rsid w:val="00640FC0"/>
    <w:rsid w:val="00641C93"/>
    <w:rsid w:val="00642FD9"/>
    <w:rsid w:val="00643053"/>
    <w:rsid w:val="0064596F"/>
    <w:rsid w:val="006461FA"/>
    <w:rsid w:val="00646FA8"/>
    <w:rsid w:val="00647779"/>
    <w:rsid w:val="006507D1"/>
    <w:rsid w:val="00652324"/>
    <w:rsid w:val="006526DA"/>
    <w:rsid w:val="00655BFB"/>
    <w:rsid w:val="006568D4"/>
    <w:rsid w:val="0066022F"/>
    <w:rsid w:val="00660332"/>
    <w:rsid w:val="0066095C"/>
    <w:rsid w:val="00662C3F"/>
    <w:rsid w:val="00663278"/>
    <w:rsid w:val="006637B3"/>
    <w:rsid w:val="00665338"/>
    <w:rsid w:val="0066777D"/>
    <w:rsid w:val="006718B7"/>
    <w:rsid w:val="0067347F"/>
    <w:rsid w:val="006734B4"/>
    <w:rsid w:val="00674AF6"/>
    <w:rsid w:val="00674C3A"/>
    <w:rsid w:val="00674F34"/>
    <w:rsid w:val="00677696"/>
    <w:rsid w:val="00680191"/>
    <w:rsid w:val="006812CB"/>
    <w:rsid w:val="0068243F"/>
    <w:rsid w:val="00683589"/>
    <w:rsid w:val="006857C6"/>
    <w:rsid w:val="00685C1D"/>
    <w:rsid w:val="00687CBB"/>
    <w:rsid w:val="006912AB"/>
    <w:rsid w:val="006A0687"/>
    <w:rsid w:val="006A2A41"/>
    <w:rsid w:val="006A37F9"/>
    <w:rsid w:val="006A5983"/>
    <w:rsid w:val="006A6056"/>
    <w:rsid w:val="006A72DD"/>
    <w:rsid w:val="006A7719"/>
    <w:rsid w:val="006B0914"/>
    <w:rsid w:val="006B0CB0"/>
    <w:rsid w:val="006B2BBC"/>
    <w:rsid w:val="006B402B"/>
    <w:rsid w:val="006B42D1"/>
    <w:rsid w:val="006B52BB"/>
    <w:rsid w:val="006B60FE"/>
    <w:rsid w:val="006B678E"/>
    <w:rsid w:val="006C10DA"/>
    <w:rsid w:val="006C36C2"/>
    <w:rsid w:val="006C6213"/>
    <w:rsid w:val="006C6C44"/>
    <w:rsid w:val="006C7961"/>
    <w:rsid w:val="006D1279"/>
    <w:rsid w:val="006D210F"/>
    <w:rsid w:val="006D2A94"/>
    <w:rsid w:val="006D3E0D"/>
    <w:rsid w:val="006D3FE7"/>
    <w:rsid w:val="006D4CBB"/>
    <w:rsid w:val="006D6265"/>
    <w:rsid w:val="006D7E39"/>
    <w:rsid w:val="006E35BD"/>
    <w:rsid w:val="006E3745"/>
    <w:rsid w:val="006E644B"/>
    <w:rsid w:val="006E65FF"/>
    <w:rsid w:val="006E75A6"/>
    <w:rsid w:val="006E794F"/>
    <w:rsid w:val="006F0ECC"/>
    <w:rsid w:val="006F1165"/>
    <w:rsid w:val="006F2093"/>
    <w:rsid w:val="006F292D"/>
    <w:rsid w:val="006F3067"/>
    <w:rsid w:val="006F42C2"/>
    <w:rsid w:val="006F5B19"/>
    <w:rsid w:val="00700DB7"/>
    <w:rsid w:val="00701690"/>
    <w:rsid w:val="0070368B"/>
    <w:rsid w:val="007069BB"/>
    <w:rsid w:val="00711FF0"/>
    <w:rsid w:val="00712141"/>
    <w:rsid w:val="007123DE"/>
    <w:rsid w:val="007144F4"/>
    <w:rsid w:val="007164B9"/>
    <w:rsid w:val="007164FB"/>
    <w:rsid w:val="00721D23"/>
    <w:rsid w:val="00721FD5"/>
    <w:rsid w:val="0072376D"/>
    <w:rsid w:val="0072529B"/>
    <w:rsid w:val="00725E29"/>
    <w:rsid w:val="007260CA"/>
    <w:rsid w:val="007303B8"/>
    <w:rsid w:val="00733008"/>
    <w:rsid w:val="007332DE"/>
    <w:rsid w:val="00737AE4"/>
    <w:rsid w:val="00740AAD"/>
    <w:rsid w:val="00742385"/>
    <w:rsid w:val="00743812"/>
    <w:rsid w:val="00745ADA"/>
    <w:rsid w:val="00746629"/>
    <w:rsid w:val="00747577"/>
    <w:rsid w:val="007517B2"/>
    <w:rsid w:val="0075193E"/>
    <w:rsid w:val="00752483"/>
    <w:rsid w:val="007527F6"/>
    <w:rsid w:val="007534DB"/>
    <w:rsid w:val="00753CF7"/>
    <w:rsid w:val="00754ECE"/>
    <w:rsid w:val="00757405"/>
    <w:rsid w:val="00760E60"/>
    <w:rsid w:val="0076159F"/>
    <w:rsid w:val="00764F3C"/>
    <w:rsid w:val="00766BBE"/>
    <w:rsid w:val="00770632"/>
    <w:rsid w:val="00770B22"/>
    <w:rsid w:val="0077352A"/>
    <w:rsid w:val="00773980"/>
    <w:rsid w:val="007741CD"/>
    <w:rsid w:val="00774A71"/>
    <w:rsid w:val="00774FF8"/>
    <w:rsid w:val="00775F80"/>
    <w:rsid w:val="00775F81"/>
    <w:rsid w:val="00782A04"/>
    <w:rsid w:val="00783418"/>
    <w:rsid w:val="007835AD"/>
    <w:rsid w:val="00787B1F"/>
    <w:rsid w:val="007916DF"/>
    <w:rsid w:val="0079195B"/>
    <w:rsid w:val="007919A3"/>
    <w:rsid w:val="00791C06"/>
    <w:rsid w:val="0079556B"/>
    <w:rsid w:val="007959AF"/>
    <w:rsid w:val="00796335"/>
    <w:rsid w:val="00796A7A"/>
    <w:rsid w:val="007A00C5"/>
    <w:rsid w:val="007A0E2B"/>
    <w:rsid w:val="007A1B95"/>
    <w:rsid w:val="007A243D"/>
    <w:rsid w:val="007A3691"/>
    <w:rsid w:val="007A46C8"/>
    <w:rsid w:val="007A493E"/>
    <w:rsid w:val="007A4D7E"/>
    <w:rsid w:val="007A61AE"/>
    <w:rsid w:val="007A6CE0"/>
    <w:rsid w:val="007A73F1"/>
    <w:rsid w:val="007A7771"/>
    <w:rsid w:val="007A7B33"/>
    <w:rsid w:val="007A7E11"/>
    <w:rsid w:val="007B0A9C"/>
    <w:rsid w:val="007B174C"/>
    <w:rsid w:val="007B1F4F"/>
    <w:rsid w:val="007B244B"/>
    <w:rsid w:val="007B3344"/>
    <w:rsid w:val="007B3405"/>
    <w:rsid w:val="007B395F"/>
    <w:rsid w:val="007B3D6D"/>
    <w:rsid w:val="007B407E"/>
    <w:rsid w:val="007B4F58"/>
    <w:rsid w:val="007C1885"/>
    <w:rsid w:val="007C1BA0"/>
    <w:rsid w:val="007C1C0A"/>
    <w:rsid w:val="007C3278"/>
    <w:rsid w:val="007C3A3B"/>
    <w:rsid w:val="007C41E1"/>
    <w:rsid w:val="007C4A27"/>
    <w:rsid w:val="007C63C4"/>
    <w:rsid w:val="007C67A8"/>
    <w:rsid w:val="007C6A57"/>
    <w:rsid w:val="007D4241"/>
    <w:rsid w:val="007D493E"/>
    <w:rsid w:val="007D49BB"/>
    <w:rsid w:val="007D50E5"/>
    <w:rsid w:val="007D5AE9"/>
    <w:rsid w:val="007E01E1"/>
    <w:rsid w:val="007E04A2"/>
    <w:rsid w:val="007E0DD6"/>
    <w:rsid w:val="007E25A3"/>
    <w:rsid w:val="007E2840"/>
    <w:rsid w:val="007E4AD3"/>
    <w:rsid w:val="007E7945"/>
    <w:rsid w:val="007F2486"/>
    <w:rsid w:val="007F7679"/>
    <w:rsid w:val="007F796B"/>
    <w:rsid w:val="007F7AB8"/>
    <w:rsid w:val="0080486D"/>
    <w:rsid w:val="00805493"/>
    <w:rsid w:val="008073F7"/>
    <w:rsid w:val="008134A9"/>
    <w:rsid w:val="008149ED"/>
    <w:rsid w:val="008203D2"/>
    <w:rsid w:val="00820AB7"/>
    <w:rsid w:val="0082111A"/>
    <w:rsid w:val="00821D6E"/>
    <w:rsid w:val="00823BB0"/>
    <w:rsid w:val="008263A4"/>
    <w:rsid w:val="00826C16"/>
    <w:rsid w:val="0083061C"/>
    <w:rsid w:val="00830995"/>
    <w:rsid w:val="008310EE"/>
    <w:rsid w:val="008322B8"/>
    <w:rsid w:val="00832878"/>
    <w:rsid w:val="00832B54"/>
    <w:rsid w:val="00832ECA"/>
    <w:rsid w:val="008339C6"/>
    <w:rsid w:val="008361FB"/>
    <w:rsid w:val="00836356"/>
    <w:rsid w:val="00836DD7"/>
    <w:rsid w:val="008374B1"/>
    <w:rsid w:val="00837A0C"/>
    <w:rsid w:val="00840B80"/>
    <w:rsid w:val="00841C7D"/>
    <w:rsid w:val="00842651"/>
    <w:rsid w:val="00843D0D"/>
    <w:rsid w:val="00845950"/>
    <w:rsid w:val="008517AE"/>
    <w:rsid w:val="00851896"/>
    <w:rsid w:val="0085205A"/>
    <w:rsid w:val="00852839"/>
    <w:rsid w:val="00854165"/>
    <w:rsid w:val="008565DA"/>
    <w:rsid w:val="00856BE7"/>
    <w:rsid w:val="00857730"/>
    <w:rsid w:val="00857C9F"/>
    <w:rsid w:val="00860505"/>
    <w:rsid w:val="00860B75"/>
    <w:rsid w:val="00862B68"/>
    <w:rsid w:val="0086411B"/>
    <w:rsid w:val="0086665C"/>
    <w:rsid w:val="008710F2"/>
    <w:rsid w:val="00875631"/>
    <w:rsid w:val="00875F96"/>
    <w:rsid w:val="008767A9"/>
    <w:rsid w:val="00876998"/>
    <w:rsid w:val="00876A75"/>
    <w:rsid w:val="0087741D"/>
    <w:rsid w:val="00882B46"/>
    <w:rsid w:val="00883F82"/>
    <w:rsid w:val="00885D0A"/>
    <w:rsid w:val="00891775"/>
    <w:rsid w:val="00891951"/>
    <w:rsid w:val="0089281F"/>
    <w:rsid w:val="0089368F"/>
    <w:rsid w:val="00894DA4"/>
    <w:rsid w:val="00895441"/>
    <w:rsid w:val="00897AE2"/>
    <w:rsid w:val="008A1198"/>
    <w:rsid w:val="008A16C7"/>
    <w:rsid w:val="008A1FC1"/>
    <w:rsid w:val="008A2069"/>
    <w:rsid w:val="008A31AB"/>
    <w:rsid w:val="008A3431"/>
    <w:rsid w:val="008A37BF"/>
    <w:rsid w:val="008A4020"/>
    <w:rsid w:val="008A64E8"/>
    <w:rsid w:val="008B0970"/>
    <w:rsid w:val="008B11F2"/>
    <w:rsid w:val="008B1A32"/>
    <w:rsid w:val="008B5BED"/>
    <w:rsid w:val="008B7C55"/>
    <w:rsid w:val="008C0F4D"/>
    <w:rsid w:val="008C0F68"/>
    <w:rsid w:val="008C48DA"/>
    <w:rsid w:val="008C5684"/>
    <w:rsid w:val="008C654B"/>
    <w:rsid w:val="008C6BCA"/>
    <w:rsid w:val="008C6E8B"/>
    <w:rsid w:val="008C7550"/>
    <w:rsid w:val="008C7983"/>
    <w:rsid w:val="008C7EB9"/>
    <w:rsid w:val="008C7EC8"/>
    <w:rsid w:val="008D0FFD"/>
    <w:rsid w:val="008D19C7"/>
    <w:rsid w:val="008D1D09"/>
    <w:rsid w:val="008D1FF5"/>
    <w:rsid w:val="008D36F6"/>
    <w:rsid w:val="008E0C57"/>
    <w:rsid w:val="008E23DF"/>
    <w:rsid w:val="008E3E59"/>
    <w:rsid w:val="008E403C"/>
    <w:rsid w:val="008E46EB"/>
    <w:rsid w:val="008E525D"/>
    <w:rsid w:val="008E5347"/>
    <w:rsid w:val="008E5D86"/>
    <w:rsid w:val="008E6156"/>
    <w:rsid w:val="008E6565"/>
    <w:rsid w:val="008F0689"/>
    <w:rsid w:val="008F1CDA"/>
    <w:rsid w:val="008F29F8"/>
    <w:rsid w:val="008F2FEB"/>
    <w:rsid w:val="008F37A9"/>
    <w:rsid w:val="008F3EB1"/>
    <w:rsid w:val="008F45C8"/>
    <w:rsid w:val="008F4AF5"/>
    <w:rsid w:val="008F5EFC"/>
    <w:rsid w:val="008F7478"/>
    <w:rsid w:val="00900F59"/>
    <w:rsid w:val="009010D0"/>
    <w:rsid w:val="00903F5D"/>
    <w:rsid w:val="00905624"/>
    <w:rsid w:val="0090597F"/>
    <w:rsid w:val="00910F05"/>
    <w:rsid w:val="009127E4"/>
    <w:rsid w:val="00912D37"/>
    <w:rsid w:val="009144A2"/>
    <w:rsid w:val="00915305"/>
    <w:rsid w:val="0091584A"/>
    <w:rsid w:val="00915BDF"/>
    <w:rsid w:val="00917804"/>
    <w:rsid w:val="00920BFE"/>
    <w:rsid w:val="009220AD"/>
    <w:rsid w:val="00923EAB"/>
    <w:rsid w:val="00924F1A"/>
    <w:rsid w:val="00924FA4"/>
    <w:rsid w:val="00925447"/>
    <w:rsid w:val="00925D10"/>
    <w:rsid w:val="00925FAE"/>
    <w:rsid w:val="009275E5"/>
    <w:rsid w:val="0093094B"/>
    <w:rsid w:val="009312AE"/>
    <w:rsid w:val="00932605"/>
    <w:rsid w:val="00933535"/>
    <w:rsid w:val="009343FB"/>
    <w:rsid w:val="00935F67"/>
    <w:rsid w:val="00935FDB"/>
    <w:rsid w:val="0093693A"/>
    <w:rsid w:val="00937477"/>
    <w:rsid w:val="00937A22"/>
    <w:rsid w:val="00940C90"/>
    <w:rsid w:val="0094338D"/>
    <w:rsid w:val="0094342A"/>
    <w:rsid w:val="00944A1B"/>
    <w:rsid w:val="00952FF8"/>
    <w:rsid w:val="0095359D"/>
    <w:rsid w:val="009565C1"/>
    <w:rsid w:val="00960845"/>
    <w:rsid w:val="009608AB"/>
    <w:rsid w:val="00960CBA"/>
    <w:rsid w:val="009636F2"/>
    <w:rsid w:val="00963F82"/>
    <w:rsid w:val="009645A2"/>
    <w:rsid w:val="009671F5"/>
    <w:rsid w:val="009677B5"/>
    <w:rsid w:val="00967A48"/>
    <w:rsid w:val="00971B4F"/>
    <w:rsid w:val="009738C6"/>
    <w:rsid w:val="00974996"/>
    <w:rsid w:val="009766D9"/>
    <w:rsid w:val="00976D3F"/>
    <w:rsid w:val="009778FB"/>
    <w:rsid w:val="0098484C"/>
    <w:rsid w:val="009871C6"/>
    <w:rsid w:val="00990553"/>
    <w:rsid w:val="00991F30"/>
    <w:rsid w:val="00993C6B"/>
    <w:rsid w:val="0099578F"/>
    <w:rsid w:val="00997FC4"/>
    <w:rsid w:val="009A0002"/>
    <w:rsid w:val="009A0286"/>
    <w:rsid w:val="009A17CF"/>
    <w:rsid w:val="009A2369"/>
    <w:rsid w:val="009A326B"/>
    <w:rsid w:val="009A5FAA"/>
    <w:rsid w:val="009B0912"/>
    <w:rsid w:val="009B3011"/>
    <w:rsid w:val="009B3F6C"/>
    <w:rsid w:val="009B4213"/>
    <w:rsid w:val="009B51B7"/>
    <w:rsid w:val="009B5ABC"/>
    <w:rsid w:val="009C48DC"/>
    <w:rsid w:val="009C7F74"/>
    <w:rsid w:val="009D07B0"/>
    <w:rsid w:val="009D089F"/>
    <w:rsid w:val="009D15D5"/>
    <w:rsid w:val="009D1802"/>
    <w:rsid w:val="009D3705"/>
    <w:rsid w:val="009D3DCE"/>
    <w:rsid w:val="009E1DFA"/>
    <w:rsid w:val="009E1FEE"/>
    <w:rsid w:val="009E2A91"/>
    <w:rsid w:val="009E32E7"/>
    <w:rsid w:val="009E7151"/>
    <w:rsid w:val="009E7DBD"/>
    <w:rsid w:val="009F4DE8"/>
    <w:rsid w:val="009F52B4"/>
    <w:rsid w:val="00A00825"/>
    <w:rsid w:val="00A01204"/>
    <w:rsid w:val="00A03A5F"/>
    <w:rsid w:val="00A03D46"/>
    <w:rsid w:val="00A0508B"/>
    <w:rsid w:val="00A05B28"/>
    <w:rsid w:val="00A06A61"/>
    <w:rsid w:val="00A14577"/>
    <w:rsid w:val="00A14D9B"/>
    <w:rsid w:val="00A14DC1"/>
    <w:rsid w:val="00A14DDA"/>
    <w:rsid w:val="00A167FB"/>
    <w:rsid w:val="00A21BAC"/>
    <w:rsid w:val="00A23BA5"/>
    <w:rsid w:val="00A26337"/>
    <w:rsid w:val="00A26F75"/>
    <w:rsid w:val="00A307AE"/>
    <w:rsid w:val="00A31C9B"/>
    <w:rsid w:val="00A322EF"/>
    <w:rsid w:val="00A335C8"/>
    <w:rsid w:val="00A34CCD"/>
    <w:rsid w:val="00A34E90"/>
    <w:rsid w:val="00A376C8"/>
    <w:rsid w:val="00A378F3"/>
    <w:rsid w:val="00A43770"/>
    <w:rsid w:val="00A475F1"/>
    <w:rsid w:val="00A47AAA"/>
    <w:rsid w:val="00A51228"/>
    <w:rsid w:val="00A5130D"/>
    <w:rsid w:val="00A51AA8"/>
    <w:rsid w:val="00A55473"/>
    <w:rsid w:val="00A56F21"/>
    <w:rsid w:val="00A607D0"/>
    <w:rsid w:val="00A60EDC"/>
    <w:rsid w:val="00A621AE"/>
    <w:rsid w:val="00A62796"/>
    <w:rsid w:val="00A62E0E"/>
    <w:rsid w:val="00A64F69"/>
    <w:rsid w:val="00A65D57"/>
    <w:rsid w:val="00A65D6A"/>
    <w:rsid w:val="00A65FE0"/>
    <w:rsid w:val="00A67198"/>
    <w:rsid w:val="00A70862"/>
    <w:rsid w:val="00A70D5A"/>
    <w:rsid w:val="00A71A6C"/>
    <w:rsid w:val="00A72ACD"/>
    <w:rsid w:val="00A72C3A"/>
    <w:rsid w:val="00A72FB9"/>
    <w:rsid w:val="00A7307D"/>
    <w:rsid w:val="00A741DC"/>
    <w:rsid w:val="00A74D00"/>
    <w:rsid w:val="00A76F43"/>
    <w:rsid w:val="00A80907"/>
    <w:rsid w:val="00A81210"/>
    <w:rsid w:val="00A81B04"/>
    <w:rsid w:val="00A8279C"/>
    <w:rsid w:val="00A82ACC"/>
    <w:rsid w:val="00A83961"/>
    <w:rsid w:val="00A86D2B"/>
    <w:rsid w:val="00A879E4"/>
    <w:rsid w:val="00A87BCF"/>
    <w:rsid w:val="00A92905"/>
    <w:rsid w:val="00A93088"/>
    <w:rsid w:val="00A9318A"/>
    <w:rsid w:val="00A94393"/>
    <w:rsid w:val="00A95E83"/>
    <w:rsid w:val="00A961F2"/>
    <w:rsid w:val="00A9736E"/>
    <w:rsid w:val="00AA037D"/>
    <w:rsid w:val="00AA3A50"/>
    <w:rsid w:val="00AA5DCF"/>
    <w:rsid w:val="00AB021E"/>
    <w:rsid w:val="00AB1FF0"/>
    <w:rsid w:val="00AB2B4D"/>
    <w:rsid w:val="00AB33DD"/>
    <w:rsid w:val="00AB47D5"/>
    <w:rsid w:val="00AB47DB"/>
    <w:rsid w:val="00AB49AD"/>
    <w:rsid w:val="00AB4F7F"/>
    <w:rsid w:val="00AB6040"/>
    <w:rsid w:val="00AB6417"/>
    <w:rsid w:val="00AB6EC4"/>
    <w:rsid w:val="00AC06CA"/>
    <w:rsid w:val="00AC23E1"/>
    <w:rsid w:val="00AC2503"/>
    <w:rsid w:val="00AD37C5"/>
    <w:rsid w:val="00AD4150"/>
    <w:rsid w:val="00AD52D0"/>
    <w:rsid w:val="00AD5CCB"/>
    <w:rsid w:val="00AD644C"/>
    <w:rsid w:val="00AD6B03"/>
    <w:rsid w:val="00AD75A8"/>
    <w:rsid w:val="00AD7ED1"/>
    <w:rsid w:val="00AE165D"/>
    <w:rsid w:val="00AE1C2B"/>
    <w:rsid w:val="00AE34B5"/>
    <w:rsid w:val="00AE37B5"/>
    <w:rsid w:val="00AE4491"/>
    <w:rsid w:val="00AE48FF"/>
    <w:rsid w:val="00AE4AE8"/>
    <w:rsid w:val="00AE593A"/>
    <w:rsid w:val="00AE73E5"/>
    <w:rsid w:val="00AF0302"/>
    <w:rsid w:val="00AF05BC"/>
    <w:rsid w:val="00AF1F6F"/>
    <w:rsid w:val="00AF241B"/>
    <w:rsid w:val="00AF3B5C"/>
    <w:rsid w:val="00AF4B25"/>
    <w:rsid w:val="00AF515F"/>
    <w:rsid w:val="00B005D1"/>
    <w:rsid w:val="00B00972"/>
    <w:rsid w:val="00B010DC"/>
    <w:rsid w:val="00B04492"/>
    <w:rsid w:val="00B1012C"/>
    <w:rsid w:val="00B1562F"/>
    <w:rsid w:val="00B15AFB"/>
    <w:rsid w:val="00B21660"/>
    <w:rsid w:val="00B21F0D"/>
    <w:rsid w:val="00B2418F"/>
    <w:rsid w:val="00B25152"/>
    <w:rsid w:val="00B25D7F"/>
    <w:rsid w:val="00B25DA1"/>
    <w:rsid w:val="00B31AEC"/>
    <w:rsid w:val="00B33937"/>
    <w:rsid w:val="00B363E3"/>
    <w:rsid w:val="00B370B3"/>
    <w:rsid w:val="00B37873"/>
    <w:rsid w:val="00B40EC6"/>
    <w:rsid w:val="00B44189"/>
    <w:rsid w:val="00B45963"/>
    <w:rsid w:val="00B467AD"/>
    <w:rsid w:val="00B46EAC"/>
    <w:rsid w:val="00B521BE"/>
    <w:rsid w:val="00B5316B"/>
    <w:rsid w:val="00B54524"/>
    <w:rsid w:val="00B5461D"/>
    <w:rsid w:val="00B5566A"/>
    <w:rsid w:val="00B55C17"/>
    <w:rsid w:val="00B568CA"/>
    <w:rsid w:val="00B615D8"/>
    <w:rsid w:val="00B618AC"/>
    <w:rsid w:val="00B621AB"/>
    <w:rsid w:val="00B62302"/>
    <w:rsid w:val="00B6232D"/>
    <w:rsid w:val="00B64CB4"/>
    <w:rsid w:val="00B6690F"/>
    <w:rsid w:val="00B678D5"/>
    <w:rsid w:val="00B67992"/>
    <w:rsid w:val="00B67A34"/>
    <w:rsid w:val="00B67B40"/>
    <w:rsid w:val="00B67BCA"/>
    <w:rsid w:val="00B72FA8"/>
    <w:rsid w:val="00B7536B"/>
    <w:rsid w:val="00B763A1"/>
    <w:rsid w:val="00B826EB"/>
    <w:rsid w:val="00B84751"/>
    <w:rsid w:val="00B8494A"/>
    <w:rsid w:val="00B870C1"/>
    <w:rsid w:val="00B9069B"/>
    <w:rsid w:val="00B91D9C"/>
    <w:rsid w:val="00B93A30"/>
    <w:rsid w:val="00B94AB3"/>
    <w:rsid w:val="00BA2005"/>
    <w:rsid w:val="00BA28A7"/>
    <w:rsid w:val="00BA3266"/>
    <w:rsid w:val="00BA60DC"/>
    <w:rsid w:val="00BA6B34"/>
    <w:rsid w:val="00BB04EE"/>
    <w:rsid w:val="00BB403C"/>
    <w:rsid w:val="00BB4E1C"/>
    <w:rsid w:val="00BC18BD"/>
    <w:rsid w:val="00BC1FCD"/>
    <w:rsid w:val="00BC36E9"/>
    <w:rsid w:val="00BC3715"/>
    <w:rsid w:val="00BC5266"/>
    <w:rsid w:val="00BC5BFA"/>
    <w:rsid w:val="00BC67BD"/>
    <w:rsid w:val="00BC6EAF"/>
    <w:rsid w:val="00BD09B6"/>
    <w:rsid w:val="00BD1F5E"/>
    <w:rsid w:val="00BD2187"/>
    <w:rsid w:val="00BD2C23"/>
    <w:rsid w:val="00BD32EC"/>
    <w:rsid w:val="00BD376E"/>
    <w:rsid w:val="00BD5308"/>
    <w:rsid w:val="00BD585E"/>
    <w:rsid w:val="00BD6FF8"/>
    <w:rsid w:val="00BE2B93"/>
    <w:rsid w:val="00BE3107"/>
    <w:rsid w:val="00BE4897"/>
    <w:rsid w:val="00BE5F12"/>
    <w:rsid w:val="00BE5F7A"/>
    <w:rsid w:val="00BE73AC"/>
    <w:rsid w:val="00BF31F8"/>
    <w:rsid w:val="00BF33BE"/>
    <w:rsid w:val="00BF38D6"/>
    <w:rsid w:val="00BF3C1E"/>
    <w:rsid w:val="00BF3E2A"/>
    <w:rsid w:val="00BF5967"/>
    <w:rsid w:val="00BF5E3C"/>
    <w:rsid w:val="00BF6395"/>
    <w:rsid w:val="00BF664F"/>
    <w:rsid w:val="00BF6B85"/>
    <w:rsid w:val="00BF7610"/>
    <w:rsid w:val="00C025CF"/>
    <w:rsid w:val="00C03838"/>
    <w:rsid w:val="00C046EE"/>
    <w:rsid w:val="00C0530B"/>
    <w:rsid w:val="00C068AF"/>
    <w:rsid w:val="00C10869"/>
    <w:rsid w:val="00C10C4D"/>
    <w:rsid w:val="00C13F06"/>
    <w:rsid w:val="00C16C53"/>
    <w:rsid w:val="00C20921"/>
    <w:rsid w:val="00C2092F"/>
    <w:rsid w:val="00C219A6"/>
    <w:rsid w:val="00C22CAC"/>
    <w:rsid w:val="00C2344D"/>
    <w:rsid w:val="00C24086"/>
    <w:rsid w:val="00C259E3"/>
    <w:rsid w:val="00C33CAD"/>
    <w:rsid w:val="00C3502E"/>
    <w:rsid w:val="00C40344"/>
    <w:rsid w:val="00C4048E"/>
    <w:rsid w:val="00C4121F"/>
    <w:rsid w:val="00C41547"/>
    <w:rsid w:val="00C41F3F"/>
    <w:rsid w:val="00C436F3"/>
    <w:rsid w:val="00C43896"/>
    <w:rsid w:val="00C4461E"/>
    <w:rsid w:val="00C44B4C"/>
    <w:rsid w:val="00C45EAC"/>
    <w:rsid w:val="00C46540"/>
    <w:rsid w:val="00C50448"/>
    <w:rsid w:val="00C5060F"/>
    <w:rsid w:val="00C506EA"/>
    <w:rsid w:val="00C512E0"/>
    <w:rsid w:val="00C51825"/>
    <w:rsid w:val="00C52073"/>
    <w:rsid w:val="00C52331"/>
    <w:rsid w:val="00C5533C"/>
    <w:rsid w:val="00C609E9"/>
    <w:rsid w:val="00C61B0B"/>
    <w:rsid w:val="00C61F68"/>
    <w:rsid w:val="00C62314"/>
    <w:rsid w:val="00C633D2"/>
    <w:rsid w:val="00C63AE6"/>
    <w:rsid w:val="00C65F88"/>
    <w:rsid w:val="00C700EA"/>
    <w:rsid w:val="00C7151F"/>
    <w:rsid w:val="00C74178"/>
    <w:rsid w:val="00C779BC"/>
    <w:rsid w:val="00C81540"/>
    <w:rsid w:val="00C81BA6"/>
    <w:rsid w:val="00C820D0"/>
    <w:rsid w:val="00C86C66"/>
    <w:rsid w:val="00C90238"/>
    <w:rsid w:val="00C91605"/>
    <w:rsid w:val="00C92A4B"/>
    <w:rsid w:val="00C9346F"/>
    <w:rsid w:val="00C93652"/>
    <w:rsid w:val="00C94455"/>
    <w:rsid w:val="00C9497A"/>
    <w:rsid w:val="00C94C33"/>
    <w:rsid w:val="00C957C9"/>
    <w:rsid w:val="00C9630F"/>
    <w:rsid w:val="00C963C8"/>
    <w:rsid w:val="00CA03B8"/>
    <w:rsid w:val="00CA0828"/>
    <w:rsid w:val="00CA102E"/>
    <w:rsid w:val="00CA40B0"/>
    <w:rsid w:val="00CA6D37"/>
    <w:rsid w:val="00CB271C"/>
    <w:rsid w:val="00CB2D6D"/>
    <w:rsid w:val="00CB3596"/>
    <w:rsid w:val="00CB40FF"/>
    <w:rsid w:val="00CB4639"/>
    <w:rsid w:val="00CB4FA8"/>
    <w:rsid w:val="00CB7034"/>
    <w:rsid w:val="00CC0438"/>
    <w:rsid w:val="00CC14CA"/>
    <w:rsid w:val="00CC1892"/>
    <w:rsid w:val="00CC28B5"/>
    <w:rsid w:val="00CC2B6F"/>
    <w:rsid w:val="00CC41B9"/>
    <w:rsid w:val="00CC6BF9"/>
    <w:rsid w:val="00CD05B6"/>
    <w:rsid w:val="00CD1289"/>
    <w:rsid w:val="00CD1563"/>
    <w:rsid w:val="00CD215C"/>
    <w:rsid w:val="00CD2B45"/>
    <w:rsid w:val="00CD30CA"/>
    <w:rsid w:val="00CD3896"/>
    <w:rsid w:val="00CD4451"/>
    <w:rsid w:val="00CD5423"/>
    <w:rsid w:val="00CD6589"/>
    <w:rsid w:val="00CD766D"/>
    <w:rsid w:val="00CD7D8D"/>
    <w:rsid w:val="00CE21FB"/>
    <w:rsid w:val="00CE2DB9"/>
    <w:rsid w:val="00CE3AB1"/>
    <w:rsid w:val="00CE4C45"/>
    <w:rsid w:val="00CE70F4"/>
    <w:rsid w:val="00CF3694"/>
    <w:rsid w:val="00CF4BFB"/>
    <w:rsid w:val="00CF64DE"/>
    <w:rsid w:val="00D003A7"/>
    <w:rsid w:val="00D01BBC"/>
    <w:rsid w:val="00D04A3B"/>
    <w:rsid w:val="00D0591C"/>
    <w:rsid w:val="00D059C4"/>
    <w:rsid w:val="00D067F1"/>
    <w:rsid w:val="00D06CD4"/>
    <w:rsid w:val="00D10662"/>
    <w:rsid w:val="00D12819"/>
    <w:rsid w:val="00D149EA"/>
    <w:rsid w:val="00D17447"/>
    <w:rsid w:val="00D17BCF"/>
    <w:rsid w:val="00D2106F"/>
    <w:rsid w:val="00D266AA"/>
    <w:rsid w:val="00D2753C"/>
    <w:rsid w:val="00D31737"/>
    <w:rsid w:val="00D317CE"/>
    <w:rsid w:val="00D3260C"/>
    <w:rsid w:val="00D32E49"/>
    <w:rsid w:val="00D32EB9"/>
    <w:rsid w:val="00D35C13"/>
    <w:rsid w:val="00D36772"/>
    <w:rsid w:val="00D3709F"/>
    <w:rsid w:val="00D37FDF"/>
    <w:rsid w:val="00D44201"/>
    <w:rsid w:val="00D449A0"/>
    <w:rsid w:val="00D45301"/>
    <w:rsid w:val="00D458C9"/>
    <w:rsid w:val="00D51B3F"/>
    <w:rsid w:val="00D56306"/>
    <w:rsid w:val="00D57352"/>
    <w:rsid w:val="00D62775"/>
    <w:rsid w:val="00D629FE"/>
    <w:rsid w:val="00D64930"/>
    <w:rsid w:val="00D6531C"/>
    <w:rsid w:val="00D66062"/>
    <w:rsid w:val="00D670CB"/>
    <w:rsid w:val="00D70611"/>
    <w:rsid w:val="00D71EB8"/>
    <w:rsid w:val="00D729CA"/>
    <w:rsid w:val="00D72A74"/>
    <w:rsid w:val="00D7510F"/>
    <w:rsid w:val="00D76291"/>
    <w:rsid w:val="00D80C4C"/>
    <w:rsid w:val="00D821D8"/>
    <w:rsid w:val="00D82C34"/>
    <w:rsid w:val="00D83C6D"/>
    <w:rsid w:val="00D83E69"/>
    <w:rsid w:val="00D852CF"/>
    <w:rsid w:val="00D856F4"/>
    <w:rsid w:val="00D856F8"/>
    <w:rsid w:val="00D87744"/>
    <w:rsid w:val="00D9153C"/>
    <w:rsid w:val="00D93A82"/>
    <w:rsid w:val="00D93A98"/>
    <w:rsid w:val="00D93FF7"/>
    <w:rsid w:val="00D941AB"/>
    <w:rsid w:val="00D960DF"/>
    <w:rsid w:val="00D96A03"/>
    <w:rsid w:val="00D9789E"/>
    <w:rsid w:val="00D97E6F"/>
    <w:rsid w:val="00DA00D5"/>
    <w:rsid w:val="00DA0622"/>
    <w:rsid w:val="00DA0667"/>
    <w:rsid w:val="00DA0EB1"/>
    <w:rsid w:val="00DA105E"/>
    <w:rsid w:val="00DA1465"/>
    <w:rsid w:val="00DA1609"/>
    <w:rsid w:val="00DA21F5"/>
    <w:rsid w:val="00DA35B9"/>
    <w:rsid w:val="00DA478B"/>
    <w:rsid w:val="00DA4A04"/>
    <w:rsid w:val="00DB09F4"/>
    <w:rsid w:val="00DB1E63"/>
    <w:rsid w:val="00DB2EB6"/>
    <w:rsid w:val="00DB347E"/>
    <w:rsid w:val="00DB58A0"/>
    <w:rsid w:val="00DB58CB"/>
    <w:rsid w:val="00DB69B6"/>
    <w:rsid w:val="00DB7B65"/>
    <w:rsid w:val="00DC5A62"/>
    <w:rsid w:val="00DC69E4"/>
    <w:rsid w:val="00DD19A5"/>
    <w:rsid w:val="00DD3D7D"/>
    <w:rsid w:val="00DD517B"/>
    <w:rsid w:val="00DD5BEF"/>
    <w:rsid w:val="00DD5EBE"/>
    <w:rsid w:val="00DE0422"/>
    <w:rsid w:val="00DE0530"/>
    <w:rsid w:val="00DE05A3"/>
    <w:rsid w:val="00DE0DF8"/>
    <w:rsid w:val="00DE39C2"/>
    <w:rsid w:val="00DE43AF"/>
    <w:rsid w:val="00DE4C9C"/>
    <w:rsid w:val="00DF0E0A"/>
    <w:rsid w:val="00DF1864"/>
    <w:rsid w:val="00DF4C16"/>
    <w:rsid w:val="00DF66B4"/>
    <w:rsid w:val="00DF7206"/>
    <w:rsid w:val="00E024B3"/>
    <w:rsid w:val="00E0443C"/>
    <w:rsid w:val="00E06582"/>
    <w:rsid w:val="00E076A9"/>
    <w:rsid w:val="00E13489"/>
    <w:rsid w:val="00E14E9B"/>
    <w:rsid w:val="00E15DFA"/>
    <w:rsid w:val="00E20280"/>
    <w:rsid w:val="00E22566"/>
    <w:rsid w:val="00E30C6E"/>
    <w:rsid w:val="00E31A4F"/>
    <w:rsid w:val="00E356F8"/>
    <w:rsid w:val="00E3733F"/>
    <w:rsid w:val="00E375C2"/>
    <w:rsid w:val="00E4144F"/>
    <w:rsid w:val="00E435D2"/>
    <w:rsid w:val="00E44203"/>
    <w:rsid w:val="00E44F19"/>
    <w:rsid w:val="00E4513F"/>
    <w:rsid w:val="00E460EF"/>
    <w:rsid w:val="00E46AC7"/>
    <w:rsid w:val="00E46C01"/>
    <w:rsid w:val="00E47ED6"/>
    <w:rsid w:val="00E51F52"/>
    <w:rsid w:val="00E529E1"/>
    <w:rsid w:val="00E54ED2"/>
    <w:rsid w:val="00E56B85"/>
    <w:rsid w:val="00E60C18"/>
    <w:rsid w:val="00E6122D"/>
    <w:rsid w:val="00E635BE"/>
    <w:rsid w:val="00E6378F"/>
    <w:rsid w:val="00E64996"/>
    <w:rsid w:val="00E67216"/>
    <w:rsid w:val="00E67469"/>
    <w:rsid w:val="00E70704"/>
    <w:rsid w:val="00E71913"/>
    <w:rsid w:val="00E72D46"/>
    <w:rsid w:val="00E75662"/>
    <w:rsid w:val="00E76B34"/>
    <w:rsid w:val="00E7720F"/>
    <w:rsid w:val="00E81D50"/>
    <w:rsid w:val="00E834CC"/>
    <w:rsid w:val="00E83F26"/>
    <w:rsid w:val="00E84742"/>
    <w:rsid w:val="00E8643F"/>
    <w:rsid w:val="00E86745"/>
    <w:rsid w:val="00E90435"/>
    <w:rsid w:val="00E9287C"/>
    <w:rsid w:val="00E92B24"/>
    <w:rsid w:val="00E92BE7"/>
    <w:rsid w:val="00E9438F"/>
    <w:rsid w:val="00E96C3A"/>
    <w:rsid w:val="00E97C0B"/>
    <w:rsid w:val="00E97E09"/>
    <w:rsid w:val="00EA0B20"/>
    <w:rsid w:val="00EA1CF8"/>
    <w:rsid w:val="00EA243C"/>
    <w:rsid w:val="00EA2742"/>
    <w:rsid w:val="00EA29CF"/>
    <w:rsid w:val="00EB79E0"/>
    <w:rsid w:val="00EC00A4"/>
    <w:rsid w:val="00EC2B8B"/>
    <w:rsid w:val="00EC3225"/>
    <w:rsid w:val="00EC33C3"/>
    <w:rsid w:val="00EC35AD"/>
    <w:rsid w:val="00EC48F5"/>
    <w:rsid w:val="00EC551F"/>
    <w:rsid w:val="00EC5EFB"/>
    <w:rsid w:val="00EC766B"/>
    <w:rsid w:val="00ED0537"/>
    <w:rsid w:val="00ED0C25"/>
    <w:rsid w:val="00ED13D8"/>
    <w:rsid w:val="00ED2697"/>
    <w:rsid w:val="00ED3B7D"/>
    <w:rsid w:val="00ED4623"/>
    <w:rsid w:val="00ED579A"/>
    <w:rsid w:val="00ED59ED"/>
    <w:rsid w:val="00ED6047"/>
    <w:rsid w:val="00ED6521"/>
    <w:rsid w:val="00ED65C3"/>
    <w:rsid w:val="00ED6CFE"/>
    <w:rsid w:val="00ED7A52"/>
    <w:rsid w:val="00EE0584"/>
    <w:rsid w:val="00EE06C4"/>
    <w:rsid w:val="00EE24C6"/>
    <w:rsid w:val="00EE31E5"/>
    <w:rsid w:val="00EE3534"/>
    <w:rsid w:val="00EE4C06"/>
    <w:rsid w:val="00EE568F"/>
    <w:rsid w:val="00EE67AA"/>
    <w:rsid w:val="00EE682F"/>
    <w:rsid w:val="00EE6B56"/>
    <w:rsid w:val="00EE6C60"/>
    <w:rsid w:val="00EE6EBD"/>
    <w:rsid w:val="00EE788D"/>
    <w:rsid w:val="00EE7911"/>
    <w:rsid w:val="00EF2CE5"/>
    <w:rsid w:val="00EF3886"/>
    <w:rsid w:val="00EF7852"/>
    <w:rsid w:val="00F010BE"/>
    <w:rsid w:val="00F016F6"/>
    <w:rsid w:val="00F051E3"/>
    <w:rsid w:val="00F11B1B"/>
    <w:rsid w:val="00F121C4"/>
    <w:rsid w:val="00F1262F"/>
    <w:rsid w:val="00F15134"/>
    <w:rsid w:val="00F17245"/>
    <w:rsid w:val="00F20AE0"/>
    <w:rsid w:val="00F21D33"/>
    <w:rsid w:val="00F22A55"/>
    <w:rsid w:val="00F23101"/>
    <w:rsid w:val="00F26226"/>
    <w:rsid w:val="00F26537"/>
    <w:rsid w:val="00F26D09"/>
    <w:rsid w:val="00F27FB2"/>
    <w:rsid w:val="00F30799"/>
    <w:rsid w:val="00F32897"/>
    <w:rsid w:val="00F32D25"/>
    <w:rsid w:val="00F341A9"/>
    <w:rsid w:val="00F36B44"/>
    <w:rsid w:val="00F44932"/>
    <w:rsid w:val="00F4630A"/>
    <w:rsid w:val="00F46CA7"/>
    <w:rsid w:val="00F47D50"/>
    <w:rsid w:val="00F52CC4"/>
    <w:rsid w:val="00F53B51"/>
    <w:rsid w:val="00F54212"/>
    <w:rsid w:val="00F56DB0"/>
    <w:rsid w:val="00F60282"/>
    <w:rsid w:val="00F654FA"/>
    <w:rsid w:val="00F66E71"/>
    <w:rsid w:val="00F67769"/>
    <w:rsid w:val="00F67AF9"/>
    <w:rsid w:val="00F7023B"/>
    <w:rsid w:val="00F7348A"/>
    <w:rsid w:val="00F73653"/>
    <w:rsid w:val="00F758DF"/>
    <w:rsid w:val="00F76DF5"/>
    <w:rsid w:val="00F7733F"/>
    <w:rsid w:val="00F81A1F"/>
    <w:rsid w:val="00F82061"/>
    <w:rsid w:val="00F82C7D"/>
    <w:rsid w:val="00F85A25"/>
    <w:rsid w:val="00F85BAC"/>
    <w:rsid w:val="00F87669"/>
    <w:rsid w:val="00F87913"/>
    <w:rsid w:val="00F90088"/>
    <w:rsid w:val="00F92D15"/>
    <w:rsid w:val="00F92DC1"/>
    <w:rsid w:val="00F93083"/>
    <w:rsid w:val="00F93C6E"/>
    <w:rsid w:val="00F95BF4"/>
    <w:rsid w:val="00F97404"/>
    <w:rsid w:val="00FA043E"/>
    <w:rsid w:val="00FA10F8"/>
    <w:rsid w:val="00FA1E25"/>
    <w:rsid w:val="00FA1F6D"/>
    <w:rsid w:val="00FA3857"/>
    <w:rsid w:val="00FA3B5D"/>
    <w:rsid w:val="00FA45C2"/>
    <w:rsid w:val="00FA7966"/>
    <w:rsid w:val="00FB010D"/>
    <w:rsid w:val="00FB201F"/>
    <w:rsid w:val="00FB2049"/>
    <w:rsid w:val="00FB2CCC"/>
    <w:rsid w:val="00FB30B9"/>
    <w:rsid w:val="00FB45D2"/>
    <w:rsid w:val="00FB50D8"/>
    <w:rsid w:val="00FB6857"/>
    <w:rsid w:val="00FB7205"/>
    <w:rsid w:val="00FB7547"/>
    <w:rsid w:val="00FC02D5"/>
    <w:rsid w:val="00FC0A73"/>
    <w:rsid w:val="00FC12A9"/>
    <w:rsid w:val="00FC246C"/>
    <w:rsid w:val="00FC2E38"/>
    <w:rsid w:val="00FC3414"/>
    <w:rsid w:val="00FC42E0"/>
    <w:rsid w:val="00FC5561"/>
    <w:rsid w:val="00FC5672"/>
    <w:rsid w:val="00FC5835"/>
    <w:rsid w:val="00FC5F2B"/>
    <w:rsid w:val="00FC6196"/>
    <w:rsid w:val="00FC68C8"/>
    <w:rsid w:val="00FC6FFC"/>
    <w:rsid w:val="00FC70AE"/>
    <w:rsid w:val="00FC729F"/>
    <w:rsid w:val="00FD0E83"/>
    <w:rsid w:val="00FD18F1"/>
    <w:rsid w:val="00FD1F6A"/>
    <w:rsid w:val="00FD2509"/>
    <w:rsid w:val="00FD25F5"/>
    <w:rsid w:val="00FD371D"/>
    <w:rsid w:val="00FD3A28"/>
    <w:rsid w:val="00FD423B"/>
    <w:rsid w:val="00FD5F7F"/>
    <w:rsid w:val="00FD67EC"/>
    <w:rsid w:val="00FE0C99"/>
    <w:rsid w:val="00FE0FC6"/>
    <w:rsid w:val="00FE5C93"/>
    <w:rsid w:val="00FE5EF8"/>
    <w:rsid w:val="00FF4347"/>
    <w:rsid w:val="00FF43E0"/>
    <w:rsid w:val="00FF464C"/>
    <w:rsid w:val="00FF4C39"/>
    <w:rsid w:val="01151D70"/>
    <w:rsid w:val="0148550E"/>
    <w:rsid w:val="01FB5F9E"/>
    <w:rsid w:val="0269119A"/>
    <w:rsid w:val="02742D03"/>
    <w:rsid w:val="03865539"/>
    <w:rsid w:val="039B091D"/>
    <w:rsid w:val="04A11819"/>
    <w:rsid w:val="04B35A73"/>
    <w:rsid w:val="04E718A8"/>
    <w:rsid w:val="052A7028"/>
    <w:rsid w:val="05B07AF8"/>
    <w:rsid w:val="067713D1"/>
    <w:rsid w:val="085831BD"/>
    <w:rsid w:val="085C146E"/>
    <w:rsid w:val="08643BA3"/>
    <w:rsid w:val="08A55EAE"/>
    <w:rsid w:val="096C140B"/>
    <w:rsid w:val="09E24BCB"/>
    <w:rsid w:val="0AD84E92"/>
    <w:rsid w:val="0B081EE2"/>
    <w:rsid w:val="0B6311CF"/>
    <w:rsid w:val="0B9D0387"/>
    <w:rsid w:val="0C24201D"/>
    <w:rsid w:val="0D4F1DC5"/>
    <w:rsid w:val="0D5B33BB"/>
    <w:rsid w:val="0DD412DD"/>
    <w:rsid w:val="0DE2763C"/>
    <w:rsid w:val="0E866163"/>
    <w:rsid w:val="10157099"/>
    <w:rsid w:val="102A627D"/>
    <w:rsid w:val="103334E3"/>
    <w:rsid w:val="107065C1"/>
    <w:rsid w:val="11260466"/>
    <w:rsid w:val="114256DB"/>
    <w:rsid w:val="11C007BC"/>
    <w:rsid w:val="13336D09"/>
    <w:rsid w:val="149F1478"/>
    <w:rsid w:val="15556C45"/>
    <w:rsid w:val="157D7140"/>
    <w:rsid w:val="168B6250"/>
    <w:rsid w:val="183773F2"/>
    <w:rsid w:val="191C3FD1"/>
    <w:rsid w:val="198D7F6C"/>
    <w:rsid w:val="19EC6582"/>
    <w:rsid w:val="1A1A4803"/>
    <w:rsid w:val="1A2F20D1"/>
    <w:rsid w:val="1A6F1EC9"/>
    <w:rsid w:val="1B8162D3"/>
    <w:rsid w:val="1B8426EB"/>
    <w:rsid w:val="1B957E61"/>
    <w:rsid w:val="1BE339AA"/>
    <w:rsid w:val="1C0A6087"/>
    <w:rsid w:val="1C3D4E04"/>
    <w:rsid w:val="1C513F02"/>
    <w:rsid w:val="1CA32B79"/>
    <w:rsid w:val="1CA432C2"/>
    <w:rsid w:val="1CA71AE3"/>
    <w:rsid w:val="1D0175D4"/>
    <w:rsid w:val="1D9A4E9F"/>
    <w:rsid w:val="1D9E5ACE"/>
    <w:rsid w:val="1E036C4C"/>
    <w:rsid w:val="1F221313"/>
    <w:rsid w:val="1F8A1EB4"/>
    <w:rsid w:val="21924C2F"/>
    <w:rsid w:val="229C4136"/>
    <w:rsid w:val="22C959B0"/>
    <w:rsid w:val="249D5E68"/>
    <w:rsid w:val="255570AE"/>
    <w:rsid w:val="26016BC7"/>
    <w:rsid w:val="26703C63"/>
    <w:rsid w:val="269F44C2"/>
    <w:rsid w:val="27996786"/>
    <w:rsid w:val="28B3378E"/>
    <w:rsid w:val="299F7F6E"/>
    <w:rsid w:val="29C06108"/>
    <w:rsid w:val="29C84A3A"/>
    <w:rsid w:val="2B1438CD"/>
    <w:rsid w:val="2B2626BA"/>
    <w:rsid w:val="2B6A613F"/>
    <w:rsid w:val="2BCC100A"/>
    <w:rsid w:val="2C3055D4"/>
    <w:rsid w:val="2CB23CB7"/>
    <w:rsid w:val="2D03652E"/>
    <w:rsid w:val="2D2E3196"/>
    <w:rsid w:val="2D357358"/>
    <w:rsid w:val="2D907A7B"/>
    <w:rsid w:val="2DE61D40"/>
    <w:rsid w:val="2EE66364"/>
    <w:rsid w:val="2F151955"/>
    <w:rsid w:val="2F444346"/>
    <w:rsid w:val="2FF77F11"/>
    <w:rsid w:val="303764A3"/>
    <w:rsid w:val="32090F37"/>
    <w:rsid w:val="32C53C56"/>
    <w:rsid w:val="333A6738"/>
    <w:rsid w:val="3341049B"/>
    <w:rsid w:val="33901CF2"/>
    <w:rsid w:val="33F42004"/>
    <w:rsid w:val="343E55F1"/>
    <w:rsid w:val="34C44732"/>
    <w:rsid w:val="35CA7BA0"/>
    <w:rsid w:val="35F67E61"/>
    <w:rsid w:val="36950DC3"/>
    <w:rsid w:val="370013B2"/>
    <w:rsid w:val="373432B5"/>
    <w:rsid w:val="374A02E6"/>
    <w:rsid w:val="37DF7464"/>
    <w:rsid w:val="37E7DE4A"/>
    <w:rsid w:val="37EC026F"/>
    <w:rsid w:val="387122E2"/>
    <w:rsid w:val="3959582C"/>
    <w:rsid w:val="395A4E29"/>
    <w:rsid w:val="395D1BAB"/>
    <w:rsid w:val="3A6E199C"/>
    <w:rsid w:val="3AA14DCE"/>
    <w:rsid w:val="3B07542B"/>
    <w:rsid w:val="3B8D4B1B"/>
    <w:rsid w:val="3C260B4A"/>
    <w:rsid w:val="3C312682"/>
    <w:rsid w:val="3CAF1F85"/>
    <w:rsid w:val="3D1614BC"/>
    <w:rsid w:val="3D221384"/>
    <w:rsid w:val="3D8E536D"/>
    <w:rsid w:val="40644698"/>
    <w:rsid w:val="41441B35"/>
    <w:rsid w:val="419C03CF"/>
    <w:rsid w:val="42FF0A7C"/>
    <w:rsid w:val="443D59A5"/>
    <w:rsid w:val="444213DA"/>
    <w:rsid w:val="4477071D"/>
    <w:rsid w:val="46E271C5"/>
    <w:rsid w:val="473733A2"/>
    <w:rsid w:val="473F22C4"/>
    <w:rsid w:val="473F3AEB"/>
    <w:rsid w:val="4792714B"/>
    <w:rsid w:val="47BB695C"/>
    <w:rsid w:val="47F31930"/>
    <w:rsid w:val="4868517D"/>
    <w:rsid w:val="49CC35CF"/>
    <w:rsid w:val="4AC530EC"/>
    <w:rsid w:val="4AEC56E2"/>
    <w:rsid w:val="4B3978A9"/>
    <w:rsid w:val="4B660F8E"/>
    <w:rsid w:val="4C0D54E7"/>
    <w:rsid w:val="4C171543"/>
    <w:rsid w:val="4C304D9B"/>
    <w:rsid w:val="4C3777B8"/>
    <w:rsid w:val="4C742F06"/>
    <w:rsid w:val="4D3B2BFD"/>
    <w:rsid w:val="4D881CDE"/>
    <w:rsid w:val="4DA2640A"/>
    <w:rsid w:val="4DD87DAA"/>
    <w:rsid w:val="4F392556"/>
    <w:rsid w:val="4F510E54"/>
    <w:rsid w:val="50F72663"/>
    <w:rsid w:val="51547022"/>
    <w:rsid w:val="515E4C4C"/>
    <w:rsid w:val="5190759E"/>
    <w:rsid w:val="51BE49B8"/>
    <w:rsid w:val="520C3748"/>
    <w:rsid w:val="52410403"/>
    <w:rsid w:val="525E4119"/>
    <w:rsid w:val="52C75255"/>
    <w:rsid w:val="53016DA9"/>
    <w:rsid w:val="53205500"/>
    <w:rsid w:val="535621D4"/>
    <w:rsid w:val="53C95367"/>
    <w:rsid w:val="53F04A76"/>
    <w:rsid w:val="543E0FC0"/>
    <w:rsid w:val="54615EC2"/>
    <w:rsid w:val="54622BA7"/>
    <w:rsid w:val="55C73A2D"/>
    <w:rsid w:val="55DD5D0E"/>
    <w:rsid w:val="56B01498"/>
    <w:rsid w:val="56E2797F"/>
    <w:rsid w:val="571C4ABC"/>
    <w:rsid w:val="575F44C6"/>
    <w:rsid w:val="57946105"/>
    <w:rsid w:val="587B0DB2"/>
    <w:rsid w:val="5890473A"/>
    <w:rsid w:val="590930C0"/>
    <w:rsid w:val="594124BF"/>
    <w:rsid w:val="59AB5870"/>
    <w:rsid w:val="5A9934CC"/>
    <w:rsid w:val="5B11324C"/>
    <w:rsid w:val="5B2F61C9"/>
    <w:rsid w:val="5BB32503"/>
    <w:rsid w:val="5BBA3B36"/>
    <w:rsid w:val="5C3F3200"/>
    <w:rsid w:val="5C987893"/>
    <w:rsid w:val="5CDA5A88"/>
    <w:rsid w:val="5D551FD5"/>
    <w:rsid w:val="5DFB5EA8"/>
    <w:rsid w:val="5F86621C"/>
    <w:rsid w:val="5FCC477F"/>
    <w:rsid w:val="5FD24CD5"/>
    <w:rsid w:val="5FE90C22"/>
    <w:rsid w:val="617639B0"/>
    <w:rsid w:val="622006DF"/>
    <w:rsid w:val="62491B52"/>
    <w:rsid w:val="629150F0"/>
    <w:rsid w:val="630F28ED"/>
    <w:rsid w:val="638F6579"/>
    <w:rsid w:val="64264FF5"/>
    <w:rsid w:val="651C051A"/>
    <w:rsid w:val="656409F1"/>
    <w:rsid w:val="65B5341E"/>
    <w:rsid w:val="65FC47E3"/>
    <w:rsid w:val="669042AB"/>
    <w:rsid w:val="68051A0E"/>
    <w:rsid w:val="68E3657F"/>
    <w:rsid w:val="69287D19"/>
    <w:rsid w:val="696B74F5"/>
    <w:rsid w:val="6A537587"/>
    <w:rsid w:val="6AA15790"/>
    <w:rsid w:val="6ABE088A"/>
    <w:rsid w:val="6B1136D2"/>
    <w:rsid w:val="6BF79C62"/>
    <w:rsid w:val="6C155DC4"/>
    <w:rsid w:val="6C7C675F"/>
    <w:rsid w:val="6DB34A6C"/>
    <w:rsid w:val="6DBC12C2"/>
    <w:rsid w:val="6DEB7CA0"/>
    <w:rsid w:val="6DF04EE0"/>
    <w:rsid w:val="6E4E2776"/>
    <w:rsid w:val="6EB02FAB"/>
    <w:rsid w:val="6EC21CCC"/>
    <w:rsid w:val="6EF93BF0"/>
    <w:rsid w:val="6F387C2E"/>
    <w:rsid w:val="703831F3"/>
    <w:rsid w:val="707A21BA"/>
    <w:rsid w:val="717D1A2C"/>
    <w:rsid w:val="7180439F"/>
    <w:rsid w:val="72536038"/>
    <w:rsid w:val="72C0441A"/>
    <w:rsid w:val="72C9236D"/>
    <w:rsid w:val="733340BD"/>
    <w:rsid w:val="73AF454D"/>
    <w:rsid w:val="747A6157"/>
    <w:rsid w:val="7484045D"/>
    <w:rsid w:val="74911374"/>
    <w:rsid w:val="76A97F46"/>
    <w:rsid w:val="76BF1A20"/>
    <w:rsid w:val="773D4DD0"/>
    <w:rsid w:val="77C8156F"/>
    <w:rsid w:val="79584680"/>
    <w:rsid w:val="795C3C8F"/>
    <w:rsid w:val="79DF5A2A"/>
    <w:rsid w:val="79E1505C"/>
    <w:rsid w:val="7A44034B"/>
    <w:rsid w:val="7A496935"/>
    <w:rsid w:val="7A8B39AB"/>
    <w:rsid w:val="7A8D4C92"/>
    <w:rsid w:val="7B051B5D"/>
    <w:rsid w:val="7B843A24"/>
    <w:rsid w:val="7B851609"/>
    <w:rsid w:val="7BAD2E2B"/>
    <w:rsid w:val="7C7B0811"/>
    <w:rsid w:val="7CAE2BE5"/>
    <w:rsid w:val="7E0D76C7"/>
    <w:rsid w:val="7EB64CA2"/>
    <w:rsid w:val="7EC70933"/>
    <w:rsid w:val="7FE4511F"/>
    <w:rsid w:val="B57F66A0"/>
    <w:rsid w:val="DFE33DE6"/>
    <w:rsid w:val="F9559AD4"/>
    <w:rsid w:val="FE7E23D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方正仿宋_GBK"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276" w:lineRule="auto"/>
      <w:ind w:firstLine="1440" w:firstLineChars="200"/>
      <w:jc w:val="both"/>
    </w:pPr>
    <w:rPr>
      <w:rFonts w:ascii="Times New Roman" w:hAnsi="Times New Roman" w:eastAsia="方正仿宋_GBK" w:cs="Times New Roman"/>
      <w:sz w:val="32"/>
      <w:szCs w:val="22"/>
      <w:lang w:val="en-US" w:eastAsia="zh-CN" w:bidi="ar-SA"/>
    </w:rPr>
  </w:style>
  <w:style w:type="paragraph" w:styleId="4">
    <w:name w:val="heading 1"/>
    <w:basedOn w:val="1"/>
    <w:next w:val="1"/>
    <w:link w:val="37"/>
    <w:qFormat/>
    <w:uiPriority w:val="9"/>
    <w:pPr>
      <w:keepNext/>
      <w:keepLines/>
      <w:spacing w:line="276" w:lineRule="auto"/>
      <w:outlineLvl w:val="0"/>
    </w:pPr>
    <w:rPr>
      <w:rFonts w:ascii="Tahoma" w:hAnsi="Tahoma" w:eastAsia="方正黑体_GBK"/>
      <w:bCs/>
      <w:kern w:val="44"/>
      <w:szCs w:val="44"/>
    </w:rPr>
  </w:style>
  <w:style w:type="paragraph" w:styleId="5">
    <w:name w:val="heading 2"/>
    <w:basedOn w:val="1"/>
    <w:next w:val="1"/>
    <w:link w:val="38"/>
    <w:qFormat/>
    <w:uiPriority w:val="9"/>
    <w:pPr>
      <w:keepNext/>
      <w:keepLines/>
      <w:spacing w:line="276" w:lineRule="auto"/>
      <w:outlineLvl w:val="1"/>
    </w:pPr>
    <w:rPr>
      <w:rFonts w:ascii="Calibri" w:hAnsi="Calibri" w:eastAsia="方正楷体_GBK"/>
      <w:bCs/>
      <w:szCs w:val="32"/>
    </w:rPr>
  </w:style>
  <w:style w:type="paragraph" w:styleId="6">
    <w:name w:val="heading 3"/>
    <w:basedOn w:val="1"/>
    <w:next w:val="1"/>
    <w:link w:val="39"/>
    <w:qFormat/>
    <w:uiPriority w:val="9"/>
    <w:pPr>
      <w:keepNext/>
      <w:keepLines/>
      <w:spacing w:line="276" w:lineRule="auto"/>
      <w:outlineLvl w:val="2"/>
    </w:pPr>
    <w:rPr>
      <w:rFonts w:ascii="Calibri" w:hAnsi="Calibri"/>
      <w:bCs/>
      <w:szCs w:val="32"/>
    </w:rPr>
  </w:style>
  <w:style w:type="paragraph" w:styleId="7">
    <w:name w:val="heading 4"/>
    <w:basedOn w:val="5"/>
    <w:next w:val="1"/>
    <w:link w:val="40"/>
    <w:qFormat/>
    <w:uiPriority w:val="9"/>
    <w:pPr>
      <w:keepNext/>
      <w:keepLines/>
      <w:spacing w:line="276" w:lineRule="auto"/>
      <w:outlineLvl w:val="3"/>
    </w:pPr>
    <w:rPr>
      <w:rFonts w:ascii="Times New Roman" w:hAnsi="Times New Roman" w:eastAsia="方正仿宋_GBK"/>
      <w:szCs w:val="28"/>
    </w:rPr>
  </w:style>
  <w:style w:type="character" w:default="1" w:styleId="27">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customStyle="1" w:styleId="2">
    <w:name w:val="Body Text First Indent1"/>
    <w:basedOn w:val="3"/>
    <w:qFormat/>
    <w:uiPriority w:val="0"/>
  </w:style>
  <w:style w:type="paragraph" w:styleId="3">
    <w:name w:val="Body Text"/>
    <w:basedOn w:val="1"/>
    <w:link w:val="36"/>
    <w:qFormat/>
    <w:uiPriority w:val="1"/>
    <w:pPr>
      <w:widowControl w:val="0"/>
      <w:autoSpaceDE w:val="0"/>
      <w:autoSpaceDN w:val="0"/>
      <w:adjustRightInd/>
      <w:snapToGrid/>
      <w:spacing w:after="0"/>
    </w:pPr>
    <w:rPr>
      <w:rFonts w:ascii="宋体" w:hAnsi="宋体" w:eastAsia="宋体" w:cs="宋体"/>
      <w:sz w:val="21"/>
      <w:szCs w:val="21"/>
      <w:lang w:eastAsia="en-US" w:bidi="en-US"/>
    </w:rPr>
  </w:style>
  <w:style w:type="paragraph" w:styleId="8">
    <w:name w:val="toc 7"/>
    <w:basedOn w:val="1"/>
    <w:next w:val="1"/>
    <w:unhideWhenUsed/>
    <w:qFormat/>
    <w:uiPriority w:val="39"/>
    <w:pPr>
      <w:widowControl w:val="0"/>
      <w:adjustRightInd/>
      <w:snapToGrid/>
      <w:spacing w:after="0"/>
      <w:ind w:left="2520" w:leftChars="1200"/>
      <w:jc w:val="both"/>
    </w:pPr>
    <w:rPr>
      <w:rFonts w:ascii="Calibri" w:hAnsi="Calibri" w:eastAsia="宋体"/>
      <w:kern w:val="2"/>
      <w:sz w:val="21"/>
    </w:rPr>
  </w:style>
  <w:style w:type="paragraph" w:styleId="9">
    <w:name w:val="caption"/>
    <w:basedOn w:val="1"/>
    <w:next w:val="1"/>
    <w:link w:val="41"/>
    <w:qFormat/>
    <w:uiPriority w:val="0"/>
    <w:pPr>
      <w:widowControl w:val="0"/>
      <w:adjustRightInd/>
      <w:snapToGrid/>
      <w:spacing w:after="0" w:line="360" w:lineRule="auto"/>
      <w:jc w:val="center"/>
    </w:pPr>
    <w:rPr>
      <w:rFonts w:ascii="宋体" w:hAnsi="宋体" w:eastAsia="方正楷体_GBK"/>
      <w:kern w:val="2"/>
      <w:sz w:val="28"/>
      <w:szCs w:val="21"/>
    </w:rPr>
  </w:style>
  <w:style w:type="paragraph" w:styleId="10">
    <w:name w:val="Document Map"/>
    <w:basedOn w:val="1"/>
    <w:link w:val="42"/>
    <w:qFormat/>
    <w:uiPriority w:val="99"/>
    <w:rPr>
      <w:rFonts w:ascii="宋体" w:hAnsi="Tahoma" w:eastAsia="宋体"/>
      <w:sz w:val="18"/>
      <w:szCs w:val="18"/>
    </w:rPr>
  </w:style>
  <w:style w:type="paragraph" w:styleId="11">
    <w:name w:val="annotation text"/>
    <w:basedOn w:val="1"/>
    <w:link w:val="43"/>
    <w:unhideWhenUsed/>
    <w:qFormat/>
    <w:uiPriority w:val="99"/>
    <w:pPr>
      <w:ind w:firstLine="0" w:firstLineChars="0"/>
      <w:jc w:val="center"/>
    </w:pPr>
    <w:rPr>
      <w:rFonts w:ascii="Tahoma" w:hAnsi="Tahoma" w:eastAsia="方正楷体_GBK"/>
      <w:sz w:val="28"/>
    </w:rPr>
  </w:style>
  <w:style w:type="paragraph" w:styleId="12">
    <w:name w:val="toc 5"/>
    <w:basedOn w:val="1"/>
    <w:next w:val="1"/>
    <w:unhideWhenUsed/>
    <w:qFormat/>
    <w:uiPriority w:val="39"/>
    <w:pPr>
      <w:widowControl w:val="0"/>
      <w:adjustRightInd/>
      <w:snapToGrid/>
      <w:spacing w:after="0"/>
      <w:ind w:left="1680" w:leftChars="800"/>
      <w:jc w:val="both"/>
    </w:pPr>
    <w:rPr>
      <w:rFonts w:ascii="Calibri" w:hAnsi="Calibri" w:eastAsia="宋体"/>
      <w:kern w:val="2"/>
      <w:sz w:val="21"/>
    </w:rPr>
  </w:style>
  <w:style w:type="paragraph" w:styleId="13">
    <w:name w:val="toc 3"/>
    <w:basedOn w:val="1"/>
    <w:next w:val="1"/>
    <w:qFormat/>
    <w:uiPriority w:val="39"/>
    <w:pPr>
      <w:ind w:left="840" w:leftChars="400"/>
    </w:pPr>
  </w:style>
  <w:style w:type="paragraph" w:styleId="14">
    <w:name w:val="toc 8"/>
    <w:basedOn w:val="1"/>
    <w:next w:val="1"/>
    <w:unhideWhenUsed/>
    <w:qFormat/>
    <w:uiPriority w:val="39"/>
    <w:pPr>
      <w:widowControl w:val="0"/>
      <w:adjustRightInd/>
      <w:snapToGrid/>
      <w:spacing w:after="0"/>
      <w:ind w:left="2940" w:leftChars="1400"/>
      <w:jc w:val="both"/>
    </w:pPr>
    <w:rPr>
      <w:rFonts w:ascii="Calibri" w:hAnsi="Calibri" w:eastAsia="宋体"/>
      <w:kern w:val="2"/>
      <w:sz w:val="21"/>
    </w:rPr>
  </w:style>
  <w:style w:type="paragraph" w:styleId="15">
    <w:name w:val="Balloon Text"/>
    <w:basedOn w:val="1"/>
    <w:link w:val="44"/>
    <w:unhideWhenUsed/>
    <w:qFormat/>
    <w:uiPriority w:val="99"/>
    <w:pPr>
      <w:spacing w:after="0"/>
    </w:pPr>
    <w:rPr>
      <w:rFonts w:ascii="Tahoma" w:hAnsi="Tahoma" w:eastAsia="微软雅黑"/>
      <w:sz w:val="18"/>
      <w:szCs w:val="18"/>
    </w:rPr>
  </w:style>
  <w:style w:type="paragraph" w:styleId="16">
    <w:name w:val="footer"/>
    <w:basedOn w:val="1"/>
    <w:link w:val="45"/>
    <w:unhideWhenUsed/>
    <w:qFormat/>
    <w:uiPriority w:val="99"/>
    <w:pPr>
      <w:tabs>
        <w:tab w:val="center" w:pos="4153"/>
        <w:tab w:val="right" w:pos="8306"/>
      </w:tabs>
    </w:pPr>
    <w:rPr>
      <w:rFonts w:ascii="Tahoma" w:hAnsi="Tahoma" w:eastAsia="微软雅黑"/>
      <w:sz w:val="18"/>
      <w:szCs w:val="18"/>
    </w:rPr>
  </w:style>
  <w:style w:type="paragraph" w:styleId="17">
    <w:name w:val="header"/>
    <w:basedOn w:val="1"/>
    <w:link w:val="46"/>
    <w:qFormat/>
    <w:uiPriority w:val="99"/>
    <w:pPr>
      <w:pBdr>
        <w:bottom w:val="single" w:color="auto" w:sz="6" w:space="1"/>
      </w:pBdr>
      <w:tabs>
        <w:tab w:val="center" w:pos="4153"/>
        <w:tab w:val="right" w:pos="8306"/>
      </w:tabs>
      <w:jc w:val="center"/>
    </w:pPr>
    <w:rPr>
      <w:rFonts w:ascii="Tahoma" w:hAnsi="Tahoma" w:eastAsia="微软雅黑"/>
      <w:sz w:val="18"/>
      <w:szCs w:val="18"/>
    </w:rPr>
  </w:style>
  <w:style w:type="paragraph" w:styleId="18">
    <w:name w:val="toc 1"/>
    <w:basedOn w:val="1"/>
    <w:next w:val="1"/>
    <w:qFormat/>
    <w:uiPriority w:val="39"/>
    <w:pPr>
      <w:tabs>
        <w:tab w:val="right" w:leader="dot" w:pos="8296"/>
      </w:tabs>
      <w:jc w:val="center"/>
    </w:pPr>
    <w:rPr>
      <w:rFonts w:ascii="方正仿宋_GBK" w:hAnsi="方正仿宋_GBK" w:eastAsia="方正仿宋_GBK" w:cs="方正仿宋_GBK"/>
      <w:b/>
      <w:sz w:val="24"/>
      <w:szCs w:val="24"/>
    </w:rPr>
  </w:style>
  <w:style w:type="paragraph" w:styleId="19">
    <w:name w:val="toc 4"/>
    <w:basedOn w:val="1"/>
    <w:next w:val="1"/>
    <w:unhideWhenUsed/>
    <w:qFormat/>
    <w:uiPriority w:val="39"/>
    <w:pPr>
      <w:widowControl w:val="0"/>
      <w:adjustRightInd/>
      <w:snapToGrid/>
      <w:spacing w:after="0"/>
      <w:ind w:left="1260" w:leftChars="600"/>
      <w:jc w:val="both"/>
    </w:pPr>
    <w:rPr>
      <w:rFonts w:ascii="Calibri" w:hAnsi="Calibri" w:eastAsia="宋体"/>
      <w:kern w:val="2"/>
      <w:sz w:val="21"/>
    </w:rPr>
  </w:style>
  <w:style w:type="paragraph" w:styleId="20">
    <w:name w:val="toc 6"/>
    <w:basedOn w:val="1"/>
    <w:next w:val="1"/>
    <w:unhideWhenUsed/>
    <w:qFormat/>
    <w:uiPriority w:val="39"/>
    <w:pPr>
      <w:widowControl w:val="0"/>
      <w:adjustRightInd/>
      <w:snapToGrid/>
      <w:spacing w:after="0"/>
      <w:ind w:left="2100" w:leftChars="1000"/>
      <w:jc w:val="both"/>
    </w:pPr>
    <w:rPr>
      <w:rFonts w:ascii="Calibri" w:hAnsi="Calibri" w:eastAsia="宋体"/>
      <w:kern w:val="2"/>
      <w:sz w:val="21"/>
    </w:rPr>
  </w:style>
  <w:style w:type="paragraph" w:styleId="21">
    <w:name w:val="toc 2"/>
    <w:basedOn w:val="1"/>
    <w:next w:val="1"/>
    <w:qFormat/>
    <w:uiPriority w:val="39"/>
    <w:pPr>
      <w:ind w:left="420" w:leftChars="200"/>
    </w:pPr>
  </w:style>
  <w:style w:type="paragraph" w:styleId="22">
    <w:name w:val="toc 9"/>
    <w:basedOn w:val="1"/>
    <w:next w:val="1"/>
    <w:unhideWhenUsed/>
    <w:qFormat/>
    <w:uiPriority w:val="39"/>
    <w:pPr>
      <w:widowControl w:val="0"/>
      <w:adjustRightInd/>
      <w:snapToGrid/>
      <w:spacing w:after="0"/>
      <w:ind w:left="3360" w:leftChars="1600"/>
      <w:jc w:val="both"/>
    </w:pPr>
    <w:rPr>
      <w:rFonts w:ascii="Calibri" w:hAnsi="Calibri" w:eastAsia="宋体"/>
      <w:kern w:val="2"/>
      <w:sz w:val="21"/>
    </w:rPr>
  </w:style>
  <w:style w:type="paragraph" w:styleId="23">
    <w:name w:val="Normal (Web)"/>
    <w:basedOn w:val="1"/>
    <w:qFormat/>
    <w:uiPriority w:val="99"/>
    <w:pPr>
      <w:adjustRightInd/>
      <w:snapToGrid/>
      <w:spacing w:beforeAutospacing="0" w:afterAutospacing="0"/>
      <w:ind w:firstLine="0" w:firstLineChars="0"/>
    </w:pPr>
    <w:rPr>
      <w:rFonts w:cs="宋体"/>
      <w:szCs w:val="24"/>
    </w:rPr>
  </w:style>
  <w:style w:type="paragraph" w:styleId="24">
    <w:name w:val="Title"/>
    <w:basedOn w:val="1"/>
    <w:next w:val="1"/>
    <w:link w:val="47"/>
    <w:qFormat/>
    <w:uiPriority w:val="0"/>
    <w:pPr>
      <w:widowControl w:val="0"/>
      <w:adjustRightInd/>
      <w:snapToGrid/>
      <w:spacing w:after="0" w:line="360" w:lineRule="auto"/>
      <w:jc w:val="center"/>
    </w:pPr>
    <w:rPr>
      <w:rFonts w:eastAsia="黑体"/>
      <w:bCs/>
      <w:kern w:val="2"/>
      <w:sz w:val="24"/>
      <w:szCs w:val="32"/>
    </w:r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Hyperlink"/>
    <w:unhideWhenUsed/>
    <w:qFormat/>
    <w:uiPriority w:val="99"/>
    <w:rPr>
      <w:rFonts w:ascii="Calibri" w:hAnsi="Calibri" w:eastAsia="方正仿宋_GBK"/>
      <w:color w:val="0563C1"/>
      <w:sz w:val="24"/>
      <w:u w:val="single"/>
    </w:rPr>
  </w:style>
  <w:style w:type="paragraph" w:customStyle="1" w:styleId="30">
    <w:name w:val="标题4 第1条"/>
    <w:basedOn w:val="7"/>
    <w:link w:val="50"/>
    <w:qFormat/>
    <w:uiPriority w:val="0"/>
    <w:pPr>
      <w:widowControl w:val="0"/>
      <w:adjustRightInd/>
      <w:snapToGrid/>
      <w:spacing w:before="120" w:after="120" w:line="288" w:lineRule="auto"/>
      <w:ind w:left="987" w:hanging="420"/>
      <w:jc w:val="both"/>
    </w:pPr>
    <w:rPr>
      <w:rFonts w:ascii="Cambria" w:hAnsi="Cambria" w:eastAsia="宋体"/>
      <w:kern w:val="2"/>
      <w:sz w:val="24"/>
    </w:rPr>
  </w:style>
  <w:style w:type="paragraph" w:styleId="31">
    <w:name w:val="No Spacing"/>
    <w:link w:val="51"/>
    <w:qFormat/>
    <w:uiPriority w:val="1"/>
    <w:rPr>
      <w:rFonts w:ascii="Times New Roman" w:hAnsi="Times New Roman" w:eastAsia="方正仿宋_GBK" w:cs="Times New Roman"/>
      <w:sz w:val="22"/>
      <w:szCs w:val="22"/>
      <w:lang w:val="en-US" w:eastAsia="zh-CN" w:bidi="ar-SA"/>
    </w:rPr>
  </w:style>
  <w:style w:type="paragraph" w:customStyle="1" w:styleId="32">
    <w:name w:val="大足正文"/>
    <w:basedOn w:val="1"/>
    <w:link w:val="52"/>
    <w:qFormat/>
    <w:uiPriority w:val="0"/>
    <w:pPr>
      <w:widowControl w:val="0"/>
      <w:adjustRightInd/>
      <w:snapToGrid/>
      <w:spacing w:after="0" w:line="288" w:lineRule="auto"/>
      <w:ind w:left="350" w:leftChars="350"/>
      <w:jc w:val="both"/>
    </w:pPr>
    <w:rPr>
      <w:rFonts w:ascii="Calibri" w:hAnsi="Calibri" w:eastAsia="宋体"/>
      <w:kern w:val="2"/>
      <w:sz w:val="24"/>
      <w:szCs w:val="24"/>
    </w:rPr>
  </w:style>
  <w:style w:type="paragraph" w:customStyle="1" w:styleId="33">
    <w:name w:val="Table Paragraph"/>
    <w:basedOn w:val="1"/>
    <w:qFormat/>
    <w:uiPriority w:val="1"/>
    <w:pPr>
      <w:widowControl w:val="0"/>
      <w:autoSpaceDE w:val="0"/>
      <w:autoSpaceDN w:val="0"/>
      <w:adjustRightInd/>
      <w:snapToGrid/>
      <w:spacing w:before="105" w:after="0"/>
      <w:jc w:val="center"/>
    </w:pPr>
    <w:rPr>
      <w:rFonts w:ascii="宋体" w:hAnsi="宋体" w:eastAsia="宋体" w:cs="宋体"/>
      <w:lang w:eastAsia="en-US" w:bidi="en-US"/>
    </w:rPr>
  </w:style>
  <w:style w:type="paragraph" w:customStyle="1" w:styleId="34">
    <w:name w:val="_Style 33"/>
    <w:basedOn w:val="4"/>
    <w:next w:val="1"/>
    <w:qFormat/>
    <w:uiPriority w:val="39"/>
    <w:pPr>
      <w:adjustRightInd/>
      <w:snapToGrid/>
      <w:spacing w:before="480" w:after="0" w:line="276" w:lineRule="auto"/>
      <w:outlineLvl w:val="9"/>
    </w:pPr>
    <w:rPr>
      <w:rFonts w:ascii="Calibri Light" w:hAnsi="Calibri Light" w:eastAsia="宋体" w:cs="Times New Roman"/>
      <w:color w:val="2E74B5"/>
      <w:kern w:val="0"/>
      <w:sz w:val="28"/>
      <w:szCs w:val="28"/>
    </w:rPr>
  </w:style>
  <w:style w:type="paragraph" w:customStyle="1" w:styleId="35">
    <w:name w:val="表格"/>
    <w:basedOn w:val="1"/>
    <w:qFormat/>
    <w:uiPriority w:val="0"/>
    <w:pPr>
      <w:spacing w:line="240" w:lineRule="auto"/>
      <w:ind w:firstLine="0" w:firstLineChars="0"/>
      <w:jc w:val="center"/>
    </w:pPr>
    <w:rPr>
      <w:sz w:val="28"/>
    </w:rPr>
  </w:style>
  <w:style w:type="character" w:customStyle="1" w:styleId="36">
    <w:name w:val="正文文本 Char"/>
    <w:link w:val="3"/>
    <w:qFormat/>
    <w:uiPriority w:val="1"/>
    <w:rPr>
      <w:rFonts w:ascii="宋体" w:hAnsi="宋体" w:eastAsia="宋体" w:cs="宋体"/>
      <w:sz w:val="21"/>
      <w:szCs w:val="21"/>
      <w:lang w:eastAsia="en-US" w:bidi="en-US"/>
    </w:rPr>
  </w:style>
  <w:style w:type="character" w:customStyle="1" w:styleId="37">
    <w:name w:val="标题 1 Char"/>
    <w:link w:val="4"/>
    <w:qFormat/>
    <w:uiPriority w:val="9"/>
    <w:rPr>
      <w:rFonts w:ascii="Tahoma" w:hAnsi="Tahoma" w:eastAsia="方正黑体_GBK"/>
      <w:bCs/>
      <w:kern w:val="44"/>
      <w:sz w:val="32"/>
      <w:szCs w:val="44"/>
    </w:rPr>
  </w:style>
  <w:style w:type="character" w:customStyle="1" w:styleId="38">
    <w:name w:val="标题 2 Char"/>
    <w:link w:val="5"/>
    <w:qFormat/>
    <w:uiPriority w:val="9"/>
    <w:rPr>
      <w:rFonts w:ascii="Calibri" w:hAnsi="Calibri" w:eastAsia="方正楷体_GBK" w:cs="Times New Roman"/>
      <w:bCs/>
      <w:sz w:val="32"/>
      <w:szCs w:val="32"/>
    </w:rPr>
  </w:style>
  <w:style w:type="character" w:customStyle="1" w:styleId="39">
    <w:name w:val="标题 3 Char"/>
    <w:link w:val="6"/>
    <w:qFormat/>
    <w:uiPriority w:val="9"/>
    <w:rPr>
      <w:rFonts w:ascii="Calibri" w:hAnsi="Calibri" w:eastAsia="方正仿宋_GBK"/>
      <w:bCs/>
      <w:sz w:val="32"/>
      <w:szCs w:val="32"/>
    </w:rPr>
  </w:style>
  <w:style w:type="character" w:customStyle="1" w:styleId="40">
    <w:name w:val="标题 4 Char"/>
    <w:link w:val="7"/>
    <w:qFormat/>
    <w:uiPriority w:val="9"/>
    <w:rPr>
      <w:rFonts w:ascii="Times New Roman" w:hAnsi="Times New Roman" w:eastAsia="方正仿宋_GBK" w:cs="Times New Roman"/>
      <w:bCs/>
      <w:sz w:val="32"/>
      <w:szCs w:val="28"/>
    </w:rPr>
  </w:style>
  <w:style w:type="character" w:customStyle="1" w:styleId="41">
    <w:name w:val="题注 Char"/>
    <w:link w:val="9"/>
    <w:qFormat/>
    <w:uiPriority w:val="0"/>
    <w:rPr>
      <w:rFonts w:ascii="宋体" w:hAnsi="宋体" w:eastAsia="方正楷体_GBK" w:cs="Times New Roman"/>
      <w:kern w:val="2"/>
      <w:sz w:val="28"/>
      <w:szCs w:val="21"/>
    </w:rPr>
  </w:style>
  <w:style w:type="character" w:customStyle="1" w:styleId="42">
    <w:name w:val="文档结构图 Char"/>
    <w:link w:val="10"/>
    <w:qFormat/>
    <w:uiPriority w:val="99"/>
    <w:rPr>
      <w:rFonts w:ascii="宋体" w:hAnsi="Tahoma" w:eastAsia="宋体"/>
      <w:sz w:val="18"/>
      <w:szCs w:val="18"/>
    </w:rPr>
  </w:style>
  <w:style w:type="character" w:customStyle="1" w:styleId="43">
    <w:name w:val="批注文字 Char"/>
    <w:link w:val="11"/>
    <w:qFormat/>
    <w:uiPriority w:val="99"/>
    <w:rPr>
      <w:rFonts w:ascii="Tahoma" w:hAnsi="Tahoma" w:eastAsia="方正楷体_GBK"/>
      <w:sz w:val="28"/>
      <w:szCs w:val="22"/>
    </w:rPr>
  </w:style>
  <w:style w:type="character" w:customStyle="1" w:styleId="44">
    <w:name w:val="批注框文本 Char"/>
    <w:link w:val="15"/>
    <w:qFormat/>
    <w:uiPriority w:val="99"/>
    <w:rPr>
      <w:rFonts w:ascii="Tahoma" w:hAnsi="Tahoma" w:eastAsia="微软雅黑"/>
      <w:sz w:val="18"/>
      <w:szCs w:val="18"/>
    </w:rPr>
  </w:style>
  <w:style w:type="character" w:customStyle="1" w:styleId="45">
    <w:name w:val="页脚 Char"/>
    <w:link w:val="16"/>
    <w:qFormat/>
    <w:uiPriority w:val="99"/>
    <w:rPr>
      <w:rFonts w:ascii="Tahoma" w:hAnsi="Tahoma" w:eastAsia="微软雅黑"/>
      <w:sz w:val="18"/>
      <w:szCs w:val="18"/>
    </w:rPr>
  </w:style>
  <w:style w:type="character" w:customStyle="1" w:styleId="46">
    <w:name w:val="页眉 Char"/>
    <w:link w:val="17"/>
    <w:qFormat/>
    <w:uiPriority w:val="99"/>
    <w:rPr>
      <w:rFonts w:ascii="Tahoma" w:hAnsi="Tahoma" w:eastAsia="微软雅黑"/>
      <w:sz w:val="18"/>
      <w:szCs w:val="18"/>
    </w:rPr>
  </w:style>
  <w:style w:type="character" w:customStyle="1" w:styleId="47">
    <w:name w:val="标题 Char"/>
    <w:link w:val="24"/>
    <w:qFormat/>
    <w:uiPriority w:val="0"/>
    <w:rPr>
      <w:rFonts w:ascii="Times New Roman" w:hAnsi="Times New Roman" w:eastAsia="黑体" w:cs="Times New Roman"/>
      <w:bCs/>
      <w:kern w:val="2"/>
      <w:sz w:val="24"/>
      <w:szCs w:val="32"/>
    </w:rPr>
  </w:style>
  <w:style w:type="character" w:customStyle="1" w:styleId="48">
    <w:name w:val="font31"/>
    <w:qFormat/>
    <w:uiPriority w:val="0"/>
    <w:rPr>
      <w:rFonts w:hint="eastAsia" w:ascii="方正仿宋_GBK" w:hAnsi="方正仿宋_GBK" w:eastAsia="方正仿宋_GBK" w:cs="方正仿宋_GBK"/>
      <w:b/>
      <w:color w:val="000000"/>
      <w:sz w:val="24"/>
      <w:szCs w:val="24"/>
      <w:u w:val="none"/>
    </w:rPr>
  </w:style>
  <w:style w:type="character" w:customStyle="1" w:styleId="49">
    <w:name w:val="font01"/>
    <w:qFormat/>
    <w:uiPriority w:val="0"/>
    <w:rPr>
      <w:rFonts w:hint="eastAsia" w:ascii="方正仿宋_GBK" w:hAnsi="方正仿宋_GBK" w:eastAsia="方正仿宋_GBK" w:cs="方正仿宋_GBK"/>
      <w:color w:val="000000"/>
      <w:sz w:val="24"/>
      <w:szCs w:val="24"/>
      <w:u w:val="none"/>
    </w:rPr>
  </w:style>
  <w:style w:type="character" w:customStyle="1" w:styleId="50">
    <w:name w:val="标题4 第1条 Char"/>
    <w:link w:val="30"/>
    <w:qFormat/>
    <w:uiPriority w:val="0"/>
    <w:rPr>
      <w:rFonts w:ascii="Cambria" w:hAnsi="Cambria" w:eastAsia="宋体" w:cs="Times New Roman"/>
      <w:bCs/>
      <w:kern w:val="2"/>
      <w:sz w:val="24"/>
      <w:szCs w:val="28"/>
    </w:rPr>
  </w:style>
  <w:style w:type="character" w:customStyle="1" w:styleId="51">
    <w:name w:val="无间隔 Char"/>
    <w:link w:val="31"/>
    <w:qFormat/>
    <w:uiPriority w:val="1"/>
    <w:rPr>
      <w:sz w:val="22"/>
      <w:szCs w:val="22"/>
      <w:lang w:val="en-US" w:eastAsia="zh-CN" w:bidi="ar-SA"/>
    </w:rPr>
  </w:style>
  <w:style w:type="character" w:customStyle="1" w:styleId="52">
    <w:name w:val="大足正文 Char"/>
    <w:link w:val="32"/>
    <w:qFormat/>
    <w:uiPriority w:val="0"/>
    <w:rPr>
      <w:rFonts w:ascii="Calibri" w:hAnsi="Calibri" w:eastAsia="宋体" w:cs="Times New Roman"/>
      <w:kern w:val="2"/>
      <w:sz w:val="24"/>
      <w:szCs w:val="24"/>
    </w:rPr>
  </w:style>
  <w:style w:type="character" w:customStyle="1" w:styleId="53">
    <w:name w:val="font21"/>
    <w:qFormat/>
    <w:uiPriority w:val="0"/>
    <w:rPr>
      <w:rFonts w:hint="default" w:ascii="Times New Roman" w:hAnsi="Times New Roman" w:cs="Times New Roman"/>
      <w:color w:val="000000"/>
      <w:sz w:val="24"/>
      <w:szCs w:val="24"/>
      <w:u w:val="none"/>
    </w:rPr>
  </w:style>
  <w:style w:type="character" w:customStyle="1" w:styleId="54">
    <w:name w:val="未处理的提及"/>
    <w:unhideWhenUsed/>
    <w:qFormat/>
    <w:uiPriority w:val="99"/>
    <w:rPr>
      <w:color w:val="605E5C"/>
      <w:shd w:val="clear" w:color="auto" w:fill="E1DFDD"/>
    </w:rPr>
  </w:style>
  <w:style w:type="character" w:customStyle="1" w:styleId="55">
    <w:name w:val="NormalCharacter"/>
    <w:semiHidden/>
    <w:qFormat/>
    <w:uiPriority w:val="0"/>
    <w:rPr>
      <w:rFonts w:ascii="Calibri" w:hAnsi="Calibri"/>
      <w:kern w:val="2"/>
      <w:sz w:val="21"/>
      <w:szCs w:val="24"/>
      <w:lang w:val="en-US" w:eastAsia="zh-CN" w:bidi="ar-SA"/>
    </w:rPr>
  </w:style>
  <w:style w:type="character" w:customStyle="1" w:styleId="56">
    <w:name w:val="font11"/>
    <w:qFormat/>
    <w:uiPriority w:val="0"/>
    <w:rPr>
      <w:rFonts w:hint="default" w:ascii="Times New Roman" w:hAnsi="Times New Roman" w:cs="Times New Roman"/>
      <w:b/>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hyperlink" Target="https://baike.baidu.com/pic/&#231;&#148;&#159;&#231;&#137;&#169;&#230;&#142;&#165;&#232;&#167;&#166;&#230;&#176;&#167;&#229;&#140;&#150;&#230;&#179;&#149;/3632847/0/b17eca8065380cd703735c49ad44ad3459828121?fr=lemma%26ct=single" TargetMode="External"/><Relationship Id="rId27" Type="http://schemas.openxmlformats.org/officeDocument/2006/relationships/image" Target="media/image14.jpeg"/><Relationship Id="rId26" Type="http://schemas.openxmlformats.org/officeDocument/2006/relationships/hyperlink" Target="https://baike.baidu.com/pic/&#231;&#148;&#159;&#231;&#137;&#169;&#230;&#142;&#165;&#232;&#167;&#166;&#230;&#176;&#167;&#229;&#140;&#150;&#230;&#179;&#149;/3632847/0/d1160924ab18972bdeeeff6eeacd7b899f510ab9?fr=lemma%26ct=single" TargetMode="Externa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212</Pages>
  <Words>24838</Words>
  <Characters>141583</Characters>
  <Lines>1179</Lines>
  <Paragraphs>332</Paragraphs>
  <TotalTime>2</TotalTime>
  <ScaleCrop>false</ScaleCrop>
  <LinksUpToDate>false</LinksUpToDate>
  <CharactersWithSpaces>166089</CharactersWithSpaces>
  <Application>WPS Office_11.8.2.1126_F1E327BC-269C-435d-A152-05C5408002CA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2020-09-06T02:53:00Z</dcterms:created>
  <dc:creator>老吴</dc:creator>
  <cp:lastModifiedBy> </cp:lastModifiedBy>
  <cp:lastPrinted>2020-10-03T02:16:00Z</cp:lastPrinted>
  <dcterms:modified xsi:type="dcterms:W3CDTF">2025-03-14T09:59:53Z</dcterms:modified>
  <dc:title>重庆市永川区人民政府办公室</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2052-11.8.2.1126</vt:lpwstr>
  </property>
  <property fmtid="{D5CDD505-2E9C-101B-9397-08002B2CF9AE}" pid="3" name="ICV">
    <vt:lpwstr>4709FAF6EB87A44C998DD3672231BFFE</vt:lpwstr>
  </property>
</Properties>
</file>