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A7DFE">
      <w:pPr>
        <w:adjustRightInd w:val="0"/>
        <w:snapToGrid w:val="0"/>
        <w:spacing w:line="594" w:lineRule="exact"/>
        <w:jc w:val="left"/>
        <w:rPr>
          <w:rFonts w:ascii="Times New Roman" w:hAnsi="Times New Roman" w:eastAsia="方正黑体_GBK"/>
          <w:color w:val="000000" w:themeColor="text1"/>
          <w:sz w:val="32"/>
          <w:szCs w:val="32"/>
        </w:rPr>
      </w:pPr>
    </w:p>
    <w:p w14:paraId="6DEC565C">
      <w:pPr>
        <w:adjustRightInd w:val="0"/>
        <w:snapToGrid w:val="0"/>
        <w:spacing w:line="594" w:lineRule="exact"/>
        <w:jc w:val="center"/>
        <w:rPr>
          <w:rFonts w:ascii="Times New Roman" w:hAnsi="Times New Roman" w:eastAsia="方正小标宋_GBK"/>
          <w:color w:val="000000" w:themeColor="text1"/>
          <w:sz w:val="44"/>
          <w:szCs w:val="44"/>
        </w:rPr>
      </w:pPr>
      <w:r>
        <w:rPr>
          <w:rFonts w:ascii="Times New Roman" w:hAnsi="Times New Roman" w:eastAsia="方正小标宋_GBK"/>
          <w:color w:val="000000" w:themeColor="text1"/>
          <w:sz w:val="44"/>
          <w:szCs w:val="44"/>
        </w:rPr>
        <w:t>中共重庆市永川区委社会工作部</w:t>
      </w:r>
    </w:p>
    <w:p w14:paraId="6C117494">
      <w:pPr>
        <w:adjustRightInd w:val="0"/>
        <w:snapToGrid w:val="0"/>
        <w:spacing w:line="594" w:lineRule="exact"/>
        <w:jc w:val="center"/>
        <w:rPr>
          <w:rFonts w:ascii="Times New Roman" w:hAnsi="Times New Roman" w:eastAsia="方正小标宋_GBK"/>
          <w:color w:val="000000" w:themeColor="text1"/>
          <w:sz w:val="44"/>
          <w:szCs w:val="44"/>
        </w:rPr>
      </w:pPr>
      <w:r>
        <w:rPr>
          <w:rFonts w:ascii="Times New Roman" w:hAnsi="Times New Roman" w:eastAsia="方正小标宋_GBK"/>
          <w:color w:val="000000" w:themeColor="text1"/>
          <w:sz w:val="44"/>
          <w:szCs w:val="44"/>
        </w:rPr>
        <w:t>2025年部门预算情况说明</w:t>
      </w:r>
    </w:p>
    <w:p w14:paraId="1A7FE391">
      <w:pPr>
        <w:adjustRightInd w:val="0"/>
        <w:snapToGrid w:val="0"/>
        <w:spacing w:line="594" w:lineRule="exact"/>
        <w:ind w:firstLine="640" w:firstLineChars="200"/>
        <w:rPr>
          <w:rFonts w:ascii="Times New Roman" w:hAnsi="Times New Roman" w:eastAsia="方正黑体_GBK"/>
          <w:color w:val="000000" w:themeColor="text1"/>
          <w:sz w:val="32"/>
          <w:szCs w:val="32"/>
        </w:rPr>
      </w:pPr>
    </w:p>
    <w:p w14:paraId="2C028248">
      <w:pPr>
        <w:adjustRightInd w:val="0"/>
        <w:snapToGrid w:val="0"/>
        <w:spacing w:line="594" w:lineRule="exact"/>
        <w:ind w:firstLine="640" w:firstLineChars="200"/>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一、部门基本情况</w:t>
      </w:r>
    </w:p>
    <w:p w14:paraId="7A997AEF">
      <w:pPr>
        <w:adjustRightInd w:val="0"/>
        <w:snapToGrid w:val="0"/>
        <w:spacing w:line="594" w:lineRule="exact"/>
        <w:ind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（一）职能职责</w:t>
      </w:r>
    </w:p>
    <w:p w14:paraId="4FFB93C6">
      <w:pPr>
        <w:adjustRightInd w:val="0"/>
        <w:snapToGrid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统筹指导人民信访工作，指导人民建议征集工作，统筹推进党建引领基层治理和基层政权建设，健全和落实党建引领基层治理领导体制和工作机制，统一领导全区行业协会商会党的工作，协调推动行业协会商会深化改革和转型发展，指导混合所有制企业、非公有制企业和新经济组织、新社会组织、新就业群体</w:t>
      </w:r>
      <w:r>
        <w:rPr>
          <w:rFonts w:hint="eastAsia" w:ascii="Times New Roman" w:hAnsi="Times New Roman" w:eastAsia="方正仿宋_GBK"/>
          <w:color w:val="000000" w:themeColor="text1"/>
          <w:sz w:val="32"/>
          <w:szCs w:val="32"/>
          <w:lang w:eastAsia="zh-CN"/>
        </w:rPr>
        <w:t>党组织</w:t>
      </w:r>
      <w:r>
        <w:rPr>
          <w:rFonts w:ascii="Times New Roman" w:hAnsi="Times New Roman" w:eastAsia="方正仿宋_GBK"/>
          <w:color w:val="000000" w:themeColor="text1"/>
          <w:sz w:val="32"/>
          <w:szCs w:val="32"/>
        </w:rPr>
        <w:t>，指导社会工作人才队伍建设，负责志愿服务工作等</w:t>
      </w:r>
      <w:r>
        <w:rPr>
          <w:rFonts w:hint="eastAsia" w:ascii="Times New Roman" w:hAnsi="Times New Roman" w:eastAsia="方正仿宋_GBK"/>
          <w:color w:val="000000" w:themeColor="text1"/>
          <w:sz w:val="32"/>
          <w:szCs w:val="32"/>
        </w:rPr>
        <w:t>。</w:t>
      </w:r>
    </w:p>
    <w:p w14:paraId="68AE6BA0">
      <w:pPr>
        <w:adjustRightInd w:val="0"/>
        <w:snapToGrid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（二）部门构成</w:t>
      </w:r>
    </w:p>
    <w:p w14:paraId="02D6FECE">
      <w:pPr>
        <w:adjustRightInd w:val="0"/>
        <w:snapToGrid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部门本级内设机构</w:t>
      </w:r>
      <w:r>
        <w:rPr>
          <w:rFonts w:ascii="Times New Roman" w:hAnsi="Times New Roman" w:eastAsia="仿宋_GB2312"/>
          <w:color w:val="000000" w:themeColor="text1"/>
          <w:sz w:val="32"/>
          <w:szCs w:val="32"/>
        </w:rPr>
        <w:t>3个</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分别是</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办公室、“两企三新”党建科、基层智治科。</w:t>
      </w:r>
    </w:p>
    <w:p w14:paraId="50FFF36D">
      <w:pPr>
        <w:adjustRightInd w:val="0"/>
        <w:snapToGrid w:val="0"/>
        <w:spacing w:line="594" w:lineRule="exact"/>
        <w:ind w:firstLine="640" w:firstLineChars="200"/>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二、部门收支总体情况</w:t>
      </w:r>
    </w:p>
    <w:p w14:paraId="0F3C5DC3">
      <w:pPr>
        <w:adjustRightInd w:val="0"/>
        <w:snapToGrid w:val="0"/>
        <w:spacing w:line="594" w:lineRule="exact"/>
        <w:ind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（一）收入预算</w:t>
      </w:r>
    </w:p>
    <w:p w14:paraId="61C0A8F0">
      <w:pPr>
        <w:adjustRightInd w:val="0"/>
        <w:snapToGrid w:val="0"/>
        <w:spacing w:line="594" w:lineRule="exact"/>
        <w:ind w:firstLine="640" w:firstLineChars="200"/>
        <w:rPr>
          <w:rFonts w:ascii="Times New Roman" w:hAnsi="Times New Roman" w:eastAsia="方正仿宋_GBK"/>
          <w:color w:val="000000" w:themeColor="text1"/>
          <w:sz w:val="32"/>
          <w:szCs w:val="32"/>
          <w:highlight w:val="yellow"/>
        </w:rPr>
      </w:pPr>
      <w:r>
        <w:rPr>
          <w:rFonts w:ascii="Times New Roman" w:hAnsi="Times New Roman" w:eastAsia="方正仿宋_GBK"/>
          <w:color w:val="000000" w:themeColor="text1"/>
          <w:sz w:val="32"/>
          <w:szCs w:val="32"/>
        </w:rPr>
        <w:t>2025年年初预算数496.74万元，其中：一般公共预算拨款496.74万元，政府性基金预算拨款0万元，国有资本经营预算拨款0万元，财政专户管理资金0万元，事业收入资金0万元，上级补助收入资金0万元，附属单位上缴收入资金0万元，事业单位经营收入资金0万元，其他收入资金0万元；收入比2024年增加496.74万元，主要是一般公共预算拨款增加496.74万元。</w:t>
      </w:r>
    </w:p>
    <w:p w14:paraId="55758F11">
      <w:pPr>
        <w:adjustRightInd w:val="0"/>
        <w:snapToGrid w:val="0"/>
        <w:spacing w:line="594" w:lineRule="exact"/>
        <w:ind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（二）支出预算</w:t>
      </w:r>
    </w:p>
    <w:p w14:paraId="3C36C38D">
      <w:pPr>
        <w:adjustRightInd w:val="0"/>
        <w:snapToGrid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2025年年初预算数496.74万元，其中：一般公共服务支出441.81万元，社会保障和就业支出26.1万元，卫生健康支出13.4万元，住房保障支出15.42万元；支出比2024年增加496.74万元，主要是基本支出增加224.55万元，项目支出增加272.19万元。</w:t>
      </w:r>
    </w:p>
    <w:p w14:paraId="024C8CAE">
      <w:pPr>
        <w:adjustRightInd w:val="0"/>
        <w:snapToGrid w:val="0"/>
        <w:spacing w:line="594" w:lineRule="exact"/>
        <w:ind w:firstLine="640" w:firstLineChars="200"/>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三、部门预算情况说明</w:t>
      </w:r>
    </w:p>
    <w:p w14:paraId="4B296E5D">
      <w:pPr>
        <w:adjustRightInd w:val="0"/>
        <w:snapToGrid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2025年一般公共预算财政拨款收入496.74万元，一般公共预算财政拨款支出496.74万元，比2024年增加496.74万元。其中：基本支出224.55万元，主要用于保障在职人员工资福利及社会保险缴费、离休人员离休费、退休人员补助等，保障部门正常运转的各项商品服务支出，比2024年增加</w:t>
      </w:r>
      <w:r>
        <w:rPr>
          <w:rFonts w:hint="eastAsia" w:ascii="Times New Roman" w:hAnsi="Times New Roman" w:eastAsia="方正仿宋_GBK"/>
          <w:color w:val="000000" w:themeColor="text1"/>
          <w:sz w:val="32"/>
          <w:szCs w:val="32"/>
        </w:rPr>
        <w:t>224.55</w:t>
      </w:r>
      <w:r>
        <w:rPr>
          <w:rFonts w:ascii="Times New Roman" w:hAnsi="Times New Roman" w:eastAsia="方正仿宋_GBK"/>
          <w:color w:val="000000" w:themeColor="text1"/>
          <w:sz w:val="32"/>
          <w:szCs w:val="32"/>
        </w:rPr>
        <w:t>万元，主要原因是</w:t>
      </w:r>
      <w:r>
        <w:rPr>
          <w:rFonts w:ascii="Times New Roman" w:hAnsi="Times New Roman" w:eastAsia="仿宋_GB2312"/>
          <w:color w:val="000000" w:themeColor="text1"/>
          <w:sz w:val="32"/>
          <w:szCs w:val="32"/>
        </w:rPr>
        <w:t>本单位根据《重庆市机构改革方案》《重庆市永川区机构改革方案》于2024年新成立，无年初预算数</w:t>
      </w:r>
      <w:r>
        <w:rPr>
          <w:rFonts w:ascii="Times New Roman" w:hAnsi="Times New Roman" w:eastAsia="方正仿宋_GBK"/>
          <w:color w:val="000000" w:themeColor="text1"/>
          <w:sz w:val="32"/>
          <w:szCs w:val="32"/>
        </w:rPr>
        <w:t>；项目支出272.19万元，主要用于社会工作专项事务、“两企三新”组织党建工作、基层智治专项事务、党建引领基层治理等重点工作，比2024年增加272.19万元，主要原因是</w:t>
      </w:r>
      <w:r>
        <w:rPr>
          <w:rFonts w:ascii="Times New Roman" w:hAnsi="Times New Roman" w:eastAsia="仿宋_GB2312"/>
          <w:color w:val="000000" w:themeColor="text1"/>
          <w:sz w:val="32"/>
          <w:szCs w:val="32"/>
        </w:rPr>
        <w:t>本单位根据《重庆市机构改革方案》《重庆市永川区机构改革方案》于2024年新成立，无年初预算数</w:t>
      </w:r>
      <w:r>
        <w:rPr>
          <w:rFonts w:ascii="Times New Roman" w:hAnsi="Times New Roman" w:eastAsia="方正仿宋_GBK"/>
          <w:color w:val="000000" w:themeColor="text1"/>
          <w:sz w:val="32"/>
          <w:szCs w:val="32"/>
        </w:rPr>
        <w:t>。</w:t>
      </w:r>
    </w:p>
    <w:p w14:paraId="007F7918">
      <w:pPr>
        <w:adjustRightInd w:val="0"/>
        <w:snapToGrid w:val="0"/>
        <w:spacing w:line="594" w:lineRule="exact"/>
        <w:ind w:firstLine="640" w:firstLineChars="200"/>
        <w:rPr>
          <w:rFonts w:ascii="Times New Roman" w:hAnsi="Times New Roman" w:eastAsia="方正仿宋_GBK"/>
          <w:b/>
          <w:color w:val="000000" w:themeColor="text1"/>
          <w:sz w:val="32"/>
          <w:szCs w:val="32"/>
        </w:rPr>
      </w:pPr>
      <w:r>
        <w:rPr>
          <w:rFonts w:ascii="Times New Roman" w:hAnsi="Times New Roman" w:eastAsia="方正仿宋_GBK"/>
          <w:color w:val="000000" w:themeColor="text1"/>
          <w:sz w:val="32"/>
          <w:szCs w:val="32"/>
        </w:rPr>
        <w:t>2025年无使用政府性基金预算拨款安排的支出，与上年保持一致。</w:t>
      </w:r>
    </w:p>
    <w:p w14:paraId="048880B9">
      <w:pPr>
        <w:adjustRightInd w:val="0"/>
        <w:snapToGrid w:val="0"/>
        <w:spacing w:line="594" w:lineRule="exact"/>
        <w:ind w:firstLine="640" w:firstLineChars="200"/>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四、“三公”经费情况说明</w:t>
      </w:r>
    </w:p>
    <w:p w14:paraId="154268BE">
      <w:pPr>
        <w:adjustRightInd w:val="0"/>
        <w:snapToGrid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2025年“三公”经费预算 26万元，比2024年增加26万元。其中：因公出国（境）费用0万元，与上年保持一致；公务接待费8万元，比2024年增加8万元，主要原因是</w:t>
      </w:r>
      <w:r>
        <w:rPr>
          <w:rFonts w:ascii="Times New Roman" w:hAnsi="Times New Roman" w:eastAsia="仿宋_GB2312"/>
          <w:color w:val="000000" w:themeColor="text1"/>
          <w:sz w:val="32"/>
          <w:szCs w:val="32"/>
        </w:rPr>
        <w:t>本单位根据《重庆市机构改革方案》《重庆市永川区机构改革方案》于2024年新成立，无年初预算数</w:t>
      </w:r>
      <w:r>
        <w:rPr>
          <w:rFonts w:ascii="Times New Roman" w:hAnsi="Times New Roman" w:eastAsia="方正仿宋_GBK"/>
          <w:color w:val="000000" w:themeColor="text1"/>
          <w:sz w:val="32"/>
          <w:szCs w:val="32"/>
        </w:rPr>
        <w:t>；公务用车运行维护费0万元，与上年保持一致；公务用车购置费18万元，比2024年增加18万元，主要原因是</w:t>
      </w:r>
      <w:r>
        <w:rPr>
          <w:rFonts w:ascii="Times New Roman" w:hAnsi="Times New Roman" w:eastAsia="仿宋_GB2312"/>
          <w:color w:val="000000" w:themeColor="text1"/>
          <w:sz w:val="32"/>
          <w:szCs w:val="32"/>
        </w:rPr>
        <w:t>本单位根据《重庆市机构改革方案》《重庆市永川区机构改革方案》于2024年新成立，无年初预算数</w:t>
      </w:r>
      <w:r>
        <w:rPr>
          <w:rFonts w:ascii="Times New Roman" w:hAnsi="Times New Roman" w:eastAsia="方正仿宋_GBK"/>
          <w:color w:val="000000" w:themeColor="text1"/>
          <w:sz w:val="32"/>
          <w:szCs w:val="32"/>
        </w:rPr>
        <w:t>。</w:t>
      </w:r>
    </w:p>
    <w:p w14:paraId="6B45C632">
      <w:pPr>
        <w:adjustRightInd w:val="0"/>
        <w:snapToGrid w:val="0"/>
        <w:spacing w:line="594" w:lineRule="exact"/>
        <w:ind w:firstLine="640" w:firstLineChars="200"/>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五、其他重要事项的情况说明</w:t>
      </w:r>
    </w:p>
    <w:p w14:paraId="56123287">
      <w:pPr>
        <w:adjustRightInd w:val="0"/>
        <w:snapToGrid w:val="0"/>
        <w:spacing w:line="594" w:lineRule="exact"/>
        <w:ind w:firstLine="640" w:firstLineChars="200"/>
        <w:rPr>
          <w:rFonts w:ascii="Times New Roman" w:hAnsi="Times New Roman" w:eastAsia="方正楷体_GBK"/>
          <w:color w:val="000000" w:themeColor="text1"/>
          <w:sz w:val="32"/>
        </w:rPr>
      </w:pPr>
      <w:r>
        <w:rPr>
          <w:rFonts w:ascii="Times New Roman" w:hAnsi="Times New Roman" w:eastAsia="方正楷体_GBK"/>
          <w:color w:val="000000" w:themeColor="text1"/>
          <w:sz w:val="32"/>
        </w:rPr>
        <w:t>（一）机关运行经费</w:t>
      </w:r>
    </w:p>
    <w:p w14:paraId="594CD907">
      <w:pPr>
        <w:adjustRightInd w:val="0"/>
        <w:snapToGrid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2025年一般公共预算财政拨款运行经费40.27万元，比2024年增加40.27万元，主要原因为</w:t>
      </w:r>
      <w:r>
        <w:rPr>
          <w:rFonts w:ascii="Times New Roman" w:hAnsi="Times New Roman" w:eastAsia="仿宋_GB2312"/>
          <w:color w:val="000000" w:themeColor="text1"/>
          <w:sz w:val="32"/>
          <w:szCs w:val="32"/>
        </w:rPr>
        <w:t>本单位根据《重庆市机构改革方案》《重庆市永川区机构改革方案》于2024年新成立，无年初预算数；</w:t>
      </w:r>
      <w:r>
        <w:rPr>
          <w:rFonts w:ascii="Times New Roman" w:hAnsi="Times New Roman" w:eastAsia="方正仿宋_GBK"/>
          <w:color w:val="000000" w:themeColor="text1"/>
          <w:sz w:val="32"/>
          <w:szCs w:val="32"/>
        </w:rPr>
        <w:t>主要用于办公费、印刷费、邮电费、水电</w:t>
      </w:r>
      <w:r>
        <w:rPr>
          <w:rFonts w:ascii="Times New Roman" w:hAnsi="Times New Roman" w:eastAsia="方正仿宋_GBK"/>
          <w:color w:val="000000" w:themeColor="text1"/>
          <w:sz w:val="32"/>
        </w:rPr>
        <w:t>费、物管费、差旅费、会议费、培训费及其他商品和服务支出等。</w:t>
      </w:r>
    </w:p>
    <w:p w14:paraId="0ED6DA68">
      <w:pPr>
        <w:adjustRightInd w:val="0"/>
        <w:snapToGrid w:val="0"/>
        <w:spacing w:line="594" w:lineRule="exact"/>
        <w:ind w:firstLine="640" w:firstLineChars="200"/>
        <w:rPr>
          <w:rFonts w:ascii="Times New Roman" w:hAnsi="Times New Roman" w:eastAsia="方正楷体_GBK"/>
          <w:color w:val="000000" w:themeColor="text1"/>
          <w:sz w:val="32"/>
        </w:rPr>
      </w:pPr>
      <w:r>
        <w:rPr>
          <w:rFonts w:ascii="Times New Roman" w:hAnsi="Times New Roman" w:eastAsia="方正楷体_GBK"/>
          <w:color w:val="000000" w:themeColor="text1"/>
          <w:sz w:val="32"/>
        </w:rPr>
        <w:t>（二）政府采购情况</w:t>
      </w:r>
    </w:p>
    <w:p w14:paraId="0EED5B26">
      <w:pPr>
        <w:adjustRightInd w:val="0"/>
        <w:snapToGrid w:val="0"/>
        <w:spacing w:line="594" w:lineRule="exact"/>
        <w:ind w:firstLine="640" w:firstLineChars="200"/>
        <w:rPr>
          <w:rFonts w:ascii="Times New Roman" w:hAnsi="Times New Roman" w:eastAsia="方正仿宋_GBK"/>
          <w:color w:val="000000" w:themeColor="text1"/>
          <w:sz w:val="32"/>
        </w:rPr>
      </w:pPr>
      <w:r>
        <w:rPr>
          <w:rFonts w:ascii="Times New Roman" w:hAnsi="Times New Roman" w:eastAsia="方正仿宋_GBK"/>
          <w:color w:val="000000" w:themeColor="text1"/>
          <w:sz w:val="32"/>
          <w:szCs w:val="32"/>
        </w:rPr>
        <w:t>所属各预算单位政府采购预算总额2.56万元：政府采购货物预算2.56万元、政府采购工程预算0万元、政府采购服务预算 0 万元；其中一般公共预算拨款政府采购2.56万元：政府采购货物预算2.56万元、政府采购工程预算0万元、政府采购服务</w:t>
      </w:r>
      <w:r>
        <w:rPr>
          <w:rFonts w:ascii="Times New Roman" w:hAnsi="Times New Roman" w:eastAsia="方正仿宋_GBK"/>
          <w:color w:val="000000" w:themeColor="text1"/>
          <w:sz w:val="32"/>
        </w:rPr>
        <w:t>预算0万元。</w:t>
      </w:r>
    </w:p>
    <w:p w14:paraId="55B815D7">
      <w:pPr>
        <w:adjustRightInd w:val="0"/>
        <w:snapToGrid w:val="0"/>
        <w:spacing w:line="594" w:lineRule="exact"/>
        <w:ind w:left="105" w:leftChars="50" w:firstLine="640" w:firstLineChars="200"/>
        <w:rPr>
          <w:rFonts w:ascii="Times New Roman" w:hAnsi="Times New Roman" w:eastAsia="方正楷体_GBK"/>
          <w:color w:val="000000" w:themeColor="text1"/>
          <w:sz w:val="32"/>
        </w:rPr>
      </w:pPr>
      <w:r>
        <w:rPr>
          <w:rFonts w:ascii="Times New Roman" w:hAnsi="Times New Roman" w:eastAsia="方正楷体_GBK"/>
          <w:color w:val="000000" w:themeColor="text1"/>
          <w:sz w:val="32"/>
        </w:rPr>
        <w:t>（三）绩效目标设置情况</w:t>
      </w:r>
    </w:p>
    <w:p w14:paraId="237C59DF">
      <w:pPr>
        <w:adjustRightInd w:val="0"/>
        <w:snapToGrid w:val="0"/>
        <w:spacing w:line="594" w:lineRule="exact"/>
        <w:ind w:left="105" w:leftChars="50"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2025年本部门编制了部门整体绩效目标，所有预算项目均编制了绩效目标，预算项目绩效目标涉及一般公共预算财政拨款     </w:t>
      </w:r>
      <w:r>
        <w:rPr>
          <w:rFonts w:hint="eastAsia" w:ascii="Times New Roman" w:hAnsi="Times New Roman" w:eastAsia="方正仿宋_GBK"/>
          <w:color w:val="000000" w:themeColor="text1"/>
          <w:sz w:val="32"/>
          <w:szCs w:val="32"/>
        </w:rPr>
        <w:t>272.19</w:t>
      </w:r>
      <w:r>
        <w:rPr>
          <w:rFonts w:ascii="Times New Roman" w:hAnsi="Times New Roman" w:eastAsia="方正仿宋_GBK"/>
          <w:color w:val="000000" w:themeColor="text1"/>
          <w:sz w:val="32"/>
          <w:szCs w:val="32"/>
        </w:rPr>
        <w:t>万元。部门整体绩效目标表和预算项目绩效目标表按要求进行公开。</w:t>
      </w:r>
    </w:p>
    <w:p w14:paraId="4F0EE9D6">
      <w:pPr>
        <w:adjustRightInd w:val="0"/>
        <w:snapToGrid w:val="0"/>
        <w:spacing w:line="594" w:lineRule="exact"/>
        <w:ind w:left="105" w:leftChars="50" w:firstLine="640" w:firstLineChars="200"/>
        <w:rPr>
          <w:rFonts w:ascii="Times New Roman" w:hAnsi="Times New Roman" w:eastAsia="方正楷体_GBK"/>
          <w:color w:val="000000" w:themeColor="text1"/>
          <w:sz w:val="32"/>
        </w:rPr>
      </w:pPr>
      <w:r>
        <w:rPr>
          <w:rFonts w:ascii="Times New Roman" w:hAnsi="Times New Roman" w:eastAsia="方正楷体_GBK"/>
          <w:color w:val="000000" w:themeColor="text1"/>
          <w:sz w:val="32"/>
        </w:rPr>
        <w:t>（四）国有资产占有使用情况</w:t>
      </w:r>
    </w:p>
    <w:p w14:paraId="3A898B18">
      <w:pPr>
        <w:adjustRightInd w:val="0"/>
        <w:snapToGrid w:val="0"/>
        <w:spacing w:line="594" w:lineRule="exact"/>
        <w:ind w:left="105" w:leftChars="50"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截止2024年12月，所属各预算单位共有车辆0辆，其中一般公务用车0辆、执勤执法用车0辆。2025年一般公共预算安排购置车辆1辆，其中一般公务用车1辆、执勤执法用车 0辆。</w:t>
      </w:r>
    </w:p>
    <w:p w14:paraId="475C892E">
      <w:pPr>
        <w:adjustRightInd w:val="0"/>
        <w:snapToGrid w:val="0"/>
        <w:spacing w:line="594" w:lineRule="exact"/>
        <w:ind w:firstLine="640" w:firstLineChars="200"/>
        <w:rPr>
          <w:rFonts w:ascii="Times New Roman" w:hAnsi="Times New Roman" w:eastAsia="方正黑体_GBK"/>
          <w:color w:val="000000" w:themeColor="text1"/>
          <w:sz w:val="32"/>
        </w:rPr>
      </w:pPr>
      <w:r>
        <w:rPr>
          <w:rFonts w:ascii="Times New Roman" w:hAnsi="Times New Roman" w:eastAsia="方正黑体_GBK"/>
          <w:color w:val="000000" w:themeColor="text1"/>
          <w:sz w:val="32"/>
        </w:rPr>
        <w:t>六、专业性名词解释</w:t>
      </w:r>
    </w:p>
    <w:p w14:paraId="09F22850">
      <w:pPr>
        <w:adjustRightInd w:val="0"/>
        <w:snapToGrid w:val="0"/>
        <w:spacing w:line="594" w:lineRule="exact"/>
        <w:ind w:firstLine="640" w:firstLineChars="200"/>
        <w:rPr>
          <w:rFonts w:ascii="Times New Roman" w:hAnsi="Times New Roman" w:eastAsia="方正仿宋_GBK"/>
          <w:color w:val="000000" w:themeColor="text1"/>
          <w:sz w:val="32"/>
        </w:rPr>
      </w:pPr>
      <w:r>
        <w:rPr>
          <w:rFonts w:ascii="Times New Roman" w:hAnsi="Times New Roman" w:eastAsia="方正楷体_GBK"/>
          <w:color w:val="000000" w:themeColor="text1"/>
          <w:sz w:val="32"/>
        </w:rPr>
        <w:t>（一）财政拨款收入</w:t>
      </w:r>
      <w:r>
        <w:rPr>
          <w:rFonts w:ascii="Times New Roman" w:hAnsi="Times New Roman" w:eastAsia="方正仿宋_GBK"/>
          <w:color w:val="000000" w:themeColor="text1"/>
          <w:sz w:val="32"/>
        </w:rPr>
        <w:t>：指本年度从本级财政部门取得的财政拨款，包括一般公共预算财政拨款、政府性基金预算财政拨款和</w:t>
      </w:r>
      <w:r>
        <w:rPr>
          <w:rFonts w:ascii="Times New Roman" w:hAnsi="Times New Roman" w:eastAsia="方正仿宋_GBK"/>
          <w:color w:val="000000" w:themeColor="text1"/>
          <w:sz w:val="32"/>
          <w:szCs w:val="32"/>
        </w:rPr>
        <w:t>国有资本经营预算</w:t>
      </w:r>
      <w:r>
        <w:rPr>
          <w:rFonts w:ascii="Times New Roman" w:hAnsi="Times New Roman" w:eastAsia="方正仿宋_GBK"/>
          <w:color w:val="000000" w:themeColor="text1"/>
          <w:sz w:val="32"/>
        </w:rPr>
        <w:t>财政拨款。</w:t>
      </w:r>
    </w:p>
    <w:p w14:paraId="044B0CB1">
      <w:pPr>
        <w:adjustRightInd w:val="0"/>
        <w:snapToGrid w:val="0"/>
        <w:spacing w:line="594" w:lineRule="exact"/>
        <w:ind w:firstLine="640" w:firstLineChars="200"/>
        <w:rPr>
          <w:rFonts w:ascii="Times New Roman" w:hAnsi="Times New Roman" w:eastAsia="方正仿宋_GBK"/>
          <w:color w:val="000000" w:themeColor="text1"/>
          <w:sz w:val="32"/>
        </w:rPr>
      </w:pPr>
      <w:r>
        <w:rPr>
          <w:rFonts w:ascii="Times New Roman" w:hAnsi="Times New Roman" w:eastAsia="方正楷体_GBK"/>
          <w:color w:val="000000" w:themeColor="text1"/>
          <w:sz w:val="32"/>
        </w:rPr>
        <w:t>（二）其他收入</w:t>
      </w:r>
      <w:r>
        <w:rPr>
          <w:rFonts w:ascii="Times New Roman" w:hAnsi="Times New Roman" w:eastAsia="方正仿宋_GBK"/>
          <w:color w:val="000000" w:themeColor="text1"/>
          <w:sz w:val="32"/>
        </w:rPr>
        <w:t>：指单位取得的除“财政拨款收入”、“事业收入”、“经营收入”等以外的收入。</w:t>
      </w:r>
    </w:p>
    <w:p w14:paraId="6E0CDF95">
      <w:pPr>
        <w:adjustRightInd w:val="0"/>
        <w:snapToGrid w:val="0"/>
        <w:spacing w:line="594" w:lineRule="exact"/>
        <w:ind w:firstLine="640" w:firstLineChars="200"/>
        <w:rPr>
          <w:rFonts w:ascii="Times New Roman" w:hAnsi="Times New Roman" w:eastAsia="方正仿宋_GBK"/>
          <w:color w:val="000000" w:themeColor="text1"/>
          <w:sz w:val="32"/>
        </w:rPr>
      </w:pPr>
      <w:r>
        <w:rPr>
          <w:rFonts w:ascii="Times New Roman" w:hAnsi="Times New Roman" w:eastAsia="方正楷体_GBK"/>
          <w:color w:val="000000" w:themeColor="text1"/>
          <w:sz w:val="32"/>
        </w:rPr>
        <w:t>（三）基本支出</w:t>
      </w:r>
      <w:r>
        <w:rPr>
          <w:rFonts w:ascii="Times New Roman" w:hAnsi="Times New Roman" w:eastAsia="方正仿宋_GBK"/>
          <w:color w:val="000000" w:themeColor="text1"/>
          <w:sz w:val="32"/>
        </w:rPr>
        <w:t>：指为保障机构正常运转、完成日常工作任务而发生的人员经费和公用经费。</w:t>
      </w:r>
    </w:p>
    <w:p w14:paraId="129616EE">
      <w:pPr>
        <w:adjustRightInd w:val="0"/>
        <w:snapToGrid w:val="0"/>
        <w:spacing w:line="594" w:lineRule="exact"/>
        <w:ind w:firstLine="640" w:firstLineChars="200"/>
        <w:rPr>
          <w:rFonts w:ascii="Times New Roman" w:hAnsi="Times New Roman" w:eastAsia="方正仿宋_GBK"/>
          <w:color w:val="000000" w:themeColor="text1"/>
          <w:sz w:val="32"/>
        </w:rPr>
      </w:pPr>
      <w:r>
        <w:rPr>
          <w:rFonts w:ascii="Times New Roman" w:hAnsi="Times New Roman" w:eastAsia="方正楷体_GBK"/>
          <w:color w:val="000000" w:themeColor="text1"/>
          <w:sz w:val="32"/>
        </w:rPr>
        <w:t>（四）项目支出</w:t>
      </w:r>
      <w:r>
        <w:rPr>
          <w:rFonts w:ascii="Times New Roman" w:hAnsi="Times New Roman" w:eastAsia="方正仿宋_GBK"/>
          <w:color w:val="000000" w:themeColor="text1"/>
          <w:sz w:val="32"/>
        </w:rPr>
        <w:t>：指在基本支出之外为完成特定行政任务和事业发展目标所发生的支出。</w:t>
      </w:r>
    </w:p>
    <w:p w14:paraId="122EEAD7">
      <w:pPr>
        <w:adjustRightInd w:val="0"/>
        <w:snapToGrid w:val="0"/>
        <w:spacing w:line="594" w:lineRule="exact"/>
        <w:ind w:firstLine="640" w:firstLineChars="200"/>
        <w:rPr>
          <w:rFonts w:ascii="Times New Roman" w:hAnsi="Times New Roman" w:eastAsia="方正仿宋_GBK"/>
          <w:color w:val="000000" w:themeColor="text1"/>
          <w:sz w:val="32"/>
        </w:rPr>
      </w:pPr>
      <w:r>
        <w:rPr>
          <w:rFonts w:ascii="Times New Roman" w:hAnsi="Times New Roman" w:eastAsia="方正楷体_GBK"/>
          <w:color w:val="000000" w:themeColor="text1"/>
          <w:sz w:val="32"/>
        </w:rPr>
        <w:t>（五）“三公”经费</w:t>
      </w:r>
      <w:r>
        <w:rPr>
          <w:rFonts w:ascii="Times New Roman" w:hAnsi="Times New Roman" w:eastAsia="方正仿宋_GBK"/>
          <w:color w:val="000000" w:themeColor="text1"/>
          <w:sz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8A2FE4">
      <w:pPr>
        <w:adjustRightInd w:val="0"/>
        <w:snapToGrid w:val="0"/>
        <w:spacing w:line="594" w:lineRule="exact"/>
        <w:ind w:firstLine="640" w:firstLineChars="200"/>
        <w:rPr>
          <w:rFonts w:ascii="Times New Roman" w:hAnsi="Times New Roman" w:eastAsia="方正仿宋_GBK"/>
          <w:color w:val="000000" w:themeColor="text1"/>
          <w:sz w:val="32"/>
        </w:rPr>
      </w:pPr>
    </w:p>
    <w:p w14:paraId="37E298C6">
      <w:pPr>
        <w:adjustRightInd w:val="0"/>
        <w:snapToGrid w:val="0"/>
        <w:spacing w:line="594" w:lineRule="exact"/>
        <w:ind w:firstLine="640" w:firstLineChars="200"/>
        <w:rPr>
          <w:rFonts w:ascii="Times New Roman" w:hAnsi="Times New Roman" w:eastAsia="方正仿宋_GBK"/>
          <w:color w:val="000000" w:themeColor="text1"/>
          <w:sz w:val="32"/>
        </w:rPr>
      </w:pPr>
      <w:r>
        <w:rPr>
          <w:rFonts w:ascii="Times New Roman" w:hAnsi="Times New Roman" w:eastAsia="方正仿宋_GBK"/>
          <w:color w:val="000000" w:themeColor="text1"/>
          <w:sz w:val="32"/>
        </w:rPr>
        <w:t>附件：2025年</w:t>
      </w:r>
      <w:r>
        <w:rPr>
          <w:rFonts w:hint="eastAsia" w:ascii="Times New Roman" w:hAnsi="Times New Roman" w:eastAsia="方正仿宋_GBK"/>
          <w:color w:val="000000" w:themeColor="text1"/>
          <w:sz w:val="32"/>
          <w:lang w:eastAsia="zh-CN"/>
        </w:rPr>
        <w:t>中共</w:t>
      </w:r>
      <w:r>
        <w:rPr>
          <w:rFonts w:ascii="Times New Roman" w:hAnsi="Times New Roman" w:eastAsia="方正仿宋_GBK"/>
          <w:color w:val="000000" w:themeColor="text1"/>
          <w:sz w:val="32"/>
        </w:rPr>
        <w:t>重庆市永川区委社会工作部部门预算公开表</w:t>
      </w:r>
    </w:p>
    <w:p w14:paraId="512319B3">
      <w:pPr>
        <w:adjustRightInd w:val="0"/>
        <w:snapToGrid w:val="0"/>
        <w:spacing w:line="594" w:lineRule="exact"/>
        <w:ind w:firstLine="640" w:firstLineChars="200"/>
        <w:rPr>
          <w:rFonts w:ascii="Times New Roman" w:hAnsi="Times New Roman" w:eastAsia="方正仿宋_GBK"/>
          <w:color w:val="000000" w:themeColor="text1"/>
          <w:sz w:val="32"/>
        </w:rPr>
      </w:pPr>
    </w:p>
    <w:p w14:paraId="3A11A69E">
      <w:pPr>
        <w:adjustRightInd w:val="0"/>
        <w:snapToGrid w:val="0"/>
        <w:spacing w:line="594" w:lineRule="exact"/>
        <w:ind w:firstLine="640" w:firstLineChars="200"/>
        <w:rPr>
          <w:rFonts w:ascii="Times New Roman" w:hAnsi="Times New Roman" w:eastAsia="方正仿宋_GBK"/>
          <w:color w:val="000000" w:themeColor="text1"/>
          <w:sz w:val="32"/>
        </w:rPr>
      </w:pPr>
      <w:r>
        <w:rPr>
          <w:rFonts w:ascii="Times New Roman" w:hAnsi="Times New Roman" w:eastAsia="方正仿宋_GBK"/>
          <w:color w:val="000000" w:themeColor="text1"/>
          <w:sz w:val="32"/>
        </w:rPr>
        <w:t>部门预算公开联系人：罗迦引   联系方式：023-49202115</w:t>
      </w:r>
    </w:p>
    <w:p w14:paraId="0A31B449">
      <w:pPr>
        <w:adjustRightInd w:val="0"/>
        <w:snapToGrid w:val="0"/>
        <w:spacing w:line="594" w:lineRule="exact"/>
        <w:ind w:firstLine="640" w:firstLineChars="200"/>
        <w:rPr>
          <w:rFonts w:ascii="Times New Roman" w:hAnsi="Times New Roman" w:eastAsia="方正仿宋_GBK"/>
          <w:color w:val="000000" w:themeColor="text1"/>
          <w:sz w:val="32"/>
          <w:szCs w:val="32"/>
        </w:rPr>
      </w:pPr>
    </w:p>
    <w:p w14:paraId="6FB1045B">
      <w:pPr>
        <w:adjustRightInd w:val="0"/>
        <w:snapToGrid w:val="0"/>
        <w:spacing w:line="594" w:lineRule="exact"/>
        <w:ind w:firstLine="640" w:firstLineChars="200"/>
        <w:rPr>
          <w:rFonts w:hint="eastAsia" w:ascii="Times New Roman" w:hAnsi="Times New Roman" w:eastAsia="方正仿宋_GBK"/>
          <w:color w:val="000000" w:themeColor="text1"/>
          <w:sz w:val="32"/>
          <w:szCs w:val="32"/>
        </w:rPr>
      </w:pPr>
    </w:p>
    <w:p w14:paraId="15954C71">
      <w:pPr>
        <w:adjustRightInd w:val="0"/>
        <w:snapToGrid w:val="0"/>
        <w:spacing w:line="594" w:lineRule="exact"/>
        <w:ind w:firstLine="640" w:firstLineChars="200"/>
        <w:rPr>
          <w:rFonts w:ascii="Times New Roman" w:hAnsi="Times New Roman" w:eastAsia="方正仿宋_GBK"/>
          <w:color w:val="000000" w:themeColor="text1"/>
          <w:sz w:val="32"/>
          <w:szCs w:val="32"/>
        </w:rPr>
      </w:pPr>
    </w:p>
    <w:p w14:paraId="38ADB3F9">
      <w:pPr>
        <w:adjustRightInd w:val="0"/>
        <w:snapToGrid w:val="0"/>
        <w:spacing w:line="594" w:lineRule="exact"/>
        <w:ind w:firstLine="640" w:firstLineChars="200"/>
        <w:jc w:val="center"/>
        <w:rPr>
          <w:rFonts w:ascii="Times New Roman" w:hAnsi="Times New Roman" w:eastAsia="方正仿宋_GBK"/>
          <w:color w:val="000000" w:themeColor="text1"/>
          <w:sz w:val="32"/>
        </w:rPr>
      </w:pPr>
      <w:r>
        <w:rPr>
          <w:rFonts w:ascii="Times New Roman" w:hAnsi="Times New Roman" w:eastAsia="方正仿宋_GBK"/>
          <w:color w:val="000000" w:themeColor="text1"/>
          <w:sz w:val="32"/>
        </w:rPr>
        <w:t xml:space="preserve">                   </w:t>
      </w:r>
      <w:r>
        <w:rPr>
          <w:rFonts w:hint="eastAsia" w:ascii="Times New Roman" w:hAnsi="Times New Roman" w:eastAsia="方正仿宋_GBK"/>
          <w:color w:val="000000" w:themeColor="text1"/>
          <w:sz w:val="32"/>
          <w:lang w:eastAsia="zh-CN"/>
        </w:rPr>
        <w:t>中共</w:t>
      </w:r>
      <w:r>
        <w:rPr>
          <w:rFonts w:ascii="Times New Roman" w:hAnsi="Times New Roman" w:eastAsia="方正仿宋_GBK"/>
          <w:color w:val="000000" w:themeColor="text1"/>
          <w:sz w:val="32"/>
        </w:rPr>
        <w:t>重庆市永川区委社会工作</w:t>
      </w:r>
      <w:bookmarkStart w:id="0" w:name="_GoBack"/>
      <w:bookmarkEnd w:id="0"/>
      <w:r>
        <w:rPr>
          <w:rFonts w:ascii="Times New Roman" w:hAnsi="Times New Roman" w:eastAsia="方正仿宋_GBK"/>
          <w:color w:val="000000" w:themeColor="text1"/>
          <w:sz w:val="32"/>
        </w:rPr>
        <w:t>部</w:t>
      </w:r>
    </w:p>
    <w:p w14:paraId="00230CFF">
      <w:pPr>
        <w:adjustRightInd w:val="0"/>
        <w:snapToGrid w:val="0"/>
        <w:spacing w:line="594" w:lineRule="exact"/>
        <w:ind w:firstLine="640" w:firstLineChars="200"/>
        <w:jc w:val="center"/>
        <w:rPr>
          <w:rFonts w:ascii="Times New Roman" w:hAnsi="Times New Roman" w:eastAsia="方正仿宋_GBK"/>
          <w:color w:val="000000" w:themeColor="text1"/>
          <w:sz w:val="32"/>
        </w:rPr>
      </w:pPr>
      <w:r>
        <w:rPr>
          <w:rFonts w:ascii="Times New Roman" w:hAnsi="Times New Roman" w:eastAsia="方正仿宋_GBK"/>
          <w:color w:val="000000" w:themeColor="text1"/>
          <w:sz w:val="32"/>
        </w:rPr>
        <w:t xml:space="preserve">                  2025年2月12日</w:t>
      </w:r>
    </w:p>
    <w:sectPr>
      <w:pgSz w:w="11906" w:h="16838"/>
      <w:pgMar w:top="2098" w:right="147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2"/>
  </w:compat>
  <w:docVars>
    <w:docVar w:name="commondata" w:val="eyJoZGlkIjoiMTI1MTU4ZDkxYjc0ZDYzMzFmNWNhMmMyYzJmZGZkZmQifQ=="/>
  </w:docVars>
  <w:rsids>
    <w:rsidRoot w:val="00B25CF0"/>
    <w:rsid w:val="000065FF"/>
    <w:rsid w:val="00025D49"/>
    <w:rsid w:val="00067BD1"/>
    <w:rsid w:val="00085EC4"/>
    <w:rsid w:val="000E6986"/>
    <w:rsid w:val="000E7A86"/>
    <w:rsid w:val="00104156"/>
    <w:rsid w:val="00116D18"/>
    <w:rsid w:val="00175E00"/>
    <w:rsid w:val="00185CD9"/>
    <w:rsid w:val="001C1046"/>
    <w:rsid w:val="001C295B"/>
    <w:rsid w:val="001E1A8B"/>
    <w:rsid w:val="001F62A7"/>
    <w:rsid w:val="002018D1"/>
    <w:rsid w:val="00201E27"/>
    <w:rsid w:val="00271D62"/>
    <w:rsid w:val="00295D2E"/>
    <w:rsid w:val="002B2959"/>
    <w:rsid w:val="002F0B32"/>
    <w:rsid w:val="00315FF1"/>
    <w:rsid w:val="00326B00"/>
    <w:rsid w:val="00357D5D"/>
    <w:rsid w:val="00360817"/>
    <w:rsid w:val="00366915"/>
    <w:rsid w:val="003866D7"/>
    <w:rsid w:val="00393321"/>
    <w:rsid w:val="003C56C2"/>
    <w:rsid w:val="003F3271"/>
    <w:rsid w:val="003F3D85"/>
    <w:rsid w:val="00412B49"/>
    <w:rsid w:val="00413D38"/>
    <w:rsid w:val="0048380D"/>
    <w:rsid w:val="005124F3"/>
    <w:rsid w:val="00513D33"/>
    <w:rsid w:val="00550780"/>
    <w:rsid w:val="00551B8D"/>
    <w:rsid w:val="00562209"/>
    <w:rsid w:val="005723AC"/>
    <w:rsid w:val="005A5BC6"/>
    <w:rsid w:val="005B5DBE"/>
    <w:rsid w:val="005F381D"/>
    <w:rsid w:val="00612BD8"/>
    <w:rsid w:val="006402F8"/>
    <w:rsid w:val="00680BFC"/>
    <w:rsid w:val="0069224F"/>
    <w:rsid w:val="006C3004"/>
    <w:rsid w:val="006D5EE6"/>
    <w:rsid w:val="006E66F0"/>
    <w:rsid w:val="00746575"/>
    <w:rsid w:val="0075644E"/>
    <w:rsid w:val="0076031D"/>
    <w:rsid w:val="00782997"/>
    <w:rsid w:val="007917EA"/>
    <w:rsid w:val="007975AF"/>
    <w:rsid w:val="007A01AA"/>
    <w:rsid w:val="008038D3"/>
    <w:rsid w:val="00825E43"/>
    <w:rsid w:val="00892B61"/>
    <w:rsid w:val="008C6DEB"/>
    <w:rsid w:val="009027F8"/>
    <w:rsid w:val="0093722C"/>
    <w:rsid w:val="0095434E"/>
    <w:rsid w:val="009611A7"/>
    <w:rsid w:val="00965B2B"/>
    <w:rsid w:val="00986813"/>
    <w:rsid w:val="009A024E"/>
    <w:rsid w:val="009B5C65"/>
    <w:rsid w:val="009C0C1E"/>
    <w:rsid w:val="009D6A76"/>
    <w:rsid w:val="009F5F0E"/>
    <w:rsid w:val="00A4594E"/>
    <w:rsid w:val="00A505CF"/>
    <w:rsid w:val="00A85988"/>
    <w:rsid w:val="00AB4CBD"/>
    <w:rsid w:val="00AF7912"/>
    <w:rsid w:val="00B25CF0"/>
    <w:rsid w:val="00B67C25"/>
    <w:rsid w:val="00BA35F7"/>
    <w:rsid w:val="00BA6131"/>
    <w:rsid w:val="00BB7769"/>
    <w:rsid w:val="00BC1E73"/>
    <w:rsid w:val="00C22196"/>
    <w:rsid w:val="00C264FA"/>
    <w:rsid w:val="00C267FB"/>
    <w:rsid w:val="00C749BB"/>
    <w:rsid w:val="00C91C2E"/>
    <w:rsid w:val="00CA1C0C"/>
    <w:rsid w:val="00CA7D4C"/>
    <w:rsid w:val="00CB5754"/>
    <w:rsid w:val="00CC1EFB"/>
    <w:rsid w:val="00CC6777"/>
    <w:rsid w:val="00CE4F15"/>
    <w:rsid w:val="00D17EA8"/>
    <w:rsid w:val="00D90B56"/>
    <w:rsid w:val="00DD584F"/>
    <w:rsid w:val="00DE312C"/>
    <w:rsid w:val="00E10E1B"/>
    <w:rsid w:val="00E27241"/>
    <w:rsid w:val="00E30DF5"/>
    <w:rsid w:val="00E31409"/>
    <w:rsid w:val="00E4250B"/>
    <w:rsid w:val="00E438FD"/>
    <w:rsid w:val="00E83EC4"/>
    <w:rsid w:val="00EA0752"/>
    <w:rsid w:val="00ED5A5D"/>
    <w:rsid w:val="00EE5B9B"/>
    <w:rsid w:val="00F07238"/>
    <w:rsid w:val="00F132FD"/>
    <w:rsid w:val="00F14305"/>
    <w:rsid w:val="00F35787"/>
    <w:rsid w:val="00F51B52"/>
    <w:rsid w:val="00F52282"/>
    <w:rsid w:val="00F602BE"/>
    <w:rsid w:val="00FE3041"/>
    <w:rsid w:val="0D7A365A"/>
    <w:rsid w:val="11AA7347"/>
    <w:rsid w:val="133B1901"/>
    <w:rsid w:val="19DB55F5"/>
    <w:rsid w:val="1DD801A3"/>
    <w:rsid w:val="1EAF42D1"/>
    <w:rsid w:val="274B199A"/>
    <w:rsid w:val="2A1750A8"/>
    <w:rsid w:val="2BE20CDE"/>
    <w:rsid w:val="32513FE1"/>
    <w:rsid w:val="386E6A0C"/>
    <w:rsid w:val="387110B4"/>
    <w:rsid w:val="3A720DEA"/>
    <w:rsid w:val="3B9B3520"/>
    <w:rsid w:val="47B22783"/>
    <w:rsid w:val="489617E1"/>
    <w:rsid w:val="4D5D69EE"/>
    <w:rsid w:val="5A254D94"/>
    <w:rsid w:val="5B8E1A9F"/>
    <w:rsid w:val="5CF21E57"/>
    <w:rsid w:val="67920983"/>
    <w:rsid w:val="6AA0021E"/>
    <w:rsid w:val="71597F39"/>
    <w:rsid w:val="79CF62B4"/>
    <w:rsid w:val="7CA238A7"/>
    <w:rsid w:val="7F0F3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1979</Words>
  <Characters>2189</Characters>
  <Lines>16</Lines>
  <Paragraphs>4</Paragraphs>
  <TotalTime>0</TotalTime>
  <ScaleCrop>false</ScaleCrop>
  <LinksUpToDate>false</LinksUpToDate>
  <CharactersWithSpaces>2238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2021-12-14T19:09:00Z</dcterms:created>
  <dc:creator>Administrator</dc:creator>
  <cp:lastModifiedBy>罗迦引</cp:lastModifiedBy>
  <cp:lastPrinted>2025-02-08T18:28:00Z</cp:lastPrinted>
  <dcterms:modified xsi:type="dcterms:W3CDTF">2025-02-12T02:03:36Z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BC46DE40CF9B4776AA076014997ADBE0</vt:lpwstr>
  </property>
</Properties>
</file>