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永川府〔2024〕164号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朱沱镇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2024年第一批次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农村村民住宅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建设用地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拆旧建新方案的批复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朱沱镇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批次农村村民住宅建设用地拆旧建新方案的请示》（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朱沱府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号）收悉。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受市政府委托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现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批复如下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上报的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周汝冰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共1户拆旧建新方案，建新地块占地面积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平方米，拆旧地块占地面积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农户建房拆旧建新过程监管，督促农户按照批准的方案实施建设，及时完成旧房拆除复垦及验收工作。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按照国家和我市的有关规定办理农村宅基地审批和规划许可手续。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附件：朱沱镇202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批次农村村民住宅建设用地拆旧建新土地分类面积表</w:t>
      </w: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重庆市永川区人民政府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月26日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朱沱镇2024年第一批次农村村民住宅建设用地拆旧建新土地分类面积表</w:t>
      </w:r>
    </w:p>
    <w:p>
      <w:pPr>
        <w:pStyle w:val="2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</w:pPr>
      <w:r>
        <w:rPr>
          <w:rFonts w:hint="eastAsia" w:eastAsia="方正仿宋_GBK" w:cs="方正仿宋_GBK"/>
          <w:color w:val="auto"/>
          <w:sz w:val="21"/>
          <w:szCs w:val="21"/>
          <w:lang w:val="en-US" w:eastAsia="zh-CN"/>
        </w:rPr>
        <w:t xml:space="preserve">               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>单位：人、平方米</w:t>
      </w:r>
    </w:p>
    <w:tbl>
      <w:tblPr>
        <w:tblStyle w:val="7"/>
        <w:tblW w:w="13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75"/>
        <w:gridCol w:w="954"/>
        <w:gridCol w:w="1011"/>
        <w:gridCol w:w="870"/>
        <w:gridCol w:w="660"/>
        <w:gridCol w:w="660"/>
        <w:gridCol w:w="840"/>
        <w:gridCol w:w="705"/>
        <w:gridCol w:w="915"/>
        <w:gridCol w:w="750"/>
        <w:gridCol w:w="945"/>
        <w:gridCol w:w="870"/>
        <w:gridCol w:w="825"/>
        <w:gridCol w:w="780"/>
        <w:gridCol w:w="1095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3870" w:type="dxa"/>
            <w:gridSpan w:val="5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建新用地面积</w:t>
            </w:r>
          </w:p>
        </w:tc>
        <w:tc>
          <w:tcPr>
            <w:tcW w:w="3420" w:type="dxa"/>
            <w:gridSpan w:val="4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拆旧用地面积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是否已落实耕地占补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平衡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5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农用地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用地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可复垦农用地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农用地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朱沱镇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四望山村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二郎山村民小组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周汝冰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未占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8DF10"/>
    <w:multiLevelType w:val="singleLevel"/>
    <w:tmpl w:val="CA08DF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3C48"/>
    <w:rsid w:val="11443406"/>
    <w:rsid w:val="159A455B"/>
    <w:rsid w:val="168B3C48"/>
    <w:rsid w:val="27A7790D"/>
    <w:rsid w:val="28CF7A5F"/>
    <w:rsid w:val="38352073"/>
    <w:rsid w:val="3FFFA2B1"/>
    <w:rsid w:val="53C15C3A"/>
    <w:rsid w:val="6BF9DA87"/>
    <w:rsid w:val="75FD547B"/>
    <w:rsid w:val="79F7FF35"/>
    <w:rsid w:val="7AFFB120"/>
    <w:rsid w:val="7D737111"/>
    <w:rsid w:val="7F6D4000"/>
    <w:rsid w:val="7F7AC028"/>
    <w:rsid w:val="B7FD60EF"/>
    <w:rsid w:val="BD5FA98A"/>
    <w:rsid w:val="CE6BAAFD"/>
    <w:rsid w:val="E7BB9C7F"/>
    <w:rsid w:val="F7EEB5EA"/>
    <w:rsid w:val="FBD50CBC"/>
    <w:rsid w:val="FBF4F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outlineLvl w:val="3"/>
    </w:pPr>
    <w:rPr>
      <w:rFonts w:ascii="方正仿宋_GBK" w:hAnsi="方正仿宋_GBK"/>
      <w:bCs/>
      <w:szCs w:val="32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方正仿宋_GBK" w:cs="Times New Roman"/>
      <w:sz w:val="32"/>
      <w:szCs w:val="20"/>
    </w:rPr>
  </w:style>
  <w:style w:type="paragraph" w:styleId="4">
    <w:name w:val="Balloon Text"/>
    <w:basedOn w:val="1"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2012-11-05T07:58:00Z</dcterms:created>
  <dc:creator>Lenovo User</dc:creator>
  <cp:lastModifiedBy> </cp:lastModifiedBy>
  <cp:lastPrinted>2024-12-28T07:10:00Z</cp:lastPrinted>
  <dcterms:modified xsi:type="dcterms:W3CDTF">2024-12-31T16:42:15Z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DD6CB129EDB9BC1D41536E6726251B65</vt:lpwstr>
  </property>
</Properties>
</file>