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  <w:color w:val="auto"/>
        </w:rPr>
      </w:pPr>
    </w:p>
    <w:p>
      <w:pPr>
        <w:overflowPunct w:val="0"/>
        <w:snapToGri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重庆市永川区人民政府办公室</w:t>
      </w:r>
    </w:p>
    <w:p>
      <w:pPr>
        <w:overflowPunct w:val="0"/>
        <w:snapToGri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关于印发永川区建设区域性金融中心</w:t>
      </w:r>
    </w:p>
    <w:p>
      <w:pPr>
        <w:overflowPunct w:val="0"/>
        <w:snapToGri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实施方案的通知</w:t>
      </w:r>
    </w:p>
    <w:p>
      <w:pPr>
        <w:snapToGrid w:val="0"/>
        <w:spacing w:line="300" w:lineRule="auto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永川府办发〔2022〕</w:t>
      </w:r>
      <w:r>
        <w:rPr>
          <w:rFonts w:hint="default" w:cs="Times New Roman"/>
          <w:color w:val="auto"/>
          <w:lang w:val="en-US" w:eastAsia="zh-CN"/>
        </w:rPr>
        <w:t>117</w:t>
      </w:r>
      <w:r>
        <w:rPr>
          <w:rFonts w:hint="default" w:ascii="Times New Roman" w:hAnsi="Times New Roman" w:cs="Times New Roman"/>
          <w:color w:val="auto"/>
        </w:rPr>
        <w:t>号</w:t>
      </w:r>
    </w:p>
    <w:p>
      <w:pPr>
        <w:adjustRightInd w:val="0"/>
        <w:snapToGrid w:val="0"/>
        <w:spacing w:line="300" w:lineRule="auto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300" w:lineRule="auto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各镇人民政府、街道办事处，区政府有关部门，有关单位：</w:t>
      </w:r>
    </w:p>
    <w:p>
      <w:pPr>
        <w:adjustRightInd w:val="0"/>
        <w:snapToGrid w:val="0"/>
        <w:spacing w:line="30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永川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建设区域性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金融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》已经区政府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印发给你们，请认真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贯彻执行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7"/>
        <w:snapToGrid w:val="0"/>
        <w:spacing w:after="0" w:line="300" w:lineRule="auto"/>
        <w:ind w:left="0" w:leftChars="0"/>
        <w:rPr>
          <w:rFonts w:hint="default" w:ascii="Calibri" w:hAnsi="Calibri" w:eastAsia="宋体" w:cs="Times New Roman"/>
          <w:color w:val="auto"/>
          <w:sz w:val="32"/>
          <w:szCs w:val="32"/>
        </w:rPr>
      </w:pPr>
    </w:p>
    <w:p>
      <w:pPr>
        <w:pStyle w:val="7"/>
        <w:snapToGrid w:val="0"/>
        <w:spacing w:after="0" w:line="300" w:lineRule="auto"/>
        <w:ind w:left="0" w:leftChars="0"/>
        <w:rPr>
          <w:rFonts w:hint="default" w:ascii="Calibri" w:hAnsi="Calibri" w:eastAsia="宋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4320" w:firstLineChars="135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重庆市永川区人民政府办公室</w:t>
      </w:r>
    </w:p>
    <w:p>
      <w:pPr>
        <w:wordWrap w:val="0"/>
        <w:adjustRightInd w:val="0"/>
        <w:snapToGrid w:val="0"/>
        <w:spacing w:line="300" w:lineRule="auto"/>
        <w:ind w:firstLine="5120" w:firstLineChars="1600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2022年</w:t>
      </w:r>
      <w:r>
        <w:rPr>
          <w:rFonts w:hint="default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 xml:space="preserve">        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（此件公开发布）</w:t>
      </w:r>
    </w:p>
    <w:p>
      <w:pPr>
        <w:rPr>
          <w:rFonts w:hint="default"/>
        </w:rPr>
      </w:pPr>
      <w:r>
        <w:rPr>
          <w:rFonts w:hint="default"/>
        </w:rPr>
        <w:br w:type="page"/>
      </w: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永川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区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建设区域性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金融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中心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实施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方案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640" w:firstLineChars="200"/>
        <w:jc w:val="both"/>
        <w:textAlignment w:val="auto"/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640" w:firstLineChars="200"/>
        <w:jc w:val="both"/>
        <w:textAlignment w:val="auto"/>
        <w:rPr>
          <w:rStyle w:val="18"/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为深入贯彻习近平总书记关于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金融发展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重要讲话精神，按照重庆市建设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西部金融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中心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战略部署，全面落实区</w:t>
      </w:r>
      <w:r>
        <w:rPr>
          <w:rStyle w:val="18"/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第</w:t>
      </w:r>
      <w:bookmarkStart w:id="0" w:name="_GoBack"/>
      <w:bookmarkEnd w:id="0"/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十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次党代会</w:t>
      </w:r>
      <w:r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2235</w:t>
      </w:r>
      <w:r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总体思路，将永川区建设成为</w:t>
      </w:r>
      <w:r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区域性金融中心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，特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制</w:t>
      </w:r>
      <w:r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定此</w:t>
      </w:r>
      <w:r>
        <w:rPr>
          <w:rStyle w:val="18"/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方案。</w:t>
      </w: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_GBK" w:cs="方正楷体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shd w:val="clear" w:color="auto" w:fill="auto"/>
          <w:lang w:val="en-US" w:eastAsia="zh-CN"/>
        </w:rPr>
        <w:t>一、发展目标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到2025年，初步建成区域性金融中心，实现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新增各类金融机构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家，机构类型更加丰富，金融市场更具活力；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auto"/>
          <w:lang w:val="en-US" w:eastAsia="zh-CN"/>
        </w:rPr>
        <w:t>金融业增加值占地区生产总值比重稳定在5%以上，成为全区支柱产业，存贷款余额达到2200亿元；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新增境内外交易所上市企业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家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shd w:val="clear" w:color="auto" w:fill="auto"/>
          <w:lang w:val="en-US" w:eastAsia="zh-CN"/>
        </w:rPr>
        <w:t>二、重点任务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一）丰富金融体系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1.打造功能性金融集聚区。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充分发挥金融的支撑作用，加大永川区城市建设的资金支持。发挥永川区机构集中、资金融通、业务创新和信息集中的枢纽作用，努力使永川区成为区域性的资金聚集中心，辐射渝西片区。以建立和完善金融业态体系、金融功能体系、金融服务体系为主线，实现产业链、资金链和创新链的深度融合，引领成渝地区中部区域发展，开展产业链金融、绿色金融和普惠金融创新示范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cs="方正仿宋_GBK"/>
          <w:color w:val="auto"/>
          <w:sz w:val="32"/>
          <w:szCs w:val="32"/>
          <w:u w:val="none"/>
          <w:lang w:val="en-US" w:eastAsia="zh-CN"/>
        </w:rPr>
        <w:t>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none"/>
        </w:rPr>
        <w:t>结合成渝地区双城经济圈规划和西部金融中心、泸永江融合发展示范区建设，支持跨省联动，提升区域金融影响力。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（责任单位：区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金融办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、人行永川中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心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支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、永川银保监分局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2.壮大金融业规模。重点支持银行、证券、保险等金融机构来永设立分支机构以及区域性总部。鼓励金融机构制定专项信贷计划，提高制造业中长期贷款及信用贷款占比，支持银行机构拓展中间业务，扩大承兑汇票规模，规范发展委托贷款、信托贷款、理财、担保、金融衍生工具交易等表外业务。发展资产管理、投资银行、融资融券、股权直投等投融资业务。扩大保险市场规模，规范发展保险中介机构，完善保险营销体制。鼓励金融机构针对科技创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产业发展特殊需求，重点发展科技银行、专业银行、社区银行等支持创业创新和惠及民生的中小型银行，提升金融机构专业化水平，增强综合服务能力。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（责任单位：区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金融办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、人行永川中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心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支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、永川银保监分局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3.大力发展新型金融业态。加快推动基金、资产管理、金融科技、供应链金融、消费金融、汽车金融等新型金融业态在永落地，推动区内新型金融业态不断完善，丰富金融市场主体。积极引进和发展一批担保、融资租赁、商业保理等新型金融机构。加大与渝富资本、长嘉纵横、盛世景、中新基金管理公司等合作，组建总规模30亿的产业基金、天使基金，促进企业产业升级、大力发展基金招商，丰富企业招商模式。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(责任单位：区金融办、区财政局、</w:t>
      </w:r>
      <w:r>
        <w:rPr>
          <w:rFonts w:hint="eastAsia" w:eastAsia="方正楷体_GBK" w:cs="Times New Roman"/>
          <w:color w:val="auto"/>
          <w:kern w:val="0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新城</w:t>
      </w:r>
      <w:r>
        <w:rPr>
          <w:rFonts w:hint="eastAsia" w:eastAsia="方正楷体_GBK" w:cs="Times New Roman"/>
          <w:color w:val="auto"/>
          <w:kern w:val="0"/>
          <w:sz w:val="32"/>
          <w:szCs w:val="32"/>
          <w:lang w:val="en-US" w:eastAsia="zh-CN" w:bidi="ar-SA"/>
        </w:rPr>
        <w:t>建管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委、</w:t>
      </w:r>
      <w:r>
        <w:rPr>
          <w:rFonts w:hint="eastAsia" w:eastAsia="方正楷体_GBK" w:cs="Times New Roman"/>
          <w:color w:val="auto"/>
          <w:kern w:val="0"/>
          <w:sz w:val="32"/>
          <w:szCs w:val="32"/>
          <w:lang w:val="en-US" w:eastAsia="zh-CN" w:bidi="ar-SA"/>
        </w:rPr>
        <w:t>永川高新区管委会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（二）强化金融功能</w:t>
      </w: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4.优化完善融资担保体系。推动国有融资担保机构体系改革，聚焦民生，规范机构运作，坚守支农支小融资担保主业，适时降低担保服务门槛，着力缓解小微企业、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三农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等普惠领域融资难、融资贵等问题。建设普惠金融示范区，加大财政资金投入，扩大风险补偿资金池规模，建立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风险补偿资金+担保机构+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银行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机构+保险机构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风险分担机制，引导金融机构加大信贷支持。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(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责任单位：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区金融办、区财政局、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人行永川中心支行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永川银保监分局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区中小企业担保公司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重庆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农担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公司永川分公司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5.大力发展直接融资，拓宽企业直接融资渠道，不断丰富公司信用类产品，申请绿色、扶贫、双创、乡村振兴等专项债券，创新民营企业债券融资支持工具，提高直接融资比重。进一步完善企业上市储备机制和激励政策，鼓励企业在境内外多层次资本市场上市、挂牌，不断提升永川区的资产证券化水平。鼓励区内处于不同发展阶段的企业通过主板、科创板、中小板、创业板、新三板等获得融资支持。发挥债券融资渠道作用，提高企业融资效率。支持企业通过银行间债券市场、交易所市场等发行债务融资工具，支持符合条件的企业发行项目收益债、永续债、短期融资券、中期票据及其他企业债券获得融资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（责任单位：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区金融办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方正楷体_GBK" w:cs="Times New Roman"/>
          <w:color w:val="auto"/>
          <w:sz w:val="32"/>
          <w:szCs w:val="32"/>
          <w:lang w:eastAsia="zh-CN"/>
        </w:rPr>
        <w:t>永川高新区管委会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、区新城建管委、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人行永川中心支行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永川银保监分局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6.强化保险保障功能。充分发挥保险业在服务地方治理、构筑民生保障方面的功能作用，鼓励保险产品、服务、模式创新。大力发展</w:t>
      </w:r>
      <w:r>
        <w:rPr>
          <w:rFonts w:hint="eastAsia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三农</w:t>
      </w:r>
      <w:r>
        <w:rPr>
          <w:rFonts w:hint="eastAsia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保险、围绕基础农业和特色农业，大力发展水稻、生猪、茶叶、食用菌、花椒、龙眼等保险品种。强化政府引导、市场运作的责任保险模式，加快建立多层次的巨灾保险体系，加强在医疗责任、环境污染、食品安全等重点领域的推进力度。促进保险机构参与社会养老服务、社会健康管理及各类医疗保险，满足差异化的社会保障需求。大力发展科技保险、科技企业贷款保证保险等业务，促进科技成果产业化</w:t>
      </w:r>
      <w:r>
        <w:rPr>
          <w:rFonts w:hint="eastAsia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（责任单位：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区金融办、区财政局、区农业农村委、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永川银保监分局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7.做优金融后台服务。依托永川大数据产业园，重点扶持发展金融后台服务机构，拓展金融产业链，完善金融后援中心、结算中心、灾备中心、数据处理中心、信用卡中心、呼叫中心等后台服务机构，拓展金融后台服务功能。大力开展金融客户服务、金融资讯信息服务、金融软件开发维护、金融科技人才培训等服务，为金融科技机构发展提供优质的后台服务环境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（责任单位：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区金融办、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区新城建管委、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人行永川中心支行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永川银保监分局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）推动金融创新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8.深化普惠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zh-CN"/>
        </w:rPr>
        <w:t>金融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试点。充分利用</w:t>
      </w:r>
      <w:r>
        <w:rPr>
          <w:rFonts w:hint="eastAsia" w:cs="Times New Roman"/>
          <w:color w:val="auto"/>
          <w:sz w:val="32"/>
          <w:szCs w:val="32"/>
          <w:highlight w:val="none"/>
          <w:shd w:val="clear" w:color="090000" w:fill="auto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1+5+N</w:t>
      </w:r>
      <w:r>
        <w:rPr>
          <w:rFonts w:hint="eastAsia" w:cs="Times New Roman"/>
          <w:color w:val="auto"/>
          <w:sz w:val="32"/>
          <w:szCs w:val="32"/>
          <w:highlight w:val="none"/>
          <w:shd w:val="clear" w:color="090000" w:fill="auto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金融服务港湾和</w:t>
      </w:r>
      <w:r>
        <w:rPr>
          <w:rFonts w:hint="eastAsia" w:cs="Times New Roman"/>
          <w:color w:val="auto"/>
          <w:sz w:val="32"/>
          <w:szCs w:val="32"/>
          <w:highlight w:val="none"/>
          <w:shd w:val="clear" w:color="090000" w:fill="auto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1+2+N普惠金融服务到村</w:t>
      </w:r>
      <w:r>
        <w:rPr>
          <w:rFonts w:hint="eastAsia" w:cs="Times New Roman"/>
          <w:color w:val="auto"/>
          <w:sz w:val="32"/>
          <w:szCs w:val="32"/>
          <w:highlight w:val="none"/>
          <w:shd w:val="clear" w:color="090000" w:fill="auto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行动，提升金融服务水平。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发挥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  <w:t>结构性货币政策工具的作用，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引导金融机构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用好用足人民银行支农、支小、科技创新、交通物流等再贷款政策工具，进一步加大对普惠小微及个体工商户、涉农企业、科技型企业、交通物流业等的金融支持力度。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</w:rPr>
        <w:t>落实好金融助企纾困政策，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按照延期还本付息要求，金融机构按照市场化原则对受困企业贷款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实施延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期还本付息，做到应延尽延。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积极实施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信用村贷款贴息和普惠小微绿色贷款贴息，降低涉农和普惠小微贷款融资成本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鼓励金融机构持续加大对先进制造业、高技术制造业以及中小微制造业企业的中长期资金支持，提高制造业中长期贷款可获得性。围绕农产品加工、乡村休闲旅游等新产业新业态，推动农村一二三产业融合发展，持续完善融资、结算等金融服务，大力推动金融科技赋能乡村振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（责任单位：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区金融办、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人行永川中心支行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9.探索绿色金融创新。鼓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励支持园区、企业开展</w:t>
      </w:r>
      <w:r>
        <w:rPr>
          <w:rFonts w:hint="eastAsia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零碳</w:t>
      </w:r>
      <w:r>
        <w:rPr>
          <w:rFonts w:hint="eastAsia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示范园、</w:t>
      </w:r>
      <w:r>
        <w:rPr>
          <w:rFonts w:hint="eastAsia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零碳</w:t>
      </w:r>
      <w:r>
        <w:rPr>
          <w:rFonts w:hint="eastAsia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示范工厂、</w:t>
      </w:r>
      <w:r>
        <w:rPr>
          <w:rFonts w:hint="eastAsia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零碳</w:t>
      </w:r>
      <w:r>
        <w:rPr>
          <w:rFonts w:hint="eastAsia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示范项目建设。鼓励支持银行机构创新</w:t>
      </w:r>
      <w:r>
        <w:rPr>
          <w:rFonts w:hint="eastAsia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绿创贷</w:t>
      </w:r>
      <w:r>
        <w:rPr>
          <w:rFonts w:hint="eastAsia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节水贷</w:t>
      </w:r>
      <w:r>
        <w:rPr>
          <w:rFonts w:hint="eastAsia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环保贷</w:t>
      </w:r>
      <w:r>
        <w:rPr>
          <w:rFonts w:hint="eastAsia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绿票通</w:t>
      </w:r>
      <w:r>
        <w:rPr>
          <w:rFonts w:hint="eastAsia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等绿色信贷产品和服务，加强与绿色产业、绿色项目的金融需求对接，创新绿色信贷抵（质）押担保模式，发展以碳排放权、排污权等环境权益，以及以绿色工程收费权和收益权为抵（质）押标的的新型绿色信贷。探索打造一批基础性、功能性、标杆性的绿色金融示范园区、示范项目、示范工厂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支持发展信贷、基金、债券、资产证券化等各类绿色金融工具。支持绿色企业开展直接债务融资，鼓励发行绿色企业债、绿色公司债、绿色资产支持证券（ABS）、绿色项目收益支持票据等绿色债券产品。探索发行政府一般债券或专项债券用于绿色项目建设。推动发展绿色保险。探索环境污染责任保险、绿色建筑性能保险等创新型保险服务。推动绿色金融支持绿色低碳转型。积极争取全市碳排放权交易试点，探索在茶山竹海、松溉古镇等景区创建绿色低碳示范，探索EOD融资模式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（责任单位：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区金融办、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区文化旅游委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生态环境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人行永川中心支行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永川银保监分局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640" w:firstLineChars="200"/>
        <w:jc w:val="both"/>
        <w:textAlignment w:val="auto"/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</w:pPr>
      <w:r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Style w:val="18"/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）优化金融环境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640" w:firstLineChars="200"/>
        <w:jc w:val="both"/>
        <w:textAlignment w:val="auto"/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</w:pP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.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做好金融人才服务。完善金融人才公共服务，在户籍、医疗保障、子女入学、创业投资等方面提供便利条件。依托职教优势，强化基础金融人才培养，探索常态化的金融知识业务培训机制。依托江北嘴财经智库等智囊平台，坚持</w:t>
      </w:r>
      <w:r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“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校企合作</w:t>
      </w:r>
      <w:r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”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，引进和培育各类专业化金融教育服务机构、权威认证和金融培训组织，支持金融机构开展从业人员职业培训，支持从业人员获取国际金融职业资格认证。</w:t>
      </w:r>
      <w:r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（责任单位：区金融办、</w:t>
      </w:r>
      <w:r>
        <w:rPr>
          <w:rStyle w:val="18"/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永川高新区管委会</w:t>
      </w:r>
      <w:r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、区人力社保局、</w:t>
      </w:r>
      <w:r>
        <w:rPr>
          <w:rStyle w:val="18"/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人行永川中心支行</w:t>
      </w:r>
      <w:r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Style w:val="18"/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永川银保监分局</w:t>
      </w:r>
      <w:r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640" w:firstLineChars="200"/>
        <w:jc w:val="both"/>
        <w:textAlignment w:val="auto"/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</w:pP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 w:bidi="zh-CN"/>
        </w:rPr>
        <w:t>11.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防范和化解金融风险。支持银行、证券、保险等行业完善监管信息系统。健全小贷公司、融资担保公司、典当行等新型金融机构非现场监管系统，提高实时监测和纠错能力，形成在线监测预警和常态化管理机制。探索监管数据系统和机构风险管控系统的有效对接，进一步增强风险监测的准确性和风险预警的及时性。健全金融突发公共事件应急处置方案，形成及时、高效的风险处置协调机制。按照</w:t>
      </w:r>
      <w:r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“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打早、打小、打苗头</w:t>
      </w:r>
      <w:r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”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要求，加强风险排查，防范风险发生。按照</w:t>
      </w:r>
      <w:r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“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一案一策</w:t>
      </w:r>
      <w:r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”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，做好非法集资案件处置工作，加强追</w:t>
      </w:r>
      <w:r>
        <w:rPr>
          <w:rStyle w:val="18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赃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zh-CN"/>
        </w:rPr>
        <w:t>挽损工作，尽量降低参与者损失。做好信访维稳工作，确保社会稳定。</w:t>
      </w:r>
      <w:r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（责任单位：区金融办、区公安局、区信访办、区市场监管局、</w:t>
      </w:r>
      <w:r>
        <w:rPr>
          <w:rStyle w:val="18"/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人行永川中心支行</w:t>
      </w:r>
      <w:r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Style w:val="18"/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永川银保监分局</w:t>
      </w:r>
      <w:r>
        <w:rPr>
          <w:rStyle w:val="18"/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640" w:firstLineChars="200"/>
        <w:jc w:val="both"/>
        <w:textAlignment w:val="auto"/>
        <w:rPr>
          <w:rStyle w:val="18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Style w:val="18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（一）加强组织领导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eastAsia="zh-CN" w:bidi="zh-CN"/>
        </w:rPr>
        <w:t>区金融工作领导小组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牵头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eastAsia="zh-CN" w:bidi="zh-CN"/>
        </w:rPr>
        <w:t>，统筹协调、研究解决金融业发展中面临的重大问题。充分调动各部门参与金融规划实施的积极性，按照各自职能履职尽责，加强协作，密切配合，形成工作合力，构建完善一站式、立体化金融服务体系。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（责任单位：区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金融办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（二）加大政策支持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eastAsia="zh-CN" w:bidi="zh-CN"/>
        </w:rPr>
        <w:t>积极争取中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央、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eastAsia="zh-CN" w:bidi="zh-CN"/>
        </w:rPr>
        <w:t>市级层面的政策支持和指导，健全金融创新发展政策支持体系，完善财政政策、人才政策等，促进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现代金融业</w:t>
      </w:r>
      <w:r>
        <w:rPr>
          <w:rFonts w:hint="eastAsia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速健</w:t>
      </w:r>
      <w:r>
        <w:rPr>
          <w:rFonts w:hint="eastAsia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auto"/>
          <w:lang w:eastAsia="zh-CN" w:bidi="zh-CN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（责任单位：区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金融办、区财政局、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人行永川中心支行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（三）加强资源统筹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eastAsia="zh-CN" w:bidi="zh-CN"/>
        </w:rPr>
        <w:t>统筹运用财政政策、货币政策工具、监管政策和国有平台，加强对金融资源的统筹调配力度，引导金融资源有序合理流动，针对行业运行中出现的问题和困难，适时实施专项调度。切实增强部门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zh-CN"/>
        </w:rPr>
        <w:t>间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eastAsia="zh-CN" w:bidi="zh-CN"/>
        </w:rPr>
        <w:t>的协调沟通，加大信息互换共享和协作配合，在风险防</w:t>
      </w:r>
      <w:r>
        <w:rPr>
          <w:rStyle w:val="18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范化解处置、地方金融改革、业务发展等方面形成常态化合作机制。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（责任单位：区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金融办、区财政局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人行永川中心支行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永川银保监分局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</w:p>
    <w:p>
      <w:pPr>
        <w:rPr>
          <w:rFonts w:hint="eastAsia"/>
          <w:color w:val="auto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000000"/>
    <w:rsid w:val="00FD1A5B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0FFCAC66"/>
    <w:rsid w:val="10205527"/>
    <w:rsid w:val="152D2DCA"/>
    <w:rsid w:val="15D5325E"/>
    <w:rsid w:val="17740E6D"/>
    <w:rsid w:val="187168EA"/>
    <w:rsid w:val="196673CA"/>
    <w:rsid w:val="1B2F4AEE"/>
    <w:rsid w:val="1B836E76"/>
    <w:rsid w:val="1C3B5737"/>
    <w:rsid w:val="1CEA3347"/>
    <w:rsid w:val="1CF734C9"/>
    <w:rsid w:val="1D5561CE"/>
    <w:rsid w:val="1DEC284C"/>
    <w:rsid w:val="1E4142AB"/>
    <w:rsid w:val="1E6523AC"/>
    <w:rsid w:val="22440422"/>
    <w:rsid w:val="22BB4BBB"/>
    <w:rsid w:val="25DE7970"/>
    <w:rsid w:val="2AEB3417"/>
    <w:rsid w:val="2D502E74"/>
    <w:rsid w:val="2FDEBE25"/>
    <w:rsid w:val="31A15F24"/>
    <w:rsid w:val="324A1681"/>
    <w:rsid w:val="35A10974"/>
    <w:rsid w:val="36FB1DF0"/>
    <w:rsid w:val="395347B5"/>
    <w:rsid w:val="39A232A0"/>
    <w:rsid w:val="39E745AA"/>
    <w:rsid w:val="3B5A6BBB"/>
    <w:rsid w:val="3E2E249C"/>
    <w:rsid w:val="3EDA13A6"/>
    <w:rsid w:val="3FB3C6F5"/>
    <w:rsid w:val="417B75E9"/>
    <w:rsid w:val="42F058B7"/>
    <w:rsid w:val="42F334A6"/>
    <w:rsid w:val="434C7328"/>
    <w:rsid w:val="436109F6"/>
    <w:rsid w:val="441A38D4"/>
    <w:rsid w:val="4504239D"/>
    <w:rsid w:val="450B05EB"/>
    <w:rsid w:val="484C61E3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D8014D"/>
    <w:rsid w:val="55003B4B"/>
    <w:rsid w:val="55E064E0"/>
    <w:rsid w:val="572C6D10"/>
    <w:rsid w:val="595F0EF6"/>
    <w:rsid w:val="5DC34279"/>
    <w:rsid w:val="5FC73B37"/>
    <w:rsid w:val="5FCD688E"/>
    <w:rsid w:val="5FF9BDAA"/>
    <w:rsid w:val="5FFE5333"/>
    <w:rsid w:val="5FFEF373"/>
    <w:rsid w:val="603161C9"/>
    <w:rsid w:val="608816D1"/>
    <w:rsid w:val="60B50B70"/>
    <w:rsid w:val="60EF4E7F"/>
    <w:rsid w:val="648B0A32"/>
    <w:rsid w:val="665233C1"/>
    <w:rsid w:val="695F5F42"/>
    <w:rsid w:val="69AC0D42"/>
    <w:rsid w:val="6AD9688B"/>
    <w:rsid w:val="6CDF4676"/>
    <w:rsid w:val="6D0E3F22"/>
    <w:rsid w:val="6FD9A725"/>
    <w:rsid w:val="71AC5E37"/>
    <w:rsid w:val="744E4660"/>
    <w:rsid w:val="753355A2"/>
    <w:rsid w:val="759F1C61"/>
    <w:rsid w:val="769F2DE8"/>
    <w:rsid w:val="76FDEB7C"/>
    <w:rsid w:val="775F7BE8"/>
    <w:rsid w:val="77FF3F9B"/>
    <w:rsid w:val="78AE27FE"/>
    <w:rsid w:val="79C65162"/>
    <w:rsid w:val="7C41577F"/>
    <w:rsid w:val="7C9011D9"/>
    <w:rsid w:val="7CFB9708"/>
    <w:rsid w:val="7D344903"/>
    <w:rsid w:val="7DB3968F"/>
    <w:rsid w:val="7DC651C5"/>
    <w:rsid w:val="7DF350ED"/>
    <w:rsid w:val="7E1EE65C"/>
    <w:rsid w:val="7F3F160F"/>
    <w:rsid w:val="7F9DA0E8"/>
    <w:rsid w:val="7FBB0E9F"/>
    <w:rsid w:val="7FCC2834"/>
    <w:rsid w:val="7FF6A4EF"/>
    <w:rsid w:val="92DD1CEF"/>
    <w:rsid w:val="BFF8BCBA"/>
    <w:rsid w:val="BFFD9ACC"/>
    <w:rsid w:val="DFDFC069"/>
    <w:rsid w:val="DFF7DF94"/>
    <w:rsid w:val="DFFE0970"/>
    <w:rsid w:val="E56F910E"/>
    <w:rsid w:val="EBEE9152"/>
    <w:rsid w:val="F05B4F69"/>
    <w:rsid w:val="F339EC9C"/>
    <w:rsid w:val="F97D9566"/>
    <w:rsid w:val="F9FBC903"/>
    <w:rsid w:val="FB3B0044"/>
    <w:rsid w:val="FB6F22C1"/>
    <w:rsid w:val="FDFF411C"/>
    <w:rsid w:val="FEFF5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toc 5"/>
    <w:basedOn w:val="1"/>
    <w:next w:val="1"/>
    <w:qFormat/>
    <w:uiPriority w:val="0"/>
    <w:pPr>
      <w:adjustRightInd/>
      <w:spacing w:line="240" w:lineRule="auto"/>
      <w:ind w:left="1680" w:leftChars="800"/>
      <w:textAlignment w:val="auto"/>
    </w:pPr>
    <w:rPr>
      <w:kern w:val="2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adjustRightInd/>
      <w:spacing w:after="120" w:line="240" w:lineRule="auto"/>
      <w:ind w:left="420"/>
      <w:textAlignment w:val="auto"/>
    </w:pPr>
    <w:rPr>
      <w:kern w:val="2"/>
      <w:szCs w:val="20"/>
    </w:rPr>
  </w:style>
  <w:style w:type="paragraph" w:styleId="7">
    <w:name w:val="Block Text"/>
    <w:basedOn w:val="1"/>
    <w:qFormat/>
    <w:uiPriority w:val="0"/>
    <w:pPr>
      <w:adjustRightInd/>
      <w:spacing w:after="120" w:line="240" w:lineRule="auto"/>
      <w:ind w:left="1440" w:leftChars="700" w:right="1440" w:rightChars="700"/>
      <w:textAlignment w:val="auto"/>
    </w:pPr>
    <w:rPr>
      <w:kern w:val="2"/>
      <w:szCs w:val="24"/>
    </w:rPr>
  </w:style>
  <w:style w:type="paragraph" w:styleId="8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kern w:val="2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  <w:rPr>
      <w:rFonts w:ascii="Calibri" w:hAnsi="Calibri"/>
      <w:sz w:val="24"/>
      <w:szCs w:val="21"/>
    </w:rPr>
  </w:style>
  <w:style w:type="paragraph" w:styleId="12">
    <w:name w:val="index 9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qFormat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paragraph" w:customStyle="1" w:styleId="20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2">
    <w:name w:val="Body Text First Indent1"/>
    <w:basedOn w:val="2"/>
    <w:qFormat/>
    <w:uiPriority w:val="0"/>
    <w:pPr>
      <w:widowControl/>
      <w:snapToGrid w:val="0"/>
      <w:spacing w:afterLines="-2147483648" w:afterAutospacing="0" w:line="360" w:lineRule="auto"/>
      <w:textAlignment w:val="auto"/>
    </w:pPr>
    <w:rPr>
      <w:rFonts w:ascii="仿宋_GB2312" w:hAnsi="宋体" w:eastAsia="仿宋_GB2312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3</TotalTime>
  <ScaleCrop>false</ScaleCrop>
  <LinksUpToDate>false</LinksUpToDate>
  <CharactersWithSpaces>5141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2021-09-12T10:41:00Z</dcterms:created>
  <dc:creator>t</dc:creator>
  <cp:lastModifiedBy>greatwall</cp:lastModifiedBy>
  <cp:lastPrinted>2022-05-13T08:46:00Z</cp:lastPrinted>
  <dcterms:modified xsi:type="dcterms:W3CDTF">2023-07-14T16:39:47Z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D494EF09FF2E42C0BB5BF039E3E7A302</vt:lpwstr>
  </property>
</Properties>
</file>