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</w:rPr>
        <w:t>重庆市永川区新冠肺炎疫情防控指挥部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</w:rPr>
        <w:t>关于调整相关疫情风险区的通告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</w:rPr>
        <w:t>（第12号）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按照《新型冠状病毒肺炎防控方案（第九版）》相关规定，结合当前永川区疫情防控工作需要，经专家研判和永川区新冠肺炎疫情防控指挥部研究，于</w:t>
      </w: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2022年10月25日0时起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对相关区域进行了临时管控，根据流调信息研判，报请市疫情防控指挥部批准，将相关区域调整为高中风险区，具体如下：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</w:rPr>
        <w:t>一、高风险区（10个）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</w:rPr>
        <w:t>（一）划定区域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1.跃华物业2栋（永川区汇龙大道67号附近）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2.嘉和香水湾（2栋、7栋）（永川区和顺大道889号）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3.协信中心2栋（永川区兴龙大道123号）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4.竣祥红河枫景（2栋、3栋、9栋、11栋、13栋、17栋）（永川区人民东路168号）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5.金科阳光小镇1期42栋（永川区兴龙大道789号）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6.兴龙湖一号5栋（永川区人民大道768号）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7.鸿翔·康桥生活公园19栋（永川区人民大道333号）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8.金域蓝湾1期1栋2单元（永川区人民大道468号）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9.文海·泊金湾3栋（永川区化工路840号）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10.江鸿·枫侨郡二期4栋2单元（永川区兴龙大道888号）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</w:rPr>
        <w:t>（二）管控措施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1.实行</w:t>
      </w: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“足不出户、上门服务”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2.实行连续7天核酸检测，连续7天检测无新增感染者，调整管控措施，继续实行3天管理；连续3天无新增感染者解除管控，解除管控前24小时完成一次区域内核酸检测。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3.对因就医等特殊情况确需外出的，严格实行闭环转运。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4.规范做好消毒和垃圾分类处置。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</w:rPr>
        <w:t>二、中风险区（12个）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</w:rPr>
        <w:t>（一）划定区域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1.嘉和香水湾（2栋、7栋除外）（永川区和顺大道889号）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2.协信中心（2栋除外）（永川区兴龙大道123号）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3.竣祥红河枫景（2栋、3栋、9栋、11栋、13栋、17栋除外）（永川区</w:t>
      </w:r>
      <w:bookmarkStart w:id="0" w:name="_GoBack"/>
      <w:bookmarkEnd w:id="0"/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人民东路168号）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4.奥兰半岛12栋（永川区学府大道388号）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5.兴龙湖一号（5栋除外）（永川区人民大道768号）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6.鸿翔·康桥生活公园（19栋除外）（永川区人民大道333号）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7.金域蓝湾1期（1栋2单元除外）（永川区人民大道468号）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8.文海·泊金湾（3栋除外）（永川区化工路840号）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9.金科阳光小镇1期（14栋4单元、42栋除外）（永川区兴龙大道789号）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10.江鸿·枫侨郡二期（4栋2单元除外）（永川区兴龙大道888号）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11.金科天悦府（永川区中山路街道飞龙路388号）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12.银山公馆36栋（永川区内环南路777号）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</w:rPr>
        <w:t>（二）管控措施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1.实行</w:t>
      </w: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“人不出区，错峰取物”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，在严格落实个人防护的前提下，每天每户可安排1人，按照</w:t>
      </w: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“分时有序、分区限流”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的方式，到指定区域购买或无接触式领取网购物品和生活物资。对因就医等特殊情况确需外出的，由社区出具证明并做好审核登记。所有出入人员落实查证、验码、测温、登记。居家时做好环境消毒、居室通风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2.实行7天临时管控，在实施管控后前3天连续开展3次核酸检测，后续检测频次根据检测结果确定。连续7天无新增感染者解除管控措施。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3.区域外人员原则上不进入该区域，生活保障等特殊人员可在做好防护情况下，不接触做好生活物资等保障。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pacing w:val="0"/>
          <w:sz w:val="32"/>
          <w:szCs w:val="32"/>
        </w:rPr>
        <w:t>三、永川区内除上述一、二以外的其他区域继续实行已公布的管控措施。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以上措施将根据疫情发展情况进行动态调整。未尽事宜，以永川区新冠肺炎疫情防控指挥部解释为准。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重庆市永川区新冠肺炎疫情防控指挥部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</w:rPr>
        <w:t>2022年10月27日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2"/>
          <w:szCs w:val="32"/>
          <w:lang w:val="en-US" w:eastAsia="zh-CN"/>
        </w:rPr>
        <w:t xml:space="preserve">            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DBlYjE5YjQwOTgwN2FhZDMwM2Q0YTM2YzQzMWIifQ=="/>
  </w:docVars>
  <w:rsids>
    <w:rsidRoot w:val="00000000"/>
    <w:rsid w:val="01933CA1"/>
    <w:rsid w:val="01953156"/>
    <w:rsid w:val="01B15C94"/>
    <w:rsid w:val="0316532A"/>
    <w:rsid w:val="033C0B41"/>
    <w:rsid w:val="039F3A58"/>
    <w:rsid w:val="04351E09"/>
    <w:rsid w:val="045703E8"/>
    <w:rsid w:val="04AE5B08"/>
    <w:rsid w:val="04C31991"/>
    <w:rsid w:val="05403A03"/>
    <w:rsid w:val="05540FA0"/>
    <w:rsid w:val="05B1475E"/>
    <w:rsid w:val="05BB1FA0"/>
    <w:rsid w:val="06172E75"/>
    <w:rsid w:val="06657D8C"/>
    <w:rsid w:val="06F5065E"/>
    <w:rsid w:val="06F87242"/>
    <w:rsid w:val="07BF3FFE"/>
    <w:rsid w:val="093C15C0"/>
    <w:rsid w:val="098553AB"/>
    <w:rsid w:val="0ADA2A29"/>
    <w:rsid w:val="0B6658C1"/>
    <w:rsid w:val="0BB433D1"/>
    <w:rsid w:val="0D1E4F86"/>
    <w:rsid w:val="0DC62D6E"/>
    <w:rsid w:val="0E2D007F"/>
    <w:rsid w:val="0EA774D6"/>
    <w:rsid w:val="0EEE0BAE"/>
    <w:rsid w:val="10187526"/>
    <w:rsid w:val="11511ABE"/>
    <w:rsid w:val="12DF2722"/>
    <w:rsid w:val="13701AF2"/>
    <w:rsid w:val="13811613"/>
    <w:rsid w:val="13843C33"/>
    <w:rsid w:val="139C25EC"/>
    <w:rsid w:val="13F842F9"/>
    <w:rsid w:val="149862BB"/>
    <w:rsid w:val="151E0CC3"/>
    <w:rsid w:val="157035A0"/>
    <w:rsid w:val="157463C1"/>
    <w:rsid w:val="16205855"/>
    <w:rsid w:val="164728F8"/>
    <w:rsid w:val="1655127D"/>
    <w:rsid w:val="166F16B1"/>
    <w:rsid w:val="16BB29E2"/>
    <w:rsid w:val="16BF678C"/>
    <w:rsid w:val="17057AF6"/>
    <w:rsid w:val="174F2FF3"/>
    <w:rsid w:val="17537C29"/>
    <w:rsid w:val="1861511B"/>
    <w:rsid w:val="195B78F9"/>
    <w:rsid w:val="19B56D10"/>
    <w:rsid w:val="1A676CFA"/>
    <w:rsid w:val="1BCD7345"/>
    <w:rsid w:val="1BDE5810"/>
    <w:rsid w:val="1C721061"/>
    <w:rsid w:val="1CB609CB"/>
    <w:rsid w:val="1CF26439"/>
    <w:rsid w:val="1D9E4303"/>
    <w:rsid w:val="1E6A7D86"/>
    <w:rsid w:val="1EFE2B2F"/>
    <w:rsid w:val="1F1557D4"/>
    <w:rsid w:val="1F2B3CE1"/>
    <w:rsid w:val="1F8D0B6D"/>
    <w:rsid w:val="1FD7404C"/>
    <w:rsid w:val="1FDA3277"/>
    <w:rsid w:val="1FF561C4"/>
    <w:rsid w:val="20495205"/>
    <w:rsid w:val="207D1ECD"/>
    <w:rsid w:val="207D2C13"/>
    <w:rsid w:val="21702A1A"/>
    <w:rsid w:val="21F64047"/>
    <w:rsid w:val="221433BB"/>
    <w:rsid w:val="231B623B"/>
    <w:rsid w:val="254606B8"/>
    <w:rsid w:val="25D81B9F"/>
    <w:rsid w:val="25E602A5"/>
    <w:rsid w:val="26050F57"/>
    <w:rsid w:val="264B1A62"/>
    <w:rsid w:val="26D81EEA"/>
    <w:rsid w:val="270600F7"/>
    <w:rsid w:val="293D2F46"/>
    <w:rsid w:val="2BE1443E"/>
    <w:rsid w:val="2C7B0E96"/>
    <w:rsid w:val="2D134134"/>
    <w:rsid w:val="2E180D2E"/>
    <w:rsid w:val="2E4E2DBB"/>
    <w:rsid w:val="2E695EF2"/>
    <w:rsid w:val="30620B8F"/>
    <w:rsid w:val="32277F86"/>
    <w:rsid w:val="32B07589"/>
    <w:rsid w:val="34384631"/>
    <w:rsid w:val="3683259B"/>
    <w:rsid w:val="395D104F"/>
    <w:rsid w:val="396E25E3"/>
    <w:rsid w:val="39E159AE"/>
    <w:rsid w:val="3A6D4BA1"/>
    <w:rsid w:val="3A7B22D5"/>
    <w:rsid w:val="3B122D79"/>
    <w:rsid w:val="3B4A5BF1"/>
    <w:rsid w:val="3BCF7156"/>
    <w:rsid w:val="3C0F1F0C"/>
    <w:rsid w:val="3CD82BF4"/>
    <w:rsid w:val="3CFF1856"/>
    <w:rsid w:val="3D72670A"/>
    <w:rsid w:val="3D9256A4"/>
    <w:rsid w:val="3EF84196"/>
    <w:rsid w:val="40583C76"/>
    <w:rsid w:val="411E4D4B"/>
    <w:rsid w:val="42124C05"/>
    <w:rsid w:val="42595758"/>
    <w:rsid w:val="4281473B"/>
    <w:rsid w:val="44162BB7"/>
    <w:rsid w:val="45A44E5A"/>
    <w:rsid w:val="46294694"/>
    <w:rsid w:val="4658744B"/>
    <w:rsid w:val="47F952A2"/>
    <w:rsid w:val="48546CA6"/>
    <w:rsid w:val="4ABF2F22"/>
    <w:rsid w:val="4BE13DAD"/>
    <w:rsid w:val="4D90273F"/>
    <w:rsid w:val="4E0F1F7C"/>
    <w:rsid w:val="50505121"/>
    <w:rsid w:val="509C43BF"/>
    <w:rsid w:val="5120672F"/>
    <w:rsid w:val="51A14D79"/>
    <w:rsid w:val="5295710C"/>
    <w:rsid w:val="52D74457"/>
    <w:rsid w:val="53104618"/>
    <w:rsid w:val="531C72E7"/>
    <w:rsid w:val="534E4150"/>
    <w:rsid w:val="53614D5A"/>
    <w:rsid w:val="559469D4"/>
    <w:rsid w:val="55D0077B"/>
    <w:rsid w:val="58291DB5"/>
    <w:rsid w:val="584F6BB0"/>
    <w:rsid w:val="585B2582"/>
    <w:rsid w:val="58BC3BA3"/>
    <w:rsid w:val="590D7A45"/>
    <w:rsid w:val="59170D0F"/>
    <w:rsid w:val="59D86F77"/>
    <w:rsid w:val="5D135140"/>
    <w:rsid w:val="5D666634"/>
    <w:rsid w:val="5D6B043C"/>
    <w:rsid w:val="5DC8166E"/>
    <w:rsid w:val="5FDB7B52"/>
    <w:rsid w:val="61407D3A"/>
    <w:rsid w:val="61816435"/>
    <w:rsid w:val="61AE0D40"/>
    <w:rsid w:val="6282570E"/>
    <w:rsid w:val="62D84CB7"/>
    <w:rsid w:val="62E43179"/>
    <w:rsid w:val="62E53769"/>
    <w:rsid w:val="63C404DD"/>
    <w:rsid w:val="64627A2C"/>
    <w:rsid w:val="6588443E"/>
    <w:rsid w:val="668B7430"/>
    <w:rsid w:val="66950774"/>
    <w:rsid w:val="67327E1B"/>
    <w:rsid w:val="679F2184"/>
    <w:rsid w:val="6940627B"/>
    <w:rsid w:val="69955344"/>
    <w:rsid w:val="69CA4C92"/>
    <w:rsid w:val="6AB84AA5"/>
    <w:rsid w:val="6B2D24DD"/>
    <w:rsid w:val="6B7632DB"/>
    <w:rsid w:val="6BAC6631"/>
    <w:rsid w:val="6C3C72FA"/>
    <w:rsid w:val="6CDF184B"/>
    <w:rsid w:val="6D1C4AF6"/>
    <w:rsid w:val="6DBA52BF"/>
    <w:rsid w:val="6F8430CF"/>
    <w:rsid w:val="6FB50F9E"/>
    <w:rsid w:val="70616F64"/>
    <w:rsid w:val="70C80300"/>
    <w:rsid w:val="70CA3252"/>
    <w:rsid w:val="71823BDD"/>
    <w:rsid w:val="71B0191D"/>
    <w:rsid w:val="72160281"/>
    <w:rsid w:val="74535C68"/>
    <w:rsid w:val="746C0D90"/>
    <w:rsid w:val="747B463E"/>
    <w:rsid w:val="74DF62EF"/>
    <w:rsid w:val="74ED4592"/>
    <w:rsid w:val="74F54747"/>
    <w:rsid w:val="753840E8"/>
    <w:rsid w:val="75DE24EF"/>
    <w:rsid w:val="764677DD"/>
    <w:rsid w:val="790C2A1D"/>
    <w:rsid w:val="79C52D2C"/>
    <w:rsid w:val="7AB20C97"/>
    <w:rsid w:val="7B9A443A"/>
    <w:rsid w:val="7C5268F3"/>
    <w:rsid w:val="7C5C6D2F"/>
    <w:rsid w:val="7C841FB4"/>
    <w:rsid w:val="7CE1176F"/>
    <w:rsid w:val="7D0A4511"/>
    <w:rsid w:val="7E377B22"/>
    <w:rsid w:val="7E566DD9"/>
    <w:rsid w:val="7EFF1E60"/>
    <w:rsid w:val="7F9A4BB8"/>
    <w:rsid w:val="DFBD1665"/>
    <w:rsid w:val="EB964DA9"/>
    <w:rsid w:val="F6FFB48D"/>
    <w:rsid w:val="F7FFF8A9"/>
    <w:rsid w:val="FACD3F5A"/>
    <w:rsid w:val="FE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character" w:customStyle="1" w:styleId="17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18">
    <w:name w:val="font"/>
    <w:basedOn w:val="9"/>
    <w:qFormat/>
    <w:uiPriority w:val="0"/>
  </w:style>
  <w:style w:type="character" w:customStyle="1" w:styleId="19">
    <w:name w:val="font1"/>
    <w:basedOn w:val="9"/>
    <w:qFormat/>
    <w:uiPriority w:val="0"/>
  </w:style>
  <w:style w:type="character" w:customStyle="1" w:styleId="20">
    <w:name w:val="place"/>
    <w:basedOn w:val="9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1"/>
    <w:basedOn w:val="9"/>
    <w:qFormat/>
    <w:uiPriority w:val="0"/>
  </w:style>
  <w:style w:type="character" w:customStyle="1" w:styleId="22">
    <w:name w:val="place2"/>
    <w:basedOn w:val="9"/>
    <w:qFormat/>
    <w:uiPriority w:val="0"/>
  </w:style>
  <w:style w:type="character" w:customStyle="1" w:styleId="23">
    <w:name w:val="place3"/>
    <w:basedOn w:val="9"/>
    <w:qFormat/>
    <w:uiPriority w:val="0"/>
  </w:style>
  <w:style w:type="character" w:customStyle="1" w:styleId="24">
    <w:name w:val="noline"/>
    <w:basedOn w:val="9"/>
    <w:qFormat/>
    <w:uiPriority w:val="0"/>
  </w:style>
  <w:style w:type="character" w:customStyle="1" w:styleId="25">
    <w:name w:val="hover16"/>
    <w:basedOn w:val="9"/>
    <w:qFormat/>
    <w:uiPriority w:val="0"/>
    <w:rPr>
      <w:color w:val="025291"/>
    </w:rPr>
  </w:style>
  <w:style w:type="character" w:customStyle="1" w:styleId="26">
    <w:name w:val="hover15"/>
    <w:basedOn w:val="9"/>
    <w:qFormat/>
    <w:uiPriority w:val="0"/>
    <w:rPr>
      <w:color w:val="025291"/>
    </w:rPr>
  </w:style>
  <w:style w:type="character" w:customStyle="1" w:styleId="27">
    <w:name w:val="hover13"/>
    <w:basedOn w:val="9"/>
    <w:qFormat/>
    <w:uiPriority w:val="0"/>
    <w:rPr>
      <w:color w:val="025291"/>
    </w:rPr>
  </w:style>
  <w:style w:type="character" w:customStyle="1" w:styleId="28">
    <w:name w:val="hover"/>
    <w:basedOn w:val="9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307</Characters>
  <Lines>0</Lines>
  <Paragraphs>0</Paragraphs>
  <TotalTime>1199</TotalTime>
  <ScaleCrop>false</ScaleCrop>
  <LinksUpToDate>false</LinksUpToDate>
  <CharactersWithSpaces>307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2022-01-13T23:13:00Z</dcterms:created>
  <dc:creator>Administrator</dc:creator>
  <cp:lastModifiedBy> </cp:lastModifiedBy>
  <dcterms:modified xsi:type="dcterms:W3CDTF">2022-10-28T17:41:50Z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133DF1673D514DF58E0D629109763033</vt:lpwstr>
  </property>
</Properties>
</file>