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val="0"/>
        <w:spacing w:line="276" w:lineRule="auto"/>
        <w:jc w:val="left"/>
        <w:rPr>
          <w:b w:val="0"/>
          <w:bCs w:val="0"/>
        </w:rPr>
      </w:pPr>
      <w:bookmarkStart w:id="0" w:name="_Toc70450397"/>
    </w:p>
    <w:p>
      <w:pPr>
        <w:snapToGrid w:val="0"/>
        <w:spacing w:line="276" w:lineRule="auto"/>
        <w:jc w:val="left"/>
        <w:rPr>
          <w:b w:val="0"/>
          <w:bCs w:val="0"/>
        </w:rPr>
      </w:pPr>
    </w:p>
    <w:p>
      <w:pPr>
        <w:snapToGrid w:val="0"/>
        <w:spacing w:line="276" w:lineRule="auto"/>
        <w:jc w:val="left"/>
        <w:rPr>
          <w:b w:val="0"/>
          <w:bCs w:val="0"/>
        </w:rPr>
      </w:pPr>
    </w:p>
    <w:p>
      <w:pPr>
        <w:snapToGrid w:val="0"/>
        <w:spacing w:line="276" w:lineRule="auto"/>
        <w:jc w:val="left"/>
        <w:rPr>
          <w:rFonts w:hint="eastAsia"/>
          <w:b w:val="0"/>
          <w:bCs w:val="0"/>
        </w:rPr>
      </w:pPr>
    </w:p>
    <w:p>
      <w:pPr>
        <w:snapToGrid w:val="0"/>
        <w:spacing w:line="276" w:lineRule="auto"/>
        <w:jc w:val="left"/>
        <w:rPr>
          <w:rFonts w:hint="eastAsia"/>
          <w:b w:val="0"/>
          <w:bCs w:val="0"/>
        </w:rPr>
      </w:pPr>
    </w:p>
    <w:p>
      <w:pPr>
        <w:snapToGrid w:val="0"/>
        <w:spacing w:line="276" w:lineRule="auto"/>
        <w:jc w:val="left"/>
        <w:rPr>
          <w:rFonts w:hint="eastAsia"/>
          <w:b w:val="0"/>
          <w:bCs w:val="0"/>
        </w:rPr>
      </w:pPr>
    </w:p>
    <w:p>
      <w:pPr>
        <w:snapToGrid w:val="0"/>
        <w:spacing w:line="276" w:lineRule="auto"/>
        <w:jc w:val="left"/>
        <w:rPr>
          <w:rFonts w:hint="eastAsia"/>
          <w:b w:val="0"/>
          <w:bCs w:val="0"/>
        </w:rPr>
      </w:pPr>
    </w:p>
    <w:p>
      <w:pPr>
        <w:snapToGrid w:val="0"/>
        <w:spacing w:line="276" w:lineRule="auto"/>
        <w:jc w:val="left"/>
        <w:rPr>
          <w:b w:val="0"/>
          <w:bCs w:val="0"/>
        </w:rPr>
      </w:pPr>
    </w:p>
    <w:p>
      <w:pPr>
        <w:snapToGrid w:val="0"/>
        <w:spacing w:line="276" w:lineRule="auto"/>
        <w:ind w:firstLine="0" w:firstLineChars="0"/>
        <w:jc w:val="center"/>
        <w:rPr>
          <w:b w:val="0"/>
          <w:bCs w:val="0"/>
        </w:rPr>
      </w:pPr>
      <w:r>
        <w:rPr>
          <w:rFonts w:hint="eastAsia"/>
          <w:b w:val="0"/>
          <w:bCs w:val="0"/>
        </w:rPr>
        <w:t>永川府办发〔2022〕26号</w:t>
      </w:r>
    </w:p>
    <w:p>
      <w:pPr>
        <w:snapToGrid w:val="0"/>
        <w:spacing w:line="276" w:lineRule="auto"/>
        <w:jc w:val="left"/>
        <w:rPr>
          <w:b w:val="0"/>
          <w:bCs w:val="0"/>
        </w:rPr>
      </w:pPr>
    </w:p>
    <w:p>
      <w:pPr>
        <w:snapToGrid w:val="0"/>
        <w:spacing w:line="276" w:lineRule="auto"/>
        <w:ind w:firstLine="880"/>
        <w:jc w:val="left"/>
        <w:rPr>
          <w:rFonts w:ascii="方正小标宋_GBK" w:eastAsia="方正小标宋_GBK"/>
          <w:b w:val="0"/>
          <w:bCs w:val="0"/>
          <w:sz w:val="32"/>
          <w:szCs w:val="32"/>
        </w:rPr>
      </w:pPr>
    </w:p>
    <w:p>
      <w:pPr>
        <w:snapToGrid w:val="0"/>
        <w:spacing w:line="240" w:lineRule="auto"/>
        <w:ind w:firstLine="0" w:firstLineChars="0"/>
        <w:jc w:val="center"/>
        <w:rPr>
          <w:rFonts w:ascii="方正小标宋_GBK" w:eastAsia="方正小标宋_GBK"/>
          <w:b w:val="0"/>
          <w:bCs w:val="0"/>
          <w:sz w:val="44"/>
          <w:szCs w:val="44"/>
        </w:rPr>
      </w:pPr>
      <w:r>
        <w:rPr>
          <w:rFonts w:hint="eastAsia" w:ascii="方正小标宋_GBK" w:eastAsia="方正小标宋_GBK"/>
          <w:b w:val="0"/>
          <w:bCs w:val="0"/>
          <w:sz w:val="44"/>
          <w:szCs w:val="44"/>
        </w:rPr>
        <w:t>重庆市永川区人民政府办公室</w:t>
      </w:r>
    </w:p>
    <w:p>
      <w:pPr>
        <w:snapToGrid w:val="0"/>
        <w:spacing w:line="240" w:lineRule="auto"/>
        <w:ind w:firstLine="0" w:firstLineChars="0"/>
        <w:jc w:val="center"/>
        <w:rPr>
          <w:rFonts w:hint="eastAsia" w:ascii="方正小标宋_GBK" w:eastAsia="方正小标宋_GBK"/>
          <w:b w:val="0"/>
          <w:bCs w:val="0"/>
          <w:sz w:val="44"/>
          <w:szCs w:val="44"/>
        </w:rPr>
      </w:pPr>
      <w:r>
        <w:rPr>
          <w:rFonts w:hint="eastAsia" w:ascii="方正小标宋_GBK" w:eastAsia="方正小标宋_GBK"/>
          <w:b w:val="0"/>
          <w:bCs w:val="0"/>
          <w:sz w:val="44"/>
          <w:szCs w:val="44"/>
        </w:rPr>
        <w:t>关于印发重庆市永川区城市管理行业发展</w:t>
      </w:r>
    </w:p>
    <w:p>
      <w:pPr>
        <w:snapToGrid w:val="0"/>
        <w:spacing w:line="240" w:lineRule="auto"/>
        <w:ind w:firstLine="0" w:firstLineChars="0"/>
        <w:jc w:val="center"/>
        <w:rPr>
          <w:rFonts w:ascii="方正小标宋_GBK" w:eastAsia="方正小标宋_GBK"/>
          <w:b w:val="0"/>
          <w:bCs w:val="0"/>
          <w:sz w:val="44"/>
          <w:szCs w:val="44"/>
        </w:rPr>
      </w:pPr>
      <w:r>
        <w:rPr>
          <w:rFonts w:hint="eastAsia" w:ascii="方正小标宋_GBK" w:eastAsia="方正小标宋_GBK"/>
          <w:b w:val="0"/>
          <w:bCs w:val="0"/>
          <w:sz w:val="44"/>
          <w:szCs w:val="44"/>
        </w:rPr>
        <w:t>“十四五”规划（2021-2025）的通知</w:t>
      </w:r>
    </w:p>
    <w:p>
      <w:pPr>
        <w:snapToGrid w:val="0"/>
        <w:spacing w:line="276" w:lineRule="auto"/>
        <w:ind w:firstLine="640"/>
        <w:jc w:val="left"/>
        <w:rPr>
          <w:rFonts w:ascii="Times New Roman" w:hAnsi="Times New Roman" w:eastAsia="方正仿宋_GBK" w:cs="Times New Roman"/>
          <w:b w:val="0"/>
          <w:bCs w:val="0"/>
          <w:sz w:val="32"/>
          <w:szCs w:val="32"/>
        </w:rPr>
      </w:pPr>
    </w:p>
    <w:p>
      <w:pPr>
        <w:snapToGrid w:val="0"/>
        <w:spacing w:line="276" w:lineRule="auto"/>
        <w:ind w:firstLine="0" w:firstLineChars="0"/>
        <w:rPr>
          <w:rFonts w:ascii="Times New Roman" w:hAnsi="Times New Roman" w:cs="Times New Roman"/>
          <w:b w:val="0"/>
          <w:bCs w:val="0"/>
        </w:rPr>
      </w:pPr>
      <w:r>
        <w:rPr>
          <w:rFonts w:ascii="Times New Roman" w:hAnsi="Times New Roman" w:cs="Times New Roman"/>
          <w:b w:val="0"/>
          <w:bCs w:val="0"/>
        </w:rPr>
        <w:t>各镇人民政府、街道办事处，区政府有关部门，有关单位：</w:t>
      </w:r>
    </w:p>
    <w:p>
      <w:pPr>
        <w:snapToGrid w:val="0"/>
        <w:spacing w:line="276" w:lineRule="auto"/>
        <w:ind w:firstLine="640"/>
        <w:rPr>
          <w:b w:val="0"/>
          <w:bCs w:val="0"/>
        </w:rPr>
      </w:pPr>
      <w:r>
        <w:rPr>
          <w:rFonts w:ascii="Times New Roman" w:hAnsi="Times New Roman" w:cs="Times New Roman"/>
          <w:b w:val="0"/>
          <w:bCs w:val="0"/>
        </w:rPr>
        <w:t>《重庆市永川区城市管理行业发展“十四五”规划（2021-2025）》已经区政府同意，现印发给你们，请认真贯彻执行。</w:t>
      </w:r>
    </w:p>
    <w:p>
      <w:pPr>
        <w:snapToGrid w:val="0"/>
        <w:spacing w:line="276" w:lineRule="auto"/>
        <w:ind w:firstLine="0" w:firstLineChars="0"/>
        <w:jc w:val="left"/>
        <w:rPr>
          <w:b w:val="0"/>
          <w:bCs w:val="0"/>
        </w:rPr>
      </w:pPr>
    </w:p>
    <w:p>
      <w:pPr>
        <w:snapToGrid w:val="0"/>
        <w:spacing w:line="276" w:lineRule="auto"/>
        <w:ind w:firstLine="640"/>
        <w:jc w:val="center"/>
        <w:rPr>
          <w:rFonts w:ascii="Times New Roman" w:hAnsi="Times New Roman" w:cs="Times New Roman"/>
          <w:b w:val="0"/>
          <w:bCs w:val="0"/>
        </w:rPr>
      </w:pPr>
      <w:r>
        <w:rPr>
          <w:rFonts w:hint="eastAsia" w:ascii="Times New Roman" w:hAnsi="Times New Roman" w:cs="Times New Roman"/>
          <w:b w:val="0"/>
          <w:bCs w:val="0"/>
        </w:rPr>
        <w:t xml:space="preserve">                  </w:t>
      </w:r>
      <w:r>
        <w:rPr>
          <w:rFonts w:ascii="Times New Roman" w:hAnsi="Times New Roman" w:cs="Times New Roman"/>
          <w:b w:val="0"/>
          <w:bCs w:val="0"/>
        </w:rPr>
        <w:t>重庆市永川区人民政府办公室</w:t>
      </w:r>
    </w:p>
    <w:p>
      <w:pPr>
        <w:snapToGrid w:val="0"/>
        <w:spacing w:line="276" w:lineRule="auto"/>
        <w:ind w:right="944" w:rightChars="295" w:firstLine="640"/>
        <w:jc w:val="center"/>
        <w:rPr>
          <w:rFonts w:ascii="Times New Roman" w:hAnsi="Times New Roman" w:cs="Times New Roman"/>
          <w:b w:val="0"/>
          <w:bCs w:val="0"/>
        </w:rPr>
      </w:pPr>
      <w:r>
        <w:rPr>
          <w:rFonts w:hint="eastAsia" w:ascii="Times New Roman" w:hAnsi="Times New Roman" w:cs="Times New Roman"/>
          <w:b w:val="0"/>
          <w:bCs w:val="0"/>
        </w:rPr>
        <w:t xml:space="preserve">            </w:t>
      </w:r>
      <w:r>
        <w:rPr>
          <w:rFonts w:ascii="Times New Roman" w:hAnsi="Times New Roman" w:cs="Times New Roman"/>
          <w:b w:val="0"/>
          <w:bCs w:val="0"/>
        </w:rPr>
        <w:t xml:space="preserve">     </w:t>
      </w:r>
      <w:r>
        <w:rPr>
          <w:rFonts w:hint="default" w:ascii="Times New Roman" w:hAnsi="Times New Roman" w:cs="Times New Roman"/>
          <w:b w:val="0"/>
          <w:bCs w:val="0"/>
          <w:lang w:val="en"/>
        </w:rPr>
        <w:t xml:space="preserve">  </w:t>
      </w:r>
      <w:r>
        <w:rPr>
          <w:rFonts w:ascii="Times New Roman" w:hAnsi="Times New Roman" w:cs="Times New Roman"/>
          <w:b w:val="0"/>
          <w:bCs w:val="0"/>
        </w:rPr>
        <w:t xml:space="preserve">   202</w:t>
      </w:r>
      <w:r>
        <w:rPr>
          <w:rFonts w:hint="default" w:ascii="Times New Roman" w:hAnsi="Times New Roman" w:cs="Times New Roman"/>
          <w:b w:val="0"/>
          <w:bCs w:val="0"/>
          <w:lang w:val="en"/>
        </w:rPr>
        <w:t>2</w:t>
      </w:r>
      <w:r>
        <w:rPr>
          <w:rFonts w:ascii="Times New Roman" w:hAnsi="Times New Roman" w:cs="Times New Roman"/>
          <w:b w:val="0"/>
          <w:bCs w:val="0"/>
        </w:rPr>
        <w:t>年</w:t>
      </w:r>
      <w:r>
        <w:rPr>
          <w:rFonts w:hint="default" w:ascii="Times New Roman" w:hAnsi="Times New Roman" w:cs="Times New Roman"/>
          <w:b w:val="0"/>
          <w:bCs w:val="0"/>
          <w:lang w:val="en"/>
        </w:rPr>
        <w:t>2</w:t>
      </w:r>
      <w:r>
        <w:rPr>
          <w:rFonts w:ascii="Times New Roman" w:hAnsi="Times New Roman" w:cs="Times New Roman"/>
          <w:b w:val="0"/>
          <w:bCs w:val="0"/>
        </w:rPr>
        <w:t>月</w:t>
      </w:r>
      <w:r>
        <w:rPr>
          <w:rFonts w:hint="default" w:ascii="Times New Roman" w:hAnsi="Times New Roman" w:cs="Times New Roman"/>
          <w:b w:val="0"/>
          <w:bCs w:val="0"/>
          <w:lang w:val="en"/>
        </w:rPr>
        <w:t>28</w:t>
      </w:r>
      <w:r>
        <w:rPr>
          <w:rFonts w:ascii="Times New Roman" w:hAnsi="Times New Roman" w:cs="Times New Roman"/>
          <w:b w:val="0"/>
          <w:bCs w:val="0"/>
        </w:rPr>
        <w:t>日</w:t>
      </w:r>
    </w:p>
    <w:p>
      <w:pPr>
        <w:tabs>
          <w:tab w:val="left" w:pos="3300"/>
        </w:tabs>
        <w:snapToGrid w:val="0"/>
        <w:spacing w:line="276" w:lineRule="auto"/>
        <w:ind w:firstLine="640"/>
        <w:jc w:val="left"/>
        <w:rPr>
          <w:b w:val="0"/>
          <w:bCs w:val="0"/>
        </w:rPr>
        <w:sectPr>
          <w:headerReference r:id="rId7" w:type="first"/>
          <w:footerReference r:id="rId10" w:type="first"/>
          <w:headerReference r:id="rId5" w:type="default"/>
          <w:footerReference r:id="rId8" w:type="default"/>
          <w:headerReference r:id="rId6" w:type="even"/>
          <w:footerReference r:id="rId9" w:type="even"/>
          <w:pgSz w:w="11906" w:h="16838"/>
          <w:pgMar w:top="2154" w:right="1474" w:bottom="2041" w:left="1587" w:header="851" w:footer="1474" w:gutter="0"/>
          <w:pgNumType w:fmt="numberInDash"/>
          <w:cols w:space="720" w:num="1"/>
          <w:rtlGutter w:val="0"/>
          <w:docGrid w:linePitch="312" w:charSpace="0"/>
        </w:sectPr>
      </w:pPr>
      <w:r>
        <w:rPr>
          <w:rFonts w:hint="eastAsia"/>
          <w:b w:val="0"/>
          <w:bCs w:val="0"/>
        </w:rPr>
        <w:t>（此件公开发布）</w:t>
      </w:r>
    </w:p>
    <w:p>
      <w:pPr>
        <w:widowControl/>
        <w:ind w:left="-960" w:leftChars="-300" w:right="-739" w:rightChars="-231" w:firstLine="0" w:firstLineChars="0"/>
        <w:jc w:val="center"/>
        <w:rPr>
          <w:rFonts w:ascii="方正小标宋_GBK" w:hAnsi="方正小标宋_GBK" w:eastAsia="方正小标宋_GBK" w:cs="方正小标宋_GBK"/>
          <w:b w:val="0"/>
          <w:bCs w:val="0"/>
          <w:sz w:val="44"/>
          <w:szCs w:val="44"/>
        </w:rPr>
      </w:pPr>
      <w:r>
        <w:rPr>
          <w:rFonts w:hint="eastAsia" w:ascii="方正小标宋_GBK" w:hAnsi="方正小标宋_GBK" w:eastAsia="方正小标宋_GBK" w:cs="方正小标宋_GBK"/>
          <w:b w:val="0"/>
          <w:bCs w:val="0"/>
          <w:sz w:val="44"/>
          <w:szCs w:val="44"/>
        </w:rPr>
        <w:t>永川区城市管理行业发展“十四五”规划</w:t>
      </w:r>
    </w:p>
    <w:p>
      <w:pPr>
        <w:widowControl/>
        <w:ind w:left="-960" w:leftChars="-300" w:right="-739" w:rightChars="-231" w:firstLine="0" w:firstLineChars="0"/>
        <w:jc w:val="center"/>
        <w:rPr>
          <w:rFonts w:ascii="方正小标宋_GBK" w:hAnsi="方正小标宋_GBK" w:eastAsia="方正小标宋_GBK" w:cs="方正小标宋_GBK"/>
          <w:b w:val="0"/>
          <w:bCs w:val="0"/>
          <w:sz w:val="44"/>
          <w:szCs w:val="44"/>
        </w:rPr>
      </w:pPr>
      <w:r>
        <w:rPr>
          <w:rFonts w:hint="eastAsia" w:ascii="方正小标宋_GBK" w:hAnsi="方正小标宋_GBK" w:eastAsia="方正小标宋_GBK" w:cs="方正小标宋_GBK"/>
          <w:b w:val="0"/>
          <w:bCs w:val="0"/>
          <w:sz w:val="44"/>
          <w:szCs w:val="44"/>
        </w:rPr>
        <w:t>（2021-2025年）</w:t>
      </w:r>
    </w:p>
    <w:bookmarkEnd w:id="0"/>
    <w:p>
      <w:pPr>
        <w:snapToGrid w:val="0"/>
        <w:spacing w:line="240" w:lineRule="auto"/>
        <w:ind w:firstLine="0" w:firstLineChars="0"/>
        <w:rPr>
          <w:rFonts w:ascii="Times New Roman" w:hAnsi="Times New Roman" w:eastAsia="方正仿宋_GBK" w:cs="Times New Roman"/>
          <w:b w:val="0"/>
          <w:bCs w:val="0"/>
          <w:szCs w:val="32"/>
        </w:rPr>
      </w:pPr>
    </w:p>
    <w:p>
      <w:pPr>
        <w:snapToGrid w:val="0"/>
        <w:spacing w:before="0" w:beforeLines="0" w:after="0" w:afterLines="0" w:line="240" w:lineRule="auto"/>
        <w:ind w:left="0" w:leftChars="0" w:right="0" w:rightChars="0" w:firstLine="0" w:firstLineChars="0"/>
        <w:jc w:val="center"/>
        <w:rPr>
          <w:rFonts w:hint="eastAsia" w:ascii="方正楷体_GBK" w:hAnsi="方正楷体_GBK" w:eastAsia="方正楷体_GBK" w:cs="方正楷体_GBK"/>
          <w:sz w:val="32"/>
        </w:rPr>
      </w:pPr>
      <w:bookmarkStart w:id="1" w:name="_Toc970065322_WPSOffice_Type2"/>
      <w:r>
        <w:rPr>
          <w:rFonts w:hint="eastAsia" w:ascii="方正楷体_GBK" w:hAnsi="方正楷体_GBK" w:eastAsia="方正楷体_GBK" w:cs="方正楷体_GBK"/>
          <w:sz w:val="32"/>
        </w:rPr>
        <w:t>目</w:t>
      </w:r>
      <w:r>
        <w:rPr>
          <w:rFonts w:hint="eastAsia" w:ascii="方正楷体_GBK" w:hAnsi="方正楷体_GBK" w:eastAsia="方正楷体_GBK" w:cs="方正楷体_GBK"/>
          <w:sz w:val="32"/>
          <w:lang w:val="en-US" w:eastAsia="zh-CN"/>
        </w:rPr>
        <w:t xml:space="preserve">  </w:t>
      </w:r>
      <w:r>
        <w:rPr>
          <w:rFonts w:hint="eastAsia" w:ascii="方正楷体_GBK" w:hAnsi="方正楷体_GBK" w:eastAsia="方正楷体_GBK" w:cs="方正楷体_GBK"/>
          <w:sz w:val="32"/>
        </w:rPr>
        <w:t>录</w:t>
      </w:r>
    </w:p>
    <w:p>
      <w:pPr>
        <w:snapToGrid w:val="0"/>
        <w:spacing w:before="0" w:beforeLines="0" w:after="0" w:afterLines="0" w:line="240" w:lineRule="auto"/>
        <w:ind w:left="0" w:leftChars="0" w:right="0" w:rightChars="0" w:firstLine="0" w:firstLineChars="0"/>
        <w:jc w:val="both"/>
        <w:rPr>
          <w:rFonts w:ascii="宋体" w:hAnsi="宋体" w:eastAsia="宋体"/>
          <w:sz w:val="21"/>
        </w:rPr>
      </w:pPr>
    </w:p>
    <w:p>
      <w:pPr>
        <w:pStyle w:val="45"/>
        <w:widowControl w:val="0"/>
        <w:tabs>
          <w:tab w:val="right" w:leader="dot" w:pos="8845"/>
        </w:tabs>
        <w:snapToGrid w:val="0"/>
        <w:rPr>
          <w:rFonts w:hint="eastAsia" w:ascii="方正仿宋_GBK" w:hAnsi="方正仿宋_GBK" w:eastAsia="方正仿宋_GBK" w:cs="方正仿宋_GBK"/>
          <w:sz w:val="30"/>
          <w:szCs w:val="30"/>
        </w:rPr>
      </w:pPr>
      <w:r>
        <w:rPr>
          <w:rFonts w:hint="eastAsia" w:ascii="方正仿宋_GBK" w:hAnsi="方正仿宋_GBK" w:eastAsia="方正仿宋_GBK" w:cs="方正仿宋_GBK"/>
          <w:b/>
          <w:bCs/>
          <w:sz w:val="30"/>
          <w:szCs w:val="30"/>
        </w:rPr>
        <w:fldChar w:fldCharType="begin"/>
      </w:r>
      <w:r>
        <w:rPr>
          <w:rFonts w:hint="eastAsia" w:ascii="方正仿宋_GBK" w:hAnsi="方正仿宋_GBK" w:eastAsia="方正仿宋_GBK" w:cs="方正仿宋_GBK"/>
          <w:sz w:val="30"/>
          <w:szCs w:val="30"/>
        </w:rPr>
        <w:instrText xml:space="preserve"> HYPERLINK \l _Toc477284995_WPSOffice_Level1 </w:instrText>
      </w:r>
      <w:r>
        <w:rPr>
          <w:rFonts w:hint="eastAsia" w:ascii="方正仿宋_GBK" w:hAnsi="方正仿宋_GBK" w:eastAsia="方正仿宋_GBK" w:cs="方正仿宋_GBK"/>
          <w:b/>
          <w:bCs/>
          <w:sz w:val="30"/>
          <w:szCs w:val="30"/>
        </w:rPr>
        <w:fldChar w:fldCharType="separate"/>
      </w:r>
      <w:r>
        <w:rPr>
          <w:rFonts w:hint="eastAsia" w:ascii="方正仿宋_GBK" w:hAnsi="方正仿宋_GBK" w:eastAsia="方正仿宋_GBK" w:cs="方正仿宋_GBK"/>
          <w:b/>
          <w:bCs/>
          <w:sz w:val="30"/>
          <w:szCs w:val="30"/>
        </w:rPr>
        <w:t>第一章  全面开启城市管理事业新征程</w:t>
      </w:r>
      <w:r>
        <w:rPr>
          <w:rFonts w:hint="eastAsia" w:ascii="方正仿宋_GBK" w:hAnsi="方正仿宋_GBK" w:eastAsia="方正仿宋_GBK" w:cs="方正仿宋_GBK"/>
          <w:b/>
          <w:bCs/>
          <w:sz w:val="30"/>
          <w:szCs w:val="30"/>
        </w:rPr>
        <w:tab/>
      </w:r>
      <w:bookmarkStart w:id="2" w:name="_Toc477284995_WPSOffice_Level1Page"/>
      <w:r>
        <w:rPr>
          <w:rFonts w:hint="eastAsia" w:ascii="方正仿宋_GBK" w:hAnsi="方正仿宋_GBK" w:eastAsia="方正仿宋_GBK" w:cs="方正仿宋_GBK"/>
          <w:b/>
          <w:bCs/>
          <w:sz w:val="30"/>
          <w:szCs w:val="30"/>
        </w:rPr>
        <w:t>4</w:t>
      </w:r>
      <w:bookmarkEnd w:id="2"/>
      <w:r>
        <w:rPr>
          <w:rFonts w:hint="eastAsia" w:ascii="方正仿宋_GBK" w:hAnsi="方正仿宋_GBK" w:eastAsia="方正仿宋_GBK" w:cs="方正仿宋_GBK"/>
          <w:b/>
          <w:bCs/>
          <w:sz w:val="30"/>
          <w:szCs w:val="30"/>
        </w:rPr>
        <w:fldChar w:fldCharType="end"/>
      </w:r>
    </w:p>
    <w:p>
      <w:pPr>
        <w:pStyle w:val="46"/>
        <w:widowControl w:val="0"/>
        <w:tabs>
          <w:tab w:val="right" w:leader="dot" w:pos="8845"/>
        </w:tabs>
        <w:snapToGrid w:val="0"/>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HYPERLINK \l _Toc1813773468_WPSOffice_Level2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第一节  “十三五”期间城市管理工作取得明显成效</w:t>
      </w:r>
      <w:r>
        <w:rPr>
          <w:rFonts w:hint="eastAsia" w:ascii="方正仿宋_GBK" w:hAnsi="方正仿宋_GBK" w:eastAsia="方正仿宋_GBK" w:cs="方正仿宋_GBK"/>
          <w:sz w:val="30"/>
          <w:szCs w:val="30"/>
        </w:rPr>
        <w:tab/>
      </w:r>
      <w:bookmarkStart w:id="3" w:name="_Toc1813773468_WPSOffice_Level2Page"/>
      <w:r>
        <w:rPr>
          <w:rFonts w:hint="eastAsia" w:ascii="方正仿宋_GBK" w:hAnsi="方正仿宋_GBK" w:eastAsia="方正仿宋_GBK" w:cs="方正仿宋_GBK"/>
          <w:sz w:val="30"/>
          <w:szCs w:val="30"/>
        </w:rPr>
        <w:t>4</w:t>
      </w:r>
      <w:bookmarkEnd w:id="3"/>
      <w:r>
        <w:rPr>
          <w:rFonts w:hint="eastAsia" w:ascii="方正仿宋_GBK" w:hAnsi="方正仿宋_GBK" w:eastAsia="方正仿宋_GBK" w:cs="方正仿宋_GBK"/>
          <w:sz w:val="30"/>
          <w:szCs w:val="30"/>
        </w:rPr>
        <w:fldChar w:fldCharType="end"/>
      </w:r>
    </w:p>
    <w:p>
      <w:pPr>
        <w:pStyle w:val="46"/>
        <w:widowControl w:val="0"/>
        <w:tabs>
          <w:tab w:val="right" w:leader="dot" w:pos="8845"/>
        </w:tabs>
        <w:snapToGrid w:val="0"/>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HYPERLINK \l _Toc368560628_WPSOffice_Level2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第二节  城市管理工作仍然面临的主要问题</w:t>
      </w:r>
      <w:r>
        <w:rPr>
          <w:rFonts w:hint="eastAsia" w:ascii="方正仿宋_GBK" w:hAnsi="方正仿宋_GBK" w:eastAsia="方正仿宋_GBK" w:cs="方正仿宋_GBK"/>
          <w:sz w:val="30"/>
          <w:szCs w:val="30"/>
        </w:rPr>
        <w:tab/>
      </w:r>
      <w:bookmarkStart w:id="4" w:name="_Toc368560628_WPSOffice_Level2Page"/>
      <w:r>
        <w:rPr>
          <w:rFonts w:hint="eastAsia" w:ascii="方正仿宋_GBK" w:hAnsi="方正仿宋_GBK" w:eastAsia="方正仿宋_GBK" w:cs="方正仿宋_GBK"/>
          <w:sz w:val="30"/>
          <w:szCs w:val="30"/>
        </w:rPr>
        <w:t>8</w:t>
      </w:r>
      <w:bookmarkEnd w:id="4"/>
      <w:r>
        <w:rPr>
          <w:rFonts w:hint="eastAsia" w:ascii="方正仿宋_GBK" w:hAnsi="方正仿宋_GBK" w:eastAsia="方正仿宋_GBK" w:cs="方正仿宋_GBK"/>
          <w:sz w:val="30"/>
          <w:szCs w:val="30"/>
        </w:rPr>
        <w:fldChar w:fldCharType="end"/>
      </w:r>
    </w:p>
    <w:p>
      <w:pPr>
        <w:pStyle w:val="46"/>
        <w:widowControl w:val="0"/>
        <w:tabs>
          <w:tab w:val="right" w:leader="dot" w:pos="8845"/>
        </w:tabs>
        <w:snapToGrid w:val="0"/>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HYPERLINK \l _Toc1946396125_WPSOffice_Level2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第三节  城市管理工作当前面临的机遇与挑战</w:t>
      </w:r>
      <w:r>
        <w:rPr>
          <w:rFonts w:hint="eastAsia" w:ascii="方正仿宋_GBK" w:hAnsi="方正仿宋_GBK" w:eastAsia="方正仿宋_GBK" w:cs="方正仿宋_GBK"/>
          <w:sz w:val="30"/>
          <w:szCs w:val="30"/>
        </w:rPr>
        <w:tab/>
      </w:r>
      <w:bookmarkStart w:id="5" w:name="_Toc1946396125_WPSOffice_Level2Page"/>
      <w:r>
        <w:rPr>
          <w:rFonts w:hint="eastAsia" w:ascii="方正仿宋_GBK" w:hAnsi="方正仿宋_GBK" w:eastAsia="方正仿宋_GBK" w:cs="方正仿宋_GBK"/>
          <w:sz w:val="30"/>
          <w:szCs w:val="30"/>
        </w:rPr>
        <w:t>9</w:t>
      </w:r>
      <w:bookmarkEnd w:id="5"/>
      <w:r>
        <w:rPr>
          <w:rFonts w:hint="eastAsia" w:ascii="方正仿宋_GBK" w:hAnsi="方正仿宋_GBK" w:eastAsia="方正仿宋_GBK" w:cs="方正仿宋_GBK"/>
          <w:sz w:val="30"/>
          <w:szCs w:val="30"/>
        </w:rPr>
        <w:fldChar w:fldCharType="end"/>
      </w:r>
    </w:p>
    <w:p>
      <w:pPr>
        <w:pStyle w:val="45"/>
        <w:widowControl w:val="0"/>
        <w:tabs>
          <w:tab w:val="right" w:leader="dot" w:pos="8845"/>
        </w:tabs>
        <w:snapToGrid w:val="0"/>
        <w:rPr>
          <w:rFonts w:hint="eastAsia" w:ascii="方正仿宋_GBK" w:hAnsi="方正仿宋_GBK" w:eastAsia="方正仿宋_GBK" w:cs="方正仿宋_GBK"/>
          <w:sz w:val="30"/>
          <w:szCs w:val="30"/>
        </w:rPr>
      </w:pPr>
      <w:r>
        <w:rPr>
          <w:rFonts w:hint="eastAsia" w:ascii="方正仿宋_GBK" w:hAnsi="方正仿宋_GBK" w:eastAsia="方正仿宋_GBK" w:cs="方正仿宋_GBK"/>
          <w:b/>
          <w:bCs/>
          <w:sz w:val="30"/>
          <w:szCs w:val="30"/>
        </w:rPr>
        <w:fldChar w:fldCharType="begin"/>
      </w:r>
      <w:r>
        <w:rPr>
          <w:rFonts w:hint="eastAsia" w:ascii="方正仿宋_GBK" w:hAnsi="方正仿宋_GBK" w:eastAsia="方正仿宋_GBK" w:cs="方正仿宋_GBK"/>
          <w:sz w:val="30"/>
          <w:szCs w:val="30"/>
        </w:rPr>
        <w:instrText xml:space="preserve"> HYPERLINK \l _Toc734440047_WPSOffice_Level1 </w:instrText>
      </w:r>
      <w:r>
        <w:rPr>
          <w:rFonts w:hint="eastAsia" w:ascii="方正仿宋_GBK" w:hAnsi="方正仿宋_GBK" w:eastAsia="方正仿宋_GBK" w:cs="方正仿宋_GBK"/>
          <w:b/>
          <w:bCs/>
          <w:sz w:val="30"/>
          <w:szCs w:val="30"/>
        </w:rPr>
        <w:fldChar w:fldCharType="separate"/>
      </w:r>
      <w:r>
        <w:rPr>
          <w:rFonts w:hint="eastAsia" w:ascii="方正仿宋_GBK" w:hAnsi="方正仿宋_GBK" w:eastAsia="方正仿宋_GBK" w:cs="方正仿宋_GBK"/>
          <w:b/>
          <w:bCs/>
          <w:sz w:val="30"/>
          <w:szCs w:val="30"/>
        </w:rPr>
        <w:t>第二章  指导思想和发展目标</w:t>
      </w:r>
      <w:r>
        <w:rPr>
          <w:rFonts w:hint="eastAsia" w:ascii="方正仿宋_GBK" w:hAnsi="方正仿宋_GBK" w:eastAsia="方正仿宋_GBK" w:cs="方正仿宋_GBK"/>
          <w:b/>
          <w:bCs/>
          <w:sz w:val="30"/>
          <w:szCs w:val="30"/>
        </w:rPr>
        <w:tab/>
      </w:r>
      <w:bookmarkStart w:id="6" w:name="_Toc734440047_WPSOffice_Level1Page"/>
      <w:r>
        <w:rPr>
          <w:rFonts w:hint="eastAsia" w:ascii="方正仿宋_GBK" w:hAnsi="方正仿宋_GBK" w:eastAsia="方正仿宋_GBK" w:cs="方正仿宋_GBK"/>
          <w:b/>
          <w:bCs/>
          <w:sz w:val="30"/>
          <w:szCs w:val="30"/>
        </w:rPr>
        <w:t>11</w:t>
      </w:r>
      <w:bookmarkEnd w:id="6"/>
      <w:r>
        <w:rPr>
          <w:rFonts w:hint="eastAsia" w:ascii="方正仿宋_GBK" w:hAnsi="方正仿宋_GBK" w:eastAsia="方正仿宋_GBK" w:cs="方正仿宋_GBK"/>
          <w:b/>
          <w:bCs/>
          <w:sz w:val="30"/>
          <w:szCs w:val="30"/>
        </w:rPr>
        <w:fldChar w:fldCharType="end"/>
      </w:r>
    </w:p>
    <w:p>
      <w:pPr>
        <w:pStyle w:val="46"/>
        <w:widowControl w:val="0"/>
        <w:tabs>
          <w:tab w:val="right" w:leader="dot" w:pos="8845"/>
        </w:tabs>
        <w:snapToGrid w:val="0"/>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HYPERLINK \l _Toc1442005624_WPSOffice_Level2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第一节  指导思想</w:t>
      </w:r>
      <w:r>
        <w:rPr>
          <w:rFonts w:hint="eastAsia" w:ascii="方正仿宋_GBK" w:hAnsi="方正仿宋_GBK" w:eastAsia="方正仿宋_GBK" w:cs="方正仿宋_GBK"/>
          <w:sz w:val="30"/>
          <w:szCs w:val="30"/>
        </w:rPr>
        <w:tab/>
      </w:r>
      <w:bookmarkStart w:id="7" w:name="_Toc1442005624_WPSOffice_Level2Page"/>
      <w:r>
        <w:rPr>
          <w:rFonts w:hint="eastAsia" w:ascii="方正仿宋_GBK" w:hAnsi="方正仿宋_GBK" w:eastAsia="方正仿宋_GBK" w:cs="方正仿宋_GBK"/>
          <w:sz w:val="30"/>
          <w:szCs w:val="30"/>
        </w:rPr>
        <w:t>12</w:t>
      </w:r>
      <w:bookmarkEnd w:id="7"/>
      <w:r>
        <w:rPr>
          <w:rFonts w:hint="eastAsia" w:ascii="方正仿宋_GBK" w:hAnsi="方正仿宋_GBK" w:eastAsia="方正仿宋_GBK" w:cs="方正仿宋_GBK"/>
          <w:sz w:val="30"/>
          <w:szCs w:val="30"/>
        </w:rPr>
        <w:fldChar w:fldCharType="end"/>
      </w:r>
    </w:p>
    <w:p>
      <w:pPr>
        <w:pStyle w:val="46"/>
        <w:widowControl w:val="0"/>
        <w:tabs>
          <w:tab w:val="right" w:leader="dot" w:pos="8845"/>
        </w:tabs>
        <w:snapToGrid w:val="0"/>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HYPERLINK \l _Toc217284991_WPSOffice_Level2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第二节  基本原则</w:t>
      </w:r>
      <w:r>
        <w:rPr>
          <w:rFonts w:hint="eastAsia" w:ascii="方正仿宋_GBK" w:hAnsi="方正仿宋_GBK" w:eastAsia="方正仿宋_GBK" w:cs="方正仿宋_GBK"/>
          <w:sz w:val="30"/>
          <w:szCs w:val="30"/>
        </w:rPr>
        <w:tab/>
      </w:r>
      <w:bookmarkStart w:id="8" w:name="_Toc217284991_WPSOffice_Level2Page"/>
      <w:r>
        <w:rPr>
          <w:rFonts w:hint="eastAsia" w:ascii="方正仿宋_GBK" w:hAnsi="方正仿宋_GBK" w:eastAsia="方正仿宋_GBK" w:cs="方正仿宋_GBK"/>
          <w:sz w:val="30"/>
          <w:szCs w:val="30"/>
        </w:rPr>
        <w:t>12</w:t>
      </w:r>
      <w:bookmarkEnd w:id="8"/>
      <w:r>
        <w:rPr>
          <w:rFonts w:hint="eastAsia" w:ascii="方正仿宋_GBK" w:hAnsi="方正仿宋_GBK" w:eastAsia="方正仿宋_GBK" w:cs="方正仿宋_GBK"/>
          <w:sz w:val="30"/>
          <w:szCs w:val="30"/>
        </w:rPr>
        <w:fldChar w:fldCharType="end"/>
      </w:r>
    </w:p>
    <w:p>
      <w:pPr>
        <w:pStyle w:val="46"/>
        <w:widowControl w:val="0"/>
        <w:tabs>
          <w:tab w:val="right" w:leader="dot" w:pos="8845"/>
        </w:tabs>
        <w:snapToGrid w:val="0"/>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HYPERLINK \l _Toc1626154241_WPSOffice_Level2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第三节  规划依据</w:t>
      </w:r>
      <w:r>
        <w:rPr>
          <w:rFonts w:hint="eastAsia" w:ascii="方正仿宋_GBK" w:hAnsi="方正仿宋_GBK" w:eastAsia="方正仿宋_GBK" w:cs="方正仿宋_GBK"/>
          <w:sz w:val="30"/>
          <w:szCs w:val="30"/>
        </w:rPr>
        <w:tab/>
      </w:r>
      <w:bookmarkStart w:id="9" w:name="_Toc1626154241_WPSOffice_Level2Page"/>
      <w:r>
        <w:rPr>
          <w:rFonts w:hint="eastAsia" w:ascii="方正仿宋_GBK" w:hAnsi="方正仿宋_GBK" w:eastAsia="方正仿宋_GBK" w:cs="方正仿宋_GBK"/>
          <w:sz w:val="30"/>
          <w:szCs w:val="30"/>
        </w:rPr>
        <w:t>13</w:t>
      </w:r>
      <w:bookmarkEnd w:id="9"/>
      <w:r>
        <w:rPr>
          <w:rFonts w:hint="eastAsia" w:ascii="方正仿宋_GBK" w:hAnsi="方正仿宋_GBK" w:eastAsia="方正仿宋_GBK" w:cs="方正仿宋_GBK"/>
          <w:sz w:val="30"/>
          <w:szCs w:val="30"/>
        </w:rPr>
        <w:fldChar w:fldCharType="end"/>
      </w:r>
    </w:p>
    <w:p>
      <w:pPr>
        <w:pStyle w:val="46"/>
        <w:widowControl w:val="0"/>
        <w:tabs>
          <w:tab w:val="right" w:leader="dot" w:pos="8845"/>
        </w:tabs>
        <w:snapToGrid w:val="0"/>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HYPERLINK \l _Toc1909556527_WPSOffice_Level2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第四节  总体思路</w:t>
      </w:r>
      <w:r>
        <w:rPr>
          <w:rFonts w:hint="eastAsia" w:ascii="方正仿宋_GBK" w:hAnsi="方正仿宋_GBK" w:eastAsia="方正仿宋_GBK" w:cs="方正仿宋_GBK"/>
          <w:sz w:val="30"/>
          <w:szCs w:val="30"/>
        </w:rPr>
        <w:tab/>
      </w:r>
      <w:bookmarkStart w:id="10" w:name="_Toc1909556527_WPSOffice_Level2Page"/>
      <w:r>
        <w:rPr>
          <w:rFonts w:hint="eastAsia" w:ascii="方正仿宋_GBK" w:hAnsi="方正仿宋_GBK" w:eastAsia="方正仿宋_GBK" w:cs="方正仿宋_GBK"/>
          <w:sz w:val="30"/>
          <w:szCs w:val="30"/>
        </w:rPr>
        <w:t>17</w:t>
      </w:r>
      <w:bookmarkEnd w:id="10"/>
      <w:r>
        <w:rPr>
          <w:rFonts w:hint="eastAsia" w:ascii="方正仿宋_GBK" w:hAnsi="方正仿宋_GBK" w:eastAsia="方正仿宋_GBK" w:cs="方正仿宋_GBK"/>
          <w:sz w:val="30"/>
          <w:szCs w:val="30"/>
        </w:rPr>
        <w:fldChar w:fldCharType="end"/>
      </w:r>
    </w:p>
    <w:p>
      <w:pPr>
        <w:pStyle w:val="46"/>
        <w:widowControl w:val="0"/>
        <w:tabs>
          <w:tab w:val="right" w:leader="dot" w:pos="8845"/>
        </w:tabs>
        <w:snapToGrid w:val="0"/>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HYPERLINK \l _Toc842717205_WPSOffice_Level2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第五节  发展目标</w:t>
      </w:r>
      <w:r>
        <w:rPr>
          <w:rFonts w:hint="eastAsia" w:ascii="方正仿宋_GBK" w:hAnsi="方正仿宋_GBK" w:eastAsia="方正仿宋_GBK" w:cs="方正仿宋_GBK"/>
          <w:sz w:val="30"/>
          <w:szCs w:val="30"/>
        </w:rPr>
        <w:tab/>
      </w:r>
      <w:bookmarkStart w:id="11" w:name="_Toc842717205_WPSOffice_Level2Page"/>
      <w:r>
        <w:rPr>
          <w:rFonts w:hint="eastAsia" w:ascii="方正仿宋_GBK" w:hAnsi="方正仿宋_GBK" w:eastAsia="方正仿宋_GBK" w:cs="方正仿宋_GBK"/>
          <w:sz w:val="30"/>
          <w:szCs w:val="30"/>
        </w:rPr>
        <w:t>17</w:t>
      </w:r>
      <w:bookmarkEnd w:id="11"/>
      <w:r>
        <w:rPr>
          <w:rFonts w:hint="eastAsia" w:ascii="方正仿宋_GBK" w:hAnsi="方正仿宋_GBK" w:eastAsia="方正仿宋_GBK" w:cs="方正仿宋_GBK"/>
          <w:sz w:val="30"/>
          <w:szCs w:val="30"/>
        </w:rPr>
        <w:fldChar w:fldCharType="end"/>
      </w:r>
    </w:p>
    <w:p>
      <w:pPr>
        <w:pStyle w:val="45"/>
        <w:widowControl w:val="0"/>
        <w:tabs>
          <w:tab w:val="right" w:leader="dot" w:pos="8845"/>
        </w:tabs>
        <w:snapToGrid w:val="0"/>
        <w:rPr>
          <w:rFonts w:hint="eastAsia" w:ascii="方正仿宋_GBK" w:hAnsi="方正仿宋_GBK" w:eastAsia="方正仿宋_GBK" w:cs="方正仿宋_GBK"/>
          <w:sz w:val="30"/>
          <w:szCs w:val="30"/>
        </w:rPr>
      </w:pPr>
      <w:r>
        <w:rPr>
          <w:rFonts w:hint="eastAsia" w:ascii="方正仿宋_GBK" w:hAnsi="方正仿宋_GBK" w:eastAsia="方正仿宋_GBK" w:cs="方正仿宋_GBK"/>
          <w:b/>
          <w:bCs/>
          <w:sz w:val="30"/>
          <w:szCs w:val="30"/>
        </w:rPr>
        <w:fldChar w:fldCharType="begin"/>
      </w:r>
      <w:r>
        <w:rPr>
          <w:rFonts w:hint="eastAsia" w:ascii="方正仿宋_GBK" w:hAnsi="方正仿宋_GBK" w:eastAsia="方正仿宋_GBK" w:cs="方正仿宋_GBK"/>
          <w:sz w:val="30"/>
          <w:szCs w:val="30"/>
        </w:rPr>
        <w:instrText xml:space="preserve"> HYPERLINK \l _Toc1874431817_WPSOffice_Level1 </w:instrText>
      </w:r>
      <w:r>
        <w:rPr>
          <w:rFonts w:hint="eastAsia" w:ascii="方正仿宋_GBK" w:hAnsi="方正仿宋_GBK" w:eastAsia="方正仿宋_GBK" w:cs="方正仿宋_GBK"/>
          <w:b/>
          <w:bCs/>
          <w:sz w:val="30"/>
          <w:szCs w:val="30"/>
        </w:rPr>
        <w:fldChar w:fldCharType="separate"/>
      </w:r>
      <w:r>
        <w:rPr>
          <w:rFonts w:hint="eastAsia" w:ascii="方正仿宋_GBK" w:hAnsi="方正仿宋_GBK" w:eastAsia="方正仿宋_GBK" w:cs="方正仿宋_GBK"/>
          <w:b/>
          <w:bCs/>
          <w:sz w:val="30"/>
          <w:szCs w:val="30"/>
        </w:rPr>
        <w:t>第三章  推动城市更新提质，提升设施综合承载力</w:t>
      </w:r>
      <w:r>
        <w:rPr>
          <w:rFonts w:hint="eastAsia" w:ascii="方正仿宋_GBK" w:hAnsi="方正仿宋_GBK" w:eastAsia="方正仿宋_GBK" w:cs="方正仿宋_GBK"/>
          <w:b/>
          <w:bCs/>
          <w:sz w:val="30"/>
          <w:szCs w:val="30"/>
        </w:rPr>
        <w:tab/>
      </w:r>
      <w:bookmarkStart w:id="12" w:name="_Toc1874431817_WPSOffice_Level1Page"/>
      <w:r>
        <w:rPr>
          <w:rFonts w:hint="eastAsia" w:ascii="方正仿宋_GBK" w:hAnsi="方正仿宋_GBK" w:eastAsia="方正仿宋_GBK" w:cs="方正仿宋_GBK"/>
          <w:b/>
          <w:bCs/>
          <w:sz w:val="30"/>
          <w:szCs w:val="30"/>
        </w:rPr>
        <w:t>19</w:t>
      </w:r>
      <w:bookmarkEnd w:id="12"/>
      <w:r>
        <w:rPr>
          <w:rFonts w:hint="eastAsia" w:ascii="方正仿宋_GBK" w:hAnsi="方正仿宋_GBK" w:eastAsia="方正仿宋_GBK" w:cs="方正仿宋_GBK"/>
          <w:b/>
          <w:bCs/>
          <w:sz w:val="30"/>
          <w:szCs w:val="30"/>
        </w:rPr>
        <w:fldChar w:fldCharType="end"/>
      </w:r>
    </w:p>
    <w:p>
      <w:pPr>
        <w:pStyle w:val="46"/>
        <w:widowControl w:val="0"/>
        <w:tabs>
          <w:tab w:val="right" w:leader="dot" w:pos="8845"/>
        </w:tabs>
        <w:snapToGrid w:val="0"/>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HYPERLINK \l _Toc2141522124_WPSOffice_Level2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第一节  保障城市供水优质高效</w:t>
      </w:r>
      <w:r>
        <w:rPr>
          <w:rFonts w:hint="eastAsia" w:ascii="方正仿宋_GBK" w:hAnsi="方正仿宋_GBK" w:eastAsia="方正仿宋_GBK" w:cs="方正仿宋_GBK"/>
          <w:sz w:val="30"/>
          <w:szCs w:val="30"/>
        </w:rPr>
        <w:tab/>
      </w:r>
      <w:bookmarkStart w:id="13" w:name="_Toc2141522124_WPSOffice_Level2Page"/>
      <w:r>
        <w:rPr>
          <w:rFonts w:hint="eastAsia" w:ascii="方正仿宋_GBK" w:hAnsi="方正仿宋_GBK" w:eastAsia="方正仿宋_GBK" w:cs="方正仿宋_GBK"/>
          <w:sz w:val="30"/>
          <w:szCs w:val="30"/>
        </w:rPr>
        <w:t>19</w:t>
      </w:r>
      <w:bookmarkEnd w:id="13"/>
      <w:r>
        <w:rPr>
          <w:rFonts w:hint="eastAsia" w:ascii="方正仿宋_GBK" w:hAnsi="方正仿宋_GBK" w:eastAsia="方正仿宋_GBK" w:cs="方正仿宋_GBK"/>
          <w:sz w:val="30"/>
          <w:szCs w:val="30"/>
        </w:rPr>
        <w:fldChar w:fldCharType="end"/>
      </w:r>
    </w:p>
    <w:p>
      <w:pPr>
        <w:pStyle w:val="46"/>
        <w:widowControl w:val="0"/>
        <w:tabs>
          <w:tab w:val="right" w:leader="dot" w:pos="8845"/>
        </w:tabs>
        <w:snapToGrid w:val="0"/>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HYPERLINK \l _Toc1799672296_WPSOffice_Level2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第二节  强化节水型城市管理</w:t>
      </w:r>
      <w:r>
        <w:rPr>
          <w:rFonts w:hint="eastAsia" w:ascii="方正仿宋_GBK" w:hAnsi="方正仿宋_GBK" w:eastAsia="方正仿宋_GBK" w:cs="方正仿宋_GBK"/>
          <w:sz w:val="30"/>
          <w:szCs w:val="30"/>
        </w:rPr>
        <w:tab/>
      </w:r>
      <w:bookmarkStart w:id="14" w:name="_Toc1799672296_WPSOffice_Level2Page"/>
      <w:r>
        <w:rPr>
          <w:rFonts w:hint="eastAsia" w:ascii="方正仿宋_GBK" w:hAnsi="方正仿宋_GBK" w:eastAsia="方正仿宋_GBK" w:cs="方正仿宋_GBK"/>
          <w:sz w:val="30"/>
          <w:szCs w:val="30"/>
        </w:rPr>
        <w:t>21</w:t>
      </w:r>
      <w:bookmarkEnd w:id="14"/>
      <w:r>
        <w:rPr>
          <w:rFonts w:hint="eastAsia" w:ascii="方正仿宋_GBK" w:hAnsi="方正仿宋_GBK" w:eastAsia="方正仿宋_GBK" w:cs="方正仿宋_GBK"/>
          <w:sz w:val="30"/>
          <w:szCs w:val="30"/>
        </w:rPr>
        <w:fldChar w:fldCharType="end"/>
      </w:r>
    </w:p>
    <w:p>
      <w:pPr>
        <w:pStyle w:val="46"/>
        <w:widowControl w:val="0"/>
        <w:tabs>
          <w:tab w:val="right" w:leader="dot" w:pos="8845"/>
        </w:tabs>
        <w:snapToGrid w:val="0"/>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HYPERLINK \l _Toc1820774918_WPSOffice_Level2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第三节  持续提升城市照明能效</w:t>
      </w:r>
      <w:r>
        <w:rPr>
          <w:rFonts w:hint="eastAsia" w:ascii="方正仿宋_GBK" w:hAnsi="方正仿宋_GBK" w:eastAsia="方正仿宋_GBK" w:cs="方正仿宋_GBK"/>
          <w:sz w:val="30"/>
          <w:szCs w:val="30"/>
        </w:rPr>
        <w:tab/>
      </w:r>
      <w:bookmarkStart w:id="15" w:name="_Toc1820774918_WPSOffice_Level2Page"/>
      <w:r>
        <w:rPr>
          <w:rFonts w:hint="eastAsia" w:ascii="方正仿宋_GBK" w:hAnsi="方正仿宋_GBK" w:eastAsia="方正仿宋_GBK" w:cs="方正仿宋_GBK"/>
          <w:sz w:val="30"/>
          <w:szCs w:val="30"/>
        </w:rPr>
        <w:t>21</w:t>
      </w:r>
      <w:bookmarkEnd w:id="15"/>
      <w:r>
        <w:rPr>
          <w:rFonts w:hint="eastAsia" w:ascii="方正仿宋_GBK" w:hAnsi="方正仿宋_GBK" w:eastAsia="方正仿宋_GBK" w:cs="方正仿宋_GBK"/>
          <w:sz w:val="30"/>
          <w:szCs w:val="30"/>
        </w:rPr>
        <w:fldChar w:fldCharType="end"/>
      </w:r>
    </w:p>
    <w:p>
      <w:pPr>
        <w:pStyle w:val="46"/>
        <w:widowControl w:val="0"/>
        <w:tabs>
          <w:tab w:val="right" w:leader="dot" w:pos="8845"/>
        </w:tabs>
        <w:snapToGrid w:val="0"/>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HYPERLINK \l _Toc496293487_WPSOffice_Level2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第四节  大力缓解公共停车痛点</w:t>
      </w:r>
      <w:r>
        <w:rPr>
          <w:rFonts w:hint="eastAsia" w:ascii="方正仿宋_GBK" w:hAnsi="方正仿宋_GBK" w:eastAsia="方正仿宋_GBK" w:cs="方正仿宋_GBK"/>
          <w:sz w:val="30"/>
          <w:szCs w:val="30"/>
        </w:rPr>
        <w:tab/>
      </w:r>
      <w:bookmarkStart w:id="16" w:name="_Toc496293487_WPSOffice_Level2Page"/>
      <w:r>
        <w:rPr>
          <w:rFonts w:hint="eastAsia" w:ascii="方正仿宋_GBK" w:hAnsi="方正仿宋_GBK" w:eastAsia="方正仿宋_GBK" w:cs="方正仿宋_GBK"/>
          <w:sz w:val="30"/>
          <w:szCs w:val="30"/>
        </w:rPr>
        <w:t>23</w:t>
      </w:r>
      <w:bookmarkEnd w:id="16"/>
      <w:r>
        <w:rPr>
          <w:rFonts w:hint="eastAsia" w:ascii="方正仿宋_GBK" w:hAnsi="方正仿宋_GBK" w:eastAsia="方正仿宋_GBK" w:cs="方正仿宋_GBK"/>
          <w:sz w:val="30"/>
          <w:szCs w:val="30"/>
        </w:rPr>
        <w:fldChar w:fldCharType="end"/>
      </w:r>
    </w:p>
    <w:p>
      <w:pPr>
        <w:pStyle w:val="46"/>
        <w:widowControl w:val="0"/>
        <w:tabs>
          <w:tab w:val="right" w:leader="dot" w:pos="8845"/>
        </w:tabs>
        <w:snapToGrid w:val="0"/>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HYPERLINK \l _Toc1167024023_WPSOffice_Level2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第五节  保障路桥设施优质高效</w:t>
      </w:r>
      <w:r>
        <w:rPr>
          <w:rFonts w:hint="eastAsia" w:ascii="方正仿宋_GBK" w:hAnsi="方正仿宋_GBK" w:eastAsia="方正仿宋_GBK" w:cs="方正仿宋_GBK"/>
          <w:sz w:val="30"/>
          <w:szCs w:val="30"/>
        </w:rPr>
        <w:tab/>
      </w:r>
      <w:bookmarkStart w:id="17" w:name="_Toc1167024023_WPSOffice_Level2Page"/>
      <w:r>
        <w:rPr>
          <w:rFonts w:hint="eastAsia" w:ascii="方正仿宋_GBK" w:hAnsi="方正仿宋_GBK" w:eastAsia="方正仿宋_GBK" w:cs="方正仿宋_GBK"/>
          <w:sz w:val="30"/>
          <w:szCs w:val="30"/>
        </w:rPr>
        <w:t>24</w:t>
      </w:r>
      <w:bookmarkEnd w:id="17"/>
      <w:r>
        <w:rPr>
          <w:rFonts w:hint="eastAsia" w:ascii="方正仿宋_GBK" w:hAnsi="方正仿宋_GBK" w:eastAsia="方正仿宋_GBK" w:cs="方正仿宋_GBK"/>
          <w:sz w:val="30"/>
          <w:szCs w:val="30"/>
        </w:rPr>
        <w:fldChar w:fldCharType="end"/>
      </w:r>
    </w:p>
    <w:p>
      <w:pPr>
        <w:pStyle w:val="46"/>
        <w:widowControl w:val="0"/>
        <w:tabs>
          <w:tab w:val="right" w:leader="dot" w:pos="8845"/>
        </w:tabs>
        <w:snapToGrid w:val="0"/>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HYPERLINK \l _Toc605331663_WPSOffice_Level2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第六节  加强户外广告和招牌管理</w:t>
      </w:r>
      <w:r>
        <w:rPr>
          <w:rFonts w:hint="eastAsia" w:ascii="方正仿宋_GBK" w:hAnsi="方正仿宋_GBK" w:eastAsia="方正仿宋_GBK" w:cs="方正仿宋_GBK"/>
          <w:sz w:val="30"/>
          <w:szCs w:val="30"/>
        </w:rPr>
        <w:tab/>
      </w:r>
      <w:bookmarkStart w:id="18" w:name="_Toc605331663_WPSOffice_Level2Page"/>
      <w:r>
        <w:rPr>
          <w:rFonts w:hint="eastAsia" w:ascii="方正仿宋_GBK" w:hAnsi="方正仿宋_GBK" w:eastAsia="方正仿宋_GBK" w:cs="方正仿宋_GBK"/>
          <w:sz w:val="30"/>
          <w:szCs w:val="30"/>
        </w:rPr>
        <w:t>26</w:t>
      </w:r>
      <w:bookmarkEnd w:id="18"/>
      <w:r>
        <w:rPr>
          <w:rFonts w:hint="eastAsia" w:ascii="方正仿宋_GBK" w:hAnsi="方正仿宋_GBK" w:eastAsia="方正仿宋_GBK" w:cs="方正仿宋_GBK"/>
          <w:sz w:val="30"/>
          <w:szCs w:val="30"/>
        </w:rPr>
        <w:fldChar w:fldCharType="end"/>
      </w:r>
    </w:p>
    <w:p>
      <w:pPr>
        <w:pStyle w:val="45"/>
        <w:widowControl w:val="0"/>
        <w:tabs>
          <w:tab w:val="right" w:leader="dot" w:pos="8845"/>
        </w:tabs>
        <w:snapToGrid w:val="0"/>
        <w:rPr>
          <w:rFonts w:hint="eastAsia" w:ascii="方正仿宋_GBK" w:hAnsi="方正仿宋_GBK" w:eastAsia="方正仿宋_GBK" w:cs="方正仿宋_GBK"/>
          <w:sz w:val="30"/>
          <w:szCs w:val="30"/>
        </w:rPr>
      </w:pPr>
      <w:r>
        <w:rPr>
          <w:rFonts w:hint="eastAsia" w:ascii="方正仿宋_GBK" w:hAnsi="方正仿宋_GBK" w:eastAsia="方正仿宋_GBK" w:cs="方正仿宋_GBK"/>
          <w:b/>
          <w:bCs/>
          <w:sz w:val="30"/>
          <w:szCs w:val="30"/>
        </w:rPr>
        <w:fldChar w:fldCharType="begin"/>
      </w:r>
      <w:r>
        <w:rPr>
          <w:rFonts w:hint="eastAsia" w:ascii="方正仿宋_GBK" w:hAnsi="方正仿宋_GBK" w:eastAsia="方正仿宋_GBK" w:cs="方正仿宋_GBK"/>
          <w:sz w:val="30"/>
          <w:szCs w:val="30"/>
        </w:rPr>
        <w:instrText xml:space="preserve"> HYPERLINK \l _Toc452435135_WPSOffice_Level1 </w:instrText>
      </w:r>
      <w:r>
        <w:rPr>
          <w:rFonts w:hint="eastAsia" w:ascii="方正仿宋_GBK" w:hAnsi="方正仿宋_GBK" w:eastAsia="方正仿宋_GBK" w:cs="方正仿宋_GBK"/>
          <w:b/>
          <w:bCs/>
          <w:sz w:val="30"/>
          <w:szCs w:val="30"/>
        </w:rPr>
        <w:fldChar w:fldCharType="separate"/>
      </w:r>
      <w:r>
        <w:rPr>
          <w:rFonts w:hint="eastAsia" w:ascii="方正仿宋_GBK" w:hAnsi="方正仿宋_GBK" w:eastAsia="方正仿宋_GBK" w:cs="方正仿宋_GBK"/>
          <w:b/>
          <w:bCs/>
          <w:sz w:val="30"/>
          <w:szCs w:val="30"/>
        </w:rPr>
        <w:t>第四章  持续推进环卫治理，打造干净整洁“无废城市”</w:t>
      </w:r>
      <w:r>
        <w:rPr>
          <w:rFonts w:hint="eastAsia" w:ascii="方正仿宋_GBK" w:hAnsi="方正仿宋_GBK" w:eastAsia="方正仿宋_GBK" w:cs="方正仿宋_GBK"/>
          <w:b/>
          <w:bCs/>
          <w:sz w:val="30"/>
          <w:szCs w:val="30"/>
        </w:rPr>
        <w:tab/>
      </w:r>
      <w:bookmarkStart w:id="19" w:name="_Toc452435135_WPSOffice_Level1Page"/>
      <w:r>
        <w:rPr>
          <w:rFonts w:hint="eastAsia" w:ascii="方正仿宋_GBK" w:hAnsi="方正仿宋_GBK" w:eastAsia="方正仿宋_GBK" w:cs="方正仿宋_GBK"/>
          <w:b/>
          <w:bCs/>
          <w:sz w:val="30"/>
          <w:szCs w:val="30"/>
        </w:rPr>
        <w:t>26</w:t>
      </w:r>
      <w:bookmarkEnd w:id="19"/>
      <w:r>
        <w:rPr>
          <w:rFonts w:hint="eastAsia" w:ascii="方正仿宋_GBK" w:hAnsi="方正仿宋_GBK" w:eastAsia="方正仿宋_GBK" w:cs="方正仿宋_GBK"/>
          <w:b/>
          <w:bCs/>
          <w:sz w:val="30"/>
          <w:szCs w:val="30"/>
        </w:rPr>
        <w:fldChar w:fldCharType="end"/>
      </w:r>
    </w:p>
    <w:p>
      <w:pPr>
        <w:pStyle w:val="46"/>
        <w:widowControl w:val="0"/>
        <w:tabs>
          <w:tab w:val="right" w:leader="dot" w:pos="8845"/>
        </w:tabs>
        <w:snapToGrid w:val="0"/>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HYPERLINK \l _Toc2131530689_WPSOffice_Level2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第一节  推动生活垃圾治理提质</w:t>
      </w:r>
      <w:r>
        <w:rPr>
          <w:rFonts w:hint="eastAsia" w:ascii="方正仿宋_GBK" w:hAnsi="方正仿宋_GBK" w:eastAsia="方正仿宋_GBK" w:cs="方正仿宋_GBK"/>
          <w:sz w:val="30"/>
          <w:szCs w:val="30"/>
        </w:rPr>
        <w:tab/>
      </w:r>
      <w:bookmarkStart w:id="20" w:name="_Toc2131530689_WPSOffice_Level2Page"/>
      <w:r>
        <w:rPr>
          <w:rFonts w:hint="eastAsia" w:ascii="方正仿宋_GBK" w:hAnsi="方正仿宋_GBK" w:eastAsia="方正仿宋_GBK" w:cs="方正仿宋_GBK"/>
          <w:sz w:val="30"/>
          <w:szCs w:val="30"/>
        </w:rPr>
        <w:t>26</w:t>
      </w:r>
      <w:bookmarkEnd w:id="20"/>
      <w:r>
        <w:rPr>
          <w:rFonts w:hint="eastAsia" w:ascii="方正仿宋_GBK" w:hAnsi="方正仿宋_GBK" w:eastAsia="方正仿宋_GBK" w:cs="方正仿宋_GBK"/>
          <w:sz w:val="30"/>
          <w:szCs w:val="30"/>
        </w:rPr>
        <w:fldChar w:fldCharType="end"/>
      </w:r>
    </w:p>
    <w:p>
      <w:pPr>
        <w:pStyle w:val="46"/>
        <w:widowControl w:val="0"/>
        <w:tabs>
          <w:tab w:val="right" w:leader="dot" w:pos="8845"/>
        </w:tabs>
        <w:snapToGrid w:val="0"/>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HYPERLINK \l _Toc1358247544_WPSOffice_Level2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第二节  推动建筑垃圾治理提质</w:t>
      </w:r>
      <w:r>
        <w:rPr>
          <w:rFonts w:hint="eastAsia" w:ascii="方正仿宋_GBK" w:hAnsi="方正仿宋_GBK" w:eastAsia="方正仿宋_GBK" w:cs="方正仿宋_GBK"/>
          <w:sz w:val="30"/>
          <w:szCs w:val="30"/>
        </w:rPr>
        <w:tab/>
      </w:r>
      <w:bookmarkStart w:id="21" w:name="_Toc1358247544_WPSOffice_Level2Page"/>
      <w:r>
        <w:rPr>
          <w:rFonts w:hint="eastAsia" w:ascii="方正仿宋_GBK" w:hAnsi="方正仿宋_GBK" w:eastAsia="方正仿宋_GBK" w:cs="方正仿宋_GBK"/>
          <w:sz w:val="30"/>
          <w:szCs w:val="30"/>
        </w:rPr>
        <w:t>28</w:t>
      </w:r>
      <w:bookmarkEnd w:id="21"/>
      <w:r>
        <w:rPr>
          <w:rFonts w:hint="eastAsia" w:ascii="方正仿宋_GBK" w:hAnsi="方正仿宋_GBK" w:eastAsia="方正仿宋_GBK" w:cs="方正仿宋_GBK"/>
          <w:sz w:val="30"/>
          <w:szCs w:val="30"/>
        </w:rPr>
        <w:fldChar w:fldCharType="end"/>
      </w:r>
    </w:p>
    <w:p>
      <w:pPr>
        <w:pStyle w:val="46"/>
        <w:widowControl w:val="0"/>
        <w:tabs>
          <w:tab w:val="right" w:leader="dot" w:pos="8845"/>
        </w:tabs>
        <w:snapToGrid w:val="0"/>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HYPERLINK \l _Toc1883101658_WPSOffice_Level2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第三节  强化实施水域清漂治理</w:t>
      </w:r>
      <w:r>
        <w:rPr>
          <w:rFonts w:hint="eastAsia" w:ascii="方正仿宋_GBK" w:hAnsi="方正仿宋_GBK" w:eastAsia="方正仿宋_GBK" w:cs="方正仿宋_GBK"/>
          <w:sz w:val="30"/>
          <w:szCs w:val="30"/>
        </w:rPr>
        <w:tab/>
      </w:r>
      <w:bookmarkStart w:id="22" w:name="_Toc1883101658_WPSOffice_Level2Page"/>
      <w:r>
        <w:rPr>
          <w:rFonts w:hint="eastAsia" w:ascii="方正仿宋_GBK" w:hAnsi="方正仿宋_GBK" w:eastAsia="方正仿宋_GBK" w:cs="方正仿宋_GBK"/>
          <w:sz w:val="30"/>
          <w:szCs w:val="30"/>
        </w:rPr>
        <w:t>29</w:t>
      </w:r>
      <w:bookmarkEnd w:id="22"/>
      <w:r>
        <w:rPr>
          <w:rFonts w:hint="eastAsia" w:ascii="方正仿宋_GBK" w:hAnsi="方正仿宋_GBK" w:eastAsia="方正仿宋_GBK" w:cs="方正仿宋_GBK"/>
          <w:sz w:val="30"/>
          <w:szCs w:val="30"/>
        </w:rPr>
        <w:fldChar w:fldCharType="end"/>
      </w:r>
    </w:p>
    <w:p>
      <w:pPr>
        <w:pStyle w:val="46"/>
        <w:widowControl w:val="0"/>
        <w:tabs>
          <w:tab w:val="right" w:leader="dot" w:pos="8845"/>
        </w:tabs>
        <w:snapToGrid w:val="0"/>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HYPERLINK \l _Toc258427025_WPSOffice_Level2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第四节  提升清扫保洁管理水平</w:t>
      </w:r>
      <w:r>
        <w:rPr>
          <w:rFonts w:hint="eastAsia" w:ascii="方正仿宋_GBK" w:hAnsi="方正仿宋_GBK" w:eastAsia="方正仿宋_GBK" w:cs="方正仿宋_GBK"/>
          <w:sz w:val="30"/>
          <w:szCs w:val="30"/>
        </w:rPr>
        <w:tab/>
      </w:r>
      <w:bookmarkStart w:id="23" w:name="_Toc258427025_WPSOffice_Level2Page"/>
      <w:r>
        <w:rPr>
          <w:rFonts w:hint="eastAsia" w:ascii="方正仿宋_GBK" w:hAnsi="方正仿宋_GBK" w:eastAsia="方正仿宋_GBK" w:cs="方正仿宋_GBK"/>
          <w:sz w:val="30"/>
          <w:szCs w:val="30"/>
        </w:rPr>
        <w:t>30</w:t>
      </w:r>
      <w:bookmarkEnd w:id="23"/>
      <w:r>
        <w:rPr>
          <w:rFonts w:hint="eastAsia" w:ascii="方正仿宋_GBK" w:hAnsi="方正仿宋_GBK" w:eastAsia="方正仿宋_GBK" w:cs="方正仿宋_GBK"/>
          <w:sz w:val="30"/>
          <w:szCs w:val="30"/>
        </w:rPr>
        <w:fldChar w:fldCharType="end"/>
      </w:r>
    </w:p>
    <w:p>
      <w:pPr>
        <w:pStyle w:val="46"/>
        <w:widowControl w:val="0"/>
        <w:tabs>
          <w:tab w:val="right" w:leader="dot" w:pos="8845"/>
        </w:tabs>
        <w:snapToGrid w:val="0"/>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HYPERLINK \l _Toc275653892_WPSOffice_Level2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第五节  完善公厕设施建设管理</w:t>
      </w:r>
      <w:r>
        <w:rPr>
          <w:rFonts w:hint="eastAsia" w:ascii="方正仿宋_GBK" w:hAnsi="方正仿宋_GBK" w:eastAsia="方正仿宋_GBK" w:cs="方正仿宋_GBK"/>
          <w:sz w:val="30"/>
          <w:szCs w:val="30"/>
        </w:rPr>
        <w:tab/>
      </w:r>
      <w:bookmarkStart w:id="24" w:name="_Toc275653892_WPSOffice_Level2Page"/>
      <w:r>
        <w:rPr>
          <w:rFonts w:hint="eastAsia" w:ascii="方正仿宋_GBK" w:hAnsi="方正仿宋_GBK" w:eastAsia="方正仿宋_GBK" w:cs="方正仿宋_GBK"/>
          <w:sz w:val="30"/>
          <w:szCs w:val="30"/>
        </w:rPr>
        <w:t>31</w:t>
      </w:r>
      <w:bookmarkEnd w:id="24"/>
      <w:r>
        <w:rPr>
          <w:rFonts w:hint="eastAsia" w:ascii="方正仿宋_GBK" w:hAnsi="方正仿宋_GBK" w:eastAsia="方正仿宋_GBK" w:cs="方正仿宋_GBK"/>
          <w:sz w:val="30"/>
          <w:szCs w:val="30"/>
        </w:rPr>
        <w:fldChar w:fldCharType="end"/>
      </w:r>
    </w:p>
    <w:p>
      <w:pPr>
        <w:pStyle w:val="45"/>
        <w:widowControl w:val="0"/>
        <w:tabs>
          <w:tab w:val="right" w:leader="dot" w:pos="8845"/>
        </w:tabs>
        <w:snapToGrid w:val="0"/>
        <w:rPr>
          <w:rFonts w:hint="eastAsia" w:ascii="方正仿宋_GBK" w:hAnsi="方正仿宋_GBK" w:eastAsia="方正仿宋_GBK" w:cs="方正仿宋_GBK"/>
          <w:sz w:val="30"/>
          <w:szCs w:val="30"/>
        </w:rPr>
      </w:pPr>
      <w:r>
        <w:rPr>
          <w:rFonts w:hint="eastAsia" w:ascii="方正仿宋_GBK" w:hAnsi="方正仿宋_GBK" w:eastAsia="方正仿宋_GBK" w:cs="方正仿宋_GBK"/>
          <w:b/>
          <w:bCs/>
          <w:sz w:val="30"/>
          <w:szCs w:val="30"/>
        </w:rPr>
        <w:fldChar w:fldCharType="begin"/>
      </w:r>
      <w:r>
        <w:rPr>
          <w:rFonts w:hint="eastAsia" w:ascii="方正仿宋_GBK" w:hAnsi="方正仿宋_GBK" w:eastAsia="方正仿宋_GBK" w:cs="方正仿宋_GBK"/>
          <w:sz w:val="30"/>
          <w:szCs w:val="30"/>
        </w:rPr>
        <w:instrText xml:space="preserve"> HYPERLINK \l _Toc136347877_WPSOffice_Level1 </w:instrText>
      </w:r>
      <w:r>
        <w:rPr>
          <w:rFonts w:hint="eastAsia" w:ascii="方正仿宋_GBK" w:hAnsi="方正仿宋_GBK" w:eastAsia="方正仿宋_GBK" w:cs="方正仿宋_GBK"/>
          <w:b/>
          <w:bCs/>
          <w:sz w:val="30"/>
          <w:szCs w:val="30"/>
        </w:rPr>
        <w:fldChar w:fldCharType="separate"/>
      </w:r>
      <w:r>
        <w:rPr>
          <w:rFonts w:hint="eastAsia" w:ascii="方正仿宋_GBK" w:hAnsi="方正仿宋_GBK" w:eastAsia="方正仿宋_GBK" w:cs="方正仿宋_GBK"/>
          <w:b/>
          <w:bCs/>
          <w:sz w:val="30"/>
          <w:szCs w:val="30"/>
        </w:rPr>
        <w:t>第五章  筑牢城市绿色本底，构建“公园城市”蓝绿空间</w:t>
      </w:r>
      <w:r>
        <w:rPr>
          <w:rFonts w:hint="eastAsia" w:ascii="方正仿宋_GBK" w:hAnsi="方正仿宋_GBK" w:eastAsia="方正仿宋_GBK" w:cs="方正仿宋_GBK"/>
          <w:b/>
          <w:bCs/>
          <w:sz w:val="30"/>
          <w:szCs w:val="30"/>
        </w:rPr>
        <w:tab/>
      </w:r>
      <w:bookmarkStart w:id="25" w:name="_Toc136347877_WPSOffice_Level1Page"/>
      <w:r>
        <w:rPr>
          <w:rFonts w:hint="eastAsia" w:ascii="方正仿宋_GBK" w:hAnsi="方正仿宋_GBK" w:eastAsia="方正仿宋_GBK" w:cs="方正仿宋_GBK"/>
          <w:b/>
          <w:bCs/>
          <w:sz w:val="30"/>
          <w:szCs w:val="30"/>
        </w:rPr>
        <w:t>32</w:t>
      </w:r>
      <w:bookmarkEnd w:id="25"/>
      <w:r>
        <w:rPr>
          <w:rFonts w:hint="eastAsia" w:ascii="方正仿宋_GBK" w:hAnsi="方正仿宋_GBK" w:eastAsia="方正仿宋_GBK" w:cs="方正仿宋_GBK"/>
          <w:b/>
          <w:bCs/>
          <w:sz w:val="30"/>
          <w:szCs w:val="30"/>
        </w:rPr>
        <w:fldChar w:fldCharType="end"/>
      </w:r>
    </w:p>
    <w:p>
      <w:pPr>
        <w:pStyle w:val="46"/>
        <w:widowControl w:val="0"/>
        <w:tabs>
          <w:tab w:val="right" w:leader="dot" w:pos="8845"/>
        </w:tabs>
        <w:snapToGrid w:val="0"/>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HYPERLINK \l _Toc1717659516_WPSOffice_Level2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第一节  强化成渝生态绿色空间构建</w:t>
      </w:r>
      <w:r>
        <w:rPr>
          <w:rFonts w:hint="eastAsia" w:ascii="方正仿宋_GBK" w:hAnsi="方正仿宋_GBK" w:eastAsia="方正仿宋_GBK" w:cs="方正仿宋_GBK"/>
          <w:sz w:val="30"/>
          <w:szCs w:val="30"/>
        </w:rPr>
        <w:tab/>
      </w:r>
      <w:bookmarkStart w:id="26" w:name="_Toc1717659516_WPSOffice_Level2Page"/>
      <w:r>
        <w:rPr>
          <w:rFonts w:hint="eastAsia" w:ascii="方正仿宋_GBK" w:hAnsi="方正仿宋_GBK" w:eastAsia="方正仿宋_GBK" w:cs="方正仿宋_GBK"/>
          <w:sz w:val="30"/>
          <w:szCs w:val="30"/>
        </w:rPr>
        <w:t>32</w:t>
      </w:r>
      <w:bookmarkEnd w:id="26"/>
      <w:r>
        <w:rPr>
          <w:rFonts w:hint="eastAsia" w:ascii="方正仿宋_GBK" w:hAnsi="方正仿宋_GBK" w:eastAsia="方正仿宋_GBK" w:cs="方正仿宋_GBK"/>
          <w:sz w:val="30"/>
          <w:szCs w:val="30"/>
        </w:rPr>
        <w:fldChar w:fldCharType="end"/>
      </w:r>
    </w:p>
    <w:p>
      <w:pPr>
        <w:pStyle w:val="46"/>
        <w:widowControl w:val="0"/>
        <w:tabs>
          <w:tab w:val="right" w:leader="dot" w:pos="8845"/>
        </w:tabs>
        <w:snapToGrid w:val="0"/>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HYPERLINK \l _Toc274624493_WPSOffice_Level2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第二节  推动城乡绿化一体化发展</w:t>
      </w:r>
      <w:r>
        <w:rPr>
          <w:rFonts w:hint="eastAsia" w:ascii="方正仿宋_GBK" w:hAnsi="方正仿宋_GBK" w:eastAsia="方正仿宋_GBK" w:cs="方正仿宋_GBK"/>
          <w:sz w:val="30"/>
          <w:szCs w:val="30"/>
        </w:rPr>
        <w:tab/>
      </w:r>
      <w:bookmarkStart w:id="27" w:name="_Toc274624493_WPSOffice_Level2Page"/>
      <w:r>
        <w:rPr>
          <w:rFonts w:hint="eastAsia" w:ascii="方正仿宋_GBK" w:hAnsi="方正仿宋_GBK" w:eastAsia="方正仿宋_GBK" w:cs="方正仿宋_GBK"/>
          <w:sz w:val="30"/>
          <w:szCs w:val="30"/>
        </w:rPr>
        <w:t>33</w:t>
      </w:r>
      <w:bookmarkEnd w:id="27"/>
      <w:r>
        <w:rPr>
          <w:rFonts w:hint="eastAsia" w:ascii="方正仿宋_GBK" w:hAnsi="方正仿宋_GBK" w:eastAsia="方正仿宋_GBK" w:cs="方正仿宋_GBK"/>
          <w:sz w:val="30"/>
          <w:szCs w:val="30"/>
        </w:rPr>
        <w:fldChar w:fldCharType="end"/>
      </w:r>
    </w:p>
    <w:p>
      <w:pPr>
        <w:pStyle w:val="46"/>
        <w:widowControl w:val="0"/>
        <w:tabs>
          <w:tab w:val="right" w:leader="dot" w:pos="8845"/>
        </w:tabs>
        <w:snapToGrid w:val="0"/>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HYPERLINK \l _Toc1479732395_WPSOffice_Level2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第三节  推进城市绿化建设</w:t>
      </w:r>
      <w:r>
        <w:rPr>
          <w:rFonts w:hint="eastAsia" w:ascii="方正仿宋_GBK" w:hAnsi="方正仿宋_GBK" w:eastAsia="方正仿宋_GBK" w:cs="方正仿宋_GBK"/>
          <w:sz w:val="30"/>
          <w:szCs w:val="30"/>
        </w:rPr>
        <w:tab/>
      </w:r>
      <w:bookmarkStart w:id="28" w:name="_Toc1479732395_WPSOffice_Level2Page"/>
      <w:r>
        <w:rPr>
          <w:rFonts w:hint="eastAsia" w:ascii="方正仿宋_GBK" w:hAnsi="方正仿宋_GBK" w:eastAsia="方正仿宋_GBK" w:cs="方正仿宋_GBK"/>
          <w:sz w:val="30"/>
          <w:szCs w:val="30"/>
        </w:rPr>
        <w:t>35</w:t>
      </w:r>
      <w:bookmarkEnd w:id="28"/>
      <w:r>
        <w:rPr>
          <w:rFonts w:hint="eastAsia" w:ascii="方正仿宋_GBK" w:hAnsi="方正仿宋_GBK" w:eastAsia="方正仿宋_GBK" w:cs="方正仿宋_GBK"/>
          <w:sz w:val="30"/>
          <w:szCs w:val="30"/>
        </w:rPr>
        <w:fldChar w:fldCharType="end"/>
      </w:r>
    </w:p>
    <w:p>
      <w:pPr>
        <w:pStyle w:val="46"/>
        <w:widowControl w:val="0"/>
        <w:tabs>
          <w:tab w:val="right" w:leader="dot" w:pos="8845"/>
        </w:tabs>
        <w:snapToGrid w:val="0"/>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HYPERLINK \l _Toc1038198286_WPSOffice_Level2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第四节  提升城市绿化品质</w:t>
      </w:r>
      <w:r>
        <w:rPr>
          <w:rFonts w:hint="eastAsia" w:ascii="方正仿宋_GBK" w:hAnsi="方正仿宋_GBK" w:eastAsia="方正仿宋_GBK" w:cs="方正仿宋_GBK"/>
          <w:sz w:val="30"/>
          <w:szCs w:val="30"/>
        </w:rPr>
        <w:tab/>
      </w:r>
      <w:bookmarkStart w:id="29" w:name="_Toc1038198286_WPSOffice_Level2Page"/>
      <w:r>
        <w:rPr>
          <w:rFonts w:hint="eastAsia" w:ascii="方正仿宋_GBK" w:hAnsi="方正仿宋_GBK" w:eastAsia="方正仿宋_GBK" w:cs="方正仿宋_GBK"/>
          <w:sz w:val="30"/>
          <w:szCs w:val="30"/>
        </w:rPr>
        <w:t>38</w:t>
      </w:r>
      <w:bookmarkEnd w:id="29"/>
      <w:r>
        <w:rPr>
          <w:rFonts w:hint="eastAsia" w:ascii="方正仿宋_GBK" w:hAnsi="方正仿宋_GBK" w:eastAsia="方正仿宋_GBK" w:cs="方正仿宋_GBK"/>
          <w:sz w:val="30"/>
          <w:szCs w:val="30"/>
        </w:rPr>
        <w:fldChar w:fldCharType="end"/>
      </w:r>
    </w:p>
    <w:p>
      <w:pPr>
        <w:pStyle w:val="46"/>
        <w:widowControl w:val="0"/>
        <w:tabs>
          <w:tab w:val="right" w:leader="dot" w:pos="8845"/>
        </w:tabs>
        <w:snapToGrid w:val="0"/>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HYPERLINK \l _Toc1111380174_WPSOffice_Level2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第五节  加强城市古树名木保护</w:t>
      </w:r>
      <w:r>
        <w:rPr>
          <w:rFonts w:hint="eastAsia" w:ascii="方正仿宋_GBK" w:hAnsi="方正仿宋_GBK" w:eastAsia="方正仿宋_GBK" w:cs="方正仿宋_GBK"/>
          <w:sz w:val="30"/>
          <w:szCs w:val="30"/>
        </w:rPr>
        <w:tab/>
      </w:r>
      <w:bookmarkStart w:id="30" w:name="_Toc1111380174_WPSOffice_Level2Page"/>
      <w:r>
        <w:rPr>
          <w:rFonts w:hint="eastAsia" w:ascii="方正仿宋_GBK" w:hAnsi="方正仿宋_GBK" w:eastAsia="方正仿宋_GBK" w:cs="方正仿宋_GBK"/>
          <w:sz w:val="30"/>
          <w:szCs w:val="30"/>
        </w:rPr>
        <w:t>40</w:t>
      </w:r>
      <w:bookmarkEnd w:id="30"/>
      <w:r>
        <w:rPr>
          <w:rFonts w:hint="eastAsia" w:ascii="方正仿宋_GBK" w:hAnsi="方正仿宋_GBK" w:eastAsia="方正仿宋_GBK" w:cs="方正仿宋_GBK"/>
          <w:sz w:val="30"/>
          <w:szCs w:val="30"/>
        </w:rPr>
        <w:fldChar w:fldCharType="end"/>
      </w:r>
    </w:p>
    <w:p>
      <w:pPr>
        <w:pStyle w:val="45"/>
        <w:widowControl w:val="0"/>
        <w:tabs>
          <w:tab w:val="right" w:leader="dot" w:pos="8845"/>
        </w:tabs>
        <w:snapToGrid w:val="0"/>
        <w:rPr>
          <w:rFonts w:hint="eastAsia" w:ascii="方正仿宋_GBK" w:hAnsi="方正仿宋_GBK" w:eastAsia="方正仿宋_GBK" w:cs="方正仿宋_GBK"/>
          <w:sz w:val="30"/>
          <w:szCs w:val="30"/>
        </w:rPr>
      </w:pPr>
      <w:r>
        <w:rPr>
          <w:rFonts w:hint="eastAsia" w:ascii="方正仿宋_GBK" w:hAnsi="方正仿宋_GBK" w:eastAsia="方正仿宋_GBK" w:cs="方正仿宋_GBK"/>
          <w:b/>
          <w:bCs/>
          <w:sz w:val="30"/>
          <w:szCs w:val="30"/>
        </w:rPr>
        <w:fldChar w:fldCharType="begin"/>
      </w:r>
      <w:r>
        <w:rPr>
          <w:rFonts w:hint="eastAsia" w:ascii="方正仿宋_GBK" w:hAnsi="方正仿宋_GBK" w:eastAsia="方正仿宋_GBK" w:cs="方正仿宋_GBK"/>
          <w:sz w:val="30"/>
          <w:szCs w:val="30"/>
        </w:rPr>
        <w:instrText xml:space="preserve"> HYPERLINK \l _Toc79370046_WPSOffice_Level1 </w:instrText>
      </w:r>
      <w:r>
        <w:rPr>
          <w:rFonts w:hint="eastAsia" w:ascii="方正仿宋_GBK" w:hAnsi="方正仿宋_GBK" w:eastAsia="方正仿宋_GBK" w:cs="方正仿宋_GBK"/>
          <w:b/>
          <w:bCs/>
          <w:sz w:val="30"/>
          <w:szCs w:val="30"/>
        </w:rPr>
        <w:fldChar w:fldCharType="separate"/>
      </w:r>
      <w:r>
        <w:rPr>
          <w:rFonts w:hint="eastAsia" w:ascii="方正仿宋_GBK" w:hAnsi="方正仿宋_GBK" w:eastAsia="方正仿宋_GBK" w:cs="方正仿宋_GBK"/>
          <w:b/>
          <w:bCs/>
          <w:sz w:val="30"/>
          <w:szCs w:val="30"/>
        </w:rPr>
        <w:t>第六章  提升城市智慧维度，运用科技为城市管理赋能</w:t>
      </w:r>
      <w:r>
        <w:rPr>
          <w:rFonts w:hint="eastAsia" w:ascii="方正仿宋_GBK" w:hAnsi="方正仿宋_GBK" w:eastAsia="方正仿宋_GBK" w:cs="方正仿宋_GBK"/>
          <w:b/>
          <w:bCs/>
          <w:sz w:val="30"/>
          <w:szCs w:val="30"/>
        </w:rPr>
        <w:tab/>
      </w:r>
      <w:bookmarkStart w:id="31" w:name="_Toc79370046_WPSOffice_Level1Page"/>
      <w:r>
        <w:rPr>
          <w:rFonts w:hint="eastAsia" w:ascii="方正仿宋_GBK" w:hAnsi="方正仿宋_GBK" w:eastAsia="方正仿宋_GBK" w:cs="方正仿宋_GBK"/>
          <w:b/>
          <w:bCs/>
          <w:sz w:val="30"/>
          <w:szCs w:val="30"/>
        </w:rPr>
        <w:t>40</w:t>
      </w:r>
      <w:bookmarkEnd w:id="31"/>
      <w:r>
        <w:rPr>
          <w:rFonts w:hint="eastAsia" w:ascii="方正仿宋_GBK" w:hAnsi="方正仿宋_GBK" w:eastAsia="方正仿宋_GBK" w:cs="方正仿宋_GBK"/>
          <w:b/>
          <w:bCs/>
          <w:sz w:val="30"/>
          <w:szCs w:val="30"/>
        </w:rPr>
        <w:fldChar w:fldCharType="end"/>
      </w:r>
    </w:p>
    <w:p>
      <w:pPr>
        <w:pStyle w:val="46"/>
        <w:widowControl w:val="0"/>
        <w:tabs>
          <w:tab w:val="right" w:leader="dot" w:pos="8845"/>
        </w:tabs>
        <w:snapToGrid w:val="0"/>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HYPERLINK \l _Toc858869213_WPSOffice_Level2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第一节  推进城市综合治理“一网统管”</w:t>
      </w:r>
      <w:r>
        <w:rPr>
          <w:rFonts w:hint="eastAsia" w:ascii="方正仿宋_GBK" w:hAnsi="方正仿宋_GBK" w:eastAsia="方正仿宋_GBK" w:cs="方正仿宋_GBK"/>
          <w:sz w:val="30"/>
          <w:szCs w:val="30"/>
        </w:rPr>
        <w:tab/>
      </w:r>
      <w:bookmarkStart w:id="32" w:name="_Toc858869213_WPSOffice_Level2Page"/>
      <w:r>
        <w:rPr>
          <w:rFonts w:hint="eastAsia" w:ascii="方正仿宋_GBK" w:hAnsi="方正仿宋_GBK" w:eastAsia="方正仿宋_GBK" w:cs="方正仿宋_GBK"/>
          <w:sz w:val="30"/>
          <w:szCs w:val="30"/>
        </w:rPr>
        <w:t>40</w:t>
      </w:r>
      <w:bookmarkEnd w:id="32"/>
      <w:r>
        <w:rPr>
          <w:rFonts w:hint="eastAsia" w:ascii="方正仿宋_GBK" w:hAnsi="方正仿宋_GBK" w:eastAsia="方正仿宋_GBK" w:cs="方正仿宋_GBK"/>
          <w:sz w:val="30"/>
          <w:szCs w:val="30"/>
        </w:rPr>
        <w:fldChar w:fldCharType="end"/>
      </w:r>
    </w:p>
    <w:p>
      <w:pPr>
        <w:pStyle w:val="46"/>
        <w:widowControl w:val="0"/>
        <w:tabs>
          <w:tab w:val="right" w:leader="dot" w:pos="8845"/>
        </w:tabs>
        <w:snapToGrid w:val="0"/>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HYPERLINK \l _Toc788221934_WPSOffice_Level2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第二节  推进城市运行态势“一屏通览”</w:t>
      </w:r>
      <w:r>
        <w:rPr>
          <w:rFonts w:hint="eastAsia" w:ascii="方正仿宋_GBK" w:hAnsi="方正仿宋_GBK" w:eastAsia="方正仿宋_GBK" w:cs="方正仿宋_GBK"/>
          <w:sz w:val="30"/>
          <w:szCs w:val="30"/>
        </w:rPr>
        <w:tab/>
      </w:r>
      <w:bookmarkStart w:id="33" w:name="_Toc788221934_WPSOffice_Level2Page"/>
      <w:r>
        <w:rPr>
          <w:rFonts w:hint="eastAsia" w:ascii="方正仿宋_GBK" w:hAnsi="方正仿宋_GBK" w:eastAsia="方正仿宋_GBK" w:cs="方正仿宋_GBK"/>
          <w:sz w:val="30"/>
          <w:szCs w:val="30"/>
        </w:rPr>
        <w:t>41</w:t>
      </w:r>
      <w:bookmarkEnd w:id="33"/>
      <w:r>
        <w:rPr>
          <w:rFonts w:hint="eastAsia" w:ascii="方正仿宋_GBK" w:hAnsi="方正仿宋_GBK" w:eastAsia="方正仿宋_GBK" w:cs="方正仿宋_GBK"/>
          <w:sz w:val="30"/>
          <w:szCs w:val="30"/>
        </w:rPr>
        <w:fldChar w:fldCharType="end"/>
      </w:r>
    </w:p>
    <w:p>
      <w:pPr>
        <w:pStyle w:val="46"/>
        <w:widowControl w:val="0"/>
        <w:tabs>
          <w:tab w:val="right" w:leader="dot" w:pos="8845"/>
        </w:tabs>
        <w:snapToGrid w:val="0"/>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HYPERLINK \l _Toc1900144964_WPSOffice_Level2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第三节  推进融合智慧调度“一键联动”</w:t>
      </w:r>
      <w:r>
        <w:rPr>
          <w:rFonts w:hint="eastAsia" w:ascii="方正仿宋_GBK" w:hAnsi="方正仿宋_GBK" w:eastAsia="方正仿宋_GBK" w:cs="方正仿宋_GBK"/>
          <w:sz w:val="30"/>
          <w:szCs w:val="30"/>
        </w:rPr>
        <w:tab/>
      </w:r>
      <w:bookmarkStart w:id="34" w:name="_Toc1900144964_WPSOffice_Level2Page"/>
      <w:r>
        <w:rPr>
          <w:rFonts w:hint="eastAsia" w:ascii="方正仿宋_GBK" w:hAnsi="方正仿宋_GBK" w:eastAsia="方正仿宋_GBK" w:cs="方正仿宋_GBK"/>
          <w:sz w:val="30"/>
          <w:szCs w:val="30"/>
        </w:rPr>
        <w:t>41</w:t>
      </w:r>
      <w:bookmarkEnd w:id="34"/>
      <w:r>
        <w:rPr>
          <w:rFonts w:hint="eastAsia" w:ascii="方正仿宋_GBK" w:hAnsi="方正仿宋_GBK" w:eastAsia="方正仿宋_GBK" w:cs="方正仿宋_GBK"/>
          <w:sz w:val="30"/>
          <w:szCs w:val="30"/>
        </w:rPr>
        <w:fldChar w:fldCharType="end"/>
      </w:r>
    </w:p>
    <w:p>
      <w:pPr>
        <w:pStyle w:val="46"/>
        <w:widowControl w:val="0"/>
        <w:tabs>
          <w:tab w:val="right" w:leader="dot" w:pos="8845"/>
        </w:tabs>
        <w:snapToGrid w:val="0"/>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HYPERLINK \l _Toc968041294_WPSOffice_Level2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第四节  推进便民惠民利民“一端服务”</w:t>
      </w:r>
      <w:r>
        <w:rPr>
          <w:rFonts w:hint="eastAsia" w:ascii="方正仿宋_GBK" w:hAnsi="方正仿宋_GBK" w:eastAsia="方正仿宋_GBK" w:cs="方正仿宋_GBK"/>
          <w:sz w:val="30"/>
          <w:szCs w:val="30"/>
        </w:rPr>
        <w:tab/>
      </w:r>
      <w:bookmarkStart w:id="35" w:name="_Toc968041294_WPSOffice_Level2Page"/>
      <w:r>
        <w:rPr>
          <w:rFonts w:hint="eastAsia" w:ascii="方正仿宋_GBK" w:hAnsi="方正仿宋_GBK" w:eastAsia="方正仿宋_GBK" w:cs="方正仿宋_GBK"/>
          <w:sz w:val="30"/>
          <w:szCs w:val="30"/>
        </w:rPr>
        <w:t>42</w:t>
      </w:r>
      <w:bookmarkEnd w:id="35"/>
      <w:r>
        <w:rPr>
          <w:rFonts w:hint="eastAsia" w:ascii="方正仿宋_GBK" w:hAnsi="方正仿宋_GBK" w:eastAsia="方正仿宋_GBK" w:cs="方正仿宋_GBK"/>
          <w:sz w:val="30"/>
          <w:szCs w:val="30"/>
        </w:rPr>
        <w:fldChar w:fldCharType="end"/>
      </w:r>
    </w:p>
    <w:p>
      <w:pPr>
        <w:pStyle w:val="46"/>
        <w:widowControl w:val="0"/>
        <w:tabs>
          <w:tab w:val="right" w:leader="dot" w:pos="8845"/>
        </w:tabs>
        <w:snapToGrid w:val="0"/>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HYPERLINK \l _Toc1284515421_WPSOffice_Level2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第五节  推进智慧城管物联感知设备建设</w:t>
      </w:r>
      <w:r>
        <w:rPr>
          <w:rFonts w:hint="eastAsia" w:ascii="方正仿宋_GBK" w:hAnsi="方正仿宋_GBK" w:eastAsia="方正仿宋_GBK" w:cs="方正仿宋_GBK"/>
          <w:sz w:val="30"/>
          <w:szCs w:val="30"/>
        </w:rPr>
        <w:tab/>
      </w:r>
      <w:bookmarkStart w:id="36" w:name="_Toc1284515421_WPSOffice_Level2Page"/>
      <w:r>
        <w:rPr>
          <w:rFonts w:hint="eastAsia" w:ascii="方正仿宋_GBK" w:hAnsi="方正仿宋_GBK" w:eastAsia="方正仿宋_GBK" w:cs="方正仿宋_GBK"/>
          <w:sz w:val="30"/>
          <w:szCs w:val="30"/>
        </w:rPr>
        <w:t>42</w:t>
      </w:r>
      <w:bookmarkEnd w:id="36"/>
      <w:r>
        <w:rPr>
          <w:rFonts w:hint="eastAsia" w:ascii="方正仿宋_GBK" w:hAnsi="方正仿宋_GBK" w:eastAsia="方正仿宋_GBK" w:cs="方正仿宋_GBK"/>
          <w:sz w:val="30"/>
          <w:szCs w:val="30"/>
        </w:rPr>
        <w:fldChar w:fldCharType="end"/>
      </w:r>
    </w:p>
    <w:p>
      <w:pPr>
        <w:pStyle w:val="46"/>
        <w:widowControl w:val="0"/>
        <w:tabs>
          <w:tab w:val="right" w:leader="dot" w:pos="8845"/>
        </w:tabs>
        <w:snapToGrid w:val="0"/>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HYPERLINK \l _Toc1662052353_WPSOffice_Level2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第六节  争取纳入成渝地区双城经济圈智慧城管试点城市</w:t>
      </w:r>
      <w:r>
        <w:rPr>
          <w:rFonts w:hint="eastAsia" w:ascii="方正仿宋_GBK" w:hAnsi="方正仿宋_GBK" w:eastAsia="方正仿宋_GBK" w:cs="方正仿宋_GBK"/>
          <w:sz w:val="30"/>
          <w:szCs w:val="30"/>
        </w:rPr>
        <w:tab/>
      </w:r>
      <w:bookmarkStart w:id="37" w:name="_Toc1662052353_WPSOffice_Level2Page"/>
      <w:r>
        <w:rPr>
          <w:rFonts w:hint="eastAsia" w:ascii="方正仿宋_GBK" w:hAnsi="方正仿宋_GBK" w:eastAsia="方正仿宋_GBK" w:cs="方正仿宋_GBK"/>
          <w:sz w:val="30"/>
          <w:szCs w:val="30"/>
        </w:rPr>
        <w:t>42</w:t>
      </w:r>
      <w:bookmarkEnd w:id="37"/>
      <w:r>
        <w:rPr>
          <w:rFonts w:hint="eastAsia" w:ascii="方正仿宋_GBK" w:hAnsi="方正仿宋_GBK" w:eastAsia="方正仿宋_GBK" w:cs="方正仿宋_GBK"/>
          <w:sz w:val="30"/>
          <w:szCs w:val="30"/>
        </w:rPr>
        <w:fldChar w:fldCharType="end"/>
      </w:r>
    </w:p>
    <w:p>
      <w:pPr>
        <w:pStyle w:val="45"/>
        <w:widowControl w:val="0"/>
        <w:tabs>
          <w:tab w:val="right" w:leader="dot" w:pos="8845"/>
        </w:tabs>
        <w:snapToGrid w:val="0"/>
        <w:rPr>
          <w:rFonts w:hint="eastAsia" w:ascii="方正仿宋_GBK" w:hAnsi="方正仿宋_GBK" w:eastAsia="方正仿宋_GBK" w:cs="方正仿宋_GBK"/>
          <w:sz w:val="30"/>
          <w:szCs w:val="30"/>
        </w:rPr>
      </w:pPr>
      <w:r>
        <w:rPr>
          <w:rFonts w:hint="eastAsia" w:ascii="方正仿宋_GBK" w:hAnsi="方正仿宋_GBK" w:eastAsia="方正仿宋_GBK" w:cs="方正仿宋_GBK"/>
          <w:b/>
          <w:bCs/>
          <w:sz w:val="30"/>
          <w:szCs w:val="30"/>
        </w:rPr>
        <w:fldChar w:fldCharType="begin"/>
      </w:r>
      <w:r>
        <w:rPr>
          <w:rFonts w:hint="eastAsia" w:ascii="方正仿宋_GBK" w:hAnsi="方正仿宋_GBK" w:eastAsia="方正仿宋_GBK" w:cs="方正仿宋_GBK"/>
          <w:sz w:val="30"/>
          <w:szCs w:val="30"/>
        </w:rPr>
        <w:instrText xml:space="preserve"> HYPERLINK \l _Toc1015013953_WPSOffice_Level1 </w:instrText>
      </w:r>
      <w:r>
        <w:rPr>
          <w:rFonts w:hint="eastAsia" w:ascii="方正仿宋_GBK" w:hAnsi="方正仿宋_GBK" w:eastAsia="方正仿宋_GBK" w:cs="方正仿宋_GBK"/>
          <w:b/>
          <w:bCs/>
          <w:sz w:val="30"/>
          <w:szCs w:val="30"/>
        </w:rPr>
        <w:fldChar w:fldCharType="separate"/>
      </w:r>
      <w:r>
        <w:rPr>
          <w:rFonts w:hint="eastAsia" w:ascii="方正仿宋_GBK" w:hAnsi="方正仿宋_GBK" w:eastAsia="方正仿宋_GBK" w:cs="方正仿宋_GBK"/>
          <w:b/>
          <w:bCs/>
          <w:sz w:val="30"/>
          <w:szCs w:val="30"/>
        </w:rPr>
        <w:t>第七章  统筹发展</w:t>
      </w:r>
      <w:r>
        <w:rPr>
          <w:rFonts w:hint="eastAsia" w:ascii="方正仿宋_GBK" w:hAnsi="方正仿宋_GBK" w:eastAsia="方正仿宋_GBK" w:cs="方正仿宋_GBK"/>
          <w:b/>
          <w:bCs/>
          <w:sz w:val="30"/>
          <w:szCs w:val="30"/>
          <w:lang w:eastAsia="zh-CN"/>
        </w:rPr>
        <w:t>和</w:t>
      </w:r>
      <w:r>
        <w:rPr>
          <w:rFonts w:hint="eastAsia" w:ascii="方正仿宋_GBK" w:hAnsi="方正仿宋_GBK" w:eastAsia="方正仿宋_GBK" w:cs="方正仿宋_GBK"/>
          <w:b/>
          <w:bCs/>
          <w:sz w:val="30"/>
          <w:szCs w:val="30"/>
        </w:rPr>
        <w:t>安全，守住城市运行安全底线</w:t>
      </w:r>
      <w:r>
        <w:rPr>
          <w:rFonts w:hint="eastAsia" w:ascii="方正仿宋_GBK" w:hAnsi="方正仿宋_GBK" w:eastAsia="方正仿宋_GBK" w:cs="方正仿宋_GBK"/>
          <w:b/>
          <w:bCs/>
          <w:sz w:val="30"/>
          <w:szCs w:val="30"/>
        </w:rPr>
        <w:tab/>
      </w:r>
      <w:bookmarkStart w:id="38" w:name="_Toc1015013953_WPSOffice_Level1Page"/>
      <w:r>
        <w:rPr>
          <w:rFonts w:hint="eastAsia" w:ascii="方正仿宋_GBK" w:hAnsi="方正仿宋_GBK" w:eastAsia="方正仿宋_GBK" w:cs="方正仿宋_GBK"/>
          <w:b/>
          <w:bCs/>
          <w:sz w:val="30"/>
          <w:szCs w:val="30"/>
        </w:rPr>
        <w:t>43</w:t>
      </w:r>
      <w:bookmarkEnd w:id="38"/>
      <w:r>
        <w:rPr>
          <w:rFonts w:hint="eastAsia" w:ascii="方正仿宋_GBK" w:hAnsi="方正仿宋_GBK" w:eastAsia="方正仿宋_GBK" w:cs="方正仿宋_GBK"/>
          <w:b/>
          <w:bCs/>
          <w:sz w:val="30"/>
          <w:szCs w:val="30"/>
        </w:rPr>
        <w:fldChar w:fldCharType="end"/>
      </w:r>
    </w:p>
    <w:p>
      <w:pPr>
        <w:pStyle w:val="46"/>
        <w:widowControl w:val="0"/>
        <w:tabs>
          <w:tab w:val="right" w:leader="dot" w:pos="8845"/>
        </w:tabs>
        <w:snapToGrid w:val="0"/>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HYPERLINK \l _Toc119900369_WPSOffice_Level2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第一节  强化城市运行安全保障</w:t>
      </w:r>
      <w:r>
        <w:rPr>
          <w:rFonts w:hint="eastAsia" w:ascii="方正仿宋_GBK" w:hAnsi="方正仿宋_GBK" w:eastAsia="方正仿宋_GBK" w:cs="方正仿宋_GBK"/>
          <w:sz w:val="30"/>
          <w:szCs w:val="30"/>
        </w:rPr>
        <w:tab/>
      </w:r>
      <w:bookmarkStart w:id="39" w:name="_Toc119900369_WPSOffice_Level2Page"/>
      <w:r>
        <w:rPr>
          <w:rFonts w:hint="eastAsia" w:ascii="方正仿宋_GBK" w:hAnsi="方正仿宋_GBK" w:eastAsia="方正仿宋_GBK" w:cs="方正仿宋_GBK"/>
          <w:sz w:val="30"/>
          <w:szCs w:val="30"/>
        </w:rPr>
        <w:t>43</w:t>
      </w:r>
      <w:bookmarkEnd w:id="39"/>
      <w:r>
        <w:rPr>
          <w:rFonts w:hint="eastAsia" w:ascii="方正仿宋_GBK" w:hAnsi="方正仿宋_GBK" w:eastAsia="方正仿宋_GBK" w:cs="方正仿宋_GBK"/>
          <w:sz w:val="30"/>
          <w:szCs w:val="30"/>
        </w:rPr>
        <w:fldChar w:fldCharType="end"/>
      </w:r>
    </w:p>
    <w:p>
      <w:pPr>
        <w:pStyle w:val="46"/>
        <w:widowControl w:val="0"/>
        <w:tabs>
          <w:tab w:val="right" w:leader="dot" w:pos="8845"/>
        </w:tabs>
        <w:snapToGrid w:val="0"/>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HYPERLINK \l _Toc1467449088_WPSOffice_Level2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第二节  提升城市管理应急抢险救援能力</w:t>
      </w:r>
      <w:r>
        <w:rPr>
          <w:rFonts w:hint="eastAsia" w:ascii="方正仿宋_GBK" w:hAnsi="方正仿宋_GBK" w:eastAsia="方正仿宋_GBK" w:cs="方正仿宋_GBK"/>
          <w:sz w:val="30"/>
          <w:szCs w:val="30"/>
        </w:rPr>
        <w:tab/>
      </w:r>
      <w:bookmarkStart w:id="40" w:name="_Toc1467449088_WPSOffice_Level2Page"/>
      <w:r>
        <w:rPr>
          <w:rFonts w:hint="eastAsia" w:ascii="方正仿宋_GBK" w:hAnsi="方正仿宋_GBK" w:eastAsia="方正仿宋_GBK" w:cs="方正仿宋_GBK"/>
          <w:sz w:val="30"/>
          <w:szCs w:val="30"/>
        </w:rPr>
        <w:t>45</w:t>
      </w:r>
      <w:bookmarkEnd w:id="40"/>
      <w:r>
        <w:rPr>
          <w:rFonts w:hint="eastAsia" w:ascii="方正仿宋_GBK" w:hAnsi="方正仿宋_GBK" w:eastAsia="方正仿宋_GBK" w:cs="方正仿宋_GBK"/>
          <w:sz w:val="30"/>
          <w:szCs w:val="30"/>
        </w:rPr>
        <w:fldChar w:fldCharType="end"/>
      </w:r>
    </w:p>
    <w:p>
      <w:pPr>
        <w:pStyle w:val="46"/>
        <w:widowControl w:val="0"/>
        <w:tabs>
          <w:tab w:val="right" w:leader="dot" w:pos="8845"/>
        </w:tabs>
        <w:snapToGrid w:val="0"/>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HYPERLINK \l _Toc103947410_WPSOffice_Level2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第三节  防范化解城市管理领域社会稳定风险</w:t>
      </w:r>
      <w:r>
        <w:rPr>
          <w:rFonts w:hint="eastAsia" w:ascii="方正仿宋_GBK" w:hAnsi="方正仿宋_GBK" w:eastAsia="方正仿宋_GBK" w:cs="方正仿宋_GBK"/>
          <w:sz w:val="30"/>
          <w:szCs w:val="30"/>
        </w:rPr>
        <w:tab/>
      </w:r>
      <w:bookmarkStart w:id="41" w:name="_Toc103947410_WPSOffice_Level2Page"/>
      <w:r>
        <w:rPr>
          <w:rFonts w:hint="eastAsia" w:ascii="方正仿宋_GBK" w:hAnsi="方正仿宋_GBK" w:eastAsia="方正仿宋_GBK" w:cs="方正仿宋_GBK"/>
          <w:sz w:val="30"/>
          <w:szCs w:val="30"/>
        </w:rPr>
        <w:t>46</w:t>
      </w:r>
      <w:bookmarkEnd w:id="41"/>
      <w:r>
        <w:rPr>
          <w:rFonts w:hint="eastAsia" w:ascii="方正仿宋_GBK" w:hAnsi="方正仿宋_GBK" w:eastAsia="方正仿宋_GBK" w:cs="方正仿宋_GBK"/>
          <w:sz w:val="30"/>
          <w:szCs w:val="30"/>
        </w:rPr>
        <w:fldChar w:fldCharType="end"/>
      </w:r>
    </w:p>
    <w:p>
      <w:pPr>
        <w:pStyle w:val="45"/>
        <w:widowControl w:val="0"/>
        <w:tabs>
          <w:tab w:val="right" w:leader="dot" w:pos="8845"/>
        </w:tabs>
        <w:snapToGrid w:val="0"/>
        <w:rPr>
          <w:rFonts w:hint="eastAsia" w:ascii="方正仿宋_GBK" w:hAnsi="方正仿宋_GBK" w:eastAsia="方正仿宋_GBK" w:cs="方正仿宋_GBK"/>
          <w:sz w:val="30"/>
          <w:szCs w:val="30"/>
        </w:rPr>
      </w:pPr>
      <w:r>
        <w:rPr>
          <w:rFonts w:hint="eastAsia" w:ascii="方正仿宋_GBK" w:hAnsi="方正仿宋_GBK" w:eastAsia="方正仿宋_GBK" w:cs="方正仿宋_GBK"/>
          <w:b/>
          <w:bCs/>
          <w:sz w:val="30"/>
          <w:szCs w:val="30"/>
        </w:rPr>
        <w:fldChar w:fldCharType="begin"/>
      </w:r>
      <w:r>
        <w:rPr>
          <w:rFonts w:hint="eastAsia" w:ascii="方正仿宋_GBK" w:hAnsi="方正仿宋_GBK" w:eastAsia="方正仿宋_GBK" w:cs="方正仿宋_GBK"/>
          <w:sz w:val="30"/>
          <w:szCs w:val="30"/>
        </w:rPr>
        <w:instrText xml:space="preserve"> HYPERLINK \l _Toc1038751121_WPSOffice_Level1 </w:instrText>
      </w:r>
      <w:r>
        <w:rPr>
          <w:rFonts w:hint="eastAsia" w:ascii="方正仿宋_GBK" w:hAnsi="方正仿宋_GBK" w:eastAsia="方正仿宋_GBK" w:cs="方正仿宋_GBK"/>
          <w:b/>
          <w:bCs/>
          <w:sz w:val="30"/>
          <w:szCs w:val="30"/>
        </w:rPr>
        <w:fldChar w:fldCharType="separate"/>
      </w:r>
      <w:r>
        <w:rPr>
          <w:rFonts w:hint="eastAsia" w:ascii="方正仿宋_GBK" w:hAnsi="方正仿宋_GBK" w:eastAsia="方正仿宋_GBK" w:cs="方正仿宋_GBK"/>
          <w:b/>
          <w:bCs/>
          <w:sz w:val="30"/>
          <w:szCs w:val="30"/>
        </w:rPr>
        <w:t>第八章  创新城市治理模式，强化城市管理秩序与执法</w:t>
      </w:r>
      <w:r>
        <w:rPr>
          <w:rFonts w:hint="eastAsia" w:ascii="方正仿宋_GBK" w:hAnsi="方正仿宋_GBK" w:eastAsia="方正仿宋_GBK" w:cs="方正仿宋_GBK"/>
          <w:b/>
          <w:bCs/>
          <w:sz w:val="30"/>
          <w:szCs w:val="30"/>
        </w:rPr>
        <w:tab/>
      </w:r>
      <w:bookmarkStart w:id="42" w:name="_Toc1038751121_WPSOffice_Level1Page"/>
      <w:r>
        <w:rPr>
          <w:rFonts w:hint="eastAsia" w:ascii="方正仿宋_GBK" w:hAnsi="方正仿宋_GBK" w:eastAsia="方正仿宋_GBK" w:cs="方正仿宋_GBK"/>
          <w:b/>
          <w:bCs/>
          <w:sz w:val="30"/>
          <w:szCs w:val="30"/>
        </w:rPr>
        <w:t>47</w:t>
      </w:r>
      <w:bookmarkEnd w:id="42"/>
      <w:r>
        <w:rPr>
          <w:rFonts w:hint="eastAsia" w:ascii="方正仿宋_GBK" w:hAnsi="方正仿宋_GBK" w:eastAsia="方正仿宋_GBK" w:cs="方正仿宋_GBK"/>
          <w:b/>
          <w:bCs/>
          <w:sz w:val="30"/>
          <w:szCs w:val="30"/>
        </w:rPr>
        <w:fldChar w:fldCharType="end"/>
      </w:r>
    </w:p>
    <w:p>
      <w:pPr>
        <w:pStyle w:val="46"/>
        <w:widowControl w:val="0"/>
        <w:tabs>
          <w:tab w:val="right" w:leader="dot" w:pos="8845"/>
        </w:tabs>
        <w:snapToGrid w:val="0"/>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HYPERLINK \l _Toc678212985_WPSOffice_Level2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第一节  健全城市管理体制机制</w:t>
      </w:r>
      <w:r>
        <w:rPr>
          <w:rFonts w:hint="eastAsia" w:ascii="方正仿宋_GBK" w:hAnsi="方正仿宋_GBK" w:eastAsia="方正仿宋_GBK" w:cs="方正仿宋_GBK"/>
          <w:sz w:val="30"/>
          <w:szCs w:val="30"/>
        </w:rPr>
        <w:tab/>
      </w:r>
      <w:bookmarkStart w:id="43" w:name="_Toc678212985_WPSOffice_Level2Page"/>
      <w:r>
        <w:rPr>
          <w:rFonts w:hint="eastAsia" w:ascii="方正仿宋_GBK" w:hAnsi="方正仿宋_GBK" w:eastAsia="方正仿宋_GBK" w:cs="方正仿宋_GBK"/>
          <w:sz w:val="30"/>
          <w:szCs w:val="30"/>
        </w:rPr>
        <w:t>47</w:t>
      </w:r>
      <w:bookmarkEnd w:id="43"/>
      <w:r>
        <w:rPr>
          <w:rFonts w:hint="eastAsia" w:ascii="方正仿宋_GBK" w:hAnsi="方正仿宋_GBK" w:eastAsia="方正仿宋_GBK" w:cs="方正仿宋_GBK"/>
          <w:sz w:val="30"/>
          <w:szCs w:val="30"/>
        </w:rPr>
        <w:fldChar w:fldCharType="end"/>
      </w:r>
    </w:p>
    <w:p>
      <w:pPr>
        <w:pStyle w:val="46"/>
        <w:widowControl w:val="0"/>
        <w:tabs>
          <w:tab w:val="right" w:leader="dot" w:pos="8845"/>
        </w:tabs>
        <w:snapToGrid w:val="0"/>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HYPERLINK \l _Toc2032573087_WPSOffice_Level2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第二节  加强城管队伍能力建设</w:t>
      </w:r>
      <w:r>
        <w:rPr>
          <w:rFonts w:hint="eastAsia" w:ascii="方正仿宋_GBK" w:hAnsi="方正仿宋_GBK" w:eastAsia="方正仿宋_GBK" w:cs="方正仿宋_GBK"/>
          <w:sz w:val="30"/>
          <w:szCs w:val="30"/>
        </w:rPr>
        <w:tab/>
      </w:r>
      <w:bookmarkStart w:id="44" w:name="_Toc2032573087_WPSOffice_Level2Page"/>
      <w:r>
        <w:rPr>
          <w:rFonts w:hint="eastAsia" w:ascii="方正仿宋_GBK" w:hAnsi="方正仿宋_GBK" w:eastAsia="方正仿宋_GBK" w:cs="方正仿宋_GBK"/>
          <w:sz w:val="30"/>
          <w:szCs w:val="30"/>
        </w:rPr>
        <w:t>48</w:t>
      </w:r>
      <w:bookmarkEnd w:id="44"/>
      <w:r>
        <w:rPr>
          <w:rFonts w:hint="eastAsia" w:ascii="方正仿宋_GBK" w:hAnsi="方正仿宋_GBK" w:eastAsia="方正仿宋_GBK" w:cs="方正仿宋_GBK"/>
          <w:sz w:val="30"/>
          <w:szCs w:val="30"/>
        </w:rPr>
        <w:fldChar w:fldCharType="end"/>
      </w:r>
    </w:p>
    <w:p>
      <w:pPr>
        <w:pStyle w:val="46"/>
        <w:widowControl w:val="0"/>
        <w:tabs>
          <w:tab w:val="right" w:leader="dot" w:pos="8845"/>
        </w:tabs>
        <w:snapToGrid w:val="0"/>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HYPERLINK \l _Toc774369131_WPSOffice_Level2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第三节  加强专业技术人才引进</w:t>
      </w:r>
      <w:r>
        <w:rPr>
          <w:rFonts w:hint="eastAsia" w:ascii="方正仿宋_GBK" w:hAnsi="方正仿宋_GBK" w:eastAsia="方正仿宋_GBK" w:cs="方正仿宋_GBK"/>
          <w:sz w:val="30"/>
          <w:szCs w:val="30"/>
        </w:rPr>
        <w:tab/>
      </w:r>
      <w:bookmarkStart w:id="45" w:name="_Toc774369131_WPSOffice_Level2Page"/>
      <w:r>
        <w:rPr>
          <w:rFonts w:hint="eastAsia" w:ascii="方正仿宋_GBK" w:hAnsi="方正仿宋_GBK" w:eastAsia="方正仿宋_GBK" w:cs="方正仿宋_GBK"/>
          <w:sz w:val="30"/>
          <w:szCs w:val="30"/>
        </w:rPr>
        <w:t>49</w:t>
      </w:r>
      <w:bookmarkEnd w:id="45"/>
      <w:r>
        <w:rPr>
          <w:rFonts w:hint="eastAsia" w:ascii="方正仿宋_GBK" w:hAnsi="方正仿宋_GBK" w:eastAsia="方正仿宋_GBK" w:cs="方正仿宋_GBK"/>
          <w:sz w:val="30"/>
          <w:szCs w:val="30"/>
        </w:rPr>
        <w:fldChar w:fldCharType="end"/>
      </w:r>
    </w:p>
    <w:p>
      <w:pPr>
        <w:pStyle w:val="46"/>
        <w:widowControl w:val="0"/>
        <w:tabs>
          <w:tab w:val="right" w:leader="dot" w:pos="8845"/>
        </w:tabs>
        <w:snapToGrid w:val="0"/>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HYPERLINK \l _Toc585306249_WPSOffice_Level2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第四节  强化城市执法管理秩序</w:t>
      </w:r>
      <w:r>
        <w:rPr>
          <w:rFonts w:hint="eastAsia" w:ascii="方正仿宋_GBK" w:hAnsi="方正仿宋_GBK" w:eastAsia="方正仿宋_GBK" w:cs="方正仿宋_GBK"/>
          <w:sz w:val="30"/>
          <w:szCs w:val="30"/>
        </w:rPr>
        <w:tab/>
      </w:r>
      <w:bookmarkStart w:id="46" w:name="_Toc585306249_WPSOffice_Level2Page"/>
      <w:r>
        <w:rPr>
          <w:rFonts w:hint="eastAsia" w:ascii="方正仿宋_GBK" w:hAnsi="方正仿宋_GBK" w:eastAsia="方正仿宋_GBK" w:cs="方正仿宋_GBK"/>
          <w:sz w:val="30"/>
          <w:szCs w:val="30"/>
        </w:rPr>
        <w:t>50</w:t>
      </w:r>
      <w:bookmarkEnd w:id="46"/>
      <w:r>
        <w:rPr>
          <w:rFonts w:hint="eastAsia" w:ascii="方正仿宋_GBK" w:hAnsi="方正仿宋_GBK" w:eastAsia="方正仿宋_GBK" w:cs="方正仿宋_GBK"/>
          <w:sz w:val="30"/>
          <w:szCs w:val="30"/>
        </w:rPr>
        <w:fldChar w:fldCharType="end"/>
      </w:r>
    </w:p>
    <w:p>
      <w:pPr>
        <w:pStyle w:val="46"/>
        <w:widowControl w:val="0"/>
        <w:tabs>
          <w:tab w:val="right" w:leader="dot" w:pos="8845"/>
        </w:tabs>
        <w:snapToGrid w:val="0"/>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HYPERLINK \l _Toc143516464_WPSOffice_Level2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第五节  加强城市管理普法</w:t>
      </w:r>
      <w:r>
        <w:rPr>
          <w:rFonts w:hint="eastAsia" w:ascii="方正仿宋_GBK" w:hAnsi="方正仿宋_GBK" w:eastAsia="方正仿宋_GBK" w:cs="方正仿宋_GBK"/>
          <w:sz w:val="30"/>
          <w:szCs w:val="30"/>
        </w:rPr>
        <w:tab/>
      </w:r>
      <w:bookmarkStart w:id="47" w:name="_Toc143516464_WPSOffice_Level2Page"/>
      <w:r>
        <w:rPr>
          <w:rFonts w:hint="eastAsia" w:ascii="方正仿宋_GBK" w:hAnsi="方正仿宋_GBK" w:eastAsia="方正仿宋_GBK" w:cs="方正仿宋_GBK"/>
          <w:sz w:val="30"/>
          <w:szCs w:val="30"/>
        </w:rPr>
        <w:t>51</w:t>
      </w:r>
      <w:bookmarkEnd w:id="47"/>
      <w:r>
        <w:rPr>
          <w:rFonts w:hint="eastAsia" w:ascii="方正仿宋_GBK" w:hAnsi="方正仿宋_GBK" w:eastAsia="方正仿宋_GBK" w:cs="方正仿宋_GBK"/>
          <w:sz w:val="30"/>
          <w:szCs w:val="30"/>
        </w:rPr>
        <w:fldChar w:fldCharType="end"/>
      </w:r>
    </w:p>
    <w:p>
      <w:pPr>
        <w:pStyle w:val="46"/>
        <w:widowControl w:val="0"/>
        <w:tabs>
          <w:tab w:val="right" w:leader="dot" w:pos="8845"/>
        </w:tabs>
        <w:snapToGrid w:val="0"/>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HYPERLINK \l _Toc176276962_WPSOffice_Level2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第六节  探索跨区域合作机制</w:t>
      </w:r>
      <w:r>
        <w:rPr>
          <w:rFonts w:hint="eastAsia" w:ascii="方正仿宋_GBK" w:hAnsi="方正仿宋_GBK" w:eastAsia="方正仿宋_GBK" w:cs="方正仿宋_GBK"/>
          <w:sz w:val="30"/>
          <w:szCs w:val="30"/>
        </w:rPr>
        <w:tab/>
      </w:r>
      <w:bookmarkStart w:id="48" w:name="_Toc176276962_WPSOffice_Level2Page"/>
      <w:r>
        <w:rPr>
          <w:rFonts w:hint="eastAsia" w:ascii="方正仿宋_GBK" w:hAnsi="方正仿宋_GBK" w:eastAsia="方正仿宋_GBK" w:cs="方正仿宋_GBK"/>
          <w:sz w:val="30"/>
          <w:szCs w:val="30"/>
        </w:rPr>
        <w:t>52</w:t>
      </w:r>
      <w:bookmarkEnd w:id="48"/>
      <w:r>
        <w:rPr>
          <w:rFonts w:hint="eastAsia" w:ascii="方正仿宋_GBK" w:hAnsi="方正仿宋_GBK" w:eastAsia="方正仿宋_GBK" w:cs="方正仿宋_GBK"/>
          <w:sz w:val="30"/>
          <w:szCs w:val="30"/>
        </w:rPr>
        <w:fldChar w:fldCharType="end"/>
      </w:r>
    </w:p>
    <w:p>
      <w:pPr>
        <w:pStyle w:val="45"/>
        <w:widowControl w:val="0"/>
        <w:tabs>
          <w:tab w:val="right" w:leader="dot" w:pos="8845"/>
        </w:tabs>
        <w:snapToGrid w:val="0"/>
        <w:rPr>
          <w:rFonts w:hint="eastAsia" w:ascii="方正仿宋_GBK" w:hAnsi="方正仿宋_GBK" w:eastAsia="方正仿宋_GBK" w:cs="方正仿宋_GBK"/>
          <w:sz w:val="30"/>
          <w:szCs w:val="30"/>
        </w:rPr>
      </w:pPr>
      <w:r>
        <w:rPr>
          <w:rFonts w:hint="eastAsia" w:ascii="方正仿宋_GBK" w:hAnsi="方正仿宋_GBK" w:eastAsia="方正仿宋_GBK" w:cs="方正仿宋_GBK"/>
          <w:b/>
          <w:bCs/>
          <w:sz w:val="30"/>
          <w:szCs w:val="30"/>
        </w:rPr>
        <w:fldChar w:fldCharType="begin"/>
      </w:r>
      <w:r>
        <w:rPr>
          <w:rFonts w:hint="eastAsia" w:ascii="方正仿宋_GBK" w:hAnsi="方正仿宋_GBK" w:eastAsia="方正仿宋_GBK" w:cs="方正仿宋_GBK"/>
          <w:sz w:val="30"/>
          <w:szCs w:val="30"/>
        </w:rPr>
        <w:instrText xml:space="preserve"> HYPERLINK \l _Toc200855966_WPSOffice_Level1 </w:instrText>
      </w:r>
      <w:r>
        <w:rPr>
          <w:rFonts w:hint="eastAsia" w:ascii="方正仿宋_GBK" w:hAnsi="方正仿宋_GBK" w:eastAsia="方正仿宋_GBK" w:cs="方正仿宋_GBK"/>
          <w:b/>
          <w:bCs/>
          <w:sz w:val="30"/>
          <w:szCs w:val="30"/>
        </w:rPr>
        <w:fldChar w:fldCharType="separate"/>
      </w:r>
      <w:r>
        <w:rPr>
          <w:rFonts w:hint="eastAsia" w:ascii="方正仿宋_GBK" w:hAnsi="方正仿宋_GBK" w:eastAsia="方正仿宋_GBK" w:cs="方正仿宋_GBK"/>
          <w:b/>
          <w:bCs/>
          <w:sz w:val="30"/>
          <w:szCs w:val="30"/>
        </w:rPr>
        <w:t>第九章 保障措施</w:t>
      </w:r>
      <w:r>
        <w:rPr>
          <w:rFonts w:hint="eastAsia" w:ascii="方正仿宋_GBK" w:hAnsi="方正仿宋_GBK" w:eastAsia="方正仿宋_GBK" w:cs="方正仿宋_GBK"/>
          <w:b/>
          <w:bCs/>
          <w:sz w:val="30"/>
          <w:szCs w:val="30"/>
        </w:rPr>
        <w:tab/>
      </w:r>
      <w:bookmarkStart w:id="49" w:name="_Toc200855966_WPSOffice_Level1Page"/>
      <w:r>
        <w:rPr>
          <w:rFonts w:hint="eastAsia" w:ascii="方正仿宋_GBK" w:hAnsi="方正仿宋_GBK" w:eastAsia="方正仿宋_GBK" w:cs="方正仿宋_GBK"/>
          <w:b/>
          <w:bCs/>
          <w:sz w:val="30"/>
          <w:szCs w:val="30"/>
        </w:rPr>
        <w:t>53</w:t>
      </w:r>
      <w:bookmarkEnd w:id="49"/>
      <w:r>
        <w:rPr>
          <w:rFonts w:hint="eastAsia" w:ascii="方正仿宋_GBK" w:hAnsi="方正仿宋_GBK" w:eastAsia="方正仿宋_GBK" w:cs="方正仿宋_GBK"/>
          <w:b/>
          <w:bCs/>
          <w:sz w:val="30"/>
          <w:szCs w:val="30"/>
        </w:rPr>
        <w:fldChar w:fldCharType="end"/>
      </w:r>
    </w:p>
    <w:p>
      <w:pPr>
        <w:pStyle w:val="46"/>
        <w:widowControl w:val="0"/>
        <w:tabs>
          <w:tab w:val="right" w:leader="dot" w:pos="8845"/>
        </w:tabs>
        <w:snapToGrid w:val="0"/>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HYPERLINK \l _Toc312624839_WPSOffice_Level2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第一节  规划保障</w:t>
      </w:r>
      <w:r>
        <w:rPr>
          <w:rFonts w:hint="eastAsia" w:ascii="方正仿宋_GBK" w:hAnsi="方正仿宋_GBK" w:eastAsia="方正仿宋_GBK" w:cs="方正仿宋_GBK"/>
          <w:sz w:val="30"/>
          <w:szCs w:val="30"/>
        </w:rPr>
        <w:tab/>
      </w:r>
      <w:bookmarkStart w:id="50" w:name="_Toc312624839_WPSOffice_Level2Page"/>
      <w:r>
        <w:rPr>
          <w:rFonts w:hint="eastAsia" w:ascii="方正仿宋_GBK" w:hAnsi="方正仿宋_GBK" w:eastAsia="方正仿宋_GBK" w:cs="方正仿宋_GBK"/>
          <w:sz w:val="30"/>
          <w:szCs w:val="30"/>
        </w:rPr>
        <w:t>53</w:t>
      </w:r>
      <w:bookmarkEnd w:id="50"/>
      <w:r>
        <w:rPr>
          <w:rFonts w:hint="eastAsia" w:ascii="方正仿宋_GBK" w:hAnsi="方正仿宋_GBK" w:eastAsia="方正仿宋_GBK" w:cs="方正仿宋_GBK"/>
          <w:sz w:val="30"/>
          <w:szCs w:val="30"/>
        </w:rPr>
        <w:fldChar w:fldCharType="end"/>
      </w:r>
    </w:p>
    <w:p>
      <w:pPr>
        <w:pStyle w:val="46"/>
        <w:widowControl w:val="0"/>
        <w:tabs>
          <w:tab w:val="right" w:leader="dot" w:pos="8845"/>
        </w:tabs>
        <w:snapToGrid w:val="0"/>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HYPERLINK \l _Toc431136010_WPSOffice_Level2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第二节  装备保障</w:t>
      </w:r>
      <w:r>
        <w:rPr>
          <w:rFonts w:hint="eastAsia" w:ascii="方正仿宋_GBK" w:hAnsi="方正仿宋_GBK" w:eastAsia="方正仿宋_GBK" w:cs="方正仿宋_GBK"/>
          <w:sz w:val="30"/>
          <w:szCs w:val="30"/>
        </w:rPr>
        <w:tab/>
      </w:r>
      <w:bookmarkStart w:id="51" w:name="_Toc431136010_WPSOffice_Level2Page"/>
      <w:r>
        <w:rPr>
          <w:rFonts w:hint="eastAsia" w:ascii="方正仿宋_GBK" w:hAnsi="方正仿宋_GBK" w:eastAsia="方正仿宋_GBK" w:cs="方正仿宋_GBK"/>
          <w:sz w:val="30"/>
          <w:szCs w:val="30"/>
        </w:rPr>
        <w:t>53</w:t>
      </w:r>
      <w:bookmarkEnd w:id="51"/>
      <w:r>
        <w:rPr>
          <w:rFonts w:hint="eastAsia" w:ascii="方正仿宋_GBK" w:hAnsi="方正仿宋_GBK" w:eastAsia="方正仿宋_GBK" w:cs="方正仿宋_GBK"/>
          <w:sz w:val="30"/>
          <w:szCs w:val="30"/>
        </w:rPr>
        <w:fldChar w:fldCharType="end"/>
      </w:r>
    </w:p>
    <w:p>
      <w:pPr>
        <w:pStyle w:val="46"/>
        <w:widowControl w:val="0"/>
        <w:tabs>
          <w:tab w:val="right" w:leader="dot" w:pos="8845"/>
        </w:tabs>
        <w:snapToGrid w:val="0"/>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HYPERLINK \l _Toc475480459_WPSOffice_Level2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第三节  资金保障</w:t>
      </w:r>
      <w:r>
        <w:rPr>
          <w:rFonts w:hint="eastAsia" w:ascii="方正仿宋_GBK" w:hAnsi="方正仿宋_GBK" w:eastAsia="方正仿宋_GBK" w:cs="方正仿宋_GBK"/>
          <w:sz w:val="30"/>
          <w:szCs w:val="30"/>
        </w:rPr>
        <w:tab/>
      </w:r>
      <w:bookmarkStart w:id="52" w:name="_Toc475480459_WPSOffice_Level2Page"/>
      <w:r>
        <w:rPr>
          <w:rFonts w:hint="eastAsia" w:ascii="方正仿宋_GBK" w:hAnsi="方正仿宋_GBK" w:eastAsia="方正仿宋_GBK" w:cs="方正仿宋_GBK"/>
          <w:sz w:val="30"/>
          <w:szCs w:val="30"/>
        </w:rPr>
        <w:t>54</w:t>
      </w:r>
      <w:bookmarkEnd w:id="52"/>
      <w:r>
        <w:rPr>
          <w:rFonts w:hint="eastAsia" w:ascii="方正仿宋_GBK" w:hAnsi="方正仿宋_GBK" w:eastAsia="方正仿宋_GBK" w:cs="方正仿宋_GBK"/>
          <w:sz w:val="30"/>
          <w:szCs w:val="30"/>
        </w:rPr>
        <w:fldChar w:fldCharType="end"/>
      </w:r>
    </w:p>
    <w:p>
      <w:pPr>
        <w:pStyle w:val="45"/>
        <w:widowControl w:val="0"/>
        <w:tabs>
          <w:tab w:val="right" w:leader="dot" w:pos="8845"/>
        </w:tabs>
        <w:snapToGrid w:val="0"/>
        <w:rPr>
          <w:rFonts w:hint="eastAsia" w:ascii="方正仿宋_GBK" w:hAnsi="方正仿宋_GBK" w:eastAsia="方正仿宋_GBK" w:cs="方正仿宋_GBK"/>
          <w:sz w:val="30"/>
          <w:szCs w:val="30"/>
        </w:rPr>
      </w:pPr>
      <w:r>
        <w:rPr>
          <w:rFonts w:hint="eastAsia" w:ascii="方正仿宋_GBK" w:hAnsi="方正仿宋_GBK" w:eastAsia="方正仿宋_GBK" w:cs="方正仿宋_GBK"/>
          <w:b/>
          <w:bCs/>
          <w:sz w:val="30"/>
          <w:szCs w:val="30"/>
        </w:rPr>
        <w:fldChar w:fldCharType="begin"/>
      </w:r>
      <w:r>
        <w:rPr>
          <w:rFonts w:hint="eastAsia" w:ascii="方正仿宋_GBK" w:hAnsi="方正仿宋_GBK" w:eastAsia="方正仿宋_GBK" w:cs="方正仿宋_GBK"/>
          <w:sz w:val="30"/>
          <w:szCs w:val="30"/>
        </w:rPr>
        <w:instrText xml:space="preserve"> HYPERLINK \l _Toc1592822158_WPSOffice_Level1 </w:instrText>
      </w:r>
      <w:r>
        <w:rPr>
          <w:rFonts w:hint="eastAsia" w:ascii="方正仿宋_GBK" w:hAnsi="方正仿宋_GBK" w:eastAsia="方正仿宋_GBK" w:cs="方正仿宋_GBK"/>
          <w:b/>
          <w:bCs/>
          <w:sz w:val="30"/>
          <w:szCs w:val="30"/>
        </w:rPr>
        <w:fldChar w:fldCharType="separate"/>
      </w:r>
      <w:r>
        <w:rPr>
          <w:rFonts w:hint="eastAsia" w:ascii="方正仿宋_GBK" w:hAnsi="方正仿宋_GBK" w:eastAsia="方正仿宋_GBK" w:cs="方正仿宋_GBK"/>
          <w:b/>
          <w:bCs/>
          <w:sz w:val="30"/>
          <w:szCs w:val="30"/>
        </w:rPr>
        <w:t>附件1：永川区城市管理行业发展“十四五”规划重点项目</w:t>
      </w:r>
      <w:r>
        <w:rPr>
          <w:rFonts w:hint="eastAsia" w:ascii="方正仿宋_GBK" w:hAnsi="方正仿宋_GBK" w:eastAsia="方正仿宋_GBK" w:cs="方正仿宋_GBK"/>
          <w:b/>
          <w:bCs/>
          <w:sz w:val="30"/>
          <w:szCs w:val="30"/>
        </w:rPr>
        <w:tab/>
      </w:r>
      <w:bookmarkStart w:id="53" w:name="_Toc1592822158_WPSOffice_Level1Page"/>
      <w:r>
        <w:rPr>
          <w:rFonts w:hint="eastAsia" w:ascii="方正仿宋_GBK" w:hAnsi="方正仿宋_GBK" w:eastAsia="方正仿宋_GBK" w:cs="方正仿宋_GBK"/>
          <w:b/>
          <w:bCs/>
          <w:sz w:val="30"/>
          <w:szCs w:val="30"/>
        </w:rPr>
        <w:t>55</w:t>
      </w:r>
      <w:bookmarkEnd w:id="53"/>
      <w:r>
        <w:rPr>
          <w:rFonts w:hint="eastAsia" w:ascii="方正仿宋_GBK" w:hAnsi="方正仿宋_GBK" w:eastAsia="方正仿宋_GBK" w:cs="方正仿宋_GBK"/>
          <w:b/>
          <w:bCs/>
          <w:sz w:val="30"/>
          <w:szCs w:val="30"/>
        </w:rPr>
        <w:fldChar w:fldCharType="end"/>
      </w:r>
    </w:p>
    <w:p>
      <w:pPr>
        <w:pStyle w:val="45"/>
        <w:tabs>
          <w:tab w:val="right" w:leader="dot" w:pos="8845"/>
        </w:tabs>
        <w:snapToGrid w:val="0"/>
        <w:rPr>
          <w:rFonts w:ascii="Times New Roman" w:hAnsi="Times New Roman" w:eastAsia="方正仿宋_GBK" w:cs="Times New Roman"/>
          <w:b w:val="0"/>
          <w:bCs w:val="0"/>
          <w:szCs w:val="32"/>
        </w:rPr>
      </w:pPr>
      <w:r>
        <w:rPr>
          <w:rFonts w:hint="eastAsia" w:ascii="方正仿宋_GBK" w:hAnsi="方正仿宋_GBK" w:eastAsia="方正仿宋_GBK" w:cs="方正仿宋_GBK"/>
          <w:b/>
          <w:bCs/>
          <w:sz w:val="30"/>
          <w:szCs w:val="30"/>
        </w:rPr>
        <w:fldChar w:fldCharType="begin"/>
      </w:r>
      <w:r>
        <w:rPr>
          <w:rFonts w:hint="eastAsia" w:ascii="方正仿宋_GBK" w:hAnsi="方正仿宋_GBK" w:eastAsia="方正仿宋_GBK" w:cs="方正仿宋_GBK"/>
          <w:sz w:val="30"/>
          <w:szCs w:val="30"/>
        </w:rPr>
        <w:instrText xml:space="preserve"> HYPERLINK \l _Toc965841597_WPSOffice_Level1 </w:instrText>
      </w:r>
      <w:r>
        <w:rPr>
          <w:rFonts w:hint="eastAsia" w:ascii="方正仿宋_GBK" w:hAnsi="方正仿宋_GBK" w:eastAsia="方正仿宋_GBK" w:cs="方正仿宋_GBK"/>
          <w:b/>
          <w:bCs/>
          <w:sz w:val="30"/>
          <w:szCs w:val="30"/>
        </w:rPr>
        <w:fldChar w:fldCharType="separate"/>
      </w:r>
      <w:r>
        <w:rPr>
          <w:rFonts w:hint="eastAsia" w:ascii="方正仿宋_GBK" w:hAnsi="方正仿宋_GBK" w:eastAsia="方正仿宋_GBK" w:cs="方正仿宋_GBK"/>
          <w:b/>
          <w:bCs/>
          <w:sz w:val="30"/>
          <w:szCs w:val="30"/>
        </w:rPr>
        <w:t>附件2：永川区城市管理行业发展“十四五”规划重点项目图件</w:t>
      </w:r>
      <w:r>
        <w:rPr>
          <w:rFonts w:hint="eastAsia" w:ascii="方正仿宋_GBK" w:hAnsi="方正仿宋_GBK" w:eastAsia="方正仿宋_GBK" w:cs="方正仿宋_GBK"/>
          <w:b/>
          <w:bCs/>
          <w:sz w:val="30"/>
          <w:szCs w:val="30"/>
        </w:rPr>
        <w:tab/>
      </w:r>
      <w:bookmarkStart w:id="54" w:name="_Toc965841597_WPSOffice_Level1Page"/>
      <w:r>
        <w:rPr>
          <w:rFonts w:hint="eastAsia" w:ascii="方正仿宋_GBK" w:hAnsi="方正仿宋_GBK" w:eastAsia="方正仿宋_GBK" w:cs="方正仿宋_GBK"/>
          <w:b/>
          <w:bCs/>
          <w:sz w:val="30"/>
          <w:szCs w:val="30"/>
        </w:rPr>
        <w:t>72</w:t>
      </w:r>
      <w:bookmarkEnd w:id="54"/>
      <w:r>
        <w:rPr>
          <w:rFonts w:hint="eastAsia" w:ascii="方正仿宋_GBK" w:hAnsi="方正仿宋_GBK" w:eastAsia="方正仿宋_GBK" w:cs="方正仿宋_GBK"/>
          <w:b/>
          <w:bCs/>
          <w:sz w:val="30"/>
          <w:szCs w:val="30"/>
        </w:rPr>
        <w:fldChar w:fldCharType="end"/>
      </w:r>
      <w:bookmarkEnd w:id="1"/>
    </w:p>
    <w:p>
      <w:pPr>
        <w:snapToGrid w:val="0"/>
        <w:spacing w:before="0" w:after="0" w:line="276" w:lineRule="auto"/>
        <w:ind w:firstLine="0" w:firstLineChars="0"/>
        <w:jc w:val="center"/>
        <w:rPr>
          <w:rFonts w:hint="eastAsia" w:ascii="方正小标宋_GBK" w:hAnsi="方正小标宋_GBK" w:eastAsia="方正小标宋_GBK" w:cs="方正小标宋_GBK"/>
          <w:b w:val="0"/>
          <w:bCs w:val="0"/>
          <w:sz w:val="32"/>
          <w:szCs w:val="32"/>
        </w:rPr>
      </w:pPr>
      <w:r>
        <w:rPr>
          <w:rFonts w:ascii="Times New Roman" w:hAnsi="Times New Roman" w:eastAsia="方正仿宋_GBK" w:cs="Times New Roman"/>
          <w:b w:val="0"/>
          <w:bCs w:val="0"/>
          <w:szCs w:val="32"/>
        </w:rPr>
        <w:br w:type="page"/>
      </w:r>
      <w:bookmarkStart w:id="55" w:name="_Toc477284995_WPSOffice_Level1"/>
      <w:bookmarkStart w:id="56" w:name="_Toc737336338_WPSOffice_Level1"/>
      <w:r>
        <w:rPr>
          <w:rFonts w:hint="eastAsia" w:ascii="方正小标宋_GBK" w:hAnsi="方正小标宋_GBK" w:eastAsia="方正小标宋_GBK" w:cs="方正小标宋_GBK"/>
          <w:b w:val="0"/>
          <w:bCs w:val="0"/>
          <w:sz w:val="32"/>
          <w:szCs w:val="32"/>
        </w:rPr>
        <w:t>第一章  全面开启城市管理事业新征程</w:t>
      </w:r>
      <w:bookmarkEnd w:id="55"/>
      <w:bookmarkEnd w:id="56"/>
    </w:p>
    <w:p>
      <w:pPr>
        <w:snapToGrid w:val="0"/>
        <w:spacing w:before="0" w:after="0" w:line="276" w:lineRule="auto"/>
        <w:ind w:firstLine="960" w:firstLineChars="300"/>
        <w:jc w:val="both"/>
        <w:rPr>
          <w:rFonts w:hint="default" w:ascii="方正仿宋_GBK" w:hAnsi="方正仿宋_GBK" w:eastAsia="方正仿宋_GBK" w:cs="方正仿宋_GBK"/>
          <w:b w:val="0"/>
          <w:bCs w:val="0"/>
        </w:rPr>
      </w:pPr>
      <w:bookmarkStart w:id="57" w:name="_Toc70450398"/>
      <w:bookmarkStart w:id="58" w:name="_Toc74151068"/>
      <w:bookmarkStart w:id="59" w:name="_Toc24895"/>
      <w:bookmarkStart w:id="60" w:name="_Toc25414"/>
    </w:p>
    <w:p>
      <w:pPr>
        <w:snapToGrid w:val="0"/>
        <w:spacing w:before="0" w:after="0" w:line="276" w:lineRule="auto"/>
        <w:ind w:firstLine="0" w:firstLineChars="0"/>
        <w:jc w:val="center"/>
        <w:rPr>
          <w:rFonts w:hint="eastAsia" w:ascii="方正黑体_GBK" w:hAnsi="方正黑体_GBK" w:eastAsia="方正黑体_GBK" w:cs="方正黑体_GBK"/>
          <w:b w:val="0"/>
          <w:bCs w:val="0"/>
        </w:rPr>
      </w:pPr>
      <w:bookmarkStart w:id="61" w:name="_Toc69125556_WPSOffice_Level2"/>
      <w:bookmarkStart w:id="62" w:name="_Toc1813773468_WPSOffice_Level2"/>
      <w:r>
        <w:rPr>
          <w:rFonts w:hint="eastAsia" w:ascii="方正黑体_GBK" w:hAnsi="方正黑体_GBK" w:eastAsia="方正黑体_GBK" w:cs="方正黑体_GBK"/>
          <w:b w:val="0"/>
          <w:bCs w:val="0"/>
        </w:rPr>
        <w:t>第一节  “十三五”期间</w:t>
      </w:r>
      <w:bookmarkEnd w:id="57"/>
      <w:bookmarkEnd w:id="58"/>
      <w:r>
        <w:rPr>
          <w:rFonts w:hint="eastAsia" w:ascii="方正黑体_GBK" w:hAnsi="方正黑体_GBK" w:eastAsia="方正黑体_GBK" w:cs="方正黑体_GBK"/>
          <w:b w:val="0"/>
          <w:bCs w:val="0"/>
        </w:rPr>
        <w:t>城市管理工作取得明显成效</w:t>
      </w:r>
      <w:bookmarkEnd w:id="59"/>
      <w:bookmarkEnd w:id="60"/>
      <w:bookmarkEnd w:id="61"/>
      <w:bookmarkEnd w:id="62"/>
    </w:p>
    <w:p>
      <w:pPr>
        <w:snapToGrid w:val="0"/>
        <w:spacing w:line="276" w:lineRule="auto"/>
        <w:ind w:firstLine="0"/>
        <w:rPr>
          <w:rFonts w:hint="eastAsia"/>
          <w:b w:val="0"/>
          <w:bCs w:val="0"/>
        </w:rPr>
      </w:pPr>
    </w:p>
    <w:p>
      <w:pPr>
        <w:snapToGrid w:val="0"/>
        <w:spacing w:line="276" w:lineRule="auto"/>
        <w:ind w:firstLine="0"/>
        <w:rPr>
          <w:b w:val="0"/>
          <w:bCs w:val="0"/>
        </w:rPr>
      </w:pPr>
      <w:r>
        <w:rPr>
          <w:rFonts w:hint="eastAsia"/>
          <w:b w:val="0"/>
          <w:bCs w:val="0"/>
        </w:rPr>
        <w:t>“十三五”期间，永川区城市管理工作在市委市政府、区委区政府的正确领导下，全面贯彻落实党的十九大精神，以习近平新时代中国特色社会主义思想为指导，大力提升城市管理水平，在城市综合管理体系、市容秩序、市政设施、环境卫生、城市照明、园林绿化、智慧城管等方面都取得了阶段性成效，城市管理工作任务完成情况总体较好。</w:t>
      </w:r>
    </w:p>
    <w:p>
      <w:pPr>
        <w:snapToGrid w:val="0"/>
        <w:spacing w:line="276" w:lineRule="auto"/>
        <w:ind w:firstLine="0"/>
        <w:rPr>
          <w:rFonts w:hint="eastAsia" w:ascii="方正仿宋_GBK" w:hAnsi="方正仿宋_GBK" w:cs="方正仿宋_GBK"/>
          <w:b w:val="0"/>
          <w:bCs w:val="0"/>
        </w:rPr>
      </w:pPr>
      <w:r>
        <w:rPr>
          <w:rFonts w:hint="default" w:ascii="方正仿宋_GBK" w:eastAsia="方正仿宋_GBK"/>
          <w:b w:val="0"/>
          <w:bCs w:val="0"/>
        </w:rPr>
        <w:t>城市综合管理体系不断优化。</w:t>
      </w:r>
      <w:r>
        <w:rPr>
          <w:rFonts w:hint="eastAsia" w:ascii="方正仿宋_GBK" w:hAnsi="方正仿宋_GBK" w:cs="方正仿宋_GBK"/>
          <w:b w:val="0"/>
          <w:bCs w:val="0"/>
        </w:rPr>
        <w:t>永川区严格按照中央、市委市政府关于城市管理执法体制改革的要求，完成了城市管理体制改革工作。依据属地管理、权责一致原则，向各街道、新城、凤凰湖园区派驻执法机构9个，镇城市管理执法工作采用委托执法方式，构建了“各负其责、齐抓共管”的城市综合管理体系。区城市管理局承接了原区水务局的城市供水和原区规划局的城市拆违职能。城市管理机制不断完善，深化了“一街四方”联勤共管机制，分片区整治“城市顽疾”，完善了“马路办公”巡查督办机制，按照“以路为岗、服务基层”要求，不定期开展督导，加强了督查考核，刀刃向内，层层传导压力，确保城市管理常态、长效。</w:t>
      </w:r>
    </w:p>
    <w:p>
      <w:pPr>
        <w:snapToGrid w:val="0"/>
        <w:spacing w:line="276" w:lineRule="auto"/>
        <w:ind w:firstLine="0"/>
        <w:rPr>
          <w:rFonts w:hint="eastAsia" w:ascii="方正仿宋_GBK" w:hAnsi="方正仿宋_GBK" w:cs="方正仿宋_GBK"/>
          <w:b w:val="0"/>
          <w:bCs w:val="0"/>
        </w:rPr>
      </w:pPr>
      <w:r>
        <w:rPr>
          <w:rFonts w:hint="default" w:ascii="方正仿宋_GBK" w:eastAsia="方正仿宋_GBK"/>
          <w:b w:val="0"/>
          <w:bCs w:val="0"/>
        </w:rPr>
        <w:t>城市市容秩序整治成效明显。</w:t>
      </w:r>
      <w:r>
        <w:rPr>
          <w:rFonts w:hint="eastAsia" w:ascii="方正仿宋_GBK" w:hAnsi="方正仿宋_GBK" w:cs="方正仿宋_GBK"/>
          <w:b w:val="0"/>
          <w:bCs w:val="0"/>
        </w:rPr>
        <w:t>执法宣传力度持续加强，城市管理综合行政执法机制日益完善，各种专项整治效果明显。以“三城同创”为契机，强化城区占道经营整治，取缔了城区农贸市场、学校周边占道经营摊位、流动摊点，拆除违章搭棚，严格落实门前“新三包”和临时占道出摊时间限制。城区扬尘控制专项整治成果显著，区城市管理局会同区建委、区交巡警、区交通等部门对扬尘污染开展联合执法，建立施工工地前期预检查和约谈制度，成功创建了重庆市扬尘控制示范道路30条、占道经营示范街区10条。加强了城区车辆乱停乱放整治，对城区主次干道人行道上乱停乱放车辆进行了专项整治。以服务外包方式清理城区乱张贴乱喷涂，启动了“城市违规广告语音警示系统”，城区“牛皮癖”治理成效明显。狠抓户外广告、店招整治，加强户外广告管理。规范建筑渣土运输管理，严格落实“一车一证”制度，城市管理执法办案质量不断提高。</w:t>
      </w:r>
    </w:p>
    <w:p>
      <w:pPr>
        <w:snapToGrid w:val="0"/>
        <w:spacing w:line="276" w:lineRule="auto"/>
        <w:ind w:firstLine="0"/>
        <w:rPr>
          <w:rFonts w:hint="eastAsia" w:ascii="方正仿宋_GBK" w:hAnsi="方正仿宋_GBK" w:cs="方正仿宋_GBK"/>
          <w:b w:val="0"/>
          <w:bCs w:val="0"/>
        </w:rPr>
      </w:pPr>
      <w:r>
        <w:rPr>
          <w:rFonts w:hint="default" w:ascii="方正仿宋_GBK" w:eastAsia="方正仿宋_GBK"/>
          <w:b w:val="0"/>
          <w:bCs w:val="0"/>
        </w:rPr>
        <w:t>市政设施服务功能日益完善。</w:t>
      </w:r>
      <w:r>
        <w:rPr>
          <w:rFonts w:hint="eastAsia" w:ascii="方正仿宋_GBK" w:hAnsi="方正仿宋_GBK" w:cs="方正仿宋_GBK"/>
          <w:b w:val="0"/>
          <w:bCs w:val="0"/>
        </w:rPr>
        <w:t>道桥隧工程管护成果显著，实施了南大街、新泰路、昌州大道、萱花路等道路改造工程，开展了人行道翻修整治工程，改造了城区盲道及缘石坡道，完成了老城区智能交通建设工程、骑龙街隧道维修整治工程，有机更新了“城市家具”，美化涂装了玉屏人行天桥、萱花人行天桥及“花开迎宾”等城市雕塑，涂装了电信、移动等各类外置箱体，完成了城区倒U型栏杆标准改色。强化了城区桥梁检测维修，实施了城区桥梁等结构设施定期检测96座次，完成了25座病害桥梁维修加固整治工作。城市停车泊位增量提质，路内停车位规范设置合格率达90%，新建智慧停车位1861个。城市供节水能力稳步提升，一水厂、二水厂、三水厂已实现互联互通，提高了城区水量、水压和供水质量。实施了城市老旧给水管网改造及“一户一表”改造，加强管网巡查力度，城区供水管网漏损率已控制在10%以内。实施老旧小区及二次加压供水改造，解决多地供水高峰期压力不足的问题，优化管网压力，实现节能供水。2020年永川区成功创建重庆市节水型城市。</w:t>
      </w:r>
    </w:p>
    <w:p>
      <w:pPr>
        <w:snapToGrid w:val="0"/>
        <w:spacing w:line="276" w:lineRule="auto"/>
        <w:ind w:firstLine="0"/>
        <w:rPr>
          <w:rFonts w:hint="eastAsia" w:ascii="方正仿宋_GBK" w:hAnsi="方正仿宋_GBK" w:cs="方正仿宋_GBK"/>
          <w:b w:val="0"/>
          <w:bCs w:val="0"/>
        </w:rPr>
      </w:pPr>
      <w:r>
        <w:rPr>
          <w:rFonts w:hint="default" w:ascii="方正仿宋_GBK" w:eastAsia="方正仿宋_GBK"/>
          <w:b w:val="0"/>
          <w:bCs w:val="0"/>
        </w:rPr>
        <w:t>环境卫生整治质量稳步提升。</w:t>
      </w:r>
      <w:r>
        <w:rPr>
          <w:rFonts w:hint="eastAsia" w:ascii="方正仿宋_GBK" w:hAnsi="方正仿宋_GBK" w:cs="方正仿宋_GBK"/>
          <w:b w:val="0"/>
          <w:bCs w:val="0"/>
        </w:rPr>
        <w:t>环卫设施增容提级，建成了垃圾渗滤液及膜下水处理工程、餐厨垃圾处理中心、生活垃圾焚烧发电一期工程以及古家桥至一环路污水管网工程，正在推进生活垃圾焚烧发电二期工程。公厕、环卫爱心驿站、港湾式公交站亭、智能公交站牌等建设和改造进一步加强。道路清扫保洁能力不断提升，城区主要道路机械化清扫率达90%。城区垃圾收运处置日益规范，城区生活垃圾清运处理率达100%，居民生活垃圾袋装率90%以上，生活垃圾日均处理量提高到480吨/天，累计无害化处理全区生活垃圾210万余吨，城镇生活垃圾无害化处理率提高到100%。粪便处理设施管理逐渐完善，建设完成污水管网及化粪池安全预警监控点1936个，实现化粪池及下水道安全预警系统全覆盖，化粪池定期清掏率达100%。2019年永川区以805分的最高分通过创国卫重庆市专家组验收，2021年1月获全国爱卫会命名，成功创建国家卫生城区。农村生活垃圾治理水平不断提高，实施了“户收集、村集中、镇街运输、区转运处理”的城乡一体化收运模式，开展农村餐厨垃圾收运试点，实现非正规垃圾堆放点全部销号。建成镇和村级可再生资源回收站点138个，全区农村生活垃圾有效处理率达96%以上，规范了农村易腐垃圾处理和厨余垃圾发酵还田工作。水域垃圾管理不断强化，累计清漂各类水域垃圾50万余吨，漂浮物打捞率95%以上，水域垃圾无害化处理率达100%。</w:t>
      </w:r>
    </w:p>
    <w:p>
      <w:pPr>
        <w:snapToGrid w:val="0"/>
        <w:spacing w:line="276" w:lineRule="auto"/>
        <w:ind w:firstLine="0"/>
        <w:rPr>
          <w:rFonts w:hint="eastAsia" w:ascii="方正仿宋_GBK" w:hAnsi="方正仿宋_GBK" w:cs="方正仿宋_GBK"/>
          <w:b w:val="0"/>
          <w:bCs w:val="0"/>
        </w:rPr>
      </w:pPr>
      <w:r>
        <w:rPr>
          <w:rFonts w:hint="default" w:ascii="方正仿宋_GBK" w:eastAsia="方正仿宋_GBK"/>
          <w:b w:val="0"/>
          <w:bCs w:val="0"/>
        </w:rPr>
        <w:t>城市照明亮化效果明显改善。</w:t>
      </w:r>
      <w:r>
        <w:rPr>
          <w:rFonts w:hint="eastAsia" w:ascii="方正仿宋_GBK" w:hAnsi="方正仿宋_GBK" w:cs="方正仿宋_GBK"/>
          <w:b w:val="0"/>
          <w:bCs w:val="0"/>
        </w:rPr>
        <w:t>道路照明设施建设不断巩固，持续推进暗盲区、背街小巷、治安乱点区域改造，强化路灯设施管护工作，消除城区部分灯杆颜色不统一现象，建立更新了路灯身份证制，城市道路照明亮灯率、道路照明设施完好率均达到99%以上。持续推进了绿色照明建设，绿色照明应用率达90%。夜景灯饰品质不断提升，完成了人民广场片区、兴龙湖片区等80余幢高层楼宇景观灯饰与兴龙湖公园夜景打造。加强了城区夜景灯饰方案审查与备案，节日灯饰搭接、拆除工作完成良好。</w:t>
      </w:r>
    </w:p>
    <w:p>
      <w:pPr>
        <w:snapToGrid w:val="0"/>
        <w:spacing w:line="276" w:lineRule="auto"/>
        <w:ind w:firstLine="0"/>
        <w:rPr>
          <w:rFonts w:hint="eastAsia" w:ascii="方正仿宋_GBK" w:hAnsi="方正仿宋_GBK" w:cs="方正仿宋_GBK"/>
          <w:b w:val="0"/>
          <w:bCs w:val="0"/>
        </w:rPr>
      </w:pPr>
      <w:r>
        <w:rPr>
          <w:rFonts w:hint="default" w:ascii="方正仿宋_GBK" w:eastAsia="方正仿宋_GBK"/>
          <w:b w:val="0"/>
          <w:bCs w:val="0"/>
        </w:rPr>
        <w:t>园林绿化生态品质不断强化。</w:t>
      </w:r>
      <w:r>
        <w:rPr>
          <w:rFonts w:hint="eastAsia" w:ascii="方正仿宋_GBK" w:hAnsi="方正仿宋_GBK" w:cs="方正仿宋_GBK"/>
          <w:b w:val="0"/>
          <w:bCs w:val="0"/>
        </w:rPr>
        <w:t>永川区已成功创建重庆市生态园林城区，完成了城区园林绿化覆盖率、绿地率、人均公园绿地面积、公园绿地服务半径覆盖率的卫星解译和摸底工作。制定了《永川区城市提升行动园林植物推荐目录》《永川区城市绿化品质提升设计技术指引》等，编制了《永川区城市绿地系统规划》《永川区城市绿线划定》《永川区城市绿道建设规划》《永川区2017-2020城市公园建设计划》《永川区城市山体修复方案》《永川区城区河道沿岸空地绿化方案》《永川区城区立体绿化美化方案》等规划设计方案。“十三五”期间新增城市绿地264.27万平方米，实施临江河城区段生态修复21.1万平方米、坡坎崖绿化美化17.89万平方米、立体绿化美化2.1万平方米。对兴龙大道、人民大道、和顺大道、兴业大道等城市主要道路开展了“增花添彩”工作，打造鲜花大道，取得了良好的社会效益。实施“市运动会”花境景观提升项目，利用新城区储备用地打造“城市花海”。园林绿化管护逐渐规范，全面防治城区行道树和绿化带病虫害面积达100万余平方米，开展了居民小区内侵占公共绿地专项整治行动，建成北山公园、神女湖公园喷灌系统。</w:t>
      </w:r>
    </w:p>
    <w:p>
      <w:pPr>
        <w:snapToGrid w:val="0"/>
        <w:spacing w:line="276" w:lineRule="auto"/>
        <w:ind w:firstLine="0"/>
        <w:rPr>
          <w:rFonts w:hint="eastAsia" w:ascii="方正仿宋_GBK" w:hAnsi="方正仿宋_GBK" w:cs="方正仿宋_GBK"/>
          <w:b w:val="0"/>
          <w:bCs w:val="0"/>
        </w:rPr>
      </w:pPr>
      <w:r>
        <w:rPr>
          <w:rFonts w:hint="default" w:ascii="方正仿宋_GBK" w:eastAsia="方正仿宋_GBK"/>
          <w:b w:val="0"/>
          <w:bCs w:val="0"/>
        </w:rPr>
        <w:t>智慧城管科技含量明显提高。</w:t>
      </w:r>
      <w:r>
        <w:rPr>
          <w:rFonts w:hint="eastAsia" w:ascii="方正仿宋_GBK" w:hAnsi="方正仿宋_GBK" w:cs="方正仿宋_GBK"/>
          <w:b w:val="0"/>
          <w:bCs w:val="0"/>
        </w:rPr>
        <w:t>建成数字化城市管理指挥调度系统，采用数字化城市管理建设及运行模式，实施了第一、二、三期数字城管综合普查工作，完善地理编码数据库、城市部件数据库和地理空间数据库，对相应部件、事件进行扩展，实现了永川数字化城市管理全覆盖。整合公安、政法视频监控，深度开发城市管理官方微信和市民“城管通”APP应用功能，推进“12319”城市管理服务热线与“49812345一号通”的有机融合，打造“服务公社”和“指尖上的城管”等信息平台，提升了惠民便民服务水平。</w:t>
      </w:r>
    </w:p>
    <w:p>
      <w:pPr>
        <w:snapToGrid w:val="0"/>
        <w:spacing w:line="276" w:lineRule="auto"/>
        <w:ind w:firstLine="0"/>
        <w:rPr>
          <w:rFonts w:hint="eastAsia" w:ascii="方正仿宋_GBK" w:hAnsi="方正仿宋_GBK" w:cs="方正仿宋_GBK"/>
          <w:b w:val="0"/>
          <w:bCs w:val="0"/>
        </w:rPr>
      </w:pPr>
    </w:p>
    <w:p>
      <w:pPr>
        <w:snapToGrid w:val="0"/>
        <w:spacing w:before="0" w:after="0" w:line="276" w:lineRule="auto"/>
        <w:ind w:firstLine="0" w:firstLineChars="0"/>
        <w:jc w:val="center"/>
        <w:rPr>
          <w:rFonts w:hint="eastAsia" w:ascii="方正黑体_GBK" w:hAnsi="方正黑体_GBK" w:eastAsia="方正黑体_GBK" w:cs="方正黑体_GBK"/>
          <w:b w:val="0"/>
          <w:bCs w:val="0"/>
        </w:rPr>
      </w:pPr>
      <w:bookmarkStart w:id="63" w:name="_Toc70450399"/>
      <w:bookmarkStart w:id="64" w:name="_Toc14794"/>
      <w:bookmarkStart w:id="65" w:name="_Toc368560628_WPSOffice_Level2"/>
      <w:bookmarkStart w:id="66" w:name="_Toc3903"/>
      <w:bookmarkStart w:id="67" w:name="_Toc1573072171_WPSOffice_Level2"/>
      <w:bookmarkStart w:id="68" w:name="_Toc74151069"/>
      <w:r>
        <w:rPr>
          <w:rFonts w:hint="default" w:ascii="方正黑体_GBK" w:hAnsi="方正黑体_GBK" w:eastAsia="方正黑体_GBK" w:cs="方正黑体_GBK"/>
          <w:b w:val="0"/>
          <w:bCs w:val="0"/>
        </w:rPr>
        <w:t>第二节</w:t>
      </w:r>
      <w:bookmarkEnd w:id="63"/>
      <w:r>
        <w:rPr>
          <w:rFonts w:hint="default" w:ascii="方正黑体_GBK" w:hAnsi="方正黑体_GBK" w:eastAsia="方正黑体_GBK" w:cs="方正黑体_GBK"/>
          <w:b w:val="0"/>
          <w:bCs w:val="0"/>
        </w:rPr>
        <w:t xml:space="preserve">  城市管理工作仍然面临的主要问题</w:t>
      </w:r>
      <w:bookmarkEnd w:id="64"/>
      <w:bookmarkEnd w:id="65"/>
      <w:bookmarkEnd w:id="66"/>
      <w:bookmarkEnd w:id="67"/>
      <w:bookmarkEnd w:id="68"/>
    </w:p>
    <w:p>
      <w:pPr>
        <w:snapToGrid w:val="0"/>
        <w:spacing w:line="276" w:lineRule="auto"/>
        <w:ind w:firstLine="0"/>
        <w:rPr>
          <w:rFonts w:hint="default" w:ascii="方正仿宋_GBK" w:eastAsia="方正仿宋_GBK"/>
          <w:b w:val="0"/>
          <w:bCs w:val="0"/>
        </w:rPr>
      </w:pPr>
    </w:p>
    <w:p>
      <w:pPr>
        <w:snapToGrid w:val="0"/>
        <w:spacing w:line="276" w:lineRule="auto"/>
        <w:ind w:firstLine="0"/>
        <w:rPr>
          <w:rFonts w:hint="eastAsia" w:ascii="方正仿宋_GBK" w:hAnsi="方正仿宋_GBK" w:cs="方正仿宋_GBK"/>
          <w:b w:val="0"/>
          <w:bCs w:val="0"/>
        </w:rPr>
      </w:pPr>
      <w:r>
        <w:rPr>
          <w:rFonts w:hint="default" w:ascii="方正仿宋_GBK" w:eastAsia="方正仿宋_GBK"/>
          <w:b w:val="0"/>
          <w:bCs w:val="0"/>
        </w:rPr>
        <w:t>城市管理体制机制仍需进一步完善。</w:t>
      </w:r>
      <w:r>
        <w:rPr>
          <w:rFonts w:hint="eastAsia" w:ascii="方正仿宋_GBK" w:hAnsi="方正仿宋_GBK" w:cs="方正仿宋_GBK"/>
          <w:b w:val="0"/>
          <w:bCs w:val="0"/>
        </w:rPr>
        <w:t>城市管理融入大城管体制和机制还没有完全形成，区城市管理局、</w:t>
      </w:r>
      <w:r>
        <w:rPr>
          <w:b w:val="0"/>
          <w:bCs w:val="0"/>
        </w:rPr>
        <w:fldChar w:fldCharType="begin"/>
      </w:r>
      <w:r>
        <w:rPr>
          <w:b w:val="0"/>
          <w:bCs w:val="0"/>
        </w:rPr>
        <w:instrText xml:space="preserve"> HYPERLINK "http://www.baidu.com/link?url=o2tohIjDtuyJ8h3_vEFf5Tzrr9rJh3oGA-OThNBOIrlM-SUArjpsuKRgkS7gBAse_jwwQw3ErxXR_utnW84IKA2Obwpp1WQZRrwHgdaOaoW" \t "_blank" </w:instrText>
      </w:r>
      <w:r>
        <w:rPr>
          <w:b w:val="0"/>
          <w:bCs w:val="0"/>
        </w:rPr>
        <w:fldChar w:fldCharType="separate"/>
      </w:r>
      <w:r>
        <w:rPr>
          <w:rFonts w:hint="eastAsia" w:ascii="方正仿宋_GBK" w:hAnsi="方正仿宋_GBK" w:cs="方正仿宋_GBK"/>
          <w:b w:val="0"/>
          <w:bCs w:val="0"/>
        </w:rPr>
        <w:t>凤凰湖产业促进中心</w:t>
      </w:r>
      <w:r>
        <w:rPr>
          <w:rFonts w:hint="eastAsia" w:ascii="方正仿宋_GBK" w:hAnsi="方正仿宋_GBK" w:cs="方正仿宋_GBK"/>
          <w:b w:val="0"/>
          <w:bCs w:val="0"/>
        </w:rPr>
        <w:fldChar w:fldCharType="end"/>
      </w:r>
      <w:r>
        <w:rPr>
          <w:rFonts w:hint="eastAsia" w:ascii="方正仿宋_GBK" w:hAnsi="方正仿宋_GBK" w:cs="方正仿宋_GBK"/>
          <w:b w:val="0"/>
          <w:bCs w:val="0"/>
        </w:rPr>
        <w:t>、新城建设管委会“一城三管”局面仍然影响整个城市的统一管理。各部门在城市节水、照明等管理方面以及停车设施、环卫设施等规划和建设方面的多头管理现状问题仍然突出，职能交叉、权责不清、合力不强等现象仍然存在。市场化运作机制需要进一步加强，配套规章制度长效管理机制有待继续完善。</w:t>
      </w:r>
    </w:p>
    <w:p>
      <w:pPr>
        <w:snapToGrid w:val="0"/>
        <w:spacing w:line="276" w:lineRule="auto"/>
        <w:ind w:firstLine="0"/>
        <w:rPr>
          <w:rFonts w:hint="eastAsia" w:ascii="方正仿宋_GBK" w:hAnsi="方正仿宋_GBK" w:cs="方正仿宋_GBK"/>
          <w:b w:val="0"/>
          <w:bCs w:val="0"/>
        </w:rPr>
      </w:pPr>
      <w:r>
        <w:rPr>
          <w:rFonts w:hint="default" w:ascii="方正仿宋_GBK" w:eastAsia="方正仿宋_GBK"/>
          <w:b w:val="0"/>
          <w:bCs w:val="0"/>
        </w:rPr>
        <w:t>精细化管理水平仍需进一步提升。</w:t>
      </w:r>
      <w:r>
        <w:rPr>
          <w:rFonts w:hint="eastAsia" w:ascii="方正仿宋_GBK" w:hAnsi="方正仿宋_GBK" w:cs="方正仿宋_GBK"/>
          <w:b w:val="0"/>
          <w:bCs w:val="0"/>
        </w:rPr>
        <w:t>城市管理资金投入不足，管理的顽症难点难以根治，低标准费用导致低水平、低质量管理，城市精细化管理水平较低，群众反映和关注的热点难点问题难以得到有效解决。</w:t>
      </w:r>
    </w:p>
    <w:p>
      <w:pPr>
        <w:snapToGrid w:val="0"/>
        <w:spacing w:line="276" w:lineRule="auto"/>
        <w:ind w:firstLine="0"/>
        <w:rPr>
          <w:rFonts w:hint="eastAsia" w:ascii="方正仿宋_GBK" w:hAnsi="方正仿宋_GBK" w:cs="方正仿宋_GBK"/>
          <w:b w:val="0"/>
          <w:bCs w:val="0"/>
        </w:rPr>
      </w:pPr>
      <w:r>
        <w:rPr>
          <w:rFonts w:hint="default" w:ascii="方正仿宋_GBK" w:eastAsia="方正仿宋_GBK"/>
          <w:b w:val="0"/>
          <w:bCs w:val="0"/>
        </w:rPr>
        <w:t>城市运行保障能力有待进一步提高。</w:t>
      </w:r>
      <w:r>
        <w:rPr>
          <w:rFonts w:hint="eastAsia" w:ascii="方正仿宋_GBK" w:hAnsi="方正仿宋_GBK" w:cs="方正仿宋_GBK"/>
          <w:b w:val="0"/>
          <w:bCs w:val="0"/>
        </w:rPr>
        <w:t>城市街巷整治工作任务较重，城乡结合部及农村的市政设施仍然不完善。生活垃圾分类减量化效果尚不明显，资源化利用水平还不高，健全现代化的生活垃圾处置系统迫在眉睫。</w:t>
      </w:r>
    </w:p>
    <w:p>
      <w:pPr>
        <w:snapToGrid w:val="0"/>
        <w:spacing w:line="276" w:lineRule="auto"/>
        <w:ind w:firstLine="0"/>
        <w:rPr>
          <w:rFonts w:hint="eastAsia" w:ascii="方正仿宋_GBK" w:hAnsi="方正仿宋_GBK" w:cs="方正仿宋_GBK"/>
          <w:b w:val="0"/>
          <w:bCs w:val="0"/>
        </w:rPr>
      </w:pPr>
      <w:r>
        <w:rPr>
          <w:rFonts w:hint="default" w:ascii="方正仿宋_GBK" w:eastAsia="方正仿宋_GBK"/>
          <w:b w:val="0"/>
          <w:bCs w:val="0"/>
        </w:rPr>
        <w:t>城市园林绿化建设发展缓慢。</w:t>
      </w:r>
      <w:r>
        <w:rPr>
          <w:rFonts w:hint="eastAsia" w:ascii="方正仿宋_GBK" w:hAnsi="方正仿宋_GBK" w:cs="方正仿宋_GBK"/>
          <w:b w:val="0"/>
          <w:bCs w:val="0"/>
        </w:rPr>
        <w:t>近年永川城市绿地增量较少，公园吸引力不强、参与度不够、功能较为单一难以满足人民群众的游憩需求，部分绿地品质不高，园林绿化景观风貌未能形成永川绿化成果的特色亮点，对大力提升城市综合软实力不利。</w:t>
      </w:r>
    </w:p>
    <w:p>
      <w:pPr>
        <w:snapToGrid w:val="0"/>
        <w:spacing w:line="276" w:lineRule="auto"/>
        <w:ind w:firstLine="0"/>
        <w:rPr>
          <w:rFonts w:hint="eastAsia" w:ascii="方正仿宋_GBK" w:hAnsi="方正仿宋_GBK" w:cs="方正仿宋_GBK"/>
          <w:b w:val="0"/>
          <w:bCs w:val="0"/>
        </w:rPr>
      </w:pPr>
      <w:r>
        <w:rPr>
          <w:rFonts w:hint="default" w:ascii="方正仿宋_GBK" w:eastAsia="方正仿宋_GBK"/>
          <w:b w:val="0"/>
          <w:bCs w:val="0"/>
        </w:rPr>
        <w:t>城市管理执法与民生保障矛盾仍然存在。</w:t>
      </w:r>
      <w:r>
        <w:rPr>
          <w:rFonts w:hint="eastAsia" w:ascii="方正仿宋_GBK" w:hAnsi="方正仿宋_GBK" w:cs="方正仿宋_GBK"/>
          <w:b w:val="0"/>
          <w:bCs w:val="0"/>
        </w:rPr>
        <w:t>街巷秩序不规范现象时有发生，基层城市管理部门执法装备整体水平还较为落后，执法力量及费用投入不足，执法队员整体素质和处理复杂情况的应变能力需要提升。</w:t>
      </w:r>
    </w:p>
    <w:p>
      <w:pPr>
        <w:snapToGrid w:val="0"/>
        <w:spacing w:line="276" w:lineRule="auto"/>
        <w:ind w:firstLine="0"/>
        <w:rPr>
          <w:rFonts w:hint="eastAsia" w:ascii="方正仿宋_GBK" w:hAnsi="方正仿宋_GBK" w:cs="方正仿宋_GBK"/>
          <w:b w:val="0"/>
          <w:bCs w:val="0"/>
        </w:rPr>
      </w:pPr>
    </w:p>
    <w:p>
      <w:pPr>
        <w:snapToGrid w:val="0"/>
        <w:spacing w:before="0" w:after="0" w:line="276" w:lineRule="auto"/>
        <w:ind w:firstLine="0" w:firstLineChars="0"/>
        <w:jc w:val="center"/>
        <w:rPr>
          <w:rFonts w:hint="eastAsia" w:ascii="方正黑体_GBK" w:hAnsi="方正黑体_GBK" w:eastAsia="方正黑体_GBK" w:cs="方正黑体_GBK"/>
          <w:b w:val="0"/>
          <w:bCs w:val="0"/>
        </w:rPr>
      </w:pPr>
      <w:bookmarkStart w:id="69" w:name="_Toc70450400"/>
      <w:bookmarkStart w:id="70" w:name="_Toc5924"/>
      <w:bookmarkStart w:id="71" w:name="_Toc9733"/>
      <w:bookmarkStart w:id="72" w:name="_Toc1946396125_WPSOffice_Level2"/>
      <w:bookmarkStart w:id="73" w:name="_Toc74151070"/>
      <w:bookmarkStart w:id="74" w:name="_Toc1298311545_WPSOffice_Level2"/>
      <w:r>
        <w:rPr>
          <w:rFonts w:hint="default" w:ascii="方正黑体_GBK" w:hAnsi="方正黑体_GBK" w:eastAsia="方正黑体_GBK" w:cs="方正黑体_GBK"/>
          <w:b w:val="0"/>
          <w:bCs w:val="0"/>
        </w:rPr>
        <w:t xml:space="preserve">第三节  </w:t>
      </w:r>
      <w:bookmarkEnd w:id="69"/>
      <w:r>
        <w:rPr>
          <w:rFonts w:hint="default" w:ascii="方正黑体_GBK" w:hAnsi="方正黑体_GBK" w:eastAsia="方正黑体_GBK" w:cs="方正黑体_GBK"/>
          <w:b w:val="0"/>
          <w:bCs w:val="0"/>
        </w:rPr>
        <w:t>城市管理工作当前面临的机遇与挑战</w:t>
      </w:r>
      <w:bookmarkEnd w:id="70"/>
      <w:bookmarkEnd w:id="71"/>
      <w:bookmarkEnd w:id="72"/>
      <w:bookmarkEnd w:id="73"/>
      <w:bookmarkEnd w:id="74"/>
    </w:p>
    <w:p>
      <w:pPr>
        <w:snapToGrid w:val="0"/>
        <w:spacing w:before="0" w:after="0" w:line="276" w:lineRule="auto"/>
        <w:ind w:firstLine="640"/>
        <w:jc w:val="both"/>
        <w:rPr>
          <w:rFonts w:hint="default" w:ascii="方正仿宋_GBK" w:hAnsi="方正仿宋_GBK" w:eastAsia="方正仿宋_GBK" w:cs="方正仿宋_GBK"/>
          <w:b w:val="0"/>
          <w:bCs w:val="0"/>
        </w:rPr>
      </w:pPr>
    </w:p>
    <w:p>
      <w:pPr>
        <w:snapToGrid w:val="0"/>
        <w:spacing w:before="0" w:after="0" w:line="276" w:lineRule="auto"/>
        <w:ind w:firstLine="640"/>
        <w:jc w:val="both"/>
        <w:rPr>
          <w:rFonts w:hint="eastAsia" w:ascii="方正仿宋_GBK" w:hAnsi="方正仿宋_GBK" w:eastAsia="方正仿宋_GBK" w:cs="方正仿宋_GBK"/>
          <w:b w:val="0"/>
          <w:bCs w:val="0"/>
        </w:rPr>
      </w:pPr>
      <w:r>
        <w:rPr>
          <w:rFonts w:hint="default" w:ascii="方正仿宋_GBK" w:hAnsi="方正仿宋_GBK" w:eastAsia="方正仿宋_GBK" w:cs="方正仿宋_GBK"/>
          <w:b w:val="0"/>
          <w:bCs w:val="0"/>
        </w:rPr>
        <w:t>一、面临的形势和机遇</w:t>
      </w:r>
    </w:p>
    <w:p>
      <w:pPr>
        <w:snapToGrid w:val="0"/>
        <w:spacing w:line="276" w:lineRule="auto"/>
        <w:ind w:firstLine="0"/>
        <w:rPr>
          <w:rFonts w:ascii="方正仿宋_GBK" w:hAnsi="方正仿宋_GBK" w:cs="方正仿宋_GBK"/>
          <w:b w:val="0"/>
          <w:bCs w:val="0"/>
          <w:szCs w:val="32"/>
        </w:rPr>
      </w:pPr>
      <w:r>
        <w:rPr>
          <w:rFonts w:hint="default" w:hAnsi="方正仿宋_GBK"/>
          <w:b w:val="0"/>
          <w:bCs w:val="0"/>
          <w:szCs w:val="32"/>
        </w:rPr>
        <w:t>习近平总书记提出的新时代城市管理领域的新思想、新理念对永川区城市管理提出高标准要求。</w:t>
      </w:r>
      <w:r>
        <w:rPr>
          <w:rFonts w:ascii="方正仿宋_GBK" w:hAnsi="方正仿宋_GBK" w:cs="方正仿宋_GBK"/>
          <w:b w:val="0"/>
          <w:bCs w:val="0"/>
          <w:szCs w:val="32"/>
        </w:rPr>
        <w:t>党的十八大以来，习近平总书记顺应时代和实践发展的新要求，坚持以人民为中心的发展思想，鲜明提出要坚定不移贯彻创新、协调、绿色、开放、共享的全新发展理念，引领我国发展全局发生历史性变革。新时代发展理念推动城市管理的思想观念和工作理念创新发展，习近平总书记</w:t>
      </w:r>
      <w:r>
        <w:rPr>
          <w:rFonts w:hint="eastAsia" w:ascii="方正仿宋_GBK" w:hAnsi="方正仿宋_GBK" w:cs="方正仿宋_GBK"/>
          <w:b w:val="0"/>
          <w:bCs w:val="0"/>
        </w:rPr>
        <w:t>“</w:t>
      </w:r>
      <w:r>
        <w:rPr>
          <w:rFonts w:ascii="方正仿宋_GBK" w:hAnsi="方正仿宋_GBK" w:cs="方正仿宋_GBK"/>
          <w:b w:val="0"/>
          <w:bCs w:val="0"/>
          <w:szCs w:val="32"/>
        </w:rPr>
        <w:t>城市管理应该像绣花一样精细</w:t>
      </w:r>
      <w:r>
        <w:rPr>
          <w:rFonts w:hint="default" w:ascii="方正仿宋_GBK" w:hAnsi="方正仿宋_GBK" w:cs="方正仿宋_GBK"/>
          <w:b w:val="0"/>
          <w:bCs w:val="0"/>
          <w:szCs w:val="32"/>
        </w:rPr>
        <w:t>”</w:t>
      </w:r>
      <w:r>
        <w:rPr>
          <w:rFonts w:hint="eastAsia" w:ascii="方正仿宋_GBK" w:hAnsi="方正仿宋_GBK" w:cs="方正仿宋_GBK"/>
          <w:b w:val="0"/>
          <w:bCs w:val="0"/>
        </w:rPr>
        <w:t>“</w:t>
      </w:r>
      <w:r>
        <w:rPr>
          <w:rFonts w:ascii="方正仿宋_GBK" w:hAnsi="方正仿宋_GBK" w:cs="方正仿宋_GBK"/>
          <w:b w:val="0"/>
          <w:bCs w:val="0"/>
          <w:szCs w:val="32"/>
        </w:rPr>
        <w:t>创新思路推动城市治理体系和治理能力现代化</w:t>
      </w:r>
      <w:r>
        <w:rPr>
          <w:rFonts w:hint="default" w:ascii="方正仿宋_GBK" w:hAnsi="方正仿宋_GBK" w:cs="方正仿宋_GBK"/>
          <w:b w:val="0"/>
          <w:bCs w:val="0"/>
          <w:szCs w:val="32"/>
        </w:rPr>
        <w:t>”</w:t>
      </w:r>
      <w:r>
        <w:rPr>
          <w:rFonts w:hint="eastAsia" w:ascii="方正仿宋_GBK" w:hAnsi="方正仿宋_GBK" w:cs="方正仿宋_GBK"/>
          <w:b w:val="0"/>
          <w:bCs w:val="0"/>
        </w:rPr>
        <w:t>“</w:t>
      </w:r>
      <w:r>
        <w:rPr>
          <w:rFonts w:ascii="方正仿宋_GBK" w:hAnsi="方正仿宋_GBK" w:cs="方正仿宋_GBK"/>
          <w:b w:val="0"/>
          <w:bCs w:val="0"/>
          <w:szCs w:val="32"/>
        </w:rPr>
        <w:t>建设智慧城市</w:t>
      </w:r>
      <w:r>
        <w:rPr>
          <w:rFonts w:hint="default" w:ascii="方正仿宋_GBK" w:hAnsi="方正仿宋_GBK" w:cs="方正仿宋_GBK"/>
          <w:b w:val="0"/>
          <w:bCs w:val="0"/>
          <w:szCs w:val="32"/>
        </w:rPr>
        <w:t>”</w:t>
      </w:r>
      <w:r>
        <w:rPr>
          <w:rFonts w:ascii="方正仿宋_GBK" w:hAnsi="方正仿宋_GBK" w:cs="方正仿宋_GBK"/>
          <w:b w:val="0"/>
          <w:bCs w:val="0"/>
          <w:szCs w:val="32"/>
        </w:rPr>
        <w:t>等一系列关于城市管理的论述为永川区城市管理工作提供了方向指引，也提出了高标准要求。</w:t>
      </w:r>
    </w:p>
    <w:p>
      <w:pPr>
        <w:snapToGrid w:val="0"/>
        <w:spacing w:line="276" w:lineRule="auto"/>
        <w:ind w:firstLine="0"/>
        <w:rPr>
          <w:rFonts w:ascii="方正仿宋_GBK" w:hAnsi="方正仿宋_GBK" w:cs="方正仿宋_GBK"/>
          <w:b w:val="0"/>
          <w:bCs w:val="0"/>
          <w:szCs w:val="32"/>
        </w:rPr>
      </w:pPr>
      <w:r>
        <w:rPr>
          <w:rFonts w:hint="default" w:hAnsi="方正仿宋_GBK"/>
          <w:b w:val="0"/>
          <w:bCs w:val="0"/>
          <w:szCs w:val="32"/>
        </w:rPr>
        <w:t>新的技术、新的发展理念造就城市管理行业发展的重大机遇。</w:t>
      </w:r>
      <w:r>
        <w:rPr>
          <w:rFonts w:hint="eastAsia" w:ascii="方正仿宋_GBK" w:hAnsi="方正仿宋_GBK" w:cs="方正仿宋_GBK"/>
          <w:b w:val="0"/>
          <w:bCs w:val="0"/>
        </w:rPr>
        <w:t>随着社会的发展，良好的生态环境已成为实现城市永续发展的目标之一，而环境卫生和垃圾处理等关键词频繁曝光，也直接促使政府和社会资本加大生活垃圾处理、环境卫生整治等行业的资金投入力度，环境卫生管理从单一向合作转变。城市管理行业的发展逐渐从硬件提升向软件提升转变，城市管理、治理技术结构进一步优化。技术变革是推动城市建设管理的重要力量，当前国内科技与政务时事相结合的变革呈积极趋势，人工智能、大数据、云计算、数字经济等新技术成为协同治理机制和政策的创新点，因此应加快推动云、网、端等数字基础科技方式，推进现代信息技术与城市治理、民生服务深度融合，进一步推动城市管理实现新业态、新模式、新服务、新治理。</w:t>
      </w:r>
    </w:p>
    <w:p>
      <w:pPr>
        <w:snapToGrid w:val="0"/>
        <w:spacing w:line="276" w:lineRule="auto"/>
        <w:ind w:firstLine="0"/>
        <w:rPr>
          <w:rFonts w:ascii="方正仿宋_GBK" w:hAnsi="方正仿宋_GBK" w:cs="方正仿宋_GBK"/>
          <w:b w:val="0"/>
          <w:bCs w:val="0"/>
          <w:szCs w:val="32"/>
        </w:rPr>
      </w:pPr>
      <w:r>
        <w:rPr>
          <w:rFonts w:hint="default"/>
          <w:b w:val="0"/>
          <w:bCs w:val="0"/>
          <w:szCs w:val="32"/>
        </w:rPr>
        <w:t>“十四五”期间的顶层规划对永川区城市管理提出新的工作目标。</w:t>
      </w:r>
      <w:r>
        <w:rPr>
          <w:rFonts w:ascii="方正仿宋_GBK" w:hAnsi="方正仿宋_GBK" w:cs="方正仿宋_GBK"/>
          <w:b w:val="0"/>
          <w:bCs w:val="0"/>
          <w:szCs w:val="32"/>
        </w:rPr>
        <w:t>党的十三届全国人大四次会议审议通过的《中华人民共和国国民经济和社会发展第十四个五年规划和2035年远景目标纲要》要求提高城市治理水平，改革完善城市管理体制，运用数字技术推动城市管理手段、管理模式、管理理念创新，精准高效满足群众需求。《成渝地区双城经济圈建设规划纲要》要求成渝地区打造高品质生活宜居地，推动城市高质量发展。</w:t>
      </w:r>
      <w:r>
        <w:rPr>
          <w:rFonts w:hint="default" w:ascii="方正仿宋_GBK" w:hAnsi="方正仿宋_GBK" w:cs="方正仿宋_GBK"/>
          <w:b w:val="0"/>
          <w:bCs w:val="0"/>
          <w:szCs w:val="32"/>
        </w:rPr>
        <w:t>“</w:t>
      </w:r>
      <w:r>
        <w:rPr>
          <w:rFonts w:ascii="方正仿宋_GBK" w:hAnsi="方正仿宋_GBK" w:cs="方正仿宋_GBK"/>
          <w:b w:val="0"/>
          <w:bCs w:val="0"/>
          <w:szCs w:val="32"/>
        </w:rPr>
        <w:t>一区两群</w:t>
      </w:r>
      <w:r>
        <w:rPr>
          <w:rFonts w:hint="default" w:ascii="方正仿宋_GBK" w:hAnsi="方正仿宋_GBK" w:cs="方正仿宋_GBK"/>
          <w:b w:val="0"/>
          <w:bCs w:val="0"/>
          <w:szCs w:val="32"/>
        </w:rPr>
        <w:t>”</w:t>
      </w:r>
      <w:r>
        <w:rPr>
          <w:rFonts w:ascii="方正仿宋_GBK" w:hAnsi="方正仿宋_GBK" w:cs="方正仿宋_GBK"/>
          <w:b w:val="0"/>
          <w:bCs w:val="0"/>
          <w:szCs w:val="32"/>
        </w:rPr>
        <w:t>协调发展战略拓展了城市管理发展空间，将进一步释放推动城市管理高质量发展内在潜力。永川区基于以上发展战略在区委十四届八次全会上强调</w:t>
      </w:r>
      <w:r>
        <w:rPr>
          <w:rFonts w:hint="default" w:ascii="方正仿宋_GBK" w:hAnsi="方正仿宋_GBK" w:cs="方正仿宋_GBK"/>
          <w:b w:val="0"/>
          <w:bCs w:val="0"/>
          <w:szCs w:val="32"/>
        </w:rPr>
        <w:t>“</w:t>
      </w:r>
      <w:r>
        <w:rPr>
          <w:rFonts w:ascii="方正仿宋_GBK" w:hAnsi="方正仿宋_GBK" w:cs="方正仿宋_GBK"/>
          <w:b w:val="0"/>
          <w:bCs w:val="0"/>
          <w:szCs w:val="32"/>
        </w:rPr>
        <w:t>十四五</w:t>
      </w:r>
      <w:r>
        <w:rPr>
          <w:rFonts w:hint="default" w:ascii="方正仿宋_GBK" w:hAnsi="方正仿宋_GBK" w:cs="方正仿宋_GBK"/>
          <w:b w:val="0"/>
          <w:bCs w:val="0"/>
          <w:szCs w:val="32"/>
        </w:rPr>
        <w:t>”</w:t>
      </w:r>
      <w:r>
        <w:rPr>
          <w:rFonts w:ascii="方正仿宋_GBK" w:hAnsi="方正仿宋_GBK" w:cs="方正仿宋_GBK"/>
          <w:b w:val="0"/>
          <w:bCs w:val="0"/>
          <w:szCs w:val="32"/>
        </w:rPr>
        <w:t>时期永川区应加快打造高质量发展先行区、高品质生活示范区，要深入践行新发展理念，积极融入推动成渝地区双城经济圈建设和重庆</w:t>
      </w:r>
      <w:r>
        <w:rPr>
          <w:rFonts w:hint="default" w:ascii="方正仿宋_GBK" w:hAnsi="方正仿宋_GBK" w:cs="方正仿宋_GBK"/>
          <w:b w:val="0"/>
          <w:bCs w:val="0"/>
          <w:szCs w:val="32"/>
        </w:rPr>
        <w:t>“</w:t>
      </w:r>
      <w:r>
        <w:rPr>
          <w:rFonts w:ascii="方正仿宋_GBK" w:hAnsi="方正仿宋_GBK" w:cs="方正仿宋_GBK"/>
          <w:b w:val="0"/>
          <w:bCs w:val="0"/>
          <w:szCs w:val="32"/>
        </w:rPr>
        <w:t>一区两群</w:t>
      </w:r>
      <w:r>
        <w:rPr>
          <w:rFonts w:hint="default" w:ascii="方正仿宋_GBK" w:hAnsi="方正仿宋_GBK" w:cs="方正仿宋_GBK"/>
          <w:b w:val="0"/>
          <w:bCs w:val="0"/>
          <w:szCs w:val="32"/>
        </w:rPr>
        <w:t>”</w:t>
      </w:r>
      <w:r>
        <w:rPr>
          <w:rFonts w:ascii="方正仿宋_GBK" w:hAnsi="方正仿宋_GBK" w:cs="方正仿宋_GBK"/>
          <w:b w:val="0"/>
          <w:bCs w:val="0"/>
          <w:szCs w:val="32"/>
        </w:rPr>
        <w:t>协调发展，更好发挥成渝地区双城经济圈主轴城市支撑作用，积极推动共建川南渝西融合发展试验区，服务推动主城都市区融合发展，以建设区域中心的站位、思维、标准推动工作，集中精力办好自己的事情，同心协力办好合作的事情，努力书写好永川篇章。</w:t>
      </w:r>
    </w:p>
    <w:p>
      <w:pPr>
        <w:snapToGrid w:val="0"/>
        <w:spacing w:before="0" w:after="0" w:line="276" w:lineRule="auto"/>
        <w:ind w:firstLine="640"/>
        <w:jc w:val="both"/>
        <w:rPr>
          <w:rFonts w:hint="eastAsia" w:ascii="方正仿宋_GBK" w:hAnsi="方正仿宋_GBK" w:eastAsia="方正仿宋_GBK" w:cs="方正仿宋_GBK"/>
          <w:b w:val="0"/>
          <w:bCs w:val="0"/>
        </w:rPr>
      </w:pPr>
      <w:r>
        <w:rPr>
          <w:rFonts w:hint="default" w:ascii="方正仿宋_GBK" w:hAnsi="方正仿宋_GBK" w:eastAsia="方正仿宋_GBK" w:cs="方正仿宋_GBK"/>
          <w:b w:val="0"/>
          <w:bCs w:val="0"/>
        </w:rPr>
        <w:t>二、面临的重要挑战</w:t>
      </w:r>
    </w:p>
    <w:p>
      <w:pPr>
        <w:snapToGrid w:val="0"/>
        <w:spacing w:line="276" w:lineRule="auto"/>
        <w:ind w:firstLine="0"/>
        <w:rPr>
          <w:rFonts w:hint="eastAsia" w:ascii="方正仿宋_GBK" w:hAnsi="方正仿宋_GBK" w:cs="方正仿宋_GBK"/>
          <w:b w:val="0"/>
          <w:bCs w:val="0"/>
        </w:rPr>
      </w:pPr>
      <w:r>
        <w:rPr>
          <w:rFonts w:hint="eastAsia" w:ascii="方正仿宋_GBK" w:hAnsi="方正仿宋_GBK" w:cs="方正仿宋_GBK"/>
          <w:b w:val="0"/>
          <w:bCs w:val="0"/>
        </w:rPr>
        <w:t>首先，传统的管理方式难以适应城市快速发展趋势。随着永川城镇化进程加快，人口、功能和规模不断扩大，城市运行体系日益复杂，潜在的安全风险和管理漏洞增多，加之城市基础设施建设薄弱，管理水平与现代化城市发展要求不适应、不协调的问题较为突出。城市规划、建设、管理</w:t>
      </w:r>
      <w:r>
        <w:rPr>
          <w:rFonts w:hint="default" w:ascii="方正仿宋_GBK" w:hAnsi="方正仿宋_GBK" w:cs="方正仿宋_GBK"/>
          <w:b w:val="0"/>
          <w:bCs w:val="0"/>
          <w:szCs w:val="32"/>
        </w:rPr>
        <w:t>“</w:t>
      </w:r>
      <w:r>
        <w:rPr>
          <w:rFonts w:hint="eastAsia" w:ascii="方正仿宋_GBK" w:hAnsi="方正仿宋_GBK" w:cs="方正仿宋_GBK"/>
          <w:b w:val="0"/>
          <w:bCs w:val="0"/>
        </w:rPr>
        <w:t>碎片化”问题突出，各种</w:t>
      </w:r>
      <w:r>
        <w:rPr>
          <w:rFonts w:hint="default" w:ascii="方正仿宋_GBK" w:hAnsi="方正仿宋_GBK" w:cs="方正仿宋_GBK"/>
          <w:b w:val="0"/>
          <w:bCs w:val="0"/>
          <w:szCs w:val="32"/>
        </w:rPr>
        <w:t>“</w:t>
      </w:r>
      <w:r>
        <w:rPr>
          <w:rFonts w:hint="eastAsia" w:ascii="方正仿宋_GBK" w:hAnsi="方正仿宋_GBK" w:cs="方正仿宋_GBK"/>
          <w:b w:val="0"/>
          <w:bCs w:val="0"/>
        </w:rPr>
        <w:t>城市病”依旧存在，交通拥堵、环境污染、城市公共安全等问题使得城市安全运行保障面临着前所未有的压力。</w:t>
      </w:r>
    </w:p>
    <w:p>
      <w:pPr>
        <w:snapToGrid w:val="0"/>
        <w:spacing w:line="276" w:lineRule="auto"/>
        <w:ind w:firstLine="0"/>
        <w:rPr>
          <w:rFonts w:hint="eastAsia" w:ascii="方正仿宋_GBK" w:hAnsi="方正仿宋_GBK" w:cs="方正仿宋_GBK"/>
          <w:b w:val="0"/>
          <w:bCs w:val="0"/>
        </w:rPr>
      </w:pPr>
      <w:r>
        <w:rPr>
          <w:rFonts w:hint="eastAsia" w:ascii="方正仿宋_GBK" w:hAnsi="方正仿宋_GBK" w:cs="方正仿宋_GBK"/>
          <w:b w:val="0"/>
          <w:bCs w:val="0"/>
        </w:rPr>
        <w:t>其次，人民群众对美好生活的向往对城市管理提出更高要求。随着社会经济的快速发展，人们追求高品质美好生活的诉求愈加强烈，公众对于环境质量的要求越来越高，对获得感、幸福感、安全感的需求不断增强。环保标准更加严格，也将为城市管理带来新的挑战。</w:t>
      </w:r>
    </w:p>
    <w:p>
      <w:pPr>
        <w:snapToGrid w:val="0"/>
        <w:spacing w:line="276" w:lineRule="auto"/>
        <w:ind w:firstLine="0"/>
        <w:rPr>
          <w:rFonts w:hint="eastAsia" w:ascii="方正仿宋_GBK" w:hAnsi="方正仿宋_GBK" w:cs="方正仿宋_GBK"/>
          <w:b w:val="0"/>
          <w:bCs w:val="0"/>
        </w:rPr>
      </w:pPr>
      <w:r>
        <w:rPr>
          <w:rFonts w:hint="eastAsia" w:ascii="方正仿宋_GBK" w:hAnsi="方正仿宋_GBK" w:cs="方正仿宋_GBK"/>
          <w:b w:val="0"/>
          <w:bCs w:val="0"/>
        </w:rPr>
        <w:t>再次，新冠肺炎疫情给城市发展带来了巨大的影响与冲击，增强城市应急管理能力、风险防控能力、城市</w:t>
      </w:r>
      <w:r>
        <w:rPr>
          <w:rFonts w:hint="default" w:ascii="方正仿宋_GBK" w:hAnsi="方正仿宋_GBK" w:cs="方正仿宋_GBK"/>
          <w:b w:val="0"/>
          <w:bCs w:val="0"/>
          <w:szCs w:val="32"/>
        </w:rPr>
        <w:t>“</w:t>
      </w:r>
      <w:r>
        <w:rPr>
          <w:rFonts w:hint="eastAsia" w:ascii="方正仿宋_GBK" w:hAnsi="方正仿宋_GBK" w:cs="方正仿宋_GBK"/>
          <w:b w:val="0"/>
          <w:bCs w:val="0"/>
        </w:rPr>
        <w:t>韧性”更显重要和紧迫。</w:t>
      </w:r>
    </w:p>
    <w:p>
      <w:pPr>
        <w:snapToGrid w:val="0"/>
        <w:spacing w:line="276" w:lineRule="auto"/>
        <w:ind w:left="640"/>
        <w:jc w:val="both"/>
        <w:rPr>
          <w:b w:val="0"/>
          <w:bCs w:val="0"/>
        </w:rPr>
      </w:pPr>
    </w:p>
    <w:p>
      <w:pPr>
        <w:snapToGrid w:val="0"/>
        <w:spacing w:before="0" w:after="0" w:line="276" w:lineRule="auto"/>
        <w:ind w:firstLine="0" w:firstLineChars="0"/>
        <w:jc w:val="center"/>
        <w:rPr>
          <w:rFonts w:hint="eastAsia" w:ascii="方正小标宋_GBK" w:hAnsi="方正小标宋_GBK" w:eastAsia="方正小标宋_GBK" w:cs="方正小标宋_GBK"/>
          <w:b w:val="0"/>
          <w:bCs w:val="0"/>
          <w:sz w:val="32"/>
          <w:szCs w:val="32"/>
        </w:rPr>
      </w:pPr>
      <w:bookmarkStart w:id="75" w:name="_Toc74151071"/>
      <w:bookmarkStart w:id="76" w:name="_Toc1493731451_WPSOffice_Level1"/>
      <w:bookmarkStart w:id="77" w:name="_Toc29392"/>
      <w:bookmarkStart w:id="78" w:name="_Toc734440047_WPSOffice_Level1"/>
      <w:bookmarkStart w:id="79" w:name="_Toc17748"/>
      <w:r>
        <w:rPr>
          <w:rFonts w:hint="eastAsia" w:ascii="方正小标宋_GBK" w:hAnsi="方正小标宋_GBK" w:eastAsia="方正小标宋_GBK" w:cs="方正小标宋_GBK"/>
          <w:b w:val="0"/>
          <w:bCs w:val="0"/>
          <w:sz w:val="32"/>
          <w:szCs w:val="32"/>
        </w:rPr>
        <w:t>第二章  指导思想和发展目标</w:t>
      </w:r>
      <w:bookmarkEnd w:id="75"/>
      <w:bookmarkEnd w:id="76"/>
      <w:bookmarkEnd w:id="77"/>
      <w:bookmarkEnd w:id="78"/>
      <w:bookmarkEnd w:id="79"/>
    </w:p>
    <w:p>
      <w:pPr>
        <w:snapToGrid w:val="0"/>
        <w:spacing w:before="0" w:after="0" w:line="276" w:lineRule="auto"/>
        <w:ind w:firstLine="640"/>
        <w:jc w:val="both"/>
        <w:rPr>
          <w:rFonts w:hint="default" w:ascii="方正仿宋_GBK" w:hAnsi="方正仿宋_GBK" w:eastAsia="方正仿宋_GBK" w:cs="方正仿宋_GBK"/>
          <w:b w:val="0"/>
          <w:bCs w:val="0"/>
        </w:rPr>
      </w:pPr>
      <w:bookmarkStart w:id="80" w:name="_Toc70450402"/>
      <w:bookmarkStart w:id="81" w:name="_Toc16072"/>
      <w:bookmarkStart w:id="82" w:name="_Toc74151072"/>
      <w:bookmarkStart w:id="83" w:name="_Toc27958"/>
    </w:p>
    <w:p>
      <w:pPr>
        <w:snapToGrid w:val="0"/>
        <w:spacing w:before="0" w:after="0" w:line="276" w:lineRule="auto"/>
        <w:ind w:firstLine="0" w:firstLineChars="0"/>
        <w:jc w:val="center"/>
        <w:rPr>
          <w:rFonts w:hint="eastAsia" w:ascii="方正黑体_GBK" w:hAnsi="方正黑体_GBK" w:eastAsia="方正黑体_GBK" w:cs="方正黑体_GBK"/>
          <w:b w:val="0"/>
          <w:bCs w:val="0"/>
        </w:rPr>
      </w:pPr>
      <w:bookmarkStart w:id="84" w:name="_Toc925494592_WPSOffice_Level2"/>
      <w:bookmarkStart w:id="85" w:name="_Toc1442005624_WPSOffice_Level2"/>
      <w:r>
        <w:rPr>
          <w:rFonts w:hint="default" w:ascii="方正黑体_GBK" w:hAnsi="方正黑体_GBK" w:eastAsia="方正黑体_GBK" w:cs="方正黑体_GBK"/>
          <w:b w:val="0"/>
          <w:bCs w:val="0"/>
        </w:rPr>
        <w:t>第一节  指导思想</w:t>
      </w:r>
      <w:bookmarkEnd w:id="80"/>
      <w:bookmarkEnd w:id="81"/>
      <w:bookmarkEnd w:id="82"/>
      <w:bookmarkEnd w:id="83"/>
      <w:bookmarkEnd w:id="84"/>
      <w:bookmarkEnd w:id="85"/>
    </w:p>
    <w:p>
      <w:pPr>
        <w:snapToGrid w:val="0"/>
        <w:spacing w:line="276" w:lineRule="auto"/>
        <w:ind w:firstLine="0"/>
        <w:rPr>
          <w:rFonts w:hint="eastAsia" w:ascii="方正仿宋_GBK" w:hAnsi="方正仿宋_GBK" w:cs="方正仿宋_GBK"/>
          <w:b w:val="0"/>
          <w:bCs w:val="0"/>
        </w:rPr>
      </w:pPr>
    </w:p>
    <w:p>
      <w:pPr>
        <w:snapToGrid w:val="0"/>
        <w:spacing w:line="276" w:lineRule="auto"/>
        <w:ind w:firstLine="0"/>
        <w:rPr>
          <w:rFonts w:ascii="方正仿宋_GBK" w:hAnsi="方正仿宋_GBK" w:cs="方正仿宋_GBK"/>
          <w:b w:val="0"/>
          <w:bCs w:val="0"/>
          <w:szCs w:val="32"/>
        </w:rPr>
      </w:pPr>
      <w:r>
        <w:rPr>
          <w:rFonts w:hint="eastAsia" w:ascii="方正仿宋_GBK" w:hAnsi="方正仿宋_GBK" w:cs="方正仿宋_GBK"/>
          <w:b w:val="0"/>
          <w:bCs w:val="0"/>
        </w:rPr>
        <w:t>高举中国特色社会主义伟大旗帜，深入贯彻党的十九大和十九届二中、三中、四中、五中、六中全会精神，以习近平新时代中国特色社会主义思想为指导，始终坚持以人民为中心的发展思想，认识和尊重城市发展客观规律，坚定不移贯彻创新、协调、绿色、开放、共享的新发展理念。全面贯彻落实永川“2235”总体发展思路</w:t>
      </w:r>
      <w:r>
        <w:rPr>
          <w:rFonts w:ascii="方正仿宋_GBK" w:hAnsi="方正仿宋_GBK" w:cs="方正仿宋_GBK"/>
          <w:b w:val="0"/>
          <w:bCs w:val="0"/>
          <w:szCs w:val="32"/>
        </w:rPr>
        <w:t>，</w:t>
      </w:r>
      <w:r>
        <w:rPr>
          <w:rFonts w:hint="eastAsia" w:ascii="方正仿宋_GBK" w:hAnsi="方正仿宋_GBK" w:cs="方正仿宋_GBK"/>
          <w:b w:val="0"/>
          <w:bCs w:val="0"/>
        </w:rPr>
        <w:t>以提升城市管理治理体系和能力现代化水平为主线，</w:t>
      </w:r>
      <w:r>
        <w:rPr>
          <w:rFonts w:ascii="方正仿宋_GBK" w:hAnsi="方正仿宋_GBK" w:cs="方正仿宋_GBK"/>
          <w:b w:val="0"/>
          <w:bCs w:val="0"/>
          <w:szCs w:val="32"/>
        </w:rPr>
        <w:t>以改革创新为根本动力，以满足人民日益增长的美好生活需要为根本目的，统筹发展和安全，</w:t>
      </w:r>
      <w:r>
        <w:rPr>
          <w:rFonts w:hint="eastAsia" w:ascii="方正仿宋_GBK" w:hAnsi="方正仿宋_GBK" w:cs="方正仿宋_GBK"/>
          <w:b w:val="0"/>
          <w:bCs w:val="0"/>
        </w:rPr>
        <w:t>树立</w:t>
      </w:r>
      <w:r>
        <w:rPr>
          <w:rFonts w:hint="default" w:ascii="方正仿宋_GBK" w:hAnsi="方正仿宋_GBK" w:cs="方正仿宋_GBK"/>
          <w:b w:val="0"/>
          <w:bCs w:val="0"/>
          <w:szCs w:val="32"/>
        </w:rPr>
        <w:t>“</w:t>
      </w:r>
      <w:r>
        <w:rPr>
          <w:rFonts w:hint="eastAsia" w:ascii="方正仿宋_GBK" w:hAnsi="方正仿宋_GBK" w:cs="方正仿宋_GBK"/>
          <w:b w:val="0"/>
          <w:bCs w:val="0"/>
        </w:rPr>
        <w:t>全周期管理意识”，推动城市管理治理精细化、品质化、法治化、人文化，构建权责明晰、服务为先、管理优化、执法规范、安全有序的城市管理体制，</w:t>
      </w:r>
      <w:r>
        <w:rPr>
          <w:rFonts w:ascii="方正仿宋_GBK" w:hAnsi="方正仿宋_GBK" w:cs="方正仿宋_GBK"/>
          <w:b w:val="0"/>
          <w:bCs w:val="0"/>
          <w:szCs w:val="32"/>
        </w:rPr>
        <w:t>全力打造</w:t>
      </w:r>
      <w:r>
        <w:rPr>
          <w:rFonts w:hint="default" w:ascii="方正仿宋_GBK" w:hAnsi="方正仿宋_GBK" w:cs="方正仿宋_GBK"/>
          <w:b w:val="0"/>
          <w:bCs w:val="0"/>
          <w:szCs w:val="32"/>
        </w:rPr>
        <w:t>“</w:t>
      </w:r>
      <w:r>
        <w:rPr>
          <w:rFonts w:ascii="方正仿宋_GBK" w:hAnsi="方正仿宋_GBK" w:cs="方正仿宋_GBK"/>
          <w:b w:val="0"/>
          <w:bCs w:val="0"/>
          <w:szCs w:val="32"/>
        </w:rPr>
        <w:t>干净整洁有序、山清水秀城美、宜业宜居宜游</w:t>
      </w:r>
      <w:r>
        <w:rPr>
          <w:rFonts w:hint="eastAsia" w:ascii="方正仿宋_GBK" w:hAnsi="方正仿宋_GBK" w:cs="方正仿宋_GBK"/>
          <w:b w:val="0"/>
          <w:bCs w:val="0"/>
        </w:rPr>
        <w:t>”</w:t>
      </w:r>
      <w:r>
        <w:rPr>
          <w:rFonts w:ascii="方正仿宋_GBK" w:hAnsi="方正仿宋_GBK" w:cs="方正仿宋_GBK"/>
          <w:b w:val="0"/>
          <w:bCs w:val="0"/>
          <w:szCs w:val="32"/>
        </w:rPr>
        <w:t>的城市环境。</w:t>
      </w:r>
    </w:p>
    <w:p>
      <w:pPr>
        <w:snapToGrid w:val="0"/>
        <w:spacing w:line="276" w:lineRule="auto"/>
        <w:ind w:firstLine="0"/>
        <w:rPr>
          <w:rFonts w:ascii="方正仿宋_GBK" w:hAnsi="方正仿宋_GBK" w:cs="方正仿宋_GBK"/>
          <w:b w:val="0"/>
          <w:bCs w:val="0"/>
          <w:szCs w:val="32"/>
        </w:rPr>
      </w:pPr>
    </w:p>
    <w:p>
      <w:pPr>
        <w:snapToGrid w:val="0"/>
        <w:spacing w:before="0" w:after="0" w:line="276" w:lineRule="auto"/>
        <w:ind w:firstLine="0" w:firstLineChars="0"/>
        <w:jc w:val="center"/>
        <w:rPr>
          <w:rFonts w:hint="eastAsia" w:ascii="方正黑体_GBK" w:hAnsi="方正黑体_GBK" w:eastAsia="方正黑体_GBK" w:cs="方正黑体_GBK"/>
          <w:b w:val="0"/>
          <w:bCs w:val="0"/>
        </w:rPr>
      </w:pPr>
      <w:bookmarkStart w:id="86" w:name="_Toc2075450245_WPSOffice_Level2"/>
      <w:bookmarkStart w:id="87" w:name="_Toc217284991_WPSOffice_Level2"/>
      <w:bookmarkStart w:id="88" w:name="_Toc21195"/>
      <w:bookmarkStart w:id="89" w:name="_Toc3756"/>
      <w:r>
        <w:rPr>
          <w:rFonts w:hint="default" w:ascii="方正黑体_GBK" w:hAnsi="方正黑体_GBK" w:eastAsia="方正黑体_GBK" w:cs="方正黑体_GBK"/>
          <w:b w:val="0"/>
          <w:bCs w:val="0"/>
        </w:rPr>
        <w:t>第二节  基本原则</w:t>
      </w:r>
      <w:bookmarkEnd w:id="86"/>
      <w:bookmarkEnd w:id="87"/>
      <w:bookmarkEnd w:id="88"/>
      <w:bookmarkEnd w:id="89"/>
    </w:p>
    <w:p>
      <w:pPr>
        <w:snapToGrid w:val="0"/>
        <w:spacing w:line="276" w:lineRule="auto"/>
        <w:ind w:firstLine="0"/>
        <w:rPr>
          <w:rFonts w:hint="eastAsia"/>
          <w:b w:val="0"/>
          <w:bCs w:val="0"/>
        </w:rPr>
      </w:pPr>
    </w:p>
    <w:p>
      <w:pPr>
        <w:snapToGrid w:val="0"/>
        <w:spacing w:line="276" w:lineRule="auto"/>
        <w:ind w:firstLine="0"/>
        <w:rPr>
          <w:b w:val="0"/>
          <w:bCs w:val="0"/>
        </w:rPr>
      </w:pPr>
      <w:r>
        <w:rPr>
          <w:rFonts w:hint="eastAsia"/>
          <w:b w:val="0"/>
          <w:bCs w:val="0"/>
        </w:rPr>
        <w:t>“十四五”时期永川区城市管理工作必须遵循的原则是：</w:t>
      </w:r>
    </w:p>
    <w:p>
      <w:pPr>
        <w:snapToGrid w:val="0"/>
        <w:spacing w:line="276" w:lineRule="auto"/>
        <w:ind w:firstLine="0"/>
        <w:rPr>
          <w:rFonts w:hint="eastAsia" w:ascii="方正仿宋_GBK" w:hAnsi="方正仿宋_GBK" w:cs="方正仿宋_GBK"/>
          <w:b w:val="0"/>
          <w:bCs w:val="0"/>
        </w:rPr>
      </w:pPr>
      <w:bookmarkStart w:id="90" w:name="_Toc4167"/>
      <w:bookmarkStart w:id="91" w:name="_Toc32470"/>
      <w:bookmarkStart w:id="92" w:name="_Toc15945"/>
      <w:r>
        <w:rPr>
          <w:rFonts w:hint="default" w:ascii="方正仿宋_GBK" w:eastAsia="方正仿宋_GBK"/>
          <w:b w:val="0"/>
          <w:bCs w:val="0"/>
        </w:rPr>
        <w:t>——坚持以人民为中心。</w:t>
      </w:r>
      <w:r>
        <w:rPr>
          <w:rFonts w:hint="eastAsia" w:ascii="方正仿宋_GBK" w:hAnsi="方正仿宋_GBK" w:cs="方正仿宋_GBK"/>
          <w:b w:val="0"/>
          <w:bCs w:val="0"/>
        </w:rPr>
        <w:t>坚持以人民为中心，聚焦人民群众的需求，明确城市属于人民、城市发展为了人民、城市治理依靠人民，回应人民群众对良好人居环境的向往和需求，破解制约发展、群众反映强烈的突出问题，优先推进获得感明显的重大民生项目，创新治理方式，</w:t>
      </w:r>
      <w:bookmarkEnd w:id="90"/>
      <w:bookmarkEnd w:id="91"/>
      <w:r>
        <w:rPr>
          <w:rFonts w:hint="eastAsia" w:ascii="方正仿宋_GBK" w:hAnsi="方正仿宋_GBK" w:cs="方正仿宋_GBK"/>
          <w:b w:val="0"/>
          <w:bCs w:val="0"/>
        </w:rPr>
        <w:t>提高人民群众的获得感、幸福感。</w:t>
      </w:r>
      <w:bookmarkEnd w:id="92"/>
    </w:p>
    <w:p>
      <w:pPr>
        <w:snapToGrid w:val="0"/>
        <w:spacing w:line="276" w:lineRule="auto"/>
        <w:ind w:firstLine="0"/>
        <w:rPr>
          <w:rFonts w:hint="eastAsia" w:ascii="方正仿宋_GBK" w:hAnsi="方正仿宋_GBK" w:cs="方正仿宋_GBK"/>
          <w:b w:val="0"/>
          <w:bCs w:val="0"/>
        </w:rPr>
      </w:pPr>
      <w:r>
        <w:rPr>
          <w:rFonts w:hint="default" w:ascii="方正仿宋_GBK" w:eastAsia="方正仿宋_GBK"/>
          <w:b w:val="0"/>
          <w:bCs w:val="0"/>
        </w:rPr>
        <w:t>——坚持新发展理念</w:t>
      </w:r>
      <w:r>
        <w:rPr>
          <w:rFonts w:hint="eastAsia"/>
          <w:b w:val="0"/>
          <w:bCs w:val="0"/>
        </w:rPr>
        <w:t>。</w:t>
      </w:r>
      <w:r>
        <w:rPr>
          <w:rFonts w:hint="eastAsia" w:ascii="方正仿宋_GBK" w:hAnsi="方正仿宋_GBK" w:cs="方正仿宋_GBK"/>
          <w:b w:val="0"/>
          <w:bCs w:val="0"/>
        </w:rPr>
        <w:t xml:space="preserve">坚定不移走高质量发展之路，强化全周期意识，把新发展理念贯穿到城市管理的全过程和各领域，提升城市管理绿色低碳发展服务水平，创新城市管理科学技术手段，推动城市管理优化升级。 </w:t>
      </w:r>
    </w:p>
    <w:p>
      <w:pPr>
        <w:snapToGrid w:val="0"/>
        <w:spacing w:line="276" w:lineRule="auto"/>
        <w:ind w:firstLine="0"/>
        <w:rPr>
          <w:rFonts w:hint="eastAsia" w:ascii="方正仿宋_GBK" w:hAnsi="方正仿宋_GBK" w:cs="方正仿宋_GBK"/>
          <w:b w:val="0"/>
          <w:bCs w:val="0"/>
        </w:rPr>
      </w:pPr>
      <w:r>
        <w:rPr>
          <w:rFonts w:hint="default" w:ascii="方正仿宋_GBK" w:eastAsia="方正仿宋_GBK"/>
          <w:b w:val="0"/>
          <w:bCs w:val="0"/>
        </w:rPr>
        <w:t>——坚持改革创新。</w:t>
      </w:r>
      <w:r>
        <w:rPr>
          <w:rFonts w:hint="eastAsia" w:ascii="方正仿宋_GBK" w:hAnsi="方正仿宋_GBK" w:cs="方正仿宋_GBK"/>
          <w:b w:val="0"/>
          <w:bCs w:val="0"/>
        </w:rPr>
        <w:t>加强治理体系和治理能力的现代化指引，认识、尊重、顺应城市发展规律，结合城市自然禀赋、现实基础和发展条件，在服务国家战略和重庆发展全局中找准定位，通过管理创新、体制创新，建立更高层次的综合协调机制，实现高效能治理。</w:t>
      </w:r>
    </w:p>
    <w:p>
      <w:pPr>
        <w:snapToGrid w:val="0"/>
        <w:spacing w:line="276" w:lineRule="auto"/>
        <w:ind w:firstLine="0"/>
        <w:rPr>
          <w:rFonts w:hint="eastAsia" w:ascii="方正仿宋_GBK" w:hAnsi="方正仿宋_GBK" w:cs="方正仿宋_GBK"/>
          <w:b w:val="0"/>
          <w:bCs w:val="0"/>
        </w:rPr>
      </w:pPr>
      <w:bookmarkStart w:id="93" w:name="_Toc30679"/>
      <w:r>
        <w:rPr>
          <w:rFonts w:hint="default" w:ascii="方正仿宋_GBK" w:eastAsia="方正仿宋_GBK"/>
          <w:b w:val="0"/>
          <w:bCs w:val="0"/>
        </w:rPr>
        <w:t>——坚持系统观念。</w:t>
      </w:r>
      <w:r>
        <w:rPr>
          <w:rFonts w:hint="eastAsia" w:ascii="方正仿宋_GBK" w:hAnsi="方正仿宋_GBK" w:cs="方正仿宋_GBK"/>
          <w:b w:val="0"/>
          <w:bCs w:val="0"/>
        </w:rPr>
        <w:t>加强前瞻性思考、全局性谋划、战略性布局、整体性推进，更加注重从全局谋划一域，以一域服务全局，着力固根基、扬优势、补短板、强弱项，按照</w:t>
      </w:r>
      <w:r>
        <w:rPr>
          <w:rFonts w:hint="default" w:ascii="方正仿宋_GBK" w:hAnsi="方正仿宋_GBK" w:cs="方正仿宋_GBK"/>
          <w:b w:val="0"/>
          <w:bCs w:val="0"/>
          <w:szCs w:val="32"/>
        </w:rPr>
        <w:t>“</w:t>
      </w:r>
      <w:r>
        <w:rPr>
          <w:rFonts w:hint="eastAsia" w:ascii="方正仿宋_GBK" w:hAnsi="方正仿宋_GBK" w:cs="方正仿宋_GBK"/>
          <w:b w:val="0"/>
          <w:bCs w:val="0"/>
        </w:rPr>
        <w:t>城市是生命体、有机体”的要求，统筹城市管理工作的各个方面各个环节，整合各类资源，调动各方力量，形成推进城市管理的工作合力。</w:t>
      </w:r>
      <w:bookmarkEnd w:id="93"/>
    </w:p>
    <w:p>
      <w:pPr>
        <w:snapToGrid w:val="0"/>
        <w:spacing w:line="276" w:lineRule="auto"/>
        <w:ind w:firstLine="0"/>
        <w:rPr>
          <w:rFonts w:hint="eastAsia" w:ascii="方正仿宋_GBK" w:hAnsi="方正仿宋_GBK" w:cs="方正仿宋_GBK"/>
          <w:b w:val="0"/>
          <w:bCs w:val="0"/>
        </w:rPr>
      </w:pPr>
    </w:p>
    <w:p>
      <w:pPr>
        <w:snapToGrid w:val="0"/>
        <w:spacing w:before="0" w:after="0" w:line="276" w:lineRule="auto"/>
        <w:ind w:firstLine="0" w:firstLineChars="0"/>
        <w:jc w:val="center"/>
        <w:rPr>
          <w:rFonts w:hint="eastAsia" w:ascii="方正黑体_GBK" w:hAnsi="方正黑体_GBK" w:eastAsia="方正黑体_GBK" w:cs="方正黑体_GBK"/>
          <w:b w:val="0"/>
          <w:bCs w:val="0"/>
        </w:rPr>
      </w:pPr>
      <w:bookmarkStart w:id="94" w:name="_Toc16945"/>
      <w:bookmarkStart w:id="95" w:name="_Toc50067626_WPSOffice_Level2"/>
      <w:bookmarkStart w:id="96" w:name="_Toc3494"/>
      <w:bookmarkStart w:id="97" w:name="_Toc1626154241_WPSOffice_Level2"/>
      <w:r>
        <w:rPr>
          <w:rFonts w:hint="default" w:ascii="方正黑体_GBK" w:hAnsi="方正黑体_GBK" w:eastAsia="方正黑体_GBK" w:cs="方正黑体_GBK"/>
          <w:b w:val="0"/>
          <w:bCs w:val="0"/>
        </w:rPr>
        <w:t>第三节  规划依据</w:t>
      </w:r>
      <w:bookmarkEnd w:id="94"/>
      <w:bookmarkEnd w:id="95"/>
      <w:bookmarkEnd w:id="96"/>
      <w:bookmarkEnd w:id="97"/>
    </w:p>
    <w:p>
      <w:pPr>
        <w:snapToGrid w:val="0"/>
        <w:spacing w:line="276" w:lineRule="auto"/>
        <w:ind w:firstLine="0"/>
        <w:rPr>
          <w:rFonts w:hint="eastAsia" w:ascii="方正仿宋_GBK" w:hAnsi="方正仿宋_GBK" w:cs="方正仿宋_GBK"/>
          <w:b w:val="0"/>
          <w:bCs w:val="0"/>
        </w:rPr>
      </w:pPr>
    </w:p>
    <w:p>
      <w:pPr>
        <w:snapToGrid w:val="0"/>
        <w:spacing w:line="276" w:lineRule="auto"/>
        <w:ind w:firstLine="0"/>
        <w:rPr>
          <w:rFonts w:hint="eastAsia" w:ascii="方正仿宋_GBK" w:hAnsi="方正仿宋_GBK" w:cs="方正仿宋_GBK"/>
          <w:b w:val="0"/>
          <w:bCs w:val="0"/>
        </w:rPr>
      </w:pPr>
      <w:r>
        <w:rPr>
          <w:rFonts w:hint="eastAsia" w:ascii="方正仿宋_GBK" w:hAnsi="方正仿宋_GBK" w:cs="方正仿宋_GBK"/>
          <w:b w:val="0"/>
          <w:bCs w:val="0"/>
        </w:rPr>
        <w:t>本规划主要依据的法律法规、标准规范、规范性文件等如下：</w:t>
      </w:r>
    </w:p>
    <w:p>
      <w:pPr>
        <w:snapToGrid w:val="0"/>
        <w:spacing w:before="0" w:after="0" w:line="276" w:lineRule="auto"/>
        <w:ind w:firstLine="643"/>
        <w:jc w:val="both"/>
        <w:rPr>
          <w:rFonts w:hint="eastAsia"/>
          <w:b w:val="0"/>
          <w:bCs w:val="0"/>
        </w:rPr>
      </w:pPr>
      <w:r>
        <w:rPr>
          <w:rFonts w:hint="default"/>
          <w:b w:val="0"/>
          <w:bCs w:val="0"/>
        </w:rPr>
        <w:t>一、法律法规</w:t>
      </w:r>
    </w:p>
    <w:p>
      <w:pPr>
        <w:snapToGrid w:val="0"/>
        <w:spacing w:line="276" w:lineRule="auto"/>
        <w:ind w:firstLine="0"/>
        <w:rPr>
          <w:b w:val="0"/>
          <w:bCs w:val="0"/>
        </w:rPr>
      </w:pPr>
      <w:r>
        <w:rPr>
          <w:rFonts w:hint="eastAsia"/>
          <w:b w:val="0"/>
          <w:bCs w:val="0"/>
        </w:rPr>
        <w:t>《中华人民共和国城乡规划法》</w:t>
      </w:r>
    </w:p>
    <w:p>
      <w:pPr>
        <w:snapToGrid w:val="0"/>
        <w:spacing w:line="276" w:lineRule="auto"/>
        <w:ind w:firstLine="0"/>
        <w:rPr>
          <w:b w:val="0"/>
          <w:bCs w:val="0"/>
        </w:rPr>
      </w:pPr>
      <w:r>
        <w:rPr>
          <w:rFonts w:hint="eastAsia"/>
          <w:b w:val="0"/>
          <w:bCs w:val="0"/>
        </w:rPr>
        <w:t>《重庆市城乡规划条例》</w:t>
      </w:r>
    </w:p>
    <w:p>
      <w:pPr>
        <w:snapToGrid w:val="0"/>
        <w:spacing w:line="276" w:lineRule="auto"/>
        <w:ind w:firstLine="0"/>
        <w:rPr>
          <w:b w:val="0"/>
          <w:bCs w:val="0"/>
        </w:rPr>
      </w:pPr>
      <w:r>
        <w:rPr>
          <w:rFonts w:hint="eastAsia"/>
          <w:b w:val="0"/>
          <w:bCs w:val="0"/>
        </w:rPr>
        <w:t>《重庆市城市园林绿化条例》</w:t>
      </w:r>
    </w:p>
    <w:p>
      <w:pPr>
        <w:snapToGrid w:val="0"/>
        <w:spacing w:line="276" w:lineRule="auto"/>
        <w:ind w:firstLine="0"/>
        <w:rPr>
          <w:b w:val="0"/>
          <w:bCs w:val="0"/>
        </w:rPr>
      </w:pPr>
      <w:r>
        <w:rPr>
          <w:rFonts w:hint="eastAsia"/>
          <w:b w:val="0"/>
          <w:bCs w:val="0"/>
        </w:rPr>
        <w:t>《重庆市行政执法监督条例》</w:t>
      </w:r>
    </w:p>
    <w:p>
      <w:pPr>
        <w:snapToGrid w:val="0"/>
        <w:spacing w:line="276" w:lineRule="auto"/>
        <w:ind w:firstLine="0"/>
        <w:rPr>
          <w:b w:val="0"/>
          <w:bCs w:val="0"/>
        </w:rPr>
      </w:pPr>
      <w:r>
        <w:rPr>
          <w:rFonts w:hint="eastAsia"/>
          <w:b w:val="0"/>
          <w:bCs w:val="0"/>
        </w:rPr>
        <w:t>《重庆市公园管理条例》</w:t>
      </w:r>
    </w:p>
    <w:p>
      <w:pPr>
        <w:snapToGrid w:val="0"/>
        <w:spacing w:line="276" w:lineRule="auto"/>
        <w:ind w:firstLine="0"/>
        <w:rPr>
          <w:b w:val="0"/>
          <w:bCs w:val="0"/>
        </w:rPr>
      </w:pPr>
      <w:r>
        <w:rPr>
          <w:rFonts w:hint="eastAsia"/>
          <w:b w:val="0"/>
          <w:bCs w:val="0"/>
        </w:rPr>
        <w:t>《重庆市户外广告管理条例》</w:t>
      </w:r>
    </w:p>
    <w:p>
      <w:pPr>
        <w:snapToGrid w:val="0"/>
        <w:spacing w:line="276" w:lineRule="auto"/>
        <w:ind w:firstLine="0"/>
        <w:rPr>
          <w:b w:val="0"/>
          <w:bCs w:val="0"/>
        </w:rPr>
      </w:pPr>
      <w:r>
        <w:rPr>
          <w:rFonts w:hint="eastAsia"/>
          <w:b w:val="0"/>
          <w:bCs w:val="0"/>
        </w:rPr>
        <w:t>《重庆市城市供水节水管理条例》</w:t>
      </w:r>
    </w:p>
    <w:p>
      <w:pPr>
        <w:snapToGrid w:val="0"/>
        <w:spacing w:line="276" w:lineRule="auto"/>
        <w:ind w:firstLine="0"/>
        <w:rPr>
          <w:b w:val="0"/>
          <w:bCs w:val="0"/>
        </w:rPr>
      </w:pPr>
      <w:r>
        <w:rPr>
          <w:rFonts w:hint="eastAsia"/>
          <w:b w:val="0"/>
          <w:bCs w:val="0"/>
        </w:rPr>
        <w:t>《重庆市市容环境卫生管理条例》</w:t>
      </w:r>
    </w:p>
    <w:p>
      <w:pPr>
        <w:snapToGrid w:val="0"/>
        <w:spacing w:line="276" w:lineRule="auto"/>
        <w:ind w:firstLine="0"/>
        <w:rPr>
          <w:b w:val="0"/>
          <w:bCs w:val="0"/>
        </w:rPr>
      </w:pPr>
      <w:r>
        <w:rPr>
          <w:rFonts w:hint="eastAsia"/>
          <w:b w:val="0"/>
          <w:bCs w:val="0"/>
        </w:rPr>
        <w:t>《重庆市市政设施管理条例》</w:t>
      </w:r>
    </w:p>
    <w:p>
      <w:pPr>
        <w:snapToGrid w:val="0"/>
        <w:spacing w:before="0" w:after="0" w:line="276" w:lineRule="auto"/>
        <w:ind w:firstLine="643"/>
        <w:jc w:val="both"/>
        <w:rPr>
          <w:rFonts w:hint="eastAsia"/>
          <w:b w:val="0"/>
          <w:bCs w:val="0"/>
        </w:rPr>
      </w:pPr>
      <w:r>
        <w:rPr>
          <w:rFonts w:hint="default"/>
          <w:b w:val="0"/>
          <w:bCs w:val="0"/>
        </w:rPr>
        <w:t>二、标准规范</w:t>
      </w:r>
    </w:p>
    <w:p>
      <w:pPr>
        <w:snapToGrid w:val="0"/>
        <w:spacing w:line="276" w:lineRule="auto"/>
        <w:ind w:firstLine="0"/>
        <w:rPr>
          <w:rFonts w:hint="eastAsia" w:ascii="方正仿宋_GBK" w:hAnsi="方正仿宋_GBK" w:cs="方正仿宋_GBK"/>
          <w:b w:val="0"/>
          <w:bCs w:val="0"/>
        </w:rPr>
      </w:pPr>
      <w:r>
        <w:rPr>
          <w:rFonts w:hint="eastAsia" w:ascii="方正仿宋_GBK" w:hAnsi="方正仿宋_GBK" w:cs="方正仿宋_GBK"/>
          <w:b w:val="0"/>
          <w:bCs w:val="0"/>
        </w:rPr>
        <w:t>《城市停车规划规范》（GB／T 51149-2016）</w:t>
      </w:r>
    </w:p>
    <w:p>
      <w:pPr>
        <w:snapToGrid w:val="0"/>
        <w:spacing w:line="276" w:lineRule="auto"/>
        <w:ind w:firstLine="0"/>
        <w:rPr>
          <w:rFonts w:hint="eastAsia" w:ascii="方正仿宋_GBK" w:hAnsi="方正仿宋_GBK" w:cs="方正仿宋_GBK"/>
          <w:b w:val="0"/>
          <w:bCs w:val="0"/>
        </w:rPr>
      </w:pPr>
      <w:r>
        <w:rPr>
          <w:rFonts w:hint="eastAsia" w:ascii="方正仿宋_GBK" w:hAnsi="方正仿宋_GBK" w:cs="方正仿宋_GBK"/>
          <w:b w:val="0"/>
          <w:bCs w:val="0"/>
        </w:rPr>
        <w:t>《城市绿地规划标准》（GB／T 51346-2019）</w:t>
      </w:r>
    </w:p>
    <w:p>
      <w:pPr>
        <w:snapToGrid w:val="0"/>
        <w:spacing w:line="276" w:lineRule="auto"/>
        <w:ind w:firstLine="0"/>
        <w:rPr>
          <w:rFonts w:hint="eastAsia" w:ascii="方正仿宋_GBK" w:hAnsi="方正仿宋_GBK" w:cs="方正仿宋_GBK"/>
          <w:b w:val="0"/>
          <w:bCs w:val="0"/>
        </w:rPr>
      </w:pPr>
      <w:r>
        <w:rPr>
          <w:rFonts w:hint="eastAsia" w:ascii="方正仿宋_GBK" w:hAnsi="方正仿宋_GBK" w:cs="方正仿宋_GBK"/>
          <w:b w:val="0"/>
          <w:bCs w:val="0"/>
        </w:rPr>
        <w:t>《城市公共厕所设计标准》（CJJ14-2016）</w:t>
      </w:r>
    </w:p>
    <w:p>
      <w:pPr>
        <w:snapToGrid w:val="0"/>
        <w:spacing w:line="276" w:lineRule="auto"/>
        <w:ind w:firstLine="0"/>
        <w:rPr>
          <w:rFonts w:hint="eastAsia" w:ascii="方正仿宋_GBK" w:hAnsi="方正仿宋_GBK" w:cs="方正仿宋_GBK"/>
          <w:b w:val="0"/>
          <w:bCs w:val="0"/>
        </w:rPr>
      </w:pPr>
      <w:r>
        <w:rPr>
          <w:rFonts w:hint="eastAsia" w:ascii="方正仿宋_GBK" w:hAnsi="方正仿宋_GBK" w:cs="方正仿宋_GBK"/>
          <w:b w:val="0"/>
          <w:bCs w:val="0"/>
        </w:rPr>
        <w:t>《城镇供水管网漏损控制及评定标准》（CJJ／T 92-2016）</w:t>
      </w:r>
    </w:p>
    <w:p>
      <w:pPr>
        <w:snapToGrid w:val="0"/>
        <w:spacing w:line="276" w:lineRule="auto"/>
        <w:ind w:firstLine="0"/>
        <w:rPr>
          <w:rFonts w:hint="eastAsia" w:ascii="方正仿宋_GBK" w:hAnsi="方正仿宋_GBK" w:cs="方正仿宋_GBK"/>
          <w:b w:val="0"/>
          <w:bCs w:val="0"/>
        </w:rPr>
      </w:pPr>
      <w:r>
        <w:rPr>
          <w:rFonts w:hint="eastAsia" w:ascii="方正仿宋_GBK" w:hAnsi="方正仿宋_GBK" w:cs="方正仿宋_GBK"/>
          <w:b w:val="0"/>
          <w:bCs w:val="0"/>
        </w:rPr>
        <w:t>《建筑垃圾处理技术标准》（CJJ／T 134-2019）</w:t>
      </w:r>
    </w:p>
    <w:p>
      <w:pPr>
        <w:snapToGrid w:val="0"/>
        <w:spacing w:before="0" w:after="0" w:line="276" w:lineRule="auto"/>
        <w:ind w:firstLine="643"/>
        <w:jc w:val="both"/>
        <w:rPr>
          <w:rFonts w:hint="eastAsia"/>
          <w:b w:val="0"/>
          <w:bCs w:val="0"/>
        </w:rPr>
      </w:pPr>
      <w:r>
        <w:rPr>
          <w:rFonts w:hint="default"/>
          <w:b w:val="0"/>
          <w:bCs w:val="0"/>
        </w:rPr>
        <w:t>三、规范性文件</w:t>
      </w:r>
    </w:p>
    <w:p>
      <w:pPr>
        <w:snapToGrid w:val="0"/>
        <w:spacing w:line="276" w:lineRule="auto"/>
        <w:ind w:firstLine="0"/>
        <w:rPr>
          <w:rFonts w:hint="eastAsia" w:ascii="方正仿宋_GBK" w:hAnsi="方正仿宋_GBK" w:cs="方正仿宋_GBK"/>
          <w:b w:val="0"/>
          <w:bCs w:val="0"/>
        </w:rPr>
      </w:pPr>
      <w:r>
        <w:rPr>
          <w:rFonts w:hint="eastAsia" w:ascii="方正仿宋_GBK" w:hAnsi="方正仿宋_GBK" w:cs="方正仿宋_GBK"/>
          <w:b w:val="0"/>
          <w:bCs w:val="0"/>
        </w:rPr>
        <w:t>《城市管理执法办法》（住房和城乡建设部令第34号）</w:t>
      </w:r>
    </w:p>
    <w:p>
      <w:pPr>
        <w:snapToGrid w:val="0"/>
        <w:spacing w:line="276" w:lineRule="auto"/>
        <w:ind w:firstLine="0"/>
        <w:rPr>
          <w:rFonts w:hint="eastAsia" w:ascii="方正仿宋_GBK" w:hAnsi="方正仿宋_GBK" w:cs="方正仿宋_GBK"/>
          <w:b w:val="0"/>
          <w:bCs w:val="0"/>
        </w:rPr>
      </w:pPr>
      <w:r>
        <w:rPr>
          <w:rFonts w:hint="eastAsia" w:ascii="方正仿宋_GBK" w:hAnsi="方正仿宋_GBK" w:cs="方正仿宋_GBK"/>
          <w:b w:val="0"/>
          <w:bCs w:val="0"/>
        </w:rPr>
        <w:t>《城市公厕管理办法》（建设部令第9号）</w:t>
      </w:r>
    </w:p>
    <w:p>
      <w:pPr>
        <w:snapToGrid w:val="0"/>
        <w:spacing w:line="276" w:lineRule="auto"/>
        <w:ind w:firstLine="0"/>
        <w:rPr>
          <w:rFonts w:hint="eastAsia" w:ascii="方正仿宋_GBK" w:hAnsi="方正仿宋_GBK" w:cs="方正仿宋_GBK"/>
          <w:b w:val="0"/>
          <w:bCs w:val="0"/>
        </w:rPr>
      </w:pPr>
      <w:r>
        <w:rPr>
          <w:rFonts w:hint="eastAsia" w:ascii="方正仿宋_GBK" w:hAnsi="方正仿宋_GBK" w:cs="方正仿宋_GBK"/>
          <w:b w:val="0"/>
          <w:bCs w:val="0"/>
        </w:rPr>
        <w:t>《城市节约用水管理规定》（建设部令第1号）</w:t>
      </w:r>
    </w:p>
    <w:p>
      <w:pPr>
        <w:snapToGrid w:val="0"/>
        <w:spacing w:line="276" w:lineRule="auto"/>
        <w:ind w:firstLine="0"/>
        <w:rPr>
          <w:rFonts w:hint="eastAsia" w:ascii="方正仿宋_GBK" w:hAnsi="方正仿宋_GBK" w:cs="方正仿宋_GBK"/>
          <w:b w:val="0"/>
          <w:bCs w:val="0"/>
        </w:rPr>
      </w:pPr>
      <w:r>
        <w:rPr>
          <w:rFonts w:hint="eastAsia" w:ascii="方正仿宋_GBK" w:hAnsi="方正仿宋_GBK" w:cs="方正仿宋_GBK"/>
          <w:b w:val="0"/>
          <w:bCs w:val="0"/>
        </w:rPr>
        <w:t>《城市供水水质管理规定》（建设部令第156号）</w:t>
      </w:r>
    </w:p>
    <w:p>
      <w:pPr>
        <w:snapToGrid w:val="0"/>
        <w:spacing w:line="276" w:lineRule="auto"/>
        <w:ind w:firstLine="0"/>
        <w:rPr>
          <w:rFonts w:hint="eastAsia" w:ascii="方正仿宋_GBK" w:hAnsi="方正仿宋_GBK" w:cs="方正仿宋_GBK"/>
          <w:b w:val="0"/>
          <w:bCs w:val="0"/>
        </w:rPr>
      </w:pPr>
      <w:r>
        <w:rPr>
          <w:rFonts w:hint="eastAsia" w:ascii="方正仿宋_GBK" w:hAnsi="方正仿宋_GBK" w:cs="方正仿宋_GBK"/>
          <w:b w:val="0"/>
          <w:bCs w:val="0"/>
        </w:rPr>
        <w:t>《城市绿线管理办法》（建设部令第112号）</w:t>
      </w:r>
    </w:p>
    <w:p>
      <w:pPr>
        <w:snapToGrid w:val="0"/>
        <w:spacing w:line="276" w:lineRule="auto"/>
        <w:ind w:firstLine="0"/>
        <w:rPr>
          <w:rFonts w:hint="eastAsia" w:ascii="方正仿宋_GBK" w:hAnsi="方正仿宋_GBK" w:cs="方正仿宋_GBK"/>
          <w:b w:val="0"/>
          <w:bCs w:val="0"/>
        </w:rPr>
      </w:pPr>
      <w:r>
        <w:rPr>
          <w:rFonts w:hint="eastAsia" w:ascii="方正仿宋_GBK" w:hAnsi="方正仿宋_GBK" w:cs="方正仿宋_GBK"/>
          <w:b w:val="0"/>
          <w:bCs w:val="0"/>
        </w:rPr>
        <w:t>《城市建筑垃圾管理规定》（建设部令第139号）</w:t>
      </w:r>
    </w:p>
    <w:p>
      <w:pPr>
        <w:snapToGrid w:val="0"/>
        <w:spacing w:line="276" w:lineRule="auto"/>
        <w:ind w:firstLine="0"/>
        <w:rPr>
          <w:rFonts w:hint="eastAsia" w:ascii="方正仿宋_GBK" w:hAnsi="方正仿宋_GBK" w:cs="方正仿宋_GBK"/>
          <w:b w:val="0"/>
          <w:bCs w:val="0"/>
        </w:rPr>
      </w:pPr>
      <w:r>
        <w:rPr>
          <w:rFonts w:hint="eastAsia" w:ascii="方正仿宋_GBK" w:hAnsi="方正仿宋_GBK" w:cs="方正仿宋_GBK"/>
          <w:b w:val="0"/>
          <w:bCs w:val="0"/>
        </w:rPr>
        <w:t>《城市生活垃圾管理办法》（建设部令第157号）</w:t>
      </w:r>
    </w:p>
    <w:p>
      <w:pPr>
        <w:snapToGrid w:val="0"/>
        <w:spacing w:line="276" w:lineRule="auto"/>
        <w:ind w:firstLine="0"/>
        <w:rPr>
          <w:rFonts w:hint="eastAsia" w:ascii="方正仿宋_GBK" w:hAnsi="方正仿宋_GBK" w:cs="方正仿宋_GBK"/>
          <w:b w:val="0"/>
          <w:bCs w:val="0"/>
        </w:rPr>
      </w:pPr>
      <w:r>
        <w:rPr>
          <w:rFonts w:hint="eastAsia" w:ascii="方正仿宋_GBK" w:hAnsi="方正仿宋_GBK" w:cs="方正仿宋_GBK"/>
          <w:b w:val="0"/>
          <w:bCs w:val="0"/>
        </w:rPr>
        <w:t>《城市照明管理规定》（住房和城乡建设部令第4号）</w:t>
      </w:r>
    </w:p>
    <w:p>
      <w:pPr>
        <w:snapToGrid w:val="0"/>
        <w:spacing w:line="276" w:lineRule="auto"/>
        <w:ind w:firstLine="0"/>
        <w:rPr>
          <w:rFonts w:hint="eastAsia" w:ascii="方正仿宋_GBK" w:hAnsi="方正仿宋_GBK" w:cs="方正仿宋_GBK"/>
          <w:b w:val="0"/>
          <w:bCs w:val="0"/>
        </w:rPr>
      </w:pPr>
      <w:r>
        <w:rPr>
          <w:rFonts w:hint="eastAsia" w:ascii="方正仿宋_GBK" w:hAnsi="方正仿宋_GBK" w:cs="方正仿宋_GBK"/>
          <w:b w:val="0"/>
          <w:bCs w:val="0"/>
        </w:rPr>
        <w:t>《城市桥梁检测和养护维修管理办法》（建设部令第118号）</w:t>
      </w:r>
    </w:p>
    <w:p>
      <w:pPr>
        <w:snapToGrid w:val="0"/>
        <w:spacing w:line="276" w:lineRule="auto"/>
        <w:ind w:firstLine="0"/>
        <w:rPr>
          <w:rFonts w:hint="eastAsia" w:ascii="方正仿宋_GBK" w:hAnsi="方正仿宋_GBK" w:cs="方正仿宋_GBK"/>
          <w:b w:val="0"/>
          <w:bCs w:val="0"/>
        </w:rPr>
      </w:pPr>
      <w:r>
        <w:rPr>
          <w:rFonts w:hint="eastAsia" w:ascii="方正仿宋_GBK" w:hAnsi="方正仿宋_GBK" w:cs="方正仿宋_GBK"/>
          <w:b w:val="0"/>
          <w:bCs w:val="0"/>
        </w:rPr>
        <w:t>《市政公用设施抗灾设防管理规定》（住房和城乡建设部令第1号）</w:t>
      </w:r>
    </w:p>
    <w:p>
      <w:pPr>
        <w:snapToGrid w:val="0"/>
        <w:spacing w:line="276" w:lineRule="auto"/>
        <w:ind w:firstLine="0"/>
        <w:rPr>
          <w:rFonts w:hint="eastAsia" w:ascii="方正仿宋_GBK" w:hAnsi="方正仿宋_GBK" w:cs="方正仿宋_GBK"/>
          <w:b w:val="0"/>
          <w:bCs w:val="0"/>
        </w:rPr>
      </w:pPr>
      <w:r>
        <w:rPr>
          <w:rFonts w:hint="eastAsia" w:ascii="方正仿宋_GBK" w:hAnsi="方正仿宋_GBK" w:cs="方正仿宋_GBK"/>
          <w:b w:val="0"/>
          <w:bCs w:val="0"/>
        </w:rPr>
        <w:t>《住房和城乡建设部关于印发城市管理执法行为规范的通知》（建督〔2018〕77号）</w:t>
      </w:r>
    </w:p>
    <w:p>
      <w:pPr>
        <w:snapToGrid w:val="0"/>
        <w:spacing w:line="276" w:lineRule="auto"/>
        <w:ind w:firstLine="0"/>
        <w:rPr>
          <w:rFonts w:hint="eastAsia" w:ascii="方正仿宋_GBK" w:hAnsi="方正仿宋_GBK" w:cs="方正仿宋_GBK"/>
          <w:b w:val="0"/>
          <w:bCs w:val="0"/>
        </w:rPr>
      </w:pPr>
      <w:r>
        <w:rPr>
          <w:rFonts w:hint="eastAsia" w:ascii="方正仿宋_GBK" w:hAnsi="方正仿宋_GBK" w:cs="方正仿宋_GBK"/>
          <w:b w:val="0"/>
          <w:bCs w:val="0"/>
        </w:rPr>
        <w:t>《住房和城乡建设部关于印发《城市市容市貌干净整洁有序安全标准（试行）》的通知》（建督〔2020〕104号）</w:t>
      </w:r>
    </w:p>
    <w:p>
      <w:pPr>
        <w:snapToGrid w:val="0"/>
        <w:spacing w:line="276" w:lineRule="auto"/>
        <w:ind w:firstLine="0"/>
        <w:rPr>
          <w:rFonts w:hint="eastAsia" w:ascii="方正仿宋_GBK" w:hAnsi="方正仿宋_GBK" w:cs="方正仿宋_GBK"/>
          <w:b w:val="0"/>
          <w:bCs w:val="0"/>
        </w:rPr>
      </w:pPr>
      <w:r>
        <w:rPr>
          <w:rFonts w:hint="eastAsia" w:ascii="方正仿宋_GBK" w:hAnsi="方正仿宋_GBK" w:cs="方正仿宋_GBK"/>
          <w:b w:val="0"/>
          <w:bCs w:val="0"/>
        </w:rPr>
        <w:t>《住房和城乡建设部关于巩固深化全国城市管理执法队伍“强基础、转作风、树形象”专项行动的通知》（建督〔2021〕37号）</w:t>
      </w:r>
    </w:p>
    <w:p>
      <w:pPr>
        <w:snapToGrid w:val="0"/>
        <w:spacing w:line="276" w:lineRule="auto"/>
        <w:ind w:firstLine="0"/>
        <w:rPr>
          <w:rFonts w:hint="eastAsia" w:ascii="方正仿宋_GBK" w:hAnsi="方正仿宋_GBK" w:cs="方正仿宋_GBK"/>
          <w:b w:val="0"/>
          <w:bCs w:val="0"/>
        </w:rPr>
      </w:pPr>
      <w:r>
        <w:rPr>
          <w:rFonts w:hint="eastAsia" w:ascii="方正仿宋_GBK" w:hAnsi="方正仿宋_GBK" w:cs="方正仿宋_GBK"/>
          <w:b w:val="0"/>
          <w:bCs w:val="0"/>
        </w:rPr>
        <w:t>《住房和城乡建设部关于开展市容环境整治专项活动的通知》（建督函〔2021〕43号）</w:t>
      </w:r>
    </w:p>
    <w:p>
      <w:pPr>
        <w:snapToGrid w:val="0"/>
        <w:spacing w:line="276" w:lineRule="auto"/>
        <w:ind w:firstLine="0"/>
        <w:rPr>
          <w:rFonts w:hint="eastAsia" w:ascii="方正仿宋_GBK" w:hAnsi="方正仿宋_GBK" w:cs="方正仿宋_GBK"/>
          <w:b w:val="0"/>
          <w:bCs w:val="0"/>
        </w:rPr>
      </w:pPr>
      <w:r>
        <w:rPr>
          <w:rFonts w:hint="eastAsia" w:ascii="方正仿宋_GBK" w:hAnsi="方正仿宋_GBK" w:cs="方正仿宋_GBK"/>
          <w:b w:val="0"/>
          <w:bCs w:val="0"/>
        </w:rPr>
        <w:t>《住房和城乡建设部办公厅 工业和信息化部办公厅 公安部办公厅 交通运输部办公厅 广电总局办公厅 能源局综合司关于加强窨井盖安全管理的指导意见》（建办督〔2021〕7号）</w:t>
      </w:r>
    </w:p>
    <w:p>
      <w:pPr>
        <w:snapToGrid w:val="0"/>
        <w:spacing w:line="276" w:lineRule="auto"/>
        <w:ind w:firstLine="0"/>
        <w:rPr>
          <w:rFonts w:hint="eastAsia" w:ascii="方正仿宋_GBK" w:hAnsi="方正仿宋_GBK" w:cs="方正仿宋_GBK"/>
          <w:b w:val="0"/>
          <w:bCs w:val="0"/>
        </w:rPr>
      </w:pPr>
      <w:r>
        <w:rPr>
          <w:rFonts w:hint="eastAsia" w:ascii="方正仿宋_GBK" w:hAnsi="方正仿宋_GBK" w:cs="方正仿宋_GBK"/>
          <w:b w:val="0"/>
          <w:bCs w:val="0"/>
        </w:rPr>
        <w:t>《重庆市人民政府关于印发重庆市城市综合管理提升行动方案的通知》（渝府发〔2018〕41号）</w:t>
      </w:r>
    </w:p>
    <w:p>
      <w:pPr>
        <w:snapToGrid w:val="0"/>
        <w:spacing w:line="276" w:lineRule="auto"/>
        <w:ind w:firstLine="0"/>
        <w:rPr>
          <w:rFonts w:hint="eastAsia" w:ascii="方正仿宋_GBK" w:hAnsi="方正仿宋_GBK" w:cs="方正仿宋_GBK"/>
          <w:b w:val="0"/>
          <w:bCs w:val="0"/>
        </w:rPr>
      </w:pPr>
      <w:r>
        <w:rPr>
          <w:rFonts w:hint="eastAsia" w:ascii="方正仿宋_GBK" w:hAnsi="方正仿宋_GBK" w:cs="方正仿宋_GBK"/>
          <w:b w:val="0"/>
          <w:bCs w:val="0"/>
        </w:rPr>
        <w:t>《重庆市城市饮用水二次供水管理办法》（渝府令第26号）</w:t>
      </w:r>
    </w:p>
    <w:p>
      <w:pPr>
        <w:snapToGrid w:val="0"/>
        <w:spacing w:line="276" w:lineRule="auto"/>
        <w:ind w:firstLine="0"/>
        <w:rPr>
          <w:rFonts w:hint="eastAsia" w:ascii="方正仿宋_GBK" w:hAnsi="方正仿宋_GBK" w:cs="方正仿宋_GBK"/>
          <w:b w:val="0"/>
          <w:bCs w:val="0"/>
        </w:rPr>
      </w:pPr>
      <w:r>
        <w:rPr>
          <w:rFonts w:hint="eastAsia" w:ascii="方正仿宋_GBK" w:hAnsi="方正仿宋_GBK" w:cs="方正仿宋_GBK"/>
          <w:b w:val="0"/>
          <w:bCs w:val="0"/>
        </w:rPr>
        <w:t>《重庆市城市道路照明设施管理实施办法》（渝府令第95号）</w:t>
      </w:r>
    </w:p>
    <w:p>
      <w:pPr>
        <w:snapToGrid w:val="0"/>
        <w:spacing w:line="276" w:lineRule="auto"/>
        <w:ind w:firstLine="0"/>
        <w:rPr>
          <w:rFonts w:hint="eastAsia" w:ascii="方正仿宋_GBK" w:hAnsi="方正仿宋_GBK" w:cs="方正仿宋_GBK"/>
          <w:b w:val="0"/>
          <w:bCs w:val="0"/>
        </w:rPr>
      </w:pPr>
      <w:r>
        <w:rPr>
          <w:rFonts w:hint="eastAsia" w:ascii="方正仿宋_GBK" w:hAnsi="方正仿宋_GBK" w:cs="方正仿宋_GBK"/>
          <w:b w:val="0"/>
          <w:bCs w:val="0"/>
        </w:rPr>
        <w:t>《重庆市城市夜景灯饰管理办法》（渝府令第136号）</w:t>
      </w:r>
    </w:p>
    <w:p>
      <w:pPr>
        <w:snapToGrid w:val="0"/>
        <w:spacing w:line="276" w:lineRule="auto"/>
        <w:ind w:firstLine="0"/>
        <w:rPr>
          <w:rFonts w:hint="eastAsia" w:ascii="方正仿宋_GBK" w:hAnsi="方正仿宋_GBK" w:cs="方正仿宋_GBK"/>
          <w:b w:val="0"/>
          <w:bCs w:val="0"/>
        </w:rPr>
      </w:pPr>
      <w:r>
        <w:rPr>
          <w:rFonts w:hint="eastAsia" w:ascii="方正仿宋_GBK" w:hAnsi="方正仿宋_GBK" w:cs="方正仿宋_GBK"/>
          <w:b w:val="0"/>
          <w:bCs w:val="0"/>
        </w:rPr>
        <w:t>《重庆市管线工程规划管理办法》（渝府令第194号）</w:t>
      </w:r>
    </w:p>
    <w:p>
      <w:pPr>
        <w:snapToGrid w:val="0"/>
        <w:spacing w:line="276" w:lineRule="auto"/>
        <w:ind w:firstLine="0"/>
        <w:rPr>
          <w:rFonts w:hint="eastAsia" w:ascii="方正仿宋_GBK" w:hAnsi="方正仿宋_GBK" w:cs="方正仿宋_GBK"/>
          <w:b w:val="0"/>
          <w:bCs w:val="0"/>
        </w:rPr>
      </w:pPr>
      <w:r>
        <w:rPr>
          <w:rFonts w:hint="eastAsia" w:ascii="方正仿宋_GBK" w:hAnsi="方正仿宋_GBK" w:cs="方正仿宋_GBK"/>
          <w:b w:val="0"/>
          <w:bCs w:val="0"/>
        </w:rPr>
        <w:t>《重庆市餐厨垃圾管理办法》（渝府令第226号）</w:t>
      </w:r>
    </w:p>
    <w:p>
      <w:pPr>
        <w:snapToGrid w:val="0"/>
        <w:spacing w:line="276" w:lineRule="auto"/>
        <w:ind w:firstLine="0"/>
        <w:rPr>
          <w:rFonts w:hint="eastAsia" w:ascii="方正仿宋_GBK" w:hAnsi="方正仿宋_GBK" w:cs="方正仿宋_GBK"/>
          <w:b w:val="0"/>
          <w:bCs w:val="0"/>
        </w:rPr>
      </w:pPr>
      <w:r>
        <w:rPr>
          <w:rFonts w:hint="eastAsia" w:ascii="方正仿宋_GBK" w:hAnsi="方正仿宋_GBK" w:cs="方正仿宋_GBK"/>
          <w:b w:val="0"/>
          <w:bCs w:val="0"/>
        </w:rPr>
        <w:t>《重庆市数字化城市市政管理办法》（渝府令第275号）</w:t>
      </w:r>
    </w:p>
    <w:p>
      <w:pPr>
        <w:snapToGrid w:val="0"/>
        <w:spacing w:line="276" w:lineRule="auto"/>
        <w:ind w:firstLine="0"/>
        <w:rPr>
          <w:rFonts w:hint="eastAsia" w:ascii="方正仿宋_GBK" w:hAnsi="方正仿宋_GBK" w:cs="方正仿宋_GBK"/>
          <w:b w:val="0"/>
          <w:bCs w:val="0"/>
        </w:rPr>
      </w:pPr>
      <w:r>
        <w:rPr>
          <w:rFonts w:hint="eastAsia" w:ascii="方正仿宋_GBK" w:hAnsi="方正仿宋_GBK" w:cs="方正仿宋_GBK"/>
          <w:b w:val="0"/>
          <w:bCs w:val="0"/>
        </w:rPr>
        <w:t>《重庆市户外招牌管理办法》（渝府令第285号）</w:t>
      </w:r>
    </w:p>
    <w:p>
      <w:pPr>
        <w:snapToGrid w:val="0"/>
        <w:spacing w:line="276" w:lineRule="auto"/>
        <w:ind w:firstLine="0"/>
        <w:rPr>
          <w:rFonts w:hint="eastAsia" w:ascii="方正仿宋_GBK" w:hAnsi="方正仿宋_GBK" w:cs="方正仿宋_GBK"/>
          <w:b w:val="0"/>
          <w:bCs w:val="0"/>
        </w:rPr>
      </w:pPr>
      <w:r>
        <w:rPr>
          <w:rFonts w:hint="eastAsia" w:ascii="方正仿宋_GBK" w:hAnsi="方正仿宋_GBK" w:cs="方正仿宋_GBK"/>
          <w:b w:val="0"/>
          <w:bCs w:val="0"/>
        </w:rPr>
        <w:t>《重庆市停车场管理办法》（渝府令第299号）</w:t>
      </w:r>
    </w:p>
    <w:p>
      <w:pPr>
        <w:snapToGrid w:val="0"/>
        <w:spacing w:line="276" w:lineRule="auto"/>
        <w:ind w:firstLine="0"/>
        <w:rPr>
          <w:rFonts w:hint="eastAsia" w:ascii="方正仿宋_GBK" w:hAnsi="方正仿宋_GBK" w:cs="方正仿宋_GBK"/>
          <w:b w:val="0"/>
          <w:bCs w:val="0"/>
        </w:rPr>
      </w:pPr>
      <w:r>
        <w:rPr>
          <w:rFonts w:hint="eastAsia" w:ascii="方正仿宋_GBK" w:hAnsi="方正仿宋_GBK" w:cs="方正仿宋_GBK"/>
          <w:b w:val="0"/>
          <w:bCs w:val="0"/>
        </w:rPr>
        <w:t>《重庆市生活垃圾分类管理办法》（渝府令第324号）</w:t>
      </w:r>
    </w:p>
    <w:p>
      <w:pPr>
        <w:snapToGrid w:val="0"/>
        <w:spacing w:line="276" w:lineRule="auto"/>
        <w:ind w:firstLine="0"/>
        <w:rPr>
          <w:rFonts w:hint="eastAsia" w:ascii="方正仿宋_GBK" w:hAnsi="方正仿宋_GBK" w:cs="方正仿宋_GBK"/>
          <w:b w:val="0"/>
          <w:bCs w:val="0"/>
        </w:rPr>
      </w:pPr>
      <w:r>
        <w:rPr>
          <w:rFonts w:hint="eastAsia" w:ascii="方正仿宋_GBK" w:hAnsi="方正仿宋_GBK" w:cs="方正仿宋_GBK"/>
          <w:b w:val="0"/>
          <w:bCs w:val="0"/>
        </w:rPr>
        <w:t>《重庆市城市管理局、重庆市经济和信息化委员会、重庆市公安局、重庆市规划和自然资源局、重庆市住房和城乡建设委员会、重庆市文化和旅游发展委员会、重庆市通信管理局关于加强城市道路窨井盖安全管理工作的指导意见》（渝城管局〔2021〕111号）</w:t>
      </w:r>
    </w:p>
    <w:p>
      <w:pPr>
        <w:snapToGrid w:val="0"/>
        <w:spacing w:before="0" w:after="0" w:line="276" w:lineRule="auto"/>
        <w:ind w:firstLine="640"/>
        <w:jc w:val="both"/>
        <w:rPr>
          <w:rFonts w:hint="eastAsia" w:ascii="方正仿宋_GBK" w:hAnsi="方正仿宋_GBK" w:eastAsia="方正仿宋_GBK" w:cs="方正仿宋_GBK"/>
          <w:b w:val="0"/>
          <w:bCs w:val="0"/>
        </w:rPr>
      </w:pPr>
      <w:r>
        <w:rPr>
          <w:rFonts w:hint="default" w:ascii="方正仿宋_GBK" w:hAnsi="方正仿宋_GBK" w:eastAsia="方正仿宋_GBK" w:cs="方正仿宋_GBK"/>
          <w:b w:val="0"/>
          <w:bCs w:val="0"/>
        </w:rPr>
        <w:t>四、其他</w:t>
      </w:r>
    </w:p>
    <w:p>
      <w:pPr>
        <w:snapToGrid w:val="0"/>
        <w:spacing w:line="276" w:lineRule="auto"/>
        <w:ind w:firstLine="0"/>
        <w:rPr>
          <w:rFonts w:hint="eastAsia" w:ascii="方正仿宋_GBK" w:hAnsi="方正仿宋_GBK" w:cs="方正仿宋_GBK"/>
          <w:b w:val="0"/>
          <w:bCs w:val="0"/>
        </w:rPr>
      </w:pPr>
      <w:r>
        <w:rPr>
          <w:rFonts w:hint="eastAsia" w:ascii="方正仿宋_GBK" w:hAnsi="方正仿宋_GBK" w:cs="方正仿宋_GBK"/>
          <w:b w:val="0"/>
          <w:bCs w:val="0"/>
        </w:rPr>
        <w:t>《重庆市国民经济和社会发展第十四个五年规划和二〇三五年远景目标纲要》</w:t>
      </w:r>
    </w:p>
    <w:p>
      <w:pPr>
        <w:snapToGrid w:val="0"/>
        <w:spacing w:line="276" w:lineRule="auto"/>
        <w:ind w:firstLine="0"/>
        <w:rPr>
          <w:rFonts w:hint="eastAsia" w:ascii="方正仿宋_GBK" w:hAnsi="方正仿宋_GBK" w:cs="方正仿宋_GBK"/>
          <w:b w:val="0"/>
          <w:bCs w:val="0"/>
        </w:rPr>
      </w:pPr>
      <w:r>
        <w:rPr>
          <w:rFonts w:hint="eastAsia" w:ascii="方正仿宋_GBK" w:hAnsi="方正仿宋_GBK" w:cs="方正仿宋_GBK"/>
          <w:b w:val="0"/>
          <w:bCs w:val="0"/>
        </w:rPr>
        <w:t>《重庆市城市管理行业发展“十四五”规划（2021-2025年）》（在编）</w:t>
      </w:r>
    </w:p>
    <w:p>
      <w:pPr>
        <w:snapToGrid w:val="0"/>
        <w:spacing w:line="276" w:lineRule="auto"/>
        <w:ind w:firstLine="0"/>
        <w:rPr>
          <w:rFonts w:hint="eastAsia" w:ascii="方正仿宋_GBK" w:hAnsi="方正仿宋_GBK" w:cs="方正仿宋_GBK"/>
          <w:b w:val="0"/>
          <w:bCs w:val="0"/>
        </w:rPr>
      </w:pPr>
      <w:r>
        <w:rPr>
          <w:rFonts w:hint="eastAsia" w:ascii="方正仿宋_GBK" w:hAnsi="方正仿宋_GBK" w:cs="方正仿宋_GBK"/>
          <w:b w:val="0"/>
          <w:bCs w:val="0"/>
        </w:rPr>
        <w:t>《重庆市城市基础设施建设“十四五”规划（2021-2025）》</w:t>
      </w:r>
    </w:p>
    <w:p>
      <w:pPr>
        <w:snapToGrid w:val="0"/>
        <w:spacing w:line="276" w:lineRule="auto"/>
        <w:ind w:firstLine="0"/>
        <w:rPr>
          <w:rFonts w:hint="eastAsia" w:ascii="方正仿宋_GBK" w:hAnsi="方正仿宋_GBK" w:cs="方正仿宋_GBK"/>
          <w:b w:val="0"/>
          <w:bCs w:val="0"/>
        </w:rPr>
      </w:pPr>
      <w:r>
        <w:rPr>
          <w:rFonts w:hint="eastAsia" w:ascii="方正仿宋_GBK" w:hAnsi="方正仿宋_GBK" w:cs="方正仿宋_GBK"/>
          <w:b w:val="0"/>
          <w:bCs w:val="0"/>
        </w:rPr>
        <w:t>《重庆市城市供水</w:t>
      </w:r>
      <w:r>
        <w:rPr>
          <w:rFonts w:hint="default" w:ascii="方正仿宋_GBK" w:hAnsi="方正仿宋_GBK" w:cs="方正仿宋_GBK"/>
          <w:b w:val="0"/>
          <w:bCs w:val="0"/>
          <w:szCs w:val="32"/>
        </w:rPr>
        <w:t>“</w:t>
      </w:r>
      <w:r>
        <w:rPr>
          <w:rFonts w:hint="eastAsia" w:ascii="方正仿宋_GBK" w:hAnsi="方正仿宋_GBK" w:cs="方正仿宋_GBK"/>
          <w:b w:val="0"/>
          <w:bCs w:val="0"/>
        </w:rPr>
        <w:t>十四五”发展规划》</w:t>
      </w:r>
    </w:p>
    <w:p>
      <w:pPr>
        <w:snapToGrid w:val="0"/>
        <w:spacing w:line="276" w:lineRule="auto"/>
        <w:ind w:firstLine="0"/>
        <w:rPr>
          <w:rFonts w:hint="eastAsia" w:ascii="方正仿宋_GBK" w:hAnsi="方正仿宋_GBK" w:cs="方正仿宋_GBK"/>
          <w:b w:val="0"/>
          <w:bCs w:val="0"/>
        </w:rPr>
      </w:pPr>
      <w:r>
        <w:rPr>
          <w:rFonts w:hint="eastAsia" w:ascii="方正仿宋_GBK" w:hAnsi="方正仿宋_GBK" w:cs="方正仿宋_GBK"/>
          <w:b w:val="0"/>
          <w:bCs w:val="0"/>
        </w:rPr>
        <w:t>《重庆市城乡环境卫生发展</w:t>
      </w:r>
      <w:r>
        <w:rPr>
          <w:rFonts w:hint="default" w:ascii="方正仿宋_GBK" w:hAnsi="方正仿宋_GBK" w:cs="方正仿宋_GBK"/>
          <w:b w:val="0"/>
          <w:bCs w:val="0"/>
          <w:szCs w:val="32"/>
        </w:rPr>
        <w:t>“</w:t>
      </w:r>
      <w:r>
        <w:rPr>
          <w:rFonts w:hint="eastAsia" w:ascii="方正仿宋_GBK" w:hAnsi="方正仿宋_GBK" w:cs="方正仿宋_GBK"/>
          <w:b w:val="0"/>
          <w:bCs w:val="0"/>
        </w:rPr>
        <w:t>十四五”规划（2021-2025年）》</w:t>
      </w:r>
    </w:p>
    <w:p>
      <w:pPr>
        <w:snapToGrid w:val="0"/>
        <w:spacing w:line="276" w:lineRule="auto"/>
        <w:ind w:firstLine="0"/>
        <w:rPr>
          <w:rFonts w:hint="eastAsia" w:ascii="方正仿宋_GBK" w:hAnsi="方正仿宋_GBK" w:cs="方正仿宋_GBK"/>
          <w:b w:val="0"/>
          <w:bCs w:val="0"/>
        </w:rPr>
      </w:pPr>
      <w:r>
        <w:rPr>
          <w:rFonts w:hint="eastAsia" w:ascii="方正仿宋_GBK" w:hAnsi="方正仿宋_GBK" w:cs="方正仿宋_GBK"/>
          <w:b w:val="0"/>
          <w:bCs w:val="0"/>
        </w:rPr>
        <w:t>《重庆市永川区国民经济和社会发展第十四个五年规划和二〇三五年远景目标纲要》</w:t>
      </w:r>
    </w:p>
    <w:p>
      <w:pPr>
        <w:snapToGrid w:val="0"/>
        <w:spacing w:line="276" w:lineRule="auto"/>
        <w:ind w:firstLine="0"/>
        <w:rPr>
          <w:rFonts w:hint="eastAsia" w:ascii="方正仿宋_GBK" w:hAnsi="方正仿宋_GBK" w:cs="方正仿宋_GBK"/>
          <w:b w:val="0"/>
          <w:bCs w:val="0"/>
        </w:rPr>
      </w:pPr>
      <w:r>
        <w:rPr>
          <w:rFonts w:hint="eastAsia" w:ascii="方正仿宋_GBK" w:hAnsi="方正仿宋_GBK" w:cs="方正仿宋_GBK"/>
          <w:b w:val="0"/>
          <w:bCs w:val="0"/>
        </w:rPr>
        <w:t>《2021年重庆市永川区人民政府工作报告》</w:t>
      </w:r>
    </w:p>
    <w:p>
      <w:pPr>
        <w:snapToGrid w:val="0"/>
        <w:spacing w:line="276" w:lineRule="auto"/>
        <w:ind w:firstLine="0"/>
        <w:rPr>
          <w:rFonts w:hint="eastAsia" w:ascii="方正仿宋_GBK" w:hAnsi="方正仿宋_GBK" w:cs="方正仿宋_GBK"/>
          <w:b w:val="0"/>
          <w:bCs w:val="0"/>
        </w:rPr>
      </w:pPr>
      <w:r>
        <w:rPr>
          <w:rFonts w:hint="eastAsia" w:ascii="方正仿宋_GBK" w:hAnsi="方正仿宋_GBK" w:cs="方正仿宋_GBK"/>
          <w:b w:val="0"/>
          <w:bCs w:val="0"/>
        </w:rPr>
        <w:t>《重庆市永川区国土空间总体规划（2020-2035年）》（在编）</w:t>
      </w:r>
    </w:p>
    <w:p>
      <w:pPr>
        <w:snapToGrid w:val="0"/>
        <w:spacing w:line="276" w:lineRule="auto"/>
        <w:ind w:firstLine="0"/>
        <w:rPr>
          <w:rFonts w:hint="eastAsia" w:ascii="方正仿宋_GBK" w:hAnsi="方正仿宋_GBK" w:cs="方正仿宋_GBK"/>
          <w:b w:val="0"/>
          <w:bCs w:val="0"/>
        </w:rPr>
      </w:pPr>
      <w:r>
        <w:rPr>
          <w:rFonts w:hint="eastAsia" w:ascii="方正仿宋_GBK" w:hAnsi="方正仿宋_GBK" w:cs="方正仿宋_GBK"/>
          <w:b w:val="0"/>
          <w:bCs w:val="0"/>
        </w:rPr>
        <w:t>《重庆市永川区城市基础设施建设</w:t>
      </w:r>
      <w:r>
        <w:rPr>
          <w:rFonts w:hint="default" w:ascii="方正仿宋_GBK" w:hAnsi="方正仿宋_GBK" w:cs="方正仿宋_GBK"/>
          <w:b w:val="0"/>
          <w:bCs w:val="0"/>
          <w:szCs w:val="32"/>
        </w:rPr>
        <w:t>“</w:t>
      </w:r>
      <w:r>
        <w:rPr>
          <w:rFonts w:hint="eastAsia" w:ascii="方正仿宋_GBK" w:hAnsi="方正仿宋_GBK" w:cs="方正仿宋_GBK"/>
          <w:b w:val="0"/>
          <w:bCs w:val="0"/>
        </w:rPr>
        <w:t>十四五”规划（2021-2025）》（永川府办发〔2021〕91号）</w:t>
      </w:r>
    </w:p>
    <w:p>
      <w:pPr>
        <w:snapToGrid w:val="0"/>
        <w:spacing w:line="276" w:lineRule="auto"/>
        <w:ind w:firstLine="0"/>
        <w:rPr>
          <w:rFonts w:hint="eastAsia" w:ascii="方正仿宋_GBK" w:hAnsi="方正仿宋_GBK" w:cs="方正仿宋_GBK"/>
          <w:b w:val="0"/>
          <w:bCs w:val="0"/>
        </w:rPr>
      </w:pPr>
      <w:r>
        <w:rPr>
          <w:rFonts w:hint="eastAsia" w:ascii="方正仿宋_GBK" w:hAnsi="方正仿宋_GBK" w:cs="方正仿宋_GBK"/>
          <w:b w:val="0"/>
          <w:bCs w:val="0"/>
        </w:rPr>
        <w:t>《永川区城市供水</w:t>
      </w:r>
      <w:r>
        <w:rPr>
          <w:rFonts w:hint="default" w:ascii="方正仿宋_GBK" w:hAnsi="方正仿宋_GBK" w:cs="方正仿宋_GBK"/>
          <w:b w:val="0"/>
          <w:bCs w:val="0"/>
          <w:szCs w:val="32"/>
        </w:rPr>
        <w:t>“</w:t>
      </w:r>
      <w:r>
        <w:rPr>
          <w:rFonts w:hint="eastAsia" w:ascii="方正仿宋_GBK" w:hAnsi="方正仿宋_GBK" w:cs="方正仿宋_GBK"/>
          <w:b w:val="0"/>
          <w:bCs w:val="0"/>
        </w:rPr>
        <w:t>十四五”专项规划》</w:t>
      </w:r>
    </w:p>
    <w:p>
      <w:pPr>
        <w:snapToGrid w:val="0"/>
        <w:spacing w:line="276" w:lineRule="auto"/>
        <w:ind w:firstLine="0"/>
        <w:rPr>
          <w:rFonts w:hint="eastAsia" w:ascii="方正仿宋_GBK" w:hAnsi="方正仿宋_GBK" w:cs="方正仿宋_GBK"/>
          <w:b w:val="0"/>
          <w:bCs w:val="0"/>
        </w:rPr>
      </w:pPr>
      <w:r>
        <w:rPr>
          <w:rFonts w:hint="eastAsia" w:ascii="方正仿宋_GBK" w:hAnsi="方正仿宋_GBK" w:cs="方正仿宋_GBK"/>
          <w:b w:val="0"/>
          <w:bCs w:val="0"/>
        </w:rPr>
        <w:t>《永川区应急管理</w:t>
      </w:r>
      <w:r>
        <w:rPr>
          <w:rFonts w:hint="default" w:ascii="方正仿宋_GBK" w:hAnsi="方正仿宋_GBK" w:cs="方正仿宋_GBK"/>
          <w:b w:val="0"/>
          <w:bCs w:val="0"/>
          <w:szCs w:val="32"/>
        </w:rPr>
        <w:t>“</w:t>
      </w:r>
      <w:r>
        <w:rPr>
          <w:rFonts w:hint="eastAsia" w:ascii="方正仿宋_GBK" w:hAnsi="方正仿宋_GBK" w:cs="方正仿宋_GBK"/>
          <w:b w:val="0"/>
          <w:bCs w:val="0"/>
        </w:rPr>
        <w:t>十四五”规划》（在编）</w:t>
      </w:r>
    </w:p>
    <w:p>
      <w:pPr>
        <w:snapToGrid w:val="0"/>
        <w:spacing w:line="276" w:lineRule="auto"/>
        <w:ind w:firstLine="0"/>
        <w:rPr>
          <w:rFonts w:hint="eastAsia" w:ascii="方正仿宋_GBK" w:hAnsi="方正仿宋_GBK" w:cs="方正仿宋_GBK"/>
          <w:b w:val="0"/>
          <w:bCs w:val="0"/>
        </w:rPr>
      </w:pPr>
      <w:r>
        <w:rPr>
          <w:rFonts w:hint="eastAsia" w:ascii="方正仿宋_GBK" w:hAnsi="方正仿宋_GBK" w:cs="方正仿宋_GBK"/>
          <w:b w:val="0"/>
          <w:bCs w:val="0"/>
        </w:rPr>
        <w:t>《重庆市永川区文旅体发展</w:t>
      </w:r>
      <w:r>
        <w:rPr>
          <w:rFonts w:hint="default" w:ascii="方正仿宋_GBK" w:hAnsi="方正仿宋_GBK" w:cs="方正仿宋_GBK"/>
          <w:b w:val="0"/>
          <w:bCs w:val="0"/>
          <w:szCs w:val="32"/>
        </w:rPr>
        <w:t>“</w:t>
      </w:r>
      <w:r>
        <w:rPr>
          <w:rFonts w:hint="eastAsia" w:ascii="方正仿宋_GBK" w:hAnsi="方正仿宋_GBK" w:cs="方正仿宋_GBK"/>
          <w:b w:val="0"/>
          <w:bCs w:val="0"/>
        </w:rPr>
        <w:t>十四五”规划2021-2025年》（在编）</w:t>
      </w:r>
    </w:p>
    <w:p>
      <w:pPr>
        <w:snapToGrid w:val="0"/>
        <w:spacing w:line="276" w:lineRule="auto"/>
        <w:ind w:firstLine="0"/>
        <w:rPr>
          <w:rFonts w:hint="eastAsia" w:ascii="方正仿宋_GBK" w:hAnsi="方正仿宋_GBK" w:cs="方正仿宋_GBK"/>
          <w:b w:val="0"/>
          <w:bCs w:val="0"/>
        </w:rPr>
      </w:pPr>
      <w:r>
        <w:rPr>
          <w:rFonts w:hint="eastAsia" w:ascii="方正仿宋_GBK" w:hAnsi="方正仿宋_GBK" w:cs="方正仿宋_GBK"/>
          <w:b w:val="0"/>
          <w:bCs w:val="0"/>
        </w:rPr>
        <w:t>《山水城市·永川蓝绿空间导控研究》</w:t>
      </w:r>
    </w:p>
    <w:p>
      <w:pPr>
        <w:snapToGrid w:val="0"/>
        <w:spacing w:line="276" w:lineRule="auto"/>
        <w:ind w:firstLine="0"/>
        <w:rPr>
          <w:rFonts w:hint="eastAsia" w:ascii="方正仿宋_GBK" w:hAnsi="方正仿宋_GBK" w:cs="方正仿宋_GBK"/>
          <w:b w:val="0"/>
          <w:bCs w:val="0"/>
        </w:rPr>
      </w:pPr>
      <w:r>
        <w:rPr>
          <w:rFonts w:hint="eastAsia" w:ascii="方正仿宋_GBK" w:hAnsi="方正仿宋_GBK" w:cs="方正仿宋_GBK"/>
          <w:b w:val="0"/>
          <w:bCs w:val="0"/>
        </w:rPr>
        <w:t>《重庆永川城市公园体系定位研究》</w:t>
      </w:r>
    </w:p>
    <w:p>
      <w:pPr>
        <w:snapToGrid w:val="0"/>
        <w:spacing w:line="276" w:lineRule="auto"/>
        <w:ind w:firstLine="0"/>
        <w:rPr>
          <w:rFonts w:hint="eastAsia" w:ascii="方正仿宋_GBK" w:hAnsi="方正仿宋_GBK" w:cs="方正仿宋_GBK"/>
          <w:b w:val="0"/>
          <w:bCs w:val="0"/>
        </w:rPr>
      </w:pPr>
      <w:r>
        <w:rPr>
          <w:rFonts w:hint="eastAsia" w:ascii="方正仿宋_GBK" w:hAnsi="方正仿宋_GBK" w:cs="方正仿宋_GBK"/>
          <w:b w:val="0"/>
          <w:bCs w:val="0"/>
        </w:rPr>
        <w:t>《重庆市永川区公园城市建设工作方案》</w:t>
      </w:r>
    </w:p>
    <w:p>
      <w:pPr>
        <w:snapToGrid w:val="0"/>
        <w:spacing w:line="276" w:lineRule="auto"/>
        <w:ind w:firstLine="0"/>
        <w:rPr>
          <w:rFonts w:hint="eastAsia" w:ascii="方正仿宋_GBK" w:hAnsi="方正仿宋_GBK" w:cs="方正仿宋_GBK"/>
          <w:b w:val="0"/>
          <w:bCs w:val="0"/>
        </w:rPr>
      </w:pPr>
    </w:p>
    <w:p>
      <w:pPr>
        <w:snapToGrid w:val="0"/>
        <w:spacing w:before="0" w:after="0" w:line="276" w:lineRule="auto"/>
        <w:ind w:firstLine="0" w:firstLineChars="0"/>
        <w:jc w:val="center"/>
        <w:rPr>
          <w:rFonts w:hint="eastAsia" w:ascii="方正黑体_GBK" w:hAnsi="方正黑体_GBK" w:eastAsia="方正黑体_GBK" w:cs="方正黑体_GBK"/>
          <w:b w:val="0"/>
          <w:bCs w:val="0"/>
        </w:rPr>
      </w:pPr>
      <w:bookmarkStart w:id="98" w:name="_Toc70450403"/>
      <w:bookmarkStart w:id="99" w:name="_Toc30754"/>
      <w:bookmarkStart w:id="100" w:name="_Toc843627896_WPSOffice_Level2"/>
      <w:bookmarkStart w:id="101" w:name="_Toc1909556527_WPSOffice_Level2"/>
      <w:bookmarkStart w:id="102" w:name="_Toc74151073"/>
      <w:bookmarkStart w:id="103" w:name="_Toc6805"/>
      <w:r>
        <w:rPr>
          <w:rFonts w:hint="default" w:ascii="方正黑体_GBK" w:hAnsi="方正黑体_GBK" w:eastAsia="方正黑体_GBK" w:cs="方正黑体_GBK"/>
          <w:b w:val="0"/>
          <w:bCs w:val="0"/>
        </w:rPr>
        <w:t>第四节</w:t>
      </w:r>
      <w:bookmarkEnd w:id="98"/>
      <w:r>
        <w:rPr>
          <w:rFonts w:hint="default" w:ascii="方正黑体_GBK" w:hAnsi="方正黑体_GBK" w:eastAsia="方正黑体_GBK" w:cs="方正黑体_GBK"/>
          <w:b w:val="0"/>
          <w:bCs w:val="0"/>
        </w:rPr>
        <w:t xml:space="preserve">  总体思路</w:t>
      </w:r>
      <w:bookmarkEnd w:id="99"/>
      <w:bookmarkEnd w:id="100"/>
      <w:bookmarkEnd w:id="101"/>
      <w:bookmarkEnd w:id="102"/>
      <w:bookmarkEnd w:id="103"/>
    </w:p>
    <w:p>
      <w:pPr>
        <w:snapToGrid w:val="0"/>
        <w:spacing w:line="276" w:lineRule="auto"/>
        <w:ind w:firstLine="0"/>
        <w:rPr>
          <w:rFonts w:hint="eastAsia" w:ascii="方正仿宋_GBK" w:hAnsi="方正仿宋_GBK" w:cs="方正仿宋_GBK"/>
          <w:b w:val="0"/>
          <w:bCs w:val="0"/>
        </w:rPr>
      </w:pPr>
    </w:p>
    <w:p>
      <w:pPr>
        <w:snapToGrid w:val="0"/>
        <w:spacing w:line="276" w:lineRule="auto"/>
        <w:ind w:firstLine="0"/>
        <w:rPr>
          <w:rFonts w:hint="eastAsia" w:ascii="方正仿宋_GBK" w:hAnsi="方正仿宋_GBK" w:cs="方正仿宋_GBK"/>
          <w:b w:val="0"/>
          <w:bCs w:val="0"/>
        </w:rPr>
      </w:pPr>
      <w:r>
        <w:rPr>
          <w:rFonts w:hint="eastAsia" w:ascii="方正仿宋_GBK" w:hAnsi="方正仿宋_GBK" w:cs="方正仿宋_GBK"/>
          <w:b w:val="0"/>
          <w:bCs w:val="0"/>
        </w:rPr>
        <w:t>以《重庆市永川区人民政府关于印发重庆市永川区国民经济和社会发展第十四个五年规划和二〇三五年远景目标纲要的通知》《重庆市城市管理行业发展“十四五”规划》为指引，以问题导向、目标导向构建科学化、精细化、智能化的城市管理治理模式，不断提升城市社会治理现代化水平。</w:t>
      </w:r>
    </w:p>
    <w:p>
      <w:pPr>
        <w:snapToGrid w:val="0"/>
        <w:spacing w:line="276" w:lineRule="auto"/>
        <w:ind w:firstLine="0"/>
        <w:rPr>
          <w:rFonts w:hint="eastAsia" w:ascii="方正仿宋_GBK" w:hAnsi="方正仿宋_GBK" w:cs="方正仿宋_GBK"/>
          <w:b w:val="0"/>
          <w:bCs w:val="0"/>
        </w:rPr>
      </w:pPr>
    </w:p>
    <w:p>
      <w:pPr>
        <w:snapToGrid w:val="0"/>
        <w:spacing w:before="0" w:after="0" w:line="276" w:lineRule="auto"/>
        <w:ind w:firstLine="0" w:firstLineChars="0"/>
        <w:jc w:val="center"/>
        <w:rPr>
          <w:rFonts w:ascii="方正黑体_GBK" w:hAnsi="方正黑体_GBK" w:eastAsia="方正黑体_GBK" w:cs="方正黑体_GBK"/>
          <w:b w:val="0"/>
          <w:bCs w:val="0"/>
        </w:rPr>
      </w:pPr>
      <w:bookmarkStart w:id="104" w:name="_Toc70450404"/>
      <w:bookmarkStart w:id="105" w:name="_Toc842717205_WPSOffice_Level2"/>
      <w:bookmarkStart w:id="106" w:name="_Toc30355"/>
      <w:bookmarkStart w:id="107" w:name="_Toc31333"/>
      <w:bookmarkStart w:id="108" w:name="_Toc74151074"/>
      <w:bookmarkStart w:id="109" w:name="_Toc1883088507_WPSOffice_Level2"/>
      <w:r>
        <w:rPr>
          <w:rFonts w:hint="default" w:ascii="方正黑体_GBK" w:hAnsi="方正黑体_GBK" w:eastAsia="方正黑体_GBK" w:cs="方正黑体_GBK"/>
          <w:b w:val="0"/>
          <w:bCs w:val="0"/>
        </w:rPr>
        <w:t>第五节</w:t>
      </w:r>
      <w:bookmarkEnd w:id="104"/>
      <w:r>
        <w:rPr>
          <w:rFonts w:hint="default" w:ascii="方正黑体_GBK" w:hAnsi="方正黑体_GBK" w:eastAsia="方正黑体_GBK" w:cs="方正黑体_GBK"/>
          <w:b w:val="0"/>
          <w:bCs w:val="0"/>
        </w:rPr>
        <w:t xml:space="preserve">  发展目标</w:t>
      </w:r>
      <w:bookmarkEnd w:id="105"/>
      <w:bookmarkEnd w:id="106"/>
      <w:bookmarkEnd w:id="107"/>
      <w:bookmarkEnd w:id="108"/>
      <w:bookmarkEnd w:id="109"/>
    </w:p>
    <w:p>
      <w:pPr>
        <w:snapToGrid w:val="0"/>
        <w:spacing w:line="276" w:lineRule="auto"/>
        <w:ind w:firstLine="0"/>
        <w:rPr>
          <w:rFonts w:hint="eastAsia" w:ascii="方正仿宋_GBK" w:hAnsi="方正仿宋_GBK" w:cs="方正仿宋_GBK"/>
          <w:b w:val="0"/>
          <w:bCs w:val="0"/>
        </w:rPr>
      </w:pPr>
    </w:p>
    <w:p>
      <w:pPr>
        <w:snapToGrid w:val="0"/>
        <w:spacing w:line="276" w:lineRule="auto"/>
        <w:ind w:firstLine="0"/>
        <w:rPr>
          <w:rFonts w:hint="eastAsia" w:ascii="方正仿宋_GBK" w:hAnsi="方正仿宋_GBK" w:cs="方正仿宋_GBK"/>
          <w:b w:val="0"/>
          <w:bCs w:val="0"/>
        </w:rPr>
      </w:pPr>
      <w:r>
        <w:rPr>
          <w:rFonts w:hint="eastAsia" w:ascii="方正仿宋_GBK" w:hAnsi="方正仿宋_GBK" w:cs="方正仿宋_GBK"/>
          <w:b w:val="0"/>
          <w:bCs w:val="0"/>
        </w:rPr>
        <w:t>“十四五”期末，形成符合永川区作为主城都市区战略支点城市的城市管理与服务体系，建成权责明确、服务为先、执法规范的城市管理治理体制。基本实现城市治理体系和治理能力现代化，绿色生态空间更加系统，基本公共服务体系更加完善，城市基础设施承载力进一步提升，城市运行更加安全，城市管理法规标准有效实施，城市管理人才队伍不断壮大。助力永川区达成“干净整洁有序、山清水秀城美、宜业宜居宜游”的目标，构建共建共治共享的城市管理治理新格局，实现城市管理治理科学化、精细化、智能化，稳步提高城市管理服务水平，推动城市环境更有序、更安全、更干净。</w:t>
      </w:r>
    </w:p>
    <w:p>
      <w:pPr>
        <w:snapToGrid w:val="0"/>
        <w:spacing w:line="276" w:lineRule="auto"/>
        <w:ind w:firstLine="0"/>
        <w:rPr>
          <w:rFonts w:hint="eastAsia" w:ascii="方正仿宋_GBK" w:hAnsi="方正仿宋_GBK" w:cs="方正仿宋_GBK"/>
          <w:b w:val="0"/>
          <w:bCs w:val="0"/>
        </w:rPr>
      </w:pPr>
      <w:bookmarkStart w:id="110" w:name="_Hlk72054516"/>
      <w:r>
        <w:rPr>
          <w:rFonts w:hint="eastAsia"/>
          <w:b w:val="0"/>
          <w:bCs w:val="0"/>
        </w:rPr>
        <w:t>—</w:t>
      </w:r>
      <w:r>
        <w:rPr>
          <w:rFonts w:hint="default" w:ascii="方正仿宋_GBK" w:eastAsia="方正仿宋_GBK"/>
          <w:b w:val="0"/>
          <w:bCs w:val="0"/>
        </w:rPr>
        <w:t>—基础设施更加完善。</w:t>
      </w:r>
      <w:r>
        <w:rPr>
          <w:rFonts w:hint="eastAsia" w:ascii="方正仿宋_GBK" w:hAnsi="方正仿宋_GBK" w:cs="方正仿宋_GBK"/>
          <w:b w:val="0"/>
          <w:bCs w:val="0"/>
        </w:rPr>
        <w:t>与经济社会发展相匹配的高韧性供水系统和垃圾处置系统全面建成。市政基础设施品质全面提升，公共民生福祉有力保障，如厕难、停车难等基础设施难题基本解决。</w:t>
      </w:r>
    </w:p>
    <w:p>
      <w:pPr>
        <w:snapToGrid w:val="0"/>
        <w:spacing w:line="276" w:lineRule="auto"/>
        <w:ind w:firstLine="0"/>
        <w:rPr>
          <w:rFonts w:ascii="方正仿宋_GBK" w:hAnsi="方正仿宋_GBK" w:cs="方正仿宋_GBK"/>
          <w:b w:val="0"/>
          <w:bCs w:val="0"/>
          <w:szCs w:val="32"/>
        </w:rPr>
      </w:pPr>
      <w:r>
        <w:rPr>
          <w:rFonts w:hint="default"/>
          <w:b w:val="0"/>
          <w:bCs w:val="0"/>
          <w:szCs w:val="32"/>
        </w:rPr>
        <w:t>——</w:t>
      </w:r>
      <w:r>
        <w:rPr>
          <w:rFonts w:hint="default" w:ascii="方正仿宋_GBK" w:eastAsia="方正仿宋_GBK"/>
          <w:b w:val="0"/>
          <w:bCs w:val="0"/>
          <w:szCs w:val="32"/>
        </w:rPr>
        <w:t>城市环境更加优美。</w:t>
      </w:r>
      <w:r>
        <w:rPr>
          <w:rFonts w:ascii="方正仿宋_GBK" w:hAnsi="方正仿宋_GBK" w:cs="方正仿宋_GBK"/>
          <w:b w:val="0"/>
          <w:bCs w:val="0"/>
          <w:szCs w:val="32"/>
        </w:rPr>
        <w:t>技术先进、功能完善、覆盖城乡的生活垃圾分类处理体系全面建成。城乡环境卫生水平整体提升，保障环卫设施处理能力并发挥区域性辐射作用，实现垃圾减量化、资源化、无害化。</w:t>
      </w:r>
    </w:p>
    <w:p>
      <w:pPr>
        <w:snapToGrid w:val="0"/>
        <w:spacing w:line="276" w:lineRule="auto"/>
        <w:ind w:firstLine="0"/>
        <w:rPr>
          <w:rFonts w:ascii="方正仿宋_GBK" w:hAnsi="方正仿宋_GBK" w:cs="方正仿宋_GBK"/>
          <w:b w:val="0"/>
          <w:bCs w:val="0"/>
          <w:szCs w:val="32"/>
        </w:rPr>
      </w:pPr>
      <w:r>
        <w:rPr>
          <w:rFonts w:hint="default" w:ascii="方正仿宋_GBK" w:eastAsia="方正仿宋_GBK"/>
          <w:b w:val="0"/>
          <w:bCs w:val="0"/>
          <w:szCs w:val="32"/>
        </w:rPr>
        <w:t>——城市生态更加绿色。</w:t>
      </w:r>
      <w:r>
        <w:rPr>
          <w:rFonts w:ascii="方正仿宋_GBK" w:hAnsi="方正仿宋_GBK" w:cs="方正仿宋_GBK"/>
          <w:b w:val="0"/>
          <w:bCs w:val="0"/>
          <w:szCs w:val="32"/>
        </w:rPr>
        <w:t>绿色生态空间进一步拓展，城市绿化体系更加优化，达到国家生态园林城区创建标准，奠定永川建设公园城市西部样板和成渝文旅新高地良好基础，打造</w:t>
      </w:r>
      <w:r>
        <w:rPr>
          <w:rFonts w:hint="default" w:ascii="方正仿宋_GBK" w:hAnsi="方正仿宋_GBK" w:cs="方正仿宋_GBK"/>
          <w:b w:val="0"/>
          <w:bCs w:val="0"/>
          <w:szCs w:val="32"/>
        </w:rPr>
        <w:t>“</w:t>
      </w:r>
      <w:r>
        <w:rPr>
          <w:rFonts w:ascii="方正仿宋_GBK" w:hAnsi="方正仿宋_GBK" w:cs="方正仿宋_GBK"/>
          <w:b w:val="0"/>
          <w:bCs w:val="0"/>
          <w:szCs w:val="32"/>
        </w:rPr>
        <w:t>大美新永川、幸福公园城</w:t>
      </w:r>
      <w:r>
        <w:rPr>
          <w:rFonts w:hint="eastAsia" w:ascii="方正仿宋_GBK" w:hAnsi="方正仿宋_GBK" w:cs="方正仿宋_GBK"/>
          <w:b w:val="0"/>
          <w:bCs w:val="0"/>
        </w:rPr>
        <w:t>”</w:t>
      </w:r>
      <w:r>
        <w:rPr>
          <w:rFonts w:ascii="方正仿宋_GBK" w:hAnsi="方正仿宋_GBK" w:cs="方正仿宋_GBK"/>
          <w:b w:val="0"/>
          <w:bCs w:val="0"/>
          <w:szCs w:val="32"/>
        </w:rPr>
        <w:t>城市新名片。</w:t>
      </w:r>
    </w:p>
    <w:p>
      <w:pPr>
        <w:snapToGrid w:val="0"/>
        <w:spacing w:line="276" w:lineRule="auto"/>
        <w:ind w:firstLine="0" w:firstLineChars="0"/>
        <w:rPr>
          <w:rFonts w:ascii="方正仿宋_GBK" w:hAnsi="方正仿宋_GBK" w:cs="方正仿宋_GBK"/>
          <w:b w:val="0"/>
          <w:bCs w:val="0"/>
          <w:szCs w:val="32"/>
        </w:rPr>
      </w:pPr>
      <w:r>
        <w:rPr>
          <w:rFonts w:hint="default"/>
          <w:b w:val="0"/>
          <w:bCs w:val="0"/>
          <w:szCs w:val="32"/>
        </w:rPr>
        <w:t>——</w:t>
      </w:r>
      <w:r>
        <w:rPr>
          <w:rFonts w:hint="default" w:ascii="方正仿宋_GBK" w:eastAsia="方正仿宋_GBK"/>
          <w:b w:val="0"/>
          <w:bCs w:val="0"/>
          <w:szCs w:val="32"/>
        </w:rPr>
        <w:t>城市运行更加安全。</w:t>
      </w:r>
      <w:r>
        <w:rPr>
          <w:rFonts w:ascii="方正仿宋_GBK" w:hAnsi="方正仿宋_GBK" w:cs="方正仿宋_GBK"/>
          <w:b w:val="0"/>
          <w:bCs w:val="0"/>
          <w:szCs w:val="32"/>
        </w:rPr>
        <w:t>城市管理领域风险评估识别标准体系更加健全，城市管理各项应急保障措施更加完善，城市管理领域社会稳定风险进一步降低。</w:t>
      </w:r>
    </w:p>
    <w:bookmarkEnd w:id="110"/>
    <w:p>
      <w:pPr>
        <w:snapToGrid w:val="0"/>
        <w:spacing w:line="276" w:lineRule="auto"/>
        <w:ind w:firstLine="0" w:firstLineChars="0"/>
        <w:rPr>
          <w:rFonts w:ascii="方正仿宋_GBK" w:hAnsi="方正仿宋_GBK" w:cs="方正仿宋_GBK"/>
          <w:b w:val="0"/>
          <w:bCs w:val="0"/>
          <w:szCs w:val="32"/>
        </w:rPr>
      </w:pPr>
      <w:r>
        <w:rPr>
          <w:rFonts w:hint="default"/>
          <w:b w:val="0"/>
          <w:bCs w:val="0"/>
          <w:szCs w:val="32"/>
        </w:rPr>
        <w:t>—</w:t>
      </w:r>
      <w:r>
        <w:rPr>
          <w:rFonts w:hint="default" w:ascii="方正仿宋_GBK" w:eastAsia="方正仿宋_GBK"/>
          <w:b w:val="0"/>
          <w:bCs w:val="0"/>
          <w:szCs w:val="32"/>
        </w:rPr>
        <w:t>—城市治理体系更加健全。</w:t>
      </w:r>
      <w:r>
        <w:rPr>
          <w:rFonts w:ascii="方正仿宋_GBK" w:hAnsi="方正仿宋_GBK" w:cs="方正仿宋_GBK"/>
          <w:b w:val="0"/>
          <w:bCs w:val="0"/>
          <w:szCs w:val="32"/>
        </w:rPr>
        <w:t>城市管理向依法治理、科学治理、智慧治理的现代化城市治理转变，上下联动、横向融合的工作格局更加优化，社会各界共建共享氛围更加浓厚。</w:t>
      </w:r>
    </w:p>
    <w:p>
      <w:pPr>
        <w:snapToGrid w:val="0"/>
        <w:spacing w:line="276" w:lineRule="auto"/>
        <w:ind w:firstLine="0" w:firstLineChars="0"/>
        <w:jc w:val="center"/>
        <w:rPr>
          <w:rFonts w:hint="eastAsia" w:ascii="方正楷体_GBK" w:hAnsi="方正楷体_GBK" w:eastAsia="方正楷体_GBK" w:cs="方正楷体_GBK"/>
          <w:b w:val="0"/>
          <w:bCs w:val="0"/>
          <w:sz w:val="28"/>
          <w:szCs w:val="28"/>
        </w:rPr>
      </w:pPr>
      <w:bookmarkStart w:id="111" w:name="_Toc1423179815_WPSOffice_Level2"/>
      <w:bookmarkStart w:id="112" w:name="_Toc2004588352_WPSOffice_Level2"/>
      <w:r>
        <w:rPr>
          <w:rFonts w:hint="eastAsia" w:ascii="方正楷体_GBK" w:hAnsi="方正楷体_GBK" w:eastAsia="方正楷体_GBK" w:cs="方正楷体_GBK"/>
          <w:b w:val="0"/>
          <w:bCs w:val="0"/>
          <w:sz w:val="28"/>
          <w:szCs w:val="28"/>
        </w:rPr>
        <w:t>表1  永川区城市管理行业发展“十四五”规划指标</w:t>
      </w:r>
      <w:bookmarkEnd w:id="111"/>
      <w:bookmarkEnd w:id="112"/>
    </w:p>
    <w:tbl>
      <w:tblPr>
        <w:tblStyle w:val="19"/>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9"/>
        <w:gridCol w:w="754"/>
        <w:gridCol w:w="3175"/>
        <w:gridCol w:w="1243"/>
        <w:gridCol w:w="1261"/>
        <w:gridCol w:w="18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blHeader/>
        </w:trPr>
        <w:tc>
          <w:tcPr>
            <w:tcW w:w="408" w:type="pct"/>
            <w:noWrap w:val="0"/>
            <w:vAlign w:val="center"/>
          </w:tcPr>
          <w:p>
            <w:pPr>
              <w:snapToGrid w:val="0"/>
              <w:spacing w:line="240" w:lineRule="auto"/>
              <w:ind w:firstLine="0" w:firstLineChars="0"/>
              <w:jc w:val="center"/>
              <w:rPr>
                <w:rFonts w:hint="eastAsia" w:ascii="方正黑体_GBK" w:hAnsi="方正黑体_GBK" w:eastAsia="方正黑体_GBK" w:cs="方正黑体_GBK"/>
                <w:b w:val="0"/>
                <w:bCs w:val="0"/>
                <w:sz w:val="21"/>
                <w:szCs w:val="21"/>
              </w:rPr>
            </w:pPr>
            <w:r>
              <w:rPr>
                <w:rFonts w:hint="eastAsia" w:ascii="方正黑体_GBK" w:hAnsi="方正黑体_GBK" w:eastAsia="方正黑体_GBK" w:cs="方正黑体_GBK"/>
                <w:b w:val="0"/>
                <w:bCs w:val="0"/>
                <w:sz w:val="21"/>
                <w:szCs w:val="21"/>
              </w:rPr>
              <w:t>类别</w:t>
            </w:r>
          </w:p>
        </w:tc>
        <w:tc>
          <w:tcPr>
            <w:tcW w:w="416" w:type="pct"/>
            <w:noWrap w:val="0"/>
            <w:vAlign w:val="center"/>
          </w:tcPr>
          <w:p>
            <w:pPr>
              <w:snapToGrid w:val="0"/>
              <w:spacing w:line="240" w:lineRule="auto"/>
              <w:ind w:firstLine="0" w:firstLineChars="0"/>
              <w:jc w:val="center"/>
              <w:rPr>
                <w:rFonts w:hint="eastAsia" w:ascii="方正黑体_GBK" w:hAnsi="方正黑体_GBK" w:eastAsia="方正黑体_GBK" w:cs="方正黑体_GBK"/>
                <w:b w:val="0"/>
                <w:bCs w:val="0"/>
                <w:sz w:val="21"/>
                <w:szCs w:val="21"/>
              </w:rPr>
            </w:pPr>
            <w:r>
              <w:rPr>
                <w:rFonts w:hint="eastAsia" w:ascii="方正黑体_GBK" w:hAnsi="方正黑体_GBK" w:eastAsia="方正黑体_GBK" w:cs="方正黑体_GBK"/>
                <w:b w:val="0"/>
                <w:bCs w:val="0"/>
                <w:sz w:val="21"/>
                <w:szCs w:val="21"/>
              </w:rPr>
              <w:t>序号</w:t>
            </w:r>
          </w:p>
        </w:tc>
        <w:tc>
          <w:tcPr>
            <w:tcW w:w="1752" w:type="pct"/>
            <w:noWrap w:val="0"/>
            <w:vAlign w:val="center"/>
          </w:tcPr>
          <w:p>
            <w:pPr>
              <w:snapToGrid w:val="0"/>
              <w:spacing w:line="240" w:lineRule="auto"/>
              <w:ind w:firstLine="0" w:firstLineChars="0"/>
              <w:jc w:val="center"/>
              <w:rPr>
                <w:rFonts w:hint="eastAsia" w:ascii="方正黑体_GBK" w:hAnsi="方正黑体_GBK" w:eastAsia="方正黑体_GBK" w:cs="方正黑体_GBK"/>
                <w:b w:val="0"/>
                <w:bCs w:val="0"/>
                <w:sz w:val="21"/>
                <w:szCs w:val="21"/>
              </w:rPr>
            </w:pPr>
            <w:r>
              <w:rPr>
                <w:rFonts w:hint="eastAsia" w:ascii="方正黑体_GBK" w:hAnsi="方正黑体_GBK" w:eastAsia="方正黑体_GBK" w:cs="方正黑体_GBK"/>
                <w:b w:val="0"/>
                <w:bCs w:val="0"/>
                <w:sz w:val="21"/>
                <w:szCs w:val="21"/>
              </w:rPr>
              <w:t>名称</w:t>
            </w:r>
          </w:p>
        </w:tc>
        <w:tc>
          <w:tcPr>
            <w:tcW w:w="686" w:type="pct"/>
            <w:noWrap w:val="0"/>
            <w:vAlign w:val="center"/>
          </w:tcPr>
          <w:p>
            <w:pPr>
              <w:snapToGrid w:val="0"/>
              <w:spacing w:line="240" w:lineRule="auto"/>
              <w:ind w:firstLine="0" w:firstLineChars="0"/>
              <w:jc w:val="center"/>
              <w:rPr>
                <w:rFonts w:hint="eastAsia" w:ascii="方正黑体_GBK" w:hAnsi="方正黑体_GBK" w:eastAsia="方正黑体_GBK" w:cs="方正黑体_GBK"/>
                <w:b w:val="0"/>
                <w:bCs w:val="0"/>
                <w:sz w:val="21"/>
                <w:szCs w:val="21"/>
              </w:rPr>
            </w:pPr>
            <w:r>
              <w:rPr>
                <w:rFonts w:hint="eastAsia" w:ascii="方正黑体_GBK" w:hAnsi="方正黑体_GBK" w:eastAsia="方正黑体_GBK" w:cs="方正黑体_GBK"/>
                <w:b w:val="0"/>
                <w:bCs w:val="0"/>
                <w:sz w:val="21"/>
                <w:szCs w:val="21"/>
              </w:rPr>
              <w:t>现状指标（2020年）</w:t>
            </w:r>
          </w:p>
        </w:tc>
        <w:tc>
          <w:tcPr>
            <w:tcW w:w="696" w:type="pct"/>
            <w:noWrap w:val="0"/>
            <w:vAlign w:val="center"/>
          </w:tcPr>
          <w:p>
            <w:pPr>
              <w:snapToGrid w:val="0"/>
              <w:spacing w:line="240" w:lineRule="auto"/>
              <w:ind w:firstLine="0" w:firstLineChars="0"/>
              <w:jc w:val="center"/>
              <w:rPr>
                <w:rFonts w:hint="eastAsia" w:ascii="方正黑体_GBK" w:hAnsi="方正黑体_GBK" w:eastAsia="方正黑体_GBK" w:cs="方正黑体_GBK"/>
                <w:b w:val="0"/>
                <w:bCs w:val="0"/>
                <w:sz w:val="21"/>
                <w:szCs w:val="21"/>
              </w:rPr>
            </w:pPr>
            <w:r>
              <w:rPr>
                <w:rFonts w:hint="eastAsia" w:ascii="方正黑体_GBK" w:hAnsi="方正黑体_GBK" w:eastAsia="方正黑体_GBK" w:cs="方正黑体_GBK"/>
                <w:b w:val="0"/>
                <w:bCs w:val="0"/>
                <w:sz w:val="21"/>
                <w:szCs w:val="21"/>
              </w:rPr>
              <w:t>规划指标（2025年）</w:t>
            </w:r>
          </w:p>
        </w:tc>
        <w:tc>
          <w:tcPr>
            <w:tcW w:w="1040" w:type="pct"/>
            <w:noWrap w:val="0"/>
            <w:vAlign w:val="center"/>
          </w:tcPr>
          <w:p>
            <w:pPr>
              <w:snapToGrid w:val="0"/>
              <w:spacing w:line="240" w:lineRule="auto"/>
              <w:ind w:firstLine="0" w:firstLineChars="0"/>
              <w:jc w:val="center"/>
              <w:rPr>
                <w:rFonts w:hint="eastAsia" w:ascii="方正黑体_GBK" w:hAnsi="方正黑体_GBK" w:eastAsia="方正黑体_GBK" w:cs="方正黑体_GBK"/>
                <w:b w:val="0"/>
                <w:bCs w:val="0"/>
                <w:sz w:val="21"/>
                <w:szCs w:val="21"/>
              </w:rPr>
            </w:pPr>
            <w:r>
              <w:rPr>
                <w:rFonts w:hint="eastAsia" w:ascii="方正黑体_GBK" w:hAnsi="方正黑体_GBK" w:eastAsia="方正黑体_GBK" w:cs="方正黑体_GBK"/>
                <w:b w:val="0"/>
                <w:bCs w:val="0"/>
                <w:spacing w:val="-11"/>
                <w:sz w:val="21"/>
                <w:szCs w:val="21"/>
              </w:rPr>
              <w:t>《重庆市城市管理行业发展“十四五”规划》指标要求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trPr>
        <w:tc>
          <w:tcPr>
            <w:tcW w:w="408" w:type="pct"/>
            <w:vMerge w:val="restart"/>
            <w:noWrap w:val="0"/>
            <w:vAlign w:val="center"/>
          </w:tcPr>
          <w:p>
            <w:pPr>
              <w:snapToGrid w:val="0"/>
              <w:spacing w:line="240" w:lineRule="auto"/>
              <w:ind w:firstLine="0" w:firstLineChars="0"/>
              <w:rPr>
                <w:rFonts w:ascii="方正仿宋_GBK" w:hAnsi="方正仿宋_GBK" w:cs="方正仿宋_GBK"/>
                <w:b w:val="0"/>
                <w:bCs w:val="0"/>
                <w:sz w:val="21"/>
                <w:szCs w:val="21"/>
              </w:rPr>
            </w:pPr>
            <w:r>
              <w:rPr>
                <w:rFonts w:ascii="方正仿宋_GBK" w:hAnsi="方正仿宋_GBK" w:cs="方正仿宋_GBK"/>
                <w:b w:val="0"/>
                <w:bCs w:val="0"/>
                <w:sz w:val="21"/>
                <w:szCs w:val="21"/>
              </w:rPr>
              <w:t>环境卫生</w:t>
            </w:r>
          </w:p>
        </w:tc>
        <w:tc>
          <w:tcPr>
            <w:tcW w:w="416" w:type="pct"/>
            <w:noWrap w:val="0"/>
            <w:vAlign w:val="center"/>
          </w:tcPr>
          <w:p>
            <w:pPr>
              <w:snapToGrid w:val="0"/>
              <w:spacing w:line="240" w:lineRule="auto"/>
              <w:ind w:firstLine="0" w:firstLineChars="0"/>
              <w:jc w:val="center"/>
              <w:rPr>
                <w:rFonts w:ascii="方正仿宋_GBK" w:hAnsi="方正仿宋_GBK" w:cs="方正仿宋_GBK"/>
                <w:b w:val="0"/>
                <w:bCs w:val="0"/>
                <w:sz w:val="21"/>
                <w:szCs w:val="21"/>
              </w:rPr>
            </w:pPr>
            <w:r>
              <w:rPr>
                <w:rFonts w:ascii="方正仿宋_GBK" w:hAnsi="方正仿宋_GBK" w:cs="方正仿宋_GBK"/>
                <w:b w:val="0"/>
                <w:bCs w:val="0"/>
                <w:sz w:val="21"/>
                <w:szCs w:val="21"/>
              </w:rPr>
              <w:t>1</w:t>
            </w:r>
          </w:p>
        </w:tc>
        <w:tc>
          <w:tcPr>
            <w:tcW w:w="1752" w:type="pct"/>
            <w:noWrap w:val="0"/>
            <w:vAlign w:val="center"/>
          </w:tcPr>
          <w:p>
            <w:pPr>
              <w:snapToGrid w:val="0"/>
              <w:spacing w:line="240" w:lineRule="auto"/>
              <w:ind w:firstLine="0" w:firstLineChars="0"/>
              <w:rPr>
                <w:rFonts w:ascii="方正仿宋_GBK" w:hAnsi="方正仿宋_GBK" w:cs="方正仿宋_GBK"/>
                <w:b w:val="0"/>
                <w:bCs w:val="0"/>
                <w:sz w:val="21"/>
                <w:szCs w:val="21"/>
              </w:rPr>
            </w:pPr>
            <w:r>
              <w:rPr>
                <w:rFonts w:ascii="方正仿宋_GBK" w:hAnsi="方正仿宋_GBK" w:cs="方正仿宋_GBK"/>
                <w:b w:val="0"/>
                <w:bCs w:val="0"/>
                <w:sz w:val="21"/>
                <w:szCs w:val="21"/>
              </w:rPr>
              <w:t>城市生活垃圾回收利用率</w:t>
            </w:r>
          </w:p>
        </w:tc>
        <w:tc>
          <w:tcPr>
            <w:tcW w:w="686" w:type="pct"/>
            <w:noWrap w:val="0"/>
            <w:vAlign w:val="center"/>
          </w:tcPr>
          <w:p>
            <w:pPr>
              <w:snapToGrid w:val="0"/>
              <w:spacing w:line="240" w:lineRule="auto"/>
              <w:ind w:firstLine="0" w:firstLineChars="0"/>
              <w:rPr>
                <w:rFonts w:ascii="方正仿宋_GBK" w:hAnsi="方正仿宋_GBK" w:cs="方正仿宋_GBK"/>
                <w:b w:val="0"/>
                <w:bCs w:val="0"/>
                <w:sz w:val="21"/>
                <w:szCs w:val="21"/>
              </w:rPr>
            </w:pPr>
            <w:r>
              <w:rPr>
                <w:rFonts w:ascii="方正仿宋_GBK" w:hAnsi="方正仿宋_GBK" w:cs="方正仿宋_GBK"/>
                <w:b w:val="0"/>
                <w:bCs w:val="0"/>
                <w:sz w:val="21"/>
                <w:szCs w:val="21"/>
              </w:rPr>
              <w:t>35%</w:t>
            </w:r>
          </w:p>
        </w:tc>
        <w:tc>
          <w:tcPr>
            <w:tcW w:w="696" w:type="pct"/>
            <w:noWrap w:val="0"/>
            <w:vAlign w:val="center"/>
          </w:tcPr>
          <w:p>
            <w:pPr>
              <w:snapToGrid w:val="0"/>
              <w:spacing w:line="240" w:lineRule="auto"/>
              <w:ind w:firstLine="0" w:firstLineChars="0"/>
              <w:rPr>
                <w:rFonts w:ascii="方正仿宋_GBK" w:hAnsi="方正仿宋_GBK" w:cs="方正仿宋_GBK"/>
                <w:b w:val="0"/>
                <w:bCs w:val="0"/>
                <w:sz w:val="21"/>
                <w:szCs w:val="21"/>
              </w:rPr>
            </w:pPr>
            <w:r>
              <w:rPr>
                <w:rFonts w:ascii="方正仿宋_GBK" w:hAnsi="方正仿宋_GBK" w:cs="方正仿宋_GBK"/>
                <w:b w:val="0"/>
                <w:bCs w:val="0"/>
                <w:sz w:val="21"/>
                <w:szCs w:val="21"/>
              </w:rPr>
              <w:t>≥40%</w:t>
            </w:r>
          </w:p>
        </w:tc>
        <w:tc>
          <w:tcPr>
            <w:tcW w:w="1040" w:type="pct"/>
            <w:noWrap w:val="0"/>
            <w:vAlign w:val="center"/>
          </w:tcPr>
          <w:p>
            <w:pPr>
              <w:snapToGrid w:val="0"/>
              <w:spacing w:line="240" w:lineRule="auto"/>
              <w:ind w:firstLine="0" w:firstLineChars="0"/>
              <w:rPr>
                <w:rFonts w:ascii="方正仿宋_GBK" w:hAnsi="方正仿宋_GBK" w:cs="方正仿宋_GBK"/>
                <w:b w:val="0"/>
                <w:bCs w:val="0"/>
                <w:sz w:val="21"/>
                <w:szCs w:val="21"/>
              </w:rPr>
            </w:pPr>
            <w:r>
              <w:rPr>
                <w:rFonts w:ascii="方正仿宋_GBK" w:hAnsi="方正仿宋_GBK" w:cs="方正仿宋_GBK"/>
                <w:b w:val="0"/>
                <w:bCs w:val="0"/>
                <w:sz w:val="21"/>
                <w:szCs w:val="21"/>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trPr>
        <w:tc>
          <w:tcPr>
            <w:tcW w:w="408" w:type="pct"/>
            <w:vMerge w:val="continue"/>
            <w:noWrap w:val="0"/>
            <w:vAlign w:val="center"/>
          </w:tcPr>
          <w:p>
            <w:pPr>
              <w:snapToGrid w:val="0"/>
              <w:spacing w:line="240" w:lineRule="auto"/>
              <w:ind w:firstLine="0" w:firstLineChars="0"/>
              <w:rPr>
                <w:rFonts w:ascii="方正仿宋_GBK" w:hAnsi="方正仿宋_GBK" w:cs="方正仿宋_GBK"/>
                <w:b w:val="0"/>
                <w:bCs w:val="0"/>
                <w:sz w:val="21"/>
                <w:szCs w:val="21"/>
              </w:rPr>
            </w:pPr>
          </w:p>
        </w:tc>
        <w:tc>
          <w:tcPr>
            <w:tcW w:w="416" w:type="pct"/>
            <w:noWrap w:val="0"/>
            <w:vAlign w:val="center"/>
          </w:tcPr>
          <w:p>
            <w:pPr>
              <w:snapToGrid w:val="0"/>
              <w:spacing w:line="240" w:lineRule="auto"/>
              <w:ind w:firstLine="0" w:firstLineChars="0"/>
              <w:jc w:val="center"/>
              <w:rPr>
                <w:rFonts w:ascii="方正仿宋_GBK" w:hAnsi="方正仿宋_GBK" w:cs="方正仿宋_GBK"/>
                <w:b w:val="0"/>
                <w:bCs w:val="0"/>
                <w:sz w:val="21"/>
                <w:szCs w:val="21"/>
              </w:rPr>
            </w:pPr>
            <w:r>
              <w:rPr>
                <w:rFonts w:ascii="方正仿宋_GBK" w:hAnsi="方正仿宋_GBK" w:cs="方正仿宋_GBK"/>
                <w:b w:val="0"/>
                <w:bCs w:val="0"/>
                <w:sz w:val="21"/>
                <w:szCs w:val="21"/>
              </w:rPr>
              <w:t>2</w:t>
            </w:r>
          </w:p>
        </w:tc>
        <w:tc>
          <w:tcPr>
            <w:tcW w:w="1752" w:type="pct"/>
            <w:noWrap w:val="0"/>
            <w:vAlign w:val="center"/>
          </w:tcPr>
          <w:p>
            <w:pPr>
              <w:snapToGrid w:val="0"/>
              <w:spacing w:line="240" w:lineRule="auto"/>
              <w:ind w:firstLine="0" w:firstLineChars="0"/>
              <w:rPr>
                <w:rFonts w:ascii="方正仿宋_GBK" w:hAnsi="方正仿宋_GBK" w:cs="方正仿宋_GBK"/>
                <w:b w:val="0"/>
                <w:bCs w:val="0"/>
                <w:sz w:val="21"/>
                <w:szCs w:val="21"/>
              </w:rPr>
            </w:pPr>
            <w:r>
              <w:rPr>
                <w:rFonts w:ascii="方正仿宋_GBK" w:hAnsi="方正仿宋_GBK" w:cs="方正仿宋_GBK"/>
                <w:b w:val="0"/>
                <w:bCs w:val="0"/>
                <w:sz w:val="21"/>
                <w:szCs w:val="21"/>
              </w:rPr>
              <w:t>城市生活垃圾焚烧处理能力占比</w:t>
            </w:r>
          </w:p>
        </w:tc>
        <w:tc>
          <w:tcPr>
            <w:tcW w:w="686" w:type="pct"/>
            <w:noWrap w:val="0"/>
            <w:vAlign w:val="center"/>
          </w:tcPr>
          <w:p>
            <w:pPr>
              <w:snapToGrid w:val="0"/>
              <w:spacing w:line="240" w:lineRule="auto"/>
              <w:ind w:firstLine="0" w:firstLineChars="0"/>
              <w:rPr>
                <w:rFonts w:ascii="方正仿宋_GBK" w:hAnsi="方正仿宋_GBK" w:cs="方正仿宋_GBK"/>
                <w:b w:val="0"/>
                <w:bCs w:val="0"/>
                <w:sz w:val="21"/>
                <w:szCs w:val="21"/>
              </w:rPr>
            </w:pPr>
            <w:r>
              <w:rPr>
                <w:rFonts w:ascii="方正仿宋_GBK" w:hAnsi="方正仿宋_GBK" w:cs="方正仿宋_GBK"/>
                <w:b w:val="0"/>
                <w:bCs w:val="0"/>
                <w:sz w:val="21"/>
                <w:szCs w:val="21"/>
              </w:rPr>
              <w:t>100%</w:t>
            </w:r>
          </w:p>
        </w:tc>
        <w:tc>
          <w:tcPr>
            <w:tcW w:w="696" w:type="pct"/>
            <w:noWrap w:val="0"/>
            <w:vAlign w:val="center"/>
          </w:tcPr>
          <w:p>
            <w:pPr>
              <w:snapToGrid w:val="0"/>
              <w:spacing w:line="240" w:lineRule="auto"/>
              <w:ind w:firstLine="0" w:firstLineChars="0"/>
              <w:rPr>
                <w:rFonts w:ascii="方正仿宋_GBK" w:hAnsi="方正仿宋_GBK" w:cs="方正仿宋_GBK"/>
                <w:b w:val="0"/>
                <w:bCs w:val="0"/>
                <w:sz w:val="21"/>
                <w:szCs w:val="21"/>
              </w:rPr>
            </w:pPr>
            <w:r>
              <w:rPr>
                <w:rFonts w:ascii="方正仿宋_GBK" w:hAnsi="方正仿宋_GBK" w:cs="方正仿宋_GBK"/>
                <w:b w:val="0"/>
                <w:bCs w:val="0"/>
                <w:sz w:val="21"/>
                <w:szCs w:val="21"/>
              </w:rPr>
              <w:t>100%</w:t>
            </w:r>
          </w:p>
        </w:tc>
        <w:tc>
          <w:tcPr>
            <w:tcW w:w="1040" w:type="pct"/>
            <w:noWrap w:val="0"/>
            <w:vAlign w:val="center"/>
          </w:tcPr>
          <w:p>
            <w:pPr>
              <w:snapToGrid w:val="0"/>
              <w:spacing w:line="240" w:lineRule="auto"/>
              <w:ind w:firstLine="0" w:firstLineChars="0"/>
              <w:rPr>
                <w:rFonts w:ascii="方正仿宋_GBK" w:hAnsi="方正仿宋_GBK" w:cs="方正仿宋_GBK"/>
                <w:b w:val="0"/>
                <w:bCs w:val="0"/>
                <w:sz w:val="21"/>
                <w:szCs w:val="21"/>
              </w:rPr>
            </w:pPr>
            <w:r>
              <w:rPr>
                <w:rFonts w:ascii="方正仿宋_GBK" w:hAnsi="方正仿宋_GBK" w:cs="方正仿宋_GBK"/>
                <w:b w:val="0"/>
                <w:bCs w:val="0"/>
                <w:sz w:val="21"/>
                <w:szCs w:val="21"/>
              </w:rPr>
              <w:t>≥65%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trPr>
        <w:tc>
          <w:tcPr>
            <w:tcW w:w="408" w:type="pct"/>
            <w:vMerge w:val="continue"/>
            <w:noWrap w:val="0"/>
            <w:vAlign w:val="center"/>
          </w:tcPr>
          <w:p>
            <w:pPr>
              <w:snapToGrid w:val="0"/>
              <w:spacing w:line="240" w:lineRule="auto"/>
              <w:ind w:firstLine="0" w:firstLineChars="0"/>
              <w:rPr>
                <w:rFonts w:ascii="方正仿宋_GBK" w:hAnsi="方正仿宋_GBK" w:cs="方正仿宋_GBK"/>
                <w:b w:val="0"/>
                <w:bCs w:val="0"/>
                <w:sz w:val="21"/>
                <w:szCs w:val="21"/>
              </w:rPr>
            </w:pPr>
          </w:p>
        </w:tc>
        <w:tc>
          <w:tcPr>
            <w:tcW w:w="416" w:type="pct"/>
            <w:noWrap w:val="0"/>
            <w:vAlign w:val="center"/>
          </w:tcPr>
          <w:p>
            <w:pPr>
              <w:snapToGrid w:val="0"/>
              <w:spacing w:line="240" w:lineRule="auto"/>
              <w:ind w:firstLine="0" w:firstLineChars="0"/>
              <w:jc w:val="center"/>
              <w:rPr>
                <w:rFonts w:ascii="方正仿宋_GBK" w:hAnsi="方正仿宋_GBK" w:cs="方正仿宋_GBK"/>
                <w:b w:val="0"/>
                <w:bCs w:val="0"/>
                <w:sz w:val="21"/>
                <w:szCs w:val="21"/>
              </w:rPr>
            </w:pPr>
            <w:r>
              <w:rPr>
                <w:rFonts w:ascii="方正仿宋_GBK" w:hAnsi="方正仿宋_GBK" w:cs="方正仿宋_GBK"/>
                <w:b w:val="0"/>
                <w:bCs w:val="0"/>
                <w:sz w:val="21"/>
                <w:szCs w:val="21"/>
              </w:rPr>
              <w:t>3</w:t>
            </w:r>
          </w:p>
        </w:tc>
        <w:tc>
          <w:tcPr>
            <w:tcW w:w="1752" w:type="pct"/>
            <w:noWrap w:val="0"/>
            <w:vAlign w:val="center"/>
          </w:tcPr>
          <w:p>
            <w:pPr>
              <w:snapToGrid w:val="0"/>
              <w:spacing w:line="240" w:lineRule="auto"/>
              <w:ind w:firstLine="0" w:firstLineChars="0"/>
              <w:rPr>
                <w:rFonts w:ascii="方正仿宋_GBK" w:hAnsi="方正仿宋_GBK" w:cs="方正仿宋_GBK"/>
                <w:b w:val="0"/>
                <w:bCs w:val="0"/>
                <w:sz w:val="21"/>
                <w:szCs w:val="21"/>
              </w:rPr>
            </w:pPr>
            <w:r>
              <w:rPr>
                <w:rFonts w:ascii="方正仿宋_GBK" w:hAnsi="方正仿宋_GBK" w:cs="方正仿宋_GBK"/>
                <w:b w:val="0"/>
                <w:bCs w:val="0"/>
                <w:sz w:val="21"/>
                <w:szCs w:val="21"/>
              </w:rPr>
              <w:t>行政村、自然村组生活垃圾收运处置体系覆盖率</w:t>
            </w:r>
          </w:p>
        </w:tc>
        <w:tc>
          <w:tcPr>
            <w:tcW w:w="686" w:type="pct"/>
            <w:noWrap w:val="0"/>
            <w:vAlign w:val="center"/>
          </w:tcPr>
          <w:p>
            <w:pPr>
              <w:snapToGrid w:val="0"/>
              <w:spacing w:line="240" w:lineRule="auto"/>
              <w:ind w:firstLine="0" w:firstLineChars="0"/>
              <w:rPr>
                <w:rFonts w:ascii="方正仿宋_GBK" w:hAnsi="方正仿宋_GBK" w:cs="方正仿宋_GBK"/>
                <w:b w:val="0"/>
                <w:bCs w:val="0"/>
                <w:sz w:val="21"/>
                <w:szCs w:val="21"/>
              </w:rPr>
            </w:pPr>
            <w:r>
              <w:rPr>
                <w:rFonts w:ascii="方正仿宋_GBK" w:hAnsi="方正仿宋_GBK" w:cs="方正仿宋_GBK"/>
                <w:b w:val="0"/>
                <w:bCs w:val="0"/>
                <w:sz w:val="21"/>
                <w:szCs w:val="21"/>
              </w:rPr>
              <w:t>96%</w:t>
            </w:r>
          </w:p>
        </w:tc>
        <w:tc>
          <w:tcPr>
            <w:tcW w:w="696" w:type="pct"/>
            <w:noWrap w:val="0"/>
            <w:vAlign w:val="center"/>
          </w:tcPr>
          <w:p>
            <w:pPr>
              <w:snapToGrid w:val="0"/>
              <w:spacing w:line="240" w:lineRule="auto"/>
              <w:ind w:firstLine="0" w:firstLineChars="0"/>
              <w:rPr>
                <w:rFonts w:ascii="方正仿宋_GBK" w:hAnsi="方正仿宋_GBK" w:cs="方正仿宋_GBK"/>
                <w:b w:val="0"/>
                <w:bCs w:val="0"/>
                <w:sz w:val="21"/>
                <w:szCs w:val="21"/>
              </w:rPr>
            </w:pPr>
            <w:r>
              <w:rPr>
                <w:rFonts w:ascii="方正仿宋_GBK" w:hAnsi="方正仿宋_GBK" w:cs="方正仿宋_GBK"/>
                <w:b w:val="0"/>
                <w:bCs w:val="0"/>
                <w:sz w:val="21"/>
                <w:szCs w:val="21"/>
              </w:rPr>
              <w:t>≥100%</w:t>
            </w:r>
          </w:p>
        </w:tc>
        <w:tc>
          <w:tcPr>
            <w:tcW w:w="1040" w:type="pct"/>
            <w:noWrap w:val="0"/>
            <w:vAlign w:val="center"/>
          </w:tcPr>
          <w:p>
            <w:pPr>
              <w:snapToGrid w:val="0"/>
              <w:spacing w:line="240" w:lineRule="auto"/>
              <w:ind w:firstLine="0" w:firstLineChars="0"/>
              <w:rPr>
                <w:rFonts w:ascii="方正仿宋_GBK" w:hAnsi="方正仿宋_GBK" w:cs="方正仿宋_GBK"/>
                <w:b w:val="0"/>
                <w:bCs w:val="0"/>
                <w:sz w:val="21"/>
                <w:szCs w:val="21"/>
              </w:rPr>
            </w:pPr>
            <w:r>
              <w:rPr>
                <w:rFonts w:ascii="方正仿宋_GBK" w:hAnsi="方正仿宋_GBK" w:cs="方正仿宋_GBK"/>
                <w:b w:val="0"/>
                <w:bCs w:val="0"/>
                <w:sz w:val="21"/>
                <w:szCs w:val="21"/>
              </w:rPr>
              <w:t>≥99%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trPr>
        <w:tc>
          <w:tcPr>
            <w:tcW w:w="408" w:type="pct"/>
            <w:vMerge w:val="continue"/>
            <w:noWrap w:val="0"/>
            <w:vAlign w:val="center"/>
          </w:tcPr>
          <w:p>
            <w:pPr>
              <w:snapToGrid w:val="0"/>
              <w:spacing w:line="240" w:lineRule="auto"/>
              <w:ind w:firstLine="0" w:firstLineChars="0"/>
              <w:rPr>
                <w:rFonts w:ascii="方正仿宋_GBK" w:hAnsi="方正仿宋_GBK" w:cs="方正仿宋_GBK"/>
                <w:b w:val="0"/>
                <w:bCs w:val="0"/>
                <w:sz w:val="21"/>
                <w:szCs w:val="21"/>
              </w:rPr>
            </w:pPr>
          </w:p>
        </w:tc>
        <w:tc>
          <w:tcPr>
            <w:tcW w:w="416" w:type="pct"/>
            <w:noWrap w:val="0"/>
            <w:vAlign w:val="center"/>
          </w:tcPr>
          <w:p>
            <w:pPr>
              <w:snapToGrid w:val="0"/>
              <w:spacing w:line="240" w:lineRule="auto"/>
              <w:ind w:firstLine="0" w:firstLineChars="0"/>
              <w:jc w:val="center"/>
              <w:rPr>
                <w:rFonts w:ascii="方正仿宋_GBK" w:hAnsi="方正仿宋_GBK" w:cs="方正仿宋_GBK"/>
                <w:b w:val="0"/>
                <w:bCs w:val="0"/>
                <w:sz w:val="21"/>
                <w:szCs w:val="21"/>
              </w:rPr>
            </w:pPr>
            <w:r>
              <w:rPr>
                <w:rFonts w:ascii="方正仿宋_GBK" w:hAnsi="方正仿宋_GBK" w:cs="方正仿宋_GBK"/>
                <w:b w:val="0"/>
                <w:bCs w:val="0"/>
                <w:sz w:val="21"/>
                <w:szCs w:val="21"/>
              </w:rPr>
              <w:t>4</w:t>
            </w:r>
          </w:p>
        </w:tc>
        <w:tc>
          <w:tcPr>
            <w:tcW w:w="1752" w:type="pct"/>
            <w:noWrap w:val="0"/>
            <w:vAlign w:val="center"/>
          </w:tcPr>
          <w:p>
            <w:pPr>
              <w:snapToGrid w:val="0"/>
              <w:spacing w:line="240" w:lineRule="auto"/>
              <w:ind w:firstLine="0" w:firstLineChars="0"/>
              <w:rPr>
                <w:rFonts w:ascii="方正仿宋_GBK" w:hAnsi="方正仿宋_GBK" w:cs="方正仿宋_GBK"/>
                <w:b w:val="0"/>
                <w:bCs w:val="0"/>
                <w:sz w:val="21"/>
                <w:szCs w:val="21"/>
              </w:rPr>
            </w:pPr>
            <w:r>
              <w:rPr>
                <w:rFonts w:ascii="方正仿宋_GBK" w:hAnsi="方正仿宋_GBK" w:cs="方正仿宋_GBK"/>
                <w:b w:val="0"/>
                <w:bCs w:val="0"/>
                <w:sz w:val="21"/>
                <w:szCs w:val="21"/>
              </w:rPr>
              <w:t>城市道路机械化清扫率</w:t>
            </w:r>
          </w:p>
        </w:tc>
        <w:tc>
          <w:tcPr>
            <w:tcW w:w="686" w:type="pct"/>
            <w:noWrap w:val="0"/>
            <w:vAlign w:val="center"/>
          </w:tcPr>
          <w:p>
            <w:pPr>
              <w:snapToGrid w:val="0"/>
              <w:spacing w:line="240" w:lineRule="auto"/>
              <w:ind w:firstLine="0" w:firstLineChars="0"/>
              <w:rPr>
                <w:rFonts w:ascii="方正仿宋_GBK" w:hAnsi="方正仿宋_GBK" w:cs="方正仿宋_GBK"/>
                <w:b w:val="0"/>
                <w:bCs w:val="0"/>
                <w:sz w:val="21"/>
                <w:szCs w:val="21"/>
              </w:rPr>
            </w:pPr>
            <w:r>
              <w:rPr>
                <w:rFonts w:ascii="方正仿宋_GBK" w:hAnsi="方正仿宋_GBK" w:cs="方正仿宋_GBK"/>
                <w:b w:val="0"/>
                <w:bCs w:val="0"/>
                <w:sz w:val="21"/>
                <w:szCs w:val="21"/>
              </w:rPr>
              <w:t>90%</w:t>
            </w:r>
          </w:p>
        </w:tc>
        <w:tc>
          <w:tcPr>
            <w:tcW w:w="696" w:type="pct"/>
            <w:noWrap w:val="0"/>
            <w:vAlign w:val="center"/>
          </w:tcPr>
          <w:p>
            <w:pPr>
              <w:snapToGrid w:val="0"/>
              <w:spacing w:line="240" w:lineRule="auto"/>
              <w:ind w:firstLine="0" w:firstLineChars="0"/>
              <w:rPr>
                <w:rFonts w:ascii="方正仿宋_GBK" w:hAnsi="方正仿宋_GBK" w:cs="方正仿宋_GBK"/>
                <w:b w:val="0"/>
                <w:bCs w:val="0"/>
                <w:sz w:val="21"/>
                <w:szCs w:val="21"/>
              </w:rPr>
            </w:pPr>
            <w:r>
              <w:rPr>
                <w:rFonts w:ascii="方正仿宋_GBK" w:hAnsi="方正仿宋_GBK" w:cs="方正仿宋_GBK"/>
                <w:b w:val="0"/>
                <w:bCs w:val="0"/>
                <w:sz w:val="21"/>
                <w:szCs w:val="21"/>
              </w:rPr>
              <w:t>≥95%</w:t>
            </w:r>
          </w:p>
        </w:tc>
        <w:tc>
          <w:tcPr>
            <w:tcW w:w="1040" w:type="pct"/>
            <w:noWrap w:val="0"/>
            <w:vAlign w:val="center"/>
          </w:tcPr>
          <w:p>
            <w:pPr>
              <w:snapToGrid w:val="0"/>
              <w:spacing w:line="240" w:lineRule="auto"/>
              <w:ind w:firstLine="0" w:firstLineChars="0"/>
              <w:rPr>
                <w:rFonts w:ascii="方正仿宋_GBK" w:hAnsi="方正仿宋_GBK" w:cs="方正仿宋_GBK"/>
                <w:b w:val="0"/>
                <w:bCs w:val="0"/>
                <w:sz w:val="21"/>
                <w:szCs w:val="21"/>
              </w:rPr>
            </w:pPr>
            <w:r>
              <w:rPr>
                <w:rFonts w:ascii="方正仿宋_GBK" w:hAnsi="方正仿宋_GBK" w:cs="方正仿宋_GBK"/>
                <w:b w:val="0"/>
                <w:bCs w:val="0"/>
                <w:sz w:val="21"/>
                <w:szCs w:val="21"/>
              </w:rPr>
              <w:t>≥95%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trPr>
        <w:tc>
          <w:tcPr>
            <w:tcW w:w="408" w:type="pct"/>
            <w:vMerge w:val="restart"/>
            <w:noWrap w:val="0"/>
            <w:vAlign w:val="center"/>
          </w:tcPr>
          <w:p>
            <w:pPr>
              <w:snapToGrid w:val="0"/>
              <w:spacing w:line="240" w:lineRule="auto"/>
              <w:ind w:firstLine="0" w:firstLineChars="0"/>
              <w:rPr>
                <w:rFonts w:ascii="方正仿宋_GBK" w:hAnsi="方正仿宋_GBK" w:cs="方正仿宋_GBK"/>
                <w:b w:val="0"/>
                <w:bCs w:val="0"/>
                <w:sz w:val="21"/>
                <w:szCs w:val="21"/>
              </w:rPr>
            </w:pPr>
            <w:r>
              <w:rPr>
                <w:rFonts w:ascii="方正仿宋_GBK" w:hAnsi="方正仿宋_GBK" w:cs="方正仿宋_GBK"/>
                <w:b w:val="0"/>
                <w:bCs w:val="0"/>
                <w:sz w:val="21"/>
                <w:szCs w:val="21"/>
              </w:rPr>
              <w:t>园林绿化</w:t>
            </w:r>
          </w:p>
        </w:tc>
        <w:tc>
          <w:tcPr>
            <w:tcW w:w="416" w:type="pct"/>
            <w:noWrap w:val="0"/>
            <w:vAlign w:val="center"/>
          </w:tcPr>
          <w:p>
            <w:pPr>
              <w:snapToGrid w:val="0"/>
              <w:spacing w:line="240" w:lineRule="auto"/>
              <w:ind w:firstLine="0" w:firstLineChars="0"/>
              <w:jc w:val="center"/>
              <w:rPr>
                <w:rFonts w:ascii="方正仿宋_GBK" w:hAnsi="方正仿宋_GBK" w:cs="方正仿宋_GBK"/>
                <w:b w:val="0"/>
                <w:bCs w:val="0"/>
                <w:sz w:val="21"/>
                <w:szCs w:val="21"/>
              </w:rPr>
            </w:pPr>
            <w:r>
              <w:rPr>
                <w:rFonts w:ascii="方正仿宋_GBK" w:hAnsi="方正仿宋_GBK" w:cs="方正仿宋_GBK"/>
                <w:b w:val="0"/>
                <w:bCs w:val="0"/>
                <w:sz w:val="21"/>
                <w:szCs w:val="21"/>
              </w:rPr>
              <w:t>5</w:t>
            </w:r>
          </w:p>
        </w:tc>
        <w:tc>
          <w:tcPr>
            <w:tcW w:w="1752" w:type="pct"/>
            <w:noWrap w:val="0"/>
            <w:vAlign w:val="center"/>
          </w:tcPr>
          <w:p>
            <w:pPr>
              <w:snapToGrid w:val="0"/>
              <w:spacing w:line="240" w:lineRule="auto"/>
              <w:ind w:firstLine="0" w:firstLineChars="0"/>
              <w:rPr>
                <w:rFonts w:ascii="方正仿宋_GBK" w:hAnsi="方正仿宋_GBK" w:cs="方正仿宋_GBK"/>
                <w:b w:val="0"/>
                <w:bCs w:val="0"/>
                <w:sz w:val="21"/>
                <w:szCs w:val="21"/>
              </w:rPr>
            </w:pPr>
            <w:r>
              <w:rPr>
                <w:rFonts w:ascii="方正仿宋_GBK" w:hAnsi="方正仿宋_GBK" w:cs="方正仿宋_GBK"/>
                <w:b w:val="0"/>
                <w:bCs w:val="0"/>
                <w:sz w:val="21"/>
                <w:szCs w:val="21"/>
              </w:rPr>
              <w:t>建成区绿地率</w:t>
            </w:r>
          </w:p>
        </w:tc>
        <w:tc>
          <w:tcPr>
            <w:tcW w:w="686" w:type="pct"/>
            <w:noWrap w:val="0"/>
            <w:vAlign w:val="center"/>
          </w:tcPr>
          <w:p>
            <w:pPr>
              <w:snapToGrid w:val="0"/>
              <w:spacing w:line="240" w:lineRule="auto"/>
              <w:ind w:firstLine="0" w:firstLineChars="0"/>
              <w:rPr>
                <w:rFonts w:ascii="方正仿宋_GBK" w:hAnsi="方正仿宋_GBK" w:cs="方正仿宋_GBK"/>
                <w:b w:val="0"/>
                <w:bCs w:val="0"/>
                <w:sz w:val="21"/>
                <w:szCs w:val="21"/>
              </w:rPr>
            </w:pPr>
            <w:r>
              <w:rPr>
                <w:rFonts w:ascii="方正仿宋_GBK" w:hAnsi="方正仿宋_GBK" w:cs="方正仿宋_GBK"/>
                <w:b w:val="0"/>
                <w:bCs w:val="0"/>
                <w:sz w:val="21"/>
                <w:szCs w:val="21"/>
              </w:rPr>
              <w:t>38.7%</w:t>
            </w:r>
          </w:p>
        </w:tc>
        <w:tc>
          <w:tcPr>
            <w:tcW w:w="696" w:type="pct"/>
            <w:noWrap w:val="0"/>
            <w:vAlign w:val="center"/>
          </w:tcPr>
          <w:p>
            <w:pPr>
              <w:snapToGrid w:val="0"/>
              <w:spacing w:line="240" w:lineRule="auto"/>
              <w:ind w:firstLine="0" w:firstLineChars="0"/>
              <w:rPr>
                <w:rFonts w:ascii="方正仿宋_GBK" w:hAnsi="方正仿宋_GBK" w:cs="方正仿宋_GBK"/>
                <w:b w:val="0"/>
                <w:bCs w:val="0"/>
                <w:sz w:val="21"/>
                <w:szCs w:val="21"/>
              </w:rPr>
            </w:pPr>
            <w:r>
              <w:rPr>
                <w:rFonts w:ascii="方正仿宋_GBK" w:hAnsi="方正仿宋_GBK" w:cs="方正仿宋_GBK"/>
                <w:b w:val="0"/>
                <w:bCs w:val="0"/>
                <w:sz w:val="21"/>
                <w:szCs w:val="21"/>
              </w:rPr>
              <w:t>≥39%</w:t>
            </w:r>
          </w:p>
        </w:tc>
        <w:tc>
          <w:tcPr>
            <w:tcW w:w="1040" w:type="pct"/>
            <w:noWrap w:val="0"/>
            <w:vAlign w:val="center"/>
          </w:tcPr>
          <w:p>
            <w:pPr>
              <w:snapToGrid w:val="0"/>
              <w:spacing w:line="240" w:lineRule="auto"/>
              <w:ind w:firstLine="0" w:firstLineChars="0"/>
              <w:rPr>
                <w:rFonts w:ascii="方正仿宋_GBK" w:hAnsi="方正仿宋_GBK" w:cs="方正仿宋_GBK"/>
                <w:b w:val="0"/>
                <w:bCs w:val="0"/>
                <w:sz w:val="21"/>
                <w:szCs w:val="21"/>
              </w:rPr>
            </w:pPr>
            <w:r>
              <w:rPr>
                <w:rFonts w:ascii="方正仿宋_GBK" w:hAnsi="方正仿宋_GBK" w:cs="方正仿宋_GBK"/>
                <w:b w:val="0"/>
                <w:bCs w:val="0"/>
                <w:sz w:val="21"/>
                <w:szCs w:val="21"/>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trPr>
        <w:tc>
          <w:tcPr>
            <w:tcW w:w="408" w:type="pct"/>
            <w:vMerge w:val="continue"/>
            <w:noWrap w:val="0"/>
            <w:vAlign w:val="center"/>
          </w:tcPr>
          <w:p>
            <w:pPr>
              <w:snapToGrid w:val="0"/>
              <w:spacing w:line="240" w:lineRule="auto"/>
              <w:ind w:firstLine="0" w:firstLineChars="0"/>
              <w:rPr>
                <w:rFonts w:ascii="方正仿宋_GBK" w:hAnsi="方正仿宋_GBK" w:cs="方正仿宋_GBK"/>
                <w:b w:val="0"/>
                <w:bCs w:val="0"/>
                <w:sz w:val="21"/>
                <w:szCs w:val="21"/>
              </w:rPr>
            </w:pPr>
          </w:p>
        </w:tc>
        <w:tc>
          <w:tcPr>
            <w:tcW w:w="416" w:type="pct"/>
            <w:noWrap w:val="0"/>
            <w:vAlign w:val="center"/>
          </w:tcPr>
          <w:p>
            <w:pPr>
              <w:snapToGrid w:val="0"/>
              <w:spacing w:line="240" w:lineRule="auto"/>
              <w:ind w:firstLine="0" w:firstLineChars="0"/>
              <w:jc w:val="center"/>
              <w:rPr>
                <w:rFonts w:ascii="方正仿宋_GBK" w:hAnsi="方正仿宋_GBK" w:cs="方正仿宋_GBK"/>
                <w:b w:val="0"/>
                <w:bCs w:val="0"/>
                <w:sz w:val="21"/>
                <w:szCs w:val="21"/>
              </w:rPr>
            </w:pPr>
            <w:r>
              <w:rPr>
                <w:rFonts w:ascii="方正仿宋_GBK" w:hAnsi="方正仿宋_GBK" w:cs="方正仿宋_GBK"/>
                <w:b w:val="0"/>
                <w:bCs w:val="0"/>
                <w:sz w:val="21"/>
                <w:szCs w:val="21"/>
              </w:rPr>
              <w:t>6</w:t>
            </w:r>
          </w:p>
        </w:tc>
        <w:tc>
          <w:tcPr>
            <w:tcW w:w="1752" w:type="pct"/>
            <w:noWrap w:val="0"/>
            <w:vAlign w:val="center"/>
          </w:tcPr>
          <w:p>
            <w:pPr>
              <w:snapToGrid w:val="0"/>
              <w:spacing w:line="240" w:lineRule="auto"/>
              <w:ind w:firstLine="0" w:firstLineChars="0"/>
              <w:rPr>
                <w:rFonts w:ascii="方正仿宋_GBK" w:hAnsi="方正仿宋_GBK" w:cs="方正仿宋_GBK"/>
                <w:b w:val="0"/>
                <w:bCs w:val="0"/>
                <w:sz w:val="21"/>
                <w:szCs w:val="21"/>
              </w:rPr>
            </w:pPr>
            <w:r>
              <w:rPr>
                <w:rFonts w:ascii="方正仿宋_GBK" w:hAnsi="方正仿宋_GBK" w:cs="方正仿宋_GBK"/>
                <w:b w:val="0"/>
                <w:bCs w:val="0"/>
                <w:sz w:val="21"/>
                <w:szCs w:val="21"/>
              </w:rPr>
              <w:t>人均公园绿地面积</w:t>
            </w:r>
          </w:p>
        </w:tc>
        <w:tc>
          <w:tcPr>
            <w:tcW w:w="686" w:type="pct"/>
            <w:noWrap w:val="0"/>
            <w:vAlign w:val="center"/>
          </w:tcPr>
          <w:p>
            <w:pPr>
              <w:snapToGrid w:val="0"/>
              <w:spacing w:line="240" w:lineRule="auto"/>
              <w:ind w:firstLine="0" w:firstLineChars="0"/>
              <w:rPr>
                <w:rFonts w:ascii="方正仿宋_GBK" w:hAnsi="方正仿宋_GBK" w:cs="方正仿宋_GBK"/>
                <w:b w:val="0"/>
                <w:bCs w:val="0"/>
                <w:sz w:val="21"/>
                <w:szCs w:val="21"/>
              </w:rPr>
            </w:pPr>
            <w:r>
              <w:rPr>
                <w:rFonts w:ascii="方正仿宋_GBK" w:hAnsi="方正仿宋_GBK" w:cs="方正仿宋_GBK"/>
                <w:b w:val="0"/>
                <w:bCs w:val="0"/>
                <w:sz w:val="21"/>
                <w:szCs w:val="21"/>
              </w:rPr>
              <w:t>10.2㎡/人</w:t>
            </w:r>
          </w:p>
        </w:tc>
        <w:tc>
          <w:tcPr>
            <w:tcW w:w="696" w:type="pct"/>
            <w:noWrap w:val="0"/>
            <w:vAlign w:val="center"/>
          </w:tcPr>
          <w:p>
            <w:pPr>
              <w:snapToGrid w:val="0"/>
              <w:spacing w:line="240" w:lineRule="auto"/>
              <w:ind w:firstLine="0" w:firstLineChars="0"/>
              <w:rPr>
                <w:rFonts w:ascii="方正仿宋_GBK" w:hAnsi="方正仿宋_GBK" w:cs="方正仿宋_GBK"/>
                <w:b w:val="0"/>
                <w:bCs w:val="0"/>
                <w:sz w:val="21"/>
                <w:szCs w:val="21"/>
              </w:rPr>
            </w:pPr>
            <w:r>
              <w:rPr>
                <w:rFonts w:ascii="方正仿宋_GBK" w:hAnsi="方正仿宋_GBK" w:cs="方正仿宋_GBK"/>
                <w:b w:val="0"/>
                <w:bCs w:val="0"/>
                <w:sz w:val="21"/>
                <w:szCs w:val="21"/>
              </w:rPr>
              <w:t>≥12㎡/人</w:t>
            </w:r>
          </w:p>
        </w:tc>
        <w:tc>
          <w:tcPr>
            <w:tcW w:w="1040" w:type="pct"/>
            <w:noWrap w:val="0"/>
            <w:vAlign w:val="center"/>
          </w:tcPr>
          <w:p>
            <w:pPr>
              <w:snapToGrid w:val="0"/>
              <w:spacing w:line="240" w:lineRule="auto"/>
              <w:ind w:firstLine="0" w:firstLineChars="0"/>
              <w:rPr>
                <w:rFonts w:ascii="方正仿宋_GBK" w:hAnsi="方正仿宋_GBK" w:cs="方正仿宋_GBK"/>
                <w:b w:val="0"/>
                <w:bCs w:val="0"/>
                <w:sz w:val="21"/>
                <w:szCs w:val="21"/>
              </w:rPr>
            </w:pPr>
            <w:r>
              <w:rPr>
                <w:rFonts w:ascii="方正仿宋_GBK" w:hAnsi="方正仿宋_GBK" w:cs="方正仿宋_GBK"/>
                <w:b w:val="0"/>
                <w:bCs w:val="0"/>
                <w:sz w:val="21"/>
                <w:szCs w:val="21"/>
              </w:rPr>
              <w:t>≥12㎡/人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trPr>
        <w:tc>
          <w:tcPr>
            <w:tcW w:w="408" w:type="pct"/>
            <w:vMerge w:val="continue"/>
            <w:noWrap w:val="0"/>
            <w:vAlign w:val="center"/>
          </w:tcPr>
          <w:p>
            <w:pPr>
              <w:snapToGrid w:val="0"/>
              <w:spacing w:line="240" w:lineRule="auto"/>
              <w:ind w:firstLine="0" w:firstLineChars="0"/>
              <w:rPr>
                <w:rFonts w:ascii="方正仿宋_GBK" w:hAnsi="方正仿宋_GBK" w:cs="方正仿宋_GBK"/>
                <w:b w:val="0"/>
                <w:bCs w:val="0"/>
                <w:sz w:val="21"/>
                <w:szCs w:val="21"/>
              </w:rPr>
            </w:pPr>
          </w:p>
        </w:tc>
        <w:tc>
          <w:tcPr>
            <w:tcW w:w="416" w:type="pct"/>
            <w:noWrap w:val="0"/>
            <w:vAlign w:val="center"/>
          </w:tcPr>
          <w:p>
            <w:pPr>
              <w:snapToGrid w:val="0"/>
              <w:spacing w:line="240" w:lineRule="auto"/>
              <w:ind w:firstLine="0" w:firstLineChars="0"/>
              <w:jc w:val="center"/>
              <w:rPr>
                <w:rFonts w:ascii="方正仿宋_GBK" w:hAnsi="方正仿宋_GBK" w:cs="方正仿宋_GBK"/>
                <w:b w:val="0"/>
                <w:bCs w:val="0"/>
                <w:sz w:val="21"/>
                <w:szCs w:val="21"/>
              </w:rPr>
            </w:pPr>
            <w:r>
              <w:rPr>
                <w:rFonts w:ascii="方正仿宋_GBK" w:hAnsi="方正仿宋_GBK" w:cs="方正仿宋_GBK"/>
                <w:b w:val="0"/>
                <w:bCs w:val="0"/>
                <w:sz w:val="21"/>
                <w:szCs w:val="21"/>
              </w:rPr>
              <w:t>7</w:t>
            </w:r>
          </w:p>
        </w:tc>
        <w:tc>
          <w:tcPr>
            <w:tcW w:w="1752" w:type="pct"/>
            <w:noWrap w:val="0"/>
            <w:vAlign w:val="center"/>
          </w:tcPr>
          <w:p>
            <w:pPr>
              <w:snapToGrid w:val="0"/>
              <w:spacing w:line="240" w:lineRule="auto"/>
              <w:ind w:firstLine="0" w:firstLineChars="0"/>
              <w:rPr>
                <w:rFonts w:ascii="方正仿宋_GBK" w:hAnsi="方正仿宋_GBK" w:cs="方正仿宋_GBK"/>
                <w:b w:val="0"/>
                <w:bCs w:val="0"/>
                <w:sz w:val="21"/>
                <w:szCs w:val="21"/>
              </w:rPr>
            </w:pPr>
            <w:r>
              <w:rPr>
                <w:rFonts w:ascii="方正仿宋_GBK" w:hAnsi="方正仿宋_GBK" w:cs="方正仿宋_GBK"/>
                <w:b w:val="0"/>
                <w:bCs w:val="0"/>
                <w:sz w:val="21"/>
                <w:szCs w:val="21"/>
              </w:rPr>
              <w:t>公园绿地服务半径覆盖率</w:t>
            </w:r>
          </w:p>
        </w:tc>
        <w:tc>
          <w:tcPr>
            <w:tcW w:w="686" w:type="pct"/>
            <w:noWrap w:val="0"/>
            <w:vAlign w:val="center"/>
          </w:tcPr>
          <w:p>
            <w:pPr>
              <w:snapToGrid w:val="0"/>
              <w:spacing w:line="240" w:lineRule="auto"/>
              <w:ind w:firstLine="0" w:firstLineChars="0"/>
              <w:rPr>
                <w:rFonts w:ascii="方正仿宋_GBK" w:hAnsi="方正仿宋_GBK" w:cs="方正仿宋_GBK"/>
                <w:b w:val="0"/>
                <w:bCs w:val="0"/>
                <w:sz w:val="21"/>
                <w:szCs w:val="21"/>
              </w:rPr>
            </w:pPr>
            <w:r>
              <w:rPr>
                <w:rFonts w:ascii="方正仿宋_GBK" w:hAnsi="方正仿宋_GBK" w:cs="方正仿宋_GBK"/>
                <w:b w:val="0"/>
                <w:bCs w:val="0"/>
                <w:sz w:val="21"/>
                <w:szCs w:val="21"/>
              </w:rPr>
              <w:t>75.3%</w:t>
            </w:r>
          </w:p>
        </w:tc>
        <w:tc>
          <w:tcPr>
            <w:tcW w:w="696" w:type="pct"/>
            <w:noWrap w:val="0"/>
            <w:vAlign w:val="center"/>
          </w:tcPr>
          <w:p>
            <w:pPr>
              <w:snapToGrid w:val="0"/>
              <w:spacing w:line="240" w:lineRule="auto"/>
              <w:ind w:firstLine="0" w:firstLineChars="0"/>
              <w:rPr>
                <w:rFonts w:ascii="方正仿宋_GBK" w:hAnsi="方正仿宋_GBK" w:cs="方正仿宋_GBK"/>
                <w:b w:val="0"/>
                <w:bCs w:val="0"/>
                <w:sz w:val="21"/>
                <w:szCs w:val="21"/>
              </w:rPr>
            </w:pPr>
            <w:r>
              <w:rPr>
                <w:rFonts w:ascii="方正仿宋_GBK" w:hAnsi="方正仿宋_GBK" w:cs="方正仿宋_GBK"/>
                <w:b w:val="0"/>
                <w:bCs w:val="0"/>
                <w:sz w:val="21"/>
                <w:szCs w:val="21"/>
              </w:rPr>
              <w:t>≥90%</w:t>
            </w:r>
          </w:p>
        </w:tc>
        <w:tc>
          <w:tcPr>
            <w:tcW w:w="1040" w:type="pct"/>
            <w:noWrap w:val="0"/>
            <w:vAlign w:val="center"/>
          </w:tcPr>
          <w:p>
            <w:pPr>
              <w:snapToGrid w:val="0"/>
              <w:spacing w:line="240" w:lineRule="auto"/>
              <w:ind w:firstLine="0" w:firstLineChars="0"/>
              <w:rPr>
                <w:rFonts w:ascii="方正仿宋_GBK" w:hAnsi="方正仿宋_GBK" w:cs="方正仿宋_GBK"/>
                <w:b w:val="0"/>
                <w:bCs w:val="0"/>
                <w:sz w:val="21"/>
                <w:szCs w:val="21"/>
              </w:rPr>
            </w:pPr>
            <w:r>
              <w:rPr>
                <w:rFonts w:ascii="方正仿宋_GBK" w:hAnsi="方正仿宋_GBK" w:cs="方正仿宋_GBK"/>
                <w:b w:val="0"/>
                <w:bCs w:val="0"/>
                <w:sz w:val="21"/>
                <w:szCs w:val="21"/>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trPr>
        <w:tc>
          <w:tcPr>
            <w:tcW w:w="408" w:type="pct"/>
            <w:vMerge w:val="continue"/>
            <w:noWrap w:val="0"/>
            <w:vAlign w:val="center"/>
          </w:tcPr>
          <w:p>
            <w:pPr>
              <w:snapToGrid w:val="0"/>
              <w:spacing w:line="240" w:lineRule="auto"/>
              <w:ind w:firstLine="0" w:firstLineChars="0"/>
              <w:rPr>
                <w:rFonts w:ascii="方正仿宋_GBK" w:hAnsi="方正仿宋_GBK" w:cs="方正仿宋_GBK"/>
                <w:b w:val="0"/>
                <w:bCs w:val="0"/>
                <w:sz w:val="21"/>
                <w:szCs w:val="21"/>
              </w:rPr>
            </w:pPr>
          </w:p>
        </w:tc>
        <w:tc>
          <w:tcPr>
            <w:tcW w:w="416" w:type="pct"/>
            <w:noWrap w:val="0"/>
            <w:vAlign w:val="center"/>
          </w:tcPr>
          <w:p>
            <w:pPr>
              <w:snapToGrid w:val="0"/>
              <w:spacing w:line="240" w:lineRule="auto"/>
              <w:ind w:firstLine="0" w:firstLineChars="0"/>
              <w:jc w:val="center"/>
              <w:rPr>
                <w:rFonts w:ascii="方正仿宋_GBK" w:hAnsi="方正仿宋_GBK" w:cs="方正仿宋_GBK"/>
                <w:b w:val="0"/>
                <w:bCs w:val="0"/>
                <w:sz w:val="21"/>
                <w:szCs w:val="21"/>
              </w:rPr>
            </w:pPr>
            <w:r>
              <w:rPr>
                <w:rFonts w:ascii="方正仿宋_GBK" w:hAnsi="方正仿宋_GBK" w:cs="方正仿宋_GBK"/>
                <w:b w:val="0"/>
                <w:bCs w:val="0"/>
                <w:sz w:val="21"/>
                <w:szCs w:val="21"/>
              </w:rPr>
              <w:t>8</w:t>
            </w:r>
          </w:p>
        </w:tc>
        <w:tc>
          <w:tcPr>
            <w:tcW w:w="1752" w:type="pct"/>
            <w:noWrap w:val="0"/>
            <w:vAlign w:val="center"/>
          </w:tcPr>
          <w:p>
            <w:pPr>
              <w:snapToGrid w:val="0"/>
              <w:spacing w:line="240" w:lineRule="auto"/>
              <w:ind w:firstLine="0" w:firstLineChars="0"/>
              <w:rPr>
                <w:rFonts w:ascii="方正仿宋_GBK" w:hAnsi="方正仿宋_GBK" w:cs="方正仿宋_GBK"/>
                <w:b w:val="0"/>
                <w:bCs w:val="0"/>
                <w:sz w:val="21"/>
                <w:szCs w:val="21"/>
              </w:rPr>
            </w:pPr>
            <w:r>
              <w:rPr>
                <w:rFonts w:ascii="方正仿宋_GBK" w:hAnsi="方正仿宋_GBK" w:cs="方正仿宋_GBK"/>
                <w:b w:val="0"/>
                <w:bCs w:val="0"/>
                <w:sz w:val="21"/>
                <w:szCs w:val="21"/>
              </w:rPr>
              <w:t>林荫路推广率</w:t>
            </w:r>
          </w:p>
        </w:tc>
        <w:tc>
          <w:tcPr>
            <w:tcW w:w="686" w:type="pct"/>
            <w:noWrap w:val="0"/>
            <w:vAlign w:val="center"/>
          </w:tcPr>
          <w:p>
            <w:pPr>
              <w:snapToGrid w:val="0"/>
              <w:spacing w:line="240" w:lineRule="auto"/>
              <w:ind w:firstLine="0" w:firstLineChars="0"/>
              <w:rPr>
                <w:rFonts w:ascii="方正仿宋_GBK" w:hAnsi="方正仿宋_GBK" w:cs="方正仿宋_GBK"/>
                <w:b w:val="0"/>
                <w:bCs w:val="0"/>
                <w:sz w:val="21"/>
                <w:szCs w:val="21"/>
              </w:rPr>
            </w:pPr>
            <w:r>
              <w:rPr>
                <w:rFonts w:ascii="方正仿宋_GBK" w:hAnsi="方正仿宋_GBK" w:cs="方正仿宋_GBK"/>
                <w:b w:val="0"/>
                <w:bCs w:val="0"/>
                <w:sz w:val="21"/>
                <w:szCs w:val="21"/>
              </w:rPr>
              <w:t>62.4%</w:t>
            </w:r>
          </w:p>
        </w:tc>
        <w:tc>
          <w:tcPr>
            <w:tcW w:w="696" w:type="pct"/>
            <w:noWrap w:val="0"/>
            <w:vAlign w:val="center"/>
          </w:tcPr>
          <w:p>
            <w:pPr>
              <w:snapToGrid w:val="0"/>
              <w:spacing w:line="240" w:lineRule="auto"/>
              <w:ind w:firstLine="0" w:firstLineChars="0"/>
              <w:rPr>
                <w:rFonts w:ascii="方正仿宋_GBK" w:hAnsi="方正仿宋_GBK" w:cs="方正仿宋_GBK"/>
                <w:b w:val="0"/>
                <w:bCs w:val="0"/>
                <w:sz w:val="21"/>
                <w:szCs w:val="21"/>
              </w:rPr>
            </w:pPr>
            <w:r>
              <w:rPr>
                <w:rFonts w:ascii="方正仿宋_GBK" w:hAnsi="方正仿宋_GBK" w:cs="方正仿宋_GBK"/>
                <w:b w:val="0"/>
                <w:bCs w:val="0"/>
                <w:sz w:val="21"/>
                <w:szCs w:val="21"/>
              </w:rPr>
              <w:t>≥70%</w:t>
            </w:r>
          </w:p>
        </w:tc>
        <w:tc>
          <w:tcPr>
            <w:tcW w:w="1040" w:type="pct"/>
            <w:noWrap w:val="0"/>
            <w:vAlign w:val="center"/>
          </w:tcPr>
          <w:p>
            <w:pPr>
              <w:snapToGrid w:val="0"/>
              <w:spacing w:line="240" w:lineRule="auto"/>
              <w:ind w:firstLine="0" w:firstLineChars="0"/>
              <w:rPr>
                <w:rFonts w:ascii="方正仿宋_GBK" w:hAnsi="方正仿宋_GBK" w:cs="方正仿宋_GBK"/>
                <w:b w:val="0"/>
                <w:bCs w:val="0"/>
                <w:sz w:val="21"/>
                <w:szCs w:val="21"/>
              </w:rPr>
            </w:pPr>
            <w:r>
              <w:rPr>
                <w:rFonts w:ascii="方正仿宋_GBK" w:hAnsi="方正仿宋_GBK" w:cs="方正仿宋_GBK"/>
                <w:b w:val="0"/>
                <w:bCs w:val="0"/>
                <w:sz w:val="21"/>
                <w:szCs w:val="21"/>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trPr>
        <w:tc>
          <w:tcPr>
            <w:tcW w:w="408" w:type="pct"/>
            <w:vMerge w:val="restart"/>
            <w:noWrap w:val="0"/>
            <w:vAlign w:val="center"/>
          </w:tcPr>
          <w:p>
            <w:pPr>
              <w:snapToGrid w:val="0"/>
              <w:spacing w:line="240" w:lineRule="auto"/>
              <w:ind w:firstLine="0" w:firstLineChars="0"/>
              <w:rPr>
                <w:rFonts w:ascii="方正仿宋_GBK" w:hAnsi="方正仿宋_GBK" w:cs="方正仿宋_GBK"/>
                <w:b w:val="0"/>
                <w:bCs w:val="0"/>
                <w:sz w:val="21"/>
                <w:szCs w:val="21"/>
              </w:rPr>
            </w:pPr>
            <w:r>
              <w:rPr>
                <w:rFonts w:ascii="方正仿宋_GBK" w:hAnsi="方正仿宋_GBK" w:cs="方正仿宋_GBK"/>
                <w:b w:val="0"/>
                <w:bCs w:val="0"/>
                <w:sz w:val="21"/>
                <w:szCs w:val="21"/>
              </w:rPr>
              <w:t>城市供水</w:t>
            </w:r>
          </w:p>
        </w:tc>
        <w:tc>
          <w:tcPr>
            <w:tcW w:w="416" w:type="pct"/>
            <w:noWrap w:val="0"/>
            <w:vAlign w:val="center"/>
          </w:tcPr>
          <w:p>
            <w:pPr>
              <w:snapToGrid w:val="0"/>
              <w:spacing w:line="240" w:lineRule="auto"/>
              <w:ind w:firstLine="0" w:firstLineChars="0"/>
              <w:jc w:val="center"/>
              <w:rPr>
                <w:rFonts w:ascii="方正仿宋_GBK" w:hAnsi="方正仿宋_GBK" w:cs="方正仿宋_GBK"/>
                <w:b w:val="0"/>
                <w:bCs w:val="0"/>
                <w:sz w:val="21"/>
                <w:szCs w:val="21"/>
              </w:rPr>
            </w:pPr>
            <w:r>
              <w:rPr>
                <w:rFonts w:ascii="方正仿宋_GBK" w:hAnsi="方正仿宋_GBK" w:cs="方正仿宋_GBK"/>
                <w:b w:val="0"/>
                <w:bCs w:val="0"/>
                <w:sz w:val="21"/>
                <w:szCs w:val="21"/>
              </w:rPr>
              <w:t>9</w:t>
            </w:r>
          </w:p>
        </w:tc>
        <w:tc>
          <w:tcPr>
            <w:tcW w:w="1752" w:type="pct"/>
            <w:noWrap w:val="0"/>
            <w:vAlign w:val="center"/>
          </w:tcPr>
          <w:p>
            <w:pPr>
              <w:snapToGrid w:val="0"/>
              <w:spacing w:line="240" w:lineRule="auto"/>
              <w:ind w:firstLine="0" w:firstLineChars="0"/>
              <w:rPr>
                <w:rFonts w:ascii="方正仿宋_GBK" w:hAnsi="方正仿宋_GBK" w:cs="方正仿宋_GBK"/>
                <w:b w:val="0"/>
                <w:bCs w:val="0"/>
                <w:sz w:val="21"/>
                <w:szCs w:val="21"/>
              </w:rPr>
            </w:pPr>
            <w:r>
              <w:rPr>
                <w:rFonts w:ascii="方正仿宋_GBK" w:hAnsi="方正仿宋_GBK" w:cs="方正仿宋_GBK"/>
                <w:b w:val="0"/>
                <w:bCs w:val="0"/>
                <w:sz w:val="21"/>
                <w:szCs w:val="21"/>
              </w:rPr>
              <w:t>水质综合合格率</w:t>
            </w:r>
          </w:p>
        </w:tc>
        <w:tc>
          <w:tcPr>
            <w:tcW w:w="686" w:type="pct"/>
            <w:noWrap w:val="0"/>
            <w:vAlign w:val="center"/>
          </w:tcPr>
          <w:p>
            <w:pPr>
              <w:snapToGrid w:val="0"/>
              <w:spacing w:line="240" w:lineRule="auto"/>
              <w:ind w:firstLine="0" w:firstLineChars="0"/>
              <w:rPr>
                <w:rFonts w:ascii="方正仿宋_GBK" w:hAnsi="方正仿宋_GBK" w:cs="方正仿宋_GBK"/>
                <w:b w:val="0"/>
                <w:bCs w:val="0"/>
                <w:sz w:val="21"/>
                <w:szCs w:val="21"/>
              </w:rPr>
            </w:pPr>
            <w:r>
              <w:rPr>
                <w:rFonts w:ascii="方正仿宋_GBK" w:hAnsi="方正仿宋_GBK" w:cs="方正仿宋_GBK"/>
                <w:b w:val="0"/>
                <w:bCs w:val="0"/>
                <w:sz w:val="21"/>
                <w:szCs w:val="21"/>
              </w:rPr>
              <w:t>100%</w:t>
            </w:r>
          </w:p>
        </w:tc>
        <w:tc>
          <w:tcPr>
            <w:tcW w:w="696" w:type="pct"/>
            <w:noWrap w:val="0"/>
            <w:vAlign w:val="center"/>
          </w:tcPr>
          <w:p>
            <w:pPr>
              <w:snapToGrid w:val="0"/>
              <w:spacing w:line="240" w:lineRule="auto"/>
              <w:ind w:firstLine="0" w:firstLineChars="0"/>
              <w:rPr>
                <w:rFonts w:ascii="方正仿宋_GBK" w:hAnsi="方正仿宋_GBK" w:cs="方正仿宋_GBK"/>
                <w:b w:val="0"/>
                <w:bCs w:val="0"/>
                <w:sz w:val="21"/>
                <w:szCs w:val="21"/>
              </w:rPr>
            </w:pPr>
            <w:r>
              <w:rPr>
                <w:rFonts w:ascii="方正仿宋_GBK" w:hAnsi="方正仿宋_GBK" w:cs="方正仿宋_GBK"/>
                <w:b w:val="0"/>
                <w:bCs w:val="0"/>
                <w:sz w:val="21"/>
                <w:szCs w:val="21"/>
              </w:rPr>
              <w:t>100%</w:t>
            </w:r>
          </w:p>
        </w:tc>
        <w:tc>
          <w:tcPr>
            <w:tcW w:w="1040" w:type="pct"/>
            <w:noWrap w:val="0"/>
            <w:vAlign w:val="center"/>
          </w:tcPr>
          <w:p>
            <w:pPr>
              <w:snapToGrid w:val="0"/>
              <w:spacing w:line="240" w:lineRule="auto"/>
              <w:ind w:firstLine="0" w:firstLineChars="0"/>
              <w:rPr>
                <w:rFonts w:ascii="方正仿宋_GBK" w:hAnsi="方正仿宋_GBK" w:cs="方正仿宋_GBK"/>
                <w:b w:val="0"/>
                <w:bCs w:val="0"/>
                <w:sz w:val="21"/>
                <w:szCs w:val="21"/>
              </w:rPr>
            </w:pPr>
            <w:r>
              <w:rPr>
                <w:rFonts w:ascii="方正仿宋_GBK" w:hAnsi="方正仿宋_GBK" w:cs="方正仿宋_GBK"/>
                <w:b w:val="0"/>
                <w:bCs w:val="0"/>
                <w:sz w:val="21"/>
                <w:szCs w:val="21"/>
              </w:rPr>
              <w:t>≥98%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trPr>
        <w:tc>
          <w:tcPr>
            <w:tcW w:w="408" w:type="pct"/>
            <w:vMerge w:val="continue"/>
            <w:noWrap w:val="0"/>
            <w:vAlign w:val="center"/>
          </w:tcPr>
          <w:p>
            <w:pPr>
              <w:snapToGrid w:val="0"/>
              <w:spacing w:line="240" w:lineRule="auto"/>
              <w:ind w:firstLine="0" w:firstLineChars="0"/>
              <w:rPr>
                <w:rFonts w:ascii="方正仿宋_GBK" w:hAnsi="方正仿宋_GBK" w:cs="方正仿宋_GBK"/>
                <w:b w:val="0"/>
                <w:bCs w:val="0"/>
                <w:sz w:val="21"/>
                <w:szCs w:val="21"/>
              </w:rPr>
            </w:pPr>
          </w:p>
        </w:tc>
        <w:tc>
          <w:tcPr>
            <w:tcW w:w="416" w:type="pct"/>
            <w:noWrap w:val="0"/>
            <w:vAlign w:val="center"/>
          </w:tcPr>
          <w:p>
            <w:pPr>
              <w:snapToGrid w:val="0"/>
              <w:spacing w:line="240" w:lineRule="auto"/>
              <w:ind w:firstLine="0" w:firstLineChars="0"/>
              <w:jc w:val="center"/>
              <w:rPr>
                <w:rFonts w:ascii="方正仿宋_GBK" w:hAnsi="方正仿宋_GBK" w:cs="方正仿宋_GBK"/>
                <w:b w:val="0"/>
                <w:bCs w:val="0"/>
                <w:sz w:val="21"/>
                <w:szCs w:val="21"/>
              </w:rPr>
            </w:pPr>
            <w:r>
              <w:rPr>
                <w:rFonts w:ascii="方正仿宋_GBK" w:hAnsi="方正仿宋_GBK" w:cs="方正仿宋_GBK"/>
                <w:b w:val="0"/>
                <w:bCs w:val="0"/>
                <w:sz w:val="21"/>
                <w:szCs w:val="21"/>
              </w:rPr>
              <w:t>10</w:t>
            </w:r>
          </w:p>
        </w:tc>
        <w:tc>
          <w:tcPr>
            <w:tcW w:w="1752" w:type="pct"/>
            <w:noWrap w:val="0"/>
            <w:vAlign w:val="center"/>
          </w:tcPr>
          <w:p>
            <w:pPr>
              <w:snapToGrid w:val="0"/>
              <w:spacing w:line="240" w:lineRule="auto"/>
              <w:ind w:firstLine="0" w:firstLineChars="0"/>
              <w:rPr>
                <w:rFonts w:ascii="方正仿宋_GBK" w:hAnsi="方正仿宋_GBK" w:cs="方正仿宋_GBK"/>
                <w:b w:val="0"/>
                <w:bCs w:val="0"/>
                <w:sz w:val="21"/>
                <w:szCs w:val="21"/>
              </w:rPr>
            </w:pPr>
            <w:r>
              <w:rPr>
                <w:rFonts w:ascii="方正仿宋_GBK" w:hAnsi="方正仿宋_GBK" w:cs="方正仿宋_GBK"/>
                <w:b w:val="0"/>
                <w:bCs w:val="0"/>
                <w:sz w:val="21"/>
                <w:szCs w:val="21"/>
              </w:rPr>
              <w:t>城市公共供水管网漏损率</w:t>
            </w:r>
          </w:p>
        </w:tc>
        <w:tc>
          <w:tcPr>
            <w:tcW w:w="686" w:type="pct"/>
            <w:noWrap w:val="0"/>
            <w:vAlign w:val="center"/>
          </w:tcPr>
          <w:p>
            <w:pPr>
              <w:snapToGrid w:val="0"/>
              <w:spacing w:line="240" w:lineRule="auto"/>
              <w:ind w:firstLine="0" w:firstLineChars="0"/>
              <w:rPr>
                <w:rFonts w:ascii="方正仿宋_GBK" w:hAnsi="方正仿宋_GBK" w:cs="方正仿宋_GBK"/>
                <w:b w:val="0"/>
                <w:bCs w:val="0"/>
                <w:sz w:val="21"/>
                <w:szCs w:val="21"/>
              </w:rPr>
            </w:pPr>
            <w:r>
              <w:rPr>
                <w:rFonts w:ascii="方正仿宋_GBK" w:hAnsi="方正仿宋_GBK" w:cs="方正仿宋_GBK"/>
                <w:b w:val="0"/>
                <w:bCs w:val="0"/>
                <w:sz w:val="21"/>
                <w:szCs w:val="21"/>
              </w:rPr>
              <w:t>9.8%</w:t>
            </w:r>
          </w:p>
        </w:tc>
        <w:tc>
          <w:tcPr>
            <w:tcW w:w="696" w:type="pct"/>
            <w:noWrap w:val="0"/>
            <w:vAlign w:val="center"/>
          </w:tcPr>
          <w:p>
            <w:pPr>
              <w:snapToGrid w:val="0"/>
              <w:spacing w:line="240" w:lineRule="auto"/>
              <w:ind w:firstLine="0" w:firstLineChars="0"/>
              <w:rPr>
                <w:rFonts w:ascii="方正仿宋_GBK" w:hAnsi="方正仿宋_GBK" w:cs="方正仿宋_GBK"/>
                <w:b w:val="0"/>
                <w:bCs w:val="0"/>
                <w:sz w:val="21"/>
                <w:szCs w:val="21"/>
              </w:rPr>
            </w:pPr>
            <w:r>
              <w:rPr>
                <w:rFonts w:ascii="方正仿宋_GBK" w:hAnsi="方正仿宋_GBK" w:cs="方正仿宋_GBK"/>
                <w:b w:val="0"/>
                <w:bCs w:val="0"/>
                <w:sz w:val="21"/>
                <w:szCs w:val="21"/>
              </w:rPr>
              <w:t>≤9.5%</w:t>
            </w:r>
          </w:p>
        </w:tc>
        <w:tc>
          <w:tcPr>
            <w:tcW w:w="1040" w:type="pct"/>
            <w:noWrap w:val="0"/>
            <w:vAlign w:val="center"/>
          </w:tcPr>
          <w:p>
            <w:pPr>
              <w:snapToGrid w:val="0"/>
              <w:spacing w:line="240" w:lineRule="auto"/>
              <w:ind w:firstLine="0" w:firstLineChars="0"/>
              <w:rPr>
                <w:rFonts w:ascii="方正仿宋_GBK" w:hAnsi="方正仿宋_GBK" w:cs="方正仿宋_GBK"/>
                <w:b w:val="0"/>
                <w:bCs w:val="0"/>
                <w:sz w:val="21"/>
                <w:szCs w:val="21"/>
              </w:rPr>
            </w:pPr>
            <w:r>
              <w:rPr>
                <w:rFonts w:ascii="方正仿宋_GBK" w:hAnsi="方正仿宋_GBK" w:cs="方正仿宋_GBK"/>
                <w:b w:val="0"/>
                <w:bCs w:val="0"/>
                <w:sz w:val="21"/>
                <w:szCs w:val="21"/>
              </w:rPr>
              <w:t>≤9.5%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trPr>
        <w:tc>
          <w:tcPr>
            <w:tcW w:w="408" w:type="pct"/>
            <w:vMerge w:val="restart"/>
            <w:noWrap w:val="0"/>
            <w:vAlign w:val="center"/>
          </w:tcPr>
          <w:p>
            <w:pPr>
              <w:snapToGrid w:val="0"/>
              <w:spacing w:line="240" w:lineRule="auto"/>
              <w:ind w:firstLine="0" w:firstLineChars="0"/>
              <w:rPr>
                <w:rFonts w:ascii="方正仿宋_GBK" w:hAnsi="方正仿宋_GBK" w:cs="方正仿宋_GBK"/>
                <w:b w:val="0"/>
                <w:bCs w:val="0"/>
                <w:sz w:val="21"/>
                <w:szCs w:val="21"/>
              </w:rPr>
            </w:pPr>
            <w:r>
              <w:rPr>
                <w:rFonts w:ascii="方正仿宋_GBK" w:hAnsi="方正仿宋_GBK" w:cs="方正仿宋_GBK"/>
                <w:b w:val="0"/>
                <w:bCs w:val="0"/>
                <w:sz w:val="21"/>
                <w:szCs w:val="21"/>
              </w:rPr>
              <w:t>市政设施</w:t>
            </w:r>
          </w:p>
        </w:tc>
        <w:tc>
          <w:tcPr>
            <w:tcW w:w="416" w:type="pct"/>
            <w:noWrap w:val="0"/>
            <w:vAlign w:val="center"/>
          </w:tcPr>
          <w:p>
            <w:pPr>
              <w:snapToGrid w:val="0"/>
              <w:spacing w:line="240" w:lineRule="auto"/>
              <w:ind w:firstLine="0" w:firstLineChars="0"/>
              <w:jc w:val="center"/>
              <w:rPr>
                <w:rFonts w:ascii="方正仿宋_GBK" w:hAnsi="方正仿宋_GBK" w:cs="方正仿宋_GBK"/>
                <w:b w:val="0"/>
                <w:bCs w:val="0"/>
                <w:sz w:val="21"/>
                <w:szCs w:val="21"/>
              </w:rPr>
            </w:pPr>
            <w:r>
              <w:rPr>
                <w:rFonts w:ascii="方正仿宋_GBK" w:hAnsi="方正仿宋_GBK" w:cs="方正仿宋_GBK"/>
                <w:b w:val="0"/>
                <w:bCs w:val="0"/>
                <w:sz w:val="21"/>
                <w:szCs w:val="21"/>
              </w:rPr>
              <w:t>11</w:t>
            </w:r>
          </w:p>
        </w:tc>
        <w:tc>
          <w:tcPr>
            <w:tcW w:w="1752" w:type="pct"/>
            <w:noWrap w:val="0"/>
            <w:vAlign w:val="center"/>
          </w:tcPr>
          <w:p>
            <w:pPr>
              <w:snapToGrid w:val="0"/>
              <w:spacing w:line="240" w:lineRule="auto"/>
              <w:ind w:firstLine="0" w:firstLineChars="0"/>
              <w:rPr>
                <w:rFonts w:ascii="方正仿宋_GBK" w:hAnsi="方正仿宋_GBK" w:cs="方正仿宋_GBK"/>
                <w:b w:val="0"/>
                <w:bCs w:val="0"/>
                <w:sz w:val="21"/>
                <w:szCs w:val="21"/>
              </w:rPr>
            </w:pPr>
            <w:r>
              <w:rPr>
                <w:rFonts w:ascii="方正仿宋_GBK" w:hAnsi="方正仿宋_GBK" w:cs="方正仿宋_GBK"/>
                <w:b w:val="0"/>
                <w:bCs w:val="0"/>
                <w:sz w:val="21"/>
                <w:szCs w:val="21"/>
              </w:rPr>
              <w:t>市政设施结构检测率</w:t>
            </w:r>
          </w:p>
        </w:tc>
        <w:tc>
          <w:tcPr>
            <w:tcW w:w="686" w:type="pct"/>
            <w:noWrap w:val="0"/>
            <w:vAlign w:val="center"/>
          </w:tcPr>
          <w:p>
            <w:pPr>
              <w:snapToGrid w:val="0"/>
              <w:spacing w:line="240" w:lineRule="auto"/>
              <w:ind w:firstLine="0" w:firstLineChars="0"/>
              <w:rPr>
                <w:rFonts w:ascii="方正仿宋_GBK" w:hAnsi="方正仿宋_GBK" w:cs="方正仿宋_GBK"/>
                <w:b w:val="0"/>
                <w:bCs w:val="0"/>
                <w:sz w:val="21"/>
                <w:szCs w:val="21"/>
              </w:rPr>
            </w:pPr>
            <w:r>
              <w:rPr>
                <w:rFonts w:ascii="方正仿宋_GBK" w:hAnsi="方正仿宋_GBK" w:cs="方正仿宋_GBK"/>
                <w:b w:val="0"/>
                <w:bCs w:val="0"/>
                <w:sz w:val="21"/>
                <w:szCs w:val="21"/>
              </w:rPr>
              <w:t>100%</w:t>
            </w:r>
          </w:p>
        </w:tc>
        <w:tc>
          <w:tcPr>
            <w:tcW w:w="696" w:type="pct"/>
            <w:noWrap w:val="0"/>
            <w:vAlign w:val="center"/>
          </w:tcPr>
          <w:p>
            <w:pPr>
              <w:snapToGrid w:val="0"/>
              <w:spacing w:line="240" w:lineRule="auto"/>
              <w:ind w:firstLine="0" w:firstLineChars="0"/>
              <w:rPr>
                <w:rFonts w:ascii="方正仿宋_GBK" w:hAnsi="方正仿宋_GBK" w:cs="方正仿宋_GBK"/>
                <w:b w:val="0"/>
                <w:bCs w:val="0"/>
                <w:sz w:val="21"/>
                <w:szCs w:val="21"/>
              </w:rPr>
            </w:pPr>
            <w:r>
              <w:rPr>
                <w:rFonts w:ascii="方正仿宋_GBK" w:hAnsi="方正仿宋_GBK" w:cs="方正仿宋_GBK"/>
                <w:b w:val="0"/>
                <w:bCs w:val="0"/>
                <w:sz w:val="21"/>
                <w:szCs w:val="21"/>
              </w:rPr>
              <w:t>100%</w:t>
            </w:r>
          </w:p>
        </w:tc>
        <w:tc>
          <w:tcPr>
            <w:tcW w:w="1040" w:type="pct"/>
            <w:noWrap w:val="0"/>
            <w:vAlign w:val="center"/>
          </w:tcPr>
          <w:p>
            <w:pPr>
              <w:snapToGrid w:val="0"/>
              <w:spacing w:line="240" w:lineRule="auto"/>
              <w:ind w:firstLine="0" w:firstLineChars="0"/>
              <w:rPr>
                <w:rFonts w:ascii="方正仿宋_GBK" w:hAnsi="方正仿宋_GBK" w:cs="方正仿宋_GBK"/>
                <w:b w:val="0"/>
                <w:bCs w:val="0"/>
                <w:sz w:val="21"/>
                <w:szCs w:val="21"/>
              </w:rPr>
            </w:pPr>
            <w:r>
              <w:rPr>
                <w:rFonts w:ascii="方正仿宋_GBK" w:hAnsi="方正仿宋_GBK" w:cs="方正仿宋_GBK"/>
                <w:b w:val="0"/>
                <w:bCs w:val="0"/>
                <w:sz w:val="21"/>
                <w:szCs w:val="21"/>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408" w:type="pct"/>
            <w:vMerge w:val="continue"/>
            <w:noWrap w:val="0"/>
            <w:vAlign w:val="center"/>
          </w:tcPr>
          <w:p>
            <w:pPr>
              <w:snapToGrid w:val="0"/>
              <w:spacing w:line="240" w:lineRule="auto"/>
              <w:ind w:firstLine="0" w:firstLineChars="0"/>
              <w:rPr>
                <w:rFonts w:ascii="方正仿宋_GBK" w:hAnsi="方正仿宋_GBK" w:cs="方正仿宋_GBK"/>
                <w:b w:val="0"/>
                <w:bCs w:val="0"/>
                <w:sz w:val="21"/>
                <w:szCs w:val="21"/>
              </w:rPr>
            </w:pPr>
          </w:p>
        </w:tc>
        <w:tc>
          <w:tcPr>
            <w:tcW w:w="416" w:type="pct"/>
            <w:noWrap w:val="0"/>
            <w:vAlign w:val="center"/>
          </w:tcPr>
          <w:p>
            <w:pPr>
              <w:snapToGrid w:val="0"/>
              <w:spacing w:line="240" w:lineRule="auto"/>
              <w:ind w:firstLine="0" w:firstLineChars="0"/>
              <w:jc w:val="center"/>
              <w:rPr>
                <w:rFonts w:ascii="方正仿宋_GBK" w:hAnsi="方正仿宋_GBK" w:cs="方正仿宋_GBK"/>
                <w:b w:val="0"/>
                <w:bCs w:val="0"/>
                <w:sz w:val="21"/>
                <w:szCs w:val="21"/>
              </w:rPr>
            </w:pPr>
            <w:r>
              <w:rPr>
                <w:rFonts w:ascii="方正仿宋_GBK" w:hAnsi="方正仿宋_GBK" w:cs="方正仿宋_GBK"/>
                <w:b w:val="0"/>
                <w:bCs w:val="0"/>
                <w:sz w:val="21"/>
                <w:szCs w:val="21"/>
              </w:rPr>
              <w:t>12</w:t>
            </w:r>
          </w:p>
        </w:tc>
        <w:tc>
          <w:tcPr>
            <w:tcW w:w="1752" w:type="pct"/>
            <w:noWrap w:val="0"/>
            <w:vAlign w:val="center"/>
          </w:tcPr>
          <w:p>
            <w:pPr>
              <w:snapToGrid w:val="0"/>
              <w:spacing w:line="240" w:lineRule="auto"/>
              <w:ind w:firstLine="0" w:firstLineChars="0"/>
              <w:rPr>
                <w:rFonts w:ascii="方正仿宋_GBK" w:hAnsi="方正仿宋_GBK" w:cs="方正仿宋_GBK"/>
                <w:b w:val="0"/>
                <w:bCs w:val="0"/>
                <w:sz w:val="21"/>
                <w:szCs w:val="21"/>
              </w:rPr>
            </w:pPr>
            <w:r>
              <w:rPr>
                <w:rFonts w:ascii="方正仿宋_GBK" w:hAnsi="方正仿宋_GBK" w:cs="方正仿宋_GBK"/>
                <w:b w:val="0"/>
                <w:bCs w:val="0"/>
                <w:sz w:val="21"/>
                <w:szCs w:val="21"/>
              </w:rPr>
              <w:t>市政设施结构病害整治率</w:t>
            </w:r>
          </w:p>
        </w:tc>
        <w:tc>
          <w:tcPr>
            <w:tcW w:w="686" w:type="pct"/>
            <w:noWrap w:val="0"/>
            <w:vAlign w:val="center"/>
          </w:tcPr>
          <w:p>
            <w:pPr>
              <w:snapToGrid w:val="0"/>
              <w:spacing w:line="240" w:lineRule="auto"/>
              <w:ind w:firstLine="0" w:firstLineChars="0"/>
              <w:rPr>
                <w:rFonts w:ascii="方正仿宋_GBK" w:hAnsi="方正仿宋_GBK" w:cs="方正仿宋_GBK"/>
                <w:b w:val="0"/>
                <w:bCs w:val="0"/>
                <w:sz w:val="21"/>
                <w:szCs w:val="21"/>
              </w:rPr>
            </w:pPr>
            <w:r>
              <w:rPr>
                <w:rFonts w:ascii="方正仿宋_GBK" w:hAnsi="方正仿宋_GBK" w:cs="方正仿宋_GBK"/>
                <w:b w:val="0"/>
                <w:bCs w:val="0"/>
                <w:sz w:val="21"/>
                <w:szCs w:val="21"/>
              </w:rPr>
              <w:t>100%</w:t>
            </w:r>
          </w:p>
        </w:tc>
        <w:tc>
          <w:tcPr>
            <w:tcW w:w="696" w:type="pct"/>
            <w:noWrap w:val="0"/>
            <w:vAlign w:val="center"/>
          </w:tcPr>
          <w:p>
            <w:pPr>
              <w:snapToGrid w:val="0"/>
              <w:spacing w:line="240" w:lineRule="auto"/>
              <w:ind w:firstLine="0" w:firstLineChars="0"/>
              <w:rPr>
                <w:rFonts w:ascii="方正仿宋_GBK" w:hAnsi="方正仿宋_GBK" w:cs="方正仿宋_GBK"/>
                <w:b w:val="0"/>
                <w:bCs w:val="0"/>
                <w:sz w:val="21"/>
                <w:szCs w:val="21"/>
              </w:rPr>
            </w:pPr>
            <w:r>
              <w:rPr>
                <w:rFonts w:ascii="方正仿宋_GBK" w:hAnsi="方正仿宋_GBK" w:cs="方正仿宋_GBK"/>
                <w:b w:val="0"/>
                <w:bCs w:val="0"/>
                <w:sz w:val="21"/>
                <w:szCs w:val="21"/>
              </w:rPr>
              <w:t>100%</w:t>
            </w:r>
          </w:p>
        </w:tc>
        <w:tc>
          <w:tcPr>
            <w:tcW w:w="1040" w:type="pct"/>
            <w:noWrap w:val="0"/>
            <w:vAlign w:val="center"/>
          </w:tcPr>
          <w:p>
            <w:pPr>
              <w:snapToGrid w:val="0"/>
              <w:spacing w:line="240" w:lineRule="auto"/>
              <w:ind w:firstLine="0" w:firstLineChars="0"/>
              <w:rPr>
                <w:rFonts w:ascii="方正仿宋_GBK" w:hAnsi="方正仿宋_GBK" w:cs="方正仿宋_GBK"/>
                <w:b w:val="0"/>
                <w:bCs w:val="0"/>
                <w:sz w:val="21"/>
                <w:szCs w:val="21"/>
              </w:rPr>
            </w:pPr>
            <w:r>
              <w:rPr>
                <w:rFonts w:ascii="方正仿宋_GBK" w:hAnsi="方正仿宋_GBK" w:cs="方正仿宋_GBK"/>
                <w:b w:val="0"/>
                <w:bCs w:val="0"/>
                <w:sz w:val="21"/>
                <w:szCs w:val="21"/>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trPr>
        <w:tc>
          <w:tcPr>
            <w:tcW w:w="408" w:type="pct"/>
            <w:vMerge w:val="restart"/>
            <w:noWrap w:val="0"/>
            <w:vAlign w:val="center"/>
          </w:tcPr>
          <w:p>
            <w:pPr>
              <w:snapToGrid w:val="0"/>
              <w:spacing w:line="240" w:lineRule="auto"/>
              <w:ind w:firstLine="0" w:firstLineChars="0"/>
              <w:rPr>
                <w:rFonts w:ascii="方正仿宋_GBK" w:hAnsi="方正仿宋_GBK" w:cs="方正仿宋_GBK"/>
                <w:b w:val="0"/>
                <w:bCs w:val="0"/>
                <w:sz w:val="21"/>
                <w:szCs w:val="21"/>
              </w:rPr>
            </w:pPr>
            <w:r>
              <w:rPr>
                <w:rFonts w:ascii="方正仿宋_GBK" w:hAnsi="方正仿宋_GBK" w:cs="方正仿宋_GBK"/>
                <w:b w:val="0"/>
                <w:bCs w:val="0"/>
                <w:sz w:val="21"/>
                <w:szCs w:val="21"/>
              </w:rPr>
              <w:t>城市照明与广告设置</w:t>
            </w:r>
          </w:p>
        </w:tc>
        <w:tc>
          <w:tcPr>
            <w:tcW w:w="416" w:type="pct"/>
            <w:noWrap w:val="0"/>
            <w:vAlign w:val="center"/>
          </w:tcPr>
          <w:p>
            <w:pPr>
              <w:snapToGrid w:val="0"/>
              <w:spacing w:line="240" w:lineRule="auto"/>
              <w:ind w:firstLine="0" w:firstLineChars="0"/>
              <w:jc w:val="center"/>
              <w:rPr>
                <w:rFonts w:ascii="方正仿宋_GBK" w:hAnsi="方正仿宋_GBK" w:cs="方正仿宋_GBK"/>
                <w:b w:val="0"/>
                <w:bCs w:val="0"/>
                <w:sz w:val="21"/>
                <w:szCs w:val="21"/>
              </w:rPr>
            </w:pPr>
            <w:r>
              <w:rPr>
                <w:rFonts w:ascii="方正仿宋_GBK" w:hAnsi="方正仿宋_GBK" w:cs="方正仿宋_GBK"/>
                <w:b w:val="0"/>
                <w:bCs w:val="0"/>
                <w:sz w:val="21"/>
                <w:szCs w:val="21"/>
              </w:rPr>
              <w:t>13</w:t>
            </w:r>
          </w:p>
        </w:tc>
        <w:tc>
          <w:tcPr>
            <w:tcW w:w="1752" w:type="pct"/>
            <w:noWrap w:val="0"/>
            <w:vAlign w:val="center"/>
          </w:tcPr>
          <w:p>
            <w:pPr>
              <w:snapToGrid w:val="0"/>
              <w:spacing w:line="240" w:lineRule="auto"/>
              <w:ind w:firstLine="0" w:firstLineChars="0"/>
              <w:rPr>
                <w:rFonts w:ascii="方正仿宋_GBK" w:hAnsi="方正仿宋_GBK" w:cs="方正仿宋_GBK"/>
                <w:b w:val="0"/>
                <w:bCs w:val="0"/>
                <w:sz w:val="21"/>
                <w:szCs w:val="21"/>
              </w:rPr>
            </w:pPr>
            <w:r>
              <w:rPr>
                <w:rFonts w:ascii="方正仿宋_GBK" w:hAnsi="方正仿宋_GBK" w:cs="方正仿宋_GBK"/>
                <w:b w:val="0"/>
                <w:bCs w:val="0"/>
                <w:sz w:val="21"/>
                <w:szCs w:val="21"/>
              </w:rPr>
              <w:t>城市道路照明亮灯率</w:t>
            </w:r>
          </w:p>
        </w:tc>
        <w:tc>
          <w:tcPr>
            <w:tcW w:w="686" w:type="pct"/>
            <w:noWrap w:val="0"/>
            <w:vAlign w:val="center"/>
          </w:tcPr>
          <w:p>
            <w:pPr>
              <w:snapToGrid w:val="0"/>
              <w:spacing w:line="240" w:lineRule="auto"/>
              <w:ind w:firstLine="0" w:firstLineChars="0"/>
              <w:rPr>
                <w:rFonts w:ascii="方正仿宋_GBK" w:hAnsi="方正仿宋_GBK" w:cs="方正仿宋_GBK"/>
                <w:b w:val="0"/>
                <w:bCs w:val="0"/>
                <w:sz w:val="21"/>
                <w:szCs w:val="21"/>
              </w:rPr>
            </w:pPr>
            <w:r>
              <w:rPr>
                <w:rFonts w:ascii="方正仿宋_GBK" w:hAnsi="方正仿宋_GBK" w:cs="方正仿宋_GBK"/>
                <w:b w:val="0"/>
                <w:bCs w:val="0"/>
                <w:sz w:val="21"/>
                <w:szCs w:val="21"/>
              </w:rPr>
              <w:t>99%</w:t>
            </w:r>
          </w:p>
        </w:tc>
        <w:tc>
          <w:tcPr>
            <w:tcW w:w="696" w:type="pct"/>
            <w:noWrap w:val="0"/>
            <w:vAlign w:val="center"/>
          </w:tcPr>
          <w:p>
            <w:pPr>
              <w:snapToGrid w:val="0"/>
              <w:spacing w:line="240" w:lineRule="auto"/>
              <w:ind w:firstLine="0" w:firstLineChars="0"/>
              <w:rPr>
                <w:rFonts w:ascii="方正仿宋_GBK" w:hAnsi="方正仿宋_GBK" w:cs="方正仿宋_GBK"/>
                <w:b w:val="0"/>
                <w:bCs w:val="0"/>
                <w:sz w:val="21"/>
                <w:szCs w:val="21"/>
              </w:rPr>
            </w:pPr>
            <w:r>
              <w:rPr>
                <w:rFonts w:ascii="方正仿宋_GBK" w:hAnsi="方正仿宋_GBK" w:cs="方正仿宋_GBK"/>
                <w:b w:val="0"/>
                <w:bCs w:val="0"/>
                <w:sz w:val="21"/>
                <w:szCs w:val="21"/>
              </w:rPr>
              <w:t>≥99%</w:t>
            </w:r>
          </w:p>
        </w:tc>
        <w:tc>
          <w:tcPr>
            <w:tcW w:w="1040" w:type="pct"/>
            <w:noWrap w:val="0"/>
            <w:vAlign w:val="center"/>
          </w:tcPr>
          <w:p>
            <w:pPr>
              <w:snapToGrid w:val="0"/>
              <w:spacing w:line="240" w:lineRule="auto"/>
              <w:ind w:firstLine="0" w:firstLineChars="0"/>
              <w:rPr>
                <w:rFonts w:ascii="方正仿宋_GBK" w:hAnsi="方正仿宋_GBK" w:cs="方正仿宋_GBK"/>
                <w:b w:val="0"/>
                <w:bCs w:val="0"/>
                <w:sz w:val="21"/>
                <w:szCs w:val="21"/>
              </w:rPr>
            </w:pPr>
            <w:r>
              <w:rPr>
                <w:rFonts w:ascii="方正仿宋_GBK" w:hAnsi="方正仿宋_GBK" w:cs="方正仿宋_GBK"/>
                <w:b w:val="0"/>
                <w:bCs w:val="0"/>
                <w:sz w:val="21"/>
                <w:szCs w:val="21"/>
              </w:rPr>
              <w:t>≥98%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trPr>
        <w:tc>
          <w:tcPr>
            <w:tcW w:w="408" w:type="pct"/>
            <w:vMerge w:val="continue"/>
            <w:noWrap w:val="0"/>
            <w:vAlign w:val="center"/>
          </w:tcPr>
          <w:p>
            <w:pPr>
              <w:snapToGrid w:val="0"/>
              <w:spacing w:line="240" w:lineRule="auto"/>
              <w:ind w:firstLine="0" w:firstLineChars="0"/>
              <w:rPr>
                <w:rFonts w:ascii="方正仿宋_GBK" w:hAnsi="方正仿宋_GBK" w:cs="方正仿宋_GBK"/>
                <w:b w:val="0"/>
                <w:bCs w:val="0"/>
                <w:sz w:val="21"/>
                <w:szCs w:val="21"/>
              </w:rPr>
            </w:pPr>
          </w:p>
        </w:tc>
        <w:tc>
          <w:tcPr>
            <w:tcW w:w="416" w:type="pct"/>
            <w:noWrap w:val="0"/>
            <w:vAlign w:val="center"/>
          </w:tcPr>
          <w:p>
            <w:pPr>
              <w:snapToGrid w:val="0"/>
              <w:spacing w:line="240" w:lineRule="auto"/>
              <w:ind w:firstLine="0" w:firstLineChars="0"/>
              <w:jc w:val="center"/>
              <w:rPr>
                <w:rFonts w:ascii="方正仿宋_GBK" w:hAnsi="方正仿宋_GBK" w:cs="方正仿宋_GBK"/>
                <w:b w:val="0"/>
                <w:bCs w:val="0"/>
                <w:sz w:val="21"/>
                <w:szCs w:val="21"/>
              </w:rPr>
            </w:pPr>
            <w:r>
              <w:rPr>
                <w:rFonts w:ascii="方正仿宋_GBK" w:hAnsi="方正仿宋_GBK" w:cs="方正仿宋_GBK"/>
                <w:b w:val="0"/>
                <w:bCs w:val="0"/>
                <w:sz w:val="21"/>
                <w:szCs w:val="21"/>
              </w:rPr>
              <w:t>14</w:t>
            </w:r>
          </w:p>
        </w:tc>
        <w:tc>
          <w:tcPr>
            <w:tcW w:w="1752" w:type="pct"/>
            <w:noWrap w:val="0"/>
            <w:vAlign w:val="center"/>
          </w:tcPr>
          <w:p>
            <w:pPr>
              <w:snapToGrid w:val="0"/>
              <w:spacing w:line="240" w:lineRule="auto"/>
              <w:ind w:firstLine="0" w:firstLineChars="0"/>
              <w:rPr>
                <w:rFonts w:ascii="方正仿宋_GBK" w:hAnsi="方正仿宋_GBK" w:cs="方正仿宋_GBK"/>
                <w:b w:val="0"/>
                <w:bCs w:val="0"/>
                <w:sz w:val="21"/>
                <w:szCs w:val="21"/>
              </w:rPr>
            </w:pPr>
            <w:r>
              <w:rPr>
                <w:rFonts w:ascii="方正仿宋_GBK" w:hAnsi="方正仿宋_GBK" w:cs="方正仿宋_GBK"/>
                <w:b w:val="0"/>
                <w:bCs w:val="0"/>
                <w:sz w:val="21"/>
                <w:szCs w:val="21"/>
              </w:rPr>
              <w:t>道路照明设施完好率</w:t>
            </w:r>
          </w:p>
        </w:tc>
        <w:tc>
          <w:tcPr>
            <w:tcW w:w="686" w:type="pct"/>
            <w:noWrap w:val="0"/>
            <w:vAlign w:val="center"/>
          </w:tcPr>
          <w:p>
            <w:pPr>
              <w:snapToGrid w:val="0"/>
              <w:spacing w:line="240" w:lineRule="auto"/>
              <w:ind w:firstLine="0" w:firstLineChars="0"/>
              <w:rPr>
                <w:rFonts w:ascii="方正仿宋_GBK" w:hAnsi="方正仿宋_GBK" w:cs="方正仿宋_GBK"/>
                <w:b w:val="0"/>
                <w:bCs w:val="0"/>
                <w:sz w:val="21"/>
                <w:szCs w:val="21"/>
              </w:rPr>
            </w:pPr>
            <w:r>
              <w:rPr>
                <w:rFonts w:ascii="方正仿宋_GBK" w:hAnsi="方正仿宋_GBK" w:cs="方正仿宋_GBK"/>
                <w:b w:val="0"/>
                <w:bCs w:val="0"/>
                <w:sz w:val="21"/>
                <w:szCs w:val="21"/>
              </w:rPr>
              <w:t>99%</w:t>
            </w:r>
          </w:p>
        </w:tc>
        <w:tc>
          <w:tcPr>
            <w:tcW w:w="696" w:type="pct"/>
            <w:noWrap w:val="0"/>
            <w:vAlign w:val="center"/>
          </w:tcPr>
          <w:p>
            <w:pPr>
              <w:snapToGrid w:val="0"/>
              <w:spacing w:line="240" w:lineRule="auto"/>
              <w:ind w:firstLine="0" w:firstLineChars="0"/>
              <w:rPr>
                <w:rFonts w:ascii="方正仿宋_GBK" w:hAnsi="方正仿宋_GBK" w:cs="方正仿宋_GBK"/>
                <w:b w:val="0"/>
                <w:bCs w:val="0"/>
                <w:sz w:val="21"/>
                <w:szCs w:val="21"/>
              </w:rPr>
            </w:pPr>
            <w:r>
              <w:rPr>
                <w:rFonts w:ascii="方正仿宋_GBK" w:hAnsi="方正仿宋_GBK" w:cs="方正仿宋_GBK"/>
                <w:b w:val="0"/>
                <w:bCs w:val="0"/>
                <w:sz w:val="21"/>
                <w:szCs w:val="21"/>
              </w:rPr>
              <w:t>≥99%</w:t>
            </w:r>
          </w:p>
        </w:tc>
        <w:tc>
          <w:tcPr>
            <w:tcW w:w="1040" w:type="pct"/>
            <w:noWrap w:val="0"/>
            <w:vAlign w:val="center"/>
          </w:tcPr>
          <w:p>
            <w:pPr>
              <w:snapToGrid w:val="0"/>
              <w:spacing w:line="240" w:lineRule="auto"/>
              <w:ind w:firstLine="0" w:firstLineChars="0"/>
              <w:rPr>
                <w:rFonts w:ascii="方正仿宋_GBK" w:hAnsi="方正仿宋_GBK" w:cs="方正仿宋_GBK"/>
                <w:b w:val="0"/>
                <w:bCs w:val="0"/>
                <w:sz w:val="21"/>
                <w:szCs w:val="21"/>
              </w:rPr>
            </w:pPr>
            <w:r>
              <w:rPr>
                <w:rFonts w:ascii="方正仿宋_GBK" w:hAnsi="方正仿宋_GBK" w:cs="方正仿宋_GBK"/>
                <w:b w:val="0"/>
                <w:bCs w:val="0"/>
                <w:sz w:val="21"/>
                <w:szCs w:val="21"/>
              </w:rPr>
              <w:t>≥96%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trPr>
        <w:tc>
          <w:tcPr>
            <w:tcW w:w="408" w:type="pct"/>
            <w:vMerge w:val="continue"/>
            <w:noWrap w:val="0"/>
            <w:vAlign w:val="center"/>
          </w:tcPr>
          <w:p>
            <w:pPr>
              <w:snapToGrid w:val="0"/>
              <w:spacing w:line="240" w:lineRule="auto"/>
              <w:ind w:firstLine="0" w:firstLineChars="0"/>
              <w:rPr>
                <w:rFonts w:ascii="方正仿宋_GBK" w:hAnsi="方正仿宋_GBK" w:cs="方正仿宋_GBK"/>
                <w:b w:val="0"/>
                <w:bCs w:val="0"/>
                <w:sz w:val="21"/>
                <w:szCs w:val="21"/>
              </w:rPr>
            </w:pPr>
          </w:p>
        </w:tc>
        <w:tc>
          <w:tcPr>
            <w:tcW w:w="416" w:type="pct"/>
            <w:noWrap w:val="0"/>
            <w:vAlign w:val="center"/>
          </w:tcPr>
          <w:p>
            <w:pPr>
              <w:snapToGrid w:val="0"/>
              <w:spacing w:line="240" w:lineRule="auto"/>
              <w:ind w:firstLine="0" w:firstLineChars="0"/>
              <w:jc w:val="center"/>
              <w:rPr>
                <w:rFonts w:ascii="方正仿宋_GBK" w:hAnsi="方正仿宋_GBK" w:cs="方正仿宋_GBK"/>
                <w:b w:val="0"/>
                <w:bCs w:val="0"/>
                <w:sz w:val="21"/>
                <w:szCs w:val="21"/>
              </w:rPr>
            </w:pPr>
            <w:r>
              <w:rPr>
                <w:rFonts w:ascii="方正仿宋_GBK" w:hAnsi="方正仿宋_GBK" w:cs="方正仿宋_GBK"/>
                <w:b w:val="0"/>
                <w:bCs w:val="0"/>
                <w:sz w:val="21"/>
                <w:szCs w:val="21"/>
              </w:rPr>
              <w:t>15</w:t>
            </w:r>
          </w:p>
        </w:tc>
        <w:tc>
          <w:tcPr>
            <w:tcW w:w="1752" w:type="pct"/>
            <w:noWrap w:val="0"/>
            <w:vAlign w:val="center"/>
          </w:tcPr>
          <w:p>
            <w:pPr>
              <w:snapToGrid w:val="0"/>
              <w:spacing w:line="240" w:lineRule="auto"/>
              <w:ind w:firstLine="0" w:firstLineChars="0"/>
              <w:rPr>
                <w:rFonts w:ascii="方正仿宋_GBK" w:hAnsi="方正仿宋_GBK" w:cs="方正仿宋_GBK"/>
                <w:b w:val="0"/>
                <w:bCs w:val="0"/>
                <w:sz w:val="21"/>
                <w:szCs w:val="21"/>
              </w:rPr>
            </w:pPr>
            <w:r>
              <w:rPr>
                <w:rFonts w:ascii="方正仿宋_GBK" w:hAnsi="方正仿宋_GBK" w:cs="方正仿宋_GBK"/>
                <w:b w:val="0"/>
                <w:bCs w:val="0"/>
                <w:sz w:val="21"/>
                <w:szCs w:val="21"/>
              </w:rPr>
              <w:t>景观设施照明完好率</w:t>
            </w:r>
          </w:p>
        </w:tc>
        <w:tc>
          <w:tcPr>
            <w:tcW w:w="686" w:type="pct"/>
            <w:noWrap w:val="0"/>
            <w:vAlign w:val="center"/>
          </w:tcPr>
          <w:p>
            <w:pPr>
              <w:snapToGrid w:val="0"/>
              <w:spacing w:line="240" w:lineRule="auto"/>
              <w:ind w:firstLine="0" w:firstLineChars="0"/>
              <w:rPr>
                <w:rFonts w:ascii="方正仿宋_GBK" w:hAnsi="方正仿宋_GBK" w:cs="方正仿宋_GBK"/>
                <w:b w:val="0"/>
                <w:bCs w:val="0"/>
                <w:sz w:val="21"/>
                <w:szCs w:val="21"/>
              </w:rPr>
            </w:pPr>
            <w:r>
              <w:rPr>
                <w:rFonts w:ascii="方正仿宋_GBK" w:hAnsi="方正仿宋_GBK" w:cs="方正仿宋_GBK"/>
                <w:b w:val="0"/>
                <w:bCs w:val="0"/>
                <w:sz w:val="21"/>
                <w:szCs w:val="21"/>
              </w:rPr>
              <w:t>95%</w:t>
            </w:r>
          </w:p>
        </w:tc>
        <w:tc>
          <w:tcPr>
            <w:tcW w:w="696" w:type="pct"/>
            <w:noWrap w:val="0"/>
            <w:vAlign w:val="center"/>
          </w:tcPr>
          <w:p>
            <w:pPr>
              <w:snapToGrid w:val="0"/>
              <w:spacing w:line="240" w:lineRule="auto"/>
              <w:ind w:firstLine="0" w:firstLineChars="0"/>
              <w:rPr>
                <w:rFonts w:ascii="方正仿宋_GBK" w:hAnsi="方正仿宋_GBK" w:cs="方正仿宋_GBK"/>
                <w:b w:val="0"/>
                <w:bCs w:val="0"/>
                <w:sz w:val="21"/>
                <w:szCs w:val="21"/>
              </w:rPr>
            </w:pPr>
            <w:r>
              <w:rPr>
                <w:rFonts w:ascii="方正仿宋_GBK" w:hAnsi="方正仿宋_GBK" w:cs="方正仿宋_GBK"/>
                <w:b w:val="0"/>
                <w:bCs w:val="0"/>
                <w:sz w:val="21"/>
                <w:szCs w:val="21"/>
              </w:rPr>
              <w:t>≥95%</w:t>
            </w:r>
          </w:p>
        </w:tc>
        <w:tc>
          <w:tcPr>
            <w:tcW w:w="1040" w:type="pct"/>
            <w:noWrap w:val="0"/>
            <w:vAlign w:val="center"/>
          </w:tcPr>
          <w:p>
            <w:pPr>
              <w:snapToGrid w:val="0"/>
              <w:spacing w:line="240" w:lineRule="auto"/>
              <w:ind w:firstLine="0" w:firstLineChars="0"/>
              <w:rPr>
                <w:rFonts w:ascii="方正仿宋_GBK" w:hAnsi="方正仿宋_GBK" w:cs="方正仿宋_GBK"/>
                <w:b w:val="0"/>
                <w:bCs w:val="0"/>
                <w:sz w:val="21"/>
                <w:szCs w:val="21"/>
              </w:rPr>
            </w:pPr>
            <w:r>
              <w:rPr>
                <w:rFonts w:ascii="方正仿宋_GBK" w:hAnsi="方正仿宋_GBK" w:cs="方正仿宋_GBK"/>
                <w:b w:val="0"/>
                <w:bCs w:val="0"/>
                <w:sz w:val="21"/>
                <w:szCs w:val="21"/>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trPr>
        <w:tc>
          <w:tcPr>
            <w:tcW w:w="408" w:type="pct"/>
            <w:vMerge w:val="continue"/>
            <w:noWrap w:val="0"/>
            <w:vAlign w:val="center"/>
          </w:tcPr>
          <w:p>
            <w:pPr>
              <w:snapToGrid w:val="0"/>
              <w:spacing w:line="240" w:lineRule="auto"/>
              <w:ind w:firstLine="0" w:firstLineChars="0"/>
              <w:rPr>
                <w:rFonts w:ascii="方正仿宋_GBK" w:hAnsi="方正仿宋_GBK" w:cs="方正仿宋_GBK"/>
                <w:b w:val="0"/>
                <w:bCs w:val="0"/>
                <w:sz w:val="21"/>
                <w:szCs w:val="21"/>
              </w:rPr>
            </w:pPr>
          </w:p>
        </w:tc>
        <w:tc>
          <w:tcPr>
            <w:tcW w:w="416" w:type="pct"/>
            <w:noWrap w:val="0"/>
            <w:vAlign w:val="center"/>
          </w:tcPr>
          <w:p>
            <w:pPr>
              <w:snapToGrid w:val="0"/>
              <w:spacing w:line="240" w:lineRule="auto"/>
              <w:ind w:firstLine="0" w:firstLineChars="0"/>
              <w:jc w:val="center"/>
              <w:rPr>
                <w:rFonts w:ascii="方正仿宋_GBK" w:hAnsi="方正仿宋_GBK" w:cs="方正仿宋_GBK"/>
                <w:b w:val="0"/>
                <w:bCs w:val="0"/>
                <w:sz w:val="21"/>
                <w:szCs w:val="21"/>
              </w:rPr>
            </w:pPr>
            <w:r>
              <w:rPr>
                <w:rFonts w:ascii="方正仿宋_GBK" w:hAnsi="方正仿宋_GBK" w:cs="方正仿宋_GBK"/>
                <w:b w:val="0"/>
                <w:bCs w:val="0"/>
                <w:sz w:val="21"/>
                <w:szCs w:val="21"/>
              </w:rPr>
              <w:t>16</w:t>
            </w:r>
          </w:p>
        </w:tc>
        <w:tc>
          <w:tcPr>
            <w:tcW w:w="1752" w:type="pct"/>
            <w:noWrap w:val="0"/>
            <w:vAlign w:val="center"/>
          </w:tcPr>
          <w:p>
            <w:pPr>
              <w:snapToGrid w:val="0"/>
              <w:spacing w:line="240" w:lineRule="auto"/>
              <w:ind w:firstLine="0" w:firstLineChars="0"/>
              <w:rPr>
                <w:rFonts w:ascii="方正仿宋_GBK" w:hAnsi="方正仿宋_GBK" w:cs="方正仿宋_GBK"/>
                <w:b w:val="0"/>
                <w:bCs w:val="0"/>
                <w:sz w:val="21"/>
                <w:szCs w:val="21"/>
              </w:rPr>
            </w:pPr>
            <w:r>
              <w:rPr>
                <w:rFonts w:ascii="方正仿宋_GBK" w:hAnsi="方正仿宋_GBK" w:cs="方正仿宋_GBK"/>
                <w:b w:val="0"/>
                <w:bCs w:val="0"/>
                <w:sz w:val="21"/>
                <w:szCs w:val="21"/>
              </w:rPr>
              <w:t>景观照明灯具LED比例</w:t>
            </w:r>
          </w:p>
        </w:tc>
        <w:tc>
          <w:tcPr>
            <w:tcW w:w="686" w:type="pct"/>
            <w:noWrap w:val="0"/>
            <w:vAlign w:val="center"/>
          </w:tcPr>
          <w:p>
            <w:pPr>
              <w:snapToGrid w:val="0"/>
              <w:spacing w:line="240" w:lineRule="auto"/>
              <w:ind w:firstLine="0" w:firstLineChars="0"/>
              <w:rPr>
                <w:rFonts w:ascii="方正仿宋_GBK" w:hAnsi="方正仿宋_GBK" w:cs="方正仿宋_GBK"/>
                <w:b w:val="0"/>
                <w:bCs w:val="0"/>
                <w:sz w:val="21"/>
                <w:szCs w:val="21"/>
              </w:rPr>
            </w:pPr>
            <w:r>
              <w:rPr>
                <w:rFonts w:ascii="方正仿宋_GBK" w:hAnsi="方正仿宋_GBK" w:cs="方正仿宋_GBK"/>
                <w:b w:val="0"/>
                <w:bCs w:val="0"/>
                <w:sz w:val="21"/>
                <w:szCs w:val="21"/>
              </w:rPr>
              <w:t>90%</w:t>
            </w:r>
          </w:p>
        </w:tc>
        <w:tc>
          <w:tcPr>
            <w:tcW w:w="696" w:type="pct"/>
            <w:noWrap w:val="0"/>
            <w:vAlign w:val="center"/>
          </w:tcPr>
          <w:p>
            <w:pPr>
              <w:snapToGrid w:val="0"/>
              <w:spacing w:line="240" w:lineRule="auto"/>
              <w:ind w:firstLine="0" w:firstLineChars="0"/>
              <w:rPr>
                <w:rFonts w:ascii="方正仿宋_GBK" w:hAnsi="方正仿宋_GBK" w:cs="方正仿宋_GBK"/>
                <w:b w:val="0"/>
                <w:bCs w:val="0"/>
                <w:sz w:val="21"/>
                <w:szCs w:val="21"/>
              </w:rPr>
            </w:pPr>
            <w:r>
              <w:rPr>
                <w:rFonts w:ascii="方正仿宋_GBK" w:hAnsi="方正仿宋_GBK" w:cs="方正仿宋_GBK"/>
                <w:b w:val="0"/>
                <w:bCs w:val="0"/>
                <w:sz w:val="21"/>
                <w:szCs w:val="21"/>
              </w:rPr>
              <w:t>≥90%</w:t>
            </w:r>
          </w:p>
        </w:tc>
        <w:tc>
          <w:tcPr>
            <w:tcW w:w="1040" w:type="pct"/>
            <w:noWrap w:val="0"/>
            <w:vAlign w:val="center"/>
          </w:tcPr>
          <w:p>
            <w:pPr>
              <w:snapToGrid w:val="0"/>
              <w:spacing w:line="240" w:lineRule="auto"/>
              <w:ind w:firstLine="0" w:firstLineChars="0"/>
              <w:rPr>
                <w:rFonts w:ascii="方正仿宋_GBK" w:hAnsi="方正仿宋_GBK" w:cs="方正仿宋_GBK"/>
                <w:b w:val="0"/>
                <w:bCs w:val="0"/>
                <w:sz w:val="21"/>
                <w:szCs w:val="21"/>
              </w:rPr>
            </w:pPr>
            <w:r>
              <w:rPr>
                <w:rFonts w:ascii="方正仿宋_GBK" w:hAnsi="方正仿宋_GBK" w:cs="方正仿宋_GBK"/>
                <w:b w:val="0"/>
                <w:bCs w:val="0"/>
                <w:sz w:val="21"/>
                <w:szCs w:val="21"/>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trPr>
        <w:tc>
          <w:tcPr>
            <w:tcW w:w="408" w:type="pct"/>
            <w:vMerge w:val="continue"/>
            <w:noWrap w:val="0"/>
            <w:vAlign w:val="center"/>
          </w:tcPr>
          <w:p>
            <w:pPr>
              <w:snapToGrid w:val="0"/>
              <w:spacing w:line="240" w:lineRule="auto"/>
              <w:ind w:firstLine="0" w:firstLineChars="0"/>
              <w:rPr>
                <w:rFonts w:ascii="方正仿宋_GBK" w:hAnsi="方正仿宋_GBK" w:cs="方正仿宋_GBK"/>
                <w:b w:val="0"/>
                <w:bCs w:val="0"/>
                <w:sz w:val="21"/>
                <w:szCs w:val="21"/>
              </w:rPr>
            </w:pPr>
          </w:p>
        </w:tc>
        <w:tc>
          <w:tcPr>
            <w:tcW w:w="416" w:type="pct"/>
            <w:noWrap w:val="0"/>
            <w:vAlign w:val="center"/>
          </w:tcPr>
          <w:p>
            <w:pPr>
              <w:snapToGrid w:val="0"/>
              <w:spacing w:line="240" w:lineRule="auto"/>
              <w:ind w:firstLine="0" w:firstLineChars="0"/>
              <w:jc w:val="center"/>
              <w:rPr>
                <w:rFonts w:ascii="方正仿宋_GBK" w:hAnsi="方正仿宋_GBK" w:cs="方正仿宋_GBK"/>
                <w:b w:val="0"/>
                <w:bCs w:val="0"/>
                <w:sz w:val="21"/>
                <w:szCs w:val="21"/>
              </w:rPr>
            </w:pPr>
            <w:r>
              <w:rPr>
                <w:rFonts w:ascii="方正仿宋_GBK" w:hAnsi="方正仿宋_GBK" w:cs="方正仿宋_GBK"/>
                <w:b w:val="0"/>
                <w:bCs w:val="0"/>
                <w:sz w:val="21"/>
                <w:szCs w:val="21"/>
              </w:rPr>
              <w:t>17</w:t>
            </w:r>
          </w:p>
        </w:tc>
        <w:tc>
          <w:tcPr>
            <w:tcW w:w="1752" w:type="pct"/>
            <w:noWrap w:val="0"/>
            <w:vAlign w:val="center"/>
          </w:tcPr>
          <w:p>
            <w:pPr>
              <w:snapToGrid w:val="0"/>
              <w:spacing w:line="240" w:lineRule="auto"/>
              <w:ind w:firstLine="0" w:firstLineChars="0"/>
              <w:rPr>
                <w:rFonts w:ascii="方正仿宋_GBK" w:hAnsi="方正仿宋_GBK" w:cs="方正仿宋_GBK"/>
                <w:b w:val="0"/>
                <w:bCs w:val="0"/>
                <w:sz w:val="21"/>
                <w:szCs w:val="21"/>
              </w:rPr>
            </w:pPr>
            <w:r>
              <w:rPr>
                <w:rFonts w:ascii="方正仿宋_GBK" w:hAnsi="方正仿宋_GBK" w:cs="方正仿宋_GBK"/>
                <w:b w:val="0"/>
                <w:bCs w:val="0"/>
                <w:sz w:val="21"/>
                <w:szCs w:val="21"/>
              </w:rPr>
              <w:t>路灯智能控制率</w:t>
            </w:r>
          </w:p>
        </w:tc>
        <w:tc>
          <w:tcPr>
            <w:tcW w:w="686" w:type="pct"/>
            <w:noWrap w:val="0"/>
            <w:vAlign w:val="center"/>
          </w:tcPr>
          <w:p>
            <w:pPr>
              <w:snapToGrid w:val="0"/>
              <w:spacing w:line="240" w:lineRule="auto"/>
              <w:ind w:firstLine="0" w:firstLineChars="0"/>
              <w:rPr>
                <w:rFonts w:ascii="方正仿宋_GBK" w:hAnsi="方正仿宋_GBK" w:cs="方正仿宋_GBK"/>
                <w:b w:val="0"/>
                <w:bCs w:val="0"/>
                <w:sz w:val="21"/>
                <w:szCs w:val="21"/>
              </w:rPr>
            </w:pPr>
            <w:r>
              <w:rPr>
                <w:rFonts w:ascii="方正仿宋_GBK" w:hAnsi="方正仿宋_GBK" w:cs="方正仿宋_GBK"/>
                <w:b w:val="0"/>
                <w:bCs w:val="0"/>
                <w:sz w:val="21"/>
                <w:szCs w:val="21"/>
              </w:rPr>
              <w:t>98%</w:t>
            </w:r>
          </w:p>
        </w:tc>
        <w:tc>
          <w:tcPr>
            <w:tcW w:w="696" w:type="pct"/>
            <w:noWrap w:val="0"/>
            <w:vAlign w:val="center"/>
          </w:tcPr>
          <w:p>
            <w:pPr>
              <w:snapToGrid w:val="0"/>
              <w:spacing w:line="240" w:lineRule="auto"/>
              <w:ind w:firstLine="0" w:firstLineChars="0"/>
              <w:rPr>
                <w:rFonts w:ascii="方正仿宋_GBK" w:hAnsi="方正仿宋_GBK" w:cs="方正仿宋_GBK"/>
                <w:b w:val="0"/>
                <w:bCs w:val="0"/>
                <w:sz w:val="21"/>
                <w:szCs w:val="21"/>
              </w:rPr>
            </w:pPr>
            <w:r>
              <w:rPr>
                <w:rFonts w:ascii="方正仿宋_GBK" w:hAnsi="方正仿宋_GBK" w:cs="方正仿宋_GBK"/>
                <w:b w:val="0"/>
                <w:bCs w:val="0"/>
                <w:sz w:val="21"/>
                <w:szCs w:val="21"/>
              </w:rPr>
              <w:t>≥98%</w:t>
            </w:r>
          </w:p>
        </w:tc>
        <w:tc>
          <w:tcPr>
            <w:tcW w:w="1040" w:type="pct"/>
            <w:noWrap w:val="0"/>
            <w:vAlign w:val="center"/>
          </w:tcPr>
          <w:p>
            <w:pPr>
              <w:snapToGrid w:val="0"/>
              <w:spacing w:line="240" w:lineRule="auto"/>
              <w:ind w:firstLine="0" w:firstLineChars="0"/>
              <w:rPr>
                <w:rFonts w:ascii="方正仿宋_GBK" w:hAnsi="方正仿宋_GBK" w:cs="方正仿宋_GBK"/>
                <w:b w:val="0"/>
                <w:bCs w:val="0"/>
                <w:sz w:val="21"/>
                <w:szCs w:val="21"/>
              </w:rPr>
            </w:pPr>
            <w:r>
              <w:rPr>
                <w:rFonts w:ascii="方正仿宋_GBK" w:hAnsi="方正仿宋_GBK" w:cs="方正仿宋_GBK"/>
                <w:b w:val="0"/>
                <w:bCs w:val="0"/>
                <w:sz w:val="21"/>
                <w:szCs w:val="21"/>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trPr>
        <w:tc>
          <w:tcPr>
            <w:tcW w:w="408" w:type="pct"/>
            <w:vMerge w:val="continue"/>
            <w:noWrap w:val="0"/>
            <w:vAlign w:val="center"/>
          </w:tcPr>
          <w:p>
            <w:pPr>
              <w:snapToGrid w:val="0"/>
              <w:spacing w:line="240" w:lineRule="auto"/>
              <w:ind w:firstLine="0" w:firstLineChars="0"/>
              <w:rPr>
                <w:rFonts w:ascii="方正仿宋_GBK" w:hAnsi="方正仿宋_GBK" w:cs="方正仿宋_GBK"/>
                <w:b w:val="0"/>
                <w:bCs w:val="0"/>
                <w:sz w:val="21"/>
                <w:szCs w:val="21"/>
              </w:rPr>
            </w:pPr>
          </w:p>
        </w:tc>
        <w:tc>
          <w:tcPr>
            <w:tcW w:w="416" w:type="pct"/>
            <w:noWrap w:val="0"/>
            <w:vAlign w:val="center"/>
          </w:tcPr>
          <w:p>
            <w:pPr>
              <w:snapToGrid w:val="0"/>
              <w:spacing w:line="240" w:lineRule="auto"/>
              <w:ind w:firstLine="0" w:firstLineChars="0"/>
              <w:jc w:val="center"/>
              <w:rPr>
                <w:rFonts w:ascii="方正仿宋_GBK" w:hAnsi="方正仿宋_GBK" w:cs="方正仿宋_GBK"/>
                <w:b w:val="0"/>
                <w:bCs w:val="0"/>
                <w:sz w:val="21"/>
                <w:szCs w:val="21"/>
              </w:rPr>
            </w:pPr>
            <w:r>
              <w:rPr>
                <w:rFonts w:ascii="方正仿宋_GBK" w:hAnsi="方正仿宋_GBK" w:cs="方正仿宋_GBK"/>
                <w:b w:val="0"/>
                <w:bCs w:val="0"/>
                <w:sz w:val="21"/>
                <w:szCs w:val="21"/>
              </w:rPr>
              <w:t>18</w:t>
            </w:r>
          </w:p>
        </w:tc>
        <w:tc>
          <w:tcPr>
            <w:tcW w:w="1752" w:type="pct"/>
            <w:noWrap w:val="0"/>
            <w:vAlign w:val="center"/>
          </w:tcPr>
          <w:p>
            <w:pPr>
              <w:snapToGrid w:val="0"/>
              <w:spacing w:line="240" w:lineRule="auto"/>
              <w:ind w:firstLine="0" w:firstLineChars="0"/>
              <w:rPr>
                <w:rFonts w:ascii="方正仿宋_GBK" w:hAnsi="方正仿宋_GBK" w:cs="方正仿宋_GBK"/>
                <w:b w:val="0"/>
                <w:bCs w:val="0"/>
                <w:sz w:val="21"/>
                <w:szCs w:val="21"/>
              </w:rPr>
            </w:pPr>
            <w:r>
              <w:rPr>
                <w:rFonts w:ascii="方正仿宋_GBK" w:hAnsi="方正仿宋_GBK" w:cs="方正仿宋_GBK"/>
                <w:b w:val="0"/>
                <w:bCs w:val="0"/>
                <w:sz w:val="21"/>
                <w:szCs w:val="21"/>
              </w:rPr>
              <w:t>LED路灯应用率</w:t>
            </w:r>
          </w:p>
        </w:tc>
        <w:tc>
          <w:tcPr>
            <w:tcW w:w="686" w:type="pct"/>
            <w:noWrap w:val="0"/>
            <w:vAlign w:val="center"/>
          </w:tcPr>
          <w:p>
            <w:pPr>
              <w:snapToGrid w:val="0"/>
              <w:spacing w:line="240" w:lineRule="auto"/>
              <w:ind w:firstLine="0" w:firstLineChars="0"/>
              <w:rPr>
                <w:rFonts w:ascii="方正仿宋_GBK" w:hAnsi="方正仿宋_GBK" w:cs="方正仿宋_GBK"/>
                <w:b w:val="0"/>
                <w:bCs w:val="0"/>
                <w:sz w:val="21"/>
                <w:szCs w:val="21"/>
              </w:rPr>
            </w:pPr>
            <w:r>
              <w:rPr>
                <w:rFonts w:ascii="方正仿宋_GBK" w:hAnsi="方正仿宋_GBK" w:cs="方正仿宋_GBK"/>
                <w:b w:val="0"/>
                <w:bCs w:val="0"/>
                <w:sz w:val="21"/>
                <w:szCs w:val="21"/>
              </w:rPr>
              <w:t>90%</w:t>
            </w:r>
          </w:p>
        </w:tc>
        <w:tc>
          <w:tcPr>
            <w:tcW w:w="696" w:type="pct"/>
            <w:noWrap w:val="0"/>
            <w:vAlign w:val="center"/>
          </w:tcPr>
          <w:p>
            <w:pPr>
              <w:snapToGrid w:val="0"/>
              <w:spacing w:line="240" w:lineRule="auto"/>
              <w:ind w:firstLine="0" w:firstLineChars="0"/>
              <w:rPr>
                <w:rFonts w:ascii="方正仿宋_GBK" w:hAnsi="方正仿宋_GBK" w:cs="方正仿宋_GBK"/>
                <w:b w:val="0"/>
                <w:bCs w:val="0"/>
                <w:sz w:val="21"/>
                <w:szCs w:val="21"/>
              </w:rPr>
            </w:pPr>
            <w:r>
              <w:rPr>
                <w:rFonts w:ascii="方正仿宋_GBK" w:hAnsi="方正仿宋_GBK" w:cs="方正仿宋_GBK"/>
                <w:b w:val="0"/>
                <w:bCs w:val="0"/>
                <w:sz w:val="21"/>
                <w:szCs w:val="21"/>
              </w:rPr>
              <w:t>≥90%</w:t>
            </w:r>
          </w:p>
        </w:tc>
        <w:tc>
          <w:tcPr>
            <w:tcW w:w="1040" w:type="pct"/>
            <w:noWrap w:val="0"/>
            <w:vAlign w:val="center"/>
          </w:tcPr>
          <w:p>
            <w:pPr>
              <w:snapToGrid w:val="0"/>
              <w:spacing w:line="240" w:lineRule="auto"/>
              <w:ind w:firstLine="0" w:firstLineChars="0"/>
              <w:rPr>
                <w:rFonts w:ascii="方正仿宋_GBK" w:hAnsi="方正仿宋_GBK" w:cs="方正仿宋_GBK"/>
                <w:b w:val="0"/>
                <w:bCs w:val="0"/>
                <w:sz w:val="21"/>
                <w:szCs w:val="21"/>
              </w:rPr>
            </w:pPr>
            <w:r>
              <w:rPr>
                <w:rFonts w:ascii="方正仿宋_GBK" w:hAnsi="方正仿宋_GBK" w:cs="方正仿宋_GBK"/>
                <w:b w:val="0"/>
                <w:bCs w:val="0"/>
                <w:sz w:val="21"/>
                <w:szCs w:val="21"/>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trPr>
        <w:tc>
          <w:tcPr>
            <w:tcW w:w="408" w:type="pct"/>
            <w:vMerge w:val="continue"/>
            <w:noWrap w:val="0"/>
            <w:vAlign w:val="center"/>
          </w:tcPr>
          <w:p>
            <w:pPr>
              <w:snapToGrid w:val="0"/>
              <w:spacing w:line="240" w:lineRule="auto"/>
              <w:ind w:firstLine="0" w:firstLineChars="0"/>
              <w:rPr>
                <w:rFonts w:ascii="方正仿宋_GBK" w:hAnsi="方正仿宋_GBK" w:cs="方正仿宋_GBK"/>
                <w:b w:val="0"/>
                <w:bCs w:val="0"/>
                <w:sz w:val="21"/>
                <w:szCs w:val="21"/>
              </w:rPr>
            </w:pPr>
          </w:p>
        </w:tc>
        <w:tc>
          <w:tcPr>
            <w:tcW w:w="416" w:type="pct"/>
            <w:noWrap w:val="0"/>
            <w:vAlign w:val="center"/>
          </w:tcPr>
          <w:p>
            <w:pPr>
              <w:snapToGrid w:val="0"/>
              <w:spacing w:line="240" w:lineRule="auto"/>
              <w:ind w:firstLine="0" w:firstLineChars="0"/>
              <w:jc w:val="center"/>
              <w:rPr>
                <w:rFonts w:ascii="方正仿宋_GBK" w:hAnsi="方正仿宋_GBK" w:cs="方正仿宋_GBK"/>
                <w:b w:val="0"/>
                <w:bCs w:val="0"/>
                <w:sz w:val="21"/>
                <w:szCs w:val="21"/>
              </w:rPr>
            </w:pPr>
            <w:r>
              <w:rPr>
                <w:rFonts w:ascii="方正仿宋_GBK" w:hAnsi="方正仿宋_GBK" w:cs="方正仿宋_GBK"/>
                <w:b w:val="0"/>
                <w:bCs w:val="0"/>
                <w:sz w:val="21"/>
                <w:szCs w:val="21"/>
              </w:rPr>
              <w:t>19</w:t>
            </w:r>
          </w:p>
        </w:tc>
        <w:tc>
          <w:tcPr>
            <w:tcW w:w="1752" w:type="pct"/>
            <w:noWrap w:val="0"/>
            <w:vAlign w:val="center"/>
          </w:tcPr>
          <w:p>
            <w:pPr>
              <w:snapToGrid w:val="0"/>
              <w:spacing w:line="240" w:lineRule="auto"/>
              <w:ind w:firstLine="0" w:firstLineChars="0"/>
              <w:rPr>
                <w:rFonts w:ascii="方正仿宋_GBK" w:hAnsi="方正仿宋_GBK" w:cs="方正仿宋_GBK"/>
                <w:b w:val="0"/>
                <w:bCs w:val="0"/>
                <w:sz w:val="21"/>
                <w:szCs w:val="21"/>
              </w:rPr>
            </w:pPr>
            <w:r>
              <w:rPr>
                <w:rFonts w:ascii="方正仿宋_GBK" w:hAnsi="方正仿宋_GBK" w:cs="方正仿宋_GBK"/>
                <w:b w:val="0"/>
                <w:bCs w:val="0"/>
                <w:sz w:val="21"/>
                <w:szCs w:val="21"/>
              </w:rPr>
              <w:t>户外广告和店招牌规范设置合规率</w:t>
            </w:r>
          </w:p>
        </w:tc>
        <w:tc>
          <w:tcPr>
            <w:tcW w:w="686" w:type="pct"/>
            <w:noWrap w:val="0"/>
            <w:vAlign w:val="center"/>
          </w:tcPr>
          <w:p>
            <w:pPr>
              <w:snapToGrid w:val="0"/>
              <w:spacing w:line="240" w:lineRule="auto"/>
              <w:ind w:firstLine="0" w:firstLineChars="0"/>
              <w:rPr>
                <w:rFonts w:ascii="方正仿宋_GBK" w:hAnsi="方正仿宋_GBK" w:cs="方正仿宋_GBK"/>
                <w:b w:val="0"/>
                <w:bCs w:val="0"/>
                <w:sz w:val="21"/>
                <w:szCs w:val="21"/>
              </w:rPr>
            </w:pPr>
            <w:r>
              <w:rPr>
                <w:rFonts w:ascii="方正仿宋_GBK" w:hAnsi="方正仿宋_GBK" w:cs="方正仿宋_GBK"/>
                <w:b w:val="0"/>
                <w:bCs w:val="0"/>
                <w:sz w:val="21"/>
                <w:szCs w:val="21"/>
              </w:rPr>
              <w:t>80%</w:t>
            </w:r>
          </w:p>
        </w:tc>
        <w:tc>
          <w:tcPr>
            <w:tcW w:w="696" w:type="pct"/>
            <w:noWrap w:val="0"/>
            <w:vAlign w:val="center"/>
          </w:tcPr>
          <w:p>
            <w:pPr>
              <w:snapToGrid w:val="0"/>
              <w:spacing w:line="240" w:lineRule="auto"/>
              <w:ind w:firstLine="0" w:firstLineChars="0"/>
              <w:rPr>
                <w:rFonts w:ascii="方正仿宋_GBK" w:hAnsi="方正仿宋_GBK" w:cs="方正仿宋_GBK"/>
                <w:b w:val="0"/>
                <w:bCs w:val="0"/>
                <w:sz w:val="21"/>
                <w:szCs w:val="21"/>
              </w:rPr>
            </w:pPr>
            <w:r>
              <w:rPr>
                <w:rFonts w:ascii="方正仿宋_GBK" w:hAnsi="方正仿宋_GBK" w:cs="方正仿宋_GBK"/>
                <w:b w:val="0"/>
                <w:bCs w:val="0"/>
                <w:sz w:val="21"/>
                <w:szCs w:val="21"/>
              </w:rPr>
              <w:t>≥95%</w:t>
            </w:r>
          </w:p>
        </w:tc>
        <w:tc>
          <w:tcPr>
            <w:tcW w:w="1040" w:type="pct"/>
            <w:noWrap w:val="0"/>
            <w:vAlign w:val="center"/>
          </w:tcPr>
          <w:p>
            <w:pPr>
              <w:snapToGrid w:val="0"/>
              <w:spacing w:line="240" w:lineRule="auto"/>
              <w:ind w:firstLine="0" w:firstLineChars="0"/>
              <w:rPr>
                <w:rFonts w:ascii="方正仿宋_GBK" w:hAnsi="方正仿宋_GBK" w:cs="方正仿宋_GBK"/>
                <w:b w:val="0"/>
                <w:bCs w:val="0"/>
                <w:sz w:val="21"/>
                <w:szCs w:val="21"/>
              </w:rPr>
            </w:pPr>
            <w:r>
              <w:rPr>
                <w:rFonts w:ascii="方正仿宋_GBK" w:hAnsi="方正仿宋_GBK" w:cs="方正仿宋_GBK"/>
                <w:b w:val="0"/>
                <w:bCs w:val="0"/>
                <w:sz w:val="21"/>
                <w:szCs w:val="21"/>
              </w:rPr>
              <w:t>≥95%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trPr>
        <w:tc>
          <w:tcPr>
            <w:tcW w:w="408" w:type="pct"/>
            <w:vMerge w:val="continue"/>
            <w:noWrap w:val="0"/>
            <w:vAlign w:val="center"/>
          </w:tcPr>
          <w:p>
            <w:pPr>
              <w:snapToGrid w:val="0"/>
              <w:spacing w:line="240" w:lineRule="auto"/>
              <w:ind w:firstLine="0" w:firstLineChars="0"/>
              <w:rPr>
                <w:rFonts w:ascii="方正仿宋_GBK" w:hAnsi="方正仿宋_GBK" w:cs="方正仿宋_GBK"/>
                <w:b w:val="0"/>
                <w:bCs w:val="0"/>
                <w:sz w:val="21"/>
                <w:szCs w:val="21"/>
              </w:rPr>
            </w:pPr>
          </w:p>
        </w:tc>
        <w:tc>
          <w:tcPr>
            <w:tcW w:w="416" w:type="pct"/>
            <w:noWrap w:val="0"/>
            <w:vAlign w:val="center"/>
          </w:tcPr>
          <w:p>
            <w:pPr>
              <w:snapToGrid w:val="0"/>
              <w:spacing w:line="240" w:lineRule="auto"/>
              <w:ind w:firstLine="0" w:firstLineChars="0"/>
              <w:jc w:val="center"/>
              <w:rPr>
                <w:rFonts w:ascii="方正仿宋_GBK" w:hAnsi="方正仿宋_GBK" w:cs="方正仿宋_GBK"/>
                <w:b w:val="0"/>
                <w:bCs w:val="0"/>
                <w:sz w:val="21"/>
                <w:szCs w:val="21"/>
              </w:rPr>
            </w:pPr>
            <w:r>
              <w:rPr>
                <w:rFonts w:ascii="方正仿宋_GBK" w:hAnsi="方正仿宋_GBK" w:cs="方正仿宋_GBK"/>
                <w:b w:val="0"/>
                <w:bCs w:val="0"/>
                <w:sz w:val="21"/>
                <w:szCs w:val="21"/>
              </w:rPr>
              <w:t>20</w:t>
            </w:r>
          </w:p>
        </w:tc>
        <w:tc>
          <w:tcPr>
            <w:tcW w:w="1752" w:type="pct"/>
            <w:noWrap w:val="0"/>
            <w:vAlign w:val="center"/>
          </w:tcPr>
          <w:p>
            <w:pPr>
              <w:snapToGrid w:val="0"/>
              <w:spacing w:line="240" w:lineRule="auto"/>
              <w:ind w:firstLine="0" w:firstLineChars="0"/>
              <w:rPr>
                <w:rFonts w:ascii="方正仿宋_GBK" w:hAnsi="方正仿宋_GBK" w:cs="方正仿宋_GBK"/>
                <w:b w:val="0"/>
                <w:bCs w:val="0"/>
                <w:sz w:val="21"/>
                <w:szCs w:val="21"/>
              </w:rPr>
            </w:pPr>
            <w:r>
              <w:rPr>
                <w:rFonts w:ascii="方正仿宋_GBK" w:hAnsi="方正仿宋_GBK" w:cs="方正仿宋_GBK"/>
                <w:b w:val="0"/>
                <w:bCs w:val="0"/>
                <w:sz w:val="21"/>
                <w:szCs w:val="21"/>
              </w:rPr>
              <w:t>城市管理部件物联感知覆盖率</w:t>
            </w:r>
          </w:p>
        </w:tc>
        <w:tc>
          <w:tcPr>
            <w:tcW w:w="686" w:type="pct"/>
            <w:noWrap w:val="0"/>
            <w:vAlign w:val="center"/>
          </w:tcPr>
          <w:p>
            <w:pPr>
              <w:snapToGrid w:val="0"/>
              <w:spacing w:line="240" w:lineRule="auto"/>
              <w:ind w:firstLine="0" w:firstLineChars="0"/>
              <w:rPr>
                <w:rFonts w:ascii="方正仿宋_GBK" w:hAnsi="方正仿宋_GBK" w:cs="方正仿宋_GBK"/>
                <w:b w:val="0"/>
                <w:bCs w:val="0"/>
                <w:sz w:val="21"/>
                <w:szCs w:val="21"/>
              </w:rPr>
            </w:pPr>
            <w:r>
              <w:rPr>
                <w:rFonts w:ascii="方正仿宋_GBK" w:hAnsi="方正仿宋_GBK" w:cs="方正仿宋_GBK"/>
                <w:b w:val="0"/>
                <w:bCs w:val="0"/>
                <w:sz w:val="21"/>
                <w:szCs w:val="21"/>
              </w:rPr>
              <w:t>10%</w:t>
            </w:r>
          </w:p>
        </w:tc>
        <w:tc>
          <w:tcPr>
            <w:tcW w:w="696" w:type="pct"/>
            <w:noWrap w:val="0"/>
            <w:vAlign w:val="center"/>
          </w:tcPr>
          <w:p>
            <w:pPr>
              <w:snapToGrid w:val="0"/>
              <w:spacing w:line="240" w:lineRule="auto"/>
              <w:ind w:firstLine="0" w:firstLineChars="0"/>
              <w:rPr>
                <w:rFonts w:ascii="方正仿宋_GBK" w:hAnsi="方正仿宋_GBK" w:cs="方正仿宋_GBK"/>
                <w:b w:val="0"/>
                <w:bCs w:val="0"/>
                <w:sz w:val="21"/>
                <w:szCs w:val="21"/>
              </w:rPr>
            </w:pPr>
            <w:r>
              <w:rPr>
                <w:rFonts w:ascii="方正仿宋_GBK" w:hAnsi="方正仿宋_GBK" w:cs="方正仿宋_GBK"/>
                <w:b w:val="0"/>
                <w:bCs w:val="0"/>
                <w:sz w:val="21"/>
                <w:szCs w:val="21"/>
              </w:rPr>
              <w:t>≥75%</w:t>
            </w:r>
          </w:p>
        </w:tc>
        <w:tc>
          <w:tcPr>
            <w:tcW w:w="1040" w:type="pct"/>
            <w:noWrap w:val="0"/>
            <w:vAlign w:val="center"/>
          </w:tcPr>
          <w:p>
            <w:pPr>
              <w:snapToGrid w:val="0"/>
              <w:spacing w:line="240" w:lineRule="auto"/>
              <w:ind w:firstLine="0" w:firstLineChars="0"/>
              <w:rPr>
                <w:rFonts w:ascii="方正仿宋_GBK" w:hAnsi="方正仿宋_GBK" w:cs="方正仿宋_GBK"/>
                <w:b w:val="0"/>
                <w:bCs w:val="0"/>
                <w:sz w:val="21"/>
                <w:szCs w:val="21"/>
              </w:rPr>
            </w:pPr>
            <w:r>
              <w:rPr>
                <w:rFonts w:ascii="方正仿宋_GBK" w:hAnsi="方正仿宋_GBK" w:cs="方正仿宋_GBK"/>
                <w:b w:val="0"/>
                <w:bCs w:val="0"/>
                <w:sz w:val="21"/>
                <w:szCs w:val="21"/>
              </w:rPr>
              <w:t>≥75%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trPr>
        <w:tc>
          <w:tcPr>
            <w:tcW w:w="408" w:type="pct"/>
            <w:vMerge w:val="continue"/>
            <w:noWrap w:val="0"/>
            <w:vAlign w:val="center"/>
          </w:tcPr>
          <w:p>
            <w:pPr>
              <w:snapToGrid w:val="0"/>
              <w:spacing w:line="240" w:lineRule="auto"/>
              <w:ind w:firstLine="0" w:firstLineChars="0"/>
              <w:rPr>
                <w:rFonts w:ascii="方正仿宋_GBK" w:hAnsi="方正仿宋_GBK" w:cs="方正仿宋_GBK"/>
                <w:b w:val="0"/>
                <w:bCs w:val="0"/>
                <w:sz w:val="21"/>
                <w:szCs w:val="21"/>
              </w:rPr>
            </w:pPr>
          </w:p>
        </w:tc>
        <w:tc>
          <w:tcPr>
            <w:tcW w:w="416" w:type="pct"/>
            <w:noWrap w:val="0"/>
            <w:vAlign w:val="center"/>
          </w:tcPr>
          <w:p>
            <w:pPr>
              <w:snapToGrid w:val="0"/>
              <w:spacing w:line="240" w:lineRule="auto"/>
              <w:ind w:firstLine="0" w:firstLineChars="0"/>
              <w:jc w:val="center"/>
              <w:rPr>
                <w:rFonts w:ascii="方正仿宋_GBK" w:hAnsi="方正仿宋_GBK" w:cs="方正仿宋_GBK"/>
                <w:b w:val="0"/>
                <w:bCs w:val="0"/>
                <w:sz w:val="21"/>
                <w:szCs w:val="21"/>
              </w:rPr>
            </w:pPr>
            <w:r>
              <w:rPr>
                <w:rFonts w:ascii="方正仿宋_GBK" w:hAnsi="方正仿宋_GBK" w:cs="方正仿宋_GBK"/>
                <w:b w:val="0"/>
                <w:bCs w:val="0"/>
                <w:sz w:val="21"/>
                <w:szCs w:val="21"/>
              </w:rPr>
              <w:t>21</w:t>
            </w:r>
          </w:p>
        </w:tc>
        <w:tc>
          <w:tcPr>
            <w:tcW w:w="1752" w:type="pct"/>
            <w:noWrap w:val="0"/>
            <w:vAlign w:val="center"/>
          </w:tcPr>
          <w:p>
            <w:pPr>
              <w:snapToGrid w:val="0"/>
              <w:spacing w:line="240" w:lineRule="auto"/>
              <w:ind w:firstLine="0" w:firstLineChars="0"/>
              <w:rPr>
                <w:rFonts w:ascii="方正仿宋_GBK" w:hAnsi="方正仿宋_GBK" w:cs="方正仿宋_GBK"/>
                <w:b w:val="0"/>
                <w:bCs w:val="0"/>
                <w:sz w:val="21"/>
                <w:szCs w:val="21"/>
              </w:rPr>
            </w:pPr>
            <w:r>
              <w:rPr>
                <w:rFonts w:ascii="方正仿宋_GBK" w:hAnsi="方正仿宋_GBK" w:cs="方正仿宋_GBK"/>
                <w:b w:val="0"/>
                <w:bCs w:val="0"/>
                <w:sz w:val="21"/>
                <w:szCs w:val="21"/>
              </w:rPr>
              <w:t>城市建成区数字化管理覆盖率</w:t>
            </w:r>
          </w:p>
        </w:tc>
        <w:tc>
          <w:tcPr>
            <w:tcW w:w="686" w:type="pct"/>
            <w:noWrap w:val="0"/>
            <w:vAlign w:val="center"/>
          </w:tcPr>
          <w:p>
            <w:pPr>
              <w:snapToGrid w:val="0"/>
              <w:spacing w:line="240" w:lineRule="auto"/>
              <w:ind w:firstLine="0" w:firstLineChars="0"/>
              <w:rPr>
                <w:rFonts w:ascii="方正仿宋_GBK" w:hAnsi="方正仿宋_GBK" w:cs="方正仿宋_GBK"/>
                <w:b w:val="0"/>
                <w:bCs w:val="0"/>
                <w:sz w:val="21"/>
                <w:szCs w:val="21"/>
              </w:rPr>
            </w:pPr>
            <w:r>
              <w:rPr>
                <w:rFonts w:ascii="方正仿宋_GBK" w:hAnsi="方正仿宋_GBK" w:cs="方正仿宋_GBK"/>
                <w:b w:val="0"/>
                <w:bCs w:val="0"/>
                <w:sz w:val="21"/>
                <w:szCs w:val="21"/>
              </w:rPr>
              <w:t>95%</w:t>
            </w:r>
          </w:p>
        </w:tc>
        <w:tc>
          <w:tcPr>
            <w:tcW w:w="696" w:type="pct"/>
            <w:noWrap w:val="0"/>
            <w:vAlign w:val="center"/>
          </w:tcPr>
          <w:p>
            <w:pPr>
              <w:snapToGrid w:val="0"/>
              <w:spacing w:line="240" w:lineRule="auto"/>
              <w:ind w:firstLine="0" w:firstLineChars="0"/>
              <w:rPr>
                <w:rFonts w:ascii="方正仿宋_GBK" w:hAnsi="方正仿宋_GBK" w:cs="方正仿宋_GBK"/>
                <w:b w:val="0"/>
                <w:bCs w:val="0"/>
                <w:sz w:val="21"/>
                <w:szCs w:val="21"/>
              </w:rPr>
            </w:pPr>
            <w:r>
              <w:rPr>
                <w:rFonts w:ascii="方正仿宋_GBK" w:hAnsi="方正仿宋_GBK" w:cs="方正仿宋_GBK"/>
                <w:b w:val="0"/>
                <w:bCs w:val="0"/>
                <w:sz w:val="21"/>
                <w:szCs w:val="21"/>
              </w:rPr>
              <w:t>≥99%</w:t>
            </w:r>
          </w:p>
        </w:tc>
        <w:tc>
          <w:tcPr>
            <w:tcW w:w="1040" w:type="pct"/>
            <w:noWrap w:val="0"/>
            <w:vAlign w:val="center"/>
          </w:tcPr>
          <w:p>
            <w:pPr>
              <w:snapToGrid w:val="0"/>
              <w:spacing w:line="240" w:lineRule="auto"/>
              <w:ind w:firstLine="0" w:firstLineChars="0"/>
              <w:rPr>
                <w:rFonts w:ascii="方正仿宋_GBK" w:hAnsi="方正仿宋_GBK" w:cs="方正仿宋_GBK"/>
                <w:b w:val="0"/>
                <w:bCs w:val="0"/>
                <w:sz w:val="21"/>
                <w:szCs w:val="21"/>
              </w:rPr>
            </w:pPr>
            <w:r>
              <w:rPr>
                <w:rFonts w:ascii="方正仿宋_GBK" w:hAnsi="方正仿宋_GBK" w:cs="方正仿宋_GBK"/>
                <w:b w:val="0"/>
                <w:bCs w:val="0"/>
                <w:sz w:val="21"/>
                <w:szCs w:val="21"/>
              </w:rPr>
              <w:t>≥99%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408" w:type="pct"/>
            <w:vMerge w:val="continue"/>
            <w:noWrap w:val="0"/>
            <w:vAlign w:val="center"/>
          </w:tcPr>
          <w:p>
            <w:pPr>
              <w:snapToGrid w:val="0"/>
              <w:spacing w:line="240" w:lineRule="auto"/>
              <w:ind w:firstLine="0" w:firstLineChars="0"/>
              <w:rPr>
                <w:rFonts w:ascii="方正仿宋_GBK" w:hAnsi="方正仿宋_GBK" w:cs="方正仿宋_GBK"/>
                <w:b w:val="0"/>
                <w:bCs w:val="0"/>
                <w:sz w:val="21"/>
                <w:szCs w:val="21"/>
              </w:rPr>
            </w:pPr>
          </w:p>
        </w:tc>
        <w:tc>
          <w:tcPr>
            <w:tcW w:w="416" w:type="pct"/>
            <w:noWrap w:val="0"/>
            <w:vAlign w:val="center"/>
          </w:tcPr>
          <w:p>
            <w:pPr>
              <w:snapToGrid w:val="0"/>
              <w:spacing w:line="240" w:lineRule="auto"/>
              <w:ind w:firstLine="0" w:firstLineChars="0"/>
              <w:jc w:val="center"/>
              <w:rPr>
                <w:rFonts w:ascii="方正仿宋_GBK" w:hAnsi="方正仿宋_GBK" w:cs="方正仿宋_GBK"/>
                <w:b w:val="0"/>
                <w:bCs w:val="0"/>
                <w:sz w:val="21"/>
                <w:szCs w:val="21"/>
              </w:rPr>
            </w:pPr>
            <w:r>
              <w:rPr>
                <w:rFonts w:ascii="方正仿宋_GBK" w:hAnsi="方正仿宋_GBK" w:cs="方正仿宋_GBK"/>
                <w:b w:val="0"/>
                <w:bCs w:val="0"/>
                <w:sz w:val="21"/>
                <w:szCs w:val="21"/>
              </w:rPr>
              <w:t>22</w:t>
            </w:r>
          </w:p>
        </w:tc>
        <w:tc>
          <w:tcPr>
            <w:tcW w:w="1752" w:type="pct"/>
            <w:noWrap w:val="0"/>
            <w:vAlign w:val="center"/>
          </w:tcPr>
          <w:p>
            <w:pPr>
              <w:snapToGrid w:val="0"/>
              <w:spacing w:line="240" w:lineRule="auto"/>
              <w:ind w:firstLine="0" w:firstLineChars="0"/>
              <w:rPr>
                <w:rFonts w:ascii="方正仿宋_GBK" w:hAnsi="方正仿宋_GBK" w:cs="方正仿宋_GBK"/>
                <w:b w:val="0"/>
                <w:bCs w:val="0"/>
                <w:sz w:val="21"/>
                <w:szCs w:val="21"/>
              </w:rPr>
            </w:pPr>
            <w:r>
              <w:rPr>
                <w:rFonts w:ascii="方正仿宋_GBK" w:hAnsi="方正仿宋_GBK" w:cs="方正仿宋_GBK"/>
                <w:b w:val="0"/>
                <w:bCs w:val="0"/>
                <w:sz w:val="21"/>
                <w:szCs w:val="21"/>
              </w:rPr>
              <w:t>重大市政设施运行状态监测监控系统建设覆盖率</w:t>
            </w:r>
          </w:p>
        </w:tc>
        <w:tc>
          <w:tcPr>
            <w:tcW w:w="686" w:type="pct"/>
            <w:noWrap w:val="0"/>
            <w:vAlign w:val="center"/>
          </w:tcPr>
          <w:p>
            <w:pPr>
              <w:snapToGrid w:val="0"/>
              <w:spacing w:line="240" w:lineRule="auto"/>
              <w:ind w:firstLine="0" w:firstLineChars="0"/>
              <w:rPr>
                <w:rFonts w:ascii="方正仿宋_GBK" w:hAnsi="方正仿宋_GBK" w:cs="方正仿宋_GBK"/>
                <w:b w:val="0"/>
                <w:bCs w:val="0"/>
                <w:sz w:val="21"/>
                <w:szCs w:val="21"/>
              </w:rPr>
            </w:pPr>
            <w:r>
              <w:rPr>
                <w:rFonts w:ascii="方正仿宋_GBK" w:hAnsi="方正仿宋_GBK" w:cs="方正仿宋_GBK"/>
                <w:b w:val="0"/>
                <w:bCs w:val="0"/>
                <w:sz w:val="21"/>
                <w:szCs w:val="21"/>
              </w:rPr>
              <w:t>0%</w:t>
            </w:r>
          </w:p>
        </w:tc>
        <w:tc>
          <w:tcPr>
            <w:tcW w:w="696" w:type="pct"/>
            <w:noWrap w:val="0"/>
            <w:vAlign w:val="center"/>
          </w:tcPr>
          <w:p>
            <w:pPr>
              <w:snapToGrid w:val="0"/>
              <w:spacing w:line="240" w:lineRule="auto"/>
              <w:ind w:firstLine="0" w:firstLineChars="0"/>
              <w:rPr>
                <w:rFonts w:ascii="方正仿宋_GBK" w:hAnsi="方正仿宋_GBK" w:cs="方正仿宋_GBK"/>
                <w:b w:val="0"/>
                <w:bCs w:val="0"/>
                <w:sz w:val="21"/>
                <w:szCs w:val="21"/>
              </w:rPr>
            </w:pPr>
            <w:r>
              <w:rPr>
                <w:rFonts w:ascii="方正仿宋_GBK" w:hAnsi="方正仿宋_GBK" w:cs="方正仿宋_GBK"/>
                <w:b w:val="0"/>
                <w:bCs w:val="0"/>
                <w:sz w:val="21"/>
                <w:szCs w:val="21"/>
              </w:rPr>
              <w:t>≥85%</w:t>
            </w:r>
          </w:p>
        </w:tc>
        <w:tc>
          <w:tcPr>
            <w:tcW w:w="1040" w:type="pct"/>
            <w:noWrap w:val="0"/>
            <w:vAlign w:val="center"/>
          </w:tcPr>
          <w:p>
            <w:pPr>
              <w:snapToGrid w:val="0"/>
              <w:spacing w:line="240" w:lineRule="auto"/>
              <w:ind w:firstLine="0" w:firstLineChars="0"/>
              <w:rPr>
                <w:rFonts w:ascii="方正仿宋_GBK" w:hAnsi="方正仿宋_GBK" w:cs="方正仿宋_GBK"/>
                <w:b w:val="0"/>
                <w:bCs w:val="0"/>
                <w:sz w:val="21"/>
                <w:szCs w:val="21"/>
              </w:rPr>
            </w:pPr>
            <w:r>
              <w:rPr>
                <w:rFonts w:ascii="方正仿宋_GBK" w:hAnsi="方正仿宋_GBK" w:cs="方正仿宋_GBK"/>
                <w:b w:val="0"/>
                <w:bCs w:val="0"/>
                <w:sz w:val="21"/>
                <w:szCs w:val="21"/>
              </w:rPr>
              <w:t>≥85%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trPr>
        <w:tc>
          <w:tcPr>
            <w:tcW w:w="408" w:type="pct"/>
            <w:noWrap w:val="0"/>
            <w:vAlign w:val="center"/>
          </w:tcPr>
          <w:p>
            <w:pPr>
              <w:snapToGrid w:val="0"/>
              <w:spacing w:line="240" w:lineRule="auto"/>
              <w:ind w:firstLine="0" w:firstLineChars="0"/>
              <w:rPr>
                <w:rFonts w:ascii="方正仿宋_GBK" w:hAnsi="方正仿宋_GBK" w:cs="方正仿宋_GBK"/>
                <w:b w:val="0"/>
                <w:bCs w:val="0"/>
                <w:sz w:val="21"/>
                <w:szCs w:val="21"/>
              </w:rPr>
            </w:pPr>
            <w:r>
              <w:rPr>
                <w:rFonts w:ascii="方正仿宋_GBK" w:hAnsi="方正仿宋_GBK" w:cs="方正仿宋_GBK"/>
                <w:b w:val="0"/>
                <w:bCs w:val="0"/>
                <w:sz w:val="21"/>
                <w:szCs w:val="21"/>
              </w:rPr>
              <w:t>城市秩序与执法</w:t>
            </w:r>
          </w:p>
        </w:tc>
        <w:tc>
          <w:tcPr>
            <w:tcW w:w="416" w:type="pct"/>
            <w:noWrap w:val="0"/>
            <w:vAlign w:val="center"/>
          </w:tcPr>
          <w:p>
            <w:pPr>
              <w:snapToGrid w:val="0"/>
              <w:spacing w:line="240" w:lineRule="auto"/>
              <w:ind w:firstLine="0" w:firstLineChars="0"/>
              <w:jc w:val="center"/>
              <w:rPr>
                <w:rFonts w:ascii="方正仿宋_GBK" w:hAnsi="方正仿宋_GBK" w:cs="方正仿宋_GBK"/>
                <w:b w:val="0"/>
                <w:bCs w:val="0"/>
                <w:sz w:val="21"/>
                <w:szCs w:val="21"/>
              </w:rPr>
            </w:pPr>
            <w:r>
              <w:rPr>
                <w:rFonts w:ascii="方正仿宋_GBK" w:hAnsi="方正仿宋_GBK" w:cs="方正仿宋_GBK"/>
                <w:b w:val="0"/>
                <w:bCs w:val="0"/>
                <w:sz w:val="21"/>
                <w:szCs w:val="21"/>
              </w:rPr>
              <w:t>24</w:t>
            </w:r>
          </w:p>
        </w:tc>
        <w:tc>
          <w:tcPr>
            <w:tcW w:w="1752" w:type="pct"/>
            <w:noWrap w:val="0"/>
            <w:vAlign w:val="center"/>
          </w:tcPr>
          <w:p>
            <w:pPr>
              <w:snapToGrid w:val="0"/>
              <w:spacing w:line="240" w:lineRule="auto"/>
              <w:ind w:firstLine="0" w:firstLineChars="0"/>
              <w:rPr>
                <w:rFonts w:ascii="方正仿宋_GBK" w:hAnsi="方正仿宋_GBK" w:cs="方正仿宋_GBK"/>
                <w:b w:val="0"/>
                <w:bCs w:val="0"/>
                <w:sz w:val="21"/>
                <w:szCs w:val="21"/>
              </w:rPr>
            </w:pPr>
            <w:r>
              <w:rPr>
                <w:rFonts w:ascii="方正仿宋_GBK" w:hAnsi="方正仿宋_GBK" w:cs="方正仿宋_GBK"/>
                <w:b w:val="0"/>
                <w:bCs w:val="0"/>
                <w:sz w:val="21"/>
                <w:szCs w:val="21"/>
              </w:rPr>
              <w:t>执法装备配备综合达标率</w:t>
            </w:r>
          </w:p>
        </w:tc>
        <w:tc>
          <w:tcPr>
            <w:tcW w:w="686" w:type="pct"/>
            <w:noWrap w:val="0"/>
            <w:vAlign w:val="center"/>
          </w:tcPr>
          <w:p>
            <w:pPr>
              <w:snapToGrid w:val="0"/>
              <w:spacing w:line="240" w:lineRule="auto"/>
              <w:ind w:firstLine="0" w:firstLineChars="0"/>
              <w:rPr>
                <w:rFonts w:ascii="方正仿宋_GBK" w:hAnsi="方正仿宋_GBK" w:cs="方正仿宋_GBK"/>
                <w:b w:val="0"/>
                <w:bCs w:val="0"/>
                <w:sz w:val="21"/>
                <w:szCs w:val="21"/>
              </w:rPr>
            </w:pPr>
            <w:r>
              <w:rPr>
                <w:rFonts w:ascii="方正仿宋_GBK" w:hAnsi="方正仿宋_GBK" w:cs="方正仿宋_GBK"/>
                <w:b w:val="0"/>
                <w:bCs w:val="0"/>
                <w:sz w:val="21"/>
                <w:szCs w:val="21"/>
              </w:rPr>
              <w:t>50%</w:t>
            </w:r>
          </w:p>
        </w:tc>
        <w:tc>
          <w:tcPr>
            <w:tcW w:w="696" w:type="pct"/>
            <w:noWrap w:val="0"/>
            <w:vAlign w:val="center"/>
          </w:tcPr>
          <w:p>
            <w:pPr>
              <w:snapToGrid w:val="0"/>
              <w:spacing w:line="240" w:lineRule="auto"/>
              <w:ind w:firstLine="0" w:firstLineChars="0"/>
              <w:rPr>
                <w:rFonts w:ascii="方正仿宋_GBK" w:hAnsi="方正仿宋_GBK" w:cs="方正仿宋_GBK"/>
                <w:b w:val="0"/>
                <w:bCs w:val="0"/>
                <w:sz w:val="21"/>
                <w:szCs w:val="21"/>
              </w:rPr>
            </w:pPr>
            <w:r>
              <w:rPr>
                <w:rFonts w:ascii="方正仿宋_GBK" w:hAnsi="方正仿宋_GBK" w:cs="方正仿宋_GBK"/>
                <w:b w:val="0"/>
                <w:bCs w:val="0"/>
                <w:sz w:val="21"/>
                <w:szCs w:val="21"/>
              </w:rPr>
              <w:t>≥80%</w:t>
            </w:r>
          </w:p>
        </w:tc>
        <w:tc>
          <w:tcPr>
            <w:tcW w:w="1040" w:type="pct"/>
            <w:noWrap w:val="0"/>
            <w:vAlign w:val="center"/>
          </w:tcPr>
          <w:p>
            <w:pPr>
              <w:snapToGrid w:val="0"/>
              <w:spacing w:line="240" w:lineRule="auto"/>
              <w:ind w:firstLine="0" w:firstLineChars="0"/>
              <w:rPr>
                <w:rFonts w:ascii="方正仿宋_GBK" w:hAnsi="方正仿宋_GBK" w:cs="方正仿宋_GBK"/>
                <w:b w:val="0"/>
                <w:bCs w:val="0"/>
                <w:sz w:val="21"/>
                <w:szCs w:val="21"/>
              </w:rPr>
            </w:pPr>
            <w:r>
              <w:rPr>
                <w:rFonts w:ascii="方正仿宋_GBK" w:hAnsi="方正仿宋_GBK" w:cs="方正仿宋_GBK"/>
                <w:b w:val="0"/>
                <w:bCs w:val="0"/>
                <w:sz w:val="21"/>
                <w:szCs w:val="21"/>
              </w:rPr>
              <w:t>≥80%</w:t>
            </w:r>
          </w:p>
        </w:tc>
      </w:tr>
    </w:tbl>
    <w:p>
      <w:pPr>
        <w:snapToGrid w:val="0"/>
        <w:spacing w:before="0" w:after="0" w:line="276" w:lineRule="auto"/>
        <w:jc w:val="both"/>
        <w:rPr>
          <w:rFonts w:hint="eastAsia" w:eastAsia="方正仿宋_GBK"/>
          <w:b w:val="0"/>
          <w:bCs w:val="0"/>
          <w:sz w:val="32"/>
          <w:szCs w:val="32"/>
        </w:rPr>
      </w:pPr>
      <w:bookmarkStart w:id="113" w:name="_Toc74151081"/>
      <w:bookmarkStart w:id="114" w:name="_Toc6795"/>
      <w:bookmarkStart w:id="115" w:name="_Toc21599"/>
      <w:bookmarkStart w:id="116" w:name="_Toc74151078"/>
      <w:bookmarkStart w:id="117" w:name="_Toc74151080"/>
      <w:bookmarkStart w:id="118" w:name="_Toc70450412"/>
    </w:p>
    <w:p>
      <w:pPr>
        <w:snapToGrid w:val="0"/>
        <w:spacing w:before="0" w:after="0" w:line="276" w:lineRule="auto"/>
        <w:ind w:firstLine="0" w:firstLineChars="0"/>
        <w:jc w:val="center"/>
        <w:rPr>
          <w:rFonts w:hint="eastAsia" w:ascii="方正小标宋_GBK" w:hAnsi="方正小标宋_GBK" w:eastAsia="方正小标宋_GBK" w:cs="方正小标宋_GBK"/>
          <w:b w:val="0"/>
          <w:bCs w:val="0"/>
          <w:sz w:val="32"/>
          <w:szCs w:val="32"/>
        </w:rPr>
      </w:pPr>
      <w:bookmarkStart w:id="119" w:name="_Toc1754124799_WPSOffice_Level1"/>
      <w:bookmarkStart w:id="120" w:name="_Toc1874431817_WPSOffice_Level1"/>
      <w:r>
        <w:rPr>
          <w:rFonts w:hint="eastAsia" w:ascii="方正小标宋_GBK" w:hAnsi="方正小标宋_GBK" w:eastAsia="方正小标宋_GBK" w:cs="方正小标宋_GBK"/>
          <w:b w:val="0"/>
          <w:bCs w:val="0"/>
          <w:sz w:val="32"/>
          <w:szCs w:val="32"/>
        </w:rPr>
        <w:t>第三章  推动城市更新提质，提升设施综合承载力</w:t>
      </w:r>
      <w:bookmarkEnd w:id="113"/>
      <w:bookmarkEnd w:id="114"/>
      <w:bookmarkEnd w:id="115"/>
      <w:bookmarkEnd w:id="119"/>
      <w:bookmarkEnd w:id="120"/>
    </w:p>
    <w:p>
      <w:pPr>
        <w:snapToGrid w:val="0"/>
        <w:spacing w:before="0" w:after="0" w:line="276" w:lineRule="auto"/>
        <w:ind w:firstLine="640"/>
        <w:jc w:val="both"/>
        <w:rPr>
          <w:rFonts w:hint="default" w:ascii="方正仿宋_GBK" w:hAnsi="方正仿宋_GBK" w:eastAsia="方正仿宋_GBK" w:cs="方正仿宋_GBK"/>
          <w:b w:val="0"/>
          <w:bCs w:val="0"/>
        </w:rPr>
      </w:pPr>
      <w:bookmarkStart w:id="121" w:name="_Toc16647"/>
      <w:bookmarkStart w:id="122" w:name="_Toc16849"/>
    </w:p>
    <w:p>
      <w:pPr>
        <w:snapToGrid w:val="0"/>
        <w:spacing w:before="0" w:after="0" w:line="276" w:lineRule="auto"/>
        <w:ind w:firstLine="0" w:firstLineChars="0"/>
        <w:jc w:val="center"/>
        <w:rPr>
          <w:rFonts w:hint="eastAsia" w:ascii="方正黑体_GBK" w:hAnsi="方正黑体_GBK" w:eastAsia="方正黑体_GBK" w:cs="方正黑体_GBK"/>
          <w:b w:val="0"/>
          <w:bCs w:val="0"/>
        </w:rPr>
      </w:pPr>
      <w:bookmarkStart w:id="123" w:name="_Toc261810396_WPSOffice_Level2"/>
      <w:bookmarkStart w:id="124" w:name="_Toc2141522124_WPSOffice_Level2"/>
      <w:r>
        <w:rPr>
          <w:rFonts w:hint="default" w:ascii="方正黑体_GBK" w:hAnsi="方正黑体_GBK" w:eastAsia="方正黑体_GBK" w:cs="方正黑体_GBK"/>
          <w:b w:val="0"/>
          <w:bCs w:val="0"/>
        </w:rPr>
        <w:t>第一节  保障城市供水优质高效</w:t>
      </w:r>
      <w:bookmarkEnd w:id="121"/>
      <w:bookmarkEnd w:id="122"/>
      <w:bookmarkEnd w:id="123"/>
      <w:bookmarkEnd w:id="124"/>
    </w:p>
    <w:p>
      <w:pPr>
        <w:snapToGrid w:val="0"/>
        <w:spacing w:line="276" w:lineRule="auto"/>
        <w:ind w:firstLine="0"/>
        <w:rPr>
          <w:rFonts w:hint="default" w:ascii="方正仿宋_GBK" w:eastAsia="方正仿宋_GBK"/>
          <w:b w:val="0"/>
          <w:bCs w:val="0"/>
        </w:rPr>
      </w:pPr>
    </w:p>
    <w:p>
      <w:pPr>
        <w:snapToGrid w:val="0"/>
        <w:spacing w:line="276" w:lineRule="auto"/>
        <w:ind w:firstLine="0"/>
        <w:rPr>
          <w:rFonts w:hint="eastAsia" w:ascii="方正仿宋_GBK" w:hAnsi="方正仿宋_GBK" w:cs="方正仿宋_GBK"/>
          <w:b w:val="0"/>
          <w:bCs w:val="0"/>
        </w:rPr>
      </w:pPr>
      <w:r>
        <w:rPr>
          <w:rFonts w:hint="default" w:ascii="方正仿宋_GBK" w:eastAsia="方正仿宋_GBK"/>
          <w:b w:val="0"/>
          <w:bCs w:val="0"/>
        </w:rPr>
        <w:t>保障城市供水充足。</w:t>
      </w:r>
      <w:r>
        <w:rPr>
          <w:rFonts w:hint="eastAsia" w:ascii="方正仿宋_GBK" w:hAnsi="方正仿宋_GBK" w:cs="方正仿宋_GBK"/>
          <w:b w:val="0"/>
          <w:bCs w:val="0"/>
        </w:rPr>
        <w:t>以保障城市供水“量足”为目标，持续推进二水厂、三水厂扩建工程，加快推进四水厂及配水管网的建设，推动水厂间互联互通建设。配合区水利局推进城市供水备用水源建设，优化水资源配置，积极推进从长江提水工程建设，提速推进渝西水资源配置工程（金刚沱长江提水工程），保障城区水厂水源充足，加强供水管网系统加压站、调节池建设。制定城市供水应急预案，督促各供水企业开展应急处置演练，提升应急处置能力。优化供水服务，降低计划性停水时间，切实提升城市供水系统韧性，增强城市配水能力。建设重庆市即开即饮优质饮用水入户项目试点城市，完成直饮水覆盖数5000户，新建公园及广场公共直饮水设施。</w:t>
      </w:r>
    </w:p>
    <w:p>
      <w:pPr>
        <w:snapToGrid w:val="0"/>
        <w:spacing w:line="276" w:lineRule="auto"/>
        <w:ind w:firstLine="0"/>
        <w:rPr>
          <w:rFonts w:hint="eastAsia" w:ascii="方正仿宋_GBK" w:hAnsi="方正仿宋_GBK" w:cs="方正仿宋_GBK"/>
          <w:b w:val="0"/>
          <w:bCs w:val="0"/>
        </w:rPr>
      </w:pPr>
      <w:r>
        <w:rPr>
          <w:rFonts w:hint="default" w:ascii="方正仿宋_GBK" w:eastAsia="方正仿宋_GBK"/>
          <w:b w:val="0"/>
          <w:bCs w:val="0"/>
        </w:rPr>
        <w:t>完善供水监管机制。</w:t>
      </w:r>
      <w:r>
        <w:rPr>
          <w:rFonts w:hint="eastAsia" w:ascii="方正仿宋_GBK" w:hAnsi="方正仿宋_GBK" w:cs="方正仿宋_GBK"/>
          <w:b w:val="0"/>
          <w:bCs w:val="0"/>
        </w:rPr>
        <w:t>加强对永川区城市供水企业的运行监管力度，继续推进供水工作的精细化、规范化建设，切实提高群众满意度。强化物联网、大数据、人工智能等新技术应用，实现信息技术与城市供水管理的融合，建设智慧水务系统，纳入智慧城管市政设施综合管理子系统，接入永川区智慧城管综合管理服务平台，实现城市供水控制智能化、数据资源化、管理精确化、决策智慧化，保障水务设施安全运行，使水务业务运营更高效、管理更科学、服务更优质。</w:t>
      </w:r>
    </w:p>
    <w:p>
      <w:pPr>
        <w:snapToGrid w:val="0"/>
        <w:spacing w:line="276" w:lineRule="auto"/>
        <w:ind w:firstLine="0"/>
        <w:rPr>
          <w:rFonts w:hint="eastAsia" w:ascii="方正仿宋_GBK" w:hAnsi="方正仿宋_GBK" w:cs="方正仿宋_GBK"/>
          <w:b w:val="0"/>
          <w:bCs w:val="0"/>
        </w:rPr>
      </w:pPr>
      <w:r>
        <w:rPr>
          <w:rFonts w:hint="default" w:ascii="方正仿宋_GBK" w:eastAsia="方正仿宋_GBK"/>
          <w:b w:val="0"/>
          <w:bCs w:val="0"/>
        </w:rPr>
        <w:t>加大资金投入力度。</w:t>
      </w:r>
      <w:r>
        <w:rPr>
          <w:rFonts w:hint="eastAsia" w:ascii="方正仿宋_GBK" w:hAnsi="方正仿宋_GBK" w:cs="方正仿宋_GBK"/>
          <w:b w:val="0"/>
          <w:bCs w:val="0"/>
        </w:rPr>
        <w:t>加大各类资金在城市配水管网敷设、老旧小区管网及二次加压供水设施改造、城区供水管网压力优化调试、城区供水管网分区计量、水厂建设项目、城区高品质饮用水入户工程等项目的投入，保障城市供水设施有序建设。</w:t>
      </w:r>
    </w:p>
    <w:p>
      <w:pPr>
        <w:snapToGrid w:val="0"/>
        <w:spacing w:line="276" w:lineRule="auto"/>
        <w:ind w:firstLine="0" w:firstLineChars="0"/>
        <w:jc w:val="center"/>
        <w:rPr>
          <w:rFonts w:hint="eastAsia" w:ascii="方正楷体_GBK" w:hAnsi="方正楷体_GBK" w:eastAsia="方正楷体_GBK" w:cs="方正楷体_GBK"/>
          <w:b w:val="0"/>
          <w:bCs w:val="0"/>
          <w:sz w:val="28"/>
          <w:szCs w:val="28"/>
          <w:shd w:val="clear" w:color="auto" w:fill="auto"/>
        </w:rPr>
      </w:pPr>
      <w:bookmarkStart w:id="125" w:name="_Toc1188655407_WPSOffice_Level2"/>
      <w:bookmarkStart w:id="126" w:name="_Toc1103043990_WPSOffice_Level2"/>
      <w:r>
        <w:rPr>
          <w:rFonts w:hint="default" w:ascii="方正楷体_GBK" w:hAnsi="方正楷体_GBK" w:eastAsia="方正楷体_GBK" w:cs="方正楷体_GBK"/>
          <w:b w:val="0"/>
          <w:bCs w:val="0"/>
          <w:sz w:val="28"/>
          <w:szCs w:val="28"/>
          <w:shd w:val="clear" w:color="auto" w:fill="auto"/>
        </w:rPr>
        <w:t>专栏1  城市</w:t>
      </w:r>
      <w:r>
        <w:rPr>
          <w:rFonts w:hint="eastAsia" w:ascii="方正楷体_GBK" w:hAnsi="方正楷体_GBK" w:eastAsia="方正楷体_GBK" w:cs="方正楷体_GBK"/>
          <w:b w:val="0"/>
          <w:bCs w:val="0"/>
          <w:sz w:val="28"/>
          <w:szCs w:val="28"/>
          <w:shd w:val="clear" w:color="auto" w:fill="auto"/>
        </w:rPr>
        <w:t>供水建设</w:t>
      </w:r>
      <w:r>
        <w:rPr>
          <w:rFonts w:hint="eastAsia" w:ascii="方正楷体_GBK" w:hAnsi="方正楷体_GBK" w:eastAsia="方正楷体_GBK" w:cs="方正楷体_GBK"/>
          <w:b w:val="0"/>
          <w:bCs w:val="0"/>
          <w:sz w:val="28"/>
          <w:szCs w:val="28"/>
        </w:rPr>
        <w:t>重点</w:t>
      </w:r>
      <w:r>
        <w:rPr>
          <w:rFonts w:hint="eastAsia" w:ascii="方正楷体_GBK" w:hAnsi="方正楷体_GBK" w:eastAsia="方正楷体_GBK" w:cs="方正楷体_GBK"/>
          <w:b w:val="0"/>
          <w:bCs w:val="0"/>
          <w:sz w:val="28"/>
          <w:szCs w:val="28"/>
          <w:shd w:val="clear" w:color="auto" w:fill="auto"/>
        </w:rPr>
        <w:t>项目</w:t>
      </w:r>
      <w:bookmarkEnd w:id="125"/>
      <w:bookmarkEnd w:id="126"/>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jc w:val="center"/>
        </w:trPr>
        <w:tc>
          <w:tcPr>
            <w:tcW w:w="8520" w:type="dxa"/>
            <w:noWrap w:val="0"/>
            <w:vAlign w:val="top"/>
          </w:tcPr>
          <w:p>
            <w:pPr>
              <w:snapToGrid w:val="0"/>
              <w:spacing w:line="240" w:lineRule="auto"/>
              <w:ind w:firstLine="0"/>
              <w:rPr>
                <w:rFonts w:ascii="方正仿宋_GBK" w:hAnsi="方正仿宋_GBK" w:cs="方正仿宋_GBK"/>
                <w:b w:val="0"/>
                <w:bCs w:val="0"/>
                <w:sz w:val="21"/>
                <w:szCs w:val="21"/>
              </w:rPr>
            </w:pPr>
            <w:r>
              <w:rPr>
                <w:rFonts w:hint="default"/>
                <w:b w:val="0"/>
                <w:bCs w:val="0"/>
                <w:sz w:val="21"/>
                <w:szCs w:val="21"/>
              </w:rPr>
              <w:t>水厂及配套管网建设项目——</w:t>
            </w:r>
            <w:r>
              <w:rPr>
                <w:rFonts w:ascii="方正仿宋_GBK" w:hAnsi="方正仿宋_GBK" w:cs="方正仿宋_GBK"/>
                <w:b w:val="0"/>
                <w:bCs w:val="0"/>
                <w:sz w:val="21"/>
                <w:szCs w:val="21"/>
              </w:rPr>
              <w:t>四水厂建设工程、三水厂扩建改造工程、二水厂扩建改造工程；新建DN200-DN1000给水管网178千米；实施陈食片区、北部片区加压泵站建设。</w:t>
            </w:r>
          </w:p>
          <w:p>
            <w:pPr>
              <w:snapToGrid w:val="0"/>
              <w:spacing w:line="240" w:lineRule="auto"/>
              <w:ind w:firstLine="0"/>
              <w:rPr>
                <w:b w:val="0"/>
                <w:bCs w:val="0"/>
                <w:sz w:val="21"/>
                <w:szCs w:val="21"/>
              </w:rPr>
            </w:pPr>
            <w:r>
              <w:rPr>
                <w:rFonts w:hint="default"/>
                <w:b w:val="0"/>
                <w:bCs w:val="0"/>
                <w:sz w:val="21"/>
                <w:szCs w:val="21"/>
              </w:rPr>
              <w:t>城市供水可靠性工程建设项目——各水厂全部实现互联互通，实施渝西水资源配置工程。</w:t>
            </w:r>
          </w:p>
          <w:p>
            <w:pPr>
              <w:snapToGrid w:val="0"/>
              <w:spacing w:line="240" w:lineRule="auto"/>
              <w:ind w:firstLine="0"/>
              <w:rPr>
                <w:b w:val="0"/>
                <w:bCs w:val="0"/>
                <w:sz w:val="21"/>
                <w:szCs w:val="21"/>
              </w:rPr>
            </w:pPr>
            <w:r>
              <w:rPr>
                <w:rFonts w:hint="default"/>
                <w:b w:val="0"/>
                <w:bCs w:val="0"/>
                <w:sz w:val="21"/>
                <w:szCs w:val="21"/>
              </w:rPr>
              <w:t>城区公共直饮水建设项目——</w:t>
            </w:r>
            <w:r>
              <w:rPr>
                <w:rFonts w:ascii="方正仿宋_GBK" w:hAnsi="方正仿宋_GBK" w:cs="方正仿宋_GBK"/>
                <w:b w:val="0"/>
                <w:bCs w:val="0"/>
                <w:sz w:val="21"/>
                <w:szCs w:val="21"/>
              </w:rPr>
              <w:t>完成直饮水覆盖数5000户，实施一批新建公园、广场公共直饮水工程。</w:t>
            </w:r>
          </w:p>
        </w:tc>
      </w:tr>
    </w:tbl>
    <w:p>
      <w:pPr>
        <w:snapToGrid w:val="0"/>
        <w:spacing w:before="0" w:after="0" w:line="276" w:lineRule="auto"/>
        <w:ind w:firstLine="640"/>
        <w:jc w:val="both"/>
        <w:rPr>
          <w:rFonts w:hint="eastAsia" w:ascii="方正仿宋_GBK" w:hAnsi="方正仿宋_GBK" w:eastAsia="方正仿宋_GBK" w:cs="方正仿宋_GBK"/>
          <w:b w:val="0"/>
          <w:bCs w:val="0"/>
        </w:rPr>
      </w:pPr>
      <w:bookmarkStart w:id="127" w:name="_Toc28271"/>
      <w:bookmarkStart w:id="128" w:name="_Toc10168"/>
    </w:p>
    <w:p>
      <w:pPr>
        <w:snapToGrid w:val="0"/>
        <w:spacing w:before="0" w:after="0" w:line="276" w:lineRule="auto"/>
        <w:ind w:firstLine="0" w:firstLineChars="0"/>
        <w:jc w:val="center"/>
        <w:rPr>
          <w:rFonts w:hint="eastAsia" w:ascii="方正黑体_GBK" w:hAnsi="方正黑体_GBK" w:eastAsia="方正黑体_GBK" w:cs="方正黑体_GBK"/>
          <w:b w:val="0"/>
          <w:bCs w:val="0"/>
        </w:rPr>
      </w:pPr>
      <w:bookmarkStart w:id="129" w:name="_Toc1799672296_WPSOffice_Level2"/>
      <w:bookmarkStart w:id="130" w:name="_Toc2029197951_WPSOffice_Level2"/>
      <w:r>
        <w:rPr>
          <w:rFonts w:hint="default" w:ascii="方正黑体_GBK" w:hAnsi="方正黑体_GBK" w:eastAsia="方正黑体_GBK" w:cs="方正黑体_GBK"/>
          <w:b w:val="0"/>
          <w:bCs w:val="0"/>
        </w:rPr>
        <w:t>第二节  强化节水型城市管理</w:t>
      </w:r>
      <w:bookmarkEnd w:id="127"/>
      <w:bookmarkEnd w:id="128"/>
      <w:bookmarkEnd w:id="129"/>
      <w:bookmarkEnd w:id="130"/>
    </w:p>
    <w:p>
      <w:pPr>
        <w:snapToGrid w:val="0"/>
        <w:spacing w:line="276" w:lineRule="auto"/>
        <w:ind w:firstLine="0"/>
        <w:rPr>
          <w:rFonts w:hint="default" w:ascii="方正仿宋_GBK" w:eastAsia="方正仿宋_GBK"/>
          <w:b w:val="0"/>
          <w:bCs w:val="0"/>
        </w:rPr>
      </w:pPr>
    </w:p>
    <w:p>
      <w:pPr>
        <w:snapToGrid w:val="0"/>
        <w:spacing w:line="276" w:lineRule="auto"/>
        <w:ind w:firstLine="0"/>
        <w:rPr>
          <w:b w:val="0"/>
          <w:bCs w:val="0"/>
        </w:rPr>
      </w:pPr>
      <w:r>
        <w:rPr>
          <w:rFonts w:hint="default" w:ascii="方正仿宋_GBK" w:eastAsia="方正仿宋_GBK"/>
          <w:b w:val="0"/>
          <w:bCs w:val="0"/>
        </w:rPr>
        <w:t>完善节水管理体系。</w:t>
      </w:r>
      <w:r>
        <w:rPr>
          <w:rFonts w:hint="eastAsia"/>
          <w:b w:val="0"/>
          <w:bCs w:val="0"/>
        </w:rPr>
        <w:t>巩固永川区重庆市</w:t>
      </w:r>
      <w:r>
        <w:rPr>
          <w:b w:val="0"/>
          <w:bCs w:val="0"/>
        </w:rPr>
        <w:t>节水型城市创建成果，</w:t>
      </w:r>
      <w:r>
        <w:rPr>
          <w:rFonts w:hint="eastAsia"/>
          <w:b w:val="0"/>
          <w:bCs w:val="0"/>
        </w:rPr>
        <w:t>推进节水管理逐渐向科学化管理轨道转变，实行定额管理和计划用水相结合，政策引导和市场激励相结合，建立科学的节水管理机制，推进节水管理常态化。</w:t>
      </w:r>
    </w:p>
    <w:p>
      <w:pPr>
        <w:snapToGrid w:val="0"/>
        <w:spacing w:line="276" w:lineRule="auto"/>
        <w:ind w:firstLine="0"/>
        <w:rPr>
          <w:b w:val="0"/>
          <w:bCs w:val="0"/>
        </w:rPr>
      </w:pPr>
      <w:r>
        <w:rPr>
          <w:rFonts w:hint="default" w:ascii="方正仿宋_GBK" w:eastAsia="方正仿宋_GBK"/>
          <w:b w:val="0"/>
          <w:bCs w:val="0"/>
        </w:rPr>
        <w:t>推进计划用水与再生水利用。</w:t>
      </w:r>
      <w:r>
        <w:rPr>
          <w:rFonts w:hint="eastAsia"/>
          <w:b w:val="0"/>
          <w:bCs w:val="0"/>
        </w:rPr>
        <w:t>逐步扩大计划用水实施范围，规范城市市政用水计量器具配备和计量检定工作，建立健全重点</w:t>
      </w:r>
      <w:r>
        <w:rPr>
          <w:b w:val="0"/>
          <w:bCs w:val="0"/>
        </w:rPr>
        <w:t>用水户</w:t>
      </w:r>
      <w:r>
        <w:rPr>
          <w:rFonts w:hint="eastAsia"/>
          <w:b w:val="0"/>
          <w:bCs w:val="0"/>
        </w:rPr>
        <w:t>用水水量统计台账制度。强化计划用水，鼓励用水单位采用节水设施。鼓励</w:t>
      </w:r>
      <w:r>
        <w:rPr>
          <w:b w:val="0"/>
          <w:bCs w:val="0"/>
        </w:rPr>
        <w:t>再生水</w:t>
      </w:r>
      <w:r>
        <w:rPr>
          <w:rFonts w:hint="eastAsia"/>
          <w:b w:val="0"/>
          <w:bCs w:val="0"/>
        </w:rPr>
        <w:t>利用</w:t>
      </w:r>
      <w:r>
        <w:rPr>
          <w:b w:val="0"/>
          <w:bCs w:val="0"/>
        </w:rPr>
        <w:t>，</w:t>
      </w:r>
      <w:r>
        <w:rPr>
          <w:rFonts w:hint="eastAsia"/>
          <w:b w:val="0"/>
          <w:bCs w:val="0"/>
        </w:rPr>
        <w:t>提高水资源利用效率，将</w:t>
      </w:r>
      <w:r>
        <w:rPr>
          <w:b w:val="0"/>
          <w:bCs w:val="0"/>
        </w:rPr>
        <w:t>城市污水处理厂出水经</w:t>
      </w:r>
      <w:r>
        <w:rPr>
          <w:rFonts w:hint="eastAsia"/>
          <w:b w:val="0"/>
          <w:bCs w:val="0"/>
        </w:rPr>
        <w:t>一定</w:t>
      </w:r>
      <w:r>
        <w:rPr>
          <w:b w:val="0"/>
          <w:bCs w:val="0"/>
        </w:rPr>
        <w:t>处理后的中水用于园林绿化和道路清洁。</w:t>
      </w:r>
    </w:p>
    <w:p>
      <w:pPr>
        <w:snapToGrid w:val="0"/>
        <w:spacing w:line="276" w:lineRule="auto"/>
        <w:ind w:firstLine="0"/>
        <w:rPr>
          <w:rFonts w:hint="eastAsia" w:ascii="方正仿宋_GBK" w:hAnsi="方正仿宋_GBK" w:cs="方正仿宋_GBK"/>
          <w:b w:val="0"/>
          <w:bCs w:val="0"/>
        </w:rPr>
      </w:pPr>
      <w:r>
        <w:rPr>
          <w:rFonts w:hint="default" w:ascii="方正仿宋_GBK" w:eastAsia="方正仿宋_GBK"/>
          <w:b w:val="0"/>
          <w:bCs w:val="0"/>
        </w:rPr>
        <w:t>降低供水管网漏损率。</w:t>
      </w:r>
      <w:r>
        <w:rPr>
          <w:rFonts w:hint="eastAsia" w:ascii="方正仿宋_GBK" w:hAnsi="方正仿宋_GBK" w:cs="方正仿宋_GBK"/>
          <w:b w:val="0"/>
          <w:bCs w:val="0"/>
        </w:rPr>
        <w:t>加强供水设施的维护管理，降低水厂自身用水量，减少供水漏损量。完成对供水管网的全面普查，建立城市供水GIS动态管网系统，制定供水管网改造计划，加强对使用超过30年的供水管网、构筑物以及超过寿命成本周期（18年）的供水设备改造，保障供水管网改造资金到位。加强城市水厂节水管理，逐步实施供水管网DMA分区计量管理改造，提升管网安全运营水平，降低管网漏损。</w:t>
      </w:r>
    </w:p>
    <w:p>
      <w:pPr>
        <w:snapToGrid w:val="0"/>
        <w:spacing w:line="276" w:lineRule="auto"/>
        <w:ind w:firstLine="0" w:firstLineChars="0"/>
        <w:jc w:val="center"/>
        <w:rPr>
          <w:rFonts w:hint="eastAsia" w:ascii="方正楷体_GBK" w:hAnsi="方正楷体_GBK" w:eastAsia="方正楷体_GBK" w:cs="方正楷体_GBK"/>
          <w:b w:val="0"/>
          <w:bCs w:val="0"/>
          <w:sz w:val="28"/>
          <w:szCs w:val="28"/>
        </w:rPr>
      </w:pPr>
      <w:bookmarkStart w:id="131" w:name="_Toc1824325408_WPSOffice_Level2"/>
      <w:bookmarkStart w:id="132" w:name="_Toc788921122_WPSOffice_Level2"/>
      <w:r>
        <w:rPr>
          <w:rFonts w:hint="default" w:ascii="方正楷体_GBK" w:hAnsi="方正楷体_GBK" w:eastAsia="方正楷体_GBK" w:cs="方正楷体_GBK"/>
          <w:b w:val="0"/>
          <w:bCs w:val="0"/>
          <w:sz w:val="28"/>
          <w:szCs w:val="28"/>
        </w:rPr>
        <w:t>专栏2  城市</w:t>
      </w:r>
      <w:r>
        <w:rPr>
          <w:rFonts w:hint="eastAsia" w:ascii="方正楷体_GBK" w:hAnsi="方正楷体_GBK" w:eastAsia="方正楷体_GBK" w:cs="方正楷体_GBK"/>
          <w:b w:val="0"/>
          <w:bCs w:val="0"/>
          <w:sz w:val="28"/>
          <w:szCs w:val="28"/>
        </w:rPr>
        <w:t>节水重点项目</w:t>
      </w:r>
      <w:bookmarkEnd w:id="131"/>
      <w:bookmarkEnd w:id="132"/>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 w:hRule="atLeast"/>
          <w:jc w:val="center"/>
        </w:trPr>
        <w:tc>
          <w:tcPr>
            <w:tcW w:w="8680" w:type="dxa"/>
            <w:noWrap w:val="0"/>
            <w:vAlign w:val="top"/>
          </w:tcPr>
          <w:p>
            <w:pPr>
              <w:snapToGrid w:val="0"/>
              <w:spacing w:line="240" w:lineRule="auto"/>
              <w:ind w:firstLine="0"/>
              <w:rPr>
                <w:b w:val="0"/>
                <w:bCs w:val="0"/>
                <w:strike w:val="0"/>
                <w:sz w:val="21"/>
                <w:szCs w:val="21"/>
              </w:rPr>
            </w:pPr>
            <w:r>
              <w:rPr>
                <w:rFonts w:hint="default"/>
                <w:b w:val="0"/>
                <w:bCs w:val="0"/>
                <w:sz w:val="21"/>
                <w:szCs w:val="21"/>
                <w:shd w:val="clear" w:color="auto" w:fill="auto"/>
              </w:rPr>
              <w:t>老旧管网</w:t>
            </w:r>
            <w:r>
              <w:rPr>
                <w:b w:val="0"/>
                <w:bCs w:val="0"/>
                <w:sz w:val="21"/>
                <w:szCs w:val="21"/>
                <w:shd w:val="clear" w:color="auto" w:fill="auto"/>
              </w:rPr>
              <w:t>改造</w:t>
            </w:r>
            <w:r>
              <w:rPr>
                <w:rFonts w:hint="default"/>
                <w:b w:val="0"/>
                <w:bCs w:val="0"/>
                <w:sz w:val="21"/>
                <w:szCs w:val="21"/>
                <w:shd w:val="clear" w:color="auto" w:fill="auto"/>
              </w:rPr>
              <w:t>项目——</w:t>
            </w:r>
            <w:r>
              <w:rPr>
                <w:rFonts w:ascii="方正仿宋_GBK" w:hAnsi="方正仿宋_GBK" w:cs="方正仿宋_GBK"/>
                <w:b w:val="0"/>
                <w:bCs w:val="0"/>
                <w:sz w:val="21"/>
                <w:szCs w:val="21"/>
              </w:rPr>
              <w:t>改造DN200-DN1000老旧管网总计约17千米。</w:t>
            </w:r>
          </w:p>
        </w:tc>
      </w:tr>
    </w:tbl>
    <w:p>
      <w:pPr>
        <w:snapToGrid w:val="0"/>
        <w:spacing w:before="0" w:after="0" w:line="276" w:lineRule="auto"/>
        <w:ind w:firstLine="640"/>
        <w:jc w:val="both"/>
        <w:rPr>
          <w:rFonts w:hint="default" w:ascii="方正仿宋_GBK" w:hAnsi="方正仿宋_GBK" w:eastAsia="方正仿宋_GBK" w:cs="方正仿宋_GBK"/>
          <w:b w:val="0"/>
          <w:bCs w:val="0"/>
        </w:rPr>
      </w:pPr>
      <w:bookmarkStart w:id="133" w:name="_Toc22635"/>
      <w:bookmarkStart w:id="134" w:name="_Toc11622"/>
    </w:p>
    <w:p>
      <w:pPr>
        <w:snapToGrid w:val="0"/>
        <w:spacing w:before="0" w:after="0" w:line="276" w:lineRule="auto"/>
        <w:ind w:firstLine="0" w:firstLineChars="0"/>
        <w:jc w:val="center"/>
        <w:rPr>
          <w:rFonts w:hint="eastAsia" w:ascii="方正黑体_GBK" w:hAnsi="方正黑体_GBK" w:eastAsia="方正黑体_GBK" w:cs="方正黑体_GBK"/>
          <w:b w:val="0"/>
          <w:bCs w:val="0"/>
        </w:rPr>
      </w:pPr>
      <w:bookmarkStart w:id="135" w:name="_Toc1820774918_WPSOffice_Level2"/>
      <w:bookmarkStart w:id="136" w:name="_Toc110817593_WPSOffice_Level2"/>
      <w:r>
        <w:rPr>
          <w:rFonts w:hint="default" w:ascii="方正黑体_GBK" w:hAnsi="方正黑体_GBK" w:eastAsia="方正黑体_GBK" w:cs="方正黑体_GBK"/>
          <w:b w:val="0"/>
          <w:bCs w:val="0"/>
        </w:rPr>
        <w:t>第三节  持续提升城市照明能效</w:t>
      </w:r>
      <w:bookmarkEnd w:id="133"/>
      <w:bookmarkEnd w:id="134"/>
      <w:bookmarkEnd w:id="135"/>
      <w:bookmarkEnd w:id="136"/>
    </w:p>
    <w:p>
      <w:pPr>
        <w:snapToGrid w:val="0"/>
        <w:spacing w:line="276" w:lineRule="auto"/>
        <w:ind w:firstLine="0"/>
        <w:rPr>
          <w:rFonts w:hint="default" w:ascii="方正仿宋_GBK" w:eastAsia="方正仿宋_GBK"/>
          <w:b w:val="0"/>
          <w:bCs w:val="0"/>
        </w:rPr>
      </w:pPr>
    </w:p>
    <w:p>
      <w:pPr>
        <w:snapToGrid w:val="0"/>
        <w:spacing w:line="276" w:lineRule="auto"/>
        <w:ind w:firstLine="0"/>
        <w:rPr>
          <w:rFonts w:hint="eastAsia" w:ascii="方正仿宋_GBK" w:hAnsi="方正仿宋_GBK" w:cs="方正仿宋_GBK"/>
          <w:b w:val="0"/>
          <w:bCs w:val="0"/>
        </w:rPr>
      </w:pPr>
      <w:r>
        <w:rPr>
          <w:rFonts w:hint="default" w:ascii="方正仿宋_GBK" w:eastAsia="方正仿宋_GBK"/>
          <w:b w:val="0"/>
          <w:bCs w:val="0"/>
        </w:rPr>
        <w:t>推动管理机制改革。</w:t>
      </w:r>
      <w:r>
        <w:rPr>
          <w:rFonts w:hint="eastAsia" w:ascii="方正仿宋_GBK" w:hAnsi="方正仿宋_GBK" w:cs="方正仿宋_GBK"/>
          <w:b w:val="0"/>
          <w:bCs w:val="0"/>
        </w:rPr>
        <w:t>着力推动城区照明实现“一把闸刀”管理，消除多头管理、机构职能重叠、资金浪费等现象，提升照明运行、维护管理效率。加强镇街城市照明建设、维修等业务指导，开展维护维修技术培训，指导各镇街逐步将照度亮度不足、能耗高的高压钠灯全部更换为高效节能、安全环保的LED路灯。</w:t>
      </w:r>
    </w:p>
    <w:p>
      <w:pPr>
        <w:snapToGrid w:val="0"/>
        <w:spacing w:line="276" w:lineRule="auto"/>
        <w:ind w:firstLine="0"/>
        <w:rPr>
          <w:b w:val="0"/>
          <w:bCs w:val="0"/>
        </w:rPr>
      </w:pPr>
      <w:r>
        <w:rPr>
          <w:rFonts w:hint="default" w:ascii="方正仿宋_GBK" w:eastAsia="方正仿宋_GBK"/>
          <w:b w:val="0"/>
          <w:bCs w:val="0"/>
        </w:rPr>
        <w:t>提升城市功能照明品质。</w:t>
      </w:r>
      <w:r>
        <w:rPr>
          <w:b w:val="0"/>
          <w:bCs w:val="0"/>
        </w:rPr>
        <w:t>继续实施路灯</w:t>
      </w:r>
      <w:r>
        <w:rPr>
          <w:rFonts w:hint="eastAsia"/>
          <w:b w:val="0"/>
          <w:bCs w:val="0"/>
        </w:rPr>
        <w:t>“</w:t>
      </w:r>
      <w:r>
        <w:rPr>
          <w:b w:val="0"/>
          <w:bCs w:val="0"/>
        </w:rPr>
        <w:t>增光添亮</w:t>
      </w:r>
      <w:r>
        <w:rPr>
          <w:rFonts w:hint="eastAsia"/>
          <w:b w:val="0"/>
          <w:bCs w:val="0"/>
        </w:rPr>
        <w:t>”</w:t>
      </w:r>
      <w:r>
        <w:rPr>
          <w:b w:val="0"/>
          <w:bCs w:val="0"/>
        </w:rPr>
        <w:t>工程。倾力为民办实事，</w:t>
      </w:r>
      <w:r>
        <w:rPr>
          <w:rFonts w:hint="eastAsia"/>
          <w:b w:val="0"/>
          <w:bCs w:val="0"/>
        </w:rPr>
        <w:t>力求横向到边、纵向到底，做好背街小巷、重点治安乱点地区、暗盲区等照明设施的</w:t>
      </w:r>
      <w:r>
        <w:rPr>
          <w:b w:val="0"/>
          <w:bCs w:val="0"/>
        </w:rPr>
        <w:t>查漏补缺工作，将光明照进巷道</w:t>
      </w:r>
      <w:r>
        <w:rPr>
          <w:rFonts w:hint="eastAsia"/>
          <w:b w:val="0"/>
          <w:bCs w:val="0"/>
        </w:rPr>
        <w:t>楼院。实施城市照明设施建设改造工作，改造老旧路灯线路。持续推进建管同步开展工作，加强路灯线路日常保护及同步更换。</w:t>
      </w:r>
    </w:p>
    <w:p>
      <w:pPr>
        <w:snapToGrid w:val="0"/>
        <w:spacing w:line="276" w:lineRule="auto"/>
        <w:ind w:firstLine="0"/>
        <w:rPr>
          <w:b w:val="0"/>
          <w:bCs w:val="0"/>
        </w:rPr>
      </w:pPr>
      <w:r>
        <w:rPr>
          <w:rFonts w:hint="default" w:ascii="方正仿宋_GBK" w:eastAsia="方正仿宋_GBK"/>
          <w:b w:val="0"/>
          <w:bCs w:val="0"/>
        </w:rPr>
        <w:t>提升城市景观照明品质。</w:t>
      </w:r>
      <w:r>
        <w:rPr>
          <w:rFonts w:hint="eastAsia"/>
          <w:b w:val="0"/>
          <w:bCs w:val="0"/>
        </w:rPr>
        <w:t>结合城市风貌、地形特征、文化特色，打造璀璨雅致、动静相宜的都市夜景，着力营造公共照明艺术空间，在城市商圈、公园、广场、河道以及文化艺术中心、体育中心、博物馆等地标性建筑打造灯光艺术精品，提升城区人行立交天桥等景观照明品质，开展重点路段、节点的灯光品质提升工程。</w:t>
      </w:r>
    </w:p>
    <w:p>
      <w:pPr>
        <w:snapToGrid w:val="0"/>
        <w:spacing w:line="276" w:lineRule="auto"/>
        <w:ind w:firstLine="0"/>
        <w:rPr>
          <w:rFonts w:hint="eastAsia" w:ascii="方正仿宋_GBK" w:hAnsi="方正仿宋_GBK" w:cs="方正仿宋_GBK"/>
          <w:b w:val="0"/>
          <w:bCs w:val="0"/>
        </w:rPr>
      </w:pPr>
      <w:r>
        <w:rPr>
          <w:rFonts w:hint="default" w:ascii="方正仿宋_GBK" w:eastAsia="方正仿宋_GBK"/>
          <w:b w:val="0"/>
          <w:bCs w:val="0"/>
        </w:rPr>
        <w:t>推动城市照明绿色智慧发展。</w:t>
      </w:r>
      <w:r>
        <w:rPr>
          <w:rFonts w:hint="eastAsia" w:ascii="方正仿宋_GBK" w:hAnsi="方正仿宋_GBK" w:cs="方正仿宋_GBK"/>
          <w:b w:val="0"/>
          <w:bCs w:val="0"/>
        </w:rPr>
        <w:t>继续发展绿色节能照明设施，因地制宜推广太阳能路灯、LED路灯的应用。扩建、完善照明智能化控制系统，全面实现城市照明灯饰远程统一启闭、数据采集、故障报警、防盗报警、电流电压监测等实时智慧管理功能，积极推动智慧灯杆与其他道路附属设施的“多杆合一”工作。建设智慧城管</w:t>
      </w:r>
      <w:r>
        <w:rPr>
          <w:rFonts w:ascii="方正仿宋_GBK" w:hAnsi="方正仿宋_GBK" w:cs="方正仿宋_GBK"/>
          <w:b w:val="0"/>
          <w:bCs w:val="0"/>
          <w:shd w:val="clear" w:color="auto" w:fill="auto"/>
        </w:rPr>
        <w:t>城市照明综合管理系统，纳入智慧城管市政设施综合管理子系统，接入永川区智慧城管综合管理服务平台，实现城市</w:t>
      </w:r>
      <w:r>
        <w:rPr>
          <w:rFonts w:hint="eastAsia" w:ascii="方正仿宋_GBK" w:hAnsi="方正仿宋_GBK" w:cs="方正仿宋_GBK"/>
          <w:b w:val="0"/>
          <w:bCs w:val="0"/>
        </w:rPr>
        <w:t>市政路灯照明和夜景灯饰照明统一化、集中化、智能化监控和管理。</w:t>
      </w:r>
    </w:p>
    <w:p>
      <w:pPr>
        <w:snapToGrid w:val="0"/>
        <w:spacing w:line="276" w:lineRule="auto"/>
        <w:ind w:firstLine="0" w:firstLineChars="0"/>
        <w:jc w:val="center"/>
        <w:rPr>
          <w:rFonts w:hint="eastAsia" w:ascii="方正楷体_GBK" w:hAnsi="方正楷体_GBK" w:eastAsia="方正楷体_GBK" w:cs="方正楷体_GBK"/>
          <w:b w:val="0"/>
          <w:bCs w:val="0"/>
          <w:sz w:val="28"/>
          <w:szCs w:val="28"/>
        </w:rPr>
      </w:pPr>
      <w:bookmarkStart w:id="137" w:name="_Toc1401213734_WPSOffice_Level2"/>
      <w:bookmarkStart w:id="138" w:name="_Toc109172081_WPSOffice_Level2"/>
      <w:r>
        <w:rPr>
          <w:rFonts w:hint="default" w:ascii="方正楷体_GBK" w:hAnsi="方正楷体_GBK" w:eastAsia="方正楷体_GBK" w:cs="方正楷体_GBK"/>
          <w:b w:val="0"/>
          <w:bCs w:val="0"/>
          <w:sz w:val="28"/>
          <w:szCs w:val="28"/>
        </w:rPr>
        <w:t>专栏3  城市照明重点项目</w:t>
      </w:r>
      <w:bookmarkEnd w:id="137"/>
      <w:bookmarkEnd w:id="138"/>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noWrap w:val="0"/>
            <w:vAlign w:val="top"/>
          </w:tcPr>
          <w:p>
            <w:pPr>
              <w:snapToGrid w:val="0"/>
              <w:spacing w:line="276" w:lineRule="auto"/>
              <w:ind w:firstLine="0"/>
              <w:rPr>
                <w:b w:val="0"/>
                <w:bCs w:val="0"/>
                <w:sz w:val="21"/>
                <w:szCs w:val="21"/>
              </w:rPr>
            </w:pPr>
            <w:r>
              <w:rPr>
                <w:rFonts w:hint="default"/>
                <w:b w:val="0"/>
                <w:bCs w:val="0"/>
                <w:sz w:val="21"/>
                <w:szCs w:val="21"/>
              </w:rPr>
              <w:t>城市功能照明提质项目——</w:t>
            </w:r>
            <w:r>
              <w:rPr>
                <w:rFonts w:ascii="方正仿宋_GBK" w:hAnsi="方正仿宋_GBK" w:cs="方正仿宋_GBK"/>
                <w:b w:val="0"/>
                <w:bCs w:val="0"/>
                <w:sz w:val="21"/>
                <w:szCs w:val="21"/>
              </w:rPr>
              <w:t>新建、改造老旧路灯1100组及线路，新增老旧小区及</w:t>
            </w:r>
            <w:r>
              <w:rPr>
                <w:rFonts w:hint="default" w:ascii="方正仿宋_GBK" w:hAnsi="方正仿宋_GBK" w:cs="方正仿宋_GBK"/>
                <w:b w:val="0"/>
                <w:bCs w:val="0"/>
                <w:sz w:val="21"/>
                <w:szCs w:val="21"/>
              </w:rPr>
              <w:t>“</w:t>
            </w:r>
            <w:r>
              <w:rPr>
                <w:rFonts w:ascii="方正仿宋_GBK" w:hAnsi="方正仿宋_GBK" w:cs="方正仿宋_GBK"/>
                <w:b w:val="0"/>
                <w:bCs w:val="0"/>
                <w:sz w:val="21"/>
                <w:szCs w:val="21"/>
              </w:rPr>
              <w:t>三无小区</w:t>
            </w:r>
            <w:r>
              <w:rPr>
                <w:rFonts w:hint="default" w:ascii="方正仿宋_GBK" w:hAnsi="方正仿宋_GBK" w:cs="方正仿宋_GBK"/>
                <w:b w:val="0"/>
                <w:bCs w:val="0"/>
                <w:sz w:val="21"/>
                <w:szCs w:val="21"/>
              </w:rPr>
              <w:t>”</w:t>
            </w:r>
            <w:r>
              <w:rPr>
                <w:rFonts w:ascii="方正仿宋_GBK" w:hAnsi="方正仿宋_GBK" w:cs="方正仿宋_GBK"/>
                <w:b w:val="0"/>
                <w:bCs w:val="0"/>
                <w:sz w:val="21"/>
                <w:szCs w:val="21"/>
              </w:rPr>
              <w:t>照明设施440组。</w:t>
            </w:r>
          </w:p>
          <w:p>
            <w:pPr>
              <w:snapToGrid w:val="0"/>
              <w:spacing w:line="276" w:lineRule="auto"/>
              <w:ind w:firstLine="0"/>
              <w:rPr>
                <w:b w:val="0"/>
                <w:bCs w:val="0"/>
                <w:sz w:val="21"/>
                <w:szCs w:val="21"/>
              </w:rPr>
            </w:pPr>
            <w:r>
              <w:rPr>
                <w:rFonts w:hint="default"/>
                <w:b w:val="0"/>
                <w:bCs w:val="0"/>
                <w:sz w:val="21"/>
                <w:szCs w:val="21"/>
              </w:rPr>
              <w:t>城市景观照明提质项目——实施体育中心片区、永川东高铁片区、人民大道、棠城公园、中央公园、竹溪夜雨广场、文曲广场、渝西广场、人民广场、文化艺术中心、建委五米阳光河道、城市人行天桥、永川博物馆、永川图书馆、协信长乐坊、永川会展中心等重点路段和节点灯光品质提升工程。</w:t>
            </w:r>
          </w:p>
        </w:tc>
      </w:tr>
    </w:tbl>
    <w:p>
      <w:pPr>
        <w:snapToGrid w:val="0"/>
        <w:spacing w:before="0" w:after="0" w:line="276" w:lineRule="auto"/>
        <w:ind w:firstLine="640"/>
        <w:jc w:val="both"/>
        <w:rPr>
          <w:rFonts w:hint="default" w:ascii="方正仿宋_GBK" w:hAnsi="方正仿宋_GBK" w:eastAsia="方正仿宋_GBK" w:cs="方正仿宋_GBK"/>
          <w:b w:val="0"/>
          <w:bCs w:val="0"/>
        </w:rPr>
      </w:pPr>
      <w:bookmarkStart w:id="139" w:name="_Toc30462"/>
      <w:bookmarkStart w:id="140" w:name="_Toc32366"/>
    </w:p>
    <w:p>
      <w:pPr>
        <w:snapToGrid w:val="0"/>
        <w:spacing w:before="0" w:after="0" w:line="276" w:lineRule="auto"/>
        <w:ind w:firstLine="0" w:firstLineChars="0"/>
        <w:jc w:val="center"/>
        <w:rPr>
          <w:rFonts w:hint="eastAsia" w:ascii="方正黑体_GBK" w:hAnsi="方正黑体_GBK" w:eastAsia="方正黑体_GBK" w:cs="方正黑体_GBK"/>
          <w:b w:val="0"/>
          <w:bCs w:val="0"/>
        </w:rPr>
      </w:pPr>
      <w:bookmarkStart w:id="141" w:name="_Toc496293487_WPSOffice_Level2"/>
      <w:bookmarkStart w:id="142" w:name="_Toc1096745032_WPSOffice_Level2"/>
      <w:r>
        <w:rPr>
          <w:rFonts w:hint="default" w:ascii="方正黑体_GBK" w:hAnsi="方正黑体_GBK" w:eastAsia="方正黑体_GBK" w:cs="方正黑体_GBK"/>
          <w:b w:val="0"/>
          <w:bCs w:val="0"/>
        </w:rPr>
        <w:t>第四节  大力缓解公共停车痛点</w:t>
      </w:r>
      <w:bookmarkEnd w:id="139"/>
      <w:bookmarkEnd w:id="140"/>
      <w:bookmarkEnd w:id="141"/>
      <w:bookmarkEnd w:id="142"/>
    </w:p>
    <w:p>
      <w:pPr>
        <w:snapToGrid w:val="0"/>
        <w:spacing w:line="276" w:lineRule="auto"/>
        <w:ind w:firstLine="0"/>
        <w:rPr>
          <w:rFonts w:hint="default" w:ascii="方正仿宋_GBK" w:eastAsia="方正仿宋_GBK"/>
          <w:b w:val="0"/>
          <w:bCs w:val="0"/>
        </w:rPr>
      </w:pPr>
    </w:p>
    <w:p>
      <w:pPr>
        <w:snapToGrid w:val="0"/>
        <w:spacing w:line="276" w:lineRule="auto"/>
        <w:ind w:firstLine="0"/>
        <w:rPr>
          <w:rFonts w:hint="eastAsia" w:ascii="方正仿宋_GBK" w:hAnsi="方正仿宋_GBK" w:cs="方正仿宋_GBK"/>
          <w:b w:val="0"/>
          <w:bCs w:val="0"/>
        </w:rPr>
      </w:pPr>
      <w:r>
        <w:rPr>
          <w:rFonts w:hint="default" w:ascii="方正仿宋_GBK" w:eastAsia="方正仿宋_GBK"/>
          <w:b w:val="0"/>
          <w:bCs w:val="0"/>
        </w:rPr>
        <w:t>全面规范城区停车管理。</w:t>
      </w:r>
      <w:r>
        <w:rPr>
          <w:rFonts w:hint="eastAsia" w:ascii="方正仿宋_GBK" w:hAnsi="方正仿宋_GBK" w:cs="方正仿宋_GBK"/>
          <w:b w:val="0"/>
          <w:bCs w:val="0"/>
        </w:rPr>
        <w:t>推动出台永川区停车管理改革政策，加强停车管理规划调控和设施建设，严控主次干道路内停车泊位总量，保障道路畅通及设施安全，收费路内停车泊位总量控制在5000个以内。加强停车场日常监管，全面规范城区临时停车，加强对停车秩序的引导，合理规划停车点，提高城市道路通行率。严控占用道路停车行为，确需使用人行道停车的实施划线停放规范管理。</w:t>
      </w:r>
    </w:p>
    <w:p>
      <w:pPr>
        <w:snapToGrid w:val="0"/>
        <w:spacing w:line="276" w:lineRule="auto"/>
        <w:ind w:firstLine="0"/>
        <w:rPr>
          <w:rFonts w:hint="eastAsia" w:ascii="方正仿宋_GBK" w:hAnsi="方正仿宋_GBK" w:cs="方正仿宋_GBK"/>
          <w:b w:val="0"/>
          <w:bCs w:val="0"/>
        </w:rPr>
      </w:pPr>
      <w:r>
        <w:rPr>
          <w:rFonts w:hint="default" w:ascii="方正仿宋_GBK" w:eastAsia="方正仿宋_GBK"/>
          <w:b w:val="0"/>
          <w:bCs w:val="0"/>
        </w:rPr>
        <w:t>加强公共停车场（楼、库）建设。</w:t>
      </w:r>
      <w:r>
        <w:rPr>
          <w:rFonts w:hint="eastAsia" w:ascii="方正仿宋_GBK" w:hAnsi="方正仿宋_GBK" w:cs="方正仿宋_GBK"/>
          <w:b w:val="0"/>
          <w:bCs w:val="0"/>
        </w:rPr>
        <w:t>加强城市生态停车场建设，鼓励建设停车楼、地下停车场、立体停车库。新建城区以新建生态停车场、配建地下停车库为主体，路外公共停车为辅助，路内停车为补充的停车形式。老旧城区大力推进立体停车楼等建设，缓解“停车难</w:t>
      </w:r>
      <w:r>
        <w:rPr>
          <w:rFonts w:hint="default" w:ascii="方正仿宋_GBK" w:hAnsi="方正仿宋_GBK" w:cs="方正仿宋_GBK"/>
          <w:b w:val="0"/>
          <w:bCs w:val="0"/>
          <w:sz w:val="32"/>
          <w:szCs w:val="32"/>
        </w:rPr>
        <w:t>”</w:t>
      </w:r>
      <w:r>
        <w:rPr>
          <w:rFonts w:hint="eastAsia" w:ascii="方正仿宋_GBK" w:hAnsi="方正仿宋_GBK" w:cs="方正仿宋_GBK"/>
          <w:b w:val="0"/>
          <w:bCs w:val="0"/>
        </w:rPr>
        <w:t>问题。大力推进公园附属停车场建设。</w:t>
      </w:r>
    </w:p>
    <w:p>
      <w:pPr>
        <w:snapToGrid w:val="0"/>
        <w:spacing w:line="276" w:lineRule="auto"/>
        <w:ind w:firstLine="0"/>
        <w:rPr>
          <w:b w:val="0"/>
          <w:bCs w:val="0"/>
        </w:rPr>
      </w:pPr>
      <w:r>
        <w:rPr>
          <w:rFonts w:hint="default" w:ascii="方正仿宋_GBK" w:eastAsia="方正仿宋_GBK"/>
          <w:b w:val="0"/>
          <w:bCs w:val="0"/>
        </w:rPr>
        <w:t>提升停车场（楼、库）配套设施建设水平。</w:t>
      </w:r>
      <w:r>
        <w:rPr>
          <w:rFonts w:hint="eastAsia" w:ascii="方正仿宋_GBK" w:hAnsi="方正仿宋_GBK" w:cs="方正仿宋_GBK"/>
          <w:b w:val="0"/>
          <w:bCs w:val="0"/>
        </w:rPr>
        <w:t>加快推进城市公共停车场充电桩建设，规划城市公共停车场配备10%新能源汽车公共充电车位。加快城市公共停车场无障碍设施建设，完善公共停车场人行道无障碍设施，实现城市公共停车场按照0.5%配比建设无障碍机动车停车位且每个城市公共停车场无障碍机动车停车位不少于1个。</w:t>
      </w:r>
    </w:p>
    <w:p>
      <w:pPr>
        <w:snapToGrid w:val="0"/>
        <w:spacing w:line="276" w:lineRule="auto"/>
        <w:ind w:firstLine="0"/>
        <w:rPr>
          <w:rFonts w:hint="eastAsia" w:ascii="方正仿宋_GBK" w:hAnsi="方正仿宋_GBK" w:cs="方正仿宋_GBK"/>
          <w:b w:val="0"/>
          <w:bCs w:val="0"/>
        </w:rPr>
      </w:pPr>
      <w:r>
        <w:rPr>
          <w:rFonts w:hint="default" w:ascii="方正仿宋_GBK" w:eastAsia="方正仿宋_GBK"/>
          <w:b w:val="0"/>
          <w:bCs w:val="0"/>
        </w:rPr>
        <w:t>加快智能停车设施的建设</w:t>
      </w:r>
      <w:r>
        <w:rPr>
          <w:rFonts w:hint="eastAsia"/>
          <w:b w:val="0"/>
          <w:bCs w:val="0"/>
        </w:rPr>
        <w:t>。</w:t>
      </w:r>
      <w:r>
        <w:rPr>
          <w:rFonts w:hint="eastAsia" w:ascii="方正仿宋_GBK" w:hAnsi="方正仿宋_GBK" w:cs="方正仿宋_GBK"/>
          <w:b w:val="0"/>
          <w:bCs w:val="0"/>
        </w:rPr>
        <w:t>提高城市停车智慧管理覆盖区域，将路面停车收费管理全面纳入智慧停车管理系统，新增智慧停车泊位1000个以上。从智慧化系统、硬件技术、设备改造、云平台升级、欠费追缴方法、诱导系统等方面提升路内停车设施智慧化，从投资与运营管理模式、资产管理模式角度提出路内外停车一体化及产业化方案。</w:t>
      </w:r>
    </w:p>
    <w:p>
      <w:pPr>
        <w:snapToGrid w:val="0"/>
        <w:spacing w:line="276" w:lineRule="auto"/>
        <w:ind w:firstLine="0"/>
        <w:rPr>
          <w:b w:val="0"/>
          <w:bCs w:val="0"/>
        </w:rPr>
      </w:pPr>
      <w:r>
        <w:rPr>
          <w:rFonts w:hint="default" w:ascii="方正仿宋_GBK" w:eastAsia="方正仿宋_GBK"/>
          <w:b w:val="0"/>
          <w:bCs w:val="0"/>
        </w:rPr>
        <w:t>积极推动停车设施有偿错时共享。</w:t>
      </w:r>
      <w:r>
        <w:rPr>
          <w:rFonts w:hint="eastAsia"/>
          <w:b w:val="0"/>
          <w:bCs w:val="0"/>
        </w:rPr>
        <w:t>采取政府引导、市场运作、企业经营、个人参与的方式推动共享停车，通过手机终端和信息平台，撮合供需矛盾，实现居民与写字楼、机关事业单位等的错时共享，盘活既有停车资源，提高停车设施的使用效率和管理水平</w:t>
      </w:r>
      <w:r>
        <w:rPr>
          <w:b w:val="0"/>
          <w:bCs w:val="0"/>
        </w:rPr>
        <w:t>。</w:t>
      </w:r>
    </w:p>
    <w:p>
      <w:pPr>
        <w:snapToGrid w:val="0"/>
        <w:spacing w:line="276" w:lineRule="auto"/>
        <w:ind w:firstLine="0" w:firstLineChars="0"/>
        <w:jc w:val="center"/>
        <w:rPr>
          <w:rFonts w:hint="eastAsia" w:ascii="方正楷体_GBK" w:hAnsi="方正楷体_GBK" w:eastAsia="方正楷体_GBK" w:cs="方正楷体_GBK"/>
          <w:b w:val="0"/>
          <w:bCs w:val="0"/>
          <w:sz w:val="28"/>
          <w:szCs w:val="28"/>
        </w:rPr>
      </w:pPr>
      <w:bookmarkStart w:id="143" w:name="_Toc1971047616_WPSOffice_Level2"/>
      <w:bookmarkStart w:id="144" w:name="_Toc1909391037_WPSOffice_Level2"/>
      <w:r>
        <w:rPr>
          <w:rFonts w:hint="default" w:ascii="方正楷体_GBK" w:hAnsi="方正楷体_GBK" w:eastAsia="方正楷体_GBK" w:cs="方正楷体_GBK"/>
          <w:b w:val="0"/>
          <w:bCs w:val="0"/>
          <w:sz w:val="28"/>
          <w:szCs w:val="28"/>
        </w:rPr>
        <w:t>专栏4  公共停车场</w:t>
      </w:r>
      <w:r>
        <w:rPr>
          <w:rFonts w:hint="eastAsia" w:ascii="方正楷体_GBK" w:hAnsi="方正楷体_GBK" w:eastAsia="方正楷体_GBK" w:cs="方正楷体_GBK"/>
          <w:b w:val="0"/>
          <w:bCs w:val="0"/>
          <w:sz w:val="28"/>
          <w:szCs w:val="28"/>
        </w:rPr>
        <w:t>建设重点项目</w:t>
      </w:r>
      <w:bookmarkEnd w:id="143"/>
      <w:bookmarkEnd w:id="144"/>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43" w:hRule="atLeast"/>
          <w:jc w:val="center"/>
        </w:trPr>
        <w:tc>
          <w:tcPr>
            <w:tcW w:w="8296" w:type="dxa"/>
            <w:noWrap w:val="0"/>
            <w:vAlign w:val="top"/>
          </w:tcPr>
          <w:p>
            <w:pPr>
              <w:snapToGrid w:val="0"/>
              <w:spacing w:line="240" w:lineRule="auto"/>
              <w:ind w:firstLine="0"/>
              <w:rPr>
                <w:rFonts w:ascii="方正仿宋_GBK" w:hAnsi="方正仿宋_GBK" w:cs="方正仿宋_GBK"/>
                <w:b w:val="0"/>
                <w:bCs w:val="0"/>
                <w:sz w:val="21"/>
                <w:szCs w:val="21"/>
              </w:rPr>
            </w:pPr>
            <w:r>
              <w:rPr>
                <w:rFonts w:hint="default"/>
                <w:b w:val="0"/>
                <w:bCs w:val="0"/>
                <w:sz w:val="21"/>
                <w:szCs w:val="21"/>
              </w:rPr>
              <w:t>城市生态公共停车场（楼、库）建设项目——</w:t>
            </w:r>
            <w:r>
              <w:rPr>
                <w:rFonts w:ascii="方正仿宋_GBK" w:hAnsi="方正仿宋_GBK" w:cs="方正仿宋_GBK"/>
                <w:b w:val="0"/>
                <w:bCs w:val="0"/>
                <w:sz w:val="21"/>
                <w:szCs w:val="21"/>
              </w:rPr>
              <w:t>新建城区城市生态公共停车场宜布置在客流集中的商业区、医院、体育场馆、停车供需矛盾突出的居住区等区域，服务半径不应大于300m。规划建设凤凰湖公园停车场、旺龙湖公园停车场、望城公园停车场、桃花山公园停车场、华尚城社会停车场、永川博物馆东侧生态停车场等，重点实施4处停车楼（库）建设。</w:t>
            </w:r>
          </w:p>
          <w:p>
            <w:pPr>
              <w:snapToGrid w:val="0"/>
              <w:spacing w:line="240" w:lineRule="auto"/>
              <w:ind w:firstLine="0"/>
              <w:rPr>
                <w:rFonts w:ascii="方正仿宋_GBK" w:hAnsi="方正仿宋_GBK" w:cs="方正仿宋_GBK"/>
                <w:b w:val="0"/>
                <w:bCs w:val="0"/>
                <w:sz w:val="21"/>
                <w:szCs w:val="21"/>
              </w:rPr>
            </w:pPr>
            <w:r>
              <w:rPr>
                <w:rFonts w:hint="default"/>
                <w:b w:val="0"/>
                <w:bCs w:val="0"/>
                <w:sz w:val="21"/>
                <w:szCs w:val="21"/>
              </w:rPr>
              <w:t>停车场配套设施建设项目——</w:t>
            </w:r>
            <w:r>
              <w:rPr>
                <w:rFonts w:ascii="方正仿宋_GBK" w:hAnsi="方正仿宋_GBK" w:cs="方正仿宋_GBK"/>
                <w:b w:val="0"/>
                <w:bCs w:val="0"/>
                <w:sz w:val="21"/>
                <w:szCs w:val="21"/>
              </w:rPr>
              <w:t>城市公共停车场配备10%新能源汽车公共充电车位，按照0.5%配比建设无障碍机动车停车位，建设协调错时共享停车场（库）50个。</w:t>
            </w:r>
          </w:p>
          <w:p>
            <w:pPr>
              <w:snapToGrid w:val="0"/>
              <w:spacing w:line="240" w:lineRule="auto"/>
              <w:ind w:firstLine="0"/>
              <w:rPr>
                <w:rFonts w:ascii="方正仿宋_GBK" w:hAnsi="方正仿宋_GBK"/>
                <w:b w:val="0"/>
                <w:bCs w:val="0"/>
                <w:sz w:val="21"/>
                <w:szCs w:val="21"/>
              </w:rPr>
            </w:pPr>
            <w:r>
              <w:rPr>
                <w:rFonts w:hint="default"/>
                <w:b w:val="0"/>
                <w:bCs w:val="0"/>
                <w:sz w:val="21"/>
                <w:szCs w:val="21"/>
              </w:rPr>
              <w:t>智慧停车设施建设项目——</w:t>
            </w:r>
            <w:r>
              <w:rPr>
                <w:rFonts w:ascii="方正仿宋_GBK" w:hAnsi="方正仿宋_GBK" w:cs="方正仿宋_GBK"/>
                <w:b w:val="0"/>
                <w:bCs w:val="0"/>
                <w:sz w:val="21"/>
                <w:szCs w:val="21"/>
              </w:rPr>
              <w:t>新增智慧停车泊位1000个以上。</w:t>
            </w:r>
          </w:p>
        </w:tc>
      </w:tr>
    </w:tbl>
    <w:p>
      <w:pPr>
        <w:snapToGrid w:val="0"/>
        <w:spacing w:before="0" w:after="0" w:line="276" w:lineRule="auto"/>
        <w:ind w:firstLine="640"/>
        <w:jc w:val="both"/>
        <w:rPr>
          <w:rFonts w:hint="default" w:ascii="方正仿宋_GBK" w:hAnsi="方正仿宋_GBK" w:eastAsia="方正仿宋_GBK" w:cs="方正仿宋_GBK"/>
          <w:b w:val="0"/>
          <w:bCs w:val="0"/>
        </w:rPr>
      </w:pPr>
      <w:bookmarkStart w:id="145" w:name="_Toc28865"/>
      <w:bookmarkStart w:id="146" w:name="_Toc18411"/>
    </w:p>
    <w:p>
      <w:pPr>
        <w:snapToGrid w:val="0"/>
        <w:spacing w:before="0" w:after="0" w:line="276" w:lineRule="auto"/>
        <w:ind w:firstLine="0" w:firstLineChars="0"/>
        <w:jc w:val="center"/>
        <w:rPr>
          <w:rFonts w:hint="eastAsia" w:ascii="方正黑体_GBK" w:hAnsi="方正黑体_GBK" w:eastAsia="方正黑体_GBK" w:cs="方正黑体_GBK"/>
          <w:b w:val="0"/>
          <w:bCs w:val="0"/>
        </w:rPr>
      </w:pPr>
      <w:bookmarkStart w:id="147" w:name="_Toc1167024023_WPSOffice_Level2"/>
      <w:bookmarkStart w:id="148" w:name="_Toc1541589555_WPSOffice_Level2"/>
      <w:r>
        <w:rPr>
          <w:rFonts w:hint="default" w:ascii="方正黑体_GBK" w:hAnsi="方正黑体_GBK" w:eastAsia="方正黑体_GBK" w:cs="方正黑体_GBK"/>
          <w:b w:val="0"/>
          <w:bCs w:val="0"/>
        </w:rPr>
        <w:t>第五节  保障路桥设施优质高效</w:t>
      </w:r>
      <w:bookmarkEnd w:id="145"/>
      <w:bookmarkEnd w:id="146"/>
      <w:bookmarkEnd w:id="147"/>
      <w:bookmarkEnd w:id="148"/>
    </w:p>
    <w:p>
      <w:pPr>
        <w:snapToGrid w:val="0"/>
        <w:spacing w:line="276" w:lineRule="auto"/>
        <w:ind w:firstLine="0"/>
        <w:rPr>
          <w:rFonts w:hint="default" w:ascii="方正仿宋_GBK" w:eastAsia="方正仿宋_GBK"/>
          <w:b w:val="0"/>
          <w:bCs w:val="0"/>
        </w:rPr>
      </w:pPr>
    </w:p>
    <w:p>
      <w:pPr>
        <w:snapToGrid w:val="0"/>
        <w:spacing w:line="276" w:lineRule="auto"/>
        <w:ind w:firstLine="0"/>
        <w:rPr>
          <w:rFonts w:hint="eastAsia" w:ascii="方正仿宋_GBK" w:hAnsi="方正仿宋_GBK" w:cs="方正仿宋_GBK"/>
          <w:b w:val="0"/>
          <w:bCs w:val="0"/>
        </w:rPr>
      </w:pPr>
      <w:r>
        <w:rPr>
          <w:rFonts w:hint="default" w:ascii="方正仿宋_GBK" w:eastAsia="方正仿宋_GBK"/>
          <w:b w:val="0"/>
          <w:bCs w:val="0"/>
        </w:rPr>
        <w:t>加强城市道路管理养护。</w:t>
      </w:r>
      <w:r>
        <w:rPr>
          <w:rFonts w:ascii="方正仿宋_GBK" w:hAnsi="方正仿宋_GBK" w:cs="方正仿宋_GBK"/>
          <w:b w:val="0"/>
          <w:bCs w:val="0"/>
          <w:szCs w:val="32"/>
        </w:rPr>
        <w:t>加强道路挖掘占道管理，有序实施城市道路设施养护维修年度挖掘计</w:t>
      </w:r>
      <w:r>
        <w:rPr>
          <w:rFonts w:hint="eastAsia" w:ascii="方正仿宋_GBK" w:hAnsi="方正仿宋_GBK" w:cs="方正仿宋_GBK"/>
          <w:b w:val="0"/>
          <w:bCs w:val="0"/>
        </w:rPr>
        <w:t>划</w:t>
      </w:r>
      <w:r>
        <w:rPr>
          <w:rFonts w:ascii="方正仿宋_GBK" w:hAnsi="方正仿宋_GBK" w:cs="方正仿宋_GBK"/>
          <w:b w:val="0"/>
          <w:bCs w:val="0"/>
          <w:szCs w:val="32"/>
        </w:rPr>
        <w:t>，做好渝西大道、中山大道、永师路等城市道路改造工作</w:t>
      </w:r>
      <w:r>
        <w:rPr>
          <w:rFonts w:hint="eastAsia" w:ascii="方正仿宋_GBK" w:hAnsi="方正仿宋_GBK" w:cs="方正仿宋_GBK"/>
          <w:b w:val="0"/>
          <w:bCs w:val="0"/>
        </w:rPr>
        <w:t>。加强与城市道路管网等附属设施产权单位的协调，城市道路附属设施需要进行建设和改造的应当与城市道路设施养护维修年度挖掘计划同步实施，原则上每年集中进行一至两次道路设施挖掘改造工程，控制各类设施重复开挖、重复建设和马路拉链现象。全面普查城市道路，对城市道路、桥梁、公交站台、附属设施等进行综合整治，建账整改，逐路销号。进一步明确社会产权道路的管理责任，加强管理监督，综合采用预防性和矫正性养护，加强道路精细化管养，对主干道、次干道、支路及背街小巷等道路进行整治。</w:t>
      </w:r>
    </w:p>
    <w:p>
      <w:pPr>
        <w:snapToGrid w:val="0"/>
        <w:spacing w:line="276" w:lineRule="auto"/>
        <w:ind w:firstLine="0"/>
        <w:rPr>
          <w:b w:val="0"/>
          <w:bCs w:val="0"/>
        </w:rPr>
      </w:pPr>
      <w:r>
        <w:rPr>
          <w:rFonts w:hint="default" w:ascii="方正仿宋_GBK" w:eastAsia="方正仿宋_GBK"/>
          <w:b w:val="0"/>
          <w:bCs w:val="0"/>
        </w:rPr>
        <w:t>提升城市道桥隧设施品质。</w:t>
      </w:r>
      <w:r>
        <w:rPr>
          <w:rFonts w:hint="eastAsia" w:ascii="方正仿宋_GBK" w:hAnsi="方正仿宋_GBK" w:cs="方正仿宋_GBK"/>
          <w:b w:val="0"/>
          <w:bCs w:val="0"/>
        </w:rPr>
        <w:t>深入推进城市道路栏杆及护栏、城市桥梁、隧道、堡坎等涂装整治，统一市政设施景观风貌，完成城市桥梁护栏升级改造。完善城市道路无障碍设施配套体系，提升城市道路无障碍设施品质。</w:t>
      </w:r>
    </w:p>
    <w:p>
      <w:pPr>
        <w:snapToGrid w:val="0"/>
        <w:spacing w:line="276" w:lineRule="auto"/>
        <w:ind w:firstLine="0"/>
        <w:rPr>
          <w:rFonts w:ascii="方正仿宋_GBK" w:hAnsi="方正仿宋_GBK" w:cs="方正仿宋_GBK"/>
          <w:b w:val="0"/>
          <w:bCs w:val="0"/>
          <w:sz w:val="32"/>
        </w:rPr>
      </w:pPr>
      <w:r>
        <w:rPr>
          <w:rFonts w:hint="default" w:ascii="方正仿宋_GBK" w:eastAsia="方正仿宋_GBK"/>
          <w:b w:val="0"/>
          <w:bCs w:val="0"/>
        </w:rPr>
        <w:t>推进道路附属设施的“多杆合一”。</w:t>
      </w:r>
      <w:r>
        <w:rPr>
          <w:rFonts w:hint="eastAsia" w:ascii="方正仿宋_GBK" w:hAnsi="方正仿宋_GBK" w:cs="方正仿宋_GBK"/>
          <w:b w:val="0"/>
          <w:bCs w:val="0"/>
        </w:rPr>
        <w:t>积极推动道路附属设施共建共享，减少道路杆柱林立现象，优化道路设施设置，积极协调发展改革、生态环境、规划自然资源、住房城乡建设、公安、交通等部门，试点整合道路照明、广告牌、公安监控、环境监测、气象监测、交通管理、微基站、应急呼叫等道路附属设施的“多杆合一”项目。</w:t>
      </w:r>
    </w:p>
    <w:p>
      <w:pPr>
        <w:snapToGrid w:val="0"/>
        <w:spacing w:line="276" w:lineRule="auto"/>
        <w:ind w:firstLine="0" w:firstLineChars="0"/>
        <w:jc w:val="center"/>
        <w:rPr>
          <w:rFonts w:hint="eastAsia" w:ascii="方正楷体_GBK" w:hAnsi="方正楷体_GBK" w:eastAsia="方正楷体_GBK" w:cs="方正楷体_GBK"/>
          <w:b w:val="0"/>
          <w:bCs w:val="0"/>
          <w:sz w:val="28"/>
          <w:szCs w:val="28"/>
        </w:rPr>
      </w:pPr>
      <w:bookmarkStart w:id="149" w:name="_Toc207059700_WPSOffice_Level2"/>
      <w:bookmarkStart w:id="150" w:name="_Toc1877982180_WPSOffice_Level2"/>
      <w:r>
        <w:rPr>
          <w:rFonts w:hint="default" w:ascii="方正楷体_GBK" w:hAnsi="方正楷体_GBK" w:eastAsia="方正楷体_GBK" w:cs="方正楷体_GBK"/>
          <w:b w:val="0"/>
          <w:bCs w:val="0"/>
          <w:sz w:val="28"/>
          <w:szCs w:val="28"/>
        </w:rPr>
        <w:t>专栏5  路桥设施</w:t>
      </w:r>
      <w:r>
        <w:rPr>
          <w:rFonts w:hint="eastAsia" w:ascii="方正楷体_GBK" w:hAnsi="方正楷体_GBK" w:eastAsia="方正楷体_GBK" w:cs="方正楷体_GBK"/>
          <w:b w:val="0"/>
          <w:bCs w:val="0"/>
          <w:sz w:val="28"/>
          <w:szCs w:val="28"/>
        </w:rPr>
        <w:t>建设</w:t>
      </w:r>
      <w:r>
        <w:rPr>
          <w:rFonts w:hint="default" w:ascii="方正楷体_GBK" w:hAnsi="方正楷体_GBK" w:eastAsia="方正楷体_GBK" w:cs="方正楷体_GBK"/>
          <w:b w:val="0"/>
          <w:bCs w:val="0"/>
          <w:sz w:val="28"/>
          <w:szCs w:val="28"/>
        </w:rPr>
        <w:t>管护</w:t>
      </w:r>
      <w:r>
        <w:rPr>
          <w:rFonts w:hint="eastAsia" w:ascii="方正楷体_GBK" w:hAnsi="方正楷体_GBK" w:eastAsia="方正楷体_GBK" w:cs="方正楷体_GBK"/>
          <w:b w:val="0"/>
          <w:bCs w:val="0"/>
          <w:sz w:val="28"/>
          <w:szCs w:val="28"/>
        </w:rPr>
        <w:t>重点项目</w:t>
      </w:r>
      <w:bookmarkEnd w:id="149"/>
      <w:bookmarkEnd w:id="150"/>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96" w:type="dxa"/>
            <w:noWrap w:val="0"/>
            <w:vAlign w:val="top"/>
          </w:tcPr>
          <w:p>
            <w:pPr>
              <w:snapToGrid w:val="0"/>
              <w:spacing w:line="276" w:lineRule="auto"/>
              <w:ind w:firstLine="0"/>
              <w:rPr>
                <w:b w:val="0"/>
                <w:bCs w:val="0"/>
                <w:sz w:val="21"/>
                <w:szCs w:val="21"/>
              </w:rPr>
            </w:pPr>
            <w:r>
              <w:rPr>
                <w:rFonts w:hint="default"/>
                <w:b w:val="0"/>
                <w:bCs w:val="0"/>
                <w:sz w:val="21"/>
                <w:szCs w:val="21"/>
              </w:rPr>
              <w:t>城市道路改造项目——</w:t>
            </w:r>
            <w:r>
              <w:rPr>
                <w:rFonts w:ascii="方正仿宋_GBK" w:hAnsi="方正仿宋_GBK" w:cs="方正仿宋_GBK"/>
                <w:b w:val="0"/>
                <w:bCs w:val="0"/>
                <w:sz w:val="21"/>
                <w:szCs w:val="21"/>
              </w:rPr>
              <w:t>实施渝西大道、中山大道等老城区及新城中央片区16条主、次干道提升改造工程，改造总面积约37万平方米，其中人行道约21万平方米，车行道约16万平方米；实施永师路主干道提升改造工程，总面积约12万平方米，其中人行道约2.7万平方米，车行道约9.3万平方米。</w:t>
            </w:r>
          </w:p>
          <w:p>
            <w:pPr>
              <w:snapToGrid w:val="0"/>
              <w:spacing w:line="276" w:lineRule="auto"/>
              <w:ind w:firstLine="0"/>
              <w:rPr>
                <w:rFonts w:ascii="方正仿宋_GBK" w:hAnsi="方正仿宋_GBK" w:cs="方正仿宋_GBK"/>
                <w:b w:val="0"/>
                <w:bCs w:val="0"/>
                <w:sz w:val="21"/>
                <w:szCs w:val="21"/>
              </w:rPr>
            </w:pPr>
            <w:r>
              <w:rPr>
                <w:rFonts w:hint="default"/>
                <w:b w:val="0"/>
                <w:bCs w:val="0"/>
                <w:sz w:val="21"/>
                <w:szCs w:val="21"/>
              </w:rPr>
              <w:t>城市道路附属设施建设改造项目——</w:t>
            </w:r>
            <w:r>
              <w:rPr>
                <w:rFonts w:ascii="方正仿宋_GBK" w:hAnsi="方正仿宋_GBK" w:cs="方正仿宋_GBK"/>
                <w:b w:val="0"/>
                <w:bCs w:val="0"/>
                <w:sz w:val="21"/>
                <w:szCs w:val="21"/>
              </w:rPr>
              <w:t>新建商贸城、迎宾大道永川中学门口、望城、永川中学、文理学院、凰城华府、红旗小学、协信星光、万达五洲、永川中学（新校区）、汇龙小学人民北路交叉口等人行天桥及兴龙湖地下通道；开展城市道路无障碍设施提质20公里；拟建公交站牌50个、公交站台20个，并根据城区公交线路优化调整随之增加相应的公交基础设施建设，更新改造语音播报站牌90个。</w:t>
            </w:r>
          </w:p>
          <w:p>
            <w:pPr>
              <w:snapToGrid w:val="0"/>
              <w:spacing w:line="276" w:lineRule="auto"/>
              <w:ind w:firstLine="0"/>
              <w:rPr>
                <w:b w:val="0"/>
                <w:bCs w:val="0"/>
                <w:sz w:val="21"/>
                <w:szCs w:val="21"/>
              </w:rPr>
            </w:pPr>
            <w:r>
              <w:rPr>
                <w:rFonts w:hint="default"/>
                <w:b w:val="0"/>
                <w:bCs w:val="0"/>
                <w:sz w:val="21"/>
                <w:szCs w:val="21"/>
              </w:rPr>
              <w:t>实施“多杆合一”试点项目——</w:t>
            </w:r>
            <w:r>
              <w:rPr>
                <w:rFonts w:ascii="方正仿宋_GBK" w:hAnsi="方正仿宋_GBK" w:cs="方正仿宋_GBK"/>
                <w:b w:val="0"/>
                <w:bCs w:val="0"/>
                <w:sz w:val="21"/>
                <w:szCs w:val="21"/>
              </w:rPr>
              <w:t>实施与现行路灯智能化控制系统数据有机融合的</w:t>
            </w:r>
            <w:r>
              <w:rPr>
                <w:rFonts w:hint="default" w:ascii="方正仿宋_GBK" w:hAnsi="方正仿宋_GBK" w:cs="方正仿宋_GBK"/>
                <w:b w:val="0"/>
                <w:bCs w:val="0"/>
                <w:sz w:val="21"/>
                <w:szCs w:val="21"/>
              </w:rPr>
              <w:t>“</w:t>
            </w:r>
            <w:r>
              <w:rPr>
                <w:rFonts w:ascii="方正仿宋_GBK" w:hAnsi="方正仿宋_GBK" w:cs="方正仿宋_GBK"/>
                <w:b w:val="0"/>
                <w:bCs w:val="0"/>
                <w:sz w:val="21"/>
                <w:szCs w:val="21"/>
              </w:rPr>
              <w:t>多杆合一</w:t>
            </w:r>
            <w:r>
              <w:rPr>
                <w:rFonts w:hint="default" w:ascii="方正仿宋_GBK" w:hAnsi="方正仿宋_GBK" w:cs="方正仿宋_GBK"/>
                <w:b w:val="0"/>
                <w:bCs w:val="0"/>
                <w:sz w:val="21"/>
                <w:szCs w:val="21"/>
              </w:rPr>
              <w:t>”</w:t>
            </w:r>
            <w:r>
              <w:rPr>
                <w:rFonts w:ascii="方正仿宋_GBK" w:hAnsi="方正仿宋_GBK" w:cs="方正仿宋_GBK"/>
                <w:b w:val="0"/>
                <w:bCs w:val="0"/>
                <w:sz w:val="21"/>
                <w:szCs w:val="21"/>
              </w:rPr>
              <w:t>项目试点并逐年推广，结合旧城改造或新城城市道路建设工程打造1条</w:t>
            </w:r>
            <w:r>
              <w:rPr>
                <w:rFonts w:hint="default" w:ascii="方正仿宋_GBK" w:hAnsi="方正仿宋_GBK" w:cs="方正仿宋_GBK"/>
                <w:b w:val="0"/>
                <w:bCs w:val="0"/>
                <w:sz w:val="21"/>
                <w:szCs w:val="21"/>
              </w:rPr>
              <w:t>“</w:t>
            </w:r>
            <w:r>
              <w:rPr>
                <w:rFonts w:ascii="方正仿宋_GBK" w:hAnsi="方正仿宋_GBK" w:cs="方正仿宋_GBK"/>
                <w:b w:val="0"/>
                <w:bCs w:val="0"/>
                <w:sz w:val="21"/>
                <w:szCs w:val="21"/>
              </w:rPr>
              <w:t>多杆合一</w:t>
            </w:r>
            <w:r>
              <w:rPr>
                <w:rFonts w:hint="default" w:ascii="方正仿宋_GBK" w:hAnsi="方正仿宋_GBK" w:cs="方正仿宋_GBK"/>
                <w:b w:val="0"/>
                <w:bCs w:val="0"/>
                <w:sz w:val="21"/>
                <w:szCs w:val="21"/>
              </w:rPr>
              <w:t>”</w:t>
            </w:r>
            <w:r>
              <w:rPr>
                <w:rFonts w:ascii="方正仿宋_GBK" w:hAnsi="方正仿宋_GBK" w:cs="方正仿宋_GBK"/>
                <w:b w:val="0"/>
                <w:bCs w:val="0"/>
                <w:sz w:val="21"/>
                <w:szCs w:val="21"/>
              </w:rPr>
              <w:t>示范标杆道路。</w:t>
            </w:r>
          </w:p>
        </w:tc>
      </w:tr>
    </w:tbl>
    <w:p>
      <w:pPr>
        <w:snapToGrid w:val="0"/>
        <w:spacing w:before="0" w:after="0" w:line="276" w:lineRule="auto"/>
        <w:ind w:firstLine="640"/>
        <w:jc w:val="both"/>
        <w:rPr>
          <w:rFonts w:hint="default" w:ascii="方正仿宋_GBK" w:hAnsi="方正仿宋_GBK" w:eastAsia="方正仿宋_GBK" w:cs="方正仿宋_GBK"/>
          <w:b w:val="0"/>
          <w:bCs w:val="0"/>
        </w:rPr>
      </w:pPr>
      <w:bookmarkStart w:id="151" w:name="_Toc18551"/>
      <w:bookmarkStart w:id="152" w:name="_Toc1696"/>
    </w:p>
    <w:p>
      <w:pPr>
        <w:snapToGrid w:val="0"/>
        <w:spacing w:before="0" w:after="0" w:line="276" w:lineRule="auto"/>
        <w:ind w:firstLine="0" w:firstLineChars="0"/>
        <w:jc w:val="center"/>
        <w:rPr>
          <w:rFonts w:hint="eastAsia" w:ascii="方正黑体_GBK" w:hAnsi="方正黑体_GBK" w:eastAsia="方正黑体_GBK" w:cs="方正黑体_GBK"/>
          <w:b w:val="0"/>
          <w:bCs w:val="0"/>
        </w:rPr>
      </w:pPr>
      <w:bookmarkStart w:id="153" w:name="_Toc1052795027_WPSOffice_Level2"/>
      <w:bookmarkStart w:id="154" w:name="_Toc605331663_WPSOffice_Level2"/>
      <w:r>
        <w:rPr>
          <w:rFonts w:hint="default" w:ascii="方正黑体_GBK" w:hAnsi="方正黑体_GBK" w:eastAsia="方正黑体_GBK" w:cs="方正黑体_GBK"/>
          <w:b w:val="0"/>
          <w:bCs w:val="0"/>
        </w:rPr>
        <w:t>第六节  加强户外广告和招牌管理</w:t>
      </w:r>
      <w:bookmarkEnd w:id="151"/>
      <w:bookmarkEnd w:id="152"/>
      <w:bookmarkEnd w:id="153"/>
      <w:bookmarkEnd w:id="154"/>
    </w:p>
    <w:p>
      <w:pPr>
        <w:snapToGrid w:val="0"/>
        <w:spacing w:line="276" w:lineRule="auto"/>
        <w:ind w:firstLine="0"/>
        <w:rPr>
          <w:rFonts w:hint="eastAsia" w:ascii="方正仿宋_GBK" w:hAnsi="方正仿宋_GBK" w:cs="方正仿宋_GBK"/>
          <w:b w:val="0"/>
          <w:bCs w:val="0"/>
        </w:rPr>
      </w:pPr>
    </w:p>
    <w:p>
      <w:pPr>
        <w:snapToGrid w:val="0"/>
        <w:spacing w:line="276" w:lineRule="auto"/>
        <w:ind w:firstLine="0"/>
        <w:rPr>
          <w:rFonts w:hint="eastAsia" w:ascii="方正仿宋_GBK" w:hAnsi="方正仿宋_GBK" w:cs="方正仿宋_GBK"/>
          <w:b w:val="0"/>
          <w:bCs w:val="0"/>
        </w:rPr>
      </w:pPr>
      <w:r>
        <w:rPr>
          <w:rFonts w:hint="eastAsia" w:ascii="方正仿宋_GBK" w:hAnsi="方正仿宋_GBK" w:cs="方正仿宋_GBK"/>
          <w:b w:val="0"/>
          <w:bCs w:val="0"/>
        </w:rPr>
        <w:t>加强户外广告设置监管，进一步完善户外广告和店招店牌设置管理办法。加强实施户外广告及店招专项整治，规范依附于临街建筑立面、楼顶和公共区域违规设置、影响市容的店招店牌，重点开展城市建成区违规、破旧店招店牌整治和城区T型广告牌结构检测等工作，每年完成整治广告和店招店牌1万平方米。至2025年，基本完成重点区域、重点类型的违法违规户外广告和店招店牌整治工作。</w:t>
      </w:r>
    </w:p>
    <w:p>
      <w:pPr>
        <w:snapToGrid w:val="0"/>
        <w:spacing w:line="276" w:lineRule="auto"/>
        <w:ind w:firstLine="0" w:firstLineChars="0"/>
        <w:jc w:val="center"/>
        <w:rPr>
          <w:rFonts w:hint="eastAsia" w:ascii="方正楷体_GBK" w:hAnsi="方正楷体_GBK" w:eastAsia="方正楷体_GBK" w:cs="方正楷体_GBK"/>
          <w:b w:val="0"/>
          <w:bCs w:val="0"/>
          <w:sz w:val="28"/>
          <w:szCs w:val="28"/>
        </w:rPr>
      </w:pPr>
      <w:bookmarkStart w:id="155" w:name="_Toc24508629_WPSOffice_Level2"/>
      <w:bookmarkStart w:id="156" w:name="_Toc1644808035_WPSOffice_Level2"/>
      <w:r>
        <w:rPr>
          <w:rFonts w:hint="default" w:ascii="方正楷体_GBK" w:hAnsi="方正楷体_GBK" w:eastAsia="方正楷体_GBK" w:cs="方正楷体_GBK"/>
          <w:b w:val="0"/>
          <w:bCs w:val="0"/>
          <w:sz w:val="28"/>
          <w:szCs w:val="28"/>
        </w:rPr>
        <w:t>专栏6  户外广告、店招重点项目</w:t>
      </w:r>
      <w:bookmarkEnd w:id="155"/>
      <w:bookmarkEnd w:id="156"/>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7" w:hRule="atLeast"/>
          <w:jc w:val="center"/>
        </w:trPr>
        <w:tc>
          <w:tcPr>
            <w:tcW w:w="8420" w:type="dxa"/>
            <w:noWrap w:val="0"/>
            <w:vAlign w:val="top"/>
          </w:tcPr>
          <w:p>
            <w:pPr>
              <w:snapToGrid w:val="0"/>
              <w:spacing w:line="240" w:lineRule="auto"/>
              <w:ind w:firstLine="0"/>
              <w:rPr>
                <w:rFonts w:ascii="方正仿宋_GBK" w:hAnsi="方正仿宋_GBK" w:eastAsia="方正仿宋_GBK"/>
                <w:b w:val="0"/>
                <w:bCs w:val="0"/>
                <w:sz w:val="21"/>
                <w:szCs w:val="21"/>
              </w:rPr>
            </w:pPr>
            <w:r>
              <w:rPr>
                <w:rFonts w:hint="default"/>
                <w:b w:val="0"/>
                <w:bCs w:val="0"/>
                <w:sz w:val="21"/>
                <w:szCs w:val="21"/>
              </w:rPr>
              <w:t>户外广告、店招整改项目——</w:t>
            </w:r>
            <w:r>
              <w:rPr>
                <w:rFonts w:ascii="方正仿宋_GBK" w:hAnsi="方正仿宋_GBK" w:cs="方正仿宋_GBK"/>
                <w:b w:val="0"/>
                <w:bCs w:val="0"/>
                <w:sz w:val="21"/>
                <w:szCs w:val="21"/>
              </w:rPr>
              <w:t>完成城市建成区100公里以上街道（含商圈）中违规、破旧店招店牌整治建设，拆旧建新店招店牌计8万平方米以上。实施人行过街天桥正立面高清LED显示屏建设工程。</w:t>
            </w:r>
          </w:p>
        </w:tc>
      </w:tr>
    </w:tbl>
    <w:p>
      <w:pPr>
        <w:snapToGrid w:val="0"/>
        <w:spacing w:line="276" w:lineRule="auto"/>
        <w:ind w:firstLine="0"/>
        <w:rPr>
          <w:rFonts w:eastAsia="方正仿宋_GBK"/>
          <w:b w:val="0"/>
          <w:bCs w:val="0"/>
          <w:sz w:val="32"/>
          <w:szCs w:val="32"/>
        </w:rPr>
      </w:pPr>
      <w:bookmarkStart w:id="157" w:name="_Toc28848"/>
      <w:bookmarkStart w:id="158" w:name="_Toc14218"/>
    </w:p>
    <w:p>
      <w:pPr>
        <w:snapToGrid w:val="0"/>
        <w:spacing w:before="0" w:after="0" w:line="276" w:lineRule="auto"/>
        <w:ind w:firstLine="0" w:firstLineChars="0"/>
        <w:jc w:val="center"/>
        <w:rPr>
          <w:rFonts w:hint="eastAsia" w:ascii="方正小标宋_GBK" w:hAnsi="方正小标宋_GBK" w:eastAsia="方正小标宋_GBK" w:cs="方正小标宋_GBK"/>
          <w:b w:val="0"/>
          <w:bCs w:val="0"/>
          <w:sz w:val="32"/>
          <w:szCs w:val="32"/>
        </w:rPr>
      </w:pPr>
      <w:bookmarkStart w:id="159" w:name="_Toc452435135_WPSOffice_Level1"/>
      <w:bookmarkStart w:id="160" w:name="_Toc673372704_WPSOffice_Level1"/>
      <w:r>
        <w:rPr>
          <w:rFonts w:hint="eastAsia" w:ascii="方正小标宋_GBK" w:hAnsi="方正小标宋_GBK" w:eastAsia="方正小标宋_GBK" w:cs="方正小标宋_GBK"/>
          <w:b w:val="0"/>
          <w:bCs w:val="0"/>
          <w:sz w:val="32"/>
          <w:szCs w:val="32"/>
        </w:rPr>
        <w:t xml:space="preserve">第四章  </w:t>
      </w:r>
      <w:bookmarkEnd w:id="116"/>
      <w:bookmarkStart w:id="161" w:name="_Toc74151079"/>
      <w:r>
        <w:rPr>
          <w:rFonts w:hint="eastAsia" w:ascii="方正小标宋_GBK" w:hAnsi="方正小标宋_GBK" w:eastAsia="方正小标宋_GBK" w:cs="方正小标宋_GBK"/>
          <w:b w:val="0"/>
          <w:bCs w:val="0"/>
          <w:sz w:val="32"/>
          <w:szCs w:val="32"/>
        </w:rPr>
        <w:t>持续推进环卫治理，打造干净整洁</w:t>
      </w:r>
      <w:bookmarkEnd w:id="161"/>
      <w:r>
        <w:rPr>
          <w:rFonts w:hint="eastAsia" w:ascii="方正小标宋_GBK" w:hAnsi="方正小标宋_GBK" w:eastAsia="方正小标宋_GBK" w:cs="方正小标宋_GBK"/>
          <w:b w:val="0"/>
          <w:bCs w:val="0"/>
          <w:sz w:val="32"/>
          <w:szCs w:val="32"/>
        </w:rPr>
        <w:t>“无废城市</w:t>
      </w:r>
      <w:bookmarkEnd w:id="159"/>
      <w:bookmarkEnd w:id="160"/>
      <w:r>
        <w:rPr>
          <w:rFonts w:hint="eastAsia" w:ascii="方正小标宋_GBK" w:hAnsi="方正小标宋_GBK" w:eastAsia="方正小标宋_GBK" w:cs="方正小标宋_GBK"/>
          <w:b w:val="0"/>
          <w:bCs w:val="0"/>
          <w:sz w:val="32"/>
          <w:szCs w:val="32"/>
        </w:rPr>
        <w:t>”</w:t>
      </w:r>
      <w:bookmarkEnd w:id="157"/>
      <w:bookmarkEnd w:id="158"/>
    </w:p>
    <w:p>
      <w:pPr>
        <w:snapToGrid w:val="0"/>
        <w:spacing w:before="0" w:after="0" w:line="276" w:lineRule="auto"/>
        <w:ind w:firstLine="640"/>
        <w:jc w:val="both"/>
        <w:rPr>
          <w:rFonts w:hint="default" w:ascii="方正仿宋_GBK" w:hAnsi="方正仿宋_GBK" w:eastAsia="方正仿宋_GBK" w:cs="方正仿宋_GBK"/>
          <w:b w:val="0"/>
          <w:bCs w:val="0"/>
        </w:rPr>
      </w:pPr>
      <w:bookmarkStart w:id="162" w:name="_Toc6380"/>
      <w:bookmarkStart w:id="163" w:name="_Toc30746"/>
    </w:p>
    <w:p>
      <w:pPr>
        <w:snapToGrid w:val="0"/>
        <w:spacing w:before="0" w:after="0" w:line="276" w:lineRule="auto"/>
        <w:ind w:firstLine="0" w:firstLineChars="0"/>
        <w:jc w:val="center"/>
        <w:rPr>
          <w:rFonts w:hint="eastAsia" w:ascii="方正黑体_GBK" w:hAnsi="方正黑体_GBK" w:eastAsia="方正黑体_GBK" w:cs="方正黑体_GBK"/>
          <w:b w:val="0"/>
          <w:bCs w:val="0"/>
        </w:rPr>
      </w:pPr>
      <w:bookmarkStart w:id="164" w:name="_Toc2115933666_WPSOffice_Level2"/>
      <w:bookmarkStart w:id="165" w:name="_Toc2131530689_WPSOffice_Level2"/>
      <w:r>
        <w:rPr>
          <w:rFonts w:hint="default" w:ascii="方正黑体_GBK" w:hAnsi="方正黑体_GBK" w:eastAsia="方正黑体_GBK" w:cs="方正黑体_GBK"/>
          <w:b w:val="0"/>
          <w:bCs w:val="0"/>
        </w:rPr>
        <w:t>第一节  推动生活垃圾治理提质</w:t>
      </w:r>
      <w:bookmarkEnd w:id="162"/>
      <w:bookmarkEnd w:id="163"/>
      <w:bookmarkEnd w:id="164"/>
      <w:bookmarkEnd w:id="165"/>
    </w:p>
    <w:p>
      <w:pPr>
        <w:snapToGrid w:val="0"/>
        <w:spacing w:line="276" w:lineRule="auto"/>
        <w:ind w:firstLine="0"/>
        <w:rPr>
          <w:rFonts w:hint="default" w:ascii="方正仿宋_GBK" w:eastAsia="方正仿宋_GBK"/>
          <w:b w:val="0"/>
          <w:bCs w:val="0"/>
          <w:shd w:val="clear" w:color="auto" w:fill="auto"/>
        </w:rPr>
      </w:pPr>
    </w:p>
    <w:p>
      <w:pPr>
        <w:snapToGrid w:val="0"/>
        <w:spacing w:line="276" w:lineRule="auto"/>
        <w:ind w:firstLine="0"/>
        <w:rPr>
          <w:rFonts w:hint="eastAsia" w:ascii="方正仿宋_GBK" w:hAnsi="方正仿宋_GBK" w:cs="方正仿宋_GBK"/>
          <w:b w:val="0"/>
          <w:bCs w:val="0"/>
        </w:rPr>
      </w:pPr>
      <w:r>
        <w:rPr>
          <w:rFonts w:hint="default" w:ascii="方正仿宋_GBK" w:eastAsia="方正仿宋_GBK"/>
          <w:b w:val="0"/>
          <w:bCs w:val="0"/>
          <w:shd w:val="clear" w:color="auto" w:fill="auto"/>
        </w:rPr>
        <w:t>全面推进生活垃圾分类收运工作。</w:t>
      </w:r>
      <w:r>
        <w:rPr>
          <w:rFonts w:hint="eastAsia" w:ascii="方正仿宋_GBK" w:hAnsi="方正仿宋_GBK" w:cs="方正仿宋_GBK"/>
          <w:b w:val="0"/>
          <w:bCs w:val="0"/>
        </w:rPr>
        <w:t>加强分类宣传教育，规范生活垃圾分类投放方式，建立生活垃圾“四分类”体系，设置垃圾分类智能化设备，推动永川区生活垃圾分类全覆盖。加强生活垃圾分类精准化投放管理，全面推行定时定点分类投放。设立固定回收点或专门容器独立储存有害垃圾，由专业单位定期或预约收运处置，形成与分类需求相匹配的有害垃圾收运网络。统筹规划布局生活垃圾转运站点，有效衔接分类投放端和分类处理端，补足转运设施能力，提高收集转运效率。规范环卫专用车辆，加大对运输环节的监管力度，严厉打击混收混运、乱倒偷倒、不规范分类等现象。完善“以法治为基础，政府推动、全民参与、城乡统筹、因地制宜”的垃圾分类制度，根据工作实际制定出台相关指导性文件，加强科学管理、形成长效机制。</w:t>
      </w:r>
    </w:p>
    <w:p>
      <w:pPr>
        <w:snapToGrid w:val="0"/>
        <w:spacing w:line="276" w:lineRule="auto"/>
        <w:ind w:firstLine="0"/>
        <w:rPr>
          <w:rFonts w:hint="eastAsia" w:ascii="方正仿宋_GBK" w:hAnsi="方正仿宋_GBK" w:cs="方正仿宋_GBK"/>
          <w:b w:val="0"/>
          <w:bCs w:val="0"/>
        </w:rPr>
      </w:pPr>
      <w:r>
        <w:rPr>
          <w:rFonts w:hint="default" w:ascii="方正仿宋_GBK" w:eastAsia="方正仿宋_GBK"/>
          <w:b w:val="0"/>
          <w:bCs w:val="0"/>
          <w:shd w:val="clear" w:color="auto" w:fill="auto"/>
        </w:rPr>
        <w:t>基本建成生活垃圾分类处理体系。</w:t>
      </w:r>
      <w:r>
        <w:rPr>
          <w:rFonts w:hint="eastAsia" w:ascii="方正仿宋_GBK" w:hAnsi="方正仿宋_GBK" w:cs="方正仿宋_GBK"/>
          <w:b w:val="0"/>
          <w:bCs w:val="0"/>
        </w:rPr>
        <w:t>加快建立分类投放、分类收集、分类运输、分类处理的生活垃圾处理系统，保持生活垃圾日产日清。推进以资源化利用和焚烧处理为主、其他处理方式并存的生活垃圾分类处置体系建设。强化当前具有领先性的生活垃圾、厨余垃圾、粪渣垃圾等的分类处理和资源化利用技术。至2022年，全区生活垃圾分类收运处理系统基本建成。</w:t>
      </w:r>
    </w:p>
    <w:p>
      <w:pPr>
        <w:snapToGrid w:val="0"/>
        <w:spacing w:line="276" w:lineRule="auto"/>
        <w:ind w:firstLine="0"/>
        <w:rPr>
          <w:rFonts w:ascii="方正仿宋_GBK" w:hAnsi="方正仿宋_GBK" w:cs="方正仿宋_GBK"/>
          <w:b w:val="0"/>
          <w:bCs w:val="0"/>
          <w:szCs w:val="32"/>
        </w:rPr>
      </w:pPr>
      <w:r>
        <w:rPr>
          <w:rFonts w:hint="default" w:ascii="方正仿宋_GBK" w:eastAsia="方正仿宋_GBK"/>
          <w:b w:val="0"/>
          <w:bCs w:val="0"/>
          <w:shd w:val="clear" w:color="auto" w:fill="auto"/>
        </w:rPr>
        <w:t>健全生活垃圾处置设施设备。</w:t>
      </w:r>
      <w:r>
        <w:rPr>
          <w:rFonts w:ascii="方正仿宋_GBK" w:hAnsi="方正仿宋_GBK" w:cs="方正仿宋_GBK"/>
          <w:b w:val="0"/>
          <w:bCs w:val="0"/>
          <w:szCs w:val="32"/>
        </w:rPr>
        <w:t>加快静脉产业园各项设施设备建设，通过论证适时启动永川区渗滤液及膜下水处理项目和城镇生活垃圾焚烧发电二期项目，建设永川环卫基地及配套设施，新增垃圾收运车、道路机扫车等设备，合理布局生活垃圾转运站，完善垃圾中转站污水处理设施，改造城区压缩中转站。</w:t>
      </w:r>
    </w:p>
    <w:p>
      <w:pPr>
        <w:snapToGrid w:val="0"/>
        <w:spacing w:line="276" w:lineRule="auto"/>
        <w:ind w:firstLine="0"/>
        <w:rPr>
          <w:rFonts w:hint="eastAsia" w:ascii="方正仿宋_GBK" w:hAnsi="方正仿宋_GBK" w:cs="方正仿宋_GBK"/>
          <w:b w:val="0"/>
          <w:bCs w:val="0"/>
        </w:rPr>
      </w:pPr>
      <w:r>
        <w:rPr>
          <w:rFonts w:hint="default" w:ascii="方正仿宋_GBK" w:eastAsia="方正仿宋_GBK"/>
          <w:b w:val="0"/>
          <w:bCs w:val="0"/>
          <w:shd w:val="clear" w:color="auto" w:fill="auto"/>
        </w:rPr>
        <w:t>巩固农村生活垃圾治理。</w:t>
      </w:r>
      <w:r>
        <w:rPr>
          <w:rFonts w:hint="eastAsia" w:ascii="方正仿宋_GBK" w:hAnsi="方正仿宋_GBK" w:cs="方正仿宋_GBK"/>
          <w:b w:val="0"/>
          <w:bCs w:val="0"/>
        </w:rPr>
        <w:t>加快农村生活垃圾收运体系建设。各镇政府应巩固“户收集、村集中、镇街运输、区转运处理”的工作机制，按照“一村一点”要求行政村全部建成垃圾收集点，生活垃圾基本实现日产日清。按照“以点带面、示范带动、整体推进”的工作思路，实现行政村垃圾分类全覆盖。加快完善农村生活垃圾处理设施，落实农村垃圾压缩站配套设施建设。按照“政府引导、多元投入，谁受益、谁负担”的原则，多方筹集资金，确保生活垃圾收运处理工作正常运行。充分发挥市场机制作用，创新投入机制，鼓励引入大型国有企业投资生活垃圾清运、处理设施建设及运营和收运服务。</w:t>
      </w:r>
    </w:p>
    <w:p>
      <w:pPr>
        <w:snapToGrid w:val="0"/>
        <w:spacing w:line="276" w:lineRule="auto"/>
        <w:ind w:firstLine="0" w:firstLineChars="0"/>
        <w:jc w:val="center"/>
        <w:rPr>
          <w:rFonts w:hint="eastAsia" w:ascii="方正楷体_GBK" w:hAnsi="方正楷体_GBK" w:eastAsia="方正楷体_GBK" w:cs="方正楷体_GBK"/>
          <w:b w:val="0"/>
          <w:bCs w:val="0"/>
          <w:sz w:val="28"/>
          <w:szCs w:val="28"/>
        </w:rPr>
      </w:pPr>
      <w:bookmarkStart w:id="166" w:name="_Toc1026660822_WPSOffice_Level2"/>
      <w:bookmarkStart w:id="167" w:name="_Toc2107848836_WPSOffice_Level2"/>
      <w:r>
        <w:rPr>
          <w:rFonts w:hint="default" w:ascii="方正楷体_GBK" w:hAnsi="方正楷体_GBK" w:eastAsia="方正楷体_GBK" w:cs="方正楷体_GBK"/>
          <w:b w:val="0"/>
          <w:bCs w:val="0"/>
          <w:sz w:val="28"/>
          <w:szCs w:val="28"/>
        </w:rPr>
        <w:t>专栏7  生活垃圾治理重点项目</w:t>
      </w:r>
      <w:bookmarkEnd w:id="166"/>
      <w:bookmarkEnd w:id="167"/>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noWrap w:val="0"/>
            <w:vAlign w:val="top"/>
          </w:tcPr>
          <w:p>
            <w:pPr>
              <w:snapToGrid w:val="0"/>
              <w:spacing w:line="240" w:lineRule="auto"/>
              <w:ind w:firstLine="0"/>
              <w:rPr>
                <w:rFonts w:ascii="方正仿宋_GBK" w:hAnsi="方正仿宋_GBK" w:cs="方正仿宋_GBK"/>
                <w:b w:val="0"/>
                <w:bCs w:val="0"/>
                <w:sz w:val="21"/>
                <w:szCs w:val="21"/>
              </w:rPr>
            </w:pPr>
            <w:r>
              <w:rPr>
                <w:rFonts w:hint="default"/>
                <w:b w:val="0"/>
                <w:bCs w:val="0"/>
                <w:sz w:val="21"/>
                <w:szCs w:val="21"/>
              </w:rPr>
              <w:t>农村垃圾压缩站配套设施建设项目——</w:t>
            </w:r>
            <w:r>
              <w:rPr>
                <w:rFonts w:ascii="方正仿宋_GBK" w:hAnsi="方正仿宋_GBK" w:cs="方正仿宋_GBK"/>
                <w:b w:val="0"/>
                <w:bCs w:val="0"/>
                <w:sz w:val="21"/>
                <w:szCs w:val="21"/>
              </w:rPr>
              <w:t>农村原有8个压缩站增加8个配套箱体。</w:t>
            </w:r>
          </w:p>
          <w:p>
            <w:pPr>
              <w:snapToGrid w:val="0"/>
              <w:spacing w:line="240" w:lineRule="auto"/>
              <w:ind w:firstLine="0"/>
              <w:rPr>
                <w:rFonts w:ascii="方正仿宋_GBK" w:hAnsi="方正仿宋_GBK" w:cs="方正仿宋_GBK"/>
                <w:b w:val="0"/>
                <w:bCs w:val="0"/>
                <w:sz w:val="21"/>
                <w:szCs w:val="21"/>
              </w:rPr>
            </w:pPr>
            <w:r>
              <w:rPr>
                <w:rFonts w:hint="default"/>
                <w:b w:val="0"/>
                <w:bCs w:val="0"/>
                <w:sz w:val="21"/>
                <w:szCs w:val="21"/>
              </w:rPr>
              <w:t>城区生活垃圾分类系统建设项目——</w:t>
            </w:r>
            <w:r>
              <w:rPr>
                <w:rFonts w:ascii="方正仿宋_GBK" w:hAnsi="方正仿宋_GBK" w:cs="方正仿宋_GBK"/>
                <w:b w:val="0"/>
                <w:bCs w:val="0"/>
                <w:sz w:val="21"/>
                <w:szCs w:val="21"/>
              </w:rPr>
              <w:t>配置240升</w:t>
            </w:r>
            <w:r>
              <w:rPr>
                <w:rFonts w:hint="default" w:ascii="方正仿宋_GBK" w:hAnsi="方正仿宋_GBK" w:cs="方正仿宋_GBK"/>
                <w:b w:val="0"/>
                <w:bCs w:val="0"/>
                <w:sz w:val="21"/>
                <w:szCs w:val="21"/>
              </w:rPr>
              <w:t>“</w:t>
            </w:r>
            <w:r>
              <w:rPr>
                <w:rFonts w:ascii="方正仿宋_GBK" w:hAnsi="方正仿宋_GBK" w:cs="方正仿宋_GBK"/>
                <w:b w:val="0"/>
                <w:bCs w:val="0"/>
                <w:sz w:val="21"/>
                <w:szCs w:val="21"/>
              </w:rPr>
              <w:t>四分类</w:t>
            </w:r>
            <w:r>
              <w:rPr>
                <w:rFonts w:hint="eastAsia" w:ascii="方正仿宋_GBK" w:hAnsi="方正仿宋_GBK" w:cs="方正仿宋_GBK"/>
                <w:b w:val="0"/>
                <w:bCs w:val="0"/>
                <w:sz w:val="21"/>
                <w:szCs w:val="21"/>
              </w:rPr>
              <w:t>”</w:t>
            </w:r>
            <w:r>
              <w:rPr>
                <w:rFonts w:ascii="方正仿宋_GBK" w:hAnsi="方正仿宋_GBK" w:cs="方正仿宋_GBK"/>
                <w:b w:val="0"/>
                <w:bCs w:val="0"/>
                <w:sz w:val="21"/>
                <w:szCs w:val="21"/>
              </w:rPr>
              <w:t>垃圾桶8280个，配置垃圾收运车8台，建设再生资源回收点207个。</w:t>
            </w:r>
          </w:p>
          <w:p>
            <w:pPr>
              <w:snapToGrid w:val="0"/>
              <w:spacing w:line="240" w:lineRule="auto"/>
              <w:ind w:firstLine="0"/>
              <w:rPr>
                <w:rFonts w:ascii="方正仿宋_GBK" w:hAnsi="方正仿宋_GBK" w:cs="方正仿宋_GBK"/>
                <w:b w:val="0"/>
                <w:bCs w:val="0"/>
                <w:sz w:val="21"/>
                <w:szCs w:val="21"/>
              </w:rPr>
            </w:pPr>
            <w:r>
              <w:rPr>
                <w:rFonts w:hint="default"/>
                <w:b w:val="0"/>
                <w:bCs w:val="0"/>
                <w:sz w:val="21"/>
                <w:szCs w:val="21"/>
              </w:rPr>
              <w:t>生活垃圾焚烧发电二期工程项目——</w:t>
            </w:r>
            <w:r>
              <w:rPr>
                <w:rFonts w:ascii="方正仿宋_GBK" w:hAnsi="方正仿宋_GBK" w:cs="方正仿宋_GBK"/>
                <w:b w:val="0"/>
                <w:bCs w:val="0"/>
                <w:sz w:val="21"/>
                <w:szCs w:val="21"/>
              </w:rPr>
              <w:t>根据生活垃圾产生量适时扩建生产线1条。</w:t>
            </w:r>
          </w:p>
          <w:p>
            <w:pPr>
              <w:snapToGrid w:val="0"/>
              <w:spacing w:line="240" w:lineRule="auto"/>
              <w:ind w:firstLine="0"/>
              <w:rPr>
                <w:rFonts w:ascii="方正仿宋_GBK" w:hAnsi="方正仿宋_GBK" w:cs="方正仿宋_GBK"/>
                <w:b w:val="0"/>
                <w:bCs w:val="0"/>
                <w:sz w:val="21"/>
                <w:szCs w:val="21"/>
              </w:rPr>
            </w:pPr>
            <w:r>
              <w:rPr>
                <w:rFonts w:hint="default"/>
                <w:b w:val="0"/>
                <w:bCs w:val="0"/>
                <w:sz w:val="21"/>
                <w:szCs w:val="21"/>
              </w:rPr>
              <w:t>建设垃圾中转站污水处理设施项目——</w:t>
            </w:r>
            <w:r>
              <w:rPr>
                <w:rFonts w:ascii="方正仿宋_GBK" w:hAnsi="方正仿宋_GBK" w:cs="方正仿宋_GBK"/>
                <w:b w:val="0"/>
                <w:bCs w:val="0"/>
                <w:sz w:val="21"/>
                <w:szCs w:val="21"/>
              </w:rPr>
              <w:t>建设1个城区压缩垃圾中转站及8座农村压缩站污水处理系统，新增1辆化粪池专用清掏车。</w:t>
            </w:r>
          </w:p>
          <w:p>
            <w:pPr>
              <w:snapToGrid w:val="0"/>
              <w:spacing w:line="240" w:lineRule="auto"/>
              <w:ind w:firstLine="0"/>
              <w:rPr>
                <w:rFonts w:ascii="方正仿宋_GBK" w:hAnsi="方正仿宋_GBK" w:cs="方正仿宋_GBK"/>
                <w:b w:val="0"/>
                <w:bCs w:val="0"/>
                <w:sz w:val="21"/>
                <w:szCs w:val="21"/>
              </w:rPr>
            </w:pPr>
            <w:r>
              <w:rPr>
                <w:rFonts w:hint="default"/>
                <w:b w:val="0"/>
                <w:bCs w:val="0"/>
                <w:sz w:val="21"/>
                <w:szCs w:val="21"/>
              </w:rPr>
              <w:t>渗滤液及膜下水处理项目二期工程项目——</w:t>
            </w:r>
            <w:r>
              <w:rPr>
                <w:rFonts w:ascii="方正仿宋_GBK" w:hAnsi="方正仿宋_GBK" w:cs="方正仿宋_GBK"/>
                <w:b w:val="0"/>
                <w:bCs w:val="0"/>
                <w:sz w:val="21"/>
                <w:szCs w:val="21"/>
              </w:rPr>
              <w:t>通过相关论证，适时扩建日处理渗滤液600吨/日生产线1条。</w:t>
            </w:r>
          </w:p>
          <w:p>
            <w:pPr>
              <w:snapToGrid w:val="0"/>
              <w:spacing w:line="240" w:lineRule="auto"/>
              <w:ind w:firstLine="0"/>
              <w:rPr>
                <w:b w:val="0"/>
                <w:bCs w:val="0"/>
                <w:sz w:val="21"/>
                <w:szCs w:val="21"/>
              </w:rPr>
            </w:pPr>
            <w:r>
              <w:rPr>
                <w:rFonts w:hint="default"/>
                <w:b w:val="0"/>
                <w:bCs w:val="0"/>
                <w:sz w:val="21"/>
                <w:szCs w:val="21"/>
              </w:rPr>
              <w:t>垃圾填埋场综合整治工程项目——</w:t>
            </w:r>
            <w:r>
              <w:rPr>
                <w:rFonts w:ascii="方正仿宋_GBK" w:hAnsi="方正仿宋_GBK" w:cs="方正仿宋_GBK"/>
                <w:b w:val="0"/>
                <w:bCs w:val="0"/>
                <w:sz w:val="21"/>
                <w:szCs w:val="21"/>
              </w:rPr>
              <w:t>开展现状垃圾填埋场综合整治，进行雨污分流、分区填埋、大坝监测治理等。</w:t>
            </w:r>
          </w:p>
          <w:p>
            <w:pPr>
              <w:snapToGrid w:val="0"/>
              <w:spacing w:line="240" w:lineRule="auto"/>
              <w:ind w:firstLine="0"/>
              <w:rPr>
                <w:b w:val="0"/>
                <w:bCs w:val="0"/>
                <w:sz w:val="21"/>
                <w:szCs w:val="21"/>
              </w:rPr>
            </w:pPr>
            <w:r>
              <w:rPr>
                <w:rFonts w:hint="default"/>
                <w:b w:val="0"/>
                <w:bCs w:val="0"/>
                <w:sz w:val="21"/>
                <w:szCs w:val="21"/>
              </w:rPr>
              <w:t>永川环卫基地建设项目——</w:t>
            </w:r>
            <w:r>
              <w:rPr>
                <w:rFonts w:ascii="方正仿宋_GBK" w:hAnsi="方正仿宋_GBK" w:cs="方正仿宋_GBK"/>
                <w:b w:val="0"/>
                <w:bCs w:val="0"/>
                <w:sz w:val="21"/>
                <w:szCs w:val="21"/>
              </w:rPr>
              <w:t>规划建设永川环卫基地，规划占地面积约66000平方米，其中建设10000平方米环卫停车场、2000平方米智慧环卫管理调度培训中心、500平方米环卫车辆洗车消杀除臭车间、200平方米设备检修车间。建设集可回收物分拣中心、有毒有害垃圾暂存点和大件垃圾拆分中心于一体的综合性垃圾分拣中心。新建2条500吨/日垃圾压缩生产线，购买城区中转站大型垃圾运输车辆8台，配套箱体16个。</w:t>
            </w:r>
          </w:p>
        </w:tc>
      </w:tr>
    </w:tbl>
    <w:p>
      <w:pPr>
        <w:snapToGrid w:val="0"/>
        <w:spacing w:before="0" w:after="0" w:line="276" w:lineRule="auto"/>
        <w:ind w:firstLine="0"/>
        <w:jc w:val="both"/>
        <w:rPr>
          <w:rFonts w:hint="default" w:ascii="方正仿宋_GBK" w:hAnsi="方正仿宋_GBK" w:eastAsia="方正仿宋_GBK" w:cs="方正仿宋_GBK"/>
          <w:b w:val="0"/>
          <w:bCs w:val="0"/>
        </w:rPr>
      </w:pPr>
      <w:bookmarkStart w:id="168" w:name="_Toc28833"/>
      <w:bookmarkStart w:id="169" w:name="_Toc11580"/>
    </w:p>
    <w:p>
      <w:pPr>
        <w:snapToGrid w:val="0"/>
        <w:spacing w:before="0" w:after="0" w:line="276" w:lineRule="auto"/>
        <w:ind w:firstLine="0" w:firstLineChars="0"/>
        <w:jc w:val="center"/>
        <w:rPr>
          <w:rFonts w:hint="eastAsia" w:ascii="方正黑体_GBK" w:hAnsi="方正黑体_GBK" w:eastAsia="方正黑体_GBK" w:cs="方正黑体_GBK"/>
          <w:b w:val="0"/>
          <w:bCs w:val="0"/>
        </w:rPr>
      </w:pPr>
      <w:bookmarkStart w:id="170" w:name="_Toc1358247544_WPSOffice_Level2"/>
      <w:bookmarkStart w:id="171" w:name="_Toc531482013_WPSOffice_Level2"/>
      <w:r>
        <w:rPr>
          <w:rFonts w:hint="default" w:ascii="方正黑体_GBK" w:hAnsi="方正黑体_GBK" w:eastAsia="方正黑体_GBK" w:cs="方正黑体_GBK"/>
          <w:b w:val="0"/>
          <w:bCs w:val="0"/>
        </w:rPr>
        <w:t>第二节  推动建筑垃圾治理提质</w:t>
      </w:r>
      <w:bookmarkEnd w:id="168"/>
      <w:bookmarkEnd w:id="169"/>
      <w:bookmarkEnd w:id="170"/>
      <w:bookmarkEnd w:id="171"/>
    </w:p>
    <w:p>
      <w:pPr>
        <w:snapToGrid w:val="0"/>
        <w:spacing w:line="276" w:lineRule="auto"/>
        <w:ind w:firstLine="0"/>
        <w:rPr>
          <w:rFonts w:hint="default" w:ascii="方正仿宋_GBK" w:eastAsia="方正仿宋_GBK"/>
          <w:b w:val="0"/>
          <w:bCs w:val="0"/>
        </w:rPr>
      </w:pPr>
    </w:p>
    <w:p>
      <w:pPr>
        <w:snapToGrid w:val="0"/>
        <w:spacing w:line="276" w:lineRule="auto"/>
        <w:ind w:firstLine="0"/>
        <w:rPr>
          <w:rFonts w:hint="eastAsia" w:ascii="方正仿宋_GBK" w:hAnsi="方正仿宋_GBK" w:cs="方正仿宋_GBK"/>
          <w:b w:val="0"/>
          <w:bCs w:val="0"/>
        </w:rPr>
      </w:pPr>
      <w:r>
        <w:rPr>
          <w:rFonts w:hint="default" w:ascii="方正仿宋_GBK" w:eastAsia="方正仿宋_GBK"/>
          <w:b w:val="0"/>
          <w:bCs w:val="0"/>
        </w:rPr>
        <w:t>推动建筑渣土消纳减量化。</w:t>
      </w:r>
      <w:r>
        <w:rPr>
          <w:rFonts w:hint="eastAsia" w:ascii="方正仿宋_GBK" w:hAnsi="方正仿宋_GBK" w:cs="方正仿宋_GBK"/>
          <w:b w:val="0"/>
          <w:bCs w:val="0"/>
        </w:rPr>
        <w:t>积极探索建设工程土石方开挖量消纳控制途径，优化建筑垃圾处置方案，按照就地平衡、就近平衡、辖区平衡原则推进源头减量和平衡消化，无法平衡的进入就近的消纳场进行无害化处置。</w:t>
      </w:r>
    </w:p>
    <w:p>
      <w:pPr>
        <w:snapToGrid w:val="0"/>
        <w:spacing w:line="276" w:lineRule="auto"/>
        <w:ind w:firstLine="0"/>
        <w:rPr>
          <w:rFonts w:hint="eastAsia" w:ascii="方正仿宋_GBK" w:hAnsi="方正仿宋_GBK" w:cs="方正仿宋_GBK"/>
          <w:b w:val="0"/>
          <w:bCs w:val="0"/>
        </w:rPr>
      </w:pPr>
      <w:r>
        <w:rPr>
          <w:rFonts w:hint="default" w:ascii="方正仿宋_GBK" w:eastAsia="方正仿宋_GBK"/>
          <w:b w:val="0"/>
          <w:bCs w:val="0"/>
        </w:rPr>
        <w:t>推动建筑垃圾资源化利用。</w:t>
      </w:r>
      <w:r>
        <w:rPr>
          <w:rFonts w:hint="eastAsia" w:ascii="方正仿宋_GBK" w:hAnsi="方正仿宋_GBK" w:cs="方正仿宋_GBK"/>
          <w:b w:val="0"/>
          <w:bCs w:val="0"/>
        </w:rPr>
        <w:t>按照工程渣土、工程泥浆、工程垃圾、拆除垃圾和装修垃圾进行分类收集、分类运输、分类处理，建立有效的建筑垃圾治理模式，强化建筑垃圾的复合利用。推进处理处置设施建设，新建永川区建筑垃圾资源化综合利用处理厂，配建永川区装饰装修垃圾分拣处置中心，提高建筑垃圾资源化处理能力。充分发挥政府投融资项目的示范引领作用，对优先使用建筑垃圾再生材料的相关企业进行鼓励，引导建筑垃圾资源化利用全面推广，实现建筑垃圾减量化、资源化、无害化处理目标。</w:t>
      </w:r>
    </w:p>
    <w:p>
      <w:pPr>
        <w:snapToGrid w:val="0"/>
        <w:spacing w:line="276" w:lineRule="auto"/>
        <w:ind w:firstLine="0"/>
        <w:rPr>
          <w:b w:val="0"/>
          <w:bCs w:val="0"/>
        </w:rPr>
      </w:pPr>
      <w:r>
        <w:rPr>
          <w:rFonts w:hint="default" w:ascii="方正仿宋_GBK" w:eastAsia="方正仿宋_GBK"/>
          <w:b w:val="0"/>
          <w:bCs w:val="0"/>
        </w:rPr>
        <w:t>完善建筑垃圾管理体系。</w:t>
      </w:r>
      <w:r>
        <w:rPr>
          <w:rFonts w:hint="eastAsia" w:ascii="方正仿宋_GBK" w:hAnsi="方正仿宋_GBK" w:cs="方正仿宋_GBK"/>
          <w:b w:val="0"/>
          <w:bCs w:val="0"/>
        </w:rPr>
        <w:t>建立健全建筑垃圾全过程管理制度，规范建筑垃圾产生、收运、利用及处置行为。强化建筑垃圾监管平台应用，提升突发事件应急处置能力，加快实现全过程的智慧化管理。加强施工工地管理，强化部门监管联动。加强运输单位资质管理，推广新型智能渣土车，全面推行建筑渣土运输车辆从产生、运输到处置环节“两点一线”的联单管理，推进建筑垃圾运输规范化、专业化、智能化。</w:t>
      </w:r>
    </w:p>
    <w:p>
      <w:pPr>
        <w:snapToGrid w:val="0"/>
        <w:spacing w:line="276" w:lineRule="auto"/>
        <w:ind w:firstLine="0" w:firstLineChars="0"/>
        <w:jc w:val="center"/>
        <w:rPr>
          <w:rFonts w:hint="eastAsia" w:ascii="方正楷体_GBK" w:hAnsi="方正楷体_GBK" w:eastAsia="方正楷体_GBK" w:cs="方正楷体_GBK"/>
          <w:b w:val="0"/>
          <w:bCs w:val="0"/>
          <w:sz w:val="28"/>
          <w:szCs w:val="28"/>
        </w:rPr>
      </w:pPr>
      <w:bookmarkStart w:id="172" w:name="_Toc1928625677_WPSOffice_Level2"/>
      <w:bookmarkStart w:id="173" w:name="_Toc866643918_WPSOffice_Level2"/>
      <w:r>
        <w:rPr>
          <w:rFonts w:hint="default" w:ascii="方正楷体_GBK" w:hAnsi="方正楷体_GBK" w:eastAsia="方正楷体_GBK" w:cs="方正楷体_GBK"/>
          <w:b w:val="0"/>
          <w:bCs w:val="0"/>
          <w:sz w:val="28"/>
          <w:szCs w:val="28"/>
        </w:rPr>
        <w:t>专栏8  建筑垃圾治理重点项目</w:t>
      </w:r>
      <w:bookmarkEnd w:id="172"/>
      <w:bookmarkEnd w:id="173"/>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noWrap w:val="0"/>
            <w:vAlign w:val="top"/>
          </w:tcPr>
          <w:p>
            <w:pPr>
              <w:snapToGrid w:val="0"/>
              <w:spacing w:line="276" w:lineRule="auto"/>
              <w:ind w:firstLine="0"/>
              <w:rPr>
                <w:b w:val="0"/>
                <w:bCs w:val="0"/>
                <w:sz w:val="21"/>
                <w:szCs w:val="21"/>
              </w:rPr>
            </w:pPr>
            <w:r>
              <w:rPr>
                <w:rFonts w:hint="default"/>
                <w:b w:val="0"/>
                <w:bCs w:val="0"/>
                <w:sz w:val="21"/>
                <w:szCs w:val="21"/>
              </w:rPr>
              <w:t>建筑垃圾资源化综合利用处理厂建设项目——</w:t>
            </w:r>
            <w:r>
              <w:rPr>
                <w:rFonts w:ascii="方正仿宋_GBK" w:hAnsi="方正仿宋_GBK" w:cs="方正仿宋_GBK"/>
                <w:b w:val="0"/>
                <w:bCs w:val="0"/>
                <w:sz w:val="21"/>
                <w:szCs w:val="21"/>
              </w:rPr>
              <w:t>规划年处理量100万吨的永川区建筑垃圾资源化综合利用处理厂，并在厂址中配建永川区装饰装修垃圾分拣处置中心。</w:t>
            </w:r>
          </w:p>
        </w:tc>
      </w:tr>
    </w:tbl>
    <w:p>
      <w:pPr>
        <w:snapToGrid w:val="0"/>
        <w:spacing w:before="0" w:after="0" w:line="276" w:lineRule="auto"/>
        <w:ind w:firstLine="0"/>
        <w:jc w:val="both"/>
        <w:rPr>
          <w:rFonts w:hint="default" w:ascii="方正仿宋_GBK" w:hAnsi="方正仿宋_GBK" w:eastAsia="方正仿宋_GBK" w:cs="方正仿宋_GBK"/>
          <w:b w:val="0"/>
          <w:bCs w:val="0"/>
        </w:rPr>
      </w:pPr>
      <w:bookmarkStart w:id="174" w:name="_Toc2260"/>
      <w:bookmarkStart w:id="175" w:name="_Toc11575"/>
    </w:p>
    <w:p>
      <w:pPr>
        <w:snapToGrid w:val="0"/>
        <w:spacing w:before="0" w:after="0" w:line="276" w:lineRule="auto"/>
        <w:ind w:firstLine="0" w:firstLineChars="0"/>
        <w:jc w:val="center"/>
        <w:rPr>
          <w:rFonts w:hint="eastAsia" w:ascii="方正黑体_GBK" w:hAnsi="方正黑体_GBK" w:eastAsia="方正黑体_GBK" w:cs="方正黑体_GBK"/>
          <w:b w:val="0"/>
          <w:bCs w:val="0"/>
        </w:rPr>
      </w:pPr>
      <w:bookmarkStart w:id="176" w:name="_Toc531742953_WPSOffice_Level2"/>
      <w:bookmarkStart w:id="177" w:name="_Toc1883101658_WPSOffice_Level2"/>
      <w:r>
        <w:rPr>
          <w:rFonts w:hint="default" w:ascii="方正黑体_GBK" w:hAnsi="方正黑体_GBK" w:eastAsia="方正黑体_GBK" w:cs="方正黑体_GBK"/>
          <w:b w:val="0"/>
          <w:bCs w:val="0"/>
        </w:rPr>
        <w:t>第三节  强化实施水域清漂治理</w:t>
      </w:r>
      <w:bookmarkEnd w:id="174"/>
      <w:bookmarkEnd w:id="175"/>
      <w:bookmarkEnd w:id="176"/>
      <w:bookmarkEnd w:id="177"/>
    </w:p>
    <w:p>
      <w:pPr>
        <w:snapToGrid w:val="0"/>
        <w:spacing w:line="276" w:lineRule="auto"/>
        <w:ind w:firstLine="0"/>
        <w:rPr>
          <w:rFonts w:hint="default" w:ascii="方正仿宋_GBK" w:eastAsia="方正仿宋_GBK"/>
          <w:b w:val="0"/>
          <w:bCs w:val="0"/>
          <w:szCs w:val="32"/>
        </w:rPr>
      </w:pPr>
    </w:p>
    <w:p>
      <w:pPr>
        <w:snapToGrid w:val="0"/>
        <w:spacing w:line="276" w:lineRule="auto"/>
        <w:ind w:firstLine="0"/>
        <w:rPr>
          <w:rFonts w:ascii="方正仿宋_GBK" w:hAnsi="方正仿宋_GBK" w:cs="方正仿宋_GBK"/>
          <w:b w:val="0"/>
          <w:bCs w:val="0"/>
          <w:szCs w:val="32"/>
        </w:rPr>
      </w:pPr>
      <w:r>
        <w:rPr>
          <w:rFonts w:hint="default" w:ascii="方正仿宋_GBK" w:eastAsia="方正仿宋_GBK"/>
          <w:b w:val="0"/>
          <w:bCs w:val="0"/>
          <w:szCs w:val="32"/>
        </w:rPr>
        <w:t>加强实施水域清漂治理，完善水域保洁长效机制。</w:t>
      </w:r>
      <w:r>
        <w:rPr>
          <w:rFonts w:ascii="方正仿宋_GBK" w:hAnsi="方正仿宋_GBK" w:cs="方正仿宋_GBK"/>
          <w:b w:val="0"/>
          <w:bCs w:val="0"/>
          <w:szCs w:val="32"/>
        </w:rPr>
        <w:t>持续推进临江河、小安溪、九龙河等水系的常态化清漂治理工作，加强农村区域水域环境治理工作，认真落实城区河道清漂长效管理制度，制定汛期水域清漂应急预案，强力保障汛期水域清漂能力。鼓励社会企业参与水域垃圾分类处置和资源化利用，积极探索水域垃圾焚烧发电等资源化处理方式，提高水域垃圾资源化利用价值。至2025年，实现全区水域清漂治理全覆盖，农村区域水域生活垃圾基本杜绝。</w:t>
      </w:r>
    </w:p>
    <w:p>
      <w:pPr>
        <w:snapToGrid w:val="0"/>
        <w:spacing w:line="276" w:lineRule="auto"/>
        <w:ind w:firstLine="0"/>
        <w:rPr>
          <w:rFonts w:ascii="方正仿宋_GBK" w:hAnsi="方正仿宋_GBK" w:cs="方正仿宋_GBK"/>
          <w:b w:val="0"/>
          <w:bCs w:val="0"/>
          <w:szCs w:val="32"/>
        </w:rPr>
      </w:pPr>
      <w:r>
        <w:rPr>
          <w:rFonts w:hint="default" w:ascii="方正仿宋_GBK" w:eastAsia="方正仿宋_GBK"/>
          <w:b w:val="0"/>
          <w:bCs w:val="0"/>
          <w:szCs w:val="32"/>
        </w:rPr>
        <w:t>配套完善设施设备，保障水域清漂工作高效运行。</w:t>
      </w:r>
      <w:r>
        <w:rPr>
          <w:rFonts w:ascii="方正仿宋_GBK" w:hAnsi="方正仿宋_GBK" w:cs="方正仿宋_GBK"/>
          <w:b w:val="0"/>
          <w:bCs w:val="0"/>
          <w:szCs w:val="32"/>
        </w:rPr>
        <w:t>完善清漂设施设备，定期开展清漂船舶等设施设备安全检查和检修维护工作，完善水域垃圾上岸后的转运设施，优化打捞能力和转运能力配置，优化船舶生活垃圾接收流程。</w:t>
      </w:r>
    </w:p>
    <w:p>
      <w:pPr>
        <w:snapToGrid w:val="0"/>
        <w:spacing w:line="276" w:lineRule="auto"/>
        <w:ind w:firstLine="0" w:firstLineChars="0"/>
        <w:jc w:val="center"/>
        <w:rPr>
          <w:rFonts w:hint="eastAsia" w:ascii="方正楷体_GBK" w:hAnsi="方正楷体_GBK" w:eastAsia="方正楷体_GBK" w:cs="方正楷体_GBK"/>
          <w:b w:val="0"/>
          <w:bCs w:val="0"/>
          <w:sz w:val="28"/>
          <w:szCs w:val="28"/>
        </w:rPr>
      </w:pPr>
      <w:bookmarkStart w:id="178" w:name="_Toc1136648443_WPSOffice_Level2"/>
      <w:bookmarkStart w:id="179" w:name="_Toc2054576912_WPSOffice_Level2"/>
      <w:r>
        <w:rPr>
          <w:rFonts w:hint="default" w:ascii="方正楷体_GBK" w:hAnsi="方正楷体_GBK" w:eastAsia="方正楷体_GBK" w:cs="方正楷体_GBK"/>
          <w:b w:val="0"/>
          <w:bCs w:val="0"/>
          <w:sz w:val="28"/>
          <w:szCs w:val="28"/>
        </w:rPr>
        <w:t>专栏9  水域清漂工作重点项目</w:t>
      </w:r>
      <w:bookmarkEnd w:id="178"/>
      <w:bookmarkEnd w:id="179"/>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noWrap w:val="0"/>
            <w:vAlign w:val="top"/>
          </w:tcPr>
          <w:p>
            <w:pPr>
              <w:snapToGrid w:val="0"/>
              <w:spacing w:line="276" w:lineRule="auto"/>
              <w:ind w:firstLine="0"/>
              <w:rPr>
                <w:b w:val="0"/>
                <w:bCs w:val="0"/>
                <w:sz w:val="21"/>
                <w:szCs w:val="21"/>
              </w:rPr>
            </w:pPr>
            <w:r>
              <w:rPr>
                <w:rFonts w:hint="default"/>
                <w:b w:val="0"/>
                <w:bCs w:val="0"/>
                <w:sz w:val="21"/>
                <w:szCs w:val="21"/>
              </w:rPr>
              <w:t>水域清漂保障设施项目——</w:t>
            </w:r>
            <w:r>
              <w:rPr>
                <w:rFonts w:ascii="方正仿宋_GBK" w:hAnsi="方正仿宋_GBK" w:cs="方正仿宋_GBK"/>
                <w:b w:val="0"/>
                <w:bCs w:val="0"/>
                <w:sz w:val="21"/>
                <w:szCs w:val="21"/>
              </w:rPr>
              <w:t>新增河道清漂保洁船70艘。</w:t>
            </w:r>
          </w:p>
        </w:tc>
      </w:tr>
    </w:tbl>
    <w:p>
      <w:pPr>
        <w:snapToGrid w:val="0"/>
        <w:spacing w:before="0" w:after="0" w:line="276" w:lineRule="auto"/>
        <w:ind w:firstLine="0"/>
        <w:jc w:val="both"/>
        <w:rPr>
          <w:rFonts w:hint="default" w:ascii="方正仿宋_GBK" w:hAnsi="方正仿宋_GBK" w:eastAsia="方正仿宋_GBK" w:cs="方正仿宋_GBK"/>
          <w:b w:val="0"/>
          <w:bCs w:val="0"/>
        </w:rPr>
      </w:pPr>
      <w:bookmarkStart w:id="180" w:name="_Toc19842"/>
      <w:bookmarkStart w:id="181" w:name="_Toc9925"/>
    </w:p>
    <w:p>
      <w:pPr>
        <w:snapToGrid w:val="0"/>
        <w:spacing w:before="0" w:after="0" w:line="276" w:lineRule="auto"/>
        <w:ind w:firstLine="0" w:firstLineChars="0"/>
        <w:jc w:val="center"/>
        <w:rPr>
          <w:rFonts w:hint="eastAsia" w:ascii="方正黑体_GBK" w:hAnsi="方正黑体_GBK" w:eastAsia="方正黑体_GBK" w:cs="方正黑体_GBK"/>
          <w:b w:val="0"/>
          <w:bCs w:val="0"/>
        </w:rPr>
      </w:pPr>
      <w:bookmarkStart w:id="182" w:name="_Toc1603980257_WPSOffice_Level2"/>
      <w:bookmarkStart w:id="183" w:name="_Toc258427025_WPSOffice_Level2"/>
      <w:r>
        <w:rPr>
          <w:rFonts w:hint="default" w:ascii="方正黑体_GBK" w:hAnsi="方正黑体_GBK" w:eastAsia="方正黑体_GBK" w:cs="方正黑体_GBK"/>
          <w:b w:val="0"/>
          <w:bCs w:val="0"/>
        </w:rPr>
        <w:t>第四节  提升清扫保洁管理水平</w:t>
      </w:r>
      <w:bookmarkEnd w:id="180"/>
      <w:bookmarkEnd w:id="181"/>
      <w:bookmarkEnd w:id="182"/>
      <w:bookmarkEnd w:id="183"/>
    </w:p>
    <w:p>
      <w:pPr>
        <w:snapToGrid w:val="0"/>
        <w:spacing w:line="276" w:lineRule="auto"/>
        <w:ind w:firstLine="0"/>
        <w:rPr>
          <w:rFonts w:hint="default" w:ascii="方正仿宋_GBK" w:eastAsia="方正仿宋_GBK"/>
          <w:b w:val="0"/>
          <w:bCs w:val="0"/>
        </w:rPr>
      </w:pPr>
    </w:p>
    <w:p>
      <w:pPr>
        <w:snapToGrid w:val="0"/>
        <w:spacing w:line="276" w:lineRule="auto"/>
        <w:ind w:firstLine="0"/>
        <w:rPr>
          <w:b w:val="0"/>
          <w:bCs w:val="0"/>
        </w:rPr>
      </w:pPr>
      <w:r>
        <w:rPr>
          <w:rFonts w:hint="default" w:ascii="方正仿宋_GBK" w:eastAsia="方正仿宋_GBK"/>
          <w:b w:val="0"/>
          <w:bCs w:val="0"/>
        </w:rPr>
        <w:t>推行环卫精细化管理。</w:t>
      </w:r>
      <w:r>
        <w:rPr>
          <w:rFonts w:hint="eastAsia" w:ascii="方正仿宋_GBK" w:hAnsi="方正仿宋_GBK" w:cs="方正仿宋_GBK"/>
          <w:b w:val="0"/>
          <w:bCs w:val="0"/>
        </w:rPr>
        <w:t>提升城市清扫保洁精细化管理水平，全面实施清扫保洁“1533”、垃圾收运“123”、道路冲洗“111”作业标准，不断完善保障道路清扫保洁措施。完善监督考核体系，加大监管巡查力度，利用智慧环卫管理平台，实时监管作业、实时共享资源，线上线下协同，实现作业过程中人、事、物精细化、科学化、智能化管理。</w:t>
      </w:r>
    </w:p>
    <w:p>
      <w:pPr>
        <w:snapToGrid w:val="0"/>
        <w:spacing w:line="276" w:lineRule="auto"/>
        <w:ind w:firstLine="0"/>
        <w:rPr>
          <w:rFonts w:hint="eastAsia" w:ascii="方正仿宋_GBK" w:hAnsi="方正仿宋_GBK" w:cs="方正仿宋_GBK"/>
          <w:b w:val="0"/>
          <w:bCs w:val="0"/>
        </w:rPr>
      </w:pPr>
      <w:r>
        <w:rPr>
          <w:rFonts w:hint="default" w:ascii="方正仿宋_GBK" w:eastAsia="方正仿宋_GBK"/>
          <w:b w:val="0"/>
          <w:bCs w:val="0"/>
        </w:rPr>
        <w:t>提高环卫清扫保洁效率。</w:t>
      </w:r>
      <w:r>
        <w:rPr>
          <w:rFonts w:hint="eastAsia" w:ascii="方正仿宋_GBK" w:hAnsi="方正仿宋_GBK" w:cs="方正仿宋_GBK"/>
          <w:b w:val="0"/>
          <w:bCs w:val="0"/>
        </w:rPr>
        <w:t>加大环卫设施资金投入力度，加强职工队伍建设，优化环卫保洁作业方式，加强洗扫车、洒水车、冲洗车、洗污车等环卫机械化专业设备设施购入，持续提升城市道路机械化作业能力，人行道、广场等探索应用智能扫地机器人，逐步提升新能源环卫车辆占比。</w:t>
      </w:r>
    </w:p>
    <w:p>
      <w:pPr>
        <w:snapToGrid w:val="0"/>
        <w:spacing w:line="276" w:lineRule="auto"/>
        <w:ind w:firstLine="0"/>
        <w:rPr>
          <w:rFonts w:hint="eastAsia" w:ascii="方正仿宋_GBK" w:hAnsi="方正仿宋_GBK" w:cs="方正仿宋_GBK"/>
          <w:b w:val="0"/>
          <w:bCs w:val="0"/>
        </w:rPr>
      </w:pPr>
      <w:r>
        <w:rPr>
          <w:rFonts w:hint="default" w:ascii="方正仿宋_GBK" w:eastAsia="方正仿宋_GBK"/>
          <w:b w:val="0"/>
          <w:bCs w:val="0"/>
        </w:rPr>
        <w:t>推进环卫作业市场化。</w:t>
      </w:r>
      <w:r>
        <w:rPr>
          <w:rFonts w:hint="eastAsia" w:ascii="方正仿宋_GBK" w:hAnsi="方正仿宋_GBK" w:cs="方正仿宋_GBK"/>
          <w:b w:val="0"/>
          <w:bCs w:val="0"/>
        </w:rPr>
        <w:t>建立健全环卫作业市场运行体系，完善市场监管体系，实现环卫部门“干管分离”，全面提高环境卫生服务水平和行政效能。因地制宜推进环卫市场化改革，完善市场准入制度，建立市场竞争机制，鼓励信誉好、业绩优良、资金充足、设备良好、操作规范、技术先进的企业参与城市环卫管理，促进行业的有序竞争和健康发展，加快推进环卫作业市场化。</w:t>
      </w:r>
    </w:p>
    <w:p>
      <w:pPr>
        <w:snapToGrid w:val="0"/>
        <w:spacing w:line="276" w:lineRule="auto"/>
        <w:ind w:firstLine="0"/>
        <w:rPr>
          <w:b w:val="0"/>
          <w:bCs w:val="0"/>
        </w:rPr>
      </w:pPr>
      <w:r>
        <w:rPr>
          <w:rFonts w:hint="default" w:ascii="方正仿宋_GBK" w:eastAsia="方正仿宋_GBK"/>
          <w:b w:val="0"/>
          <w:bCs w:val="0"/>
        </w:rPr>
        <w:t>加强园林绿化弃渣再利用。</w:t>
      </w:r>
      <w:r>
        <w:rPr>
          <w:rFonts w:hint="eastAsia" w:ascii="方正仿宋_GBK" w:hAnsi="方正仿宋_GBK" w:cs="方正仿宋_GBK"/>
          <w:b w:val="0"/>
          <w:bCs w:val="0"/>
        </w:rPr>
        <w:t>加强对园林绿化弃渣资源再利用的科技创新和技术利用，探索将园林绿化弃渣作为有机肥、土壤有机覆盖物和生物能源等方面的再利用途径，增加永川区城市园林绿化废弃物的再利用比例，减少在处理园林绿化废弃物中所需要的成本，缓解城市园林绿化废弃物处理的压力，实现资源再利用，推进城市走向绿色生态循环发展。</w:t>
      </w:r>
    </w:p>
    <w:p>
      <w:pPr>
        <w:snapToGrid w:val="0"/>
        <w:spacing w:line="276" w:lineRule="auto"/>
        <w:ind w:firstLine="0" w:firstLineChars="0"/>
        <w:jc w:val="center"/>
        <w:rPr>
          <w:rFonts w:hint="eastAsia" w:ascii="方正楷体_GBK" w:hAnsi="方正楷体_GBK" w:eastAsia="方正楷体_GBK" w:cs="方正楷体_GBK"/>
          <w:b w:val="0"/>
          <w:bCs w:val="0"/>
          <w:sz w:val="28"/>
          <w:szCs w:val="28"/>
        </w:rPr>
      </w:pPr>
      <w:bookmarkStart w:id="184" w:name="_Toc1549391478_WPSOffice_Level2"/>
      <w:bookmarkStart w:id="185" w:name="_Toc600868509_WPSOffice_Level2"/>
      <w:bookmarkStart w:id="186" w:name="_Hlk71550212"/>
      <w:r>
        <w:rPr>
          <w:rFonts w:hint="default" w:ascii="方正楷体_GBK" w:hAnsi="方正楷体_GBK" w:eastAsia="方正楷体_GBK" w:cs="方正楷体_GBK"/>
          <w:b w:val="0"/>
          <w:bCs w:val="0"/>
          <w:sz w:val="28"/>
          <w:szCs w:val="28"/>
        </w:rPr>
        <w:t>专栏10  道路清扫重点项目</w:t>
      </w:r>
      <w:bookmarkEnd w:id="184"/>
      <w:bookmarkEnd w:id="185"/>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noWrap w:val="0"/>
            <w:vAlign w:val="top"/>
          </w:tcPr>
          <w:p>
            <w:pPr>
              <w:snapToGrid w:val="0"/>
              <w:spacing w:line="276" w:lineRule="auto"/>
              <w:ind w:firstLine="0"/>
              <w:rPr>
                <w:rFonts w:ascii="方正仿宋_GBK" w:hAnsi="方正仿宋_GBK" w:cs="方正仿宋_GBK"/>
                <w:b w:val="0"/>
                <w:bCs w:val="0"/>
                <w:sz w:val="21"/>
                <w:szCs w:val="21"/>
              </w:rPr>
            </w:pPr>
            <w:r>
              <w:rPr>
                <w:rFonts w:hint="default"/>
                <w:b w:val="0"/>
                <w:bCs w:val="0"/>
                <w:sz w:val="21"/>
                <w:szCs w:val="21"/>
              </w:rPr>
              <w:t>道路清扫设备设施新增项目——</w:t>
            </w:r>
            <w:r>
              <w:rPr>
                <w:rFonts w:ascii="方正仿宋_GBK" w:hAnsi="方正仿宋_GBK" w:cs="方正仿宋_GBK"/>
                <w:b w:val="0"/>
                <w:bCs w:val="0"/>
                <w:sz w:val="21"/>
                <w:szCs w:val="21"/>
              </w:rPr>
              <w:t>新增8吨洗扫车10台、洒水车5台，深度洗污车1台，小型路面冲洗车20台。</w:t>
            </w:r>
          </w:p>
          <w:p>
            <w:pPr>
              <w:snapToGrid w:val="0"/>
              <w:spacing w:line="276" w:lineRule="auto"/>
              <w:ind w:firstLine="0"/>
              <w:rPr>
                <w:b w:val="0"/>
                <w:bCs w:val="0"/>
                <w:sz w:val="32"/>
                <w:szCs w:val="32"/>
              </w:rPr>
            </w:pPr>
            <w:r>
              <w:rPr>
                <w:rFonts w:hint="default"/>
                <w:b w:val="0"/>
                <w:bCs w:val="0"/>
                <w:sz w:val="21"/>
                <w:szCs w:val="21"/>
              </w:rPr>
              <w:t>园林绿化弃渣再利用试点项目——</w:t>
            </w:r>
            <w:r>
              <w:rPr>
                <w:rFonts w:ascii="方正仿宋_GBK" w:hAnsi="方正仿宋_GBK" w:cs="方正仿宋_GBK"/>
                <w:b w:val="0"/>
                <w:bCs w:val="0"/>
                <w:sz w:val="21"/>
                <w:szCs w:val="21"/>
              </w:rPr>
              <w:t>建设1个园林绿化弃渣再利用项目。</w:t>
            </w:r>
          </w:p>
        </w:tc>
      </w:tr>
      <w:bookmarkEnd w:id="186"/>
    </w:tbl>
    <w:p>
      <w:pPr>
        <w:snapToGrid w:val="0"/>
        <w:spacing w:before="0" w:after="0" w:line="276" w:lineRule="auto"/>
        <w:ind w:firstLine="0"/>
        <w:jc w:val="both"/>
        <w:rPr>
          <w:rFonts w:hint="default" w:ascii="方正仿宋_GBK" w:hAnsi="方正仿宋_GBK" w:eastAsia="方正仿宋_GBK" w:cs="方正仿宋_GBK"/>
          <w:b w:val="0"/>
          <w:bCs w:val="0"/>
        </w:rPr>
      </w:pPr>
      <w:bookmarkStart w:id="187" w:name="_Toc5558"/>
      <w:bookmarkStart w:id="188" w:name="_Toc18157"/>
    </w:p>
    <w:p>
      <w:pPr>
        <w:snapToGrid w:val="0"/>
        <w:spacing w:before="0" w:after="0" w:line="276" w:lineRule="auto"/>
        <w:ind w:firstLine="0" w:firstLineChars="0"/>
        <w:jc w:val="center"/>
        <w:rPr>
          <w:rFonts w:hint="eastAsia" w:ascii="方正黑体_GBK" w:hAnsi="方正黑体_GBK" w:eastAsia="方正黑体_GBK" w:cs="方正黑体_GBK"/>
          <w:b w:val="0"/>
          <w:bCs w:val="0"/>
        </w:rPr>
      </w:pPr>
      <w:bookmarkStart w:id="189" w:name="_Toc275653892_WPSOffice_Level2"/>
      <w:bookmarkStart w:id="190" w:name="_Toc562236966_WPSOffice_Level2"/>
      <w:r>
        <w:rPr>
          <w:rFonts w:hint="default" w:ascii="方正黑体_GBK" w:hAnsi="方正黑体_GBK" w:eastAsia="方正黑体_GBK" w:cs="方正黑体_GBK"/>
          <w:b w:val="0"/>
          <w:bCs w:val="0"/>
        </w:rPr>
        <w:t>第五节  完善公厕设施建设管理</w:t>
      </w:r>
      <w:bookmarkEnd w:id="187"/>
      <w:bookmarkEnd w:id="188"/>
      <w:bookmarkEnd w:id="189"/>
      <w:bookmarkEnd w:id="190"/>
    </w:p>
    <w:p>
      <w:pPr>
        <w:snapToGrid w:val="0"/>
        <w:spacing w:line="276" w:lineRule="auto"/>
        <w:ind w:firstLine="0"/>
        <w:rPr>
          <w:rFonts w:hint="default" w:ascii="方正仿宋_GBK" w:eastAsia="方正仿宋_GBK"/>
          <w:b w:val="0"/>
          <w:bCs w:val="0"/>
          <w:shd w:val="clear" w:color="auto" w:fill="auto"/>
        </w:rPr>
      </w:pPr>
    </w:p>
    <w:p>
      <w:pPr>
        <w:snapToGrid w:val="0"/>
        <w:spacing w:line="276" w:lineRule="auto"/>
        <w:ind w:firstLine="0"/>
        <w:rPr>
          <w:b w:val="0"/>
          <w:bCs w:val="0"/>
        </w:rPr>
      </w:pPr>
      <w:r>
        <w:rPr>
          <w:rFonts w:hint="default" w:ascii="方正仿宋_GBK" w:eastAsia="方正仿宋_GBK"/>
          <w:b w:val="0"/>
          <w:bCs w:val="0"/>
          <w:shd w:val="clear" w:color="auto" w:fill="auto"/>
        </w:rPr>
        <w:t>推进公厕增量提质。</w:t>
      </w:r>
      <w:r>
        <w:rPr>
          <w:rFonts w:hint="eastAsia" w:ascii="方正仿宋_GBK" w:hAnsi="方正仿宋_GBK" w:cs="方正仿宋_GBK"/>
          <w:b w:val="0"/>
          <w:bCs w:val="0"/>
        </w:rPr>
        <w:t>加大公厕建设力度，合理优化布局，确保公厕建设新城新区不欠账、老城老区补短板。加强在城市窗口地标、重点商业区周边区域现状公厕品质提升改造工作，新建公厕应达到二类以上标准，完善公厕便民服务系统，促进全区公厕管理和服务提档升级。城市独立式公厕新城区按每平方千米城市建设用地设置应不少于4座，其中临居住区周边道路设置间距不大于600米，商业区周边道路间距不大于400米，城市其他区域周边道路间距不大于1200米。</w:t>
      </w:r>
    </w:p>
    <w:p>
      <w:pPr>
        <w:snapToGrid w:val="0"/>
        <w:spacing w:line="276" w:lineRule="auto"/>
        <w:ind w:firstLine="0"/>
        <w:rPr>
          <w:rFonts w:hint="eastAsia" w:ascii="方正仿宋_GBK" w:hAnsi="方正仿宋_GBK" w:cs="方正仿宋_GBK"/>
          <w:b w:val="0"/>
          <w:bCs w:val="0"/>
        </w:rPr>
      </w:pPr>
      <w:r>
        <w:rPr>
          <w:rFonts w:hint="default" w:ascii="方正仿宋_GBK" w:eastAsia="方正仿宋_GBK"/>
          <w:b w:val="0"/>
          <w:bCs w:val="0"/>
          <w:shd w:val="clear" w:color="auto" w:fill="auto"/>
        </w:rPr>
        <w:t>强化公厕运营管理机制。</w:t>
      </w:r>
      <w:r>
        <w:rPr>
          <w:rFonts w:hint="eastAsia" w:ascii="方正仿宋_GBK" w:hAnsi="方正仿宋_GBK" w:cs="方正仿宋_GBK"/>
          <w:b w:val="0"/>
          <w:bCs w:val="0"/>
        </w:rPr>
        <w:t>强化公厕日常精细化管理，全面提升公厕服务保洁品质，加强公厕人性化设计，满足市民日益提高的个性化、多元化、智慧化公厕服务需求。继续完善公厕化粪池监控预警系统，配备具有气体监测、紧急报警、自动定位、自动排险等技术功能的远程公厕化粪池监控设施，通过实时采集、分析、处理、监测，实现对城市公厕化粪池的数字化和自动化管理。推进公厕运营维护市场化运作模式，积极开展最美公厕等社会评选活动。</w:t>
      </w:r>
    </w:p>
    <w:p>
      <w:pPr>
        <w:snapToGrid w:val="0"/>
        <w:spacing w:line="276" w:lineRule="auto"/>
        <w:ind w:firstLine="0"/>
        <w:rPr>
          <w:rFonts w:hint="eastAsia" w:ascii="方正仿宋_GBK" w:hAnsi="方正仿宋_GBK" w:cs="方正仿宋_GBK"/>
          <w:b w:val="0"/>
          <w:bCs w:val="0"/>
        </w:rPr>
      </w:pPr>
      <w:r>
        <w:rPr>
          <w:rFonts w:hint="default" w:ascii="方正仿宋_GBK" w:eastAsia="方正仿宋_GBK"/>
          <w:b w:val="0"/>
          <w:bCs w:val="0"/>
        </w:rPr>
        <w:t>规范化粪池清掏服务。</w:t>
      </w:r>
      <w:r>
        <w:rPr>
          <w:rFonts w:hint="eastAsia" w:ascii="方正仿宋_GBK" w:hAnsi="方正仿宋_GBK" w:cs="方正仿宋_GBK"/>
          <w:b w:val="0"/>
          <w:bCs w:val="0"/>
        </w:rPr>
        <w:t>落实化粪池清掏工作管理主体和第一责任人，定期对粪便收运处理工作进行检查、指导和考核。规范化粪池清掏作业行为，杜绝粪便长期淤积造成管道阻塞或粪便漫溢现象发生。继续优化完善粪便收运作业方式和处理设施，加强粪渣的无害化处理。</w:t>
      </w:r>
    </w:p>
    <w:p>
      <w:pPr>
        <w:snapToGrid w:val="0"/>
        <w:spacing w:line="276" w:lineRule="auto"/>
        <w:ind w:firstLine="0" w:firstLineChars="0"/>
        <w:jc w:val="center"/>
        <w:rPr>
          <w:rFonts w:hint="eastAsia" w:ascii="方正楷体_GBK" w:hAnsi="方正楷体_GBK" w:eastAsia="方正楷体_GBK" w:cs="方正楷体_GBK"/>
          <w:b w:val="0"/>
          <w:bCs w:val="0"/>
          <w:sz w:val="28"/>
          <w:szCs w:val="28"/>
        </w:rPr>
      </w:pPr>
      <w:bookmarkStart w:id="191" w:name="_Toc57339502_WPSOffice_Level2"/>
      <w:bookmarkStart w:id="192" w:name="_Toc754808154_WPSOffice_Level2"/>
      <w:r>
        <w:rPr>
          <w:rFonts w:hint="default" w:ascii="方正楷体_GBK" w:hAnsi="方正楷体_GBK" w:eastAsia="方正楷体_GBK" w:cs="方正楷体_GBK"/>
          <w:b w:val="0"/>
          <w:bCs w:val="0"/>
          <w:sz w:val="28"/>
          <w:szCs w:val="28"/>
        </w:rPr>
        <w:t>专栏11  城市公厕建设重点项目</w:t>
      </w:r>
      <w:bookmarkEnd w:id="191"/>
      <w:bookmarkEnd w:id="192"/>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noWrap w:val="0"/>
            <w:vAlign w:val="top"/>
          </w:tcPr>
          <w:p>
            <w:pPr>
              <w:snapToGrid w:val="0"/>
              <w:spacing w:line="240" w:lineRule="auto"/>
              <w:ind w:firstLine="0"/>
              <w:rPr>
                <w:rFonts w:ascii="方正仿宋_GBK" w:hAnsi="方正仿宋_GBK" w:cs="方正仿宋_GBK"/>
                <w:b w:val="0"/>
                <w:bCs w:val="0"/>
                <w:sz w:val="21"/>
                <w:szCs w:val="21"/>
              </w:rPr>
            </w:pPr>
            <w:r>
              <w:rPr>
                <w:rFonts w:hint="default"/>
                <w:b w:val="0"/>
                <w:bCs w:val="0"/>
                <w:sz w:val="21"/>
                <w:szCs w:val="21"/>
              </w:rPr>
              <w:t>城区公厕建设项目——</w:t>
            </w:r>
            <w:r>
              <w:rPr>
                <w:rFonts w:ascii="方正仿宋_GBK" w:hAnsi="方正仿宋_GBK" w:cs="方正仿宋_GBK"/>
                <w:b w:val="0"/>
                <w:bCs w:val="0"/>
                <w:sz w:val="21"/>
                <w:szCs w:val="21"/>
                <w:shd w:val="clear" w:color="auto" w:fill="auto"/>
              </w:rPr>
              <w:t>重点推进全区现状公厕提质20座，新建公厕13座</w:t>
            </w:r>
            <w:r>
              <w:rPr>
                <w:rFonts w:ascii="方正仿宋_GBK" w:hAnsi="方正仿宋_GBK" w:cs="方正仿宋_GBK"/>
                <w:b w:val="0"/>
                <w:bCs w:val="0"/>
                <w:sz w:val="21"/>
                <w:szCs w:val="21"/>
              </w:rPr>
              <w:t>。</w:t>
            </w:r>
          </w:p>
          <w:p>
            <w:pPr>
              <w:snapToGrid w:val="0"/>
              <w:spacing w:line="240" w:lineRule="auto"/>
              <w:ind w:firstLine="0"/>
              <w:rPr>
                <w:b w:val="0"/>
                <w:bCs w:val="0"/>
                <w:sz w:val="21"/>
                <w:szCs w:val="21"/>
              </w:rPr>
            </w:pPr>
            <w:r>
              <w:rPr>
                <w:rFonts w:hint="default"/>
                <w:b w:val="0"/>
                <w:bCs w:val="0"/>
                <w:sz w:val="21"/>
                <w:szCs w:val="21"/>
              </w:rPr>
              <w:t>城区化粪池管护项目——</w:t>
            </w:r>
            <w:r>
              <w:rPr>
                <w:rFonts w:ascii="方正仿宋_GBK" w:hAnsi="方正仿宋_GBK" w:cs="方正仿宋_GBK"/>
                <w:b w:val="0"/>
                <w:bCs w:val="0"/>
                <w:sz w:val="21"/>
                <w:szCs w:val="21"/>
              </w:rPr>
              <w:t>更换改造化粪池预警系统，配备具有气体监测、紧急报警、自动定位、自动排险等技术功能的远程公厕化粪池监控设施。</w:t>
            </w:r>
          </w:p>
        </w:tc>
      </w:tr>
    </w:tbl>
    <w:p>
      <w:pPr>
        <w:snapToGrid w:val="0"/>
        <w:spacing w:line="276" w:lineRule="auto"/>
        <w:ind w:firstLine="0"/>
        <w:rPr>
          <w:rFonts w:hint="eastAsia" w:eastAsia="方正仿宋_GBK"/>
          <w:b w:val="0"/>
          <w:bCs w:val="0"/>
          <w:sz w:val="32"/>
          <w:szCs w:val="32"/>
        </w:rPr>
      </w:pPr>
      <w:bookmarkStart w:id="193" w:name="_Toc7628"/>
      <w:bookmarkStart w:id="194" w:name="_Toc30329"/>
    </w:p>
    <w:p>
      <w:pPr>
        <w:snapToGrid w:val="0"/>
        <w:spacing w:before="0" w:after="0" w:line="276" w:lineRule="auto"/>
        <w:ind w:firstLine="0" w:firstLineChars="0"/>
        <w:jc w:val="center"/>
        <w:rPr>
          <w:rFonts w:hint="eastAsia" w:ascii="方正小标宋_GBK" w:hAnsi="方正小标宋_GBK" w:eastAsia="方正小标宋_GBK" w:cs="方正小标宋_GBK"/>
          <w:b w:val="0"/>
          <w:bCs w:val="0"/>
          <w:sz w:val="32"/>
          <w:szCs w:val="32"/>
        </w:rPr>
      </w:pPr>
      <w:bookmarkStart w:id="195" w:name="_Toc136347877_WPSOffice_Level1"/>
      <w:bookmarkStart w:id="196" w:name="_Toc2094599960_WPSOffice_Level1"/>
      <w:r>
        <w:rPr>
          <w:rFonts w:hint="eastAsia" w:ascii="方正小标宋_GBK" w:hAnsi="方正小标宋_GBK" w:eastAsia="方正小标宋_GBK" w:cs="方正小标宋_GBK"/>
          <w:b w:val="0"/>
          <w:bCs w:val="0"/>
          <w:sz w:val="32"/>
          <w:szCs w:val="32"/>
        </w:rPr>
        <w:t>第五章  筑牢城市绿色</w:t>
      </w:r>
      <w:bookmarkEnd w:id="117"/>
      <w:r>
        <w:rPr>
          <w:rFonts w:hint="eastAsia" w:ascii="方正小标宋_GBK" w:hAnsi="方正小标宋_GBK" w:eastAsia="方正小标宋_GBK" w:cs="方正小标宋_GBK"/>
          <w:b w:val="0"/>
          <w:bCs w:val="0"/>
          <w:sz w:val="32"/>
          <w:szCs w:val="32"/>
        </w:rPr>
        <w:t>本底，构建“公园城市”蓝绿空间</w:t>
      </w:r>
      <w:bookmarkEnd w:id="193"/>
      <w:bookmarkEnd w:id="194"/>
      <w:bookmarkEnd w:id="195"/>
      <w:bookmarkEnd w:id="196"/>
    </w:p>
    <w:p>
      <w:pPr>
        <w:snapToGrid w:val="0"/>
        <w:spacing w:before="0" w:after="0" w:line="276" w:lineRule="auto"/>
        <w:ind w:firstLine="0"/>
        <w:jc w:val="both"/>
        <w:rPr>
          <w:rFonts w:hint="eastAsia" w:ascii="方正仿宋_GBK" w:hAnsi="方正仿宋_GBK" w:eastAsia="方正仿宋_GBK" w:cs="方正仿宋_GBK"/>
          <w:b w:val="0"/>
          <w:bCs w:val="0"/>
          <w:sz w:val="32"/>
          <w:szCs w:val="32"/>
        </w:rPr>
      </w:pPr>
    </w:p>
    <w:p>
      <w:pPr>
        <w:snapToGrid w:val="0"/>
        <w:spacing w:before="0" w:after="0" w:line="276" w:lineRule="auto"/>
        <w:ind w:firstLine="0" w:firstLineChars="0"/>
        <w:jc w:val="center"/>
        <w:rPr>
          <w:rFonts w:hint="default" w:ascii="方正黑体_GBK" w:hAnsi="方正黑体_GBK" w:eastAsia="方正黑体_GBK" w:cs="方正黑体_GBK"/>
          <w:b w:val="0"/>
          <w:bCs w:val="0"/>
        </w:rPr>
      </w:pPr>
      <w:bookmarkStart w:id="197" w:name="_Toc1717659516_WPSOffice_Level2"/>
      <w:bookmarkStart w:id="198" w:name="_Toc21592"/>
      <w:bookmarkStart w:id="199" w:name="_Toc1487731558_WPSOffice_Level2"/>
      <w:bookmarkStart w:id="200" w:name="_Toc14651"/>
      <w:r>
        <w:rPr>
          <w:rFonts w:hint="default" w:ascii="方正黑体_GBK" w:hAnsi="方正黑体_GBK" w:eastAsia="方正黑体_GBK" w:cs="方正黑体_GBK"/>
          <w:b w:val="0"/>
          <w:bCs w:val="0"/>
        </w:rPr>
        <w:t>第一节  强化成渝生态绿色空间构建</w:t>
      </w:r>
      <w:bookmarkEnd w:id="197"/>
      <w:bookmarkEnd w:id="198"/>
      <w:bookmarkEnd w:id="199"/>
      <w:bookmarkEnd w:id="200"/>
    </w:p>
    <w:p>
      <w:pPr>
        <w:snapToGrid w:val="0"/>
        <w:spacing w:before="0" w:after="0" w:line="276" w:lineRule="auto"/>
        <w:ind w:firstLine="0"/>
        <w:jc w:val="both"/>
        <w:rPr>
          <w:rFonts w:hint="eastAsia" w:ascii="方正仿宋_GBK" w:hAnsi="方正仿宋_GBK" w:eastAsia="方正仿宋_GBK" w:cs="方正仿宋_GBK"/>
          <w:b w:val="0"/>
          <w:bCs w:val="0"/>
        </w:rPr>
      </w:pPr>
    </w:p>
    <w:p>
      <w:pPr>
        <w:snapToGrid w:val="0"/>
        <w:spacing w:line="276" w:lineRule="auto"/>
        <w:ind w:firstLine="0"/>
        <w:rPr>
          <w:rFonts w:hint="eastAsia" w:ascii="方正仿宋_GBK" w:hAnsi="方正仿宋_GBK" w:cs="方正仿宋_GBK"/>
          <w:b w:val="0"/>
          <w:bCs w:val="0"/>
        </w:rPr>
      </w:pPr>
      <w:r>
        <w:rPr>
          <w:rFonts w:hint="eastAsia" w:ascii="方正仿宋_GBK" w:hAnsi="方正仿宋_GBK" w:cs="方正仿宋_GBK"/>
          <w:b w:val="0"/>
          <w:bCs w:val="0"/>
        </w:rPr>
        <w:t>加强与周边城市共有山脉、水系的生态系统一体化构建，协同区域绿道、绿廊等绿色网络体系的共建，拓展区域绿色游憩空间，构建区域绿色游憩体系。加强区域绿色空间生物多样性联动保护，促进成渝城市生态格局构建。加强城市绿地统筹构建，围绕绿地系统规划、生态系统保护与修复、安全防护体系建设等内容，促进城市园林绿化规划设计领域的合作共享，提升双城区域绿化的系统性、整体性、和谐性，构建成渝一体的绿色生态体系，提升双城生态品质和可持续发展生态承载力。</w:t>
      </w:r>
    </w:p>
    <w:p>
      <w:pPr>
        <w:snapToGrid w:val="0"/>
        <w:spacing w:line="276" w:lineRule="auto"/>
        <w:ind w:firstLine="0"/>
        <w:rPr>
          <w:rFonts w:hint="eastAsia" w:ascii="方正仿宋_GBK" w:hAnsi="方正仿宋_GBK" w:cs="方正仿宋_GBK"/>
          <w:b w:val="0"/>
          <w:bCs w:val="0"/>
        </w:rPr>
      </w:pPr>
    </w:p>
    <w:p>
      <w:pPr>
        <w:snapToGrid w:val="0"/>
        <w:spacing w:before="0" w:after="0" w:line="276" w:lineRule="auto"/>
        <w:ind w:firstLine="0" w:firstLineChars="0"/>
        <w:jc w:val="center"/>
        <w:rPr>
          <w:rFonts w:hint="eastAsia" w:ascii="方正黑体_GBK" w:hAnsi="方正黑体_GBK" w:eastAsia="方正黑体_GBK" w:cs="方正黑体_GBK"/>
          <w:b w:val="0"/>
          <w:bCs w:val="0"/>
        </w:rPr>
      </w:pPr>
      <w:bookmarkStart w:id="201" w:name="_Toc682774751_WPSOffice_Level2"/>
      <w:bookmarkStart w:id="202" w:name="_Toc30052"/>
      <w:bookmarkStart w:id="203" w:name="_Toc274624493_WPSOffice_Level2"/>
      <w:bookmarkStart w:id="204" w:name="_Toc29832"/>
      <w:r>
        <w:rPr>
          <w:rFonts w:hint="default" w:ascii="方正黑体_GBK" w:hAnsi="方正黑体_GBK" w:eastAsia="方正黑体_GBK" w:cs="方正黑体_GBK"/>
          <w:b w:val="0"/>
          <w:bCs w:val="0"/>
        </w:rPr>
        <w:t>第二节  推动城乡绿化一体化发展</w:t>
      </w:r>
      <w:bookmarkEnd w:id="201"/>
      <w:bookmarkEnd w:id="202"/>
      <w:bookmarkEnd w:id="203"/>
      <w:bookmarkEnd w:id="204"/>
    </w:p>
    <w:p>
      <w:pPr>
        <w:snapToGrid w:val="0"/>
        <w:spacing w:line="276" w:lineRule="auto"/>
        <w:ind w:firstLine="0"/>
        <w:rPr>
          <w:rFonts w:hint="default" w:ascii="方正仿宋_GBK" w:eastAsia="方正仿宋_GBK"/>
          <w:b w:val="0"/>
          <w:bCs w:val="0"/>
        </w:rPr>
      </w:pPr>
    </w:p>
    <w:p>
      <w:pPr>
        <w:snapToGrid w:val="0"/>
        <w:spacing w:line="276" w:lineRule="auto"/>
        <w:ind w:firstLine="0"/>
        <w:rPr>
          <w:rFonts w:hint="eastAsia" w:ascii="方正仿宋_GBK" w:hAnsi="方正仿宋_GBK" w:cs="方正仿宋_GBK"/>
          <w:b w:val="0"/>
          <w:bCs w:val="0"/>
        </w:rPr>
      </w:pPr>
      <w:r>
        <w:rPr>
          <w:rFonts w:hint="default" w:ascii="方正仿宋_GBK" w:eastAsia="方正仿宋_GBK"/>
          <w:b w:val="0"/>
          <w:bCs w:val="0"/>
        </w:rPr>
        <w:t>构建城乡一体化绿化格局。</w:t>
      </w:r>
      <w:r>
        <w:rPr>
          <w:rFonts w:hint="eastAsia" w:ascii="方正仿宋_GBK" w:hAnsi="方正仿宋_GBK" w:cs="方正仿宋_GBK"/>
          <w:b w:val="0"/>
          <w:bCs w:val="0"/>
        </w:rPr>
        <w:t>坚持以规划为先导，以产业化为方向，以项目为抓手，充分利用统筹城乡绿化建设的有利时机，全力加快城乡绿化建设步伐，不断增强园林经济发展的内在活力，着力提升城乡绿化管理水平，大力加强城乡绿化资源体系、产业体系和生态体系的建设，实现城乡绿化跨越式发展。围绕城乡国土绿化行动、城市品质提升、乡村振兴等，加强城市外围的生态环境管控，积极开展城乡绿化提质增效行动。坚持以城市带动农村绿化，加强城乡结合部绿化，以城市、镇、村庄绿化为点，以公路、城市道路绿化为线，以山地绿化为面，统筹推进区域绿化一体化建设，构建城乡一体的绿道系统以及以城市生态公园、郊野公园为主的风景游憩绿地体系，努力建设符合现代城市生态要求的城乡一体绿化格局。推进镇街集镇绿化提升行动，实施16个镇公园广场建设。</w:t>
      </w:r>
    </w:p>
    <w:p>
      <w:pPr>
        <w:snapToGrid w:val="0"/>
        <w:spacing w:line="276" w:lineRule="auto"/>
        <w:ind w:firstLine="0"/>
        <w:rPr>
          <w:rFonts w:hint="eastAsia" w:ascii="方正仿宋_GBK" w:hAnsi="方正仿宋_GBK" w:cs="方正仿宋_GBK"/>
          <w:b w:val="0"/>
          <w:bCs w:val="0"/>
        </w:rPr>
      </w:pPr>
      <w:r>
        <w:rPr>
          <w:rFonts w:hint="default" w:ascii="方正仿宋_GBK" w:eastAsia="方正仿宋_GBK"/>
          <w:b w:val="0"/>
          <w:bCs w:val="0"/>
        </w:rPr>
        <w:t>加强城市生态修复。</w:t>
      </w:r>
      <w:r>
        <w:rPr>
          <w:rFonts w:hint="eastAsia" w:ascii="方正仿宋_GBK" w:hAnsi="方正仿宋_GBK" w:cs="方正仿宋_GBK"/>
          <w:b w:val="0"/>
          <w:bCs w:val="0"/>
        </w:rPr>
        <w:t>加强永川区临江河（三河汇碧至栏杆滩段）、玉屏河（三河汇碧至永川植物园段）、跳蹬河（三河汇碧至银昆高速段）、红旗河（临江河至兴龙湖段）、马银河（临江河至旺龙湖段）以及各大小水库的水源生态涵养，选择适宜植物构建生态群落进行生态修复，全面推进水污染治理、水生态修复、水资源保护，打造高品质滨河游憩带。加强黄瓜山、箕山、云雾山和城内规划重点保护的12座山体、2条蔡英岩崖线上堡坎、挡墙、高切坡和自然山体崖壁等绿化“秃斑”进行景观绿化治理，提升山体绿色品质，推进山体生态林培育，加强对山体危岩的排查，加强永川区城中山体的保育建设。加强城—山—河城市视线通廊的保护，加强永川区城市开发边界内城市生态公园的建设，对城中山体互视系统中的桃花山、桂山、望城坡、探花公园、观音岩5座城中山体进行重点打造，提升景观环境，强化城内山体的休闲游憩功能。</w:t>
      </w:r>
    </w:p>
    <w:p>
      <w:pPr>
        <w:snapToGrid w:val="0"/>
        <w:spacing w:line="276" w:lineRule="auto"/>
        <w:ind w:firstLine="0"/>
        <w:rPr>
          <w:rFonts w:hint="eastAsia" w:ascii="方正仿宋_GBK" w:hAnsi="方正仿宋_GBK" w:cs="方正仿宋_GBK"/>
          <w:b w:val="0"/>
          <w:bCs w:val="0"/>
        </w:rPr>
      </w:pPr>
      <w:r>
        <w:rPr>
          <w:rFonts w:hint="default" w:ascii="方正仿宋_GBK" w:eastAsia="方正仿宋_GBK"/>
          <w:b w:val="0"/>
          <w:bCs w:val="0"/>
        </w:rPr>
        <w:t>构建城市“全域公园”体系。</w:t>
      </w:r>
      <w:r>
        <w:rPr>
          <w:rFonts w:ascii="方正仿宋_GBK" w:hAnsi="方正仿宋_GBK" w:cs="方正仿宋_GBK"/>
          <w:b w:val="0"/>
          <w:bCs w:val="0"/>
          <w:szCs w:val="32"/>
        </w:rPr>
        <w:t>推进</w:t>
      </w:r>
      <w:r>
        <w:rPr>
          <w:rFonts w:hint="default" w:ascii="方正仿宋_GBK" w:hAnsi="方正仿宋_GBK" w:cs="方正仿宋_GBK"/>
          <w:b w:val="0"/>
          <w:bCs w:val="0"/>
          <w:szCs w:val="32"/>
        </w:rPr>
        <w:t>“</w:t>
      </w:r>
      <w:r>
        <w:rPr>
          <w:rFonts w:ascii="方正仿宋_GBK" w:hAnsi="方正仿宋_GBK" w:cs="方正仿宋_GBK"/>
          <w:b w:val="0"/>
          <w:bCs w:val="0"/>
          <w:szCs w:val="32"/>
        </w:rPr>
        <w:t>全域公园</w:t>
      </w:r>
      <w:r>
        <w:rPr>
          <w:rFonts w:hint="default" w:ascii="方正仿宋_GBK" w:hAnsi="方正仿宋_GBK" w:cs="方正仿宋_GBK"/>
          <w:b w:val="0"/>
          <w:bCs w:val="0"/>
          <w:szCs w:val="32"/>
        </w:rPr>
        <w:t>”</w:t>
      </w:r>
      <w:r>
        <w:rPr>
          <w:rFonts w:ascii="方正仿宋_GBK" w:hAnsi="方正仿宋_GBK" w:cs="方正仿宋_GBK"/>
          <w:b w:val="0"/>
          <w:bCs w:val="0"/>
          <w:szCs w:val="32"/>
        </w:rPr>
        <w:t>建设，以公园城市建设引领城市发展，提高城市魅力、竞争力和人才吸引力，激发新兴消费和绿色产业，实现</w:t>
      </w:r>
      <w:r>
        <w:rPr>
          <w:rFonts w:hint="default" w:ascii="方正仿宋_GBK" w:hAnsi="方正仿宋_GBK" w:cs="方正仿宋_GBK"/>
          <w:b w:val="0"/>
          <w:bCs w:val="0"/>
          <w:szCs w:val="32"/>
        </w:rPr>
        <w:t>“</w:t>
      </w:r>
      <w:r>
        <w:rPr>
          <w:rFonts w:ascii="方正仿宋_GBK" w:hAnsi="方正仿宋_GBK" w:cs="方正仿宋_GBK"/>
          <w:b w:val="0"/>
          <w:bCs w:val="0"/>
          <w:szCs w:val="32"/>
        </w:rPr>
        <w:t>产城景</w:t>
      </w:r>
      <w:r>
        <w:rPr>
          <w:rFonts w:hint="default" w:ascii="方正仿宋_GBK" w:hAnsi="方正仿宋_GBK" w:cs="方正仿宋_GBK"/>
          <w:b w:val="0"/>
          <w:bCs w:val="0"/>
          <w:szCs w:val="32"/>
        </w:rPr>
        <w:t>”</w:t>
      </w:r>
      <w:r>
        <w:rPr>
          <w:rFonts w:ascii="方正仿宋_GBK" w:hAnsi="方正仿宋_GBK" w:cs="方正仿宋_GBK"/>
          <w:b w:val="0"/>
          <w:bCs w:val="0"/>
          <w:szCs w:val="32"/>
        </w:rPr>
        <w:t>深度融合，建设美好幸福人居，打造</w:t>
      </w:r>
      <w:r>
        <w:rPr>
          <w:rFonts w:hint="default" w:ascii="方正仿宋_GBK" w:hAnsi="方正仿宋_GBK" w:cs="方正仿宋_GBK"/>
          <w:b w:val="0"/>
          <w:bCs w:val="0"/>
          <w:szCs w:val="32"/>
        </w:rPr>
        <w:t>“</w:t>
      </w:r>
      <w:r>
        <w:rPr>
          <w:rFonts w:ascii="方正仿宋_GBK" w:hAnsi="方正仿宋_GBK" w:cs="方正仿宋_GBK"/>
          <w:b w:val="0"/>
          <w:bCs w:val="0"/>
          <w:szCs w:val="32"/>
        </w:rPr>
        <w:t>大美新永川、幸福公园城</w:t>
      </w:r>
      <w:r>
        <w:rPr>
          <w:rFonts w:hint="default" w:ascii="方正仿宋_GBK" w:hAnsi="方正仿宋_GBK" w:cs="方正仿宋_GBK"/>
          <w:b w:val="0"/>
          <w:bCs w:val="0"/>
          <w:szCs w:val="32"/>
        </w:rPr>
        <w:t>”</w:t>
      </w:r>
      <w:r>
        <w:rPr>
          <w:rFonts w:ascii="方正仿宋_GBK" w:hAnsi="方正仿宋_GBK" w:cs="方正仿宋_GBK"/>
          <w:b w:val="0"/>
          <w:bCs w:val="0"/>
          <w:szCs w:val="32"/>
        </w:rPr>
        <w:t>城市新名片，建设公园城市西部样板和成渝文旅新高地，实现生态美、产业兴、百姓富。至2025年，公园城市空间格局基本建立，以</w:t>
      </w:r>
      <w:r>
        <w:rPr>
          <w:rFonts w:hint="default" w:ascii="方正仿宋_GBK" w:hAnsi="方正仿宋_GBK" w:cs="方正仿宋_GBK"/>
          <w:b w:val="0"/>
          <w:bCs w:val="0"/>
          <w:szCs w:val="32"/>
        </w:rPr>
        <w:t>“</w:t>
      </w:r>
      <w:r>
        <w:rPr>
          <w:rFonts w:ascii="方正仿宋_GBK" w:hAnsi="方正仿宋_GBK" w:cs="方正仿宋_GBK"/>
          <w:b w:val="0"/>
          <w:bCs w:val="0"/>
          <w:szCs w:val="32"/>
        </w:rPr>
        <w:t>三山、六水、九湖</w:t>
      </w:r>
      <w:r>
        <w:rPr>
          <w:rFonts w:hint="default" w:ascii="方正仿宋_GBK" w:hAnsi="方正仿宋_GBK" w:cs="方正仿宋_GBK"/>
          <w:b w:val="0"/>
          <w:bCs w:val="0"/>
          <w:szCs w:val="32"/>
        </w:rPr>
        <w:t>”</w:t>
      </w:r>
      <w:r>
        <w:rPr>
          <w:rFonts w:ascii="方正仿宋_GBK" w:hAnsi="方正仿宋_GBK" w:cs="方正仿宋_GBK"/>
          <w:b w:val="0"/>
          <w:bCs w:val="0"/>
          <w:szCs w:val="32"/>
        </w:rPr>
        <w:t>为骨架的网络化绿色空间体系基本形成。依托现有山水脉络等独特风光，构建</w:t>
      </w:r>
      <w:r>
        <w:rPr>
          <w:rFonts w:hint="default" w:ascii="方正仿宋_GBK" w:hAnsi="方正仿宋_GBK" w:cs="方正仿宋_GBK"/>
          <w:b w:val="0"/>
          <w:bCs w:val="0"/>
          <w:szCs w:val="32"/>
        </w:rPr>
        <w:t>“</w:t>
      </w:r>
      <w:r>
        <w:rPr>
          <w:rFonts w:ascii="方正仿宋_GBK" w:hAnsi="方正仿宋_GBK" w:cs="方正仿宋_GBK"/>
          <w:b w:val="0"/>
          <w:bCs w:val="0"/>
          <w:szCs w:val="32"/>
        </w:rPr>
        <w:t>三面青山、六水绕城、九湖美景</w:t>
      </w:r>
      <w:r>
        <w:rPr>
          <w:rFonts w:hint="default" w:ascii="方正仿宋_GBK" w:hAnsi="方正仿宋_GBK" w:cs="方正仿宋_GBK"/>
          <w:b w:val="0"/>
          <w:bCs w:val="0"/>
          <w:szCs w:val="32"/>
        </w:rPr>
        <w:t>”</w:t>
      </w:r>
      <w:r>
        <w:rPr>
          <w:rFonts w:ascii="方正仿宋_GBK" w:hAnsi="方正仿宋_GBK" w:cs="方正仿宋_GBK"/>
          <w:b w:val="0"/>
          <w:bCs w:val="0"/>
          <w:szCs w:val="32"/>
        </w:rPr>
        <w:t>的公园城市特色，人均公园绿地面积大于12平方米/人，公园绿地服务半径覆盖率达90%以上，实现出门有绿道、转角是公园、湖泊在身边，开门见绿、推窗见景，做到每500米一个市民公园、每1000米一个休闲广场、每2000米一处湖泊景观，营造全域公园场景，打造宜居宜业宜游的美丽永川。</w:t>
      </w:r>
    </w:p>
    <w:p>
      <w:pPr>
        <w:snapToGrid w:val="0"/>
        <w:spacing w:line="276" w:lineRule="auto"/>
        <w:ind w:firstLine="0"/>
        <w:rPr>
          <w:rFonts w:hint="eastAsia" w:ascii="方正仿宋_GBK" w:hAnsi="方正仿宋_GBK" w:cs="方正仿宋_GBK"/>
          <w:b w:val="0"/>
          <w:bCs w:val="0"/>
        </w:rPr>
      </w:pPr>
      <w:r>
        <w:rPr>
          <w:rFonts w:hint="default" w:ascii="方正仿宋_GBK" w:eastAsia="方正仿宋_GBK"/>
          <w:b w:val="0"/>
          <w:bCs w:val="0"/>
        </w:rPr>
        <w:t>推动园林绿化生产苗圃建设。</w:t>
      </w:r>
      <w:r>
        <w:rPr>
          <w:rFonts w:hint="eastAsia" w:ascii="方正仿宋_GBK" w:hAnsi="方正仿宋_GBK" w:cs="方正仿宋_GBK"/>
          <w:b w:val="0"/>
          <w:bCs w:val="0"/>
        </w:rPr>
        <w:t>加强园林绿化产业与川渝地区其他城市的协同发展，共同搭建区域性苗木交易平台，壮大渝西花卉苗木产业，培育川渝特色苗木产业基地。</w:t>
      </w:r>
      <w:r>
        <w:rPr>
          <w:rFonts w:ascii="方正仿宋_GBK" w:hAnsi="方正仿宋_GBK" w:cs="方正仿宋_GBK"/>
          <w:b w:val="0"/>
          <w:bCs w:val="0"/>
          <w:szCs w:val="32"/>
        </w:rPr>
        <w:t>研究制定</w:t>
      </w:r>
      <w:r>
        <w:rPr>
          <w:rFonts w:ascii="方正仿宋_GBK" w:hAnsi="方正仿宋_GBK" w:cs="方正仿宋_GBK"/>
          <w:b w:val="0"/>
          <w:bCs w:val="0"/>
          <w:shd w:val="clear" w:color="auto" w:fill="auto"/>
        </w:rPr>
        <w:t>园林绿化</w:t>
      </w:r>
      <w:r>
        <w:rPr>
          <w:rFonts w:ascii="方正仿宋_GBK" w:hAnsi="方正仿宋_GBK" w:cs="方正仿宋_GBK"/>
          <w:b w:val="0"/>
          <w:bCs w:val="0"/>
          <w:szCs w:val="32"/>
        </w:rPr>
        <w:t>产业政策，编制城市苗圃产业发展规划，组织指导园林绿化苗木生产。</w:t>
      </w:r>
      <w:r>
        <w:rPr>
          <w:rFonts w:hint="eastAsia" w:ascii="方正仿宋_GBK" w:hAnsi="方正仿宋_GBK" w:cs="方正仿宋_GBK"/>
          <w:b w:val="0"/>
          <w:bCs w:val="0"/>
        </w:rPr>
        <w:t>协调引导园林绿化生产苗圃用地落实，保障永川区城市园林绿化建设，为城市绿化品质提升、坡坎崖绿化美化等工程提供苗木支撑。</w:t>
      </w:r>
    </w:p>
    <w:p>
      <w:pPr>
        <w:snapToGrid w:val="0"/>
        <w:spacing w:line="276" w:lineRule="auto"/>
        <w:ind w:firstLine="0" w:firstLineChars="0"/>
        <w:jc w:val="center"/>
        <w:rPr>
          <w:rFonts w:hint="eastAsia" w:ascii="方正楷体_GBK" w:hAnsi="方正楷体_GBK" w:eastAsia="方正楷体_GBK" w:cs="方正楷体_GBK"/>
          <w:b w:val="0"/>
          <w:bCs w:val="0"/>
          <w:sz w:val="28"/>
          <w:szCs w:val="28"/>
        </w:rPr>
      </w:pPr>
      <w:bookmarkStart w:id="205" w:name="_Toc1762502119_WPSOffice_Level2"/>
      <w:bookmarkStart w:id="206" w:name="_Toc2144667586_WPSOffice_Level2"/>
      <w:r>
        <w:rPr>
          <w:rFonts w:hint="default" w:ascii="方正楷体_GBK" w:hAnsi="方正楷体_GBK" w:eastAsia="方正楷体_GBK" w:cs="方正楷体_GBK"/>
          <w:b w:val="0"/>
          <w:bCs w:val="0"/>
          <w:sz w:val="28"/>
          <w:szCs w:val="28"/>
        </w:rPr>
        <w:t>专栏12  城乡绿化一体化发展重点项目</w:t>
      </w:r>
      <w:bookmarkEnd w:id="205"/>
      <w:bookmarkEnd w:id="206"/>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4" w:hRule="atLeast"/>
        </w:trPr>
        <w:tc>
          <w:tcPr>
            <w:tcW w:w="8920" w:type="dxa"/>
            <w:noWrap w:val="0"/>
            <w:vAlign w:val="top"/>
          </w:tcPr>
          <w:p>
            <w:pPr>
              <w:snapToGrid w:val="0"/>
              <w:spacing w:line="240" w:lineRule="auto"/>
              <w:ind w:firstLine="0"/>
              <w:rPr>
                <w:b w:val="0"/>
                <w:bCs w:val="0"/>
                <w:sz w:val="21"/>
                <w:szCs w:val="21"/>
              </w:rPr>
            </w:pPr>
            <w:r>
              <w:rPr>
                <w:rFonts w:hint="default"/>
                <w:b w:val="0"/>
                <w:bCs w:val="0"/>
                <w:sz w:val="21"/>
                <w:szCs w:val="21"/>
              </w:rPr>
              <w:t>配套规划编制项目——</w:t>
            </w:r>
            <w:r>
              <w:rPr>
                <w:rFonts w:ascii="方正仿宋_GBK" w:hAnsi="方正仿宋_GBK" w:cs="方正仿宋_GBK"/>
                <w:b w:val="0"/>
                <w:bCs w:val="0"/>
                <w:sz w:val="21"/>
                <w:szCs w:val="21"/>
              </w:rPr>
              <w:t>与国土空间规划协调一致，完成《永川区城市绿地系统规划（2021-2035）》。</w:t>
            </w:r>
          </w:p>
          <w:p>
            <w:pPr>
              <w:snapToGrid w:val="0"/>
              <w:spacing w:line="240" w:lineRule="auto"/>
              <w:ind w:firstLine="0"/>
              <w:rPr>
                <w:b w:val="0"/>
                <w:bCs w:val="0"/>
                <w:sz w:val="21"/>
                <w:szCs w:val="21"/>
              </w:rPr>
            </w:pPr>
            <w:r>
              <w:rPr>
                <w:rFonts w:hint="default"/>
                <w:b w:val="0"/>
                <w:bCs w:val="0"/>
                <w:sz w:val="21"/>
                <w:szCs w:val="21"/>
              </w:rPr>
              <w:t>镇街集镇绿化项目——</w:t>
            </w:r>
            <w:r>
              <w:rPr>
                <w:rFonts w:ascii="方正仿宋_GBK" w:hAnsi="方正仿宋_GBK" w:cs="方正仿宋_GBK"/>
                <w:b w:val="0"/>
                <w:bCs w:val="0"/>
                <w:sz w:val="21"/>
                <w:szCs w:val="21"/>
              </w:rPr>
              <w:t>实施16个镇公园广场建设</w:t>
            </w:r>
            <w:r>
              <w:rPr>
                <w:rFonts w:hint="default"/>
                <w:b w:val="0"/>
                <w:bCs w:val="0"/>
                <w:sz w:val="21"/>
                <w:szCs w:val="21"/>
              </w:rPr>
              <w:t>。</w:t>
            </w:r>
          </w:p>
          <w:p>
            <w:pPr>
              <w:snapToGrid w:val="0"/>
              <w:spacing w:line="240" w:lineRule="auto"/>
              <w:ind w:firstLine="0"/>
              <w:rPr>
                <w:rFonts w:ascii="方正仿宋_GBK" w:hAnsi="方正仿宋_GBK" w:cs="方正仿宋_GBK"/>
                <w:b w:val="0"/>
                <w:bCs w:val="0"/>
                <w:sz w:val="21"/>
                <w:szCs w:val="21"/>
              </w:rPr>
            </w:pPr>
            <w:r>
              <w:rPr>
                <w:rFonts w:hint="default"/>
                <w:b w:val="0"/>
                <w:bCs w:val="0"/>
                <w:sz w:val="21"/>
                <w:szCs w:val="21"/>
              </w:rPr>
              <w:t>城市生态修复项目——</w:t>
            </w:r>
            <w:r>
              <w:rPr>
                <w:rFonts w:ascii="方正仿宋_GBK" w:hAnsi="方正仿宋_GBK" w:cs="方正仿宋_GBK"/>
                <w:b w:val="0"/>
                <w:bCs w:val="0"/>
                <w:sz w:val="21"/>
                <w:szCs w:val="21"/>
              </w:rPr>
              <w:t>加强临江河（三河汇碧至栏杆滩段），玉屏河（三河汇碧至永川植物园段）、跳蹬河（三河汇碧至银昆高速段）、红旗河（临江河至兴龙湖段）、马银河（临江河至旺龙湖段）生态修复工作；加强黄瓜山、箕山、云雾山和城内规划重点保护的12座山体、2条蔡英岩崖线生态修复工作。</w:t>
            </w:r>
          </w:p>
          <w:p>
            <w:pPr>
              <w:snapToGrid w:val="0"/>
              <w:spacing w:line="240" w:lineRule="auto"/>
              <w:ind w:firstLine="0"/>
              <w:rPr>
                <w:b w:val="0"/>
                <w:bCs w:val="0"/>
                <w:sz w:val="21"/>
                <w:szCs w:val="21"/>
              </w:rPr>
            </w:pPr>
            <w:r>
              <w:rPr>
                <w:b w:val="0"/>
                <w:bCs w:val="0"/>
                <w:sz w:val="21"/>
                <w:szCs w:val="21"/>
              </w:rPr>
              <w:t>搭建区域性苗木交易平台</w:t>
            </w:r>
            <w:r>
              <w:rPr>
                <w:rFonts w:hint="default"/>
                <w:b w:val="0"/>
                <w:bCs w:val="0"/>
                <w:sz w:val="21"/>
                <w:szCs w:val="21"/>
              </w:rPr>
              <w:t>项目——</w:t>
            </w:r>
            <w:r>
              <w:rPr>
                <w:rFonts w:ascii="方正仿宋_GBK" w:hAnsi="方正仿宋_GBK" w:cs="方正仿宋_GBK"/>
                <w:b w:val="0"/>
                <w:bCs w:val="0"/>
                <w:sz w:val="21"/>
                <w:szCs w:val="21"/>
              </w:rPr>
              <w:t>壮大渝西花卉苗木产业，培育川渝特色苗木产业基地，提升苗圃1处。</w:t>
            </w:r>
          </w:p>
        </w:tc>
      </w:tr>
    </w:tbl>
    <w:p>
      <w:pPr>
        <w:snapToGrid w:val="0"/>
        <w:spacing w:after="0" w:line="276" w:lineRule="auto"/>
        <w:ind w:left="0" w:leftChars="0" w:firstLine="0" w:firstLineChars="0"/>
        <w:jc w:val="both"/>
        <w:rPr>
          <w:b w:val="0"/>
          <w:bCs w:val="0"/>
        </w:rPr>
      </w:pPr>
    </w:p>
    <w:p>
      <w:pPr>
        <w:snapToGrid w:val="0"/>
        <w:spacing w:before="0" w:after="0" w:line="276" w:lineRule="auto"/>
        <w:ind w:firstLine="0" w:firstLineChars="0"/>
        <w:jc w:val="center"/>
        <w:rPr>
          <w:rFonts w:hint="eastAsia" w:ascii="方正黑体_GBK" w:hAnsi="方正黑体_GBK" w:eastAsia="方正黑体_GBK" w:cs="方正黑体_GBK"/>
          <w:b w:val="0"/>
          <w:bCs w:val="0"/>
        </w:rPr>
      </w:pPr>
      <w:bookmarkStart w:id="207" w:name="_Toc24520"/>
      <w:bookmarkStart w:id="208" w:name="_Toc1479732395_WPSOffice_Level2"/>
      <w:bookmarkStart w:id="209" w:name="_Toc183875806_WPSOffice_Level2"/>
      <w:bookmarkStart w:id="210" w:name="_Toc8629"/>
      <w:r>
        <w:rPr>
          <w:rFonts w:hint="default" w:ascii="方正黑体_GBK" w:hAnsi="方正黑体_GBK" w:eastAsia="方正黑体_GBK" w:cs="方正黑体_GBK"/>
          <w:b w:val="0"/>
          <w:bCs w:val="0"/>
        </w:rPr>
        <w:t>第三节  推进城市绿化建设</w:t>
      </w:r>
      <w:bookmarkEnd w:id="207"/>
      <w:bookmarkEnd w:id="208"/>
      <w:bookmarkEnd w:id="209"/>
      <w:bookmarkEnd w:id="210"/>
    </w:p>
    <w:p>
      <w:pPr>
        <w:snapToGrid w:val="0"/>
        <w:spacing w:line="276" w:lineRule="auto"/>
        <w:ind w:firstLine="0"/>
        <w:rPr>
          <w:rFonts w:hint="default" w:ascii="方正仿宋_GBK" w:eastAsia="方正仿宋_GBK"/>
          <w:b w:val="0"/>
          <w:bCs w:val="0"/>
        </w:rPr>
      </w:pPr>
    </w:p>
    <w:p>
      <w:pPr>
        <w:snapToGrid w:val="0"/>
        <w:spacing w:line="276" w:lineRule="auto"/>
        <w:ind w:firstLine="0"/>
        <w:rPr>
          <w:rFonts w:hint="eastAsia" w:ascii="方正仿宋_GBK" w:hAnsi="方正仿宋_GBK" w:cs="方正仿宋_GBK"/>
          <w:b w:val="0"/>
          <w:bCs w:val="0"/>
        </w:rPr>
      </w:pPr>
      <w:r>
        <w:rPr>
          <w:rFonts w:hint="default" w:ascii="方正仿宋_GBK" w:eastAsia="方正仿宋_GBK"/>
          <w:b w:val="0"/>
          <w:bCs w:val="0"/>
        </w:rPr>
        <w:t>实现城市绿化六个转变。</w:t>
      </w:r>
      <w:r>
        <w:rPr>
          <w:rFonts w:hint="eastAsia" w:ascii="方正仿宋_GBK" w:hAnsi="方正仿宋_GBK" w:cs="方正仿宋_GBK"/>
          <w:b w:val="0"/>
          <w:bCs w:val="0"/>
        </w:rPr>
        <w:t>一是由“拆违建绿、见缝插绿</w:t>
      </w:r>
      <w:r>
        <w:rPr>
          <w:rFonts w:hint="default" w:ascii="方正仿宋_GBK" w:hAnsi="方正仿宋_GBK" w:cs="方正仿宋_GBK"/>
          <w:b w:val="0"/>
          <w:bCs w:val="0"/>
          <w:szCs w:val="32"/>
        </w:rPr>
        <w:t>”</w:t>
      </w:r>
      <w:r>
        <w:rPr>
          <w:rFonts w:hint="eastAsia" w:ascii="方正仿宋_GBK" w:hAnsi="方正仿宋_GBK" w:cs="方正仿宋_GBK"/>
          <w:b w:val="0"/>
          <w:bCs w:val="0"/>
        </w:rPr>
        <w:t>向“规划建绿</w:t>
      </w:r>
      <w:r>
        <w:rPr>
          <w:rFonts w:hint="default" w:ascii="方正仿宋_GBK" w:hAnsi="方正仿宋_GBK" w:cs="方正仿宋_GBK"/>
          <w:b w:val="0"/>
          <w:bCs w:val="0"/>
          <w:szCs w:val="32"/>
        </w:rPr>
        <w:t>”</w:t>
      </w:r>
      <w:r>
        <w:rPr>
          <w:rFonts w:hint="eastAsia" w:ascii="方正仿宋_GBK" w:hAnsi="方正仿宋_GBK" w:cs="方正仿宋_GBK"/>
          <w:b w:val="0"/>
          <w:bCs w:val="0"/>
        </w:rPr>
        <w:t>转变，使绿化成为“有生命的城市重要基础设施”；二是从片面追求绿化景观效果向满足大绿量生态功能转变；三是由单纯注重绿化面积向平面绿化、垂直绿化、屋顶绿化等立体绿化格局转变；四是由只注重城区绿化向全面推进城乡绿化一体化转变；五是由注重人工造景为主向绿化近自然化转变，提倡管理减量化；六是由只注重建设向建设与管护并重转变。</w:t>
      </w:r>
    </w:p>
    <w:p>
      <w:pPr>
        <w:snapToGrid w:val="0"/>
        <w:spacing w:line="276" w:lineRule="auto"/>
        <w:ind w:firstLine="0"/>
        <w:rPr>
          <w:rFonts w:hint="eastAsia" w:ascii="方正仿宋_GBK" w:hAnsi="方正仿宋_GBK" w:cs="方正仿宋_GBK"/>
          <w:b w:val="0"/>
          <w:bCs w:val="0"/>
        </w:rPr>
      </w:pPr>
      <w:r>
        <w:rPr>
          <w:rFonts w:hint="default" w:ascii="方正仿宋_GBK" w:eastAsia="方正仿宋_GBK"/>
          <w:b w:val="0"/>
          <w:bCs w:val="0"/>
        </w:rPr>
        <w:t>推进国家生态园林城区创建工作。</w:t>
      </w:r>
      <w:r>
        <w:rPr>
          <w:rFonts w:hint="eastAsia" w:ascii="方正仿宋_GBK" w:hAnsi="方正仿宋_GBK" w:cs="方正仿宋_GBK"/>
          <w:b w:val="0"/>
          <w:bCs w:val="0"/>
        </w:rPr>
        <w:t>通过创建行动推动城市绿化规划建设管理水平的全面提升和人居环境的切实改善，以建设美丽公园城市为目标，启动永川区国家生态园林城区创建工作，开展园林式单位、园林式小区、绿色社区、重点公园、园林城镇创建活动。以创建国家生态园林城区为抓手，稳步推进新增城市绿地建设。</w:t>
      </w:r>
    </w:p>
    <w:p>
      <w:pPr>
        <w:widowControl w:val="0"/>
        <w:snapToGrid w:val="0"/>
        <w:spacing w:line="276" w:lineRule="auto"/>
        <w:ind w:firstLine="0"/>
        <w:rPr>
          <w:rFonts w:hint="eastAsia" w:ascii="方正仿宋_GBK" w:hAnsi="方正仿宋_GBK" w:cs="方正仿宋_GBK"/>
          <w:b w:val="0"/>
          <w:bCs w:val="0"/>
        </w:rPr>
      </w:pPr>
      <w:r>
        <w:rPr>
          <w:rFonts w:hint="default" w:ascii="方正仿宋_GBK" w:eastAsia="方正仿宋_GBK"/>
          <w:b w:val="0"/>
          <w:bCs w:val="0"/>
        </w:rPr>
        <w:t>推动公园城市体系建设。</w:t>
      </w:r>
      <w:r>
        <w:rPr>
          <w:rFonts w:hint="eastAsia" w:ascii="方正仿宋_GBK" w:hAnsi="方正仿宋_GBK" w:cs="方正仿宋_GBK"/>
          <w:b w:val="0"/>
          <w:bCs w:val="0"/>
        </w:rPr>
        <w:t>构建分布均衡、层次分明、结构完善的城市公园体系，实施“增绿添园”“绿廊建设”行动，早日实现500米一个市民公园、1000米一个休闲广场、2000米一处湖泊景观的公园城市美景。以城东科技生态城建设为契机，全力打造山水园林城市新典范，建设2平方公里公园综合体，同步打造多个生态核心景观和景观节点，力争城市蓝绿空间占比达到60%，将“大自然”带入城市，形成“推窗见绿、5分钟入园、10分钟亲水、15分钟踏青”的生态城区。启动启智湖、智慧湖及周边绿化建设，建成东西向沿兴业大道的城市发展轴和南北向沿山脉的城市中央生态绿轴，在城市建设中融入山水田园风光，打造生态智慧、生产智创、生活智能的新型城市。完善公园绿地体系，有效增加城市公园数量和种类，重点推进桃花山公园三期、望城公园三期等公园建设，建成望城生态屏障工程，有序推进探花湿地公园、旺龙湖公园、凤凰湖滨河公园、智慧湖公园、石梁湖公园</w:t>
      </w:r>
      <w:r>
        <w:rPr>
          <w:rFonts w:ascii="方正仿宋_GBK" w:hAnsi="方正仿宋_GBK" w:cs="方正仿宋_GBK"/>
          <w:b w:val="0"/>
          <w:bCs w:val="0"/>
          <w:szCs w:val="32"/>
        </w:rPr>
        <w:t>、</w:t>
      </w:r>
      <w:r>
        <w:rPr>
          <w:rFonts w:ascii="方正仿宋_GBK" w:hAnsi="方正仿宋_GBK" w:cs="方正仿宋_GBK"/>
          <w:b w:val="0"/>
          <w:bCs w:val="0"/>
          <w:kern w:val="2"/>
          <w:szCs w:val="32"/>
        </w:rPr>
        <w:t>文化艺术公园</w:t>
      </w:r>
      <w:r>
        <w:rPr>
          <w:rFonts w:hint="eastAsia" w:ascii="方正仿宋_GBK" w:hAnsi="方正仿宋_GBK" w:cs="方正仿宋_GBK"/>
          <w:b w:val="0"/>
          <w:bCs w:val="0"/>
        </w:rPr>
        <w:t>等城市公园绿地建设。加快推进永川区公园绿地“15分钟服务圈”建设，优化城市社区公园、游园布局，提高公园绿地的可达性。开展科技公园前期工作，推进永川智慧公园</w:t>
      </w:r>
      <w:r>
        <w:rPr>
          <w:rFonts w:ascii="方正仿宋_GBK" w:hAnsi="方正仿宋_GBK" w:cs="方正仿宋_GBK"/>
          <w:b w:val="0"/>
          <w:bCs w:val="0"/>
          <w:szCs w:val="32"/>
        </w:rPr>
        <w:t>建设，打造兴龙湖公园、智慧湖公园2个智慧公园特色市民参与示范项目。</w:t>
      </w:r>
      <w:r>
        <w:rPr>
          <w:rFonts w:hint="eastAsia" w:ascii="方正仿宋_GBK" w:hAnsi="方正仿宋_GBK" w:cs="方正仿宋_GBK"/>
          <w:b w:val="0"/>
          <w:bCs w:val="0"/>
        </w:rPr>
        <w:t>建设绿廊、绿道有机连通公园，启动龙马大道、昌龙大道等7条城市绿道示范建设，依托现状步道及绿地网络，通过绿道串联的手法，对城中重要山体、水系湖泊等开敞空间进行联通，建立山林慢道、亲水绿道、悦城景道三位一体的慢行绿道网络。</w:t>
      </w:r>
    </w:p>
    <w:p>
      <w:pPr>
        <w:snapToGrid w:val="0"/>
        <w:spacing w:line="276" w:lineRule="auto"/>
        <w:ind w:firstLine="0"/>
        <w:rPr>
          <w:rFonts w:hint="eastAsia" w:ascii="方正仿宋_GBK" w:hAnsi="方正仿宋_GBK" w:cs="方正仿宋_GBK"/>
          <w:b w:val="0"/>
          <w:bCs w:val="0"/>
        </w:rPr>
      </w:pPr>
      <w:r>
        <w:rPr>
          <w:rFonts w:hint="default" w:ascii="方正仿宋_GBK" w:eastAsia="方正仿宋_GBK"/>
          <w:b w:val="0"/>
          <w:bCs w:val="0"/>
        </w:rPr>
        <w:t>加强绿地体育配套设施建设。</w:t>
      </w:r>
      <w:r>
        <w:rPr>
          <w:rFonts w:hint="eastAsia" w:ascii="方正仿宋_GBK" w:hAnsi="方正仿宋_GBK" w:cs="方正仿宋_GBK"/>
          <w:b w:val="0"/>
          <w:bCs w:val="0"/>
        </w:rPr>
        <w:t>围绕永川区“十四五”期间建成体育强区目标，大力拓展城市公共区域健身休闲功能，扩大体育场地设施供给，进一步满足人民群众体育健身需求，在保护已建绿地成果和满足体育设施场所尺寸、安全、环保等要求的前提下，因地制宜在公园、广场、绿道等开敞空间进行全龄体育健身设施的建设布局，优先配置健身步道、健身小广场以及羽毛球场、篮球场等球类场地，集中改造3个具备体育健身设施的社区公园。</w:t>
      </w:r>
    </w:p>
    <w:p>
      <w:pPr>
        <w:snapToGrid w:val="0"/>
        <w:spacing w:line="276" w:lineRule="auto"/>
        <w:ind w:firstLine="0"/>
        <w:rPr>
          <w:rFonts w:hint="eastAsia" w:ascii="方正仿宋_GBK" w:hAnsi="方正仿宋_GBK" w:cs="方正仿宋_GBK"/>
          <w:b w:val="0"/>
          <w:bCs w:val="0"/>
        </w:rPr>
      </w:pPr>
      <w:r>
        <w:rPr>
          <w:rFonts w:hint="default" w:ascii="方正仿宋_GBK" w:eastAsia="方正仿宋_GBK"/>
          <w:b w:val="0"/>
          <w:bCs w:val="0"/>
        </w:rPr>
        <w:t>加强绿地儿童配套设施建设。</w:t>
      </w:r>
      <w:r>
        <w:rPr>
          <w:rFonts w:hint="eastAsia" w:ascii="方正仿宋_GBK" w:hAnsi="方正仿宋_GBK" w:cs="方正仿宋_GBK"/>
          <w:b w:val="0"/>
          <w:bCs w:val="0"/>
        </w:rPr>
        <w:t>打造儿童友好型的城市绿地，结合城市公园、广场等公共空间的建设和改造工程，增设安全、有趣的儿童友好型活动设施，设置具有探索性、益智性的游戏空间。新建公园着重考虑儿童体验场所的设计，科学规划环境建设和设施，提供适合儿童各年龄段的户外体验环境，集中改造3个具备儿童活动设施的社区公园。</w:t>
      </w:r>
    </w:p>
    <w:p>
      <w:pPr>
        <w:snapToGrid w:val="0"/>
        <w:spacing w:line="276" w:lineRule="auto"/>
        <w:ind w:firstLine="0"/>
        <w:rPr>
          <w:b w:val="0"/>
          <w:bCs w:val="0"/>
        </w:rPr>
      </w:pPr>
      <w:r>
        <w:rPr>
          <w:rFonts w:hint="default" w:ascii="方正仿宋_GBK" w:eastAsia="方正仿宋_GBK"/>
          <w:b w:val="0"/>
          <w:bCs w:val="0"/>
        </w:rPr>
        <w:t>继续推进立体绿化建设。</w:t>
      </w:r>
      <w:r>
        <w:rPr>
          <w:rFonts w:hint="eastAsia" w:ascii="方正仿宋_GBK" w:hAnsi="方正仿宋_GBK" w:cs="方正仿宋_GBK"/>
          <w:b w:val="0"/>
          <w:bCs w:val="0"/>
        </w:rPr>
        <w:t>大力实施“坡坎崖”绿化美化、市政设施立体绿化美化、屋顶绿化美化、墙体垂直绿化、阳台绿化美化、滨河绿化带建设、库岸整治等。推进城市道路边坡、人行天桥、隧道口的立体绿化美化建设。以“最美单位”“最美社区”“最美阳台”评选为抓手，推进全区机关、企事业单位、小区开展立体绿化。</w:t>
      </w:r>
    </w:p>
    <w:p>
      <w:pPr>
        <w:snapToGrid w:val="0"/>
        <w:spacing w:line="276" w:lineRule="auto"/>
        <w:ind w:firstLine="0" w:firstLineChars="0"/>
        <w:jc w:val="center"/>
        <w:rPr>
          <w:rFonts w:hint="eastAsia" w:ascii="方正楷体_GBK" w:hAnsi="方正楷体_GBK" w:eastAsia="方正楷体_GBK" w:cs="方正楷体_GBK"/>
          <w:b w:val="0"/>
          <w:bCs w:val="0"/>
          <w:sz w:val="28"/>
          <w:szCs w:val="28"/>
        </w:rPr>
      </w:pPr>
      <w:bookmarkStart w:id="211" w:name="_Toc1117341698_WPSOffice_Level2"/>
      <w:bookmarkStart w:id="212" w:name="_Toc418379611_WPSOffice_Level2"/>
      <w:r>
        <w:rPr>
          <w:rFonts w:hint="default" w:ascii="方正楷体_GBK" w:hAnsi="方正楷体_GBK" w:eastAsia="方正楷体_GBK" w:cs="方正楷体_GBK"/>
          <w:b w:val="0"/>
          <w:bCs w:val="0"/>
          <w:sz w:val="28"/>
          <w:szCs w:val="28"/>
        </w:rPr>
        <w:t>专栏13  推进城市</w:t>
      </w:r>
      <w:r>
        <w:rPr>
          <w:rFonts w:hint="eastAsia" w:ascii="方正楷体_GBK" w:hAnsi="方正楷体_GBK" w:eastAsia="方正楷体_GBK" w:cs="方正楷体_GBK"/>
          <w:b w:val="0"/>
          <w:bCs w:val="0"/>
          <w:sz w:val="28"/>
          <w:szCs w:val="28"/>
        </w:rPr>
        <w:t>绿化建设</w:t>
      </w:r>
      <w:r>
        <w:rPr>
          <w:rFonts w:hint="default" w:ascii="方正楷体_GBK" w:hAnsi="方正楷体_GBK" w:eastAsia="方正楷体_GBK" w:cs="方正楷体_GBK"/>
          <w:b w:val="0"/>
          <w:bCs w:val="0"/>
          <w:sz w:val="28"/>
          <w:szCs w:val="28"/>
        </w:rPr>
        <w:t>重点项目</w:t>
      </w:r>
      <w:bookmarkEnd w:id="211"/>
      <w:bookmarkEnd w:id="212"/>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15" w:hRule="atLeast"/>
        </w:trPr>
        <w:tc>
          <w:tcPr>
            <w:tcW w:w="8640" w:type="dxa"/>
            <w:noWrap w:val="0"/>
            <w:vAlign w:val="top"/>
          </w:tcPr>
          <w:p>
            <w:pPr>
              <w:snapToGrid w:val="0"/>
              <w:spacing w:line="240" w:lineRule="auto"/>
              <w:ind w:firstLine="0"/>
              <w:rPr>
                <w:rFonts w:ascii="方正仿宋_GBK" w:hAnsi="方正仿宋_GBK" w:cs="方正仿宋_GBK"/>
                <w:b w:val="0"/>
                <w:bCs w:val="0"/>
                <w:sz w:val="21"/>
                <w:szCs w:val="21"/>
              </w:rPr>
            </w:pPr>
            <w:r>
              <w:rPr>
                <w:rFonts w:hint="default"/>
                <w:b w:val="0"/>
                <w:bCs w:val="0"/>
                <w:sz w:val="21"/>
                <w:szCs w:val="21"/>
              </w:rPr>
              <w:t>城市公园建设项目——</w:t>
            </w:r>
            <w:r>
              <w:rPr>
                <w:rFonts w:ascii="方正仿宋_GBK" w:hAnsi="方正仿宋_GBK" w:cs="方正仿宋_GBK"/>
                <w:b w:val="0"/>
                <w:bCs w:val="0"/>
                <w:sz w:val="21"/>
                <w:szCs w:val="21"/>
              </w:rPr>
              <w:t>启动桃花山公园（三期工程）、旺龙湖公园、望城公园（三期工程）、启智湖公园、智慧湖公园、科技生态城文化艺术公园、探花湿地公园、兴南公园、石梁湖公园、跃进厂湿地公园、狮子坡郊野公园、毛家坡郊野公园等建设；加快推进成渝高速老高速路口社区公园、荫山路社区公园、住建委旁滨河小游园、官井桥小游园、万达广场靠海棠大道一侧小游园、商贸城滨河小游园等社区公园、游园建设。</w:t>
            </w:r>
          </w:p>
          <w:p>
            <w:pPr>
              <w:snapToGrid w:val="0"/>
              <w:spacing w:after="0" w:line="240" w:lineRule="auto"/>
              <w:ind w:left="0" w:leftChars="0" w:firstLine="602"/>
              <w:jc w:val="both"/>
              <w:rPr>
                <w:rFonts w:hint="eastAsia" w:ascii="方正仿宋_GBK" w:hAnsi="方正仿宋_GBK" w:eastAsia="方正仿宋_GBK" w:cs="方正仿宋_GBK"/>
                <w:b w:val="0"/>
                <w:bCs w:val="0"/>
                <w:sz w:val="21"/>
                <w:szCs w:val="21"/>
              </w:rPr>
            </w:pPr>
            <w:r>
              <w:rPr>
                <w:rFonts w:hint="eastAsia" w:ascii="方正仿宋_GBK" w:eastAsia="方正仿宋_GBK"/>
                <w:b w:val="0"/>
                <w:bCs w:val="0"/>
                <w:sz w:val="21"/>
                <w:szCs w:val="21"/>
              </w:rPr>
              <w:t>城市绿道建设</w:t>
            </w:r>
            <w:r>
              <w:rPr>
                <w:rFonts w:hint="eastAsia" w:ascii="方正仿宋_GBK" w:hAnsi="方正仿宋_GBK" w:eastAsia="方正仿宋_GBK" w:cs="方正仿宋_GBK"/>
                <w:b w:val="0"/>
                <w:bCs w:val="0"/>
                <w:sz w:val="21"/>
                <w:szCs w:val="21"/>
              </w:rPr>
              <w:t>项目</w:t>
            </w:r>
            <w:r>
              <w:rPr>
                <w:rFonts w:hint="eastAsia" w:ascii="方正仿宋_GBK" w:eastAsia="方正仿宋_GBK"/>
                <w:b w:val="0"/>
                <w:bCs w:val="0"/>
                <w:sz w:val="21"/>
                <w:szCs w:val="21"/>
              </w:rPr>
              <w:t>——</w:t>
            </w:r>
            <w:r>
              <w:rPr>
                <w:rFonts w:hint="eastAsia" w:ascii="方正仿宋_GBK" w:hAnsi="方正仿宋_GBK" w:eastAsia="方正仿宋_GBK" w:cs="方正仿宋_GBK"/>
                <w:b w:val="0"/>
                <w:bCs w:val="0"/>
                <w:sz w:val="21"/>
                <w:szCs w:val="21"/>
              </w:rPr>
              <w:t>实施临江河—凤龙路绿道、卫星湖绿道、红旗河绿道等亲水绿道建设工程；实施茶山竹海绿道、桃花山绿道等山林慢道建设工程；实施一环路绿道、龙马大道绿道、昌龙大道绿道等悦城景道建设工程。</w:t>
            </w:r>
          </w:p>
          <w:p>
            <w:pPr>
              <w:snapToGrid w:val="0"/>
              <w:spacing w:after="0" w:line="240" w:lineRule="auto"/>
              <w:ind w:left="0" w:leftChars="0" w:firstLine="602"/>
              <w:jc w:val="both"/>
              <w:rPr>
                <w:rFonts w:hint="eastAsia" w:ascii="方正仿宋_GBK" w:hAnsi="方正仿宋_GBK" w:eastAsia="方正仿宋_GBK" w:cs="方正仿宋_GBK"/>
                <w:b w:val="0"/>
                <w:bCs w:val="0"/>
                <w:sz w:val="21"/>
                <w:szCs w:val="21"/>
              </w:rPr>
            </w:pPr>
            <w:r>
              <w:rPr>
                <w:rFonts w:hint="eastAsia" w:ascii="方正仿宋_GBK" w:eastAsia="方正仿宋_GBK"/>
                <w:b w:val="0"/>
                <w:bCs w:val="0"/>
                <w:sz w:val="21"/>
                <w:szCs w:val="21"/>
              </w:rPr>
              <w:t>绿地配套设施建设</w:t>
            </w:r>
            <w:r>
              <w:rPr>
                <w:rFonts w:hint="eastAsia" w:ascii="方正仿宋_GBK" w:hAnsi="方正仿宋_GBK" w:eastAsia="方正仿宋_GBK" w:cs="方正仿宋_GBK"/>
                <w:b w:val="0"/>
                <w:bCs w:val="0"/>
                <w:sz w:val="21"/>
                <w:szCs w:val="21"/>
              </w:rPr>
              <w:t>项目</w:t>
            </w:r>
            <w:r>
              <w:rPr>
                <w:rFonts w:hint="eastAsia" w:ascii="方正仿宋_GBK" w:eastAsia="方正仿宋_GBK"/>
                <w:b w:val="0"/>
                <w:bCs w:val="0"/>
                <w:sz w:val="21"/>
                <w:szCs w:val="21"/>
              </w:rPr>
              <w:t>——</w:t>
            </w:r>
            <w:r>
              <w:rPr>
                <w:rFonts w:hint="eastAsia" w:ascii="方正仿宋_GBK" w:hAnsi="方正仿宋_GBK" w:eastAsia="方正仿宋_GBK" w:cs="方正仿宋_GBK"/>
                <w:b w:val="0"/>
                <w:bCs w:val="0"/>
                <w:sz w:val="21"/>
                <w:szCs w:val="21"/>
              </w:rPr>
              <w:t>因地制宜建设具有体育设施、儿童设施的城市绿地，集中改造3个具备体育健身功能和3个具备儿童活动功能的社区公园。</w:t>
            </w:r>
          </w:p>
          <w:p>
            <w:pPr>
              <w:snapToGrid w:val="0"/>
              <w:spacing w:line="240" w:lineRule="auto"/>
              <w:ind w:firstLine="602"/>
              <w:jc w:val="both"/>
              <w:rPr>
                <w:b w:val="0"/>
                <w:bCs w:val="0"/>
                <w:sz w:val="21"/>
                <w:szCs w:val="21"/>
              </w:rPr>
            </w:pPr>
            <w:r>
              <w:rPr>
                <w:rFonts w:hint="eastAsia" w:ascii="方正仿宋_GBK" w:eastAsia="方正仿宋_GBK"/>
                <w:b w:val="0"/>
                <w:bCs w:val="0"/>
                <w:sz w:val="21"/>
                <w:szCs w:val="21"/>
              </w:rPr>
              <w:t>城市立体绿化</w:t>
            </w:r>
            <w:r>
              <w:rPr>
                <w:rFonts w:hint="eastAsia" w:ascii="方正仿宋_GBK" w:hAnsi="方正仿宋_GBK" w:eastAsia="方正仿宋_GBK" w:cs="方正仿宋_GBK"/>
                <w:b w:val="0"/>
                <w:bCs w:val="0"/>
                <w:sz w:val="21"/>
                <w:szCs w:val="21"/>
              </w:rPr>
              <w:t>项目</w:t>
            </w:r>
            <w:r>
              <w:rPr>
                <w:rFonts w:hint="eastAsia" w:ascii="方正仿宋_GBK" w:eastAsia="方正仿宋_GBK"/>
                <w:b w:val="0"/>
                <w:bCs w:val="0"/>
                <w:sz w:val="21"/>
                <w:szCs w:val="21"/>
              </w:rPr>
              <w:t>—</w:t>
            </w:r>
            <w:r>
              <w:rPr>
                <w:rFonts w:hint="eastAsia" w:ascii="方正仿宋_GBK" w:hAnsi="方正仿宋_GBK" w:eastAsia="方正仿宋_GBK" w:cs="方正仿宋_GBK"/>
                <w:b w:val="0"/>
                <w:bCs w:val="0"/>
                <w:sz w:val="21"/>
                <w:szCs w:val="21"/>
              </w:rPr>
              <w:t>实施骑龙街堡坎绿化、昌州大道中段靠近东岳路附近的堡坎绿化等老城区及新城中央片区30个地块“坡坎崖”绿化美化建设工程，约81万平方米；实施兴业大道立体绿化工程，约4万平方米；实施官井路与中山大道交汇口、汇龙大道与昌州大道交汇处、大南门、文理附中、水电校人行天桥桥墩等立体绿化。</w:t>
            </w:r>
          </w:p>
        </w:tc>
      </w:tr>
    </w:tbl>
    <w:p>
      <w:pPr>
        <w:snapToGrid w:val="0"/>
        <w:spacing w:before="0" w:after="0" w:line="276" w:lineRule="auto"/>
        <w:ind w:firstLine="0"/>
        <w:jc w:val="both"/>
        <w:rPr>
          <w:rFonts w:hint="default" w:ascii="方正仿宋_GBK" w:hAnsi="方正仿宋_GBK" w:eastAsia="方正仿宋_GBK" w:cs="方正仿宋_GBK"/>
          <w:b w:val="0"/>
          <w:bCs w:val="0"/>
        </w:rPr>
      </w:pPr>
      <w:bookmarkStart w:id="213" w:name="_Toc28694"/>
      <w:bookmarkStart w:id="214" w:name="_Toc13510"/>
    </w:p>
    <w:p>
      <w:pPr>
        <w:snapToGrid w:val="0"/>
        <w:spacing w:before="0" w:after="0" w:line="276" w:lineRule="auto"/>
        <w:ind w:firstLine="0" w:firstLineChars="0"/>
        <w:jc w:val="center"/>
        <w:rPr>
          <w:rFonts w:hint="eastAsia" w:ascii="方正黑体_GBK" w:hAnsi="方正黑体_GBK" w:eastAsia="方正黑体_GBK" w:cs="方正黑体_GBK"/>
          <w:b w:val="0"/>
          <w:bCs w:val="0"/>
        </w:rPr>
      </w:pPr>
      <w:bookmarkStart w:id="215" w:name="_Toc1038198286_WPSOffice_Level2"/>
      <w:bookmarkStart w:id="216" w:name="_Toc2001772290_WPSOffice_Level2"/>
      <w:r>
        <w:rPr>
          <w:rFonts w:hint="eastAsia" w:ascii="方正黑体_GBK" w:hAnsi="方正黑体_GBK" w:eastAsia="方正黑体_GBK" w:cs="方正黑体_GBK"/>
          <w:b w:val="0"/>
          <w:bCs w:val="0"/>
        </w:rPr>
        <w:t>第四节  提升城市绿化品质</w:t>
      </w:r>
      <w:bookmarkEnd w:id="213"/>
      <w:bookmarkEnd w:id="214"/>
      <w:bookmarkEnd w:id="215"/>
      <w:bookmarkEnd w:id="216"/>
    </w:p>
    <w:p>
      <w:pPr>
        <w:snapToGrid w:val="0"/>
        <w:spacing w:line="276" w:lineRule="auto"/>
        <w:ind w:firstLine="0"/>
        <w:rPr>
          <w:rFonts w:hint="default" w:ascii="方正仿宋_GBK" w:eastAsia="方正仿宋_GBK"/>
          <w:b w:val="0"/>
          <w:bCs w:val="0"/>
        </w:rPr>
      </w:pPr>
    </w:p>
    <w:p>
      <w:pPr>
        <w:snapToGrid w:val="0"/>
        <w:spacing w:line="276" w:lineRule="auto"/>
        <w:ind w:firstLine="0"/>
        <w:rPr>
          <w:rFonts w:hint="eastAsia" w:ascii="方正仿宋_GBK" w:hAnsi="方正仿宋_GBK" w:cs="方正仿宋_GBK"/>
          <w:b w:val="0"/>
          <w:bCs w:val="0"/>
        </w:rPr>
      </w:pPr>
      <w:r>
        <w:rPr>
          <w:rFonts w:hint="default" w:ascii="方正仿宋_GBK" w:eastAsia="方正仿宋_GBK"/>
          <w:b w:val="0"/>
          <w:bCs w:val="0"/>
        </w:rPr>
        <w:t>推进园林绿化更新提质。</w:t>
      </w:r>
      <w:r>
        <w:rPr>
          <w:rFonts w:hint="eastAsia" w:ascii="方正仿宋_GBK" w:hAnsi="方正仿宋_GBK" w:cs="方正仿宋_GBK"/>
          <w:b w:val="0"/>
          <w:bCs w:val="0"/>
        </w:rPr>
        <w:t>着力推进城市绿化更新，提升城市绿化品质，实施公园补缺提质工程。对城区重要商圈、城市出入口、桥头等绿化薄弱区域实施品质提升，做好城市主要道路绿化提升。通过拆围透绿、破硬增绿、见缝插绿等方式增加绿地面积，清理街旁边角地、闲置地建设口袋公园，打造精品绿化节点，实施粽粑公园等一批微型绿地空间建设工程。全面实施公园城市建设，推进“增花添彩”行动。统筹利用主次干道绿化改造，进一步丰富城市园林绿化内涵，做足美化城市的文章，形成“一路一景一树一花”的绿色景观特色长廊。</w:t>
      </w:r>
    </w:p>
    <w:p>
      <w:pPr>
        <w:snapToGrid w:val="0"/>
        <w:spacing w:line="276" w:lineRule="auto"/>
        <w:ind w:firstLine="0"/>
        <w:rPr>
          <w:rFonts w:hint="eastAsia" w:ascii="方正仿宋_GBK" w:hAnsi="方正仿宋_GBK" w:cs="方正仿宋_GBK"/>
          <w:b w:val="0"/>
          <w:bCs w:val="0"/>
        </w:rPr>
      </w:pPr>
      <w:r>
        <w:rPr>
          <w:rFonts w:hint="default" w:ascii="方正仿宋_GBK" w:eastAsia="方正仿宋_GBK"/>
          <w:b w:val="0"/>
          <w:bCs w:val="0"/>
        </w:rPr>
        <w:t>提升绿化精细化管护水平。</w:t>
      </w:r>
      <w:r>
        <w:rPr>
          <w:rFonts w:hint="eastAsia" w:ascii="方正仿宋_GBK" w:hAnsi="方正仿宋_GBK" w:cs="方正仿宋_GBK"/>
          <w:b w:val="0"/>
          <w:bCs w:val="0"/>
        </w:rPr>
        <w:t>继续加强对城市园林绿化进行科学规范管理和保护，</w:t>
      </w:r>
      <w:r>
        <w:rPr>
          <w:rFonts w:ascii="方正仿宋_GBK" w:hAnsi="方正仿宋_GBK" w:cs="方正仿宋_GBK"/>
          <w:b w:val="0"/>
          <w:bCs w:val="0"/>
          <w:szCs w:val="32"/>
        </w:rPr>
        <w:t>制定</w:t>
      </w:r>
      <w:r>
        <w:rPr>
          <w:rFonts w:ascii="方正仿宋_GBK" w:hAnsi="方正仿宋_GBK" w:cs="方正仿宋_GBK"/>
          <w:b w:val="0"/>
          <w:bCs w:val="0"/>
          <w:kern w:val="2"/>
          <w:szCs w:val="32"/>
        </w:rPr>
        <w:t>土壤改良技术实施方案、植物体检方案，</w:t>
      </w:r>
      <w:r>
        <w:rPr>
          <w:rFonts w:ascii="方正仿宋_GBK" w:hAnsi="方正仿宋_GBK" w:cs="方正仿宋_GBK"/>
          <w:b w:val="0"/>
          <w:bCs w:val="0"/>
          <w:szCs w:val="32"/>
        </w:rPr>
        <w:t>提升城市园林绿化精细化管护水平。着力提高行道树精细化管理要求和作业标准，加强植物</w:t>
      </w:r>
      <w:r>
        <w:rPr>
          <w:rFonts w:hint="default" w:ascii="方正仿宋_GBK" w:hAnsi="方正仿宋_GBK" w:cs="方正仿宋_GBK"/>
          <w:b w:val="0"/>
          <w:bCs w:val="0"/>
          <w:szCs w:val="32"/>
        </w:rPr>
        <w:t>“</w:t>
      </w:r>
      <w:r>
        <w:rPr>
          <w:rFonts w:ascii="方正仿宋_GBK" w:hAnsi="方正仿宋_GBK" w:cs="方正仿宋_GBK"/>
          <w:b w:val="0"/>
          <w:bCs w:val="0"/>
          <w:szCs w:val="32"/>
        </w:rPr>
        <w:t>体检</w:t>
      </w:r>
      <w:r>
        <w:rPr>
          <w:rFonts w:hint="default" w:ascii="方正仿宋_GBK" w:hAnsi="方正仿宋_GBK" w:cs="方正仿宋_GBK"/>
          <w:b w:val="0"/>
          <w:bCs w:val="0"/>
          <w:szCs w:val="32"/>
        </w:rPr>
        <w:t>”</w:t>
      </w:r>
      <w:r>
        <w:rPr>
          <w:rFonts w:ascii="方正仿宋_GBK" w:hAnsi="方正仿宋_GBK" w:cs="方正仿宋_GBK"/>
          <w:b w:val="0"/>
          <w:bCs w:val="0"/>
          <w:szCs w:val="32"/>
        </w:rPr>
        <w:t>专项工作，大力开</w:t>
      </w:r>
      <w:r>
        <w:rPr>
          <w:rFonts w:hint="eastAsia" w:ascii="方正仿宋_GBK" w:hAnsi="方正仿宋_GBK" w:cs="方正仿宋_GBK"/>
          <w:b w:val="0"/>
          <w:bCs w:val="0"/>
        </w:rPr>
        <w:t>展病虫害防治工作，强化植物的梳理、复壮和补植，实现高质量栽绿、高品质养绿、高水平管绿，推动城市绿化管养精细化、常态化、长效化、智能化。每年开展园林管养护培训2次以上。</w:t>
      </w:r>
    </w:p>
    <w:p>
      <w:pPr>
        <w:snapToGrid w:val="0"/>
        <w:spacing w:line="276" w:lineRule="auto"/>
        <w:ind w:firstLine="0"/>
        <w:rPr>
          <w:rFonts w:hint="eastAsia" w:ascii="方正仿宋_GBK" w:hAnsi="方正仿宋_GBK" w:cs="方正仿宋_GBK"/>
          <w:b w:val="0"/>
          <w:bCs w:val="0"/>
        </w:rPr>
      </w:pPr>
      <w:r>
        <w:rPr>
          <w:rFonts w:hint="default" w:ascii="方正仿宋_GBK" w:eastAsia="方正仿宋_GBK"/>
          <w:b w:val="0"/>
          <w:bCs w:val="0"/>
        </w:rPr>
        <w:t>加强园林绿化科技应用。</w:t>
      </w:r>
      <w:r>
        <w:rPr>
          <w:rFonts w:hint="eastAsia" w:ascii="方正仿宋_GBK" w:hAnsi="方正仿宋_GBK" w:cs="方正仿宋_GBK"/>
          <w:b w:val="0"/>
          <w:bCs w:val="0"/>
        </w:rPr>
        <w:t>加快园林科技的引入试点及规模化应用。加强国内先进绿化技术经验的学习与推广。探索节水型园林植物的应用，推广喷灌、滴灌等园林节水技术应用。推进永川区城市园林绿化机械化作业水平，使机械化与科学管理相结合，提高管护效率，进一步完善园林绿化维护专用车辆以及修剪设备、施肥打药设备、病虫害防治设备等。</w:t>
      </w:r>
    </w:p>
    <w:p>
      <w:pPr>
        <w:snapToGrid w:val="0"/>
        <w:spacing w:line="276" w:lineRule="auto"/>
        <w:ind w:firstLine="0" w:firstLineChars="0"/>
        <w:jc w:val="center"/>
        <w:rPr>
          <w:rFonts w:hint="eastAsia" w:ascii="方正楷体_GBK" w:hAnsi="方正楷体_GBK" w:eastAsia="方正楷体_GBK" w:cs="方正楷体_GBK"/>
          <w:b w:val="0"/>
          <w:bCs w:val="0"/>
          <w:sz w:val="28"/>
          <w:szCs w:val="28"/>
        </w:rPr>
      </w:pPr>
      <w:bookmarkStart w:id="217" w:name="_Toc1206680565_WPSOffice_Level2"/>
      <w:bookmarkStart w:id="218" w:name="_Toc1938000606_WPSOffice_Level2"/>
      <w:r>
        <w:rPr>
          <w:rFonts w:hint="default" w:ascii="方正楷体_GBK" w:hAnsi="方正楷体_GBK" w:eastAsia="方正楷体_GBK" w:cs="方正楷体_GBK"/>
          <w:b w:val="0"/>
          <w:bCs w:val="0"/>
          <w:sz w:val="28"/>
          <w:szCs w:val="28"/>
        </w:rPr>
        <w:t>专栏14  提升城市</w:t>
      </w:r>
      <w:r>
        <w:rPr>
          <w:rFonts w:hint="eastAsia" w:ascii="方正楷体_GBK" w:hAnsi="方正楷体_GBK" w:eastAsia="方正楷体_GBK" w:cs="方正楷体_GBK"/>
          <w:b w:val="0"/>
          <w:bCs w:val="0"/>
          <w:sz w:val="28"/>
          <w:szCs w:val="28"/>
        </w:rPr>
        <w:t>绿化</w:t>
      </w:r>
      <w:r>
        <w:rPr>
          <w:rFonts w:hint="default" w:ascii="方正楷体_GBK" w:hAnsi="方正楷体_GBK" w:eastAsia="方正楷体_GBK" w:cs="方正楷体_GBK"/>
          <w:b w:val="0"/>
          <w:bCs w:val="0"/>
          <w:sz w:val="28"/>
          <w:szCs w:val="28"/>
        </w:rPr>
        <w:t>品质重点项目</w:t>
      </w:r>
      <w:bookmarkEnd w:id="217"/>
      <w:bookmarkEnd w:id="218"/>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6" w:hRule="atLeast"/>
          <w:jc w:val="center"/>
        </w:trPr>
        <w:tc>
          <w:tcPr>
            <w:tcW w:w="8960" w:type="dxa"/>
            <w:noWrap w:val="0"/>
            <w:vAlign w:val="top"/>
          </w:tcPr>
          <w:p>
            <w:pPr>
              <w:snapToGrid w:val="0"/>
              <w:spacing w:after="0" w:line="240" w:lineRule="auto"/>
              <w:ind w:left="0" w:leftChars="0" w:firstLine="602"/>
              <w:jc w:val="both"/>
              <w:rPr>
                <w:rFonts w:hint="eastAsia" w:ascii="方正仿宋_GBK" w:hAnsi="方正仿宋_GBK" w:eastAsia="方正仿宋_GBK" w:cs="方正仿宋_GBK"/>
                <w:b w:val="0"/>
                <w:bCs w:val="0"/>
                <w:sz w:val="21"/>
                <w:szCs w:val="21"/>
              </w:rPr>
            </w:pPr>
            <w:r>
              <w:rPr>
                <w:rFonts w:hint="eastAsia" w:ascii="方正仿宋_GBK" w:eastAsia="方正仿宋_GBK"/>
                <w:b w:val="0"/>
                <w:bCs w:val="0"/>
                <w:sz w:val="21"/>
                <w:szCs w:val="21"/>
              </w:rPr>
              <w:t>公园品质提升</w:t>
            </w:r>
            <w:r>
              <w:rPr>
                <w:rFonts w:hint="eastAsia" w:ascii="方正仿宋_GBK" w:hAnsi="方正仿宋_GBK" w:eastAsia="方正仿宋_GBK" w:cs="方正仿宋_GBK"/>
                <w:b w:val="0"/>
                <w:bCs w:val="0"/>
                <w:sz w:val="21"/>
                <w:szCs w:val="21"/>
              </w:rPr>
              <w:t>项目</w:t>
            </w:r>
            <w:r>
              <w:rPr>
                <w:rFonts w:hint="eastAsia" w:ascii="方正仿宋_GBK" w:eastAsia="方正仿宋_GBK"/>
                <w:b w:val="0"/>
                <w:bCs w:val="0"/>
                <w:sz w:val="21"/>
                <w:szCs w:val="21"/>
              </w:rPr>
              <w:t>——</w:t>
            </w:r>
            <w:r>
              <w:rPr>
                <w:rFonts w:hint="eastAsia" w:ascii="方正仿宋_GBK" w:hAnsi="方正仿宋_GBK" w:eastAsia="方正仿宋_GBK" w:cs="方正仿宋_GBK"/>
                <w:b w:val="0"/>
                <w:bCs w:val="0"/>
                <w:sz w:val="21"/>
                <w:szCs w:val="21"/>
              </w:rPr>
              <w:t>实施望城公园、棠城公园、玉屏山公园、桂山公园、北山公园、水景公园、更棚坡郊野公园、黄桷坡郊野公园品质提升工程、凤凰湖公园等公园品质提升工程。</w:t>
            </w:r>
          </w:p>
          <w:p>
            <w:pPr>
              <w:snapToGrid w:val="0"/>
              <w:spacing w:after="0" w:line="240" w:lineRule="auto"/>
              <w:ind w:left="0" w:leftChars="0" w:firstLine="602"/>
              <w:jc w:val="both"/>
              <w:rPr>
                <w:rFonts w:hint="eastAsia" w:ascii="方正仿宋_GBK" w:eastAsia="方正仿宋_GBK"/>
                <w:b w:val="0"/>
                <w:bCs w:val="0"/>
                <w:sz w:val="21"/>
                <w:szCs w:val="21"/>
              </w:rPr>
            </w:pPr>
            <w:r>
              <w:rPr>
                <w:rFonts w:hint="eastAsia" w:ascii="方正仿宋_GBK" w:eastAsia="方正仿宋_GBK"/>
                <w:b w:val="0"/>
                <w:bCs w:val="0"/>
                <w:sz w:val="21"/>
                <w:szCs w:val="21"/>
              </w:rPr>
              <w:t>重要景观节点美化</w:t>
            </w:r>
            <w:r>
              <w:rPr>
                <w:rFonts w:hint="eastAsia" w:ascii="方正仿宋_GBK" w:hAnsi="方正仿宋_GBK" w:eastAsia="方正仿宋_GBK" w:cs="方正仿宋_GBK"/>
                <w:b w:val="0"/>
                <w:bCs w:val="0"/>
                <w:sz w:val="21"/>
                <w:szCs w:val="21"/>
              </w:rPr>
              <w:t>项目</w:t>
            </w:r>
            <w:r>
              <w:rPr>
                <w:rFonts w:hint="eastAsia" w:ascii="方正仿宋_GBK" w:eastAsia="方正仿宋_GBK"/>
                <w:b w:val="0"/>
                <w:bCs w:val="0"/>
                <w:sz w:val="21"/>
                <w:szCs w:val="21"/>
              </w:rPr>
              <w:t>——</w:t>
            </w:r>
            <w:r>
              <w:rPr>
                <w:rFonts w:hint="eastAsia" w:ascii="方正仿宋_GBK" w:hAnsi="方正仿宋_GBK" w:eastAsia="方正仿宋_GBK" w:cs="方正仿宋_GBK"/>
                <w:b w:val="0"/>
                <w:bCs w:val="0"/>
                <w:sz w:val="21"/>
                <w:szCs w:val="21"/>
              </w:rPr>
              <w:t>实施永师路口交通岛、蜀华步行街及周边、文昌路匝道口、蚂蝗桥法院、昌州大道与海棠大道交汇处、渝西广场、文曲广场、铁桥中分带、大南门交通岛、永川火车站广场、南大街与兴南路交叉口、成渝高速老高速路口、商贸城交通岛等重要景观节点美化改造工程。</w:t>
            </w:r>
          </w:p>
          <w:p>
            <w:pPr>
              <w:snapToGrid w:val="0"/>
              <w:spacing w:after="0" w:line="240" w:lineRule="auto"/>
              <w:ind w:left="0" w:leftChars="0" w:firstLine="602"/>
              <w:jc w:val="both"/>
              <w:rPr>
                <w:rFonts w:hint="eastAsia" w:ascii="方正仿宋_GBK" w:eastAsia="方正仿宋_GBK"/>
                <w:b w:val="0"/>
                <w:bCs w:val="0"/>
                <w:sz w:val="21"/>
                <w:szCs w:val="21"/>
              </w:rPr>
            </w:pPr>
            <w:r>
              <w:rPr>
                <w:rFonts w:hint="eastAsia" w:ascii="方正仿宋_GBK" w:eastAsia="方正仿宋_GBK"/>
                <w:b w:val="0"/>
                <w:bCs w:val="0"/>
                <w:sz w:val="21"/>
                <w:szCs w:val="21"/>
              </w:rPr>
              <w:t>微型绿地空间建设</w:t>
            </w:r>
            <w:r>
              <w:rPr>
                <w:rFonts w:hint="eastAsia" w:ascii="方正仿宋_GBK" w:hAnsi="方正仿宋_GBK" w:eastAsia="方正仿宋_GBK" w:cs="方正仿宋_GBK"/>
                <w:b w:val="0"/>
                <w:bCs w:val="0"/>
                <w:sz w:val="21"/>
                <w:szCs w:val="21"/>
              </w:rPr>
              <w:t>项目</w:t>
            </w:r>
            <w:r>
              <w:rPr>
                <w:rFonts w:hint="eastAsia" w:ascii="方正仿宋_GBK" w:eastAsia="方正仿宋_GBK"/>
                <w:b w:val="0"/>
                <w:bCs w:val="0"/>
                <w:sz w:val="21"/>
                <w:szCs w:val="21"/>
              </w:rPr>
              <w:t>——</w:t>
            </w:r>
            <w:r>
              <w:rPr>
                <w:rFonts w:hint="eastAsia" w:ascii="方正仿宋_GBK" w:hAnsi="方正仿宋_GBK" w:eastAsia="方正仿宋_GBK" w:cs="方正仿宋_GBK"/>
                <w:b w:val="0"/>
                <w:bCs w:val="0"/>
                <w:sz w:val="21"/>
                <w:szCs w:val="21"/>
              </w:rPr>
              <w:t>利用街旁边角地、闲置地，建设粽粑公园、化工路小游园、玉屏北路小游园、红旗小学小游园等口袋公园，打造精致、具有活力的城市小微型开放空间。</w:t>
            </w:r>
          </w:p>
          <w:p>
            <w:pPr>
              <w:snapToGrid w:val="0"/>
              <w:spacing w:line="240" w:lineRule="auto"/>
              <w:ind w:firstLine="602"/>
              <w:jc w:val="both"/>
              <w:rPr>
                <w:rFonts w:hint="eastAsia" w:ascii="方正仿宋_GBK" w:hAnsi="方正仿宋_GBK" w:eastAsia="方正仿宋_GBK" w:cs="方正仿宋_GBK"/>
                <w:b w:val="0"/>
                <w:bCs w:val="0"/>
                <w:sz w:val="21"/>
                <w:szCs w:val="21"/>
              </w:rPr>
            </w:pPr>
            <w:r>
              <w:rPr>
                <w:rFonts w:hint="eastAsia" w:ascii="方正仿宋_GBK" w:eastAsia="方正仿宋_GBK"/>
                <w:b w:val="0"/>
                <w:bCs w:val="0"/>
                <w:sz w:val="21"/>
                <w:szCs w:val="21"/>
              </w:rPr>
              <w:t>城市道路绿化提质</w:t>
            </w:r>
            <w:r>
              <w:rPr>
                <w:rFonts w:hint="eastAsia" w:ascii="方正仿宋_GBK" w:hAnsi="方正仿宋_GBK" w:eastAsia="方正仿宋_GBK" w:cs="方正仿宋_GBK"/>
                <w:b w:val="0"/>
                <w:bCs w:val="0"/>
                <w:sz w:val="21"/>
                <w:szCs w:val="21"/>
              </w:rPr>
              <w:t>项目</w:t>
            </w:r>
            <w:r>
              <w:rPr>
                <w:rFonts w:hint="eastAsia" w:ascii="方正仿宋_GBK" w:eastAsia="方正仿宋_GBK"/>
                <w:b w:val="0"/>
                <w:bCs w:val="0"/>
                <w:sz w:val="21"/>
                <w:szCs w:val="21"/>
              </w:rPr>
              <w:t>——</w:t>
            </w:r>
            <w:r>
              <w:rPr>
                <w:rFonts w:hint="eastAsia" w:ascii="方正仿宋_GBK" w:hAnsi="方正仿宋_GBK" w:eastAsia="方正仿宋_GBK" w:cs="方正仿宋_GBK"/>
                <w:b w:val="0"/>
                <w:bCs w:val="0"/>
                <w:sz w:val="21"/>
                <w:szCs w:val="21"/>
              </w:rPr>
              <w:t>加强道路增花添彩工作，提升植物层次，实施内环南路商贸城至泸州街段两侧、汇龙大道中分带、红河大道绿化、昌州大道绿化、渝西监狱外道路绿化、荫山路高铁桥墩下绿化、福湾酒店附近的绿化带、植物园十字路口至詹吉路段道路绿化、中山大道中段绿化、科园路绿化、箕山路绿化、玉屏北路绿化、星光大道绿化等道路绿化提质工程。</w:t>
            </w:r>
          </w:p>
          <w:p>
            <w:pPr>
              <w:snapToGrid w:val="0"/>
              <w:spacing w:after="0" w:line="240" w:lineRule="auto"/>
              <w:ind w:left="0" w:leftChars="0" w:firstLine="602"/>
              <w:jc w:val="both"/>
              <w:rPr>
                <w:b w:val="0"/>
                <w:bCs w:val="0"/>
                <w:sz w:val="21"/>
                <w:szCs w:val="21"/>
              </w:rPr>
            </w:pPr>
            <w:r>
              <w:rPr>
                <w:rFonts w:hint="eastAsia" w:ascii="方正仿宋_GBK" w:eastAsia="方正仿宋_GBK"/>
                <w:b w:val="0"/>
                <w:bCs w:val="0"/>
                <w:sz w:val="21"/>
                <w:szCs w:val="21"/>
              </w:rPr>
              <w:t>城市智慧公园</w:t>
            </w:r>
            <w:r>
              <w:rPr>
                <w:rFonts w:hint="eastAsia" w:ascii="方正仿宋_GBK" w:hAnsi="方正仿宋_GBK" w:eastAsia="方正仿宋_GBK" w:cs="方正仿宋_GBK"/>
                <w:b w:val="0"/>
                <w:bCs w:val="0"/>
                <w:sz w:val="21"/>
                <w:szCs w:val="21"/>
              </w:rPr>
              <w:t>建设项目</w:t>
            </w:r>
            <w:r>
              <w:rPr>
                <w:rFonts w:hint="eastAsia" w:ascii="方正仿宋_GBK" w:eastAsia="方正仿宋_GBK"/>
                <w:b w:val="0"/>
                <w:bCs w:val="0"/>
                <w:sz w:val="21"/>
                <w:szCs w:val="21"/>
              </w:rPr>
              <w:t>——建</w:t>
            </w:r>
            <w:r>
              <w:rPr>
                <w:rFonts w:hint="eastAsia" w:ascii="方正仿宋_GBK" w:hAnsi="方正仿宋_GBK" w:eastAsia="方正仿宋_GBK" w:cs="方正仿宋_GBK"/>
                <w:b w:val="0"/>
                <w:bCs w:val="0"/>
                <w:sz w:val="21"/>
                <w:szCs w:val="21"/>
              </w:rPr>
              <w:t>设兴龙湖公园、智慧湖公园2个特色智慧公园市民参与示范项目，通过智能步道、AR互动游戏、地面互动游戏、智能语音亭、智能座椅等实现市民与公园设施互动，通过智能养护、智能安防监控、智能灯杆、智能垃圾箱等加强公园管理。</w:t>
            </w:r>
          </w:p>
        </w:tc>
      </w:tr>
    </w:tbl>
    <w:p>
      <w:pPr>
        <w:snapToGrid w:val="0"/>
        <w:spacing w:after="0" w:line="276" w:lineRule="auto"/>
        <w:ind w:left="0" w:leftChars="0"/>
        <w:jc w:val="both"/>
        <w:rPr>
          <w:b w:val="0"/>
          <w:bCs w:val="0"/>
        </w:rPr>
      </w:pPr>
    </w:p>
    <w:p>
      <w:pPr>
        <w:snapToGrid w:val="0"/>
        <w:spacing w:before="0" w:after="0" w:line="276" w:lineRule="auto"/>
        <w:ind w:firstLine="0" w:firstLineChars="0"/>
        <w:jc w:val="center"/>
        <w:rPr>
          <w:rFonts w:hint="eastAsia" w:ascii="方正黑体_GBK" w:hAnsi="方正黑体_GBK" w:eastAsia="方正黑体_GBK" w:cs="方正黑体_GBK"/>
          <w:b w:val="0"/>
          <w:bCs w:val="0"/>
        </w:rPr>
      </w:pPr>
      <w:bookmarkStart w:id="219" w:name="_Toc26367"/>
      <w:bookmarkStart w:id="220" w:name="_Toc17901"/>
      <w:bookmarkStart w:id="221" w:name="_Toc1111380174_WPSOffice_Level2"/>
      <w:bookmarkStart w:id="222" w:name="_Toc680190007_WPSOffice_Level2"/>
      <w:r>
        <w:rPr>
          <w:rFonts w:hint="default" w:ascii="方正黑体_GBK" w:hAnsi="方正黑体_GBK" w:eastAsia="方正黑体_GBK" w:cs="方正黑体_GBK"/>
          <w:b w:val="0"/>
          <w:bCs w:val="0"/>
        </w:rPr>
        <w:t>第五节  加强城市古树名木保护</w:t>
      </w:r>
      <w:bookmarkEnd w:id="219"/>
      <w:bookmarkEnd w:id="220"/>
      <w:bookmarkEnd w:id="221"/>
      <w:bookmarkEnd w:id="222"/>
    </w:p>
    <w:p>
      <w:pPr>
        <w:snapToGrid w:val="0"/>
        <w:spacing w:line="276" w:lineRule="auto"/>
        <w:ind w:firstLine="0"/>
        <w:rPr>
          <w:rFonts w:hint="eastAsia" w:ascii="方正仿宋_GBK" w:hAnsi="方正仿宋_GBK" w:cs="方正仿宋_GBK"/>
          <w:b w:val="0"/>
          <w:bCs w:val="0"/>
        </w:rPr>
      </w:pPr>
    </w:p>
    <w:p>
      <w:pPr>
        <w:snapToGrid w:val="0"/>
        <w:spacing w:line="276" w:lineRule="auto"/>
        <w:ind w:firstLine="0"/>
        <w:rPr>
          <w:rFonts w:hint="eastAsia" w:ascii="方正仿宋_GBK" w:hAnsi="方正仿宋_GBK" w:cs="方正仿宋_GBK"/>
          <w:b w:val="0"/>
          <w:bCs w:val="0"/>
        </w:rPr>
      </w:pPr>
      <w:r>
        <w:rPr>
          <w:rFonts w:hint="eastAsia" w:ascii="方正仿宋_GBK" w:hAnsi="方正仿宋_GBK" w:cs="方正仿宋_GBK"/>
          <w:b w:val="0"/>
          <w:bCs w:val="0"/>
        </w:rPr>
        <w:t>加强领导，统一部署，开展全区第五次城镇古树名木普查。坚持“边普查、边宣传”的思路，提高广大群众护树爱树意识，形成保护古树名木的良好氛围。加强对现有登记在册古树名木的复壮建设，开展防腐、病虫害防治、树洞修补等修复工作。持续推进智慧树牌设置，力争智慧树牌全覆盖。至2025年，完成永川区城市建设用地范围内新增古树名木的调查整理，加强对树龄50年以上的古树名木后备资源的调查保护。</w:t>
      </w:r>
    </w:p>
    <w:p>
      <w:pPr>
        <w:snapToGrid w:val="0"/>
        <w:spacing w:line="276" w:lineRule="auto"/>
        <w:ind w:left="640"/>
        <w:jc w:val="both"/>
        <w:rPr>
          <w:b w:val="0"/>
          <w:bCs w:val="0"/>
        </w:rPr>
      </w:pPr>
    </w:p>
    <w:p>
      <w:pPr>
        <w:snapToGrid w:val="0"/>
        <w:spacing w:before="0" w:after="0" w:line="276" w:lineRule="auto"/>
        <w:ind w:firstLine="0" w:firstLineChars="0"/>
        <w:jc w:val="center"/>
        <w:rPr>
          <w:rFonts w:hint="eastAsia" w:ascii="方正小标宋_GBK" w:hAnsi="方正小标宋_GBK" w:eastAsia="方正小标宋_GBK" w:cs="方正小标宋_GBK"/>
          <w:b w:val="0"/>
          <w:bCs w:val="0"/>
          <w:sz w:val="32"/>
          <w:szCs w:val="32"/>
        </w:rPr>
      </w:pPr>
      <w:bookmarkStart w:id="223" w:name="_Toc957332633_WPSOffice_Level1"/>
      <w:bookmarkStart w:id="224" w:name="_Toc79370046_WPSOffice_Level1"/>
      <w:bookmarkStart w:id="225" w:name="_Toc7272"/>
      <w:bookmarkStart w:id="226" w:name="_Toc4265"/>
      <w:r>
        <w:rPr>
          <w:rFonts w:hint="eastAsia" w:ascii="方正小标宋_GBK" w:hAnsi="方正小标宋_GBK" w:eastAsia="方正小标宋_GBK" w:cs="方正小标宋_GBK"/>
          <w:b w:val="0"/>
          <w:bCs w:val="0"/>
          <w:sz w:val="32"/>
          <w:szCs w:val="32"/>
        </w:rPr>
        <w:t>第六章  提升城市智慧维度，运用科技为城市管理赋能</w:t>
      </w:r>
      <w:bookmarkEnd w:id="223"/>
      <w:bookmarkEnd w:id="224"/>
      <w:bookmarkEnd w:id="225"/>
      <w:bookmarkEnd w:id="226"/>
    </w:p>
    <w:p>
      <w:pPr>
        <w:snapToGrid w:val="0"/>
        <w:spacing w:before="0" w:after="0" w:line="276" w:lineRule="auto"/>
        <w:ind w:firstLine="0"/>
        <w:jc w:val="both"/>
        <w:rPr>
          <w:rFonts w:hint="default" w:ascii="方正黑体_GBK" w:hAnsi="方正黑体_GBK" w:eastAsia="方正黑体_GBK" w:cs="方正黑体_GBK"/>
          <w:b w:val="0"/>
          <w:bCs w:val="0"/>
          <w:shd w:val="clear" w:color="auto" w:fill="auto"/>
        </w:rPr>
      </w:pPr>
      <w:bookmarkStart w:id="227" w:name="_Toc24094"/>
      <w:bookmarkStart w:id="228" w:name="_Toc14561"/>
    </w:p>
    <w:p>
      <w:pPr>
        <w:snapToGrid w:val="0"/>
        <w:spacing w:before="0" w:after="0" w:line="276" w:lineRule="auto"/>
        <w:ind w:firstLine="0" w:firstLineChars="0"/>
        <w:jc w:val="center"/>
        <w:rPr>
          <w:rFonts w:hint="eastAsia" w:ascii="方正黑体_GBK" w:hAnsi="方正黑体_GBK" w:eastAsia="方正黑体_GBK" w:cs="方正黑体_GBK"/>
          <w:b w:val="0"/>
          <w:bCs w:val="0"/>
          <w:shd w:val="clear" w:color="auto" w:fill="auto"/>
        </w:rPr>
      </w:pPr>
      <w:bookmarkStart w:id="229" w:name="_Toc858869213_WPSOffice_Level2"/>
      <w:bookmarkStart w:id="230" w:name="_Toc1819714909_WPSOffice_Level2"/>
      <w:r>
        <w:rPr>
          <w:rFonts w:hint="default" w:ascii="方正黑体_GBK" w:hAnsi="方正黑体_GBK" w:eastAsia="方正黑体_GBK" w:cs="方正黑体_GBK"/>
          <w:b w:val="0"/>
          <w:bCs w:val="0"/>
          <w:shd w:val="clear" w:color="auto" w:fill="auto"/>
        </w:rPr>
        <w:t>第一节  推进城市综合治理“一网统管”</w:t>
      </w:r>
      <w:bookmarkEnd w:id="227"/>
      <w:bookmarkEnd w:id="228"/>
      <w:bookmarkEnd w:id="229"/>
      <w:bookmarkEnd w:id="230"/>
    </w:p>
    <w:p>
      <w:pPr>
        <w:snapToGrid w:val="0"/>
        <w:spacing w:line="276" w:lineRule="auto"/>
        <w:ind w:firstLine="0"/>
        <w:rPr>
          <w:rFonts w:ascii="方正仿宋_GBK" w:hAnsi="方正仿宋_GBK" w:cs="方正仿宋_GBK"/>
          <w:b w:val="0"/>
          <w:bCs w:val="0"/>
          <w:shd w:val="clear" w:color="auto" w:fill="auto"/>
        </w:rPr>
      </w:pPr>
    </w:p>
    <w:p>
      <w:pPr>
        <w:snapToGrid w:val="0"/>
        <w:spacing w:line="276" w:lineRule="auto"/>
        <w:ind w:firstLine="0"/>
        <w:rPr>
          <w:rFonts w:ascii="方正仿宋_GBK" w:hAnsi="方正仿宋_GBK" w:cs="方正仿宋_GBK"/>
          <w:b w:val="0"/>
          <w:bCs w:val="0"/>
          <w:shd w:val="clear" w:color="auto" w:fill="auto"/>
        </w:rPr>
      </w:pPr>
      <w:r>
        <w:rPr>
          <w:rFonts w:ascii="方正仿宋_GBK" w:hAnsi="方正仿宋_GBK" w:cs="方正仿宋_GBK"/>
          <w:b w:val="0"/>
          <w:bCs w:val="0"/>
          <w:shd w:val="clear" w:color="auto" w:fill="auto"/>
        </w:rPr>
        <w:t>持续夯实数字化城市管理扩面增效，深化城市建成区网格化管理基础，对城市公共空间部件、事件、案件做到定格、定责、定人，推动跨层级、跨部门、跨行业、跨系统公共数据资源的整合运用、共享交换以及业务协同，进一步建成永川区城市综合管理服务平台及其市政设施、市容环卫、园林绿化、城管执法等子系统，加强与城市公共空间秩序、城市违法建设、环境保护、公共交通、应急等城市管理相关方面工作的统筹协调、指挥调度和监督考核，将城市管理各版块智慧系统接入永川区智慧城管综合管理服务平台实行统一管理，实现</w:t>
      </w:r>
      <w:r>
        <w:rPr>
          <w:rFonts w:hint="default" w:ascii="方正仿宋_GBK" w:hAnsi="方正仿宋_GBK" w:cs="方正仿宋_GBK"/>
          <w:b w:val="0"/>
          <w:bCs w:val="0"/>
          <w:shd w:val="clear" w:color="auto" w:fill="auto"/>
        </w:rPr>
        <w:t>“</w:t>
      </w:r>
      <w:r>
        <w:rPr>
          <w:rFonts w:ascii="方正仿宋_GBK" w:hAnsi="方正仿宋_GBK" w:cs="方正仿宋_GBK"/>
          <w:b w:val="0"/>
          <w:bCs w:val="0"/>
          <w:shd w:val="clear" w:color="auto" w:fill="auto"/>
        </w:rPr>
        <w:t>一网统管</w:t>
      </w:r>
      <w:r>
        <w:rPr>
          <w:rFonts w:hint="default" w:ascii="方正仿宋_GBK" w:hAnsi="方正仿宋_GBK" w:cs="方正仿宋_GBK"/>
          <w:b w:val="0"/>
          <w:bCs w:val="0"/>
          <w:shd w:val="clear" w:color="auto" w:fill="auto"/>
        </w:rPr>
        <w:t>”</w:t>
      </w:r>
      <w:r>
        <w:rPr>
          <w:rFonts w:ascii="方正仿宋_GBK" w:hAnsi="方正仿宋_GBK" w:cs="方正仿宋_GBK"/>
          <w:b w:val="0"/>
          <w:bCs w:val="0"/>
          <w:shd w:val="clear" w:color="auto" w:fill="auto"/>
        </w:rPr>
        <w:t>，实现永川区城市建成区数字化城市管理全覆盖。</w:t>
      </w:r>
    </w:p>
    <w:p>
      <w:pPr>
        <w:snapToGrid w:val="0"/>
        <w:spacing w:line="276" w:lineRule="auto"/>
        <w:ind w:firstLine="0"/>
        <w:rPr>
          <w:rFonts w:ascii="方正仿宋_GBK" w:hAnsi="方正仿宋_GBK" w:cs="方正仿宋_GBK"/>
          <w:b w:val="0"/>
          <w:bCs w:val="0"/>
          <w:shd w:val="clear" w:color="auto" w:fill="auto"/>
        </w:rPr>
      </w:pPr>
    </w:p>
    <w:p>
      <w:pPr>
        <w:snapToGrid w:val="0"/>
        <w:spacing w:before="0" w:after="0" w:line="276" w:lineRule="auto"/>
        <w:ind w:firstLine="0" w:firstLineChars="0"/>
        <w:jc w:val="center"/>
        <w:rPr>
          <w:rFonts w:hint="eastAsia" w:ascii="方正黑体_GBK" w:hAnsi="方正黑体_GBK" w:eastAsia="方正黑体_GBK" w:cs="方正黑体_GBK"/>
          <w:b w:val="0"/>
          <w:bCs w:val="0"/>
          <w:shd w:val="clear" w:color="auto" w:fill="auto"/>
        </w:rPr>
      </w:pPr>
      <w:bookmarkStart w:id="231" w:name="_Toc2695"/>
      <w:bookmarkStart w:id="232" w:name="_Toc30065"/>
      <w:bookmarkStart w:id="233" w:name="_Toc788221934_WPSOffice_Level2"/>
      <w:bookmarkStart w:id="234" w:name="_Toc1469111129_WPSOffice_Level2"/>
      <w:r>
        <w:rPr>
          <w:rFonts w:hint="default" w:ascii="方正黑体_GBK" w:hAnsi="方正黑体_GBK" w:eastAsia="方正黑体_GBK" w:cs="方正黑体_GBK"/>
          <w:b w:val="0"/>
          <w:bCs w:val="0"/>
          <w:shd w:val="clear" w:color="auto" w:fill="auto"/>
        </w:rPr>
        <w:t>第二节  推进城市运行态势“一屏通览”</w:t>
      </w:r>
      <w:bookmarkEnd w:id="231"/>
      <w:bookmarkEnd w:id="232"/>
      <w:bookmarkEnd w:id="233"/>
      <w:bookmarkEnd w:id="234"/>
    </w:p>
    <w:p>
      <w:pPr>
        <w:snapToGrid w:val="0"/>
        <w:spacing w:line="276" w:lineRule="auto"/>
        <w:ind w:firstLine="0"/>
        <w:rPr>
          <w:rFonts w:ascii="方正仿宋_GBK" w:hAnsi="方正仿宋_GBK" w:cs="方正仿宋_GBK"/>
          <w:b w:val="0"/>
          <w:bCs w:val="0"/>
          <w:shd w:val="clear" w:color="auto" w:fill="auto"/>
        </w:rPr>
      </w:pPr>
    </w:p>
    <w:p>
      <w:pPr>
        <w:snapToGrid w:val="0"/>
        <w:spacing w:line="276" w:lineRule="auto"/>
        <w:ind w:firstLine="0"/>
        <w:rPr>
          <w:rFonts w:hint="eastAsia" w:ascii="方正仿宋_GBK" w:hAnsi="方正仿宋_GBK" w:cs="方正仿宋_GBK"/>
          <w:b w:val="0"/>
          <w:bCs w:val="0"/>
        </w:rPr>
      </w:pPr>
      <w:r>
        <w:rPr>
          <w:rFonts w:ascii="方正仿宋_GBK" w:hAnsi="方正仿宋_GBK" w:cs="方正仿宋_GBK"/>
          <w:b w:val="0"/>
          <w:bCs w:val="0"/>
          <w:shd w:val="clear" w:color="auto" w:fill="auto"/>
        </w:rPr>
        <w:t>按照</w:t>
      </w:r>
      <w:r>
        <w:rPr>
          <w:rFonts w:hint="default" w:ascii="方正仿宋_GBK" w:hAnsi="方正仿宋_GBK" w:cs="方正仿宋_GBK"/>
          <w:b w:val="0"/>
          <w:bCs w:val="0"/>
          <w:shd w:val="clear" w:color="auto" w:fill="auto"/>
        </w:rPr>
        <w:t>“</w:t>
      </w:r>
      <w:r>
        <w:rPr>
          <w:rFonts w:ascii="方正仿宋_GBK" w:hAnsi="方正仿宋_GBK" w:cs="方正仿宋_GBK"/>
          <w:b w:val="0"/>
          <w:bCs w:val="0"/>
          <w:shd w:val="clear" w:color="auto" w:fill="auto"/>
        </w:rPr>
        <w:t>分区域、分级别、网格化</w:t>
      </w:r>
      <w:r>
        <w:rPr>
          <w:rFonts w:hint="default" w:ascii="方正仿宋_GBK" w:hAnsi="方正仿宋_GBK" w:cs="方正仿宋_GBK"/>
          <w:b w:val="0"/>
          <w:bCs w:val="0"/>
          <w:shd w:val="clear" w:color="auto" w:fill="auto"/>
        </w:rPr>
        <w:t>”</w:t>
      </w:r>
      <w:r>
        <w:rPr>
          <w:rFonts w:ascii="方正仿宋_GBK" w:hAnsi="方正仿宋_GBK" w:cs="方正仿宋_GBK"/>
          <w:b w:val="0"/>
          <w:bCs w:val="0"/>
          <w:shd w:val="clear" w:color="auto" w:fill="auto"/>
        </w:rPr>
        <w:t>原则，实行城市安全风险全面辨识和评估，建立风险点动态管理数据库和城市运行监管子系统，创建安全风险点</w:t>
      </w:r>
      <w:r>
        <w:rPr>
          <w:rFonts w:hint="default" w:ascii="方正仿宋_GBK" w:hAnsi="方正仿宋_GBK" w:cs="方正仿宋_GBK"/>
          <w:b w:val="0"/>
          <w:bCs w:val="0"/>
          <w:shd w:val="clear" w:color="auto" w:fill="auto"/>
        </w:rPr>
        <w:t>“</w:t>
      </w:r>
      <w:r>
        <w:rPr>
          <w:rFonts w:ascii="方正仿宋_GBK" w:hAnsi="方正仿宋_GBK" w:cs="方正仿宋_GBK"/>
          <w:b w:val="0"/>
          <w:bCs w:val="0"/>
          <w:shd w:val="clear" w:color="auto" w:fill="auto"/>
        </w:rPr>
        <w:t>红橙黄蓝</w:t>
      </w:r>
      <w:r>
        <w:rPr>
          <w:rFonts w:hint="default" w:ascii="方正仿宋_GBK" w:hAnsi="方正仿宋_GBK" w:cs="方正仿宋_GBK"/>
          <w:b w:val="0"/>
          <w:bCs w:val="0"/>
          <w:shd w:val="clear" w:color="auto" w:fill="auto"/>
        </w:rPr>
        <w:t>”</w:t>
      </w:r>
      <w:r>
        <w:rPr>
          <w:rFonts w:ascii="方正仿宋_GBK" w:hAnsi="方正仿宋_GBK" w:cs="方正仿宋_GBK"/>
          <w:b w:val="0"/>
          <w:bCs w:val="0"/>
          <w:shd w:val="clear" w:color="auto" w:fill="auto"/>
        </w:rPr>
        <w:t>四色等级空间分布图，关联安全风险点的权责主体、管护单位、视频资源、应急队伍、应急预案、管护作业等基本要素，通过</w:t>
      </w:r>
      <w:r>
        <w:rPr>
          <w:rFonts w:hint="eastAsia" w:ascii="方正仿宋_GBK" w:hAnsi="方正仿宋_GBK" w:cs="方正仿宋_GBK"/>
          <w:b w:val="0"/>
          <w:bCs w:val="0"/>
        </w:rPr>
        <w:t>地图实时显示执法人员、停车管理员、公园管理人员、环卫工人、环卫车辆、窨井盖、化粪池、垃圾桶（箱、站）等城市管理人员、设备、场所的位置及信息等内容。</w:t>
      </w:r>
      <w:r>
        <w:rPr>
          <w:rFonts w:ascii="方正仿宋_GBK" w:hAnsi="方正仿宋_GBK" w:cs="方正仿宋_GBK"/>
          <w:b w:val="0"/>
          <w:bCs w:val="0"/>
          <w:shd w:val="clear" w:color="auto" w:fill="auto"/>
        </w:rPr>
        <w:t>加快推进在线安全监测监控、预测预警，实施重大事故隐患挂牌督办，通过</w:t>
      </w:r>
      <w:r>
        <w:rPr>
          <w:rFonts w:hint="default" w:ascii="方正仿宋_GBK" w:hAnsi="方正仿宋_GBK" w:cs="方正仿宋_GBK"/>
          <w:b w:val="0"/>
          <w:bCs w:val="0"/>
          <w:shd w:val="clear" w:color="auto" w:fill="auto"/>
        </w:rPr>
        <w:t>“</w:t>
      </w:r>
      <w:r>
        <w:rPr>
          <w:rFonts w:ascii="方正仿宋_GBK" w:hAnsi="方正仿宋_GBK" w:cs="方正仿宋_GBK"/>
          <w:b w:val="0"/>
          <w:bCs w:val="0"/>
          <w:shd w:val="clear" w:color="auto" w:fill="auto"/>
        </w:rPr>
        <w:t>大屏、计算机、手机</w:t>
      </w:r>
      <w:r>
        <w:rPr>
          <w:rFonts w:hint="default" w:ascii="方正仿宋_GBK" w:hAnsi="方正仿宋_GBK" w:cs="方正仿宋_GBK"/>
          <w:b w:val="0"/>
          <w:bCs w:val="0"/>
          <w:shd w:val="clear" w:color="auto" w:fill="auto"/>
        </w:rPr>
        <w:t>”</w:t>
      </w:r>
      <w:r>
        <w:rPr>
          <w:rFonts w:ascii="方正仿宋_GBK" w:hAnsi="方正仿宋_GBK" w:cs="方正仿宋_GBK"/>
          <w:b w:val="0"/>
          <w:bCs w:val="0"/>
          <w:shd w:val="clear" w:color="auto" w:fill="auto"/>
        </w:rPr>
        <w:t>三端在线监管，实现</w:t>
      </w:r>
      <w:r>
        <w:rPr>
          <w:rFonts w:hint="eastAsia" w:ascii="方正仿宋_GBK" w:hAnsi="方正仿宋_GBK" w:cs="方正仿宋_GBK"/>
          <w:b w:val="0"/>
          <w:bCs w:val="0"/>
        </w:rPr>
        <w:t>永川区城市管理工作城区一张图可视化管理。</w:t>
      </w:r>
    </w:p>
    <w:p>
      <w:pPr>
        <w:snapToGrid w:val="0"/>
        <w:spacing w:line="276" w:lineRule="auto"/>
        <w:ind w:firstLine="0"/>
        <w:rPr>
          <w:rFonts w:hint="eastAsia" w:ascii="方正仿宋_GBK" w:hAnsi="方正仿宋_GBK" w:cs="方正仿宋_GBK"/>
          <w:b w:val="0"/>
          <w:bCs w:val="0"/>
          <w:shd w:val="clear" w:color="auto" w:fill="auto"/>
        </w:rPr>
      </w:pPr>
    </w:p>
    <w:p>
      <w:pPr>
        <w:snapToGrid w:val="0"/>
        <w:spacing w:before="0" w:after="0" w:line="276" w:lineRule="auto"/>
        <w:ind w:firstLine="0" w:firstLineChars="0"/>
        <w:jc w:val="center"/>
        <w:rPr>
          <w:rFonts w:hint="eastAsia" w:ascii="方正黑体_GBK" w:hAnsi="方正黑体_GBK" w:eastAsia="方正黑体_GBK" w:cs="方正黑体_GBK"/>
          <w:b w:val="0"/>
          <w:bCs w:val="0"/>
          <w:shd w:val="clear" w:color="auto" w:fill="auto"/>
        </w:rPr>
      </w:pPr>
      <w:bookmarkStart w:id="235" w:name="_Toc1900144964_WPSOffice_Level2"/>
      <w:bookmarkStart w:id="236" w:name="_Toc22100"/>
      <w:bookmarkStart w:id="237" w:name="_Toc1068150226_WPSOffice_Level2"/>
      <w:bookmarkStart w:id="238" w:name="_Toc18646"/>
      <w:r>
        <w:rPr>
          <w:rFonts w:hint="default" w:ascii="方正黑体_GBK" w:hAnsi="方正黑体_GBK" w:eastAsia="方正黑体_GBK" w:cs="方正黑体_GBK"/>
          <w:b w:val="0"/>
          <w:bCs w:val="0"/>
          <w:shd w:val="clear" w:color="auto" w:fill="auto"/>
        </w:rPr>
        <w:t>第三节  推进融合智慧调度“一键联动”</w:t>
      </w:r>
      <w:bookmarkEnd w:id="235"/>
      <w:bookmarkEnd w:id="236"/>
      <w:bookmarkEnd w:id="237"/>
      <w:bookmarkEnd w:id="238"/>
    </w:p>
    <w:p>
      <w:pPr>
        <w:snapToGrid w:val="0"/>
        <w:spacing w:line="276" w:lineRule="auto"/>
        <w:ind w:firstLine="0"/>
        <w:rPr>
          <w:rFonts w:ascii="方正仿宋_GBK" w:hAnsi="方正仿宋_GBK" w:cs="方正仿宋_GBK"/>
          <w:b w:val="0"/>
          <w:bCs w:val="0"/>
          <w:shd w:val="clear" w:color="auto" w:fill="auto"/>
        </w:rPr>
      </w:pPr>
    </w:p>
    <w:p>
      <w:pPr>
        <w:snapToGrid w:val="0"/>
        <w:spacing w:line="276" w:lineRule="auto"/>
        <w:ind w:firstLine="0"/>
        <w:rPr>
          <w:rFonts w:ascii="方正仿宋_GBK" w:hAnsi="方正仿宋_GBK" w:cs="方正仿宋_GBK"/>
          <w:b w:val="0"/>
          <w:bCs w:val="0"/>
          <w:shd w:val="clear" w:color="auto" w:fill="auto"/>
        </w:rPr>
      </w:pPr>
      <w:r>
        <w:rPr>
          <w:rFonts w:ascii="方正仿宋_GBK" w:hAnsi="方正仿宋_GBK" w:cs="方正仿宋_GBK"/>
          <w:b w:val="0"/>
          <w:bCs w:val="0"/>
          <w:shd w:val="clear" w:color="auto" w:fill="auto"/>
        </w:rPr>
        <w:t>坚持平战结合，以城市管理大数据和融合通信移动应用为支撑，汇聚GIS、语音、视频、数据为一体，完善指挥调度联勤联动机制，构建智能城市管理指挥调度系统，紧盯城市运行态势，精准调度、高效指挥，面向常态监督管理、重点专项保障、安全应急指挥等场景，</w:t>
      </w:r>
      <w:r>
        <w:rPr>
          <w:rFonts w:hint="eastAsia" w:ascii="方正仿宋_GBK" w:hAnsi="方正仿宋_GBK" w:cs="方正仿宋_GBK"/>
          <w:b w:val="0"/>
          <w:bCs w:val="0"/>
        </w:rPr>
        <w:t>管理难点重点区域、施工区域视频监控，通过平台实现所有城市管理人员上岗考勤、巡逻路线、人员分布、脱岗报警等智能管理，实现一键语音快速指挥调度，</w:t>
      </w:r>
      <w:r>
        <w:rPr>
          <w:rFonts w:ascii="方正仿宋_GBK" w:hAnsi="方正仿宋_GBK" w:cs="方正仿宋_GBK"/>
          <w:b w:val="0"/>
          <w:bCs w:val="0"/>
          <w:shd w:val="clear" w:color="auto" w:fill="auto"/>
        </w:rPr>
        <w:t>推行</w:t>
      </w:r>
      <w:r>
        <w:rPr>
          <w:rFonts w:hint="default" w:ascii="方正仿宋_GBK" w:hAnsi="方正仿宋_GBK" w:cs="方正仿宋_GBK"/>
          <w:b w:val="0"/>
          <w:bCs w:val="0"/>
          <w:shd w:val="clear" w:color="auto" w:fill="auto"/>
        </w:rPr>
        <w:t>“</w:t>
      </w:r>
      <w:r>
        <w:rPr>
          <w:rFonts w:ascii="方正仿宋_GBK" w:hAnsi="方正仿宋_GBK" w:cs="方正仿宋_GBK"/>
          <w:b w:val="0"/>
          <w:bCs w:val="0"/>
          <w:shd w:val="clear" w:color="auto" w:fill="auto"/>
        </w:rPr>
        <w:t>计划生成、指令下达、预案执行、效果评估</w:t>
      </w:r>
      <w:r>
        <w:rPr>
          <w:rFonts w:hint="default" w:ascii="方正仿宋_GBK" w:hAnsi="方正仿宋_GBK" w:cs="方正仿宋_GBK"/>
          <w:b w:val="0"/>
          <w:bCs w:val="0"/>
          <w:shd w:val="clear" w:color="auto" w:fill="auto"/>
        </w:rPr>
        <w:t>”</w:t>
      </w:r>
      <w:r>
        <w:rPr>
          <w:rFonts w:ascii="方正仿宋_GBK" w:hAnsi="方正仿宋_GBK" w:cs="方正仿宋_GBK"/>
          <w:b w:val="0"/>
          <w:bCs w:val="0"/>
          <w:shd w:val="clear" w:color="auto" w:fill="auto"/>
        </w:rPr>
        <w:t>全流程数据化、可视化，实现智能化跨区域、跨层级的一体化指挥调度。</w:t>
      </w:r>
    </w:p>
    <w:p>
      <w:pPr>
        <w:snapToGrid w:val="0"/>
        <w:spacing w:line="276" w:lineRule="auto"/>
        <w:ind w:firstLine="0"/>
        <w:rPr>
          <w:rFonts w:hint="eastAsia" w:ascii="方正仿宋_GBK" w:hAnsi="方正仿宋_GBK" w:cs="方正仿宋_GBK"/>
          <w:b w:val="0"/>
          <w:bCs w:val="0"/>
        </w:rPr>
      </w:pPr>
    </w:p>
    <w:p>
      <w:pPr>
        <w:snapToGrid w:val="0"/>
        <w:spacing w:before="0" w:after="0" w:line="276" w:lineRule="auto"/>
        <w:ind w:firstLine="0" w:firstLineChars="0"/>
        <w:jc w:val="center"/>
        <w:rPr>
          <w:rFonts w:hint="eastAsia" w:ascii="方正黑体_GBK" w:hAnsi="方正黑体_GBK" w:eastAsia="方正黑体_GBK" w:cs="方正黑体_GBK"/>
          <w:b w:val="0"/>
          <w:bCs w:val="0"/>
          <w:shd w:val="clear" w:color="auto" w:fill="auto"/>
        </w:rPr>
      </w:pPr>
      <w:bookmarkStart w:id="239" w:name="_Toc15058"/>
      <w:bookmarkStart w:id="240" w:name="_Toc968041294_WPSOffice_Level2"/>
      <w:bookmarkStart w:id="241" w:name="_Toc3394"/>
      <w:bookmarkStart w:id="242" w:name="_Toc1073444995_WPSOffice_Level2"/>
      <w:r>
        <w:rPr>
          <w:rFonts w:hint="default" w:ascii="方正黑体_GBK" w:hAnsi="方正黑体_GBK" w:eastAsia="方正黑体_GBK" w:cs="方正黑体_GBK"/>
          <w:b w:val="0"/>
          <w:bCs w:val="0"/>
          <w:shd w:val="clear" w:color="auto" w:fill="auto"/>
        </w:rPr>
        <w:t>第四节  推进便民惠民利民“一端服务”</w:t>
      </w:r>
      <w:bookmarkEnd w:id="239"/>
      <w:bookmarkEnd w:id="240"/>
      <w:bookmarkEnd w:id="241"/>
      <w:bookmarkEnd w:id="242"/>
    </w:p>
    <w:p>
      <w:pPr>
        <w:snapToGrid w:val="0"/>
        <w:spacing w:line="276" w:lineRule="auto"/>
        <w:ind w:firstLine="0"/>
        <w:rPr>
          <w:rFonts w:ascii="方正仿宋_GBK" w:hAnsi="方正仿宋_GBK" w:cs="方正仿宋_GBK"/>
          <w:b w:val="0"/>
          <w:bCs w:val="0"/>
          <w:shd w:val="clear" w:color="auto" w:fill="auto"/>
        </w:rPr>
      </w:pPr>
    </w:p>
    <w:p>
      <w:pPr>
        <w:snapToGrid w:val="0"/>
        <w:spacing w:line="276" w:lineRule="auto"/>
        <w:ind w:firstLine="0"/>
        <w:rPr>
          <w:rFonts w:hint="eastAsia" w:ascii="方正仿宋_GBK" w:hAnsi="方正仿宋_GBK" w:cs="方正仿宋_GBK"/>
          <w:b w:val="0"/>
          <w:bCs w:val="0"/>
        </w:rPr>
      </w:pPr>
      <w:r>
        <w:rPr>
          <w:rFonts w:ascii="方正仿宋_GBK" w:hAnsi="方正仿宋_GBK" w:cs="方正仿宋_GBK"/>
          <w:b w:val="0"/>
          <w:bCs w:val="0"/>
          <w:shd w:val="clear" w:color="auto" w:fill="auto"/>
        </w:rPr>
        <w:t>强化数字民生，进一步完善城市管理公共服务手机移动端，丰富市民参与渠道和提升服务手段，重点打造停车、游园、</w:t>
      </w:r>
      <w:r>
        <w:rPr>
          <w:rFonts w:hint="default" w:ascii="方正仿宋_GBK" w:hAnsi="方正仿宋_GBK" w:cs="方正仿宋_GBK"/>
          <w:b w:val="0"/>
          <w:bCs w:val="0"/>
          <w:shd w:val="clear" w:color="auto" w:fill="auto"/>
        </w:rPr>
        <w:t>如厕</w:t>
      </w:r>
      <w:r>
        <w:rPr>
          <w:rFonts w:ascii="方正仿宋_GBK" w:hAnsi="方正仿宋_GBK" w:cs="方正仿宋_GBK"/>
          <w:b w:val="0"/>
          <w:bCs w:val="0"/>
          <w:shd w:val="clear" w:color="auto" w:fill="auto"/>
        </w:rPr>
        <w:t>、饮水、义务植树、志愿者服务等特色惠民应用场景，提供</w:t>
      </w:r>
      <w:r>
        <w:rPr>
          <w:rFonts w:hint="eastAsia" w:ascii="方正仿宋_GBK" w:hAnsi="方正仿宋_GBK" w:cs="方正仿宋_GBK"/>
          <w:b w:val="0"/>
          <w:bCs w:val="0"/>
        </w:rPr>
        <w:t>集便民服务、宣传引导、预警预告为一体的</w:t>
      </w:r>
      <w:r>
        <w:rPr>
          <w:rFonts w:ascii="方正仿宋_GBK" w:hAnsi="方正仿宋_GBK" w:cs="方正仿宋_GBK"/>
          <w:b w:val="0"/>
          <w:bCs w:val="0"/>
          <w:shd w:val="clear" w:color="auto" w:fill="auto"/>
        </w:rPr>
        <w:t>更有针对性、更加精准化、更具个性化的</w:t>
      </w:r>
      <w:r>
        <w:rPr>
          <w:rFonts w:hint="eastAsia" w:ascii="方正仿宋_GBK" w:hAnsi="方正仿宋_GBK" w:cs="方正仿宋_GBK"/>
          <w:b w:val="0"/>
          <w:bCs w:val="0"/>
        </w:rPr>
        <w:t>智慧城管市民应用服务，引导市民积极参与永川城市管理工作。</w:t>
      </w:r>
    </w:p>
    <w:p>
      <w:pPr>
        <w:snapToGrid w:val="0"/>
        <w:spacing w:line="276" w:lineRule="auto"/>
        <w:ind w:firstLine="0"/>
        <w:rPr>
          <w:rFonts w:hint="eastAsia" w:ascii="方正仿宋_GBK" w:hAnsi="方正仿宋_GBK" w:cs="方正仿宋_GBK"/>
          <w:b w:val="0"/>
          <w:bCs w:val="0"/>
          <w:shd w:val="clear" w:color="auto" w:fill="auto"/>
        </w:rPr>
      </w:pPr>
    </w:p>
    <w:p>
      <w:pPr>
        <w:snapToGrid w:val="0"/>
        <w:spacing w:before="0" w:after="0" w:line="276" w:lineRule="auto"/>
        <w:ind w:firstLine="0" w:firstLineChars="0"/>
        <w:jc w:val="center"/>
        <w:rPr>
          <w:rFonts w:hint="eastAsia" w:ascii="方正黑体_GBK" w:hAnsi="方正黑体_GBK" w:eastAsia="方正黑体_GBK" w:cs="方正黑体_GBK"/>
          <w:b w:val="0"/>
          <w:bCs w:val="0"/>
        </w:rPr>
      </w:pPr>
      <w:bookmarkStart w:id="243" w:name="_Toc418372514_WPSOffice_Level2"/>
      <w:bookmarkStart w:id="244" w:name="_Toc1284515421_WPSOffice_Level2"/>
      <w:bookmarkStart w:id="245" w:name="_Toc18959"/>
      <w:bookmarkStart w:id="246" w:name="_Toc12580"/>
      <w:r>
        <w:rPr>
          <w:rFonts w:hint="default" w:ascii="方正黑体_GBK" w:hAnsi="方正黑体_GBK" w:eastAsia="方正黑体_GBK" w:cs="方正黑体_GBK"/>
          <w:b w:val="0"/>
          <w:bCs w:val="0"/>
        </w:rPr>
        <w:t>第五节  推进智慧城管物联感知设备建设</w:t>
      </w:r>
      <w:bookmarkEnd w:id="243"/>
      <w:bookmarkEnd w:id="244"/>
      <w:bookmarkEnd w:id="245"/>
      <w:bookmarkEnd w:id="246"/>
    </w:p>
    <w:p>
      <w:pPr>
        <w:snapToGrid w:val="0"/>
        <w:spacing w:line="276" w:lineRule="auto"/>
        <w:ind w:firstLine="0"/>
        <w:rPr>
          <w:rFonts w:hint="eastAsia" w:ascii="方正仿宋_GBK" w:hAnsi="方正仿宋_GBK" w:cs="方正仿宋_GBK"/>
          <w:b w:val="0"/>
          <w:bCs w:val="0"/>
        </w:rPr>
      </w:pPr>
    </w:p>
    <w:p>
      <w:pPr>
        <w:snapToGrid w:val="0"/>
        <w:spacing w:line="276" w:lineRule="auto"/>
        <w:ind w:firstLine="0"/>
        <w:rPr>
          <w:rFonts w:hint="eastAsia" w:ascii="方正仿宋_GBK" w:hAnsi="方正仿宋_GBK" w:cs="方正仿宋_GBK"/>
          <w:b w:val="0"/>
          <w:bCs w:val="0"/>
        </w:rPr>
      </w:pPr>
      <w:r>
        <w:rPr>
          <w:rFonts w:hint="eastAsia" w:ascii="方正仿宋_GBK" w:hAnsi="方正仿宋_GBK" w:cs="方正仿宋_GBK"/>
          <w:b w:val="0"/>
          <w:bCs w:val="0"/>
        </w:rPr>
        <w:t>在充分共享、接入相关部门已建或在建的感知终端的基础上，通过停车管理、作业车辆管理、多功能单兵设备、智能垃圾箱、智慧公园、桥梁检测监测、化粪池监测等方面各种智能应用场景的建设，拓宽和完善在城市管理各个版块的感知能力。</w:t>
      </w:r>
    </w:p>
    <w:p>
      <w:pPr>
        <w:snapToGrid w:val="0"/>
        <w:spacing w:line="276" w:lineRule="auto"/>
        <w:ind w:firstLine="0"/>
        <w:rPr>
          <w:rFonts w:hint="eastAsia" w:ascii="方正仿宋_GBK" w:hAnsi="方正仿宋_GBK" w:cs="方正仿宋_GBK"/>
          <w:b w:val="0"/>
          <w:bCs w:val="0"/>
        </w:rPr>
      </w:pPr>
    </w:p>
    <w:p>
      <w:pPr>
        <w:snapToGrid w:val="0"/>
        <w:spacing w:before="0" w:after="0" w:line="276" w:lineRule="auto"/>
        <w:ind w:firstLine="0" w:firstLineChars="0"/>
        <w:jc w:val="center"/>
        <w:rPr>
          <w:rFonts w:hint="eastAsia" w:ascii="方正黑体_GBK" w:hAnsi="方正黑体_GBK" w:eastAsia="方正黑体_GBK" w:cs="方正黑体_GBK"/>
          <w:b w:val="0"/>
          <w:bCs w:val="0"/>
          <w:shd w:val="clear" w:color="auto" w:fill="auto"/>
        </w:rPr>
      </w:pPr>
      <w:bookmarkStart w:id="247" w:name="_Toc26869"/>
      <w:bookmarkStart w:id="248" w:name="_Toc891714194_WPSOffice_Level2"/>
      <w:bookmarkStart w:id="249" w:name="_Toc1662052353_WPSOffice_Level2"/>
      <w:bookmarkStart w:id="250" w:name="_Toc11049"/>
      <w:r>
        <w:rPr>
          <w:rFonts w:hint="default" w:ascii="方正黑体_GBK" w:hAnsi="方正黑体_GBK" w:eastAsia="方正黑体_GBK" w:cs="方正黑体_GBK"/>
          <w:b w:val="0"/>
          <w:bCs w:val="0"/>
          <w:shd w:val="clear" w:color="auto" w:fill="auto"/>
        </w:rPr>
        <w:t>第六节  争取纳入成渝地区双城经济圈智慧城管试点城市</w:t>
      </w:r>
      <w:bookmarkEnd w:id="247"/>
      <w:bookmarkEnd w:id="248"/>
      <w:bookmarkEnd w:id="249"/>
      <w:bookmarkEnd w:id="250"/>
    </w:p>
    <w:p>
      <w:pPr>
        <w:snapToGrid w:val="0"/>
        <w:spacing w:line="276" w:lineRule="auto"/>
        <w:ind w:firstLine="0"/>
        <w:rPr>
          <w:rFonts w:hint="eastAsia" w:ascii="方正仿宋_GBK" w:hAnsi="方正仿宋_GBK" w:cs="方正仿宋_GBK"/>
          <w:b w:val="0"/>
          <w:bCs w:val="0"/>
        </w:rPr>
      </w:pPr>
    </w:p>
    <w:p>
      <w:pPr>
        <w:snapToGrid w:val="0"/>
        <w:spacing w:line="276" w:lineRule="auto"/>
        <w:ind w:firstLine="0"/>
        <w:rPr>
          <w:rFonts w:hint="eastAsia" w:ascii="方正仿宋_GBK" w:hAnsi="方正仿宋_GBK" w:cs="方正仿宋_GBK"/>
          <w:b w:val="0"/>
          <w:bCs w:val="0"/>
        </w:rPr>
      </w:pPr>
      <w:r>
        <w:rPr>
          <w:rFonts w:hint="eastAsia" w:ascii="方正仿宋_GBK" w:hAnsi="方正仿宋_GBK" w:cs="方正仿宋_GBK"/>
          <w:b w:val="0"/>
          <w:bCs w:val="0"/>
        </w:rPr>
        <w:t>积极争取成渝地区双城经济圈智慧城管试点项目建设，承担更多智慧城管项目的试点建设工作，将其他地区智慧城管先进经验在永川实现整合利用，分享永川智慧城管建设经验。</w:t>
      </w:r>
    </w:p>
    <w:p>
      <w:pPr>
        <w:snapToGrid w:val="0"/>
        <w:spacing w:line="276" w:lineRule="auto"/>
        <w:ind w:firstLine="0" w:firstLineChars="0"/>
        <w:jc w:val="center"/>
        <w:rPr>
          <w:rFonts w:hint="eastAsia" w:ascii="方正楷体_GBK" w:hAnsi="方正楷体_GBK" w:eastAsia="方正楷体_GBK" w:cs="方正楷体_GBK"/>
          <w:b w:val="0"/>
          <w:bCs w:val="0"/>
          <w:sz w:val="28"/>
          <w:szCs w:val="28"/>
        </w:rPr>
      </w:pPr>
      <w:bookmarkStart w:id="251" w:name="_Toc2135065317_WPSOffice_Level2"/>
      <w:bookmarkStart w:id="252" w:name="_Toc467550903_WPSOffice_Level2"/>
      <w:r>
        <w:rPr>
          <w:rFonts w:hint="default" w:ascii="方正楷体_GBK" w:hAnsi="方正楷体_GBK" w:eastAsia="方正楷体_GBK" w:cs="方正楷体_GBK"/>
          <w:b w:val="0"/>
          <w:bCs w:val="0"/>
          <w:sz w:val="28"/>
          <w:szCs w:val="28"/>
        </w:rPr>
        <w:t>专栏15  智慧城管建设</w:t>
      </w:r>
      <w:r>
        <w:rPr>
          <w:rFonts w:hint="eastAsia" w:ascii="方正楷体_GBK" w:hAnsi="方正楷体_GBK" w:eastAsia="方正楷体_GBK" w:cs="方正楷体_GBK"/>
          <w:b w:val="0"/>
          <w:bCs w:val="0"/>
          <w:sz w:val="28"/>
          <w:szCs w:val="28"/>
        </w:rPr>
        <w:t>重点项目</w:t>
      </w:r>
      <w:bookmarkEnd w:id="251"/>
      <w:bookmarkEnd w:id="252"/>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8" w:hRule="atLeast"/>
          <w:jc w:val="center"/>
        </w:trPr>
        <w:tc>
          <w:tcPr>
            <w:tcW w:w="8660" w:type="dxa"/>
            <w:noWrap w:val="0"/>
            <w:vAlign w:val="top"/>
          </w:tcPr>
          <w:p>
            <w:pPr>
              <w:snapToGrid w:val="0"/>
              <w:spacing w:line="240" w:lineRule="auto"/>
              <w:ind w:firstLine="0"/>
              <w:rPr>
                <w:rFonts w:ascii="方正仿宋_GBK" w:hAnsi="方正仿宋_GBK" w:cs="方正仿宋_GBK"/>
                <w:b w:val="0"/>
                <w:bCs w:val="0"/>
                <w:sz w:val="21"/>
                <w:szCs w:val="21"/>
              </w:rPr>
            </w:pPr>
            <w:r>
              <w:rPr>
                <w:rFonts w:hint="default"/>
                <w:b w:val="0"/>
                <w:bCs w:val="0"/>
                <w:sz w:val="21"/>
                <w:szCs w:val="21"/>
              </w:rPr>
              <w:t>智慧城管综合管理服务平台建设项目</w:t>
            </w:r>
            <w:r>
              <w:rPr>
                <w:b w:val="0"/>
                <w:bCs w:val="0"/>
                <w:sz w:val="21"/>
                <w:szCs w:val="21"/>
              </w:rPr>
              <w:t>——</w:t>
            </w:r>
            <w:r>
              <w:rPr>
                <w:rFonts w:ascii="方正仿宋_GBK" w:hAnsi="方正仿宋_GBK" w:cs="方正仿宋_GBK"/>
                <w:b w:val="0"/>
                <w:bCs w:val="0"/>
                <w:sz w:val="21"/>
                <w:szCs w:val="21"/>
              </w:rPr>
              <w:t>建设完善永川区智慧城管综合管理服务平台，实现全区城市管理工作一张图可视化管理。</w:t>
            </w:r>
          </w:p>
          <w:p>
            <w:pPr>
              <w:snapToGrid w:val="0"/>
              <w:spacing w:line="240" w:lineRule="auto"/>
              <w:ind w:firstLine="0"/>
              <w:rPr>
                <w:rFonts w:ascii="方正仿宋_GBK" w:hAnsi="方正仿宋_GBK" w:cs="方正仿宋_GBK"/>
                <w:b w:val="0"/>
                <w:bCs w:val="0"/>
                <w:sz w:val="21"/>
                <w:szCs w:val="21"/>
              </w:rPr>
            </w:pPr>
            <w:r>
              <w:rPr>
                <w:rFonts w:hint="default"/>
                <w:b w:val="0"/>
                <w:bCs w:val="0"/>
                <w:sz w:val="21"/>
                <w:szCs w:val="21"/>
              </w:rPr>
              <w:t>智慧城管市政设施综合管理子系统建设项目——</w:t>
            </w:r>
            <w:r>
              <w:rPr>
                <w:rFonts w:ascii="方正仿宋_GBK" w:hAnsi="方正仿宋_GBK" w:cs="方正仿宋_GBK"/>
                <w:b w:val="0"/>
                <w:bCs w:val="0"/>
                <w:sz w:val="21"/>
                <w:szCs w:val="21"/>
              </w:rPr>
              <w:t>建设覆盖市政全领域的业务管理系统，包含桥梁、道路、涵隧、照明设施、公交站牌、井盖、地下管网、防汛、城市供水等管理业务，实现各领域管理机制、业务模型的标准化与个性化相结合的专项管理。</w:t>
            </w:r>
          </w:p>
          <w:p>
            <w:pPr>
              <w:snapToGrid w:val="0"/>
              <w:spacing w:line="240" w:lineRule="auto"/>
              <w:ind w:firstLine="0"/>
              <w:rPr>
                <w:rFonts w:ascii="方正仿宋_GBK" w:hAnsi="方正仿宋_GBK" w:cs="方正仿宋_GBK"/>
                <w:b w:val="0"/>
                <w:bCs w:val="0"/>
                <w:sz w:val="21"/>
                <w:szCs w:val="21"/>
              </w:rPr>
            </w:pPr>
            <w:r>
              <w:rPr>
                <w:rFonts w:hint="default"/>
                <w:b w:val="0"/>
                <w:bCs w:val="0"/>
                <w:sz w:val="21"/>
                <w:szCs w:val="21"/>
              </w:rPr>
              <w:t>智慧城管市容环卫综合管理子系统建设项目——</w:t>
            </w:r>
            <w:r>
              <w:rPr>
                <w:rFonts w:ascii="方正仿宋_GBK" w:hAnsi="方正仿宋_GBK" w:cs="方正仿宋_GBK"/>
                <w:b w:val="0"/>
                <w:bCs w:val="0"/>
                <w:sz w:val="21"/>
                <w:szCs w:val="21"/>
              </w:rPr>
              <w:t>建设环卫行业基础数据库，通过对环卫管理所涉及的各类环卫设施、环卫作业车辆、环卫管理人员进行全过程实时监管，形成一个信息互联互通的物联网络，实现环卫管理精细化、作业安全科学化。</w:t>
            </w:r>
          </w:p>
          <w:p>
            <w:pPr>
              <w:snapToGrid w:val="0"/>
              <w:spacing w:line="240" w:lineRule="auto"/>
              <w:ind w:firstLine="0"/>
              <w:rPr>
                <w:rFonts w:ascii="方正仿宋_GBK" w:hAnsi="方正仿宋_GBK" w:cs="方正仿宋_GBK"/>
                <w:b w:val="0"/>
                <w:bCs w:val="0"/>
                <w:kern w:val="2"/>
                <w:sz w:val="21"/>
                <w:szCs w:val="21"/>
              </w:rPr>
            </w:pPr>
            <w:r>
              <w:rPr>
                <w:rFonts w:hint="default"/>
                <w:b w:val="0"/>
                <w:bCs w:val="0"/>
                <w:sz w:val="21"/>
                <w:szCs w:val="21"/>
              </w:rPr>
              <w:t>智慧城管园林绿化综合管理子系统建设项目——</w:t>
            </w:r>
            <w:r>
              <w:rPr>
                <w:rFonts w:ascii="方正仿宋_GBK" w:hAnsi="方正仿宋_GBK" w:cs="方正仿宋_GBK"/>
                <w:b w:val="0"/>
                <w:bCs w:val="0"/>
                <w:sz w:val="21"/>
                <w:szCs w:val="21"/>
              </w:rPr>
              <w:t>查清绿地资源、分布现状、管理边界，形成一个集园林绿化信息感知、辅助规划、综合管理、公共服务、监督执法于一体的智能化信息平台，实现园林资源信息的动态监测、在线服务、深度处理、有效共享与综合应用。</w:t>
            </w:r>
          </w:p>
          <w:p>
            <w:pPr>
              <w:snapToGrid w:val="0"/>
              <w:spacing w:line="240" w:lineRule="auto"/>
              <w:ind w:firstLine="0"/>
              <w:rPr>
                <w:rFonts w:ascii="方正仿宋_GBK" w:hAnsi="方正仿宋_GBK" w:cs="方正仿宋_GBK"/>
                <w:b w:val="0"/>
                <w:bCs w:val="0"/>
                <w:sz w:val="21"/>
                <w:szCs w:val="21"/>
              </w:rPr>
            </w:pPr>
            <w:r>
              <w:rPr>
                <w:rFonts w:hint="default"/>
                <w:b w:val="0"/>
                <w:bCs w:val="0"/>
                <w:sz w:val="21"/>
                <w:szCs w:val="21"/>
              </w:rPr>
              <w:t>智慧城管执法业务综合管理子系统建设项目——</w:t>
            </w:r>
            <w:r>
              <w:rPr>
                <w:rFonts w:ascii="方正仿宋_GBK" w:hAnsi="方正仿宋_GBK" w:cs="方正仿宋_GBK"/>
                <w:b w:val="0"/>
                <w:bCs w:val="0"/>
                <w:sz w:val="21"/>
                <w:szCs w:val="21"/>
              </w:rPr>
              <w:t>以执法</w:t>
            </w:r>
            <w:r>
              <w:rPr>
                <w:rFonts w:hint="default" w:ascii="方正仿宋_GBK" w:hAnsi="方正仿宋_GBK" w:cs="方正仿宋_GBK"/>
                <w:b w:val="0"/>
                <w:bCs w:val="0"/>
                <w:sz w:val="21"/>
                <w:szCs w:val="21"/>
              </w:rPr>
              <w:t>“</w:t>
            </w:r>
            <w:r>
              <w:rPr>
                <w:rFonts w:ascii="方正仿宋_GBK" w:hAnsi="方正仿宋_GBK" w:cs="方正仿宋_GBK"/>
                <w:b w:val="0"/>
                <w:bCs w:val="0"/>
                <w:sz w:val="21"/>
                <w:szCs w:val="21"/>
              </w:rPr>
              <w:t>六化</w:t>
            </w:r>
            <w:r>
              <w:rPr>
                <w:rFonts w:hint="default" w:ascii="方正仿宋_GBK" w:hAnsi="方正仿宋_GBK" w:cs="方正仿宋_GBK"/>
                <w:b w:val="0"/>
                <w:bCs w:val="0"/>
                <w:sz w:val="21"/>
                <w:szCs w:val="21"/>
              </w:rPr>
              <w:t>”</w:t>
            </w:r>
            <w:r>
              <w:rPr>
                <w:rFonts w:ascii="方正仿宋_GBK" w:hAnsi="方正仿宋_GBK" w:cs="方正仿宋_GBK"/>
                <w:b w:val="0"/>
                <w:bCs w:val="0"/>
                <w:sz w:val="21"/>
                <w:szCs w:val="21"/>
              </w:rPr>
              <w:t>为指导思想，全面覆盖执法案件管理、公众参与监督、执法监督考核、执法勤务辅助管理、执法指挥调度、数据分析。通过网上标准化流程实现精细化执法，实现执法全过程网上办案。建成智能归类保存执法案件、市政工程、环卫工程、园林绿化工程等资料的数据资源管理中心，为城市管理执法工作提供相关资料支撑。</w:t>
            </w:r>
          </w:p>
          <w:p>
            <w:pPr>
              <w:snapToGrid w:val="0"/>
              <w:spacing w:line="240" w:lineRule="auto"/>
              <w:ind w:firstLine="0"/>
              <w:rPr>
                <w:b w:val="0"/>
                <w:bCs w:val="0"/>
                <w:sz w:val="21"/>
                <w:szCs w:val="21"/>
              </w:rPr>
            </w:pPr>
            <w:r>
              <w:rPr>
                <w:rFonts w:hint="default"/>
                <w:b w:val="0"/>
                <w:bCs w:val="0"/>
                <w:sz w:val="21"/>
                <w:szCs w:val="21"/>
              </w:rPr>
              <w:t>智慧城管物联感知设备建设项目</w:t>
            </w:r>
            <w:r>
              <w:rPr>
                <w:rFonts w:hint="default"/>
                <w:b w:val="0"/>
                <w:bCs w:val="0"/>
                <w:sz w:val="21"/>
                <w:szCs w:val="21"/>
                <w:shd w:val="clear" w:color="auto" w:fill="auto"/>
              </w:rPr>
              <w:t>——</w:t>
            </w:r>
            <w:r>
              <w:rPr>
                <w:rFonts w:ascii="方正仿宋_GBK" w:hAnsi="方正仿宋_GBK" w:cs="方正仿宋_GBK"/>
                <w:b w:val="0"/>
                <w:bCs w:val="0"/>
                <w:sz w:val="21"/>
                <w:szCs w:val="21"/>
                <w:shd w:val="clear" w:color="auto" w:fill="auto"/>
              </w:rPr>
              <w:t>加强在</w:t>
            </w:r>
            <w:r>
              <w:rPr>
                <w:rFonts w:ascii="方正仿宋_GBK" w:hAnsi="方正仿宋_GBK" w:cs="方正仿宋_GBK"/>
                <w:b w:val="0"/>
                <w:bCs w:val="0"/>
                <w:sz w:val="21"/>
                <w:szCs w:val="21"/>
              </w:rPr>
              <w:t>停车管理、作业车辆管理、多功能单兵设备、智能垃圾箱、智慧公园、桥梁检测监测、化粪池监测等方面各种智能应用场景的建设。</w:t>
            </w:r>
          </w:p>
        </w:tc>
      </w:tr>
      <w:bookmarkEnd w:id="118"/>
    </w:tbl>
    <w:p>
      <w:pPr>
        <w:snapToGrid w:val="0"/>
        <w:spacing w:line="276" w:lineRule="auto"/>
        <w:ind w:firstLine="0"/>
        <w:rPr>
          <w:rFonts w:eastAsia="方正仿宋_GBK"/>
          <w:b w:val="0"/>
          <w:bCs w:val="0"/>
          <w:sz w:val="32"/>
          <w:szCs w:val="32"/>
        </w:rPr>
      </w:pPr>
      <w:bookmarkStart w:id="253" w:name="_Toc3336"/>
      <w:bookmarkStart w:id="254" w:name="_Toc29152"/>
      <w:bookmarkStart w:id="255" w:name="_Toc74151082"/>
      <w:bookmarkStart w:id="256" w:name="_Toc74151076"/>
      <w:bookmarkStart w:id="257" w:name="_Toc70450439"/>
      <w:bookmarkStart w:id="258" w:name="_Toc74151083"/>
    </w:p>
    <w:p>
      <w:pPr>
        <w:snapToGrid w:val="0"/>
        <w:spacing w:before="0" w:after="0" w:line="276" w:lineRule="auto"/>
        <w:ind w:firstLine="0" w:firstLineChars="0"/>
        <w:jc w:val="center"/>
        <w:rPr>
          <w:rFonts w:hint="eastAsia" w:ascii="方正小标宋_GBK" w:hAnsi="方正小标宋_GBK" w:eastAsia="方正小标宋_GBK" w:cs="方正小标宋_GBK"/>
          <w:b w:val="0"/>
          <w:bCs w:val="0"/>
          <w:sz w:val="32"/>
          <w:szCs w:val="32"/>
        </w:rPr>
      </w:pPr>
      <w:bookmarkStart w:id="259" w:name="_Toc625432214_WPSOffice_Level1"/>
      <w:bookmarkStart w:id="260" w:name="_Toc1015013953_WPSOffice_Level1"/>
      <w:r>
        <w:rPr>
          <w:rFonts w:hint="eastAsia" w:ascii="方正小标宋_GBK" w:hAnsi="方正小标宋_GBK" w:eastAsia="方正小标宋_GBK" w:cs="方正小标宋_GBK"/>
          <w:b w:val="0"/>
          <w:bCs w:val="0"/>
          <w:sz w:val="32"/>
          <w:szCs w:val="32"/>
        </w:rPr>
        <w:t>第七章  统筹发展</w:t>
      </w:r>
      <w:r>
        <w:rPr>
          <w:rFonts w:hint="eastAsia" w:ascii="方正小标宋_GBK" w:hAnsi="方正小标宋_GBK" w:eastAsia="方正小标宋_GBK" w:cs="方正小标宋_GBK"/>
          <w:b w:val="0"/>
          <w:bCs w:val="0"/>
          <w:sz w:val="32"/>
          <w:szCs w:val="32"/>
          <w:lang w:eastAsia="zh-CN"/>
        </w:rPr>
        <w:t>和</w:t>
      </w:r>
      <w:bookmarkStart w:id="339" w:name="_GoBack"/>
      <w:bookmarkEnd w:id="339"/>
      <w:r>
        <w:rPr>
          <w:rFonts w:hint="eastAsia" w:ascii="方正小标宋_GBK" w:hAnsi="方正小标宋_GBK" w:eastAsia="方正小标宋_GBK" w:cs="方正小标宋_GBK"/>
          <w:b w:val="0"/>
          <w:bCs w:val="0"/>
          <w:sz w:val="32"/>
          <w:szCs w:val="32"/>
        </w:rPr>
        <w:t>安全，守住城市运行安全底线</w:t>
      </w:r>
      <w:bookmarkEnd w:id="253"/>
      <w:bookmarkEnd w:id="254"/>
      <w:bookmarkEnd w:id="259"/>
      <w:bookmarkEnd w:id="260"/>
    </w:p>
    <w:p>
      <w:pPr>
        <w:snapToGrid w:val="0"/>
        <w:spacing w:before="0" w:after="0" w:line="276" w:lineRule="auto"/>
        <w:ind w:firstLine="0"/>
        <w:jc w:val="both"/>
        <w:rPr>
          <w:rFonts w:hint="default" w:ascii="方正仿宋_GBK" w:hAnsi="方正仿宋_GBK" w:eastAsia="方正仿宋_GBK" w:cs="方正仿宋_GBK"/>
          <w:b w:val="0"/>
          <w:bCs w:val="0"/>
        </w:rPr>
      </w:pPr>
      <w:bookmarkStart w:id="261" w:name="_Toc1019"/>
      <w:bookmarkStart w:id="262" w:name="_Toc13525"/>
    </w:p>
    <w:p>
      <w:pPr>
        <w:snapToGrid w:val="0"/>
        <w:spacing w:before="0" w:after="0" w:line="276" w:lineRule="auto"/>
        <w:ind w:firstLine="0" w:firstLineChars="0"/>
        <w:jc w:val="center"/>
        <w:rPr>
          <w:rFonts w:ascii="方正黑体_GBK" w:hAnsi="方正黑体_GBK" w:eastAsia="方正黑体_GBK" w:cs="方正黑体_GBK"/>
          <w:b w:val="0"/>
          <w:bCs w:val="0"/>
        </w:rPr>
      </w:pPr>
      <w:bookmarkStart w:id="263" w:name="_Toc119900369_WPSOffice_Level2"/>
      <w:bookmarkStart w:id="264" w:name="_Toc1944509222_WPSOffice_Level2"/>
      <w:r>
        <w:rPr>
          <w:rFonts w:hint="default" w:ascii="方正黑体_GBK" w:hAnsi="方正黑体_GBK" w:eastAsia="方正黑体_GBK" w:cs="方正黑体_GBK"/>
          <w:b w:val="0"/>
          <w:bCs w:val="0"/>
        </w:rPr>
        <w:t>第一节  强化城市运行安全保障</w:t>
      </w:r>
      <w:bookmarkEnd w:id="261"/>
      <w:bookmarkEnd w:id="262"/>
      <w:bookmarkEnd w:id="263"/>
      <w:bookmarkEnd w:id="264"/>
      <w:r>
        <w:rPr>
          <w:rFonts w:hint="default" w:ascii="方正黑体_GBK" w:hAnsi="方正黑体_GBK" w:eastAsia="方正黑体_GBK" w:cs="方正黑体_GBK"/>
          <w:b w:val="0"/>
          <w:bCs w:val="0"/>
        </w:rPr>
        <w:tab/>
      </w:r>
    </w:p>
    <w:p>
      <w:pPr>
        <w:snapToGrid w:val="0"/>
        <w:spacing w:line="276" w:lineRule="auto"/>
        <w:ind w:firstLine="0"/>
        <w:rPr>
          <w:rFonts w:hint="default" w:ascii="方正仿宋_GBK" w:eastAsia="方正仿宋_GBK"/>
          <w:b w:val="0"/>
          <w:bCs w:val="0"/>
        </w:rPr>
      </w:pPr>
    </w:p>
    <w:p>
      <w:pPr>
        <w:snapToGrid w:val="0"/>
        <w:spacing w:line="276" w:lineRule="auto"/>
        <w:ind w:firstLine="0"/>
        <w:rPr>
          <w:rFonts w:hint="eastAsia" w:ascii="方正仿宋_GBK" w:hAnsi="方正仿宋_GBK" w:cs="方正仿宋_GBK"/>
          <w:b w:val="0"/>
          <w:bCs w:val="0"/>
        </w:rPr>
      </w:pPr>
      <w:r>
        <w:rPr>
          <w:rFonts w:hint="default" w:ascii="方正仿宋_GBK" w:eastAsia="方正仿宋_GBK"/>
          <w:b w:val="0"/>
          <w:bCs w:val="0"/>
        </w:rPr>
        <w:t>强化城市管理安全风险管控。</w:t>
      </w:r>
      <w:r>
        <w:rPr>
          <w:rFonts w:hint="eastAsia" w:ascii="方正仿宋_GBK" w:hAnsi="方正仿宋_GBK" w:cs="方正仿宋_GBK"/>
          <w:b w:val="0"/>
          <w:bCs w:val="0"/>
          <w:kern w:val="0"/>
        </w:rPr>
        <w:t>区城市管理局统筹城市管理领域运行安全工作，具体负责城市桥梁隧道、供水设施、照明设施、环境卫生、园林绿化、广告店招等方面的运行安全风险管控，研究制定城市管理安全风险管控行动方案，明确工作重点、工作措施和要求。</w:t>
      </w:r>
    </w:p>
    <w:p>
      <w:pPr>
        <w:snapToGrid w:val="0"/>
        <w:spacing w:line="276" w:lineRule="auto"/>
        <w:ind w:firstLine="0"/>
        <w:rPr>
          <w:rFonts w:hint="eastAsia" w:ascii="方正仿宋_GBK" w:hAnsi="方正仿宋_GBK" w:cs="方正仿宋_GBK"/>
          <w:b w:val="0"/>
          <w:bCs w:val="0"/>
        </w:rPr>
      </w:pPr>
      <w:r>
        <w:rPr>
          <w:rFonts w:hint="default" w:ascii="方正仿宋_GBK" w:eastAsia="方正仿宋_GBK"/>
          <w:b w:val="0"/>
          <w:bCs w:val="0"/>
        </w:rPr>
        <w:t>深化城市管理安全隐患排查防治。</w:t>
      </w:r>
      <w:r>
        <w:rPr>
          <w:rFonts w:hint="eastAsia" w:ascii="方正仿宋_GBK" w:hAnsi="方正仿宋_GBK" w:cs="方正仿宋_GBK"/>
          <w:b w:val="0"/>
          <w:bCs w:val="0"/>
        </w:rPr>
        <w:t>建立健全风险排查辨识机制，</w:t>
      </w:r>
      <w:r>
        <w:rPr>
          <w:rFonts w:hint="eastAsia" w:ascii="方正仿宋_GBK" w:hAnsi="方正仿宋_GBK" w:cs="方正仿宋_GBK"/>
          <w:b w:val="0"/>
          <w:bCs w:val="0"/>
          <w:kern w:val="0"/>
        </w:rPr>
        <w:t>各单位要坚持风险辨识与隐患排查相结合，按照职责分工制定排查辨识、登记建档等工作制度，落实工作责任，常态化开展风险隐患排查防治，全面准确掌握本单位职责范围内各类风险源、风险点、危险源、事故隐患的种类、数量和状况，切实摸清风险底数。要坚持固定时间全面查、因事因需随机查、敏感区域重点查，重大活动和重要时期、敏感节点要适时开展重点排查、专项排查。</w:t>
      </w:r>
    </w:p>
    <w:p>
      <w:pPr>
        <w:snapToGrid w:val="0"/>
        <w:spacing w:line="276" w:lineRule="auto"/>
        <w:ind w:firstLine="0"/>
        <w:rPr>
          <w:rFonts w:ascii="方正仿宋_GBK" w:hAnsi="方正仿宋_GBK" w:cs="方正仿宋_GBK"/>
          <w:b w:val="0"/>
          <w:bCs w:val="0"/>
          <w:shd w:val="clear" w:color="auto" w:fill="auto"/>
        </w:rPr>
      </w:pPr>
      <w:r>
        <w:rPr>
          <w:rFonts w:hint="default" w:ascii="方正仿宋_GBK" w:eastAsia="方正仿宋_GBK"/>
          <w:b w:val="0"/>
          <w:bCs w:val="0"/>
        </w:rPr>
        <w:t>提升城市管理领域安全监管效能。</w:t>
      </w:r>
      <w:r>
        <w:rPr>
          <w:rFonts w:ascii="方正仿宋_GBK" w:hAnsi="方正仿宋_GBK" w:cs="方正仿宋_GBK"/>
          <w:b w:val="0"/>
          <w:bCs w:val="0"/>
          <w:shd w:val="clear" w:color="auto" w:fill="auto"/>
        </w:rPr>
        <w:t>区城市管理局采取明察暗访、随机抽查等方式，定期或不定期地开展风险隐患排查和防范处置工作情况督导检查。对发生公共安全事故的，倒查风险管控和隐患排查治理工作情况；对未按规定开展自查、检查、督查和风险评估的、未落实风险管控措施导致公共安全事故发生的严肃追责问责。</w:t>
      </w:r>
    </w:p>
    <w:p>
      <w:pPr>
        <w:snapToGrid w:val="0"/>
        <w:spacing w:line="276" w:lineRule="auto"/>
        <w:ind w:firstLine="0"/>
        <w:rPr>
          <w:b w:val="0"/>
          <w:bCs w:val="0"/>
        </w:rPr>
      </w:pPr>
      <w:r>
        <w:rPr>
          <w:rFonts w:hint="default" w:ascii="方正仿宋_GBK" w:eastAsia="方正仿宋_GBK"/>
          <w:b w:val="0"/>
          <w:bCs w:val="0"/>
        </w:rPr>
        <w:t>保障城市供水水质安全。</w:t>
      </w:r>
      <w:r>
        <w:rPr>
          <w:rFonts w:hint="eastAsia" w:ascii="方正仿宋_GBK" w:hAnsi="方正仿宋_GBK" w:cs="方正仿宋_GBK"/>
          <w:b w:val="0"/>
          <w:bCs w:val="0"/>
        </w:rPr>
        <w:t>推进城市水厂水质在线监测系统建设，提升城市供水系统风险预警能力，严格执行城市供水水质分级监管制度，持续推进二次供水设施改造建设工程，防止二次污染，保证居民饮水安全。</w:t>
      </w:r>
    </w:p>
    <w:p>
      <w:pPr>
        <w:snapToGrid w:val="0"/>
        <w:spacing w:line="276" w:lineRule="auto"/>
        <w:ind w:firstLine="0"/>
        <w:rPr>
          <w:b w:val="0"/>
          <w:bCs w:val="0"/>
        </w:rPr>
      </w:pPr>
      <w:r>
        <w:rPr>
          <w:rFonts w:hint="default" w:ascii="方正仿宋_GBK" w:eastAsia="方正仿宋_GBK"/>
          <w:b w:val="0"/>
          <w:bCs w:val="0"/>
        </w:rPr>
        <w:t>加强道路窨井盖安全管理。</w:t>
      </w:r>
      <w:r>
        <w:rPr>
          <w:rFonts w:hint="eastAsia" w:ascii="方正仿宋_GBK" w:hAnsi="方正仿宋_GBK" w:cs="方正仿宋_GBK"/>
          <w:b w:val="0"/>
          <w:bCs w:val="0"/>
        </w:rPr>
        <w:t>全面开展影响行人和车辆安全的道路窨井盖专项整治，以城市主次干道、重点区域为重点，完成区内道路窨井盖确权、建档工作，消除安全隐患。各管线权属单位负责城市道路窨井盖的日常管理和维护工作，各管线行业主管部门负责对窨井盖权属单位的日常管理和维护情况依法实施监督检查。2021年开展城市道路窨井盖集中专项整治，落实行业管理责任、具体维护责任，健全工作机制，集中解决窨井盖缺失、损坏、凹凸不平以及井座沉陷等突出问题；2023年底前，基本完成各类窨井盖普查工作，摸清底数，健全管理档案；2025年底前，窨井盖安全管理机制进一步完善，信息化、智能化管理水平明显提升，事故风险监测预警能力和应急处置能力显著提升，窨井盖安全事故明显减少。</w:t>
      </w:r>
    </w:p>
    <w:p>
      <w:pPr>
        <w:snapToGrid w:val="0"/>
        <w:spacing w:line="276" w:lineRule="auto"/>
        <w:ind w:firstLine="0"/>
        <w:rPr>
          <w:rFonts w:hint="eastAsia" w:ascii="方正仿宋_GBK" w:hAnsi="方正仿宋_GBK" w:cs="方正仿宋_GBK"/>
          <w:b w:val="0"/>
          <w:bCs w:val="0"/>
        </w:rPr>
      </w:pPr>
      <w:r>
        <w:rPr>
          <w:rFonts w:hint="default" w:ascii="方正仿宋_GBK" w:eastAsia="方正仿宋_GBK"/>
          <w:b w:val="0"/>
          <w:bCs w:val="0"/>
        </w:rPr>
        <w:t>实施桥梁健康检测监测。</w:t>
      </w:r>
      <w:r>
        <w:rPr>
          <w:rFonts w:hint="eastAsia" w:ascii="方正仿宋_GBK" w:hAnsi="方正仿宋_GBK" w:cs="方正仿宋_GBK"/>
          <w:b w:val="0"/>
          <w:bCs w:val="0"/>
        </w:rPr>
        <w:t>持续开展桥梁健康检测和监测工作，做到应检必检，有病必治，彻底整治D级以下城市桥梁，城区桥隧设施每3年定期检测1次，检测出有病害的桥梁实施维修加固工程。加大专业化监测科技投入，逐步完善重点桥梁监测系统建设，自动、实时、动态监测区内大桥运行状况，有效地掌控结构使用状态及其发展演化趋势，及时发现和预警安全隐患，确保桥梁的安全运营。稳步提升重点桥梁安全管理的信息化、智能化、专业化水平，实施毛家坡等大桥智慧化实时健康监测工程。</w:t>
      </w:r>
    </w:p>
    <w:p>
      <w:pPr>
        <w:snapToGrid w:val="0"/>
        <w:spacing w:line="276" w:lineRule="auto"/>
        <w:ind w:firstLine="0"/>
        <w:rPr>
          <w:b w:val="0"/>
          <w:bCs w:val="0"/>
        </w:rPr>
      </w:pPr>
      <w:r>
        <w:rPr>
          <w:rFonts w:hint="default" w:ascii="方正仿宋_GBK" w:eastAsia="方正仿宋_GBK"/>
          <w:b w:val="0"/>
          <w:bCs w:val="0"/>
        </w:rPr>
        <w:t>开展城市管理领域基础设施安全专项体检。</w:t>
      </w:r>
      <w:r>
        <w:rPr>
          <w:rFonts w:hint="eastAsia" w:ascii="方正仿宋_GBK" w:hAnsi="方正仿宋_GBK" w:cs="方正仿宋_GBK"/>
          <w:b w:val="0"/>
          <w:bCs w:val="0"/>
        </w:rPr>
        <w:t>围绕道桥隧设施、照明设施、店招店牌、环卫设施、园林绿化、各类作业车辆设备等重点，组织开展城市管理领域基础设施安全专项体检，排查城市管理各类设施运行安全隐患和突出短板。</w:t>
      </w:r>
    </w:p>
    <w:p>
      <w:pPr>
        <w:snapToGrid w:val="0"/>
        <w:spacing w:line="276" w:lineRule="auto"/>
        <w:ind w:firstLine="0" w:firstLineChars="0"/>
        <w:jc w:val="center"/>
        <w:rPr>
          <w:rFonts w:hint="eastAsia" w:ascii="方正楷体_GBK" w:hAnsi="方正楷体_GBK" w:eastAsia="方正楷体_GBK" w:cs="方正楷体_GBK"/>
          <w:b w:val="0"/>
          <w:bCs w:val="0"/>
          <w:sz w:val="28"/>
          <w:szCs w:val="28"/>
        </w:rPr>
      </w:pPr>
      <w:bookmarkStart w:id="265" w:name="_Toc12090299_WPSOffice_Level2"/>
      <w:bookmarkStart w:id="266" w:name="_Toc2112358938_WPSOffice_Level2"/>
      <w:r>
        <w:rPr>
          <w:rFonts w:hint="default" w:ascii="方正楷体_GBK" w:hAnsi="方正楷体_GBK" w:eastAsia="方正楷体_GBK" w:cs="方正楷体_GBK"/>
          <w:b w:val="0"/>
          <w:bCs w:val="0"/>
          <w:sz w:val="28"/>
          <w:szCs w:val="28"/>
        </w:rPr>
        <w:t>专栏16  强化城市运行安全保障</w:t>
      </w:r>
      <w:r>
        <w:rPr>
          <w:rFonts w:hint="eastAsia" w:ascii="方正楷体_GBK" w:hAnsi="方正楷体_GBK" w:eastAsia="方正楷体_GBK" w:cs="方正楷体_GBK"/>
          <w:b w:val="0"/>
          <w:bCs w:val="0"/>
          <w:sz w:val="28"/>
          <w:szCs w:val="28"/>
        </w:rPr>
        <w:t>重点项目</w:t>
      </w:r>
      <w:bookmarkEnd w:id="265"/>
      <w:bookmarkEnd w:id="266"/>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8440" w:type="dxa"/>
            <w:noWrap w:val="0"/>
            <w:vAlign w:val="top"/>
          </w:tcPr>
          <w:p>
            <w:pPr>
              <w:snapToGrid w:val="0"/>
              <w:spacing w:line="240" w:lineRule="auto"/>
              <w:ind w:firstLine="0"/>
              <w:rPr>
                <w:b w:val="0"/>
                <w:bCs w:val="0"/>
                <w:sz w:val="21"/>
                <w:szCs w:val="21"/>
              </w:rPr>
            </w:pPr>
            <w:r>
              <w:rPr>
                <w:rFonts w:hint="default"/>
                <w:b w:val="0"/>
                <w:bCs w:val="0"/>
                <w:sz w:val="21"/>
                <w:szCs w:val="21"/>
              </w:rPr>
              <w:t>城市桥梁健康监测项目——</w:t>
            </w:r>
            <w:r>
              <w:rPr>
                <w:rFonts w:ascii="方正仿宋_GBK" w:hAnsi="方正仿宋_GBK" w:cs="方正仿宋_GBK"/>
                <w:b w:val="0"/>
                <w:bCs w:val="0"/>
                <w:sz w:val="21"/>
                <w:szCs w:val="21"/>
              </w:rPr>
              <w:t>开展城市桥梁结构设施安全检测、实时监测及病害桥梁维修工作，重点实施毛家坡等大桥智慧化实时健康监测工程。</w:t>
            </w:r>
          </w:p>
        </w:tc>
      </w:tr>
    </w:tbl>
    <w:p>
      <w:pPr>
        <w:snapToGrid w:val="0"/>
        <w:spacing w:before="0" w:after="0" w:line="276" w:lineRule="auto"/>
        <w:ind w:firstLine="0"/>
        <w:jc w:val="both"/>
        <w:rPr>
          <w:rFonts w:hint="default" w:ascii="方正仿宋_GBK" w:hAnsi="方正仿宋_GBK" w:eastAsia="方正仿宋_GBK" w:cs="方正仿宋_GBK"/>
          <w:b w:val="0"/>
          <w:bCs w:val="0"/>
        </w:rPr>
      </w:pPr>
      <w:bookmarkStart w:id="267" w:name="_Toc28163"/>
      <w:bookmarkStart w:id="268" w:name="_Toc23975"/>
    </w:p>
    <w:p>
      <w:pPr>
        <w:snapToGrid w:val="0"/>
        <w:spacing w:before="0" w:after="0" w:line="276" w:lineRule="auto"/>
        <w:ind w:firstLine="0" w:firstLineChars="0"/>
        <w:jc w:val="center"/>
        <w:rPr>
          <w:rFonts w:ascii="方正黑体_GBK" w:hAnsi="方正黑体_GBK" w:eastAsia="方正黑体_GBK" w:cs="方正黑体_GBK"/>
          <w:b w:val="0"/>
          <w:bCs w:val="0"/>
        </w:rPr>
      </w:pPr>
      <w:bookmarkStart w:id="269" w:name="_Toc1298804918_WPSOffice_Level2"/>
      <w:bookmarkStart w:id="270" w:name="_Toc1467449088_WPSOffice_Level2"/>
      <w:r>
        <w:rPr>
          <w:rFonts w:hint="default" w:ascii="方正黑体_GBK" w:hAnsi="方正黑体_GBK" w:eastAsia="方正黑体_GBK" w:cs="方正黑体_GBK"/>
          <w:b w:val="0"/>
          <w:bCs w:val="0"/>
        </w:rPr>
        <w:t>第二节  提升城市管理应急抢险救援能力</w:t>
      </w:r>
      <w:bookmarkEnd w:id="267"/>
      <w:bookmarkEnd w:id="268"/>
      <w:bookmarkEnd w:id="269"/>
      <w:bookmarkEnd w:id="270"/>
    </w:p>
    <w:p>
      <w:pPr>
        <w:snapToGrid w:val="0"/>
        <w:spacing w:line="276" w:lineRule="auto"/>
        <w:ind w:firstLine="0"/>
        <w:rPr>
          <w:rFonts w:hint="default" w:ascii="方正仿宋_GBK" w:eastAsia="方正仿宋_GBK"/>
          <w:b w:val="0"/>
          <w:bCs w:val="0"/>
          <w:shd w:val="clear" w:color="auto" w:fill="auto"/>
        </w:rPr>
      </w:pPr>
    </w:p>
    <w:p>
      <w:pPr>
        <w:snapToGrid w:val="0"/>
        <w:spacing w:line="276" w:lineRule="auto"/>
        <w:ind w:firstLine="0"/>
        <w:rPr>
          <w:rFonts w:ascii="方正仿宋_GBK" w:hAnsi="方正仿宋_GBK" w:cs="方正仿宋_GBK"/>
          <w:b w:val="0"/>
          <w:bCs w:val="0"/>
          <w:shd w:val="clear" w:color="auto" w:fill="auto"/>
        </w:rPr>
      </w:pPr>
      <w:r>
        <w:rPr>
          <w:rFonts w:hint="default" w:ascii="方正仿宋_GBK" w:eastAsia="方正仿宋_GBK"/>
          <w:b w:val="0"/>
          <w:bCs w:val="0"/>
          <w:shd w:val="clear" w:color="auto" w:fill="auto"/>
        </w:rPr>
        <w:t>建立编成化的应急指挥机制。</w:t>
      </w:r>
      <w:r>
        <w:rPr>
          <w:rFonts w:ascii="方正仿宋_GBK" w:hAnsi="方正仿宋_GBK" w:cs="方正仿宋_GBK"/>
          <w:b w:val="0"/>
          <w:bCs w:val="0"/>
          <w:shd w:val="clear" w:color="auto" w:fill="auto"/>
        </w:rPr>
        <w:t>成立区城市管理部门应急救援指挥部，负责城市管理领域应急救援的指令传递、情况反馈工作，具体对应急救援工作实施组织、协调、监督和调用，区城市管理局与区应急管理局建立畅通</w:t>
      </w:r>
      <w:r>
        <w:rPr>
          <w:rFonts w:hint="default" w:ascii="方正仿宋_GBK" w:hAnsi="方正仿宋_GBK" w:cs="方正仿宋_GBK"/>
          <w:b w:val="0"/>
          <w:bCs w:val="0"/>
          <w:shd w:val="clear" w:color="auto" w:fill="auto"/>
        </w:rPr>
        <w:t>通信</w:t>
      </w:r>
      <w:r>
        <w:rPr>
          <w:rFonts w:ascii="方正仿宋_GBK" w:hAnsi="方正仿宋_GBK" w:cs="方正仿宋_GBK"/>
          <w:b w:val="0"/>
          <w:bCs w:val="0"/>
          <w:shd w:val="clear" w:color="auto" w:fill="auto"/>
        </w:rPr>
        <w:t>联络，确保城市管理领域应急救援指挥系统高效运转。</w:t>
      </w:r>
    </w:p>
    <w:p>
      <w:pPr>
        <w:snapToGrid w:val="0"/>
        <w:spacing w:line="276" w:lineRule="auto"/>
        <w:ind w:firstLine="0"/>
        <w:rPr>
          <w:rFonts w:ascii="方正仿宋_GBK" w:hAnsi="方正仿宋_GBK" w:cs="方正仿宋_GBK"/>
          <w:b w:val="0"/>
          <w:bCs w:val="0"/>
          <w:shd w:val="clear" w:color="auto" w:fill="auto"/>
        </w:rPr>
      </w:pPr>
      <w:r>
        <w:rPr>
          <w:rFonts w:hint="default" w:ascii="方正仿宋_GBK" w:eastAsia="方正仿宋_GBK"/>
          <w:b w:val="0"/>
          <w:bCs w:val="0"/>
          <w:shd w:val="clear" w:color="auto" w:fill="auto"/>
        </w:rPr>
        <w:t>建立常态化的应急演练机制。</w:t>
      </w:r>
      <w:r>
        <w:rPr>
          <w:rFonts w:ascii="方正仿宋_GBK" w:hAnsi="方正仿宋_GBK" w:cs="方正仿宋_GBK"/>
          <w:b w:val="0"/>
          <w:bCs w:val="0"/>
          <w:shd w:val="clear" w:color="auto" w:fill="auto"/>
        </w:rPr>
        <w:t>建立健全城市管理领域应急预案体系，各级、各部门、基层单位加强开展自身城市管理领域应急救援演练工作，与区应急管理部门联合开展多行业、多部门联动的应急救援演练，检验预案成效，磨合工作机制，锻炼应急队伍，提高应急救援能力。</w:t>
      </w:r>
    </w:p>
    <w:p>
      <w:pPr>
        <w:snapToGrid w:val="0"/>
        <w:spacing w:line="276" w:lineRule="auto"/>
        <w:ind w:firstLine="0"/>
        <w:rPr>
          <w:rFonts w:ascii="方正仿宋_GBK" w:hAnsi="方正仿宋_GBK" w:cs="方正仿宋_GBK"/>
          <w:b w:val="0"/>
          <w:bCs w:val="0"/>
          <w:shd w:val="clear" w:color="auto" w:fill="auto"/>
        </w:rPr>
      </w:pPr>
      <w:r>
        <w:rPr>
          <w:rFonts w:hint="default" w:ascii="方正仿宋_GBK" w:eastAsia="方正仿宋_GBK"/>
          <w:b w:val="0"/>
          <w:bCs w:val="0"/>
          <w:shd w:val="clear" w:color="auto" w:fill="auto"/>
        </w:rPr>
        <w:t>建立专业化的应急处置机制。</w:t>
      </w:r>
      <w:r>
        <w:rPr>
          <w:rFonts w:ascii="方正仿宋_GBK" w:hAnsi="方正仿宋_GBK" w:cs="方正仿宋_GBK"/>
          <w:b w:val="0"/>
          <w:bCs w:val="0"/>
          <w:shd w:val="clear" w:color="auto" w:fill="auto"/>
        </w:rPr>
        <w:t>加强城市管理专业化应急队伍建设，强化专业技能训练，熟练掌握各类救援装备器材的操作和维护方法。积极组织基层部门应急处置能力评比活动，不断提高队伍实战能力。</w:t>
      </w:r>
    </w:p>
    <w:p>
      <w:pPr>
        <w:snapToGrid w:val="0"/>
        <w:spacing w:line="276" w:lineRule="auto"/>
        <w:ind w:firstLine="0"/>
        <w:rPr>
          <w:rFonts w:ascii="方正仿宋_GBK" w:hAnsi="方正仿宋_GBK" w:cs="方正仿宋_GBK"/>
          <w:b w:val="0"/>
          <w:bCs w:val="0"/>
          <w:shd w:val="clear" w:color="auto" w:fill="auto"/>
        </w:rPr>
      </w:pPr>
      <w:r>
        <w:rPr>
          <w:rFonts w:hint="default" w:ascii="方正仿宋_GBK" w:eastAsia="方正仿宋_GBK"/>
          <w:b w:val="0"/>
          <w:bCs w:val="0"/>
          <w:shd w:val="clear" w:color="auto" w:fill="auto"/>
        </w:rPr>
        <w:t>建立物资装备保障机制。</w:t>
      </w:r>
      <w:r>
        <w:rPr>
          <w:rFonts w:ascii="方正仿宋_GBK" w:hAnsi="方正仿宋_GBK" w:cs="方正仿宋_GBK"/>
          <w:b w:val="0"/>
          <w:bCs w:val="0"/>
          <w:shd w:val="clear" w:color="auto" w:fill="auto"/>
        </w:rPr>
        <w:t>建立健全应急救援物资储备制度，对应急救援必需物资进行定期、定量、定点循环储备。重点强化城市管理领域各应急队伍的装备器材保障，制定装备购置和资金来源计划，建成科学完备的城市管理现代化、智能化应急物资装备配备体系。</w:t>
      </w:r>
    </w:p>
    <w:p>
      <w:pPr>
        <w:snapToGrid w:val="0"/>
        <w:spacing w:line="276" w:lineRule="auto"/>
        <w:ind w:firstLine="0"/>
        <w:rPr>
          <w:rFonts w:ascii="方正仿宋_GBK" w:hAnsi="方正仿宋_GBK" w:cs="方正仿宋_GBK"/>
          <w:b w:val="0"/>
          <w:bCs w:val="0"/>
          <w:shd w:val="clear" w:color="auto" w:fill="auto"/>
        </w:rPr>
      </w:pPr>
      <w:r>
        <w:rPr>
          <w:rFonts w:hint="default" w:ascii="方正仿宋_GBK" w:eastAsia="方正仿宋_GBK"/>
          <w:b w:val="0"/>
          <w:bCs w:val="0"/>
          <w:shd w:val="clear" w:color="auto" w:fill="auto"/>
        </w:rPr>
        <w:t>推进城市管理应急抢险救援能力信息化建设。</w:t>
      </w:r>
      <w:r>
        <w:rPr>
          <w:rFonts w:ascii="方正仿宋_GBK" w:hAnsi="方正仿宋_GBK" w:cs="方正仿宋_GBK"/>
          <w:b w:val="0"/>
          <w:bCs w:val="0"/>
          <w:shd w:val="clear" w:color="auto" w:fill="auto"/>
        </w:rPr>
        <w:t>依托永川区智慧城管综合管理服务平台，建成城市管理标准化应急指挥中心，开发建设城市管理领域安全应急管理信息化系统，包括风险隐患、监测监控、分析研判、预案演练、应急准备、指挥调度、信息报送、灾情评估等内容，逐步实现信息化、智能化监测监控。</w:t>
      </w:r>
    </w:p>
    <w:p>
      <w:pPr>
        <w:snapToGrid w:val="0"/>
        <w:spacing w:line="276" w:lineRule="auto"/>
        <w:ind w:firstLine="0"/>
        <w:rPr>
          <w:b w:val="0"/>
          <w:bCs w:val="0"/>
          <w:shd w:val="clear" w:color="auto" w:fill="auto"/>
        </w:rPr>
      </w:pPr>
    </w:p>
    <w:p>
      <w:pPr>
        <w:snapToGrid w:val="0"/>
        <w:spacing w:before="0" w:after="0" w:line="276" w:lineRule="auto"/>
        <w:ind w:firstLine="0" w:firstLineChars="0"/>
        <w:jc w:val="center"/>
        <w:rPr>
          <w:rFonts w:ascii="方正黑体_GBK" w:hAnsi="方正黑体_GBK" w:eastAsia="方正黑体_GBK" w:cs="方正黑体_GBK"/>
          <w:b w:val="0"/>
          <w:bCs w:val="0"/>
        </w:rPr>
      </w:pPr>
      <w:bookmarkStart w:id="271" w:name="_Toc10545"/>
      <w:bookmarkStart w:id="272" w:name="_Toc6674"/>
      <w:bookmarkStart w:id="273" w:name="_Toc1912959240_WPSOffice_Level2"/>
      <w:bookmarkStart w:id="274" w:name="_Toc103947410_WPSOffice_Level2"/>
      <w:r>
        <w:rPr>
          <w:rFonts w:hint="default" w:ascii="方正黑体_GBK" w:hAnsi="方正黑体_GBK" w:eastAsia="方正黑体_GBK" w:cs="方正黑体_GBK"/>
          <w:b w:val="0"/>
          <w:bCs w:val="0"/>
        </w:rPr>
        <w:t>第三节  防范化解城市管理领域社会稳定风险</w:t>
      </w:r>
      <w:bookmarkEnd w:id="271"/>
      <w:bookmarkEnd w:id="272"/>
      <w:bookmarkEnd w:id="273"/>
      <w:bookmarkEnd w:id="274"/>
      <w:r>
        <w:rPr>
          <w:rFonts w:hint="default" w:ascii="方正黑体_GBK" w:hAnsi="方正黑体_GBK" w:eastAsia="方正黑体_GBK" w:cs="方正黑体_GBK"/>
          <w:b w:val="0"/>
          <w:bCs w:val="0"/>
        </w:rPr>
        <w:tab/>
      </w:r>
    </w:p>
    <w:p>
      <w:pPr>
        <w:snapToGrid w:val="0"/>
        <w:spacing w:line="276" w:lineRule="auto"/>
        <w:ind w:firstLine="0"/>
        <w:rPr>
          <w:rFonts w:hint="default" w:ascii="方正仿宋_GBK" w:eastAsia="方正仿宋_GBK"/>
          <w:b w:val="0"/>
          <w:bCs w:val="0"/>
        </w:rPr>
      </w:pPr>
    </w:p>
    <w:p>
      <w:pPr>
        <w:snapToGrid w:val="0"/>
        <w:spacing w:line="276" w:lineRule="auto"/>
        <w:ind w:firstLine="0"/>
        <w:rPr>
          <w:rFonts w:hint="eastAsia" w:ascii="方正仿宋_GBK" w:hAnsi="方正仿宋_GBK" w:cs="方正仿宋_GBK"/>
          <w:b w:val="0"/>
          <w:bCs w:val="0"/>
        </w:rPr>
      </w:pPr>
      <w:r>
        <w:rPr>
          <w:rFonts w:hint="default" w:ascii="方正仿宋_GBK" w:eastAsia="方正仿宋_GBK"/>
          <w:b w:val="0"/>
          <w:bCs w:val="0"/>
        </w:rPr>
        <w:t>推动城市管理领域信访稳定。</w:t>
      </w:r>
      <w:r>
        <w:rPr>
          <w:rFonts w:hint="eastAsia" w:ascii="方正仿宋_GBK" w:hAnsi="方正仿宋_GBK" w:cs="方正仿宋_GBK"/>
          <w:b w:val="0"/>
          <w:bCs w:val="0"/>
          <w:kern w:val="0"/>
        </w:rPr>
        <w:t>严格落实信访工作制度</w:t>
      </w:r>
      <w:r>
        <w:rPr>
          <w:rFonts w:hint="eastAsia" w:ascii="方正仿宋_GBK" w:hAnsi="方正仿宋_GBK" w:cs="方正仿宋_GBK"/>
          <w:b w:val="0"/>
          <w:bCs w:val="0"/>
        </w:rPr>
        <w:t>，</w:t>
      </w:r>
      <w:r>
        <w:rPr>
          <w:rFonts w:ascii="方正仿宋_GBK" w:hAnsi="方正仿宋_GBK" w:cs="方正仿宋_GBK"/>
          <w:b w:val="0"/>
          <w:bCs w:val="0"/>
          <w:shd w:val="clear" w:color="auto" w:fill="auto"/>
        </w:rPr>
        <w:t>妥善化解各类信访矛盾，</w:t>
      </w:r>
      <w:r>
        <w:rPr>
          <w:rFonts w:hint="eastAsia" w:ascii="方正仿宋_GBK" w:hAnsi="方正仿宋_GBK" w:cs="方正仿宋_GBK"/>
          <w:b w:val="0"/>
          <w:bCs w:val="0"/>
        </w:rPr>
        <w:t>正确引导群众合法合理有序地表达诉求。对符合法律法规的信访案件及时处理，尽早解决。对不符合政策规定的或不切合实际的要求，耐心做好劝导工作，切实把矛盾化解在一线、问题解决在当地、隐患消除在萌芽状态。</w:t>
      </w:r>
    </w:p>
    <w:p>
      <w:pPr>
        <w:snapToGrid w:val="0"/>
        <w:spacing w:line="276" w:lineRule="auto"/>
        <w:ind w:firstLine="0"/>
        <w:rPr>
          <w:rFonts w:hint="eastAsia" w:ascii="方正仿宋_GBK" w:hAnsi="方正仿宋_GBK" w:cs="方正仿宋_GBK"/>
          <w:b w:val="0"/>
          <w:bCs w:val="0"/>
        </w:rPr>
      </w:pPr>
      <w:r>
        <w:rPr>
          <w:rFonts w:hint="default" w:ascii="方正仿宋_GBK" w:eastAsia="方正仿宋_GBK"/>
          <w:b w:val="0"/>
          <w:bCs w:val="0"/>
        </w:rPr>
        <w:t>加强城市管理舆情管控引导。</w:t>
      </w:r>
      <w:r>
        <w:rPr>
          <w:rFonts w:hint="eastAsia" w:ascii="方正仿宋_GBK" w:hAnsi="方正仿宋_GBK" w:cs="方正仿宋_GBK"/>
          <w:b w:val="0"/>
          <w:bCs w:val="0"/>
        </w:rPr>
        <w:t>充分利用宣传板报、电子显示屏、微信微博等媒体，加强城市管理领域公共安全风险防范化解工作的宣传教育，引导广大干部职工树立风险隐患防范意识、增强风险隐患识别能力，科学认识风险隐患，正确运用风险评估结果。</w:t>
      </w:r>
    </w:p>
    <w:p>
      <w:pPr>
        <w:snapToGrid w:val="0"/>
        <w:spacing w:line="276" w:lineRule="auto"/>
        <w:ind w:firstLine="0"/>
        <w:rPr>
          <w:rFonts w:hint="eastAsia" w:ascii="方正仿宋_GBK" w:hAnsi="方正仿宋_GBK" w:cs="方正仿宋_GBK"/>
          <w:b w:val="0"/>
          <w:bCs w:val="0"/>
        </w:rPr>
      </w:pPr>
    </w:p>
    <w:bookmarkEnd w:id="255"/>
    <w:bookmarkEnd w:id="256"/>
    <w:p>
      <w:pPr>
        <w:snapToGrid w:val="0"/>
        <w:spacing w:before="0" w:after="0" w:line="276" w:lineRule="auto"/>
        <w:ind w:firstLine="0" w:firstLineChars="0"/>
        <w:jc w:val="center"/>
        <w:rPr>
          <w:rFonts w:hint="eastAsia" w:ascii="方正小标宋_GBK" w:hAnsi="方正小标宋_GBK" w:eastAsia="方正小标宋_GBK" w:cs="方正小标宋_GBK"/>
          <w:b w:val="0"/>
          <w:bCs w:val="0"/>
          <w:sz w:val="32"/>
          <w:szCs w:val="32"/>
        </w:rPr>
      </w:pPr>
      <w:bookmarkStart w:id="275" w:name="_Toc13797"/>
      <w:bookmarkStart w:id="276" w:name="_Toc1038751121_WPSOffice_Level1"/>
      <w:bookmarkStart w:id="277" w:name="_Toc2072724127_WPSOffice_Level1"/>
      <w:bookmarkStart w:id="278" w:name="_Toc16509"/>
      <w:r>
        <w:rPr>
          <w:rFonts w:hint="eastAsia" w:ascii="方正小标宋_GBK" w:hAnsi="方正小标宋_GBK" w:eastAsia="方正小标宋_GBK" w:cs="方正小标宋_GBK"/>
          <w:b w:val="0"/>
          <w:bCs w:val="0"/>
          <w:sz w:val="32"/>
          <w:szCs w:val="32"/>
        </w:rPr>
        <w:t>第八章  创新城市治理模式，强化城市管理秩序与执法</w:t>
      </w:r>
      <w:bookmarkEnd w:id="275"/>
      <w:bookmarkEnd w:id="276"/>
      <w:bookmarkEnd w:id="277"/>
      <w:bookmarkEnd w:id="278"/>
    </w:p>
    <w:p>
      <w:pPr>
        <w:snapToGrid w:val="0"/>
        <w:spacing w:before="0" w:after="0" w:line="276" w:lineRule="auto"/>
        <w:ind w:firstLine="0"/>
        <w:jc w:val="both"/>
        <w:rPr>
          <w:rFonts w:hint="default" w:ascii="方正仿宋_GBK" w:hAnsi="方正仿宋_GBK" w:eastAsia="方正仿宋_GBK" w:cs="方正仿宋_GBK"/>
          <w:b w:val="0"/>
          <w:bCs w:val="0"/>
        </w:rPr>
      </w:pPr>
      <w:bookmarkStart w:id="279" w:name="_Toc10007"/>
      <w:bookmarkStart w:id="280" w:name="_Toc26895"/>
    </w:p>
    <w:p>
      <w:pPr>
        <w:snapToGrid w:val="0"/>
        <w:spacing w:before="0" w:after="0" w:line="276" w:lineRule="auto"/>
        <w:ind w:firstLine="0" w:firstLineChars="0"/>
        <w:jc w:val="center"/>
        <w:rPr>
          <w:rFonts w:ascii="方正黑体_GBK" w:hAnsi="方正黑体_GBK" w:eastAsia="方正黑体_GBK" w:cs="方正黑体_GBK"/>
          <w:b w:val="0"/>
          <w:bCs w:val="0"/>
        </w:rPr>
      </w:pPr>
      <w:bookmarkStart w:id="281" w:name="_Toc1830286932_WPSOffice_Level2"/>
      <w:bookmarkStart w:id="282" w:name="_Toc678212985_WPSOffice_Level2"/>
      <w:r>
        <w:rPr>
          <w:rFonts w:hint="default" w:ascii="方正黑体_GBK" w:hAnsi="方正黑体_GBK" w:eastAsia="方正黑体_GBK" w:cs="方正黑体_GBK"/>
          <w:b w:val="0"/>
          <w:bCs w:val="0"/>
        </w:rPr>
        <w:t>第一节  健全城市管理体制机制</w:t>
      </w:r>
      <w:bookmarkEnd w:id="279"/>
      <w:bookmarkEnd w:id="280"/>
      <w:bookmarkEnd w:id="281"/>
      <w:bookmarkEnd w:id="282"/>
    </w:p>
    <w:p>
      <w:pPr>
        <w:snapToGrid w:val="0"/>
        <w:spacing w:line="276" w:lineRule="auto"/>
        <w:ind w:firstLine="0"/>
        <w:rPr>
          <w:rFonts w:hint="default" w:ascii="方正仿宋_GBK" w:eastAsia="方正仿宋_GBK"/>
          <w:b w:val="0"/>
          <w:bCs w:val="0"/>
        </w:rPr>
      </w:pPr>
    </w:p>
    <w:p>
      <w:pPr>
        <w:snapToGrid w:val="0"/>
        <w:spacing w:line="276" w:lineRule="auto"/>
        <w:ind w:firstLine="0"/>
        <w:rPr>
          <w:rFonts w:hint="eastAsia" w:ascii="方正仿宋_GBK" w:hAnsi="方正仿宋_GBK" w:cs="方正仿宋_GBK"/>
          <w:b w:val="0"/>
          <w:bCs w:val="0"/>
        </w:rPr>
      </w:pPr>
      <w:r>
        <w:rPr>
          <w:rFonts w:hint="default" w:ascii="方正仿宋_GBK" w:eastAsia="方正仿宋_GBK"/>
          <w:b w:val="0"/>
          <w:bCs w:val="0"/>
        </w:rPr>
        <w:t>推进“大城管”格局构建。</w:t>
      </w:r>
      <w:r>
        <w:rPr>
          <w:rFonts w:hint="eastAsia" w:ascii="方正仿宋_GBK" w:hAnsi="方正仿宋_GBK" w:cs="方正仿宋_GBK"/>
          <w:b w:val="0"/>
          <w:bCs w:val="0"/>
        </w:rPr>
        <w:t>发挥城市综合管理工作领导小组统筹协调、指挥调度、部署推进全区城市综合管理领域各项工作的作用，积极构建职责明晰、部门协同、高效统一的“大城管”格局。强化区城市管理局作为全区城市管理行政主管部门的职能职责，发挥好统筹谋划、监督检查和指导协调作用，逐步消除</w:t>
      </w:r>
      <w:r>
        <w:rPr>
          <w:b w:val="0"/>
          <w:bCs w:val="0"/>
        </w:rPr>
        <w:fldChar w:fldCharType="begin"/>
      </w:r>
      <w:r>
        <w:rPr>
          <w:b w:val="0"/>
          <w:bCs w:val="0"/>
        </w:rPr>
        <w:instrText xml:space="preserve"> HYPERLINK "http://www.baidu.com/link?url=o2tohIjDtuyJ8h3_vEFf5Tzrr9rJh3oGA-OThNBOIrlM-SUArjpsuKRgkS7gBAse_jwwQw3ErxXR_utnW84IKA2Obwpp1WQZRrwHgdaOaoW" \t "_blank" </w:instrText>
      </w:r>
      <w:r>
        <w:rPr>
          <w:b w:val="0"/>
          <w:bCs w:val="0"/>
        </w:rPr>
        <w:fldChar w:fldCharType="separate"/>
      </w:r>
      <w:r>
        <w:rPr>
          <w:rFonts w:hint="eastAsia" w:ascii="方正仿宋_GBK" w:hAnsi="方正仿宋_GBK" w:cs="方正仿宋_GBK"/>
          <w:b w:val="0"/>
          <w:bCs w:val="0"/>
        </w:rPr>
        <w:t>凤凰湖产业促进中心</w:t>
      </w:r>
      <w:r>
        <w:rPr>
          <w:rFonts w:hint="eastAsia" w:ascii="方正仿宋_GBK" w:hAnsi="方正仿宋_GBK" w:cs="方正仿宋_GBK"/>
          <w:b w:val="0"/>
          <w:bCs w:val="0"/>
        </w:rPr>
        <w:fldChar w:fldCharType="end"/>
      </w:r>
      <w:r>
        <w:rPr>
          <w:rFonts w:hint="eastAsia" w:ascii="方正仿宋_GBK" w:hAnsi="方正仿宋_GBK" w:cs="方正仿宋_GBK"/>
          <w:b w:val="0"/>
          <w:bCs w:val="0"/>
        </w:rPr>
        <w:t>、新城建设管委会参与城市管理的“一城三管”局面，实现全区城市管理“一体化”发展。</w:t>
      </w:r>
    </w:p>
    <w:p>
      <w:pPr>
        <w:snapToGrid w:val="0"/>
        <w:spacing w:line="276" w:lineRule="auto"/>
        <w:ind w:firstLine="0"/>
        <w:rPr>
          <w:rFonts w:hint="eastAsia" w:ascii="方正仿宋_GBK" w:hAnsi="方正仿宋_GBK" w:cs="方正仿宋_GBK"/>
          <w:b w:val="0"/>
          <w:bCs w:val="0"/>
        </w:rPr>
      </w:pPr>
      <w:r>
        <w:rPr>
          <w:rFonts w:hint="default" w:ascii="方正仿宋_GBK" w:eastAsia="方正仿宋_GBK"/>
          <w:b w:val="0"/>
          <w:bCs w:val="0"/>
        </w:rPr>
        <w:t>加强多方协同工作机制。</w:t>
      </w:r>
      <w:r>
        <w:rPr>
          <w:rFonts w:hint="eastAsia" w:ascii="方正仿宋_GBK" w:hAnsi="方正仿宋_GBK" w:cs="方正仿宋_GBK"/>
          <w:b w:val="0"/>
          <w:bCs w:val="0"/>
        </w:rPr>
        <w:t>建立政府部门之间有效协作的城市管理工作机制，实现政府部门之间共同响应、协同联动，提高城市管理共治效能。以“条块结合，无缝对接”为目标，将辖区细分为多个管理网格，实行包括城市管理、市场监督管理、住房城乡建设、应急管理、公安、消防、社区工作人员在内的网格化管理。厘清权责分工，明确合作要求，构建“发现问题人人有责，处置案件专人负责，处置效率人人监督”以及“一格多员、一员多责”的管理网格，构建小案件及时即时办结、大案件及时转办的高效运转机制，丰富案件采集渠道，提高案件发现率。</w:t>
      </w:r>
    </w:p>
    <w:p>
      <w:pPr>
        <w:snapToGrid w:val="0"/>
        <w:spacing w:line="276" w:lineRule="auto"/>
        <w:ind w:firstLine="0"/>
        <w:rPr>
          <w:rFonts w:hint="eastAsia" w:ascii="方正仿宋_GBK" w:hAnsi="方正仿宋_GBK" w:cs="方正仿宋_GBK"/>
          <w:b w:val="0"/>
          <w:bCs w:val="0"/>
        </w:rPr>
      </w:pPr>
      <w:r>
        <w:rPr>
          <w:rFonts w:hint="default" w:ascii="方正仿宋_GBK" w:eastAsia="方正仿宋_GBK"/>
          <w:b w:val="0"/>
          <w:bCs w:val="0"/>
          <w:shd w:val="clear" w:color="auto" w:fill="auto"/>
        </w:rPr>
        <w:t>推行干管分开运作机制。</w:t>
      </w:r>
      <w:r>
        <w:rPr>
          <w:rFonts w:hint="eastAsia" w:ascii="方正仿宋_GBK" w:hAnsi="方正仿宋_GBK" w:cs="方正仿宋_GBK"/>
          <w:b w:val="0"/>
          <w:bCs w:val="0"/>
        </w:rPr>
        <w:t>将城区公共地段的清扫保洁、城市照明、市政公用设施及道路的维护管理、化粪池清掏、园林绿化管护等推向市场，实行干管分开的市场化运作机制。区城市管理局主要负责制定作业标准和作业质量的监督管理、检查考核及指导协调工作，集中力量谋划全区城市管理工作，推进市政基础设施建设，针对城市管理的重点难点开展专项整治。</w:t>
      </w:r>
    </w:p>
    <w:p>
      <w:pPr>
        <w:snapToGrid w:val="0"/>
        <w:spacing w:line="276" w:lineRule="auto"/>
        <w:ind w:firstLine="0"/>
        <w:rPr>
          <w:rFonts w:hint="eastAsia" w:ascii="方正仿宋_GBK" w:hAnsi="方正仿宋_GBK" w:cs="方正仿宋_GBK"/>
          <w:b w:val="0"/>
          <w:bCs w:val="0"/>
        </w:rPr>
      </w:pPr>
      <w:r>
        <w:rPr>
          <w:rFonts w:hint="default" w:ascii="方正仿宋_GBK" w:eastAsia="方正仿宋_GBK"/>
          <w:b w:val="0"/>
          <w:bCs w:val="0"/>
        </w:rPr>
        <w:t>优化城市日常管理考评方式。</w:t>
      </w:r>
      <w:r>
        <w:rPr>
          <w:rFonts w:hint="eastAsia" w:ascii="方正仿宋_GBK" w:hAnsi="方正仿宋_GBK" w:cs="方正仿宋_GBK"/>
          <w:b w:val="0"/>
          <w:bCs w:val="0"/>
        </w:rPr>
        <w:t>加大“大城管”格局下的指导、监督和考评工作力度，对城市管理相关部门、镇街和单位履行城市管理职责、专项工作开展、案件限时办理、群众满意度等情况定期开展考核评价，并纳入年度目标管理考核体系，确保各级各部门和有关单位大力支持、密切配合、联动推进、形成合力，不断提升城市管理效能。</w:t>
      </w:r>
    </w:p>
    <w:p>
      <w:pPr>
        <w:snapToGrid w:val="0"/>
        <w:spacing w:line="276" w:lineRule="auto"/>
        <w:ind w:firstLine="0"/>
        <w:rPr>
          <w:rFonts w:hint="eastAsia" w:ascii="方正仿宋_GBK" w:hAnsi="方正仿宋_GBK" w:cs="方正仿宋_GBK"/>
          <w:b w:val="0"/>
          <w:bCs w:val="0"/>
        </w:rPr>
      </w:pPr>
    </w:p>
    <w:p>
      <w:pPr>
        <w:snapToGrid w:val="0"/>
        <w:spacing w:before="0" w:after="0" w:line="276" w:lineRule="auto"/>
        <w:ind w:firstLine="0" w:firstLineChars="0"/>
        <w:jc w:val="center"/>
        <w:rPr>
          <w:rFonts w:ascii="方正黑体_GBK" w:hAnsi="方正黑体_GBK" w:eastAsia="方正黑体_GBK" w:cs="方正黑体_GBK"/>
          <w:b w:val="0"/>
          <w:bCs w:val="0"/>
          <w:shd w:val="clear" w:color="auto" w:fill="auto"/>
        </w:rPr>
      </w:pPr>
      <w:bookmarkStart w:id="283" w:name="_Toc22383"/>
      <w:bookmarkStart w:id="284" w:name="_Toc2032573087_WPSOffice_Level2"/>
      <w:bookmarkStart w:id="285" w:name="_Toc20333"/>
      <w:bookmarkStart w:id="286" w:name="_Toc632119510_WPSOffice_Level2"/>
      <w:r>
        <w:rPr>
          <w:rFonts w:hint="default" w:ascii="方正黑体_GBK" w:hAnsi="方正黑体_GBK" w:eastAsia="方正黑体_GBK" w:cs="方正黑体_GBK"/>
          <w:b w:val="0"/>
          <w:bCs w:val="0"/>
        </w:rPr>
        <w:t>第二节  加强城管队伍能力建设</w:t>
      </w:r>
      <w:bookmarkEnd w:id="283"/>
      <w:bookmarkEnd w:id="284"/>
      <w:bookmarkEnd w:id="285"/>
      <w:bookmarkEnd w:id="286"/>
    </w:p>
    <w:p>
      <w:pPr>
        <w:snapToGrid w:val="0"/>
        <w:spacing w:line="276" w:lineRule="auto"/>
        <w:ind w:firstLine="0"/>
        <w:rPr>
          <w:rFonts w:hint="default" w:ascii="方正仿宋_GBK" w:eastAsia="方正仿宋_GBK"/>
          <w:b w:val="0"/>
          <w:bCs w:val="0"/>
          <w:kern w:val="2"/>
        </w:rPr>
      </w:pPr>
    </w:p>
    <w:p>
      <w:pPr>
        <w:snapToGrid w:val="0"/>
        <w:spacing w:line="276" w:lineRule="auto"/>
        <w:ind w:firstLine="0"/>
        <w:rPr>
          <w:rFonts w:hint="eastAsia" w:ascii="方正仿宋_GBK" w:hAnsi="方正仿宋_GBK" w:cs="方正仿宋_GBK"/>
          <w:b w:val="0"/>
          <w:bCs w:val="0"/>
          <w:kern w:val="0"/>
        </w:rPr>
      </w:pPr>
      <w:r>
        <w:rPr>
          <w:rFonts w:hint="default" w:ascii="方正仿宋_GBK" w:eastAsia="方正仿宋_GBK"/>
          <w:b w:val="0"/>
          <w:bCs w:val="0"/>
          <w:kern w:val="2"/>
        </w:rPr>
        <w:t>优化执法力量。</w:t>
      </w:r>
      <w:r>
        <w:rPr>
          <w:rFonts w:hint="eastAsia" w:ascii="方正仿宋_GBK" w:hAnsi="方正仿宋_GBK" w:cs="方正仿宋_GBK"/>
          <w:b w:val="0"/>
          <w:bCs w:val="0"/>
          <w:kern w:val="0"/>
        </w:rPr>
        <w:t>根据执法工作特点合理设置岗位，科学确定城市管理执法人员配备比例标准，执法力量要向基层倾斜，适度提高一线人员的比例，通过调整结构优化执法力量，确保一线执法工作需要。</w:t>
      </w:r>
    </w:p>
    <w:p>
      <w:pPr>
        <w:snapToGrid w:val="0"/>
        <w:spacing w:line="276" w:lineRule="auto"/>
        <w:ind w:firstLine="0"/>
        <w:rPr>
          <w:rFonts w:hint="eastAsia" w:ascii="方正仿宋_GBK" w:hAnsi="方正仿宋_GBK" w:cs="方正仿宋_GBK"/>
          <w:b w:val="0"/>
          <w:bCs w:val="0"/>
          <w:kern w:val="0"/>
        </w:rPr>
      </w:pPr>
      <w:r>
        <w:rPr>
          <w:rFonts w:hint="default" w:ascii="方正仿宋_GBK" w:eastAsia="方正仿宋_GBK"/>
          <w:b w:val="0"/>
          <w:bCs w:val="0"/>
          <w:kern w:val="2"/>
        </w:rPr>
        <w:t>严格队伍管理。</w:t>
      </w:r>
      <w:r>
        <w:rPr>
          <w:rFonts w:hint="eastAsia" w:ascii="方正仿宋_GBK" w:hAnsi="方正仿宋_GBK" w:cs="方正仿宋_GBK"/>
          <w:b w:val="0"/>
          <w:bCs w:val="0"/>
          <w:kern w:val="0"/>
        </w:rPr>
        <w:t>优化干部任用和人才选拔机制，加强领导班子和干部队伍建设。加强执法人员思想道德和素质教育，着力提升执法人员业务能力，打造政治坚定、作风优良、纪律严明、廉洁务实的执法队伍。严格落实全面从严治党</w:t>
      </w:r>
      <w:r>
        <w:rPr>
          <w:rFonts w:hint="eastAsia" w:cs="方正仿宋_GBK"/>
          <w:b w:val="0"/>
          <w:bCs w:val="0"/>
          <w:kern w:val="0"/>
          <w:lang w:eastAsia="zh-CN"/>
        </w:rPr>
        <w:t>主体</w:t>
      </w:r>
      <w:r>
        <w:rPr>
          <w:rFonts w:hint="eastAsia" w:ascii="方正仿宋_GBK" w:hAnsi="方正仿宋_GBK" w:cs="方正仿宋_GBK"/>
          <w:b w:val="0"/>
          <w:bCs w:val="0"/>
          <w:kern w:val="0"/>
        </w:rPr>
        <w:t>责任，加强干部职工党纪法规和廉政警示教育，常态化开展提醒约谈和诫勉谈话以及“懒散拖”、不作为等问题整治，锤炼队伍严实作风。健全协管人员招聘、管理、奖惩、退出等制度，规范协管队伍。</w:t>
      </w:r>
    </w:p>
    <w:p>
      <w:pPr>
        <w:snapToGrid w:val="0"/>
        <w:spacing w:line="276" w:lineRule="auto"/>
        <w:ind w:firstLine="0"/>
        <w:rPr>
          <w:rFonts w:hint="eastAsia" w:ascii="方正仿宋_GBK" w:hAnsi="方正仿宋_GBK" w:cs="方正仿宋_GBK"/>
          <w:b w:val="0"/>
          <w:bCs w:val="0"/>
          <w:kern w:val="0"/>
        </w:rPr>
      </w:pPr>
      <w:r>
        <w:rPr>
          <w:rFonts w:hint="default" w:ascii="方正仿宋_GBK" w:eastAsia="方正仿宋_GBK"/>
          <w:b w:val="0"/>
          <w:bCs w:val="0"/>
          <w:kern w:val="2"/>
        </w:rPr>
        <w:t>注重人才培养。</w:t>
      </w:r>
      <w:r>
        <w:rPr>
          <w:rFonts w:hint="eastAsia" w:ascii="方正仿宋_GBK" w:hAnsi="方正仿宋_GBK" w:cs="方正仿宋_GBK"/>
          <w:b w:val="0"/>
          <w:bCs w:val="0"/>
          <w:kern w:val="0"/>
        </w:rPr>
        <w:t>加强现有执法人员业务培训和考试，严格实行执法人员持证上岗和资格管理制度。通过法制考试、外出考察、“传帮带”、院校授课等形式加强干部职工思想政治、法律法规、业务工作方面的教育和培训，将学习培训制度化，着力提升城管队伍的能力和依法行政水平。</w:t>
      </w:r>
    </w:p>
    <w:p>
      <w:pPr>
        <w:snapToGrid w:val="0"/>
        <w:spacing w:line="276" w:lineRule="auto"/>
        <w:ind w:firstLine="0"/>
        <w:rPr>
          <w:rFonts w:hint="eastAsia"/>
          <w:b w:val="0"/>
          <w:bCs w:val="0"/>
          <w:kern w:val="0"/>
        </w:rPr>
      </w:pPr>
    </w:p>
    <w:p>
      <w:pPr>
        <w:snapToGrid w:val="0"/>
        <w:spacing w:before="0" w:after="0" w:line="276" w:lineRule="auto"/>
        <w:ind w:firstLine="0" w:firstLineChars="0"/>
        <w:jc w:val="center"/>
        <w:rPr>
          <w:rFonts w:ascii="方正黑体_GBK" w:hAnsi="方正黑体_GBK" w:eastAsia="方正黑体_GBK" w:cs="方正黑体_GBK"/>
          <w:b w:val="0"/>
          <w:bCs w:val="0"/>
        </w:rPr>
      </w:pPr>
      <w:bookmarkStart w:id="287" w:name="_Toc774369131_WPSOffice_Level2"/>
      <w:bookmarkStart w:id="288" w:name="_Toc456983432_WPSOffice_Level2"/>
      <w:bookmarkStart w:id="289" w:name="_Toc1233"/>
      <w:bookmarkStart w:id="290" w:name="_Toc14790"/>
      <w:r>
        <w:rPr>
          <w:rFonts w:hint="default" w:ascii="方正黑体_GBK" w:hAnsi="方正黑体_GBK" w:eastAsia="方正黑体_GBK" w:cs="方正黑体_GBK"/>
          <w:b w:val="0"/>
          <w:bCs w:val="0"/>
        </w:rPr>
        <w:t>第三节  加强专业技术人才引进</w:t>
      </w:r>
      <w:bookmarkEnd w:id="287"/>
      <w:bookmarkEnd w:id="288"/>
      <w:bookmarkEnd w:id="289"/>
      <w:bookmarkEnd w:id="290"/>
    </w:p>
    <w:p>
      <w:pPr>
        <w:snapToGrid w:val="0"/>
        <w:spacing w:line="276" w:lineRule="auto"/>
        <w:ind w:firstLine="0"/>
        <w:rPr>
          <w:rFonts w:hint="default" w:ascii="方正仿宋_GBK" w:eastAsia="方正仿宋_GBK"/>
          <w:b w:val="0"/>
          <w:bCs w:val="0"/>
          <w:shd w:val="clear" w:color="auto" w:fill="auto"/>
        </w:rPr>
      </w:pPr>
    </w:p>
    <w:p>
      <w:pPr>
        <w:snapToGrid w:val="0"/>
        <w:spacing w:line="276" w:lineRule="auto"/>
        <w:ind w:firstLine="0"/>
        <w:rPr>
          <w:rFonts w:hint="eastAsia" w:ascii="方正仿宋_GBK" w:hAnsi="方正仿宋_GBK" w:cs="方正仿宋_GBK"/>
          <w:b w:val="0"/>
          <w:bCs w:val="0"/>
        </w:rPr>
      </w:pPr>
      <w:r>
        <w:rPr>
          <w:rFonts w:hint="default" w:ascii="方正仿宋_GBK" w:eastAsia="方正仿宋_GBK"/>
          <w:b w:val="0"/>
          <w:bCs w:val="0"/>
          <w:shd w:val="clear" w:color="auto" w:fill="auto"/>
        </w:rPr>
        <w:t>有效加大人才引进力度。</w:t>
      </w:r>
      <w:r>
        <w:rPr>
          <w:rFonts w:hint="eastAsia" w:ascii="方正仿宋_GBK" w:hAnsi="方正仿宋_GBK" w:cs="方正仿宋_GBK"/>
          <w:b w:val="0"/>
          <w:bCs w:val="0"/>
        </w:rPr>
        <w:t>吸纳和集聚各类优秀人才参与城市维护管理，在现有编制基础上招录工学、理学、林学、法学、管理学学科门类涉及城市管理工作方面的专业人才，重点引进土木工程、电气工程、信息与通信工程、计算机科学与技术、生物学、公共管理等一级学科下专业技术人才，进一步优化城市管理人才结构。</w:t>
      </w:r>
    </w:p>
    <w:p>
      <w:pPr>
        <w:snapToGrid w:val="0"/>
        <w:spacing w:line="276" w:lineRule="auto"/>
        <w:ind w:firstLine="0"/>
        <w:rPr>
          <w:rFonts w:hint="eastAsia" w:ascii="方正仿宋_GBK" w:hAnsi="方正仿宋_GBK" w:cs="方正仿宋_GBK"/>
          <w:b w:val="0"/>
          <w:bCs w:val="0"/>
        </w:rPr>
      </w:pPr>
      <w:r>
        <w:rPr>
          <w:rFonts w:hint="default" w:ascii="方正仿宋_GBK" w:eastAsia="方正仿宋_GBK"/>
          <w:b w:val="0"/>
          <w:bCs w:val="0"/>
        </w:rPr>
        <w:t>创新人才队伍建设机制。</w:t>
      </w:r>
      <w:r>
        <w:rPr>
          <w:rFonts w:hint="eastAsia" w:ascii="方正仿宋_GBK" w:hAnsi="方正仿宋_GBK" w:cs="方正仿宋_GBK"/>
          <w:b w:val="0"/>
          <w:bCs w:val="0"/>
        </w:rPr>
        <w:t>以区城市管理局引导、各用人单位主导、市场化配置为原则，加强专业人才队伍建设机制。积极推动人才鼓励政策，建立健全绩效相符的薪酬机制，完善优化专业技术人才绩效考核评价体系。建立健全激励与约束相结合的奖惩机制和创新人才成长成才的容错机制，鼓励专业技术人才队伍建设改革创新。</w:t>
      </w:r>
    </w:p>
    <w:p>
      <w:pPr>
        <w:snapToGrid w:val="0"/>
        <w:spacing w:line="276" w:lineRule="auto"/>
        <w:ind w:firstLine="0"/>
        <w:rPr>
          <w:rFonts w:hint="eastAsia" w:ascii="方正仿宋_GBK" w:hAnsi="方正仿宋_GBK" w:cs="方正仿宋_GBK"/>
          <w:b w:val="0"/>
          <w:bCs w:val="0"/>
        </w:rPr>
      </w:pPr>
      <w:r>
        <w:rPr>
          <w:rFonts w:hint="default" w:ascii="方正仿宋_GBK" w:eastAsia="方正仿宋_GBK"/>
          <w:b w:val="0"/>
          <w:bCs w:val="0"/>
        </w:rPr>
        <w:t>搭建人才培养服务平台。</w:t>
      </w:r>
      <w:r>
        <w:rPr>
          <w:rFonts w:hint="eastAsia" w:ascii="方正仿宋_GBK" w:hAnsi="方正仿宋_GBK" w:cs="方正仿宋_GBK"/>
          <w:b w:val="0"/>
          <w:bCs w:val="0"/>
        </w:rPr>
        <w:t>以提高专业水平和创新能力为核心，建设一支高素质的专业人才队伍。大力培育设施维护、植物保护、园林绿化、环境卫生等方面的专业技术技能人才，积极开展花卉苗木、盆景盆栽等园林园艺和环境卫生等方面的技术技能培训，提升乡村治理能力，推进美丽乡村建设。</w:t>
      </w:r>
    </w:p>
    <w:p>
      <w:pPr>
        <w:snapToGrid w:val="0"/>
        <w:spacing w:line="276" w:lineRule="auto"/>
        <w:ind w:firstLine="0"/>
        <w:rPr>
          <w:rFonts w:hint="eastAsia"/>
          <w:b w:val="0"/>
          <w:bCs w:val="0"/>
        </w:rPr>
      </w:pPr>
    </w:p>
    <w:p>
      <w:pPr>
        <w:snapToGrid w:val="0"/>
        <w:spacing w:before="0" w:after="0" w:line="276" w:lineRule="auto"/>
        <w:ind w:firstLine="0" w:firstLineChars="0"/>
        <w:jc w:val="center"/>
        <w:rPr>
          <w:rFonts w:ascii="方正黑体_GBK" w:hAnsi="方正黑体_GBK" w:eastAsia="方正黑体_GBK" w:cs="方正黑体_GBK"/>
          <w:b w:val="0"/>
          <w:bCs w:val="0"/>
        </w:rPr>
      </w:pPr>
      <w:bookmarkStart w:id="291" w:name="_Toc819451727_WPSOffice_Level2"/>
      <w:bookmarkStart w:id="292" w:name="_Toc585306249_WPSOffice_Level2"/>
      <w:bookmarkStart w:id="293" w:name="_Toc10571"/>
      <w:bookmarkStart w:id="294" w:name="_Toc8927"/>
      <w:r>
        <w:rPr>
          <w:rFonts w:hint="default" w:ascii="方正黑体_GBK" w:hAnsi="方正黑体_GBK" w:eastAsia="方正黑体_GBK" w:cs="方正黑体_GBK"/>
          <w:b w:val="0"/>
          <w:bCs w:val="0"/>
        </w:rPr>
        <w:t>第四节  强化城市执法管理秩序</w:t>
      </w:r>
      <w:bookmarkEnd w:id="291"/>
      <w:bookmarkEnd w:id="292"/>
      <w:bookmarkEnd w:id="293"/>
      <w:bookmarkEnd w:id="294"/>
    </w:p>
    <w:p>
      <w:pPr>
        <w:snapToGrid w:val="0"/>
        <w:spacing w:line="276" w:lineRule="auto"/>
        <w:ind w:firstLine="0"/>
        <w:rPr>
          <w:rFonts w:hint="default" w:ascii="方正仿宋_GBK" w:eastAsia="方正仿宋_GBK"/>
          <w:b w:val="0"/>
          <w:bCs w:val="0"/>
        </w:rPr>
      </w:pPr>
    </w:p>
    <w:p>
      <w:pPr>
        <w:snapToGrid w:val="0"/>
        <w:spacing w:line="276" w:lineRule="auto"/>
        <w:ind w:firstLine="0"/>
        <w:rPr>
          <w:rFonts w:hint="eastAsia" w:ascii="方正仿宋_GBK" w:hAnsi="方正仿宋_GBK" w:cs="方正仿宋_GBK"/>
          <w:b w:val="0"/>
          <w:bCs w:val="0"/>
        </w:rPr>
      </w:pPr>
      <w:r>
        <w:rPr>
          <w:rFonts w:hint="default" w:ascii="方正仿宋_GBK" w:eastAsia="方正仿宋_GBK"/>
          <w:b w:val="0"/>
          <w:bCs w:val="0"/>
        </w:rPr>
        <w:t>进一步加大重点区域管控。</w:t>
      </w:r>
      <w:r>
        <w:rPr>
          <w:rFonts w:hint="eastAsia" w:ascii="方正仿宋_GBK" w:hAnsi="方正仿宋_GBK" w:cs="方正仿宋_GBK"/>
          <w:b w:val="0"/>
          <w:bCs w:val="0"/>
        </w:rPr>
        <w:t>以创建示范街为依托，按照“打造亮点、示范带动”的思路，提升城市品位，创建城市亮点，辐射带动城市整体形象全面提升。实行网格化管理，全面落实网格化管理人员，在示范街范围内做到无占道经营、擅自设置户外广告和商业性横幅、乱倒废弃物、毁绿、违法建设、游摊等行为，发现相关违法行为执法人员应严格查处。</w:t>
      </w:r>
    </w:p>
    <w:p>
      <w:pPr>
        <w:snapToGrid w:val="0"/>
        <w:spacing w:line="276" w:lineRule="auto"/>
        <w:ind w:firstLine="0"/>
        <w:rPr>
          <w:rFonts w:hint="eastAsia" w:ascii="方正仿宋_GBK" w:hAnsi="方正仿宋_GBK" w:cs="方正仿宋_GBK"/>
          <w:b w:val="0"/>
          <w:bCs w:val="0"/>
        </w:rPr>
      </w:pPr>
      <w:r>
        <w:rPr>
          <w:rFonts w:hint="default" w:ascii="方正仿宋_GBK" w:eastAsia="方正仿宋_GBK"/>
          <w:b w:val="0"/>
          <w:bCs w:val="0"/>
        </w:rPr>
        <w:t>进一步推进违法建设执法整治。</w:t>
      </w:r>
      <w:r>
        <w:rPr>
          <w:rFonts w:hint="eastAsia" w:ascii="方正仿宋_GBK" w:hAnsi="方正仿宋_GBK" w:cs="方正仿宋_GBK"/>
          <w:b w:val="0"/>
          <w:bCs w:val="0"/>
        </w:rPr>
        <w:t>城市违法建设治理将从专项治理、集中攻坚阶段转入全面防控、长效治理阶段。完善违法建设巡查工作机制，多措并举制止违建行为，坚决遏制违法建设势头。推动执法重心下移和执法事项属地化管理，建立健全违法建设基层巡查网络，进一步推动违法建设查处职责落地落实，加强规划城镇建设用地范围内的违法建设查处力度。依法依规查处严重影响城乡规划、市容市貌以及存在消防安全隐患、妨碍重点项目建设等违法建设行为，查处拆除违章建筑20万平方米。</w:t>
      </w:r>
    </w:p>
    <w:p>
      <w:pPr>
        <w:snapToGrid w:val="0"/>
        <w:spacing w:line="276" w:lineRule="auto"/>
        <w:ind w:firstLine="0"/>
        <w:rPr>
          <w:rFonts w:hint="eastAsia" w:ascii="方正仿宋_GBK" w:hAnsi="方正仿宋_GBK" w:cs="方正仿宋_GBK"/>
          <w:b w:val="0"/>
          <w:bCs w:val="0"/>
        </w:rPr>
      </w:pPr>
      <w:r>
        <w:rPr>
          <w:rFonts w:hint="default" w:ascii="方正仿宋_GBK" w:eastAsia="方正仿宋_GBK"/>
          <w:b w:val="0"/>
          <w:bCs w:val="0"/>
        </w:rPr>
        <w:t>进一步加强市容环境执法整治。</w:t>
      </w:r>
      <w:r>
        <w:rPr>
          <w:rFonts w:hint="eastAsia" w:ascii="方正仿宋_GBK" w:hAnsi="方正仿宋_GBK" w:cs="方正仿宋_GBK"/>
          <w:b w:val="0"/>
          <w:bCs w:val="0"/>
        </w:rPr>
        <w:t>继续深入持久地开展对环境卫生、占道经营、车辆停放、消防安全生命通道、广告店招、城市建筑容貌、毁绿占绿、露天焚烧、渣土运输、在建工地、城镇供水监管等方面各类违规违章行为的整治，确保城区环境卫生干净、市容秩序井然，着力保持良好的城市形象。针对城市管理执法中的难点、热点问题，不断探索和改进管理手段和模式，坚持教育引导和依法查处相结合，完善城市管理综合执法部门联动制度，强化属地管理责任，加强与交巡警、交通等有关部门协调联系，做好相关执法工作。</w:t>
      </w:r>
    </w:p>
    <w:p>
      <w:pPr>
        <w:snapToGrid w:val="0"/>
        <w:spacing w:line="276" w:lineRule="auto"/>
        <w:ind w:firstLine="0"/>
        <w:rPr>
          <w:rFonts w:hint="eastAsia" w:ascii="方正仿宋_GBK" w:hAnsi="方正仿宋_GBK" w:cs="方正仿宋_GBK"/>
          <w:b w:val="0"/>
          <w:bCs w:val="0"/>
        </w:rPr>
      </w:pPr>
      <w:r>
        <w:rPr>
          <w:rFonts w:hint="default" w:ascii="方正仿宋_GBK" w:eastAsia="方正仿宋_GBK"/>
          <w:b w:val="0"/>
          <w:bCs w:val="0"/>
        </w:rPr>
        <w:t>进一步强化执法监督。</w:t>
      </w:r>
      <w:r>
        <w:rPr>
          <w:rFonts w:hint="eastAsia" w:ascii="方正仿宋_GBK" w:hAnsi="方正仿宋_GBK" w:cs="方正仿宋_GBK"/>
          <w:b w:val="0"/>
          <w:bCs w:val="0"/>
        </w:rPr>
        <w:t>坚持依法行政，文明执法，突出人性化管理、精细化管理。畅通监督渠道，全面接受社会各界监督。通过社会监督员和监督热线的作用以及新闻舆论监督、人大依法监督、政协民主监督，密切执法支队与群众的联系，树立执法支队良好形象，夯实执法的社会基础。强化内部监督，通过执法公示制、投诉举报制、谈话诫勉制等内部监督机制的作用，实现执法队伍规范执法、廉洁执法。</w:t>
      </w:r>
    </w:p>
    <w:p>
      <w:pPr>
        <w:snapToGrid w:val="0"/>
        <w:spacing w:line="276" w:lineRule="auto"/>
        <w:ind w:firstLine="0"/>
        <w:rPr>
          <w:rFonts w:hint="eastAsia" w:ascii="方正仿宋_GBK" w:hAnsi="方正仿宋_GBK" w:cs="方正仿宋_GBK"/>
          <w:b w:val="0"/>
          <w:bCs w:val="0"/>
        </w:rPr>
      </w:pPr>
    </w:p>
    <w:p>
      <w:pPr>
        <w:snapToGrid w:val="0"/>
        <w:spacing w:before="0" w:after="0" w:line="276" w:lineRule="auto"/>
        <w:ind w:firstLine="0" w:firstLineChars="0"/>
        <w:jc w:val="center"/>
        <w:rPr>
          <w:rFonts w:ascii="方正黑体_GBK" w:hAnsi="方正黑体_GBK" w:eastAsia="方正黑体_GBK" w:cs="方正黑体_GBK"/>
          <w:b w:val="0"/>
          <w:bCs w:val="0"/>
        </w:rPr>
      </w:pPr>
      <w:bookmarkStart w:id="295" w:name="_Toc88616119_WPSOffice_Level2"/>
      <w:bookmarkStart w:id="296" w:name="_Toc143516464_WPSOffice_Level2"/>
      <w:bookmarkStart w:id="297" w:name="_Toc31290"/>
      <w:bookmarkStart w:id="298" w:name="_Toc29131"/>
      <w:r>
        <w:rPr>
          <w:rFonts w:hint="default" w:ascii="方正黑体_GBK" w:hAnsi="方正黑体_GBK" w:eastAsia="方正黑体_GBK" w:cs="方正黑体_GBK"/>
          <w:b w:val="0"/>
          <w:bCs w:val="0"/>
        </w:rPr>
        <w:t>第五节  加强城市管理普法</w:t>
      </w:r>
      <w:bookmarkEnd w:id="295"/>
      <w:bookmarkEnd w:id="296"/>
      <w:bookmarkEnd w:id="297"/>
      <w:bookmarkEnd w:id="298"/>
    </w:p>
    <w:p>
      <w:pPr>
        <w:snapToGrid w:val="0"/>
        <w:spacing w:line="276" w:lineRule="auto"/>
        <w:ind w:firstLine="0"/>
        <w:rPr>
          <w:rFonts w:hint="eastAsia" w:ascii="方正仿宋_GBK" w:hAnsi="方正仿宋_GBK" w:cs="方正仿宋_GBK"/>
          <w:b w:val="0"/>
          <w:bCs w:val="0"/>
        </w:rPr>
      </w:pPr>
    </w:p>
    <w:p>
      <w:pPr>
        <w:snapToGrid w:val="0"/>
        <w:spacing w:line="276" w:lineRule="auto"/>
        <w:ind w:firstLine="0"/>
        <w:rPr>
          <w:rFonts w:hint="eastAsia" w:ascii="方正仿宋_GBK" w:hAnsi="方正仿宋_GBK" w:cs="方正仿宋_GBK"/>
          <w:b w:val="0"/>
          <w:bCs w:val="0"/>
        </w:rPr>
      </w:pPr>
      <w:r>
        <w:rPr>
          <w:rFonts w:hint="eastAsia" w:ascii="方正仿宋_GBK" w:hAnsi="方正仿宋_GBK" w:cs="方正仿宋_GBK"/>
          <w:b w:val="0"/>
          <w:bCs w:val="0"/>
        </w:rPr>
        <w:t>深入学习宣传贯彻习近平总书记全面依法治国新理念新思想新战略，全面落实“谁执法谁普法”普法责任制，进一步健全普法责任清单动态管理机制，完善城市管理部门干部学法用法制度和法治轮训制度。坚持行政机关领导干部带头学法、模范守法作为推动法治政府建设的关键环节，有计划、分步骤地组织开展城市管理部门法律法规学习宣传。充分利用“12.4”国家宪法宣传日、法律颁布日、重大纪念日、城市管理系统“3.19”主题服务宣传周、“三月法治宣传月”等契机，深入开展宪法法律宣传教育，切实提高干部职工依法行政能力和市民法治意识，努力营造办事依法、遇事找法、解决问题用法、化解矛盾靠法的良好法治环境。</w:t>
      </w:r>
    </w:p>
    <w:p>
      <w:pPr>
        <w:snapToGrid w:val="0"/>
        <w:spacing w:line="276" w:lineRule="auto"/>
        <w:ind w:firstLine="0"/>
        <w:rPr>
          <w:rFonts w:hint="eastAsia" w:ascii="方正仿宋_GBK" w:hAnsi="方正仿宋_GBK" w:cs="方正仿宋_GBK"/>
          <w:b w:val="0"/>
          <w:bCs w:val="0"/>
        </w:rPr>
      </w:pPr>
    </w:p>
    <w:p>
      <w:pPr>
        <w:snapToGrid w:val="0"/>
        <w:spacing w:before="0" w:after="0" w:line="276" w:lineRule="auto"/>
        <w:ind w:firstLine="0" w:firstLineChars="0"/>
        <w:jc w:val="center"/>
        <w:rPr>
          <w:rFonts w:ascii="方正黑体_GBK" w:hAnsi="方正黑体_GBK" w:eastAsia="方正黑体_GBK" w:cs="方正黑体_GBK"/>
          <w:b w:val="0"/>
          <w:bCs w:val="0"/>
        </w:rPr>
      </w:pPr>
      <w:bookmarkStart w:id="299" w:name="_Toc30386"/>
      <w:bookmarkStart w:id="300" w:name="_Toc26471"/>
      <w:bookmarkStart w:id="301" w:name="_Toc1057851942_WPSOffice_Level2"/>
      <w:bookmarkStart w:id="302" w:name="_Toc176276962_WPSOffice_Level2"/>
      <w:r>
        <w:rPr>
          <w:rFonts w:hint="default" w:ascii="方正黑体_GBK" w:hAnsi="方正黑体_GBK" w:eastAsia="方正黑体_GBK" w:cs="方正黑体_GBK"/>
          <w:b w:val="0"/>
          <w:bCs w:val="0"/>
        </w:rPr>
        <w:t>第六节  探索跨区域合作机制</w:t>
      </w:r>
      <w:bookmarkEnd w:id="299"/>
      <w:bookmarkEnd w:id="300"/>
      <w:bookmarkEnd w:id="301"/>
      <w:bookmarkEnd w:id="302"/>
    </w:p>
    <w:p>
      <w:pPr>
        <w:snapToGrid w:val="0"/>
        <w:spacing w:line="276" w:lineRule="auto"/>
        <w:ind w:firstLine="0"/>
        <w:rPr>
          <w:rFonts w:hint="eastAsia" w:ascii="方正仿宋_GBK" w:hAnsi="方正仿宋_GBK" w:cs="方正仿宋_GBK"/>
          <w:b w:val="0"/>
          <w:bCs w:val="0"/>
        </w:rPr>
      </w:pPr>
    </w:p>
    <w:p>
      <w:pPr>
        <w:snapToGrid w:val="0"/>
        <w:spacing w:line="276" w:lineRule="auto"/>
        <w:ind w:firstLine="0"/>
        <w:rPr>
          <w:rFonts w:hint="eastAsia" w:ascii="方正仿宋_GBK" w:hAnsi="方正仿宋_GBK" w:cs="方正仿宋_GBK"/>
          <w:b w:val="0"/>
          <w:bCs w:val="0"/>
        </w:rPr>
      </w:pPr>
      <w:r>
        <w:rPr>
          <w:rFonts w:hint="eastAsia" w:ascii="方正仿宋_GBK" w:hAnsi="方正仿宋_GBK" w:cs="方正仿宋_GBK"/>
          <w:b w:val="0"/>
          <w:bCs w:val="0"/>
        </w:rPr>
        <w:t>探索与周边成渝地区城市管理部门之间的结对共建机制，通过制定结对协作行动计划及行动清单，建立与泸州市的双方合作领导机构和联席会议制度，进一步深化长效合作机制，明确建立工作协调机制、确定日常联络机构人员、双方每年举行一次协调会。加强与泸州市在城管执法制度研究、专项执法工作交流、队伍规范化建设、智慧城管建设、信息互联共享、凝聚社会宣传合力、坚持党建引领等共建内容的合作，互派执法骨干现场观摩重点领域执法办案，开展执法标准建设合作，建立完善执法制度，共同研究城市管理执法领域调研课题。</w:t>
      </w:r>
    </w:p>
    <w:p>
      <w:pPr>
        <w:snapToGrid w:val="0"/>
        <w:spacing w:line="276" w:lineRule="auto"/>
        <w:ind w:firstLine="0" w:firstLineChars="0"/>
        <w:jc w:val="center"/>
        <w:rPr>
          <w:rFonts w:hint="eastAsia" w:ascii="方正楷体_GBK" w:hAnsi="方正楷体_GBK" w:eastAsia="方正楷体_GBK" w:cs="方正楷体_GBK"/>
          <w:b w:val="0"/>
          <w:bCs w:val="0"/>
          <w:sz w:val="28"/>
          <w:szCs w:val="28"/>
        </w:rPr>
      </w:pPr>
      <w:bookmarkStart w:id="303" w:name="_Toc1381688693_WPSOffice_Level2"/>
      <w:bookmarkStart w:id="304" w:name="_Toc860960141_WPSOffice_Level2"/>
      <w:r>
        <w:rPr>
          <w:rFonts w:hint="default" w:ascii="方正楷体_GBK" w:hAnsi="方正楷体_GBK" w:eastAsia="方正楷体_GBK" w:cs="方正楷体_GBK"/>
          <w:b w:val="0"/>
          <w:bCs w:val="0"/>
          <w:sz w:val="28"/>
          <w:szCs w:val="28"/>
        </w:rPr>
        <w:t>专栏17  城市执法</w:t>
      </w:r>
      <w:r>
        <w:rPr>
          <w:rFonts w:hint="eastAsia" w:ascii="方正楷体_GBK" w:hAnsi="方正楷体_GBK" w:eastAsia="方正楷体_GBK" w:cs="方正楷体_GBK"/>
          <w:b w:val="0"/>
          <w:bCs w:val="0"/>
          <w:sz w:val="28"/>
          <w:szCs w:val="28"/>
        </w:rPr>
        <w:t>重点项目</w:t>
      </w:r>
      <w:bookmarkEnd w:id="303"/>
      <w:bookmarkEnd w:id="304"/>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7" w:hRule="atLeast"/>
        </w:trPr>
        <w:tc>
          <w:tcPr>
            <w:tcW w:w="8960" w:type="dxa"/>
            <w:noWrap w:val="0"/>
            <w:vAlign w:val="top"/>
          </w:tcPr>
          <w:p>
            <w:pPr>
              <w:snapToGrid w:val="0"/>
              <w:spacing w:line="240" w:lineRule="auto"/>
              <w:ind w:firstLine="0"/>
              <w:rPr>
                <w:rFonts w:ascii="方正仿宋_GBK" w:hAnsi="方正仿宋_GBK" w:cs="方正仿宋_GBK"/>
                <w:b w:val="0"/>
                <w:bCs w:val="0"/>
                <w:sz w:val="21"/>
                <w:szCs w:val="21"/>
              </w:rPr>
            </w:pPr>
            <w:r>
              <w:rPr>
                <w:rFonts w:hint="default"/>
                <w:b w:val="0"/>
                <w:bCs w:val="0"/>
                <w:sz w:val="21"/>
                <w:szCs w:val="21"/>
              </w:rPr>
              <w:t>城市管理综合执法办公场地建设——</w:t>
            </w:r>
            <w:r>
              <w:rPr>
                <w:rFonts w:ascii="方正仿宋_GBK" w:hAnsi="方正仿宋_GBK" w:cs="方正仿宋_GBK"/>
                <w:b w:val="0"/>
                <w:bCs w:val="0"/>
                <w:sz w:val="21"/>
                <w:szCs w:val="21"/>
              </w:rPr>
              <w:t>规划实施城市管理综合执法办公场地。</w:t>
            </w:r>
          </w:p>
          <w:p>
            <w:pPr>
              <w:snapToGrid w:val="0"/>
              <w:spacing w:line="240" w:lineRule="auto"/>
              <w:ind w:firstLine="0"/>
              <w:rPr>
                <w:rFonts w:ascii="方正仿宋_GBK" w:hAnsi="方正仿宋_GBK" w:cs="方正仿宋_GBK"/>
                <w:b w:val="0"/>
                <w:bCs w:val="0"/>
                <w:sz w:val="21"/>
                <w:szCs w:val="21"/>
              </w:rPr>
            </w:pPr>
            <w:r>
              <w:rPr>
                <w:rFonts w:hint="default"/>
                <w:b w:val="0"/>
                <w:bCs w:val="0"/>
                <w:sz w:val="21"/>
                <w:szCs w:val="21"/>
              </w:rPr>
              <w:t>扬尘示范控制道路创建——</w:t>
            </w:r>
            <w:r>
              <w:rPr>
                <w:rFonts w:ascii="方正仿宋_GBK" w:hAnsi="方正仿宋_GBK" w:cs="方正仿宋_GBK"/>
                <w:b w:val="0"/>
                <w:bCs w:val="0"/>
                <w:sz w:val="21"/>
                <w:szCs w:val="21"/>
              </w:rPr>
              <w:t>新创建25条扬尘示范控制道路。</w:t>
            </w:r>
          </w:p>
          <w:p>
            <w:pPr>
              <w:snapToGrid w:val="0"/>
              <w:spacing w:line="240" w:lineRule="auto"/>
              <w:ind w:firstLine="0"/>
              <w:rPr>
                <w:b w:val="0"/>
                <w:bCs w:val="0"/>
                <w:sz w:val="21"/>
                <w:szCs w:val="21"/>
              </w:rPr>
            </w:pPr>
            <w:r>
              <w:rPr>
                <w:rFonts w:hint="default"/>
                <w:b w:val="0"/>
                <w:bCs w:val="0"/>
                <w:sz w:val="21"/>
                <w:szCs w:val="21"/>
              </w:rPr>
              <w:t>城管执法装备采购——</w:t>
            </w:r>
            <w:r>
              <w:rPr>
                <w:rFonts w:ascii="方正仿宋_GBK" w:hAnsi="方正仿宋_GBK" w:cs="方正仿宋_GBK"/>
                <w:b w:val="0"/>
                <w:bCs w:val="0"/>
                <w:sz w:val="21"/>
                <w:szCs w:val="21"/>
              </w:rPr>
              <w:t>新增与城管执法相匹配的执法队员防护、违建测量、</w:t>
            </w:r>
            <w:r>
              <w:rPr>
                <w:rFonts w:hint="default" w:ascii="方正仿宋_GBK" w:hAnsi="方正仿宋_GBK" w:cs="方正仿宋_GBK"/>
                <w:b w:val="0"/>
                <w:bCs w:val="0"/>
                <w:sz w:val="21"/>
                <w:szCs w:val="21"/>
              </w:rPr>
              <w:t>噪声</w:t>
            </w:r>
            <w:r>
              <w:rPr>
                <w:rFonts w:ascii="方正仿宋_GBK" w:hAnsi="方正仿宋_GBK" w:cs="方正仿宋_GBK"/>
                <w:b w:val="0"/>
                <w:bCs w:val="0"/>
                <w:sz w:val="21"/>
                <w:szCs w:val="21"/>
              </w:rPr>
              <w:t>污染监测等必要装备设备。</w:t>
            </w:r>
          </w:p>
          <w:p>
            <w:pPr>
              <w:snapToGrid w:val="0"/>
              <w:spacing w:line="240" w:lineRule="auto"/>
              <w:ind w:firstLine="0"/>
              <w:rPr>
                <w:b w:val="0"/>
                <w:bCs w:val="0"/>
                <w:sz w:val="21"/>
                <w:szCs w:val="21"/>
                <w:shd w:val="clear" w:color="auto" w:fill="auto"/>
              </w:rPr>
            </w:pPr>
            <w:r>
              <w:rPr>
                <w:rFonts w:hint="default"/>
                <w:b w:val="0"/>
                <w:bCs w:val="0"/>
                <w:sz w:val="21"/>
                <w:szCs w:val="21"/>
              </w:rPr>
              <w:t>城管执法车辆采购——</w:t>
            </w:r>
            <w:r>
              <w:rPr>
                <w:rFonts w:ascii="方正仿宋_GBK" w:hAnsi="方正仿宋_GBK" w:cs="方正仿宋_GBK"/>
                <w:b w:val="0"/>
                <w:bCs w:val="0"/>
                <w:sz w:val="21"/>
                <w:szCs w:val="21"/>
              </w:rPr>
              <w:t>租赁执法车辆30辆</w:t>
            </w:r>
            <w:r>
              <w:rPr>
                <w:rFonts w:hint="default"/>
                <w:b w:val="0"/>
                <w:bCs w:val="0"/>
                <w:sz w:val="21"/>
                <w:szCs w:val="21"/>
              </w:rPr>
              <w:t>。</w:t>
            </w:r>
          </w:p>
        </w:tc>
      </w:tr>
    </w:tbl>
    <w:p>
      <w:pPr>
        <w:snapToGrid w:val="0"/>
        <w:spacing w:before="0" w:after="0" w:line="276" w:lineRule="auto"/>
        <w:ind w:firstLine="0"/>
        <w:jc w:val="both"/>
        <w:rPr>
          <w:rFonts w:hint="eastAsia" w:ascii="方正仿宋_GBK" w:hAnsi="方正仿宋_GBK" w:eastAsia="方正仿宋_GBK" w:cs="方正仿宋_GBK"/>
          <w:b w:val="0"/>
          <w:bCs w:val="0"/>
          <w:sz w:val="32"/>
          <w:szCs w:val="32"/>
        </w:rPr>
      </w:pPr>
      <w:bookmarkStart w:id="305" w:name="_Toc3112"/>
      <w:bookmarkStart w:id="306" w:name="_Toc1189"/>
    </w:p>
    <w:p>
      <w:pPr>
        <w:snapToGrid w:val="0"/>
        <w:spacing w:before="0" w:after="0" w:line="276" w:lineRule="auto"/>
        <w:ind w:firstLine="0" w:firstLineChars="0"/>
        <w:jc w:val="center"/>
        <w:rPr>
          <w:rFonts w:hint="eastAsia" w:ascii="方正小标宋_GBK" w:hAnsi="方正小标宋_GBK" w:eastAsia="方正小标宋_GBK" w:cs="方正小标宋_GBK"/>
          <w:b w:val="0"/>
          <w:bCs w:val="0"/>
          <w:sz w:val="32"/>
          <w:szCs w:val="32"/>
        </w:rPr>
      </w:pPr>
      <w:bookmarkStart w:id="307" w:name="_Toc843424274_WPSOffice_Level1"/>
      <w:bookmarkStart w:id="308" w:name="_Toc200855966_WPSOffice_Level1"/>
      <w:r>
        <w:rPr>
          <w:rFonts w:hint="eastAsia" w:ascii="方正小标宋_GBK" w:hAnsi="方正小标宋_GBK" w:eastAsia="方正小标宋_GBK" w:cs="方正小标宋_GBK"/>
          <w:b w:val="0"/>
          <w:bCs w:val="0"/>
          <w:sz w:val="32"/>
          <w:szCs w:val="32"/>
        </w:rPr>
        <w:t>第九章 保障</w:t>
      </w:r>
      <w:bookmarkEnd w:id="257"/>
      <w:r>
        <w:rPr>
          <w:rFonts w:hint="eastAsia" w:ascii="方正小标宋_GBK" w:hAnsi="方正小标宋_GBK" w:eastAsia="方正小标宋_GBK" w:cs="方正小标宋_GBK"/>
          <w:b w:val="0"/>
          <w:bCs w:val="0"/>
          <w:sz w:val="32"/>
          <w:szCs w:val="32"/>
        </w:rPr>
        <w:t>措施</w:t>
      </w:r>
      <w:bookmarkEnd w:id="258"/>
      <w:bookmarkEnd w:id="305"/>
      <w:bookmarkEnd w:id="306"/>
      <w:bookmarkEnd w:id="307"/>
      <w:bookmarkEnd w:id="308"/>
    </w:p>
    <w:p>
      <w:pPr>
        <w:snapToGrid w:val="0"/>
        <w:spacing w:before="0" w:after="0" w:line="276" w:lineRule="auto"/>
        <w:ind w:firstLine="0"/>
        <w:jc w:val="both"/>
        <w:rPr>
          <w:rFonts w:hint="eastAsia" w:ascii="方正仿宋_GBK" w:hAnsi="方正仿宋_GBK" w:eastAsia="方正仿宋_GBK" w:cs="方正仿宋_GBK"/>
          <w:b w:val="0"/>
          <w:bCs w:val="0"/>
        </w:rPr>
      </w:pPr>
      <w:bookmarkStart w:id="309" w:name="_Toc13240"/>
      <w:bookmarkStart w:id="310" w:name="_Toc74151084"/>
      <w:bookmarkStart w:id="311" w:name="_Toc12431"/>
    </w:p>
    <w:p>
      <w:pPr>
        <w:snapToGrid w:val="0"/>
        <w:spacing w:before="0" w:after="0" w:line="276" w:lineRule="auto"/>
        <w:ind w:firstLine="0" w:firstLineChars="0"/>
        <w:jc w:val="center"/>
        <w:rPr>
          <w:rFonts w:ascii="方正黑体_GBK" w:hAnsi="方正黑体_GBK" w:eastAsia="方正黑体_GBK" w:cs="方正黑体_GBK"/>
          <w:b w:val="0"/>
          <w:bCs w:val="0"/>
        </w:rPr>
      </w:pPr>
      <w:bookmarkStart w:id="312" w:name="_Toc312624839_WPSOffice_Level2"/>
      <w:bookmarkStart w:id="313" w:name="_Toc1004968254_WPSOffice_Level2"/>
      <w:r>
        <w:rPr>
          <w:rFonts w:hint="default" w:ascii="方正黑体_GBK" w:hAnsi="方正黑体_GBK" w:eastAsia="方正黑体_GBK" w:cs="方正黑体_GBK"/>
          <w:b w:val="0"/>
          <w:bCs w:val="0"/>
        </w:rPr>
        <w:t>第一节  规划保障</w:t>
      </w:r>
      <w:bookmarkEnd w:id="309"/>
      <w:bookmarkEnd w:id="310"/>
      <w:bookmarkEnd w:id="311"/>
      <w:bookmarkEnd w:id="312"/>
      <w:bookmarkEnd w:id="313"/>
    </w:p>
    <w:p>
      <w:pPr>
        <w:snapToGrid w:val="0"/>
        <w:spacing w:line="276" w:lineRule="auto"/>
        <w:ind w:firstLine="0"/>
        <w:rPr>
          <w:rFonts w:hint="eastAsia" w:ascii="方正仿宋_GBK" w:hAnsi="方正仿宋_GBK" w:cs="方正仿宋_GBK"/>
          <w:b w:val="0"/>
          <w:bCs w:val="0"/>
        </w:rPr>
      </w:pPr>
    </w:p>
    <w:p>
      <w:pPr>
        <w:snapToGrid w:val="0"/>
        <w:spacing w:line="276" w:lineRule="auto"/>
        <w:ind w:firstLine="0"/>
        <w:rPr>
          <w:rFonts w:hint="eastAsia" w:ascii="方正仿宋_GBK" w:hAnsi="方正仿宋_GBK" w:cs="方正仿宋_GBK"/>
          <w:b w:val="0"/>
          <w:bCs w:val="0"/>
        </w:rPr>
      </w:pPr>
      <w:r>
        <w:rPr>
          <w:rFonts w:hint="eastAsia" w:ascii="方正仿宋_GBK" w:hAnsi="方正仿宋_GBK" w:cs="方正仿宋_GBK"/>
          <w:b w:val="0"/>
          <w:bCs w:val="0"/>
        </w:rPr>
        <w:t>坚持以规划确定项目，以项目落实规划，发挥好重大项目对规划落实的支撑作用。做好本规划与国土空间规划等其他相关规划的衔接，确保各项规划基础设施项目能够落地实施。城市管理各专项规划的发展目标、重大任务应符合本规划的要求，确保各项规划任务的落实。</w:t>
      </w:r>
    </w:p>
    <w:p>
      <w:pPr>
        <w:snapToGrid w:val="0"/>
        <w:spacing w:line="276" w:lineRule="auto"/>
        <w:ind w:firstLine="0"/>
        <w:rPr>
          <w:rFonts w:hint="eastAsia" w:ascii="方正仿宋_GBK" w:hAnsi="方正仿宋_GBK" w:cs="方正仿宋_GBK"/>
          <w:b w:val="0"/>
          <w:bCs w:val="0"/>
        </w:rPr>
      </w:pPr>
      <w:r>
        <w:rPr>
          <w:rFonts w:hint="eastAsia" w:ascii="方正仿宋_GBK" w:hAnsi="方正仿宋_GBK" w:cs="方正仿宋_GBK"/>
          <w:b w:val="0"/>
          <w:bCs w:val="0"/>
        </w:rPr>
        <w:t>各级城市管理单位应充分认识本规划对永川区城市管理的纲领性引领作用，加强对规划项目与任务的落实。进一步完善城市管理规划项目分解及推进机制，细化规划建设项目及重点任务并按年度实施。</w:t>
      </w:r>
    </w:p>
    <w:p>
      <w:pPr>
        <w:snapToGrid w:val="0"/>
        <w:spacing w:line="276" w:lineRule="auto"/>
        <w:ind w:firstLine="0"/>
        <w:rPr>
          <w:rFonts w:hint="eastAsia" w:ascii="方正仿宋_GBK" w:hAnsi="方正仿宋_GBK" w:cs="方正仿宋_GBK"/>
          <w:b w:val="0"/>
          <w:bCs w:val="0"/>
        </w:rPr>
      </w:pPr>
    </w:p>
    <w:p>
      <w:pPr>
        <w:snapToGrid w:val="0"/>
        <w:spacing w:before="0" w:after="0" w:line="276" w:lineRule="auto"/>
        <w:ind w:firstLine="0" w:firstLineChars="0"/>
        <w:jc w:val="center"/>
        <w:rPr>
          <w:rFonts w:ascii="方正黑体_GBK" w:hAnsi="方正黑体_GBK" w:eastAsia="方正黑体_GBK" w:cs="方正黑体_GBK"/>
          <w:b w:val="0"/>
          <w:bCs w:val="0"/>
        </w:rPr>
      </w:pPr>
      <w:bookmarkStart w:id="314" w:name="_Toc74151085"/>
      <w:bookmarkStart w:id="315" w:name="_Toc18404"/>
      <w:bookmarkStart w:id="316" w:name="_Toc19474"/>
      <w:bookmarkStart w:id="317" w:name="_Toc431136010_WPSOffice_Level2"/>
      <w:bookmarkStart w:id="318" w:name="_Toc721936603_WPSOffice_Level2"/>
      <w:r>
        <w:rPr>
          <w:rFonts w:hint="default" w:ascii="方正黑体_GBK" w:hAnsi="方正黑体_GBK" w:eastAsia="方正黑体_GBK" w:cs="方正黑体_GBK"/>
          <w:b w:val="0"/>
          <w:bCs w:val="0"/>
        </w:rPr>
        <w:t>第二节</w:t>
      </w:r>
      <w:bookmarkEnd w:id="314"/>
      <w:bookmarkStart w:id="319" w:name="_Toc74151086"/>
      <w:r>
        <w:rPr>
          <w:rFonts w:hint="default" w:ascii="方正黑体_GBK" w:hAnsi="方正黑体_GBK" w:eastAsia="方正黑体_GBK" w:cs="方正黑体_GBK"/>
          <w:b w:val="0"/>
          <w:bCs w:val="0"/>
        </w:rPr>
        <w:t xml:space="preserve">  装备保障</w:t>
      </w:r>
      <w:bookmarkEnd w:id="315"/>
      <w:bookmarkEnd w:id="316"/>
      <w:bookmarkEnd w:id="317"/>
      <w:bookmarkEnd w:id="318"/>
      <w:bookmarkEnd w:id="319"/>
    </w:p>
    <w:p>
      <w:pPr>
        <w:snapToGrid w:val="0"/>
        <w:spacing w:line="276" w:lineRule="auto"/>
        <w:ind w:firstLine="0"/>
        <w:rPr>
          <w:rFonts w:hint="eastAsia" w:ascii="方正仿宋_GBK" w:hAnsi="方正仿宋_GBK" w:cs="方正仿宋_GBK"/>
          <w:b w:val="0"/>
          <w:bCs w:val="0"/>
        </w:rPr>
      </w:pPr>
    </w:p>
    <w:p>
      <w:pPr>
        <w:snapToGrid w:val="0"/>
        <w:spacing w:line="276" w:lineRule="auto"/>
        <w:ind w:firstLine="0"/>
        <w:rPr>
          <w:rFonts w:hint="eastAsia" w:ascii="方正仿宋_GBK" w:hAnsi="方正仿宋_GBK" w:cs="方正仿宋_GBK"/>
          <w:b w:val="0"/>
          <w:bCs w:val="0"/>
        </w:rPr>
      </w:pPr>
      <w:r>
        <w:rPr>
          <w:rFonts w:hint="eastAsia" w:ascii="方正仿宋_GBK" w:hAnsi="方正仿宋_GBK" w:cs="方正仿宋_GBK"/>
          <w:b w:val="0"/>
          <w:bCs w:val="0"/>
        </w:rPr>
        <w:t>推进城市管理执法装备配备设施建设，构建城市管理执法智慧调度智能平台体系。全面统计调查执法装备、各类设施使用情况和报废年限，科学预测装备、设施存量和增量。综合考虑全区城市管理综合行政执法机构的工作职责、人员编制、执法装备和设施总量，合理确定市政公用、市容环卫、城市供水、园林绿化、行政执法、安全监管、应急救援等领域装备配备，加大先进技术应用和先进适用装备配备力度，制定城市管理装备配备标准、装备和设施建设管理办法，制定年度实施计划。</w:t>
      </w:r>
    </w:p>
    <w:p>
      <w:pPr>
        <w:snapToGrid w:val="0"/>
        <w:spacing w:line="276" w:lineRule="auto"/>
        <w:ind w:firstLine="0"/>
        <w:rPr>
          <w:rFonts w:hint="eastAsia" w:ascii="方正仿宋_GBK" w:hAnsi="方正仿宋_GBK" w:cs="方正仿宋_GBK"/>
          <w:b w:val="0"/>
          <w:bCs w:val="0"/>
        </w:rPr>
      </w:pPr>
    </w:p>
    <w:p>
      <w:pPr>
        <w:snapToGrid w:val="0"/>
        <w:spacing w:before="0" w:after="0" w:line="276" w:lineRule="auto"/>
        <w:ind w:firstLine="0" w:firstLineChars="0"/>
        <w:jc w:val="center"/>
        <w:rPr>
          <w:rFonts w:ascii="方正黑体_GBK" w:hAnsi="方正黑体_GBK" w:eastAsia="方正黑体_GBK" w:cs="方正黑体_GBK"/>
          <w:b w:val="0"/>
          <w:bCs w:val="0"/>
        </w:rPr>
      </w:pPr>
      <w:bookmarkStart w:id="320" w:name="_Toc74151087"/>
      <w:bookmarkStart w:id="321" w:name="_Toc25271"/>
      <w:bookmarkStart w:id="322" w:name="_Toc23861"/>
      <w:bookmarkStart w:id="323" w:name="_Toc475480459_WPSOffice_Level2"/>
      <w:bookmarkStart w:id="324" w:name="_Toc1526199025_WPSOffice_Level2"/>
      <w:r>
        <w:rPr>
          <w:rFonts w:hint="default" w:ascii="方正黑体_GBK" w:hAnsi="方正黑体_GBK" w:eastAsia="方正黑体_GBK" w:cs="方正黑体_GBK"/>
          <w:b w:val="0"/>
          <w:bCs w:val="0"/>
        </w:rPr>
        <w:t>第三节  资金保障</w:t>
      </w:r>
      <w:bookmarkEnd w:id="320"/>
      <w:bookmarkEnd w:id="321"/>
      <w:bookmarkEnd w:id="322"/>
      <w:bookmarkEnd w:id="323"/>
      <w:bookmarkEnd w:id="324"/>
    </w:p>
    <w:p>
      <w:pPr>
        <w:snapToGrid w:val="0"/>
        <w:spacing w:line="276" w:lineRule="auto"/>
        <w:ind w:firstLine="0"/>
        <w:rPr>
          <w:rFonts w:hint="eastAsia" w:ascii="方正仿宋_GBK" w:hAnsi="方正仿宋_GBK" w:cs="方正仿宋_GBK"/>
          <w:b w:val="0"/>
          <w:bCs w:val="0"/>
        </w:rPr>
      </w:pPr>
    </w:p>
    <w:p>
      <w:pPr>
        <w:snapToGrid w:val="0"/>
        <w:spacing w:line="276" w:lineRule="auto"/>
        <w:ind w:firstLine="0"/>
        <w:rPr>
          <w:rFonts w:hint="eastAsia" w:ascii="方正仿宋_GBK" w:hAnsi="方正仿宋_GBK" w:cs="方正仿宋_GBK"/>
          <w:b w:val="0"/>
          <w:bCs w:val="0"/>
        </w:rPr>
      </w:pPr>
      <w:r>
        <w:rPr>
          <w:rFonts w:hint="eastAsia" w:ascii="方正仿宋_GBK" w:hAnsi="方正仿宋_GBK" w:cs="方正仿宋_GBK"/>
          <w:b w:val="0"/>
          <w:bCs w:val="0"/>
        </w:rPr>
        <w:t>有效保障必要的城市维护管理经费。按照事权和支出责任相适应原则，健全责任明确、分类负担、收支脱钩、财政保障的城市管理经费保障机制，实现政府资产与预算管理有机结合。争取财政资金对城市管理工作的支持力度，坚持重大项目有保障、经费使用有效果。确保城市管理经费专款专用、及时核拨，做好城市管理资金使用的综合评价和绩效考核，最大限度地发挥经费的使用效益，保障城市管理发展目标和各项重点任务顺利完成。</w:t>
      </w:r>
    </w:p>
    <w:p>
      <w:pPr>
        <w:snapToGrid w:val="0"/>
        <w:spacing w:line="276" w:lineRule="auto"/>
        <w:ind w:firstLine="0"/>
        <w:rPr>
          <w:b w:val="0"/>
          <w:bCs w:val="0"/>
          <w:sz w:val="32"/>
          <w:szCs w:val="32"/>
        </w:rPr>
      </w:pPr>
      <w:r>
        <w:rPr>
          <w:rFonts w:hint="eastAsia" w:ascii="方正仿宋_GBK" w:hAnsi="方正仿宋_GBK" w:cs="方正仿宋_GBK"/>
          <w:b w:val="0"/>
          <w:bCs w:val="0"/>
        </w:rPr>
        <w:t>强化政策扶持，统筹使用有关资金，大力创新投融资方式，多用善用市场化的办法拓宽融资渠道，鼓励社会资本、民营资金参与城市管理领域项目，多渠道筹措建设资金，积极稳妥引入PPP等多种模式推进建设，不断提高政策支持的效率和效益。</w:t>
      </w:r>
      <w:bookmarkStart w:id="325" w:name="_Toc72507073"/>
    </w:p>
    <w:p>
      <w:pPr>
        <w:snapToGrid w:val="0"/>
        <w:spacing w:line="276" w:lineRule="auto"/>
        <w:ind w:firstLine="0"/>
        <w:rPr>
          <w:b w:val="0"/>
          <w:bCs w:val="0"/>
          <w:sz w:val="32"/>
          <w:szCs w:val="32"/>
        </w:rPr>
      </w:pPr>
    </w:p>
    <w:p>
      <w:pPr>
        <w:snapToGrid w:val="0"/>
        <w:spacing w:before="0" w:after="0" w:line="276" w:lineRule="auto"/>
        <w:ind w:left="1920" w:leftChars="200" w:hanging="1280" w:hangingChars="400"/>
        <w:jc w:val="both"/>
        <w:rPr>
          <w:rFonts w:hint="eastAsia"/>
          <w:b w:val="0"/>
          <w:bCs w:val="0"/>
          <w:sz w:val="32"/>
          <w:szCs w:val="32"/>
        </w:rPr>
      </w:pPr>
      <w:bookmarkStart w:id="326" w:name="_Toc1002152193_WPSOffice_Level1"/>
      <w:bookmarkStart w:id="327" w:name="_Toc2075126958_WPSOffice_Level1"/>
      <w:bookmarkStart w:id="328" w:name="_Toc31354"/>
      <w:bookmarkStart w:id="329" w:name="_Toc25702"/>
      <w:r>
        <w:rPr>
          <w:rFonts w:hint="eastAsia"/>
          <w:b w:val="0"/>
          <w:bCs w:val="0"/>
          <w:sz w:val="32"/>
          <w:szCs w:val="32"/>
        </w:rPr>
        <w:t>附件：1.永川区城市管理行业发展“十四五”规划重点项目及任务分工一览表</w:t>
      </w:r>
      <w:bookmarkEnd w:id="326"/>
      <w:bookmarkEnd w:id="327"/>
      <w:bookmarkEnd w:id="328"/>
      <w:bookmarkStart w:id="330" w:name="_Toc32142"/>
    </w:p>
    <w:p>
      <w:pPr>
        <w:snapToGrid w:val="0"/>
        <w:spacing w:line="276" w:lineRule="auto"/>
        <w:ind w:left="1920" w:leftChars="500" w:hanging="320" w:hangingChars="100"/>
        <w:jc w:val="both"/>
        <w:rPr>
          <w:b w:val="0"/>
          <w:bCs w:val="0"/>
        </w:rPr>
      </w:pPr>
      <w:bookmarkStart w:id="331" w:name="_Toc905812409_WPSOffice_Level1"/>
      <w:bookmarkStart w:id="332" w:name="_Toc1910868405_WPSOffice_Level1"/>
      <w:r>
        <w:rPr>
          <w:rFonts w:hint="eastAsia"/>
          <w:b w:val="0"/>
          <w:bCs w:val="0"/>
          <w:sz w:val="32"/>
          <w:szCs w:val="32"/>
        </w:rPr>
        <w:t>2.永川区城市管理行业发展“十四五”规划重点项目图件</w:t>
      </w:r>
      <w:bookmarkEnd w:id="330"/>
      <w:bookmarkEnd w:id="331"/>
      <w:bookmarkEnd w:id="332"/>
    </w:p>
    <w:p>
      <w:pPr>
        <w:ind w:firstLine="0" w:firstLineChars="0"/>
        <w:rPr>
          <w:rFonts w:hint="eastAsia" w:ascii="方正黑体_GBK" w:hAnsi="方正黑体_GBK" w:eastAsia="方正黑体_GBK" w:cs="方正黑体_GBK"/>
          <w:b w:val="0"/>
          <w:bCs w:val="0"/>
        </w:rPr>
        <w:sectPr>
          <w:headerReference r:id="rId11" w:type="default"/>
          <w:footerReference r:id="rId12" w:type="default"/>
          <w:pgSz w:w="11906" w:h="16838"/>
          <w:pgMar w:top="2154" w:right="1474" w:bottom="2041" w:left="1587" w:header="851" w:footer="1474" w:gutter="0"/>
          <w:pgNumType w:fmt="numberInDash"/>
          <w:cols w:space="720" w:num="1"/>
          <w:rtlGutter w:val="0"/>
          <w:docGrid w:linePitch="408" w:charSpace="0"/>
        </w:sectPr>
      </w:pPr>
    </w:p>
    <w:p>
      <w:pPr>
        <w:ind w:firstLine="0" w:firstLineChars="0"/>
        <w:rPr>
          <w:rFonts w:hint="eastAsia" w:ascii="方正黑体_GBK" w:hAnsi="方正黑体_GBK" w:eastAsia="方正黑体_GBK" w:cs="方正黑体_GBK"/>
          <w:b w:val="0"/>
          <w:bCs w:val="0"/>
        </w:rPr>
      </w:pPr>
      <w:bookmarkStart w:id="333" w:name="_Toc1944578636_WPSOffice_Level1"/>
      <w:bookmarkStart w:id="334" w:name="_Toc1592822158_WPSOffice_Level1"/>
      <w:r>
        <w:rPr>
          <w:rFonts w:hint="eastAsia" w:ascii="方正黑体_GBK" w:hAnsi="方正黑体_GBK" w:eastAsia="方正黑体_GBK" w:cs="方正黑体_GBK"/>
          <w:b w:val="0"/>
          <w:bCs w:val="0"/>
        </w:rPr>
        <w:t>附件1</w:t>
      </w:r>
    </w:p>
    <w:p>
      <w:pPr>
        <w:ind w:firstLine="0" w:firstLineChars="0"/>
        <w:jc w:val="center"/>
        <w:rPr>
          <w:rFonts w:hint="eastAsia" w:ascii="方正小标宋_GBK" w:hAnsi="方正小标宋_GBK" w:eastAsia="方正小标宋_GBK" w:cs="方正小标宋_GBK"/>
          <w:b w:val="0"/>
          <w:bCs w:val="0"/>
          <w:sz w:val="36"/>
          <w:szCs w:val="36"/>
        </w:rPr>
      </w:pPr>
      <w:r>
        <w:rPr>
          <w:rFonts w:hint="eastAsia" w:ascii="方正小标宋_GBK" w:hAnsi="方正小标宋_GBK" w:eastAsia="方正小标宋_GBK" w:cs="方正小标宋_GBK"/>
          <w:b w:val="0"/>
          <w:bCs w:val="0"/>
          <w:sz w:val="36"/>
          <w:szCs w:val="36"/>
        </w:rPr>
        <w:t>永川区城市管理行业发展“十四五”规划重点项目</w:t>
      </w:r>
      <w:bookmarkEnd w:id="333"/>
      <w:bookmarkEnd w:id="334"/>
    </w:p>
    <w:p>
      <w:pPr>
        <w:ind w:firstLine="0" w:firstLineChars="0"/>
        <w:jc w:val="center"/>
        <w:rPr>
          <w:rFonts w:hint="eastAsia" w:ascii="方正小标宋_GBK" w:hAnsi="方正小标宋_GBK" w:eastAsia="方正小标宋_GBK" w:cs="方正小标宋_GBK"/>
          <w:b w:val="0"/>
          <w:bCs w:val="0"/>
          <w:sz w:val="36"/>
          <w:szCs w:val="36"/>
        </w:rPr>
      </w:pPr>
      <w:r>
        <w:rPr>
          <w:rFonts w:hint="eastAsia" w:ascii="方正小标宋_GBK" w:hAnsi="方正小标宋_GBK" w:eastAsia="方正小标宋_GBK" w:cs="方正小标宋_GBK"/>
          <w:b w:val="0"/>
          <w:bCs w:val="0"/>
          <w:sz w:val="36"/>
          <w:szCs w:val="36"/>
        </w:rPr>
        <w:t>及任务分工一览表</w:t>
      </w:r>
      <w:bookmarkEnd w:id="325"/>
      <w:bookmarkEnd w:id="329"/>
    </w:p>
    <w:tbl>
      <w:tblPr>
        <w:tblStyle w:val="19"/>
        <w:tblW w:w="504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8"/>
        <w:gridCol w:w="675"/>
        <w:gridCol w:w="1016"/>
        <w:gridCol w:w="1300"/>
        <w:gridCol w:w="1084"/>
        <w:gridCol w:w="833"/>
        <w:gridCol w:w="750"/>
        <w:gridCol w:w="1272"/>
        <w:gridCol w:w="15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tblHeader/>
          <w:jc w:val="center"/>
        </w:trPr>
        <w:tc>
          <w:tcPr>
            <w:tcW w:w="376" w:type="pct"/>
            <w:vMerge w:val="restart"/>
            <w:noWrap w:val="0"/>
            <w:vAlign w:val="center"/>
          </w:tcPr>
          <w:p>
            <w:pPr>
              <w:pStyle w:val="7"/>
              <w:snapToGrid w:val="0"/>
              <w:spacing w:line="240" w:lineRule="auto"/>
              <w:ind w:firstLine="0" w:firstLineChars="0"/>
              <w:jc w:val="center"/>
              <w:rPr>
                <w:rFonts w:ascii="方正仿宋_GBK" w:hAnsi="方正仿宋_GBK" w:eastAsia="方正仿宋_GBK" w:cs="方正仿宋_GBK"/>
                <w:b w:val="0"/>
                <w:bCs w:val="0"/>
                <w:kern w:val="0"/>
              </w:rPr>
            </w:pPr>
            <w:bookmarkStart w:id="335" w:name="_Hlk81398540"/>
            <w:r>
              <w:rPr>
                <w:rFonts w:hint="eastAsia" w:ascii="方正仿宋_GBK" w:hAnsi="方正仿宋_GBK" w:eastAsia="方正仿宋_GBK" w:cs="方正仿宋_GBK"/>
                <w:b w:val="0"/>
                <w:bCs w:val="0"/>
                <w:kern w:val="0"/>
              </w:rPr>
              <w:t>项目</w:t>
            </w:r>
          </w:p>
          <w:p>
            <w:pPr>
              <w:pStyle w:val="7"/>
              <w:snapToGrid w:val="0"/>
              <w:spacing w:line="240" w:lineRule="auto"/>
              <w:ind w:firstLine="0" w:firstLineChars="0"/>
              <w:jc w:val="center"/>
              <w:rPr>
                <w:rFonts w:ascii="方正仿宋_GBK" w:hAnsi="方正仿宋_GBK" w:eastAsia="方正仿宋_GBK" w:cs="方正仿宋_GBK"/>
                <w:b w:val="0"/>
                <w:bCs w:val="0"/>
                <w:kern w:val="0"/>
              </w:rPr>
            </w:pPr>
            <w:r>
              <w:rPr>
                <w:rFonts w:hint="eastAsia" w:ascii="方正仿宋_GBK" w:hAnsi="方正仿宋_GBK" w:eastAsia="方正仿宋_GBK" w:cs="方正仿宋_GBK"/>
                <w:b w:val="0"/>
                <w:bCs w:val="0"/>
                <w:kern w:val="0"/>
              </w:rPr>
              <w:t>类型</w:t>
            </w:r>
          </w:p>
        </w:tc>
        <w:tc>
          <w:tcPr>
            <w:tcW w:w="369" w:type="pct"/>
            <w:vMerge w:val="restart"/>
            <w:noWrap w:val="0"/>
            <w:vAlign w:val="center"/>
          </w:tcPr>
          <w:p>
            <w:pPr>
              <w:pStyle w:val="7"/>
              <w:snapToGrid w:val="0"/>
              <w:spacing w:line="240" w:lineRule="auto"/>
              <w:ind w:firstLine="0" w:firstLineChars="0"/>
              <w:jc w:val="center"/>
              <w:rPr>
                <w:rFonts w:ascii="方正仿宋_GBK" w:hAnsi="方正仿宋_GBK" w:eastAsia="方正仿宋_GBK" w:cs="方正仿宋_GBK"/>
                <w:b w:val="0"/>
                <w:bCs w:val="0"/>
                <w:kern w:val="0"/>
              </w:rPr>
            </w:pPr>
            <w:r>
              <w:rPr>
                <w:rFonts w:hint="eastAsia" w:ascii="方正仿宋_GBK" w:hAnsi="方正仿宋_GBK" w:eastAsia="方正仿宋_GBK" w:cs="方正仿宋_GBK"/>
                <w:b w:val="0"/>
                <w:bCs w:val="0"/>
                <w:kern w:val="0"/>
              </w:rPr>
              <w:t>序号</w:t>
            </w:r>
          </w:p>
        </w:tc>
        <w:tc>
          <w:tcPr>
            <w:tcW w:w="555" w:type="pct"/>
            <w:vMerge w:val="restart"/>
            <w:noWrap w:val="0"/>
            <w:vAlign w:val="center"/>
          </w:tcPr>
          <w:p>
            <w:pPr>
              <w:pStyle w:val="7"/>
              <w:snapToGrid w:val="0"/>
              <w:spacing w:line="240" w:lineRule="auto"/>
              <w:ind w:firstLine="0" w:firstLineChars="0"/>
              <w:jc w:val="center"/>
              <w:rPr>
                <w:rFonts w:hint="eastAsia" w:ascii="方正仿宋_GBK" w:hAnsi="方正仿宋_GBK" w:eastAsia="方正仿宋_GBK" w:cs="方正仿宋_GBK"/>
                <w:b w:val="0"/>
                <w:bCs w:val="0"/>
                <w:kern w:val="0"/>
              </w:rPr>
            </w:pPr>
            <w:r>
              <w:rPr>
                <w:rFonts w:hint="eastAsia" w:ascii="方正仿宋_GBK" w:hAnsi="方正仿宋_GBK" w:eastAsia="方正仿宋_GBK" w:cs="方正仿宋_GBK"/>
                <w:b w:val="0"/>
                <w:bCs w:val="0"/>
                <w:kern w:val="0"/>
              </w:rPr>
              <w:t>项目</w:t>
            </w:r>
          </w:p>
          <w:p>
            <w:pPr>
              <w:pStyle w:val="7"/>
              <w:snapToGrid w:val="0"/>
              <w:spacing w:line="240" w:lineRule="auto"/>
              <w:ind w:firstLine="0" w:firstLineChars="0"/>
              <w:jc w:val="center"/>
              <w:rPr>
                <w:rFonts w:ascii="方正仿宋_GBK" w:hAnsi="方正仿宋_GBK" w:eastAsia="方正仿宋_GBK" w:cs="方正仿宋_GBK"/>
                <w:b w:val="0"/>
                <w:bCs w:val="0"/>
                <w:kern w:val="0"/>
              </w:rPr>
            </w:pPr>
            <w:r>
              <w:rPr>
                <w:rFonts w:hint="eastAsia" w:ascii="方正仿宋_GBK" w:hAnsi="方正仿宋_GBK" w:eastAsia="方正仿宋_GBK" w:cs="方正仿宋_GBK"/>
                <w:b w:val="0"/>
                <w:bCs w:val="0"/>
                <w:kern w:val="0"/>
              </w:rPr>
              <w:t>名称</w:t>
            </w:r>
          </w:p>
        </w:tc>
        <w:tc>
          <w:tcPr>
            <w:tcW w:w="710" w:type="pct"/>
            <w:vMerge w:val="restart"/>
            <w:noWrap w:val="0"/>
            <w:vAlign w:val="center"/>
          </w:tcPr>
          <w:p>
            <w:pPr>
              <w:pStyle w:val="7"/>
              <w:snapToGrid w:val="0"/>
              <w:spacing w:line="240" w:lineRule="auto"/>
              <w:ind w:firstLine="0" w:firstLineChars="0"/>
              <w:jc w:val="center"/>
              <w:rPr>
                <w:rFonts w:ascii="方正仿宋_GBK" w:hAnsi="方正仿宋_GBK" w:eastAsia="方正仿宋_GBK" w:cs="方正仿宋_GBK"/>
                <w:b w:val="0"/>
                <w:bCs w:val="0"/>
                <w:kern w:val="0"/>
              </w:rPr>
            </w:pPr>
            <w:r>
              <w:rPr>
                <w:rFonts w:hint="eastAsia" w:ascii="方正仿宋_GBK" w:hAnsi="方正仿宋_GBK" w:eastAsia="方正仿宋_GBK" w:cs="方正仿宋_GBK"/>
                <w:b w:val="0"/>
                <w:bCs w:val="0"/>
                <w:kern w:val="0"/>
              </w:rPr>
              <w:t>建设内容及规模</w:t>
            </w:r>
          </w:p>
        </w:tc>
        <w:tc>
          <w:tcPr>
            <w:tcW w:w="592" w:type="pct"/>
            <w:vMerge w:val="restart"/>
            <w:noWrap w:val="0"/>
            <w:vAlign w:val="center"/>
          </w:tcPr>
          <w:p>
            <w:pPr>
              <w:pStyle w:val="7"/>
              <w:snapToGrid w:val="0"/>
              <w:spacing w:line="240" w:lineRule="auto"/>
              <w:ind w:firstLine="0" w:firstLineChars="0"/>
              <w:jc w:val="center"/>
              <w:rPr>
                <w:rFonts w:ascii="方正仿宋_GBK" w:hAnsi="方正仿宋_GBK" w:eastAsia="方正仿宋_GBK" w:cs="方正仿宋_GBK"/>
                <w:b w:val="0"/>
                <w:bCs w:val="0"/>
                <w:kern w:val="0"/>
              </w:rPr>
            </w:pPr>
            <w:r>
              <w:rPr>
                <w:rFonts w:hint="eastAsia" w:ascii="方正仿宋_GBK" w:hAnsi="方正仿宋_GBK" w:eastAsia="方正仿宋_GBK" w:cs="方正仿宋_GBK"/>
                <w:b w:val="0"/>
                <w:bCs w:val="0"/>
                <w:kern w:val="0"/>
              </w:rPr>
              <w:t>建设年限</w:t>
            </w:r>
          </w:p>
        </w:tc>
        <w:tc>
          <w:tcPr>
            <w:tcW w:w="865" w:type="pct"/>
            <w:gridSpan w:val="2"/>
            <w:noWrap w:val="0"/>
            <w:vAlign w:val="center"/>
          </w:tcPr>
          <w:p>
            <w:pPr>
              <w:pStyle w:val="7"/>
              <w:snapToGrid w:val="0"/>
              <w:spacing w:line="240" w:lineRule="auto"/>
              <w:ind w:firstLine="0" w:firstLineChars="0"/>
              <w:jc w:val="center"/>
              <w:rPr>
                <w:rFonts w:hint="eastAsia" w:ascii="方正仿宋_GBK" w:hAnsi="方正仿宋_GBK" w:eastAsia="方正仿宋_GBK" w:cs="方正仿宋_GBK"/>
                <w:b w:val="0"/>
                <w:bCs w:val="0"/>
                <w:kern w:val="0"/>
              </w:rPr>
            </w:pPr>
            <w:r>
              <w:rPr>
                <w:rFonts w:hint="eastAsia" w:ascii="方正仿宋_GBK" w:hAnsi="方正仿宋_GBK" w:eastAsia="方正仿宋_GBK" w:cs="方正仿宋_GBK"/>
                <w:b w:val="0"/>
                <w:bCs w:val="0"/>
                <w:kern w:val="0"/>
              </w:rPr>
              <w:t>投资估算</w:t>
            </w:r>
          </w:p>
          <w:p>
            <w:pPr>
              <w:pStyle w:val="7"/>
              <w:snapToGrid w:val="0"/>
              <w:spacing w:line="240" w:lineRule="auto"/>
              <w:ind w:firstLine="0" w:firstLineChars="0"/>
              <w:jc w:val="center"/>
              <w:rPr>
                <w:rFonts w:ascii="方正仿宋_GBK" w:hAnsi="方正仿宋_GBK" w:eastAsia="方正仿宋_GBK" w:cs="方正仿宋_GBK"/>
                <w:b w:val="0"/>
                <w:bCs w:val="0"/>
                <w:kern w:val="0"/>
              </w:rPr>
            </w:pPr>
            <w:r>
              <w:rPr>
                <w:rFonts w:hint="eastAsia" w:ascii="方正仿宋_GBK" w:hAnsi="方正仿宋_GBK" w:eastAsia="方正仿宋_GBK" w:cs="方正仿宋_GBK"/>
                <w:b w:val="0"/>
                <w:bCs w:val="0"/>
                <w:kern w:val="0"/>
              </w:rPr>
              <w:t>（万元）</w:t>
            </w:r>
          </w:p>
        </w:tc>
        <w:tc>
          <w:tcPr>
            <w:tcW w:w="695" w:type="pct"/>
            <w:vMerge w:val="restart"/>
            <w:noWrap w:val="0"/>
            <w:vAlign w:val="center"/>
          </w:tcPr>
          <w:p>
            <w:pPr>
              <w:pStyle w:val="7"/>
              <w:snapToGrid w:val="0"/>
              <w:spacing w:line="240" w:lineRule="auto"/>
              <w:ind w:firstLine="0" w:firstLineChars="0"/>
              <w:jc w:val="center"/>
              <w:rPr>
                <w:rFonts w:ascii="方正仿宋_GBK" w:hAnsi="方正仿宋_GBK" w:eastAsia="方正仿宋_GBK" w:cs="方正仿宋_GBK"/>
                <w:b w:val="0"/>
                <w:bCs w:val="0"/>
                <w:kern w:val="0"/>
              </w:rPr>
            </w:pPr>
            <w:r>
              <w:rPr>
                <w:rFonts w:hint="eastAsia" w:ascii="方正仿宋_GBK" w:hAnsi="方正仿宋_GBK" w:eastAsia="方正仿宋_GBK" w:cs="方正仿宋_GBK"/>
                <w:b w:val="0"/>
                <w:bCs w:val="0"/>
                <w:kern w:val="0"/>
              </w:rPr>
              <w:t>责任单位</w:t>
            </w:r>
          </w:p>
        </w:tc>
        <w:tc>
          <w:tcPr>
            <w:tcW w:w="835" w:type="pct"/>
            <w:vMerge w:val="restart"/>
            <w:noWrap w:val="0"/>
            <w:vAlign w:val="center"/>
          </w:tcPr>
          <w:p>
            <w:pPr>
              <w:pStyle w:val="7"/>
              <w:snapToGrid w:val="0"/>
              <w:spacing w:line="240" w:lineRule="auto"/>
              <w:ind w:firstLine="0" w:firstLineChars="0"/>
              <w:jc w:val="center"/>
              <w:rPr>
                <w:rFonts w:ascii="方正仿宋_GBK" w:hAnsi="方正仿宋_GBK" w:eastAsia="方正仿宋_GBK" w:cs="方正仿宋_GBK"/>
                <w:b w:val="0"/>
                <w:bCs w:val="0"/>
                <w:kern w:val="0"/>
              </w:rPr>
            </w:pPr>
            <w:r>
              <w:rPr>
                <w:rFonts w:hint="eastAsia" w:ascii="方正仿宋_GBK" w:hAnsi="方正仿宋_GBK" w:eastAsia="方正仿宋_GBK" w:cs="方正仿宋_GBK"/>
                <w:b w:val="0"/>
                <w:bCs w:val="0"/>
                <w:kern w:val="0"/>
              </w:rPr>
              <w:t>配合单位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tblHeader/>
          <w:jc w:val="center"/>
        </w:trPr>
        <w:tc>
          <w:tcPr>
            <w:tcW w:w="376" w:type="pct"/>
            <w:vMerge w:val="continue"/>
            <w:noWrap w:val="0"/>
            <w:vAlign w:val="center"/>
          </w:tcPr>
          <w:p>
            <w:pPr>
              <w:pStyle w:val="7"/>
              <w:snapToGrid w:val="0"/>
              <w:spacing w:line="240" w:lineRule="auto"/>
              <w:ind w:firstLine="0" w:firstLineChars="0"/>
              <w:jc w:val="center"/>
              <w:rPr>
                <w:rFonts w:ascii="方正仿宋_GBK" w:hAnsi="方正仿宋_GBK" w:eastAsia="方正仿宋_GBK" w:cs="方正仿宋_GBK"/>
                <w:b w:val="0"/>
                <w:bCs w:val="0"/>
                <w:kern w:val="0"/>
              </w:rPr>
            </w:pPr>
          </w:p>
        </w:tc>
        <w:tc>
          <w:tcPr>
            <w:tcW w:w="369" w:type="pct"/>
            <w:vMerge w:val="continue"/>
            <w:noWrap w:val="0"/>
            <w:vAlign w:val="center"/>
          </w:tcPr>
          <w:p>
            <w:pPr>
              <w:pStyle w:val="7"/>
              <w:snapToGrid w:val="0"/>
              <w:spacing w:line="240" w:lineRule="auto"/>
              <w:ind w:firstLine="0" w:firstLineChars="0"/>
              <w:jc w:val="center"/>
              <w:rPr>
                <w:rFonts w:ascii="方正仿宋_GBK" w:hAnsi="方正仿宋_GBK" w:eastAsia="方正仿宋_GBK" w:cs="方正仿宋_GBK"/>
                <w:b w:val="0"/>
                <w:bCs w:val="0"/>
                <w:kern w:val="0"/>
              </w:rPr>
            </w:pPr>
          </w:p>
        </w:tc>
        <w:tc>
          <w:tcPr>
            <w:tcW w:w="555" w:type="pct"/>
            <w:vMerge w:val="continue"/>
            <w:noWrap w:val="0"/>
            <w:vAlign w:val="center"/>
          </w:tcPr>
          <w:p>
            <w:pPr>
              <w:pStyle w:val="7"/>
              <w:snapToGrid w:val="0"/>
              <w:spacing w:line="240" w:lineRule="auto"/>
              <w:ind w:firstLine="0" w:firstLineChars="0"/>
              <w:jc w:val="center"/>
              <w:rPr>
                <w:rFonts w:ascii="方正仿宋_GBK" w:hAnsi="方正仿宋_GBK" w:eastAsia="方正仿宋_GBK" w:cs="方正仿宋_GBK"/>
                <w:b w:val="0"/>
                <w:bCs w:val="0"/>
                <w:kern w:val="0"/>
              </w:rPr>
            </w:pPr>
          </w:p>
        </w:tc>
        <w:tc>
          <w:tcPr>
            <w:tcW w:w="710" w:type="pct"/>
            <w:vMerge w:val="continue"/>
            <w:noWrap w:val="0"/>
            <w:vAlign w:val="center"/>
          </w:tcPr>
          <w:p>
            <w:pPr>
              <w:pStyle w:val="7"/>
              <w:snapToGrid w:val="0"/>
              <w:spacing w:line="240" w:lineRule="auto"/>
              <w:ind w:firstLine="0" w:firstLineChars="0"/>
              <w:jc w:val="center"/>
              <w:rPr>
                <w:rFonts w:ascii="方正仿宋_GBK" w:hAnsi="方正仿宋_GBK" w:eastAsia="方正仿宋_GBK" w:cs="方正仿宋_GBK"/>
                <w:b w:val="0"/>
                <w:bCs w:val="0"/>
                <w:kern w:val="0"/>
              </w:rPr>
            </w:pPr>
          </w:p>
        </w:tc>
        <w:tc>
          <w:tcPr>
            <w:tcW w:w="592" w:type="pct"/>
            <w:vMerge w:val="continue"/>
            <w:noWrap w:val="0"/>
            <w:vAlign w:val="center"/>
          </w:tcPr>
          <w:p>
            <w:pPr>
              <w:pStyle w:val="7"/>
              <w:snapToGrid w:val="0"/>
              <w:spacing w:line="240" w:lineRule="auto"/>
              <w:ind w:firstLine="0" w:firstLineChars="0"/>
              <w:jc w:val="center"/>
              <w:rPr>
                <w:rFonts w:ascii="方正仿宋_GBK" w:hAnsi="方正仿宋_GBK" w:eastAsia="方正仿宋_GBK" w:cs="方正仿宋_GBK"/>
                <w:b w:val="0"/>
                <w:bCs w:val="0"/>
                <w:kern w:val="0"/>
              </w:rPr>
            </w:pPr>
          </w:p>
        </w:tc>
        <w:tc>
          <w:tcPr>
            <w:tcW w:w="455" w:type="pct"/>
            <w:noWrap w:val="0"/>
            <w:vAlign w:val="center"/>
          </w:tcPr>
          <w:p>
            <w:pPr>
              <w:pStyle w:val="7"/>
              <w:snapToGrid w:val="0"/>
              <w:spacing w:line="240" w:lineRule="auto"/>
              <w:ind w:firstLine="0" w:firstLineChars="0"/>
              <w:jc w:val="center"/>
              <w:rPr>
                <w:rFonts w:ascii="方正仿宋_GBK" w:hAnsi="方正仿宋_GBK" w:eastAsia="方正仿宋_GBK" w:cs="方正仿宋_GBK"/>
                <w:b w:val="0"/>
                <w:bCs w:val="0"/>
                <w:kern w:val="0"/>
              </w:rPr>
            </w:pPr>
            <w:r>
              <w:rPr>
                <w:rFonts w:hint="eastAsia" w:ascii="方正仿宋_GBK" w:hAnsi="方正仿宋_GBK" w:eastAsia="方正仿宋_GBK" w:cs="方正仿宋_GBK"/>
                <w:b w:val="0"/>
                <w:bCs w:val="0"/>
                <w:kern w:val="0"/>
              </w:rPr>
              <w:t>财政资金</w:t>
            </w:r>
          </w:p>
        </w:tc>
        <w:tc>
          <w:tcPr>
            <w:tcW w:w="410" w:type="pct"/>
            <w:noWrap w:val="0"/>
            <w:vAlign w:val="center"/>
          </w:tcPr>
          <w:p>
            <w:pPr>
              <w:pStyle w:val="7"/>
              <w:snapToGrid w:val="0"/>
              <w:spacing w:line="240" w:lineRule="auto"/>
              <w:ind w:firstLine="0" w:firstLineChars="0"/>
              <w:jc w:val="center"/>
              <w:rPr>
                <w:rFonts w:ascii="方正仿宋_GBK" w:hAnsi="方正仿宋_GBK" w:eastAsia="方正仿宋_GBK" w:cs="方正仿宋_GBK"/>
                <w:b w:val="0"/>
                <w:bCs w:val="0"/>
                <w:kern w:val="0"/>
              </w:rPr>
            </w:pPr>
            <w:r>
              <w:rPr>
                <w:rFonts w:hint="eastAsia" w:ascii="方正仿宋_GBK" w:hAnsi="方正仿宋_GBK" w:eastAsia="方正仿宋_GBK" w:cs="方正仿宋_GBK"/>
                <w:b w:val="0"/>
                <w:bCs w:val="0"/>
                <w:kern w:val="0"/>
              </w:rPr>
              <w:t>社会资金</w:t>
            </w:r>
          </w:p>
        </w:tc>
        <w:tc>
          <w:tcPr>
            <w:tcW w:w="695" w:type="pct"/>
            <w:vMerge w:val="continue"/>
            <w:noWrap w:val="0"/>
            <w:vAlign w:val="center"/>
          </w:tcPr>
          <w:p>
            <w:pPr>
              <w:pStyle w:val="7"/>
              <w:snapToGrid w:val="0"/>
              <w:spacing w:line="240" w:lineRule="auto"/>
              <w:ind w:firstLine="0" w:firstLineChars="0"/>
              <w:jc w:val="center"/>
              <w:rPr>
                <w:rFonts w:ascii="方正仿宋_GBK" w:hAnsi="方正仿宋_GBK" w:eastAsia="方正仿宋_GBK" w:cs="方正仿宋_GBK"/>
                <w:b w:val="0"/>
                <w:bCs w:val="0"/>
                <w:kern w:val="0"/>
              </w:rPr>
            </w:pPr>
          </w:p>
        </w:tc>
        <w:tc>
          <w:tcPr>
            <w:tcW w:w="835" w:type="pct"/>
            <w:vMerge w:val="continue"/>
            <w:noWrap w:val="0"/>
            <w:vAlign w:val="center"/>
          </w:tcPr>
          <w:p>
            <w:pPr>
              <w:pStyle w:val="7"/>
              <w:snapToGrid w:val="0"/>
              <w:spacing w:line="240" w:lineRule="auto"/>
              <w:ind w:firstLine="0" w:firstLineChars="0"/>
              <w:jc w:val="center"/>
              <w:rPr>
                <w:rFonts w:ascii="方正仿宋_GBK" w:hAnsi="方正仿宋_GBK" w:eastAsia="方正仿宋_GBK" w:cs="方正仿宋_GBK"/>
                <w:b w:val="0"/>
                <w:bCs w:val="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6" w:type="pct"/>
            <w:vMerge w:val="restar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市政</w:t>
            </w:r>
          </w:p>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设施</w:t>
            </w:r>
          </w:p>
        </w:tc>
        <w:tc>
          <w:tcPr>
            <w:tcW w:w="369" w:type="pct"/>
            <w:vMerge w:val="restart"/>
            <w:noWrap/>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1</w:t>
            </w:r>
          </w:p>
        </w:tc>
        <w:tc>
          <w:tcPr>
            <w:tcW w:w="555" w:type="pct"/>
            <w:vMerge w:val="restar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spacing w:val="-6"/>
                <w:kern w:val="0"/>
              </w:rPr>
            </w:pPr>
            <w:r>
              <w:rPr>
                <w:rFonts w:ascii="Times New Roman" w:hAnsi="Times New Roman" w:eastAsia="方正仿宋_GBK" w:cs="Times New Roman"/>
                <w:b w:val="0"/>
                <w:bCs w:val="0"/>
                <w:spacing w:val="-6"/>
                <w:kern w:val="0"/>
              </w:rPr>
              <w:t>水厂工程</w:t>
            </w:r>
          </w:p>
        </w:tc>
        <w:tc>
          <w:tcPr>
            <w:tcW w:w="710"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第四水厂新建工程</w:t>
            </w:r>
          </w:p>
        </w:tc>
        <w:tc>
          <w:tcPr>
            <w:tcW w:w="592"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spacing w:val="-11"/>
                <w:kern w:val="0"/>
              </w:rPr>
            </w:pPr>
            <w:r>
              <w:rPr>
                <w:rFonts w:ascii="Times New Roman" w:hAnsi="Times New Roman" w:eastAsia="方正仿宋_GBK" w:cs="Times New Roman"/>
                <w:b w:val="0"/>
                <w:bCs w:val="0"/>
                <w:spacing w:val="-11"/>
                <w:kern w:val="0"/>
              </w:rPr>
              <w:t>2023-2025</w:t>
            </w:r>
          </w:p>
        </w:tc>
        <w:tc>
          <w:tcPr>
            <w:tcW w:w="455"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w:t>
            </w:r>
          </w:p>
        </w:tc>
        <w:tc>
          <w:tcPr>
            <w:tcW w:w="410"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80000</w:t>
            </w:r>
          </w:p>
        </w:tc>
        <w:tc>
          <w:tcPr>
            <w:tcW w:w="695"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区城市管理局、大安街道办事处</w:t>
            </w:r>
          </w:p>
        </w:tc>
        <w:tc>
          <w:tcPr>
            <w:tcW w:w="835" w:type="pct"/>
            <w:vMerge w:val="restar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区新城建管委、区规划自然资源局、</w:t>
            </w:r>
            <w:r>
              <w:rPr>
                <w:b w:val="0"/>
                <w:bCs w:val="0"/>
              </w:rPr>
              <w:fldChar w:fldCharType="begin"/>
            </w:r>
            <w:r>
              <w:rPr>
                <w:b w:val="0"/>
                <w:bCs w:val="0"/>
              </w:rPr>
              <w:instrText xml:space="preserve"> HYPERLINK "http://www.cqyc.gov.cn/zwgk_204/zfxxgk/zfxxgkzn/qzfbm_204/qzfcxjw/index2.html" \t "_blank" </w:instrText>
            </w:r>
            <w:r>
              <w:rPr>
                <w:b w:val="0"/>
                <w:bCs w:val="0"/>
              </w:rPr>
              <w:fldChar w:fldCharType="separate"/>
            </w:r>
            <w:r>
              <w:rPr>
                <w:rFonts w:ascii="Times New Roman" w:hAnsi="Times New Roman" w:eastAsia="方正仿宋_GBK" w:cs="Times New Roman"/>
                <w:b w:val="0"/>
                <w:bCs w:val="0"/>
                <w:kern w:val="0"/>
              </w:rPr>
              <w:t>区住房城乡建委</w:t>
            </w:r>
            <w:r>
              <w:rPr>
                <w:rFonts w:ascii="Times New Roman" w:hAnsi="Times New Roman" w:eastAsia="方正仿宋_GBK" w:cs="Times New Roman"/>
                <w:b w:val="0"/>
                <w:bCs w:val="0"/>
                <w:kern w:val="0"/>
              </w:rPr>
              <w:fldChar w:fldCharType="end"/>
            </w:r>
            <w:r>
              <w:rPr>
                <w:rFonts w:ascii="Times New Roman" w:hAnsi="Times New Roman" w:eastAsia="方正仿宋_GBK" w:cs="Times New Roman"/>
                <w:b w:val="0"/>
                <w:bCs w:val="0"/>
                <w:kern w:val="0"/>
              </w:rPr>
              <w:t>、区水利局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6"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369" w:type="pct"/>
            <w:vMerge w:val="continue"/>
            <w:noWrap/>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555"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spacing w:val="-6"/>
                <w:kern w:val="0"/>
              </w:rPr>
            </w:pPr>
          </w:p>
        </w:tc>
        <w:tc>
          <w:tcPr>
            <w:tcW w:w="710"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第三水厂扩建改造工程</w:t>
            </w:r>
          </w:p>
        </w:tc>
        <w:tc>
          <w:tcPr>
            <w:tcW w:w="592"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spacing w:val="-11"/>
                <w:kern w:val="0"/>
              </w:rPr>
            </w:pPr>
            <w:r>
              <w:rPr>
                <w:rFonts w:ascii="Times New Roman" w:hAnsi="Times New Roman" w:eastAsia="方正仿宋_GBK" w:cs="Times New Roman"/>
                <w:b w:val="0"/>
                <w:bCs w:val="0"/>
                <w:spacing w:val="-11"/>
                <w:kern w:val="0"/>
              </w:rPr>
              <w:t>2024-2025</w:t>
            </w:r>
          </w:p>
        </w:tc>
        <w:tc>
          <w:tcPr>
            <w:tcW w:w="455"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w:t>
            </w:r>
          </w:p>
        </w:tc>
        <w:tc>
          <w:tcPr>
            <w:tcW w:w="410"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17300</w:t>
            </w:r>
          </w:p>
        </w:tc>
        <w:tc>
          <w:tcPr>
            <w:tcW w:w="695"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区城市管理局、南大街街道办事处</w:t>
            </w:r>
          </w:p>
        </w:tc>
        <w:tc>
          <w:tcPr>
            <w:tcW w:w="835"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6"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369" w:type="pct"/>
            <w:vMerge w:val="continue"/>
            <w:noWrap/>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555"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spacing w:val="-6"/>
                <w:kern w:val="0"/>
              </w:rPr>
            </w:pPr>
          </w:p>
        </w:tc>
        <w:tc>
          <w:tcPr>
            <w:tcW w:w="710"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第二水厂扩建改造工程</w:t>
            </w:r>
          </w:p>
        </w:tc>
        <w:tc>
          <w:tcPr>
            <w:tcW w:w="592"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spacing w:val="-11"/>
                <w:kern w:val="0"/>
              </w:rPr>
            </w:pPr>
            <w:r>
              <w:rPr>
                <w:rFonts w:ascii="Times New Roman" w:hAnsi="Times New Roman" w:eastAsia="方正仿宋_GBK" w:cs="Times New Roman"/>
                <w:b w:val="0"/>
                <w:bCs w:val="0"/>
                <w:spacing w:val="-11"/>
                <w:kern w:val="0"/>
              </w:rPr>
              <w:t>2021-2022</w:t>
            </w:r>
          </w:p>
        </w:tc>
        <w:tc>
          <w:tcPr>
            <w:tcW w:w="455"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w:t>
            </w:r>
          </w:p>
        </w:tc>
        <w:tc>
          <w:tcPr>
            <w:tcW w:w="410"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5500</w:t>
            </w:r>
          </w:p>
        </w:tc>
        <w:tc>
          <w:tcPr>
            <w:tcW w:w="695"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spacing w:val="-17"/>
                <w:kern w:val="0"/>
              </w:rPr>
            </w:pPr>
            <w:r>
              <w:rPr>
                <w:rFonts w:ascii="Times New Roman" w:hAnsi="Times New Roman" w:eastAsia="方正仿宋_GBK" w:cs="Times New Roman"/>
                <w:b w:val="0"/>
                <w:bCs w:val="0"/>
                <w:spacing w:val="-17"/>
                <w:kern w:val="0"/>
              </w:rPr>
              <w:t>区城市管理局</w:t>
            </w:r>
          </w:p>
        </w:tc>
        <w:tc>
          <w:tcPr>
            <w:tcW w:w="835"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6"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369" w:type="pct"/>
            <w:vMerge w:val="restart"/>
            <w:noWrap/>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2</w:t>
            </w:r>
          </w:p>
        </w:tc>
        <w:tc>
          <w:tcPr>
            <w:tcW w:w="555" w:type="pct"/>
            <w:vMerge w:val="restar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spacing w:val="-6"/>
                <w:kern w:val="0"/>
              </w:rPr>
            </w:pPr>
            <w:r>
              <w:rPr>
                <w:rFonts w:ascii="Times New Roman" w:hAnsi="Times New Roman" w:eastAsia="方正仿宋_GBK" w:cs="Times New Roman"/>
                <w:b w:val="0"/>
                <w:bCs w:val="0"/>
                <w:spacing w:val="-6"/>
                <w:kern w:val="0"/>
              </w:rPr>
              <w:t>输配水系统工程</w:t>
            </w:r>
          </w:p>
        </w:tc>
        <w:tc>
          <w:tcPr>
            <w:tcW w:w="710"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spacing w:val="-11"/>
                <w:kern w:val="0"/>
              </w:rPr>
              <w:t>新建DN200-DN1000给水管网约178千米</w:t>
            </w:r>
          </w:p>
        </w:tc>
        <w:tc>
          <w:tcPr>
            <w:tcW w:w="592"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spacing w:val="-11"/>
                <w:kern w:val="0"/>
              </w:rPr>
            </w:pPr>
            <w:r>
              <w:rPr>
                <w:rFonts w:ascii="Times New Roman" w:hAnsi="Times New Roman" w:eastAsia="方正仿宋_GBK" w:cs="Times New Roman"/>
                <w:b w:val="0"/>
                <w:bCs w:val="0"/>
                <w:spacing w:val="-11"/>
                <w:kern w:val="0"/>
              </w:rPr>
              <w:t>2021-2025</w:t>
            </w:r>
          </w:p>
        </w:tc>
        <w:tc>
          <w:tcPr>
            <w:tcW w:w="455"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w:t>
            </w:r>
          </w:p>
        </w:tc>
        <w:tc>
          <w:tcPr>
            <w:tcW w:w="410"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13257</w:t>
            </w:r>
          </w:p>
        </w:tc>
        <w:tc>
          <w:tcPr>
            <w:tcW w:w="695" w:type="pct"/>
            <w:vMerge w:val="restar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spacing w:val="-17"/>
                <w:kern w:val="0"/>
              </w:rPr>
              <w:t>区城市管理局</w:t>
            </w:r>
          </w:p>
        </w:tc>
        <w:tc>
          <w:tcPr>
            <w:tcW w:w="835" w:type="pct"/>
            <w:vMerge w:val="restar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区新城建管委、</w:t>
            </w:r>
            <w:r>
              <w:rPr>
                <w:b w:val="0"/>
                <w:bCs w:val="0"/>
              </w:rPr>
              <w:fldChar w:fldCharType="begin"/>
            </w:r>
            <w:r>
              <w:rPr>
                <w:b w:val="0"/>
                <w:bCs w:val="0"/>
              </w:rPr>
              <w:instrText xml:space="preserve"> HYPERLINK "http://www.baidu.com/link?url=o2tohIjDtuyJ8h3_vEFf5Tzrr9rJh3oGA-OThNBOIrlM-SUArjpsuKRgkS7gBAse_jwwQw3ErxXR_utnW84IKA2Obwpp1WQZRrwHgdaOaoW" \t "_blank" </w:instrText>
            </w:r>
            <w:r>
              <w:rPr>
                <w:b w:val="0"/>
                <w:bCs w:val="0"/>
              </w:rPr>
              <w:fldChar w:fldCharType="separate"/>
            </w:r>
            <w:r>
              <w:rPr>
                <w:rFonts w:ascii="Times New Roman" w:hAnsi="Times New Roman" w:eastAsia="方正仿宋_GBK" w:cs="Times New Roman"/>
                <w:b w:val="0"/>
                <w:bCs w:val="0"/>
                <w:kern w:val="0"/>
              </w:rPr>
              <w:t>凤凰湖产业促进中心</w:t>
            </w:r>
            <w:r>
              <w:rPr>
                <w:rFonts w:ascii="Times New Roman" w:hAnsi="Times New Roman" w:eastAsia="方正仿宋_GBK" w:cs="Times New Roman"/>
                <w:b w:val="0"/>
                <w:bCs w:val="0"/>
                <w:kern w:val="0"/>
              </w:rPr>
              <w:fldChar w:fldCharType="end"/>
            </w:r>
            <w:r>
              <w:rPr>
                <w:rFonts w:ascii="Times New Roman" w:hAnsi="Times New Roman" w:eastAsia="方正仿宋_GBK" w:cs="Times New Roman"/>
                <w:b w:val="0"/>
                <w:bCs w:val="0"/>
                <w:kern w:val="0"/>
              </w:rPr>
              <w:t>、区规划自然资源局、</w:t>
            </w:r>
            <w:r>
              <w:rPr>
                <w:b w:val="0"/>
                <w:bCs w:val="0"/>
              </w:rPr>
              <w:fldChar w:fldCharType="begin"/>
            </w:r>
            <w:r>
              <w:rPr>
                <w:b w:val="0"/>
                <w:bCs w:val="0"/>
              </w:rPr>
              <w:instrText xml:space="preserve"> HYPERLINK "http://www.cqyc.gov.cn/zwgk_204/zfxxgk/zfxxgkzn/qzfbm_204/qzfcxjw/index2.html" \t "_blank" </w:instrText>
            </w:r>
            <w:r>
              <w:rPr>
                <w:b w:val="0"/>
                <w:bCs w:val="0"/>
              </w:rPr>
              <w:fldChar w:fldCharType="separate"/>
            </w:r>
            <w:r>
              <w:rPr>
                <w:rFonts w:ascii="Times New Roman" w:hAnsi="Times New Roman" w:eastAsia="方正仿宋_GBK" w:cs="Times New Roman"/>
                <w:b w:val="0"/>
                <w:bCs w:val="0"/>
                <w:kern w:val="0"/>
              </w:rPr>
              <w:t>区住房城乡建委</w:t>
            </w:r>
            <w:r>
              <w:rPr>
                <w:rFonts w:ascii="Times New Roman" w:hAnsi="Times New Roman" w:eastAsia="方正仿宋_GBK" w:cs="Times New Roman"/>
                <w:b w:val="0"/>
                <w:bCs w:val="0"/>
                <w:kern w:val="0"/>
              </w:rPr>
              <w:fldChar w:fldCharType="end"/>
            </w:r>
            <w:r>
              <w:rPr>
                <w:rFonts w:ascii="Times New Roman" w:hAnsi="Times New Roman" w:eastAsia="方正仿宋_GBK" w:cs="Times New Roman"/>
                <w:b w:val="0"/>
                <w:bCs w:val="0"/>
                <w:kern w:val="0"/>
              </w:rPr>
              <w:t>、城区各街道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6"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369" w:type="pct"/>
            <w:vMerge w:val="continue"/>
            <w:noWrap/>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555"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spacing w:val="-6"/>
                <w:kern w:val="0"/>
              </w:rPr>
            </w:pPr>
          </w:p>
        </w:tc>
        <w:tc>
          <w:tcPr>
            <w:tcW w:w="710"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改造DN200-DN1000老旧管网总计约17千米</w:t>
            </w:r>
          </w:p>
        </w:tc>
        <w:tc>
          <w:tcPr>
            <w:tcW w:w="592"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spacing w:val="-11"/>
                <w:kern w:val="0"/>
              </w:rPr>
            </w:pPr>
            <w:r>
              <w:rPr>
                <w:rFonts w:ascii="Times New Roman" w:hAnsi="Times New Roman" w:eastAsia="方正仿宋_GBK" w:cs="Times New Roman"/>
                <w:b w:val="0"/>
                <w:bCs w:val="0"/>
                <w:spacing w:val="-11"/>
                <w:kern w:val="0"/>
              </w:rPr>
              <w:t>2021-2025</w:t>
            </w:r>
          </w:p>
        </w:tc>
        <w:tc>
          <w:tcPr>
            <w:tcW w:w="455"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w:t>
            </w:r>
          </w:p>
        </w:tc>
        <w:tc>
          <w:tcPr>
            <w:tcW w:w="410"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1680</w:t>
            </w:r>
          </w:p>
        </w:tc>
        <w:tc>
          <w:tcPr>
            <w:tcW w:w="695"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835"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6"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369" w:type="pct"/>
            <w:vMerge w:val="continue"/>
            <w:noWrap/>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555"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spacing w:val="-6"/>
                <w:kern w:val="0"/>
              </w:rPr>
            </w:pPr>
          </w:p>
        </w:tc>
        <w:tc>
          <w:tcPr>
            <w:tcW w:w="710"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陈食片区加压泵站建设</w:t>
            </w:r>
          </w:p>
        </w:tc>
        <w:tc>
          <w:tcPr>
            <w:tcW w:w="592"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spacing w:val="-11"/>
                <w:kern w:val="0"/>
              </w:rPr>
            </w:pPr>
            <w:r>
              <w:rPr>
                <w:rFonts w:ascii="Times New Roman" w:hAnsi="Times New Roman" w:eastAsia="方正仿宋_GBK" w:cs="Times New Roman"/>
                <w:b w:val="0"/>
                <w:bCs w:val="0"/>
                <w:spacing w:val="-11"/>
                <w:kern w:val="0"/>
              </w:rPr>
              <w:t>2024-2025</w:t>
            </w:r>
          </w:p>
        </w:tc>
        <w:tc>
          <w:tcPr>
            <w:tcW w:w="455"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w:t>
            </w:r>
          </w:p>
        </w:tc>
        <w:tc>
          <w:tcPr>
            <w:tcW w:w="410"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800</w:t>
            </w:r>
          </w:p>
        </w:tc>
        <w:tc>
          <w:tcPr>
            <w:tcW w:w="695"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835"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6"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369" w:type="pct"/>
            <w:vMerge w:val="continue"/>
            <w:noWrap/>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555"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spacing w:val="-6"/>
                <w:kern w:val="0"/>
              </w:rPr>
            </w:pPr>
          </w:p>
        </w:tc>
        <w:tc>
          <w:tcPr>
            <w:tcW w:w="710"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北部片区加压泵站建设</w:t>
            </w:r>
          </w:p>
        </w:tc>
        <w:tc>
          <w:tcPr>
            <w:tcW w:w="592"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spacing w:val="-11"/>
                <w:kern w:val="0"/>
              </w:rPr>
            </w:pPr>
            <w:r>
              <w:rPr>
                <w:rFonts w:ascii="Times New Roman" w:hAnsi="Times New Roman" w:eastAsia="方正仿宋_GBK" w:cs="Times New Roman"/>
                <w:b w:val="0"/>
                <w:bCs w:val="0"/>
                <w:spacing w:val="-11"/>
                <w:kern w:val="0"/>
              </w:rPr>
              <w:t>2022-2023</w:t>
            </w:r>
          </w:p>
        </w:tc>
        <w:tc>
          <w:tcPr>
            <w:tcW w:w="455"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w:t>
            </w:r>
          </w:p>
        </w:tc>
        <w:tc>
          <w:tcPr>
            <w:tcW w:w="410"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600</w:t>
            </w:r>
          </w:p>
        </w:tc>
        <w:tc>
          <w:tcPr>
            <w:tcW w:w="695"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835"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6"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369" w:type="pct"/>
            <w:vMerge w:val="restart"/>
            <w:noWrap/>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3</w:t>
            </w:r>
          </w:p>
        </w:tc>
        <w:tc>
          <w:tcPr>
            <w:tcW w:w="555" w:type="pct"/>
            <w:vMerge w:val="restar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spacing w:val="-6"/>
                <w:kern w:val="0"/>
              </w:rPr>
            </w:pPr>
            <w:r>
              <w:rPr>
                <w:rFonts w:ascii="Times New Roman" w:hAnsi="Times New Roman" w:eastAsia="方正仿宋_GBK" w:cs="Times New Roman"/>
                <w:b w:val="0"/>
                <w:bCs w:val="0"/>
                <w:spacing w:val="-6"/>
                <w:kern w:val="0"/>
              </w:rPr>
              <w:t>取水工程</w:t>
            </w:r>
          </w:p>
        </w:tc>
        <w:tc>
          <w:tcPr>
            <w:tcW w:w="710"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永川松溉长江提水工程（二期）泵站及输水管道工程</w:t>
            </w:r>
          </w:p>
        </w:tc>
        <w:tc>
          <w:tcPr>
            <w:tcW w:w="592"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spacing w:val="-11"/>
                <w:kern w:val="0"/>
              </w:rPr>
            </w:pPr>
            <w:r>
              <w:rPr>
                <w:rFonts w:ascii="Times New Roman" w:hAnsi="Times New Roman" w:eastAsia="方正仿宋_GBK" w:cs="Times New Roman"/>
                <w:b w:val="0"/>
                <w:bCs w:val="0"/>
                <w:spacing w:val="-11"/>
                <w:kern w:val="0"/>
              </w:rPr>
              <w:t>2021-2025</w:t>
            </w:r>
          </w:p>
        </w:tc>
        <w:tc>
          <w:tcPr>
            <w:tcW w:w="455"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w:t>
            </w:r>
          </w:p>
        </w:tc>
        <w:tc>
          <w:tcPr>
            <w:tcW w:w="410"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7548</w:t>
            </w:r>
          </w:p>
        </w:tc>
        <w:tc>
          <w:tcPr>
            <w:tcW w:w="695" w:type="pct"/>
            <w:vMerge w:val="restar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区水利局</w:t>
            </w:r>
          </w:p>
        </w:tc>
        <w:tc>
          <w:tcPr>
            <w:tcW w:w="835" w:type="pct"/>
            <w:vMerge w:val="restar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区城市管理局</w:t>
            </w:r>
          </w:p>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区生态环境局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6"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369" w:type="pct"/>
            <w:vMerge w:val="continue"/>
            <w:noWrap/>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555"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710"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金刚沱长江提水工程泵站及输水管道工程</w:t>
            </w:r>
          </w:p>
        </w:tc>
        <w:tc>
          <w:tcPr>
            <w:tcW w:w="592"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spacing w:val="-11"/>
                <w:kern w:val="0"/>
              </w:rPr>
            </w:pPr>
            <w:r>
              <w:rPr>
                <w:rFonts w:ascii="Times New Roman" w:hAnsi="Times New Roman" w:eastAsia="方正仿宋_GBK" w:cs="Times New Roman"/>
                <w:b w:val="0"/>
                <w:bCs w:val="0"/>
                <w:spacing w:val="-11"/>
                <w:kern w:val="0"/>
              </w:rPr>
              <w:t>2021-2025</w:t>
            </w:r>
          </w:p>
        </w:tc>
        <w:tc>
          <w:tcPr>
            <w:tcW w:w="455"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w:t>
            </w:r>
          </w:p>
        </w:tc>
        <w:tc>
          <w:tcPr>
            <w:tcW w:w="410"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337000</w:t>
            </w:r>
          </w:p>
        </w:tc>
        <w:tc>
          <w:tcPr>
            <w:tcW w:w="695"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835"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6"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369" w:type="pct"/>
            <w:vMerge w:val="restart"/>
            <w:noWrap/>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4</w:t>
            </w:r>
          </w:p>
        </w:tc>
        <w:tc>
          <w:tcPr>
            <w:tcW w:w="555" w:type="pct"/>
            <w:vMerge w:val="restar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城区公共直饮水工程</w:t>
            </w:r>
          </w:p>
        </w:tc>
        <w:tc>
          <w:tcPr>
            <w:tcW w:w="710"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spacing w:val="-17"/>
                <w:kern w:val="0"/>
              </w:rPr>
            </w:pPr>
            <w:r>
              <w:rPr>
                <w:rFonts w:ascii="Times New Roman" w:hAnsi="Times New Roman" w:eastAsia="方正仿宋_GBK" w:cs="Times New Roman"/>
                <w:b w:val="0"/>
                <w:bCs w:val="0"/>
                <w:spacing w:val="-17"/>
                <w:kern w:val="0"/>
              </w:rPr>
              <w:t>完成直饮水覆盖数5000户</w:t>
            </w:r>
          </w:p>
        </w:tc>
        <w:tc>
          <w:tcPr>
            <w:tcW w:w="592"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spacing w:val="-11"/>
                <w:kern w:val="0"/>
              </w:rPr>
            </w:pPr>
            <w:r>
              <w:rPr>
                <w:rFonts w:ascii="Times New Roman" w:hAnsi="Times New Roman" w:eastAsia="方正仿宋_GBK" w:cs="Times New Roman"/>
                <w:b w:val="0"/>
                <w:bCs w:val="0"/>
                <w:spacing w:val="-11"/>
                <w:kern w:val="0"/>
              </w:rPr>
              <w:t>2022-2023</w:t>
            </w:r>
          </w:p>
        </w:tc>
        <w:tc>
          <w:tcPr>
            <w:tcW w:w="455"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w:t>
            </w:r>
          </w:p>
        </w:tc>
        <w:tc>
          <w:tcPr>
            <w:tcW w:w="410"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1500</w:t>
            </w:r>
          </w:p>
        </w:tc>
        <w:tc>
          <w:tcPr>
            <w:tcW w:w="695"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spacing w:val="-17"/>
                <w:kern w:val="0"/>
              </w:rPr>
            </w:pPr>
            <w:r>
              <w:rPr>
                <w:rFonts w:ascii="Times New Roman" w:hAnsi="Times New Roman" w:eastAsia="方正仿宋_GBK" w:cs="Times New Roman"/>
                <w:b w:val="0"/>
                <w:bCs w:val="0"/>
                <w:spacing w:val="-17"/>
                <w:kern w:val="0"/>
              </w:rPr>
              <w:t>区城市管理局</w:t>
            </w:r>
          </w:p>
        </w:tc>
        <w:tc>
          <w:tcPr>
            <w:tcW w:w="835"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城区各街道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6"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369" w:type="pct"/>
            <w:vMerge w:val="continue"/>
            <w:noWrap/>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555"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710"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spacing w:val="-17"/>
                <w:kern w:val="0"/>
              </w:rPr>
            </w:pPr>
            <w:r>
              <w:rPr>
                <w:rFonts w:ascii="Times New Roman" w:hAnsi="Times New Roman" w:eastAsia="方正仿宋_GBK" w:cs="Times New Roman"/>
                <w:b w:val="0"/>
                <w:bCs w:val="0"/>
                <w:spacing w:val="-17"/>
                <w:kern w:val="0"/>
              </w:rPr>
              <w:t>实施一批新建公园、广场公共直饮水工程</w:t>
            </w:r>
          </w:p>
        </w:tc>
        <w:tc>
          <w:tcPr>
            <w:tcW w:w="592"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spacing w:val="-11"/>
                <w:kern w:val="0"/>
              </w:rPr>
            </w:pPr>
            <w:r>
              <w:rPr>
                <w:rFonts w:ascii="Times New Roman" w:hAnsi="Times New Roman" w:eastAsia="方正仿宋_GBK" w:cs="Times New Roman"/>
                <w:b w:val="0"/>
                <w:bCs w:val="0"/>
                <w:spacing w:val="-11"/>
                <w:kern w:val="0"/>
              </w:rPr>
              <w:t>2022-2024</w:t>
            </w:r>
          </w:p>
        </w:tc>
        <w:tc>
          <w:tcPr>
            <w:tcW w:w="455"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800</w:t>
            </w:r>
          </w:p>
        </w:tc>
        <w:tc>
          <w:tcPr>
            <w:tcW w:w="410"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w:t>
            </w:r>
          </w:p>
        </w:tc>
        <w:tc>
          <w:tcPr>
            <w:tcW w:w="695"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区城市管理局、区新城建管委、</w:t>
            </w:r>
          </w:p>
          <w:p>
            <w:pPr>
              <w:pStyle w:val="7"/>
              <w:snapToGrid w:val="0"/>
              <w:spacing w:line="240" w:lineRule="auto"/>
              <w:ind w:firstLine="0" w:firstLineChars="0"/>
              <w:jc w:val="center"/>
              <w:rPr>
                <w:rFonts w:ascii="Times New Roman" w:hAnsi="Times New Roman" w:eastAsia="方正仿宋_GBK" w:cs="Times New Roman"/>
                <w:b w:val="0"/>
                <w:bCs w:val="0"/>
                <w:kern w:val="0"/>
              </w:rPr>
            </w:pPr>
            <w:r>
              <w:rPr>
                <w:b w:val="0"/>
                <w:bCs w:val="0"/>
              </w:rPr>
              <w:fldChar w:fldCharType="begin"/>
            </w:r>
            <w:r>
              <w:rPr>
                <w:b w:val="0"/>
                <w:bCs w:val="0"/>
              </w:rPr>
              <w:instrText xml:space="preserve"> HYPERLINK "http://www.baidu.com/link?url=o2tohIjDtuyJ8h3_vEFf5Tzrr9rJh3oGA-OThNBOIrlM-SUArjpsuKRgkS7gBAse_jwwQw3ErxXR_utnW84IKA2Obwpp1WQZRrwHgdaOaoW" \t "_blank" </w:instrText>
            </w:r>
            <w:r>
              <w:rPr>
                <w:b w:val="0"/>
                <w:bCs w:val="0"/>
              </w:rPr>
              <w:fldChar w:fldCharType="separate"/>
            </w:r>
            <w:r>
              <w:rPr>
                <w:rFonts w:ascii="Times New Roman" w:hAnsi="Times New Roman" w:eastAsia="方正仿宋_GBK" w:cs="Times New Roman"/>
                <w:b w:val="0"/>
                <w:bCs w:val="0"/>
                <w:kern w:val="0"/>
              </w:rPr>
              <w:t>凤凰湖产业促进中心</w:t>
            </w:r>
            <w:r>
              <w:rPr>
                <w:rFonts w:ascii="Times New Roman" w:hAnsi="Times New Roman" w:eastAsia="方正仿宋_GBK" w:cs="Times New Roman"/>
                <w:b w:val="0"/>
                <w:bCs w:val="0"/>
                <w:kern w:val="0"/>
              </w:rPr>
              <w:fldChar w:fldCharType="end"/>
            </w:r>
          </w:p>
        </w:tc>
        <w:tc>
          <w:tcPr>
            <w:tcW w:w="835"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6"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369" w:type="pct"/>
            <w:vMerge w:val="restart"/>
            <w:noWrap/>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5</w:t>
            </w:r>
          </w:p>
        </w:tc>
        <w:tc>
          <w:tcPr>
            <w:tcW w:w="555" w:type="pct"/>
            <w:vMerge w:val="restar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城市功能照明提质项目</w:t>
            </w:r>
          </w:p>
        </w:tc>
        <w:tc>
          <w:tcPr>
            <w:tcW w:w="710"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spacing w:val="-17"/>
                <w:kern w:val="0"/>
              </w:rPr>
            </w:pPr>
            <w:r>
              <w:rPr>
                <w:rFonts w:ascii="Times New Roman" w:hAnsi="Times New Roman" w:eastAsia="方正仿宋_GBK" w:cs="Times New Roman"/>
                <w:b w:val="0"/>
                <w:bCs w:val="0"/>
                <w:spacing w:val="-17"/>
                <w:kern w:val="0"/>
              </w:rPr>
              <w:t>新增老旧小区及“三无小区”照明设施440组</w:t>
            </w:r>
          </w:p>
        </w:tc>
        <w:tc>
          <w:tcPr>
            <w:tcW w:w="592"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spacing w:val="-11"/>
                <w:kern w:val="0"/>
              </w:rPr>
            </w:pPr>
            <w:r>
              <w:rPr>
                <w:rFonts w:ascii="Times New Roman" w:hAnsi="Times New Roman" w:eastAsia="方正仿宋_GBK" w:cs="Times New Roman"/>
                <w:b w:val="0"/>
                <w:bCs w:val="0"/>
                <w:spacing w:val="-11"/>
                <w:kern w:val="0"/>
              </w:rPr>
              <w:t>2021-2025</w:t>
            </w:r>
          </w:p>
        </w:tc>
        <w:tc>
          <w:tcPr>
            <w:tcW w:w="455"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260</w:t>
            </w:r>
          </w:p>
        </w:tc>
        <w:tc>
          <w:tcPr>
            <w:tcW w:w="410"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w:t>
            </w:r>
          </w:p>
        </w:tc>
        <w:tc>
          <w:tcPr>
            <w:tcW w:w="695" w:type="pct"/>
            <w:vMerge w:val="restar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区城市管理局</w:t>
            </w:r>
          </w:p>
        </w:tc>
        <w:tc>
          <w:tcPr>
            <w:tcW w:w="835" w:type="pct"/>
            <w:vMerge w:val="restar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区新城建管委、</w:t>
            </w:r>
            <w:r>
              <w:rPr>
                <w:b w:val="0"/>
                <w:bCs w:val="0"/>
              </w:rPr>
              <w:fldChar w:fldCharType="begin"/>
            </w:r>
            <w:r>
              <w:rPr>
                <w:b w:val="0"/>
                <w:bCs w:val="0"/>
              </w:rPr>
              <w:instrText xml:space="preserve"> HYPERLINK "http://www.baidu.com/link?url=o2tohIjDtuyJ8h3_vEFf5Tzrr9rJh3oGA-OThNBOIrlM-SUArjpsuKRgkS7gBAse_jwwQw3ErxXR_utnW84IKA2Obwpp1WQZRrwHgdaOaoW" \t "_blank" </w:instrText>
            </w:r>
            <w:r>
              <w:rPr>
                <w:b w:val="0"/>
                <w:bCs w:val="0"/>
              </w:rPr>
              <w:fldChar w:fldCharType="separate"/>
            </w:r>
            <w:r>
              <w:rPr>
                <w:rFonts w:ascii="Times New Roman" w:hAnsi="Times New Roman" w:eastAsia="方正仿宋_GBK" w:cs="Times New Roman"/>
                <w:b w:val="0"/>
                <w:bCs w:val="0"/>
                <w:kern w:val="0"/>
              </w:rPr>
              <w:t>凤凰湖产业促进中心</w:t>
            </w:r>
            <w:r>
              <w:rPr>
                <w:rFonts w:ascii="Times New Roman" w:hAnsi="Times New Roman" w:eastAsia="方正仿宋_GBK" w:cs="Times New Roman"/>
                <w:b w:val="0"/>
                <w:bCs w:val="0"/>
                <w:kern w:val="0"/>
              </w:rPr>
              <w:fldChar w:fldCharType="end"/>
            </w:r>
            <w:r>
              <w:rPr>
                <w:rFonts w:ascii="Times New Roman" w:hAnsi="Times New Roman" w:eastAsia="方正仿宋_GBK" w:cs="Times New Roman"/>
                <w:b w:val="0"/>
                <w:bCs w:val="0"/>
                <w:kern w:val="0"/>
              </w:rPr>
              <w:t>、区住房城乡建委、城区各街道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6"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369" w:type="pct"/>
            <w:vMerge w:val="continue"/>
            <w:noWrap/>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555"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710"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spacing w:val="-17"/>
                <w:kern w:val="0"/>
              </w:rPr>
            </w:pPr>
            <w:r>
              <w:rPr>
                <w:rFonts w:ascii="Times New Roman" w:hAnsi="Times New Roman" w:eastAsia="方正仿宋_GBK" w:cs="Times New Roman"/>
                <w:b w:val="0"/>
                <w:bCs w:val="0"/>
                <w:spacing w:val="-17"/>
                <w:kern w:val="0"/>
              </w:rPr>
              <w:t>新建、改造老旧路灯1100组及线路</w:t>
            </w:r>
          </w:p>
        </w:tc>
        <w:tc>
          <w:tcPr>
            <w:tcW w:w="592"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spacing w:val="-11"/>
                <w:kern w:val="0"/>
              </w:rPr>
            </w:pPr>
            <w:r>
              <w:rPr>
                <w:rFonts w:ascii="Times New Roman" w:hAnsi="Times New Roman" w:eastAsia="方正仿宋_GBK" w:cs="Times New Roman"/>
                <w:b w:val="0"/>
                <w:bCs w:val="0"/>
                <w:spacing w:val="-11"/>
                <w:kern w:val="0"/>
              </w:rPr>
              <w:t>2021-2025</w:t>
            </w:r>
          </w:p>
        </w:tc>
        <w:tc>
          <w:tcPr>
            <w:tcW w:w="455"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1500</w:t>
            </w:r>
          </w:p>
        </w:tc>
        <w:tc>
          <w:tcPr>
            <w:tcW w:w="410"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w:t>
            </w:r>
          </w:p>
        </w:tc>
        <w:tc>
          <w:tcPr>
            <w:tcW w:w="695"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835"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6"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369" w:type="pct"/>
            <w:vMerge w:val="restart"/>
            <w:noWrap/>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6</w:t>
            </w:r>
          </w:p>
        </w:tc>
        <w:tc>
          <w:tcPr>
            <w:tcW w:w="555" w:type="pct"/>
            <w:vMerge w:val="restar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spacing w:val="-17"/>
                <w:kern w:val="0"/>
              </w:rPr>
              <w:t>城市景观照明提质项目</w:t>
            </w:r>
          </w:p>
        </w:tc>
        <w:tc>
          <w:tcPr>
            <w:tcW w:w="710"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spacing w:val="-17"/>
                <w:kern w:val="0"/>
              </w:rPr>
            </w:pPr>
            <w:r>
              <w:rPr>
                <w:rFonts w:ascii="Times New Roman" w:hAnsi="Times New Roman" w:eastAsia="方正仿宋_GBK" w:cs="Times New Roman"/>
                <w:b w:val="0"/>
                <w:bCs w:val="0"/>
                <w:spacing w:val="-17"/>
                <w:kern w:val="0"/>
              </w:rPr>
              <w:t>实施体育中心片区、永川东高铁片区、人民大道、棠城公园、中央公园、竹溪夜雨广场、文曲广场、渝西广场、人民广场等重点路段和节点的灯光品质提升工程。</w:t>
            </w:r>
          </w:p>
        </w:tc>
        <w:tc>
          <w:tcPr>
            <w:tcW w:w="592"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spacing w:val="-11"/>
                <w:kern w:val="0"/>
              </w:rPr>
            </w:pPr>
            <w:r>
              <w:rPr>
                <w:rFonts w:ascii="Times New Roman" w:hAnsi="Times New Roman" w:eastAsia="方正仿宋_GBK" w:cs="Times New Roman"/>
                <w:b w:val="0"/>
                <w:bCs w:val="0"/>
                <w:spacing w:val="-11"/>
                <w:kern w:val="0"/>
              </w:rPr>
              <w:t>2022-2023</w:t>
            </w:r>
          </w:p>
        </w:tc>
        <w:tc>
          <w:tcPr>
            <w:tcW w:w="455"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4000</w:t>
            </w:r>
          </w:p>
        </w:tc>
        <w:tc>
          <w:tcPr>
            <w:tcW w:w="410"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w:t>
            </w:r>
          </w:p>
        </w:tc>
        <w:tc>
          <w:tcPr>
            <w:tcW w:w="695"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区城市管理局、区新城建管委、</w:t>
            </w:r>
            <w:r>
              <w:rPr>
                <w:b w:val="0"/>
                <w:bCs w:val="0"/>
              </w:rPr>
              <w:fldChar w:fldCharType="begin"/>
            </w:r>
            <w:r>
              <w:rPr>
                <w:b w:val="0"/>
                <w:bCs w:val="0"/>
              </w:rPr>
              <w:instrText xml:space="preserve"> HYPERLINK "http://www.baidu.com/link?url=o2tohIjDtuyJ8h3_vEFf5Tzrr9rJh3oGA-OThNBOIrlM-SUArjpsuKRgkS7gBAse_jwwQw3ErxXR_utnW84IKA2Obwpp1WQZRrwHgdaOaoW" \t "_blank" </w:instrText>
            </w:r>
            <w:r>
              <w:rPr>
                <w:b w:val="0"/>
                <w:bCs w:val="0"/>
              </w:rPr>
              <w:fldChar w:fldCharType="separate"/>
            </w:r>
            <w:r>
              <w:rPr>
                <w:rFonts w:ascii="Times New Roman" w:hAnsi="Times New Roman" w:eastAsia="方正仿宋_GBK" w:cs="Times New Roman"/>
                <w:b w:val="0"/>
                <w:bCs w:val="0"/>
                <w:kern w:val="0"/>
              </w:rPr>
              <w:t>凤凰湖产业促进中心</w:t>
            </w:r>
            <w:r>
              <w:rPr>
                <w:rFonts w:ascii="Times New Roman" w:hAnsi="Times New Roman" w:eastAsia="方正仿宋_GBK" w:cs="Times New Roman"/>
                <w:b w:val="0"/>
                <w:bCs w:val="0"/>
                <w:kern w:val="0"/>
              </w:rPr>
              <w:fldChar w:fldCharType="end"/>
            </w:r>
          </w:p>
        </w:tc>
        <w:tc>
          <w:tcPr>
            <w:tcW w:w="835"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6"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369" w:type="pct"/>
            <w:vMerge w:val="continue"/>
            <w:noWrap/>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555"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710"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实施文化艺术中心、建委五米阳光河道、城市人行天桥、永川博物馆、永川图书馆、协信长乐坊、永川会展中心等重点路段和节点的灯光品质提升工程。</w:t>
            </w:r>
          </w:p>
        </w:tc>
        <w:tc>
          <w:tcPr>
            <w:tcW w:w="592"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spacing w:val="-11"/>
                <w:kern w:val="0"/>
              </w:rPr>
            </w:pPr>
            <w:r>
              <w:rPr>
                <w:rFonts w:ascii="Times New Roman" w:hAnsi="Times New Roman" w:eastAsia="方正仿宋_GBK" w:cs="Times New Roman"/>
                <w:b w:val="0"/>
                <w:bCs w:val="0"/>
                <w:spacing w:val="-11"/>
                <w:kern w:val="0"/>
              </w:rPr>
              <w:t>2024-2025</w:t>
            </w:r>
          </w:p>
        </w:tc>
        <w:tc>
          <w:tcPr>
            <w:tcW w:w="455"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3000</w:t>
            </w:r>
          </w:p>
        </w:tc>
        <w:tc>
          <w:tcPr>
            <w:tcW w:w="410"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w:t>
            </w:r>
          </w:p>
        </w:tc>
        <w:tc>
          <w:tcPr>
            <w:tcW w:w="695"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区城市管理局、区文化旅游委、区新城建管委、</w:t>
            </w:r>
            <w:r>
              <w:rPr>
                <w:b w:val="0"/>
                <w:bCs w:val="0"/>
              </w:rPr>
              <w:fldChar w:fldCharType="begin"/>
            </w:r>
            <w:r>
              <w:rPr>
                <w:b w:val="0"/>
                <w:bCs w:val="0"/>
              </w:rPr>
              <w:instrText xml:space="preserve"> HYPERLINK "http://www.baidu.com/link?url=o2tohIjDtuyJ8h3_vEFf5Tzrr9rJh3oGA-OThNBOIrlM-SUArjpsuKRgkS7gBAse_jwwQw3ErxXR_utnW84IKA2Obwpp1WQZRrwHgdaOaoW" \t "_blank" </w:instrText>
            </w:r>
            <w:r>
              <w:rPr>
                <w:b w:val="0"/>
                <w:bCs w:val="0"/>
              </w:rPr>
              <w:fldChar w:fldCharType="separate"/>
            </w:r>
            <w:r>
              <w:rPr>
                <w:rFonts w:ascii="Times New Roman" w:hAnsi="Times New Roman" w:eastAsia="方正仿宋_GBK" w:cs="Times New Roman"/>
                <w:b w:val="0"/>
                <w:bCs w:val="0"/>
                <w:kern w:val="0"/>
              </w:rPr>
              <w:t>凤凰湖</w:t>
            </w:r>
            <w:r>
              <w:rPr>
                <w:rFonts w:ascii="Times New Roman" w:hAnsi="Times New Roman" w:eastAsia="方正仿宋_GBK" w:cs="Times New Roman"/>
                <w:b w:val="0"/>
                <w:bCs w:val="0"/>
                <w:spacing w:val="-17"/>
                <w:kern w:val="0"/>
              </w:rPr>
              <w:t>产业促进中心</w:t>
            </w:r>
            <w:r>
              <w:rPr>
                <w:rFonts w:ascii="Times New Roman" w:hAnsi="Times New Roman" w:eastAsia="方正仿宋_GBK" w:cs="Times New Roman"/>
                <w:b w:val="0"/>
                <w:bCs w:val="0"/>
                <w:kern w:val="0"/>
              </w:rPr>
              <w:fldChar w:fldCharType="end"/>
            </w:r>
          </w:p>
        </w:tc>
        <w:tc>
          <w:tcPr>
            <w:tcW w:w="835"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6"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369" w:type="pct"/>
            <w:vMerge w:val="restart"/>
            <w:noWrap/>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7</w:t>
            </w:r>
          </w:p>
        </w:tc>
        <w:tc>
          <w:tcPr>
            <w:tcW w:w="555" w:type="pct"/>
            <w:vMerge w:val="restar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城市停车（楼、库）建设工程</w:t>
            </w:r>
          </w:p>
        </w:tc>
        <w:tc>
          <w:tcPr>
            <w:tcW w:w="710"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凤凰湖公园停车场</w:t>
            </w:r>
          </w:p>
        </w:tc>
        <w:tc>
          <w:tcPr>
            <w:tcW w:w="592"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spacing w:val="-11"/>
                <w:kern w:val="0"/>
              </w:rPr>
            </w:pPr>
            <w:r>
              <w:rPr>
                <w:rFonts w:ascii="Times New Roman" w:hAnsi="Times New Roman" w:eastAsia="方正仿宋_GBK" w:cs="Times New Roman"/>
                <w:b w:val="0"/>
                <w:bCs w:val="0"/>
                <w:spacing w:val="-11"/>
                <w:kern w:val="0"/>
              </w:rPr>
              <w:t>2022-2023</w:t>
            </w:r>
          </w:p>
        </w:tc>
        <w:tc>
          <w:tcPr>
            <w:tcW w:w="455"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130</w:t>
            </w:r>
          </w:p>
        </w:tc>
        <w:tc>
          <w:tcPr>
            <w:tcW w:w="410"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w:t>
            </w:r>
          </w:p>
        </w:tc>
        <w:tc>
          <w:tcPr>
            <w:tcW w:w="695" w:type="pct"/>
            <w:vMerge w:val="restar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hint="eastAsia" w:eastAsia="方正仿宋_GBK"/>
                <w:b w:val="0"/>
                <w:bCs w:val="0"/>
              </w:rPr>
              <w:t>区凤凰湖产业中心、区新城建管委、区城市管理局</w:t>
            </w:r>
          </w:p>
        </w:tc>
        <w:tc>
          <w:tcPr>
            <w:tcW w:w="835" w:type="pct"/>
            <w:vMerge w:val="restar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区规划自然资源局、</w:t>
            </w:r>
            <w:r>
              <w:rPr>
                <w:rFonts w:hint="eastAsia" w:ascii="Times New Roman" w:hAnsi="Times New Roman" w:eastAsia="方正仿宋_GBK" w:cs="Times New Roman"/>
                <w:b w:val="0"/>
                <w:bCs w:val="0"/>
                <w:kern w:val="0"/>
              </w:rPr>
              <w:t>区住建委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6"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369" w:type="pct"/>
            <w:vMerge w:val="continue"/>
            <w:noWrap/>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555"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710"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旺龙湖公园停车场</w:t>
            </w:r>
          </w:p>
        </w:tc>
        <w:tc>
          <w:tcPr>
            <w:tcW w:w="592"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spacing w:val="-11"/>
                <w:kern w:val="0"/>
              </w:rPr>
            </w:pPr>
            <w:r>
              <w:rPr>
                <w:rFonts w:ascii="Times New Roman" w:hAnsi="Times New Roman" w:eastAsia="方正仿宋_GBK" w:cs="Times New Roman"/>
                <w:b w:val="0"/>
                <w:bCs w:val="0"/>
                <w:spacing w:val="-11"/>
                <w:kern w:val="0"/>
              </w:rPr>
              <w:t>2022-2023</w:t>
            </w:r>
          </w:p>
        </w:tc>
        <w:tc>
          <w:tcPr>
            <w:tcW w:w="455"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300</w:t>
            </w:r>
          </w:p>
        </w:tc>
        <w:tc>
          <w:tcPr>
            <w:tcW w:w="410"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w:t>
            </w:r>
          </w:p>
        </w:tc>
        <w:tc>
          <w:tcPr>
            <w:tcW w:w="695"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835"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6"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369" w:type="pct"/>
            <w:vMerge w:val="continue"/>
            <w:noWrap/>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555"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710"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望城公园停车场</w:t>
            </w:r>
          </w:p>
        </w:tc>
        <w:tc>
          <w:tcPr>
            <w:tcW w:w="592"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spacing w:val="-11"/>
                <w:kern w:val="0"/>
              </w:rPr>
            </w:pPr>
            <w:r>
              <w:rPr>
                <w:rFonts w:ascii="Times New Roman" w:hAnsi="Times New Roman" w:eastAsia="方正仿宋_GBK" w:cs="Times New Roman"/>
                <w:b w:val="0"/>
                <w:bCs w:val="0"/>
                <w:spacing w:val="-11"/>
                <w:kern w:val="0"/>
              </w:rPr>
              <w:t>2022-2023</w:t>
            </w:r>
          </w:p>
        </w:tc>
        <w:tc>
          <w:tcPr>
            <w:tcW w:w="455"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100</w:t>
            </w:r>
          </w:p>
        </w:tc>
        <w:tc>
          <w:tcPr>
            <w:tcW w:w="410"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w:t>
            </w:r>
          </w:p>
        </w:tc>
        <w:tc>
          <w:tcPr>
            <w:tcW w:w="695"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835"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6"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369" w:type="pct"/>
            <w:vMerge w:val="continue"/>
            <w:noWrap/>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555"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710"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桃花山公园停车场</w:t>
            </w:r>
          </w:p>
        </w:tc>
        <w:tc>
          <w:tcPr>
            <w:tcW w:w="592"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spacing w:val="-11"/>
                <w:kern w:val="0"/>
              </w:rPr>
            </w:pPr>
            <w:r>
              <w:rPr>
                <w:rFonts w:ascii="Times New Roman" w:hAnsi="Times New Roman" w:eastAsia="方正仿宋_GBK" w:cs="Times New Roman"/>
                <w:b w:val="0"/>
                <w:bCs w:val="0"/>
                <w:spacing w:val="-11"/>
                <w:kern w:val="0"/>
              </w:rPr>
              <w:t>2023-2025</w:t>
            </w:r>
          </w:p>
        </w:tc>
        <w:tc>
          <w:tcPr>
            <w:tcW w:w="455"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800</w:t>
            </w:r>
          </w:p>
        </w:tc>
        <w:tc>
          <w:tcPr>
            <w:tcW w:w="410"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w:t>
            </w:r>
          </w:p>
        </w:tc>
        <w:tc>
          <w:tcPr>
            <w:tcW w:w="695"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835"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6"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369" w:type="pct"/>
            <w:vMerge w:val="continue"/>
            <w:noWrap/>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555"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710"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华尚城社会停车场</w:t>
            </w:r>
          </w:p>
        </w:tc>
        <w:tc>
          <w:tcPr>
            <w:tcW w:w="592"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spacing w:val="-11"/>
                <w:kern w:val="0"/>
              </w:rPr>
            </w:pPr>
            <w:r>
              <w:rPr>
                <w:rFonts w:ascii="Times New Roman" w:hAnsi="Times New Roman" w:eastAsia="方正仿宋_GBK" w:cs="Times New Roman"/>
                <w:b w:val="0"/>
                <w:bCs w:val="0"/>
                <w:spacing w:val="-11"/>
                <w:kern w:val="0"/>
              </w:rPr>
              <w:t>2023-2025</w:t>
            </w:r>
          </w:p>
        </w:tc>
        <w:tc>
          <w:tcPr>
            <w:tcW w:w="455"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w:t>
            </w:r>
          </w:p>
        </w:tc>
        <w:tc>
          <w:tcPr>
            <w:tcW w:w="410"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1000</w:t>
            </w:r>
          </w:p>
        </w:tc>
        <w:tc>
          <w:tcPr>
            <w:tcW w:w="695"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835"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6"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369" w:type="pct"/>
            <w:vMerge w:val="continue"/>
            <w:noWrap/>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555"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710"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永川博物馆东侧生态停车场</w:t>
            </w:r>
          </w:p>
        </w:tc>
        <w:tc>
          <w:tcPr>
            <w:tcW w:w="592"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spacing w:val="-11"/>
                <w:kern w:val="0"/>
              </w:rPr>
            </w:pPr>
            <w:r>
              <w:rPr>
                <w:rFonts w:ascii="Times New Roman" w:hAnsi="Times New Roman" w:eastAsia="方正仿宋_GBK" w:cs="Times New Roman"/>
                <w:b w:val="0"/>
                <w:bCs w:val="0"/>
                <w:spacing w:val="-11"/>
                <w:kern w:val="0"/>
              </w:rPr>
              <w:t>2022-2023</w:t>
            </w:r>
          </w:p>
        </w:tc>
        <w:tc>
          <w:tcPr>
            <w:tcW w:w="455"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w:t>
            </w:r>
          </w:p>
        </w:tc>
        <w:tc>
          <w:tcPr>
            <w:tcW w:w="410"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700</w:t>
            </w:r>
          </w:p>
        </w:tc>
        <w:tc>
          <w:tcPr>
            <w:tcW w:w="695"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spacing w:val="-17"/>
                <w:kern w:val="0"/>
              </w:rPr>
              <w:t>区新城建管委</w:t>
            </w:r>
          </w:p>
        </w:tc>
        <w:tc>
          <w:tcPr>
            <w:tcW w:w="835"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6"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369" w:type="pct"/>
            <w:vMerge w:val="continue"/>
            <w:noWrap/>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555"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710"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在城乡结合部、新老城区建设货运、客运、公交等停车场5处</w:t>
            </w:r>
          </w:p>
        </w:tc>
        <w:tc>
          <w:tcPr>
            <w:tcW w:w="592"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spacing w:val="-11"/>
                <w:kern w:val="0"/>
              </w:rPr>
            </w:pPr>
            <w:r>
              <w:rPr>
                <w:rFonts w:ascii="Times New Roman" w:hAnsi="Times New Roman" w:eastAsia="方正仿宋_GBK" w:cs="Times New Roman"/>
                <w:b w:val="0"/>
                <w:bCs w:val="0"/>
                <w:spacing w:val="-11"/>
                <w:kern w:val="0"/>
              </w:rPr>
              <w:t>2023-2025</w:t>
            </w:r>
          </w:p>
        </w:tc>
        <w:tc>
          <w:tcPr>
            <w:tcW w:w="455"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750</w:t>
            </w:r>
          </w:p>
        </w:tc>
        <w:tc>
          <w:tcPr>
            <w:tcW w:w="410"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1750</w:t>
            </w:r>
          </w:p>
        </w:tc>
        <w:tc>
          <w:tcPr>
            <w:tcW w:w="695" w:type="pct"/>
            <w:vMerge w:val="restar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b w:val="0"/>
                <w:bCs w:val="0"/>
              </w:rPr>
              <w:fldChar w:fldCharType="begin"/>
            </w:r>
            <w:r>
              <w:rPr>
                <w:b w:val="0"/>
                <w:bCs w:val="0"/>
              </w:rPr>
              <w:instrText xml:space="preserve"> HYPERLINK "http://www.cqyc.gov.cn/zwgk_204/zfxxgk/zfxxgkzn/qzfbm_204/qzfcxjw/index2.html" \t "_blank" </w:instrText>
            </w:r>
            <w:r>
              <w:rPr>
                <w:b w:val="0"/>
                <w:bCs w:val="0"/>
              </w:rPr>
              <w:fldChar w:fldCharType="separate"/>
            </w:r>
            <w:r>
              <w:rPr>
                <w:rFonts w:ascii="Times New Roman" w:hAnsi="Times New Roman" w:eastAsia="方正仿宋_GBK" w:cs="Times New Roman"/>
                <w:b w:val="0"/>
                <w:bCs w:val="0"/>
                <w:kern w:val="0"/>
              </w:rPr>
              <w:t>区住房城乡建委</w:t>
            </w:r>
            <w:r>
              <w:rPr>
                <w:rFonts w:ascii="Times New Roman" w:hAnsi="Times New Roman" w:eastAsia="方正仿宋_GBK" w:cs="Times New Roman"/>
                <w:b w:val="0"/>
                <w:bCs w:val="0"/>
                <w:kern w:val="0"/>
              </w:rPr>
              <w:fldChar w:fldCharType="end"/>
            </w:r>
          </w:p>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835" w:type="pct"/>
            <w:vMerge w:val="restar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区规划自然资源局、区城市管理局、区新城建管委、</w:t>
            </w:r>
            <w:r>
              <w:rPr>
                <w:b w:val="0"/>
                <w:bCs w:val="0"/>
              </w:rPr>
              <w:fldChar w:fldCharType="begin"/>
            </w:r>
            <w:r>
              <w:rPr>
                <w:b w:val="0"/>
                <w:bCs w:val="0"/>
              </w:rPr>
              <w:instrText xml:space="preserve"> HYPERLINK "http://www.baidu.com/link?url=o2tohIjDtuyJ8h3_vEFf5Tzrr9rJh3oGA-OThNBOIrlM-SUArjpsuKRgkS7gBAse_jwwQw3ErxXR_utnW84IKA2Obwpp1WQZRrwHgdaOaoW" \t "_blank" </w:instrText>
            </w:r>
            <w:r>
              <w:rPr>
                <w:b w:val="0"/>
                <w:bCs w:val="0"/>
              </w:rPr>
              <w:fldChar w:fldCharType="separate"/>
            </w:r>
            <w:r>
              <w:rPr>
                <w:rFonts w:ascii="Times New Roman" w:hAnsi="Times New Roman" w:eastAsia="方正仿宋_GBK" w:cs="Times New Roman"/>
                <w:b w:val="0"/>
                <w:bCs w:val="0"/>
                <w:kern w:val="0"/>
              </w:rPr>
              <w:t>凤凰湖产业促进中心</w:t>
            </w:r>
            <w:r>
              <w:rPr>
                <w:rFonts w:ascii="Times New Roman" w:hAnsi="Times New Roman" w:eastAsia="方正仿宋_GBK" w:cs="Times New Roman"/>
                <w:b w:val="0"/>
                <w:bCs w:val="0"/>
                <w:kern w:val="0"/>
              </w:rPr>
              <w:fldChar w:fldCharType="end"/>
            </w:r>
            <w:r>
              <w:rPr>
                <w:rFonts w:ascii="Times New Roman" w:hAnsi="Times New Roman" w:eastAsia="方正仿宋_GBK" w:cs="Times New Roman"/>
                <w:b w:val="0"/>
                <w:bCs w:val="0"/>
                <w:kern w:val="0"/>
              </w:rPr>
              <w:t>、城区各街道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6"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369" w:type="pct"/>
            <w:vMerge w:val="continue"/>
            <w:noWrap/>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555"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710"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重点推进4处停车场库建设</w:t>
            </w:r>
          </w:p>
        </w:tc>
        <w:tc>
          <w:tcPr>
            <w:tcW w:w="592"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spacing w:val="-11"/>
                <w:kern w:val="0"/>
              </w:rPr>
            </w:pPr>
            <w:r>
              <w:rPr>
                <w:rFonts w:ascii="Times New Roman" w:hAnsi="Times New Roman" w:eastAsia="方正仿宋_GBK" w:cs="Times New Roman"/>
                <w:b w:val="0"/>
                <w:bCs w:val="0"/>
                <w:spacing w:val="-11"/>
                <w:kern w:val="0"/>
              </w:rPr>
              <w:t>2023-2025</w:t>
            </w:r>
          </w:p>
        </w:tc>
        <w:tc>
          <w:tcPr>
            <w:tcW w:w="455"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1200</w:t>
            </w:r>
          </w:p>
        </w:tc>
        <w:tc>
          <w:tcPr>
            <w:tcW w:w="410"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2800</w:t>
            </w:r>
          </w:p>
        </w:tc>
        <w:tc>
          <w:tcPr>
            <w:tcW w:w="695"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835"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6"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369" w:type="pct"/>
            <w:vMerge w:val="restart"/>
            <w:noWrap/>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8</w:t>
            </w:r>
          </w:p>
        </w:tc>
        <w:tc>
          <w:tcPr>
            <w:tcW w:w="555" w:type="pct"/>
            <w:vMerge w:val="restar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停车场配套设施建设</w:t>
            </w:r>
          </w:p>
        </w:tc>
        <w:tc>
          <w:tcPr>
            <w:tcW w:w="710"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城市公共停车场配备10%新能源汽车公共充电车位</w:t>
            </w:r>
          </w:p>
        </w:tc>
        <w:tc>
          <w:tcPr>
            <w:tcW w:w="592"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spacing w:val="-11"/>
                <w:kern w:val="0"/>
              </w:rPr>
            </w:pPr>
            <w:r>
              <w:rPr>
                <w:rFonts w:ascii="Times New Roman" w:hAnsi="Times New Roman" w:eastAsia="方正仿宋_GBK" w:cs="Times New Roman"/>
                <w:b w:val="0"/>
                <w:bCs w:val="0"/>
                <w:spacing w:val="-11"/>
                <w:kern w:val="0"/>
              </w:rPr>
              <w:t>2022-2025</w:t>
            </w:r>
          </w:p>
        </w:tc>
        <w:tc>
          <w:tcPr>
            <w:tcW w:w="455"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w:t>
            </w:r>
          </w:p>
        </w:tc>
        <w:tc>
          <w:tcPr>
            <w:tcW w:w="410"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1500</w:t>
            </w:r>
          </w:p>
        </w:tc>
        <w:tc>
          <w:tcPr>
            <w:tcW w:w="695" w:type="pct"/>
            <w:vMerge w:val="restar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hint="eastAsia" w:eastAsia="方正仿宋_GBK"/>
                <w:b w:val="0"/>
                <w:bCs w:val="0"/>
              </w:rPr>
              <w:t>区能源局、</w:t>
            </w:r>
            <w:r>
              <w:rPr>
                <w:rFonts w:hint="default" w:ascii="Times New Roman" w:hAnsi="Times New Roman" w:eastAsia="方正仿宋_GBK" w:cs="Times New Roman"/>
                <w:b w:val="0"/>
                <w:bCs w:val="0"/>
                <w:spacing w:val="-17"/>
                <w:kern w:val="0"/>
              </w:rPr>
              <w:t>区城市管理局</w:t>
            </w:r>
          </w:p>
        </w:tc>
        <w:tc>
          <w:tcPr>
            <w:tcW w:w="835" w:type="pct"/>
            <w:vMerge w:val="restar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区规划自然资源局、区新城建管委、</w:t>
            </w:r>
            <w:r>
              <w:rPr>
                <w:b w:val="0"/>
                <w:bCs w:val="0"/>
              </w:rPr>
              <w:fldChar w:fldCharType="begin"/>
            </w:r>
            <w:r>
              <w:rPr>
                <w:b w:val="0"/>
                <w:bCs w:val="0"/>
              </w:rPr>
              <w:instrText xml:space="preserve"> HYPERLINK "http://www.baidu.com/link?url=o2tohIjDtuyJ8h3_vEFf5Tzrr9rJh3oGA-OThNBOIrlM-SUArjpsuKRgkS7gBAse_jwwQw3ErxXR_utnW84IKA2Obwpp1WQZRrwHgdaOaoW" \t "_blank" </w:instrText>
            </w:r>
            <w:r>
              <w:rPr>
                <w:b w:val="0"/>
                <w:bCs w:val="0"/>
              </w:rPr>
              <w:fldChar w:fldCharType="separate"/>
            </w:r>
            <w:r>
              <w:rPr>
                <w:rFonts w:ascii="Times New Roman" w:hAnsi="Times New Roman" w:eastAsia="方正仿宋_GBK" w:cs="Times New Roman"/>
                <w:b w:val="0"/>
                <w:bCs w:val="0"/>
                <w:kern w:val="0"/>
              </w:rPr>
              <w:t>凤凰</w:t>
            </w:r>
            <w:r>
              <w:rPr>
                <w:rFonts w:ascii="Times New Roman" w:hAnsi="Times New Roman" w:eastAsia="方正仿宋_GBK" w:cs="Times New Roman"/>
                <w:b w:val="0"/>
                <w:bCs w:val="0"/>
                <w:spacing w:val="-17"/>
                <w:kern w:val="0"/>
              </w:rPr>
              <w:t>湖产业促进中心</w:t>
            </w:r>
            <w:r>
              <w:rPr>
                <w:rFonts w:ascii="Times New Roman" w:hAnsi="Times New Roman" w:eastAsia="方正仿宋_GBK" w:cs="Times New Roman"/>
                <w:b w:val="0"/>
                <w:bCs w:val="0"/>
                <w:kern w:val="0"/>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6"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369" w:type="pct"/>
            <w:vMerge w:val="continue"/>
            <w:noWrap/>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555"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710"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城市公共停车场按照0.5%配比建设无障碍机动车停车位</w:t>
            </w:r>
          </w:p>
        </w:tc>
        <w:tc>
          <w:tcPr>
            <w:tcW w:w="592"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spacing w:val="-11"/>
                <w:kern w:val="0"/>
              </w:rPr>
            </w:pPr>
            <w:r>
              <w:rPr>
                <w:rFonts w:ascii="Times New Roman" w:hAnsi="Times New Roman" w:eastAsia="方正仿宋_GBK" w:cs="Times New Roman"/>
                <w:b w:val="0"/>
                <w:bCs w:val="0"/>
                <w:spacing w:val="-11"/>
                <w:kern w:val="0"/>
              </w:rPr>
              <w:t>2022-2023</w:t>
            </w:r>
          </w:p>
        </w:tc>
        <w:tc>
          <w:tcPr>
            <w:tcW w:w="455"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100</w:t>
            </w:r>
          </w:p>
        </w:tc>
        <w:tc>
          <w:tcPr>
            <w:tcW w:w="410"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w:t>
            </w:r>
          </w:p>
        </w:tc>
        <w:tc>
          <w:tcPr>
            <w:tcW w:w="695"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rPr>
            </w:pPr>
          </w:p>
        </w:tc>
        <w:tc>
          <w:tcPr>
            <w:tcW w:w="835"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6"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369" w:type="pct"/>
            <w:vMerge w:val="continue"/>
            <w:noWrap/>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555"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710"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建设错时共享停车场（库）50个</w:t>
            </w:r>
          </w:p>
        </w:tc>
        <w:tc>
          <w:tcPr>
            <w:tcW w:w="592"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spacing w:val="-11"/>
                <w:kern w:val="0"/>
              </w:rPr>
            </w:pPr>
            <w:r>
              <w:rPr>
                <w:rFonts w:ascii="Times New Roman" w:hAnsi="Times New Roman" w:eastAsia="方正仿宋_GBK" w:cs="Times New Roman"/>
                <w:b w:val="0"/>
                <w:bCs w:val="0"/>
                <w:spacing w:val="-11"/>
                <w:kern w:val="0"/>
              </w:rPr>
              <w:t>2024-2025</w:t>
            </w:r>
          </w:p>
        </w:tc>
        <w:tc>
          <w:tcPr>
            <w:tcW w:w="455"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w:t>
            </w:r>
          </w:p>
        </w:tc>
        <w:tc>
          <w:tcPr>
            <w:tcW w:w="410"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500</w:t>
            </w:r>
          </w:p>
        </w:tc>
        <w:tc>
          <w:tcPr>
            <w:tcW w:w="695"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区城市管理局、区新城建管委、</w:t>
            </w:r>
            <w:r>
              <w:rPr>
                <w:b w:val="0"/>
                <w:bCs w:val="0"/>
              </w:rPr>
              <w:fldChar w:fldCharType="begin"/>
            </w:r>
            <w:r>
              <w:rPr>
                <w:b w:val="0"/>
                <w:bCs w:val="0"/>
              </w:rPr>
              <w:instrText xml:space="preserve"> HYPERLINK "http://www.baidu.com/link?url=o2tohIjDtuyJ8h3_vEFf5Tzrr9rJh3oGA-OThNBOIrlM-SUArjpsuKRgkS7gBAse_jwwQw3ErxXR_utnW84IKA2Obwpp1WQZRrwHgdaOaoW" \t "_blank" </w:instrText>
            </w:r>
            <w:r>
              <w:rPr>
                <w:b w:val="0"/>
                <w:bCs w:val="0"/>
              </w:rPr>
              <w:fldChar w:fldCharType="separate"/>
            </w:r>
            <w:r>
              <w:rPr>
                <w:rFonts w:ascii="Times New Roman" w:hAnsi="Times New Roman" w:eastAsia="方正仿宋_GBK" w:cs="Times New Roman"/>
                <w:b w:val="0"/>
                <w:bCs w:val="0"/>
                <w:kern w:val="0"/>
              </w:rPr>
              <w:t>凤凰湖产业促进中心</w:t>
            </w:r>
            <w:r>
              <w:rPr>
                <w:rFonts w:ascii="Times New Roman" w:hAnsi="Times New Roman" w:eastAsia="方正仿宋_GBK" w:cs="Times New Roman"/>
                <w:b w:val="0"/>
                <w:bCs w:val="0"/>
                <w:kern w:val="0"/>
              </w:rPr>
              <w:fldChar w:fldCharType="end"/>
            </w:r>
          </w:p>
        </w:tc>
        <w:tc>
          <w:tcPr>
            <w:tcW w:w="835"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hint="eastAsia" w:ascii="Times New Roman" w:hAnsi="Times New Roman" w:eastAsia="方正仿宋_GBK" w:cs="Times New Roman"/>
                <w:b w:val="0"/>
                <w:bCs w:val="0"/>
                <w:kern w:val="0"/>
              </w:rPr>
              <w:t>区住建委、区公安局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6"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369" w:type="pct"/>
            <w:noWrap/>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9</w:t>
            </w:r>
          </w:p>
        </w:tc>
        <w:tc>
          <w:tcPr>
            <w:tcW w:w="555"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智慧停车工程</w:t>
            </w:r>
          </w:p>
        </w:tc>
        <w:tc>
          <w:tcPr>
            <w:tcW w:w="710"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新增智慧停车泊位1000个以上</w:t>
            </w:r>
          </w:p>
        </w:tc>
        <w:tc>
          <w:tcPr>
            <w:tcW w:w="592"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spacing w:val="-11"/>
                <w:kern w:val="0"/>
              </w:rPr>
            </w:pPr>
            <w:r>
              <w:rPr>
                <w:rFonts w:ascii="Times New Roman" w:hAnsi="Times New Roman" w:eastAsia="方正仿宋_GBK" w:cs="Times New Roman"/>
                <w:b w:val="0"/>
                <w:bCs w:val="0"/>
                <w:spacing w:val="-11"/>
                <w:kern w:val="0"/>
              </w:rPr>
              <w:t>2021-2023</w:t>
            </w:r>
          </w:p>
        </w:tc>
        <w:tc>
          <w:tcPr>
            <w:tcW w:w="455"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1000</w:t>
            </w:r>
          </w:p>
        </w:tc>
        <w:tc>
          <w:tcPr>
            <w:tcW w:w="410"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w:t>
            </w:r>
          </w:p>
        </w:tc>
        <w:tc>
          <w:tcPr>
            <w:tcW w:w="695"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spacing w:val="-17"/>
                <w:kern w:val="0"/>
              </w:rPr>
              <w:t>区城市管理局</w:t>
            </w:r>
          </w:p>
        </w:tc>
        <w:tc>
          <w:tcPr>
            <w:tcW w:w="835"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区新城建管委、</w:t>
            </w:r>
            <w:r>
              <w:rPr>
                <w:b w:val="0"/>
                <w:bCs w:val="0"/>
              </w:rPr>
              <w:fldChar w:fldCharType="begin"/>
            </w:r>
            <w:r>
              <w:rPr>
                <w:b w:val="0"/>
                <w:bCs w:val="0"/>
              </w:rPr>
              <w:instrText xml:space="preserve"> HYPERLINK "http://www.baidu.com/link?url=o2tohIjDtuyJ8h3_vEFf5Tzrr9rJh3oGA-OThNBOIrlM-SUArjpsuKRgkS7gBAse_jwwQw3ErxXR_utnW84IKA2Obwpp1WQZRrwHgdaOaoW" \t "_blank" </w:instrText>
            </w:r>
            <w:r>
              <w:rPr>
                <w:b w:val="0"/>
                <w:bCs w:val="0"/>
              </w:rPr>
              <w:fldChar w:fldCharType="separate"/>
            </w:r>
            <w:r>
              <w:rPr>
                <w:rFonts w:ascii="Times New Roman" w:hAnsi="Times New Roman" w:eastAsia="方正仿宋_GBK" w:cs="Times New Roman"/>
                <w:b w:val="0"/>
                <w:bCs w:val="0"/>
                <w:kern w:val="0"/>
              </w:rPr>
              <w:t>凤凰湖产业促进中心</w:t>
            </w:r>
            <w:r>
              <w:rPr>
                <w:rFonts w:ascii="Times New Roman" w:hAnsi="Times New Roman" w:eastAsia="方正仿宋_GBK" w:cs="Times New Roman"/>
                <w:b w:val="0"/>
                <w:bCs w:val="0"/>
                <w:kern w:val="0"/>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6"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369" w:type="pct"/>
            <w:vMerge w:val="restart"/>
            <w:noWrap/>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10</w:t>
            </w:r>
          </w:p>
        </w:tc>
        <w:tc>
          <w:tcPr>
            <w:tcW w:w="555" w:type="pct"/>
            <w:vMerge w:val="restar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城市道路改造工程</w:t>
            </w:r>
          </w:p>
        </w:tc>
        <w:tc>
          <w:tcPr>
            <w:tcW w:w="710"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实施渝西大道、中山大道等老城区及新城中央片区16条主、次干道提升改造工程，改造总面积约37万平方米，其中人行道约21万平方米，车行道约16万平方米</w:t>
            </w:r>
          </w:p>
        </w:tc>
        <w:tc>
          <w:tcPr>
            <w:tcW w:w="592"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spacing w:val="-11"/>
                <w:kern w:val="0"/>
              </w:rPr>
            </w:pPr>
            <w:r>
              <w:rPr>
                <w:rFonts w:ascii="Times New Roman" w:hAnsi="Times New Roman" w:eastAsia="方正仿宋_GBK" w:cs="Times New Roman"/>
                <w:b w:val="0"/>
                <w:bCs w:val="0"/>
                <w:spacing w:val="-11"/>
                <w:kern w:val="0"/>
              </w:rPr>
              <w:t>2022-2024</w:t>
            </w:r>
          </w:p>
        </w:tc>
        <w:tc>
          <w:tcPr>
            <w:tcW w:w="455"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w:t>
            </w:r>
          </w:p>
        </w:tc>
        <w:tc>
          <w:tcPr>
            <w:tcW w:w="410"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28600</w:t>
            </w:r>
          </w:p>
        </w:tc>
        <w:tc>
          <w:tcPr>
            <w:tcW w:w="695"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spacing w:val="-17"/>
                <w:kern w:val="0"/>
              </w:rPr>
              <w:t>区城市管理局</w:t>
            </w:r>
          </w:p>
        </w:tc>
        <w:tc>
          <w:tcPr>
            <w:tcW w:w="835"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b w:val="0"/>
                <w:bCs w:val="0"/>
              </w:rPr>
              <w:fldChar w:fldCharType="begin"/>
            </w:r>
            <w:r>
              <w:rPr>
                <w:b w:val="0"/>
                <w:bCs w:val="0"/>
              </w:rPr>
              <w:instrText xml:space="preserve"> HYPERLINK "http://www.cqyc.gov.cn/zwgk_204/zfxxgk/zfxxgkzn/qzfbm_204/qzfcxjw/index2.html" \t "_blank" </w:instrText>
            </w:r>
            <w:r>
              <w:rPr>
                <w:b w:val="0"/>
                <w:bCs w:val="0"/>
              </w:rPr>
              <w:fldChar w:fldCharType="separate"/>
            </w:r>
            <w:r>
              <w:rPr>
                <w:rFonts w:ascii="Times New Roman" w:hAnsi="Times New Roman" w:eastAsia="方正仿宋_GBK" w:cs="Times New Roman"/>
                <w:b w:val="0"/>
                <w:bCs w:val="0"/>
                <w:kern w:val="0"/>
              </w:rPr>
              <w:t>区住房城乡建委</w:t>
            </w:r>
            <w:r>
              <w:rPr>
                <w:rFonts w:ascii="Times New Roman" w:hAnsi="Times New Roman" w:eastAsia="方正仿宋_GBK" w:cs="Times New Roman"/>
                <w:b w:val="0"/>
                <w:bCs w:val="0"/>
                <w:kern w:val="0"/>
              </w:rPr>
              <w:fldChar w:fldCharType="end"/>
            </w:r>
            <w:r>
              <w:rPr>
                <w:rFonts w:ascii="Times New Roman" w:hAnsi="Times New Roman" w:eastAsia="方正仿宋_GBK" w:cs="Times New Roman"/>
                <w:b w:val="0"/>
                <w:bCs w:val="0"/>
                <w:kern w:val="0"/>
              </w:rPr>
              <w:t>、</w:t>
            </w:r>
            <w:r>
              <w:rPr>
                <w:rFonts w:ascii="Times New Roman" w:hAnsi="Times New Roman" w:eastAsia="方正仿宋_GBK" w:cs="Times New Roman"/>
                <w:b w:val="0"/>
                <w:bCs w:val="0"/>
                <w:spacing w:val="-17"/>
                <w:kern w:val="0"/>
              </w:rPr>
              <w:t>城区各街道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376"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369" w:type="pct"/>
            <w:vMerge w:val="continue"/>
            <w:noWrap/>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555"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710"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实施永师路主干道提升改造工程，总面积约12万平方米，其中人行道约2.7万平方米，车行道约9.3万平方米</w:t>
            </w:r>
          </w:p>
        </w:tc>
        <w:tc>
          <w:tcPr>
            <w:tcW w:w="592"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spacing w:val="-11"/>
                <w:kern w:val="0"/>
              </w:rPr>
            </w:pPr>
            <w:r>
              <w:rPr>
                <w:rFonts w:ascii="Times New Roman" w:hAnsi="Times New Roman" w:eastAsia="方正仿宋_GBK" w:cs="Times New Roman"/>
                <w:b w:val="0"/>
                <w:bCs w:val="0"/>
                <w:spacing w:val="-11"/>
                <w:kern w:val="0"/>
              </w:rPr>
              <w:t>2022-2023</w:t>
            </w:r>
          </w:p>
        </w:tc>
        <w:tc>
          <w:tcPr>
            <w:tcW w:w="455"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w:t>
            </w:r>
          </w:p>
        </w:tc>
        <w:tc>
          <w:tcPr>
            <w:tcW w:w="410"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45624</w:t>
            </w:r>
          </w:p>
        </w:tc>
        <w:tc>
          <w:tcPr>
            <w:tcW w:w="695"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凤凰湖产业促进中心</w:t>
            </w:r>
          </w:p>
        </w:tc>
        <w:tc>
          <w:tcPr>
            <w:tcW w:w="835"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spacing w:val="-17"/>
                <w:kern w:val="0"/>
              </w:rPr>
              <w:fldChar w:fldCharType="begin"/>
            </w:r>
            <w:r>
              <w:rPr>
                <w:rFonts w:ascii="Times New Roman" w:hAnsi="Times New Roman" w:eastAsia="方正仿宋_GBK" w:cs="Times New Roman"/>
                <w:b w:val="0"/>
                <w:bCs w:val="0"/>
                <w:spacing w:val="-17"/>
                <w:kern w:val="0"/>
              </w:rPr>
              <w:instrText xml:space="preserve"> HYPERLINK "http://www.cqyc.gov.cn/zwgk_204/zfxxgk/zfxxgkzn/qzfbm_204/qzfcxjw/index2.html" \t "_blank" </w:instrText>
            </w:r>
            <w:r>
              <w:rPr>
                <w:rFonts w:ascii="Times New Roman" w:hAnsi="Times New Roman" w:eastAsia="方正仿宋_GBK" w:cs="Times New Roman"/>
                <w:b w:val="0"/>
                <w:bCs w:val="0"/>
                <w:spacing w:val="-17"/>
                <w:kern w:val="0"/>
              </w:rPr>
              <w:fldChar w:fldCharType="separate"/>
            </w:r>
            <w:r>
              <w:rPr>
                <w:rFonts w:ascii="Times New Roman" w:hAnsi="Times New Roman" w:eastAsia="方正仿宋_GBK" w:cs="Times New Roman"/>
                <w:b w:val="0"/>
                <w:bCs w:val="0"/>
                <w:spacing w:val="-17"/>
                <w:kern w:val="0"/>
              </w:rPr>
              <w:t>区住房城乡建委</w:t>
            </w:r>
            <w:r>
              <w:rPr>
                <w:rFonts w:ascii="Times New Roman" w:hAnsi="Times New Roman" w:eastAsia="方正仿宋_GBK" w:cs="Times New Roman"/>
                <w:b w:val="0"/>
                <w:bCs w:val="0"/>
                <w:spacing w:val="-17"/>
                <w:kern w:val="0"/>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6" w:type="pct"/>
            <w:vMerge w:val="restar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369" w:type="pct"/>
            <w:vMerge w:val="restart"/>
            <w:noWrap/>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11</w:t>
            </w:r>
          </w:p>
        </w:tc>
        <w:tc>
          <w:tcPr>
            <w:tcW w:w="555" w:type="pct"/>
            <w:vMerge w:val="restar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城市道路附属设施建设改造工程</w:t>
            </w:r>
          </w:p>
        </w:tc>
        <w:tc>
          <w:tcPr>
            <w:tcW w:w="710"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商贸城人行天桥</w:t>
            </w:r>
          </w:p>
        </w:tc>
        <w:tc>
          <w:tcPr>
            <w:tcW w:w="592"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spacing w:val="-11"/>
                <w:kern w:val="0"/>
              </w:rPr>
            </w:pPr>
            <w:r>
              <w:rPr>
                <w:rFonts w:ascii="Times New Roman" w:hAnsi="Times New Roman" w:eastAsia="方正仿宋_GBK" w:cs="Times New Roman"/>
                <w:b w:val="0"/>
                <w:bCs w:val="0"/>
                <w:spacing w:val="-11"/>
                <w:kern w:val="0"/>
              </w:rPr>
              <w:t>2021-2022</w:t>
            </w:r>
          </w:p>
        </w:tc>
        <w:tc>
          <w:tcPr>
            <w:tcW w:w="455"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490</w:t>
            </w:r>
          </w:p>
        </w:tc>
        <w:tc>
          <w:tcPr>
            <w:tcW w:w="410"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w:t>
            </w:r>
          </w:p>
        </w:tc>
        <w:tc>
          <w:tcPr>
            <w:tcW w:w="695"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spacing w:val="-17"/>
                <w:kern w:val="0"/>
              </w:rPr>
              <w:t>区城市管理局</w:t>
            </w:r>
          </w:p>
        </w:tc>
        <w:tc>
          <w:tcPr>
            <w:tcW w:w="835"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6"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369" w:type="pct"/>
            <w:vMerge w:val="continue"/>
            <w:noWrap/>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555"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710"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迎宾大道永川中学门口人行天桥</w:t>
            </w:r>
          </w:p>
        </w:tc>
        <w:tc>
          <w:tcPr>
            <w:tcW w:w="592"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spacing w:val="-11"/>
                <w:kern w:val="0"/>
              </w:rPr>
            </w:pPr>
            <w:r>
              <w:rPr>
                <w:rFonts w:ascii="Times New Roman" w:hAnsi="Times New Roman" w:eastAsia="方正仿宋_GBK" w:cs="Times New Roman"/>
                <w:b w:val="0"/>
                <w:bCs w:val="0"/>
                <w:spacing w:val="-11"/>
                <w:kern w:val="0"/>
              </w:rPr>
              <w:t>2023-2024</w:t>
            </w:r>
          </w:p>
        </w:tc>
        <w:tc>
          <w:tcPr>
            <w:tcW w:w="455"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350</w:t>
            </w:r>
          </w:p>
        </w:tc>
        <w:tc>
          <w:tcPr>
            <w:tcW w:w="410"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w:t>
            </w:r>
          </w:p>
        </w:tc>
        <w:tc>
          <w:tcPr>
            <w:tcW w:w="695" w:type="pct"/>
            <w:vMerge w:val="restar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区城市管理局、区新城建管委</w:t>
            </w:r>
            <w:r>
              <w:rPr>
                <w:rFonts w:hint="eastAsia" w:ascii="Times New Roman" w:hAnsi="Times New Roman" w:eastAsia="方正仿宋_GBK" w:cs="Times New Roman"/>
                <w:b w:val="0"/>
                <w:bCs w:val="0"/>
                <w:kern w:val="0"/>
              </w:rPr>
              <w:t>、区规划自然资源局</w:t>
            </w:r>
          </w:p>
        </w:tc>
        <w:tc>
          <w:tcPr>
            <w:tcW w:w="835" w:type="pct"/>
            <w:vMerge w:val="restar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b w:val="0"/>
                <w:bCs w:val="0"/>
              </w:rPr>
              <w:fldChar w:fldCharType="begin"/>
            </w:r>
            <w:r>
              <w:rPr>
                <w:b w:val="0"/>
                <w:bCs w:val="0"/>
              </w:rPr>
              <w:instrText xml:space="preserve"> HYPERLINK "http://www.cqyc.gov.cn/zwgk_204/zfxxgk/zfxxgkzn/qzfbm_204/qzfcxjw/index2.html" \t "_blank" </w:instrText>
            </w:r>
            <w:r>
              <w:rPr>
                <w:b w:val="0"/>
                <w:bCs w:val="0"/>
              </w:rPr>
              <w:fldChar w:fldCharType="separate"/>
            </w:r>
            <w:r>
              <w:rPr>
                <w:rFonts w:ascii="Times New Roman" w:hAnsi="Times New Roman" w:eastAsia="方正仿宋_GBK" w:cs="Times New Roman"/>
                <w:b w:val="0"/>
                <w:bCs w:val="0"/>
                <w:kern w:val="0"/>
              </w:rPr>
              <w:t>区住房城乡建委</w:t>
            </w:r>
            <w:r>
              <w:rPr>
                <w:rFonts w:ascii="Times New Roman" w:hAnsi="Times New Roman" w:eastAsia="方正仿宋_GBK" w:cs="Times New Roman"/>
                <w:b w:val="0"/>
                <w:bCs w:val="0"/>
                <w:kern w:val="0"/>
              </w:rPr>
              <w:fldChar w:fldCharType="end"/>
            </w:r>
            <w:r>
              <w:rPr>
                <w:rFonts w:ascii="Times New Roman" w:hAnsi="Times New Roman" w:eastAsia="方正仿宋_GBK" w:cs="Times New Roman"/>
                <w:b w:val="0"/>
                <w:bCs w:val="0"/>
                <w:kern w:val="0"/>
              </w:rPr>
              <w:t>、</w:t>
            </w:r>
            <w:r>
              <w:rPr>
                <w:b w:val="0"/>
                <w:bCs w:val="0"/>
              </w:rPr>
              <w:fldChar w:fldCharType="begin"/>
            </w:r>
            <w:r>
              <w:rPr>
                <w:b w:val="0"/>
                <w:bCs w:val="0"/>
              </w:rPr>
              <w:instrText xml:space="preserve"> HYPERLINK "http://www.baidu.com/link?url=o2tohIjDtuyJ8h3_vEFf5Tzrr9rJh3oGA-OThNBOIrlM-SUArjpsuKRgkS7gBAse_jwwQw3ErxXR_utnW84IKA2Obwpp1WQZRrwHgdaOaoW" \t "_blank" </w:instrText>
            </w:r>
            <w:r>
              <w:rPr>
                <w:b w:val="0"/>
                <w:bCs w:val="0"/>
              </w:rPr>
              <w:fldChar w:fldCharType="separate"/>
            </w:r>
            <w:r>
              <w:rPr>
                <w:rFonts w:ascii="Times New Roman" w:hAnsi="Times New Roman" w:eastAsia="方正仿宋_GBK" w:cs="Times New Roman"/>
                <w:b w:val="0"/>
                <w:bCs w:val="0"/>
                <w:kern w:val="0"/>
              </w:rPr>
              <w:t>凤凰湖产业促进中心</w:t>
            </w:r>
            <w:r>
              <w:rPr>
                <w:rFonts w:ascii="Times New Roman" w:hAnsi="Times New Roman" w:eastAsia="方正仿宋_GBK" w:cs="Times New Roman"/>
                <w:b w:val="0"/>
                <w:bCs w:val="0"/>
                <w:kern w:val="0"/>
              </w:rPr>
              <w:fldChar w:fldCharType="end"/>
            </w:r>
            <w:r>
              <w:rPr>
                <w:rFonts w:ascii="Times New Roman" w:hAnsi="Times New Roman" w:eastAsia="方正仿宋_GBK" w:cs="Times New Roman"/>
                <w:b w:val="0"/>
                <w:bCs w:val="0"/>
                <w:kern w:val="0"/>
              </w:rPr>
              <w:t>、城区各街道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6"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369" w:type="pct"/>
            <w:vMerge w:val="continue"/>
            <w:noWrap/>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555"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710"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望城、永川中学、文理学院、凰城华府等人行天桥，兴龙湖地下通道</w:t>
            </w:r>
          </w:p>
        </w:tc>
        <w:tc>
          <w:tcPr>
            <w:tcW w:w="592"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spacing w:val="-11"/>
                <w:kern w:val="0"/>
              </w:rPr>
            </w:pPr>
            <w:r>
              <w:rPr>
                <w:rFonts w:ascii="Times New Roman" w:hAnsi="Times New Roman" w:eastAsia="方正仿宋_GBK" w:cs="Times New Roman"/>
                <w:b w:val="0"/>
                <w:bCs w:val="0"/>
                <w:spacing w:val="-11"/>
                <w:kern w:val="0"/>
              </w:rPr>
              <w:t>2021-2022</w:t>
            </w:r>
          </w:p>
        </w:tc>
        <w:tc>
          <w:tcPr>
            <w:tcW w:w="455"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3350</w:t>
            </w:r>
          </w:p>
        </w:tc>
        <w:tc>
          <w:tcPr>
            <w:tcW w:w="410"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w:t>
            </w:r>
          </w:p>
        </w:tc>
        <w:tc>
          <w:tcPr>
            <w:tcW w:w="695"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835"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6"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369" w:type="pct"/>
            <w:vMerge w:val="continue"/>
            <w:noWrap/>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555"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710"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红旗小学、协信星光、万达五洲、永川中学（新校区）等人行天桥</w:t>
            </w:r>
          </w:p>
        </w:tc>
        <w:tc>
          <w:tcPr>
            <w:tcW w:w="592"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spacing w:val="-11"/>
                <w:kern w:val="0"/>
              </w:rPr>
            </w:pPr>
            <w:r>
              <w:rPr>
                <w:rFonts w:ascii="Times New Roman" w:hAnsi="Times New Roman" w:eastAsia="方正仿宋_GBK" w:cs="Times New Roman"/>
                <w:b w:val="0"/>
                <w:bCs w:val="0"/>
                <w:spacing w:val="-11"/>
                <w:kern w:val="0"/>
              </w:rPr>
              <w:t>2022-2023</w:t>
            </w:r>
          </w:p>
        </w:tc>
        <w:tc>
          <w:tcPr>
            <w:tcW w:w="455"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2450</w:t>
            </w:r>
          </w:p>
        </w:tc>
        <w:tc>
          <w:tcPr>
            <w:tcW w:w="410"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w:t>
            </w:r>
          </w:p>
        </w:tc>
        <w:tc>
          <w:tcPr>
            <w:tcW w:w="695"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835"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6"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369" w:type="pct"/>
            <w:vMerge w:val="continue"/>
            <w:noWrap/>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555"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710"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汇龙小学人民北路交叉口人行天桥</w:t>
            </w:r>
          </w:p>
        </w:tc>
        <w:tc>
          <w:tcPr>
            <w:tcW w:w="592"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spacing w:val="-11"/>
                <w:kern w:val="0"/>
              </w:rPr>
            </w:pPr>
            <w:r>
              <w:rPr>
                <w:rFonts w:ascii="Times New Roman" w:hAnsi="Times New Roman" w:eastAsia="方正仿宋_GBK" w:cs="Times New Roman"/>
                <w:b w:val="0"/>
                <w:bCs w:val="0"/>
                <w:spacing w:val="-11"/>
                <w:kern w:val="0"/>
              </w:rPr>
              <w:t>2024-2025</w:t>
            </w:r>
          </w:p>
        </w:tc>
        <w:tc>
          <w:tcPr>
            <w:tcW w:w="455"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400</w:t>
            </w:r>
          </w:p>
        </w:tc>
        <w:tc>
          <w:tcPr>
            <w:tcW w:w="410"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w:t>
            </w:r>
          </w:p>
        </w:tc>
        <w:tc>
          <w:tcPr>
            <w:tcW w:w="695"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835"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6"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369" w:type="pct"/>
            <w:vMerge w:val="continue"/>
            <w:noWrap/>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555"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710"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开展城市道路无障碍设施提质20公里</w:t>
            </w:r>
          </w:p>
        </w:tc>
        <w:tc>
          <w:tcPr>
            <w:tcW w:w="592"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spacing w:val="-11"/>
                <w:kern w:val="0"/>
              </w:rPr>
            </w:pPr>
            <w:r>
              <w:rPr>
                <w:rFonts w:ascii="Times New Roman" w:hAnsi="Times New Roman" w:eastAsia="方正仿宋_GBK" w:cs="Times New Roman"/>
                <w:b w:val="0"/>
                <w:bCs w:val="0"/>
                <w:spacing w:val="-11"/>
                <w:kern w:val="0"/>
              </w:rPr>
              <w:t>2022-2024</w:t>
            </w:r>
          </w:p>
        </w:tc>
        <w:tc>
          <w:tcPr>
            <w:tcW w:w="455"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w:t>
            </w:r>
          </w:p>
        </w:tc>
        <w:tc>
          <w:tcPr>
            <w:tcW w:w="410"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2000</w:t>
            </w:r>
          </w:p>
        </w:tc>
        <w:tc>
          <w:tcPr>
            <w:tcW w:w="695"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spacing w:val="-17"/>
                <w:kern w:val="0"/>
              </w:rPr>
            </w:pPr>
            <w:r>
              <w:rPr>
                <w:rFonts w:ascii="Times New Roman" w:hAnsi="Times New Roman" w:eastAsia="方正仿宋_GBK" w:cs="Times New Roman"/>
                <w:b w:val="0"/>
                <w:bCs w:val="0"/>
                <w:spacing w:val="-17"/>
                <w:kern w:val="0"/>
              </w:rPr>
              <w:t>区城市管理局</w:t>
            </w:r>
          </w:p>
        </w:tc>
        <w:tc>
          <w:tcPr>
            <w:tcW w:w="835"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spacing w:val="-17"/>
                <w:kern w:val="0"/>
              </w:rPr>
            </w:pPr>
            <w:r>
              <w:rPr>
                <w:rFonts w:ascii="Times New Roman" w:hAnsi="Times New Roman" w:eastAsia="方正仿宋_GBK" w:cs="Times New Roman"/>
                <w:b w:val="0"/>
                <w:bCs w:val="0"/>
                <w:spacing w:val="-17"/>
                <w:kern w:val="0"/>
              </w:rPr>
              <w:fldChar w:fldCharType="begin"/>
            </w:r>
            <w:r>
              <w:rPr>
                <w:rFonts w:ascii="Times New Roman" w:hAnsi="Times New Roman" w:eastAsia="方正仿宋_GBK" w:cs="Times New Roman"/>
                <w:b w:val="0"/>
                <w:bCs w:val="0"/>
                <w:spacing w:val="-17"/>
                <w:kern w:val="0"/>
              </w:rPr>
              <w:instrText xml:space="preserve"> HYPERLINK "http://www.cqyc.gov.cn/zwgk_204/zfxxgk/zfxxgkzn/qzfbm_204/qzfcxjw/index2.html" \t "_blank" </w:instrText>
            </w:r>
            <w:r>
              <w:rPr>
                <w:rFonts w:ascii="Times New Roman" w:hAnsi="Times New Roman" w:eastAsia="方正仿宋_GBK" w:cs="Times New Roman"/>
                <w:b w:val="0"/>
                <w:bCs w:val="0"/>
                <w:spacing w:val="-17"/>
                <w:kern w:val="0"/>
              </w:rPr>
              <w:fldChar w:fldCharType="separate"/>
            </w:r>
            <w:r>
              <w:rPr>
                <w:rFonts w:ascii="Times New Roman" w:hAnsi="Times New Roman" w:eastAsia="方正仿宋_GBK" w:cs="Times New Roman"/>
                <w:b w:val="0"/>
                <w:bCs w:val="0"/>
                <w:spacing w:val="-17"/>
                <w:kern w:val="0"/>
              </w:rPr>
              <w:t>区住房城乡建委</w:t>
            </w:r>
            <w:r>
              <w:rPr>
                <w:rFonts w:ascii="Times New Roman" w:hAnsi="Times New Roman" w:eastAsia="方正仿宋_GBK" w:cs="Times New Roman"/>
                <w:b w:val="0"/>
                <w:bCs w:val="0"/>
                <w:spacing w:val="-17"/>
                <w:kern w:val="0"/>
              </w:rPr>
              <w:fldChar w:fldCharType="end"/>
            </w:r>
            <w:r>
              <w:rPr>
                <w:rFonts w:ascii="Times New Roman" w:hAnsi="Times New Roman" w:eastAsia="方正仿宋_GBK" w:cs="Times New Roman"/>
                <w:b w:val="0"/>
                <w:bCs w:val="0"/>
                <w:spacing w:val="-17"/>
                <w:kern w:val="0"/>
              </w:rPr>
              <w:t>、城区各街道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6"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369" w:type="pct"/>
            <w:vMerge w:val="continue"/>
            <w:noWrap/>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555"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710"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拟建公交站牌50个、公交站台20个，并根据城区公交线路优化调整随之增加相应的公交基础设施建设</w:t>
            </w:r>
          </w:p>
        </w:tc>
        <w:tc>
          <w:tcPr>
            <w:tcW w:w="592"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spacing w:val="-11"/>
                <w:kern w:val="0"/>
              </w:rPr>
            </w:pPr>
            <w:r>
              <w:rPr>
                <w:rFonts w:ascii="Times New Roman" w:hAnsi="Times New Roman" w:eastAsia="方正仿宋_GBK" w:cs="Times New Roman"/>
                <w:b w:val="0"/>
                <w:bCs w:val="0"/>
                <w:spacing w:val="-11"/>
                <w:kern w:val="0"/>
              </w:rPr>
              <w:t>2022-2025</w:t>
            </w:r>
          </w:p>
        </w:tc>
        <w:tc>
          <w:tcPr>
            <w:tcW w:w="455"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300</w:t>
            </w:r>
          </w:p>
        </w:tc>
        <w:tc>
          <w:tcPr>
            <w:tcW w:w="410"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w:t>
            </w:r>
          </w:p>
        </w:tc>
        <w:tc>
          <w:tcPr>
            <w:tcW w:w="695"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区新城建管委、</w:t>
            </w:r>
            <w:r>
              <w:rPr>
                <w:b w:val="0"/>
                <w:bCs w:val="0"/>
              </w:rPr>
              <w:fldChar w:fldCharType="begin"/>
            </w:r>
            <w:r>
              <w:rPr>
                <w:b w:val="0"/>
                <w:bCs w:val="0"/>
              </w:rPr>
              <w:instrText xml:space="preserve"> HYPERLINK "http://www.baidu.com/link?url=o2tohIjDtuyJ8h3_vEFf5Tzrr9rJh3oGA-OThNBOIrlM-SUArjpsuKRgkS7gBAse_jwwQw3ErxXR_utnW84IKA2Obwpp1WQZRrwHgdaOaoW" \t "_blank" </w:instrText>
            </w:r>
            <w:r>
              <w:rPr>
                <w:b w:val="0"/>
                <w:bCs w:val="0"/>
              </w:rPr>
              <w:fldChar w:fldCharType="separate"/>
            </w:r>
            <w:r>
              <w:rPr>
                <w:rFonts w:ascii="Times New Roman" w:hAnsi="Times New Roman" w:eastAsia="方正仿宋_GBK" w:cs="Times New Roman"/>
                <w:b w:val="0"/>
                <w:bCs w:val="0"/>
                <w:kern w:val="0"/>
              </w:rPr>
              <w:t>凤凰湖</w:t>
            </w:r>
            <w:r>
              <w:rPr>
                <w:rFonts w:ascii="Times New Roman" w:hAnsi="Times New Roman" w:eastAsia="方正仿宋_GBK" w:cs="Times New Roman"/>
                <w:b w:val="0"/>
                <w:bCs w:val="0"/>
                <w:spacing w:val="-17"/>
                <w:kern w:val="0"/>
              </w:rPr>
              <w:t>产业促进中心</w:t>
            </w:r>
            <w:r>
              <w:rPr>
                <w:rFonts w:ascii="Times New Roman" w:hAnsi="Times New Roman" w:eastAsia="方正仿宋_GBK" w:cs="Times New Roman"/>
                <w:b w:val="0"/>
                <w:bCs w:val="0"/>
                <w:kern w:val="0"/>
              </w:rPr>
              <w:fldChar w:fldCharType="end"/>
            </w:r>
          </w:p>
        </w:tc>
        <w:tc>
          <w:tcPr>
            <w:tcW w:w="835"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rPr>
            </w:pPr>
            <w:r>
              <w:rPr>
                <w:rFonts w:ascii="Times New Roman" w:hAnsi="Times New Roman" w:eastAsia="方正仿宋_GBK" w:cs="Times New Roman"/>
                <w:b w:val="0"/>
                <w:bCs w:val="0"/>
                <w:kern w:val="0"/>
              </w:rPr>
              <w:t>区公共交通有限公司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6"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369" w:type="pct"/>
            <w:vMerge w:val="continue"/>
            <w:noWrap/>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555"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710"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更新改造语音播报站牌90个</w:t>
            </w:r>
          </w:p>
        </w:tc>
        <w:tc>
          <w:tcPr>
            <w:tcW w:w="592"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spacing w:val="-11"/>
                <w:kern w:val="0"/>
              </w:rPr>
            </w:pPr>
            <w:r>
              <w:rPr>
                <w:rFonts w:ascii="Times New Roman" w:hAnsi="Times New Roman" w:eastAsia="方正仿宋_GBK" w:cs="Times New Roman"/>
                <w:b w:val="0"/>
                <w:bCs w:val="0"/>
                <w:spacing w:val="-11"/>
                <w:kern w:val="0"/>
              </w:rPr>
              <w:t>2022-2024</w:t>
            </w:r>
          </w:p>
        </w:tc>
        <w:tc>
          <w:tcPr>
            <w:tcW w:w="455"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540</w:t>
            </w:r>
          </w:p>
        </w:tc>
        <w:tc>
          <w:tcPr>
            <w:tcW w:w="410"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w:t>
            </w:r>
          </w:p>
        </w:tc>
        <w:tc>
          <w:tcPr>
            <w:tcW w:w="695"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spacing w:val="-17"/>
                <w:kern w:val="0"/>
              </w:rPr>
              <w:t>区城市管理局</w:t>
            </w:r>
          </w:p>
        </w:tc>
        <w:tc>
          <w:tcPr>
            <w:tcW w:w="835"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区公共交通有限公司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6"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369" w:type="pct"/>
            <w:noWrap/>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12</w:t>
            </w:r>
          </w:p>
        </w:tc>
        <w:tc>
          <w:tcPr>
            <w:tcW w:w="555"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城市桥梁健康</w:t>
            </w:r>
            <w:r>
              <w:rPr>
                <w:rFonts w:ascii="Times New Roman" w:hAnsi="Times New Roman" w:eastAsia="方正仿宋_GBK" w:cs="Times New Roman"/>
                <w:b w:val="0"/>
                <w:bCs w:val="0"/>
                <w:spacing w:val="-17"/>
                <w:kern w:val="0"/>
              </w:rPr>
              <w:t>监测工程</w:t>
            </w:r>
          </w:p>
        </w:tc>
        <w:tc>
          <w:tcPr>
            <w:tcW w:w="710"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开展城市桥梁结构设施安全检测、实时监测及病害桥梁维修工作，重点实施毛家坡等大桥智慧化实时健康监测工程</w:t>
            </w:r>
          </w:p>
        </w:tc>
        <w:tc>
          <w:tcPr>
            <w:tcW w:w="592"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spacing w:val="-11"/>
                <w:kern w:val="0"/>
              </w:rPr>
            </w:pPr>
            <w:r>
              <w:rPr>
                <w:rFonts w:ascii="Times New Roman" w:hAnsi="Times New Roman" w:eastAsia="方正仿宋_GBK" w:cs="Times New Roman"/>
                <w:b w:val="0"/>
                <w:bCs w:val="0"/>
                <w:spacing w:val="-11"/>
                <w:kern w:val="0"/>
              </w:rPr>
              <w:t>2021-2025</w:t>
            </w:r>
          </w:p>
        </w:tc>
        <w:tc>
          <w:tcPr>
            <w:tcW w:w="455"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1600</w:t>
            </w:r>
          </w:p>
        </w:tc>
        <w:tc>
          <w:tcPr>
            <w:tcW w:w="410"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w:t>
            </w:r>
          </w:p>
        </w:tc>
        <w:tc>
          <w:tcPr>
            <w:tcW w:w="695"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区城市管理局、区新城建管委、</w:t>
            </w:r>
            <w:r>
              <w:rPr>
                <w:b w:val="0"/>
                <w:bCs w:val="0"/>
              </w:rPr>
              <w:fldChar w:fldCharType="begin"/>
            </w:r>
            <w:r>
              <w:rPr>
                <w:b w:val="0"/>
                <w:bCs w:val="0"/>
              </w:rPr>
              <w:instrText xml:space="preserve"> HYPERLINK "http://www.baidu.com/link?url=o2tohIjDtuyJ8h3_vEFf5Tzrr9rJh3oGA-OThNBOIrlM-SUArjpsuKRgkS7gBAse_jwwQw3ErxXR_utnW84IKA2Obwpp1WQZRrwHgdaOaoW" \t "_blank" </w:instrText>
            </w:r>
            <w:r>
              <w:rPr>
                <w:b w:val="0"/>
                <w:bCs w:val="0"/>
              </w:rPr>
              <w:fldChar w:fldCharType="separate"/>
            </w:r>
            <w:r>
              <w:rPr>
                <w:rFonts w:ascii="Times New Roman" w:hAnsi="Times New Roman" w:eastAsia="方正仿宋_GBK" w:cs="Times New Roman"/>
                <w:b w:val="0"/>
                <w:bCs w:val="0"/>
                <w:kern w:val="0"/>
              </w:rPr>
              <w:t>凤凰湖产业促进中心</w:t>
            </w:r>
            <w:r>
              <w:rPr>
                <w:rFonts w:ascii="Times New Roman" w:hAnsi="Times New Roman" w:eastAsia="方正仿宋_GBK" w:cs="Times New Roman"/>
                <w:b w:val="0"/>
                <w:bCs w:val="0"/>
                <w:kern w:val="0"/>
              </w:rPr>
              <w:fldChar w:fldCharType="end"/>
            </w:r>
          </w:p>
        </w:tc>
        <w:tc>
          <w:tcPr>
            <w:tcW w:w="835"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6"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369" w:type="pct"/>
            <w:noWrap/>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13</w:t>
            </w:r>
          </w:p>
        </w:tc>
        <w:tc>
          <w:tcPr>
            <w:tcW w:w="555"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实施“多杆合一”</w:t>
            </w:r>
            <w:r>
              <w:rPr>
                <w:rFonts w:ascii="Times New Roman" w:hAnsi="Times New Roman" w:eastAsia="方正仿宋_GBK" w:cs="Times New Roman"/>
                <w:b w:val="0"/>
                <w:bCs w:val="0"/>
                <w:spacing w:val="-17"/>
                <w:kern w:val="0"/>
              </w:rPr>
              <w:t>项目试点</w:t>
            </w:r>
          </w:p>
        </w:tc>
        <w:tc>
          <w:tcPr>
            <w:tcW w:w="710"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实施与现行路灯智能化控制系统数据有机融合的“多杆合一”项目试点并逐年推广，结合旧城改造或新城城市道路建设工程打造1条“多</w:t>
            </w:r>
            <w:r>
              <w:rPr>
                <w:rFonts w:ascii="Times New Roman" w:hAnsi="Times New Roman" w:eastAsia="方正仿宋_GBK" w:cs="Times New Roman"/>
                <w:b w:val="0"/>
                <w:bCs w:val="0"/>
                <w:spacing w:val="-17"/>
                <w:kern w:val="0"/>
              </w:rPr>
              <w:t>杆合一”示范标杆道路。</w:t>
            </w:r>
          </w:p>
        </w:tc>
        <w:tc>
          <w:tcPr>
            <w:tcW w:w="592"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spacing w:val="-11"/>
                <w:kern w:val="0"/>
              </w:rPr>
            </w:pPr>
            <w:r>
              <w:rPr>
                <w:rFonts w:ascii="Times New Roman" w:hAnsi="Times New Roman" w:eastAsia="方正仿宋_GBK" w:cs="Times New Roman"/>
                <w:b w:val="0"/>
                <w:bCs w:val="0"/>
                <w:spacing w:val="-11"/>
                <w:kern w:val="0"/>
              </w:rPr>
              <w:t>2022-2024</w:t>
            </w:r>
          </w:p>
        </w:tc>
        <w:tc>
          <w:tcPr>
            <w:tcW w:w="455"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5000</w:t>
            </w:r>
          </w:p>
        </w:tc>
        <w:tc>
          <w:tcPr>
            <w:tcW w:w="410"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w:t>
            </w:r>
          </w:p>
        </w:tc>
        <w:tc>
          <w:tcPr>
            <w:tcW w:w="695"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区城市管理局</w:t>
            </w:r>
          </w:p>
        </w:tc>
        <w:tc>
          <w:tcPr>
            <w:tcW w:w="835"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区公安局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376"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369" w:type="pct"/>
            <w:vMerge w:val="restart"/>
            <w:noWrap/>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14</w:t>
            </w:r>
          </w:p>
        </w:tc>
        <w:tc>
          <w:tcPr>
            <w:tcW w:w="555" w:type="pct"/>
            <w:vMerge w:val="restar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spacing w:val="-17"/>
                <w:kern w:val="0"/>
              </w:rPr>
              <w:t>户外广告、店招整改工程</w:t>
            </w:r>
          </w:p>
        </w:tc>
        <w:tc>
          <w:tcPr>
            <w:tcW w:w="710"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完成城市建成区100公里以上街道（含商圈）中违规、破旧店招店牌整治建设，拆旧建新店招店牌计8</w:t>
            </w:r>
            <w:r>
              <w:rPr>
                <w:rFonts w:ascii="Times New Roman" w:hAnsi="Times New Roman" w:eastAsia="方正仿宋_GBK" w:cs="Times New Roman"/>
                <w:b w:val="0"/>
                <w:bCs w:val="0"/>
                <w:spacing w:val="-17"/>
                <w:kern w:val="0"/>
              </w:rPr>
              <w:t>万平方米以上</w:t>
            </w:r>
          </w:p>
        </w:tc>
        <w:tc>
          <w:tcPr>
            <w:tcW w:w="592"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spacing w:val="-11"/>
                <w:kern w:val="0"/>
              </w:rPr>
            </w:pPr>
            <w:r>
              <w:rPr>
                <w:rFonts w:ascii="Times New Roman" w:hAnsi="Times New Roman" w:eastAsia="方正仿宋_GBK" w:cs="Times New Roman"/>
                <w:b w:val="0"/>
                <w:bCs w:val="0"/>
                <w:spacing w:val="-11"/>
                <w:kern w:val="0"/>
              </w:rPr>
              <w:t>2022-2025</w:t>
            </w:r>
          </w:p>
        </w:tc>
        <w:tc>
          <w:tcPr>
            <w:tcW w:w="455"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8700</w:t>
            </w:r>
          </w:p>
        </w:tc>
        <w:tc>
          <w:tcPr>
            <w:tcW w:w="410"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w:t>
            </w:r>
          </w:p>
        </w:tc>
        <w:tc>
          <w:tcPr>
            <w:tcW w:w="695" w:type="pct"/>
            <w:vMerge w:val="restar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区城市管理局</w:t>
            </w:r>
          </w:p>
        </w:tc>
        <w:tc>
          <w:tcPr>
            <w:tcW w:w="835" w:type="pct"/>
            <w:vMerge w:val="restar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b w:val="0"/>
                <w:bCs w:val="0"/>
              </w:rPr>
              <w:fldChar w:fldCharType="begin"/>
            </w:r>
            <w:r>
              <w:rPr>
                <w:b w:val="0"/>
                <w:bCs w:val="0"/>
              </w:rPr>
              <w:instrText xml:space="preserve"> HYPERLINK "http://www.cqyc.gov.cn/zwgk_204/zfxxgk/zfxxgkzn/qzfbm_204/qzfcxjw/index2.html" \t "_blank" </w:instrText>
            </w:r>
            <w:r>
              <w:rPr>
                <w:b w:val="0"/>
                <w:bCs w:val="0"/>
              </w:rPr>
              <w:fldChar w:fldCharType="separate"/>
            </w:r>
            <w:r>
              <w:rPr>
                <w:rFonts w:ascii="Times New Roman" w:hAnsi="Times New Roman" w:eastAsia="方正仿宋_GBK" w:cs="Times New Roman"/>
                <w:b w:val="0"/>
                <w:bCs w:val="0"/>
                <w:kern w:val="0"/>
              </w:rPr>
              <w:t>区住房城乡建委</w:t>
            </w:r>
            <w:r>
              <w:rPr>
                <w:rFonts w:ascii="Times New Roman" w:hAnsi="Times New Roman" w:eastAsia="方正仿宋_GBK" w:cs="Times New Roman"/>
                <w:b w:val="0"/>
                <w:bCs w:val="0"/>
                <w:kern w:val="0"/>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6"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369" w:type="pct"/>
            <w:vMerge w:val="continue"/>
            <w:noWrap/>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555"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710"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实施人行过街天桥正立面高清LED显示屏建设工程</w:t>
            </w:r>
          </w:p>
        </w:tc>
        <w:tc>
          <w:tcPr>
            <w:tcW w:w="592"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spacing w:val="-11"/>
                <w:kern w:val="0"/>
              </w:rPr>
            </w:pPr>
            <w:r>
              <w:rPr>
                <w:rFonts w:ascii="Times New Roman" w:hAnsi="Times New Roman" w:eastAsia="方正仿宋_GBK" w:cs="Times New Roman"/>
                <w:b w:val="0"/>
                <w:bCs w:val="0"/>
                <w:spacing w:val="-11"/>
                <w:kern w:val="0"/>
              </w:rPr>
              <w:t>2022-2025</w:t>
            </w:r>
          </w:p>
        </w:tc>
        <w:tc>
          <w:tcPr>
            <w:tcW w:w="455"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w:t>
            </w:r>
          </w:p>
        </w:tc>
        <w:tc>
          <w:tcPr>
            <w:tcW w:w="410"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1000</w:t>
            </w:r>
          </w:p>
        </w:tc>
        <w:tc>
          <w:tcPr>
            <w:tcW w:w="695"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835"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6" w:type="pct"/>
            <w:vMerge w:val="restar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市容</w:t>
            </w:r>
          </w:p>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环卫</w:t>
            </w:r>
          </w:p>
        </w:tc>
        <w:tc>
          <w:tcPr>
            <w:tcW w:w="369" w:type="pct"/>
            <w:noWrap/>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15</w:t>
            </w:r>
          </w:p>
        </w:tc>
        <w:tc>
          <w:tcPr>
            <w:tcW w:w="555"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spacing w:val="-17"/>
                <w:kern w:val="0"/>
              </w:rPr>
              <w:t>农村垃圾压缩站配套设施建设</w:t>
            </w:r>
          </w:p>
        </w:tc>
        <w:tc>
          <w:tcPr>
            <w:tcW w:w="710"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农村原有8个压缩站增加8个配套箱体</w:t>
            </w:r>
          </w:p>
        </w:tc>
        <w:tc>
          <w:tcPr>
            <w:tcW w:w="592"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spacing w:val="-11"/>
                <w:kern w:val="0"/>
              </w:rPr>
            </w:pPr>
            <w:r>
              <w:rPr>
                <w:rFonts w:ascii="Times New Roman" w:hAnsi="Times New Roman" w:eastAsia="方正仿宋_GBK" w:cs="Times New Roman"/>
                <w:b w:val="0"/>
                <w:bCs w:val="0"/>
                <w:spacing w:val="-11"/>
                <w:kern w:val="0"/>
              </w:rPr>
              <w:t>2021-2023</w:t>
            </w:r>
          </w:p>
        </w:tc>
        <w:tc>
          <w:tcPr>
            <w:tcW w:w="455"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160</w:t>
            </w:r>
          </w:p>
        </w:tc>
        <w:tc>
          <w:tcPr>
            <w:tcW w:w="410"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w:t>
            </w:r>
          </w:p>
        </w:tc>
        <w:tc>
          <w:tcPr>
            <w:tcW w:w="695"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区城市管理局</w:t>
            </w:r>
          </w:p>
        </w:tc>
        <w:tc>
          <w:tcPr>
            <w:tcW w:w="835"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各镇街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6"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369" w:type="pct"/>
            <w:noWrap/>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16</w:t>
            </w:r>
          </w:p>
        </w:tc>
        <w:tc>
          <w:tcPr>
            <w:tcW w:w="555"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城区生活垃圾分类系统建设</w:t>
            </w:r>
          </w:p>
        </w:tc>
        <w:tc>
          <w:tcPr>
            <w:tcW w:w="710"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配置240L“四分类”垃圾桶8280个，配置垃圾分类收运车8台，建设再生资源回收点207个</w:t>
            </w:r>
          </w:p>
        </w:tc>
        <w:tc>
          <w:tcPr>
            <w:tcW w:w="592"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spacing w:val="-11"/>
                <w:kern w:val="0"/>
              </w:rPr>
            </w:pPr>
            <w:r>
              <w:rPr>
                <w:rFonts w:ascii="Times New Roman" w:hAnsi="Times New Roman" w:eastAsia="方正仿宋_GBK" w:cs="Times New Roman"/>
                <w:b w:val="0"/>
                <w:bCs w:val="0"/>
                <w:spacing w:val="-11"/>
                <w:kern w:val="0"/>
              </w:rPr>
              <w:t>2021-2025</w:t>
            </w:r>
          </w:p>
        </w:tc>
        <w:tc>
          <w:tcPr>
            <w:tcW w:w="455"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900</w:t>
            </w:r>
          </w:p>
        </w:tc>
        <w:tc>
          <w:tcPr>
            <w:tcW w:w="410"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w:t>
            </w:r>
          </w:p>
        </w:tc>
        <w:tc>
          <w:tcPr>
            <w:tcW w:w="695"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spacing w:val="-17"/>
                <w:kern w:val="0"/>
              </w:rPr>
            </w:pPr>
            <w:r>
              <w:rPr>
                <w:rFonts w:ascii="Times New Roman" w:hAnsi="Times New Roman" w:eastAsia="方正仿宋_GBK" w:cs="Times New Roman"/>
                <w:b w:val="0"/>
                <w:bCs w:val="0"/>
                <w:spacing w:val="-17"/>
                <w:kern w:val="0"/>
              </w:rPr>
              <w:t>区城市管理局</w:t>
            </w:r>
          </w:p>
        </w:tc>
        <w:tc>
          <w:tcPr>
            <w:tcW w:w="835"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各镇街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6"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369" w:type="pct"/>
            <w:noWrap/>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17</w:t>
            </w:r>
          </w:p>
        </w:tc>
        <w:tc>
          <w:tcPr>
            <w:tcW w:w="555"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垃圾中转站污水处理设施</w:t>
            </w:r>
          </w:p>
        </w:tc>
        <w:tc>
          <w:tcPr>
            <w:tcW w:w="710"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建设1个城区压缩垃圾中转站及8座农村压缩站污水处理系统，新增1辆化粪池专用清掏车</w:t>
            </w:r>
          </w:p>
        </w:tc>
        <w:tc>
          <w:tcPr>
            <w:tcW w:w="592"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spacing w:val="-11"/>
                <w:kern w:val="0"/>
              </w:rPr>
            </w:pPr>
            <w:r>
              <w:rPr>
                <w:rFonts w:ascii="Times New Roman" w:hAnsi="Times New Roman" w:eastAsia="方正仿宋_GBK" w:cs="Times New Roman"/>
                <w:b w:val="0"/>
                <w:bCs w:val="0"/>
                <w:spacing w:val="-11"/>
                <w:kern w:val="0"/>
              </w:rPr>
              <w:t>2021-2024</w:t>
            </w:r>
          </w:p>
        </w:tc>
        <w:tc>
          <w:tcPr>
            <w:tcW w:w="455"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1150</w:t>
            </w:r>
          </w:p>
        </w:tc>
        <w:tc>
          <w:tcPr>
            <w:tcW w:w="410"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w:t>
            </w:r>
          </w:p>
        </w:tc>
        <w:tc>
          <w:tcPr>
            <w:tcW w:w="695"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spacing w:val="-17"/>
                <w:kern w:val="0"/>
              </w:rPr>
            </w:pPr>
            <w:r>
              <w:rPr>
                <w:rFonts w:ascii="Times New Roman" w:hAnsi="Times New Roman" w:eastAsia="方正仿宋_GBK" w:cs="Times New Roman"/>
                <w:b w:val="0"/>
                <w:bCs w:val="0"/>
                <w:spacing w:val="-17"/>
                <w:kern w:val="0"/>
              </w:rPr>
              <w:t>区城市管理局</w:t>
            </w:r>
          </w:p>
        </w:tc>
        <w:tc>
          <w:tcPr>
            <w:tcW w:w="835"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6"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369" w:type="pct"/>
            <w:noWrap/>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18</w:t>
            </w:r>
          </w:p>
        </w:tc>
        <w:tc>
          <w:tcPr>
            <w:tcW w:w="555"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生活垃圾焚烧发电二期工程</w:t>
            </w:r>
          </w:p>
        </w:tc>
        <w:tc>
          <w:tcPr>
            <w:tcW w:w="710"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根据生活垃圾产生量适时扩建生产线1条</w:t>
            </w:r>
          </w:p>
        </w:tc>
        <w:tc>
          <w:tcPr>
            <w:tcW w:w="592"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spacing w:val="-11"/>
                <w:kern w:val="0"/>
              </w:rPr>
            </w:pPr>
            <w:r>
              <w:rPr>
                <w:rFonts w:ascii="Times New Roman" w:hAnsi="Times New Roman" w:eastAsia="方正仿宋_GBK" w:cs="Times New Roman"/>
                <w:b w:val="0"/>
                <w:bCs w:val="0"/>
                <w:spacing w:val="-11"/>
                <w:kern w:val="0"/>
              </w:rPr>
              <w:t>2023-2025（适时启动）</w:t>
            </w:r>
          </w:p>
        </w:tc>
        <w:tc>
          <w:tcPr>
            <w:tcW w:w="455"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w:t>
            </w:r>
          </w:p>
        </w:tc>
        <w:tc>
          <w:tcPr>
            <w:tcW w:w="410"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35000</w:t>
            </w:r>
          </w:p>
        </w:tc>
        <w:tc>
          <w:tcPr>
            <w:tcW w:w="695"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spacing w:val="-17"/>
                <w:kern w:val="0"/>
              </w:rPr>
            </w:pPr>
            <w:r>
              <w:rPr>
                <w:rFonts w:ascii="Times New Roman" w:hAnsi="Times New Roman" w:eastAsia="方正仿宋_GBK" w:cs="Times New Roman"/>
                <w:b w:val="0"/>
                <w:bCs w:val="0"/>
                <w:spacing w:val="-17"/>
                <w:kern w:val="0"/>
              </w:rPr>
              <w:t>区城市管理局</w:t>
            </w:r>
          </w:p>
        </w:tc>
        <w:tc>
          <w:tcPr>
            <w:tcW w:w="835"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区生态环境局、陈食街道办事处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6"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369" w:type="pct"/>
            <w:noWrap/>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19</w:t>
            </w:r>
          </w:p>
        </w:tc>
        <w:tc>
          <w:tcPr>
            <w:tcW w:w="555"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渗滤液及膜下水处理项目二期工程</w:t>
            </w:r>
          </w:p>
        </w:tc>
        <w:tc>
          <w:tcPr>
            <w:tcW w:w="710"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spacing w:val="-17"/>
                <w:kern w:val="0"/>
              </w:rPr>
              <w:t>通过相关论证，适时扩建日处理渗滤液600吨/日生产线1条</w:t>
            </w:r>
          </w:p>
        </w:tc>
        <w:tc>
          <w:tcPr>
            <w:tcW w:w="592"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spacing w:val="-11"/>
                <w:kern w:val="0"/>
              </w:rPr>
            </w:pPr>
            <w:r>
              <w:rPr>
                <w:rFonts w:ascii="Times New Roman" w:hAnsi="Times New Roman" w:eastAsia="方正仿宋_GBK" w:cs="Times New Roman"/>
                <w:b w:val="0"/>
                <w:bCs w:val="0"/>
                <w:spacing w:val="-11"/>
                <w:kern w:val="0"/>
              </w:rPr>
              <w:t>2022-2025（适时启动）</w:t>
            </w:r>
          </w:p>
        </w:tc>
        <w:tc>
          <w:tcPr>
            <w:tcW w:w="455"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w:t>
            </w:r>
          </w:p>
        </w:tc>
        <w:tc>
          <w:tcPr>
            <w:tcW w:w="410"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13000</w:t>
            </w:r>
          </w:p>
        </w:tc>
        <w:tc>
          <w:tcPr>
            <w:tcW w:w="695"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spacing w:val="-17"/>
                <w:kern w:val="0"/>
              </w:rPr>
            </w:pPr>
            <w:r>
              <w:rPr>
                <w:rFonts w:ascii="Times New Roman" w:hAnsi="Times New Roman" w:eastAsia="方正仿宋_GBK" w:cs="Times New Roman"/>
                <w:b w:val="0"/>
                <w:bCs w:val="0"/>
                <w:spacing w:val="-17"/>
                <w:kern w:val="0"/>
              </w:rPr>
              <w:t>区城市管理局</w:t>
            </w:r>
          </w:p>
        </w:tc>
        <w:tc>
          <w:tcPr>
            <w:tcW w:w="835"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区生态环境局、陈食街道办事处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6"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369" w:type="pct"/>
            <w:noWrap/>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20</w:t>
            </w:r>
          </w:p>
        </w:tc>
        <w:tc>
          <w:tcPr>
            <w:tcW w:w="555"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垃圾填埋场分区综合整治工程</w:t>
            </w:r>
          </w:p>
        </w:tc>
        <w:tc>
          <w:tcPr>
            <w:tcW w:w="710"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开展现状垃圾填埋场综合整治，进行雨污分流、分区填埋等</w:t>
            </w:r>
          </w:p>
        </w:tc>
        <w:tc>
          <w:tcPr>
            <w:tcW w:w="592"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spacing w:val="-11"/>
                <w:kern w:val="0"/>
              </w:rPr>
            </w:pPr>
            <w:r>
              <w:rPr>
                <w:rFonts w:ascii="Times New Roman" w:hAnsi="Times New Roman" w:eastAsia="方正仿宋_GBK" w:cs="Times New Roman"/>
                <w:b w:val="0"/>
                <w:bCs w:val="0"/>
                <w:spacing w:val="-11"/>
                <w:kern w:val="0"/>
              </w:rPr>
              <w:t>2022-2025</w:t>
            </w:r>
          </w:p>
        </w:tc>
        <w:tc>
          <w:tcPr>
            <w:tcW w:w="455"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5000</w:t>
            </w:r>
          </w:p>
        </w:tc>
        <w:tc>
          <w:tcPr>
            <w:tcW w:w="410"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3000</w:t>
            </w:r>
          </w:p>
        </w:tc>
        <w:tc>
          <w:tcPr>
            <w:tcW w:w="695"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spacing w:val="-17"/>
                <w:kern w:val="0"/>
              </w:rPr>
            </w:pPr>
            <w:r>
              <w:rPr>
                <w:rFonts w:ascii="Times New Roman" w:hAnsi="Times New Roman" w:eastAsia="方正仿宋_GBK" w:cs="Times New Roman"/>
                <w:b w:val="0"/>
                <w:bCs w:val="0"/>
                <w:spacing w:val="-17"/>
                <w:kern w:val="0"/>
              </w:rPr>
              <w:t>区城市管理局</w:t>
            </w:r>
          </w:p>
        </w:tc>
        <w:tc>
          <w:tcPr>
            <w:tcW w:w="835"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区生态环境局、陈食街道办事处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8" w:hRule="atLeast"/>
          <w:jc w:val="center"/>
        </w:trPr>
        <w:tc>
          <w:tcPr>
            <w:tcW w:w="376"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369" w:type="pct"/>
            <w:noWrap/>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21</w:t>
            </w:r>
          </w:p>
        </w:tc>
        <w:tc>
          <w:tcPr>
            <w:tcW w:w="555"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永川环卫基地建设</w:t>
            </w:r>
          </w:p>
        </w:tc>
        <w:tc>
          <w:tcPr>
            <w:tcW w:w="710"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规划建设永川环卫基地，规划占地面积66000平方米，其中建设10000平方米环卫停车场、2000平方米智慧环卫管理调度培训中心、500平方米环卫车辆洗车消杀除臭车间、200平方米设备检修车间，建设集可回收物分拣中心、有毒有害垃圾暂存点和大件垃圾拆分中心于一体的综合性垃圾分拣中心，新建2条500吨/日垃圾压缩生产线，购买城区中转站大型垃圾运输车辆8台，配套箱体16个。</w:t>
            </w:r>
          </w:p>
        </w:tc>
        <w:tc>
          <w:tcPr>
            <w:tcW w:w="592"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spacing w:val="-11"/>
                <w:kern w:val="0"/>
              </w:rPr>
            </w:pPr>
            <w:r>
              <w:rPr>
                <w:rFonts w:ascii="Times New Roman" w:hAnsi="Times New Roman" w:eastAsia="方正仿宋_GBK" w:cs="Times New Roman"/>
                <w:b w:val="0"/>
                <w:bCs w:val="0"/>
                <w:spacing w:val="-11"/>
                <w:kern w:val="0"/>
              </w:rPr>
              <w:t>2022-2025</w:t>
            </w:r>
          </w:p>
        </w:tc>
        <w:tc>
          <w:tcPr>
            <w:tcW w:w="455"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w:t>
            </w:r>
          </w:p>
        </w:tc>
        <w:tc>
          <w:tcPr>
            <w:tcW w:w="410"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15000</w:t>
            </w:r>
          </w:p>
        </w:tc>
        <w:tc>
          <w:tcPr>
            <w:tcW w:w="695"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spacing w:val="-17"/>
                <w:kern w:val="0"/>
              </w:rPr>
              <w:t>区城市管理局</w:t>
            </w:r>
          </w:p>
        </w:tc>
        <w:tc>
          <w:tcPr>
            <w:tcW w:w="835"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区规划自然资源局、</w:t>
            </w:r>
            <w:r>
              <w:rPr>
                <w:b w:val="0"/>
                <w:bCs w:val="0"/>
              </w:rPr>
              <w:fldChar w:fldCharType="begin"/>
            </w:r>
            <w:r>
              <w:rPr>
                <w:b w:val="0"/>
                <w:bCs w:val="0"/>
              </w:rPr>
              <w:instrText xml:space="preserve"> HYPERLINK "http://www.cqyc.gov.cn/zwgk_204/zfxxgk/zfxxgkzn/qzfbm_204/qzfcxjw/index2.html" \t "_blank" </w:instrText>
            </w:r>
            <w:r>
              <w:rPr>
                <w:b w:val="0"/>
                <w:bCs w:val="0"/>
              </w:rPr>
              <w:fldChar w:fldCharType="separate"/>
            </w:r>
            <w:r>
              <w:rPr>
                <w:rFonts w:ascii="Times New Roman" w:hAnsi="Times New Roman" w:eastAsia="方正仿宋_GBK" w:cs="Times New Roman"/>
                <w:b w:val="0"/>
                <w:bCs w:val="0"/>
                <w:kern w:val="0"/>
              </w:rPr>
              <w:t>区住房城乡建委</w:t>
            </w:r>
            <w:r>
              <w:rPr>
                <w:rFonts w:ascii="Times New Roman" w:hAnsi="Times New Roman" w:eastAsia="方正仿宋_GBK" w:cs="Times New Roman"/>
                <w:b w:val="0"/>
                <w:bCs w:val="0"/>
                <w:kern w:val="0"/>
              </w:rPr>
              <w:fldChar w:fldCharType="end"/>
            </w:r>
            <w:r>
              <w:rPr>
                <w:rFonts w:ascii="Times New Roman" w:hAnsi="Times New Roman" w:eastAsia="方正仿宋_GBK" w:cs="Times New Roman"/>
                <w:b w:val="0"/>
                <w:bCs w:val="0"/>
                <w:kern w:val="0"/>
              </w:rPr>
              <w:t>、区新城建管委、区商务委、区生态环境局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376"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369" w:type="pct"/>
            <w:noWrap/>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22</w:t>
            </w:r>
          </w:p>
        </w:tc>
        <w:tc>
          <w:tcPr>
            <w:tcW w:w="555"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建筑垃圾资源</w:t>
            </w:r>
            <w:r>
              <w:rPr>
                <w:rFonts w:ascii="Times New Roman" w:hAnsi="Times New Roman" w:eastAsia="方正仿宋_GBK" w:cs="Times New Roman"/>
                <w:b w:val="0"/>
                <w:bCs w:val="0"/>
                <w:spacing w:val="-17"/>
                <w:kern w:val="0"/>
              </w:rPr>
              <w:t>化综合利用处理厂建设</w:t>
            </w:r>
          </w:p>
        </w:tc>
        <w:tc>
          <w:tcPr>
            <w:tcW w:w="710"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规划年处理量100万吨的永川区建筑垃圾资源化综合利用处理厂，并在厂址中配建永川区装饰装修垃圾</w:t>
            </w:r>
            <w:r>
              <w:rPr>
                <w:rFonts w:ascii="Times New Roman" w:hAnsi="Times New Roman" w:eastAsia="方正仿宋_GBK" w:cs="Times New Roman"/>
                <w:b w:val="0"/>
                <w:bCs w:val="0"/>
                <w:spacing w:val="-17"/>
                <w:kern w:val="0"/>
              </w:rPr>
              <w:t>分拣处置中心</w:t>
            </w:r>
          </w:p>
        </w:tc>
        <w:tc>
          <w:tcPr>
            <w:tcW w:w="592"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spacing w:val="-11"/>
                <w:kern w:val="0"/>
              </w:rPr>
            </w:pPr>
            <w:r>
              <w:rPr>
                <w:rFonts w:ascii="Times New Roman" w:hAnsi="Times New Roman" w:eastAsia="方正仿宋_GBK" w:cs="Times New Roman"/>
                <w:b w:val="0"/>
                <w:bCs w:val="0"/>
                <w:spacing w:val="-11"/>
                <w:kern w:val="0"/>
              </w:rPr>
              <w:t>2022-2025</w:t>
            </w:r>
          </w:p>
        </w:tc>
        <w:tc>
          <w:tcPr>
            <w:tcW w:w="455"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w:t>
            </w:r>
          </w:p>
        </w:tc>
        <w:tc>
          <w:tcPr>
            <w:tcW w:w="410"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10000</w:t>
            </w:r>
          </w:p>
        </w:tc>
        <w:tc>
          <w:tcPr>
            <w:tcW w:w="695"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spacing w:val="-17"/>
                <w:kern w:val="0"/>
              </w:rPr>
              <w:t>区城市管理局</w:t>
            </w:r>
          </w:p>
        </w:tc>
        <w:tc>
          <w:tcPr>
            <w:tcW w:w="835"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区规划自然资源局、区生态环境局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6"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369" w:type="pct"/>
            <w:noWrap/>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23</w:t>
            </w:r>
          </w:p>
        </w:tc>
        <w:tc>
          <w:tcPr>
            <w:tcW w:w="555"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spacing w:val="-17"/>
                <w:kern w:val="0"/>
              </w:rPr>
            </w:pPr>
            <w:r>
              <w:rPr>
                <w:rFonts w:ascii="Times New Roman" w:hAnsi="Times New Roman" w:eastAsia="方正仿宋_GBK" w:cs="Times New Roman"/>
                <w:b w:val="0"/>
                <w:bCs w:val="0"/>
                <w:spacing w:val="-17"/>
                <w:kern w:val="0"/>
              </w:rPr>
              <w:t>水域清漂保障设施建设</w:t>
            </w:r>
          </w:p>
        </w:tc>
        <w:tc>
          <w:tcPr>
            <w:tcW w:w="710"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spacing w:val="-17"/>
                <w:kern w:val="0"/>
              </w:rPr>
            </w:pPr>
            <w:r>
              <w:rPr>
                <w:rFonts w:ascii="Times New Roman" w:hAnsi="Times New Roman" w:eastAsia="方正仿宋_GBK" w:cs="Times New Roman"/>
                <w:b w:val="0"/>
                <w:bCs w:val="0"/>
                <w:spacing w:val="-17"/>
                <w:kern w:val="0"/>
              </w:rPr>
              <w:t>新增河道清漂保洁船70艘</w:t>
            </w:r>
          </w:p>
        </w:tc>
        <w:tc>
          <w:tcPr>
            <w:tcW w:w="592"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spacing w:val="-11"/>
                <w:kern w:val="0"/>
              </w:rPr>
            </w:pPr>
            <w:r>
              <w:rPr>
                <w:rFonts w:ascii="Times New Roman" w:hAnsi="Times New Roman" w:eastAsia="方正仿宋_GBK" w:cs="Times New Roman"/>
                <w:b w:val="0"/>
                <w:bCs w:val="0"/>
                <w:spacing w:val="-11"/>
                <w:kern w:val="0"/>
              </w:rPr>
              <w:t>2021-2023</w:t>
            </w:r>
          </w:p>
        </w:tc>
        <w:tc>
          <w:tcPr>
            <w:tcW w:w="455"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300</w:t>
            </w:r>
          </w:p>
        </w:tc>
        <w:tc>
          <w:tcPr>
            <w:tcW w:w="410"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w:t>
            </w:r>
          </w:p>
        </w:tc>
        <w:tc>
          <w:tcPr>
            <w:tcW w:w="695"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spacing w:val="-17"/>
                <w:kern w:val="0"/>
              </w:rPr>
            </w:pPr>
            <w:r>
              <w:rPr>
                <w:rFonts w:ascii="Times New Roman" w:hAnsi="Times New Roman" w:eastAsia="方正仿宋_GBK" w:cs="Times New Roman"/>
                <w:b w:val="0"/>
                <w:bCs w:val="0"/>
                <w:spacing w:val="-17"/>
                <w:kern w:val="0"/>
              </w:rPr>
              <w:t>区城市管理局</w:t>
            </w:r>
          </w:p>
        </w:tc>
        <w:tc>
          <w:tcPr>
            <w:tcW w:w="835"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6"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369" w:type="pct"/>
            <w:noWrap/>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24</w:t>
            </w:r>
          </w:p>
        </w:tc>
        <w:tc>
          <w:tcPr>
            <w:tcW w:w="555"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spacing w:val="-17"/>
                <w:kern w:val="0"/>
              </w:rPr>
            </w:pPr>
            <w:r>
              <w:rPr>
                <w:rFonts w:ascii="Times New Roman" w:hAnsi="Times New Roman" w:eastAsia="方正仿宋_GBK" w:cs="Times New Roman"/>
                <w:b w:val="0"/>
                <w:bCs w:val="0"/>
                <w:spacing w:val="-17"/>
                <w:kern w:val="0"/>
              </w:rPr>
              <w:t>道路清扫设备设施购置</w:t>
            </w:r>
          </w:p>
        </w:tc>
        <w:tc>
          <w:tcPr>
            <w:tcW w:w="710"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新增8吨洗扫车10台、洒水车5台，深度洗污车1台，小型路面冲洗车20台</w:t>
            </w:r>
          </w:p>
        </w:tc>
        <w:tc>
          <w:tcPr>
            <w:tcW w:w="592"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spacing w:val="-11"/>
                <w:kern w:val="0"/>
              </w:rPr>
            </w:pPr>
            <w:r>
              <w:rPr>
                <w:rFonts w:ascii="Times New Roman" w:hAnsi="Times New Roman" w:eastAsia="方正仿宋_GBK" w:cs="Times New Roman"/>
                <w:b w:val="0"/>
                <w:bCs w:val="0"/>
                <w:spacing w:val="-11"/>
                <w:kern w:val="0"/>
              </w:rPr>
              <w:t>2021-2023</w:t>
            </w:r>
          </w:p>
        </w:tc>
        <w:tc>
          <w:tcPr>
            <w:tcW w:w="455"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1850</w:t>
            </w:r>
          </w:p>
        </w:tc>
        <w:tc>
          <w:tcPr>
            <w:tcW w:w="410"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w:t>
            </w:r>
          </w:p>
        </w:tc>
        <w:tc>
          <w:tcPr>
            <w:tcW w:w="695"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spacing w:val="-17"/>
                <w:kern w:val="0"/>
              </w:rPr>
            </w:pPr>
            <w:r>
              <w:rPr>
                <w:rFonts w:ascii="Times New Roman" w:hAnsi="Times New Roman" w:eastAsia="方正仿宋_GBK" w:cs="Times New Roman"/>
                <w:b w:val="0"/>
                <w:bCs w:val="0"/>
                <w:spacing w:val="-17"/>
                <w:kern w:val="0"/>
              </w:rPr>
              <w:t>区城市管理局</w:t>
            </w:r>
          </w:p>
        </w:tc>
        <w:tc>
          <w:tcPr>
            <w:tcW w:w="835"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6"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369" w:type="pct"/>
            <w:noWrap/>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25</w:t>
            </w:r>
          </w:p>
        </w:tc>
        <w:tc>
          <w:tcPr>
            <w:tcW w:w="555"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spacing w:val="-23"/>
                <w:kern w:val="0"/>
              </w:rPr>
            </w:pPr>
            <w:r>
              <w:rPr>
                <w:rFonts w:ascii="Times New Roman" w:hAnsi="Times New Roman" w:eastAsia="方正仿宋_GBK" w:cs="Times New Roman"/>
                <w:b w:val="0"/>
                <w:bCs w:val="0"/>
                <w:spacing w:val="-17"/>
                <w:kern w:val="0"/>
              </w:rPr>
              <w:t>园林绿化弃渣再利用试点项目</w:t>
            </w:r>
          </w:p>
        </w:tc>
        <w:tc>
          <w:tcPr>
            <w:tcW w:w="710"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建设1个园林绿化弃渣再利用项目</w:t>
            </w:r>
          </w:p>
        </w:tc>
        <w:tc>
          <w:tcPr>
            <w:tcW w:w="592"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spacing w:val="-11"/>
                <w:kern w:val="0"/>
              </w:rPr>
            </w:pPr>
            <w:r>
              <w:rPr>
                <w:rFonts w:ascii="Times New Roman" w:hAnsi="Times New Roman" w:eastAsia="方正仿宋_GBK" w:cs="Times New Roman"/>
                <w:b w:val="0"/>
                <w:bCs w:val="0"/>
                <w:spacing w:val="-11"/>
                <w:kern w:val="0"/>
              </w:rPr>
              <w:t>2021-2023</w:t>
            </w:r>
          </w:p>
        </w:tc>
        <w:tc>
          <w:tcPr>
            <w:tcW w:w="455"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w:t>
            </w:r>
          </w:p>
        </w:tc>
        <w:tc>
          <w:tcPr>
            <w:tcW w:w="410"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300</w:t>
            </w:r>
          </w:p>
        </w:tc>
        <w:tc>
          <w:tcPr>
            <w:tcW w:w="695"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spacing w:val="-17"/>
                <w:kern w:val="0"/>
              </w:rPr>
            </w:pPr>
            <w:r>
              <w:rPr>
                <w:rFonts w:ascii="Times New Roman" w:hAnsi="Times New Roman" w:eastAsia="方正仿宋_GBK" w:cs="Times New Roman"/>
                <w:b w:val="0"/>
                <w:bCs w:val="0"/>
                <w:spacing w:val="-17"/>
                <w:kern w:val="0"/>
              </w:rPr>
              <w:t>区城市管理局</w:t>
            </w:r>
          </w:p>
        </w:tc>
        <w:tc>
          <w:tcPr>
            <w:tcW w:w="835"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6"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369" w:type="pct"/>
            <w:vMerge w:val="restart"/>
            <w:noWrap/>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26</w:t>
            </w:r>
          </w:p>
        </w:tc>
        <w:tc>
          <w:tcPr>
            <w:tcW w:w="555" w:type="pct"/>
            <w:vMerge w:val="restar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城区公厕建设</w:t>
            </w:r>
          </w:p>
        </w:tc>
        <w:tc>
          <w:tcPr>
            <w:tcW w:w="710"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spacing w:val="-17"/>
                <w:kern w:val="0"/>
              </w:rPr>
              <w:t>老城区及新城中央片区新建公厕5座、凤凰湖工业园片区新建公厕8座。</w:t>
            </w:r>
          </w:p>
        </w:tc>
        <w:tc>
          <w:tcPr>
            <w:tcW w:w="592"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spacing w:val="-11"/>
                <w:kern w:val="0"/>
              </w:rPr>
            </w:pPr>
            <w:r>
              <w:rPr>
                <w:rFonts w:ascii="Times New Roman" w:hAnsi="Times New Roman" w:eastAsia="方正仿宋_GBK" w:cs="Times New Roman"/>
                <w:b w:val="0"/>
                <w:bCs w:val="0"/>
                <w:spacing w:val="-11"/>
                <w:kern w:val="0"/>
              </w:rPr>
              <w:t>2021-2025</w:t>
            </w:r>
          </w:p>
        </w:tc>
        <w:tc>
          <w:tcPr>
            <w:tcW w:w="455"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w:t>
            </w:r>
          </w:p>
        </w:tc>
        <w:tc>
          <w:tcPr>
            <w:tcW w:w="410"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440</w:t>
            </w:r>
          </w:p>
        </w:tc>
        <w:tc>
          <w:tcPr>
            <w:tcW w:w="695"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凤凰湖产业促进中心</w:t>
            </w:r>
          </w:p>
        </w:tc>
        <w:tc>
          <w:tcPr>
            <w:tcW w:w="835"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6"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369" w:type="pct"/>
            <w:vMerge w:val="continue"/>
            <w:noWrap/>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555"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710"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提档升级公厕20座</w:t>
            </w:r>
          </w:p>
        </w:tc>
        <w:tc>
          <w:tcPr>
            <w:tcW w:w="592"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spacing w:val="-11"/>
                <w:kern w:val="0"/>
              </w:rPr>
            </w:pPr>
            <w:r>
              <w:rPr>
                <w:rFonts w:ascii="Times New Roman" w:hAnsi="Times New Roman" w:eastAsia="方正仿宋_GBK" w:cs="Times New Roman"/>
                <w:b w:val="0"/>
                <w:bCs w:val="0"/>
                <w:spacing w:val="-11"/>
                <w:kern w:val="0"/>
              </w:rPr>
              <w:t>2021-2025</w:t>
            </w:r>
          </w:p>
        </w:tc>
        <w:tc>
          <w:tcPr>
            <w:tcW w:w="455"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400</w:t>
            </w:r>
          </w:p>
        </w:tc>
        <w:tc>
          <w:tcPr>
            <w:tcW w:w="410"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w:t>
            </w:r>
          </w:p>
        </w:tc>
        <w:tc>
          <w:tcPr>
            <w:tcW w:w="695"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spacing w:val="-17"/>
                <w:kern w:val="0"/>
              </w:rPr>
            </w:pPr>
            <w:r>
              <w:rPr>
                <w:rFonts w:ascii="Times New Roman" w:hAnsi="Times New Roman" w:eastAsia="方正仿宋_GBK" w:cs="Times New Roman"/>
                <w:b w:val="0"/>
                <w:bCs w:val="0"/>
                <w:spacing w:val="-17"/>
                <w:kern w:val="0"/>
              </w:rPr>
              <w:t>区城市管理局</w:t>
            </w:r>
          </w:p>
        </w:tc>
        <w:tc>
          <w:tcPr>
            <w:tcW w:w="835"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区规划自然资源局、</w:t>
            </w:r>
            <w:r>
              <w:rPr>
                <w:b w:val="0"/>
                <w:bCs w:val="0"/>
              </w:rPr>
              <w:fldChar w:fldCharType="begin"/>
            </w:r>
            <w:r>
              <w:rPr>
                <w:b w:val="0"/>
                <w:bCs w:val="0"/>
              </w:rPr>
              <w:instrText xml:space="preserve"> HYPERLINK "http://www.cqyc.gov.cn/zwgk_204/zfxxgk/zfxxgkzn/qzfbm_204/qzfcxjw/index2.html" \t "_blank" </w:instrText>
            </w:r>
            <w:r>
              <w:rPr>
                <w:b w:val="0"/>
                <w:bCs w:val="0"/>
              </w:rPr>
              <w:fldChar w:fldCharType="separate"/>
            </w:r>
            <w:r>
              <w:rPr>
                <w:rFonts w:ascii="Times New Roman" w:hAnsi="Times New Roman" w:eastAsia="方正仿宋_GBK" w:cs="Times New Roman"/>
                <w:b w:val="0"/>
                <w:bCs w:val="0"/>
                <w:kern w:val="0"/>
              </w:rPr>
              <w:t>区住房城乡建委</w:t>
            </w:r>
            <w:r>
              <w:rPr>
                <w:rFonts w:ascii="Times New Roman" w:hAnsi="Times New Roman" w:eastAsia="方正仿宋_GBK" w:cs="Times New Roman"/>
                <w:b w:val="0"/>
                <w:bCs w:val="0"/>
                <w:kern w:val="0"/>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6"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369" w:type="pct"/>
            <w:noWrap/>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27</w:t>
            </w:r>
          </w:p>
        </w:tc>
        <w:tc>
          <w:tcPr>
            <w:tcW w:w="555"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spacing w:val="-17"/>
                <w:kern w:val="0"/>
              </w:rPr>
              <w:t>城区化粪池管护</w:t>
            </w:r>
          </w:p>
        </w:tc>
        <w:tc>
          <w:tcPr>
            <w:tcW w:w="710"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更换改造化粪池预警系统，配备具有气体监测、紧急报警、自动定位、自动排险等技术功能的远程公厕化粪池监控设施</w:t>
            </w:r>
          </w:p>
        </w:tc>
        <w:tc>
          <w:tcPr>
            <w:tcW w:w="592"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spacing w:val="-11"/>
                <w:kern w:val="0"/>
              </w:rPr>
            </w:pPr>
            <w:r>
              <w:rPr>
                <w:rFonts w:ascii="Times New Roman" w:hAnsi="Times New Roman" w:eastAsia="方正仿宋_GBK" w:cs="Times New Roman"/>
                <w:b w:val="0"/>
                <w:bCs w:val="0"/>
                <w:spacing w:val="-11"/>
                <w:kern w:val="0"/>
              </w:rPr>
              <w:t>2022-2025</w:t>
            </w:r>
          </w:p>
        </w:tc>
        <w:tc>
          <w:tcPr>
            <w:tcW w:w="455"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4000</w:t>
            </w:r>
          </w:p>
        </w:tc>
        <w:tc>
          <w:tcPr>
            <w:tcW w:w="410"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w:t>
            </w:r>
          </w:p>
        </w:tc>
        <w:tc>
          <w:tcPr>
            <w:tcW w:w="695"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spacing w:val="-17"/>
                <w:kern w:val="0"/>
              </w:rPr>
            </w:pPr>
            <w:r>
              <w:rPr>
                <w:rFonts w:ascii="Times New Roman" w:hAnsi="Times New Roman" w:eastAsia="方正仿宋_GBK" w:cs="Times New Roman"/>
                <w:b w:val="0"/>
                <w:bCs w:val="0"/>
                <w:spacing w:val="-17"/>
                <w:kern w:val="0"/>
              </w:rPr>
              <w:t>区城市管理局</w:t>
            </w:r>
          </w:p>
        </w:tc>
        <w:tc>
          <w:tcPr>
            <w:tcW w:w="835"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6" w:type="pct"/>
            <w:vMerge w:val="restar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园林</w:t>
            </w:r>
          </w:p>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绿化</w:t>
            </w:r>
          </w:p>
        </w:tc>
        <w:tc>
          <w:tcPr>
            <w:tcW w:w="369" w:type="pct"/>
            <w:noWrap/>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28</w:t>
            </w:r>
          </w:p>
        </w:tc>
        <w:tc>
          <w:tcPr>
            <w:tcW w:w="555"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绿地系统规划</w:t>
            </w:r>
          </w:p>
        </w:tc>
        <w:tc>
          <w:tcPr>
            <w:tcW w:w="710"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spacing w:val="-17"/>
                <w:kern w:val="0"/>
              </w:rPr>
              <w:t>《永川区城市绿地系统规划（2022-2035）》</w:t>
            </w:r>
          </w:p>
        </w:tc>
        <w:tc>
          <w:tcPr>
            <w:tcW w:w="592"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spacing w:val="-11"/>
                <w:kern w:val="0"/>
              </w:rPr>
            </w:pPr>
            <w:r>
              <w:rPr>
                <w:rFonts w:ascii="Times New Roman" w:hAnsi="Times New Roman" w:eastAsia="方正仿宋_GBK" w:cs="Times New Roman"/>
                <w:b w:val="0"/>
                <w:bCs w:val="0"/>
                <w:spacing w:val="-11"/>
                <w:kern w:val="0"/>
              </w:rPr>
              <w:t>2022-2023</w:t>
            </w:r>
          </w:p>
        </w:tc>
        <w:tc>
          <w:tcPr>
            <w:tcW w:w="455"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160</w:t>
            </w:r>
          </w:p>
        </w:tc>
        <w:tc>
          <w:tcPr>
            <w:tcW w:w="410"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w:t>
            </w:r>
          </w:p>
        </w:tc>
        <w:tc>
          <w:tcPr>
            <w:tcW w:w="695"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spacing w:val="-17"/>
                <w:kern w:val="0"/>
              </w:rPr>
              <w:t>区城市管理局</w:t>
            </w:r>
          </w:p>
        </w:tc>
        <w:tc>
          <w:tcPr>
            <w:tcW w:w="835"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6"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369" w:type="pct"/>
            <w:noWrap/>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29</w:t>
            </w:r>
          </w:p>
        </w:tc>
        <w:tc>
          <w:tcPr>
            <w:tcW w:w="555"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spacing w:val="-17"/>
                <w:kern w:val="0"/>
              </w:rPr>
              <w:t>镇街公园、广场建设项目</w:t>
            </w:r>
          </w:p>
        </w:tc>
        <w:tc>
          <w:tcPr>
            <w:tcW w:w="710"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实施16个镇公园、广场建设</w:t>
            </w:r>
          </w:p>
        </w:tc>
        <w:tc>
          <w:tcPr>
            <w:tcW w:w="592"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spacing w:val="-11"/>
                <w:kern w:val="0"/>
              </w:rPr>
            </w:pPr>
            <w:r>
              <w:rPr>
                <w:rFonts w:ascii="Times New Roman" w:hAnsi="Times New Roman" w:eastAsia="方正仿宋_GBK" w:cs="Times New Roman"/>
                <w:b w:val="0"/>
                <w:bCs w:val="0"/>
                <w:spacing w:val="-11"/>
                <w:kern w:val="0"/>
              </w:rPr>
              <w:t>2021-2023</w:t>
            </w:r>
          </w:p>
        </w:tc>
        <w:tc>
          <w:tcPr>
            <w:tcW w:w="455"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9000</w:t>
            </w:r>
          </w:p>
        </w:tc>
        <w:tc>
          <w:tcPr>
            <w:tcW w:w="410"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w:t>
            </w:r>
          </w:p>
        </w:tc>
        <w:tc>
          <w:tcPr>
            <w:tcW w:w="695"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各镇街</w:t>
            </w:r>
          </w:p>
        </w:tc>
        <w:tc>
          <w:tcPr>
            <w:tcW w:w="835"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区规划自然资源局、</w:t>
            </w:r>
            <w:r>
              <w:rPr>
                <w:b w:val="0"/>
                <w:bCs w:val="0"/>
              </w:rPr>
              <w:fldChar w:fldCharType="begin"/>
            </w:r>
            <w:r>
              <w:rPr>
                <w:b w:val="0"/>
                <w:bCs w:val="0"/>
              </w:rPr>
              <w:instrText xml:space="preserve"> HYPERLINK "http://www.cqyc.gov.cn/zwgk_204/zfxxgk/zfxxgkzn/qzfbm_204/qzfcxjw/index2.html" \t "_blank" </w:instrText>
            </w:r>
            <w:r>
              <w:rPr>
                <w:b w:val="0"/>
                <w:bCs w:val="0"/>
              </w:rPr>
              <w:fldChar w:fldCharType="separate"/>
            </w:r>
            <w:r>
              <w:rPr>
                <w:rFonts w:ascii="Times New Roman" w:hAnsi="Times New Roman" w:eastAsia="方正仿宋_GBK" w:cs="Times New Roman"/>
                <w:b w:val="0"/>
                <w:bCs w:val="0"/>
                <w:kern w:val="0"/>
              </w:rPr>
              <w:t>区住房城乡建委</w:t>
            </w:r>
            <w:r>
              <w:rPr>
                <w:rFonts w:ascii="Times New Roman" w:hAnsi="Times New Roman" w:eastAsia="方正仿宋_GBK" w:cs="Times New Roman"/>
                <w:b w:val="0"/>
                <w:bCs w:val="0"/>
                <w:kern w:val="0"/>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376"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369" w:type="pct"/>
            <w:noWrap/>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30</w:t>
            </w:r>
          </w:p>
        </w:tc>
        <w:tc>
          <w:tcPr>
            <w:tcW w:w="555"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城市生态修复项目</w:t>
            </w:r>
          </w:p>
        </w:tc>
        <w:tc>
          <w:tcPr>
            <w:tcW w:w="710" w:type="pct"/>
            <w:noWrap w:val="0"/>
            <w:vAlign w:val="center"/>
          </w:tcPr>
          <w:p>
            <w:pPr>
              <w:pStyle w:val="7"/>
              <w:snapToGrid w:val="0"/>
              <w:spacing w:line="240" w:lineRule="auto"/>
              <w:ind w:firstLine="0" w:firstLineChars="0"/>
              <w:jc w:val="both"/>
              <w:rPr>
                <w:rFonts w:ascii="Times New Roman" w:hAnsi="Times New Roman" w:eastAsia="方正仿宋_GBK" w:cs="Times New Roman"/>
                <w:b w:val="0"/>
                <w:bCs w:val="0"/>
                <w:spacing w:val="-6"/>
                <w:kern w:val="0"/>
              </w:rPr>
            </w:pPr>
            <w:r>
              <w:rPr>
                <w:rFonts w:ascii="Times New Roman" w:hAnsi="Times New Roman" w:eastAsia="方正仿宋_GBK" w:cs="Times New Roman"/>
                <w:b w:val="0"/>
                <w:bCs w:val="0"/>
                <w:spacing w:val="-6"/>
                <w:kern w:val="0"/>
              </w:rPr>
              <w:t>加强临江河（三河汇碧至栏杆滩段），玉屏河（三河汇碧至永川植物园段）、跳蹬河（三河汇碧至银昆高速段）、红旗河（临江河至兴龙湖段）、马银河（临江河至旺龙湖段）生态修复工作；加强黄瓜山、箕山、云雾山和城内规划重点保护的12座山体、2条蔡英岩崖线生态修复工作。</w:t>
            </w:r>
          </w:p>
        </w:tc>
        <w:tc>
          <w:tcPr>
            <w:tcW w:w="592"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spacing w:val="-11"/>
                <w:kern w:val="0"/>
              </w:rPr>
            </w:pPr>
            <w:r>
              <w:rPr>
                <w:rFonts w:ascii="Times New Roman" w:hAnsi="Times New Roman" w:eastAsia="方正仿宋_GBK" w:cs="Times New Roman"/>
                <w:b w:val="0"/>
                <w:bCs w:val="0"/>
                <w:spacing w:val="-11"/>
                <w:kern w:val="0"/>
              </w:rPr>
              <w:t>2022-2025</w:t>
            </w:r>
          </w:p>
        </w:tc>
        <w:tc>
          <w:tcPr>
            <w:tcW w:w="455"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3000</w:t>
            </w:r>
          </w:p>
        </w:tc>
        <w:tc>
          <w:tcPr>
            <w:tcW w:w="410"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w:t>
            </w:r>
          </w:p>
        </w:tc>
        <w:tc>
          <w:tcPr>
            <w:tcW w:w="695"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spacing w:val="-11"/>
                <w:kern w:val="0"/>
              </w:rPr>
              <w:t>区水利局、区生态环境局</w:t>
            </w:r>
          </w:p>
        </w:tc>
        <w:tc>
          <w:tcPr>
            <w:tcW w:w="835"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区林业局</w:t>
            </w:r>
            <w:r>
              <w:rPr>
                <w:rFonts w:hint="eastAsia" w:ascii="Times New Roman" w:hAnsi="Times New Roman" w:eastAsia="方正仿宋_GBK" w:cs="Times New Roman"/>
                <w:b w:val="0"/>
                <w:bCs w:val="0"/>
                <w:kern w:val="0"/>
              </w:rPr>
              <w:t>、</w:t>
            </w:r>
            <w:r>
              <w:rPr>
                <w:b w:val="0"/>
                <w:bCs w:val="0"/>
              </w:rPr>
              <w:fldChar w:fldCharType="begin"/>
            </w:r>
            <w:r>
              <w:rPr>
                <w:b w:val="0"/>
                <w:bCs w:val="0"/>
              </w:rPr>
              <w:instrText xml:space="preserve"> HYPERLINK "http://www.cqyc.gov.cn/zwgk_204/zfxxgk/zfxxgkzn/qzfbm_204/qzfcxjw/index2.html" \t "_blank" </w:instrText>
            </w:r>
            <w:r>
              <w:rPr>
                <w:b w:val="0"/>
                <w:bCs w:val="0"/>
              </w:rPr>
              <w:fldChar w:fldCharType="separate"/>
            </w:r>
            <w:r>
              <w:rPr>
                <w:rFonts w:ascii="Times New Roman" w:hAnsi="Times New Roman" w:eastAsia="方正仿宋_GBK" w:cs="Times New Roman"/>
                <w:b w:val="0"/>
                <w:bCs w:val="0"/>
                <w:kern w:val="0"/>
              </w:rPr>
              <w:t>区住房城乡建委</w:t>
            </w:r>
            <w:r>
              <w:rPr>
                <w:rFonts w:ascii="Times New Roman" w:hAnsi="Times New Roman" w:eastAsia="方正仿宋_GBK" w:cs="Times New Roman"/>
                <w:b w:val="0"/>
                <w:bCs w:val="0"/>
                <w:kern w:val="0"/>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6"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369" w:type="pct"/>
            <w:noWrap/>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31</w:t>
            </w:r>
          </w:p>
        </w:tc>
        <w:tc>
          <w:tcPr>
            <w:tcW w:w="555"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搭建区域性苗木交易平台</w:t>
            </w:r>
          </w:p>
        </w:tc>
        <w:tc>
          <w:tcPr>
            <w:tcW w:w="710"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培育川渝特色苗木产业基地，提升苗圃1处</w:t>
            </w:r>
          </w:p>
        </w:tc>
        <w:tc>
          <w:tcPr>
            <w:tcW w:w="592"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spacing w:val="-11"/>
                <w:kern w:val="0"/>
              </w:rPr>
            </w:pPr>
            <w:r>
              <w:rPr>
                <w:rFonts w:ascii="Times New Roman" w:hAnsi="Times New Roman" w:eastAsia="方正仿宋_GBK" w:cs="Times New Roman"/>
                <w:b w:val="0"/>
                <w:bCs w:val="0"/>
                <w:spacing w:val="-11"/>
                <w:kern w:val="0"/>
              </w:rPr>
              <w:t>2021-2024</w:t>
            </w:r>
          </w:p>
        </w:tc>
        <w:tc>
          <w:tcPr>
            <w:tcW w:w="455"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w:t>
            </w:r>
          </w:p>
        </w:tc>
        <w:tc>
          <w:tcPr>
            <w:tcW w:w="410"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300</w:t>
            </w:r>
          </w:p>
        </w:tc>
        <w:tc>
          <w:tcPr>
            <w:tcW w:w="695"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spacing w:val="-17"/>
                <w:kern w:val="0"/>
              </w:rPr>
            </w:pPr>
            <w:r>
              <w:rPr>
                <w:rFonts w:ascii="Times New Roman" w:hAnsi="Times New Roman" w:eastAsia="方正仿宋_GBK" w:cs="Times New Roman"/>
                <w:b w:val="0"/>
                <w:bCs w:val="0"/>
                <w:spacing w:val="-17"/>
                <w:kern w:val="0"/>
              </w:rPr>
              <w:t>区城市管理局</w:t>
            </w:r>
          </w:p>
        </w:tc>
        <w:tc>
          <w:tcPr>
            <w:tcW w:w="835"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区农业农村委、区林业局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8" w:hRule="atLeast"/>
          <w:jc w:val="center"/>
        </w:trPr>
        <w:tc>
          <w:tcPr>
            <w:tcW w:w="376"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369" w:type="pct"/>
            <w:vMerge w:val="restart"/>
            <w:noWrap/>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32</w:t>
            </w:r>
          </w:p>
        </w:tc>
        <w:tc>
          <w:tcPr>
            <w:tcW w:w="555" w:type="pct"/>
            <w:vMerge w:val="restar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城市公园建设项目</w:t>
            </w:r>
          </w:p>
        </w:tc>
        <w:tc>
          <w:tcPr>
            <w:tcW w:w="710"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spacing w:val="-17"/>
                <w:kern w:val="0"/>
              </w:rPr>
              <w:t>桃花山公园（三期工程）</w:t>
            </w:r>
          </w:p>
        </w:tc>
        <w:tc>
          <w:tcPr>
            <w:tcW w:w="592"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spacing w:val="-11"/>
                <w:kern w:val="0"/>
              </w:rPr>
            </w:pPr>
            <w:r>
              <w:rPr>
                <w:rFonts w:ascii="Times New Roman" w:hAnsi="Times New Roman" w:eastAsia="方正仿宋_GBK" w:cs="Times New Roman"/>
                <w:b w:val="0"/>
                <w:bCs w:val="0"/>
                <w:spacing w:val="-11"/>
                <w:kern w:val="0"/>
              </w:rPr>
              <w:t>2022-2023</w:t>
            </w:r>
          </w:p>
        </w:tc>
        <w:tc>
          <w:tcPr>
            <w:tcW w:w="455"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w:t>
            </w:r>
          </w:p>
        </w:tc>
        <w:tc>
          <w:tcPr>
            <w:tcW w:w="410"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14940</w:t>
            </w:r>
          </w:p>
        </w:tc>
        <w:tc>
          <w:tcPr>
            <w:tcW w:w="695"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spacing w:val="-17"/>
                <w:kern w:val="0"/>
              </w:rPr>
            </w:pPr>
            <w:r>
              <w:rPr>
                <w:rFonts w:ascii="Times New Roman" w:hAnsi="Times New Roman" w:eastAsia="方正仿宋_GBK" w:cs="Times New Roman"/>
                <w:b w:val="0"/>
                <w:bCs w:val="0"/>
                <w:spacing w:val="-17"/>
                <w:kern w:val="0"/>
              </w:rPr>
              <w:t>区城市管理局</w:t>
            </w:r>
          </w:p>
        </w:tc>
        <w:tc>
          <w:tcPr>
            <w:tcW w:w="835"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6"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369" w:type="pct"/>
            <w:vMerge w:val="continue"/>
            <w:noWrap/>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555"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710"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旺龙湖公园</w:t>
            </w:r>
          </w:p>
        </w:tc>
        <w:tc>
          <w:tcPr>
            <w:tcW w:w="592"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spacing w:val="-11"/>
                <w:kern w:val="0"/>
              </w:rPr>
            </w:pPr>
            <w:r>
              <w:rPr>
                <w:rFonts w:ascii="Times New Roman" w:hAnsi="Times New Roman" w:eastAsia="方正仿宋_GBK" w:cs="Times New Roman"/>
                <w:b w:val="0"/>
                <w:bCs w:val="0"/>
                <w:spacing w:val="-11"/>
                <w:kern w:val="0"/>
              </w:rPr>
              <w:t>2022-2025</w:t>
            </w:r>
          </w:p>
        </w:tc>
        <w:tc>
          <w:tcPr>
            <w:tcW w:w="455"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w:t>
            </w:r>
          </w:p>
        </w:tc>
        <w:tc>
          <w:tcPr>
            <w:tcW w:w="410"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43638</w:t>
            </w:r>
          </w:p>
        </w:tc>
        <w:tc>
          <w:tcPr>
            <w:tcW w:w="695"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凤凰湖产业促进中心</w:t>
            </w:r>
          </w:p>
        </w:tc>
        <w:tc>
          <w:tcPr>
            <w:tcW w:w="835"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6"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369" w:type="pct"/>
            <w:vMerge w:val="continue"/>
            <w:noWrap/>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555"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710"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望城公园（三期工程）</w:t>
            </w:r>
          </w:p>
        </w:tc>
        <w:tc>
          <w:tcPr>
            <w:tcW w:w="592"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spacing w:val="-11"/>
                <w:kern w:val="0"/>
              </w:rPr>
            </w:pPr>
            <w:r>
              <w:rPr>
                <w:rFonts w:ascii="Times New Roman" w:hAnsi="Times New Roman" w:eastAsia="方正仿宋_GBK" w:cs="Times New Roman"/>
                <w:b w:val="0"/>
                <w:bCs w:val="0"/>
                <w:spacing w:val="-11"/>
                <w:kern w:val="0"/>
              </w:rPr>
              <w:t>2021-2022</w:t>
            </w:r>
          </w:p>
        </w:tc>
        <w:tc>
          <w:tcPr>
            <w:tcW w:w="455"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w:t>
            </w:r>
          </w:p>
        </w:tc>
        <w:tc>
          <w:tcPr>
            <w:tcW w:w="410"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17000</w:t>
            </w:r>
          </w:p>
        </w:tc>
        <w:tc>
          <w:tcPr>
            <w:tcW w:w="695" w:type="pct"/>
            <w:vMerge w:val="restar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spacing w:val="-17"/>
                <w:kern w:val="0"/>
              </w:rPr>
              <w:t>区新城建管委</w:t>
            </w:r>
          </w:p>
        </w:tc>
        <w:tc>
          <w:tcPr>
            <w:tcW w:w="835" w:type="pct"/>
            <w:vMerge w:val="restar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区规划自然资源局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6"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369" w:type="pct"/>
            <w:vMerge w:val="continue"/>
            <w:noWrap/>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555"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710"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启智湖公园</w:t>
            </w:r>
          </w:p>
        </w:tc>
        <w:tc>
          <w:tcPr>
            <w:tcW w:w="592"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spacing w:val="-11"/>
                <w:kern w:val="0"/>
              </w:rPr>
            </w:pPr>
            <w:r>
              <w:rPr>
                <w:rFonts w:ascii="Times New Roman" w:hAnsi="Times New Roman" w:eastAsia="方正仿宋_GBK" w:cs="Times New Roman"/>
                <w:b w:val="0"/>
                <w:bCs w:val="0"/>
                <w:spacing w:val="-11"/>
                <w:kern w:val="0"/>
              </w:rPr>
              <w:t>2022-2024</w:t>
            </w:r>
          </w:p>
        </w:tc>
        <w:tc>
          <w:tcPr>
            <w:tcW w:w="455"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w:t>
            </w:r>
          </w:p>
        </w:tc>
        <w:tc>
          <w:tcPr>
            <w:tcW w:w="410"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20000</w:t>
            </w:r>
          </w:p>
        </w:tc>
        <w:tc>
          <w:tcPr>
            <w:tcW w:w="695"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835"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6"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369" w:type="pct"/>
            <w:vMerge w:val="continue"/>
            <w:noWrap/>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555"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710"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智慧湖公园</w:t>
            </w:r>
          </w:p>
        </w:tc>
        <w:tc>
          <w:tcPr>
            <w:tcW w:w="592"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spacing w:val="-11"/>
                <w:kern w:val="0"/>
              </w:rPr>
            </w:pPr>
            <w:r>
              <w:rPr>
                <w:rFonts w:ascii="Times New Roman" w:hAnsi="Times New Roman" w:eastAsia="方正仿宋_GBK" w:cs="Times New Roman"/>
                <w:b w:val="0"/>
                <w:bCs w:val="0"/>
                <w:spacing w:val="-11"/>
                <w:kern w:val="0"/>
              </w:rPr>
              <w:t>2022-2024</w:t>
            </w:r>
          </w:p>
        </w:tc>
        <w:tc>
          <w:tcPr>
            <w:tcW w:w="455"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w:t>
            </w:r>
          </w:p>
        </w:tc>
        <w:tc>
          <w:tcPr>
            <w:tcW w:w="410"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40000</w:t>
            </w:r>
          </w:p>
        </w:tc>
        <w:tc>
          <w:tcPr>
            <w:tcW w:w="695"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835"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6"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369" w:type="pct"/>
            <w:vMerge w:val="continue"/>
            <w:noWrap/>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555"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710"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spacing w:val="-17"/>
                <w:kern w:val="0"/>
              </w:rPr>
              <w:t>科技生态城文化艺术公园</w:t>
            </w:r>
          </w:p>
        </w:tc>
        <w:tc>
          <w:tcPr>
            <w:tcW w:w="592"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spacing w:val="-11"/>
                <w:kern w:val="0"/>
              </w:rPr>
            </w:pPr>
            <w:r>
              <w:rPr>
                <w:rFonts w:ascii="Times New Roman" w:hAnsi="Times New Roman" w:eastAsia="方正仿宋_GBK" w:cs="Times New Roman"/>
                <w:b w:val="0"/>
                <w:bCs w:val="0"/>
                <w:spacing w:val="-11"/>
                <w:kern w:val="0"/>
              </w:rPr>
              <w:t>2023-2025</w:t>
            </w:r>
          </w:p>
        </w:tc>
        <w:tc>
          <w:tcPr>
            <w:tcW w:w="455"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20000</w:t>
            </w:r>
          </w:p>
        </w:tc>
        <w:tc>
          <w:tcPr>
            <w:tcW w:w="410"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w:t>
            </w:r>
          </w:p>
        </w:tc>
        <w:tc>
          <w:tcPr>
            <w:tcW w:w="695"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835"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区规划自然资源局、区文化旅游委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6"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369" w:type="pct"/>
            <w:vMerge w:val="continue"/>
            <w:noWrap/>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555"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710"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spacing w:val="-17"/>
                <w:kern w:val="0"/>
              </w:rPr>
              <w:t>探花湿地公园</w:t>
            </w:r>
          </w:p>
        </w:tc>
        <w:tc>
          <w:tcPr>
            <w:tcW w:w="592"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spacing w:val="-11"/>
                <w:kern w:val="0"/>
              </w:rPr>
            </w:pPr>
            <w:r>
              <w:rPr>
                <w:rFonts w:ascii="Times New Roman" w:hAnsi="Times New Roman" w:eastAsia="方正仿宋_GBK" w:cs="Times New Roman"/>
                <w:b w:val="0"/>
                <w:bCs w:val="0"/>
                <w:spacing w:val="-11"/>
                <w:kern w:val="0"/>
              </w:rPr>
              <w:t>2022-2025</w:t>
            </w:r>
          </w:p>
        </w:tc>
        <w:tc>
          <w:tcPr>
            <w:tcW w:w="455"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12000</w:t>
            </w:r>
          </w:p>
        </w:tc>
        <w:tc>
          <w:tcPr>
            <w:tcW w:w="410"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w:t>
            </w:r>
          </w:p>
        </w:tc>
        <w:tc>
          <w:tcPr>
            <w:tcW w:w="695" w:type="pct"/>
            <w:vMerge w:val="restar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b w:val="0"/>
                <w:bCs w:val="0"/>
              </w:rPr>
              <w:fldChar w:fldCharType="begin"/>
            </w:r>
            <w:r>
              <w:rPr>
                <w:b w:val="0"/>
                <w:bCs w:val="0"/>
              </w:rPr>
              <w:instrText xml:space="preserve"> HYPERLINK "http://www.cqyc.gov.cn/zwgk_204/zfxxgk/zfxxgkzn/qzfbm_204/qzfcxjw/index2.html" \t "_blank" </w:instrText>
            </w:r>
            <w:r>
              <w:rPr>
                <w:b w:val="0"/>
                <w:bCs w:val="0"/>
              </w:rPr>
              <w:fldChar w:fldCharType="separate"/>
            </w:r>
            <w:r>
              <w:rPr>
                <w:rFonts w:ascii="Times New Roman" w:hAnsi="Times New Roman" w:eastAsia="方正仿宋_GBK" w:cs="Times New Roman"/>
                <w:b w:val="0"/>
                <w:bCs w:val="0"/>
                <w:kern w:val="0"/>
              </w:rPr>
              <w:t>区住房城乡建委</w:t>
            </w:r>
            <w:r>
              <w:rPr>
                <w:rFonts w:ascii="Times New Roman" w:hAnsi="Times New Roman" w:eastAsia="方正仿宋_GBK" w:cs="Times New Roman"/>
                <w:b w:val="0"/>
                <w:bCs w:val="0"/>
                <w:kern w:val="0"/>
              </w:rPr>
              <w:fldChar w:fldCharType="end"/>
            </w:r>
          </w:p>
        </w:tc>
        <w:tc>
          <w:tcPr>
            <w:tcW w:w="835" w:type="pct"/>
            <w:vMerge w:val="restar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6"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369" w:type="pct"/>
            <w:vMerge w:val="continue"/>
            <w:noWrap/>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555"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710"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兴南公园</w:t>
            </w:r>
          </w:p>
        </w:tc>
        <w:tc>
          <w:tcPr>
            <w:tcW w:w="592"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spacing w:val="-11"/>
                <w:kern w:val="0"/>
              </w:rPr>
            </w:pPr>
            <w:r>
              <w:rPr>
                <w:rFonts w:ascii="Times New Roman" w:hAnsi="Times New Roman" w:eastAsia="方正仿宋_GBK" w:cs="Times New Roman"/>
                <w:b w:val="0"/>
                <w:bCs w:val="0"/>
                <w:spacing w:val="-11"/>
                <w:kern w:val="0"/>
              </w:rPr>
              <w:t>2022-2025</w:t>
            </w:r>
          </w:p>
        </w:tc>
        <w:tc>
          <w:tcPr>
            <w:tcW w:w="455"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15000</w:t>
            </w:r>
          </w:p>
        </w:tc>
        <w:tc>
          <w:tcPr>
            <w:tcW w:w="410"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w:t>
            </w:r>
          </w:p>
        </w:tc>
        <w:tc>
          <w:tcPr>
            <w:tcW w:w="695"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835"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6"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369" w:type="pct"/>
            <w:vMerge w:val="continue"/>
            <w:noWrap/>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555"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710"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石梁湖公园</w:t>
            </w:r>
          </w:p>
        </w:tc>
        <w:tc>
          <w:tcPr>
            <w:tcW w:w="592"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spacing w:val="-11"/>
                <w:kern w:val="0"/>
              </w:rPr>
            </w:pPr>
            <w:r>
              <w:rPr>
                <w:rFonts w:ascii="Times New Roman" w:hAnsi="Times New Roman" w:eastAsia="方正仿宋_GBK" w:cs="Times New Roman"/>
                <w:b w:val="0"/>
                <w:bCs w:val="0"/>
                <w:spacing w:val="-11"/>
                <w:kern w:val="0"/>
              </w:rPr>
              <w:t>2022-2025</w:t>
            </w:r>
          </w:p>
        </w:tc>
        <w:tc>
          <w:tcPr>
            <w:tcW w:w="455"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80000</w:t>
            </w:r>
          </w:p>
        </w:tc>
        <w:tc>
          <w:tcPr>
            <w:tcW w:w="410"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w:t>
            </w:r>
          </w:p>
        </w:tc>
        <w:tc>
          <w:tcPr>
            <w:tcW w:w="695"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spacing w:val="-17"/>
                <w:kern w:val="0"/>
              </w:rPr>
            </w:pPr>
            <w:r>
              <w:rPr>
                <w:rFonts w:ascii="Times New Roman" w:hAnsi="Times New Roman" w:eastAsia="方正仿宋_GBK" w:cs="Times New Roman"/>
                <w:b w:val="0"/>
                <w:bCs w:val="0"/>
                <w:spacing w:val="-17"/>
                <w:kern w:val="0"/>
              </w:rPr>
              <w:t>区文化旅游委</w:t>
            </w:r>
          </w:p>
        </w:tc>
        <w:tc>
          <w:tcPr>
            <w:tcW w:w="835"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spacing w:val="-6"/>
                <w:kern w:val="0"/>
              </w:rPr>
              <w:t>区水利局、中山路街道、重庆茶山竹海旅游开发有限公司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6"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369" w:type="pct"/>
            <w:vMerge w:val="continue"/>
            <w:noWrap/>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555"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710"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跃进厂湿地公园</w:t>
            </w:r>
          </w:p>
        </w:tc>
        <w:tc>
          <w:tcPr>
            <w:tcW w:w="592"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spacing w:val="-11"/>
                <w:kern w:val="0"/>
              </w:rPr>
            </w:pPr>
            <w:r>
              <w:rPr>
                <w:rFonts w:ascii="Times New Roman" w:hAnsi="Times New Roman" w:eastAsia="方正仿宋_GBK" w:cs="Times New Roman"/>
                <w:b w:val="0"/>
                <w:bCs w:val="0"/>
                <w:spacing w:val="-11"/>
                <w:kern w:val="0"/>
              </w:rPr>
              <w:t>2023-2024</w:t>
            </w:r>
          </w:p>
        </w:tc>
        <w:tc>
          <w:tcPr>
            <w:tcW w:w="455"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3000</w:t>
            </w:r>
          </w:p>
        </w:tc>
        <w:tc>
          <w:tcPr>
            <w:tcW w:w="410"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w:t>
            </w:r>
          </w:p>
        </w:tc>
        <w:tc>
          <w:tcPr>
            <w:tcW w:w="695" w:type="pct"/>
            <w:vMerge w:val="restar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spacing w:val="-17"/>
                <w:kern w:val="0"/>
              </w:rPr>
            </w:pPr>
            <w:r>
              <w:rPr>
                <w:rFonts w:ascii="Times New Roman" w:hAnsi="Times New Roman" w:eastAsia="方正仿宋_GBK" w:cs="Times New Roman"/>
                <w:b w:val="0"/>
                <w:bCs w:val="0"/>
                <w:spacing w:val="-17"/>
                <w:kern w:val="0"/>
              </w:rPr>
              <w:t>区城市管理局</w:t>
            </w:r>
          </w:p>
        </w:tc>
        <w:tc>
          <w:tcPr>
            <w:tcW w:w="835" w:type="pct"/>
            <w:vMerge w:val="restar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6"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369" w:type="pct"/>
            <w:vMerge w:val="continue"/>
            <w:noWrap/>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555"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710"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狮子坡郊野公园</w:t>
            </w:r>
          </w:p>
        </w:tc>
        <w:tc>
          <w:tcPr>
            <w:tcW w:w="592"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spacing w:val="-11"/>
                <w:kern w:val="0"/>
              </w:rPr>
            </w:pPr>
            <w:r>
              <w:rPr>
                <w:rFonts w:ascii="Times New Roman" w:hAnsi="Times New Roman" w:eastAsia="方正仿宋_GBK" w:cs="Times New Roman"/>
                <w:b w:val="0"/>
                <w:bCs w:val="0"/>
                <w:spacing w:val="-11"/>
                <w:kern w:val="0"/>
              </w:rPr>
              <w:t>2023-2024</w:t>
            </w:r>
          </w:p>
        </w:tc>
        <w:tc>
          <w:tcPr>
            <w:tcW w:w="455"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800</w:t>
            </w:r>
          </w:p>
        </w:tc>
        <w:tc>
          <w:tcPr>
            <w:tcW w:w="410"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w:t>
            </w:r>
          </w:p>
        </w:tc>
        <w:tc>
          <w:tcPr>
            <w:tcW w:w="695"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835"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6"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369" w:type="pct"/>
            <w:vMerge w:val="continue"/>
            <w:noWrap/>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555"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710"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毛家坡郊野公园</w:t>
            </w:r>
          </w:p>
        </w:tc>
        <w:tc>
          <w:tcPr>
            <w:tcW w:w="592"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spacing w:val="-11"/>
                <w:kern w:val="0"/>
              </w:rPr>
            </w:pPr>
            <w:r>
              <w:rPr>
                <w:rFonts w:ascii="Times New Roman" w:hAnsi="Times New Roman" w:eastAsia="方正仿宋_GBK" w:cs="Times New Roman"/>
                <w:b w:val="0"/>
                <w:bCs w:val="0"/>
                <w:spacing w:val="-11"/>
                <w:kern w:val="0"/>
              </w:rPr>
              <w:t>2023-2024</w:t>
            </w:r>
          </w:p>
        </w:tc>
        <w:tc>
          <w:tcPr>
            <w:tcW w:w="455"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300</w:t>
            </w:r>
          </w:p>
        </w:tc>
        <w:tc>
          <w:tcPr>
            <w:tcW w:w="410"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w:t>
            </w:r>
          </w:p>
        </w:tc>
        <w:tc>
          <w:tcPr>
            <w:tcW w:w="695"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835"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6"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369" w:type="pct"/>
            <w:vMerge w:val="continue"/>
            <w:noWrap/>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555"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710"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成渝高速老高速路口社区公园</w:t>
            </w:r>
          </w:p>
        </w:tc>
        <w:tc>
          <w:tcPr>
            <w:tcW w:w="592"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spacing w:val="-11"/>
                <w:kern w:val="0"/>
              </w:rPr>
            </w:pPr>
            <w:r>
              <w:rPr>
                <w:rFonts w:ascii="Times New Roman" w:hAnsi="Times New Roman" w:eastAsia="方正仿宋_GBK" w:cs="Times New Roman"/>
                <w:b w:val="0"/>
                <w:bCs w:val="0"/>
                <w:spacing w:val="-11"/>
                <w:kern w:val="0"/>
              </w:rPr>
              <w:t>2022-2023</w:t>
            </w:r>
          </w:p>
        </w:tc>
        <w:tc>
          <w:tcPr>
            <w:tcW w:w="455"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300</w:t>
            </w:r>
          </w:p>
        </w:tc>
        <w:tc>
          <w:tcPr>
            <w:tcW w:w="410"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w:t>
            </w:r>
          </w:p>
        </w:tc>
        <w:tc>
          <w:tcPr>
            <w:tcW w:w="695"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835"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6"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369" w:type="pct"/>
            <w:vMerge w:val="continue"/>
            <w:noWrap/>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555"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710"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荫山路社区公园</w:t>
            </w:r>
          </w:p>
        </w:tc>
        <w:tc>
          <w:tcPr>
            <w:tcW w:w="592"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spacing w:val="-11"/>
                <w:kern w:val="0"/>
              </w:rPr>
            </w:pPr>
            <w:r>
              <w:rPr>
                <w:rFonts w:ascii="Times New Roman" w:hAnsi="Times New Roman" w:eastAsia="方正仿宋_GBK" w:cs="Times New Roman"/>
                <w:b w:val="0"/>
                <w:bCs w:val="0"/>
                <w:spacing w:val="-11"/>
                <w:kern w:val="0"/>
              </w:rPr>
              <w:t>2022-2023</w:t>
            </w:r>
          </w:p>
        </w:tc>
        <w:tc>
          <w:tcPr>
            <w:tcW w:w="455"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300</w:t>
            </w:r>
          </w:p>
        </w:tc>
        <w:tc>
          <w:tcPr>
            <w:tcW w:w="410"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w:t>
            </w:r>
          </w:p>
        </w:tc>
        <w:tc>
          <w:tcPr>
            <w:tcW w:w="695"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835"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6"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369" w:type="pct"/>
            <w:vMerge w:val="continue"/>
            <w:noWrap/>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555"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710"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住建委旁滨河小游园</w:t>
            </w:r>
          </w:p>
        </w:tc>
        <w:tc>
          <w:tcPr>
            <w:tcW w:w="592"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spacing w:val="-11"/>
                <w:kern w:val="0"/>
              </w:rPr>
            </w:pPr>
            <w:r>
              <w:rPr>
                <w:rFonts w:ascii="Times New Roman" w:hAnsi="Times New Roman" w:eastAsia="方正仿宋_GBK" w:cs="Times New Roman"/>
                <w:b w:val="0"/>
                <w:bCs w:val="0"/>
                <w:spacing w:val="-11"/>
                <w:kern w:val="0"/>
              </w:rPr>
              <w:t>2022-2023</w:t>
            </w:r>
          </w:p>
        </w:tc>
        <w:tc>
          <w:tcPr>
            <w:tcW w:w="455"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80</w:t>
            </w:r>
          </w:p>
        </w:tc>
        <w:tc>
          <w:tcPr>
            <w:tcW w:w="410"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w:t>
            </w:r>
          </w:p>
        </w:tc>
        <w:tc>
          <w:tcPr>
            <w:tcW w:w="695"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835"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6"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369" w:type="pct"/>
            <w:vMerge w:val="continue"/>
            <w:noWrap/>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555"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710"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spacing w:val="-17"/>
                <w:kern w:val="0"/>
              </w:rPr>
              <w:t>官井桥小游园</w:t>
            </w:r>
          </w:p>
        </w:tc>
        <w:tc>
          <w:tcPr>
            <w:tcW w:w="592"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spacing w:val="-11"/>
                <w:kern w:val="0"/>
              </w:rPr>
            </w:pPr>
            <w:r>
              <w:rPr>
                <w:rFonts w:ascii="Times New Roman" w:hAnsi="Times New Roman" w:eastAsia="方正仿宋_GBK" w:cs="Times New Roman"/>
                <w:b w:val="0"/>
                <w:bCs w:val="0"/>
                <w:spacing w:val="-11"/>
                <w:kern w:val="0"/>
              </w:rPr>
              <w:t>2022-2023</w:t>
            </w:r>
          </w:p>
        </w:tc>
        <w:tc>
          <w:tcPr>
            <w:tcW w:w="455"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80</w:t>
            </w:r>
          </w:p>
        </w:tc>
        <w:tc>
          <w:tcPr>
            <w:tcW w:w="410"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w:t>
            </w:r>
          </w:p>
        </w:tc>
        <w:tc>
          <w:tcPr>
            <w:tcW w:w="695"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835"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6"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369" w:type="pct"/>
            <w:vMerge w:val="continue"/>
            <w:noWrap/>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555"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710"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万达广场靠海棠大道一侧小游园</w:t>
            </w:r>
          </w:p>
        </w:tc>
        <w:tc>
          <w:tcPr>
            <w:tcW w:w="592"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spacing w:val="-11"/>
                <w:kern w:val="0"/>
              </w:rPr>
            </w:pPr>
            <w:r>
              <w:rPr>
                <w:rFonts w:ascii="Times New Roman" w:hAnsi="Times New Roman" w:eastAsia="方正仿宋_GBK" w:cs="Times New Roman"/>
                <w:b w:val="0"/>
                <w:bCs w:val="0"/>
                <w:spacing w:val="-11"/>
                <w:kern w:val="0"/>
              </w:rPr>
              <w:t>2022-2023</w:t>
            </w:r>
          </w:p>
        </w:tc>
        <w:tc>
          <w:tcPr>
            <w:tcW w:w="455"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80</w:t>
            </w:r>
          </w:p>
        </w:tc>
        <w:tc>
          <w:tcPr>
            <w:tcW w:w="410"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w:t>
            </w:r>
          </w:p>
        </w:tc>
        <w:tc>
          <w:tcPr>
            <w:tcW w:w="695"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835"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6"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369" w:type="pct"/>
            <w:vMerge w:val="continue"/>
            <w:noWrap/>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555"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710"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商贸城滨河小游园</w:t>
            </w:r>
          </w:p>
        </w:tc>
        <w:tc>
          <w:tcPr>
            <w:tcW w:w="592"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spacing w:val="-11"/>
                <w:kern w:val="0"/>
              </w:rPr>
            </w:pPr>
            <w:r>
              <w:rPr>
                <w:rFonts w:ascii="Times New Roman" w:hAnsi="Times New Roman" w:eastAsia="方正仿宋_GBK" w:cs="Times New Roman"/>
                <w:b w:val="0"/>
                <w:bCs w:val="0"/>
                <w:spacing w:val="-11"/>
                <w:kern w:val="0"/>
              </w:rPr>
              <w:t>2023-2024</w:t>
            </w:r>
          </w:p>
        </w:tc>
        <w:tc>
          <w:tcPr>
            <w:tcW w:w="455"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80</w:t>
            </w:r>
          </w:p>
        </w:tc>
        <w:tc>
          <w:tcPr>
            <w:tcW w:w="410"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w:t>
            </w:r>
          </w:p>
        </w:tc>
        <w:tc>
          <w:tcPr>
            <w:tcW w:w="695"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835"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6"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369" w:type="pct"/>
            <w:vMerge w:val="restart"/>
            <w:noWrap/>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33</w:t>
            </w:r>
          </w:p>
        </w:tc>
        <w:tc>
          <w:tcPr>
            <w:tcW w:w="555" w:type="pct"/>
            <w:vMerge w:val="restar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城市绿道建设工程</w:t>
            </w:r>
          </w:p>
        </w:tc>
        <w:tc>
          <w:tcPr>
            <w:tcW w:w="710"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spacing w:val="-11"/>
                <w:kern w:val="0"/>
              </w:rPr>
              <w:t>亲水绿道建设工程：临江河-凤龙路绿道、卫星湖绿道、红旗河绿道等。</w:t>
            </w:r>
          </w:p>
        </w:tc>
        <w:tc>
          <w:tcPr>
            <w:tcW w:w="592" w:type="pct"/>
            <w:vMerge w:val="restar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spacing w:val="-11"/>
                <w:kern w:val="0"/>
              </w:rPr>
            </w:pPr>
            <w:r>
              <w:rPr>
                <w:rFonts w:ascii="Times New Roman" w:hAnsi="Times New Roman" w:eastAsia="方正仿宋_GBK" w:cs="Times New Roman"/>
                <w:b w:val="0"/>
                <w:bCs w:val="0"/>
                <w:spacing w:val="-11"/>
                <w:kern w:val="0"/>
              </w:rPr>
              <w:t>2022-2025</w:t>
            </w:r>
          </w:p>
        </w:tc>
        <w:tc>
          <w:tcPr>
            <w:tcW w:w="455"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rPr>
            </w:pPr>
            <w:r>
              <w:rPr>
                <w:rFonts w:ascii="Times New Roman" w:hAnsi="Times New Roman" w:eastAsia="方正仿宋_GBK" w:cs="Times New Roman"/>
                <w:b w:val="0"/>
                <w:bCs w:val="0"/>
              </w:rPr>
              <w:t>6000</w:t>
            </w:r>
          </w:p>
        </w:tc>
        <w:tc>
          <w:tcPr>
            <w:tcW w:w="410"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rPr>
            </w:pPr>
            <w:r>
              <w:rPr>
                <w:rFonts w:ascii="Times New Roman" w:hAnsi="Times New Roman" w:eastAsia="方正仿宋_GBK" w:cs="Times New Roman"/>
                <w:b w:val="0"/>
                <w:bCs w:val="0"/>
                <w:kern w:val="0"/>
              </w:rPr>
              <w:t>-</w:t>
            </w:r>
          </w:p>
        </w:tc>
        <w:tc>
          <w:tcPr>
            <w:tcW w:w="695" w:type="pct"/>
            <w:vMerge w:val="restar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spacing w:val="-6"/>
                <w:kern w:val="0"/>
              </w:rPr>
            </w:pPr>
            <w:r>
              <w:rPr>
                <w:rFonts w:ascii="Times New Roman" w:hAnsi="Times New Roman" w:eastAsia="方正仿宋_GBK" w:cs="Times New Roman"/>
                <w:b w:val="0"/>
                <w:bCs w:val="0"/>
                <w:spacing w:val="-11"/>
                <w:kern w:val="0"/>
              </w:rPr>
              <w:fldChar w:fldCharType="begin"/>
            </w:r>
            <w:r>
              <w:rPr>
                <w:rFonts w:ascii="Times New Roman" w:hAnsi="Times New Roman" w:eastAsia="方正仿宋_GBK" w:cs="Times New Roman"/>
                <w:b w:val="0"/>
                <w:bCs w:val="0"/>
                <w:spacing w:val="-11"/>
                <w:kern w:val="0"/>
              </w:rPr>
              <w:instrText xml:space="preserve"> HYPERLINK "http://www.cqyc.gov.cn/zwgk_204/zfxxgk/zfxxgkzn/qzfbm_204/qzfcxjw/index2.html" \t "_blank" </w:instrText>
            </w:r>
            <w:r>
              <w:rPr>
                <w:rFonts w:ascii="Times New Roman" w:hAnsi="Times New Roman" w:eastAsia="方正仿宋_GBK" w:cs="Times New Roman"/>
                <w:b w:val="0"/>
                <w:bCs w:val="0"/>
                <w:spacing w:val="-11"/>
                <w:kern w:val="0"/>
              </w:rPr>
              <w:fldChar w:fldCharType="separate"/>
            </w:r>
            <w:r>
              <w:rPr>
                <w:rFonts w:ascii="Times New Roman" w:hAnsi="Times New Roman" w:eastAsia="方正仿宋_GBK" w:cs="Times New Roman"/>
                <w:b w:val="0"/>
                <w:bCs w:val="0"/>
                <w:spacing w:val="-11"/>
                <w:kern w:val="0"/>
              </w:rPr>
              <w:t>区住房城乡建委</w:t>
            </w:r>
            <w:r>
              <w:rPr>
                <w:rFonts w:ascii="Times New Roman" w:hAnsi="Times New Roman" w:eastAsia="方正仿宋_GBK" w:cs="Times New Roman"/>
                <w:b w:val="0"/>
                <w:bCs w:val="0"/>
                <w:spacing w:val="-11"/>
                <w:kern w:val="0"/>
              </w:rPr>
              <w:fldChar w:fldCharType="end"/>
            </w:r>
            <w:r>
              <w:rPr>
                <w:rFonts w:ascii="Times New Roman" w:hAnsi="Times New Roman" w:eastAsia="方正仿宋_GBK" w:cs="Times New Roman"/>
                <w:b w:val="0"/>
                <w:bCs w:val="0"/>
                <w:spacing w:val="-11"/>
                <w:kern w:val="0"/>
              </w:rPr>
              <w:t>、区城市管理局、区新城建管委、</w:t>
            </w:r>
            <w:r>
              <w:rPr>
                <w:rFonts w:ascii="Times New Roman" w:hAnsi="Times New Roman" w:eastAsia="方正仿宋_GBK" w:cs="Times New Roman"/>
                <w:b w:val="0"/>
                <w:bCs w:val="0"/>
                <w:spacing w:val="-11"/>
                <w:kern w:val="0"/>
              </w:rPr>
              <w:fldChar w:fldCharType="begin"/>
            </w:r>
            <w:r>
              <w:rPr>
                <w:rFonts w:ascii="Times New Roman" w:hAnsi="Times New Roman" w:eastAsia="方正仿宋_GBK" w:cs="Times New Roman"/>
                <w:b w:val="0"/>
                <w:bCs w:val="0"/>
                <w:spacing w:val="-11"/>
                <w:kern w:val="0"/>
              </w:rPr>
              <w:instrText xml:space="preserve"> HYPERLINK "http://www.baidu.com/link?url=o2tohIjDtuyJ8h3_vEFf5Tzrr9rJh3oGA-OThNBOIrlM-SUArjpsuKRgkS7gBAse_jwwQw3ErxXR_utnW84IKA2Obwpp1WQZRrwHgdaOaoW" \t "_blank" </w:instrText>
            </w:r>
            <w:r>
              <w:rPr>
                <w:rFonts w:ascii="Times New Roman" w:hAnsi="Times New Roman" w:eastAsia="方正仿宋_GBK" w:cs="Times New Roman"/>
                <w:b w:val="0"/>
                <w:bCs w:val="0"/>
                <w:spacing w:val="-11"/>
                <w:kern w:val="0"/>
              </w:rPr>
              <w:fldChar w:fldCharType="separate"/>
            </w:r>
            <w:r>
              <w:rPr>
                <w:rFonts w:ascii="Times New Roman" w:hAnsi="Times New Roman" w:eastAsia="方正仿宋_GBK" w:cs="Times New Roman"/>
                <w:b w:val="0"/>
                <w:bCs w:val="0"/>
                <w:spacing w:val="-11"/>
                <w:kern w:val="0"/>
              </w:rPr>
              <w:t>凤凰湖产业促进中心</w:t>
            </w:r>
            <w:r>
              <w:rPr>
                <w:rFonts w:ascii="Times New Roman" w:hAnsi="Times New Roman" w:eastAsia="方正仿宋_GBK" w:cs="Times New Roman"/>
                <w:b w:val="0"/>
                <w:bCs w:val="0"/>
                <w:spacing w:val="-11"/>
                <w:kern w:val="0"/>
              </w:rPr>
              <w:fldChar w:fldCharType="end"/>
            </w:r>
          </w:p>
        </w:tc>
        <w:tc>
          <w:tcPr>
            <w:tcW w:w="835" w:type="pct"/>
            <w:vMerge w:val="restar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spacing w:val="-6"/>
                <w:kern w:val="0"/>
              </w:rPr>
            </w:pPr>
            <w:r>
              <w:rPr>
                <w:rFonts w:ascii="Times New Roman" w:hAnsi="Times New Roman" w:eastAsia="方正仿宋_GBK" w:cs="Times New Roman"/>
                <w:b w:val="0"/>
                <w:bCs w:val="0"/>
                <w:spacing w:val="-6"/>
                <w:kern w:val="0"/>
              </w:rPr>
              <w:t>区规划自然资源局、区交通局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6"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369" w:type="pct"/>
            <w:vMerge w:val="continue"/>
            <w:noWrap/>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555"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710"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山林慢道建设工程：茶山竹海绿道、桃花山绿道等。</w:t>
            </w:r>
          </w:p>
        </w:tc>
        <w:tc>
          <w:tcPr>
            <w:tcW w:w="592"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spacing w:val="-11"/>
                <w:kern w:val="0"/>
              </w:rPr>
            </w:pPr>
          </w:p>
        </w:tc>
        <w:tc>
          <w:tcPr>
            <w:tcW w:w="455"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rPr>
            </w:pPr>
            <w:r>
              <w:rPr>
                <w:rFonts w:ascii="Times New Roman" w:hAnsi="Times New Roman" w:eastAsia="方正仿宋_GBK" w:cs="Times New Roman"/>
                <w:b w:val="0"/>
                <w:bCs w:val="0"/>
              </w:rPr>
              <w:t>4000</w:t>
            </w:r>
          </w:p>
        </w:tc>
        <w:tc>
          <w:tcPr>
            <w:tcW w:w="410"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rPr>
            </w:pPr>
            <w:r>
              <w:rPr>
                <w:rFonts w:ascii="Times New Roman" w:hAnsi="Times New Roman" w:eastAsia="方正仿宋_GBK" w:cs="Times New Roman"/>
                <w:b w:val="0"/>
                <w:bCs w:val="0"/>
                <w:kern w:val="0"/>
              </w:rPr>
              <w:t>-</w:t>
            </w:r>
          </w:p>
        </w:tc>
        <w:tc>
          <w:tcPr>
            <w:tcW w:w="695"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spacing w:val="-17"/>
                <w:kern w:val="0"/>
              </w:rPr>
            </w:pPr>
          </w:p>
        </w:tc>
        <w:tc>
          <w:tcPr>
            <w:tcW w:w="835"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6"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369" w:type="pct"/>
            <w:vMerge w:val="continue"/>
            <w:noWrap/>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555"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710"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悦城景道建设工程：一环路绿道、龙马大道绿道、昌龙大道绿道等。</w:t>
            </w:r>
          </w:p>
        </w:tc>
        <w:tc>
          <w:tcPr>
            <w:tcW w:w="592"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spacing w:val="-11"/>
                <w:kern w:val="0"/>
              </w:rPr>
            </w:pPr>
          </w:p>
        </w:tc>
        <w:tc>
          <w:tcPr>
            <w:tcW w:w="455"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rPr>
            </w:pPr>
            <w:r>
              <w:rPr>
                <w:rFonts w:ascii="Times New Roman" w:hAnsi="Times New Roman" w:eastAsia="方正仿宋_GBK" w:cs="Times New Roman"/>
                <w:b w:val="0"/>
                <w:bCs w:val="0"/>
              </w:rPr>
              <w:t>3000</w:t>
            </w:r>
          </w:p>
        </w:tc>
        <w:tc>
          <w:tcPr>
            <w:tcW w:w="410"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rPr>
            </w:pPr>
            <w:r>
              <w:rPr>
                <w:rFonts w:ascii="Times New Roman" w:hAnsi="Times New Roman" w:eastAsia="方正仿宋_GBK" w:cs="Times New Roman"/>
                <w:b w:val="0"/>
                <w:bCs w:val="0"/>
                <w:kern w:val="0"/>
              </w:rPr>
              <w:t>-</w:t>
            </w:r>
          </w:p>
        </w:tc>
        <w:tc>
          <w:tcPr>
            <w:tcW w:w="695"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spacing w:val="-17"/>
                <w:kern w:val="0"/>
              </w:rPr>
            </w:pPr>
          </w:p>
        </w:tc>
        <w:tc>
          <w:tcPr>
            <w:tcW w:w="835"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6"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369" w:type="pct"/>
            <w:noWrap/>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34</w:t>
            </w:r>
          </w:p>
        </w:tc>
        <w:tc>
          <w:tcPr>
            <w:tcW w:w="555"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spacing w:val="-6"/>
                <w:kern w:val="0"/>
              </w:rPr>
              <w:t>绿地体育配套设施建设</w:t>
            </w:r>
          </w:p>
        </w:tc>
        <w:tc>
          <w:tcPr>
            <w:tcW w:w="710"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因地制宜建设具有体育设施、儿童设施的城市绿地，集中改造3个具备体育健身设施和3个具备儿童活动设施的社区公园</w:t>
            </w:r>
          </w:p>
        </w:tc>
        <w:tc>
          <w:tcPr>
            <w:tcW w:w="592"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spacing w:val="-11"/>
                <w:kern w:val="0"/>
              </w:rPr>
            </w:pPr>
            <w:r>
              <w:rPr>
                <w:rFonts w:ascii="Times New Roman" w:hAnsi="Times New Roman" w:eastAsia="方正仿宋_GBK" w:cs="Times New Roman"/>
                <w:b w:val="0"/>
                <w:bCs w:val="0"/>
                <w:spacing w:val="-11"/>
                <w:kern w:val="0"/>
              </w:rPr>
              <w:t>2022-2023</w:t>
            </w:r>
          </w:p>
        </w:tc>
        <w:tc>
          <w:tcPr>
            <w:tcW w:w="455"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1200</w:t>
            </w:r>
          </w:p>
        </w:tc>
        <w:tc>
          <w:tcPr>
            <w:tcW w:w="410"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w:t>
            </w:r>
          </w:p>
        </w:tc>
        <w:tc>
          <w:tcPr>
            <w:tcW w:w="695"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spacing w:val="-17"/>
                <w:kern w:val="0"/>
              </w:rPr>
            </w:pPr>
            <w:r>
              <w:rPr>
                <w:rFonts w:ascii="Times New Roman" w:hAnsi="Times New Roman" w:eastAsia="方正仿宋_GBK" w:cs="Times New Roman"/>
                <w:b w:val="0"/>
                <w:bCs w:val="0"/>
                <w:spacing w:val="-17"/>
                <w:kern w:val="0"/>
              </w:rPr>
              <w:t>区城市管理局</w:t>
            </w:r>
          </w:p>
        </w:tc>
        <w:tc>
          <w:tcPr>
            <w:tcW w:w="835"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区文化旅游委、</w:t>
            </w:r>
            <w:r>
              <w:rPr>
                <w:b w:val="0"/>
                <w:bCs w:val="0"/>
              </w:rPr>
              <w:fldChar w:fldCharType="begin"/>
            </w:r>
            <w:r>
              <w:rPr>
                <w:b w:val="0"/>
                <w:bCs w:val="0"/>
              </w:rPr>
              <w:instrText xml:space="preserve"> HYPERLINK "http://www.cqyc.gov.cn/zwgk_204/zfxxgk/zfxxgkzn/qzfbm_204/qzfcxjw/index2.html" \t "_blank" </w:instrText>
            </w:r>
            <w:r>
              <w:rPr>
                <w:b w:val="0"/>
                <w:bCs w:val="0"/>
              </w:rPr>
              <w:fldChar w:fldCharType="separate"/>
            </w:r>
            <w:r>
              <w:rPr>
                <w:rFonts w:ascii="Times New Roman" w:hAnsi="Times New Roman" w:eastAsia="方正仿宋_GBK" w:cs="Times New Roman"/>
                <w:b w:val="0"/>
                <w:bCs w:val="0"/>
                <w:kern w:val="0"/>
              </w:rPr>
              <w:t>区住房城乡建委</w:t>
            </w:r>
            <w:r>
              <w:rPr>
                <w:rFonts w:ascii="Times New Roman" w:hAnsi="Times New Roman" w:eastAsia="方正仿宋_GBK" w:cs="Times New Roman"/>
                <w:b w:val="0"/>
                <w:bCs w:val="0"/>
                <w:kern w:val="0"/>
              </w:rPr>
              <w:fldChar w:fldCharType="end"/>
            </w:r>
            <w:r>
              <w:rPr>
                <w:rFonts w:ascii="Times New Roman" w:hAnsi="Times New Roman" w:eastAsia="方正仿宋_GBK" w:cs="Times New Roman"/>
                <w:b w:val="0"/>
                <w:bCs w:val="0"/>
                <w:kern w:val="0"/>
              </w:rPr>
              <w:t>、区规划自然资源局、区新城建管委、</w:t>
            </w:r>
            <w:r>
              <w:rPr>
                <w:b w:val="0"/>
                <w:bCs w:val="0"/>
              </w:rPr>
              <w:fldChar w:fldCharType="begin"/>
            </w:r>
            <w:r>
              <w:rPr>
                <w:b w:val="0"/>
                <w:bCs w:val="0"/>
              </w:rPr>
              <w:instrText xml:space="preserve"> HYPERLINK "http://www.baidu.com/link?url=o2tohIjDtuyJ8h3_vEFf5Tzrr9rJh3oGA-OThNBOIrlM-SUArjpsuKRgkS7gBAse_jwwQw3ErxXR_utnW84IKA2Obwpp1WQZRrwHgdaOaoW" \t "_blank" </w:instrText>
            </w:r>
            <w:r>
              <w:rPr>
                <w:b w:val="0"/>
                <w:bCs w:val="0"/>
              </w:rPr>
              <w:fldChar w:fldCharType="separate"/>
            </w:r>
            <w:r>
              <w:rPr>
                <w:rFonts w:ascii="Times New Roman" w:hAnsi="Times New Roman" w:eastAsia="方正仿宋_GBK" w:cs="Times New Roman"/>
                <w:b w:val="0"/>
                <w:bCs w:val="0"/>
                <w:kern w:val="0"/>
              </w:rPr>
              <w:t>凤凰湖产业促进中心</w:t>
            </w:r>
            <w:r>
              <w:rPr>
                <w:rFonts w:ascii="Times New Roman" w:hAnsi="Times New Roman" w:eastAsia="方正仿宋_GBK" w:cs="Times New Roman"/>
                <w:b w:val="0"/>
                <w:bCs w:val="0"/>
                <w:kern w:val="0"/>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6"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369" w:type="pct"/>
            <w:vMerge w:val="restart"/>
            <w:noWrap/>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35</w:t>
            </w:r>
          </w:p>
        </w:tc>
        <w:tc>
          <w:tcPr>
            <w:tcW w:w="555" w:type="pct"/>
            <w:vMerge w:val="restar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城市立体绿化工程</w:t>
            </w:r>
          </w:p>
        </w:tc>
        <w:tc>
          <w:tcPr>
            <w:tcW w:w="710"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实施骑龙街堡坎绿化、昌州大道中段靠近东岳路附近的堡坎绿化等老城区及新城中央片区30个地块“坡坎崖”绿化美化建设工程，约81万平方米</w:t>
            </w:r>
          </w:p>
        </w:tc>
        <w:tc>
          <w:tcPr>
            <w:tcW w:w="592"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spacing w:val="-11"/>
                <w:kern w:val="0"/>
              </w:rPr>
            </w:pPr>
            <w:r>
              <w:rPr>
                <w:rFonts w:ascii="Times New Roman" w:hAnsi="Times New Roman" w:eastAsia="方正仿宋_GBK" w:cs="Times New Roman"/>
                <w:b w:val="0"/>
                <w:bCs w:val="0"/>
                <w:spacing w:val="-11"/>
                <w:kern w:val="0"/>
              </w:rPr>
              <w:t>2022-2025</w:t>
            </w:r>
          </w:p>
        </w:tc>
        <w:tc>
          <w:tcPr>
            <w:tcW w:w="455"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10000</w:t>
            </w:r>
          </w:p>
        </w:tc>
        <w:tc>
          <w:tcPr>
            <w:tcW w:w="410"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w:t>
            </w:r>
          </w:p>
        </w:tc>
        <w:tc>
          <w:tcPr>
            <w:tcW w:w="695"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spacing w:val="-17"/>
                <w:kern w:val="0"/>
              </w:rPr>
              <w:t>区城市管理局</w:t>
            </w:r>
          </w:p>
        </w:tc>
        <w:tc>
          <w:tcPr>
            <w:tcW w:w="835"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区新城建管委、</w:t>
            </w:r>
            <w:r>
              <w:rPr>
                <w:b w:val="0"/>
                <w:bCs w:val="0"/>
              </w:rPr>
              <w:fldChar w:fldCharType="begin"/>
            </w:r>
            <w:r>
              <w:rPr>
                <w:b w:val="0"/>
                <w:bCs w:val="0"/>
              </w:rPr>
              <w:instrText xml:space="preserve"> HYPERLINK "http://www.baidu.com/link?url=o2tohIjDtuyJ8h3_vEFf5Tzrr9rJh3oGA-OThNBOIrlM-SUArjpsuKRgkS7gBAse_jwwQw3ErxXR_utnW84IKA2Obwpp1WQZRrwHgdaOaoW" \t "_blank" </w:instrText>
            </w:r>
            <w:r>
              <w:rPr>
                <w:b w:val="0"/>
                <w:bCs w:val="0"/>
              </w:rPr>
              <w:fldChar w:fldCharType="separate"/>
            </w:r>
            <w:r>
              <w:rPr>
                <w:rFonts w:ascii="Times New Roman" w:hAnsi="Times New Roman" w:eastAsia="方正仿宋_GBK" w:cs="Times New Roman"/>
                <w:b w:val="0"/>
                <w:bCs w:val="0"/>
                <w:kern w:val="0"/>
              </w:rPr>
              <w:t>凤凰湖产业促进中心</w:t>
            </w:r>
            <w:r>
              <w:rPr>
                <w:rFonts w:ascii="Times New Roman" w:hAnsi="Times New Roman" w:eastAsia="方正仿宋_GBK" w:cs="Times New Roman"/>
                <w:b w:val="0"/>
                <w:bCs w:val="0"/>
                <w:kern w:val="0"/>
              </w:rPr>
              <w:fldChar w:fldCharType="end"/>
            </w:r>
            <w:r>
              <w:rPr>
                <w:rFonts w:ascii="Times New Roman" w:hAnsi="Times New Roman" w:eastAsia="方正仿宋_GBK" w:cs="Times New Roman"/>
                <w:b w:val="0"/>
                <w:bCs w:val="0"/>
                <w:kern w:val="0"/>
              </w:rPr>
              <w:t>、区交通局、各镇街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6"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369" w:type="pct"/>
            <w:vMerge w:val="continue"/>
            <w:noWrap/>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555"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710"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实施兴业大道立体绿化工程，约4万平方米</w:t>
            </w:r>
          </w:p>
        </w:tc>
        <w:tc>
          <w:tcPr>
            <w:tcW w:w="592"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spacing w:val="-11"/>
                <w:kern w:val="0"/>
              </w:rPr>
            </w:pPr>
            <w:r>
              <w:rPr>
                <w:rFonts w:ascii="Times New Roman" w:hAnsi="Times New Roman" w:eastAsia="方正仿宋_GBK" w:cs="Times New Roman"/>
                <w:b w:val="0"/>
                <w:bCs w:val="0"/>
                <w:spacing w:val="-11"/>
                <w:kern w:val="0"/>
              </w:rPr>
              <w:t>2022-2023</w:t>
            </w:r>
          </w:p>
        </w:tc>
        <w:tc>
          <w:tcPr>
            <w:tcW w:w="455"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w:t>
            </w:r>
          </w:p>
        </w:tc>
        <w:tc>
          <w:tcPr>
            <w:tcW w:w="410"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1600</w:t>
            </w:r>
          </w:p>
        </w:tc>
        <w:tc>
          <w:tcPr>
            <w:tcW w:w="695"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spacing w:val="-17"/>
                <w:kern w:val="0"/>
              </w:rPr>
            </w:pPr>
            <w:r>
              <w:rPr>
                <w:rFonts w:ascii="Times New Roman" w:hAnsi="Times New Roman" w:eastAsia="方正仿宋_GBK" w:cs="Times New Roman"/>
                <w:b w:val="0"/>
                <w:bCs w:val="0"/>
                <w:spacing w:val="-17"/>
                <w:kern w:val="0"/>
              </w:rPr>
              <w:t>区新城建管委</w:t>
            </w:r>
          </w:p>
        </w:tc>
        <w:tc>
          <w:tcPr>
            <w:tcW w:w="835"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376"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369" w:type="pct"/>
            <w:vMerge w:val="continue"/>
            <w:noWrap/>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555"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710"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官井路与中山大道交汇口、汇龙大道与昌州大道交汇处等立体绿化</w:t>
            </w:r>
          </w:p>
        </w:tc>
        <w:tc>
          <w:tcPr>
            <w:tcW w:w="592"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spacing w:val="-11"/>
                <w:kern w:val="0"/>
              </w:rPr>
            </w:pPr>
            <w:r>
              <w:rPr>
                <w:rFonts w:ascii="Times New Roman" w:hAnsi="Times New Roman" w:eastAsia="方正仿宋_GBK" w:cs="Times New Roman"/>
                <w:b w:val="0"/>
                <w:bCs w:val="0"/>
                <w:spacing w:val="-11"/>
                <w:kern w:val="0"/>
              </w:rPr>
              <w:t>2022-2023</w:t>
            </w:r>
          </w:p>
        </w:tc>
        <w:tc>
          <w:tcPr>
            <w:tcW w:w="455"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1000</w:t>
            </w:r>
          </w:p>
        </w:tc>
        <w:tc>
          <w:tcPr>
            <w:tcW w:w="410"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w:t>
            </w:r>
          </w:p>
        </w:tc>
        <w:tc>
          <w:tcPr>
            <w:tcW w:w="695" w:type="pct"/>
            <w:vMerge w:val="restar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spacing w:val="-17"/>
                <w:kern w:val="0"/>
              </w:rPr>
            </w:pPr>
            <w:r>
              <w:rPr>
                <w:rFonts w:ascii="Times New Roman" w:hAnsi="Times New Roman" w:eastAsia="方正仿宋_GBK" w:cs="Times New Roman"/>
                <w:b w:val="0"/>
                <w:bCs w:val="0"/>
                <w:spacing w:val="-17"/>
                <w:kern w:val="0"/>
              </w:rPr>
              <w:t>区城市管理局</w:t>
            </w:r>
          </w:p>
        </w:tc>
        <w:tc>
          <w:tcPr>
            <w:tcW w:w="835" w:type="pct"/>
            <w:vMerge w:val="restar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b w:val="0"/>
                <w:bCs w:val="0"/>
              </w:rPr>
              <w:fldChar w:fldCharType="begin"/>
            </w:r>
            <w:r>
              <w:rPr>
                <w:b w:val="0"/>
                <w:bCs w:val="0"/>
              </w:rPr>
              <w:instrText xml:space="preserve"> HYPERLINK "http://www.cqyc.gov.cn/zwgk_204/zfxxgk/zfxxgkzn/qzfbm_204/qzfcxjw/index2.html" \t "_blank" </w:instrText>
            </w:r>
            <w:r>
              <w:rPr>
                <w:b w:val="0"/>
                <w:bCs w:val="0"/>
              </w:rPr>
              <w:fldChar w:fldCharType="separate"/>
            </w:r>
            <w:r>
              <w:rPr>
                <w:rFonts w:ascii="Times New Roman" w:hAnsi="Times New Roman" w:eastAsia="方正仿宋_GBK" w:cs="Times New Roman"/>
                <w:b w:val="0"/>
                <w:bCs w:val="0"/>
                <w:kern w:val="0"/>
              </w:rPr>
              <w:t>区住房城乡建委</w:t>
            </w:r>
            <w:r>
              <w:rPr>
                <w:rFonts w:ascii="Times New Roman" w:hAnsi="Times New Roman" w:eastAsia="方正仿宋_GBK" w:cs="Times New Roman"/>
                <w:b w:val="0"/>
                <w:bCs w:val="0"/>
                <w:kern w:val="0"/>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6"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369" w:type="pct"/>
            <w:vMerge w:val="continue"/>
            <w:noWrap/>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555"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710"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大南门、文理附中、水电校人行天桥桥墩等立体绿化</w:t>
            </w:r>
          </w:p>
        </w:tc>
        <w:tc>
          <w:tcPr>
            <w:tcW w:w="592"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spacing w:val="-11"/>
                <w:kern w:val="0"/>
              </w:rPr>
            </w:pPr>
            <w:r>
              <w:rPr>
                <w:rFonts w:ascii="Times New Roman" w:hAnsi="Times New Roman" w:eastAsia="方正仿宋_GBK" w:cs="Times New Roman"/>
                <w:b w:val="0"/>
                <w:bCs w:val="0"/>
                <w:spacing w:val="-11"/>
                <w:kern w:val="0"/>
              </w:rPr>
              <w:t>2023-2024</w:t>
            </w:r>
          </w:p>
        </w:tc>
        <w:tc>
          <w:tcPr>
            <w:tcW w:w="455"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800</w:t>
            </w:r>
          </w:p>
        </w:tc>
        <w:tc>
          <w:tcPr>
            <w:tcW w:w="410"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w:t>
            </w:r>
          </w:p>
        </w:tc>
        <w:tc>
          <w:tcPr>
            <w:tcW w:w="695"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spacing w:val="-17"/>
                <w:kern w:val="0"/>
              </w:rPr>
            </w:pPr>
          </w:p>
        </w:tc>
        <w:tc>
          <w:tcPr>
            <w:tcW w:w="835"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6"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369" w:type="pct"/>
            <w:vMerge w:val="restart"/>
            <w:noWrap/>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36</w:t>
            </w:r>
          </w:p>
        </w:tc>
        <w:tc>
          <w:tcPr>
            <w:tcW w:w="555" w:type="pct"/>
            <w:vMerge w:val="restar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公园品质提升工程</w:t>
            </w:r>
          </w:p>
        </w:tc>
        <w:tc>
          <w:tcPr>
            <w:tcW w:w="710"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望城公园品质提升工程</w:t>
            </w:r>
          </w:p>
        </w:tc>
        <w:tc>
          <w:tcPr>
            <w:tcW w:w="592"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spacing w:val="-11"/>
                <w:kern w:val="0"/>
              </w:rPr>
            </w:pPr>
            <w:r>
              <w:rPr>
                <w:rFonts w:ascii="Times New Roman" w:hAnsi="Times New Roman" w:eastAsia="方正仿宋_GBK" w:cs="Times New Roman"/>
                <w:b w:val="0"/>
                <w:bCs w:val="0"/>
                <w:spacing w:val="-11"/>
                <w:kern w:val="0"/>
              </w:rPr>
              <w:t>2021-2023</w:t>
            </w:r>
          </w:p>
        </w:tc>
        <w:tc>
          <w:tcPr>
            <w:tcW w:w="455"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1000</w:t>
            </w:r>
          </w:p>
        </w:tc>
        <w:tc>
          <w:tcPr>
            <w:tcW w:w="410"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w:t>
            </w:r>
          </w:p>
        </w:tc>
        <w:tc>
          <w:tcPr>
            <w:tcW w:w="695" w:type="pct"/>
            <w:vMerge w:val="restar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spacing w:val="-17"/>
                <w:kern w:val="0"/>
              </w:rPr>
            </w:pPr>
            <w:r>
              <w:rPr>
                <w:rFonts w:ascii="Times New Roman" w:hAnsi="Times New Roman" w:eastAsia="方正仿宋_GBK" w:cs="Times New Roman"/>
                <w:b w:val="0"/>
                <w:bCs w:val="0"/>
                <w:spacing w:val="-17"/>
                <w:kern w:val="0"/>
              </w:rPr>
              <w:t>区城市管理局</w:t>
            </w:r>
          </w:p>
        </w:tc>
        <w:tc>
          <w:tcPr>
            <w:tcW w:w="835" w:type="pct"/>
            <w:vMerge w:val="restar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6"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369" w:type="pct"/>
            <w:vMerge w:val="continue"/>
            <w:noWrap/>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555"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710"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棠城公园品质提升工程</w:t>
            </w:r>
          </w:p>
        </w:tc>
        <w:tc>
          <w:tcPr>
            <w:tcW w:w="592" w:type="pct"/>
            <w:vMerge w:val="restar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spacing w:val="-11"/>
                <w:kern w:val="0"/>
              </w:rPr>
            </w:pPr>
            <w:r>
              <w:rPr>
                <w:rFonts w:ascii="Times New Roman" w:hAnsi="Times New Roman" w:eastAsia="方正仿宋_GBK" w:cs="Times New Roman"/>
                <w:b w:val="0"/>
                <w:bCs w:val="0"/>
                <w:spacing w:val="-11"/>
                <w:kern w:val="0"/>
              </w:rPr>
              <w:t>2022-2023</w:t>
            </w:r>
          </w:p>
        </w:tc>
        <w:tc>
          <w:tcPr>
            <w:tcW w:w="455" w:type="pct"/>
            <w:vMerge w:val="restar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2600</w:t>
            </w:r>
          </w:p>
        </w:tc>
        <w:tc>
          <w:tcPr>
            <w:tcW w:w="410" w:type="pct"/>
            <w:vMerge w:val="restar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w:t>
            </w:r>
          </w:p>
        </w:tc>
        <w:tc>
          <w:tcPr>
            <w:tcW w:w="695"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835"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6"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369" w:type="pct"/>
            <w:vMerge w:val="continue"/>
            <w:noWrap/>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555"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710"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桂山公园品质提升工程</w:t>
            </w:r>
          </w:p>
        </w:tc>
        <w:tc>
          <w:tcPr>
            <w:tcW w:w="592"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spacing w:val="-11"/>
                <w:kern w:val="0"/>
              </w:rPr>
            </w:pPr>
          </w:p>
        </w:tc>
        <w:tc>
          <w:tcPr>
            <w:tcW w:w="455"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410"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695"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835"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6"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369" w:type="pct"/>
            <w:vMerge w:val="continue"/>
            <w:noWrap/>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555"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710"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北山公园品质提升工程</w:t>
            </w:r>
          </w:p>
        </w:tc>
        <w:tc>
          <w:tcPr>
            <w:tcW w:w="592"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spacing w:val="-11"/>
                <w:kern w:val="0"/>
              </w:rPr>
            </w:pPr>
          </w:p>
        </w:tc>
        <w:tc>
          <w:tcPr>
            <w:tcW w:w="455"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410"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695"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835"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6"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369" w:type="pct"/>
            <w:vMerge w:val="continue"/>
            <w:noWrap/>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555"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710"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spacing w:val="-17"/>
                <w:kern w:val="0"/>
              </w:rPr>
              <w:t>玉屏山公园品质提升工程</w:t>
            </w:r>
          </w:p>
        </w:tc>
        <w:tc>
          <w:tcPr>
            <w:tcW w:w="592"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spacing w:val="-11"/>
                <w:kern w:val="0"/>
              </w:rPr>
            </w:pPr>
          </w:p>
        </w:tc>
        <w:tc>
          <w:tcPr>
            <w:tcW w:w="455"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410"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695"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835"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6"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369" w:type="pct"/>
            <w:vMerge w:val="continue"/>
            <w:noWrap/>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555"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710"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水景公园品质提升工程</w:t>
            </w:r>
          </w:p>
        </w:tc>
        <w:tc>
          <w:tcPr>
            <w:tcW w:w="592" w:type="pct"/>
            <w:vMerge w:val="restar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spacing w:val="-11"/>
                <w:kern w:val="0"/>
              </w:rPr>
            </w:pPr>
            <w:r>
              <w:rPr>
                <w:rFonts w:ascii="Times New Roman" w:hAnsi="Times New Roman" w:eastAsia="方正仿宋_GBK" w:cs="Times New Roman"/>
                <w:b w:val="0"/>
                <w:bCs w:val="0"/>
                <w:spacing w:val="-11"/>
                <w:kern w:val="0"/>
              </w:rPr>
              <w:t>2023-2024</w:t>
            </w:r>
          </w:p>
        </w:tc>
        <w:tc>
          <w:tcPr>
            <w:tcW w:w="455" w:type="pct"/>
            <w:vMerge w:val="restar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1660</w:t>
            </w:r>
          </w:p>
        </w:tc>
        <w:tc>
          <w:tcPr>
            <w:tcW w:w="410" w:type="pct"/>
            <w:vMerge w:val="restar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w:t>
            </w:r>
          </w:p>
        </w:tc>
        <w:tc>
          <w:tcPr>
            <w:tcW w:w="695"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835"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6"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369" w:type="pct"/>
            <w:vMerge w:val="continue"/>
            <w:noWrap/>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555"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710"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更棚坡郊野公园品质提升工程</w:t>
            </w:r>
          </w:p>
        </w:tc>
        <w:tc>
          <w:tcPr>
            <w:tcW w:w="592"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spacing w:val="-11"/>
                <w:kern w:val="0"/>
              </w:rPr>
            </w:pPr>
          </w:p>
        </w:tc>
        <w:tc>
          <w:tcPr>
            <w:tcW w:w="455"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410"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695"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835"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6"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369" w:type="pct"/>
            <w:vMerge w:val="continue"/>
            <w:noWrap/>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555"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710"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黄桷坡郊野公园品质提升工程</w:t>
            </w:r>
          </w:p>
        </w:tc>
        <w:tc>
          <w:tcPr>
            <w:tcW w:w="592"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spacing w:val="-11"/>
                <w:kern w:val="0"/>
              </w:rPr>
            </w:pPr>
          </w:p>
        </w:tc>
        <w:tc>
          <w:tcPr>
            <w:tcW w:w="455"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410"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695"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835"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6"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369" w:type="pct"/>
            <w:vMerge w:val="continue"/>
            <w:noWrap/>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555"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710"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spacing w:val="-17"/>
                <w:kern w:val="0"/>
              </w:rPr>
            </w:pPr>
            <w:r>
              <w:rPr>
                <w:rFonts w:ascii="Times New Roman" w:hAnsi="Times New Roman" w:eastAsia="方正仿宋_GBK" w:cs="Times New Roman"/>
                <w:b w:val="0"/>
                <w:bCs w:val="0"/>
                <w:spacing w:val="-17"/>
                <w:kern w:val="0"/>
              </w:rPr>
              <w:t>凤凰湖公园品质提升工程</w:t>
            </w:r>
          </w:p>
        </w:tc>
        <w:tc>
          <w:tcPr>
            <w:tcW w:w="592"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spacing w:val="-11"/>
                <w:kern w:val="0"/>
              </w:rPr>
            </w:pPr>
            <w:r>
              <w:rPr>
                <w:rFonts w:ascii="Times New Roman" w:hAnsi="Times New Roman" w:eastAsia="方正仿宋_GBK" w:cs="Times New Roman"/>
                <w:b w:val="0"/>
                <w:bCs w:val="0"/>
                <w:spacing w:val="-11"/>
                <w:kern w:val="0"/>
              </w:rPr>
              <w:t>2023-2025</w:t>
            </w:r>
          </w:p>
        </w:tc>
        <w:tc>
          <w:tcPr>
            <w:tcW w:w="455"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w:t>
            </w:r>
          </w:p>
        </w:tc>
        <w:tc>
          <w:tcPr>
            <w:tcW w:w="410"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20880</w:t>
            </w:r>
          </w:p>
        </w:tc>
        <w:tc>
          <w:tcPr>
            <w:tcW w:w="695"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凤凰湖产业促进中心</w:t>
            </w:r>
          </w:p>
        </w:tc>
        <w:tc>
          <w:tcPr>
            <w:tcW w:w="835"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6"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369" w:type="pct"/>
            <w:vMerge w:val="restart"/>
            <w:noWrap/>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37</w:t>
            </w:r>
          </w:p>
        </w:tc>
        <w:tc>
          <w:tcPr>
            <w:tcW w:w="555" w:type="pct"/>
            <w:vMerge w:val="restar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重要景观节点美化提升工程</w:t>
            </w:r>
          </w:p>
        </w:tc>
        <w:tc>
          <w:tcPr>
            <w:tcW w:w="710"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永师路口交通岛美化改造工程</w:t>
            </w:r>
          </w:p>
        </w:tc>
        <w:tc>
          <w:tcPr>
            <w:tcW w:w="592" w:type="pct"/>
            <w:vMerge w:val="restar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spacing w:val="-11"/>
                <w:kern w:val="0"/>
              </w:rPr>
            </w:pPr>
            <w:r>
              <w:rPr>
                <w:rFonts w:ascii="Times New Roman" w:hAnsi="Times New Roman" w:eastAsia="方正仿宋_GBK" w:cs="Times New Roman"/>
                <w:b w:val="0"/>
                <w:bCs w:val="0"/>
                <w:spacing w:val="-11"/>
                <w:kern w:val="0"/>
              </w:rPr>
              <w:t>2021-2022</w:t>
            </w:r>
          </w:p>
        </w:tc>
        <w:tc>
          <w:tcPr>
            <w:tcW w:w="455" w:type="pct"/>
            <w:vMerge w:val="restar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200</w:t>
            </w:r>
          </w:p>
        </w:tc>
        <w:tc>
          <w:tcPr>
            <w:tcW w:w="410" w:type="pct"/>
            <w:vMerge w:val="restar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w:t>
            </w:r>
          </w:p>
        </w:tc>
        <w:tc>
          <w:tcPr>
            <w:tcW w:w="695" w:type="pct"/>
            <w:vMerge w:val="restar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spacing w:val="-17"/>
                <w:kern w:val="0"/>
              </w:rPr>
              <w:t>区城市管理局</w:t>
            </w:r>
          </w:p>
        </w:tc>
        <w:tc>
          <w:tcPr>
            <w:tcW w:w="835" w:type="pct"/>
            <w:vMerge w:val="restar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区规划自然资源局、</w:t>
            </w:r>
            <w:r>
              <w:rPr>
                <w:b w:val="0"/>
                <w:bCs w:val="0"/>
              </w:rPr>
              <w:fldChar w:fldCharType="begin"/>
            </w:r>
            <w:r>
              <w:rPr>
                <w:b w:val="0"/>
                <w:bCs w:val="0"/>
              </w:rPr>
              <w:instrText xml:space="preserve"> HYPERLINK "http://www.cqyc.gov.cn/zwgk_204/zfxxgk/zfxxgkzn/qzfbm_204/qzfcxjw/index2.html" \t "_blank" </w:instrText>
            </w:r>
            <w:r>
              <w:rPr>
                <w:b w:val="0"/>
                <w:bCs w:val="0"/>
              </w:rPr>
              <w:fldChar w:fldCharType="separate"/>
            </w:r>
            <w:r>
              <w:rPr>
                <w:rFonts w:ascii="Times New Roman" w:hAnsi="Times New Roman" w:eastAsia="方正仿宋_GBK" w:cs="Times New Roman"/>
                <w:b w:val="0"/>
                <w:bCs w:val="0"/>
                <w:kern w:val="0"/>
              </w:rPr>
              <w:t>区住房城乡建委</w:t>
            </w:r>
            <w:r>
              <w:rPr>
                <w:rFonts w:ascii="Times New Roman" w:hAnsi="Times New Roman" w:eastAsia="方正仿宋_GBK" w:cs="Times New Roman"/>
                <w:b w:val="0"/>
                <w:bCs w:val="0"/>
                <w:kern w:val="0"/>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6"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369" w:type="pct"/>
            <w:vMerge w:val="continue"/>
            <w:noWrap/>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555"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710"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蜀华步行街及周边美化改造工程</w:t>
            </w:r>
          </w:p>
        </w:tc>
        <w:tc>
          <w:tcPr>
            <w:tcW w:w="592"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spacing w:val="-11"/>
                <w:kern w:val="0"/>
              </w:rPr>
            </w:pPr>
          </w:p>
        </w:tc>
        <w:tc>
          <w:tcPr>
            <w:tcW w:w="455"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410"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695"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835"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6"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369" w:type="pct"/>
            <w:vMerge w:val="continue"/>
            <w:noWrap/>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555"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710"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文昌路匝道口美化改造工程</w:t>
            </w:r>
          </w:p>
        </w:tc>
        <w:tc>
          <w:tcPr>
            <w:tcW w:w="592"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spacing w:val="-11"/>
                <w:kern w:val="0"/>
              </w:rPr>
            </w:pPr>
          </w:p>
        </w:tc>
        <w:tc>
          <w:tcPr>
            <w:tcW w:w="455"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410"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695"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835"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6"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369" w:type="pct"/>
            <w:vMerge w:val="continue"/>
            <w:noWrap/>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555"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710"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蚂蝗桥法院交通美化改造工程</w:t>
            </w:r>
          </w:p>
        </w:tc>
        <w:tc>
          <w:tcPr>
            <w:tcW w:w="592"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spacing w:val="-11"/>
                <w:kern w:val="0"/>
              </w:rPr>
            </w:pPr>
          </w:p>
        </w:tc>
        <w:tc>
          <w:tcPr>
            <w:tcW w:w="455"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410"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695"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835"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6"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369" w:type="pct"/>
            <w:vMerge w:val="continue"/>
            <w:noWrap/>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555"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710"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昌州大道与海棠大道交汇处美化改造工程</w:t>
            </w:r>
          </w:p>
        </w:tc>
        <w:tc>
          <w:tcPr>
            <w:tcW w:w="592"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spacing w:val="-11"/>
                <w:kern w:val="0"/>
              </w:rPr>
            </w:pPr>
          </w:p>
        </w:tc>
        <w:tc>
          <w:tcPr>
            <w:tcW w:w="455"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410"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695"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835"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6"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369" w:type="pct"/>
            <w:vMerge w:val="continue"/>
            <w:noWrap/>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555"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710"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渝西广场美化改造工程</w:t>
            </w:r>
          </w:p>
        </w:tc>
        <w:tc>
          <w:tcPr>
            <w:tcW w:w="592" w:type="pct"/>
            <w:vMerge w:val="restar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spacing w:val="-11"/>
                <w:kern w:val="0"/>
              </w:rPr>
            </w:pPr>
            <w:r>
              <w:rPr>
                <w:rFonts w:ascii="Times New Roman" w:hAnsi="Times New Roman" w:eastAsia="方正仿宋_GBK" w:cs="Times New Roman"/>
                <w:b w:val="0"/>
                <w:bCs w:val="0"/>
                <w:spacing w:val="-11"/>
                <w:kern w:val="0"/>
              </w:rPr>
              <w:t>2022-2023</w:t>
            </w:r>
          </w:p>
        </w:tc>
        <w:tc>
          <w:tcPr>
            <w:tcW w:w="455" w:type="pct"/>
            <w:vMerge w:val="restar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670</w:t>
            </w:r>
          </w:p>
        </w:tc>
        <w:tc>
          <w:tcPr>
            <w:tcW w:w="410" w:type="pct"/>
            <w:vMerge w:val="restar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w:t>
            </w:r>
          </w:p>
        </w:tc>
        <w:tc>
          <w:tcPr>
            <w:tcW w:w="695"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835"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6"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369" w:type="pct"/>
            <w:vMerge w:val="continue"/>
            <w:noWrap/>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555"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710"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文曲广场美化改造工程</w:t>
            </w:r>
          </w:p>
        </w:tc>
        <w:tc>
          <w:tcPr>
            <w:tcW w:w="592" w:type="pct"/>
            <w:vMerge w:val="continue"/>
            <w:noWrap w:val="0"/>
            <w:vAlign w:val="center"/>
          </w:tcPr>
          <w:p>
            <w:pPr>
              <w:pStyle w:val="7"/>
              <w:snapToGrid w:val="0"/>
              <w:spacing w:line="240" w:lineRule="auto"/>
              <w:ind w:firstLine="420"/>
              <w:jc w:val="center"/>
              <w:rPr>
                <w:rFonts w:ascii="Times New Roman" w:hAnsi="Times New Roman" w:eastAsia="方正仿宋_GBK" w:cs="Times New Roman"/>
                <w:b w:val="0"/>
                <w:bCs w:val="0"/>
                <w:spacing w:val="-11"/>
                <w:kern w:val="0"/>
              </w:rPr>
            </w:pPr>
          </w:p>
        </w:tc>
        <w:tc>
          <w:tcPr>
            <w:tcW w:w="455"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410"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695"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835"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6"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369" w:type="pct"/>
            <w:vMerge w:val="continue"/>
            <w:noWrap/>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555"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710"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spacing w:val="-17"/>
                <w:kern w:val="0"/>
              </w:rPr>
              <w:t>铁桥中分带美化改造工程</w:t>
            </w:r>
          </w:p>
        </w:tc>
        <w:tc>
          <w:tcPr>
            <w:tcW w:w="592"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spacing w:val="-11"/>
                <w:kern w:val="0"/>
              </w:rPr>
            </w:pPr>
          </w:p>
        </w:tc>
        <w:tc>
          <w:tcPr>
            <w:tcW w:w="455"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410"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695"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835"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6"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369" w:type="pct"/>
            <w:vMerge w:val="continue"/>
            <w:noWrap/>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555"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710"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大南门交通岛美化改造工程</w:t>
            </w:r>
          </w:p>
        </w:tc>
        <w:tc>
          <w:tcPr>
            <w:tcW w:w="592"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spacing w:val="-11"/>
                <w:kern w:val="0"/>
              </w:rPr>
            </w:pPr>
          </w:p>
        </w:tc>
        <w:tc>
          <w:tcPr>
            <w:tcW w:w="455"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410"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695"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835"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6"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369" w:type="pct"/>
            <w:vMerge w:val="continue"/>
            <w:noWrap/>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555"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710"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永川火车站广场美化改造工程</w:t>
            </w:r>
          </w:p>
        </w:tc>
        <w:tc>
          <w:tcPr>
            <w:tcW w:w="592" w:type="pct"/>
            <w:vMerge w:val="restar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spacing w:val="-11"/>
                <w:kern w:val="0"/>
              </w:rPr>
            </w:pPr>
            <w:r>
              <w:rPr>
                <w:rFonts w:ascii="Times New Roman" w:hAnsi="Times New Roman" w:eastAsia="方正仿宋_GBK" w:cs="Times New Roman"/>
                <w:b w:val="0"/>
                <w:bCs w:val="0"/>
                <w:spacing w:val="-11"/>
                <w:kern w:val="0"/>
              </w:rPr>
              <w:t>2023-2024</w:t>
            </w:r>
          </w:p>
        </w:tc>
        <w:tc>
          <w:tcPr>
            <w:tcW w:w="455" w:type="pct"/>
            <w:vMerge w:val="restar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230</w:t>
            </w:r>
          </w:p>
        </w:tc>
        <w:tc>
          <w:tcPr>
            <w:tcW w:w="410" w:type="pct"/>
            <w:vMerge w:val="restar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w:t>
            </w:r>
          </w:p>
        </w:tc>
        <w:tc>
          <w:tcPr>
            <w:tcW w:w="695"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835"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6"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369" w:type="pct"/>
            <w:vMerge w:val="continue"/>
            <w:noWrap/>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555"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710"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南大街与兴南路交叉口美化工程</w:t>
            </w:r>
          </w:p>
        </w:tc>
        <w:tc>
          <w:tcPr>
            <w:tcW w:w="592"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spacing w:val="-11"/>
                <w:kern w:val="0"/>
              </w:rPr>
            </w:pPr>
          </w:p>
        </w:tc>
        <w:tc>
          <w:tcPr>
            <w:tcW w:w="455"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410"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695"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835"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6"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369" w:type="pct"/>
            <w:vMerge w:val="continue"/>
            <w:noWrap/>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555"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710"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成渝高速老高速路口美化改造工程</w:t>
            </w:r>
          </w:p>
        </w:tc>
        <w:tc>
          <w:tcPr>
            <w:tcW w:w="592" w:type="pct"/>
            <w:vMerge w:val="restar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spacing w:val="-11"/>
                <w:kern w:val="0"/>
              </w:rPr>
            </w:pPr>
            <w:r>
              <w:rPr>
                <w:rFonts w:ascii="Times New Roman" w:hAnsi="Times New Roman" w:eastAsia="方正仿宋_GBK" w:cs="Times New Roman"/>
                <w:b w:val="0"/>
                <w:bCs w:val="0"/>
                <w:spacing w:val="-11"/>
                <w:kern w:val="0"/>
              </w:rPr>
              <w:t>2024-2025</w:t>
            </w:r>
          </w:p>
        </w:tc>
        <w:tc>
          <w:tcPr>
            <w:tcW w:w="455" w:type="pct"/>
            <w:vMerge w:val="restar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100</w:t>
            </w:r>
          </w:p>
        </w:tc>
        <w:tc>
          <w:tcPr>
            <w:tcW w:w="410" w:type="pct"/>
            <w:vMerge w:val="restar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w:t>
            </w:r>
          </w:p>
        </w:tc>
        <w:tc>
          <w:tcPr>
            <w:tcW w:w="695"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835"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6"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369" w:type="pct"/>
            <w:vMerge w:val="continue"/>
            <w:noWrap/>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555"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710"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商贸城交通岛美化改造工程</w:t>
            </w:r>
          </w:p>
        </w:tc>
        <w:tc>
          <w:tcPr>
            <w:tcW w:w="592"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spacing w:val="-11"/>
                <w:kern w:val="0"/>
              </w:rPr>
            </w:pPr>
          </w:p>
        </w:tc>
        <w:tc>
          <w:tcPr>
            <w:tcW w:w="455"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410"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695"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835"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2" w:hRule="atLeast"/>
          <w:jc w:val="center"/>
        </w:trPr>
        <w:tc>
          <w:tcPr>
            <w:tcW w:w="376"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369" w:type="pct"/>
            <w:noWrap/>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38</w:t>
            </w:r>
          </w:p>
        </w:tc>
        <w:tc>
          <w:tcPr>
            <w:tcW w:w="555"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spacing w:val="-11"/>
                <w:kern w:val="0"/>
              </w:rPr>
            </w:pPr>
            <w:r>
              <w:rPr>
                <w:rFonts w:ascii="Times New Roman" w:hAnsi="Times New Roman" w:eastAsia="方正仿宋_GBK" w:cs="Times New Roman"/>
                <w:b w:val="0"/>
                <w:bCs w:val="0"/>
                <w:spacing w:val="-11"/>
                <w:kern w:val="0"/>
              </w:rPr>
              <w:t>微型绿地空间建设工程</w:t>
            </w:r>
          </w:p>
        </w:tc>
        <w:tc>
          <w:tcPr>
            <w:tcW w:w="710"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利用街旁边角地、闲置地，建设粽粑公园、化工路小游园、玉屏北路小游园、红旗小学小游园等口袋公园</w:t>
            </w:r>
          </w:p>
        </w:tc>
        <w:tc>
          <w:tcPr>
            <w:tcW w:w="592"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spacing w:val="-11"/>
                <w:kern w:val="0"/>
              </w:rPr>
            </w:pPr>
            <w:r>
              <w:rPr>
                <w:rFonts w:ascii="Times New Roman" w:hAnsi="Times New Roman" w:eastAsia="方正仿宋_GBK" w:cs="Times New Roman"/>
                <w:b w:val="0"/>
                <w:bCs w:val="0"/>
                <w:spacing w:val="-11"/>
                <w:kern w:val="0"/>
              </w:rPr>
              <w:t>2022-2023</w:t>
            </w:r>
          </w:p>
        </w:tc>
        <w:tc>
          <w:tcPr>
            <w:tcW w:w="455"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1200</w:t>
            </w:r>
          </w:p>
        </w:tc>
        <w:tc>
          <w:tcPr>
            <w:tcW w:w="410"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w:t>
            </w:r>
          </w:p>
        </w:tc>
        <w:tc>
          <w:tcPr>
            <w:tcW w:w="695"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spacing w:val="-17"/>
                <w:kern w:val="0"/>
              </w:rPr>
            </w:pPr>
            <w:r>
              <w:rPr>
                <w:rFonts w:ascii="Times New Roman" w:hAnsi="Times New Roman" w:eastAsia="方正仿宋_GBK" w:cs="Times New Roman"/>
                <w:b w:val="0"/>
                <w:bCs w:val="0"/>
                <w:spacing w:val="-17"/>
                <w:kern w:val="0"/>
              </w:rPr>
              <w:t>区城市管理局</w:t>
            </w:r>
          </w:p>
        </w:tc>
        <w:tc>
          <w:tcPr>
            <w:tcW w:w="835"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各镇街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6"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369" w:type="pct"/>
            <w:vMerge w:val="restart"/>
            <w:noWrap/>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39</w:t>
            </w:r>
          </w:p>
        </w:tc>
        <w:tc>
          <w:tcPr>
            <w:tcW w:w="555" w:type="pct"/>
            <w:vMerge w:val="restar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spacing w:val="-11"/>
                <w:kern w:val="0"/>
              </w:rPr>
            </w:pPr>
            <w:r>
              <w:rPr>
                <w:rFonts w:ascii="Times New Roman" w:hAnsi="Times New Roman" w:eastAsia="方正仿宋_GBK" w:cs="Times New Roman"/>
                <w:b w:val="0"/>
                <w:bCs w:val="0"/>
                <w:spacing w:val="-11"/>
                <w:kern w:val="0"/>
              </w:rPr>
              <w:t>城市道路绿化提质工程</w:t>
            </w:r>
          </w:p>
        </w:tc>
        <w:tc>
          <w:tcPr>
            <w:tcW w:w="710"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内环南路商贸城至泸州街段两侧道路绿化提质工程</w:t>
            </w:r>
          </w:p>
        </w:tc>
        <w:tc>
          <w:tcPr>
            <w:tcW w:w="592" w:type="pct"/>
            <w:vMerge w:val="restar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spacing w:val="-11"/>
                <w:kern w:val="0"/>
              </w:rPr>
            </w:pPr>
            <w:r>
              <w:rPr>
                <w:rFonts w:ascii="Times New Roman" w:hAnsi="Times New Roman" w:eastAsia="方正仿宋_GBK" w:cs="Times New Roman"/>
                <w:b w:val="0"/>
                <w:bCs w:val="0"/>
                <w:spacing w:val="-11"/>
                <w:kern w:val="0"/>
              </w:rPr>
              <w:t>2021-2022</w:t>
            </w:r>
          </w:p>
        </w:tc>
        <w:tc>
          <w:tcPr>
            <w:tcW w:w="455" w:type="pct"/>
            <w:vMerge w:val="restar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310</w:t>
            </w:r>
          </w:p>
        </w:tc>
        <w:tc>
          <w:tcPr>
            <w:tcW w:w="410" w:type="pct"/>
            <w:vMerge w:val="restar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w:t>
            </w:r>
          </w:p>
        </w:tc>
        <w:tc>
          <w:tcPr>
            <w:tcW w:w="695" w:type="pct"/>
            <w:vMerge w:val="restar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spacing w:val="-17"/>
                <w:kern w:val="0"/>
              </w:rPr>
            </w:pPr>
            <w:r>
              <w:rPr>
                <w:rFonts w:ascii="Times New Roman" w:hAnsi="Times New Roman" w:eastAsia="方正仿宋_GBK" w:cs="Times New Roman"/>
                <w:b w:val="0"/>
                <w:bCs w:val="0"/>
                <w:spacing w:val="-17"/>
                <w:kern w:val="0"/>
              </w:rPr>
              <w:t>区城市管理局</w:t>
            </w:r>
          </w:p>
        </w:tc>
        <w:tc>
          <w:tcPr>
            <w:tcW w:w="835" w:type="pct"/>
            <w:vMerge w:val="restar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6"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369" w:type="pct"/>
            <w:vMerge w:val="continue"/>
            <w:noWrap/>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555"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710"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汇龙大道中分带绿化提质工程</w:t>
            </w:r>
          </w:p>
        </w:tc>
        <w:tc>
          <w:tcPr>
            <w:tcW w:w="592"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spacing w:val="-11"/>
                <w:kern w:val="0"/>
              </w:rPr>
            </w:pPr>
          </w:p>
        </w:tc>
        <w:tc>
          <w:tcPr>
            <w:tcW w:w="455"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410"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695"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835"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6"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369" w:type="pct"/>
            <w:vMerge w:val="continue"/>
            <w:noWrap/>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555"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710"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红河大道绿化提质工程</w:t>
            </w:r>
          </w:p>
        </w:tc>
        <w:tc>
          <w:tcPr>
            <w:tcW w:w="592"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spacing w:val="-11"/>
                <w:kern w:val="0"/>
              </w:rPr>
            </w:pPr>
          </w:p>
        </w:tc>
        <w:tc>
          <w:tcPr>
            <w:tcW w:w="455"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410"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695"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835"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6"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369" w:type="pct"/>
            <w:vMerge w:val="continue"/>
            <w:noWrap/>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555"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710"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昌州大道绿化提质工程</w:t>
            </w:r>
          </w:p>
        </w:tc>
        <w:tc>
          <w:tcPr>
            <w:tcW w:w="592"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spacing w:val="-11"/>
                <w:kern w:val="0"/>
              </w:rPr>
            </w:pPr>
          </w:p>
        </w:tc>
        <w:tc>
          <w:tcPr>
            <w:tcW w:w="455"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410"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695"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835"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6"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369" w:type="pct"/>
            <w:vMerge w:val="continue"/>
            <w:noWrap/>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555"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710"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渝西监狱外道路绿化提质工程</w:t>
            </w:r>
          </w:p>
        </w:tc>
        <w:tc>
          <w:tcPr>
            <w:tcW w:w="592"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spacing w:val="-11"/>
                <w:kern w:val="0"/>
              </w:rPr>
            </w:pPr>
          </w:p>
        </w:tc>
        <w:tc>
          <w:tcPr>
            <w:tcW w:w="455"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410"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695"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835"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6"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369" w:type="pct"/>
            <w:vMerge w:val="continue"/>
            <w:noWrap/>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555"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710"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荫山路高铁桥墩下绿化提质工程</w:t>
            </w:r>
          </w:p>
        </w:tc>
        <w:tc>
          <w:tcPr>
            <w:tcW w:w="592"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spacing w:val="-11"/>
                <w:kern w:val="0"/>
              </w:rPr>
            </w:pPr>
          </w:p>
        </w:tc>
        <w:tc>
          <w:tcPr>
            <w:tcW w:w="455"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410"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695"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835"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6"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369" w:type="pct"/>
            <w:vMerge w:val="continue"/>
            <w:noWrap/>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555"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710"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福湾酒店附近的绿化带提质工程</w:t>
            </w:r>
          </w:p>
        </w:tc>
        <w:tc>
          <w:tcPr>
            <w:tcW w:w="592"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spacing w:val="-11"/>
                <w:kern w:val="0"/>
              </w:rPr>
            </w:pPr>
          </w:p>
        </w:tc>
        <w:tc>
          <w:tcPr>
            <w:tcW w:w="455"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410"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695"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835"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6"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369" w:type="pct"/>
            <w:vMerge w:val="continue"/>
            <w:noWrap/>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555"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710"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植物园十字路口至詹吉路段道路绿化提质工程</w:t>
            </w:r>
          </w:p>
        </w:tc>
        <w:tc>
          <w:tcPr>
            <w:tcW w:w="592" w:type="pct"/>
            <w:vMerge w:val="restar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spacing w:val="-11"/>
                <w:kern w:val="0"/>
              </w:rPr>
            </w:pPr>
            <w:r>
              <w:rPr>
                <w:rFonts w:ascii="Times New Roman" w:hAnsi="Times New Roman" w:eastAsia="方正仿宋_GBK" w:cs="Times New Roman"/>
                <w:b w:val="0"/>
                <w:bCs w:val="0"/>
                <w:spacing w:val="-11"/>
                <w:kern w:val="0"/>
              </w:rPr>
              <w:t>2022-2023</w:t>
            </w:r>
          </w:p>
        </w:tc>
        <w:tc>
          <w:tcPr>
            <w:tcW w:w="455" w:type="pct"/>
            <w:vMerge w:val="restar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70</w:t>
            </w:r>
          </w:p>
        </w:tc>
        <w:tc>
          <w:tcPr>
            <w:tcW w:w="410" w:type="pct"/>
            <w:vMerge w:val="restar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w:t>
            </w:r>
          </w:p>
        </w:tc>
        <w:tc>
          <w:tcPr>
            <w:tcW w:w="695"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835"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6"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369" w:type="pct"/>
            <w:vMerge w:val="continue"/>
            <w:noWrap/>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555"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710"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中山大道中段绿化提质工程</w:t>
            </w:r>
          </w:p>
        </w:tc>
        <w:tc>
          <w:tcPr>
            <w:tcW w:w="592"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spacing w:val="-11"/>
                <w:kern w:val="0"/>
              </w:rPr>
            </w:pPr>
          </w:p>
        </w:tc>
        <w:tc>
          <w:tcPr>
            <w:tcW w:w="455"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410"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695"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835"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6"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369" w:type="pct"/>
            <w:vMerge w:val="continue"/>
            <w:noWrap/>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555"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710"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科园路绿化提质工程</w:t>
            </w:r>
          </w:p>
        </w:tc>
        <w:tc>
          <w:tcPr>
            <w:tcW w:w="592" w:type="pct"/>
            <w:vMerge w:val="restar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spacing w:val="-11"/>
                <w:kern w:val="0"/>
              </w:rPr>
            </w:pPr>
            <w:r>
              <w:rPr>
                <w:rFonts w:ascii="Times New Roman" w:hAnsi="Times New Roman" w:eastAsia="方正仿宋_GBK" w:cs="Times New Roman"/>
                <w:b w:val="0"/>
                <w:bCs w:val="0"/>
                <w:spacing w:val="-11"/>
                <w:kern w:val="0"/>
              </w:rPr>
              <w:t>2023-2024</w:t>
            </w:r>
          </w:p>
        </w:tc>
        <w:tc>
          <w:tcPr>
            <w:tcW w:w="455" w:type="pct"/>
            <w:vMerge w:val="restar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70</w:t>
            </w:r>
          </w:p>
        </w:tc>
        <w:tc>
          <w:tcPr>
            <w:tcW w:w="410" w:type="pct"/>
            <w:vMerge w:val="restar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w:t>
            </w:r>
          </w:p>
        </w:tc>
        <w:tc>
          <w:tcPr>
            <w:tcW w:w="695"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835"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6"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369" w:type="pct"/>
            <w:vMerge w:val="continue"/>
            <w:noWrap/>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555"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710"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箕山路绿化提质工程</w:t>
            </w:r>
          </w:p>
        </w:tc>
        <w:tc>
          <w:tcPr>
            <w:tcW w:w="592"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spacing w:val="-11"/>
                <w:kern w:val="0"/>
              </w:rPr>
            </w:pPr>
          </w:p>
        </w:tc>
        <w:tc>
          <w:tcPr>
            <w:tcW w:w="455"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410"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695"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835"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6"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369" w:type="pct"/>
            <w:vMerge w:val="continue"/>
            <w:noWrap/>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555"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710"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玉屏北路绿化提质工程</w:t>
            </w:r>
          </w:p>
        </w:tc>
        <w:tc>
          <w:tcPr>
            <w:tcW w:w="592" w:type="pct"/>
            <w:vMerge w:val="restar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spacing w:val="-11"/>
                <w:kern w:val="0"/>
              </w:rPr>
            </w:pPr>
            <w:r>
              <w:rPr>
                <w:rFonts w:ascii="Times New Roman" w:hAnsi="Times New Roman" w:eastAsia="方正仿宋_GBK" w:cs="Times New Roman"/>
                <w:b w:val="0"/>
                <w:bCs w:val="0"/>
                <w:spacing w:val="-11"/>
                <w:kern w:val="0"/>
              </w:rPr>
              <w:t>2024-2025</w:t>
            </w:r>
          </w:p>
        </w:tc>
        <w:tc>
          <w:tcPr>
            <w:tcW w:w="455" w:type="pct"/>
            <w:vMerge w:val="restar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600</w:t>
            </w:r>
          </w:p>
        </w:tc>
        <w:tc>
          <w:tcPr>
            <w:tcW w:w="410" w:type="pct"/>
            <w:vMerge w:val="restar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w:t>
            </w:r>
          </w:p>
        </w:tc>
        <w:tc>
          <w:tcPr>
            <w:tcW w:w="695"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835"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6"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369" w:type="pct"/>
            <w:vMerge w:val="continue"/>
            <w:noWrap/>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555"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710"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星光大道绿化提质工程</w:t>
            </w:r>
          </w:p>
        </w:tc>
        <w:tc>
          <w:tcPr>
            <w:tcW w:w="592"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spacing w:val="-11"/>
                <w:kern w:val="0"/>
              </w:rPr>
            </w:pPr>
          </w:p>
        </w:tc>
        <w:tc>
          <w:tcPr>
            <w:tcW w:w="455"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410"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695"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835"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6"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369" w:type="pct"/>
            <w:vMerge w:val="restart"/>
            <w:noWrap/>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40</w:t>
            </w:r>
          </w:p>
        </w:tc>
        <w:tc>
          <w:tcPr>
            <w:tcW w:w="555" w:type="pct"/>
            <w:vMerge w:val="restar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城市智慧公园建设</w:t>
            </w:r>
          </w:p>
        </w:tc>
        <w:tc>
          <w:tcPr>
            <w:tcW w:w="710"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兴龙湖公园市民参与示范项目</w:t>
            </w:r>
          </w:p>
        </w:tc>
        <w:tc>
          <w:tcPr>
            <w:tcW w:w="592"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spacing w:val="-11"/>
                <w:kern w:val="0"/>
              </w:rPr>
            </w:pPr>
            <w:r>
              <w:rPr>
                <w:rFonts w:ascii="Times New Roman" w:hAnsi="Times New Roman" w:eastAsia="方正仿宋_GBK" w:cs="Times New Roman"/>
                <w:b w:val="0"/>
                <w:bCs w:val="0"/>
                <w:spacing w:val="-11"/>
                <w:kern w:val="0"/>
              </w:rPr>
              <w:t>2021-2023</w:t>
            </w:r>
          </w:p>
        </w:tc>
        <w:tc>
          <w:tcPr>
            <w:tcW w:w="455"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w:t>
            </w:r>
          </w:p>
        </w:tc>
        <w:tc>
          <w:tcPr>
            <w:tcW w:w="410"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2000</w:t>
            </w:r>
          </w:p>
        </w:tc>
        <w:tc>
          <w:tcPr>
            <w:tcW w:w="695"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spacing w:val="-17"/>
                <w:kern w:val="0"/>
              </w:rPr>
            </w:pPr>
            <w:r>
              <w:rPr>
                <w:rFonts w:ascii="Times New Roman" w:hAnsi="Times New Roman" w:eastAsia="方正仿宋_GBK" w:cs="Times New Roman"/>
                <w:b w:val="0"/>
                <w:bCs w:val="0"/>
                <w:spacing w:val="-17"/>
                <w:kern w:val="0"/>
              </w:rPr>
              <w:t>区新城建管委</w:t>
            </w:r>
          </w:p>
        </w:tc>
        <w:tc>
          <w:tcPr>
            <w:tcW w:w="835"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区城市管理局、区大数据发展局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6"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369" w:type="pct"/>
            <w:vMerge w:val="continue"/>
            <w:noWrap/>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555"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710"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智慧湖公园市民参与示范项目</w:t>
            </w:r>
          </w:p>
        </w:tc>
        <w:tc>
          <w:tcPr>
            <w:tcW w:w="592"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spacing w:val="-11"/>
                <w:kern w:val="0"/>
              </w:rPr>
            </w:pPr>
            <w:r>
              <w:rPr>
                <w:rFonts w:ascii="Times New Roman" w:hAnsi="Times New Roman" w:eastAsia="方正仿宋_GBK" w:cs="Times New Roman"/>
                <w:b w:val="0"/>
                <w:bCs w:val="0"/>
                <w:spacing w:val="-11"/>
                <w:kern w:val="0"/>
              </w:rPr>
              <w:t>2023-2025</w:t>
            </w:r>
          </w:p>
        </w:tc>
        <w:tc>
          <w:tcPr>
            <w:tcW w:w="455"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w:t>
            </w:r>
          </w:p>
        </w:tc>
        <w:tc>
          <w:tcPr>
            <w:tcW w:w="410"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2000</w:t>
            </w:r>
          </w:p>
        </w:tc>
        <w:tc>
          <w:tcPr>
            <w:tcW w:w="695"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spacing w:val="-17"/>
                <w:kern w:val="0"/>
              </w:rPr>
            </w:pPr>
            <w:r>
              <w:rPr>
                <w:rFonts w:ascii="Times New Roman" w:hAnsi="Times New Roman" w:eastAsia="方正仿宋_GBK" w:cs="Times New Roman"/>
                <w:b w:val="0"/>
                <w:bCs w:val="0"/>
                <w:spacing w:val="-17"/>
                <w:kern w:val="0"/>
              </w:rPr>
              <w:t>区新城建管委</w:t>
            </w:r>
          </w:p>
        </w:tc>
        <w:tc>
          <w:tcPr>
            <w:tcW w:w="835"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区城市管理局、区大数据发展局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6" w:type="pct"/>
            <w:vMerge w:val="restar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智慧</w:t>
            </w:r>
          </w:p>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城管</w:t>
            </w:r>
          </w:p>
        </w:tc>
        <w:tc>
          <w:tcPr>
            <w:tcW w:w="369" w:type="pct"/>
            <w:noWrap/>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41</w:t>
            </w:r>
          </w:p>
        </w:tc>
        <w:tc>
          <w:tcPr>
            <w:tcW w:w="555"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智慧城管综合管理服务平台建设</w:t>
            </w:r>
          </w:p>
        </w:tc>
        <w:tc>
          <w:tcPr>
            <w:tcW w:w="710"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建设完善永川区智慧城管综合管理服务平台</w:t>
            </w:r>
          </w:p>
        </w:tc>
        <w:tc>
          <w:tcPr>
            <w:tcW w:w="592"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spacing w:val="-11"/>
                <w:kern w:val="0"/>
              </w:rPr>
            </w:pPr>
            <w:r>
              <w:rPr>
                <w:rFonts w:ascii="Times New Roman" w:hAnsi="Times New Roman" w:eastAsia="方正仿宋_GBK" w:cs="Times New Roman"/>
                <w:b w:val="0"/>
                <w:bCs w:val="0"/>
                <w:spacing w:val="-11"/>
                <w:kern w:val="0"/>
              </w:rPr>
              <w:t>2021-2022</w:t>
            </w:r>
          </w:p>
        </w:tc>
        <w:tc>
          <w:tcPr>
            <w:tcW w:w="455"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1400</w:t>
            </w:r>
          </w:p>
        </w:tc>
        <w:tc>
          <w:tcPr>
            <w:tcW w:w="410"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w:t>
            </w:r>
          </w:p>
        </w:tc>
        <w:tc>
          <w:tcPr>
            <w:tcW w:w="695" w:type="pct"/>
            <w:vMerge w:val="restar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spacing w:val="-17"/>
                <w:kern w:val="0"/>
              </w:rPr>
            </w:pPr>
            <w:r>
              <w:rPr>
                <w:rFonts w:ascii="Times New Roman" w:hAnsi="Times New Roman" w:eastAsia="方正仿宋_GBK" w:cs="Times New Roman"/>
                <w:b w:val="0"/>
                <w:bCs w:val="0"/>
                <w:spacing w:val="-17"/>
                <w:kern w:val="0"/>
              </w:rPr>
              <w:t>区城市管理局</w:t>
            </w:r>
          </w:p>
        </w:tc>
        <w:tc>
          <w:tcPr>
            <w:tcW w:w="835" w:type="pct"/>
            <w:vMerge w:val="restar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区大数据发展局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6"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369" w:type="pct"/>
            <w:vMerge w:val="restart"/>
            <w:noWrap/>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42</w:t>
            </w:r>
          </w:p>
        </w:tc>
        <w:tc>
          <w:tcPr>
            <w:tcW w:w="555" w:type="pct"/>
            <w:vMerge w:val="restar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智慧城管综合管理服务平台子系统建设</w:t>
            </w:r>
          </w:p>
        </w:tc>
        <w:tc>
          <w:tcPr>
            <w:tcW w:w="710"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智慧城管市政设施综合管理子系统建设</w:t>
            </w:r>
          </w:p>
        </w:tc>
        <w:tc>
          <w:tcPr>
            <w:tcW w:w="592"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spacing w:val="-11"/>
                <w:kern w:val="0"/>
              </w:rPr>
            </w:pPr>
            <w:r>
              <w:rPr>
                <w:rFonts w:ascii="Times New Roman" w:hAnsi="Times New Roman" w:eastAsia="方正仿宋_GBK" w:cs="Times New Roman"/>
                <w:b w:val="0"/>
                <w:bCs w:val="0"/>
                <w:spacing w:val="-11"/>
                <w:kern w:val="0"/>
              </w:rPr>
              <w:t>2022-2023</w:t>
            </w:r>
          </w:p>
        </w:tc>
        <w:tc>
          <w:tcPr>
            <w:tcW w:w="455"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550</w:t>
            </w:r>
          </w:p>
        </w:tc>
        <w:tc>
          <w:tcPr>
            <w:tcW w:w="410" w:type="pct"/>
            <w:vMerge w:val="restar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w:t>
            </w:r>
          </w:p>
        </w:tc>
        <w:tc>
          <w:tcPr>
            <w:tcW w:w="695"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835"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6"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369" w:type="pct"/>
            <w:vMerge w:val="continue"/>
            <w:noWrap/>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555"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710"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智慧城管市容环卫综合管理子系统建设</w:t>
            </w:r>
          </w:p>
        </w:tc>
        <w:tc>
          <w:tcPr>
            <w:tcW w:w="592"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spacing w:val="-11"/>
                <w:kern w:val="0"/>
              </w:rPr>
            </w:pPr>
            <w:r>
              <w:rPr>
                <w:rFonts w:ascii="Times New Roman" w:hAnsi="Times New Roman" w:eastAsia="方正仿宋_GBK" w:cs="Times New Roman"/>
                <w:b w:val="0"/>
                <w:bCs w:val="0"/>
                <w:spacing w:val="-11"/>
                <w:kern w:val="0"/>
              </w:rPr>
              <w:t>2022-2023</w:t>
            </w:r>
          </w:p>
        </w:tc>
        <w:tc>
          <w:tcPr>
            <w:tcW w:w="455"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370</w:t>
            </w:r>
          </w:p>
        </w:tc>
        <w:tc>
          <w:tcPr>
            <w:tcW w:w="410"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695"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835"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6"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369" w:type="pct"/>
            <w:vMerge w:val="continue"/>
            <w:noWrap/>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555"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710"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智慧城管园林绿化综合管理子系统建设</w:t>
            </w:r>
          </w:p>
        </w:tc>
        <w:tc>
          <w:tcPr>
            <w:tcW w:w="592"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spacing w:val="-11"/>
                <w:kern w:val="0"/>
              </w:rPr>
            </w:pPr>
            <w:r>
              <w:rPr>
                <w:rFonts w:ascii="Times New Roman" w:hAnsi="Times New Roman" w:eastAsia="方正仿宋_GBK" w:cs="Times New Roman"/>
                <w:b w:val="0"/>
                <w:bCs w:val="0"/>
                <w:spacing w:val="-11"/>
                <w:kern w:val="0"/>
              </w:rPr>
              <w:t>2022-2023</w:t>
            </w:r>
          </w:p>
        </w:tc>
        <w:tc>
          <w:tcPr>
            <w:tcW w:w="455"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340</w:t>
            </w:r>
          </w:p>
        </w:tc>
        <w:tc>
          <w:tcPr>
            <w:tcW w:w="410"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695"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835"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6"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369" w:type="pct"/>
            <w:vMerge w:val="continue"/>
            <w:noWrap/>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555"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710"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智慧城管执法业务综合管理子系统建设</w:t>
            </w:r>
          </w:p>
        </w:tc>
        <w:tc>
          <w:tcPr>
            <w:tcW w:w="592"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spacing w:val="-11"/>
                <w:kern w:val="0"/>
              </w:rPr>
            </w:pPr>
            <w:r>
              <w:rPr>
                <w:rFonts w:ascii="Times New Roman" w:hAnsi="Times New Roman" w:eastAsia="方正仿宋_GBK" w:cs="Times New Roman"/>
                <w:b w:val="0"/>
                <w:bCs w:val="0"/>
                <w:spacing w:val="-11"/>
                <w:kern w:val="0"/>
              </w:rPr>
              <w:t>2022-2023</w:t>
            </w:r>
          </w:p>
        </w:tc>
        <w:tc>
          <w:tcPr>
            <w:tcW w:w="455"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220</w:t>
            </w:r>
          </w:p>
        </w:tc>
        <w:tc>
          <w:tcPr>
            <w:tcW w:w="410"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695"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835"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6"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369" w:type="pct"/>
            <w:noWrap/>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43</w:t>
            </w:r>
          </w:p>
        </w:tc>
        <w:tc>
          <w:tcPr>
            <w:tcW w:w="555"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智慧城管物联感知设备建设</w:t>
            </w:r>
          </w:p>
        </w:tc>
        <w:tc>
          <w:tcPr>
            <w:tcW w:w="710"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加强在渣土车管理、停车管理、作业车辆管理、多功能单兵设备、智能垃圾箱、智慧公园、桥梁检测监测、化粪池监测等方面各种智能应用场景的建设</w:t>
            </w:r>
          </w:p>
        </w:tc>
        <w:tc>
          <w:tcPr>
            <w:tcW w:w="592"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spacing w:val="-11"/>
                <w:kern w:val="0"/>
              </w:rPr>
            </w:pPr>
            <w:r>
              <w:rPr>
                <w:rFonts w:ascii="Times New Roman" w:hAnsi="Times New Roman" w:eastAsia="方正仿宋_GBK" w:cs="Times New Roman"/>
                <w:b w:val="0"/>
                <w:bCs w:val="0"/>
                <w:spacing w:val="-11"/>
                <w:kern w:val="0"/>
              </w:rPr>
              <w:t>2024-2025</w:t>
            </w:r>
          </w:p>
        </w:tc>
        <w:tc>
          <w:tcPr>
            <w:tcW w:w="455"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1500</w:t>
            </w:r>
          </w:p>
        </w:tc>
        <w:tc>
          <w:tcPr>
            <w:tcW w:w="410"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w:t>
            </w:r>
          </w:p>
        </w:tc>
        <w:tc>
          <w:tcPr>
            <w:tcW w:w="695"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spacing w:val="-17"/>
                <w:kern w:val="0"/>
              </w:rPr>
            </w:pPr>
            <w:r>
              <w:rPr>
                <w:rFonts w:ascii="Times New Roman" w:hAnsi="Times New Roman" w:eastAsia="方正仿宋_GBK" w:cs="Times New Roman"/>
                <w:b w:val="0"/>
                <w:bCs w:val="0"/>
                <w:spacing w:val="-17"/>
                <w:kern w:val="0"/>
              </w:rPr>
              <w:t>区城市管理局</w:t>
            </w:r>
          </w:p>
        </w:tc>
        <w:tc>
          <w:tcPr>
            <w:tcW w:w="835"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6"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369" w:type="pct"/>
            <w:noWrap/>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44</w:t>
            </w:r>
          </w:p>
        </w:tc>
        <w:tc>
          <w:tcPr>
            <w:tcW w:w="555"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城市管理综合执法办公场地建设</w:t>
            </w:r>
          </w:p>
        </w:tc>
        <w:tc>
          <w:tcPr>
            <w:tcW w:w="710"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规划实施城市管理综合执法办公场地</w:t>
            </w:r>
          </w:p>
        </w:tc>
        <w:tc>
          <w:tcPr>
            <w:tcW w:w="592"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spacing w:val="-11"/>
                <w:kern w:val="0"/>
              </w:rPr>
            </w:pPr>
            <w:r>
              <w:rPr>
                <w:rFonts w:ascii="Times New Roman" w:hAnsi="Times New Roman" w:eastAsia="方正仿宋_GBK" w:cs="Times New Roman"/>
                <w:b w:val="0"/>
                <w:bCs w:val="0"/>
                <w:spacing w:val="-11"/>
                <w:kern w:val="0"/>
              </w:rPr>
              <w:t>2021-2023</w:t>
            </w:r>
          </w:p>
        </w:tc>
        <w:tc>
          <w:tcPr>
            <w:tcW w:w="455"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400</w:t>
            </w:r>
          </w:p>
        </w:tc>
        <w:tc>
          <w:tcPr>
            <w:tcW w:w="410"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w:t>
            </w:r>
          </w:p>
        </w:tc>
        <w:tc>
          <w:tcPr>
            <w:tcW w:w="695"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spacing w:val="-17"/>
                <w:kern w:val="0"/>
              </w:rPr>
            </w:pPr>
            <w:r>
              <w:rPr>
                <w:rFonts w:ascii="Times New Roman" w:hAnsi="Times New Roman" w:eastAsia="方正仿宋_GBK" w:cs="Times New Roman"/>
                <w:b w:val="0"/>
                <w:bCs w:val="0"/>
                <w:spacing w:val="-17"/>
                <w:kern w:val="0"/>
              </w:rPr>
              <w:t>区城市管理局</w:t>
            </w:r>
          </w:p>
        </w:tc>
        <w:tc>
          <w:tcPr>
            <w:tcW w:w="835"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区机关事务中心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6" w:type="pct"/>
            <w:vMerge w:val="restar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城市</w:t>
            </w:r>
          </w:p>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执法</w:t>
            </w:r>
          </w:p>
        </w:tc>
        <w:tc>
          <w:tcPr>
            <w:tcW w:w="369" w:type="pct"/>
            <w:noWrap/>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45</w:t>
            </w:r>
          </w:p>
        </w:tc>
        <w:tc>
          <w:tcPr>
            <w:tcW w:w="555"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spacing w:val="-6"/>
                <w:kern w:val="0"/>
              </w:rPr>
            </w:pPr>
            <w:r>
              <w:rPr>
                <w:rFonts w:ascii="Times New Roman" w:hAnsi="Times New Roman" w:eastAsia="方正仿宋_GBK" w:cs="Times New Roman"/>
                <w:b w:val="0"/>
                <w:bCs w:val="0"/>
                <w:spacing w:val="-6"/>
                <w:kern w:val="0"/>
              </w:rPr>
              <w:t>扬尘示范控制道路创建</w:t>
            </w:r>
          </w:p>
        </w:tc>
        <w:tc>
          <w:tcPr>
            <w:tcW w:w="710"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新创建25条扬尘示范控制道路</w:t>
            </w:r>
          </w:p>
        </w:tc>
        <w:tc>
          <w:tcPr>
            <w:tcW w:w="592"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spacing w:val="-11"/>
                <w:kern w:val="0"/>
              </w:rPr>
            </w:pPr>
            <w:r>
              <w:rPr>
                <w:rFonts w:ascii="Times New Roman" w:hAnsi="Times New Roman" w:eastAsia="方正仿宋_GBK" w:cs="Times New Roman"/>
                <w:b w:val="0"/>
                <w:bCs w:val="0"/>
                <w:spacing w:val="-11"/>
                <w:kern w:val="0"/>
              </w:rPr>
              <w:t>2021-2025</w:t>
            </w:r>
          </w:p>
        </w:tc>
        <w:tc>
          <w:tcPr>
            <w:tcW w:w="455"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750</w:t>
            </w:r>
          </w:p>
        </w:tc>
        <w:tc>
          <w:tcPr>
            <w:tcW w:w="410"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w:t>
            </w:r>
          </w:p>
        </w:tc>
        <w:tc>
          <w:tcPr>
            <w:tcW w:w="695"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spacing w:val="-17"/>
                <w:kern w:val="0"/>
              </w:rPr>
            </w:pPr>
            <w:r>
              <w:rPr>
                <w:rFonts w:ascii="Times New Roman" w:hAnsi="Times New Roman" w:eastAsia="方正仿宋_GBK" w:cs="Times New Roman"/>
                <w:b w:val="0"/>
                <w:bCs w:val="0"/>
                <w:spacing w:val="-17"/>
                <w:kern w:val="0"/>
              </w:rPr>
              <w:t>区城市管理局</w:t>
            </w:r>
          </w:p>
        </w:tc>
        <w:tc>
          <w:tcPr>
            <w:tcW w:w="835"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6"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369" w:type="pct"/>
            <w:noWrap/>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46</w:t>
            </w:r>
          </w:p>
        </w:tc>
        <w:tc>
          <w:tcPr>
            <w:tcW w:w="555"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城管执法装备采购</w:t>
            </w:r>
          </w:p>
        </w:tc>
        <w:tc>
          <w:tcPr>
            <w:tcW w:w="710"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spacing w:val="-11"/>
                <w:kern w:val="0"/>
              </w:rPr>
            </w:pPr>
            <w:r>
              <w:rPr>
                <w:rFonts w:ascii="Times New Roman" w:hAnsi="Times New Roman" w:eastAsia="方正仿宋_GBK" w:cs="Times New Roman"/>
                <w:b w:val="0"/>
                <w:bCs w:val="0"/>
                <w:spacing w:val="-11"/>
                <w:kern w:val="0"/>
              </w:rPr>
              <w:t>新增与城管执法相匹配的执法队员防护、违建测量、噪</w:t>
            </w:r>
            <w:r>
              <w:rPr>
                <w:rFonts w:hint="eastAsia" w:ascii="Times New Roman" w:hAnsi="Times New Roman" w:eastAsia="方正仿宋_GBK" w:cs="Times New Roman"/>
                <w:b w:val="0"/>
                <w:bCs w:val="0"/>
                <w:spacing w:val="-11"/>
                <w:kern w:val="0"/>
              </w:rPr>
              <w:t>声</w:t>
            </w:r>
            <w:r>
              <w:rPr>
                <w:rFonts w:ascii="Times New Roman" w:hAnsi="Times New Roman" w:eastAsia="方正仿宋_GBK" w:cs="Times New Roman"/>
                <w:b w:val="0"/>
                <w:bCs w:val="0"/>
                <w:spacing w:val="-11"/>
                <w:kern w:val="0"/>
              </w:rPr>
              <w:t>污染监测等必要装备设备</w:t>
            </w:r>
          </w:p>
        </w:tc>
        <w:tc>
          <w:tcPr>
            <w:tcW w:w="592"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spacing w:val="-11"/>
                <w:kern w:val="0"/>
              </w:rPr>
            </w:pPr>
            <w:r>
              <w:rPr>
                <w:rFonts w:ascii="Times New Roman" w:hAnsi="Times New Roman" w:eastAsia="方正仿宋_GBK" w:cs="Times New Roman"/>
                <w:b w:val="0"/>
                <w:bCs w:val="0"/>
                <w:spacing w:val="-11"/>
                <w:kern w:val="0"/>
              </w:rPr>
              <w:t>2021-2022</w:t>
            </w:r>
          </w:p>
        </w:tc>
        <w:tc>
          <w:tcPr>
            <w:tcW w:w="455"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1000</w:t>
            </w:r>
          </w:p>
        </w:tc>
        <w:tc>
          <w:tcPr>
            <w:tcW w:w="410"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w:t>
            </w:r>
          </w:p>
        </w:tc>
        <w:tc>
          <w:tcPr>
            <w:tcW w:w="695"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spacing w:val="-17"/>
                <w:kern w:val="0"/>
              </w:rPr>
            </w:pPr>
            <w:r>
              <w:rPr>
                <w:rFonts w:ascii="Times New Roman" w:hAnsi="Times New Roman" w:eastAsia="方正仿宋_GBK" w:cs="Times New Roman"/>
                <w:b w:val="0"/>
                <w:bCs w:val="0"/>
                <w:spacing w:val="-17"/>
                <w:kern w:val="0"/>
              </w:rPr>
              <w:t>区城市管理局</w:t>
            </w:r>
          </w:p>
        </w:tc>
        <w:tc>
          <w:tcPr>
            <w:tcW w:w="835"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6" w:type="pct"/>
            <w:vMerge w:val="continue"/>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p>
        </w:tc>
        <w:tc>
          <w:tcPr>
            <w:tcW w:w="369" w:type="pct"/>
            <w:noWrap/>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47</w:t>
            </w:r>
          </w:p>
        </w:tc>
        <w:tc>
          <w:tcPr>
            <w:tcW w:w="555"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城管执法车辆采购</w:t>
            </w:r>
          </w:p>
        </w:tc>
        <w:tc>
          <w:tcPr>
            <w:tcW w:w="710"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租赁执法车辆30辆</w:t>
            </w:r>
          </w:p>
        </w:tc>
        <w:tc>
          <w:tcPr>
            <w:tcW w:w="592"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spacing w:val="-11"/>
                <w:kern w:val="0"/>
              </w:rPr>
            </w:pPr>
            <w:r>
              <w:rPr>
                <w:rFonts w:ascii="Times New Roman" w:hAnsi="Times New Roman" w:eastAsia="方正仿宋_GBK" w:cs="Times New Roman"/>
                <w:b w:val="0"/>
                <w:bCs w:val="0"/>
                <w:spacing w:val="-11"/>
                <w:kern w:val="0"/>
              </w:rPr>
              <w:t>2021-2022</w:t>
            </w:r>
          </w:p>
        </w:tc>
        <w:tc>
          <w:tcPr>
            <w:tcW w:w="455"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1500</w:t>
            </w:r>
          </w:p>
        </w:tc>
        <w:tc>
          <w:tcPr>
            <w:tcW w:w="410"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w:t>
            </w:r>
          </w:p>
        </w:tc>
        <w:tc>
          <w:tcPr>
            <w:tcW w:w="695"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spacing w:val="-17"/>
                <w:kern w:val="0"/>
              </w:rPr>
            </w:pPr>
            <w:r>
              <w:rPr>
                <w:rFonts w:ascii="Times New Roman" w:hAnsi="Times New Roman" w:eastAsia="方正仿宋_GBK" w:cs="Times New Roman"/>
                <w:b w:val="0"/>
                <w:bCs w:val="0"/>
                <w:spacing w:val="-17"/>
                <w:kern w:val="0"/>
              </w:rPr>
              <w:t>区城市管理局</w:t>
            </w:r>
          </w:p>
        </w:tc>
        <w:tc>
          <w:tcPr>
            <w:tcW w:w="835"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2603" w:type="pct"/>
            <w:gridSpan w:val="5"/>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合计</w:t>
            </w:r>
          </w:p>
        </w:tc>
        <w:tc>
          <w:tcPr>
            <w:tcW w:w="455"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spacing w:val="-6"/>
                <w:kern w:val="0"/>
              </w:rPr>
            </w:pPr>
            <w:r>
              <w:rPr>
                <w:rFonts w:ascii="Times New Roman" w:hAnsi="Times New Roman" w:eastAsia="方正仿宋_GBK" w:cs="Times New Roman"/>
                <w:b w:val="0"/>
                <w:bCs w:val="0"/>
                <w:spacing w:val="-6"/>
                <w:kern w:val="0"/>
              </w:rPr>
              <w:t>237800</w:t>
            </w:r>
          </w:p>
        </w:tc>
        <w:tc>
          <w:tcPr>
            <w:tcW w:w="410"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spacing w:val="-6"/>
                <w:kern w:val="0"/>
              </w:rPr>
            </w:pPr>
            <w:r>
              <w:rPr>
                <w:rFonts w:ascii="Times New Roman" w:hAnsi="Times New Roman" w:eastAsia="方正仿宋_GBK" w:cs="Times New Roman"/>
                <w:b w:val="0"/>
                <w:bCs w:val="0"/>
                <w:spacing w:val="-17"/>
                <w:kern w:val="0"/>
              </w:rPr>
              <w:t>789757</w:t>
            </w:r>
          </w:p>
        </w:tc>
        <w:tc>
          <w:tcPr>
            <w:tcW w:w="695"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w:t>
            </w:r>
          </w:p>
        </w:tc>
        <w:tc>
          <w:tcPr>
            <w:tcW w:w="835" w:type="pct"/>
            <w:noWrap w:val="0"/>
            <w:vAlign w:val="center"/>
          </w:tcPr>
          <w:p>
            <w:pPr>
              <w:pStyle w:val="7"/>
              <w:snapToGrid w:val="0"/>
              <w:spacing w:line="240" w:lineRule="auto"/>
              <w:ind w:firstLine="0" w:firstLineChars="0"/>
              <w:jc w:val="center"/>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w:t>
            </w:r>
          </w:p>
        </w:tc>
      </w:tr>
      <w:bookmarkEnd w:id="335"/>
    </w:tbl>
    <w:p>
      <w:pPr>
        <w:keepNext w:val="0"/>
        <w:keepLines w:val="0"/>
        <w:pageBreakBefore w:val="0"/>
        <w:widowControl w:val="0"/>
        <w:kinsoku/>
        <w:wordWrap/>
        <w:overflowPunct/>
        <w:topLinePunct w:val="0"/>
        <w:autoSpaceDE/>
        <w:autoSpaceDN/>
        <w:bidi w:val="0"/>
        <w:adjustRightInd/>
        <w:snapToGrid w:val="0"/>
        <w:spacing w:line="240" w:lineRule="auto"/>
        <w:ind w:firstLine="640"/>
        <w:textAlignment w:val="auto"/>
        <w:rPr>
          <w:rFonts w:ascii="Times New Roman" w:hAnsi="Times New Roman" w:eastAsia="方正小标宋_GBK" w:cs="Times New Roman"/>
          <w:b w:val="0"/>
          <w:bCs w:val="0"/>
          <w:sz w:val="28"/>
          <w:szCs w:val="28"/>
        </w:rPr>
        <w:sectPr>
          <w:pgSz w:w="11906" w:h="16838"/>
          <w:pgMar w:top="2098" w:right="1474" w:bottom="1984" w:left="1587" w:header="851" w:footer="1474" w:gutter="0"/>
          <w:pgNumType w:fmt="numberInDash"/>
          <w:cols w:space="720" w:num="1"/>
          <w:rtlGutter w:val="0"/>
          <w:docGrid w:linePitch="408" w:charSpace="0"/>
        </w:sectPr>
      </w:pPr>
    </w:p>
    <w:p>
      <w:pPr>
        <w:ind w:firstLine="0" w:firstLineChars="0"/>
        <w:rPr>
          <w:rFonts w:hint="eastAsia" w:ascii="方正黑体_GBK" w:hAnsi="方正黑体_GBK" w:eastAsia="方正黑体_GBK" w:cs="方正黑体_GBK"/>
          <w:b w:val="0"/>
          <w:bCs w:val="0"/>
        </w:rPr>
      </w:pPr>
      <w:bookmarkStart w:id="336" w:name="_Toc8276"/>
      <w:bookmarkStart w:id="337" w:name="_Toc965841597_WPSOffice_Level1"/>
      <w:bookmarkStart w:id="338" w:name="_Toc856440835_WPSOffice_Level1"/>
      <w:r>
        <w:rPr>
          <w:rFonts w:hint="eastAsia" w:ascii="方正黑体_GBK" w:hAnsi="方正黑体_GBK" w:eastAsia="方正黑体_GBK" w:cs="方正黑体_GBK"/>
          <w:b w:val="0"/>
          <w:bCs w:val="0"/>
        </w:rPr>
        <w:t>附件2</w:t>
      </w:r>
    </w:p>
    <w:p>
      <w:pPr>
        <w:ind w:firstLine="0" w:firstLineChars="0"/>
        <w:jc w:val="center"/>
        <w:rPr>
          <w:rFonts w:hint="eastAsia" w:ascii="方正小标宋_GBK" w:hAnsi="方正小标宋_GBK" w:eastAsia="方正小标宋_GBK" w:cs="方正小标宋_GBK"/>
          <w:b w:val="0"/>
          <w:bCs w:val="0"/>
          <w:sz w:val="36"/>
          <w:szCs w:val="36"/>
        </w:rPr>
      </w:pPr>
      <w:r>
        <w:rPr>
          <w:rFonts w:hint="eastAsia" w:ascii="方正小标宋_GBK" w:hAnsi="方正小标宋_GBK" w:eastAsia="方正小标宋_GBK" w:cs="方正小标宋_GBK"/>
          <w:b w:val="0"/>
          <w:bCs w:val="0"/>
          <w:sz w:val="36"/>
          <w:szCs w:val="36"/>
        </w:rPr>
        <w:t>永川区城市管理行业发展“十四五”规划重点项目图件</w:t>
      </w:r>
      <w:bookmarkEnd w:id="336"/>
      <w:bookmarkEnd w:id="337"/>
      <w:bookmarkEnd w:id="338"/>
    </w:p>
    <w:p>
      <w:pPr>
        <w:ind w:firstLine="640"/>
        <w:rPr>
          <w:rFonts w:ascii="Times New Roman" w:hAnsi="Times New Roman" w:cs="Times New Roman"/>
          <w:b w:val="0"/>
          <w:bCs w:val="0"/>
        </w:rPr>
      </w:pPr>
      <w:r>
        <w:rPr>
          <w:rFonts w:ascii="Times New Roman" w:hAnsi="Times New Roman" w:cs="Times New Roman"/>
          <w:b w:val="0"/>
          <w:bCs w:val="0"/>
        </w:rPr>
        <w:t>01供水设施项目规划布局图</w:t>
      </w:r>
    </w:p>
    <w:p>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both"/>
        <w:textAlignment w:val="auto"/>
        <w:rPr>
          <w:rFonts w:ascii="Times New Roman" w:hAnsi="Times New Roman" w:cs="Times New Roman"/>
          <w:b w:val="0"/>
          <w:bCs w:val="0"/>
        </w:rPr>
      </w:pPr>
      <w:r>
        <w:rPr>
          <w:rFonts w:ascii="Times New Roman" w:hAnsi="Times New Roman" w:cs="Times New Roman"/>
          <w:b w:val="0"/>
          <w:bCs w:val="0"/>
        </w:rPr>
        <w:pict>
          <v:shape id="_x0000_i1025" o:spt="75" alt="01供水设施项目规划布局图" type="#_x0000_t75" style="height:514.05pt;width:455.15pt;" filled="f" o:preferrelative="t" stroked="f" coordsize="21600,21600">
            <v:path/>
            <v:fill on="f" focussize="0,0"/>
            <v:stroke on="f"/>
            <v:imagedata r:id="rId14" o:title="01供水设施项目规划布局图"/>
            <o:lock v:ext="edit" aspectratio="t"/>
            <w10:wrap type="none"/>
            <w10:anchorlock/>
          </v:shape>
        </w:pict>
      </w:r>
    </w:p>
    <w:p>
      <w:pPr>
        <w:ind w:firstLine="640"/>
        <w:rPr>
          <w:rFonts w:ascii="Times New Roman" w:hAnsi="Times New Roman" w:cs="Times New Roman"/>
          <w:b w:val="0"/>
          <w:bCs w:val="0"/>
        </w:rPr>
      </w:pPr>
    </w:p>
    <w:p>
      <w:pPr>
        <w:keepNext w:val="0"/>
        <w:keepLines w:val="0"/>
        <w:pageBreakBefore w:val="0"/>
        <w:widowControl w:val="0"/>
        <w:kinsoku/>
        <w:wordWrap/>
        <w:overflowPunct/>
        <w:topLinePunct w:val="0"/>
        <w:autoSpaceDE/>
        <w:autoSpaceDN/>
        <w:bidi w:val="0"/>
        <w:adjustRightInd/>
        <w:snapToGrid w:val="0"/>
        <w:spacing w:line="240" w:lineRule="auto"/>
        <w:ind w:firstLine="640"/>
        <w:textAlignment w:val="auto"/>
        <w:rPr>
          <w:rFonts w:ascii="Times New Roman" w:hAnsi="Times New Roman" w:cs="Times New Roman"/>
          <w:b w:val="0"/>
          <w:bCs w:val="0"/>
        </w:rPr>
      </w:pPr>
      <w:r>
        <w:rPr>
          <w:rFonts w:ascii="Times New Roman" w:hAnsi="Times New Roman" w:cs="Times New Roman"/>
          <w:b w:val="0"/>
          <w:bCs w:val="0"/>
        </w:rPr>
        <w:br w:type="page"/>
      </w:r>
      <w:r>
        <w:rPr>
          <w:rFonts w:ascii="Times New Roman" w:hAnsi="Times New Roman" w:cs="Times New Roman"/>
          <w:b w:val="0"/>
          <w:bCs w:val="0"/>
        </w:rPr>
        <w:t>02照明设施项目规划布局图</w:t>
      </w:r>
    </w:p>
    <w:p>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textAlignment w:val="auto"/>
        <w:rPr>
          <w:rFonts w:ascii="Times New Roman" w:hAnsi="Times New Roman" w:cs="Times New Roman"/>
          <w:b w:val="0"/>
          <w:bCs w:val="0"/>
        </w:rPr>
      </w:pPr>
      <w:r>
        <w:rPr>
          <w:rFonts w:ascii="Times New Roman" w:hAnsi="Times New Roman" w:cs="Times New Roman"/>
          <w:b w:val="0"/>
          <w:bCs w:val="0"/>
        </w:rPr>
        <w:pict>
          <v:shape id="_x0000_i1026" o:spt="75" alt="02照明设施项目规划布局图" type="#_x0000_t75" style="height:456.3pt;width:598.6pt;rotation:-5898240f;" filled="f" o:preferrelative="t" stroked="f" coordsize="21600,21600">
            <v:path/>
            <v:fill on="f" focussize="0,0"/>
            <v:stroke on="f"/>
            <v:imagedata r:id="rId15" o:title="02照明设施项目规划布局图"/>
            <o:lock v:ext="edit" aspectratio="t"/>
            <w10:wrap type="none"/>
            <w10:anchorlock/>
          </v:shape>
        </w:pict>
      </w:r>
    </w:p>
    <w:p>
      <w:pPr>
        <w:keepNext w:val="0"/>
        <w:keepLines w:val="0"/>
        <w:pageBreakBefore w:val="0"/>
        <w:widowControl w:val="0"/>
        <w:kinsoku/>
        <w:wordWrap/>
        <w:overflowPunct/>
        <w:topLinePunct w:val="0"/>
        <w:autoSpaceDE/>
        <w:autoSpaceDN/>
        <w:bidi w:val="0"/>
        <w:adjustRightInd/>
        <w:snapToGrid w:val="0"/>
        <w:spacing w:line="240" w:lineRule="auto"/>
        <w:ind w:firstLine="640"/>
        <w:textAlignment w:val="auto"/>
        <w:rPr>
          <w:rFonts w:ascii="Times New Roman" w:hAnsi="Times New Roman" w:cs="Times New Roman"/>
          <w:b w:val="0"/>
          <w:bCs w:val="0"/>
        </w:rPr>
      </w:pPr>
      <w:r>
        <w:rPr>
          <w:rFonts w:ascii="Times New Roman" w:hAnsi="Times New Roman" w:cs="Times New Roman"/>
          <w:b w:val="0"/>
          <w:bCs w:val="0"/>
        </w:rPr>
        <w:br w:type="page"/>
      </w:r>
      <w:r>
        <w:rPr>
          <w:rFonts w:ascii="Times New Roman" w:hAnsi="Times New Roman" w:cs="Times New Roman"/>
          <w:b w:val="0"/>
          <w:bCs w:val="0"/>
        </w:rPr>
        <w:t>03道桥隧设施项目规划布局图</w:t>
      </w:r>
    </w:p>
    <w:p>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textAlignment w:val="auto"/>
        <w:rPr>
          <w:rFonts w:ascii="Times New Roman" w:hAnsi="Times New Roman" w:cs="Times New Roman"/>
          <w:b w:val="0"/>
          <w:bCs w:val="0"/>
        </w:rPr>
      </w:pPr>
      <w:r>
        <w:rPr>
          <w:rFonts w:ascii="Times New Roman" w:hAnsi="Times New Roman" w:cs="Times New Roman"/>
          <w:b w:val="0"/>
          <w:bCs w:val="0"/>
        </w:rPr>
        <w:pict>
          <v:shape id="_x0000_i1027" o:spt="75" alt="03道桥隧设施项目规划布局图" type="#_x0000_t75" style="height:452.1pt;width:594.2pt;rotation:-5898240f;" filled="f" o:preferrelative="t" stroked="f" coordsize="21600,21600">
            <v:path/>
            <v:fill on="f" focussize="0,0"/>
            <v:stroke on="f"/>
            <v:imagedata r:id="rId16" o:title="03道桥隧设施项目规划布局图"/>
            <o:lock v:ext="edit" aspectratio="t"/>
            <w10:wrap type="none"/>
            <w10:anchorlock/>
          </v:shape>
        </w:pict>
      </w:r>
    </w:p>
    <w:p>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textAlignment w:val="auto"/>
        <w:rPr>
          <w:rFonts w:ascii="Times New Roman" w:hAnsi="Times New Roman" w:cs="Times New Roman"/>
          <w:b w:val="0"/>
          <w:bCs w:val="0"/>
        </w:rPr>
      </w:pPr>
    </w:p>
    <w:p>
      <w:pPr>
        <w:keepNext w:val="0"/>
        <w:keepLines w:val="0"/>
        <w:pageBreakBefore w:val="0"/>
        <w:widowControl w:val="0"/>
        <w:kinsoku/>
        <w:wordWrap/>
        <w:overflowPunct/>
        <w:topLinePunct w:val="0"/>
        <w:autoSpaceDE/>
        <w:autoSpaceDN/>
        <w:bidi w:val="0"/>
        <w:adjustRightInd/>
        <w:snapToGrid w:val="0"/>
        <w:spacing w:line="240" w:lineRule="auto"/>
        <w:ind w:firstLine="640"/>
        <w:textAlignment w:val="auto"/>
        <w:rPr>
          <w:rFonts w:ascii="Times New Roman" w:hAnsi="Times New Roman" w:cs="Times New Roman"/>
          <w:b w:val="0"/>
          <w:bCs w:val="0"/>
        </w:rPr>
      </w:pPr>
      <w:r>
        <w:rPr>
          <w:rFonts w:ascii="Times New Roman" w:hAnsi="Times New Roman" w:cs="Times New Roman"/>
          <w:b w:val="0"/>
          <w:bCs w:val="0"/>
        </w:rPr>
        <w:t>04环卫设施项目规划布局图</w:t>
      </w:r>
    </w:p>
    <w:p>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textAlignment w:val="auto"/>
        <w:rPr>
          <w:rFonts w:ascii="Times New Roman" w:hAnsi="Times New Roman" w:cs="Times New Roman"/>
          <w:b w:val="0"/>
          <w:bCs w:val="0"/>
        </w:rPr>
      </w:pPr>
      <w:r>
        <w:rPr>
          <w:rFonts w:ascii="Times New Roman" w:hAnsi="Times New Roman" w:cs="Times New Roman"/>
          <w:b w:val="0"/>
          <w:bCs w:val="0"/>
        </w:rPr>
        <w:pict>
          <v:shape id="_x0000_i1028" o:spt="75" alt="04环卫设施项目规划布局图" type="#_x0000_t75" style="height:594.05pt;width:451.8pt;" filled="f" o:preferrelative="t" stroked="f" coordsize="21600,21600">
            <v:path/>
            <v:fill on="f" focussize="0,0"/>
            <v:stroke on="f"/>
            <v:imagedata r:id="rId17" o:title="04环卫设施项目规划布局图"/>
            <o:lock v:ext="edit" aspectratio="t"/>
            <w10:wrap type="none"/>
            <w10:anchorlock/>
          </v:shape>
        </w:pict>
      </w:r>
    </w:p>
    <w:p>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textAlignment w:val="auto"/>
        <w:rPr>
          <w:rFonts w:ascii="Times New Roman" w:hAnsi="Times New Roman" w:cs="Times New Roman"/>
          <w:b w:val="0"/>
          <w:bCs w:val="0"/>
        </w:rPr>
      </w:pPr>
    </w:p>
    <w:p>
      <w:pPr>
        <w:keepNext w:val="0"/>
        <w:keepLines w:val="0"/>
        <w:pageBreakBefore w:val="0"/>
        <w:widowControl w:val="0"/>
        <w:kinsoku/>
        <w:wordWrap/>
        <w:overflowPunct/>
        <w:topLinePunct w:val="0"/>
        <w:autoSpaceDE/>
        <w:autoSpaceDN/>
        <w:bidi w:val="0"/>
        <w:adjustRightInd/>
        <w:snapToGrid w:val="0"/>
        <w:spacing w:line="240" w:lineRule="auto"/>
        <w:ind w:firstLine="640"/>
        <w:textAlignment w:val="auto"/>
        <w:rPr>
          <w:rFonts w:ascii="Times New Roman" w:hAnsi="Times New Roman" w:cs="Times New Roman"/>
          <w:b w:val="0"/>
          <w:bCs w:val="0"/>
        </w:rPr>
      </w:pPr>
      <w:r>
        <w:rPr>
          <w:rFonts w:ascii="Times New Roman" w:hAnsi="Times New Roman" w:cs="Times New Roman"/>
          <w:b w:val="0"/>
          <w:bCs w:val="0"/>
        </w:rPr>
        <w:br w:type="page"/>
      </w:r>
      <w:r>
        <w:rPr>
          <w:rFonts w:ascii="Times New Roman" w:hAnsi="Times New Roman" w:cs="Times New Roman"/>
          <w:b w:val="0"/>
          <w:bCs w:val="0"/>
        </w:rPr>
        <w:t>05城市公园建设项目规划布局图</w:t>
      </w:r>
    </w:p>
    <w:p>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textAlignment w:val="auto"/>
        <w:rPr>
          <w:rFonts w:ascii="Times New Roman" w:hAnsi="Times New Roman" w:cs="Times New Roman"/>
          <w:b w:val="0"/>
          <w:bCs w:val="0"/>
        </w:rPr>
      </w:pPr>
      <w:r>
        <w:rPr>
          <w:rFonts w:ascii="Times New Roman" w:hAnsi="Times New Roman" w:cs="Times New Roman"/>
          <w:b w:val="0"/>
          <w:bCs w:val="0"/>
        </w:rPr>
        <w:pict>
          <v:shape id="_x0000_i1029" o:spt="75" alt="05城市公园建设项目规划布局图" type="#_x0000_t75" style="height:449.85pt;width:599.4pt;rotation:-5898240f;" filled="f" o:preferrelative="t" stroked="f" coordsize="21600,21600">
            <v:path/>
            <v:fill on="f" focussize="0,0"/>
            <v:stroke on="f"/>
            <v:imagedata r:id="rId18" o:title="05城市公园建设项目规划布局图"/>
            <o:lock v:ext="edit" aspectratio="t"/>
            <w10:wrap type="none"/>
            <w10:anchorlock/>
          </v:shape>
        </w:pict>
      </w:r>
    </w:p>
    <w:p>
      <w:pPr>
        <w:keepNext w:val="0"/>
        <w:keepLines w:val="0"/>
        <w:pageBreakBefore w:val="0"/>
        <w:widowControl w:val="0"/>
        <w:kinsoku/>
        <w:wordWrap/>
        <w:overflowPunct/>
        <w:topLinePunct w:val="0"/>
        <w:autoSpaceDE/>
        <w:autoSpaceDN/>
        <w:bidi w:val="0"/>
        <w:adjustRightInd/>
        <w:snapToGrid w:val="0"/>
        <w:spacing w:line="240" w:lineRule="auto"/>
        <w:ind w:firstLine="640"/>
        <w:textAlignment w:val="auto"/>
        <w:rPr>
          <w:rFonts w:ascii="Times New Roman" w:hAnsi="Times New Roman" w:cs="Times New Roman"/>
          <w:b w:val="0"/>
          <w:bCs w:val="0"/>
        </w:rPr>
      </w:pPr>
      <w:r>
        <w:rPr>
          <w:rFonts w:ascii="Times New Roman" w:hAnsi="Times New Roman" w:cs="Times New Roman"/>
          <w:b w:val="0"/>
          <w:bCs w:val="0"/>
        </w:rPr>
        <w:t>06城市道路绿化项目规划布局图</w:t>
      </w:r>
    </w:p>
    <w:p>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textAlignment w:val="auto"/>
        <w:rPr>
          <w:rFonts w:ascii="Times New Roman" w:hAnsi="Times New Roman" w:cs="Times New Roman"/>
          <w:b w:val="0"/>
          <w:bCs w:val="0"/>
        </w:rPr>
      </w:pPr>
      <w:r>
        <w:rPr>
          <w:rFonts w:ascii="Times New Roman" w:hAnsi="Times New Roman" w:cs="Times New Roman"/>
          <w:b w:val="0"/>
          <w:bCs w:val="0"/>
        </w:rPr>
        <w:pict>
          <v:shape id="_x0000_i1030" o:spt="75" alt="06城市道路绿化项目规划布局图" type="#_x0000_t75" style="height:457.7pt;width:591.3pt;rotation:-5898240f;" filled="f" o:preferrelative="t" stroked="f" coordsize="21600,21600">
            <v:path/>
            <v:fill on="f" focussize="0,0"/>
            <v:stroke on="f"/>
            <v:imagedata r:id="rId19" o:title="06城市道路绿化项目规划布局图"/>
            <o:lock v:ext="edit" aspectratio="t"/>
            <w10:wrap type="none"/>
            <w10:anchorlock/>
          </v:shape>
        </w:pict>
      </w:r>
    </w:p>
    <w:p>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textAlignment w:val="auto"/>
        <w:rPr>
          <w:rFonts w:ascii="Times New Roman" w:hAnsi="Times New Roman" w:cs="Times New Roman"/>
          <w:b w:val="0"/>
          <w:bCs w:val="0"/>
        </w:rPr>
      </w:pPr>
    </w:p>
    <w:p>
      <w:pPr>
        <w:keepNext w:val="0"/>
        <w:keepLines w:val="0"/>
        <w:pageBreakBefore w:val="0"/>
        <w:widowControl w:val="0"/>
        <w:kinsoku/>
        <w:wordWrap/>
        <w:overflowPunct/>
        <w:topLinePunct w:val="0"/>
        <w:autoSpaceDE/>
        <w:autoSpaceDN/>
        <w:bidi w:val="0"/>
        <w:adjustRightInd/>
        <w:snapToGrid w:val="0"/>
        <w:spacing w:line="240" w:lineRule="auto"/>
        <w:ind w:firstLine="640"/>
        <w:textAlignment w:val="auto"/>
        <w:rPr>
          <w:rFonts w:ascii="Times New Roman" w:hAnsi="Times New Roman" w:cs="Times New Roman"/>
          <w:b w:val="0"/>
          <w:bCs w:val="0"/>
        </w:rPr>
      </w:pPr>
      <w:r>
        <w:rPr>
          <w:rFonts w:ascii="Times New Roman" w:hAnsi="Times New Roman" w:cs="Times New Roman"/>
          <w:b w:val="0"/>
          <w:bCs w:val="0"/>
        </w:rPr>
        <w:t>07节点绿化项目规划布局图</w:t>
      </w:r>
    </w:p>
    <w:p>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textAlignment w:val="auto"/>
        <w:rPr>
          <w:rFonts w:ascii="Times New Roman" w:hAnsi="Times New Roman" w:cs="Times New Roman"/>
          <w:b w:val="0"/>
          <w:bCs w:val="0"/>
        </w:rPr>
      </w:pPr>
      <w:r>
        <w:rPr>
          <w:rFonts w:ascii="Times New Roman" w:hAnsi="Times New Roman" w:cs="Times New Roman"/>
          <w:b w:val="0"/>
          <w:bCs w:val="0"/>
        </w:rPr>
        <w:pict>
          <v:shape id="_x0000_i1031" o:spt="75" alt="07节点绿化项目规划布局图" type="#_x0000_t75" style="height:459.3pt;width:544.55pt;rotation:-5898240f;" filled="f" o:preferrelative="t" stroked="f" coordsize="21600,21600">
            <v:path/>
            <v:fill on="f" focussize="0,0"/>
            <v:stroke on="f"/>
            <v:imagedata r:id="rId20" o:title="07节点绿化项目规划布局图"/>
            <o:lock v:ext="edit" aspectratio="t"/>
            <w10:wrap type="none"/>
            <w10:anchorlock/>
          </v:shape>
        </w:pict>
      </w:r>
    </w:p>
    <w:p>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textAlignment w:val="auto"/>
        <w:rPr>
          <w:rFonts w:ascii="Times New Roman" w:hAnsi="Times New Roman" w:cs="Times New Roman"/>
          <w:b w:val="0"/>
          <w:bCs w:val="0"/>
        </w:rPr>
      </w:pPr>
    </w:p>
    <w:sectPr>
      <w:pgSz w:w="11906" w:h="16838"/>
      <w:pgMar w:top="2098" w:right="1474" w:bottom="1984" w:left="1587" w:header="851" w:footer="1474" w:gutter="0"/>
      <w:pgNumType w:fmt="numberInDash"/>
      <w:cols w:space="720" w:num="1"/>
      <w:rtlGutter w:val="0"/>
      <w:docGrid w:linePitch="408"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640"/>
      </w:pPr>
      <w:r>
        <w:separator/>
      </w:r>
    </w:p>
  </w:endnote>
  <w:endnote w:type="continuationSeparator" w:id="1">
    <w:p>
      <w:pPr>
        <w:spacing w:line="240" w:lineRule="auto"/>
        <w:ind w:firstLine="6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86"/>
    <w:family w:val="auto"/>
    <w:pitch w:val="default"/>
    <w:sig w:usb0="00000000" w:usb1="00000000" w:usb2="00000000" w:usb3="00000000" w:csb0="00000000" w:csb1="00000000"/>
  </w:font>
  <w:font w:name="Wingdings">
    <w:altName w:val="MathJax_Vector"/>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altName w:val="MathJax_Vector"/>
    <w:panose1 w:val="05050102010706020507"/>
    <w:charset w:val="02"/>
    <w:family w:val="roman"/>
    <w:pitch w:val="default"/>
    <w:sig w:usb0="00000000" w:usb1="00000000" w:usb2="00000000" w:usb3="00000000" w:csb0="80000000" w:csb1="00000000"/>
  </w:font>
  <w:font w:name="DejaVu Sans">
    <w:panose1 w:val="020B0603030804020204"/>
    <w:charset w:val="00"/>
    <w:family w:val="auto"/>
    <w:pitch w:val="default"/>
    <w:sig w:usb0="E7006EFF" w:usb1="D200FDFF" w:usb2="0A246029" w:usb3="0400200C" w:csb0="600001FF" w:csb1="DFFF0000"/>
  </w:font>
  <w:font w:name="Calibri">
    <w:altName w:val="DejaVu Sans"/>
    <w:panose1 w:val="020F0502020204030204"/>
    <w:charset w:val="00"/>
    <w:family w:val="swiss"/>
    <w:pitch w:val="default"/>
    <w:sig w:usb0="00000000" w:usb1="00000000" w:usb2="00000001" w:usb3="00000000" w:csb0="0000019F" w:csb1="00000000"/>
  </w:font>
  <w:font w:name="方正书宋_GBK">
    <w:panose1 w:val="02000000000000000000"/>
    <w:charset w:val="86"/>
    <w:family w:val="auto"/>
    <w:pitch w:val="default"/>
    <w:sig w:usb0="00000001" w:usb1="08000000" w:usb2="00000000" w:usb3="00000000" w:csb0="00040000" w:csb1="00000000"/>
  </w:font>
  <w:font w:name="方正仿宋_GBK">
    <w:panose1 w:val="02000000000000000000"/>
    <w:charset w:val="86"/>
    <w:family w:val="auto"/>
    <w:pitch w:val="default"/>
    <w:sig w:usb0="00000001" w:usb1="08000000" w:usb2="00000000" w:usb3="00000000" w:csb0="00040000" w:csb1="00000000"/>
  </w:font>
  <w:font w:name="方正小标宋_GBK">
    <w:panose1 w:val="03000509000000000000"/>
    <w:charset w:val="86"/>
    <w:family w:val="script"/>
    <w:pitch w:val="default"/>
    <w:sig w:usb0="00000001" w:usb1="080E0000" w:usb2="00000000" w:usb3="00000000" w:csb0="00040000" w:csb1="00000000"/>
  </w:font>
  <w:font w:name="方正黑体_GBK">
    <w:panose1 w:val="02000000000000000000"/>
    <w:charset w:val="86"/>
    <w:family w:val="script"/>
    <w:pitch w:val="default"/>
    <w:sig w:usb0="00000001" w:usb1="08000000" w:usb2="00000000" w:usb3="00000000" w:csb0="00040000" w:csb1="00000000"/>
  </w:font>
  <w:font w:name="Cambria">
    <w:altName w:val="FreeSerif"/>
    <w:panose1 w:val="02040503050406030204"/>
    <w:charset w:val="00"/>
    <w:family w:val="roman"/>
    <w:pitch w:val="default"/>
    <w:sig w:usb0="00000000" w:usb1="00000000" w:usb2="00000000" w:usb3="00000000" w:csb0="0000019F" w:csb1="00000000"/>
  </w:font>
  <w:font w:name="FreeSerif">
    <w:panose1 w:val="02020603050405020304"/>
    <w:charset w:val="00"/>
    <w:family w:val="auto"/>
    <w:pitch w:val="default"/>
    <w:sig w:usb0="E59FAFFF" w:usb1="C200FDFF" w:usb2="43501B29" w:usb3="04000043" w:csb0="600101FF" w:csb1="FFFF0000"/>
  </w:font>
  <w:font w:name="方正楷体_GBK">
    <w:panose1 w:val="02000000000000000000"/>
    <w:charset w:val="86"/>
    <w:family w:val="script"/>
    <w:pitch w:val="default"/>
    <w:sig w:usb0="00000001" w:usb1="08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firstLine="360"/>
    </w:pPr>
    <w:r>
      <w:pict>
        <v:shape id="文本框 2" o:spid="_x0000_s4097" o:spt="202" type="#_x0000_t202" style="position:absolute;left:0pt;margin-top:0pt;height:144pt;width:31.8pt;mso-position-horizontal:outside;mso-position-horizontal-relative:margin;z-index:251659264;mso-width-relative:page;mso-height-relative:page;" filled="f" stroked="f" coordsize="21600,21600">
          <v:path/>
          <v:fill on="f" focussize="0,0"/>
          <v:stroke on="f" weight="0.5pt"/>
          <v:imagedata o:title=""/>
          <o:lock v:ext="edit" aspectratio="f"/>
          <v:textbox inset="0mm,0mm,0mm,0mm" style="mso-fit-shape-to-text:t;">
            <w:txbxContent>
              <w:p>
                <w:pPr>
                  <w:pStyle w:val="12"/>
                  <w:ind w:firstLine="0" w:firstLineChars="0"/>
                  <w:rPr>
                    <w:rStyle w:val="22"/>
                  </w:rPr>
                </w:pPr>
                <w:r>
                  <w:rPr>
                    <w:rStyle w:val="22"/>
                    <w:rFonts w:hint="eastAsia" w:ascii="宋体" w:hAnsi="宋体" w:eastAsia="宋体" w:cs="宋体"/>
                    <w:sz w:val="28"/>
                    <w:szCs w:val="28"/>
                  </w:rPr>
                  <w:fldChar w:fldCharType="begin"/>
                </w:r>
                <w:r>
                  <w:rPr>
                    <w:rStyle w:val="22"/>
                    <w:rFonts w:hint="eastAsia" w:ascii="宋体" w:hAnsi="宋体" w:eastAsia="宋体" w:cs="宋体"/>
                    <w:sz w:val="28"/>
                    <w:szCs w:val="28"/>
                  </w:rPr>
                  <w:instrText xml:space="preserve"> PAGE  \* MERGEFORMAT </w:instrText>
                </w:r>
                <w:r>
                  <w:rPr>
                    <w:rStyle w:val="22"/>
                    <w:rFonts w:hint="eastAsia" w:ascii="宋体" w:hAnsi="宋体" w:eastAsia="宋体" w:cs="宋体"/>
                    <w:sz w:val="28"/>
                    <w:szCs w:val="28"/>
                  </w:rPr>
                  <w:fldChar w:fldCharType="separate"/>
                </w:r>
                <w:r>
                  <w:rPr>
                    <w:rStyle w:val="22"/>
                    <w:rFonts w:hint="eastAsia" w:ascii="宋体" w:hAnsi="宋体" w:eastAsia="宋体" w:cs="宋体"/>
                    <w:sz w:val="28"/>
                    <w:szCs w:val="28"/>
                  </w:rPr>
                  <w:t>- 1 -</w:t>
                </w:r>
                <w:r>
                  <w:rPr>
                    <w:rStyle w:val="22"/>
                    <w:rFonts w:hint="eastAsia" w:ascii="宋体" w:hAnsi="宋体" w:eastAsia="宋体" w:cs="宋体"/>
                    <w:sz w:val="28"/>
                    <w:szCs w:val="28"/>
                  </w:rPr>
                  <w:fldChar w:fldCharType="end"/>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framePr w:wrap="around" w:vAnchor="text" w:hAnchor="margin" w:xAlign="center" w:y="1"/>
      <w:ind w:firstLine="360"/>
      <w:rPr>
        <w:rStyle w:val="22"/>
      </w:rPr>
    </w:pPr>
    <w:r>
      <w:fldChar w:fldCharType="begin"/>
    </w:r>
    <w:r>
      <w:rPr>
        <w:rStyle w:val="22"/>
      </w:rPr>
      <w:instrText xml:space="preserve">PAGE  </w:instrText>
    </w:r>
    <w:r>
      <w:fldChar w:fldCharType="separate"/>
    </w:r>
    <w:r>
      <w:rPr>
        <w:rStyle w:val="22"/>
      </w:rPr>
      <w:t>2</w:t>
    </w:r>
    <w:r>
      <w:fldChar w:fldCharType="end"/>
    </w:r>
  </w:p>
  <w:p>
    <w:pPr>
      <w:pStyle w:val="12"/>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firstLine="360"/>
      <w:jc w:val="both"/>
    </w:pPr>
    <w:r>
      <w:pict>
        <v:shape id="文本框 9" o:spid="_x0000_s4098" o:spt="202" type="#_x0000_t202" style="position:absolute;left:0pt;margin-top:0pt;height:144pt;width:144pt;mso-position-horizontal:outside;mso-position-horizontal-relative:margin;mso-wrap-style:none;z-index:25166028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WAAAAZHJzL1BLAQIUABQAAAAIAIdO4kCz&#10;SVju0AAAAAUBAAAPAAAAAAAAAAEAIAAAADgAAABkcnMvZG93bnJldi54bWxQSwECFAAUAAAACACH&#10;TuJABp+M3hYCAAAZBAAADgAAAAAAAAABACAAAAA1AQAAZHJzL2Uyb0RvYy54bWxQSwUGAAAAAAYA&#10;BgBZAQAAvQUAAAAA&#10;">
          <v:path/>
          <v:fill on="f" focussize="0,0"/>
          <v:stroke on="f" weight="0.5pt"/>
          <v:imagedata o:title=""/>
          <o:lock v:ext="edit" aspectratio="f"/>
          <v:textbox inset="0mm,0mm,0mm,0mm" style="mso-fit-shape-to-text:t;">
            <w:txbxContent>
              <w:p>
                <w:pPr>
                  <w:pStyle w:val="18"/>
                  <w:ind w:left="0" w:leftChars="0" w:firstLine="0" w:firstLineChars="0"/>
                </w:pP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hint="eastAsia" w:ascii="宋体" w:hAnsi="宋体" w:cs="宋体"/>
                    <w:sz w:val="28"/>
                    <w:szCs w:val="28"/>
                  </w:rPr>
                  <w:t>- 1 -</w:t>
                </w:r>
                <w:r>
                  <w:rPr>
                    <w:rFonts w:hint="eastAsia" w:ascii="宋体" w:hAnsi="宋体" w:cs="宋体"/>
                    <w:sz w:val="28"/>
                    <w:szCs w:val="28"/>
                  </w:rPr>
                  <w:fldChar w:fldCharType="end"/>
                </w:r>
              </w:p>
            </w:txbxContent>
          </v:textbox>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640"/>
      </w:pPr>
      <w:r>
        <w:separator/>
      </w:r>
    </w:p>
  </w:footnote>
  <w:footnote w:type="continuationSeparator" w:id="1">
    <w:p>
      <w:pPr>
        <w:spacing w:line="240" w:lineRule="auto"/>
        <w:ind w:firstLine="64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Bdr>
        <w:bottom w:val="none" w:color="auto" w:sz="0" w:space="0"/>
      </w:pBdr>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tabs>
        <w:tab w:val="left" w:pos="4803"/>
        <w:tab w:val="clear" w:pos="4153"/>
      </w:tabs>
      <w:ind w:firstLine="360"/>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Bdr>
        <w:bottom w:val="none" w:color="auto" w:sz="0" w:space="0"/>
      </w:pBdr>
      <w:ind w:firstLine="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dit="readOnly" w:enforcement="0"/>
  <w:defaultTabStop w:val="420"/>
  <w:hyphenationZone w:val="360"/>
  <w:drawingGridHorizontalSpacing w:val="320"/>
  <w:drawingGridVerticalSpacing w:val="-7946"/>
  <w:displayHorizontalDrawingGridEvery w:val="1"/>
  <w:displayVerticalDrawingGridEvery w:val="1"/>
  <w:noPunctuationKerning w:val="1"/>
  <w:characterSpacingControl w:val="compressPunctuation"/>
  <w:hdrShapeDefaults>
    <o:shapelayout v:ext="edit">
      <o:idmap v:ext="edit" data="3,4"/>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docVars>
    <w:docVar w:name="KGWebUrl" w:val="http://23.211.169.62:80/seeyon/officeservlet"/>
  </w:docVars>
  <w:rsids>
    <w:rsidRoot w:val="00CE3AB1"/>
    <w:rsid w:val="00000382"/>
    <w:rsid w:val="0000105B"/>
    <w:rsid w:val="00003093"/>
    <w:rsid w:val="0000329F"/>
    <w:rsid w:val="000032D3"/>
    <w:rsid w:val="00003F3B"/>
    <w:rsid w:val="00005534"/>
    <w:rsid w:val="00007FC6"/>
    <w:rsid w:val="00010B09"/>
    <w:rsid w:val="000116DA"/>
    <w:rsid w:val="00013335"/>
    <w:rsid w:val="0001489A"/>
    <w:rsid w:val="00014B91"/>
    <w:rsid w:val="00015422"/>
    <w:rsid w:val="000157C9"/>
    <w:rsid w:val="00015E64"/>
    <w:rsid w:val="00017121"/>
    <w:rsid w:val="00021339"/>
    <w:rsid w:val="0002225C"/>
    <w:rsid w:val="00022D8A"/>
    <w:rsid w:val="0002331B"/>
    <w:rsid w:val="0002417D"/>
    <w:rsid w:val="00024475"/>
    <w:rsid w:val="00024B01"/>
    <w:rsid w:val="00026F0E"/>
    <w:rsid w:val="000274E9"/>
    <w:rsid w:val="00030168"/>
    <w:rsid w:val="0003077A"/>
    <w:rsid w:val="00030FFA"/>
    <w:rsid w:val="00031173"/>
    <w:rsid w:val="00031902"/>
    <w:rsid w:val="00031C22"/>
    <w:rsid w:val="000324ED"/>
    <w:rsid w:val="00032977"/>
    <w:rsid w:val="00032B25"/>
    <w:rsid w:val="00033BC7"/>
    <w:rsid w:val="00035E05"/>
    <w:rsid w:val="00037023"/>
    <w:rsid w:val="00037DF2"/>
    <w:rsid w:val="0004032B"/>
    <w:rsid w:val="00040766"/>
    <w:rsid w:val="000415C6"/>
    <w:rsid w:val="00041B53"/>
    <w:rsid w:val="00041E75"/>
    <w:rsid w:val="0004373C"/>
    <w:rsid w:val="0004374E"/>
    <w:rsid w:val="00043866"/>
    <w:rsid w:val="00043AB3"/>
    <w:rsid w:val="00044F79"/>
    <w:rsid w:val="000460AE"/>
    <w:rsid w:val="000460FA"/>
    <w:rsid w:val="000476FF"/>
    <w:rsid w:val="0005030E"/>
    <w:rsid w:val="00050D69"/>
    <w:rsid w:val="0005189F"/>
    <w:rsid w:val="00051EA7"/>
    <w:rsid w:val="00052434"/>
    <w:rsid w:val="00055746"/>
    <w:rsid w:val="0005609F"/>
    <w:rsid w:val="00056F10"/>
    <w:rsid w:val="00057F7E"/>
    <w:rsid w:val="000604B2"/>
    <w:rsid w:val="00060851"/>
    <w:rsid w:val="0006085E"/>
    <w:rsid w:val="00060E1C"/>
    <w:rsid w:val="000622CA"/>
    <w:rsid w:val="00063AD5"/>
    <w:rsid w:val="00063B35"/>
    <w:rsid w:val="00064DE2"/>
    <w:rsid w:val="00065EDA"/>
    <w:rsid w:val="000660AB"/>
    <w:rsid w:val="00066D40"/>
    <w:rsid w:val="000675E6"/>
    <w:rsid w:val="00067F0D"/>
    <w:rsid w:val="00070408"/>
    <w:rsid w:val="000713E8"/>
    <w:rsid w:val="000714DF"/>
    <w:rsid w:val="000714F2"/>
    <w:rsid w:val="00071E64"/>
    <w:rsid w:val="000723D2"/>
    <w:rsid w:val="000729F4"/>
    <w:rsid w:val="000749FB"/>
    <w:rsid w:val="00075618"/>
    <w:rsid w:val="000761F2"/>
    <w:rsid w:val="000767F3"/>
    <w:rsid w:val="000805C7"/>
    <w:rsid w:val="00084781"/>
    <w:rsid w:val="000858A8"/>
    <w:rsid w:val="000901C2"/>
    <w:rsid w:val="00091529"/>
    <w:rsid w:val="0009197E"/>
    <w:rsid w:val="00095AB4"/>
    <w:rsid w:val="0009670D"/>
    <w:rsid w:val="00096AB3"/>
    <w:rsid w:val="00097E57"/>
    <w:rsid w:val="00097EF0"/>
    <w:rsid w:val="000A0BC4"/>
    <w:rsid w:val="000A4164"/>
    <w:rsid w:val="000A5B99"/>
    <w:rsid w:val="000A6DA7"/>
    <w:rsid w:val="000A7420"/>
    <w:rsid w:val="000A79DD"/>
    <w:rsid w:val="000B1284"/>
    <w:rsid w:val="000B1CE9"/>
    <w:rsid w:val="000B4299"/>
    <w:rsid w:val="000B43B8"/>
    <w:rsid w:val="000B4781"/>
    <w:rsid w:val="000B5FDB"/>
    <w:rsid w:val="000B6C65"/>
    <w:rsid w:val="000B7B3D"/>
    <w:rsid w:val="000C108E"/>
    <w:rsid w:val="000C2038"/>
    <w:rsid w:val="000C2609"/>
    <w:rsid w:val="000C26E1"/>
    <w:rsid w:val="000C39EC"/>
    <w:rsid w:val="000C3C38"/>
    <w:rsid w:val="000C4795"/>
    <w:rsid w:val="000C4DC4"/>
    <w:rsid w:val="000C622A"/>
    <w:rsid w:val="000C6AF8"/>
    <w:rsid w:val="000C6B0C"/>
    <w:rsid w:val="000C6B21"/>
    <w:rsid w:val="000C702E"/>
    <w:rsid w:val="000C7DF8"/>
    <w:rsid w:val="000D1B80"/>
    <w:rsid w:val="000D2B51"/>
    <w:rsid w:val="000D2C2B"/>
    <w:rsid w:val="000D2DA9"/>
    <w:rsid w:val="000D34C9"/>
    <w:rsid w:val="000D3F02"/>
    <w:rsid w:val="000D5037"/>
    <w:rsid w:val="000D516F"/>
    <w:rsid w:val="000D5370"/>
    <w:rsid w:val="000D5654"/>
    <w:rsid w:val="000D6290"/>
    <w:rsid w:val="000D6346"/>
    <w:rsid w:val="000D63AE"/>
    <w:rsid w:val="000D70C0"/>
    <w:rsid w:val="000E0E10"/>
    <w:rsid w:val="000E0E39"/>
    <w:rsid w:val="000E17C9"/>
    <w:rsid w:val="000E2E8F"/>
    <w:rsid w:val="000E3696"/>
    <w:rsid w:val="000E5323"/>
    <w:rsid w:val="000E534A"/>
    <w:rsid w:val="000E6F5A"/>
    <w:rsid w:val="000F045B"/>
    <w:rsid w:val="000F2923"/>
    <w:rsid w:val="000F51C7"/>
    <w:rsid w:val="000F54A2"/>
    <w:rsid w:val="000F7E25"/>
    <w:rsid w:val="00106917"/>
    <w:rsid w:val="001078A0"/>
    <w:rsid w:val="00110F50"/>
    <w:rsid w:val="001131B6"/>
    <w:rsid w:val="00113397"/>
    <w:rsid w:val="0011527B"/>
    <w:rsid w:val="0011669C"/>
    <w:rsid w:val="00117D41"/>
    <w:rsid w:val="00122670"/>
    <w:rsid w:val="00122F31"/>
    <w:rsid w:val="001230FC"/>
    <w:rsid w:val="00123951"/>
    <w:rsid w:val="00125E3B"/>
    <w:rsid w:val="0012609C"/>
    <w:rsid w:val="00126520"/>
    <w:rsid w:val="00126B6A"/>
    <w:rsid w:val="00130780"/>
    <w:rsid w:val="00131B3F"/>
    <w:rsid w:val="0013201D"/>
    <w:rsid w:val="00132A20"/>
    <w:rsid w:val="0013336A"/>
    <w:rsid w:val="00135482"/>
    <w:rsid w:val="00136159"/>
    <w:rsid w:val="0014002A"/>
    <w:rsid w:val="00140220"/>
    <w:rsid w:val="001411E4"/>
    <w:rsid w:val="00142AA9"/>
    <w:rsid w:val="00145DF4"/>
    <w:rsid w:val="00145E1D"/>
    <w:rsid w:val="00145F70"/>
    <w:rsid w:val="001508A5"/>
    <w:rsid w:val="001509A5"/>
    <w:rsid w:val="001519F7"/>
    <w:rsid w:val="0015389A"/>
    <w:rsid w:val="00153A3D"/>
    <w:rsid w:val="00155E66"/>
    <w:rsid w:val="0015694C"/>
    <w:rsid w:val="00160E8A"/>
    <w:rsid w:val="00160F7A"/>
    <w:rsid w:val="0016296C"/>
    <w:rsid w:val="00162C80"/>
    <w:rsid w:val="001644EB"/>
    <w:rsid w:val="00165B4B"/>
    <w:rsid w:val="00166911"/>
    <w:rsid w:val="00166EAB"/>
    <w:rsid w:val="0016725E"/>
    <w:rsid w:val="00170182"/>
    <w:rsid w:val="00171FC6"/>
    <w:rsid w:val="001726A5"/>
    <w:rsid w:val="00172C4D"/>
    <w:rsid w:val="00172DDF"/>
    <w:rsid w:val="00172FD3"/>
    <w:rsid w:val="0017336E"/>
    <w:rsid w:val="00175C23"/>
    <w:rsid w:val="0017677B"/>
    <w:rsid w:val="00180B55"/>
    <w:rsid w:val="00181320"/>
    <w:rsid w:val="00182365"/>
    <w:rsid w:val="00190910"/>
    <w:rsid w:val="00190B5C"/>
    <w:rsid w:val="0019245B"/>
    <w:rsid w:val="00192BD7"/>
    <w:rsid w:val="001941B9"/>
    <w:rsid w:val="0019633C"/>
    <w:rsid w:val="00197446"/>
    <w:rsid w:val="00197547"/>
    <w:rsid w:val="001A0CE8"/>
    <w:rsid w:val="001A280B"/>
    <w:rsid w:val="001A35F7"/>
    <w:rsid w:val="001A368C"/>
    <w:rsid w:val="001A36D6"/>
    <w:rsid w:val="001A3C53"/>
    <w:rsid w:val="001A3EB5"/>
    <w:rsid w:val="001A3EDE"/>
    <w:rsid w:val="001A474A"/>
    <w:rsid w:val="001A7BC4"/>
    <w:rsid w:val="001B0E58"/>
    <w:rsid w:val="001B14E4"/>
    <w:rsid w:val="001B14E9"/>
    <w:rsid w:val="001B1681"/>
    <w:rsid w:val="001B232E"/>
    <w:rsid w:val="001B236F"/>
    <w:rsid w:val="001B469F"/>
    <w:rsid w:val="001B5281"/>
    <w:rsid w:val="001B5C25"/>
    <w:rsid w:val="001B5FA3"/>
    <w:rsid w:val="001B6981"/>
    <w:rsid w:val="001B7468"/>
    <w:rsid w:val="001B796D"/>
    <w:rsid w:val="001C0AE4"/>
    <w:rsid w:val="001C185B"/>
    <w:rsid w:val="001C27DE"/>
    <w:rsid w:val="001C436D"/>
    <w:rsid w:val="001C43B5"/>
    <w:rsid w:val="001C4446"/>
    <w:rsid w:val="001C586A"/>
    <w:rsid w:val="001C5A02"/>
    <w:rsid w:val="001C69ED"/>
    <w:rsid w:val="001C6D8F"/>
    <w:rsid w:val="001C7F40"/>
    <w:rsid w:val="001D01DF"/>
    <w:rsid w:val="001D1323"/>
    <w:rsid w:val="001D1830"/>
    <w:rsid w:val="001D1889"/>
    <w:rsid w:val="001D328C"/>
    <w:rsid w:val="001D46CC"/>
    <w:rsid w:val="001D6275"/>
    <w:rsid w:val="001D735E"/>
    <w:rsid w:val="001D75CD"/>
    <w:rsid w:val="001D7777"/>
    <w:rsid w:val="001E14DC"/>
    <w:rsid w:val="001E1567"/>
    <w:rsid w:val="001E1A93"/>
    <w:rsid w:val="001E1C9B"/>
    <w:rsid w:val="001E3E01"/>
    <w:rsid w:val="001E411A"/>
    <w:rsid w:val="001E4586"/>
    <w:rsid w:val="001E5DD4"/>
    <w:rsid w:val="001E6849"/>
    <w:rsid w:val="001E7EA3"/>
    <w:rsid w:val="001F020F"/>
    <w:rsid w:val="001F20EA"/>
    <w:rsid w:val="001F345D"/>
    <w:rsid w:val="001F5290"/>
    <w:rsid w:val="001F5A35"/>
    <w:rsid w:val="001F5F0A"/>
    <w:rsid w:val="001F6064"/>
    <w:rsid w:val="001F6855"/>
    <w:rsid w:val="001F6DA4"/>
    <w:rsid w:val="001F76DB"/>
    <w:rsid w:val="001F7A4C"/>
    <w:rsid w:val="001F7FEA"/>
    <w:rsid w:val="00200E26"/>
    <w:rsid w:val="00200EFD"/>
    <w:rsid w:val="002010BC"/>
    <w:rsid w:val="0020136C"/>
    <w:rsid w:val="002045EA"/>
    <w:rsid w:val="00204C4A"/>
    <w:rsid w:val="002052BE"/>
    <w:rsid w:val="00206690"/>
    <w:rsid w:val="0021037F"/>
    <w:rsid w:val="002103C1"/>
    <w:rsid w:val="00211168"/>
    <w:rsid w:val="002137BE"/>
    <w:rsid w:val="0021392F"/>
    <w:rsid w:val="002140CF"/>
    <w:rsid w:val="002140D8"/>
    <w:rsid w:val="00214A94"/>
    <w:rsid w:val="00215824"/>
    <w:rsid w:val="002166FA"/>
    <w:rsid w:val="00216C56"/>
    <w:rsid w:val="0021707D"/>
    <w:rsid w:val="00220483"/>
    <w:rsid w:val="0022084D"/>
    <w:rsid w:val="00220DF3"/>
    <w:rsid w:val="002220F6"/>
    <w:rsid w:val="00222DF1"/>
    <w:rsid w:val="00222EB0"/>
    <w:rsid w:val="0022355D"/>
    <w:rsid w:val="00224040"/>
    <w:rsid w:val="00224147"/>
    <w:rsid w:val="0022439F"/>
    <w:rsid w:val="00226F12"/>
    <w:rsid w:val="0023028B"/>
    <w:rsid w:val="002316B7"/>
    <w:rsid w:val="00231CF3"/>
    <w:rsid w:val="002333E9"/>
    <w:rsid w:val="002344B5"/>
    <w:rsid w:val="00235010"/>
    <w:rsid w:val="00235C55"/>
    <w:rsid w:val="00236D56"/>
    <w:rsid w:val="00237E75"/>
    <w:rsid w:val="002428FF"/>
    <w:rsid w:val="00242AFD"/>
    <w:rsid w:val="0024316B"/>
    <w:rsid w:val="00244E30"/>
    <w:rsid w:val="00245352"/>
    <w:rsid w:val="00245F32"/>
    <w:rsid w:val="00246451"/>
    <w:rsid w:val="00246AD9"/>
    <w:rsid w:val="00246B7B"/>
    <w:rsid w:val="00247742"/>
    <w:rsid w:val="00250124"/>
    <w:rsid w:val="00251358"/>
    <w:rsid w:val="00251E3E"/>
    <w:rsid w:val="0025354C"/>
    <w:rsid w:val="00255013"/>
    <w:rsid w:val="00256678"/>
    <w:rsid w:val="00257070"/>
    <w:rsid w:val="002608C2"/>
    <w:rsid w:val="0026223F"/>
    <w:rsid w:val="0026233C"/>
    <w:rsid w:val="0026326D"/>
    <w:rsid w:val="0026342D"/>
    <w:rsid w:val="0026417F"/>
    <w:rsid w:val="00264224"/>
    <w:rsid w:val="00265878"/>
    <w:rsid w:val="0026674A"/>
    <w:rsid w:val="002669DB"/>
    <w:rsid w:val="002678DD"/>
    <w:rsid w:val="00267B54"/>
    <w:rsid w:val="00270AF8"/>
    <w:rsid w:val="002717A0"/>
    <w:rsid w:val="00271879"/>
    <w:rsid w:val="002748C9"/>
    <w:rsid w:val="00275090"/>
    <w:rsid w:val="00275096"/>
    <w:rsid w:val="00275C10"/>
    <w:rsid w:val="00275E6F"/>
    <w:rsid w:val="002763C8"/>
    <w:rsid w:val="002802D2"/>
    <w:rsid w:val="00281784"/>
    <w:rsid w:val="00281BDD"/>
    <w:rsid w:val="00282903"/>
    <w:rsid w:val="0028300F"/>
    <w:rsid w:val="00283769"/>
    <w:rsid w:val="00284721"/>
    <w:rsid w:val="0028529E"/>
    <w:rsid w:val="00285734"/>
    <w:rsid w:val="00285CA6"/>
    <w:rsid w:val="0028625F"/>
    <w:rsid w:val="002878DE"/>
    <w:rsid w:val="00290500"/>
    <w:rsid w:val="0029229C"/>
    <w:rsid w:val="00292AD6"/>
    <w:rsid w:val="00294488"/>
    <w:rsid w:val="00294F1E"/>
    <w:rsid w:val="00295286"/>
    <w:rsid w:val="00295FDC"/>
    <w:rsid w:val="0029604E"/>
    <w:rsid w:val="002963BC"/>
    <w:rsid w:val="0029697B"/>
    <w:rsid w:val="002A04DB"/>
    <w:rsid w:val="002A05F8"/>
    <w:rsid w:val="002A0EE7"/>
    <w:rsid w:val="002A1DED"/>
    <w:rsid w:val="002A1ED7"/>
    <w:rsid w:val="002A2609"/>
    <w:rsid w:val="002A3024"/>
    <w:rsid w:val="002A3E4C"/>
    <w:rsid w:val="002A452E"/>
    <w:rsid w:val="002A69F6"/>
    <w:rsid w:val="002A70D7"/>
    <w:rsid w:val="002A7176"/>
    <w:rsid w:val="002A7BC5"/>
    <w:rsid w:val="002B066B"/>
    <w:rsid w:val="002B112B"/>
    <w:rsid w:val="002B190E"/>
    <w:rsid w:val="002B1B58"/>
    <w:rsid w:val="002B2343"/>
    <w:rsid w:val="002B2777"/>
    <w:rsid w:val="002B2B75"/>
    <w:rsid w:val="002B2D8E"/>
    <w:rsid w:val="002B626A"/>
    <w:rsid w:val="002B7A47"/>
    <w:rsid w:val="002C1113"/>
    <w:rsid w:val="002C1C5A"/>
    <w:rsid w:val="002C293B"/>
    <w:rsid w:val="002C49DC"/>
    <w:rsid w:val="002C5979"/>
    <w:rsid w:val="002C5BB8"/>
    <w:rsid w:val="002C5DE5"/>
    <w:rsid w:val="002C667B"/>
    <w:rsid w:val="002C79F6"/>
    <w:rsid w:val="002D00D5"/>
    <w:rsid w:val="002D0859"/>
    <w:rsid w:val="002D1241"/>
    <w:rsid w:val="002D3AF1"/>
    <w:rsid w:val="002D5663"/>
    <w:rsid w:val="002D5B6E"/>
    <w:rsid w:val="002E10A9"/>
    <w:rsid w:val="002E1618"/>
    <w:rsid w:val="002E3E9F"/>
    <w:rsid w:val="002E501C"/>
    <w:rsid w:val="002E5373"/>
    <w:rsid w:val="002E5E4E"/>
    <w:rsid w:val="002E7851"/>
    <w:rsid w:val="002E792F"/>
    <w:rsid w:val="002F07E9"/>
    <w:rsid w:val="002F0EDC"/>
    <w:rsid w:val="002F12D0"/>
    <w:rsid w:val="002F1C37"/>
    <w:rsid w:val="002F7604"/>
    <w:rsid w:val="002F7853"/>
    <w:rsid w:val="002F78BD"/>
    <w:rsid w:val="002F7CF4"/>
    <w:rsid w:val="003001CF"/>
    <w:rsid w:val="003018F7"/>
    <w:rsid w:val="00301C7A"/>
    <w:rsid w:val="00302648"/>
    <w:rsid w:val="00304155"/>
    <w:rsid w:val="00305DFF"/>
    <w:rsid w:val="00306347"/>
    <w:rsid w:val="003102BA"/>
    <w:rsid w:val="00312B2A"/>
    <w:rsid w:val="00313459"/>
    <w:rsid w:val="00313F51"/>
    <w:rsid w:val="00314490"/>
    <w:rsid w:val="00314E9E"/>
    <w:rsid w:val="00315C61"/>
    <w:rsid w:val="00315E67"/>
    <w:rsid w:val="00316D18"/>
    <w:rsid w:val="00317A16"/>
    <w:rsid w:val="003205DC"/>
    <w:rsid w:val="003223A1"/>
    <w:rsid w:val="0032285E"/>
    <w:rsid w:val="00323594"/>
    <w:rsid w:val="003247B9"/>
    <w:rsid w:val="003249A1"/>
    <w:rsid w:val="00325703"/>
    <w:rsid w:val="00327D30"/>
    <w:rsid w:val="00327FAD"/>
    <w:rsid w:val="0033018F"/>
    <w:rsid w:val="00330574"/>
    <w:rsid w:val="003319E3"/>
    <w:rsid w:val="00331F3D"/>
    <w:rsid w:val="00332A67"/>
    <w:rsid w:val="003336BB"/>
    <w:rsid w:val="00333F1D"/>
    <w:rsid w:val="0033548A"/>
    <w:rsid w:val="00336B22"/>
    <w:rsid w:val="00336C2C"/>
    <w:rsid w:val="00336D04"/>
    <w:rsid w:val="00336FE1"/>
    <w:rsid w:val="00340685"/>
    <w:rsid w:val="003422A9"/>
    <w:rsid w:val="00342B1E"/>
    <w:rsid w:val="00344BEE"/>
    <w:rsid w:val="00346317"/>
    <w:rsid w:val="00347AE1"/>
    <w:rsid w:val="0035069F"/>
    <w:rsid w:val="00350DEA"/>
    <w:rsid w:val="00350FB4"/>
    <w:rsid w:val="0035117C"/>
    <w:rsid w:val="0035217F"/>
    <w:rsid w:val="00352D34"/>
    <w:rsid w:val="003530C5"/>
    <w:rsid w:val="00355240"/>
    <w:rsid w:val="003570D8"/>
    <w:rsid w:val="00357D61"/>
    <w:rsid w:val="0036009E"/>
    <w:rsid w:val="00360684"/>
    <w:rsid w:val="003608EF"/>
    <w:rsid w:val="00360E8E"/>
    <w:rsid w:val="003611A8"/>
    <w:rsid w:val="0036123E"/>
    <w:rsid w:val="00362A64"/>
    <w:rsid w:val="00363066"/>
    <w:rsid w:val="00365D0C"/>
    <w:rsid w:val="00371B13"/>
    <w:rsid w:val="00372810"/>
    <w:rsid w:val="00373650"/>
    <w:rsid w:val="00375F1B"/>
    <w:rsid w:val="00376BFF"/>
    <w:rsid w:val="003770C7"/>
    <w:rsid w:val="0037719B"/>
    <w:rsid w:val="00380BB0"/>
    <w:rsid w:val="00380D5A"/>
    <w:rsid w:val="00380EB5"/>
    <w:rsid w:val="00381536"/>
    <w:rsid w:val="0038208F"/>
    <w:rsid w:val="003822E4"/>
    <w:rsid w:val="00383F62"/>
    <w:rsid w:val="00384420"/>
    <w:rsid w:val="0038564B"/>
    <w:rsid w:val="003856CC"/>
    <w:rsid w:val="0038714C"/>
    <w:rsid w:val="003903E3"/>
    <w:rsid w:val="003913F0"/>
    <w:rsid w:val="00392691"/>
    <w:rsid w:val="00392EE6"/>
    <w:rsid w:val="00392F1C"/>
    <w:rsid w:val="003958FD"/>
    <w:rsid w:val="00395F25"/>
    <w:rsid w:val="003962FE"/>
    <w:rsid w:val="00396DFE"/>
    <w:rsid w:val="003975A3"/>
    <w:rsid w:val="00397B3D"/>
    <w:rsid w:val="003A08D9"/>
    <w:rsid w:val="003A09FD"/>
    <w:rsid w:val="003A29DE"/>
    <w:rsid w:val="003A3477"/>
    <w:rsid w:val="003A37E2"/>
    <w:rsid w:val="003A3CA9"/>
    <w:rsid w:val="003A4168"/>
    <w:rsid w:val="003A5412"/>
    <w:rsid w:val="003A54DB"/>
    <w:rsid w:val="003A6062"/>
    <w:rsid w:val="003A7B14"/>
    <w:rsid w:val="003B0E52"/>
    <w:rsid w:val="003B2CD2"/>
    <w:rsid w:val="003B3200"/>
    <w:rsid w:val="003B32E3"/>
    <w:rsid w:val="003B3D8A"/>
    <w:rsid w:val="003B42C6"/>
    <w:rsid w:val="003B4465"/>
    <w:rsid w:val="003B4FE4"/>
    <w:rsid w:val="003B5E17"/>
    <w:rsid w:val="003B6FF1"/>
    <w:rsid w:val="003C0386"/>
    <w:rsid w:val="003C0792"/>
    <w:rsid w:val="003C0A11"/>
    <w:rsid w:val="003C0DA0"/>
    <w:rsid w:val="003C3AB5"/>
    <w:rsid w:val="003C5813"/>
    <w:rsid w:val="003C5DAC"/>
    <w:rsid w:val="003C6BE4"/>
    <w:rsid w:val="003C6C6C"/>
    <w:rsid w:val="003C730F"/>
    <w:rsid w:val="003D010F"/>
    <w:rsid w:val="003D3543"/>
    <w:rsid w:val="003D3ABF"/>
    <w:rsid w:val="003D50BB"/>
    <w:rsid w:val="003D5597"/>
    <w:rsid w:val="003D5CA0"/>
    <w:rsid w:val="003D61DD"/>
    <w:rsid w:val="003D76E5"/>
    <w:rsid w:val="003D7775"/>
    <w:rsid w:val="003E01E9"/>
    <w:rsid w:val="003E0FD8"/>
    <w:rsid w:val="003E2CA2"/>
    <w:rsid w:val="003E4469"/>
    <w:rsid w:val="003E473A"/>
    <w:rsid w:val="003E6A20"/>
    <w:rsid w:val="003E6E7F"/>
    <w:rsid w:val="003F012E"/>
    <w:rsid w:val="003F0225"/>
    <w:rsid w:val="003F0A05"/>
    <w:rsid w:val="003F4E5F"/>
    <w:rsid w:val="003F56C7"/>
    <w:rsid w:val="003F5E8A"/>
    <w:rsid w:val="003F62A9"/>
    <w:rsid w:val="004002C1"/>
    <w:rsid w:val="00401638"/>
    <w:rsid w:val="004017D4"/>
    <w:rsid w:val="00401894"/>
    <w:rsid w:val="00401FD1"/>
    <w:rsid w:val="004028BD"/>
    <w:rsid w:val="004039B3"/>
    <w:rsid w:val="0040673F"/>
    <w:rsid w:val="00406782"/>
    <w:rsid w:val="00407B6E"/>
    <w:rsid w:val="00407DF5"/>
    <w:rsid w:val="00410789"/>
    <w:rsid w:val="00411D13"/>
    <w:rsid w:val="00412BB8"/>
    <w:rsid w:val="004148F8"/>
    <w:rsid w:val="0041595F"/>
    <w:rsid w:val="00415A2B"/>
    <w:rsid w:val="00415B16"/>
    <w:rsid w:val="00416564"/>
    <w:rsid w:val="00416796"/>
    <w:rsid w:val="00416C1B"/>
    <w:rsid w:val="00416E30"/>
    <w:rsid w:val="004207EF"/>
    <w:rsid w:val="00420BAE"/>
    <w:rsid w:val="00421077"/>
    <w:rsid w:val="00421C8F"/>
    <w:rsid w:val="00422B22"/>
    <w:rsid w:val="00422ED4"/>
    <w:rsid w:val="0042331F"/>
    <w:rsid w:val="004243D7"/>
    <w:rsid w:val="0042580B"/>
    <w:rsid w:val="00426909"/>
    <w:rsid w:val="004271EF"/>
    <w:rsid w:val="00430172"/>
    <w:rsid w:val="00430559"/>
    <w:rsid w:val="00431CD1"/>
    <w:rsid w:val="00432138"/>
    <w:rsid w:val="00432546"/>
    <w:rsid w:val="00432DDA"/>
    <w:rsid w:val="00433CAD"/>
    <w:rsid w:val="00433E32"/>
    <w:rsid w:val="00436211"/>
    <w:rsid w:val="0044037B"/>
    <w:rsid w:val="0044207B"/>
    <w:rsid w:val="00442163"/>
    <w:rsid w:val="004422E1"/>
    <w:rsid w:val="00442370"/>
    <w:rsid w:val="00442BEA"/>
    <w:rsid w:val="00443407"/>
    <w:rsid w:val="00445500"/>
    <w:rsid w:val="00446F3A"/>
    <w:rsid w:val="00451491"/>
    <w:rsid w:val="004526F0"/>
    <w:rsid w:val="00452A7D"/>
    <w:rsid w:val="00452C5B"/>
    <w:rsid w:val="004563B2"/>
    <w:rsid w:val="00456E73"/>
    <w:rsid w:val="00456F24"/>
    <w:rsid w:val="00456FE6"/>
    <w:rsid w:val="00460786"/>
    <w:rsid w:val="0046298D"/>
    <w:rsid w:val="004633D8"/>
    <w:rsid w:val="004648E5"/>
    <w:rsid w:val="00466CDC"/>
    <w:rsid w:val="004670BA"/>
    <w:rsid w:val="0047035B"/>
    <w:rsid w:val="004707C9"/>
    <w:rsid w:val="00472AA6"/>
    <w:rsid w:val="004730AE"/>
    <w:rsid w:val="00473394"/>
    <w:rsid w:val="004735E9"/>
    <w:rsid w:val="00473DA3"/>
    <w:rsid w:val="004756FE"/>
    <w:rsid w:val="004757F9"/>
    <w:rsid w:val="00475856"/>
    <w:rsid w:val="00475EE7"/>
    <w:rsid w:val="0047618E"/>
    <w:rsid w:val="00476FEC"/>
    <w:rsid w:val="00480ADB"/>
    <w:rsid w:val="004813F7"/>
    <w:rsid w:val="00481CC5"/>
    <w:rsid w:val="00481F7E"/>
    <w:rsid w:val="00482441"/>
    <w:rsid w:val="00482D13"/>
    <w:rsid w:val="00483200"/>
    <w:rsid w:val="00484A69"/>
    <w:rsid w:val="0048562D"/>
    <w:rsid w:val="00486664"/>
    <w:rsid w:val="00486B4A"/>
    <w:rsid w:val="00490890"/>
    <w:rsid w:val="004918FD"/>
    <w:rsid w:val="00493354"/>
    <w:rsid w:val="00495766"/>
    <w:rsid w:val="00497655"/>
    <w:rsid w:val="004A105D"/>
    <w:rsid w:val="004A1974"/>
    <w:rsid w:val="004A1B93"/>
    <w:rsid w:val="004A22B3"/>
    <w:rsid w:val="004A276A"/>
    <w:rsid w:val="004A27F8"/>
    <w:rsid w:val="004A4E91"/>
    <w:rsid w:val="004A5289"/>
    <w:rsid w:val="004A55B2"/>
    <w:rsid w:val="004A55BD"/>
    <w:rsid w:val="004A5A3E"/>
    <w:rsid w:val="004B00B2"/>
    <w:rsid w:val="004B034D"/>
    <w:rsid w:val="004B05C2"/>
    <w:rsid w:val="004B1AA9"/>
    <w:rsid w:val="004B1AE8"/>
    <w:rsid w:val="004B22A6"/>
    <w:rsid w:val="004B2A16"/>
    <w:rsid w:val="004B353B"/>
    <w:rsid w:val="004B77ED"/>
    <w:rsid w:val="004B7DA4"/>
    <w:rsid w:val="004C00D5"/>
    <w:rsid w:val="004C191B"/>
    <w:rsid w:val="004C1BB7"/>
    <w:rsid w:val="004C233A"/>
    <w:rsid w:val="004C2358"/>
    <w:rsid w:val="004C602E"/>
    <w:rsid w:val="004C6C3F"/>
    <w:rsid w:val="004C6CB6"/>
    <w:rsid w:val="004D0001"/>
    <w:rsid w:val="004D05A4"/>
    <w:rsid w:val="004D2B5A"/>
    <w:rsid w:val="004D2FAE"/>
    <w:rsid w:val="004D37D9"/>
    <w:rsid w:val="004D53E2"/>
    <w:rsid w:val="004D5F25"/>
    <w:rsid w:val="004E045E"/>
    <w:rsid w:val="004E2003"/>
    <w:rsid w:val="004E34B5"/>
    <w:rsid w:val="004E4451"/>
    <w:rsid w:val="004E4AB6"/>
    <w:rsid w:val="004E5B19"/>
    <w:rsid w:val="004E6476"/>
    <w:rsid w:val="004F2E8F"/>
    <w:rsid w:val="004F2EF7"/>
    <w:rsid w:val="004F4E03"/>
    <w:rsid w:val="004F4E3A"/>
    <w:rsid w:val="004F4E6A"/>
    <w:rsid w:val="004F603A"/>
    <w:rsid w:val="004F632C"/>
    <w:rsid w:val="004F6D45"/>
    <w:rsid w:val="004F73A0"/>
    <w:rsid w:val="00501FED"/>
    <w:rsid w:val="00502D65"/>
    <w:rsid w:val="00503F9B"/>
    <w:rsid w:val="0050495F"/>
    <w:rsid w:val="00504D06"/>
    <w:rsid w:val="00505CF1"/>
    <w:rsid w:val="00506344"/>
    <w:rsid w:val="0050636A"/>
    <w:rsid w:val="005063E2"/>
    <w:rsid w:val="00506E35"/>
    <w:rsid w:val="005075C4"/>
    <w:rsid w:val="005077ED"/>
    <w:rsid w:val="00507C32"/>
    <w:rsid w:val="00511CF8"/>
    <w:rsid w:val="005122AF"/>
    <w:rsid w:val="00515998"/>
    <w:rsid w:val="00516FBD"/>
    <w:rsid w:val="00517738"/>
    <w:rsid w:val="00517C76"/>
    <w:rsid w:val="005210D9"/>
    <w:rsid w:val="005214E2"/>
    <w:rsid w:val="00521D36"/>
    <w:rsid w:val="00521E9A"/>
    <w:rsid w:val="00522801"/>
    <w:rsid w:val="00522CD3"/>
    <w:rsid w:val="00523D39"/>
    <w:rsid w:val="00525073"/>
    <w:rsid w:val="0052522F"/>
    <w:rsid w:val="005262DB"/>
    <w:rsid w:val="00526832"/>
    <w:rsid w:val="00527BE2"/>
    <w:rsid w:val="00527C67"/>
    <w:rsid w:val="0053488A"/>
    <w:rsid w:val="00534AB0"/>
    <w:rsid w:val="005355AE"/>
    <w:rsid w:val="00541744"/>
    <w:rsid w:val="005436BF"/>
    <w:rsid w:val="00544048"/>
    <w:rsid w:val="0054409A"/>
    <w:rsid w:val="005467E6"/>
    <w:rsid w:val="00547913"/>
    <w:rsid w:val="00547A3F"/>
    <w:rsid w:val="00552ABE"/>
    <w:rsid w:val="00553517"/>
    <w:rsid w:val="005537DE"/>
    <w:rsid w:val="005550A0"/>
    <w:rsid w:val="0055528E"/>
    <w:rsid w:val="00555808"/>
    <w:rsid w:val="00555C9A"/>
    <w:rsid w:val="005624BB"/>
    <w:rsid w:val="0056303B"/>
    <w:rsid w:val="005633B2"/>
    <w:rsid w:val="00563950"/>
    <w:rsid w:val="005645AA"/>
    <w:rsid w:val="00564C07"/>
    <w:rsid w:val="00564F93"/>
    <w:rsid w:val="00566C60"/>
    <w:rsid w:val="00567AB2"/>
    <w:rsid w:val="00567E6D"/>
    <w:rsid w:val="00571651"/>
    <w:rsid w:val="00571F43"/>
    <w:rsid w:val="00572219"/>
    <w:rsid w:val="0057299E"/>
    <w:rsid w:val="005730E7"/>
    <w:rsid w:val="005735B2"/>
    <w:rsid w:val="00575FE2"/>
    <w:rsid w:val="005768CC"/>
    <w:rsid w:val="00576B02"/>
    <w:rsid w:val="00576BF2"/>
    <w:rsid w:val="005771A6"/>
    <w:rsid w:val="0058062E"/>
    <w:rsid w:val="005813FC"/>
    <w:rsid w:val="00582E9D"/>
    <w:rsid w:val="00584AFF"/>
    <w:rsid w:val="00586EDE"/>
    <w:rsid w:val="00586EE6"/>
    <w:rsid w:val="00587536"/>
    <w:rsid w:val="00587BF5"/>
    <w:rsid w:val="00590FF3"/>
    <w:rsid w:val="00591049"/>
    <w:rsid w:val="0059296C"/>
    <w:rsid w:val="005935FE"/>
    <w:rsid w:val="00593B26"/>
    <w:rsid w:val="00594305"/>
    <w:rsid w:val="00594FC3"/>
    <w:rsid w:val="00595909"/>
    <w:rsid w:val="00595EB6"/>
    <w:rsid w:val="005A1AB2"/>
    <w:rsid w:val="005A2C23"/>
    <w:rsid w:val="005A3015"/>
    <w:rsid w:val="005A3398"/>
    <w:rsid w:val="005A36D7"/>
    <w:rsid w:val="005A64F6"/>
    <w:rsid w:val="005A6D90"/>
    <w:rsid w:val="005A75D0"/>
    <w:rsid w:val="005B030E"/>
    <w:rsid w:val="005B0E4B"/>
    <w:rsid w:val="005B1A34"/>
    <w:rsid w:val="005B2CD4"/>
    <w:rsid w:val="005B3681"/>
    <w:rsid w:val="005B36B9"/>
    <w:rsid w:val="005B70DF"/>
    <w:rsid w:val="005C07D1"/>
    <w:rsid w:val="005C0878"/>
    <w:rsid w:val="005C176B"/>
    <w:rsid w:val="005C2C83"/>
    <w:rsid w:val="005C31F3"/>
    <w:rsid w:val="005C34E8"/>
    <w:rsid w:val="005C361D"/>
    <w:rsid w:val="005C3DA5"/>
    <w:rsid w:val="005C4E6A"/>
    <w:rsid w:val="005C5515"/>
    <w:rsid w:val="005C771F"/>
    <w:rsid w:val="005C77EE"/>
    <w:rsid w:val="005D06DD"/>
    <w:rsid w:val="005D13FE"/>
    <w:rsid w:val="005D1A87"/>
    <w:rsid w:val="005D2F60"/>
    <w:rsid w:val="005D4893"/>
    <w:rsid w:val="005D5541"/>
    <w:rsid w:val="005D67D7"/>
    <w:rsid w:val="005D765C"/>
    <w:rsid w:val="005D78D1"/>
    <w:rsid w:val="005E0074"/>
    <w:rsid w:val="005E0AEA"/>
    <w:rsid w:val="005E2129"/>
    <w:rsid w:val="005E34D3"/>
    <w:rsid w:val="005E393B"/>
    <w:rsid w:val="005E3A23"/>
    <w:rsid w:val="005E4D94"/>
    <w:rsid w:val="005E7F2C"/>
    <w:rsid w:val="005F01D9"/>
    <w:rsid w:val="005F2796"/>
    <w:rsid w:val="005F2888"/>
    <w:rsid w:val="005F4EF1"/>
    <w:rsid w:val="005F6171"/>
    <w:rsid w:val="005F7336"/>
    <w:rsid w:val="005F7C32"/>
    <w:rsid w:val="00601AEE"/>
    <w:rsid w:val="0060237B"/>
    <w:rsid w:val="00606B42"/>
    <w:rsid w:val="00607B3F"/>
    <w:rsid w:val="00610419"/>
    <w:rsid w:val="00611EEE"/>
    <w:rsid w:val="00612373"/>
    <w:rsid w:val="00614F53"/>
    <w:rsid w:val="00615CA2"/>
    <w:rsid w:val="00615DFE"/>
    <w:rsid w:val="006162DD"/>
    <w:rsid w:val="00616B00"/>
    <w:rsid w:val="00617191"/>
    <w:rsid w:val="00617CF7"/>
    <w:rsid w:val="00620615"/>
    <w:rsid w:val="00621730"/>
    <w:rsid w:val="0062280C"/>
    <w:rsid w:val="006230A9"/>
    <w:rsid w:val="006231AB"/>
    <w:rsid w:val="0062542F"/>
    <w:rsid w:val="0062554A"/>
    <w:rsid w:val="00625F5A"/>
    <w:rsid w:val="006265EB"/>
    <w:rsid w:val="0062703C"/>
    <w:rsid w:val="006275AA"/>
    <w:rsid w:val="00631FFA"/>
    <w:rsid w:val="006329C7"/>
    <w:rsid w:val="006347A7"/>
    <w:rsid w:val="006400EF"/>
    <w:rsid w:val="00640E01"/>
    <w:rsid w:val="00640FC0"/>
    <w:rsid w:val="00641C93"/>
    <w:rsid w:val="00642FD9"/>
    <w:rsid w:val="00643053"/>
    <w:rsid w:val="00645371"/>
    <w:rsid w:val="0064596F"/>
    <w:rsid w:val="006461FA"/>
    <w:rsid w:val="00646FA8"/>
    <w:rsid w:val="00647779"/>
    <w:rsid w:val="006507D1"/>
    <w:rsid w:val="00651519"/>
    <w:rsid w:val="00652324"/>
    <w:rsid w:val="006526DA"/>
    <w:rsid w:val="00655319"/>
    <w:rsid w:val="00655BFB"/>
    <w:rsid w:val="006568D4"/>
    <w:rsid w:val="0066022F"/>
    <w:rsid w:val="00660332"/>
    <w:rsid w:val="0066095C"/>
    <w:rsid w:val="00662C3F"/>
    <w:rsid w:val="00663278"/>
    <w:rsid w:val="006637B3"/>
    <w:rsid w:val="00665338"/>
    <w:rsid w:val="006654A0"/>
    <w:rsid w:val="00665E68"/>
    <w:rsid w:val="00667436"/>
    <w:rsid w:val="0066777D"/>
    <w:rsid w:val="006718B7"/>
    <w:rsid w:val="00672A04"/>
    <w:rsid w:val="006734B4"/>
    <w:rsid w:val="00674AF6"/>
    <w:rsid w:val="00674C3A"/>
    <w:rsid w:val="00674F34"/>
    <w:rsid w:val="00675FD0"/>
    <w:rsid w:val="00677696"/>
    <w:rsid w:val="006777F7"/>
    <w:rsid w:val="00680191"/>
    <w:rsid w:val="006812CB"/>
    <w:rsid w:val="00681B46"/>
    <w:rsid w:val="0068243F"/>
    <w:rsid w:val="00683589"/>
    <w:rsid w:val="00685920"/>
    <w:rsid w:val="00685C1D"/>
    <w:rsid w:val="006869E0"/>
    <w:rsid w:val="006875F1"/>
    <w:rsid w:val="00687CBB"/>
    <w:rsid w:val="00690403"/>
    <w:rsid w:val="00690E03"/>
    <w:rsid w:val="006912AB"/>
    <w:rsid w:val="006932C5"/>
    <w:rsid w:val="006941C6"/>
    <w:rsid w:val="00694504"/>
    <w:rsid w:val="00694F4B"/>
    <w:rsid w:val="006A0687"/>
    <w:rsid w:val="006A2A41"/>
    <w:rsid w:val="006A37F9"/>
    <w:rsid w:val="006A471F"/>
    <w:rsid w:val="006A5983"/>
    <w:rsid w:val="006A600C"/>
    <w:rsid w:val="006A6056"/>
    <w:rsid w:val="006A72DD"/>
    <w:rsid w:val="006A7719"/>
    <w:rsid w:val="006B0914"/>
    <w:rsid w:val="006B0CB0"/>
    <w:rsid w:val="006B2BBC"/>
    <w:rsid w:val="006B2FCF"/>
    <w:rsid w:val="006B3EF2"/>
    <w:rsid w:val="006B3FA2"/>
    <w:rsid w:val="006B402B"/>
    <w:rsid w:val="006B42D1"/>
    <w:rsid w:val="006B52BB"/>
    <w:rsid w:val="006B5530"/>
    <w:rsid w:val="006B678E"/>
    <w:rsid w:val="006C0B32"/>
    <w:rsid w:val="006C10DA"/>
    <w:rsid w:val="006C36C2"/>
    <w:rsid w:val="006C6213"/>
    <w:rsid w:val="006C632E"/>
    <w:rsid w:val="006C6BFC"/>
    <w:rsid w:val="006C6C44"/>
    <w:rsid w:val="006C7961"/>
    <w:rsid w:val="006D1279"/>
    <w:rsid w:val="006D1439"/>
    <w:rsid w:val="006D1C36"/>
    <w:rsid w:val="006D210F"/>
    <w:rsid w:val="006D2A94"/>
    <w:rsid w:val="006D2DAF"/>
    <w:rsid w:val="006D3E0D"/>
    <w:rsid w:val="006D3FE7"/>
    <w:rsid w:val="006D4CBB"/>
    <w:rsid w:val="006D6265"/>
    <w:rsid w:val="006D7E39"/>
    <w:rsid w:val="006E1A83"/>
    <w:rsid w:val="006E28A8"/>
    <w:rsid w:val="006E35BD"/>
    <w:rsid w:val="006E3745"/>
    <w:rsid w:val="006E62B7"/>
    <w:rsid w:val="006E644B"/>
    <w:rsid w:val="006E65FF"/>
    <w:rsid w:val="006E75A6"/>
    <w:rsid w:val="006E794F"/>
    <w:rsid w:val="006F03B8"/>
    <w:rsid w:val="006F0ECC"/>
    <w:rsid w:val="006F1165"/>
    <w:rsid w:val="006F2093"/>
    <w:rsid w:val="006F292D"/>
    <w:rsid w:val="006F3067"/>
    <w:rsid w:val="006F3808"/>
    <w:rsid w:val="006F42C2"/>
    <w:rsid w:val="006F5B19"/>
    <w:rsid w:val="00700DB7"/>
    <w:rsid w:val="007012FF"/>
    <w:rsid w:val="00701690"/>
    <w:rsid w:val="0070181D"/>
    <w:rsid w:val="007020FE"/>
    <w:rsid w:val="0070368B"/>
    <w:rsid w:val="00704F7F"/>
    <w:rsid w:val="00705919"/>
    <w:rsid w:val="007069BB"/>
    <w:rsid w:val="007078D9"/>
    <w:rsid w:val="0071082D"/>
    <w:rsid w:val="00711FF0"/>
    <w:rsid w:val="00712141"/>
    <w:rsid w:val="007123DE"/>
    <w:rsid w:val="007144F4"/>
    <w:rsid w:val="0071469C"/>
    <w:rsid w:val="0071516F"/>
    <w:rsid w:val="00715F78"/>
    <w:rsid w:val="007164B9"/>
    <w:rsid w:val="007164FB"/>
    <w:rsid w:val="00721D23"/>
    <w:rsid w:val="00721FD5"/>
    <w:rsid w:val="0072376D"/>
    <w:rsid w:val="0072529B"/>
    <w:rsid w:val="00725BA8"/>
    <w:rsid w:val="00725E29"/>
    <w:rsid w:val="007260CA"/>
    <w:rsid w:val="007303B8"/>
    <w:rsid w:val="00733008"/>
    <w:rsid w:val="00733062"/>
    <w:rsid w:val="007332DE"/>
    <w:rsid w:val="007351B7"/>
    <w:rsid w:val="00737AE4"/>
    <w:rsid w:val="00740AAD"/>
    <w:rsid w:val="00742385"/>
    <w:rsid w:val="00743812"/>
    <w:rsid w:val="00745778"/>
    <w:rsid w:val="00745ADA"/>
    <w:rsid w:val="00746629"/>
    <w:rsid w:val="00747577"/>
    <w:rsid w:val="00750215"/>
    <w:rsid w:val="007517B2"/>
    <w:rsid w:val="0075193E"/>
    <w:rsid w:val="00752483"/>
    <w:rsid w:val="007527F6"/>
    <w:rsid w:val="007534DB"/>
    <w:rsid w:val="00753CF7"/>
    <w:rsid w:val="00754ECE"/>
    <w:rsid w:val="00756B97"/>
    <w:rsid w:val="00757405"/>
    <w:rsid w:val="00760E60"/>
    <w:rsid w:val="0076159F"/>
    <w:rsid w:val="007648DD"/>
    <w:rsid w:val="00764F3C"/>
    <w:rsid w:val="00766BBE"/>
    <w:rsid w:val="00770632"/>
    <w:rsid w:val="00770B22"/>
    <w:rsid w:val="0077352A"/>
    <w:rsid w:val="00773980"/>
    <w:rsid w:val="007741CD"/>
    <w:rsid w:val="00774A71"/>
    <w:rsid w:val="00774C0C"/>
    <w:rsid w:val="00774FF8"/>
    <w:rsid w:val="00775CD5"/>
    <w:rsid w:val="00775F80"/>
    <w:rsid w:val="00775F81"/>
    <w:rsid w:val="007763CC"/>
    <w:rsid w:val="0077676D"/>
    <w:rsid w:val="00782A04"/>
    <w:rsid w:val="00783418"/>
    <w:rsid w:val="007835AD"/>
    <w:rsid w:val="00783AEC"/>
    <w:rsid w:val="0078439C"/>
    <w:rsid w:val="00784CDF"/>
    <w:rsid w:val="00785452"/>
    <w:rsid w:val="00787B1F"/>
    <w:rsid w:val="007916DF"/>
    <w:rsid w:val="0079195B"/>
    <w:rsid w:val="007919A3"/>
    <w:rsid w:val="00791C06"/>
    <w:rsid w:val="00794A7B"/>
    <w:rsid w:val="00794AC6"/>
    <w:rsid w:val="00794DEE"/>
    <w:rsid w:val="0079556B"/>
    <w:rsid w:val="007959AF"/>
    <w:rsid w:val="00796335"/>
    <w:rsid w:val="007A00C5"/>
    <w:rsid w:val="007A0E2B"/>
    <w:rsid w:val="007A105A"/>
    <w:rsid w:val="007A1B95"/>
    <w:rsid w:val="007A243D"/>
    <w:rsid w:val="007A3691"/>
    <w:rsid w:val="007A46C8"/>
    <w:rsid w:val="007A493E"/>
    <w:rsid w:val="007A4D7E"/>
    <w:rsid w:val="007A61AE"/>
    <w:rsid w:val="007A6CE0"/>
    <w:rsid w:val="007A73F1"/>
    <w:rsid w:val="007A7771"/>
    <w:rsid w:val="007A7B33"/>
    <w:rsid w:val="007A7E11"/>
    <w:rsid w:val="007B0A9C"/>
    <w:rsid w:val="007B174C"/>
    <w:rsid w:val="007B1D6D"/>
    <w:rsid w:val="007B1F4F"/>
    <w:rsid w:val="007B244B"/>
    <w:rsid w:val="007B3344"/>
    <w:rsid w:val="007B3D6D"/>
    <w:rsid w:val="007B407E"/>
    <w:rsid w:val="007B4F58"/>
    <w:rsid w:val="007B5A42"/>
    <w:rsid w:val="007C1885"/>
    <w:rsid w:val="007C1BA0"/>
    <w:rsid w:val="007C1C0A"/>
    <w:rsid w:val="007C2151"/>
    <w:rsid w:val="007C2689"/>
    <w:rsid w:val="007C3278"/>
    <w:rsid w:val="007C3A3B"/>
    <w:rsid w:val="007C41E1"/>
    <w:rsid w:val="007C4A27"/>
    <w:rsid w:val="007C4EAB"/>
    <w:rsid w:val="007C63C4"/>
    <w:rsid w:val="007C67A8"/>
    <w:rsid w:val="007C6A57"/>
    <w:rsid w:val="007D4241"/>
    <w:rsid w:val="007D493E"/>
    <w:rsid w:val="007D49BB"/>
    <w:rsid w:val="007D50E5"/>
    <w:rsid w:val="007D5753"/>
    <w:rsid w:val="007D5AE9"/>
    <w:rsid w:val="007E01E1"/>
    <w:rsid w:val="007E04A2"/>
    <w:rsid w:val="007E0DD6"/>
    <w:rsid w:val="007E25A3"/>
    <w:rsid w:val="007E2840"/>
    <w:rsid w:val="007E4AD3"/>
    <w:rsid w:val="007E7945"/>
    <w:rsid w:val="007F0A1F"/>
    <w:rsid w:val="007F2486"/>
    <w:rsid w:val="007F2953"/>
    <w:rsid w:val="007F5060"/>
    <w:rsid w:val="007F7679"/>
    <w:rsid w:val="007F796B"/>
    <w:rsid w:val="007F7C7D"/>
    <w:rsid w:val="0080451D"/>
    <w:rsid w:val="0080486D"/>
    <w:rsid w:val="00805493"/>
    <w:rsid w:val="008073F7"/>
    <w:rsid w:val="00811880"/>
    <w:rsid w:val="00812815"/>
    <w:rsid w:val="008149ED"/>
    <w:rsid w:val="008155BB"/>
    <w:rsid w:val="00816AD7"/>
    <w:rsid w:val="008203D2"/>
    <w:rsid w:val="00820AB7"/>
    <w:rsid w:val="0082111A"/>
    <w:rsid w:val="00821D6E"/>
    <w:rsid w:val="00823BB0"/>
    <w:rsid w:val="008263A4"/>
    <w:rsid w:val="00826514"/>
    <w:rsid w:val="00826C16"/>
    <w:rsid w:val="0083061C"/>
    <w:rsid w:val="00830995"/>
    <w:rsid w:val="008310EE"/>
    <w:rsid w:val="008322B8"/>
    <w:rsid w:val="00832878"/>
    <w:rsid w:val="00832B54"/>
    <w:rsid w:val="00832D84"/>
    <w:rsid w:val="00832ECA"/>
    <w:rsid w:val="008339C6"/>
    <w:rsid w:val="00835A93"/>
    <w:rsid w:val="008361FB"/>
    <w:rsid w:val="00836356"/>
    <w:rsid w:val="00836DD7"/>
    <w:rsid w:val="00836F4C"/>
    <w:rsid w:val="008374B1"/>
    <w:rsid w:val="00837A0C"/>
    <w:rsid w:val="008408B2"/>
    <w:rsid w:val="00840B80"/>
    <w:rsid w:val="00841C7D"/>
    <w:rsid w:val="00842651"/>
    <w:rsid w:val="00843D0D"/>
    <w:rsid w:val="00845950"/>
    <w:rsid w:val="00846D01"/>
    <w:rsid w:val="0084737F"/>
    <w:rsid w:val="0084763E"/>
    <w:rsid w:val="008517AE"/>
    <w:rsid w:val="00851896"/>
    <w:rsid w:val="0085205A"/>
    <w:rsid w:val="00852839"/>
    <w:rsid w:val="008528DD"/>
    <w:rsid w:val="00854165"/>
    <w:rsid w:val="00854435"/>
    <w:rsid w:val="00855BAC"/>
    <w:rsid w:val="008565DA"/>
    <w:rsid w:val="008566CA"/>
    <w:rsid w:val="00856BE7"/>
    <w:rsid w:val="0085716B"/>
    <w:rsid w:val="00857235"/>
    <w:rsid w:val="00857730"/>
    <w:rsid w:val="00857C9F"/>
    <w:rsid w:val="00860505"/>
    <w:rsid w:val="00860B75"/>
    <w:rsid w:val="00860F49"/>
    <w:rsid w:val="008620B8"/>
    <w:rsid w:val="00862B68"/>
    <w:rsid w:val="0086411B"/>
    <w:rsid w:val="0086665C"/>
    <w:rsid w:val="0086703C"/>
    <w:rsid w:val="008710F2"/>
    <w:rsid w:val="008711F9"/>
    <w:rsid w:val="008728CC"/>
    <w:rsid w:val="00872ACE"/>
    <w:rsid w:val="00875631"/>
    <w:rsid w:val="00875F96"/>
    <w:rsid w:val="008767A9"/>
    <w:rsid w:val="00876998"/>
    <w:rsid w:val="00876A75"/>
    <w:rsid w:val="0087741D"/>
    <w:rsid w:val="00882B46"/>
    <w:rsid w:val="00883521"/>
    <w:rsid w:val="00883F82"/>
    <w:rsid w:val="0088543E"/>
    <w:rsid w:val="00885D0A"/>
    <w:rsid w:val="00885E23"/>
    <w:rsid w:val="008903FE"/>
    <w:rsid w:val="00891775"/>
    <w:rsid w:val="00891951"/>
    <w:rsid w:val="0089281F"/>
    <w:rsid w:val="0089368F"/>
    <w:rsid w:val="00894DA4"/>
    <w:rsid w:val="00895441"/>
    <w:rsid w:val="00897AE2"/>
    <w:rsid w:val="008A028D"/>
    <w:rsid w:val="008A02DE"/>
    <w:rsid w:val="008A1198"/>
    <w:rsid w:val="008A16C7"/>
    <w:rsid w:val="008A1D4E"/>
    <w:rsid w:val="008A1FC1"/>
    <w:rsid w:val="008A2069"/>
    <w:rsid w:val="008A31AB"/>
    <w:rsid w:val="008A3431"/>
    <w:rsid w:val="008A37BF"/>
    <w:rsid w:val="008A3C47"/>
    <w:rsid w:val="008A4020"/>
    <w:rsid w:val="008A64E8"/>
    <w:rsid w:val="008B0579"/>
    <w:rsid w:val="008B0970"/>
    <w:rsid w:val="008B11F2"/>
    <w:rsid w:val="008B1C34"/>
    <w:rsid w:val="008B5BED"/>
    <w:rsid w:val="008B5FEC"/>
    <w:rsid w:val="008B6A3B"/>
    <w:rsid w:val="008B7C55"/>
    <w:rsid w:val="008C0AEF"/>
    <w:rsid w:val="008C0F4D"/>
    <w:rsid w:val="008C0F68"/>
    <w:rsid w:val="008C2C7C"/>
    <w:rsid w:val="008C3E83"/>
    <w:rsid w:val="008C48DA"/>
    <w:rsid w:val="008C4EF5"/>
    <w:rsid w:val="008C5684"/>
    <w:rsid w:val="008C654B"/>
    <w:rsid w:val="008C6BCA"/>
    <w:rsid w:val="008C6E8B"/>
    <w:rsid w:val="008C7550"/>
    <w:rsid w:val="008C7983"/>
    <w:rsid w:val="008C7EB9"/>
    <w:rsid w:val="008C7EC8"/>
    <w:rsid w:val="008D01C7"/>
    <w:rsid w:val="008D0FFD"/>
    <w:rsid w:val="008D19C7"/>
    <w:rsid w:val="008D1FF5"/>
    <w:rsid w:val="008D36F6"/>
    <w:rsid w:val="008E0C57"/>
    <w:rsid w:val="008E3E59"/>
    <w:rsid w:val="008E403C"/>
    <w:rsid w:val="008E46EB"/>
    <w:rsid w:val="008E525D"/>
    <w:rsid w:val="008E5B1F"/>
    <w:rsid w:val="008E5D86"/>
    <w:rsid w:val="008E6156"/>
    <w:rsid w:val="008E6565"/>
    <w:rsid w:val="008E6D3A"/>
    <w:rsid w:val="008F0689"/>
    <w:rsid w:val="008F29F8"/>
    <w:rsid w:val="008F2FEB"/>
    <w:rsid w:val="008F3329"/>
    <w:rsid w:val="008F37A9"/>
    <w:rsid w:val="008F3EB1"/>
    <w:rsid w:val="008F45C8"/>
    <w:rsid w:val="008F4AF5"/>
    <w:rsid w:val="008F5EFC"/>
    <w:rsid w:val="008F610C"/>
    <w:rsid w:val="008F71EA"/>
    <w:rsid w:val="008F764A"/>
    <w:rsid w:val="00900F59"/>
    <w:rsid w:val="009010D0"/>
    <w:rsid w:val="009012A0"/>
    <w:rsid w:val="00904897"/>
    <w:rsid w:val="00904BBC"/>
    <w:rsid w:val="00905624"/>
    <w:rsid w:val="0090597F"/>
    <w:rsid w:val="00910F05"/>
    <w:rsid w:val="009127E4"/>
    <w:rsid w:val="00912AD0"/>
    <w:rsid w:val="00912D37"/>
    <w:rsid w:val="009144A2"/>
    <w:rsid w:val="00914E82"/>
    <w:rsid w:val="00915305"/>
    <w:rsid w:val="0091584A"/>
    <w:rsid w:val="00915BDF"/>
    <w:rsid w:val="00915C7F"/>
    <w:rsid w:val="00915F61"/>
    <w:rsid w:val="009171D9"/>
    <w:rsid w:val="00917804"/>
    <w:rsid w:val="00917B85"/>
    <w:rsid w:val="00920BFE"/>
    <w:rsid w:val="00920CC7"/>
    <w:rsid w:val="009220AD"/>
    <w:rsid w:val="00922F92"/>
    <w:rsid w:val="00923EAB"/>
    <w:rsid w:val="009242E4"/>
    <w:rsid w:val="00924F1A"/>
    <w:rsid w:val="00924FA4"/>
    <w:rsid w:val="00925447"/>
    <w:rsid w:val="00925D10"/>
    <w:rsid w:val="00925FAE"/>
    <w:rsid w:val="009275E5"/>
    <w:rsid w:val="0093024F"/>
    <w:rsid w:val="0093094B"/>
    <w:rsid w:val="009312AE"/>
    <w:rsid w:val="00932605"/>
    <w:rsid w:val="00933535"/>
    <w:rsid w:val="009343FB"/>
    <w:rsid w:val="00935F67"/>
    <w:rsid w:val="00935FDB"/>
    <w:rsid w:val="0093693A"/>
    <w:rsid w:val="00937477"/>
    <w:rsid w:val="00937A22"/>
    <w:rsid w:val="00940C90"/>
    <w:rsid w:val="0094338D"/>
    <w:rsid w:val="0094342A"/>
    <w:rsid w:val="0094370B"/>
    <w:rsid w:val="00944A1B"/>
    <w:rsid w:val="00946ADF"/>
    <w:rsid w:val="00952FF8"/>
    <w:rsid w:val="0095359D"/>
    <w:rsid w:val="009537CC"/>
    <w:rsid w:val="00954A2D"/>
    <w:rsid w:val="009565C1"/>
    <w:rsid w:val="00960845"/>
    <w:rsid w:val="009608AB"/>
    <w:rsid w:val="00960CBA"/>
    <w:rsid w:val="009617DB"/>
    <w:rsid w:val="009636F2"/>
    <w:rsid w:val="00963F82"/>
    <w:rsid w:val="009645A2"/>
    <w:rsid w:val="00966732"/>
    <w:rsid w:val="009671F5"/>
    <w:rsid w:val="009677B5"/>
    <w:rsid w:val="0096793C"/>
    <w:rsid w:val="00967A48"/>
    <w:rsid w:val="00970696"/>
    <w:rsid w:val="009711A2"/>
    <w:rsid w:val="00971B4F"/>
    <w:rsid w:val="0097302D"/>
    <w:rsid w:val="009738C6"/>
    <w:rsid w:val="00974996"/>
    <w:rsid w:val="009766D9"/>
    <w:rsid w:val="00976D3F"/>
    <w:rsid w:val="009778FB"/>
    <w:rsid w:val="00982D97"/>
    <w:rsid w:val="0098484C"/>
    <w:rsid w:val="00984B86"/>
    <w:rsid w:val="00984E07"/>
    <w:rsid w:val="0098517D"/>
    <w:rsid w:val="0098782D"/>
    <w:rsid w:val="00990026"/>
    <w:rsid w:val="00990553"/>
    <w:rsid w:val="00991BB6"/>
    <w:rsid w:val="00991F30"/>
    <w:rsid w:val="0099578F"/>
    <w:rsid w:val="00995ED7"/>
    <w:rsid w:val="009A0002"/>
    <w:rsid w:val="009A0286"/>
    <w:rsid w:val="009A0E6E"/>
    <w:rsid w:val="009A17CF"/>
    <w:rsid w:val="009A2369"/>
    <w:rsid w:val="009A326B"/>
    <w:rsid w:val="009A385F"/>
    <w:rsid w:val="009A3E4E"/>
    <w:rsid w:val="009A5FAA"/>
    <w:rsid w:val="009A6560"/>
    <w:rsid w:val="009B0912"/>
    <w:rsid w:val="009B3011"/>
    <w:rsid w:val="009B3F19"/>
    <w:rsid w:val="009B3F6C"/>
    <w:rsid w:val="009B3FB1"/>
    <w:rsid w:val="009B4213"/>
    <w:rsid w:val="009B51B7"/>
    <w:rsid w:val="009B5ABC"/>
    <w:rsid w:val="009C0303"/>
    <w:rsid w:val="009C05E6"/>
    <w:rsid w:val="009C48DC"/>
    <w:rsid w:val="009C6008"/>
    <w:rsid w:val="009C7F74"/>
    <w:rsid w:val="009D07B0"/>
    <w:rsid w:val="009D089F"/>
    <w:rsid w:val="009D0CFE"/>
    <w:rsid w:val="009D15D5"/>
    <w:rsid w:val="009D1802"/>
    <w:rsid w:val="009D3705"/>
    <w:rsid w:val="009D3C03"/>
    <w:rsid w:val="009D3DCE"/>
    <w:rsid w:val="009E1DFA"/>
    <w:rsid w:val="009E1FEE"/>
    <w:rsid w:val="009E2A91"/>
    <w:rsid w:val="009E32E7"/>
    <w:rsid w:val="009E7151"/>
    <w:rsid w:val="009E7DBD"/>
    <w:rsid w:val="009F071F"/>
    <w:rsid w:val="009F0E4F"/>
    <w:rsid w:val="009F1BC7"/>
    <w:rsid w:val="009F2C73"/>
    <w:rsid w:val="009F3F9B"/>
    <w:rsid w:val="009F4111"/>
    <w:rsid w:val="009F4DE8"/>
    <w:rsid w:val="009F52B4"/>
    <w:rsid w:val="00A00825"/>
    <w:rsid w:val="00A01204"/>
    <w:rsid w:val="00A03A5F"/>
    <w:rsid w:val="00A03D46"/>
    <w:rsid w:val="00A03F6D"/>
    <w:rsid w:val="00A0508B"/>
    <w:rsid w:val="00A05AFA"/>
    <w:rsid w:val="00A05B28"/>
    <w:rsid w:val="00A06A61"/>
    <w:rsid w:val="00A06ACF"/>
    <w:rsid w:val="00A06F66"/>
    <w:rsid w:val="00A10B1E"/>
    <w:rsid w:val="00A115E5"/>
    <w:rsid w:val="00A12D5F"/>
    <w:rsid w:val="00A13073"/>
    <w:rsid w:val="00A13B74"/>
    <w:rsid w:val="00A14577"/>
    <w:rsid w:val="00A14D9B"/>
    <w:rsid w:val="00A14DDA"/>
    <w:rsid w:val="00A167FB"/>
    <w:rsid w:val="00A20612"/>
    <w:rsid w:val="00A21BAC"/>
    <w:rsid w:val="00A23BA5"/>
    <w:rsid w:val="00A242DC"/>
    <w:rsid w:val="00A24CD4"/>
    <w:rsid w:val="00A26337"/>
    <w:rsid w:val="00A26F75"/>
    <w:rsid w:val="00A307AE"/>
    <w:rsid w:val="00A31C9B"/>
    <w:rsid w:val="00A320A0"/>
    <w:rsid w:val="00A322EF"/>
    <w:rsid w:val="00A335C8"/>
    <w:rsid w:val="00A34CCD"/>
    <w:rsid w:val="00A34E90"/>
    <w:rsid w:val="00A376C8"/>
    <w:rsid w:val="00A378F3"/>
    <w:rsid w:val="00A43770"/>
    <w:rsid w:val="00A45434"/>
    <w:rsid w:val="00A475F1"/>
    <w:rsid w:val="00A47AAA"/>
    <w:rsid w:val="00A51228"/>
    <w:rsid w:val="00A5130D"/>
    <w:rsid w:val="00A51AA8"/>
    <w:rsid w:val="00A52606"/>
    <w:rsid w:val="00A52C3B"/>
    <w:rsid w:val="00A53647"/>
    <w:rsid w:val="00A55473"/>
    <w:rsid w:val="00A56F21"/>
    <w:rsid w:val="00A57099"/>
    <w:rsid w:val="00A607D0"/>
    <w:rsid w:val="00A60EDC"/>
    <w:rsid w:val="00A621AE"/>
    <w:rsid w:val="00A62796"/>
    <w:rsid w:val="00A62E0E"/>
    <w:rsid w:val="00A62EDC"/>
    <w:rsid w:val="00A64F69"/>
    <w:rsid w:val="00A65D57"/>
    <w:rsid w:val="00A65FE0"/>
    <w:rsid w:val="00A67198"/>
    <w:rsid w:val="00A70862"/>
    <w:rsid w:val="00A70B7F"/>
    <w:rsid w:val="00A70D5A"/>
    <w:rsid w:val="00A71A6C"/>
    <w:rsid w:val="00A72ACD"/>
    <w:rsid w:val="00A72C3A"/>
    <w:rsid w:val="00A72FB9"/>
    <w:rsid w:val="00A73F38"/>
    <w:rsid w:val="00A741DC"/>
    <w:rsid w:val="00A74D00"/>
    <w:rsid w:val="00A75F29"/>
    <w:rsid w:val="00A76177"/>
    <w:rsid w:val="00A76F43"/>
    <w:rsid w:val="00A80907"/>
    <w:rsid w:val="00A81210"/>
    <w:rsid w:val="00A81B04"/>
    <w:rsid w:val="00A8279C"/>
    <w:rsid w:val="00A82ACC"/>
    <w:rsid w:val="00A83961"/>
    <w:rsid w:val="00A83CC6"/>
    <w:rsid w:val="00A845F0"/>
    <w:rsid w:val="00A86D2B"/>
    <w:rsid w:val="00A879E4"/>
    <w:rsid w:val="00A87BCF"/>
    <w:rsid w:val="00A92905"/>
    <w:rsid w:val="00A93088"/>
    <w:rsid w:val="00A9318A"/>
    <w:rsid w:val="00A94393"/>
    <w:rsid w:val="00A95E83"/>
    <w:rsid w:val="00A961F2"/>
    <w:rsid w:val="00A9736E"/>
    <w:rsid w:val="00A975BA"/>
    <w:rsid w:val="00AA037D"/>
    <w:rsid w:val="00AA3A50"/>
    <w:rsid w:val="00AA50DD"/>
    <w:rsid w:val="00AA5DCF"/>
    <w:rsid w:val="00AA6721"/>
    <w:rsid w:val="00AA6934"/>
    <w:rsid w:val="00AA7442"/>
    <w:rsid w:val="00AB021E"/>
    <w:rsid w:val="00AB1449"/>
    <w:rsid w:val="00AB1FF0"/>
    <w:rsid w:val="00AB2B4D"/>
    <w:rsid w:val="00AB33DD"/>
    <w:rsid w:val="00AB35CA"/>
    <w:rsid w:val="00AB3FF2"/>
    <w:rsid w:val="00AB47D5"/>
    <w:rsid w:val="00AB47DB"/>
    <w:rsid w:val="00AB49AD"/>
    <w:rsid w:val="00AB50CE"/>
    <w:rsid w:val="00AB6040"/>
    <w:rsid w:val="00AB6417"/>
    <w:rsid w:val="00AB6EC4"/>
    <w:rsid w:val="00AC06CA"/>
    <w:rsid w:val="00AC23E1"/>
    <w:rsid w:val="00AC2503"/>
    <w:rsid w:val="00AC50DB"/>
    <w:rsid w:val="00AC55E5"/>
    <w:rsid w:val="00AC6097"/>
    <w:rsid w:val="00AC723A"/>
    <w:rsid w:val="00AC76F9"/>
    <w:rsid w:val="00AD1850"/>
    <w:rsid w:val="00AD1B20"/>
    <w:rsid w:val="00AD4150"/>
    <w:rsid w:val="00AD41E5"/>
    <w:rsid w:val="00AD53F2"/>
    <w:rsid w:val="00AD5CCB"/>
    <w:rsid w:val="00AD644C"/>
    <w:rsid w:val="00AD6B03"/>
    <w:rsid w:val="00AD6F53"/>
    <w:rsid w:val="00AD75A8"/>
    <w:rsid w:val="00AD7ED1"/>
    <w:rsid w:val="00AE165D"/>
    <w:rsid w:val="00AE1C2B"/>
    <w:rsid w:val="00AE231F"/>
    <w:rsid w:val="00AE34B5"/>
    <w:rsid w:val="00AE37B5"/>
    <w:rsid w:val="00AE4491"/>
    <w:rsid w:val="00AE48FF"/>
    <w:rsid w:val="00AE4AE8"/>
    <w:rsid w:val="00AE593A"/>
    <w:rsid w:val="00AE73E5"/>
    <w:rsid w:val="00AE7B22"/>
    <w:rsid w:val="00AF0302"/>
    <w:rsid w:val="00AF05BC"/>
    <w:rsid w:val="00AF0948"/>
    <w:rsid w:val="00AF18BF"/>
    <w:rsid w:val="00AF1F6F"/>
    <w:rsid w:val="00AF241B"/>
    <w:rsid w:val="00AF27FC"/>
    <w:rsid w:val="00AF3B5C"/>
    <w:rsid w:val="00AF41AC"/>
    <w:rsid w:val="00AF4B25"/>
    <w:rsid w:val="00AF515F"/>
    <w:rsid w:val="00B005D1"/>
    <w:rsid w:val="00B00972"/>
    <w:rsid w:val="00B010DC"/>
    <w:rsid w:val="00B0182B"/>
    <w:rsid w:val="00B02823"/>
    <w:rsid w:val="00B03E7F"/>
    <w:rsid w:val="00B04492"/>
    <w:rsid w:val="00B05DAC"/>
    <w:rsid w:val="00B07675"/>
    <w:rsid w:val="00B07BDB"/>
    <w:rsid w:val="00B1012C"/>
    <w:rsid w:val="00B1253B"/>
    <w:rsid w:val="00B13D34"/>
    <w:rsid w:val="00B14FD3"/>
    <w:rsid w:val="00B1562F"/>
    <w:rsid w:val="00B15AFB"/>
    <w:rsid w:val="00B16BF0"/>
    <w:rsid w:val="00B21660"/>
    <w:rsid w:val="00B21988"/>
    <w:rsid w:val="00B21F0D"/>
    <w:rsid w:val="00B2418F"/>
    <w:rsid w:val="00B25152"/>
    <w:rsid w:val="00B25D7F"/>
    <w:rsid w:val="00B25DA1"/>
    <w:rsid w:val="00B279AE"/>
    <w:rsid w:val="00B31AEC"/>
    <w:rsid w:val="00B33937"/>
    <w:rsid w:val="00B34E7F"/>
    <w:rsid w:val="00B363E3"/>
    <w:rsid w:val="00B370B3"/>
    <w:rsid w:val="00B37873"/>
    <w:rsid w:val="00B40EC6"/>
    <w:rsid w:val="00B432B0"/>
    <w:rsid w:val="00B44189"/>
    <w:rsid w:val="00B45963"/>
    <w:rsid w:val="00B467AD"/>
    <w:rsid w:val="00B46AFB"/>
    <w:rsid w:val="00B46EAC"/>
    <w:rsid w:val="00B471E7"/>
    <w:rsid w:val="00B510B9"/>
    <w:rsid w:val="00B51973"/>
    <w:rsid w:val="00B521BE"/>
    <w:rsid w:val="00B5316B"/>
    <w:rsid w:val="00B53CC9"/>
    <w:rsid w:val="00B54524"/>
    <w:rsid w:val="00B5461D"/>
    <w:rsid w:val="00B5566A"/>
    <w:rsid w:val="00B55C17"/>
    <w:rsid w:val="00B568CA"/>
    <w:rsid w:val="00B56C12"/>
    <w:rsid w:val="00B601A7"/>
    <w:rsid w:val="00B615D8"/>
    <w:rsid w:val="00B618AC"/>
    <w:rsid w:val="00B621AB"/>
    <w:rsid w:val="00B62302"/>
    <w:rsid w:val="00B6232D"/>
    <w:rsid w:val="00B62943"/>
    <w:rsid w:val="00B64A20"/>
    <w:rsid w:val="00B64CB4"/>
    <w:rsid w:val="00B6522A"/>
    <w:rsid w:val="00B6690F"/>
    <w:rsid w:val="00B66945"/>
    <w:rsid w:val="00B67B40"/>
    <w:rsid w:val="00B67BCA"/>
    <w:rsid w:val="00B7004B"/>
    <w:rsid w:val="00B70477"/>
    <w:rsid w:val="00B70623"/>
    <w:rsid w:val="00B72FA8"/>
    <w:rsid w:val="00B746B7"/>
    <w:rsid w:val="00B7536B"/>
    <w:rsid w:val="00B753B4"/>
    <w:rsid w:val="00B75BE5"/>
    <w:rsid w:val="00B763A1"/>
    <w:rsid w:val="00B826EB"/>
    <w:rsid w:val="00B838C4"/>
    <w:rsid w:val="00B8401C"/>
    <w:rsid w:val="00B84751"/>
    <w:rsid w:val="00B8494A"/>
    <w:rsid w:val="00B860DD"/>
    <w:rsid w:val="00B870C1"/>
    <w:rsid w:val="00B9069B"/>
    <w:rsid w:val="00B907EB"/>
    <w:rsid w:val="00B91D9C"/>
    <w:rsid w:val="00B93A30"/>
    <w:rsid w:val="00B94AB3"/>
    <w:rsid w:val="00B97432"/>
    <w:rsid w:val="00B97B1C"/>
    <w:rsid w:val="00BA11F9"/>
    <w:rsid w:val="00BA1711"/>
    <w:rsid w:val="00BA2005"/>
    <w:rsid w:val="00BA28A7"/>
    <w:rsid w:val="00BA3266"/>
    <w:rsid w:val="00BA60DC"/>
    <w:rsid w:val="00BA6B34"/>
    <w:rsid w:val="00BB04EE"/>
    <w:rsid w:val="00BB12BE"/>
    <w:rsid w:val="00BB2DD8"/>
    <w:rsid w:val="00BB3C74"/>
    <w:rsid w:val="00BB403C"/>
    <w:rsid w:val="00BB4E1C"/>
    <w:rsid w:val="00BB5E95"/>
    <w:rsid w:val="00BB6BC7"/>
    <w:rsid w:val="00BC18BD"/>
    <w:rsid w:val="00BC1E05"/>
    <w:rsid w:val="00BC1FCD"/>
    <w:rsid w:val="00BC2AD7"/>
    <w:rsid w:val="00BC36E9"/>
    <w:rsid w:val="00BC3715"/>
    <w:rsid w:val="00BC39E3"/>
    <w:rsid w:val="00BC3BB2"/>
    <w:rsid w:val="00BC4C21"/>
    <w:rsid w:val="00BC5266"/>
    <w:rsid w:val="00BC5BFA"/>
    <w:rsid w:val="00BC67BD"/>
    <w:rsid w:val="00BC6EAF"/>
    <w:rsid w:val="00BD09B6"/>
    <w:rsid w:val="00BD1F5E"/>
    <w:rsid w:val="00BD2187"/>
    <w:rsid w:val="00BD2A38"/>
    <w:rsid w:val="00BD2C23"/>
    <w:rsid w:val="00BD32EC"/>
    <w:rsid w:val="00BD376E"/>
    <w:rsid w:val="00BD4C03"/>
    <w:rsid w:val="00BD5308"/>
    <w:rsid w:val="00BD560F"/>
    <w:rsid w:val="00BD572B"/>
    <w:rsid w:val="00BD585E"/>
    <w:rsid w:val="00BD6FF8"/>
    <w:rsid w:val="00BE2B93"/>
    <w:rsid w:val="00BE3107"/>
    <w:rsid w:val="00BE4897"/>
    <w:rsid w:val="00BE5F12"/>
    <w:rsid w:val="00BE5F7A"/>
    <w:rsid w:val="00BE625C"/>
    <w:rsid w:val="00BE73AC"/>
    <w:rsid w:val="00BF31F8"/>
    <w:rsid w:val="00BF33BE"/>
    <w:rsid w:val="00BF38D6"/>
    <w:rsid w:val="00BF3C1E"/>
    <w:rsid w:val="00BF3DA6"/>
    <w:rsid w:val="00BF3E2A"/>
    <w:rsid w:val="00BF5967"/>
    <w:rsid w:val="00BF5E3C"/>
    <w:rsid w:val="00BF6395"/>
    <w:rsid w:val="00BF664F"/>
    <w:rsid w:val="00BF6B85"/>
    <w:rsid w:val="00BF7610"/>
    <w:rsid w:val="00C01303"/>
    <w:rsid w:val="00C0193F"/>
    <w:rsid w:val="00C025CF"/>
    <w:rsid w:val="00C03838"/>
    <w:rsid w:val="00C046EE"/>
    <w:rsid w:val="00C0530B"/>
    <w:rsid w:val="00C068AF"/>
    <w:rsid w:val="00C10540"/>
    <w:rsid w:val="00C10869"/>
    <w:rsid w:val="00C10C4D"/>
    <w:rsid w:val="00C1112A"/>
    <w:rsid w:val="00C1165F"/>
    <w:rsid w:val="00C11DFD"/>
    <w:rsid w:val="00C123F6"/>
    <w:rsid w:val="00C13F06"/>
    <w:rsid w:val="00C155E1"/>
    <w:rsid w:val="00C16C53"/>
    <w:rsid w:val="00C20921"/>
    <w:rsid w:val="00C2092F"/>
    <w:rsid w:val="00C20FAB"/>
    <w:rsid w:val="00C219A6"/>
    <w:rsid w:val="00C22CAC"/>
    <w:rsid w:val="00C2344D"/>
    <w:rsid w:val="00C24086"/>
    <w:rsid w:val="00C259E3"/>
    <w:rsid w:val="00C31519"/>
    <w:rsid w:val="00C33AEF"/>
    <w:rsid w:val="00C33CAD"/>
    <w:rsid w:val="00C3502E"/>
    <w:rsid w:val="00C40344"/>
    <w:rsid w:val="00C4048E"/>
    <w:rsid w:val="00C4121F"/>
    <w:rsid w:val="00C41547"/>
    <w:rsid w:val="00C41F3F"/>
    <w:rsid w:val="00C42A01"/>
    <w:rsid w:val="00C433AD"/>
    <w:rsid w:val="00C436F3"/>
    <w:rsid w:val="00C43896"/>
    <w:rsid w:val="00C4461E"/>
    <w:rsid w:val="00C44B4C"/>
    <w:rsid w:val="00C451E9"/>
    <w:rsid w:val="00C45EAC"/>
    <w:rsid w:val="00C464DE"/>
    <w:rsid w:val="00C46540"/>
    <w:rsid w:val="00C46709"/>
    <w:rsid w:val="00C50448"/>
    <w:rsid w:val="00C5060F"/>
    <w:rsid w:val="00C506EA"/>
    <w:rsid w:val="00C512E0"/>
    <w:rsid w:val="00C517C7"/>
    <w:rsid w:val="00C51825"/>
    <w:rsid w:val="00C52073"/>
    <w:rsid w:val="00C52331"/>
    <w:rsid w:val="00C544BB"/>
    <w:rsid w:val="00C54F5C"/>
    <w:rsid w:val="00C54F90"/>
    <w:rsid w:val="00C556C8"/>
    <w:rsid w:val="00C57414"/>
    <w:rsid w:val="00C609E9"/>
    <w:rsid w:val="00C61B0B"/>
    <w:rsid w:val="00C61D93"/>
    <w:rsid w:val="00C61F68"/>
    <w:rsid w:val="00C62314"/>
    <w:rsid w:val="00C63017"/>
    <w:rsid w:val="00C633D2"/>
    <w:rsid w:val="00C63AE6"/>
    <w:rsid w:val="00C65D2D"/>
    <w:rsid w:val="00C67F33"/>
    <w:rsid w:val="00C700EA"/>
    <w:rsid w:val="00C70C43"/>
    <w:rsid w:val="00C73A1E"/>
    <w:rsid w:val="00C74178"/>
    <w:rsid w:val="00C80A0C"/>
    <w:rsid w:val="00C81540"/>
    <w:rsid w:val="00C81BA6"/>
    <w:rsid w:val="00C820D0"/>
    <w:rsid w:val="00C86C66"/>
    <w:rsid w:val="00C874D1"/>
    <w:rsid w:val="00C90238"/>
    <w:rsid w:val="00C91605"/>
    <w:rsid w:val="00C92A4B"/>
    <w:rsid w:val="00C9346F"/>
    <w:rsid w:val="00C93652"/>
    <w:rsid w:val="00C94455"/>
    <w:rsid w:val="00C9497A"/>
    <w:rsid w:val="00C94C33"/>
    <w:rsid w:val="00C957C9"/>
    <w:rsid w:val="00C962A4"/>
    <w:rsid w:val="00C9630F"/>
    <w:rsid w:val="00C963C8"/>
    <w:rsid w:val="00CA03B8"/>
    <w:rsid w:val="00CA0828"/>
    <w:rsid w:val="00CA102E"/>
    <w:rsid w:val="00CA40B0"/>
    <w:rsid w:val="00CA60A5"/>
    <w:rsid w:val="00CA682D"/>
    <w:rsid w:val="00CA6D37"/>
    <w:rsid w:val="00CA7B2D"/>
    <w:rsid w:val="00CB271C"/>
    <w:rsid w:val="00CB2D6D"/>
    <w:rsid w:val="00CB3596"/>
    <w:rsid w:val="00CB40FF"/>
    <w:rsid w:val="00CB4639"/>
    <w:rsid w:val="00CB4FA8"/>
    <w:rsid w:val="00CB7034"/>
    <w:rsid w:val="00CC14CA"/>
    <w:rsid w:val="00CC1892"/>
    <w:rsid w:val="00CC28B5"/>
    <w:rsid w:val="00CC2B6F"/>
    <w:rsid w:val="00CC41B9"/>
    <w:rsid w:val="00CC43AD"/>
    <w:rsid w:val="00CC4DEA"/>
    <w:rsid w:val="00CC5274"/>
    <w:rsid w:val="00CC6BF9"/>
    <w:rsid w:val="00CD05B6"/>
    <w:rsid w:val="00CD10B4"/>
    <w:rsid w:val="00CD1289"/>
    <w:rsid w:val="00CD1563"/>
    <w:rsid w:val="00CD215C"/>
    <w:rsid w:val="00CD2B45"/>
    <w:rsid w:val="00CD30CA"/>
    <w:rsid w:val="00CD4451"/>
    <w:rsid w:val="00CD5423"/>
    <w:rsid w:val="00CD5D60"/>
    <w:rsid w:val="00CD6589"/>
    <w:rsid w:val="00CD766D"/>
    <w:rsid w:val="00CD7D0C"/>
    <w:rsid w:val="00CD7D8D"/>
    <w:rsid w:val="00CD7F7F"/>
    <w:rsid w:val="00CE21FB"/>
    <w:rsid w:val="00CE283F"/>
    <w:rsid w:val="00CE2DB9"/>
    <w:rsid w:val="00CE34A3"/>
    <w:rsid w:val="00CE3AB1"/>
    <w:rsid w:val="00CE4C45"/>
    <w:rsid w:val="00CE4F7E"/>
    <w:rsid w:val="00CE5657"/>
    <w:rsid w:val="00CE70F4"/>
    <w:rsid w:val="00CE736F"/>
    <w:rsid w:val="00CE7990"/>
    <w:rsid w:val="00CF04C6"/>
    <w:rsid w:val="00CF0640"/>
    <w:rsid w:val="00CF2367"/>
    <w:rsid w:val="00CF34C5"/>
    <w:rsid w:val="00CF3694"/>
    <w:rsid w:val="00CF4BFB"/>
    <w:rsid w:val="00CF5EAD"/>
    <w:rsid w:val="00CF64DE"/>
    <w:rsid w:val="00D003A7"/>
    <w:rsid w:val="00D01BBC"/>
    <w:rsid w:val="00D03A94"/>
    <w:rsid w:val="00D04A3B"/>
    <w:rsid w:val="00D0591C"/>
    <w:rsid w:val="00D059C4"/>
    <w:rsid w:val="00D067F1"/>
    <w:rsid w:val="00D06CD4"/>
    <w:rsid w:val="00D06D2E"/>
    <w:rsid w:val="00D10662"/>
    <w:rsid w:val="00D1344A"/>
    <w:rsid w:val="00D149EA"/>
    <w:rsid w:val="00D17158"/>
    <w:rsid w:val="00D17447"/>
    <w:rsid w:val="00D17BCF"/>
    <w:rsid w:val="00D21067"/>
    <w:rsid w:val="00D2106F"/>
    <w:rsid w:val="00D25482"/>
    <w:rsid w:val="00D266AA"/>
    <w:rsid w:val="00D2753C"/>
    <w:rsid w:val="00D27933"/>
    <w:rsid w:val="00D311B6"/>
    <w:rsid w:val="00D31737"/>
    <w:rsid w:val="00D317CE"/>
    <w:rsid w:val="00D3260C"/>
    <w:rsid w:val="00D32E49"/>
    <w:rsid w:val="00D32EB9"/>
    <w:rsid w:val="00D33215"/>
    <w:rsid w:val="00D35C13"/>
    <w:rsid w:val="00D36772"/>
    <w:rsid w:val="00D3709F"/>
    <w:rsid w:val="00D37FDF"/>
    <w:rsid w:val="00D438E0"/>
    <w:rsid w:val="00D44111"/>
    <w:rsid w:val="00D44201"/>
    <w:rsid w:val="00D449A0"/>
    <w:rsid w:val="00D45301"/>
    <w:rsid w:val="00D458C9"/>
    <w:rsid w:val="00D46AC1"/>
    <w:rsid w:val="00D50185"/>
    <w:rsid w:val="00D51B3F"/>
    <w:rsid w:val="00D55B29"/>
    <w:rsid w:val="00D56306"/>
    <w:rsid w:val="00D57352"/>
    <w:rsid w:val="00D629FE"/>
    <w:rsid w:val="00D62D30"/>
    <w:rsid w:val="00D64930"/>
    <w:rsid w:val="00D6531C"/>
    <w:rsid w:val="00D66062"/>
    <w:rsid w:val="00D670CB"/>
    <w:rsid w:val="00D673BA"/>
    <w:rsid w:val="00D67C26"/>
    <w:rsid w:val="00D70611"/>
    <w:rsid w:val="00D71EB8"/>
    <w:rsid w:val="00D729CA"/>
    <w:rsid w:val="00D72A74"/>
    <w:rsid w:val="00D7510F"/>
    <w:rsid w:val="00D76291"/>
    <w:rsid w:val="00D76A5F"/>
    <w:rsid w:val="00D77BEB"/>
    <w:rsid w:val="00D80C4C"/>
    <w:rsid w:val="00D81E6C"/>
    <w:rsid w:val="00D821D8"/>
    <w:rsid w:val="00D82C34"/>
    <w:rsid w:val="00D83C6D"/>
    <w:rsid w:val="00D83E69"/>
    <w:rsid w:val="00D852CF"/>
    <w:rsid w:val="00D856F4"/>
    <w:rsid w:val="00D856F8"/>
    <w:rsid w:val="00D864E3"/>
    <w:rsid w:val="00D86F0E"/>
    <w:rsid w:val="00D87744"/>
    <w:rsid w:val="00D90925"/>
    <w:rsid w:val="00D9153C"/>
    <w:rsid w:val="00D91763"/>
    <w:rsid w:val="00D93A82"/>
    <w:rsid w:val="00D93A98"/>
    <w:rsid w:val="00D93FF7"/>
    <w:rsid w:val="00D941AB"/>
    <w:rsid w:val="00D95788"/>
    <w:rsid w:val="00D95928"/>
    <w:rsid w:val="00D960DF"/>
    <w:rsid w:val="00D96FCE"/>
    <w:rsid w:val="00D9750D"/>
    <w:rsid w:val="00D9789E"/>
    <w:rsid w:val="00D97E6F"/>
    <w:rsid w:val="00DA00D5"/>
    <w:rsid w:val="00DA0622"/>
    <w:rsid w:val="00DA0667"/>
    <w:rsid w:val="00DA0EB1"/>
    <w:rsid w:val="00DA105E"/>
    <w:rsid w:val="00DA1465"/>
    <w:rsid w:val="00DA1540"/>
    <w:rsid w:val="00DA1609"/>
    <w:rsid w:val="00DA21F5"/>
    <w:rsid w:val="00DA2F38"/>
    <w:rsid w:val="00DA35B9"/>
    <w:rsid w:val="00DA478B"/>
    <w:rsid w:val="00DA4A04"/>
    <w:rsid w:val="00DA528B"/>
    <w:rsid w:val="00DB09F4"/>
    <w:rsid w:val="00DB1E63"/>
    <w:rsid w:val="00DB2EB6"/>
    <w:rsid w:val="00DB3341"/>
    <w:rsid w:val="00DB347E"/>
    <w:rsid w:val="00DB51CA"/>
    <w:rsid w:val="00DB58A0"/>
    <w:rsid w:val="00DB58CB"/>
    <w:rsid w:val="00DB69B6"/>
    <w:rsid w:val="00DB7B65"/>
    <w:rsid w:val="00DC0E72"/>
    <w:rsid w:val="00DC2079"/>
    <w:rsid w:val="00DC5A62"/>
    <w:rsid w:val="00DC69E4"/>
    <w:rsid w:val="00DC7481"/>
    <w:rsid w:val="00DD1358"/>
    <w:rsid w:val="00DD14BE"/>
    <w:rsid w:val="00DD19A5"/>
    <w:rsid w:val="00DD3D7D"/>
    <w:rsid w:val="00DD517B"/>
    <w:rsid w:val="00DD5BEF"/>
    <w:rsid w:val="00DD5EBE"/>
    <w:rsid w:val="00DD6536"/>
    <w:rsid w:val="00DD7D5E"/>
    <w:rsid w:val="00DE0422"/>
    <w:rsid w:val="00DE0530"/>
    <w:rsid w:val="00DE05A3"/>
    <w:rsid w:val="00DE0772"/>
    <w:rsid w:val="00DE0DF8"/>
    <w:rsid w:val="00DE43AF"/>
    <w:rsid w:val="00DE4C9C"/>
    <w:rsid w:val="00DF0E0A"/>
    <w:rsid w:val="00DF1864"/>
    <w:rsid w:val="00DF26C7"/>
    <w:rsid w:val="00DF3160"/>
    <w:rsid w:val="00DF4C16"/>
    <w:rsid w:val="00DF5E5E"/>
    <w:rsid w:val="00DF66B4"/>
    <w:rsid w:val="00DF7206"/>
    <w:rsid w:val="00E024B3"/>
    <w:rsid w:val="00E037BD"/>
    <w:rsid w:val="00E0443C"/>
    <w:rsid w:val="00E053D8"/>
    <w:rsid w:val="00E06582"/>
    <w:rsid w:val="00E07057"/>
    <w:rsid w:val="00E07357"/>
    <w:rsid w:val="00E076A9"/>
    <w:rsid w:val="00E109A7"/>
    <w:rsid w:val="00E13489"/>
    <w:rsid w:val="00E14E9B"/>
    <w:rsid w:val="00E15B57"/>
    <w:rsid w:val="00E15DFA"/>
    <w:rsid w:val="00E17412"/>
    <w:rsid w:val="00E20280"/>
    <w:rsid w:val="00E22436"/>
    <w:rsid w:val="00E22566"/>
    <w:rsid w:val="00E2361C"/>
    <w:rsid w:val="00E244FF"/>
    <w:rsid w:val="00E24536"/>
    <w:rsid w:val="00E30C6E"/>
    <w:rsid w:val="00E3126D"/>
    <w:rsid w:val="00E31A4F"/>
    <w:rsid w:val="00E34C26"/>
    <w:rsid w:val="00E356F8"/>
    <w:rsid w:val="00E36F52"/>
    <w:rsid w:val="00E3733F"/>
    <w:rsid w:val="00E375C2"/>
    <w:rsid w:val="00E37E2D"/>
    <w:rsid w:val="00E4144F"/>
    <w:rsid w:val="00E4351D"/>
    <w:rsid w:val="00E435D2"/>
    <w:rsid w:val="00E44203"/>
    <w:rsid w:val="00E44F19"/>
    <w:rsid w:val="00E4513F"/>
    <w:rsid w:val="00E45C3E"/>
    <w:rsid w:val="00E460EF"/>
    <w:rsid w:val="00E46AC7"/>
    <w:rsid w:val="00E46C01"/>
    <w:rsid w:val="00E47ED6"/>
    <w:rsid w:val="00E50199"/>
    <w:rsid w:val="00E51F52"/>
    <w:rsid w:val="00E529E1"/>
    <w:rsid w:val="00E53EE6"/>
    <w:rsid w:val="00E54ED2"/>
    <w:rsid w:val="00E56B85"/>
    <w:rsid w:val="00E57E25"/>
    <w:rsid w:val="00E60C18"/>
    <w:rsid w:val="00E6122D"/>
    <w:rsid w:val="00E635BE"/>
    <w:rsid w:val="00E6378F"/>
    <w:rsid w:val="00E64996"/>
    <w:rsid w:val="00E67216"/>
    <w:rsid w:val="00E67469"/>
    <w:rsid w:val="00E70704"/>
    <w:rsid w:val="00E72D46"/>
    <w:rsid w:val="00E755A0"/>
    <w:rsid w:val="00E75662"/>
    <w:rsid w:val="00E76B34"/>
    <w:rsid w:val="00E7720F"/>
    <w:rsid w:val="00E77ECD"/>
    <w:rsid w:val="00E81D50"/>
    <w:rsid w:val="00E834CC"/>
    <w:rsid w:val="00E84742"/>
    <w:rsid w:val="00E8643F"/>
    <w:rsid w:val="00E90435"/>
    <w:rsid w:val="00E9287C"/>
    <w:rsid w:val="00E92B24"/>
    <w:rsid w:val="00E92BE7"/>
    <w:rsid w:val="00E934CE"/>
    <w:rsid w:val="00E9438F"/>
    <w:rsid w:val="00E96C3A"/>
    <w:rsid w:val="00E97C0B"/>
    <w:rsid w:val="00E97E09"/>
    <w:rsid w:val="00EA1CF8"/>
    <w:rsid w:val="00EA243C"/>
    <w:rsid w:val="00EA2742"/>
    <w:rsid w:val="00EA29CF"/>
    <w:rsid w:val="00EA2A44"/>
    <w:rsid w:val="00EA5289"/>
    <w:rsid w:val="00EB4F28"/>
    <w:rsid w:val="00EB5BB4"/>
    <w:rsid w:val="00EB79E0"/>
    <w:rsid w:val="00EC00A4"/>
    <w:rsid w:val="00EC25DC"/>
    <w:rsid w:val="00EC2B8B"/>
    <w:rsid w:val="00EC3225"/>
    <w:rsid w:val="00EC33C3"/>
    <w:rsid w:val="00EC35AD"/>
    <w:rsid w:val="00EC48F5"/>
    <w:rsid w:val="00EC4E15"/>
    <w:rsid w:val="00EC551F"/>
    <w:rsid w:val="00EC5EFB"/>
    <w:rsid w:val="00EC678F"/>
    <w:rsid w:val="00EC766B"/>
    <w:rsid w:val="00ED0537"/>
    <w:rsid w:val="00ED0C25"/>
    <w:rsid w:val="00ED13D8"/>
    <w:rsid w:val="00ED2697"/>
    <w:rsid w:val="00ED3B7D"/>
    <w:rsid w:val="00ED4623"/>
    <w:rsid w:val="00ED51A2"/>
    <w:rsid w:val="00ED579A"/>
    <w:rsid w:val="00ED59ED"/>
    <w:rsid w:val="00ED6047"/>
    <w:rsid w:val="00ED6299"/>
    <w:rsid w:val="00ED6521"/>
    <w:rsid w:val="00ED65C3"/>
    <w:rsid w:val="00ED69CC"/>
    <w:rsid w:val="00ED6CFE"/>
    <w:rsid w:val="00ED7A52"/>
    <w:rsid w:val="00EE0584"/>
    <w:rsid w:val="00EE06C4"/>
    <w:rsid w:val="00EE24C6"/>
    <w:rsid w:val="00EE2DFA"/>
    <w:rsid w:val="00EE31E5"/>
    <w:rsid w:val="00EE3534"/>
    <w:rsid w:val="00EE4FFA"/>
    <w:rsid w:val="00EE568F"/>
    <w:rsid w:val="00EE57E0"/>
    <w:rsid w:val="00EE6031"/>
    <w:rsid w:val="00EE67AA"/>
    <w:rsid w:val="00EE682F"/>
    <w:rsid w:val="00EE6B56"/>
    <w:rsid w:val="00EE6C60"/>
    <w:rsid w:val="00EE6EBD"/>
    <w:rsid w:val="00EE788D"/>
    <w:rsid w:val="00EE7911"/>
    <w:rsid w:val="00EF2CE5"/>
    <w:rsid w:val="00EF3886"/>
    <w:rsid w:val="00EF5AFD"/>
    <w:rsid w:val="00EF7852"/>
    <w:rsid w:val="00EF7B8E"/>
    <w:rsid w:val="00F00FC3"/>
    <w:rsid w:val="00F010BE"/>
    <w:rsid w:val="00F010C4"/>
    <w:rsid w:val="00F016F6"/>
    <w:rsid w:val="00F051E3"/>
    <w:rsid w:val="00F10CD0"/>
    <w:rsid w:val="00F11B1B"/>
    <w:rsid w:val="00F121C4"/>
    <w:rsid w:val="00F1262F"/>
    <w:rsid w:val="00F15134"/>
    <w:rsid w:val="00F16A82"/>
    <w:rsid w:val="00F17245"/>
    <w:rsid w:val="00F20AE0"/>
    <w:rsid w:val="00F21D33"/>
    <w:rsid w:val="00F22A55"/>
    <w:rsid w:val="00F23101"/>
    <w:rsid w:val="00F23BA4"/>
    <w:rsid w:val="00F24867"/>
    <w:rsid w:val="00F26226"/>
    <w:rsid w:val="00F262B3"/>
    <w:rsid w:val="00F26537"/>
    <w:rsid w:val="00F27486"/>
    <w:rsid w:val="00F27FB2"/>
    <w:rsid w:val="00F30799"/>
    <w:rsid w:val="00F32897"/>
    <w:rsid w:val="00F32C32"/>
    <w:rsid w:val="00F32D25"/>
    <w:rsid w:val="00F341A9"/>
    <w:rsid w:val="00F3448E"/>
    <w:rsid w:val="00F352B2"/>
    <w:rsid w:val="00F359C1"/>
    <w:rsid w:val="00F3652C"/>
    <w:rsid w:val="00F36798"/>
    <w:rsid w:val="00F36AC0"/>
    <w:rsid w:val="00F36B44"/>
    <w:rsid w:val="00F4362D"/>
    <w:rsid w:val="00F44932"/>
    <w:rsid w:val="00F4630A"/>
    <w:rsid w:val="00F46CA7"/>
    <w:rsid w:val="00F46E32"/>
    <w:rsid w:val="00F47B99"/>
    <w:rsid w:val="00F47D50"/>
    <w:rsid w:val="00F50AC7"/>
    <w:rsid w:val="00F52CC4"/>
    <w:rsid w:val="00F53B51"/>
    <w:rsid w:val="00F54212"/>
    <w:rsid w:val="00F5477E"/>
    <w:rsid w:val="00F55834"/>
    <w:rsid w:val="00F566D6"/>
    <w:rsid w:val="00F56DB0"/>
    <w:rsid w:val="00F60282"/>
    <w:rsid w:val="00F641F1"/>
    <w:rsid w:val="00F654FA"/>
    <w:rsid w:val="00F66E71"/>
    <w:rsid w:val="00F67769"/>
    <w:rsid w:val="00F67AF9"/>
    <w:rsid w:val="00F7023B"/>
    <w:rsid w:val="00F7196A"/>
    <w:rsid w:val="00F71D34"/>
    <w:rsid w:val="00F7348A"/>
    <w:rsid w:val="00F73653"/>
    <w:rsid w:val="00F758DF"/>
    <w:rsid w:val="00F769A5"/>
    <w:rsid w:val="00F76DF5"/>
    <w:rsid w:val="00F7733F"/>
    <w:rsid w:val="00F77744"/>
    <w:rsid w:val="00F800FC"/>
    <w:rsid w:val="00F81A1F"/>
    <w:rsid w:val="00F82061"/>
    <w:rsid w:val="00F82C7D"/>
    <w:rsid w:val="00F83257"/>
    <w:rsid w:val="00F83613"/>
    <w:rsid w:val="00F85A25"/>
    <w:rsid w:val="00F85BAC"/>
    <w:rsid w:val="00F866CF"/>
    <w:rsid w:val="00F87669"/>
    <w:rsid w:val="00F87913"/>
    <w:rsid w:val="00F87E70"/>
    <w:rsid w:val="00F90088"/>
    <w:rsid w:val="00F91C8B"/>
    <w:rsid w:val="00F92D15"/>
    <w:rsid w:val="00F92DC1"/>
    <w:rsid w:val="00F93083"/>
    <w:rsid w:val="00F93C6E"/>
    <w:rsid w:val="00F94274"/>
    <w:rsid w:val="00F95607"/>
    <w:rsid w:val="00F95BF4"/>
    <w:rsid w:val="00F97404"/>
    <w:rsid w:val="00F97CC8"/>
    <w:rsid w:val="00FA043E"/>
    <w:rsid w:val="00FA10F8"/>
    <w:rsid w:val="00FA1E25"/>
    <w:rsid w:val="00FA1F6D"/>
    <w:rsid w:val="00FA3857"/>
    <w:rsid w:val="00FA3B5D"/>
    <w:rsid w:val="00FA45C2"/>
    <w:rsid w:val="00FA7966"/>
    <w:rsid w:val="00FB2049"/>
    <w:rsid w:val="00FB2362"/>
    <w:rsid w:val="00FB2420"/>
    <w:rsid w:val="00FB2CCC"/>
    <w:rsid w:val="00FB30B9"/>
    <w:rsid w:val="00FB45D2"/>
    <w:rsid w:val="00FB480F"/>
    <w:rsid w:val="00FB50D8"/>
    <w:rsid w:val="00FB6857"/>
    <w:rsid w:val="00FB7547"/>
    <w:rsid w:val="00FC02D5"/>
    <w:rsid w:val="00FC0925"/>
    <w:rsid w:val="00FC0A73"/>
    <w:rsid w:val="00FC12A9"/>
    <w:rsid w:val="00FC246C"/>
    <w:rsid w:val="00FC2E38"/>
    <w:rsid w:val="00FC3414"/>
    <w:rsid w:val="00FC42E0"/>
    <w:rsid w:val="00FC5561"/>
    <w:rsid w:val="00FC5672"/>
    <w:rsid w:val="00FC5835"/>
    <w:rsid w:val="00FC5F2B"/>
    <w:rsid w:val="00FC6196"/>
    <w:rsid w:val="00FC68C8"/>
    <w:rsid w:val="00FC6FFC"/>
    <w:rsid w:val="00FC70AE"/>
    <w:rsid w:val="00FC729F"/>
    <w:rsid w:val="00FC7624"/>
    <w:rsid w:val="00FD0E83"/>
    <w:rsid w:val="00FD18F1"/>
    <w:rsid w:val="00FD1F6A"/>
    <w:rsid w:val="00FD233B"/>
    <w:rsid w:val="00FD2509"/>
    <w:rsid w:val="00FD25F5"/>
    <w:rsid w:val="00FD371D"/>
    <w:rsid w:val="00FD3A28"/>
    <w:rsid w:val="00FD3D54"/>
    <w:rsid w:val="00FD423B"/>
    <w:rsid w:val="00FD58C9"/>
    <w:rsid w:val="00FD5D09"/>
    <w:rsid w:val="00FD5F7F"/>
    <w:rsid w:val="00FD67EC"/>
    <w:rsid w:val="00FE0C99"/>
    <w:rsid w:val="00FE0DD9"/>
    <w:rsid w:val="00FE0FC6"/>
    <w:rsid w:val="00FE10A6"/>
    <w:rsid w:val="00FE3271"/>
    <w:rsid w:val="00FE5834"/>
    <w:rsid w:val="00FE5C93"/>
    <w:rsid w:val="00FE5EF8"/>
    <w:rsid w:val="00FF0087"/>
    <w:rsid w:val="00FF2D8E"/>
    <w:rsid w:val="00FF428B"/>
    <w:rsid w:val="00FF4347"/>
    <w:rsid w:val="00FF43E0"/>
    <w:rsid w:val="00FF464C"/>
    <w:rsid w:val="00FF4C39"/>
    <w:rsid w:val="017D4453"/>
    <w:rsid w:val="01F9456A"/>
    <w:rsid w:val="05882C0B"/>
    <w:rsid w:val="06002D28"/>
    <w:rsid w:val="06DB7F3A"/>
    <w:rsid w:val="0AA04A91"/>
    <w:rsid w:val="0AF820B3"/>
    <w:rsid w:val="0CD43A0F"/>
    <w:rsid w:val="0DD021FE"/>
    <w:rsid w:val="10D15571"/>
    <w:rsid w:val="10F62FDE"/>
    <w:rsid w:val="12417455"/>
    <w:rsid w:val="12821013"/>
    <w:rsid w:val="132037C6"/>
    <w:rsid w:val="135F7532"/>
    <w:rsid w:val="17AD50F5"/>
    <w:rsid w:val="18B81538"/>
    <w:rsid w:val="194E563C"/>
    <w:rsid w:val="1A4B1020"/>
    <w:rsid w:val="1AB8415B"/>
    <w:rsid w:val="1B6E653E"/>
    <w:rsid w:val="1C9A21C3"/>
    <w:rsid w:val="1D1D30EB"/>
    <w:rsid w:val="1D72204E"/>
    <w:rsid w:val="1F272EB5"/>
    <w:rsid w:val="1FEBB537"/>
    <w:rsid w:val="20034A85"/>
    <w:rsid w:val="20903BCA"/>
    <w:rsid w:val="21A954A2"/>
    <w:rsid w:val="21E247F5"/>
    <w:rsid w:val="2207653D"/>
    <w:rsid w:val="224048D6"/>
    <w:rsid w:val="245441E3"/>
    <w:rsid w:val="25A235B7"/>
    <w:rsid w:val="25C77AE4"/>
    <w:rsid w:val="26522E37"/>
    <w:rsid w:val="2A252586"/>
    <w:rsid w:val="2B724990"/>
    <w:rsid w:val="2B7A4E84"/>
    <w:rsid w:val="2D603DAE"/>
    <w:rsid w:val="2D9E27AF"/>
    <w:rsid w:val="2DC6B60A"/>
    <w:rsid w:val="2E743756"/>
    <w:rsid w:val="2F777F65"/>
    <w:rsid w:val="31DA036D"/>
    <w:rsid w:val="320C59E1"/>
    <w:rsid w:val="365C57FD"/>
    <w:rsid w:val="373FAEB5"/>
    <w:rsid w:val="37C474E5"/>
    <w:rsid w:val="37DF63DB"/>
    <w:rsid w:val="38A71AE0"/>
    <w:rsid w:val="3BCD6002"/>
    <w:rsid w:val="3D7E7977"/>
    <w:rsid w:val="3F6D2484"/>
    <w:rsid w:val="3FFE109F"/>
    <w:rsid w:val="40797320"/>
    <w:rsid w:val="407F1310"/>
    <w:rsid w:val="424A2486"/>
    <w:rsid w:val="42DC1783"/>
    <w:rsid w:val="42E47D31"/>
    <w:rsid w:val="438B2B66"/>
    <w:rsid w:val="4529093B"/>
    <w:rsid w:val="46491D59"/>
    <w:rsid w:val="46F13D94"/>
    <w:rsid w:val="48A204D6"/>
    <w:rsid w:val="49AC2764"/>
    <w:rsid w:val="4A5426B7"/>
    <w:rsid w:val="4B4D0FC1"/>
    <w:rsid w:val="4B77D223"/>
    <w:rsid w:val="4BB52832"/>
    <w:rsid w:val="4D351674"/>
    <w:rsid w:val="4FAE56BB"/>
    <w:rsid w:val="4FE674F2"/>
    <w:rsid w:val="51B57A58"/>
    <w:rsid w:val="51F77785"/>
    <w:rsid w:val="52394F48"/>
    <w:rsid w:val="534A10CD"/>
    <w:rsid w:val="53827CDB"/>
    <w:rsid w:val="538A5528"/>
    <w:rsid w:val="53C51DE3"/>
    <w:rsid w:val="54235CC2"/>
    <w:rsid w:val="54C1379C"/>
    <w:rsid w:val="54C8685E"/>
    <w:rsid w:val="54F750E1"/>
    <w:rsid w:val="562F7CBE"/>
    <w:rsid w:val="56C71CC3"/>
    <w:rsid w:val="570E6EA1"/>
    <w:rsid w:val="57C723AE"/>
    <w:rsid w:val="58047CB4"/>
    <w:rsid w:val="5A64496F"/>
    <w:rsid w:val="5C487BF5"/>
    <w:rsid w:val="5D167452"/>
    <w:rsid w:val="5D9C4365"/>
    <w:rsid w:val="5DE017DF"/>
    <w:rsid w:val="5F0E3FDB"/>
    <w:rsid w:val="5F53BBBA"/>
    <w:rsid w:val="61954679"/>
    <w:rsid w:val="64A2491B"/>
    <w:rsid w:val="65DF14E9"/>
    <w:rsid w:val="663B25F7"/>
    <w:rsid w:val="66922438"/>
    <w:rsid w:val="68E92D39"/>
    <w:rsid w:val="69A12730"/>
    <w:rsid w:val="6A4A7683"/>
    <w:rsid w:val="6AA87FBB"/>
    <w:rsid w:val="6BA3001F"/>
    <w:rsid w:val="6C311322"/>
    <w:rsid w:val="6CC43C27"/>
    <w:rsid w:val="6CF02589"/>
    <w:rsid w:val="71BC5F55"/>
    <w:rsid w:val="727D078D"/>
    <w:rsid w:val="73911F0F"/>
    <w:rsid w:val="73CBEBAE"/>
    <w:rsid w:val="74C70870"/>
    <w:rsid w:val="74FA3759"/>
    <w:rsid w:val="771B478E"/>
    <w:rsid w:val="7776DA4F"/>
    <w:rsid w:val="7806245E"/>
    <w:rsid w:val="78DBBD76"/>
    <w:rsid w:val="797D70B7"/>
    <w:rsid w:val="7A6E77AC"/>
    <w:rsid w:val="7AC5EC53"/>
    <w:rsid w:val="7AFEAD18"/>
    <w:rsid w:val="7B07669A"/>
    <w:rsid w:val="7B235C17"/>
    <w:rsid w:val="7B95CE2E"/>
    <w:rsid w:val="7BFFD4CE"/>
    <w:rsid w:val="7DDE25E5"/>
    <w:rsid w:val="7DE9DD17"/>
    <w:rsid w:val="7F9B3D18"/>
    <w:rsid w:val="BE8613FB"/>
    <w:rsid w:val="BF67779D"/>
    <w:rsid w:val="CEB7852F"/>
    <w:rsid w:val="DD774578"/>
    <w:rsid w:val="DFFF813F"/>
    <w:rsid w:val="EBE5223B"/>
    <w:rsid w:val="EFD4776A"/>
    <w:rsid w:val="F65F2259"/>
    <w:rsid w:val="F7DF0D8B"/>
    <w:rsid w:val="FDDB4120"/>
    <w:rsid w:val="FEC4B63B"/>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unhideWhenUsed="0" w:uiPriority="0" w:semiHidden="0" w:name="heading 5"/>
    <w:lsdException w:unhideWhenUsed="0" w:uiPriority="0" w:semiHidden="0" w:name="heading 6"/>
    <w:lsdException w:unhideWhenUsed="0" w:uiPriority="0" w:semiHidden="0" w:name="heading 7"/>
    <w:lsdException w:unhideWhenUsed="0" w:uiPriority="0" w:semiHidden="0" w:name="heading 8"/>
    <w:lsdException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unhideWhenUsed="0" w:uiPriority="0" w:semiHidden="0" w:name="Strong"/>
    <w:lsdException w:qFormat="1" w:unhideWhenUsed="0" w:uiPriority="0" w:semiHidden="0" w:name="Emphasis"/>
    <w:lsdException w:qFormat="1"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540" w:lineRule="exact"/>
      <w:ind w:firstLine="600" w:firstLineChars="200"/>
      <w:jc w:val="both"/>
    </w:pPr>
    <w:rPr>
      <w:rFonts w:ascii="方正仿宋_GBK" w:hAnsi="方正仿宋_GBK" w:eastAsia="方正仿宋_GBK" w:cs="方正仿宋_GBK"/>
      <w:kern w:val="2"/>
      <w:sz w:val="32"/>
      <w:szCs w:val="32"/>
      <w:lang w:val="en-US" w:eastAsia="zh-CN" w:bidi="ar-SA"/>
    </w:rPr>
  </w:style>
  <w:style w:type="paragraph" w:styleId="2">
    <w:name w:val="heading 1"/>
    <w:basedOn w:val="1"/>
    <w:next w:val="1"/>
    <w:link w:val="25"/>
    <w:qFormat/>
    <w:uiPriority w:val="0"/>
    <w:pPr>
      <w:keepNext/>
      <w:keepLines/>
      <w:spacing w:before="340" w:after="330" w:line="578" w:lineRule="auto"/>
      <w:ind w:firstLine="0" w:firstLineChars="0"/>
      <w:jc w:val="center"/>
      <w:outlineLvl w:val="0"/>
    </w:pPr>
    <w:rPr>
      <w:rFonts w:ascii="方正小标宋_GBK" w:hAnsi="方正小标宋_GBK" w:eastAsia="方正黑体_GBK" w:cs="方正小标宋_GBK"/>
      <w:b/>
      <w:bCs/>
      <w:kern w:val="44"/>
    </w:rPr>
  </w:style>
  <w:style w:type="paragraph" w:styleId="3">
    <w:name w:val="heading 2"/>
    <w:basedOn w:val="1"/>
    <w:next w:val="1"/>
    <w:link w:val="26"/>
    <w:qFormat/>
    <w:uiPriority w:val="0"/>
    <w:pPr>
      <w:keepNext/>
      <w:keepLines/>
      <w:spacing w:before="260" w:after="260" w:line="416" w:lineRule="auto"/>
      <w:jc w:val="center"/>
      <w:outlineLvl w:val="1"/>
    </w:pPr>
    <w:rPr>
      <w:b/>
      <w:bCs/>
      <w:szCs w:val="30"/>
    </w:rPr>
  </w:style>
  <w:style w:type="paragraph" w:styleId="4">
    <w:name w:val="heading 3"/>
    <w:basedOn w:val="1"/>
    <w:next w:val="1"/>
    <w:link w:val="27"/>
    <w:qFormat/>
    <w:uiPriority w:val="0"/>
    <w:pPr>
      <w:keepNext/>
      <w:keepLines/>
      <w:spacing w:before="260" w:after="260" w:line="416" w:lineRule="auto"/>
      <w:outlineLvl w:val="2"/>
    </w:pPr>
    <w:rPr>
      <w:b/>
      <w:bCs/>
      <w:szCs w:val="30"/>
    </w:rPr>
  </w:style>
  <w:style w:type="paragraph" w:styleId="5">
    <w:name w:val="heading 4"/>
    <w:basedOn w:val="1"/>
    <w:next w:val="1"/>
    <w:link w:val="28"/>
    <w:qFormat/>
    <w:uiPriority w:val="0"/>
    <w:pPr>
      <w:keepNext/>
      <w:keepLines/>
      <w:spacing w:before="280" w:after="290" w:line="376" w:lineRule="auto"/>
      <w:outlineLvl w:val="3"/>
    </w:pPr>
    <w:rPr>
      <w:b/>
      <w:bCs/>
      <w:szCs w:val="44"/>
    </w:rPr>
  </w:style>
  <w:style w:type="character" w:default="1" w:styleId="21">
    <w:name w:val="Default Paragraph Font"/>
    <w:qFormat/>
    <w:uiPriority w:val="0"/>
  </w:style>
  <w:style w:type="table" w:default="1" w:styleId="19">
    <w:name w:val="Normal Table"/>
    <w:qFormat/>
    <w:uiPriority w:val="0"/>
    <w:tblPr>
      <w:tblCellMar>
        <w:top w:w="0" w:type="dxa"/>
        <w:left w:w="108" w:type="dxa"/>
        <w:bottom w:w="0" w:type="dxa"/>
        <w:right w:w="108" w:type="dxa"/>
      </w:tblCellMar>
    </w:tblPr>
  </w:style>
  <w:style w:type="paragraph" w:styleId="6">
    <w:name w:val="Document Map"/>
    <w:basedOn w:val="1"/>
    <w:link w:val="29"/>
    <w:qFormat/>
    <w:uiPriority w:val="0"/>
    <w:rPr>
      <w:rFonts w:ascii="宋体" w:eastAsia="宋体"/>
      <w:sz w:val="18"/>
      <w:szCs w:val="18"/>
    </w:rPr>
  </w:style>
  <w:style w:type="paragraph" w:styleId="7">
    <w:name w:val="annotation text"/>
    <w:basedOn w:val="1"/>
    <w:link w:val="30"/>
    <w:qFormat/>
    <w:uiPriority w:val="0"/>
    <w:pPr>
      <w:jc w:val="left"/>
    </w:pPr>
    <w:rPr>
      <w:rFonts w:ascii="Calibri" w:hAnsi="Calibri" w:eastAsia="宋体" w:cs="宋体"/>
      <w:sz w:val="21"/>
      <w:szCs w:val="21"/>
    </w:rPr>
  </w:style>
  <w:style w:type="paragraph" w:styleId="8">
    <w:name w:val="Body Text"/>
    <w:basedOn w:val="1"/>
    <w:link w:val="31"/>
    <w:qFormat/>
    <w:uiPriority w:val="0"/>
    <w:pPr>
      <w:spacing w:after="120"/>
    </w:pPr>
  </w:style>
  <w:style w:type="paragraph" w:styleId="9">
    <w:name w:val="Body Text Indent"/>
    <w:basedOn w:val="1"/>
    <w:link w:val="32"/>
    <w:qFormat/>
    <w:uiPriority w:val="0"/>
    <w:pPr>
      <w:spacing w:after="120"/>
      <w:ind w:left="420" w:leftChars="200"/>
    </w:pPr>
  </w:style>
  <w:style w:type="paragraph" w:styleId="10">
    <w:name w:val="toc 3"/>
    <w:basedOn w:val="1"/>
    <w:next w:val="1"/>
    <w:qFormat/>
    <w:uiPriority w:val="0"/>
    <w:pPr>
      <w:ind w:left="400" w:leftChars="400" w:firstLine="0" w:firstLineChars="0"/>
    </w:pPr>
    <w:rPr>
      <w:sz w:val="28"/>
    </w:rPr>
  </w:style>
  <w:style w:type="paragraph" w:styleId="11">
    <w:name w:val="Balloon Text"/>
    <w:basedOn w:val="1"/>
    <w:link w:val="33"/>
    <w:qFormat/>
    <w:uiPriority w:val="0"/>
    <w:rPr>
      <w:sz w:val="18"/>
      <w:szCs w:val="18"/>
    </w:rPr>
  </w:style>
  <w:style w:type="paragraph" w:styleId="12">
    <w:name w:val="footer"/>
    <w:basedOn w:val="1"/>
    <w:link w:val="34"/>
    <w:qFormat/>
    <w:uiPriority w:val="0"/>
    <w:pPr>
      <w:tabs>
        <w:tab w:val="center" w:pos="4153"/>
        <w:tab w:val="right" w:pos="8306"/>
      </w:tabs>
      <w:snapToGrid w:val="0"/>
      <w:jc w:val="left"/>
    </w:pPr>
    <w:rPr>
      <w:sz w:val="18"/>
      <w:szCs w:val="18"/>
    </w:rPr>
  </w:style>
  <w:style w:type="paragraph" w:styleId="13">
    <w:name w:val="header"/>
    <w:basedOn w:val="1"/>
    <w:link w:val="35"/>
    <w:qFormat/>
    <w:uiPriority w:val="0"/>
    <w:pPr>
      <w:pBdr>
        <w:bottom w:val="single" w:color="auto" w:sz="6" w:space="1"/>
      </w:pBdr>
      <w:tabs>
        <w:tab w:val="center" w:pos="4153"/>
        <w:tab w:val="right" w:pos="8306"/>
      </w:tabs>
      <w:snapToGrid w:val="0"/>
      <w:jc w:val="center"/>
    </w:pPr>
    <w:rPr>
      <w:sz w:val="18"/>
      <w:szCs w:val="18"/>
    </w:rPr>
  </w:style>
  <w:style w:type="paragraph" w:styleId="14">
    <w:name w:val="toc 1"/>
    <w:basedOn w:val="1"/>
    <w:next w:val="1"/>
    <w:qFormat/>
    <w:uiPriority w:val="0"/>
    <w:pPr>
      <w:ind w:firstLine="0" w:firstLineChars="0"/>
    </w:pPr>
    <w:rPr>
      <w:rFonts w:ascii="方正小标宋_GBK" w:hAnsi="方正小标宋_GBK" w:eastAsia="方正小标宋_GBK" w:cs="方正小标宋_GBK"/>
      <w:szCs w:val="28"/>
    </w:rPr>
  </w:style>
  <w:style w:type="paragraph" w:styleId="15">
    <w:name w:val="toc 2"/>
    <w:basedOn w:val="1"/>
    <w:next w:val="1"/>
    <w:qFormat/>
    <w:uiPriority w:val="0"/>
    <w:pPr>
      <w:ind w:left="200" w:leftChars="200" w:firstLine="0" w:firstLineChars="0"/>
    </w:pPr>
    <w:rPr>
      <w:rFonts w:ascii="宋体" w:hAnsi="宋体" w:cs="宋体"/>
      <w:sz w:val="28"/>
      <w:szCs w:val="28"/>
    </w:rPr>
  </w:style>
  <w:style w:type="paragraph" w:styleId="16">
    <w:name w:val="Normal (Web)"/>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styleId="17">
    <w:name w:val="Body Text First Indent"/>
    <w:basedOn w:val="8"/>
    <w:link w:val="36"/>
    <w:qFormat/>
    <w:uiPriority w:val="0"/>
    <w:pPr>
      <w:ind w:firstLine="420" w:firstLineChars="100"/>
    </w:pPr>
  </w:style>
  <w:style w:type="paragraph" w:styleId="18">
    <w:name w:val="Body Text First Indent 2"/>
    <w:basedOn w:val="9"/>
    <w:link w:val="37"/>
    <w:qFormat/>
    <w:uiPriority w:val="0"/>
    <w:pPr>
      <w:ind w:firstLine="420"/>
    </w:pPr>
    <w:rPr>
      <w:rFonts w:ascii="Calibri" w:hAnsi="Calibri" w:eastAsia="宋体" w:cs="Times New Roman"/>
      <w:sz w:val="21"/>
      <w:szCs w:val="22"/>
    </w:rPr>
  </w:style>
  <w:style w:type="table" w:styleId="20">
    <w:name w:val="Table Grid"/>
    <w:basedOn w:val="19"/>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2">
    <w:name w:val="page number"/>
    <w:basedOn w:val="21"/>
    <w:qFormat/>
    <w:uiPriority w:val="0"/>
    <w:rPr>
      <w:rFonts w:cs="Times New Roman"/>
    </w:rPr>
  </w:style>
  <w:style w:type="character" w:styleId="23">
    <w:name w:val="Emphasis"/>
    <w:basedOn w:val="21"/>
    <w:qFormat/>
    <w:uiPriority w:val="0"/>
    <w:rPr>
      <w:i/>
      <w:iCs/>
    </w:rPr>
  </w:style>
  <w:style w:type="character" w:styleId="24">
    <w:name w:val="Hyperlink"/>
    <w:basedOn w:val="21"/>
    <w:qFormat/>
    <w:uiPriority w:val="0"/>
    <w:rPr>
      <w:color w:val="0000FF"/>
      <w:u w:val="single"/>
    </w:rPr>
  </w:style>
  <w:style w:type="character" w:customStyle="1" w:styleId="25">
    <w:name w:val="标题 1 字符"/>
    <w:basedOn w:val="21"/>
    <w:link w:val="2"/>
    <w:qFormat/>
    <w:uiPriority w:val="9"/>
    <w:rPr>
      <w:rFonts w:ascii="方正小标宋_GBK" w:hAnsi="方正小标宋_GBK" w:eastAsia="方正黑体_GBK" w:cs="方正小标宋_GBK"/>
      <w:b/>
      <w:bCs/>
      <w:kern w:val="44"/>
      <w:sz w:val="32"/>
      <w:szCs w:val="32"/>
    </w:rPr>
  </w:style>
  <w:style w:type="character" w:customStyle="1" w:styleId="26">
    <w:name w:val="标题 2 字符"/>
    <w:basedOn w:val="21"/>
    <w:link w:val="3"/>
    <w:qFormat/>
    <w:uiPriority w:val="9"/>
    <w:rPr>
      <w:rFonts w:ascii="方正仿宋_GBK" w:hAnsi="方正仿宋_GBK" w:eastAsia="方正仿宋_GBK" w:cs="方正仿宋_GBK"/>
      <w:b/>
      <w:bCs/>
      <w:sz w:val="30"/>
      <w:szCs w:val="30"/>
    </w:rPr>
  </w:style>
  <w:style w:type="character" w:customStyle="1" w:styleId="27">
    <w:name w:val="标题 3 字符"/>
    <w:basedOn w:val="21"/>
    <w:link w:val="4"/>
    <w:qFormat/>
    <w:uiPriority w:val="9"/>
    <w:rPr>
      <w:rFonts w:ascii="方正仿宋_GBK" w:hAnsi="方正仿宋_GBK" w:eastAsia="方正仿宋_GBK" w:cs="方正仿宋_GBK"/>
      <w:b/>
      <w:bCs/>
      <w:kern w:val="2"/>
      <w:sz w:val="30"/>
      <w:szCs w:val="30"/>
    </w:rPr>
  </w:style>
  <w:style w:type="character" w:customStyle="1" w:styleId="28">
    <w:name w:val="标题 4 字符"/>
    <w:basedOn w:val="21"/>
    <w:link w:val="5"/>
    <w:qFormat/>
    <w:uiPriority w:val="9"/>
    <w:rPr>
      <w:rFonts w:ascii="方正仿宋_GBK" w:hAnsi="方正仿宋_GBK" w:eastAsia="方正仿宋_GBK" w:cs="方正仿宋_GBK"/>
      <w:b/>
      <w:bCs/>
      <w:kern w:val="2"/>
      <w:sz w:val="30"/>
      <w:szCs w:val="44"/>
    </w:rPr>
  </w:style>
  <w:style w:type="character" w:customStyle="1" w:styleId="29">
    <w:name w:val="文档结构图 字符"/>
    <w:basedOn w:val="21"/>
    <w:link w:val="6"/>
    <w:semiHidden/>
    <w:qFormat/>
    <w:uiPriority w:val="99"/>
    <w:rPr>
      <w:rFonts w:ascii="宋体" w:eastAsia="宋体"/>
      <w:sz w:val="18"/>
      <w:szCs w:val="18"/>
    </w:rPr>
  </w:style>
  <w:style w:type="character" w:customStyle="1" w:styleId="30">
    <w:name w:val="批注文字 字符"/>
    <w:basedOn w:val="21"/>
    <w:link w:val="7"/>
    <w:qFormat/>
    <w:uiPriority w:val="99"/>
    <w:rPr>
      <w:rFonts w:ascii="Calibri" w:hAnsi="Calibri" w:eastAsia="宋体" w:cs="宋体"/>
      <w:szCs w:val="21"/>
    </w:rPr>
  </w:style>
  <w:style w:type="character" w:customStyle="1" w:styleId="31">
    <w:name w:val="正文文本 字符"/>
    <w:basedOn w:val="21"/>
    <w:link w:val="8"/>
    <w:semiHidden/>
    <w:qFormat/>
    <w:uiPriority w:val="99"/>
    <w:rPr>
      <w:rFonts w:ascii="方正仿宋_GBK" w:hAnsi="方正仿宋_GBK" w:eastAsia="方正仿宋_GBK" w:cs="方正仿宋_GBK"/>
      <w:sz w:val="30"/>
      <w:szCs w:val="32"/>
    </w:rPr>
  </w:style>
  <w:style w:type="character" w:customStyle="1" w:styleId="32">
    <w:name w:val="正文文本缩进 字符"/>
    <w:basedOn w:val="21"/>
    <w:link w:val="9"/>
    <w:semiHidden/>
    <w:qFormat/>
    <w:uiPriority w:val="99"/>
    <w:rPr>
      <w:rFonts w:ascii="方正仿宋_GBK" w:hAnsi="方正仿宋_GBK" w:eastAsia="方正仿宋_GBK" w:cs="方正仿宋_GBK"/>
      <w:sz w:val="30"/>
      <w:szCs w:val="32"/>
    </w:rPr>
  </w:style>
  <w:style w:type="character" w:customStyle="1" w:styleId="33">
    <w:name w:val="批注框文本 字符"/>
    <w:basedOn w:val="21"/>
    <w:link w:val="11"/>
    <w:semiHidden/>
    <w:qFormat/>
    <w:uiPriority w:val="99"/>
    <w:rPr>
      <w:rFonts w:ascii="方正仿宋_GBK" w:hAnsi="方正仿宋_GBK" w:eastAsia="方正仿宋_GBK" w:cs="方正仿宋_GBK"/>
      <w:sz w:val="18"/>
      <w:szCs w:val="18"/>
    </w:rPr>
  </w:style>
  <w:style w:type="character" w:customStyle="1" w:styleId="34">
    <w:name w:val="页脚 字符"/>
    <w:basedOn w:val="21"/>
    <w:link w:val="12"/>
    <w:qFormat/>
    <w:uiPriority w:val="99"/>
    <w:rPr>
      <w:sz w:val="18"/>
      <w:szCs w:val="18"/>
    </w:rPr>
  </w:style>
  <w:style w:type="character" w:customStyle="1" w:styleId="35">
    <w:name w:val="页眉 字符"/>
    <w:basedOn w:val="21"/>
    <w:link w:val="13"/>
    <w:qFormat/>
    <w:uiPriority w:val="99"/>
    <w:rPr>
      <w:sz w:val="18"/>
      <w:szCs w:val="18"/>
    </w:rPr>
  </w:style>
  <w:style w:type="character" w:customStyle="1" w:styleId="36">
    <w:name w:val="正文首行缩进 字符"/>
    <w:basedOn w:val="31"/>
    <w:link w:val="17"/>
    <w:qFormat/>
    <w:uiPriority w:val="99"/>
    <w:rPr>
      <w:rFonts w:ascii="方正仿宋_GBK" w:hAnsi="方正仿宋_GBK" w:eastAsia="方正仿宋_GBK" w:cs="方正仿宋_GBK"/>
      <w:sz w:val="30"/>
      <w:szCs w:val="32"/>
    </w:rPr>
  </w:style>
  <w:style w:type="character" w:customStyle="1" w:styleId="37">
    <w:name w:val="正文首行缩进 2 字符"/>
    <w:link w:val="18"/>
    <w:qFormat/>
    <w:uiPriority w:val="0"/>
    <w:rPr>
      <w:rFonts w:ascii="Calibri" w:hAnsi="Calibri"/>
    </w:rPr>
  </w:style>
  <w:style w:type="paragraph" w:styleId="38">
    <w:name w:val="List Paragraph"/>
    <w:basedOn w:val="1"/>
    <w:qFormat/>
    <w:uiPriority w:val="34"/>
    <w:pPr>
      <w:ind w:firstLine="420"/>
    </w:pPr>
  </w:style>
  <w:style w:type="paragraph" w:customStyle="1" w:styleId="39">
    <w:name w:val="列出段落1"/>
    <w:basedOn w:val="1"/>
    <w:qFormat/>
    <w:uiPriority w:val="34"/>
    <w:pPr>
      <w:ind w:firstLine="420"/>
    </w:pPr>
    <w:rPr>
      <w:rFonts w:ascii="Calibri" w:hAnsi="Calibri" w:eastAsia="宋体" w:cs="Times New Roman"/>
      <w:sz w:val="21"/>
      <w:szCs w:val="22"/>
    </w:rPr>
  </w:style>
  <w:style w:type="character" w:customStyle="1" w:styleId="40">
    <w:name w:val="正文首行缩进 2 Char1"/>
    <w:basedOn w:val="32"/>
    <w:semiHidden/>
    <w:qFormat/>
    <w:uiPriority w:val="99"/>
    <w:rPr>
      <w:rFonts w:ascii="方正仿宋_GBK" w:hAnsi="方正仿宋_GBK" w:eastAsia="方正仿宋_GBK" w:cs="方正仿宋_GBK"/>
      <w:sz w:val="30"/>
      <w:szCs w:val="32"/>
    </w:rPr>
  </w:style>
  <w:style w:type="paragraph" w:customStyle="1" w:styleId="41">
    <w:name w:val="TOC 标题1"/>
    <w:basedOn w:val="2"/>
    <w:next w:val="1"/>
    <w:unhideWhenUsed/>
    <w:qFormat/>
    <w:uiPriority w:val="39"/>
    <w:pPr>
      <w:widowControl/>
      <w:spacing w:before="480" w:after="0" w:line="276" w:lineRule="auto"/>
      <w:jc w:val="left"/>
      <w:outlineLvl w:val="9"/>
    </w:pPr>
    <w:rPr>
      <w:rFonts w:ascii="Cambria" w:hAnsi="Cambria" w:eastAsia="宋体" w:cs="Times New Roman"/>
      <w:color w:val="366091"/>
      <w:kern w:val="0"/>
      <w:sz w:val="28"/>
      <w:szCs w:val="28"/>
    </w:rPr>
  </w:style>
  <w:style w:type="paragraph" w:customStyle="1" w:styleId="42">
    <w:name w:val="正文1"/>
    <w:qFormat/>
    <w:uiPriority w:val="0"/>
    <w:pPr>
      <w:jc w:val="both"/>
    </w:pPr>
    <w:rPr>
      <w:rFonts w:ascii="Calibri" w:hAnsi="Calibri" w:eastAsia="宋体" w:cs="Calibri"/>
      <w:kern w:val="2"/>
      <w:sz w:val="21"/>
      <w:szCs w:val="21"/>
      <w:lang w:val="en-US" w:eastAsia="zh-CN" w:bidi="ar-SA"/>
    </w:rPr>
  </w:style>
  <w:style w:type="paragraph" w:customStyle="1" w:styleId="43">
    <w:name w:val="Default"/>
    <w:qFormat/>
    <w:uiPriority w:val="0"/>
    <w:pPr>
      <w:widowControl w:val="0"/>
      <w:autoSpaceDE w:val="0"/>
      <w:autoSpaceDN w:val="0"/>
      <w:adjustRightInd w:val="0"/>
    </w:pPr>
    <w:rPr>
      <w:rFonts w:ascii="方正仿宋_GBK" w:hAnsi="方正仿宋_GBK" w:eastAsia="宋体" w:cs="方正仿宋_GBK"/>
      <w:color w:val="000000"/>
      <w:sz w:val="24"/>
      <w:szCs w:val="24"/>
      <w:lang w:val="en-US" w:eastAsia="zh-CN" w:bidi="ar-SA"/>
    </w:rPr>
  </w:style>
  <w:style w:type="paragraph" w:customStyle="1" w:styleId="44">
    <w:name w:val="表内文"/>
    <w:basedOn w:val="1"/>
    <w:qFormat/>
    <w:uiPriority w:val="0"/>
    <w:pPr>
      <w:widowControl/>
      <w:ind w:firstLine="0" w:firstLineChars="0"/>
      <w:jc w:val="center"/>
    </w:pPr>
    <w:rPr>
      <w:rFonts w:ascii="宋体" w:hAnsi="宋体" w:eastAsia="宋体" w:cs="Times New Roman"/>
      <w:kern w:val="0"/>
      <w:sz w:val="24"/>
      <w:szCs w:val="24"/>
    </w:rPr>
  </w:style>
  <w:style w:type="paragraph" w:customStyle="1" w:styleId="45">
    <w:name w:val="WPSOffice手动目录 1"/>
    <w:qFormat/>
    <w:uiPriority w:val="0"/>
    <w:pPr>
      <w:ind w:leftChars="0"/>
    </w:pPr>
    <w:rPr>
      <w:rFonts w:ascii="Times New Roman" w:hAnsi="Times New Roman" w:eastAsia="宋体" w:cs="Times New Roman"/>
      <w:sz w:val="20"/>
      <w:szCs w:val="20"/>
    </w:rPr>
  </w:style>
  <w:style w:type="paragraph" w:customStyle="1" w:styleId="46">
    <w:name w:val="WPSOffice手动目录 2"/>
    <w:qFormat/>
    <w:uiPriority w:val="0"/>
    <w:pPr>
      <w:ind w:leftChars="20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2" Type="http://schemas.openxmlformats.org/officeDocument/2006/relationships/fontTable" Target="fontTable.xml"/><Relationship Id="rId21" Type="http://schemas.openxmlformats.org/officeDocument/2006/relationships/customXml" Target="../customXml/item1.xml"/><Relationship Id="rId20" Type="http://schemas.openxmlformats.org/officeDocument/2006/relationships/image" Target="media/image7.jpeg"/><Relationship Id="rId2" Type="http://schemas.openxmlformats.org/officeDocument/2006/relationships/settings" Target="settings.xml"/><Relationship Id="rId19" Type="http://schemas.openxmlformats.org/officeDocument/2006/relationships/image" Target="media/image6.jpeg"/><Relationship Id="rId18" Type="http://schemas.openxmlformats.org/officeDocument/2006/relationships/image" Target="media/image5.jpeg"/><Relationship Id="rId17" Type="http://schemas.openxmlformats.org/officeDocument/2006/relationships/image" Target="media/image4.jpeg"/><Relationship Id="rId16" Type="http://schemas.openxmlformats.org/officeDocument/2006/relationships/image" Target="media/image3.jpeg"/><Relationship Id="rId15" Type="http://schemas.openxmlformats.org/officeDocument/2006/relationships/image" Target="media/image2.jpeg"/><Relationship Id="rId14" Type="http://schemas.openxmlformats.org/officeDocument/2006/relationships/image" Target="media/image1.jpeg"/><Relationship Id="rId13" Type="http://schemas.openxmlformats.org/officeDocument/2006/relationships/theme" Target="theme/theme1.xml"/><Relationship Id="rId12" Type="http://schemas.openxmlformats.org/officeDocument/2006/relationships/footer" Target="footer4.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4097"/>
    <customShpInfo spid="_x0000_s4098"/>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92</Pages>
  <Words>35853</Words>
  <Characters>12053</Characters>
  <Lines>100</Lines>
  <Paragraphs>95</Paragraphs>
  <TotalTime>1</TotalTime>
  <ScaleCrop>false</ScaleCrop>
  <LinksUpToDate>false</LinksUpToDate>
  <CharactersWithSpaces>47811</CharactersWithSpaces>
  <Application>WPS Office_11.8.2.1126_F1E327BC-269C-435d-A152-05C5408002CA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2022-03-01T03:33:00Z</dcterms:created>
  <dc:creator>QC611151</dc:creator>
  <cp:lastModifiedBy>langchao</cp:lastModifiedBy>
  <cp:lastPrinted>2021-12-28T07:43:00Z</cp:lastPrinted>
  <dcterms:modified xsi:type="dcterms:W3CDTF">2024-05-14T17:15:34Z</dcterms:modified>
  <dc:title>重庆市永川区人民政府办公室</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2052-11.8.2.1126</vt:lpwstr>
  </property>
  <property fmtid="{D5CDD505-2E9C-101B-9397-08002B2CF9AE}" pid="3" name="ICV">
    <vt:lpwstr>672C7F33BAC64086B3CD5D4E26850BF7</vt:lpwstr>
  </property>
  <property fmtid="{D5CDD505-2E9C-101B-9397-08002B2CF9AE}" pid="4" name="KSOSaveFontToCloudKey">
    <vt:lpwstr>0_embed</vt:lpwstr>
  </property>
</Properties>
</file>