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jc w:val="center"/>
        <w:rPr>
          <w:rFonts w:hint="eastAsia" w:ascii="方正小标宋_GBK" w:hAnsi="方正小标宋_GBK" w:eastAsia="方正小标宋_GBK" w:cs="方正小标宋_GBK"/>
          <w:b w:val="0"/>
          <w:bCs w:val="0"/>
          <w:sz w:val="44"/>
          <w:szCs w:val="44"/>
          <w:lang w:val="en-US" w:eastAsia="zh-CN"/>
        </w:rPr>
      </w:pPr>
    </w:p>
    <w:p>
      <w:pPr>
        <w:overflowPunct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永川区20</w:t>
      </w:r>
      <w:r>
        <w:rPr>
          <w:rFonts w:hint="eastAsia" w:ascii="方正小标宋_GBK" w:hAnsi="方正小标宋_GBK" w:eastAsia="方正小标宋_GBK" w:cs="方正小标宋_GBK"/>
          <w:b w:val="0"/>
          <w:bCs w:val="0"/>
          <w:sz w:val="44"/>
          <w:szCs w:val="44"/>
        </w:rPr>
        <w:t>2</w:t>
      </w:r>
      <w:r>
        <w:rPr>
          <w:rFonts w:hint="eastAsia" w:ascii="方正小标宋_GBK" w:hAnsi="方正小标宋_GBK" w:eastAsia="方正小标宋_GBK" w:cs="方正小标宋_GBK"/>
          <w:b w:val="0"/>
          <w:bCs w:val="0"/>
          <w:sz w:val="44"/>
          <w:szCs w:val="44"/>
          <w:lang w:val="en-US" w:eastAsia="zh-CN"/>
        </w:rPr>
        <w:t>3</w:t>
      </w:r>
      <w:r>
        <w:rPr>
          <w:rFonts w:hint="eastAsia" w:ascii="方正小标宋_GBK" w:hAnsi="方正小标宋_GBK" w:eastAsia="方正小标宋_GBK" w:cs="方正小标宋_GBK"/>
          <w:b w:val="0"/>
          <w:bCs w:val="0"/>
          <w:sz w:val="44"/>
          <w:szCs w:val="44"/>
        </w:rPr>
        <w:t>年度彩票公益金项目使用管理情况表</w:t>
      </w:r>
    </w:p>
    <w:p>
      <w:pPr>
        <w:overflowPunct w:val="0"/>
        <w:spacing w:line="579" w:lineRule="exact"/>
        <w:ind w:left="-1039" w:leftChars="-495" w:right="-903" w:rightChars="-430" w:firstLine="840" w:firstLineChars="400"/>
        <w:rPr>
          <w:rFonts w:eastAsia="方正仿宋_GBK"/>
        </w:rPr>
      </w:pPr>
      <w:r>
        <w:rPr>
          <w:rFonts w:hint="eastAsia" w:eastAsia="方正仿宋_GBK"/>
        </w:rPr>
        <w:tab/>
      </w:r>
      <w:r>
        <w:rPr>
          <w:rFonts w:hint="eastAsia" w:eastAsia="方正仿宋_GBK"/>
        </w:rPr>
        <w:tab/>
      </w:r>
      <w:r>
        <w:rPr>
          <w:rFonts w:hint="eastAsia" w:eastAsia="方正仿宋_GBK"/>
        </w:rPr>
        <w:tab/>
      </w:r>
      <w:r>
        <w:rPr>
          <w:rFonts w:hint="eastAsia" w:eastAsia="方正仿宋_GBK"/>
        </w:rPr>
        <w:tab/>
      </w:r>
      <w:r>
        <w:rPr>
          <w:rFonts w:hint="eastAsia" w:eastAsia="方正仿宋_GBK"/>
        </w:rPr>
        <w:tab/>
      </w:r>
      <w:r>
        <w:rPr>
          <w:rFonts w:hint="eastAsia" w:eastAsia="方正仿宋_GBK"/>
          <w:lang w:val="en-US" w:eastAsia="zh-CN"/>
        </w:rPr>
        <w:t xml:space="preserve">                                                                                                      </w:t>
      </w:r>
      <w:r>
        <w:rPr>
          <w:rFonts w:hint="eastAsia" w:eastAsia="方正仿宋_GBK"/>
        </w:rPr>
        <w:t>单位：万元</w:t>
      </w:r>
    </w:p>
    <w:tbl>
      <w:tblPr>
        <w:tblStyle w:val="7"/>
        <w:tblW w:w="5656" w:type="pct"/>
        <w:jc w:val="center"/>
        <w:tblLayout w:type="fixed"/>
        <w:tblCellMar>
          <w:top w:w="0" w:type="dxa"/>
          <w:left w:w="108" w:type="dxa"/>
          <w:bottom w:w="0" w:type="dxa"/>
          <w:right w:w="108" w:type="dxa"/>
        </w:tblCellMar>
      </w:tblPr>
      <w:tblGrid>
        <w:gridCol w:w="683"/>
        <w:gridCol w:w="1655"/>
        <w:gridCol w:w="2280"/>
        <w:gridCol w:w="1170"/>
        <w:gridCol w:w="1155"/>
        <w:gridCol w:w="5325"/>
        <w:gridCol w:w="1409"/>
        <w:gridCol w:w="996"/>
      </w:tblGrid>
      <w:tr>
        <w:tblPrEx>
          <w:tblCellMar>
            <w:top w:w="0" w:type="dxa"/>
            <w:left w:w="108" w:type="dxa"/>
            <w:bottom w:w="0" w:type="dxa"/>
            <w:right w:w="108" w:type="dxa"/>
          </w:tblCellMar>
        </w:tblPrEx>
        <w:trPr>
          <w:cantSplit/>
          <w:jc w:val="center"/>
        </w:trPr>
        <w:tc>
          <w:tcPr>
            <w:tcW w:w="232" w:type="pct"/>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eastAsia="方正黑体_GBK"/>
                <w:szCs w:val="21"/>
              </w:rPr>
            </w:pPr>
            <w:r>
              <w:rPr>
                <w:rFonts w:hint="eastAsia" w:eastAsia="方正黑体_GBK"/>
                <w:szCs w:val="21"/>
              </w:rPr>
              <w:t>序号</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eastAsia="方正黑体_GBK"/>
                <w:szCs w:val="21"/>
                <w:lang w:eastAsia="zh-CN"/>
              </w:rPr>
            </w:pPr>
            <w:r>
              <w:rPr>
                <w:rFonts w:hint="eastAsia" w:eastAsia="方正黑体_GBK"/>
                <w:szCs w:val="21"/>
                <w:lang w:eastAsia="zh-CN"/>
              </w:rPr>
              <w:t>项目单位</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eastAsia="方正黑体_GBK"/>
                <w:szCs w:val="21"/>
              </w:rPr>
            </w:pPr>
            <w:r>
              <w:rPr>
                <w:rFonts w:hint="eastAsia" w:eastAsia="方正黑体_GBK"/>
                <w:szCs w:val="21"/>
              </w:rPr>
              <w:t>项目名称</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黑体_GBK"/>
                <w:szCs w:val="21"/>
              </w:rPr>
            </w:pPr>
            <w:r>
              <w:rPr>
                <w:rFonts w:hint="eastAsia" w:eastAsia="方正黑体_GBK"/>
                <w:szCs w:val="21"/>
              </w:rPr>
              <w:t>补助资金额度</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黑体_GBK"/>
                <w:szCs w:val="21"/>
              </w:rPr>
            </w:pPr>
            <w:r>
              <w:rPr>
                <w:rFonts w:hint="eastAsia" w:eastAsia="方正黑体_GBK"/>
                <w:szCs w:val="21"/>
              </w:rPr>
              <w:t>资金</w:t>
            </w:r>
          </w:p>
          <w:p>
            <w:pPr>
              <w:overflowPunct w:val="0"/>
              <w:snapToGrid w:val="0"/>
              <w:jc w:val="center"/>
              <w:rPr>
                <w:rFonts w:eastAsia="方正黑体_GBK"/>
                <w:szCs w:val="21"/>
              </w:rPr>
            </w:pPr>
            <w:r>
              <w:rPr>
                <w:rFonts w:hint="eastAsia" w:eastAsia="方正黑体_GBK"/>
                <w:szCs w:val="21"/>
              </w:rPr>
              <w:t>来源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黑体_GBK"/>
                <w:szCs w:val="21"/>
                <w:lang w:val="en-US" w:eastAsia="zh-CN"/>
              </w:rPr>
            </w:pPr>
            <w:r>
              <w:rPr>
                <w:rFonts w:hint="eastAsia" w:eastAsia="方正黑体_GBK"/>
                <w:szCs w:val="21"/>
              </w:rPr>
              <w:t>项目概况</w:t>
            </w:r>
            <w:r>
              <w:rPr>
                <w:rFonts w:hint="eastAsia" w:eastAsia="方正黑体_GBK"/>
                <w:szCs w:val="21"/>
                <w:lang w:eastAsia="zh-CN"/>
              </w:rPr>
              <w:t>及效果</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黑体_GBK"/>
                <w:szCs w:val="21"/>
              </w:rPr>
            </w:pPr>
            <w:r>
              <w:rPr>
                <w:rFonts w:hint="eastAsia" w:eastAsia="方正黑体_GBK"/>
                <w:szCs w:val="21"/>
              </w:rPr>
              <w:t>联络人及</w:t>
            </w:r>
          </w:p>
          <w:p>
            <w:pPr>
              <w:overflowPunct w:val="0"/>
              <w:snapToGrid w:val="0"/>
              <w:jc w:val="center"/>
              <w:rPr>
                <w:rFonts w:eastAsia="方正黑体_GBK"/>
                <w:szCs w:val="21"/>
              </w:rPr>
            </w:pPr>
            <w:r>
              <w:rPr>
                <w:rFonts w:hint="eastAsia" w:eastAsia="方正黑体_GBK"/>
                <w:szCs w:val="21"/>
              </w:rPr>
              <w:t>联系方式</w:t>
            </w: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黑体_GBK"/>
                <w:szCs w:val="21"/>
              </w:rPr>
            </w:pPr>
            <w:r>
              <w:rPr>
                <w:rFonts w:hint="eastAsia" w:eastAsia="方正黑体_GBK"/>
                <w:szCs w:val="21"/>
              </w:rPr>
              <w:t>备注</w:t>
            </w:r>
          </w:p>
        </w:tc>
      </w:tr>
      <w:tr>
        <w:tblPrEx>
          <w:tblCellMar>
            <w:top w:w="0" w:type="dxa"/>
            <w:left w:w="108" w:type="dxa"/>
            <w:bottom w:w="0" w:type="dxa"/>
            <w:right w:w="108" w:type="dxa"/>
          </w:tblCellMar>
        </w:tblPrEx>
        <w:trPr>
          <w:cantSplit/>
          <w:trHeight w:val="180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黑体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eastAsia="方正黑体_GBK"/>
                <w:szCs w:val="21"/>
                <w:lang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渝财社</w:t>
            </w:r>
            <w:r>
              <w:rPr>
                <w:rFonts w:hint="default" w:ascii="Times New Roman" w:hAnsi="Times New Roman" w:eastAsia="宋体" w:cs="Times New Roman"/>
                <w:i w:val="0"/>
                <w:iCs w:val="0"/>
                <w:color w:val="000000"/>
                <w:kern w:val="0"/>
                <w:sz w:val="22"/>
                <w:szCs w:val="22"/>
                <w:u w:val="none"/>
                <w:lang w:val="en-US" w:eastAsia="zh-CN" w:bidi="ar"/>
              </w:rPr>
              <w:t>〔2022〕</w:t>
            </w:r>
            <w:r>
              <w:rPr>
                <w:rFonts w:hint="default" w:ascii="Times New Roman" w:hAnsi="Times New Roman" w:eastAsia="方正仿宋_GBK" w:cs="Times New Roman"/>
                <w:color w:val="auto"/>
                <w:szCs w:val="21"/>
                <w:lang w:val="en-US" w:eastAsia="zh-CN"/>
              </w:rPr>
              <w:t>169</w:t>
            </w:r>
            <w:r>
              <w:rPr>
                <w:rFonts w:hint="eastAsia" w:eastAsia="方正仿宋_GBK"/>
                <w:color w:val="auto"/>
                <w:szCs w:val="21"/>
              </w:rPr>
              <w:t>号</w:t>
            </w:r>
            <w:r>
              <w:rPr>
                <w:rFonts w:hint="eastAsia" w:eastAsia="方正仿宋_GBK"/>
                <w:szCs w:val="21"/>
                <w:lang w:val="en-US" w:eastAsia="zh-CN"/>
              </w:rPr>
              <w:t>孤儿助学</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27</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中央彩票公益金</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黑体_GBK"/>
                <w:szCs w:val="21"/>
              </w:rPr>
            </w:pPr>
            <w:r>
              <w:rPr>
                <w:rFonts w:hint="eastAsia" w:eastAsia="方正仿宋_GBK"/>
                <w:color w:val="auto"/>
                <w:szCs w:val="21"/>
                <w:lang w:val="en-US" w:eastAsia="zh-CN"/>
              </w:rPr>
              <w:t>全区在册符合助学条件的孤儿，</w:t>
            </w:r>
            <w:r>
              <w:rPr>
                <w:rFonts w:hint="eastAsia" w:eastAsia="方正仿宋_GBK"/>
                <w:color w:val="auto"/>
                <w:szCs w:val="21"/>
                <w:lang w:eastAsia="zh-CN"/>
              </w:rPr>
              <w:t>按每人每学年1万元助学标准，采用打卡发放方式，每月</w:t>
            </w:r>
            <w:r>
              <w:rPr>
                <w:rFonts w:hint="eastAsia" w:eastAsia="方正仿宋_GBK"/>
                <w:color w:val="auto"/>
                <w:szCs w:val="21"/>
                <w:lang w:val="en-US" w:eastAsia="zh-CN"/>
              </w:rPr>
              <w:t>将1000元助学金发放到儿童本人的银行卡，共发放10个月，维护孤儿受教育权利。2023年共有36名孤儿享受助学保障。</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黑体_GBK"/>
                <w:szCs w:val="21"/>
              </w:rPr>
            </w:pPr>
          </w:p>
        </w:tc>
      </w:tr>
      <w:tr>
        <w:tblPrEx>
          <w:tblCellMar>
            <w:top w:w="0" w:type="dxa"/>
            <w:left w:w="108" w:type="dxa"/>
            <w:bottom w:w="0" w:type="dxa"/>
            <w:right w:w="108" w:type="dxa"/>
          </w:tblCellMar>
        </w:tblPrEx>
        <w:trPr>
          <w:cantSplit/>
          <w:trHeight w:val="205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黑体_GBK"/>
                <w:szCs w:val="21"/>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eastAsia="方正黑体_GBK"/>
                <w:szCs w:val="21"/>
                <w:lang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渝财社</w:t>
            </w:r>
            <w:r>
              <w:rPr>
                <w:rFonts w:hint="default" w:ascii="Times New Roman" w:hAnsi="Times New Roman" w:eastAsia="宋体" w:cs="Times New Roman"/>
                <w:i w:val="0"/>
                <w:iCs w:val="0"/>
                <w:color w:val="000000"/>
                <w:kern w:val="0"/>
                <w:sz w:val="22"/>
                <w:szCs w:val="22"/>
                <w:u w:val="none"/>
                <w:lang w:val="en-US" w:eastAsia="zh-CN" w:bidi="ar"/>
              </w:rPr>
              <w:t>〔2022〕</w:t>
            </w:r>
            <w:r>
              <w:rPr>
                <w:rFonts w:hint="default" w:ascii="Times New Roman" w:hAnsi="Times New Roman" w:eastAsia="方正仿宋_GBK" w:cs="Times New Roman"/>
                <w:color w:val="auto"/>
                <w:szCs w:val="21"/>
                <w:lang w:val="en-US" w:eastAsia="zh-CN"/>
              </w:rPr>
              <w:t>169</w:t>
            </w:r>
            <w:r>
              <w:rPr>
                <w:rFonts w:hint="eastAsia" w:eastAsia="方正仿宋_GBK"/>
                <w:color w:val="auto"/>
                <w:szCs w:val="21"/>
              </w:rPr>
              <w:t>号</w:t>
            </w:r>
            <w:r>
              <w:rPr>
                <w:rFonts w:hint="eastAsia" w:eastAsia="方正仿宋_GBK"/>
                <w:color w:val="auto"/>
                <w:szCs w:val="21"/>
                <w:lang w:eastAsia="zh-CN"/>
              </w:rPr>
              <w:t>事实无人抚养儿童助学</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8.8</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市级彩票公益金</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黑体_GBK"/>
                <w:szCs w:val="21"/>
              </w:rPr>
            </w:pPr>
            <w:r>
              <w:rPr>
                <w:rFonts w:hint="eastAsia" w:eastAsia="方正仿宋_GBK"/>
                <w:color w:val="auto"/>
                <w:szCs w:val="21"/>
                <w:lang w:val="en-US" w:eastAsia="zh-CN"/>
              </w:rPr>
              <w:t>对全区在册符合助学条件的事实无人抚养儿童，</w:t>
            </w:r>
            <w:r>
              <w:rPr>
                <w:rFonts w:hint="eastAsia" w:eastAsia="方正仿宋_GBK"/>
                <w:color w:val="auto"/>
                <w:szCs w:val="21"/>
                <w:lang w:eastAsia="zh-CN"/>
              </w:rPr>
              <w:t>按每人每学年</w:t>
            </w:r>
            <w:r>
              <w:rPr>
                <w:rFonts w:hint="eastAsia" w:eastAsia="方正仿宋_GBK"/>
                <w:color w:val="auto"/>
                <w:szCs w:val="21"/>
                <w:lang w:val="en-US" w:eastAsia="zh-CN"/>
              </w:rPr>
              <w:t>8000</w:t>
            </w:r>
            <w:r>
              <w:rPr>
                <w:rFonts w:hint="eastAsia" w:eastAsia="方正仿宋_GBK"/>
                <w:color w:val="auto"/>
                <w:szCs w:val="21"/>
                <w:lang w:eastAsia="zh-CN"/>
              </w:rPr>
              <w:t>元助学标准，采用打卡发放方式，每月</w:t>
            </w:r>
            <w:r>
              <w:rPr>
                <w:rFonts w:hint="eastAsia" w:eastAsia="方正仿宋_GBK"/>
                <w:color w:val="auto"/>
                <w:szCs w:val="21"/>
                <w:lang w:val="en-US" w:eastAsia="zh-CN"/>
              </w:rPr>
              <w:t>将800元助学金发放到儿童本人的银行卡，共发放10个月，维护事实无人抚养儿童受教育权利。2023年共有48名事实无人抚养儿童享受助学保障。</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黑体_GBK"/>
                <w:szCs w:val="21"/>
              </w:rPr>
            </w:pPr>
          </w:p>
        </w:tc>
      </w:tr>
      <w:tr>
        <w:tblPrEx>
          <w:tblCellMar>
            <w:top w:w="0" w:type="dxa"/>
            <w:left w:w="108" w:type="dxa"/>
            <w:bottom w:w="0" w:type="dxa"/>
            <w:right w:w="108" w:type="dxa"/>
          </w:tblCellMar>
        </w:tblPrEx>
        <w:trPr>
          <w:cantSplit/>
          <w:trHeight w:val="220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黑体_GBK"/>
                <w:szCs w:val="21"/>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eastAsia="方正黑体_GBK"/>
                <w:szCs w:val="21"/>
                <w:lang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渝财社</w:t>
            </w:r>
            <w:r>
              <w:rPr>
                <w:rFonts w:hint="default" w:ascii="Times New Roman" w:hAnsi="Times New Roman" w:eastAsia="宋体" w:cs="Times New Roman"/>
                <w:i w:val="0"/>
                <w:iCs w:val="0"/>
                <w:color w:val="000000"/>
                <w:kern w:val="0"/>
                <w:sz w:val="22"/>
                <w:szCs w:val="22"/>
                <w:u w:val="none"/>
                <w:lang w:val="en-US" w:eastAsia="zh-CN" w:bidi="ar"/>
              </w:rPr>
              <w:t>〔2022〕</w:t>
            </w:r>
            <w:r>
              <w:rPr>
                <w:rFonts w:hint="default" w:ascii="Times New Roman" w:hAnsi="Times New Roman" w:eastAsia="方正仿宋_GBK" w:cs="Times New Roman"/>
                <w:color w:val="auto"/>
                <w:szCs w:val="21"/>
                <w:lang w:val="en-US" w:eastAsia="zh-CN"/>
              </w:rPr>
              <w:t>169</w:t>
            </w:r>
            <w:r>
              <w:rPr>
                <w:rFonts w:hint="eastAsia" w:eastAsia="方正仿宋_GBK"/>
                <w:color w:val="auto"/>
                <w:szCs w:val="21"/>
              </w:rPr>
              <w:t>号乡镇（街道）养老服务中心和社区养老服务站建设奖补</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100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市级彩票公益金</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黑体_GBK"/>
                <w:szCs w:val="21"/>
              </w:rPr>
            </w:pPr>
            <w:r>
              <w:rPr>
                <w:rFonts w:hint="eastAsia" w:eastAsia="方正仿宋_GBK"/>
                <w:color w:val="auto"/>
                <w:szCs w:val="21"/>
                <w:lang w:val="en-US" w:eastAsia="zh-CN"/>
              </w:rPr>
              <w:t>按照“街道、乡镇建养老服务中心，社区建养老服务站，村建互助点”的要求，全面推进城乡社区居家养老服务设施建设，实现社区居家养老服务全覆盖。此次补助髙敬鸿社区养老服务中心和智老尊享致亲养老服务中心各50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黑体_GBK"/>
                <w:szCs w:val="21"/>
              </w:rPr>
            </w:pPr>
          </w:p>
        </w:tc>
      </w:tr>
      <w:tr>
        <w:tblPrEx>
          <w:tblCellMar>
            <w:top w:w="0" w:type="dxa"/>
            <w:left w:w="108" w:type="dxa"/>
            <w:bottom w:w="0" w:type="dxa"/>
            <w:right w:w="108" w:type="dxa"/>
          </w:tblCellMar>
        </w:tblPrEx>
        <w:trPr>
          <w:cantSplit/>
          <w:trHeight w:val="2235"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黑体_GBK"/>
                <w:szCs w:val="21"/>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default" w:eastAsia="方正黑体_GBK"/>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渝财社</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eastAsia="方正仿宋_GBK"/>
                <w:color w:val="auto"/>
                <w:szCs w:val="21"/>
                <w:lang w:val="en-US" w:eastAsia="zh-CN"/>
              </w:rPr>
              <w:t>103</w:t>
            </w:r>
            <w:r>
              <w:rPr>
                <w:rFonts w:hint="eastAsia" w:eastAsia="方正仿宋_GBK"/>
                <w:color w:val="auto"/>
                <w:szCs w:val="21"/>
              </w:rPr>
              <w:t>号</w:t>
            </w:r>
            <w:r>
              <w:rPr>
                <w:rFonts w:hint="eastAsia" w:eastAsia="方正仿宋_GBK"/>
                <w:color w:val="auto"/>
                <w:szCs w:val="21"/>
                <w:lang w:eastAsia="zh-CN"/>
              </w:rPr>
              <w:t>综合服务设施建设</w:t>
            </w:r>
            <w:bookmarkStart w:id="0" w:name="_GoBack"/>
            <w:bookmarkEnd w:id="0"/>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市级彩票公益金</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黑体_GBK"/>
                <w:szCs w:val="21"/>
              </w:rPr>
            </w:pPr>
            <w:r>
              <w:rPr>
                <w:rFonts w:hint="eastAsia" w:eastAsia="方正仿宋_GBK"/>
                <w:szCs w:val="21"/>
              </w:rPr>
              <w:t>打造南大街街道小南村综合服务示范点，进一步优化城乡社区综合服务体功能设置，配备含党群服务中心（社区便民服务中心）、警务室、卫生服务站、老年人日间照料中心、文化活动室、多功能运动场、菜店（平价超市）等设施，鼓励生活性服务业进驻综合服务体，推动行政化的办公场所向功能化的服务场所转变。</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黑体_GBK"/>
                <w:szCs w:val="21"/>
              </w:rPr>
            </w:pPr>
          </w:p>
        </w:tc>
      </w:tr>
      <w:tr>
        <w:tblPrEx>
          <w:tblCellMar>
            <w:top w:w="0" w:type="dxa"/>
            <w:left w:w="108" w:type="dxa"/>
            <w:bottom w:w="0" w:type="dxa"/>
            <w:right w:w="108" w:type="dxa"/>
          </w:tblCellMar>
        </w:tblPrEx>
        <w:trPr>
          <w:cantSplit/>
          <w:trHeight w:val="222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黑体_GBK"/>
                <w:szCs w:val="21"/>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重庆市永川区司法局</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val="en-US" w:eastAsia="zh-CN"/>
              </w:rPr>
            </w:pPr>
            <w:r>
              <w:rPr>
                <w:rFonts w:hint="eastAsia" w:eastAsia="方正仿宋_GBK"/>
                <w:szCs w:val="21"/>
                <w:lang w:val="en-US" w:eastAsia="zh-CN"/>
              </w:rPr>
              <w:t>渝财综〔2023〕31号社区矫正中心维修改造</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90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市级彩票公益金</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对社区矫正中心办公业务用房共约800平米进行维修改造，包括房顶升级更换、墙体加固和防水处理；同时，结合社区矫正中心建设规范要求，在指挥中心配置拼接大屏幕，配备实现与市局、镇（街）司法所的联网运行。目前社区矫正中心办公业务用房改造及装备升级联网运行已结项，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何睿立 49885221</w:t>
            </w: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黑体_GBK"/>
                <w:szCs w:val="21"/>
              </w:rPr>
            </w:pPr>
          </w:p>
        </w:tc>
      </w:tr>
      <w:tr>
        <w:tblPrEx>
          <w:tblCellMar>
            <w:top w:w="0" w:type="dxa"/>
            <w:left w:w="108" w:type="dxa"/>
            <w:bottom w:w="0" w:type="dxa"/>
            <w:right w:w="108" w:type="dxa"/>
          </w:tblCellMar>
        </w:tblPrEx>
        <w:trPr>
          <w:cantSplit/>
          <w:trHeight w:val="390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黑体_GBK"/>
                <w:szCs w:val="21"/>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重庆市永川区胜利路街道</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渝财综〔2023〕31号综合服务设施建设项目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110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市级彩票公益金</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对张家坡社区综合服务用房1298平方米进行全面改造装修，建筑面积1298平方米，室外停车场1000平方米。主要内容包括拆除工程、土建工程、装饰工程、给排水工程、电气工程、暖通工程、消防工程、火灾报警工程、弱电智能化工程等相关工作内容。2.本项目设置了服务大厅、党群讲席所、退役军人服务站、工会活动室、青年之家、妇女之家、儿童之家、党支部活动室、文娱活动室、调解中心、微型消防站等公共服务功能及老年日间照护、图书阅览室、创客空间、心理咨询、社区快递、茶语室、节目排练、市民课堂等生活性服务功能。3.本项目建成后每月将开展一次活动，受益群众达到上万人。资金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曾昭敏13983125719</w:t>
            </w:r>
          </w:p>
          <w:p>
            <w:pPr>
              <w:overflowPunct w:val="0"/>
              <w:snapToGrid w:val="0"/>
              <w:jc w:val="center"/>
              <w:rPr>
                <w:rFonts w:hint="eastAsia" w:ascii="Times New Roman" w:hAnsi="Times New Roman" w:eastAsia="方正仿宋_GBK" w:cs="Times New Roman"/>
                <w:szCs w:val="21"/>
                <w:lang w:val="en-US" w:eastAsia="zh-CN"/>
              </w:rPr>
            </w:pPr>
          </w:p>
        </w:tc>
        <w:tc>
          <w:tcPr>
            <w:tcW w:w="339"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黑体_GBK"/>
                <w:szCs w:val="21"/>
              </w:rPr>
            </w:pPr>
          </w:p>
        </w:tc>
      </w:tr>
      <w:tr>
        <w:tblPrEx>
          <w:tblCellMar>
            <w:top w:w="0" w:type="dxa"/>
            <w:left w:w="108" w:type="dxa"/>
            <w:bottom w:w="0" w:type="dxa"/>
            <w:right w:w="108" w:type="dxa"/>
          </w:tblCellMar>
        </w:tblPrEx>
        <w:trPr>
          <w:cantSplit/>
          <w:trHeight w:val="432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渝财综〔2022〕39号永川区精神障碍社区康复服务</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仿宋_GBK"/>
                <w:szCs w:val="21"/>
                <w:lang w:eastAsia="zh-CN"/>
              </w:rPr>
            </w:pPr>
            <w:r>
              <w:rPr>
                <w:rFonts w:hint="eastAsia" w:eastAsia="方正仿宋_GBK"/>
                <w:szCs w:val="21"/>
              </w:rPr>
              <w:t>总结“精残项目”试点工作经验和做法，形成一批可持续、可复制、可推广的示范样板和典型经验，并在全区社会工作站搭建精神障碍社区康复资源平台，围绕提高精神障碍患者生活自理、适应社会、恢复职业等能力，开展服药训练、职业能力训练、社交技能训练、居家康复指导、心理疏导等服务</w:t>
            </w:r>
            <w:r>
              <w:rPr>
                <w:rFonts w:hint="eastAsia" w:eastAsia="方正仿宋_GBK"/>
                <w:szCs w:val="21"/>
                <w:lang w:eastAsia="zh-CN"/>
              </w:rPr>
              <w:t>。</w:t>
            </w:r>
            <w:r>
              <w:rPr>
                <w:rFonts w:hint="eastAsia" w:eastAsia="方正仿宋_GBK"/>
                <w:szCs w:val="21"/>
                <w:lang w:val="en-US" w:eastAsia="zh-CN"/>
              </w:rPr>
              <w:t>建立精神障碍患者基础档案5276份，心理健康测评5276次，为1001位精神障碍患者开展入户探访、上门慰问、面对面心理测评1001次；开展一对一心理帮扶服务101人，结案21人；小组活动120节；主题活动65场；社区工作人员及精神障碍工作人员培训23场；开展精神障碍患者家属增能培训4场；开展项目督导12次；发表线上活动动态等78次；促进20名精障患者就业。</w:t>
            </w:r>
            <w:r>
              <w:rPr>
                <w:rFonts w:hint="eastAsia" w:eastAsia="方正仿宋_GBK"/>
                <w:szCs w:val="21"/>
                <w:lang w:eastAsia="zh-CN"/>
              </w:rPr>
              <w:t>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422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w:t>
            </w:r>
            <w:r>
              <w:rPr>
                <w:rFonts w:hint="eastAsia" w:eastAsia="方正仿宋_GBK" w:cs="Times New Roman"/>
                <w:szCs w:val="21"/>
                <w:lang w:val="en-US" w:eastAsia="zh-CN"/>
              </w:rPr>
              <w:t>3</w:t>
            </w:r>
            <w:r>
              <w:rPr>
                <w:rFonts w:hint="eastAsia" w:ascii="Times New Roman" w:hAnsi="Times New Roman" w:eastAsia="方正仿宋_GBK" w:cs="Times New Roman"/>
                <w:szCs w:val="21"/>
                <w:lang w:val="en-US" w:eastAsia="zh-CN"/>
              </w:rPr>
              <w:t>〕3</w:t>
            </w:r>
            <w:r>
              <w:rPr>
                <w:rFonts w:hint="eastAsia" w:eastAsia="方正仿宋_GBK" w:cs="Times New Roman"/>
                <w:szCs w:val="21"/>
                <w:lang w:val="en-US" w:eastAsia="zh-CN"/>
              </w:rPr>
              <w:t>6</w:t>
            </w:r>
            <w:r>
              <w:rPr>
                <w:rFonts w:hint="eastAsia" w:ascii="Times New Roman" w:hAnsi="Times New Roman" w:eastAsia="方正仿宋_GBK" w:cs="Times New Roman"/>
                <w:szCs w:val="21"/>
                <w:lang w:val="en-US" w:eastAsia="zh-CN"/>
              </w:rPr>
              <w:t>号</w:t>
            </w:r>
            <w:r>
              <w:rPr>
                <w:rFonts w:hint="eastAsia" w:eastAsia="方正仿宋_GBK" w:cs="Times New Roman"/>
                <w:szCs w:val="21"/>
                <w:lang w:val="en-US" w:eastAsia="zh-CN"/>
              </w:rPr>
              <w:t>、</w:t>
            </w:r>
            <w:r>
              <w:rPr>
                <w:rFonts w:hint="eastAsia" w:ascii="Times New Roman" w:hAnsi="Times New Roman" w:eastAsia="方正仿宋_GBK" w:cs="Times New Roman"/>
                <w:szCs w:val="21"/>
                <w:lang w:val="en-US" w:eastAsia="zh-CN"/>
              </w:rPr>
              <w:t>渝财综〔2022〕39号2023年度社工考前培训和村（居）监督委员会主任培训</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33</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lang w:val="zh-CN" w:eastAsia="zh-CN"/>
              </w:rPr>
              <w:t>开展</w:t>
            </w:r>
            <w:r>
              <w:rPr>
                <w:rFonts w:hint="eastAsia" w:eastAsia="方正仿宋_GBK"/>
                <w:szCs w:val="21"/>
                <w:lang w:val="en-US" w:eastAsia="zh-CN"/>
              </w:rPr>
              <w:t>考前公益培训，</w:t>
            </w:r>
            <w:r>
              <w:rPr>
                <w:rFonts w:hint="eastAsia" w:eastAsia="方正仿宋_GBK"/>
                <w:szCs w:val="21"/>
                <w:lang w:val="zh-CN" w:eastAsia="zh-CN"/>
              </w:rPr>
              <w:t>开设初中级</w:t>
            </w:r>
            <w:r>
              <w:rPr>
                <w:rFonts w:hint="eastAsia" w:eastAsia="方正仿宋_GBK"/>
                <w:szCs w:val="21"/>
                <w:lang w:val="en-US" w:eastAsia="zh-CN"/>
              </w:rPr>
              <w:t>2</w:t>
            </w:r>
            <w:r>
              <w:rPr>
                <w:rFonts w:hint="eastAsia" w:eastAsia="方正仿宋_GBK"/>
                <w:szCs w:val="21"/>
                <w:lang w:val="zh-CN" w:eastAsia="zh-CN"/>
              </w:rPr>
              <w:t>个班次</w:t>
            </w:r>
            <w:r>
              <w:rPr>
                <w:rFonts w:hint="eastAsia" w:eastAsia="方正仿宋_GBK"/>
                <w:szCs w:val="21"/>
                <w:lang w:val="en-US" w:eastAsia="zh-CN"/>
              </w:rPr>
              <w:t>5</w:t>
            </w:r>
            <w:r>
              <w:rPr>
                <w:rFonts w:hint="eastAsia" w:eastAsia="方正仿宋_GBK"/>
                <w:szCs w:val="21"/>
                <w:lang w:val="zh-CN" w:eastAsia="zh-CN"/>
              </w:rPr>
              <w:t>门课程，围绕考试重点和难点，共计</w:t>
            </w:r>
            <w:r>
              <w:rPr>
                <w:rFonts w:hint="eastAsia" w:eastAsia="方正仿宋_GBK"/>
                <w:szCs w:val="21"/>
                <w:lang w:val="en-US" w:eastAsia="zh-CN"/>
              </w:rPr>
              <w:t>1300余人次参训，近200名考生通过培训取得证书，</w:t>
            </w:r>
            <w:r>
              <w:rPr>
                <w:rFonts w:hint="eastAsia" w:eastAsia="方正仿宋_GBK"/>
                <w:szCs w:val="21"/>
              </w:rPr>
              <w:t>进一步壮大</w:t>
            </w:r>
            <w:r>
              <w:rPr>
                <w:rFonts w:hint="eastAsia" w:eastAsia="方正仿宋_GBK"/>
                <w:szCs w:val="21"/>
                <w:lang w:eastAsia="zh-CN"/>
              </w:rPr>
              <w:t>了</w:t>
            </w:r>
            <w:r>
              <w:rPr>
                <w:rFonts w:hint="eastAsia" w:eastAsia="方正仿宋_GBK"/>
                <w:szCs w:val="21"/>
              </w:rPr>
              <w:t>本土社会工作人才队伍，提升社会工作者的职业素养和专业能力；</w:t>
            </w:r>
            <w:r>
              <w:rPr>
                <w:rFonts w:hint="eastAsia" w:eastAsia="方正仿宋_GBK"/>
                <w:szCs w:val="21"/>
                <w:lang w:eastAsia="zh-CN"/>
              </w:rPr>
              <w:t>召开</w:t>
            </w:r>
            <w:r>
              <w:rPr>
                <w:rFonts w:hint="eastAsia" w:eastAsia="方正仿宋_GBK"/>
                <w:szCs w:val="21"/>
                <w:lang w:val="en-US" w:eastAsia="zh-CN"/>
              </w:rPr>
              <w:t>永川区2023年村（居）务监督委员会主任培训班，围绕党建统领基层治理、农村三资、村（居）务监督制度等方面进行授课，全面提升村（居）务监督委员会主任履职能力，增强村（居）务监督委员会监督质效；召开“五社联动”社区治理创新研讨培训会，本土社工机构、志愿队伍、社会组织等130余名“五社”相关方参加活动，</w:t>
            </w:r>
            <w:r>
              <w:rPr>
                <w:rFonts w:hint="eastAsia" w:eastAsia="方正仿宋_GBK"/>
                <w:szCs w:val="21"/>
              </w:rPr>
              <w:t>推动“五社联动”助力基层治理走深走实，加强社区工作者队伍建设，增强社工队伍的凝聚力和归属感，促进</w:t>
            </w:r>
            <w:r>
              <w:rPr>
                <w:rFonts w:hint="eastAsia" w:eastAsia="方正仿宋_GBK"/>
                <w:szCs w:val="21"/>
                <w:lang w:eastAsia="zh-CN"/>
              </w:rPr>
              <w:t>了</w:t>
            </w:r>
            <w:r>
              <w:rPr>
                <w:rFonts w:hint="eastAsia" w:eastAsia="方正仿宋_GBK"/>
                <w:szCs w:val="21"/>
              </w:rPr>
              <w:t>各社会组织之间的沟通交流。</w:t>
            </w:r>
            <w:r>
              <w:rPr>
                <w:rFonts w:hint="eastAsia" w:eastAsia="方正仿宋_GBK"/>
                <w:szCs w:val="21"/>
                <w:lang w:eastAsia="zh-CN"/>
              </w:rPr>
              <w:t>支付资金</w:t>
            </w:r>
            <w:r>
              <w:rPr>
                <w:rFonts w:hint="eastAsia" w:eastAsia="方正仿宋_GBK"/>
                <w:szCs w:val="21"/>
                <w:lang w:val="en-US" w:eastAsia="zh-CN"/>
              </w:rPr>
              <w:t>18.5万元。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70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渝财综〔2022〕39号2023年养老机构消防安全评估项目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20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lang w:val="en-US" w:eastAsia="zh-CN"/>
              </w:rPr>
              <w:t>落实《养老机构服务安全基本规范》，对全区养老机构进行消防安全评估检查2次，全面掌握全区养老机构消防安全保障情况，</w:t>
            </w:r>
            <w:r>
              <w:rPr>
                <w:rFonts w:hint="eastAsia" w:eastAsia="方正仿宋_GBK"/>
                <w:szCs w:val="21"/>
              </w:rPr>
              <w:t>并按照“一地一策”“一院一案”要求开展集中整治</w:t>
            </w:r>
            <w:r>
              <w:rPr>
                <w:rFonts w:hint="eastAsia" w:eastAsia="方正仿宋_GBK"/>
                <w:szCs w:val="21"/>
                <w:lang w:val="en-US" w:eastAsia="zh-CN"/>
              </w:rPr>
              <w:t>，</w:t>
            </w:r>
            <w:r>
              <w:rPr>
                <w:rFonts w:hint="eastAsia" w:eastAsia="方正仿宋_GBK"/>
                <w:szCs w:val="21"/>
              </w:rPr>
              <w:t>确保评估排查发现的消防安全风险隐患全部消除</w:t>
            </w:r>
            <w:r>
              <w:rPr>
                <w:rFonts w:hint="eastAsia" w:eastAsia="方正仿宋_GBK"/>
                <w:szCs w:val="21"/>
                <w:lang w:eastAsia="zh-CN"/>
              </w:rPr>
              <w:t>，</w:t>
            </w:r>
            <w:r>
              <w:rPr>
                <w:rFonts w:hint="eastAsia" w:eastAsia="方正仿宋_GBK"/>
                <w:szCs w:val="21"/>
                <w:lang w:val="en-US" w:eastAsia="zh-CN"/>
              </w:rPr>
              <w:t>提升养老服务机构消防安全保障水平。对</w:t>
            </w:r>
            <w:r>
              <w:rPr>
                <w:rFonts w:hint="eastAsia" w:eastAsia="方正仿宋_GBK"/>
                <w:szCs w:val="21"/>
              </w:rPr>
              <w:t>排查出来的</w:t>
            </w:r>
            <w:r>
              <w:rPr>
                <w:rFonts w:hint="eastAsia" w:eastAsia="方正仿宋_GBK"/>
                <w:szCs w:val="21"/>
                <w:lang w:val="en-US" w:eastAsia="zh-CN"/>
              </w:rPr>
              <w:t>全区54家养老服务机构</w:t>
            </w:r>
            <w:r>
              <w:rPr>
                <w:rFonts w:hint="eastAsia" w:eastAsia="方正仿宋_GBK"/>
                <w:szCs w:val="21"/>
              </w:rPr>
              <w:t>485个安全隐患问题，建立台账，实现闭环管理，完成安全风险隐患整改。</w:t>
            </w:r>
            <w:r>
              <w:rPr>
                <w:rFonts w:hint="eastAsia" w:eastAsia="方正仿宋_GBK"/>
                <w:szCs w:val="21"/>
                <w:lang w:val="en-US" w:eastAsia="zh-CN"/>
              </w:rPr>
              <w:t>使用资金6.9万元。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42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渝财综〔2022〕39号社工项目及养老服务质量第三方评估</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18</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highlight w:val="none"/>
                <w:lang w:val="en-US" w:eastAsia="zh-CN"/>
              </w:rPr>
              <w:t>1.</w:t>
            </w:r>
            <w:r>
              <w:rPr>
                <w:rFonts w:hint="eastAsia" w:eastAsia="方正仿宋_GBK"/>
                <w:szCs w:val="21"/>
                <w:highlight w:val="none"/>
              </w:rPr>
              <w:t>引进第三方机构对社工项目进行标准化的项目成效监管，开展项目评估</w:t>
            </w:r>
            <w:r>
              <w:rPr>
                <w:rFonts w:hint="eastAsia" w:eastAsia="方正仿宋_GBK"/>
                <w:szCs w:val="21"/>
                <w:highlight w:val="none"/>
                <w:lang w:val="en-US" w:eastAsia="zh-CN"/>
              </w:rPr>
              <w:t>5</w:t>
            </w:r>
            <w:r>
              <w:rPr>
                <w:rFonts w:hint="eastAsia" w:eastAsia="方正仿宋_GBK"/>
                <w:szCs w:val="21"/>
                <w:highlight w:val="none"/>
              </w:rPr>
              <w:t>次</w:t>
            </w:r>
            <w:r>
              <w:rPr>
                <w:rFonts w:hint="eastAsia" w:eastAsia="方正仿宋_GBK"/>
                <w:szCs w:val="21"/>
                <w:highlight w:val="none"/>
                <w:lang w:eastAsia="zh-CN"/>
              </w:rPr>
              <w:t>，财务专项审计</w:t>
            </w:r>
            <w:r>
              <w:rPr>
                <w:rFonts w:hint="eastAsia" w:eastAsia="方正仿宋_GBK"/>
                <w:szCs w:val="21"/>
                <w:highlight w:val="none"/>
                <w:lang w:val="en-US" w:eastAsia="zh-CN"/>
              </w:rPr>
              <w:t>3次，</w:t>
            </w:r>
            <w:r>
              <w:rPr>
                <w:rFonts w:hint="eastAsia" w:eastAsia="方正仿宋_GBK"/>
                <w:szCs w:val="21"/>
                <w:highlight w:val="none"/>
              </w:rPr>
              <w:t>进一步拓宽了服务思路，提升了项目服务质量，助力全区社会工作发展水平再上新台阶</w:t>
            </w:r>
            <w:r>
              <w:rPr>
                <w:rFonts w:hint="eastAsia" w:eastAsia="方正仿宋_GBK"/>
                <w:szCs w:val="21"/>
                <w:highlight w:val="none"/>
                <w:lang w:eastAsia="zh-CN"/>
              </w:rPr>
              <w:t>；</w:t>
            </w:r>
            <w:r>
              <w:rPr>
                <w:rFonts w:hint="eastAsia" w:eastAsia="方正仿宋_GBK"/>
                <w:szCs w:val="21"/>
                <w:highlight w:val="none"/>
                <w:lang w:val="en-US" w:eastAsia="zh-CN"/>
              </w:rPr>
              <w:t>2.对全区54家养老机构完成全年2次服务质量评估，600分以上为合格，占比54%，对600分以下的养老机构通报限时整改，提升全区养老机构服务质量。</w:t>
            </w:r>
            <w:r>
              <w:rPr>
                <w:rFonts w:hint="eastAsia" w:eastAsia="方正仿宋_GBK"/>
                <w:szCs w:val="21"/>
                <w:highlight w:val="none"/>
                <w:lang w:eastAsia="zh-CN"/>
              </w:rPr>
              <w:t>支付资金</w:t>
            </w:r>
            <w:r>
              <w:rPr>
                <w:rFonts w:hint="eastAsia" w:eastAsia="方正仿宋_GBK"/>
                <w:szCs w:val="21"/>
                <w:highlight w:val="none"/>
                <w:lang w:val="en-US" w:eastAsia="zh-CN"/>
              </w:rPr>
              <w:t>11.6万元。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46825368</w:t>
            </w:r>
          </w:p>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p>
        </w:tc>
      </w:tr>
      <w:tr>
        <w:tblPrEx>
          <w:tblCellMar>
            <w:top w:w="0" w:type="dxa"/>
            <w:left w:w="108" w:type="dxa"/>
            <w:bottom w:w="0" w:type="dxa"/>
            <w:right w:w="108" w:type="dxa"/>
          </w:tblCellMar>
        </w:tblPrEx>
        <w:trPr>
          <w:cantSplit/>
          <w:trHeight w:val="337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渝财综〔2022〕39号2023年永川区“携手呵护·健康成长”未成年人暨孤残儿童保护计划</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50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仿宋_GBK"/>
                <w:szCs w:val="21"/>
              </w:rPr>
            </w:pPr>
            <w:r>
              <w:rPr>
                <w:rFonts w:hint="eastAsia" w:eastAsia="方正仿宋_GBK"/>
                <w:szCs w:val="21"/>
              </w:rPr>
              <w:t>探索未成年人关爱保护服务体系的路径和方法，打</w:t>
            </w:r>
            <w:r>
              <w:rPr>
                <w:rFonts w:hint="eastAsia" w:eastAsia="方正仿宋_GBK"/>
                <w:szCs w:val="21"/>
                <w:lang w:eastAsia="zh-CN"/>
              </w:rPr>
              <w:t>破</w:t>
            </w:r>
            <w:r>
              <w:rPr>
                <w:rFonts w:hint="eastAsia" w:eastAsia="方正仿宋_GBK"/>
                <w:szCs w:val="21"/>
              </w:rPr>
              <w:t>部门之间信息不畅通的壁垒，加强对农村留守儿童、困境儿童等特殊未成年人的关爱保护工作，促进他们的健康成长。</w:t>
            </w:r>
            <w:r>
              <w:rPr>
                <w:rFonts w:hint="eastAsia" w:eastAsia="方正仿宋_GBK"/>
                <w:szCs w:val="21"/>
                <w:lang w:eastAsia="zh-CN"/>
              </w:rPr>
              <w:t>为</w:t>
            </w:r>
            <w:r>
              <w:rPr>
                <w:rFonts w:hint="eastAsia" w:eastAsia="方正仿宋_GBK"/>
                <w:szCs w:val="21"/>
                <w:lang w:val="en-US" w:eastAsia="zh-CN"/>
              </w:rPr>
              <w:t>50名</w:t>
            </w:r>
            <w:r>
              <w:rPr>
                <w:rFonts w:hint="eastAsia" w:eastAsia="方正仿宋_GBK"/>
                <w:szCs w:val="21"/>
              </w:rPr>
              <w:t>残疾儿童建档</w:t>
            </w:r>
            <w:r>
              <w:rPr>
                <w:rFonts w:hint="eastAsia" w:eastAsia="方正仿宋_GBK"/>
                <w:szCs w:val="21"/>
                <w:lang w:val="en-US" w:eastAsia="zh-CN"/>
              </w:rPr>
              <w:t>，开展残疾儿童照护者赋能活动2场，摸排农村留守儿童和困境儿童5655人次、农村留守儿童数据比对核查390条，完善“永川儿童智慧云平台”小程序1个、形成未成年人保护服务资源清单1个和需求帮扶清单1个，打造特色未成年人保护服务示范点4个、星级示范站2个、壮大未成年保护专家人数50人。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47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渝财综〔2022〕39号永川区乡镇行政区域界线勘定项目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lang w:val="en-US" w:eastAsia="zh-CN"/>
              </w:rPr>
              <w:t>根据《重庆市人民政府办公厅关于开展乡镇级行政区域界线勘定工作的通知》要求，在2025年完成乡镇行政区域界线勘界工作。目前已对基础数据进行核对，完成了8条乡镇界线勘定，共计100余公里，</w:t>
            </w:r>
            <w:r>
              <w:rPr>
                <w:rFonts w:hint="eastAsia" w:eastAsia="方正仿宋_GBK"/>
                <w:szCs w:val="21"/>
                <w:lang w:eastAsia="zh-CN"/>
              </w:rPr>
              <w:t>支付资金</w:t>
            </w:r>
            <w:r>
              <w:rPr>
                <w:rFonts w:hint="eastAsia" w:eastAsia="方正仿宋_GBK"/>
                <w:szCs w:val="21"/>
                <w:lang w:val="en-US" w:eastAsia="zh-CN"/>
              </w:rPr>
              <w:t>30.8</w:t>
            </w:r>
            <w:r>
              <w:rPr>
                <w:rFonts w:hint="default" w:eastAsia="方正仿宋_GBK"/>
                <w:szCs w:val="21"/>
                <w:lang w:val="en-US" w:eastAsia="zh-CN"/>
              </w:rPr>
              <w:t>6</w:t>
            </w:r>
            <w:r>
              <w:rPr>
                <w:rFonts w:hint="eastAsia" w:eastAsia="方正仿宋_GBK"/>
                <w:szCs w:val="21"/>
                <w:lang w:val="en-US" w:eastAsia="zh-CN"/>
              </w:rPr>
              <w:t>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29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渝财综〔2023〕25号、渝财综〔202</w:t>
            </w:r>
            <w:r>
              <w:rPr>
                <w:rFonts w:hint="eastAsia" w:eastAsia="方正仿宋_GBK" w:cs="Times New Roman"/>
                <w:szCs w:val="21"/>
                <w:lang w:val="en-US" w:eastAsia="zh-CN"/>
              </w:rPr>
              <w:t>3</w:t>
            </w:r>
            <w:r>
              <w:rPr>
                <w:rFonts w:hint="eastAsia" w:ascii="Times New Roman" w:hAnsi="Times New Roman" w:eastAsia="方正仿宋_GBK" w:cs="Times New Roman"/>
                <w:szCs w:val="21"/>
                <w:lang w:val="en-US" w:eastAsia="zh-CN"/>
              </w:rPr>
              <w:t>〕3</w:t>
            </w:r>
            <w:r>
              <w:rPr>
                <w:rFonts w:hint="eastAsia" w:eastAsia="方正仿宋_GBK" w:cs="Times New Roman"/>
                <w:szCs w:val="21"/>
                <w:lang w:val="en-US" w:eastAsia="zh-CN"/>
              </w:rPr>
              <w:t>6</w:t>
            </w:r>
            <w:r>
              <w:rPr>
                <w:rFonts w:hint="eastAsia" w:ascii="Times New Roman" w:hAnsi="Times New Roman" w:eastAsia="方正仿宋_GBK" w:cs="Times New Roman"/>
                <w:szCs w:val="21"/>
                <w:lang w:val="en-US" w:eastAsia="zh-CN"/>
              </w:rPr>
              <w:t>号永川区社会组织公益创投社工服务项目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eastAsia" w:eastAsia="方正仿宋_GBK"/>
                <w:szCs w:val="21"/>
                <w:lang w:eastAsia="zh-CN"/>
              </w:rPr>
            </w:pPr>
            <w:r>
              <w:rPr>
                <w:rFonts w:hint="eastAsia" w:eastAsia="方正仿宋_GBK"/>
                <w:szCs w:val="21"/>
                <w:lang w:eastAsia="zh-CN"/>
              </w:rPr>
              <w:t>启动首届</w:t>
            </w:r>
            <w:r>
              <w:rPr>
                <w:rFonts w:hint="eastAsia" w:eastAsia="方正仿宋_GBK"/>
                <w:szCs w:val="21"/>
                <w:lang w:val="en-US" w:eastAsia="zh-CN"/>
              </w:rPr>
              <w:t>“五社联动·聚益棠城”</w:t>
            </w:r>
            <w:r>
              <w:rPr>
                <w:rFonts w:hint="eastAsia" w:eastAsia="方正仿宋_GBK"/>
                <w:szCs w:val="21"/>
                <w:lang w:eastAsia="zh-CN"/>
              </w:rPr>
              <w:t>公益创投活动，经过需求征集、申报、初审、辅导优化、专家评审等环节，已</w:t>
            </w:r>
            <w:r>
              <w:rPr>
                <w:rFonts w:hint="eastAsia" w:eastAsia="方正仿宋_GBK"/>
                <w:szCs w:val="21"/>
              </w:rPr>
              <w:t>资助</w:t>
            </w:r>
            <w:r>
              <w:rPr>
                <w:rFonts w:hint="eastAsia" w:eastAsia="方正仿宋_GBK"/>
                <w:szCs w:val="21"/>
                <w:lang w:val="en-US" w:eastAsia="zh-CN"/>
              </w:rPr>
              <w:t>4</w:t>
            </w:r>
            <w:r>
              <w:rPr>
                <w:rFonts w:hint="eastAsia" w:eastAsia="方正仿宋_GBK"/>
                <w:szCs w:val="21"/>
              </w:rPr>
              <w:t>个项目，</w:t>
            </w:r>
            <w:r>
              <w:rPr>
                <w:rFonts w:hint="eastAsia" w:eastAsia="方正仿宋_GBK"/>
                <w:szCs w:val="21"/>
                <w:lang w:eastAsia="zh-CN"/>
              </w:rPr>
              <w:t>累计开展活动超百场，链接慈善资源</w:t>
            </w:r>
            <w:r>
              <w:rPr>
                <w:rFonts w:hint="eastAsia" w:eastAsia="方正仿宋_GBK"/>
                <w:szCs w:val="21"/>
                <w:lang w:val="en-US" w:eastAsia="zh-CN"/>
              </w:rPr>
              <w:t>10万余元，服务群众10万余人次，</w:t>
            </w:r>
            <w:r>
              <w:rPr>
                <w:rFonts w:hint="eastAsia" w:eastAsia="方正仿宋_GBK"/>
                <w:szCs w:val="21"/>
                <w:lang w:eastAsia="zh-CN"/>
              </w:rPr>
              <w:t>直接受益人数约</w:t>
            </w:r>
            <w:r>
              <w:rPr>
                <w:rFonts w:hint="eastAsia" w:eastAsia="方正仿宋_GBK"/>
                <w:szCs w:val="21"/>
                <w:lang w:val="en-US" w:eastAsia="zh-CN"/>
              </w:rPr>
              <w:t>5000</w:t>
            </w:r>
            <w:r>
              <w:rPr>
                <w:rFonts w:hint="eastAsia" w:eastAsia="方正仿宋_GBK"/>
                <w:szCs w:val="21"/>
                <w:lang w:eastAsia="zh-CN"/>
              </w:rPr>
              <w:t>人，进一步提升了基层治理效能，激发了社会组织在共建共治共享社会治理格局中治理“末梢”的重要作用。目前资金已使用</w:t>
            </w:r>
            <w:r>
              <w:rPr>
                <w:rFonts w:hint="eastAsia" w:eastAsia="方正仿宋_GBK"/>
                <w:szCs w:val="21"/>
                <w:lang w:val="en-US" w:eastAsia="zh-CN"/>
              </w:rPr>
              <w:t>10万元</w:t>
            </w:r>
            <w:r>
              <w:rPr>
                <w:rFonts w:hint="eastAsia" w:eastAsia="方正仿宋_GBK"/>
                <w:szCs w:val="21"/>
                <w:lang w:eastAsia="zh-CN"/>
              </w:rPr>
              <w:t>。</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319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渝财综〔2023〕25号、渝财综〔2022〕39号社区老年食堂（助餐点）建设及运营补助项目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53.5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rPr>
              <w:t>依托社区居家养老服务设施、社会餐饮企业等主体，设立社区老年食堂或老年人助餐点，通过分步实施，逐步构建布局均衡、方便可及的城乡老年助餐服务体系，推动实现老年人助餐服务专业化、市场化、规模化，满足广大老年群体的就近用餐需求。已完成</w:t>
            </w:r>
            <w:r>
              <w:rPr>
                <w:rFonts w:hint="eastAsia" w:eastAsia="方正仿宋_GBK"/>
                <w:szCs w:val="21"/>
                <w:lang w:eastAsia="zh-CN"/>
              </w:rPr>
              <w:t>三教镇川主庙社区、仙龙镇双兴村、卫星湖街道卫星湖社区、金龙镇金龙社区、南大街街道火车站社区、</w:t>
            </w:r>
            <w:r>
              <w:rPr>
                <w:rFonts w:hint="eastAsia" w:eastAsia="方正仿宋_GBK"/>
                <w:szCs w:val="21"/>
              </w:rPr>
              <w:t>中山路街道红河社区、吉安镇吉安场社区</w:t>
            </w:r>
            <w:r>
              <w:rPr>
                <w:rFonts w:hint="eastAsia" w:eastAsia="方正仿宋_GBK"/>
                <w:szCs w:val="21"/>
                <w:lang w:eastAsia="zh-CN"/>
              </w:rPr>
              <w:t>和</w:t>
            </w:r>
            <w:r>
              <w:rPr>
                <w:rFonts w:hint="eastAsia" w:eastAsia="方正仿宋_GBK"/>
                <w:szCs w:val="21"/>
              </w:rPr>
              <w:t>五间镇合兴村老年食堂</w:t>
            </w:r>
            <w:r>
              <w:rPr>
                <w:rFonts w:hint="eastAsia" w:eastAsia="方正仿宋_GBK"/>
                <w:szCs w:val="21"/>
                <w:lang w:val="en-US" w:eastAsia="zh-CN"/>
              </w:rPr>
              <w:t>8</w:t>
            </w:r>
            <w:r>
              <w:rPr>
                <w:rFonts w:hint="eastAsia" w:eastAsia="方正仿宋_GBK"/>
                <w:szCs w:val="21"/>
              </w:rPr>
              <w:t>个老年食堂的一次性建设补助经费的补助</w:t>
            </w:r>
            <w:r>
              <w:rPr>
                <w:rFonts w:hint="eastAsia" w:eastAsia="方正仿宋_GBK"/>
                <w:szCs w:val="21"/>
                <w:lang w:val="en-US" w:eastAsia="zh-CN"/>
              </w:rPr>
              <w:t>40万元</w:t>
            </w:r>
            <w:r>
              <w:rPr>
                <w:rFonts w:hint="eastAsia" w:eastAsia="方正仿宋_GBK"/>
                <w:szCs w:val="21"/>
              </w:rPr>
              <w:t>。</w:t>
            </w:r>
            <w:r>
              <w:rPr>
                <w:rFonts w:hint="eastAsia" w:eastAsia="方正仿宋_GBK"/>
                <w:szCs w:val="21"/>
                <w:lang w:eastAsia="zh-CN"/>
              </w:rPr>
              <w:t>老年食堂（助餐点）运营补助</w:t>
            </w:r>
            <w:r>
              <w:rPr>
                <w:rFonts w:hint="eastAsia" w:eastAsia="方正仿宋_GBK"/>
                <w:szCs w:val="21"/>
                <w:lang w:val="en-US" w:eastAsia="zh-CN"/>
              </w:rPr>
              <w:t>31.05万元。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61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渝财综〔202</w:t>
            </w:r>
            <w:r>
              <w:rPr>
                <w:rFonts w:hint="eastAsia" w:eastAsia="方正仿宋_GBK" w:cs="Times New Roman"/>
                <w:szCs w:val="21"/>
                <w:lang w:val="en-US" w:eastAsia="zh-CN"/>
              </w:rPr>
              <w:t>3</w:t>
            </w:r>
            <w:r>
              <w:rPr>
                <w:rFonts w:hint="eastAsia" w:ascii="Times New Roman" w:hAnsi="Times New Roman" w:eastAsia="方正仿宋_GBK" w:cs="Times New Roman"/>
                <w:szCs w:val="21"/>
                <w:lang w:val="en-US" w:eastAsia="zh-CN"/>
              </w:rPr>
              <w:t>〕3</w:t>
            </w:r>
            <w:r>
              <w:rPr>
                <w:rFonts w:hint="eastAsia" w:eastAsia="方正仿宋_GBK" w:cs="Times New Roman"/>
                <w:szCs w:val="21"/>
                <w:lang w:val="en-US" w:eastAsia="zh-CN"/>
              </w:rPr>
              <w:t>6</w:t>
            </w:r>
            <w:r>
              <w:rPr>
                <w:rFonts w:hint="eastAsia" w:ascii="Times New Roman" w:hAnsi="Times New Roman" w:eastAsia="方正仿宋_GBK" w:cs="Times New Roman"/>
                <w:szCs w:val="21"/>
                <w:lang w:val="en-US" w:eastAsia="zh-CN"/>
              </w:rPr>
              <w:t>号社区慈善服务场景打造及慈善文化宣传展示</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s="Times New Roman"/>
                <w:szCs w:val="21"/>
                <w:lang w:val="en-US" w:eastAsia="zh-CN"/>
              </w:rPr>
              <w:t>20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根据《重庆市民政局关于推动城乡社区开展慈善服务活动的通知》（渝民〔2023〕114号）要求，20%以上的街道设有社区慈善基金和打造社区慈善服务场景，农村地区探索推进社区慈善基金设立，城市社区和乡镇均有慈善文化宣传展示。目前项目未启动。</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hint="eastAsia"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63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渝财综〔2023〕25号养老服务项目专项审计</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lang w:eastAsia="zh-CN"/>
              </w:rPr>
              <w:t>对养老服务设施进行第三方评估，进一步了解社区养老服务设施运营情况，帮助养老机构找出问题，并将结果作为社区养老服务设施考核依据，提升养老服务质量。已对</w:t>
            </w:r>
            <w:r>
              <w:rPr>
                <w:rFonts w:hint="eastAsia" w:eastAsia="方正仿宋_GBK"/>
                <w:szCs w:val="21"/>
                <w:lang w:val="en-US" w:eastAsia="zh-CN"/>
              </w:rPr>
              <w:t>2022年运营的50家养老服务设施进行了第三方评估，其中养老服务站13家。资金已使用完毕。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326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渝财综〔2023〕25号、渝财综〔2022〕39号社区养老服务设施运营补助项目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43</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eastAsia="方正仿宋_GBK"/>
                <w:szCs w:val="21"/>
                <w:lang w:eastAsia="zh-CN"/>
              </w:rPr>
            </w:pPr>
            <w:r>
              <w:rPr>
                <w:rFonts w:hint="eastAsia" w:eastAsia="方正仿宋_GBK"/>
                <w:szCs w:val="21"/>
              </w:rPr>
              <w:t>根据《重庆市永川区社区居家养老服务设施运营扶持实施方案》（永民发〔2021〕63号），社区养老服务设施运营补助主要以运营效能为依据，评估考核等次为“合格”的给与街道养老服务中心8万元/年/个，镇级养老服务中心5万元/年/个、社区养老服务站1万元-5万元/年/个（辖区户籍老年人口2000人（含）以上的5万元/年/个、1000人（含）-2000人的3万元/年/个、500人（含）-1000人的2万元/年/个、500人以下的1万元/年/个）的运营补贴。经审核符合运营补贴条件的有2个街道养老服务中心、</w:t>
            </w:r>
            <w:r>
              <w:rPr>
                <w:rFonts w:hint="eastAsia" w:eastAsia="方正仿宋_GBK"/>
                <w:szCs w:val="21"/>
                <w:lang w:val="en-US" w:eastAsia="zh-CN"/>
              </w:rPr>
              <w:t>36</w:t>
            </w:r>
            <w:r>
              <w:rPr>
                <w:rFonts w:hint="eastAsia" w:eastAsia="方正仿宋_GBK"/>
                <w:szCs w:val="21"/>
              </w:rPr>
              <w:t>个社区养老服务站</w:t>
            </w:r>
            <w:r>
              <w:rPr>
                <w:rFonts w:hint="eastAsia" w:eastAsia="方正仿宋_GBK"/>
                <w:szCs w:val="21"/>
                <w:lang w:eastAsia="zh-CN"/>
              </w:rPr>
              <w:t>。资金已使用完毕。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357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渝财综〔2023〕25号、渝财综〔2022〕39号2023年永川区养老机构视频专网及监管服务</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31.86</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eastAsia" w:eastAsia="方正仿宋_GBK"/>
                <w:szCs w:val="21"/>
                <w:lang w:val="en-US" w:eastAsia="zh-CN"/>
              </w:rPr>
            </w:pPr>
            <w:r>
              <w:rPr>
                <w:rFonts w:hint="eastAsia" w:eastAsia="方正仿宋_GBK"/>
                <w:szCs w:val="21"/>
                <w:lang w:val="en-US" w:eastAsia="zh-CN"/>
              </w:rPr>
              <w:t>1.</w:t>
            </w:r>
            <w:r>
              <w:rPr>
                <w:rFonts w:hint="eastAsia" w:eastAsia="方正仿宋_GBK"/>
                <w:szCs w:val="21"/>
                <w:lang w:eastAsia="zh-CN"/>
              </w:rPr>
              <w:t>建立全区养老机构视频专网及视频监管融合服务，建设一条高速、安全、可靠的传输专门网络，涵盖云监控、云储存，实现实时监控，保证民政智慧数据中心养老机构视频监控正常运行，提升全区养老机构监管力量，降低安全事故发生。搭建内部专用网络</w:t>
            </w:r>
            <w:r>
              <w:rPr>
                <w:rFonts w:hint="eastAsia" w:eastAsia="方正仿宋_GBK"/>
                <w:szCs w:val="21"/>
                <w:lang w:val="en-US" w:eastAsia="zh-CN"/>
              </w:rPr>
              <w:t>1条、建立从端数据54条、视频监控提供云储存回看天数7天、外接扩音设备54台、视频监控正常运行率90%、故障响应时间≤60分钟。2.</w:t>
            </w:r>
            <w:r>
              <w:rPr>
                <w:rFonts w:hint="eastAsia" w:eastAsia="方正仿宋_GBK"/>
                <w:szCs w:val="21"/>
              </w:rPr>
              <w:t>对全区</w:t>
            </w:r>
            <w:r>
              <w:rPr>
                <w:rFonts w:hint="eastAsia" w:eastAsia="方正仿宋_GBK"/>
                <w:szCs w:val="21"/>
                <w:lang w:val="en-US" w:eastAsia="zh-CN"/>
              </w:rPr>
              <w:t>54家</w:t>
            </w:r>
            <w:r>
              <w:rPr>
                <w:rFonts w:hint="eastAsia" w:eastAsia="方正仿宋_GBK"/>
                <w:szCs w:val="21"/>
              </w:rPr>
              <w:t>养老机构食堂进行高清视频监控全覆盖，并将视频接入重庆市场监督管理局“阳光APP”全方位进行食堂安全监管。视频监控云储存天数</w:t>
            </w:r>
            <w:r>
              <w:rPr>
                <w:rFonts w:hint="eastAsia" w:eastAsia="方正仿宋_GBK"/>
                <w:szCs w:val="21"/>
                <w:lang w:val="en-US" w:eastAsia="zh-CN"/>
              </w:rPr>
              <w:t>7天。</w:t>
            </w:r>
          </w:p>
          <w:p>
            <w:pPr>
              <w:overflowPunct w:val="0"/>
              <w:snapToGrid w:val="0"/>
              <w:jc w:val="both"/>
              <w:rPr>
                <w:rFonts w:hint="eastAsia" w:eastAsia="方正仿宋_GBK"/>
                <w:szCs w:val="21"/>
                <w:lang w:eastAsia="zh-CN"/>
              </w:rPr>
            </w:pPr>
            <w:r>
              <w:rPr>
                <w:rFonts w:hint="eastAsia" w:eastAsia="方正仿宋_GBK"/>
                <w:szCs w:val="21"/>
                <w:lang w:eastAsia="zh-CN"/>
              </w:rPr>
              <w:t>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9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渝财综〔2022〕39号适老化改造第三方验收</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4</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ascii="Times New Roman" w:hAnsi="Times New Roman" w:eastAsia="方正仿宋_GBK" w:cs="Times New Roman"/>
                <w:kern w:val="2"/>
                <w:sz w:val="21"/>
                <w:szCs w:val="21"/>
                <w:lang w:val="en-US" w:eastAsia="zh-CN" w:bidi="ar-SA"/>
              </w:rPr>
            </w:pPr>
            <w:r>
              <w:rPr>
                <w:rFonts w:hint="default" w:eastAsia="方正仿宋_GBK"/>
                <w:szCs w:val="21"/>
                <w:lang w:val="en-US" w:eastAsia="zh-CN"/>
              </w:rPr>
              <w:t>为切实提升老年人居家养老安全性，便利性，根据重庆市民政局等4部门《关于做好“十四五”特殊困难老年人家庭适老化改造工作的通知》，对2023年完成适老化改造的400户对象，按每户不高于100元标准进行专业验收</w:t>
            </w:r>
            <w:r>
              <w:rPr>
                <w:rFonts w:hint="eastAsia" w:eastAsia="方正仿宋_GBK"/>
                <w:szCs w:val="21"/>
                <w:lang w:val="en-US" w:eastAsia="zh-CN"/>
              </w:rPr>
              <w:t>，</w:t>
            </w:r>
            <w:r>
              <w:rPr>
                <w:rFonts w:hint="default" w:eastAsia="方正仿宋_GBK"/>
                <w:szCs w:val="21"/>
                <w:lang w:val="en-US" w:eastAsia="zh-CN"/>
              </w:rPr>
              <w:t>验收完成及时率</w:t>
            </w:r>
            <w:r>
              <w:rPr>
                <w:rFonts w:hint="eastAsia" w:eastAsia="方正仿宋_GBK"/>
                <w:szCs w:val="21"/>
                <w:lang w:val="en-US" w:eastAsia="zh-CN"/>
              </w:rPr>
              <w:t>100%。目前资金已使用完毕。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62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渝财综〔2022〕39号养老服务示范站建设</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60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打造胜利路萱花路社区、永钢村、何埂镇科名村、中山路街道昌州路社区、南大街街道小南村、仙龙镇大石坝村养老服务示范站，进一步优化城乡社区综合服务体功能设置，配备包含党群服务中心（社区便民服务中心）、警务室、卫生服务站、老年人日间照料中心、文化活动室、多功能运动场、菜店（平价超市）等设施，鼓励生活性服务业进驻综合服务体，推动由行政化的办公场所向功能化的服务场所转变。</w:t>
            </w:r>
            <w:r>
              <w:rPr>
                <w:rFonts w:hint="eastAsia" w:eastAsia="方正仿宋_GBK"/>
                <w:szCs w:val="21"/>
                <w:lang w:val="en-US" w:eastAsia="zh-CN"/>
              </w:rPr>
              <w:t>目前资金已支付完毕。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72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渝财综〔2022〕39号2022年智慧安全监管平台试点建设项目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24.2</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ascii="方正仿宋_GBK" w:hAnsi="方正仿宋_GBK" w:eastAsia="方正仿宋_GBK" w:cs="方正仿宋_GBK"/>
                <w:szCs w:val="21"/>
                <w:lang w:val="en-US" w:eastAsia="zh-CN"/>
              </w:rPr>
              <w:t>为认真贯彻落实国务院安委会“十五条硬措施”和《养老机构服务安全基本规范》，全面掌握全区养老机构服务质量和消防安全保障情况，在永川区智慧民政大数据平台的基础上，搭建智慧安全监管平台系统，同时在永川区失能残疾人集中供养中心安装智慧安全监管大屏和消防安全物联网设备进行试点运行，实现安全隐患提前预警和处置，最大程度杜绝安全问题，不断提升全区养老机构服务质量和消防安全保障水平。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58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重庆市永川区</w:t>
            </w:r>
            <w:r>
              <w:rPr>
                <w:rFonts w:hint="eastAsia" w:eastAsia="方正仿宋_GBK" w:cs="Times New Roman"/>
                <w:szCs w:val="21"/>
                <w:lang w:val="en-US" w:eastAsia="zh-CN"/>
              </w:rPr>
              <w:t>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szCs w:val="21"/>
                <w:lang w:val="en-US" w:eastAsia="zh-CN"/>
              </w:rPr>
              <w:t>渝财综〔2023〕36号</w:t>
            </w:r>
            <w:r>
              <w:rPr>
                <w:rFonts w:hint="eastAsia" w:eastAsia="方正仿宋_GBK" w:cs="Times New Roman"/>
                <w:szCs w:val="21"/>
                <w:lang w:val="en-US" w:eastAsia="zh-CN"/>
              </w:rPr>
              <w:t>、</w:t>
            </w:r>
            <w:r>
              <w:rPr>
                <w:rFonts w:hint="eastAsia" w:ascii="Times New Roman" w:hAnsi="Times New Roman" w:eastAsia="方正仿宋_GBK" w:cs="Times New Roman"/>
                <w:szCs w:val="21"/>
                <w:lang w:val="en-US" w:eastAsia="zh-CN"/>
              </w:rPr>
              <w:t>渝财综〔2022〕39号</w:t>
            </w:r>
            <w:r>
              <w:rPr>
                <w:rFonts w:hint="eastAsia" w:eastAsia="方正仿宋_GBK" w:cs="Times New Roman"/>
                <w:szCs w:val="21"/>
                <w:lang w:val="en-US" w:eastAsia="zh-CN"/>
              </w:rPr>
              <w:t>养老服务设施全覆盖</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s="Times New Roman"/>
                <w:szCs w:val="21"/>
                <w:lang w:val="en-US" w:eastAsia="zh-CN"/>
              </w:rPr>
              <w:t>104</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eastAsia" w:ascii="Times New Roman" w:hAnsi="Times New Roman" w:eastAsia="方正仿宋_GBK" w:cs="Times New Roman"/>
                <w:kern w:val="2"/>
                <w:sz w:val="21"/>
                <w:szCs w:val="21"/>
                <w:lang w:val="en-US" w:eastAsia="zh-CN" w:bidi="ar-SA"/>
              </w:rPr>
            </w:pPr>
            <w:r>
              <w:rPr>
                <w:rFonts w:hint="default" w:eastAsia="方正仿宋_GBK"/>
                <w:szCs w:val="21"/>
                <w:lang w:val="en-US" w:eastAsia="zh-CN"/>
              </w:rPr>
              <w:t>中山路街道2个养老服务中心区级补贴（中山路街道医养融合社区养老服务中心智老尊享养老机构和中山路街道髙敬鸿养老服务中心）每个10万元</w:t>
            </w:r>
            <w:r>
              <w:rPr>
                <w:rFonts w:hint="eastAsia" w:eastAsia="方正仿宋_GBK"/>
                <w:szCs w:val="21"/>
                <w:lang w:val="en-US" w:eastAsia="zh-CN"/>
              </w:rPr>
              <w:t>；补助28个村级养老互助点，每个补助3万元。目前资金已拨付。</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9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渝财综〔2022〕39号养老服务宣传项目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5.29</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通过张贴安全宣传海报、发放宣传单的方式，不断规范养老机构安全管理行为，提升养老机构安全管理水平，强化老年人的安全防范意识和应急逃生能力。开展宣传活动场次</w:t>
            </w:r>
            <w:r>
              <w:rPr>
                <w:rFonts w:hint="eastAsia" w:eastAsia="方正仿宋_GBK"/>
                <w:szCs w:val="21"/>
                <w:lang w:val="en-US" w:eastAsia="zh-CN"/>
              </w:rPr>
              <w:t>11场、印制《“三自主两公开一承诺”告知书》400份、印制防疫健康温馨提示单269700份、印制人员进出登记本及养老机构管理服务手册210份、印制养老服务合同3000份、安全宣传人次20000人次。养老服务机构安全稳定运行率99%。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96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渝财综〔2022〕39号2023年永川区第二届老年博览会</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在永川区人民广场举办2023年泸永江养老产业暨康复辅助器具博览会1场，邀请泸州、江津参与，展示永川康复辅助器具及三地养老服务，召开养老论坛，共同推进深化泸永江融合发展示范区建设。线上线下宣传报道次数</w:t>
            </w:r>
            <w:r>
              <w:rPr>
                <w:rFonts w:hint="eastAsia" w:eastAsia="方正仿宋_GBK"/>
                <w:szCs w:val="21"/>
                <w:lang w:val="en-US" w:eastAsia="zh-CN"/>
              </w:rPr>
              <w:t>35次，展会客流量5000人次。资金已使用完毕。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3065"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渝财综〔2022〕39号永川区2023年度“老优所养”养老服务从业人员综合培训</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根据《重庆市民政局关于加快推进养老护理培训考核工作的通知》，对全区55家养老机构或愿意参与养老护理事业的人员开展护理考证培训、管理人员培训、护理技能提升培训、消防安全培训等，通过系统、专业的培训，全面提升养老护理人员持证比例，实现永川养老提质发展。组织开展培训类型</w:t>
            </w:r>
            <w:r>
              <w:rPr>
                <w:rFonts w:hint="eastAsia" w:eastAsia="方正仿宋_GBK"/>
                <w:szCs w:val="21"/>
                <w:lang w:val="en-US" w:eastAsia="zh-CN"/>
              </w:rPr>
              <w:t>5类、</w:t>
            </w:r>
            <w:r>
              <w:rPr>
                <w:rFonts w:hint="default" w:eastAsia="方正仿宋_GBK"/>
                <w:szCs w:val="21"/>
                <w:lang w:val="en-US" w:eastAsia="zh-CN"/>
              </w:rPr>
              <w:t>培训场次</w:t>
            </w:r>
            <w:r>
              <w:rPr>
                <w:rFonts w:hint="eastAsia" w:eastAsia="方正仿宋_GBK"/>
                <w:szCs w:val="21"/>
                <w:lang w:val="en-US" w:eastAsia="zh-CN"/>
              </w:rPr>
              <w:t>10次、完成培训结项报告1个、整体培训人次900人次、获得养老护理人员考证五级以上职业技能登记证书人数115人。目前资金已使用完毕。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李青蔓</w:t>
            </w:r>
          </w:p>
          <w:p>
            <w:pPr>
              <w:overflowPunct w:val="0"/>
              <w:snapToGrid w:val="0"/>
              <w:jc w:val="center"/>
              <w:rPr>
                <w:rFonts w:eastAsia="方正仿宋_GBK"/>
                <w:szCs w:val="21"/>
              </w:rPr>
            </w:pPr>
            <w:r>
              <w:rPr>
                <w:rFonts w:hint="eastAsia" w:eastAsia="方正仿宋_GBK"/>
                <w:color w:val="auto"/>
                <w:szCs w:val="21"/>
                <w:lang w:val="en-US" w:eastAsia="zh-CN"/>
              </w:rPr>
              <w:t>49826058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9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渝财综〔2022〕39号清廉社区打造项目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按照</w:t>
            </w:r>
            <w:r>
              <w:rPr>
                <w:rFonts w:hint="eastAsia" w:eastAsia="方正仿宋_GBK"/>
                <w:szCs w:val="21"/>
                <w:lang w:val="en-US" w:eastAsia="zh-CN"/>
              </w:rPr>
              <w:t>“</w:t>
            </w:r>
            <w:r>
              <w:rPr>
                <w:rFonts w:hint="default" w:eastAsia="方正仿宋_GBK"/>
                <w:szCs w:val="21"/>
                <w:lang w:val="en-US" w:eastAsia="zh-CN"/>
              </w:rPr>
              <w:t>典型引领、示范带动、以点带面</w:t>
            </w:r>
            <w:r>
              <w:rPr>
                <w:rFonts w:hint="eastAsia" w:eastAsia="方正仿宋_GBK"/>
                <w:szCs w:val="21"/>
                <w:lang w:val="en-US" w:eastAsia="zh-CN"/>
              </w:rPr>
              <w:t>”</w:t>
            </w:r>
            <w:r>
              <w:rPr>
                <w:rFonts w:hint="default" w:eastAsia="方正仿宋_GBK"/>
                <w:szCs w:val="21"/>
                <w:lang w:val="en-US" w:eastAsia="zh-CN"/>
              </w:rPr>
              <w:t>的工作思路，选取南大街街道火车站社区、黄瓜山村、中山路街道星光社区开展清廉村居区级试点示范，在制度机制、方式方法上先行先试，着力打造“班子清廉、干部清正、村务清爽、民风清朗”的村居环境，不断提升群众获得感、幸福感、安全感、认同感；围绕慈善文化集中展示、慈善项目宣传、慈善空间营造、慈善活动开展、村（居）民参与等内容，规划、打造、设置慈善场景。</w:t>
            </w:r>
            <w:r>
              <w:rPr>
                <w:rFonts w:hint="eastAsia" w:eastAsia="方正仿宋_GBK"/>
                <w:szCs w:val="21"/>
                <w:lang w:val="en-US" w:eastAsia="zh-CN"/>
              </w:rPr>
              <w:t>目前资金已支付完毕。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245"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重庆市永川区民政局（本级）</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渝财综〔2023〕36号</w:t>
            </w:r>
            <w:r>
              <w:rPr>
                <w:rFonts w:hint="eastAsia" w:eastAsia="方正仿宋_GBK" w:cs="Times New Roman"/>
                <w:szCs w:val="21"/>
                <w:lang w:val="en-US" w:eastAsia="zh-CN"/>
              </w:rPr>
              <w:t>、</w:t>
            </w:r>
            <w:r>
              <w:rPr>
                <w:rFonts w:hint="eastAsia" w:ascii="Times New Roman" w:hAnsi="Times New Roman" w:eastAsia="方正仿宋_GBK" w:cs="Times New Roman"/>
                <w:szCs w:val="21"/>
                <w:lang w:val="en-US" w:eastAsia="zh-CN"/>
              </w:rPr>
              <w:t>渝财综〔2022〕39号社工三级服务体系建设</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21.5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建设</w:t>
            </w:r>
            <w:r>
              <w:rPr>
                <w:rFonts w:hint="eastAsia" w:eastAsia="方正仿宋_GBK"/>
                <w:szCs w:val="21"/>
                <w:lang w:val="en-US" w:eastAsia="zh-CN"/>
              </w:rPr>
              <w:t>永川区</w:t>
            </w:r>
            <w:r>
              <w:rPr>
                <w:rFonts w:hint="default" w:eastAsia="方正仿宋_GBK"/>
                <w:szCs w:val="21"/>
                <w:lang w:val="en-US" w:eastAsia="zh-CN"/>
              </w:rPr>
              <w:t>社会工作指导中心，在区民政局领导下开展工作</w:t>
            </w:r>
            <w:r>
              <w:rPr>
                <w:rFonts w:hint="eastAsia" w:eastAsia="方正仿宋_GBK"/>
                <w:szCs w:val="21"/>
                <w:lang w:val="en-US" w:eastAsia="zh-CN"/>
              </w:rPr>
              <w:t>。</w:t>
            </w:r>
            <w:r>
              <w:rPr>
                <w:rFonts w:hint="default" w:eastAsia="方正仿宋_GBK"/>
                <w:szCs w:val="21"/>
                <w:lang w:val="en-US" w:eastAsia="zh-CN"/>
              </w:rPr>
              <w:t>开展主题宣传活动9场，提升社会工作者在全区的认知度和认同感，推动形成人人关心、支持、参与社会工作的良好氛围；开展“星曜计划·绚丽海棠”培训会5场，进一步提升一线社工和社区工作者专业能力和服务水平；协助民政局开展社工考前培训2场、社工项目评估3次。</w:t>
            </w:r>
            <w:r>
              <w:rPr>
                <w:rFonts w:hint="eastAsia" w:eastAsia="方正仿宋_GBK"/>
                <w:szCs w:val="21"/>
                <w:lang w:val="en-US" w:eastAsia="zh-CN"/>
              </w:rPr>
              <w:t>目前资金已使用20.5万元。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虞萧菲</w:t>
            </w:r>
          </w:p>
          <w:p>
            <w:pPr>
              <w:overflowPunct w:val="0"/>
              <w:snapToGrid w:val="0"/>
              <w:jc w:val="center"/>
              <w:rPr>
                <w:rFonts w:eastAsia="方正仿宋_GBK"/>
                <w:szCs w:val="21"/>
              </w:rPr>
            </w:pPr>
            <w:r>
              <w:rPr>
                <w:rFonts w:hint="eastAsia" w:eastAsia="方正仿宋_GBK" w:cs="Times New Roman"/>
                <w:color w:val="auto"/>
                <w:kern w:val="2"/>
                <w:sz w:val="21"/>
                <w:szCs w:val="21"/>
                <w:lang w:val="en-US" w:eastAsia="zh-CN" w:bidi="ar-SA"/>
              </w:rPr>
              <w:t>46825368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38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重庆市永川区救助站</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渝财综〔2023〕25号残疾人供养中心（未保中心）功能区改造项目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40.14</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default" w:ascii="Times New Roman" w:hAnsi="Times New Roman" w:eastAsia="方正仿宋_GBK" w:cs="Times New Roman"/>
                <w:kern w:val="2"/>
                <w:sz w:val="21"/>
                <w:szCs w:val="21"/>
                <w:lang w:val="en-US" w:eastAsia="zh-CN" w:bidi="ar-SA"/>
              </w:rPr>
            </w:pPr>
            <w:r>
              <w:rPr>
                <w:rFonts w:hint="default" w:eastAsia="方正仿宋_GBK"/>
                <w:szCs w:val="21"/>
                <w:lang w:val="en-US" w:eastAsia="zh-CN"/>
              </w:rPr>
              <w:t>为深入贯彻实施残疾人保障一法一条例，将区残疾人供养中心打造成为全国失能残疾人标准化的专业示范供养机构，对残疾人照护区（儿童生活区）和服务管理区及室外设施等功能区进行改造。</w:t>
            </w:r>
            <w:r>
              <w:rPr>
                <w:rFonts w:hint="eastAsia" w:eastAsia="方正仿宋_GBK"/>
                <w:szCs w:val="21"/>
                <w:lang w:val="en-US" w:eastAsia="zh-CN"/>
              </w:rPr>
              <w:t>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杨斌13896085878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41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重庆市永川区救助站</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渝财综〔2022〕39号永川区失能残疾人集中供养中心及福利中心改造项目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74.01</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kern w:val="2"/>
                <w:sz w:val="21"/>
                <w:szCs w:val="21"/>
                <w:lang w:val="en-US" w:eastAsia="zh-CN" w:bidi="ar-SA"/>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default" w:ascii="Times New Roman" w:hAnsi="Times New Roman" w:eastAsia="方正仿宋_GBK" w:cs="Times New Roman"/>
                <w:kern w:val="2"/>
                <w:sz w:val="21"/>
                <w:szCs w:val="21"/>
                <w:lang w:val="en-US" w:eastAsia="zh-CN" w:bidi="ar-SA"/>
              </w:rPr>
            </w:pPr>
            <w:r>
              <w:rPr>
                <w:rFonts w:hint="default" w:eastAsia="方正仿宋_GBK"/>
                <w:szCs w:val="21"/>
                <w:lang w:val="en-US" w:eastAsia="zh-CN"/>
              </w:rPr>
              <w:t>完成永川区社会福利中心（永川区失能残疾人集中供养中心）排污管道及化粪池渗漏、消防安全隐患、外墙砖脱落和配电房设施老化、屋顶瓦面下滑的隐患整改和增设医用电梯等工程。</w:t>
            </w:r>
            <w:r>
              <w:rPr>
                <w:rFonts w:hint="eastAsia" w:eastAsia="方正仿宋_GBK"/>
                <w:szCs w:val="21"/>
                <w:lang w:val="en-US" w:eastAsia="zh-CN"/>
              </w:rPr>
              <w:t>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ascii="Times New Roman" w:hAnsi="Times New Roman" w:eastAsia="方正仿宋_GBK" w:cs="Times New Roman"/>
                <w:kern w:val="2"/>
                <w:sz w:val="21"/>
                <w:szCs w:val="21"/>
                <w:lang w:val="en-US" w:eastAsia="zh-CN" w:bidi="ar-SA"/>
              </w:rPr>
            </w:pPr>
            <w:r>
              <w:rPr>
                <w:rFonts w:hint="eastAsia" w:eastAsia="方正仿宋_GBK"/>
                <w:szCs w:val="21"/>
                <w:lang w:val="en-US" w:eastAsia="zh-CN"/>
              </w:rPr>
              <w:t>杨斌13896085878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764"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重庆市永川区救助站</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p>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渝财综〔2023〕36号、渝财综〔2022〕39号永川区救助站隐患整治和维修改造工程</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60.08</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default" w:eastAsia="方正仿宋_GBK"/>
                <w:szCs w:val="21"/>
                <w:lang w:val="en-US" w:eastAsia="zh-CN"/>
              </w:rPr>
            </w:pPr>
            <w:r>
              <w:rPr>
                <w:rFonts w:hint="default" w:eastAsia="方正仿宋_GBK"/>
                <w:szCs w:val="21"/>
                <w:lang w:val="en-US" w:eastAsia="zh-CN"/>
              </w:rPr>
              <w:t>排除安全隐患3个，包括对围墙和办公楼3至4楼走道出现裂纹的安全隐患整改，拆除砖砌体围墙85m³，并新建围墙120米，增设泄洪通道80米；完成院内约1000平方米因沉降、树木挤压等原因造成损坏和陈旧老化设施的维修改造，主要包括：大门口和院内的路面硬化380㎡、新建保安室20平方米、更换钢制栏杆160米、更换铁艺大门21㎡，以及线路改造和树木的移栽修枝等内容。</w:t>
            </w:r>
            <w:r>
              <w:rPr>
                <w:rFonts w:hint="eastAsia" w:eastAsia="方正仿宋_GBK"/>
                <w:szCs w:val="21"/>
                <w:lang w:val="en-US" w:eastAsia="zh-CN"/>
              </w:rPr>
              <w:t>目前已</w:t>
            </w:r>
            <w:r>
              <w:rPr>
                <w:rFonts w:hint="default" w:eastAsia="方正仿宋_GBK"/>
                <w:szCs w:val="21"/>
                <w:lang w:val="en-US" w:eastAsia="zh-CN"/>
              </w:rPr>
              <w:t>全部完工，资金使用率100%，改善了救助场所基础条件，受益人数</w:t>
            </w:r>
            <w:r>
              <w:rPr>
                <w:rFonts w:hint="eastAsia" w:eastAsia="方正仿宋_GBK"/>
                <w:szCs w:val="21"/>
                <w:lang w:val="en-US" w:eastAsia="zh-CN"/>
              </w:rPr>
              <w:t>约</w:t>
            </w:r>
            <w:r>
              <w:rPr>
                <w:rFonts w:hint="default" w:eastAsia="方正仿宋_GBK"/>
                <w:szCs w:val="21"/>
                <w:lang w:val="en-US" w:eastAsia="zh-CN"/>
              </w:rPr>
              <w:t>300人。</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lang w:val="en-US" w:eastAsia="zh-CN"/>
              </w:rPr>
            </w:pPr>
            <w:r>
              <w:rPr>
                <w:rFonts w:hint="eastAsia" w:eastAsia="方正仿宋_GBK"/>
                <w:szCs w:val="21"/>
                <w:lang w:val="en-US" w:eastAsia="zh-CN"/>
              </w:rPr>
              <w:t>杨斌13896085878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812"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重庆市永川区救助站</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渝财综〔2023〕36号重庆市永川区失能残疾人集中供养中心集中维修和隐患整改工程</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eastAsia="方正仿宋_GBK" w:cs="Times New Roman"/>
                <w:szCs w:val="21"/>
                <w:lang w:val="en-US" w:eastAsia="zh-CN"/>
              </w:rPr>
            </w:pPr>
            <w:r>
              <w:rPr>
                <w:rFonts w:hint="eastAsia" w:eastAsia="方正仿宋_GBK" w:cs="Times New Roman"/>
                <w:szCs w:val="21"/>
                <w:lang w:val="en-US" w:eastAsia="zh-CN"/>
              </w:rPr>
              <w:t>49.6</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left"/>
              <w:rPr>
                <w:rFonts w:hint="default" w:eastAsia="方正仿宋_GBK"/>
                <w:b/>
                <w:bCs/>
                <w:szCs w:val="21"/>
                <w:lang w:val="en-US" w:eastAsia="zh-CN"/>
              </w:rPr>
            </w:pPr>
            <w:r>
              <w:rPr>
                <w:rFonts w:hint="default" w:eastAsia="方正仿宋_GBK"/>
                <w:szCs w:val="21"/>
                <w:lang w:val="en-US" w:eastAsia="zh-CN"/>
              </w:rPr>
              <w:t>全面完成区残疾人集中供养中心存在的安全隐患和设施缺失及损坏部位的整改维修等全部工作。主要包括：一是完成大门立柱防雷检测不合格和楼层发生火灾时安全通道逃生不畅等2个安全隐患的整改；二是对2-5楼房间内墙面脱落、明敷凌乱电线、损坏的马桶、房间门和地胶以及卫生间和阳台漏水或渗水等损坏设施维修；三是增加新装电梯的供电电缆等缺失设施，以及因屋顶消防设施裸露易造成人为损坏</w:t>
            </w:r>
            <w:r>
              <w:rPr>
                <w:rFonts w:hint="eastAsia" w:eastAsia="方正仿宋_GBK"/>
                <w:szCs w:val="21"/>
                <w:lang w:val="en-US" w:eastAsia="zh-CN"/>
              </w:rPr>
              <w:t>，</w:t>
            </w:r>
            <w:r>
              <w:rPr>
                <w:rFonts w:hint="default" w:eastAsia="方正仿宋_GBK"/>
                <w:szCs w:val="21"/>
                <w:lang w:val="en-US" w:eastAsia="zh-CN"/>
              </w:rPr>
              <w:t>增加硅钙板吊顶等。目前已全部完工，项目资金使用率100%，受益人数180人。</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lang w:val="en-US" w:eastAsia="zh-CN"/>
              </w:rPr>
            </w:pPr>
            <w:r>
              <w:rPr>
                <w:rFonts w:hint="eastAsia" w:eastAsia="方正仿宋_GBK"/>
                <w:szCs w:val="21"/>
                <w:lang w:val="en-US" w:eastAsia="zh-CN"/>
              </w:rPr>
              <w:t>杨斌13896085878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20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重庆市永川区最低生活保障事务中心</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渝财综〔2023〕25号智慧民政开发、运维服务采购项目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26</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ascii="Times New Roman" w:hAnsi="Times New Roman" w:eastAsia="方正仿宋_GBK" w:cs="Times New Roman"/>
                <w:szCs w:val="21"/>
                <w:lang w:val="en-US" w:eastAsia="zh-CN"/>
              </w:rPr>
              <w:t>对协同救助信息平台、智慧养老平台、民政机构安全监管信息平台进行开发和服务，运维服务周期:2023年8月6日-2023年12月5日，资金已使用完毕。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包宋梅</w:t>
            </w:r>
          </w:p>
          <w:p>
            <w:pPr>
              <w:overflowPunct w:val="0"/>
              <w:snapToGrid w:val="0"/>
              <w:jc w:val="center"/>
              <w:rPr>
                <w:rFonts w:eastAsia="方正仿宋_GBK"/>
                <w:szCs w:val="21"/>
              </w:rPr>
            </w:pPr>
            <w:r>
              <w:rPr>
                <w:rFonts w:hint="eastAsia" w:eastAsia="方正仿宋_GBK"/>
                <w:color w:val="auto"/>
                <w:szCs w:val="21"/>
                <w:lang w:val="en-US" w:eastAsia="zh-CN"/>
              </w:rPr>
              <w:t>49826059</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66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重庆市永川区最低生活保障事务中心</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w:t>
            </w:r>
            <w:r>
              <w:rPr>
                <w:rFonts w:hint="eastAsia" w:eastAsia="方正仿宋_GBK" w:cs="Times New Roman"/>
                <w:szCs w:val="21"/>
                <w:lang w:val="en-US" w:eastAsia="zh-CN"/>
              </w:rPr>
              <w:t>3</w:t>
            </w:r>
            <w:r>
              <w:rPr>
                <w:rFonts w:hint="eastAsia" w:ascii="Times New Roman" w:hAnsi="Times New Roman" w:eastAsia="方正仿宋_GBK" w:cs="Times New Roman"/>
                <w:szCs w:val="21"/>
                <w:lang w:val="en-US" w:eastAsia="zh-CN"/>
              </w:rPr>
              <w:t>〕3</w:t>
            </w:r>
            <w:r>
              <w:rPr>
                <w:rFonts w:hint="eastAsia" w:eastAsia="方正仿宋_GBK" w:cs="Times New Roman"/>
                <w:szCs w:val="21"/>
                <w:lang w:val="en-US" w:eastAsia="zh-CN"/>
              </w:rPr>
              <w:t>6</w:t>
            </w:r>
            <w:r>
              <w:rPr>
                <w:rFonts w:hint="eastAsia" w:ascii="Times New Roman" w:hAnsi="Times New Roman" w:eastAsia="方正仿宋_GBK" w:cs="Times New Roman"/>
                <w:szCs w:val="21"/>
                <w:lang w:val="en-US" w:eastAsia="zh-CN"/>
              </w:rPr>
              <w:t>号</w:t>
            </w:r>
            <w:r>
              <w:rPr>
                <w:rFonts w:hint="eastAsia" w:eastAsia="方正仿宋_GBK" w:cs="Times New Roman"/>
                <w:szCs w:val="21"/>
                <w:lang w:val="en-US" w:eastAsia="zh-CN"/>
              </w:rPr>
              <w:t>、</w:t>
            </w:r>
            <w:r>
              <w:rPr>
                <w:rFonts w:hint="eastAsia" w:ascii="Times New Roman" w:hAnsi="Times New Roman" w:eastAsia="方正仿宋_GBK" w:cs="Times New Roman"/>
                <w:szCs w:val="21"/>
                <w:lang w:val="en-US" w:eastAsia="zh-CN"/>
              </w:rPr>
              <w:t>渝财综〔2022〕39号社会救助家境调查评估项目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49.82</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ascii="Times New Roman" w:hAnsi="Times New Roman" w:eastAsia="方正仿宋_GBK" w:cs="Times New Roman"/>
                <w:szCs w:val="21"/>
                <w:lang w:val="en-US" w:eastAsia="zh-CN"/>
              </w:rPr>
              <w:t>委托第三方对社会救助家境调查综合评估，按承接调查的对象户（人）数及类别计价。截止2023年底，</w:t>
            </w:r>
            <w:r>
              <w:rPr>
                <w:rFonts w:hint="default" w:ascii="Times New Roman" w:hAnsi="Times New Roman" w:eastAsia="方正仿宋_GBK" w:cs="Times New Roman"/>
                <w:szCs w:val="21"/>
                <w:lang w:val="en-US" w:eastAsia="zh-CN"/>
              </w:rPr>
              <w:t>对</w:t>
            </w:r>
            <w:r>
              <w:rPr>
                <w:rFonts w:hint="eastAsia" w:eastAsia="方正仿宋_GBK" w:cs="Times New Roman"/>
                <w:szCs w:val="21"/>
                <w:lang w:val="en-US" w:eastAsia="zh-CN"/>
              </w:rPr>
              <w:t>1800</w:t>
            </w:r>
            <w:r>
              <w:rPr>
                <w:rFonts w:hint="default" w:ascii="Times New Roman" w:hAnsi="Times New Roman" w:eastAsia="方正仿宋_GBK" w:cs="Times New Roman"/>
                <w:szCs w:val="21"/>
                <w:lang w:val="en-US" w:eastAsia="zh-CN"/>
              </w:rPr>
              <w:t>余户需救助群众进行入户调查</w:t>
            </w:r>
            <w:r>
              <w:rPr>
                <w:rFonts w:hint="eastAsia" w:ascii="Times New Roman" w:hAnsi="Times New Roman" w:eastAsia="方正仿宋_GBK" w:cs="Times New Roman"/>
                <w:szCs w:val="21"/>
                <w:lang w:val="en-US" w:eastAsia="zh-CN"/>
              </w:rPr>
              <w:t>、</w:t>
            </w:r>
            <w:r>
              <w:rPr>
                <w:rFonts w:hint="default" w:ascii="Times New Roman" w:hAnsi="Times New Roman" w:eastAsia="方正仿宋_GBK" w:cs="Times New Roman"/>
                <w:szCs w:val="21"/>
                <w:lang w:val="en-US" w:eastAsia="zh-CN"/>
              </w:rPr>
              <w:t>综合评估，提高</w:t>
            </w:r>
            <w:r>
              <w:rPr>
                <w:rFonts w:hint="eastAsia" w:ascii="Times New Roman" w:hAnsi="Times New Roman" w:eastAsia="方正仿宋_GBK" w:cs="Times New Roman"/>
                <w:szCs w:val="21"/>
                <w:lang w:val="en-US" w:eastAsia="zh-CN"/>
              </w:rPr>
              <w:t>了</w:t>
            </w:r>
            <w:r>
              <w:rPr>
                <w:rFonts w:hint="default" w:ascii="Times New Roman" w:hAnsi="Times New Roman" w:eastAsia="方正仿宋_GBK" w:cs="Times New Roman"/>
                <w:szCs w:val="21"/>
                <w:lang w:val="en-US" w:eastAsia="zh-CN"/>
              </w:rPr>
              <w:t>核查精准性、权威性、规范性，达到精准救助。</w:t>
            </w:r>
            <w:r>
              <w:rPr>
                <w:rFonts w:hint="eastAsia" w:ascii="Times New Roman" w:hAnsi="Times New Roman" w:eastAsia="方正仿宋_GBK" w:cs="Times New Roman"/>
                <w:szCs w:val="21"/>
                <w:lang w:val="en-US" w:eastAsia="zh-CN"/>
              </w:rPr>
              <w:t>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color w:val="auto"/>
                <w:szCs w:val="21"/>
                <w:lang w:val="en-US" w:eastAsia="zh-CN"/>
              </w:rPr>
            </w:pPr>
            <w:r>
              <w:rPr>
                <w:rFonts w:hint="eastAsia" w:eastAsia="方正仿宋_GBK"/>
                <w:color w:val="auto"/>
                <w:szCs w:val="21"/>
                <w:lang w:val="en-US" w:eastAsia="zh-CN"/>
              </w:rPr>
              <w:t>包宋梅</w:t>
            </w:r>
          </w:p>
          <w:p>
            <w:pPr>
              <w:overflowPunct w:val="0"/>
              <w:snapToGrid w:val="0"/>
              <w:jc w:val="center"/>
              <w:rPr>
                <w:rFonts w:eastAsia="方正仿宋_GBK"/>
                <w:szCs w:val="21"/>
              </w:rPr>
            </w:pPr>
            <w:r>
              <w:rPr>
                <w:rFonts w:hint="eastAsia" w:eastAsia="方正仿宋_GBK"/>
                <w:color w:val="auto"/>
                <w:szCs w:val="21"/>
                <w:lang w:val="en-US" w:eastAsia="zh-CN"/>
              </w:rPr>
              <w:t>49826059</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880"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重庆市永川区婚姻收养登记处</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渝财综〔2022〕39号婚恋场景打造项目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打造了婚登处大门旁边相亲角婚恋交友阵地和“凤凰湖公园”相亲角婚恋交友阵地，在阵地进行了室外颁证服务、婚恋交友活动和婚俗改革宣传打卡活动10次，发挥了婚姻登记机关的阵地作用、婚俗基地的引领作用，倡导了简约适度的婚俗礼仪，多元化服务群众需求，目前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rPr>
            </w:pPr>
            <w:r>
              <w:rPr>
                <w:rFonts w:hint="eastAsia" w:eastAsia="方正仿宋_GBK"/>
                <w:szCs w:val="21"/>
              </w:rPr>
              <w:t>王玲</w:t>
            </w:r>
          </w:p>
          <w:p>
            <w:pPr>
              <w:overflowPunct w:val="0"/>
              <w:snapToGrid w:val="0"/>
              <w:jc w:val="center"/>
              <w:rPr>
                <w:rFonts w:eastAsia="方正仿宋_GBK"/>
                <w:szCs w:val="21"/>
              </w:rPr>
            </w:pPr>
            <w:r>
              <w:rPr>
                <w:rFonts w:hint="eastAsia" w:eastAsia="方正仿宋_GBK"/>
                <w:szCs w:val="21"/>
              </w:rPr>
              <w:t>49582911</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24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重庆市永川区婚姻收养登记处</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w:t>
            </w:r>
            <w:r>
              <w:rPr>
                <w:rFonts w:hint="eastAsia" w:eastAsia="方正仿宋_GBK" w:cs="Times New Roman"/>
                <w:szCs w:val="21"/>
                <w:lang w:val="en-US" w:eastAsia="zh-CN"/>
              </w:rPr>
              <w:t>3</w:t>
            </w:r>
            <w:r>
              <w:rPr>
                <w:rFonts w:hint="eastAsia" w:ascii="Times New Roman" w:hAnsi="Times New Roman" w:eastAsia="方正仿宋_GBK" w:cs="Times New Roman"/>
                <w:szCs w:val="21"/>
                <w:lang w:val="en-US" w:eastAsia="zh-CN"/>
              </w:rPr>
              <w:t>〕3</w:t>
            </w:r>
            <w:r>
              <w:rPr>
                <w:rFonts w:hint="eastAsia" w:eastAsia="方正仿宋_GBK" w:cs="Times New Roman"/>
                <w:szCs w:val="21"/>
                <w:lang w:val="en-US" w:eastAsia="zh-CN"/>
              </w:rPr>
              <w:t>6</w:t>
            </w:r>
            <w:r>
              <w:rPr>
                <w:rFonts w:hint="eastAsia" w:ascii="Times New Roman" w:hAnsi="Times New Roman" w:eastAsia="方正仿宋_GBK" w:cs="Times New Roman"/>
                <w:szCs w:val="21"/>
                <w:lang w:val="en-US" w:eastAsia="zh-CN"/>
              </w:rPr>
              <w:t>号婚姻家庭社会工作服务项目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20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lang w:val="en-US" w:eastAsia="zh-CN"/>
              </w:rPr>
              <w:t>通过社工购买服务等方式，实现简约适度的婚俗礼仪，多元化服务群众需求，将移风易俗宣传工作做深做实，开展进社区、进校园、进企业等宣传活动，产出文创产品及群众喜闻乐见的节目，全面提升我区婚俗改革试点服务质量。截至目前，已制定婚姻家庭全流程服务标准1个，开展婚恋主题活动32场，移风易俗宣传活动6场，累计受益人数达3000余人，支付资金14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rPr>
            </w:pPr>
            <w:r>
              <w:rPr>
                <w:rFonts w:hint="eastAsia" w:eastAsia="方正仿宋_GBK"/>
                <w:szCs w:val="21"/>
              </w:rPr>
              <w:t>王玲</w:t>
            </w:r>
          </w:p>
          <w:p>
            <w:pPr>
              <w:overflowPunct w:val="0"/>
              <w:snapToGrid w:val="0"/>
              <w:jc w:val="center"/>
              <w:rPr>
                <w:rFonts w:hint="eastAsia" w:eastAsia="方正仿宋_GBK"/>
                <w:szCs w:val="21"/>
              </w:rPr>
            </w:pPr>
            <w:r>
              <w:rPr>
                <w:rFonts w:hint="eastAsia" w:eastAsia="方正仿宋_GBK"/>
                <w:szCs w:val="21"/>
              </w:rPr>
              <w:t>49582911</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97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重庆市永川区殡葬事务中心</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渝财综〔2022〕39号火化炉、尾气处理设备维护费</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36</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eastAsia" w:eastAsia="方正仿宋_GBK"/>
                <w:szCs w:val="21"/>
                <w:lang w:val="en-US" w:eastAsia="zh-CN"/>
              </w:rPr>
              <w:t>维护、保养遗体火化炉及尾气处理设备，确保设备正常运转，大气污染物排放达到GB13801-2015国家环保要求，保障遗体火化工作正常开展。使用资金35.5万元。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唐道兵</w:t>
            </w:r>
          </w:p>
          <w:p>
            <w:pPr>
              <w:overflowPunct w:val="0"/>
              <w:snapToGrid w:val="0"/>
              <w:jc w:val="center"/>
              <w:rPr>
                <w:rFonts w:hint="default" w:eastAsia="方正仿宋_GBK"/>
                <w:szCs w:val="21"/>
                <w:lang w:val="en-US" w:eastAsia="zh-CN"/>
              </w:rPr>
            </w:pPr>
            <w:r>
              <w:rPr>
                <w:rFonts w:hint="eastAsia" w:eastAsia="方正仿宋_GBK"/>
                <w:szCs w:val="21"/>
                <w:lang w:val="en-US" w:eastAsia="zh-CN"/>
              </w:rPr>
              <w:t>13509472465</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57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重庆市永川区社会福利中心</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渝财综〔2023〕25号残疾人集中供养中心社工服务项目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25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打造社会工作服务示范基地，整合和链接社会资源，搭建残疾人互助平台，挖掘培育助残组织，建立残疾人社会支持网络，帮组残疾人群体提高生活质量、促进自我实现和社会融合。全年开展活动已达到96次，目前资金已支付20万元。</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rPr>
            </w:pPr>
            <w:r>
              <w:rPr>
                <w:rFonts w:hint="eastAsia" w:eastAsia="方正仿宋_GBK"/>
                <w:szCs w:val="21"/>
              </w:rPr>
              <w:t>陈永波</w:t>
            </w:r>
          </w:p>
          <w:p>
            <w:pPr>
              <w:overflowPunct w:val="0"/>
              <w:snapToGrid w:val="0"/>
              <w:jc w:val="center"/>
              <w:rPr>
                <w:rFonts w:eastAsia="方正仿宋_GBK"/>
                <w:szCs w:val="21"/>
              </w:rPr>
            </w:pPr>
            <w:r>
              <w:rPr>
                <w:rFonts w:hint="eastAsia" w:eastAsia="方正仿宋_GBK"/>
                <w:szCs w:val="21"/>
              </w:rPr>
              <w:t>15808096661</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84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重庆市永川区社会福利中心</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渝财综〔2022〕39号残疾人实训中心及康复辅助器具展示中心项目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打造残疾人康复实训中心，配备了实训器材、LED屏、空调、工作服等，用于残疾人机能恢复、实训培训与交流，重点培养专业护理人员。同时还打造了康复辅助器具展示中心，配置了轮椅、多功能的康复辅助器具等，构建及展示体验适配为一体的残疾人康复辅具资源共享体系。目前项目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rPr>
            </w:pPr>
            <w:r>
              <w:rPr>
                <w:rFonts w:hint="eastAsia" w:eastAsia="方正仿宋_GBK"/>
                <w:szCs w:val="21"/>
              </w:rPr>
              <w:t>陈永波</w:t>
            </w:r>
          </w:p>
          <w:p>
            <w:pPr>
              <w:overflowPunct w:val="0"/>
              <w:snapToGrid w:val="0"/>
              <w:jc w:val="center"/>
              <w:rPr>
                <w:rFonts w:eastAsia="方正仿宋_GBK"/>
                <w:szCs w:val="21"/>
              </w:rPr>
            </w:pPr>
            <w:r>
              <w:rPr>
                <w:rFonts w:hint="eastAsia" w:eastAsia="方正仿宋_GBK"/>
                <w:szCs w:val="21"/>
              </w:rPr>
              <w:t>15808096661</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945"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default"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重庆市永川区社会福利中心</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w:t>
            </w:r>
            <w:r>
              <w:rPr>
                <w:rFonts w:hint="eastAsia" w:eastAsia="方正仿宋_GBK" w:cs="Times New Roman"/>
                <w:szCs w:val="21"/>
                <w:lang w:val="en-US" w:eastAsia="zh-CN"/>
              </w:rPr>
              <w:t>3</w:t>
            </w:r>
            <w:r>
              <w:rPr>
                <w:rFonts w:hint="eastAsia" w:ascii="Times New Roman" w:hAnsi="Times New Roman" w:eastAsia="方正仿宋_GBK" w:cs="Times New Roman"/>
                <w:szCs w:val="21"/>
                <w:lang w:val="en-US" w:eastAsia="zh-CN"/>
              </w:rPr>
              <w:t>〕3</w:t>
            </w:r>
            <w:r>
              <w:rPr>
                <w:rFonts w:hint="eastAsia" w:eastAsia="方正仿宋_GBK" w:cs="Times New Roman"/>
                <w:szCs w:val="21"/>
                <w:lang w:val="en-US" w:eastAsia="zh-CN"/>
              </w:rPr>
              <w:t>6</w:t>
            </w:r>
            <w:r>
              <w:rPr>
                <w:rFonts w:hint="eastAsia" w:ascii="Times New Roman" w:hAnsi="Times New Roman" w:eastAsia="方正仿宋_GBK" w:cs="Times New Roman"/>
                <w:szCs w:val="21"/>
                <w:lang w:val="en-US" w:eastAsia="zh-CN"/>
              </w:rPr>
              <w:t>号康复辅助器具综合应用中心项目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eastAsia="方正仿宋_GBK" w:cs="Times New Roman"/>
                <w:szCs w:val="21"/>
                <w:lang w:val="en-US" w:eastAsia="zh-CN"/>
              </w:rPr>
              <w:t>90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1.打造残疾人康复实训中心（养老人才实训基地），配备实训器材、led屏等，用于残疾人技能恢复、实训培训与交流，重点培养专业护理人员</w:t>
            </w:r>
            <w:r>
              <w:rPr>
                <w:rFonts w:hint="eastAsia" w:eastAsia="方正仿宋_GBK"/>
                <w:szCs w:val="21"/>
                <w:lang w:val="en-US" w:eastAsia="zh-CN"/>
              </w:rPr>
              <w:t>；</w:t>
            </w:r>
            <w:r>
              <w:rPr>
                <w:rFonts w:hint="default" w:eastAsia="方正仿宋_GBK"/>
                <w:szCs w:val="21"/>
                <w:lang w:val="en-US" w:eastAsia="zh-CN"/>
              </w:rPr>
              <w:t>2.打造残疾人康复辅助器具展示中心，构建集展示、体验、适配为一体的残疾人康复辅具资源共享服务体系</w:t>
            </w:r>
            <w:r>
              <w:rPr>
                <w:rFonts w:hint="eastAsia" w:eastAsia="方正仿宋_GBK"/>
                <w:szCs w:val="21"/>
                <w:lang w:val="en-US" w:eastAsia="zh-CN"/>
              </w:rPr>
              <w:t>，</w:t>
            </w:r>
            <w:r>
              <w:rPr>
                <w:rFonts w:hint="default" w:eastAsia="方正仿宋_GBK"/>
                <w:szCs w:val="21"/>
                <w:lang w:val="en-US" w:eastAsia="zh-CN"/>
              </w:rPr>
              <w:t>配置轮椅、多功能辅助行走器、电动按摩手套、智能护理康复床、上下肢电动康复脚踏车等康复辅具及展示柜等内部简易装修</w:t>
            </w:r>
            <w:r>
              <w:rPr>
                <w:rFonts w:hint="eastAsia" w:eastAsia="方正仿宋_GBK"/>
                <w:szCs w:val="21"/>
                <w:lang w:val="en-US" w:eastAsia="zh-CN"/>
              </w:rPr>
              <w:t>；</w:t>
            </w:r>
            <w:r>
              <w:rPr>
                <w:rFonts w:hint="default" w:eastAsia="方正仿宋_GBK"/>
                <w:szCs w:val="21"/>
                <w:lang w:val="en-US" w:eastAsia="zh-CN"/>
              </w:rPr>
              <w:t>3.打造专业评估室，对供养人员日常生活能力、精神状态、感知觉与沟通和社会参与四个维度的能力进行专业评估，科学制定照护康复计划，配置床、轮椅、餐桌、洗手盆、镜子、马桶等评估器材</w:t>
            </w:r>
            <w:r>
              <w:rPr>
                <w:rFonts w:hint="eastAsia" w:eastAsia="方正仿宋_GBK"/>
                <w:szCs w:val="21"/>
                <w:lang w:val="en-US" w:eastAsia="zh-CN"/>
              </w:rPr>
              <w:t>；</w:t>
            </w:r>
            <w:r>
              <w:rPr>
                <w:rFonts w:hint="default" w:eastAsia="方正仿宋_GBK"/>
                <w:szCs w:val="21"/>
                <w:lang w:val="en-US" w:eastAsia="zh-CN"/>
              </w:rPr>
              <w:t>4.打造智能化看护系统，配备智能手环、智能床垫等，建立起一套由人员定位、床位感应、应急呼叫、实时监测、消防报警等组成的“智能化看护系统”，实现一体化智能安全管理</w:t>
            </w:r>
            <w:r>
              <w:rPr>
                <w:rFonts w:hint="eastAsia" w:eastAsia="方正仿宋_GBK"/>
                <w:szCs w:val="21"/>
                <w:lang w:val="en-US" w:eastAsia="zh-CN"/>
              </w:rPr>
              <w:t>；</w:t>
            </w:r>
            <w:r>
              <w:rPr>
                <w:rFonts w:hint="default" w:eastAsia="方正仿宋_GBK"/>
                <w:szCs w:val="21"/>
                <w:lang w:val="en-US" w:eastAsia="zh-CN"/>
              </w:rPr>
              <w:t>5.打造失能残疾人医疗康复功能区，配置康复训练器、吞咽神经肌肉低频电刺激仪、physiomed中低频治疗仪（可选择适应症）、体外膈肌起搏器、吸舌器、电动按摩棒、气脉冲、手指训练器、康复手法床（床、凳、巴氏球）、肢体康复训练、认知构音功能训练等康复器材，提升残疾人康复治疗水</w:t>
            </w:r>
            <w:r>
              <w:rPr>
                <w:rFonts w:hint="eastAsia" w:eastAsia="方正仿宋_GBK"/>
                <w:szCs w:val="21"/>
                <w:lang w:val="en-US" w:eastAsia="zh-CN"/>
              </w:rPr>
              <w:t>；</w:t>
            </w:r>
            <w:r>
              <w:rPr>
                <w:rFonts w:hint="default" w:eastAsia="方正仿宋_GBK"/>
                <w:szCs w:val="21"/>
                <w:lang w:val="en-US" w:eastAsia="zh-CN"/>
              </w:rPr>
              <w:t>6.加强文化建设，一是根据服务宗旨对福利中心标识（LOGO）进行设计；二是对供养楼、办公楼和院内其他区域分区规划，上墙展示，统一风格，营造“操作规范、管理标准、用心服务、比学赶超”的良好氛围，为进一步实现标准化、系统化管理模式打牢基础。三是对中心的工作服、信笺便签、工作牌、标识标牌、印刷品等进行统一设计与制作。</w:t>
            </w:r>
            <w:r>
              <w:rPr>
                <w:rFonts w:hint="eastAsia" w:eastAsia="方正仿宋_GBK"/>
                <w:szCs w:val="21"/>
                <w:lang w:val="en-US" w:eastAsia="zh-CN"/>
              </w:rPr>
              <w:t>目前</w:t>
            </w:r>
            <w:r>
              <w:rPr>
                <w:rFonts w:hint="default" w:eastAsia="方正仿宋_GBK"/>
                <w:szCs w:val="21"/>
                <w:lang w:val="en-US" w:eastAsia="zh-CN"/>
              </w:rPr>
              <w:t>已完成打造，支付</w:t>
            </w:r>
            <w:r>
              <w:rPr>
                <w:rFonts w:hint="eastAsia" w:eastAsia="方正仿宋_GBK"/>
                <w:szCs w:val="21"/>
                <w:lang w:val="en-US" w:eastAsia="zh-CN"/>
              </w:rPr>
              <w:t>70.76</w:t>
            </w:r>
            <w:r>
              <w:rPr>
                <w:rFonts w:hint="default" w:eastAsia="方正仿宋_GBK"/>
                <w:szCs w:val="21"/>
                <w:lang w:val="en-US" w:eastAsia="zh-CN"/>
              </w:rPr>
              <w:t>元，剩</w:t>
            </w:r>
            <w:r>
              <w:rPr>
                <w:rFonts w:hint="eastAsia" w:eastAsia="方正仿宋_GBK"/>
                <w:szCs w:val="21"/>
                <w:lang w:val="en-US" w:eastAsia="zh-CN"/>
              </w:rPr>
              <w:t>余资金</w:t>
            </w:r>
            <w:r>
              <w:rPr>
                <w:rFonts w:hint="default" w:eastAsia="方正仿宋_GBK"/>
                <w:szCs w:val="21"/>
                <w:lang w:val="en-US" w:eastAsia="zh-CN"/>
              </w:rPr>
              <w:t>将在2024年12月31日前支付完毕。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hint="eastAsia" w:eastAsia="方正仿宋_GBK"/>
                <w:szCs w:val="21"/>
              </w:rPr>
            </w:pPr>
            <w:r>
              <w:rPr>
                <w:rFonts w:hint="eastAsia" w:eastAsia="方正仿宋_GBK"/>
                <w:szCs w:val="21"/>
              </w:rPr>
              <w:t>陈永波</w:t>
            </w:r>
          </w:p>
          <w:p>
            <w:pPr>
              <w:overflowPunct w:val="0"/>
              <w:snapToGrid w:val="0"/>
              <w:jc w:val="center"/>
              <w:rPr>
                <w:rFonts w:hint="eastAsia" w:eastAsia="方正仿宋_GBK"/>
                <w:szCs w:val="21"/>
              </w:rPr>
            </w:pPr>
            <w:r>
              <w:rPr>
                <w:rFonts w:hint="eastAsia" w:eastAsia="方正仿宋_GBK"/>
                <w:szCs w:val="21"/>
              </w:rPr>
              <w:t>15808096661</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737"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重庆市永川区来苏镇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渝财综〔2022〕39号石牛寺村养老示范互助点建设</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对石牛寺村养老示范互助点共约530平方米进行维修改造，包括房顶升级更换、墙体加固和防水处理、墙体刷涂料、屋面吊顶等；同时，结合石牛寺村养老示范互助点建设项目规范要求，</w:t>
            </w:r>
            <w:r>
              <w:rPr>
                <w:rFonts w:hint="eastAsia" w:ascii="Times New Roman" w:hAnsi="Times New Roman" w:eastAsia="方正仿宋_GBK" w:cs="Times New Roman"/>
                <w:szCs w:val="21"/>
                <w:lang w:val="en-US" w:eastAsia="zh-CN"/>
              </w:rPr>
              <w:t>更换改造</w:t>
            </w:r>
            <w:r>
              <w:rPr>
                <w:rFonts w:hint="default" w:ascii="Times New Roman" w:hAnsi="Times New Roman" w:eastAsia="方正仿宋_GBK" w:cs="Times New Roman"/>
                <w:szCs w:val="21"/>
                <w:lang w:val="en-US" w:eastAsia="zh-CN"/>
              </w:rPr>
              <w:t>了因房屋漏水而</w:t>
            </w:r>
            <w:r>
              <w:rPr>
                <w:rFonts w:hint="eastAsia" w:eastAsia="方正仿宋_GBK" w:cs="Times New Roman"/>
                <w:szCs w:val="21"/>
                <w:lang w:val="en-US" w:eastAsia="zh-CN"/>
              </w:rPr>
              <w:t>损毁</w:t>
            </w:r>
            <w:r>
              <w:rPr>
                <w:rFonts w:hint="default" w:ascii="Times New Roman" w:hAnsi="Times New Roman" w:eastAsia="方正仿宋_GBK" w:cs="Times New Roman"/>
                <w:szCs w:val="21"/>
                <w:lang w:val="en-US" w:eastAsia="zh-CN"/>
              </w:rPr>
              <w:t>的办公</w:t>
            </w:r>
            <w:r>
              <w:rPr>
                <w:rFonts w:hint="eastAsia" w:ascii="Times New Roman" w:hAnsi="Times New Roman" w:eastAsia="方正仿宋_GBK" w:cs="Times New Roman"/>
                <w:szCs w:val="21"/>
                <w:lang w:val="en-US" w:eastAsia="zh-CN"/>
              </w:rPr>
              <w:t>设施</w:t>
            </w:r>
            <w:r>
              <w:rPr>
                <w:rFonts w:hint="default" w:ascii="Times New Roman" w:hAnsi="Times New Roman" w:eastAsia="方正仿宋_GBK" w:cs="Times New Roman"/>
                <w:szCs w:val="21"/>
                <w:lang w:val="en-US" w:eastAsia="zh-CN"/>
              </w:rPr>
              <w:t>。目前</w:t>
            </w:r>
            <w:r>
              <w:rPr>
                <w:rFonts w:hint="eastAsia" w:ascii="Times New Roman" w:hAnsi="Times New Roman" w:eastAsia="方正仿宋_GBK" w:cs="Times New Roman"/>
                <w:szCs w:val="21"/>
                <w:lang w:val="en-US" w:eastAsia="zh-CN"/>
              </w:rPr>
              <w:t>项目已结项</w:t>
            </w:r>
            <w:r>
              <w:rPr>
                <w:rFonts w:hint="default" w:ascii="Times New Roman" w:hAnsi="Times New Roman" w:eastAsia="方正仿宋_GBK" w:cs="Times New Roman"/>
                <w:szCs w:val="21"/>
                <w:lang w:val="en-US" w:eastAsia="zh-CN"/>
              </w:rPr>
              <w:t>，资金已使用完毕。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仿宋_GBK"/>
                <w:szCs w:val="21"/>
              </w:rPr>
            </w:pPr>
            <w:r>
              <w:rPr>
                <w:rFonts w:hint="eastAsia" w:eastAsia="方正仿宋_GBK"/>
                <w:szCs w:val="21"/>
                <w:lang w:val="en-US" w:eastAsia="zh-CN"/>
              </w:rPr>
              <w:t>欧阳利 15808084629</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391"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重庆市永川区朱沱镇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渝财综〔2022〕39号福龙桥社区老年服务中心升级改造</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50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对永川区朱沱镇福龙桥社区老年活动中心904平米进行装修升级改造，包括房顶升级更换、墙体加固、防水处理和室内软装装饰，目前老年活动中心已整改完毕并达到正常使用状态。</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仿宋_GBK"/>
                <w:szCs w:val="21"/>
              </w:rPr>
            </w:pPr>
            <w:r>
              <w:rPr>
                <w:rFonts w:hint="eastAsia" w:ascii="Times New Roman" w:hAnsi="Times New Roman" w:eastAsia="方正仿宋_GBK" w:cs="Times New Roman"/>
                <w:szCs w:val="21"/>
                <w:lang w:val="en-US" w:eastAsia="zh-CN"/>
              </w:rPr>
              <w:t>谭先洁13983909558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737"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重庆市永川区青峰镇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渝财综〔2022〕39号青峰镇养老服务中心建设</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15</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对青峰镇养老服务中心（幸福院）院内3幢房屋的瓷砖贴面进行安全隐患整治，将原有瓷砖全部清除，改换成真石漆，外墙真石漆共计836.49平方米。目前青峰镇养老服务中心外立面安全隐患整治工程已</w:t>
            </w:r>
            <w:r>
              <w:rPr>
                <w:rFonts w:hint="eastAsia" w:eastAsia="方正仿宋_GBK"/>
                <w:szCs w:val="21"/>
                <w:lang w:val="en-US" w:eastAsia="zh-CN"/>
              </w:rPr>
              <w:t>结项</w:t>
            </w:r>
            <w:r>
              <w:rPr>
                <w:rFonts w:hint="default" w:eastAsia="方正仿宋_GBK"/>
                <w:szCs w:val="21"/>
                <w:lang w:val="en-US" w:eastAsia="zh-CN"/>
              </w:rPr>
              <w:t>，资金已使用完毕。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仿宋_GBK"/>
                <w:szCs w:val="21"/>
              </w:rPr>
            </w:pPr>
            <w:r>
              <w:rPr>
                <w:rFonts w:hint="default" w:eastAsia="方正仿宋_GBK"/>
                <w:szCs w:val="21"/>
                <w:lang w:val="en-US" w:eastAsia="zh-CN"/>
              </w:rPr>
              <w:t>林小银    15923081988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2002"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重庆市永川区双石镇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渝财综〔2022〕39号社区养老服务站建设项目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10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eastAsia="方正仿宋_GBK"/>
                <w:szCs w:val="21"/>
                <w:lang w:val="en-US" w:eastAsia="zh-CN"/>
              </w:rPr>
              <w:t>对双石社区养老服务中心620㎡及中心区社区230㎡进行维修改造，包括电路安装、墙面刷漆、现浇楼梯、新建卫生间、新建防护栏、拆装转运空调电器，充分发挥养老服务站应有的功能作用。目前，双石社区还在还在维修改造中，中心区社区已搬迁完毕，资金剩余5.8万元用于双石社区养老服务站阅读空间购买书架与家具。</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仿宋_GBK"/>
                <w:szCs w:val="21"/>
              </w:rPr>
            </w:pPr>
            <w:r>
              <w:rPr>
                <w:rFonts w:hint="eastAsia" w:eastAsia="方正仿宋_GBK"/>
                <w:szCs w:val="21"/>
              </w:rPr>
              <w:t>胡天春  13677612588</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r>
        <w:tblPrEx>
          <w:tblCellMar>
            <w:top w:w="0" w:type="dxa"/>
            <w:left w:w="108" w:type="dxa"/>
            <w:bottom w:w="0" w:type="dxa"/>
            <w:right w:w="108" w:type="dxa"/>
          </w:tblCellMar>
        </w:tblPrEx>
        <w:trPr>
          <w:cantSplit/>
          <w:trHeight w:val="160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ind w:left="454" w:leftChars="0" w:hanging="454" w:firstLineChars="0"/>
              <w:jc w:val="center"/>
              <w:rPr>
                <w:rFonts w:hint="eastAsia" w:eastAsia="方正仿宋_GBK"/>
                <w:szCs w:val="21"/>
                <w:lang w:val="en-US" w:eastAsia="zh-CN"/>
              </w:rPr>
            </w:pP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重庆市永川区仙龙镇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napToGrid w:val="0"/>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渝财综〔2022〕39号仙龙镇粉店敬老院改造项目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50</w:t>
            </w:r>
          </w:p>
        </w:tc>
        <w:tc>
          <w:tcPr>
            <w:tcW w:w="393"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hint="eastAsia" w:eastAsia="方正仿宋_GBK"/>
                <w:szCs w:val="21"/>
                <w:lang w:eastAsia="zh-CN"/>
              </w:rPr>
            </w:pPr>
            <w:r>
              <w:rPr>
                <w:rFonts w:hint="eastAsia" w:eastAsia="方正仿宋_GBK"/>
                <w:szCs w:val="21"/>
                <w:lang w:eastAsia="zh-CN"/>
              </w:rPr>
              <w:t>区县分成</w:t>
            </w:r>
          </w:p>
        </w:tc>
        <w:tc>
          <w:tcPr>
            <w:tcW w:w="1814"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both"/>
              <w:rPr>
                <w:rFonts w:hint="default" w:eastAsia="方正仿宋_GBK"/>
                <w:szCs w:val="21"/>
                <w:lang w:val="en-US" w:eastAsia="zh-CN"/>
              </w:rPr>
            </w:pPr>
            <w:r>
              <w:rPr>
                <w:rFonts w:hint="default" w:ascii="Times New Roman" w:hAnsi="Times New Roman" w:eastAsia="方正仿宋_GBK" w:cs="Times New Roman"/>
                <w:szCs w:val="21"/>
                <w:lang w:val="en-US" w:eastAsia="zh-CN"/>
              </w:rPr>
              <w:t>对幸福院用房约1612.16平米进行维修改造，包括土建室外坡道、台阶、化粪池、透水砖、树池、栏杆，室内地面砖、墙面和天棚乳胶漆、吊顶、门窗、屋面防水、电气照明、给排水、厨房改建等。目前上述维修改造项目已基本完成，资金已使用完毕。</w:t>
            </w:r>
          </w:p>
        </w:tc>
        <w:tc>
          <w:tcPr>
            <w:tcW w:w="480" w:type="pct"/>
            <w:tcBorders>
              <w:top w:val="single" w:color="auto" w:sz="4" w:space="0"/>
              <w:left w:val="nil"/>
              <w:bottom w:val="single" w:color="auto" w:sz="4" w:space="0"/>
              <w:right w:val="single" w:color="auto" w:sz="4" w:space="0"/>
            </w:tcBorders>
            <w:shd w:val="clear" w:color="auto" w:fill="auto"/>
            <w:vAlign w:val="center"/>
          </w:tcPr>
          <w:p>
            <w:pPr>
              <w:overflowPunct w:val="0"/>
              <w:snapToGrid w:val="0"/>
              <w:jc w:val="center"/>
              <w:rPr>
                <w:rFonts w:eastAsia="方正仿宋_GBK"/>
                <w:szCs w:val="21"/>
              </w:rPr>
            </w:pPr>
            <w:r>
              <w:rPr>
                <w:rFonts w:hint="default" w:eastAsia="方正仿宋_GBK"/>
                <w:szCs w:val="21"/>
                <w:lang w:val="en-US" w:eastAsia="zh-CN"/>
              </w:rPr>
              <w:t>李英13677680016</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overflowPunct w:val="0"/>
              <w:snapToGrid w:val="0"/>
              <w:jc w:val="center"/>
              <w:rPr>
                <w:rFonts w:eastAsia="方正仿宋_GBK"/>
                <w:szCs w:val="21"/>
              </w:rPr>
            </w:pPr>
          </w:p>
        </w:tc>
      </w:tr>
    </w:tbl>
    <w:p>
      <w:pPr>
        <w:snapToGrid w:val="0"/>
        <w:spacing w:line="300" w:lineRule="auto"/>
        <w:jc w:val="left"/>
        <w:rPr>
          <w:rFonts w:hint="default" w:eastAsia="宋体"/>
          <w:lang w:val="en-US" w:eastAsia="zh-CN"/>
        </w:rPr>
      </w:pPr>
    </w:p>
    <w:sectPr>
      <w:footerReference r:id="rId3" w:type="default"/>
      <w:pgSz w:w="16838" w:h="11906" w:orient="landscape"/>
      <w:pgMar w:top="1474" w:right="1985" w:bottom="1588" w:left="209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Times New Roman" w:hAnsi="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2F702"/>
    <w:multiLevelType w:val="singleLevel"/>
    <w:tmpl w:val="6E02F702"/>
    <w:lvl w:ilvl="0" w:tentative="0">
      <w:start w:val="1"/>
      <w:numFmt w:val="decimal"/>
      <w:suff w:val="space"/>
      <w:lvlText w:val="%1"/>
      <w:lvlJc w:val="center"/>
      <w:pPr>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GU4ODVmY2UzMTk1M2JiN2ZhNWQyMWI2ZTZjOTIifQ=="/>
  </w:docVars>
  <w:rsids>
    <w:rsidRoot w:val="00DF0D4B"/>
    <w:rsid w:val="000821F6"/>
    <w:rsid w:val="00226F28"/>
    <w:rsid w:val="00292046"/>
    <w:rsid w:val="0036192C"/>
    <w:rsid w:val="00545745"/>
    <w:rsid w:val="005909D8"/>
    <w:rsid w:val="005B546D"/>
    <w:rsid w:val="0069103C"/>
    <w:rsid w:val="00875E82"/>
    <w:rsid w:val="008B5ADD"/>
    <w:rsid w:val="008D456B"/>
    <w:rsid w:val="009861DE"/>
    <w:rsid w:val="0098735D"/>
    <w:rsid w:val="00A12DD3"/>
    <w:rsid w:val="00A84C8B"/>
    <w:rsid w:val="00A92E43"/>
    <w:rsid w:val="00B54719"/>
    <w:rsid w:val="00BC69C1"/>
    <w:rsid w:val="00C67C56"/>
    <w:rsid w:val="00CA2459"/>
    <w:rsid w:val="00DA645A"/>
    <w:rsid w:val="00DF0D4B"/>
    <w:rsid w:val="00E35E83"/>
    <w:rsid w:val="00E61FD7"/>
    <w:rsid w:val="00F71DCE"/>
    <w:rsid w:val="00F7304A"/>
    <w:rsid w:val="00FB1357"/>
    <w:rsid w:val="012E2ADD"/>
    <w:rsid w:val="0401642F"/>
    <w:rsid w:val="076D5A73"/>
    <w:rsid w:val="0947414D"/>
    <w:rsid w:val="09F46115"/>
    <w:rsid w:val="0B552AA6"/>
    <w:rsid w:val="0B5B2648"/>
    <w:rsid w:val="0BAD643E"/>
    <w:rsid w:val="0C7F569E"/>
    <w:rsid w:val="0EB73FB9"/>
    <w:rsid w:val="0F7D189F"/>
    <w:rsid w:val="0FA953A2"/>
    <w:rsid w:val="10B36AFD"/>
    <w:rsid w:val="10C12C1C"/>
    <w:rsid w:val="15FF4A46"/>
    <w:rsid w:val="160B5EA1"/>
    <w:rsid w:val="18AD34AB"/>
    <w:rsid w:val="1C146065"/>
    <w:rsid w:val="1EA438FC"/>
    <w:rsid w:val="1F0919D6"/>
    <w:rsid w:val="1FAA104A"/>
    <w:rsid w:val="201348F8"/>
    <w:rsid w:val="22636E4D"/>
    <w:rsid w:val="22BB36DF"/>
    <w:rsid w:val="230C3F3A"/>
    <w:rsid w:val="239C4866"/>
    <w:rsid w:val="23D55D33"/>
    <w:rsid w:val="23DD5426"/>
    <w:rsid w:val="2583552E"/>
    <w:rsid w:val="27C941A8"/>
    <w:rsid w:val="282E124C"/>
    <w:rsid w:val="2AE53831"/>
    <w:rsid w:val="2C061D41"/>
    <w:rsid w:val="2C89532F"/>
    <w:rsid w:val="2CA712C2"/>
    <w:rsid w:val="2CC960F2"/>
    <w:rsid w:val="2D294F4B"/>
    <w:rsid w:val="2D7B1048"/>
    <w:rsid w:val="2E494401"/>
    <w:rsid w:val="310A6874"/>
    <w:rsid w:val="33E10ACB"/>
    <w:rsid w:val="345C398B"/>
    <w:rsid w:val="3B1C6DFB"/>
    <w:rsid w:val="3CB66F99"/>
    <w:rsid w:val="3D37175C"/>
    <w:rsid w:val="3E3D788C"/>
    <w:rsid w:val="403C3A9B"/>
    <w:rsid w:val="406750EC"/>
    <w:rsid w:val="408251EC"/>
    <w:rsid w:val="408D7648"/>
    <w:rsid w:val="4212442C"/>
    <w:rsid w:val="43B51B35"/>
    <w:rsid w:val="43DD4E0B"/>
    <w:rsid w:val="448F4FF6"/>
    <w:rsid w:val="44FC39B7"/>
    <w:rsid w:val="469F7F4E"/>
    <w:rsid w:val="4AC64945"/>
    <w:rsid w:val="4AFE0758"/>
    <w:rsid w:val="4BC2059E"/>
    <w:rsid w:val="522D3402"/>
    <w:rsid w:val="5253098E"/>
    <w:rsid w:val="5296641D"/>
    <w:rsid w:val="59345076"/>
    <w:rsid w:val="5FCB4BA0"/>
    <w:rsid w:val="612754C0"/>
    <w:rsid w:val="65A33D84"/>
    <w:rsid w:val="667C29C7"/>
    <w:rsid w:val="66A671E7"/>
    <w:rsid w:val="67223ECE"/>
    <w:rsid w:val="69B60FFA"/>
    <w:rsid w:val="6AEA50B2"/>
    <w:rsid w:val="6E495F92"/>
    <w:rsid w:val="740C0C71"/>
    <w:rsid w:val="7CFE1373"/>
    <w:rsid w:val="7F737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adjustRightInd w:val="0"/>
      <w:snapToGrid w:val="0"/>
      <w:spacing w:after="160" w:line="329" w:lineRule="auto"/>
      <w:jc w:val="left"/>
    </w:pPr>
    <w:rPr>
      <w:rFonts w:ascii="仿宋_GB2312" w:eastAsia="仿宋_GB2312" w:hAnsiTheme="minorHAnsi" w:cstheme="minorBidi"/>
      <w:color w:val="000000"/>
      <w:kern w:val="0"/>
      <w:sz w:val="32"/>
      <w:szCs w:val="22"/>
      <w:lang w:val="zh-CN"/>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9">
    <w:name w:val="page number"/>
    <w:basedOn w:val="8"/>
    <w:qFormat/>
    <w:uiPriority w:val="0"/>
  </w:style>
  <w:style w:type="character" w:customStyle="1" w:styleId="10">
    <w:name w:val="页眉 字符"/>
    <w:basedOn w:val="8"/>
    <w:link w:val="5"/>
    <w:semiHidden/>
    <w:qFormat/>
    <w:uiPriority w:val="0"/>
    <w:rPr>
      <w:rFonts w:ascii="Times New Roman" w:hAnsi="Times New Roman" w:eastAsia="宋体" w:cs="Times New Roman"/>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2"/>
    <w:qFormat/>
    <w:uiPriority w:val="0"/>
    <w:rPr>
      <w:rFonts w:ascii="仿宋_GB2312" w:eastAsia="仿宋_GB2312"/>
      <w:color w:val="000000"/>
      <w:kern w:val="0"/>
      <w:sz w:val="32"/>
      <w:lang w:val="zh-CN"/>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9248</Words>
  <Characters>10235</Characters>
  <Lines>2</Lines>
  <Paragraphs>1</Paragraphs>
  <TotalTime>14</TotalTime>
  <ScaleCrop>false</ScaleCrop>
  <LinksUpToDate>false</LinksUpToDate>
  <CharactersWithSpaces>10350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2022-03-25T03:44:00Z</dcterms:created>
  <dc:creator>Administrator</dc:creator>
  <cp:lastModifiedBy>Administrator</cp:lastModifiedBy>
  <cp:lastPrinted>2023-06-26T02:19:00Z</cp:lastPrinted>
  <dcterms:modified xsi:type="dcterms:W3CDTF">2024-06-25T01:56:46Z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549088B76C2E4126845695B04847E3C7_13</vt:lpwstr>
  </property>
</Properties>
</file>