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right" w:leader="dot" w:pos="8315"/>
        </w:tabs>
        <w:rPr>
          <w:rFonts w:hint="eastAsia" w:ascii="宋体" w:hAnsi="宋体" w:eastAsia="宋体" w:cs="Times New Roman"/>
          <w:sz w:val="21"/>
          <w:szCs w:val="24"/>
          <w:lang w:val="en-US" w:eastAsia="zh-CN" w:bidi="ar-SA"/>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宋体" w:hAnsi="宋体" w:eastAsia="宋体" w:cs="Times New Roman"/>
          <w:sz w:val="21"/>
          <w:szCs w:val="24"/>
          <w:lang w:val="en-US" w:eastAsia="zh-CN" w:bidi="ar-SA"/>
        </w:rPr>
      </w:pPr>
    </w:p>
    <w:p>
      <w:pPr>
        <w:pStyle w:val="10"/>
        <w:spacing w:before="0" w:beforeAutospacing="0" w:after="0" w:afterAutospacing="0" w:line="596" w:lineRule="exact"/>
        <w:jc w:val="center"/>
        <w:outlineLvl w:val="0"/>
        <w:rPr>
          <w:rFonts w:ascii="方正小标宋_GBK" w:hAnsi="方正小标宋_GBK" w:eastAsia="方正小标宋_GBK" w:cs="方正小标宋_GBK"/>
          <w:b w:val="0"/>
          <w:bCs w:val="0"/>
          <w:sz w:val="36"/>
          <w:szCs w:val="36"/>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Toc15044"/>
    </w:p>
    <w:p>
      <w:pPr>
        <w:pStyle w:val="10"/>
        <w:spacing w:before="0" w:beforeAutospacing="0" w:after="0" w:afterAutospacing="0" w:line="596" w:lineRule="exact"/>
        <w:jc w:val="center"/>
        <w:outlineLvl w:val="0"/>
        <w:rPr>
          <w:rFonts w:ascii="方正小标宋_GBK" w:hAnsi="方正小标宋_GBK" w:eastAsia="方正小标宋_GBK" w:cs="方正小标宋_GBK"/>
          <w:b w:val="0"/>
          <w:bCs w:val="0"/>
          <w:sz w:val="36"/>
          <w:szCs w:val="36"/>
        </w:rPr>
      </w:pPr>
      <w:r>
        <w:rPr>
          <w:rFonts w:ascii="方正小标宋_GBK" w:hAnsi="方正小标宋_GBK" w:eastAsia="方正小标宋_GBK" w:cs="方正小标宋_GBK"/>
          <w:b w:val="0"/>
          <w:bCs w:val="0"/>
          <w:sz w:val="36"/>
          <w:szCs w:val="36"/>
        </w:rPr>
        <w:t>重庆市永川区来苏镇综合行政执法大队</w:t>
      </w:r>
    </w:p>
    <w:p>
      <w:pPr>
        <w:pStyle w:val="10"/>
        <w:spacing w:before="0" w:beforeAutospacing="0" w:after="0" w:afterAutospacing="0" w:line="596" w:lineRule="exact"/>
        <w:jc w:val="center"/>
        <w:outlineLvl w:val="0"/>
        <w:rPr>
          <w:rFonts w:hint="default" w:ascii="方正小标宋_GBK" w:hAnsi="方正小标宋_GBK" w:eastAsia="方正小标宋_GBK" w:cs="方正小标宋_GBK"/>
          <w:b w:val="0"/>
          <w:bCs w:val="0"/>
          <w:sz w:val="36"/>
          <w:szCs w:val="36"/>
          <w:shd w:val="clear" w:color="auto" w:fill="FFFFFF"/>
        </w:rPr>
      </w:pP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bookmarkEnd w:id="0"/>
    </w:p>
    <w:p>
      <w:pPr>
        <w:pStyle w:val="2"/>
        <w:bidi w:val="0"/>
        <w:rPr>
          <w:rFonts w:hint="eastAsia" w:ascii="黑体" w:hAnsi="黑体" w:eastAsia="黑体" w:cs="黑体"/>
        </w:rPr>
      </w:pPr>
      <w:bookmarkStart w:id="1" w:name="_Toc19848"/>
      <w:r>
        <w:rPr>
          <w:rFonts w:hint="eastAsia" w:ascii="黑体" w:hAnsi="黑体" w:eastAsia="黑体" w:cs="黑体"/>
        </w:rPr>
        <w:t>一、</w:t>
      </w:r>
      <w:r>
        <w:rPr>
          <w:rFonts w:hint="eastAsia" w:ascii="黑体" w:hAnsi="黑体" w:eastAsia="黑体" w:cs="黑体"/>
          <w:lang w:eastAsia="zh-CN"/>
        </w:rPr>
        <w:t>部门</w:t>
      </w:r>
      <w:r>
        <w:rPr>
          <w:rFonts w:hint="eastAsia" w:ascii="黑体" w:hAnsi="黑体" w:eastAsia="黑体" w:cs="黑体"/>
        </w:rPr>
        <w:t>基本情况</w:t>
      </w:r>
      <w:bookmarkEnd w:id="1"/>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 w:name="_Toc2574"/>
      <w:r>
        <w:rPr>
          <w:rFonts w:hint="eastAsia" w:ascii="楷体" w:hAnsi="楷体" w:eastAsia="楷体" w:cs="楷体"/>
        </w:rPr>
        <w:t>（一）职能职责</w:t>
      </w:r>
      <w:bookmarkEnd w:id="2"/>
    </w:p>
    <w:p>
      <w:pPr>
        <w:spacing w:line="600" w:lineRule="exact"/>
        <w:ind w:firstLine="640" w:firstLineChars="200"/>
        <w:rPr>
          <w:rFonts w:hint="eastAsia" w:ascii="方正仿宋_GBK" w:hAnsi="仿宋_GB2312" w:eastAsia="方正仿宋_GBK" w:cs="仿宋_GB2312"/>
          <w:sz w:val="32"/>
        </w:rPr>
      </w:pPr>
      <w:r>
        <w:rPr>
          <w:rFonts w:hint="eastAsia" w:ascii="方正仿宋_GBK" w:hAnsi="仿宋_GB2312" w:eastAsia="方正仿宋_GBK" w:cs="仿宋_GB2312"/>
          <w:sz w:val="32"/>
        </w:rPr>
        <w:t>重庆市永川区来苏镇综合行政执法大队位于来苏镇东坡大道168号，依法接受委托、集中行使依法授权或委托本级的农林水利、规划建设、环境保护、卫生计生、文化旅游、民政管理等领域的行政执法权。负责完成与城市管理、规划和自然资源管理、市场监督管理等区级部门直接管理领域联合执法相关工作任务。</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3" w:name="_Toc11191"/>
      <w:bookmarkStart w:id="4" w:name="_Toc11215"/>
      <w:r>
        <w:rPr>
          <w:rFonts w:hint="eastAsia" w:ascii="楷体" w:hAnsi="楷体" w:eastAsia="楷体" w:cs="楷体"/>
        </w:rPr>
        <w:t>（二）机构设置</w:t>
      </w:r>
      <w:bookmarkEnd w:id="3"/>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本单位内设机构1个。机构类别为公益一类，经费形式为财政全额拨款。</w:t>
      </w:r>
    </w:p>
    <w:p>
      <w:pPr>
        <w:pStyle w:val="2"/>
        <w:bidi w:val="0"/>
        <w:rPr>
          <w:rFonts w:hint="eastAsia" w:ascii="黑体" w:hAnsi="黑体" w:eastAsia="黑体" w:cs="黑体"/>
        </w:rPr>
      </w:pPr>
      <w:bookmarkStart w:id="5" w:name="_Toc24573"/>
      <w:r>
        <w:rPr>
          <w:rFonts w:hint="eastAsia" w:ascii="黑体" w:hAnsi="黑体" w:eastAsia="黑体" w:cs="黑体"/>
        </w:rPr>
        <w:t>二、</w:t>
      </w:r>
      <w:r>
        <w:rPr>
          <w:rFonts w:hint="eastAsia" w:ascii="黑体" w:hAnsi="黑体" w:eastAsia="黑体" w:cs="黑体"/>
          <w:lang w:eastAsia="zh-CN"/>
        </w:rPr>
        <w:t>部门</w:t>
      </w:r>
      <w:r>
        <w:rPr>
          <w:rFonts w:hint="eastAsia" w:ascii="黑体" w:hAnsi="黑体" w:eastAsia="黑体" w:cs="黑体"/>
        </w:rPr>
        <w:t>决算</w:t>
      </w:r>
      <w:r>
        <w:rPr>
          <w:rFonts w:hint="eastAsia" w:ascii="黑体" w:hAnsi="黑体" w:eastAsia="黑体" w:cs="黑体"/>
          <w:lang w:eastAsia="zh-CN"/>
        </w:rPr>
        <w:t>收支</w:t>
      </w:r>
      <w:r>
        <w:rPr>
          <w:rFonts w:hint="eastAsia" w:ascii="黑体" w:hAnsi="黑体" w:eastAsia="黑体" w:cs="黑体"/>
        </w:rPr>
        <w:t>情况说明</w:t>
      </w:r>
      <w:bookmarkEnd w:id="5"/>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6" w:name="_Toc23197"/>
      <w:bookmarkStart w:id="7" w:name="_Toc16184"/>
      <w:r>
        <w:rPr>
          <w:rFonts w:hint="eastAsia" w:ascii="楷体" w:hAnsi="楷体" w:eastAsia="楷体" w:cs="楷体"/>
        </w:rPr>
        <w:t>（一）收入支出决算总体情况说明。</w:t>
      </w:r>
      <w:bookmarkEnd w:id="6"/>
      <w:bookmarkEnd w:id="7"/>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rPr>
        <w:t>2024年度收入总计</w:t>
      </w:r>
      <w:r>
        <w:rPr>
          <w:rFonts w:hint="eastAsia" w:ascii="Times New Roman" w:hAnsi="Times New Roman" w:eastAsia="方正仿宋_GBK" w:cs="Times New Roman"/>
          <w:b w:val="0"/>
          <w:bCs w:val="0"/>
          <w:sz w:val="32"/>
          <w:szCs w:val="32"/>
          <w:shd w:val="clear" w:color="auto" w:fill="FFFFFF"/>
          <w:lang w:val="en-US" w:eastAsia="zh-CN"/>
        </w:rPr>
        <w:t>216.96</w:t>
      </w:r>
      <w:r>
        <w:rPr>
          <w:rFonts w:hint="default" w:ascii="Times New Roman" w:hAnsi="Times New Roman" w:eastAsia="方正仿宋_GBK" w:cs="Times New Roman"/>
          <w:b w:val="0"/>
          <w:bCs w:val="0"/>
          <w:sz w:val="32"/>
          <w:szCs w:val="32"/>
          <w:shd w:val="clear" w:color="auto" w:fill="FFFFFF"/>
        </w:rPr>
        <w:t>万元，支出总计</w:t>
      </w:r>
      <w:r>
        <w:rPr>
          <w:rFonts w:hint="eastAsia" w:ascii="Times New Roman" w:hAnsi="Times New Roman" w:eastAsia="方正仿宋_GBK" w:cs="Times New Roman"/>
          <w:b w:val="0"/>
          <w:bCs w:val="0"/>
          <w:sz w:val="32"/>
          <w:szCs w:val="32"/>
          <w:lang w:val="en-US" w:eastAsia="zh-CN"/>
        </w:rPr>
        <w:t>216.96</w:t>
      </w:r>
      <w:r>
        <w:rPr>
          <w:rFonts w:hint="default" w:ascii="Times New Roman" w:hAnsi="Times New Roman" w:eastAsia="方正仿宋_GBK" w:cs="Times New Roman"/>
          <w:b w:val="0"/>
          <w:bCs w:val="0"/>
          <w:sz w:val="32"/>
          <w:szCs w:val="32"/>
          <w:shd w:val="clear" w:color="auto" w:fill="FFFFFF"/>
        </w:rPr>
        <w:t>万元。收支较上年决算数减少</w:t>
      </w:r>
      <w:r>
        <w:rPr>
          <w:rFonts w:hint="eastAsia" w:ascii="Times New Roman" w:hAnsi="Times New Roman" w:eastAsia="方正仿宋_GBK" w:cs="Times New Roman"/>
          <w:b w:val="0"/>
          <w:bCs w:val="0"/>
          <w:sz w:val="32"/>
          <w:szCs w:val="32"/>
          <w:shd w:val="clear" w:color="auto" w:fill="FFFFFF"/>
          <w:lang w:val="en-US" w:eastAsia="zh-CN"/>
        </w:rPr>
        <w:t>0.90</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0.41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rPr>
        <w:t>2024年度收入合计</w:t>
      </w:r>
      <w:r>
        <w:rPr>
          <w:rFonts w:hint="eastAsia" w:ascii="Times New Roman" w:hAnsi="Times New Roman" w:eastAsia="方正仿宋_GBK" w:cs="Times New Roman"/>
          <w:b w:val="0"/>
          <w:bCs w:val="0"/>
          <w:sz w:val="32"/>
          <w:szCs w:val="32"/>
          <w:shd w:val="clear" w:color="auto" w:fill="FFFFFF"/>
          <w:lang w:val="en-US" w:eastAsia="zh-CN"/>
        </w:rPr>
        <w:t>216.96</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0.90</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0.41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b w:val="0"/>
          <w:bCs w:val="0"/>
          <w:sz w:val="32"/>
          <w:szCs w:val="32"/>
          <w:shd w:val="clear" w:color="auto" w:fill="FFFFFF"/>
        </w:rPr>
        <w:t>其中：财政拨款收入</w:t>
      </w:r>
      <w:r>
        <w:rPr>
          <w:rFonts w:hint="eastAsia" w:ascii="Times New Roman" w:hAnsi="Times New Roman" w:eastAsia="方正仿宋_GBK" w:cs="Times New Roman"/>
          <w:b w:val="0"/>
          <w:bCs w:val="0"/>
          <w:sz w:val="32"/>
          <w:szCs w:val="32"/>
          <w:lang w:val="en-US" w:eastAsia="zh-CN"/>
        </w:rPr>
        <w:t>216.96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rPr>
        <w:t>2024年度支出合计</w:t>
      </w:r>
      <w:r>
        <w:rPr>
          <w:rFonts w:hint="eastAsia" w:ascii="Times New Roman" w:hAnsi="Times New Roman" w:eastAsia="方正仿宋_GBK" w:cs="Times New Roman"/>
          <w:b w:val="0"/>
          <w:bCs w:val="0"/>
          <w:sz w:val="32"/>
          <w:szCs w:val="32"/>
          <w:shd w:val="clear" w:color="auto" w:fill="FFFFFF"/>
          <w:lang w:val="en-US" w:eastAsia="zh-CN"/>
        </w:rPr>
        <w:t>216.96</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0.90</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0.41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b w:val="0"/>
          <w:bCs w:val="0"/>
          <w:sz w:val="32"/>
          <w:szCs w:val="32"/>
          <w:shd w:val="clear" w:color="auto" w:fill="FFFFFF"/>
        </w:rPr>
        <w:t>其中：基本支出</w:t>
      </w:r>
      <w:r>
        <w:rPr>
          <w:rFonts w:hint="eastAsia" w:ascii="Times New Roman" w:hAnsi="Times New Roman" w:eastAsia="方正仿宋_GBK" w:cs="Times New Roman"/>
          <w:b w:val="0"/>
          <w:bCs w:val="0"/>
          <w:sz w:val="32"/>
          <w:szCs w:val="32"/>
          <w:lang w:val="en-US" w:eastAsia="zh-CN"/>
        </w:rPr>
        <w:t>216.96</w:t>
      </w:r>
      <w:r>
        <w:rPr>
          <w:rFonts w:hint="default" w:ascii="Times New Roman" w:hAnsi="Times New Roman" w:eastAsia="方正仿宋_GBK" w:cs="Times New Roman"/>
          <w:b w:val="0"/>
          <w:bCs w:val="0"/>
          <w:sz w:val="32"/>
          <w:szCs w:val="32"/>
          <w:shd w:val="clear" w:color="auto" w:fill="FFFFFF"/>
        </w:rPr>
        <w:t>万元，占100.00%。此外，结余分配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rPr>
        <w:t>2024年度年末结转和结余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本单位无结转结余。</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8" w:name="_Toc15060"/>
      <w:bookmarkStart w:id="9" w:name="_Toc4542"/>
      <w:r>
        <w:rPr>
          <w:rFonts w:hint="eastAsia" w:ascii="楷体" w:hAnsi="楷体" w:eastAsia="楷体" w:cs="楷体"/>
        </w:rPr>
        <w:t>（二）财政拨款收入支出决算总体情况说明</w:t>
      </w:r>
      <w:bookmarkEnd w:id="8"/>
      <w:bookmarkEnd w:id="9"/>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w:t>
      </w:r>
      <w:r>
        <w:rPr>
          <w:rFonts w:hint="eastAsia" w:ascii="Times New Roman" w:hAnsi="Times New Roman" w:eastAsia="方正仿宋_GBK" w:cs="Times New Roman"/>
          <w:b w:val="0"/>
          <w:bCs w:val="0"/>
          <w:sz w:val="32"/>
          <w:szCs w:val="32"/>
          <w:shd w:val="clear" w:color="auto" w:fill="FFFFFF"/>
          <w:lang w:val="en-US" w:eastAsia="zh-CN"/>
        </w:rPr>
        <w:t>216.96</w:t>
      </w:r>
      <w:r>
        <w:rPr>
          <w:rFonts w:hint="default" w:ascii="Times New Roman" w:hAnsi="Times New Roman" w:eastAsia="方正仿宋_GBK" w:cs="Times New Roman"/>
          <w:b w:val="0"/>
          <w:bCs w:val="0"/>
          <w:sz w:val="32"/>
          <w:szCs w:val="32"/>
          <w:shd w:val="clear" w:color="auto" w:fill="FFFFFF"/>
        </w:rPr>
        <w:t>万元。与2023年相比，财政拨款收、支总计各减少</w:t>
      </w:r>
      <w:r>
        <w:rPr>
          <w:rFonts w:hint="eastAsia" w:ascii="Times New Roman" w:hAnsi="Times New Roman" w:eastAsia="方正仿宋_GBK" w:cs="Times New Roman"/>
          <w:b w:val="0"/>
          <w:bCs w:val="0"/>
          <w:sz w:val="32"/>
          <w:szCs w:val="32"/>
          <w:shd w:val="clear" w:color="auto" w:fill="FFFFFF"/>
          <w:lang w:val="en-US" w:eastAsia="zh-CN"/>
        </w:rPr>
        <w:t>0.90</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0.41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sz w:val="32"/>
          <w:szCs w:val="32"/>
        </w:rPr>
        <w:t>。</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0" w:name="_Toc2040"/>
      <w:bookmarkStart w:id="11" w:name="_Toc24315"/>
      <w:r>
        <w:rPr>
          <w:rFonts w:hint="eastAsia" w:ascii="楷体" w:hAnsi="楷体" w:eastAsia="楷体" w:cs="楷体"/>
        </w:rPr>
        <w:t>（三）一般公共预算财政拨款收入支出决算情况说明</w:t>
      </w:r>
      <w:bookmarkEnd w:id="10"/>
      <w:bookmarkEnd w:id="11"/>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w:t>
      </w:r>
      <w:r>
        <w:rPr>
          <w:rFonts w:hint="eastAsia" w:ascii="Times New Roman" w:hAnsi="Times New Roman" w:eastAsia="方正仿宋_GBK" w:cs="Times New Roman"/>
          <w:b w:val="0"/>
          <w:bCs w:val="0"/>
          <w:sz w:val="32"/>
          <w:szCs w:val="32"/>
          <w:lang w:val="en-US" w:eastAsia="zh-CN"/>
        </w:rPr>
        <w:t>216.96</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0.90</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0.41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9.03</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4.34</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本单位补发事业人员</w:t>
      </w:r>
      <w:r>
        <w:rPr>
          <w:rFonts w:hint="default" w:ascii="Times New Roman" w:hAnsi="Times New Roman" w:eastAsia="方正仿宋_GBK" w:cs="Times New Roman"/>
          <w:sz w:val="32"/>
          <w:szCs w:val="32"/>
          <w:lang w:val="en-US" w:eastAsia="zh-CN"/>
        </w:rPr>
        <w:t>2022年超额绩效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w:t>
      </w:r>
      <w:r>
        <w:rPr>
          <w:rFonts w:hint="eastAsia" w:ascii="Times New Roman" w:hAnsi="Times New Roman" w:eastAsia="方正仿宋_GBK" w:cs="Times New Roman"/>
          <w:b w:val="0"/>
          <w:bCs w:val="0"/>
          <w:sz w:val="32"/>
          <w:szCs w:val="32"/>
          <w:lang w:val="en-US" w:eastAsia="zh-CN"/>
        </w:rPr>
        <w:t>216.96</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0.90</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0.41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9.03</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4.34</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本单位补发事业人员</w:t>
      </w:r>
      <w:r>
        <w:rPr>
          <w:rFonts w:hint="default" w:ascii="Times New Roman" w:hAnsi="Times New Roman" w:eastAsia="方正仿宋_GBK" w:cs="Times New Roman"/>
          <w:sz w:val="32"/>
          <w:szCs w:val="32"/>
          <w:lang w:val="en-US" w:eastAsia="zh-CN"/>
        </w:rPr>
        <w:t>2022年超额绩效</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本单位无结转结余。 </w:t>
      </w:r>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 xml:space="preserve"> 4.比较情况。</w:t>
      </w:r>
      <w:r>
        <w:rPr>
          <w:rFonts w:hint="default" w:ascii="Times New Roman" w:hAnsi="Times New Roman" w:eastAsia="方正仿宋_GBK" w:cs="Times New Roman"/>
          <w:b w:val="0"/>
          <w:bCs w:val="0"/>
          <w:sz w:val="32"/>
          <w:szCs w:val="32"/>
          <w:shd w:val="clear" w:color="auto" w:fill="FFFFFF"/>
        </w:rPr>
        <w:t>本单位2024年度一般公共预算财政拨款支出主要用于以下几个方面：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shd w:val="clear" w:color="auto" w:fill="FFFFFF"/>
        </w:rPr>
        <w:t>（1）一般公共服务支出</w:t>
      </w:r>
      <w:r>
        <w:rPr>
          <w:rFonts w:hint="eastAsia" w:ascii="Times New Roman" w:hAnsi="Times New Roman" w:eastAsia="方正仿宋_GBK" w:cs="Times New Roman"/>
          <w:b w:val="0"/>
          <w:bCs w:val="0"/>
          <w:sz w:val="32"/>
          <w:szCs w:val="32"/>
          <w:lang w:val="en-US" w:eastAsia="zh-CN"/>
        </w:rPr>
        <w:t>108.24</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49.89</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6.37</w:t>
      </w:r>
      <w:r>
        <w:rPr>
          <w:rFonts w:hint="default" w:ascii="Times New Roman" w:hAnsi="Times New Roman" w:eastAsia="方正仿宋_GBK" w:cs="Times New Roman"/>
          <w:b w:val="0"/>
          <w:bCs w:val="0"/>
          <w:sz w:val="32"/>
          <w:szCs w:val="32"/>
          <w:shd w:val="clear" w:color="auto" w:fill="FFFFFF"/>
        </w:rPr>
        <w:t>万元，增长6.</w:t>
      </w:r>
      <w:r>
        <w:rPr>
          <w:rFonts w:hint="eastAsia" w:ascii="Times New Roman" w:hAnsi="Times New Roman" w:eastAsia="方正仿宋_GBK" w:cs="Times New Roman"/>
          <w:b w:val="0"/>
          <w:bCs w:val="0"/>
          <w:sz w:val="32"/>
          <w:szCs w:val="32"/>
          <w:shd w:val="clear" w:color="auto" w:fill="FFFFFF"/>
          <w:lang w:val="en-US" w:eastAsia="zh-CN"/>
        </w:rPr>
        <w:t>25</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本单位工作人员正常调资。</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（2）社会保障与就业支出</w:t>
      </w:r>
      <w:r>
        <w:rPr>
          <w:rFonts w:hint="default"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lang w:val="en-US" w:eastAsia="zh-CN"/>
        </w:rPr>
        <w:t>8.01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lang w:val="en-US" w:eastAsia="zh-CN"/>
        </w:rPr>
        <w:t>2.91</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sz w:val="32"/>
          <w:szCs w:val="32"/>
        </w:rPr>
        <w:t>年初预算已于本年度全部支出。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（3）卫生健康支出</w:t>
      </w:r>
      <w:r>
        <w:rPr>
          <w:rFonts w:hint="eastAsia" w:ascii="Times New Roman" w:hAnsi="Times New Roman" w:eastAsia="方正仿宋_GBK" w:cs="Times New Roman"/>
          <w:b w:val="0"/>
          <w:bCs w:val="0"/>
          <w:sz w:val="32"/>
          <w:szCs w:val="32"/>
          <w:lang w:val="en-US" w:eastAsia="zh-CN"/>
        </w:rPr>
        <w:t>6.14</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2.83</w:t>
      </w:r>
      <w:r>
        <w:rPr>
          <w:rFonts w:hint="default" w:ascii="Times New Roman" w:hAnsi="Times New Roman" w:eastAsia="方正仿宋_GBK" w:cs="Times New Roman"/>
          <w:b w:val="0"/>
          <w:bCs w:val="0"/>
          <w:sz w:val="32"/>
          <w:szCs w:val="32"/>
          <w:shd w:val="clear" w:color="auto" w:fill="FFFFFF"/>
        </w:rPr>
        <w:t>%，较年初预算数</w:t>
      </w:r>
      <w:r>
        <w:rPr>
          <w:rFonts w:hint="eastAsia" w:ascii="Times New Roman" w:hAnsi="Times New Roman" w:eastAsia="方正仿宋_GBK" w:cs="Times New Roman"/>
          <w:b w:val="0"/>
          <w:bCs w:val="0"/>
          <w:sz w:val="32"/>
          <w:szCs w:val="32"/>
          <w:shd w:val="clear" w:color="auto" w:fill="FFFFFF"/>
          <w:lang w:eastAsia="zh-CN"/>
        </w:rPr>
        <w:t>建设</w:t>
      </w:r>
      <w:r>
        <w:rPr>
          <w:rFonts w:hint="eastAsia" w:ascii="Times New Roman" w:hAnsi="Times New Roman" w:eastAsia="方正仿宋_GBK" w:cs="Times New Roman"/>
          <w:b w:val="0"/>
          <w:bCs w:val="0"/>
          <w:sz w:val="32"/>
          <w:szCs w:val="32"/>
          <w:shd w:val="clear" w:color="auto" w:fill="FFFFFF"/>
          <w:lang w:val="en-US" w:eastAsia="zh-CN"/>
        </w:rPr>
        <w:t>0.56万元，下降8.36%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本单位合署办公，养老保险、医疗保险等相关经费绝大部分在本级列支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（4）城乡社区支出</w:t>
      </w:r>
      <w:r>
        <w:rPr>
          <w:rFonts w:hint="eastAsia" w:ascii="Times New Roman" w:hAnsi="Times New Roman" w:eastAsia="方正仿宋_GBK" w:cs="Times New Roman"/>
          <w:b w:val="0"/>
          <w:bCs w:val="0"/>
          <w:sz w:val="32"/>
          <w:szCs w:val="32"/>
          <w:lang w:val="en-US" w:eastAsia="zh-CN"/>
        </w:rPr>
        <w:t>71.55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lang w:val="en-US" w:eastAsia="zh-CN"/>
        </w:rPr>
        <w:t>2.98</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3.24</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4.74</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本单位本年度补发事业人员</w:t>
      </w:r>
      <w:r>
        <w:rPr>
          <w:rFonts w:hint="default" w:ascii="Times New Roman" w:hAnsi="Times New Roman" w:eastAsia="方正仿宋_GBK" w:cs="Times New Roman"/>
          <w:sz w:val="32"/>
          <w:szCs w:val="32"/>
          <w:lang w:val="en-US" w:eastAsia="zh-CN"/>
        </w:rPr>
        <w:t>2022年超额绩效，相关经费增加。</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eastAsia" w:ascii="Times New Roman" w:hAnsi="Times New Roman" w:eastAsia="方正仿宋_GBK" w:cs="Times New Roman"/>
          <w:b w:val="0"/>
          <w:bCs w:val="0"/>
          <w:sz w:val="32"/>
          <w:szCs w:val="32"/>
          <w:lang w:val="en-US" w:eastAsia="zh-CN"/>
        </w:rPr>
        <w:t>3.03</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1.40</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sz w:val="32"/>
          <w:szCs w:val="32"/>
        </w:rPr>
        <w:t>年初预算已于本年度全部支出。</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2" w:name="_Toc22519"/>
      <w:bookmarkStart w:id="13" w:name="_Toc1414"/>
      <w:r>
        <w:rPr>
          <w:rFonts w:hint="eastAsia" w:ascii="楷体" w:hAnsi="楷体" w:eastAsia="楷体" w:cs="楷体"/>
        </w:rPr>
        <w:t>（四）一般公共预算财政拨款基本支出决算情况说明</w:t>
      </w:r>
      <w:bookmarkEnd w:id="12"/>
      <w:bookmarkEnd w:id="13"/>
    </w:p>
    <w:p>
      <w:pPr>
        <w:keepNext w:val="0"/>
        <w:keepLines w:val="0"/>
        <w:pageBreakBefore w:val="0"/>
        <w:widowControl w:val="0"/>
        <w:kinsoku/>
        <w:wordWrap/>
        <w:overflowPunct/>
        <w:topLinePunct w:val="0"/>
        <w:autoSpaceDE/>
        <w:autoSpaceDN/>
        <w:bidi w:val="0"/>
        <w:adjustRightInd/>
        <w:snapToGrid/>
        <w:spacing w:line="588" w:lineRule="exact"/>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2024年度一般公共财政拨款基本支出</w:t>
      </w:r>
      <w:r>
        <w:rPr>
          <w:rFonts w:hint="eastAsia" w:ascii="Times New Roman" w:hAnsi="Times New Roman" w:eastAsia="方正仿宋_GBK" w:cs="Times New Roman"/>
          <w:b w:val="0"/>
          <w:bCs w:val="0"/>
          <w:sz w:val="32"/>
          <w:szCs w:val="32"/>
          <w:lang w:val="en-US" w:eastAsia="zh-CN"/>
        </w:rPr>
        <w:t>216.09</w:t>
      </w:r>
      <w:r>
        <w:rPr>
          <w:rFonts w:hint="eastAsia" w:ascii="Times New Roman" w:hAnsi="Times New Roman" w:eastAsia="方正仿宋_GBK" w:cs="Times New Roman"/>
          <w:b w:val="0"/>
          <w:bCs w:val="0"/>
          <w:sz w:val="32"/>
          <w:szCs w:val="32"/>
          <w:lang w:val="en-US" w:eastAsia="zh-CN"/>
        </w:rPr>
        <w:tab/>
      </w:r>
      <w:r>
        <w:rPr>
          <w:rFonts w:hint="default" w:ascii="Times New Roman" w:hAnsi="Times New Roman" w:eastAsia="方正仿宋_GBK" w:cs="Times New Roman"/>
          <w:b w:val="0"/>
          <w:bCs w:val="0"/>
          <w:sz w:val="32"/>
          <w:szCs w:val="32"/>
          <w:shd w:val="clear" w:color="auto" w:fill="FFFFFF"/>
        </w:rPr>
        <w:t>万元。其中：人员经费</w:t>
      </w:r>
      <w:r>
        <w:rPr>
          <w:rFonts w:hint="eastAsia" w:ascii="Times New Roman" w:hAnsi="Times New Roman" w:eastAsia="方正仿宋_GBK" w:cs="Times New Roman"/>
          <w:b w:val="0"/>
          <w:bCs w:val="0"/>
          <w:sz w:val="32"/>
          <w:szCs w:val="32"/>
          <w:lang w:val="en-US" w:eastAsia="zh-CN"/>
        </w:rPr>
        <w:t>186.74</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增加</w:t>
      </w:r>
      <w:r>
        <w:rPr>
          <w:rFonts w:hint="eastAsia" w:ascii="Times New Roman" w:hAnsi="Times New Roman" w:eastAsia="方正仿宋_GBK" w:cs="Times New Roman"/>
          <w:b w:val="0"/>
          <w:bCs w:val="0"/>
          <w:sz w:val="32"/>
          <w:szCs w:val="32"/>
          <w:shd w:val="clear" w:color="auto" w:fill="FFFFFF"/>
          <w:lang w:val="en-US" w:eastAsia="zh-CN"/>
        </w:rPr>
        <w:t>5.62</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增长</w:t>
      </w:r>
      <w:r>
        <w:rPr>
          <w:rFonts w:hint="eastAsia" w:ascii="Times New Roman" w:hAnsi="Times New Roman" w:eastAsia="方正仿宋_GBK" w:cs="Times New Roman"/>
          <w:b w:val="0"/>
          <w:bCs w:val="0"/>
          <w:sz w:val="32"/>
          <w:szCs w:val="32"/>
          <w:shd w:val="clear" w:color="auto" w:fill="FFFFFF"/>
          <w:lang w:val="en-US" w:eastAsia="zh-CN"/>
        </w:rPr>
        <w:t>3.10%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本单位本年度补发事业人员</w:t>
      </w:r>
      <w:r>
        <w:rPr>
          <w:rFonts w:hint="default" w:ascii="Times New Roman" w:hAnsi="Times New Roman" w:eastAsia="方正仿宋_GBK" w:cs="Times New Roman"/>
          <w:sz w:val="32"/>
          <w:szCs w:val="32"/>
          <w:lang w:val="en-US" w:eastAsia="zh-CN"/>
        </w:rPr>
        <w:t>2022年超额绩效，相关经费增加</w:t>
      </w:r>
      <w:r>
        <w:rPr>
          <w:rFonts w:hint="default" w:ascii="Times New Roman" w:hAnsi="Times New Roman" w:eastAsia="方正仿宋_GBK" w:cs="Times New Roman"/>
          <w:sz w:val="32"/>
          <w:szCs w:val="32"/>
        </w:rPr>
        <w:t>。人员经费用途主要包括基本工资、津贴补贴、奖金、社会保障缴费等。</w:t>
      </w:r>
      <w:r>
        <w:rPr>
          <w:rFonts w:hint="default" w:ascii="Times New Roman" w:hAnsi="Times New Roman" w:eastAsia="方正仿宋_GBK" w:cs="Times New Roman"/>
          <w:sz w:val="32"/>
          <w:szCs w:val="32"/>
          <w:lang w:eastAsia="zh-CN"/>
        </w:rPr>
        <w:t>公</w:t>
      </w:r>
      <w:r>
        <w:rPr>
          <w:rFonts w:hint="default" w:ascii="Times New Roman" w:hAnsi="Times New Roman" w:eastAsia="方正仿宋_GBK" w:cs="Times New Roman"/>
          <w:b w:val="0"/>
          <w:bCs w:val="0"/>
          <w:sz w:val="32"/>
          <w:szCs w:val="32"/>
          <w:shd w:val="clear" w:color="auto" w:fill="FFFFFF"/>
        </w:rPr>
        <w:t>用经费</w:t>
      </w:r>
      <w:r>
        <w:rPr>
          <w:rFonts w:hint="eastAsia" w:ascii="Times New Roman" w:hAnsi="Times New Roman" w:eastAsia="方正仿宋_GBK" w:cs="Times New Roman"/>
          <w:b w:val="0"/>
          <w:bCs w:val="0"/>
          <w:sz w:val="32"/>
          <w:szCs w:val="32"/>
          <w:lang w:val="en-US" w:eastAsia="zh-CN"/>
        </w:rPr>
        <w:t>30.22</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6.52</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17.75</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本单位厉行节约，减少公用经费开支</w:t>
      </w:r>
      <w:r>
        <w:rPr>
          <w:rFonts w:hint="default" w:ascii="Times New Roman" w:hAnsi="Times New Roman" w:eastAsia="方正仿宋_GBK" w:cs="Times New Roman"/>
          <w:sz w:val="32"/>
          <w:szCs w:val="32"/>
        </w:rPr>
        <w:t>。公用经费用途主要包括办公费、印刷费、咨询费、手续费等。</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4" w:name="_Toc4367"/>
      <w:bookmarkStart w:id="15" w:name="_Toc9507"/>
      <w:r>
        <w:rPr>
          <w:rFonts w:hint="eastAsia" w:ascii="楷体" w:hAnsi="楷体" w:eastAsia="楷体" w:cs="楷体"/>
        </w:rPr>
        <w:t>（五）政府性基金预算收支决算情况说明</w:t>
      </w:r>
      <w:bookmarkEnd w:id="14"/>
      <w:bookmarkEnd w:id="15"/>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本单位2024年度无政府性基金预算财政拨款收支。</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6" w:name="_Toc31187"/>
      <w:bookmarkStart w:id="17" w:name="_Toc13092"/>
      <w:r>
        <w:rPr>
          <w:rFonts w:hint="eastAsia" w:ascii="楷体" w:hAnsi="楷体" w:eastAsia="楷体" w:cs="楷体"/>
        </w:rPr>
        <w:t>（六）国有资本经营预算财政拨款支出决算情况说明</w:t>
      </w:r>
      <w:bookmarkEnd w:id="16"/>
      <w:bookmarkEnd w:id="17"/>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b w:val="0"/>
          <w:bCs w:val="0"/>
          <w:sz w:val="32"/>
          <w:szCs w:val="32"/>
          <w:shd w:val="clear" w:color="auto" w:fill="FFFFFF"/>
          <w:lang w:val="en-US" w:eastAsia="zh-CN" w:bidi="ar-SA"/>
        </w:rPr>
        <w:t>本单位2024年度无国有资本经营预算财政拨款支出</w:t>
      </w:r>
      <w:r>
        <w:rPr>
          <w:rFonts w:hint="eastAsia" w:ascii="Times New Roman" w:hAnsi="Times New Roman" w:eastAsia="方正仿宋_GBK" w:cs="Times New Roman"/>
          <w:b w:val="0"/>
          <w:bCs w:val="0"/>
          <w:sz w:val="32"/>
          <w:szCs w:val="32"/>
          <w:shd w:val="clear" w:color="auto" w:fill="FFFFFF"/>
          <w:lang w:val="en-US" w:eastAsia="zh-CN" w:bidi="ar-SA"/>
        </w:rPr>
        <w:t>。</w:t>
      </w:r>
    </w:p>
    <w:p>
      <w:pPr>
        <w:pStyle w:val="2"/>
        <w:bidi w:val="0"/>
        <w:rPr>
          <w:rFonts w:hint="eastAsia" w:ascii="黑体" w:hAnsi="黑体" w:eastAsia="黑体" w:cs="黑体"/>
        </w:rPr>
      </w:pPr>
      <w:bookmarkStart w:id="18" w:name="_Toc11286"/>
      <w:r>
        <w:rPr>
          <w:rFonts w:hint="eastAsia" w:ascii="黑体" w:hAnsi="黑体" w:eastAsia="黑体" w:cs="黑体"/>
        </w:rPr>
        <w:t>三、</w:t>
      </w:r>
      <w:r>
        <w:rPr>
          <w:rFonts w:hint="eastAsia" w:ascii="黑体" w:hAnsi="黑体" w:eastAsia="黑体" w:cs="黑体"/>
          <w:lang w:eastAsia="zh-CN"/>
        </w:rPr>
        <w:t>财政拨款</w:t>
      </w:r>
      <w:r>
        <w:rPr>
          <w:rFonts w:hint="eastAsia" w:ascii="黑体" w:hAnsi="黑体" w:eastAsia="黑体" w:cs="黑体"/>
        </w:rPr>
        <w:t>“三公”经费情况说明</w:t>
      </w:r>
      <w:bookmarkEnd w:id="18"/>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9" w:name="_Toc5510"/>
      <w:bookmarkStart w:id="20" w:name="_Toc31341"/>
      <w:r>
        <w:rPr>
          <w:rFonts w:hint="eastAsia" w:ascii="楷体" w:hAnsi="楷体" w:eastAsia="楷体" w:cs="楷体"/>
        </w:rPr>
        <w:t>（一）“三公”经费支出总体情况说明</w:t>
      </w:r>
      <w:bookmarkEnd w:id="19"/>
      <w:bookmarkEnd w:id="20"/>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88"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万元，较年初预算数无增减，主要原因是</w:t>
      </w:r>
      <w:r>
        <w:rPr>
          <w:rFonts w:hint="default" w:ascii="Times New Roman" w:hAnsi="Times New Roman" w:eastAsia="方正仿宋_GBK" w:cs="Times New Roman"/>
          <w:sz w:val="32"/>
          <w:szCs w:val="32"/>
          <w:lang w:eastAsia="zh-CN"/>
        </w:rPr>
        <w:t>本单位与政府机关合署办公，相关经费在本级列支</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lang w:eastAsia="zh-CN"/>
        </w:rPr>
        <w:t>本单位与政府机关合署办公，相关经费在本级列支。</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1" w:name="_Toc17473"/>
      <w:bookmarkStart w:id="22" w:name="_Toc25852"/>
      <w:r>
        <w:rPr>
          <w:rFonts w:hint="eastAsia" w:ascii="楷体" w:hAnsi="楷体" w:eastAsia="楷体" w:cs="楷体"/>
        </w:rPr>
        <w:t>（二）“三公”经费分项支出情况</w:t>
      </w:r>
      <w:bookmarkEnd w:id="21"/>
      <w:bookmarkEnd w:id="22"/>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shd w:val="clear" w:color="auto" w:fill="FFFFFF"/>
        </w:rPr>
        <w:t>2024年度本单位因公出国（境）费用</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万元，主要是用于</w:t>
      </w:r>
      <w:r>
        <w:rPr>
          <w:rFonts w:hint="default" w:ascii="Times New Roman" w:hAnsi="Times New Roman" w:eastAsia="方正仿宋_GBK" w:cs="Times New Roman"/>
          <w:sz w:val="32"/>
          <w:szCs w:val="32"/>
        </w:rPr>
        <w:t>因公出国、出境支出。费用支出</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sz w:val="32"/>
          <w:szCs w:val="32"/>
        </w:rPr>
        <w:t>，主要原因是本单位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b w:val="0"/>
          <w:bCs w:val="0"/>
          <w:sz w:val="32"/>
          <w:szCs w:val="32"/>
          <w:shd w:val="clear" w:color="auto" w:fill="FFFFFF"/>
        </w:rPr>
        <w:t>因公出国（境）费用</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b w:val="0"/>
          <w:bCs w:val="0"/>
          <w:sz w:val="32"/>
          <w:szCs w:val="32"/>
          <w:shd w:val="clear" w:color="auto" w:fill="FFFFFF"/>
        </w:rPr>
        <w:t>因公出国（境）费用</w:t>
      </w:r>
      <w:r>
        <w:rPr>
          <w:rFonts w:hint="default" w:ascii="Times New Roman" w:hAnsi="Times New Roman" w:eastAsia="方正仿宋_GBK" w:cs="Times New Roman"/>
          <w:sz w:val="32"/>
          <w:szCs w:val="32"/>
          <w:lang w:eastAsia="zh-CN"/>
        </w:rPr>
        <w:t>支出</w:t>
      </w:r>
      <w:r>
        <w:rPr>
          <w:rFonts w:hint="eastAsia" w:ascii="Times New Roman" w:hAnsi="Times New Roman" w:eastAsia="方正仿宋_GBK" w:cs="Times New Roman"/>
          <w:sz w:val="32"/>
          <w:szCs w:val="32"/>
          <w:lang w:eastAsia="zh-CN"/>
        </w:rPr>
        <w:t>。</w:t>
      </w:r>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sz w:val="32"/>
          <w:szCs w:val="32"/>
        </w:rPr>
        <w:t>主要用于购买公务车。费用支出</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sz w:val="32"/>
          <w:szCs w:val="32"/>
        </w:rPr>
        <w:t>，主要原因是本单位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公务用车购置安排</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公务用车购置安排</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sz w:val="32"/>
          <w:szCs w:val="32"/>
        </w:rPr>
        <w:t>主要用于机要文件交换、市内因公出行等工作所需车辆的燃料费、维修费、过桥过路费、保险费等。费用支出</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sz w:val="32"/>
          <w:szCs w:val="32"/>
        </w:rPr>
        <w:t>，主要原因是本单位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公务车</w:t>
      </w:r>
      <w:r>
        <w:rPr>
          <w:rFonts w:hint="default" w:ascii="Times New Roman" w:hAnsi="Times New Roman" w:eastAsia="方正仿宋_GBK" w:cs="Times New Roman"/>
          <w:sz w:val="32"/>
          <w:szCs w:val="32"/>
          <w:lang w:eastAsia="zh-CN"/>
        </w:rPr>
        <w:t>运行维护费支出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公务车</w:t>
      </w:r>
      <w:r>
        <w:rPr>
          <w:rFonts w:hint="default" w:ascii="Times New Roman" w:hAnsi="Times New Roman" w:eastAsia="方正仿宋_GBK" w:cs="Times New Roman"/>
          <w:sz w:val="32"/>
          <w:szCs w:val="32"/>
          <w:lang w:eastAsia="zh-CN"/>
        </w:rPr>
        <w:t>运行维护费支出</w:t>
      </w:r>
      <w:r>
        <w:rPr>
          <w:rFonts w:hint="default" w:ascii="Times New Roman" w:hAnsi="Times New Roman" w:eastAsia="方正仿宋_GBK" w:cs="Times New Roman"/>
          <w:sz w:val="32"/>
          <w:szCs w:val="32"/>
        </w:rPr>
        <w:t>。</w:t>
      </w:r>
    </w:p>
    <w:p>
      <w:pPr>
        <w:pStyle w:val="10"/>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val="0"/>
          <w:bCs w:val="0"/>
          <w:sz w:val="32"/>
          <w:szCs w:val="32"/>
          <w:shd w:val="clear" w:color="auto" w:fill="FFFFFF"/>
          <w:lang w:eastAsia="zh-CN"/>
        </w:rPr>
        <w:t>公务接待费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sz w:val="32"/>
          <w:szCs w:val="32"/>
        </w:rPr>
        <w:t>主要用于接待到我单位学习调研、接受相关部门检查指导工作发生的接待支出等。费用支出</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本单位与政府机关合署办公，公务接待费在本级列支。</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eastAsia" w:ascii="Times New Roman" w:hAnsi="Times New Roman" w:eastAsia="方正仿宋_GBK" w:cs="Times New Roman"/>
          <w:b w:val="0"/>
          <w:bCs w:val="0"/>
          <w:sz w:val="32"/>
          <w:szCs w:val="32"/>
          <w:shd w:val="clear" w:color="auto" w:fill="FFFFFF"/>
          <w:lang w:eastAsia="zh-CN"/>
        </w:rPr>
        <w:t>公务接待费</w:t>
      </w:r>
      <w:r>
        <w:rPr>
          <w:rFonts w:hint="default" w:ascii="Times New Roman" w:hAnsi="Times New Roman" w:eastAsia="方正仿宋_GBK" w:cs="Times New Roman"/>
          <w:sz w:val="32"/>
          <w:szCs w:val="32"/>
          <w:lang w:eastAsia="zh-CN"/>
        </w:rPr>
        <w:t>支出</w:t>
      </w:r>
      <w:r>
        <w:rPr>
          <w:rFonts w:hint="eastAsia" w:ascii="Times New Roman" w:hAnsi="Times New Roman" w:eastAsia="方正仿宋_GBK" w:cs="Times New Roman"/>
          <w:sz w:val="32"/>
          <w:szCs w:val="32"/>
          <w:lang w:eastAsia="zh-CN"/>
        </w:rPr>
        <w:t>。</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3" w:name="_Toc28151"/>
      <w:bookmarkStart w:id="24" w:name="_Toc26390"/>
      <w:r>
        <w:rPr>
          <w:rFonts w:hint="eastAsia" w:ascii="楷体" w:hAnsi="楷体" w:eastAsia="楷体" w:cs="楷体"/>
        </w:rPr>
        <w:t>（三）“三公”经费实物量情况</w:t>
      </w:r>
      <w:bookmarkEnd w:id="23"/>
      <w:bookmarkEnd w:id="24"/>
    </w:p>
    <w:p>
      <w:pPr>
        <w:pStyle w:val="10"/>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shd w:val="clear" w:color="auto" w:fill="FFFFFF"/>
        </w:rPr>
        <w:t>2024年度本单位因公出国（境）共计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人。2024年本单位人均接待费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p>
    <w:p>
      <w:pPr>
        <w:pStyle w:val="2"/>
        <w:bidi w:val="0"/>
        <w:rPr>
          <w:rFonts w:hint="eastAsia" w:ascii="黑体" w:hAnsi="黑体" w:eastAsia="黑体" w:cs="黑体"/>
        </w:rPr>
      </w:pPr>
      <w:bookmarkStart w:id="25" w:name="_Toc23779"/>
      <w:r>
        <w:rPr>
          <w:rFonts w:hint="eastAsia" w:ascii="黑体" w:hAnsi="黑体" w:eastAsia="黑体" w:cs="黑体"/>
        </w:rPr>
        <w:t>四、其他需要说明的事项</w:t>
      </w:r>
      <w:bookmarkEnd w:id="25"/>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6" w:name="_Toc6474"/>
      <w:bookmarkStart w:id="27" w:name="_Toc25268"/>
      <w:r>
        <w:rPr>
          <w:rFonts w:hint="eastAsia" w:ascii="楷体" w:hAnsi="楷体" w:eastAsia="楷体" w:cs="楷体"/>
        </w:rPr>
        <w:t>（一）财政拨款会议费、培训费和差旅费情况说明</w:t>
      </w:r>
      <w:bookmarkEnd w:id="26"/>
      <w:bookmarkEnd w:id="27"/>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本单位为合署办公，会议费在本级</w:t>
      </w:r>
      <w:r>
        <w:rPr>
          <w:rFonts w:hint="default" w:ascii="Times New Roman" w:hAnsi="Times New Roman" w:eastAsia="方正仿宋_GBK" w:cs="Times New Roman"/>
          <w:sz w:val="32"/>
          <w:szCs w:val="32"/>
          <w:lang w:eastAsia="zh-CN"/>
        </w:rPr>
        <w:t>列支</w:t>
      </w:r>
      <w:r>
        <w:rPr>
          <w:rFonts w:hint="default" w:ascii="Times New Roman" w:hAnsi="Times New Roman" w:eastAsia="方正仿宋_GBK" w:cs="Times New Roman"/>
          <w:b w:val="0"/>
          <w:bCs w:val="0"/>
          <w:sz w:val="32"/>
          <w:szCs w:val="32"/>
          <w:shd w:val="clear" w:color="auto" w:fill="FFFFFF"/>
        </w:rPr>
        <w:t>。本年度培训费支出</w:t>
      </w:r>
      <w:r>
        <w:rPr>
          <w:rFonts w:hint="eastAsia" w:ascii="Times New Roman" w:hAnsi="Times New Roman" w:eastAsia="方正仿宋_GBK" w:cs="Times New Roman"/>
          <w:b w:val="0"/>
          <w:bCs w:val="0"/>
          <w:sz w:val="32"/>
          <w:szCs w:val="32"/>
          <w:lang w:val="en-US" w:eastAsia="zh-CN"/>
        </w:rPr>
        <w:t>0.00</w:t>
      </w:r>
      <w:r>
        <w:rPr>
          <w:rFonts w:hint="default" w:ascii="Times New Roman" w:hAnsi="Times New Roman" w:eastAsia="方正仿宋_GBK" w:cs="Times New Roman"/>
          <w:b w:val="0"/>
          <w:bCs w:val="0"/>
          <w:sz w:val="32"/>
          <w:szCs w:val="32"/>
          <w:shd w:val="clear" w:color="auto" w:fill="FFFFFF"/>
        </w:rPr>
        <w:t>万元，较上年决算数减少0.</w:t>
      </w:r>
      <w:r>
        <w:rPr>
          <w:rFonts w:hint="eastAsia" w:ascii="Times New Roman" w:hAnsi="Times New Roman" w:eastAsia="方正仿宋_GBK" w:cs="Times New Roman"/>
          <w:b w:val="0"/>
          <w:bCs w:val="0"/>
          <w:sz w:val="32"/>
          <w:szCs w:val="32"/>
          <w:shd w:val="clear" w:color="auto" w:fill="FFFFFF"/>
          <w:lang w:val="en-US" w:eastAsia="zh-CN"/>
        </w:rPr>
        <w:t>75</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100.00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本年度厉行节约，减少培训费用。</w:t>
      </w:r>
      <w:r>
        <w:rPr>
          <w:rFonts w:hint="default" w:ascii="Times New Roman" w:hAnsi="Times New Roman" w:eastAsia="方正仿宋_GBK" w:cs="Times New Roman"/>
          <w:b w:val="0"/>
          <w:bCs w:val="0"/>
          <w:sz w:val="32"/>
          <w:szCs w:val="32"/>
          <w:shd w:val="clear" w:color="auto" w:fill="FFFFFF"/>
        </w:rPr>
        <w:t>本年度差旅费支出</w:t>
      </w:r>
      <w:r>
        <w:rPr>
          <w:rFonts w:hint="default" w:ascii="Times New Roman" w:hAnsi="Times New Roman" w:eastAsia="方正仿宋_GBK" w:cs="Times New Roman"/>
          <w:b w:val="0"/>
          <w:bCs w:val="0"/>
          <w:sz w:val="32"/>
          <w:szCs w:val="32"/>
        </w:rPr>
        <w:t>0.00万元，</w:t>
      </w:r>
      <w:r>
        <w:rPr>
          <w:rFonts w:hint="default" w:ascii="Times New Roman" w:hAnsi="Times New Roman" w:eastAsia="方正仿宋_GBK" w:cs="Times New Roman"/>
          <w:b w:val="0"/>
          <w:bCs w:val="0"/>
          <w:sz w:val="32"/>
          <w:szCs w:val="32"/>
          <w:shd w:val="clear" w:color="auto" w:fill="FFFFFF"/>
        </w:rPr>
        <w:t>较上年决算数无变化，主要原因是</w:t>
      </w:r>
      <w:r>
        <w:rPr>
          <w:rFonts w:hint="default" w:ascii="Times New Roman" w:hAnsi="Times New Roman" w:eastAsia="方正仿宋_GBK" w:cs="Times New Roman"/>
          <w:b w:val="0"/>
          <w:bCs w:val="0"/>
          <w:sz w:val="32"/>
          <w:szCs w:val="32"/>
          <w:shd w:val="clear" w:color="auto" w:fill="FFFFFF"/>
          <w:lang w:eastAsia="zh-CN"/>
        </w:rPr>
        <w:t>本单位本年度未发生差旅费。</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8" w:name="_Toc13059"/>
      <w:bookmarkStart w:id="29" w:name="_Toc18674"/>
      <w:r>
        <w:rPr>
          <w:rFonts w:hint="eastAsia" w:ascii="楷体" w:hAnsi="楷体" w:eastAsia="楷体" w:cs="楷体"/>
        </w:rPr>
        <w:t>（二）机关运行经费情况说明</w:t>
      </w:r>
      <w:bookmarkEnd w:id="28"/>
      <w:bookmarkEnd w:id="29"/>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2024年度本单位机关运行经费支出</w:t>
      </w:r>
      <w:r>
        <w:rPr>
          <w:rFonts w:hint="eastAsia" w:ascii="Times New Roman" w:hAnsi="Times New Roman" w:eastAsia="方正仿宋_GBK" w:cs="Times New Roman"/>
          <w:b w:val="0"/>
          <w:bCs w:val="0"/>
          <w:sz w:val="32"/>
          <w:szCs w:val="32"/>
          <w:lang w:val="en-US" w:eastAsia="zh-CN"/>
        </w:rPr>
        <w:t>30.22</w:t>
      </w:r>
      <w:r>
        <w:rPr>
          <w:rFonts w:hint="default" w:ascii="Times New Roman" w:hAnsi="Times New Roman" w:eastAsia="方正仿宋_GBK" w:cs="Times New Roman"/>
          <w:b w:val="0"/>
          <w:bCs w:val="0"/>
          <w:sz w:val="32"/>
          <w:szCs w:val="32"/>
          <w:shd w:val="clear" w:color="auto" w:fill="FFFFFF"/>
        </w:rPr>
        <w:t>万元，机关运行经费主要</w:t>
      </w:r>
      <w:r>
        <w:rPr>
          <w:rFonts w:hint="default" w:ascii="Times New Roman" w:hAnsi="Times New Roman" w:eastAsia="方正仿宋_GBK" w:cs="Times New Roman"/>
          <w:sz w:val="32"/>
          <w:szCs w:val="32"/>
        </w:rPr>
        <w:t>用于开支办公费、公务车运行维护费、信息网络购置更新费。机关运行经费较上年决算数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6.52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17.75</w:t>
      </w:r>
      <w:r>
        <w:rPr>
          <w:rFonts w:hint="default" w:ascii="Times New Roman" w:hAnsi="Times New Roman" w:eastAsia="方正仿宋_GBK" w:cs="Times New Roman"/>
          <w:sz w:val="32"/>
          <w:szCs w:val="32"/>
        </w:rPr>
        <w:t>%，主要原因是本单位</w:t>
      </w:r>
      <w:r>
        <w:rPr>
          <w:rFonts w:hint="default" w:ascii="Times New Roman" w:hAnsi="Times New Roman" w:eastAsia="方正仿宋_GBK" w:cs="Times New Roman"/>
          <w:sz w:val="32"/>
          <w:szCs w:val="32"/>
          <w:lang w:eastAsia="zh-CN"/>
        </w:rPr>
        <w:t>厉行节约，减少机关运行经费开支</w:t>
      </w:r>
      <w:r>
        <w:rPr>
          <w:rFonts w:hint="default" w:ascii="Times New Roman" w:hAnsi="Times New Roman" w:eastAsia="方正仿宋_GBK" w:cs="Times New Roman"/>
          <w:sz w:val="32"/>
          <w:szCs w:val="32"/>
        </w:rPr>
        <w:t>。</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30" w:name="_Toc8407"/>
      <w:bookmarkStart w:id="31" w:name="_Toc16389"/>
      <w:r>
        <w:rPr>
          <w:rFonts w:hint="eastAsia" w:ascii="楷体" w:hAnsi="楷体" w:eastAsia="楷体" w:cs="楷体"/>
        </w:rPr>
        <w:t>（三）国有资产占用情况说明</w:t>
      </w:r>
      <w:bookmarkEnd w:id="30"/>
      <w:bookmarkEnd w:id="31"/>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32" w:name="_Toc25662"/>
      <w:bookmarkStart w:id="33" w:name="_Toc23016"/>
      <w:r>
        <w:rPr>
          <w:rFonts w:hint="eastAsia" w:ascii="楷体" w:hAnsi="楷体" w:eastAsia="楷体" w:cs="楷体"/>
        </w:rPr>
        <w:t>（四）政府采购支出情况说明</w:t>
      </w:r>
      <w:bookmarkEnd w:id="32"/>
      <w:bookmarkEnd w:id="33"/>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2</w:t>
      </w:r>
      <w:r>
        <w:rPr>
          <w:rFonts w:hint="default" w:ascii="Times New Roman" w:hAnsi="Times New Roman" w:eastAsia="方正仿宋_GBK" w:cs="Times New Roman"/>
          <w:b w:val="0"/>
          <w:bCs w:val="0"/>
          <w:sz w:val="32"/>
          <w:szCs w:val="32"/>
          <w:shd w:val="clear" w:color="auto" w:fill="FFFFFF"/>
        </w:rPr>
        <w:t>024年度我单位未发生政府采购事项，无相关经费支出。</w:t>
      </w:r>
    </w:p>
    <w:p>
      <w:pPr>
        <w:pStyle w:val="2"/>
        <w:bidi w:val="0"/>
        <w:rPr>
          <w:rFonts w:hint="eastAsia" w:ascii="黑体" w:hAnsi="黑体" w:eastAsia="黑体" w:cs="黑体"/>
          <w:lang w:val="en-US" w:eastAsia="zh-CN"/>
        </w:rPr>
      </w:pPr>
      <w:bookmarkStart w:id="34" w:name="_Toc14325"/>
      <w:r>
        <w:rPr>
          <w:rFonts w:hint="eastAsia" w:ascii="黑体" w:hAnsi="黑体" w:eastAsia="黑体" w:cs="黑体"/>
        </w:rPr>
        <w:t>五、</w:t>
      </w:r>
      <w:r>
        <w:rPr>
          <w:rFonts w:hint="eastAsia" w:ascii="黑体" w:hAnsi="黑体" w:eastAsia="黑体" w:cs="黑体"/>
          <w:lang w:val="en-US" w:eastAsia="zh-CN"/>
        </w:rPr>
        <w:t>2024年度绩效情况说明</w:t>
      </w:r>
      <w:bookmarkEnd w:id="34"/>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年我镇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加强</w:t>
      </w:r>
      <w:r>
        <w:rPr>
          <w:rFonts w:hint="default" w:ascii="Times New Roman" w:hAnsi="Times New Roman" w:eastAsia="方正仿宋_GBK" w:cs="Times New Roman"/>
          <w:color w:val="000000" w:themeColor="text1"/>
          <w:sz w:val="32"/>
          <w:szCs w:val="32"/>
          <w14:textFill>
            <w14:solidFill>
              <w14:schemeClr w14:val="tx1"/>
            </w14:solidFill>
          </w14:textFill>
        </w:rPr>
        <w:t>预算绩效管理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全面推进绩效管理与预算编制、执行监控、财会监督等持续深度融合，提升财政资金使用绩效。确保专项资金依法依规、专款专用,发挥资金最大效益。</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35" w:name="_Toc9346"/>
      <w:bookmarkStart w:id="36" w:name="_Toc9590"/>
      <w:bookmarkStart w:id="37" w:name="_Toc30044"/>
      <w:r>
        <w:rPr>
          <w:rFonts w:hint="eastAsia" w:ascii="楷体" w:hAnsi="楷体" w:eastAsia="楷体" w:cs="楷体"/>
        </w:rPr>
        <w:t>（一）单位自评情况</w:t>
      </w:r>
      <w:bookmarkEnd w:id="35"/>
      <w:bookmarkEnd w:id="36"/>
      <w:bookmarkEnd w:id="37"/>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88" w:lineRule="exact"/>
        <w:ind w:firstLine="640" w:firstLineChars="200"/>
        <w:textAlignment w:val="auto"/>
        <w:rPr>
          <w:rFonts w:hint="default" w:ascii="Times New Roman" w:hAnsi="Times New Roman" w:eastAsia="方正仿宋_GBK" w:cs="Times New Roman"/>
          <w:b w:val="0"/>
          <w:bCs w:val="0"/>
          <w:sz w:val="32"/>
          <w:szCs w:val="32"/>
          <w:highlight w:val="yellow"/>
          <w:shd w:val="clear" w:color="auto" w:fill="FFFFFF"/>
        </w:rPr>
      </w:pPr>
      <w:r>
        <w:rPr>
          <w:rFonts w:hint="default" w:ascii="Times New Roman" w:hAnsi="Times New Roman" w:eastAsia="方正仿宋_GBK" w:cs="Times New Roman"/>
          <w:b w:val="0"/>
          <w:bCs w:val="0"/>
          <w:sz w:val="32"/>
          <w:szCs w:val="32"/>
          <w:shd w:val="clear" w:color="auto" w:fill="FFFFFF"/>
        </w:rPr>
        <w:t>根据预算绩效管理要求，我单位对部门整体和</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38" w:name="_Toc7089"/>
      <w:bookmarkStart w:id="39" w:name="_Toc17037"/>
      <w:bookmarkStart w:id="40" w:name="_Toc27630"/>
      <w:r>
        <w:rPr>
          <w:rFonts w:hint="eastAsia" w:ascii="楷体" w:hAnsi="楷体" w:eastAsia="楷体" w:cs="楷体"/>
        </w:rPr>
        <w:t>（二）单位绩效评价情况</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88" w:lineRule="exact"/>
        <w:textAlignment w:val="auto"/>
        <w:outlineLvl w:val="9"/>
        <w:rPr>
          <w:rFonts w:hint="default" w:ascii="Times New Roman" w:hAnsi="Times New Roman" w:eastAsia="方正仿宋_GBK" w:cs="Times New Roman"/>
          <w:sz w:val="32"/>
          <w:szCs w:val="32"/>
        </w:rPr>
      </w:pPr>
      <w:bookmarkStart w:id="41" w:name="_Toc3785"/>
      <w:r>
        <w:rPr>
          <w:rFonts w:hint="default" w:ascii="Times New Roman" w:hAnsi="Times New Roman" w:eastAsia="方正仿宋_GBK" w:cs="Times New Roman"/>
          <w:sz w:val="32"/>
          <w:szCs w:val="32"/>
        </w:rPr>
        <w:t>具体内容详见附件中《</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年度部门整体绩效自评表》、《</w:t>
      </w:r>
      <w:r>
        <w:rPr>
          <w:rFonts w:hint="default" w:ascii="Times New Roman" w:hAnsi="Times New Roman" w:eastAsia="方正仿宋_GBK" w:cs="Times New Roman"/>
          <w:sz w:val="32"/>
          <w:szCs w:val="32"/>
          <w:lang w:eastAsia="zh-CN"/>
        </w:rPr>
        <w:t>重庆市永川区</w:t>
      </w:r>
      <w:r>
        <w:rPr>
          <w:rFonts w:hint="eastAsia" w:ascii="Times New Roman" w:hAnsi="Times New Roman" w:eastAsia="方正仿宋_GBK" w:cs="Times New Roman"/>
          <w:sz w:val="32"/>
          <w:szCs w:val="32"/>
          <w:lang w:eastAsia="zh-CN"/>
        </w:rPr>
        <w:t>来苏</w:t>
      </w:r>
      <w:r>
        <w:rPr>
          <w:rFonts w:hint="default" w:ascii="Times New Roman" w:hAnsi="Times New Roman" w:eastAsia="方正仿宋_GBK" w:cs="Times New Roman"/>
          <w:sz w:val="32"/>
          <w:szCs w:val="32"/>
          <w:lang w:eastAsia="zh-CN"/>
        </w:rPr>
        <w:t>镇综合行政执法大队</w:t>
      </w:r>
      <w:r>
        <w:rPr>
          <w:rFonts w:hint="default" w:ascii="Times New Roman" w:hAnsi="Times New Roman" w:eastAsia="方正仿宋_GBK" w:cs="Times New Roman"/>
          <w:sz w:val="32"/>
          <w:szCs w:val="32"/>
        </w:rPr>
        <w:t>项目绩效自评结果汇总表》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年度项目支出预算绩效自评表1》、《</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年度项目支出预算绩效自评表2》、《</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年度项目支出预算绩效自评表3》。</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42" w:name="_Toc21179"/>
      <w:bookmarkStart w:id="43" w:name="_Toc7061"/>
      <w:r>
        <w:rPr>
          <w:rFonts w:hint="eastAsia" w:ascii="楷体" w:hAnsi="楷体" w:eastAsia="楷体" w:cs="楷体"/>
        </w:rPr>
        <w:t>（三）财政绩效评价情况</w:t>
      </w:r>
      <w:bookmarkEnd w:id="41"/>
      <w:bookmarkEnd w:id="42"/>
      <w:bookmarkEnd w:id="43"/>
    </w:p>
    <w:p>
      <w:pPr>
        <w:pStyle w:val="15"/>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outlineLvl w:val="0"/>
        <w:rPr>
          <w:rStyle w:val="12"/>
          <w:rFonts w:hint="eastAsia" w:ascii="黑体" w:hAnsi="黑体" w:eastAsia="黑体" w:cs="黑体"/>
          <w:sz w:val="32"/>
          <w:szCs w:val="32"/>
          <w:shd w:val="clear" w:color="auto" w:fill="FFFFFF"/>
          <w:lang w:val="en-US" w:eastAsia="zh-CN" w:bidi="ar-SA"/>
        </w:rPr>
      </w:pPr>
      <w:bookmarkStart w:id="44" w:name="_Toc7840"/>
      <w:r>
        <w:rPr>
          <w:rFonts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年不涉及开展重点绩效评价的项目</w:t>
      </w:r>
      <w:r>
        <w:rPr>
          <w:rFonts w:hint="eastAsia" w:ascii="Times New Roman" w:hAnsi="Times New Roman" w:eastAsia="方正仿宋_GBK" w:cs="Times New Roman"/>
          <w:b w:val="0"/>
          <w:bCs w:val="0"/>
          <w:sz w:val="32"/>
          <w:szCs w:val="32"/>
          <w:shd w:val="clear" w:color="auto" w:fill="FFFFFF"/>
          <w:lang w:val="en-US" w:eastAsia="zh-CN" w:bidi="ar-SA"/>
        </w:rPr>
        <w:t>。</w:t>
      </w:r>
      <w:bookmarkEnd w:id="44"/>
    </w:p>
    <w:p>
      <w:pPr>
        <w:pStyle w:val="2"/>
        <w:bidi w:val="0"/>
        <w:rPr>
          <w:rFonts w:hint="eastAsia" w:ascii="黑体" w:hAnsi="黑体" w:eastAsia="黑体" w:cs="黑体"/>
        </w:rPr>
      </w:pPr>
      <w:bookmarkStart w:id="45" w:name="_Toc27992"/>
      <w:r>
        <w:rPr>
          <w:rFonts w:hint="eastAsia" w:ascii="黑体" w:hAnsi="黑体" w:eastAsia="黑体" w:cs="黑体"/>
          <w:lang w:eastAsia="zh-CN"/>
        </w:rPr>
        <w:t>六</w:t>
      </w:r>
      <w:r>
        <w:rPr>
          <w:rFonts w:hint="eastAsia" w:ascii="黑体" w:hAnsi="黑体" w:eastAsia="黑体" w:cs="黑体"/>
        </w:rPr>
        <w:t>、专业名词解释</w:t>
      </w:r>
      <w:bookmarkEnd w:id="45"/>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Style w:val="12"/>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bidi w:val="0"/>
        <w:rPr>
          <w:rFonts w:hint="eastAsia" w:ascii="黑体" w:hAnsi="黑体" w:eastAsia="黑体" w:cs="黑体"/>
        </w:rPr>
      </w:pPr>
      <w:bookmarkStart w:id="46" w:name="_Toc6567"/>
      <w:r>
        <w:rPr>
          <w:rFonts w:hint="eastAsia" w:ascii="黑体" w:hAnsi="黑体" w:eastAsia="黑体" w:cs="黑体"/>
          <w:lang w:eastAsia="zh-CN"/>
        </w:rPr>
        <w:t>七</w:t>
      </w:r>
      <w:r>
        <w:rPr>
          <w:rFonts w:hint="eastAsia" w:ascii="黑体" w:hAnsi="黑体" w:eastAsia="黑体" w:cs="黑体"/>
        </w:rPr>
        <w:t>、决算公开联系方式及信息反馈渠道</w:t>
      </w:r>
      <w:bookmarkEnd w:id="46"/>
    </w:p>
    <w:p>
      <w:pPr>
        <w:pStyle w:val="15"/>
        <w:autoSpaceDE w:val="0"/>
        <w:spacing w:line="596" w:lineRule="exact"/>
        <w:ind w:firstLine="64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本部门决算公开信息反馈和联系方式：</w:t>
      </w:r>
    </w:p>
    <w:p>
      <w:pPr>
        <w:pStyle w:val="15"/>
        <w:autoSpaceDE w:val="0"/>
        <w:spacing w:line="596" w:lineRule="exact"/>
        <w:ind w:firstLine="640"/>
        <w:jc w:val="both"/>
        <w:rPr>
          <w:rFonts w:hint="default" w:ascii="方正仿宋_GBK" w:hAnsi="方正仿宋_GBK" w:eastAsia="方正仿宋_GBK" w:cs="方正仿宋_GBK"/>
          <w:sz w:val="32"/>
          <w:szCs w:val="32"/>
          <w:shd w:val="clear" w:color="auto" w:fill="FFFFFF"/>
          <w:lang w:val="en-US" w:eastAsia="zh-CN"/>
        </w:rPr>
        <w:sectPr>
          <w:footerReference r:id="rId4" w:type="default"/>
          <w:pgSz w:w="11915" w:h="16840"/>
          <w:pgMar w:top="1440" w:right="1800" w:bottom="1440" w:left="1800" w:header="851" w:footer="992" w:gutter="0"/>
          <w:pgNumType w:fmt="numberInDash" w:start="1"/>
          <w:cols w:space="720" w:num="1"/>
          <w:docGrid w:type="lines" w:linePitch="312" w:charSpace="0"/>
        </w:sectPr>
      </w:pPr>
      <w:r>
        <w:rPr>
          <w:rFonts w:hint="eastAsia" w:ascii="Times New Roman" w:hAnsi="Times New Roman" w:eastAsia="方正仿宋_GBK" w:cs="Times New Roman"/>
          <w:sz w:val="32"/>
          <w:szCs w:val="32"/>
          <w:lang w:eastAsia="zh-CN"/>
        </w:rPr>
        <w:t>侯林杰</w:t>
      </w:r>
      <w:r>
        <w:rPr>
          <w:rFonts w:hint="default" w:ascii="Times New Roman" w:hAnsi="Times New Roman" w:eastAsia="方正仿宋_GBK" w:cs="Times New Roman"/>
          <w:sz w:val="32"/>
          <w:szCs w:val="32"/>
        </w:rPr>
        <w:t xml:space="preserve"> 023-</w:t>
      </w:r>
      <w:r>
        <w:rPr>
          <w:rFonts w:hint="eastAsia" w:ascii="Times New Roman" w:hAnsi="Times New Roman" w:eastAsia="方正仿宋_GBK" w:cs="Times New Roman"/>
          <w:sz w:val="32"/>
          <w:szCs w:val="32"/>
          <w:lang w:val="en-US" w:eastAsia="zh-CN"/>
        </w:rPr>
        <w:t>85370595</w:t>
      </w:r>
      <w:bookmarkStart w:id="47" w:name="_GoBack"/>
      <w:bookmarkEnd w:id="47"/>
    </w:p>
    <w:p>
      <w:pPr>
        <w:rPr>
          <w:rFonts w:hint="default" w:cs="宋体"/>
          <w:sz w:val="18"/>
          <w:szCs w:val="18"/>
        </w:rPr>
      </w:pPr>
    </w:p>
    <w:sectPr>
      <w:headerReference r:id="rId5" w:type="default"/>
      <w:footerReference r:id="rId6"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LBqM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3pFiWUGR3T68f308/fp1zcyTv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pLBqMbAgAAIQQAAA4A&#10;AAAAAAAAAQAgAAAAHwEAAGRycy9lMm9Eb2MueG1sUEsFBgAAAAAGAAYAWQEAAKwFA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aDI8bAgAAIQQAAA4AAABkcnMvZTJvRG9jLnhtbK1TzW4TMRC+I/EO&#10;lu9kNwGqKM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CaDI8bAgAAIQQAAA4A&#10;AAAAAAAAAQAgAAAAHwEAAGRycy9lMm9Eb2MueG1sUEsFBgAAAAAGAAYAWQEAAKwFA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A615C4"/>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1FE03ACA"/>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5B5855"/>
    <w:rsid w:val="3C566AD6"/>
    <w:rsid w:val="3C6A5B02"/>
    <w:rsid w:val="3D115745"/>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886604"/>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88" w:lineRule="exact"/>
      <w:ind w:firstLine="880" w:firstLineChars="200"/>
      <w:outlineLvl w:val="0"/>
    </w:pPr>
    <w:rPr>
      <w:rFonts w:eastAsia="方正黑体_GBK" w:asciiTheme="minorAscii" w:hAnsiTheme="minorAscii"/>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toc 1"/>
    <w:basedOn w:val="1"/>
    <w:next w:val="1"/>
    <w:uiPriority w:val="0"/>
  </w:style>
  <w:style w:type="paragraph" w:styleId="8">
    <w:name w:val="toc 2"/>
    <w:basedOn w:val="1"/>
    <w:next w:val="1"/>
    <w:qFormat/>
    <w:uiPriority w:val="0"/>
    <w:pPr>
      <w:ind w:left="420" w:left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2025-08-20T08:33:26Z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