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tabs>
          <w:tab w:val="right" w:leader="dot" w:pos="8315"/>
        </w:tabs>
        <w:rPr>
          <w:rFonts w:hint="eastAsia" w:ascii="宋体" w:hAnsi="宋体" w:eastAsia="宋体" w:cs="Times New Roman"/>
          <w:sz w:val="21"/>
          <w:szCs w:val="24"/>
          <w:lang w:val="en-US" w:eastAsia="zh-CN" w:bidi="ar-SA"/>
        </w:rPr>
      </w:pPr>
    </w:p>
    <w:p>
      <w:pPr>
        <w:pStyle w:val="10"/>
        <w:spacing w:before="0" w:beforeAutospacing="0" w:after="0" w:afterAutospacing="0" w:line="596" w:lineRule="exact"/>
        <w:jc w:val="center"/>
        <w:outlineLvl w:val="0"/>
        <w:rPr>
          <w:rFonts w:ascii="方正小标宋_GBK" w:hAnsi="方正小标宋_GBK" w:eastAsia="方正小标宋_GBK" w:cs="方正小标宋_GBK"/>
          <w:b w:val="0"/>
          <w:bCs w:val="0"/>
          <w:sz w:val="36"/>
          <w:szCs w:val="36"/>
        </w:rPr>
        <w:sectPr>
          <w:pgSz w:w="11915" w:h="16840"/>
          <w:pgMar w:top="1440" w:right="1800" w:bottom="1440" w:left="1800" w:header="851" w:footer="992" w:gutter="0"/>
          <w:pgNumType w:fmt="numberInDash"/>
          <w:cols w:space="720" w:num="1"/>
          <w:docGrid w:type="lines" w:linePitch="312" w:charSpace="0"/>
        </w:sectPr>
      </w:pPr>
      <w:bookmarkStart w:id="0" w:name="_Toc29416"/>
    </w:p>
    <w:p>
      <w:pPr>
        <w:pStyle w:val="10"/>
        <w:spacing w:before="0" w:beforeAutospacing="0" w:after="0" w:afterAutospacing="0" w:line="596" w:lineRule="exact"/>
        <w:jc w:val="center"/>
        <w:outlineLvl w:val="0"/>
        <w:rPr>
          <w:rFonts w:ascii="方正小标宋_GBK" w:hAnsi="方正小标宋_GBK" w:eastAsia="方正小标宋_GBK" w:cs="方正小标宋_GBK"/>
          <w:b w:val="0"/>
          <w:bCs w:val="0"/>
          <w:sz w:val="36"/>
          <w:szCs w:val="36"/>
        </w:rPr>
      </w:pPr>
      <w:r>
        <w:rPr>
          <w:rFonts w:ascii="方正小标宋_GBK" w:hAnsi="方正小标宋_GBK" w:eastAsia="方正小标宋_GBK" w:cs="方正小标宋_GBK"/>
          <w:b w:val="0"/>
          <w:bCs w:val="0"/>
          <w:sz w:val="36"/>
          <w:szCs w:val="36"/>
        </w:rPr>
        <w:t>重庆市永川区来苏镇农业服务中心</w:t>
      </w:r>
      <w:bookmarkEnd w:id="0"/>
    </w:p>
    <w:p>
      <w:pPr>
        <w:pStyle w:val="10"/>
        <w:spacing w:before="0" w:beforeAutospacing="0" w:after="0" w:afterAutospacing="0" w:line="596" w:lineRule="exact"/>
        <w:jc w:val="center"/>
        <w:outlineLvl w:val="0"/>
        <w:rPr>
          <w:rFonts w:hint="default" w:ascii="方正小标宋_GBK" w:hAnsi="方正小标宋_GBK" w:eastAsia="方正小标宋_GBK" w:cs="方正小标宋_GBK"/>
          <w:b w:val="0"/>
          <w:bCs w:val="0"/>
          <w:sz w:val="36"/>
          <w:szCs w:val="36"/>
          <w:shd w:val="clear" w:color="auto" w:fill="FFFFFF"/>
        </w:rPr>
      </w:pPr>
      <w:bookmarkStart w:id="1" w:name="_Toc11413"/>
      <w:r>
        <w:rPr>
          <w:rFonts w:hint="default" w:ascii="Times New Roman" w:hAnsi="Times New Roman" w:eastAsia="方正小标宋_GBK"/>
          <w:b w:val="0"/>
          <w:bCs w:val="0"/>
          <w:sz w:val="36"/>
          <w:szCs w:val="36"/>
          <w:shd w:val="clear" w:color="auto" w:fill="FFFFFF"/>
        </w:rPr>
        <w:t>2024</w:t>
      </w:r>
      <w:r>
        <w:rPr>
          <w:rFonts w:ascii="方正小标宋_GBK" w:hAnsi="方正小标宋_GBK" w:eastAsia="方正小标宋_GBK" w:cs="方正小标宋_GBK"/>
          <w:b w:val="0"/>
          <w:bCs w:val="0"/>
          <w:sz w:val="36"/>
          <w:szCs w:val="36"/>
          <w:shd w:val="clear" w:color="auto" w:fill="FFFFFF"/>
        </w:rPr>
        <w:t>年度决算公开说明</w:t>
      </w:r>
      <w:bookmarkEnd w:id="1"/>
    </w:p>
    <w:p>
      <w:pPr>
        <w:pStyle w:val="10"/>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outlineLvl w:val="0"/>
        <w:rPr>
          <w:rStyle w:val="12"/>
          <w:rFonts w:hint="default" w:ascii="黑体" w:hAnsi="黑体" w:eastAsia="黑体" w:cs="黑体"/>
          <w:sz w:val="32"/>
          <w:szCs w:val="32"/>
          <w:shd w:val="clear" w:color="auto" w:fill="FFFFFF"/>
        </w:rPr>
      </w:pPr>
      <w:bookmarkStart w:id="2" w:name="_Toc17297"/>
      <w:r>
        <w:rPr>
          <w:rStyle w:val="12"/>
          <w:rFonts w:ascii="黑体" w:hAnsi="黑体" w:eastAsia="黑体" w:cs="黑体"/>
          <w:sz w:val="32"/>
          <w:szCs w:val="32"/>
          <w:shd w:val="clear" w:color="auto" w:fill="FFFFFF"/>
        </w:rPr>
        <w:t>一、</w:t>
      </w:r>
      <w:r>
        <w:rPr>
          <w:rStyle w:val="12"/>
          <w:rFonts w:hint="eastAsia" w:ascii="黑体" w:hAnsi="黑体" w:eastAsia="黑体" w:cs="黑体"/>
          <w:sz w:val="32"/>
          <w:szCs w:val="32"/>
          <w:shd w:val="clear" w:color="auto" w:fill="FFFFFF"/>
          <w:lang w:eastAsia="zh-CN"/>
        </w:rPr>
        <w:t>部门</w:t>
      </w:r>
      <w:r>
        <w:rPr>
          <w:rStyle w:val="12"/>
          <w:rFonts w:ascii="黑体" w:hAnsi="黑体" w:eastAsia="黑体" w:cs="黑体"/>
          <w:sz w:val="32"/>
          <w:szCs w:val="32"/>
          <w:shd w:val="clear" w:color="auto" w:fill="FFFFFF"/>
        </w:rPr>
        <w:t>基本情况</w:t>
      </w:r>
      <w:bookmarkEnd w:id="2"/>
    </w:p>
    <w:p>
      <w:pPr>
        <w:pStyle w:val="3"/>
        <w:keepNext/>
        <w:keepLines/>
        <w:pageBreakBefore w:val="0"/>
        <w:widowControl/>
        <w:kinsoku/>
        <w:wordWrap/>
        <w:overflowPunct/>
        <w:topLinePunct w:val="0"/>
        <w:autoSpaceDE/>
        <w:autoSpaceDN/>
        <w:bidi w:val="0"/>
        <w:adjustRightInd/>
        <w:snapToGrid/>
        <w:spacing w:line="413" w:lineRule="auto"/>
        <w:ind w:firstLine="643" w:firstLineChars="200"/>
        <w:textAlignment w:val="auto"/>
        <w:rPr>
          <w:rFonts w:hint="eastAsia" w:ascii="楷体" w:hAnsi="楷体" w:eastAsia="楷体" w:cs="楷体"/>
        </w:rPr>
      </w:pPr>
      <w:bookmarkStart w:id="3" w:name="_Toc29704"/>
      <w:r>
        <w:rPr>
          <w:rFonts w:hint="eastAsia" w:ascii="楷体" w:hAnsi="楷体" w:eastAsia="楷体" w:cs="楷体"/>
        </w:rPr>
        <w:t>（一）职能职责</w:t>
      </w:r>
      <w:bookmarkEnd w:id="3"/>
    </w:p>
    <w:p>
      <w:pPr>
        <w:spacing w:line="600" w:lineRule="exact"/>
        <w:ind w:firstLine="640" w:firstLineChars="200"/>
        <w:rPr>
          <w:rFonts w:hint="eastAsia" w:ascii="方正仿宋_GBK" w:hAnsi="仿宋_GB2312" w:eastAsia="方正仿宋_GBK" w:cs="仿宋_GB2312"/>
          <w:sz w:val="32"/>
        </w:rPr>
      </w:pPr>
      <w:r>
        <w:rPr>
          <w:rFonts w:hint="eastAsia" w:ascii="方正仿宋_GBK" w:hAnsi="仿宋_GB2312" w:eastAsia="方正仿宋_GBK" w:cs="仿宋_GB2312"/>
          <w:sz w:val="32"/>
        </w:rPr>
        <w:t>重庆市永川区来苏镇农业服务中心位于来苏镇东坡大道168号，负责农业投入品使用、农业科技推广、农机推广、农产品质量服务、农业产业结构调整、农业产业化经营、畜牧兽医、林业科技推广、林业生产经营、林业资源保护、野生动植物保护、森林防火、森林病虫害防治、水资源管理和保护、水土保持、农田水利基本建设、水污染防治、防汛抗旱、扶贫开发培训、扶贫对象监测、扶贫资金和物资落实、扶贫项目实施、扶贫信息系统维护等农业农村、林业、水利、扶贫领域的事务性服务工作。</w:t>
      </w:r>
    </w:p>
    <w:p>
      <w:pPr>
        <w:pStyle w:val="3"/>
        <w:keepNext/>
        <w:keepLines/>
        <w:pageBreakBefore w:val="0"/>
        <w:widowControl/>
        <w:kinsoku/>
        <w:wordWrap/>
        <w:overflowPunct/>
        <w:topLinePunct w:val="0"/>
        <w:autoSpaceDE/>
        <w:autoSpaceDN/>
        <w:bidi w:val="0"/>
        <w:adjustRightInd/>
        <w:snapToGrid/>
        <w:spacing w:line="413" w:lineRule="auto"/>
        <w:ind w:firstLine="643" w:firstLineChars="200"/>
        <w:textAlignment w:val="auto"/>
        <w:rPr>
          <w:rFonts w:hint="eastAsia" w:ascii="楷体" w:hAnsi="楷体" w:eastAsia="楷体" w:cs="楷体"/>
        </w:rPr>
      </w:pPr>
      <w:bookmarkStart w:id="4" w:name="_Toc32274"/>
      <w:r>
        <w:rPr>
          <w:rFonts w:hint="eastAsia" w:ascii="楷体" w:hAnsi="楷体" w:eastAsia="楷体" w:cs="楷体"/>
        </w:rPr>
        <w:t>（二）单位构成</w:t>
      </w:r>
      <w:bookmarkEnd w:id="4"/>
    </w:p>
    <w:p>
      <w:pPr>
        <w:spacing w:line="600" w:lineRule="exact"/>
        <w:ind w:firstLine="640" w:firstLineChars="200"/>
        <w:rPr>
          <w:rFonts w:hint="default" w:ascii="方正仿宋_GBK" w:hAnsi="方正仿宋_GBK" w:eastAsia="方正仿宋_GBK" w:cs="方正仿宋_GBK"/>
          <w:sz w:val="32"/>
          <w:szCs w:val="32"/>
        </w:rPr>
      </w:pPr>
      <w:r>
        <w:rPr>
          <w:rFonts w:hint="eastAsia" w:ascii="方正仿宋_GBK" w:hAnsi="仿宋_GB2312" w:eastAsia="方正仿宋_GBK" w:cs="仿宋_GB2312"/>
          <w:sz w:val="32"/>
        </w:rPr>
        <w:t>重庆市永川区来苏镇农业服务中心现有在职事业人员2</w:t>
      </w:r>
      <w:r>
        <w:rPr>
          <w:rFonts w:hint="eastAsia" w:ascii="方正仿宋_GBK" w:hAnsi="仿宋_GB2312" w:eastAsia="方正仿宋_GBK" w:cs="仿宋_GB2312"/>
          <w:sz w:val="32"/>
          <w:lang w:val="en-US" w:eastAsia="zh-CN"/>
        </w:rPr>
        <w:t>6</w:t>
      </w:r>
      <w:r>
        <w:rPr>
          <w:rFonts w:hint="eastAsia" w:ascii="方正仿宋_GBK" w:hAnsi="仿宋_GB2312" w:eastAsia="方正仿宋_GBK" w:cs="仿宋_GB2312"/>
          <w:sz w:val="32"/>
        </w:rPr>
        <w:t>人，退休人员0人。</w:t>
      </w:r>
    </w:p>
    <w:p>
      <w:pPr>
        <w:pStyle w:val="10"/>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outlineLvl w:val="0"/>
        <w:rPr>
          <w:rStyle w:val="12"/>
          <w:rFonts w:hint="default" w:ascii="黑体" w:hAnsi="黑体" w:eastAsia="黑体" w:cs="黑体"/>
          <w:sz w:val="32"/>
          <w:szCs w:val="32"/>
          <w:shd w:val="clear" w:color="auto" w:fill="FFFFFF"/>
        </w:rPr>
      </w:pPr>
      <w:bookmarkStart w:id="5" w:name="_Toc23191"/>
      <w:r>
        <w:rPr>
          <w:rStyle w:val="12"/>
          <w:rFonts w:ascii="黑体" w:hAnsi="黑体" w:eastAsia="黑体" w:cs="黑体"/>
          <w:sz w:val="32"/>
          <w:szCs w:val="32"/>
          <w:shd w:val="clear" w:color="auto" w:fill="FFFFFF"/>
        </w:rPr>
        <w:t>二、</w:t>
      </w:r>
      <w:r>
        <w:rPr>
          <w:rStyle w:val="12"/>
          <w:rFonts w:hint="eastAsia" w:ascii="黑体" w:hAnsi="黑体" w:eastAsia="黑体" w:cs="黑体"/>
          <w:sz w:val="32"/>
          <w:szCs w:val="32"/>
          <w:shd w:val="clear" w:color="auto" w:fill="FFFFFF"/>
          <w:lang w:eastAsia="zh-CN"/>
        </w:rPr>
        <w:t>部门</w:t>
      </w:r>
      <w:r>
        <w:rPr>
          <w:rStyle w:val="12"/>
          <w:rFonts w:ascii="黑体" w:hAnsi="黑体" w:eastAsia="黑体" w:cs="黑体"/>
          <w:sz w:val="32"/>
          <w:szCs w:val="32"/>
          <w:shd w:val="clear" w:color="auto" w:fill="FFFFFF"/>
        </w:rPr>
        <w:t>决算</w:t>
      </w:r>
      <w:r>
        <w:rPr>
          <w:rStyle w:val="12"/>
          <w:rFonts w:hint="eastAsia" w:ascii="黑体" w:hAnsi="黑体" w:eastAsia="黑体" w:cs="黑体"/>
          <w:sz w:val="32"/>
          <w:szCs w:val="32"/>
          <w:shd w:val="clear" w:color="auto" w:fill="FFFFFF"/>
          <w:lang w:eastAsia="zh-CN"/>
        </w:rPr>
        <w:t>收支</w:t>
      </w:r>
      <w:r>
        <w:rPr>
          <w:rStyle w:val="12"/>
          <w:rFonts w:ascii="黑体" w:hAnsi="黑体" w:eastAsia="黑体" w:cs="黑体"/>
          <w:sz w:val="32"/>
          <w:szCs w:val="32"/>
          <w:shd w:val="clear" w:color="auto" w:fill="FFFFFF"/>
        </w:rPr>
        <w:t>情况说明</w:t>
      </w:r>
      <w:bookmarkEnd w:id="5"/>
    </w:p>
    <w:p>
      <w:pPr>
        <w:pStyle w:val="3"/>
        <w:keepNext/>
        <w:keepLines/>
        <w:pageBreakBefore w:val="0"/>
        <w:widowControl/>
        <w:kinsoku/>
        <w:wordWrap/>
        <w:overflowPunct/>
        <w:topLinePunct w:val="0"/>
        <w:autoSpaceDE/>
        <w:autoSpaceDN/>
        <w:bidi w:val="0"/>
        <w:adjustRightInd/>
        <w:snapToGrid/>
        <w:spacing w:line="413" w:lineRule="auto"/>
        <w:ind w:firstLine="643" w:firstLineChars="200"/>
        <w:textAlignment w:val="auto"/>
        <w:rPr>
          <w:rFonts w:hint="eastAsia" w:ascii="楷体" w:hAnsi="楷体" w:eastAsia="楷体" w:cs="楷体"/>
        </w:rPr>
      </w:pPr>
      <w:bookmarkStart w:id="6" w:name="_Toc11850"/>
      <w:r>
        <w:rPr>
          <w:rFonts w:hint="eastAsia" w:ascii="楷体" w:hAnsi="楷体" w:eastAsia="楷体" w:cs="楷体"/>
        </w:rPr>
        <w:t>（一）收入支出决算总体情况说明。</w:t>
      </w:r>
      <w:bookmarkEnd w:id="6"/>
    </w:p>
    <w:p>
      <w:pPr>
        <w:keepNext w:val="0"/>
        <w:keepLines w:val="0"/>
        <w:pageBreakBefore w:val="0"/>
        <w:widowControl w:val="0"/>
        <w:kinsoku/>
        <w:wordWrap/>
        <w:overflowPunct/>
        <w:topLinePunct w:val="0"/>
        <w:autoSpaceDE/>
        <w:autoSpaceDN/>
        <w:bidi w:val="0"/>
        <w:adjustRightInd/>
        <w:snapToGrid/>
        <w:spacing w:beforeAutospacing="0" w:afterAutospacing="0" w:line="588" w:lineRule="exact"/>
        <w:ind w:firstLine="640" w:firstLineChars="200"/>
        <w:textAlignment w:val="auto"/>
        <w:outlineLvl w:val="9"/>
        <w:rPr>
          <w:rFonts w:hint="default" w:ascii="Times New Roman" w:hAnsi="Times New Roman" w:eastAsia="方正仿宋_GBK" w:cs="Times New Roman"/>
          <w:b w:val="0"/>
          <w:bCs w:val="0"/>
          <w:sz w:val="32"/>
          <w:szCs w:val="32"/>
        </w:rPr>
      </w:pPr>
      <w:r>
        <w:rPr>
          <w:rStyle w:val="12"/>
          <w:rFonts w:hint="default" w:ascii="Times New Roman" w:hAnsi="Times New Roman" w:eastAsia="方正仿宋_GBK" w:cs="Times New Roman"/>
          <w:b w:val="0"/>
          <w:bCs w:val="0"/>
          <w:sz w:val="32"/>
          <w:szCs w:val="32"/>
          <w:shd w:val="clear" w:color="auto" w:fill="FFFFFF"/>
        </w:rPr>
        <w:t>1.总体情况。</w:t>
      </w:r>
      <w:r>
        <w:rPr>
          <w:rFonts w:hint="default" w:ascii="Times New Roman" w:hAnsi="Times New Roman" w:eastAsia="方正仿宋_GBK" w:cs="Times New Roman"/>
          <w:b w:val="0"/>
          <w:bCs w:val="0"/>
          <w:sz w:val="32"/>
          <w:szCs w:val="32"/>
          <w:shd w:val="clear" w:color="auto" w:fill="FFFFFF"/>
        </w:rPr>
        <w:t>2024年度收入总计</w:t>
      </w:r>
      <w:r>
        <w:rPr>
          <w:rFonts w:hint="eastAsia" w:ascii="Times New Roman" w:hAnsi="Times New Roman" w:eastAsia="方正仿宋_GBK" w:cs="Times New Roman"/>
          <w:b w:val="0"/>
          <w:bCs w:val="0"/>
          <w:sz w:val="32"/>
          <w:szCs w:val="32"/>
          <w:shd w:val="clear" w:color="auto" w:fill="FFFFFF"/>
          <w:lang w:val="en-US" w:eastAsia="zh-CN"/>
        </w:rPr>
        <w:t>758.28</w:t>
      </w:r>
      <w:r>
        <w:rPr>
          <w:rFonts w:hint="default" w:ascii="Times New Roman" w:hAnsi="Times New Roman" w:eastAsia="方正仿宋_GBK" w:cs="Times New Roman"/>
          <w:b w:val="0"/>
          <w:bCs w:val="0"/>
          <w:sz w:val="32"/>
          <w:szCs w:val="32"/>
          <w:shd w:val="clear" w:color="auto" w:fill="FFFFFF"/>
        </w:rPr>
        <w:t>万元，支出总计</w:t>
      </w:r>
      <w:r>
        <w:rPr>
          <w:rFonts w:hint="eastAsia" w:ascii="Times New Roman" w:hAnsi="Times New Roman" w:eastAsia="方正仿宋_GBK" w:cs="Times New Roman"/>
          <w:b w:val="0"/>
          <w:bCs w:val="0"/>
          <w:sz w:val="32"/>
          <w:szCs w:val="32"/>
          <w:shd w:val="clear" w:color="auto" w:fill="FFFFFF"/>
          <w:lang w:val="en-US" w:eastAsia="zh-CN"/>
        </w:rPr>
        <w:t>758.28</w:t>
      </w:r>
      <w:r>
        <w:rPr>
          <w:rFonts w:hint="default" w:ascii="Times New Roman" w:hAnsi="Times New Roman" w:eastAsia="方正仿宋_GBK" w:cs="Times New Roman"/>
          <w:b w:val="0"/>
          <w:bCs w:val="0"/>
          <w:sz w:val="32"/>
          <w:szCs w:val="32"/>
          <w:shd w:val="clear" w:color="auto" w:fill="FFFFFF"/>
        </w:rPr>
        <w:t>万元。收支较上年决算数增加</w:t>
      </w:r>
      <w:r>
        <w:rPr>
          <w:rFonts w:hint="eastAsia" w:ascii="Times New Roman" w:hAnsi="Times New Roman" w:eastAsia="方正仿宋_GBK" w:cs="Times New Roman"/>
          <w:b w:val="0"/>
          <w:bCs w:val="0"/>
          <w:sz w:val="32"/>
          <w:szCs w:val="32"/>
          <w:shd w:val="clear" w:color="auto" w:fill="FFFFFF"/>
          <w:lang w:val="en-US" w:eastAsia="zh-CN"/>
        </w:rPr>
        <w:t>81.78</w:t>
      </w:r>
      <w:r>
        <w:rPr>
          <w:rFonts w:hint="default" w:ascii="Times New Roman" w:hAnsi="Times New Roman" w:eastAsia="方正仿宋_GBK" w:cs="Times New Roman"/>
          <w:b w:val="0"/>
          <w:bCs w:val="0"/>
          <w:sz w:val="32"/>
          <w:szCs w:val="32"/>
          <w:shd w:val="clear" w:color="auto" w:fill="FFFFFF"/>
        </w:rPr>
        <w:t>万元，增长</w:t>
      </w:r>
      <w:r>
        <w:rPr>
          <w:rFonts w:hint="eastAsia" w:ascii="Times New Roman" w:hAnsi="Times New Roman" w:eastAsia="方正仿宋_GBK" w:cs="Times New Roman"/>
          <w:b w:val="0"/>
          <w:bCs w:val="0"/>
          <w:sz w:val="32"/>
          <w:szCs w:val="32"/>
          <w:shd w:val="clear" w:color="auto" w:fill="FFFFFF"/>
          <w:lang w:val="en-US" w:eastAsia="zh-CN"/>
        </w:rPr>
        <w:t>12.09</w:t>
      </w:r>
      <w:r>
        <w:rPr>
          <w:rFonts w:hint="default" w:ascii="Times New Roman" w:hAnsi="Times New Roman" w:eastAsia="方正仿宋_GBK" w:cs="Times New Roman"/>
          <w:b w:val="0"/>
          <w:bCs w:val="0"/>
          <w:sz w:val="32"/>
          <w:szCs w:val="32"/>
          <w:shd w:val="clear" w:color="auto" w:fill="FFFFFF"/>
        </w:rPr>
        <w:t>%，主要原因是</w:t>
      </w:r>
      <w:r>
        <w:rPr>
          <w:rFonts w:hint="default" w:ascii="Times New Roman" w:hAnsi="Times New Roman" w:eastAsia="仿宋" w:cs="Times New Roman"/>
          <w:b w:val="0"/>
          <w:bCs w:val="0"/>
          <w:sz w:val="32"/>
          <w:szCs w:val="32"/>
          <w:lang w:val="en-US" w:eastAsia="zh-CN"/>
        </w:rPr>
        <w:t>本年度补发事业人员2022年超额绩效以及正常增人增资</w:t>
      </w:r>
      <w:r>
        <w:rPr>
          <w:rFonts w:hint="default" w:ascii="Times New Roman" w:hAnsi="Times New Roman" w:eastAsia="方正仿宋_GBK" w:cs="Times New Roman"/>
          <w:b w:val="0"/>
          <w:bCs w:val="0"/>
          <w:sz w:val="32"/>
          <w:szCs w:val="32"/>
        </w:rPr>
        <w:t>。</w:t>
      </w:r>
    </w:p>
    <w:p>
      <w:pPr>
        <w:keepNext w:val="0"/>
        <w:keepLines w:val="0"/>
        <w:pageBreakBefore w:val="0"/>
        <w:widowControl w:val="0"/>
        <w:kinsoku/>
        <w:wordWrap/>
        <w:overflowPunct/>
        <w:topLinePunct w:val="0"/>
        <w:autoSpaceDE/>
        <w:autoSpaceDN/>
        <w:bidi w:val="0"/>
        <w:adjustRightInd/>
        <w:snapToGrid/>
        <w:spacing w:line="588" w:lineRule="exact"/>
        <w:ind w:firstLine="640" w:firstLineChars="200"/>
        <w:textAlignment w:val="auto"/>
        <w:outlineLvl w:val="9"/>
        <w:rPr>
          <w:rFonts w:hint="default" w:ascii="Times New Roman" w:hAnsi="Times New Roman" w:eastAsia="方正仿宋_GBK" w:cs="Times New Roman"/>
          <w:b w:val="0"/>
          <w:bCs w:val="0"/>
          <w:sz w:val="32"/>
          <w:szCs w:val="32"/>
          <w:shd w:val="clear" w:color="auto" w:fill="FFFFFF"/>
        </w:rPr>
      </w:pPr>
      <w:r>
        <w:rPr>
          <w:rStyle w:val="12"/>
          <w:rFonts w:hint="default" w:ascii="Times New Roman" w:hAnsi="Times New Roman" w:eastAsia="方正仿宋_GBK" w:cs="Times New Roman"/>
          <w:b w:val="0"/>
          <w:bCs w:val="0"/>
          <w:sz w:val="32"/>
          <w:szCs w:val="32"/>
          <w:shd w:val="clear" w:color="auto" w:fill="FFFFFF"/>
        </w:rPr>
        <w:t>2.收入情况。</w:t>
      </w:r>
      <w:r>
        <w:rPr>
          <w:rFonts w:hint="default" w:ascii="Times New Roman" w:hAnsi="Times New Roman" w:eastAsia="方正仿宋_GBK" w:cs="Times New Roman"/>
          <w:b w:val="0"/>
          <w:bCs w:val="0"/>
          <w:sz w:val="32"/>
          <w:szCs w:val="32"/>
          <w:shd w:val="clear" w:color="auto" w:fill="FFFFFF"/>
        </w:rPr>
        <w:t>2024年度收入合计</w:t>
      </w:r>
      <w:r>
        <w:rPr>
          <w:rFonts w:hint="eastAsia" w:ascii="Times New Roman" w:hAnsi="Times New Roman" w:eastAsia="方正仿宋_GBK" w:cs="Times New Roman"/>
          <w:b w:val="0"/>
          <w:bCs w:val="0"/>
          <w:sz w:val="32"/>
          <w:szCs w:val="32"/>
          <w:shd w:val="clear" w:color="auto" w:fill="FFFFFF"/>
          <w:lang w:val="en-US" w:eastAsia="zh-CN"/>
        </w:rPr>
        <w:t>758.28</w:t>
      </w:r>
      <w:r>
        <w:rPr>
          <w:rFonts w:hint="default" w:ascii="Times New Roman" w:hAnsi="Times New Roman" w:eastAsia="方正仿宋_GBK" w:cs="Times New Roman"/>
          <w:b w:val="0"/>
          <w:bCs w:val="0"/>
          <w:sz w:val="32"/>
          <w:szCs w:val="32"/>
          <w:shd w:val="clear" w:color="auto" w:fill="FFFFFF"/>
        </w:rPr>
        <w:t>万元，较上年决算数增加</w:t>
      </w:r>
      <w:r>
        <w:rPr>
          <w:rFonts w:hint="eastAsia" w:ascii="Times New Roman" w:hAnsi="Times New Roman" w:eastAsia="方正仿宋_GBK" w:cs="Times New Roman"/>
          <w:b w:val="0"/>
          <w:bCs w:val="0"/>
          <w:sz w:val="32"/>
          <w:szCs w:val="32"/>
          <w:shd w:val="clear" w:color="auto" w:fill="FFFFFF"/>
          <w:lang w:val="en-US" w:eastAsia="zh-CN"/>
        </w:rPr>
        <w:t>71.78</w:t>
      </w:r>
      <w:r>
        <w:rPr>
          <w:rFonts w:hint="default" w:ascii="Times New Roman" w:hAnsi="Times New Roman" w:eastAsia="方正仿宋_GBK" w:cs="Times New Roman"/>
          <w:b w:val="0"/>
          <w:bCs w:val="0"/>
          <w:sz w:val="32"/>
          <w:szCs w:val="32"/>
          <w:shd w:val="clear" w:color="auto" w:fill="FFFFFF"/>
        </w:rPr>
        <w:t>万元，增长</w:t>
      </w:r>
      <w:r>
        <w:rPr>
          <w:rFonts w:hint="eastAsia" w:ascii="Times New Roman" w:hAnsi="Times New Roman" w:eastAsia="方正仿宋_GBK" w:cs="Times New Roman"/>
          <w:b w:val="0"/>
          <w:bCs w:val="0"/>
          <w:sz w:val="32"/>
          <w:szCs w:val="32"/>
          <w:shd w:val="clear" w:color="auto" w:fill="FFFFFF"/>
          <w:lang w:val="en-US" w:eastAsia="zh-CN"/>
        </w:rPr>
        <w:t>12.09</w:t>
      </w:r>
      <w:r>
        <w:rPr>
          <w:rFonts w:hint="default" w:ascii="Times New Roman" w:hAnsi="Times New Roman" w:eastAsia="方正仿宋_GBK" w:cs="Times New Roman"/>
          <w:b w:val="0"/>
          <w:bCs w:val="0"/>
          <w:sz w:val="32"/>
          <w:szCs w:val="32"/>
          <w:shd w:val="clear" w:color="auto" w:fill="FFFFFF"/>
        </w:rPr>
        <w:t>%，主要原因是</w:t>
      </w:r>
      <w:r>
        <w:rPr>
          <w:rFonts w:hint="eastAsia" w:ascii="Times New Roman" w:hAnsi="Times New Roman" w:eastAsia="仿宋" w:cs="Times New Roman"/>
          <w:sz w:val="32"/>
          <w:szCs w:val="32"/>
          <w:lang w:val="en-US" w:eastAsia="zh-CN"/>
        </w:rPr>
        <w:t>本年度补发事业人员2022年超额绩效</w:t>
      </w:r>
      <w:r>
        <w:rPr>
          <w:rFonts w:hint="default" w:ascii="Times New Roman" w:hAnsi="Times New Roman" w:eastAsia="仿宋" w:cs="Times New Roman"/>
          <w:sz w:val="32"/>
          <w:szCs w:val="32"/>
          <w:lang w:val="en-US" w:eastAsia="zh-CN"/>
        </w:rPr>
        <w:t>以及正常增人增资</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b w:val="0"/>
          <w:bCs w:val="0"/>
          <w:sz w:val="32"/>
          <w:szCs w:val="32"/>
          <w:shd w:val="clear" w:color="auto" w:fill="FFFFFF"/>
        </w:rPr>
        <w:t>其中：财政拨款收入</w:t>
      </w:r>
      <w:r>
        <w:rPr>
          <w:rFonts w:hint="eastAsia" w:ascii="Times New Roman" w:hAnsi="Times New Roman" w:eastAsia="方正仿宋_GBK" w:cs="Times New Roman"/>
          <w:b w:val="0"/>
          <w:bCs w:val="0"/>
          <w:sz w:val="32"/>
          <w:szCs w:val="32"/>
          <w:lang w:val="en-US" w:eastAsia="zh-CN"/>
        </w:rPr>
        <w:t>758.28</w:t>
      </w:r>
      <w:r>
        <w:rPr>
          <w:rFonts w:hint="default" w:ascii="Times New Roman" w:hAnsi="Times New Roman" w:eastAsia="方正仿宋_GBK" w:cs="Times New Roman"/>
          <w:b w:val="0"/>
          <w:bCs w:val="0"/>
          <w:sz w:val="32"/>
          <w:szCs w:val="32"/>
          <w:shd w:val="clear" w:color="auto" w:fill="FFFFFF"/>
        </w:rPr>
        <w:t>万元，占</w:t>
      </w:r>
      <w:r>
        <w:rPr>
          <w:rFonts w:hint="default" w:ascii="Times New Roman" w:hAnsi="Times New Roman" w:eastAsia="方正仿宋_GBK" w:cs="Times New Roman"/>
          <w:b w:val="0"/>
          <w:bCs w:val="0"/>
          <w:sz w:val="32"/>
          <w:szCs w:val="32"/>
        </w:rPr>
        <w:t>100.00</w:t>
      </w:r>
      <w:r>
        <w:rPr>
          <w:rFonts w:hint="default" w:ascii="Times New Roman" w:hAnsi="Times New Roman" w:eastAsia="方正仿宋_GBK" w:cs="Times New Roman"/>
          <w:b w:val="0"/>
          <w:bCs w:val="0"/>
          <w:sz w:val="32"/>
          <w:szCs w:val="32"/>
          <w:shd w:val="clear" w:color="auto" w:fill="FFFFFF"/>
        </w:rPr>
        <w:t>%。此外，使用非财政拨款结余和专用结余</w:t>
      </w:r>
      <w:r>
        <w:rPr>
          <w:rFonts w:hint="default" w:ascii="Times New Roman" w:hAnsi="Times New Roman" w:eastAsia="方正仿宋_GBK" w:cs="Times New Roman"/>
          <w:b w:val="0"/>
          <w:bCs w:val="0"/>
          <w:sz w:val="32"/>
          <w:szCs w:val="32"/>
        </w:rPr>
        <w:t>0.00</w:t>
      </w:r>
      <w:r>
        <w:rPr>
          <w:rFonts w:hint="default" w:ascii="Times New Roman" w:hAnsi="Times New Roman" w:eastAsia="方正仿宋_GBK" w:cs="Times New Roman"/>
          <w:b w:val="0"/>
          <w:bCs w:val="0"/>
          <w:sz w:val="32"/>
          <w:szCs w:val="32"/>
          <w:shd w:val="clear" w:color="auto" w:fill="FFFFFF"/>
        </w:rPr>
        <w:t>万元，年初结转和结余</w:t>
      </w:r>
      <w:r>
        <w:rPr>
          <w:rFonts w:hint="default" w:ascii="Times New Roman" w:hAnsi="Times New Roman" w:eastAsia="方正仿宋_GBK" w:cs="Times New Roman"/>
          <w:b w:val="0"/>
          <w:bCs w:val="0"/>
          <w:sz w:val="32"/>
          <w:szCs w:val="32"/>
        </w:rPr>
        <w:t>0.00</w:t>
      </w:r>
      <w:r>
        <w:rPr>
          <w:rFonts w:hint="default" w:ascii="Times New Roman" w:hAnsi="Times New Roman" w:eastAsia="方正仿宋_GBK" w:cs="Times New Roman"/>
          <w:b w:val="0"/>
          <w:bCs w:val="0"/>
          <w:sz w:val="32"/>
          <w:szCs w:val="32"/>
          <w:shd w:val="clear" w:color="auto" w:fill="FFFFFF"/>
        </w:rPr>
        <w:t>万元。</w:t>
      </w:r>
    </w:p>
    <w:p>
      <w:pPr>
        <w:keepNext w:val="0"/>
        <w:keepLines w:val="0"/>
        <w:pageBreakBefore w:val="0"/>
        <w:widowControl w:val="0"/>
        <w:kinsoku/>
        <w:wordWrap/>
        <w:overflowPunct/>
        <w:topLinePunct w:val="0"/>
        <w:autoSpaceDE/>
        <w:autoSpaceDN/>
        <w:bidi w:val="0"/>
        <w:adjustRightInd/>
        <w:snapToGrid/>
        <w:spacing w:line="588" w:lineRule="exact"/>
        <w:ind w:firstLine="640" w:firstLineChars="200"/>
        <w:textAlignment w:val="auto"/>
        <w:outlineLvl w:val="9"/>
        <w:rPr>
          <w:rFonts w:hint="default" w:ascii="Times New Roman" w:hAnsi="Times New Roman" w:eastAsia="方正仿宋_GBK" w:cs="Times New Roman"/>
          <w:b w:val="0"/>
          <w:bCs w:val="0"/>
          <w:sz w:val="32"/>
          <w:szCs w:val="32"/>
          <w:shd w:val="clear" w:color="auto" w:fill="FFFFFF"/>
        </w:rPr>
      </w:pPr>
      <w:r>
        <w:rPr>
          <w:rStyle w:val="12"/>
          <w:rFonts w:hint="default" w:ascii="Times New Roman" w:hAnsi="Times New Roman" w:eastAsia="方正仿宋_GBK" w:cs="Times New Roman"/>
          <w:b w:val="0"/>
          <w:bCs w:val="0"/>
          <w:sz w:val="32"/>
          <w:szCs w:val="32"/>
          <w:shd w:val="clear" w:color="auto" w:fill="FFFFFF"/>
        </w:rPr>
        <w:t>3.支出情况。</w:t>
      </w:r>
      <w:r>
        <w:rPr>
          <w:rFonts w:hint="default" w:ascii="Times New Roman" w:hAnsi="Times New Roman" w:eastAsia="方正仿宋_GBK" w:cs="Times New Roman"/>
          <w:b w:val="0"/>
          <w:bCs w:val="0"/>
          <w:sz w:val="32"/>
          <w:szCs w:val="32"/>
          <w:shd w:val="clear" w:color="auto" w:fill="FFFFFF"/>
        </w:rPr>
        <w:t>2024年度支出合计</w:t>
      </w:r>
      <w:r>
        <w:rPr>
          <w:rFonts w:hint="eastAsia" w:ascii="Times New Roman" w:hAnsi="Times New Roman" w:eastAsia="方正仿宋_GBK" w:cs="Times New Roman"/>
          <w:b w:val="0"/>
          <w:bCs w:val="0"/>
          <w:sz w:val="32"/>
          <w:szCs w:val="32"/>
          <w:shd w:val="clear" w:color="auto" w:fill="FFFFFF"/>
          <w:lang w:val="en-US" w:eastAsia="zh-CN"/>
        </w:rPr>
        <w:t>758.28</w:t>
      </w:r>
      <w:r>
        <w:rPr>
          <w:rFonts w:hint="default" w:ascii="Times New Roman" w:hAnsi="Times New Roman" w:eastAsia="方正仿宋_GBK" w:cs="Times New Roman"/>
          <w:b w:val="0"/>
          <w:bCs w:val="0"/>
          <w:sz w:val="32"/>
          <w:szCs w:val="32"/>
          <w:shd w:val="clear" w:color="auto" w:fill="FFFFFF"/>
        </w:rPr>
        <w:t>万元，较上年决算数增加</w:t>
      </w:r>
      <w:r>
        <w:rPr>
          <w:rFonts w:hint="eastAsia" w:ascii="Times New Roman" w:hAnsi="Times New Roman" w:eastAsia="方正仿宋_GBK" w:cs="Times New Roman"/>
          <w:b w:val="0"/>
          <w:bCs w:val="0"/>
          <w:sz w:val="32"/>
          <w:szCs w:val="32"/>
          <w:shd w:val="clear" w:color="auto" w:fill="FFFFFF"/>
          <w:lang w:val="en-US" w:eastAsia="zh-CN"/>
        </w:rPr>
        <w:t>71.78</w:t>
      </w:r>
      <w:r>
        <w:rPr>
          <w:rFonts w:hint="default" w:ascii="Times New Roman" w:hAnsi="Times New Roman" w:eastAsia="方正仿宋_GBK" w:cs="Times New Roman"/>
          <w:b w:val="0"/>
          <w:bCs w:val="0"/>
          <w:sz w:val="32"/>
          <w:szCs w:val="32"/>
          <w:shd w:val="clear" w:color="auto" w:fill="FFFFFF"/>
        </w:rPr>
        <w:t>万元，增长</w:t>
      </w:r>
      <w:r>
        <w:rPr>
          <w:rFonts w:hint="eastAsia" w:ascii="Times New Roman" w:hAnsi="Times New Roman" w:eastAsia="方正仿宋_GBK" w:cs="Times New Roman"/>
          <w:b w:val="0"/>
          <w:bCs w:val="0"/>
          <w:sz w:val="32"/>
          <w:szCs w:val="32"/>
          <w:shd w:val="clear" w:color="auto" w:fill="FFFFFF"/>
          <w:lang w:val="en-US" w:eastAsia="zh-CN"/>
        </w:rPr>
        <w:t>12.09</w:t>
      </w:r>
      <w:r>
        <w:rPr>
          <w:rFonts w:hint="default" w:ascii="Times New Roman" w:hAnsi="Times New Roman" w:eastAsia="方正仿宋_GBK" w:cs="Times New Roman"/>
          <w:b w:val="0"/>
          <w:bCs w:val="0"/>
          <w:sz w:val="32"/>
          <w:szCs w:val="32"/>
          <w:shd w:val="clear" w:color="auto" w:fill="FFFFFF"/>
        </w:rPr>
        <w:t>%，主要原因是</w:t>
      </w:r>
      <w:r>
        <w:rPr>
          <w:rFonts w:hint="eastAsia" w:ascii="Times New Roman" w:hAnsi="Times New Roman" w:eastAsia="仿宋" w:cs="Times New Roman"/>
          <w:sz w:val="32"/>
          <w:szCs w:val="32"/>
          <w:lang w:val="en-US" w:eastAsia="zh-CN"/>
        </w:rPr>
        <w:t>本年度补发事业人员2022年超额绩效</w:t>
      </w:r>
      <w:r>
        <w:rPr>
          <w:rFonts w:hint="default" w:ascii="Times New Roman" w:hAnsi="Times New Roman" w:eastAsia="仿宋" w:cs="Times New Roman"/>
          <w:sz w:val="32"/>
          <w:szCs w:val="32"/>
          <w:lang w:val="en-US" w:eastAsia="zh-CN"/>
        </w:rPr>
        <w:t>以及正常增人增资</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b w:val="0"/>
          <w:bCs w:val="0"/>
          <w:sz w:val="32"/>
          <w:szCs w:val="32"/>
          <w:shd w:val="clear" w:color="auto" w:fill="FFFFFF"/>
        </w:rPr>
        <w:t>其中：基本支出</w:t>
      </w:r>
      <w:r>
        <w:rPr>
          <w:rFonts w:hint="eastAsia" w:ascii="Times New Roman" w:hAnsi="Times New Roman" w:eastAsia="方正仿宋_GBK" w:cs="Times New Roman"/>
          <w:b w:val="0"/>
          <w:bCs w:val="0"/>
          <w:sz w:val="32"/>
          <w:szCs w:val="32"/>
          <w:lang w:val="en-US" w:eastAsia="zh-CN"/>
        </w:rPr>
        <w:t>758.28</w:t>
      </w:r>
      <w:r>
        <w:rPr>
          <w:rFonts w:hint="default" w:ascii="Times New Roman" w:hAnsi="Times New Roman" w:eastAsia="方正仿宋_GBK" w:cs="Times New Roman"/>
          <w:b w:val="0"/>
          <w:bCs w:val="0"/>
          <w:sz w:val="32"/>
          <w:szCs w:val="32"/>
          <w:shd w:val="clear" w:color="auto" w:fill="FFFFFF"/>
        </w:rPr>
        <w:t>万元，占100.00%。此外，结余分配</w:t>
      </w:r>
      <w:r>
        <w:rPr>
          <w:rFonts w:hint="default" w:ascii="Times New Roman" w:hAnsi="Times New Roman" w:eastAsia="方正仿宋_GBK" w:cs="Times New Roman"/>
          <w:b w:val="0"/>
          <w:bCs w:val="0"/>
          <w:sz w:val="32"/>
          <w:szCs w:val="32"/>
        </w:rPr>
        <w:t>0.00</w:t>
      </w:r>
      <w:r>
        <w:rPr>
          <w:rFonts w:hint="default" w:ascii="Times New Roman" w:hAnsi="Times New Roman" w:eastAsia="方正仿宋_GBK" w:cs="Times New Roman"/>
          <w:b w:val="0"/>
          <w:bCs w:val="0"/>
          <w:sz w:val="32"/>
          <w:szCs w:val="32"/>
          <w:shd w:val="clear" w:color="auto" w:fill="FFFFFF"/>
        </w:rPr>
        <w:t>万元。</w:t>
      </w:r>
    </w:p>
    <w:p>
      <w:pPr>
        <w:keepNext w:val="0"/>
        <w:keepLines w:val="0"/>
        <w:pageBreakBefore w:val="0"/>
        <w:widowControl w:val="0"/>
        <w:kinsoku/>
        <w:wordWrap/>
        <w:overflowPunct/>
        <w:topLinePunct w:val="0"/>
        <w:autoSpaceDE/>
        <w:autoSpaceDN/>
        <w:bidi w:val="0"/>
        <w:adjustRightInd/>
        <w:snapToGrid/>
        <w:spacing w:line="588" w:lineRule="exact"/>
        <w:ind w:firstLine="640" w:firstLineChars="200"/>
        <w:textAlignment w:val="auto"/>
        <w:outlineLvl w:val="9"/>
        <w:rPr>
          <w:rFonts w:hint="default" w:ascii="Times New Roman" w:hAnsi="Times New Roman" w:eastAsia="方正仿宋_GBK" w:cs="Times New Roman"/>
          <w:b w:val="0"/>
          <w:bCs w:val="0"/>
          <w:sz w:val="32"/>
          <w:szCs w:val="32"/>
        </w:rPr>
      </w:pPr>
      <w:r>
        <w:rPr>
          <w:rStyle w:val="12"/>
          <w:rFonts w:hint="default" w:ascii="Times New Roman" w:hAnsi="Times New Roman" w:eastAsia="方正仿宋_GBK" w:cs="Times New Roman"/>
          <w:b w:val="0"/>
          <w:bCs w:val="0"/>
          <w:sz w:val="32"/>
          <w:szCs w:val="32"/>
          <w:shd w:val="clear" w:color="auto" w:fill="FFFFFF"/>
        </w:rPr>
        <w:t>4.结转结余情况。</w:t>
      </w:r>
      <w:r>
        <w:rPr>
          <w:rFonts w:hint="default" w:ascii="Times New Roman" w:hAnsi="Times New Roman" w:eastAsia="方正仿宋_GBK" w:cs="Times New Roman"/>
          <w:b w:val="0"/>
          <w:bCs w:val="0"/>
          <w:sz w:val="32"/>
          <w:szCs w:val="32"/>
          <w:shd w:val="clear" w:color="auto" w:fill="FFFFFF"/>
        </w:rPr>
        <w:t>2024年度年末结转和结余</w:t>
      </w:r>
      <w:r>
        <w:rPr>
          <w:rFonts w:hint="default" w:ascii="Times New Roman" w:hAnsi="Times New Roman" w:eastAsia="方正仿宋_GBK" w:cs="Times New Roman"/>
          <w:b w:val="0"/>
          <w:bCs w:val="0"/>
          <w:sz w:val="32"/>
          <w:szCs w:val="32"/>
        </w:rPr>
        <w:t>0.00</w:t>
      </w:r>
      <w:r>
        <w:rPr>
          <w:rFonts w:hint="default" w:ascii="Times New Roman" w:hAnsi="Times New Roman" w:eastAsia="方正仿宋_GBK" w:cs="Times New Roman"/>
          <w:b w:val="0"/>
          <w:bCs w:val="0"/>
          <w:sz w:val="32"/>
          <w:szCs w:val="32"/>
          <w:shd w:val="clear" w:color="auto" w:fill="FFFFFF"/>
        </w:rPr>
        <w:t>万元，较上年决算数无增减，主要原因是</w:t>
      </w:r>
      <w:r>
        <w:rPr>
          <w:rFonts w:hint="default" w:ascii="Times New Roman" w:hAnsi="Times New Roman" w:eastAsia="方正仿宋_GBK" w:cs="Times New Roman"/>
          <w:sz w:val="32"/>
          <w:szCs w:val="32"/>
        </w:rPr>
        <w:t>本单位无结转结余。</w:t>
      </w:r>
    </w:p>
    <w:p>
      <w:pPr>
        <w:pStyle w:val="3"/>
        <w:keepNext/>
        <w:keepLines/>
        <w:pageBreakBefore w:val="0"/>
        <w:widowControl/>
        <w:kinsoku/>
        <w:wordWrap/>
        <w:overflowPunct/>
        <w:topLinePunct w:val="0"/>
        <w:autoSpaceDE/>
        <w:autoSpaceDN/>
        <w:bidi w:val="0"/>
        <w:adjustRightInd/>
        <w:snapToGrid/>
        <w:spacing w:line="413" w:lineRule="auto"/>
        <w:ind w:firstLine="643" w:firstLineChars="200"/>
        <w:textAlignment w:val="auto"/>
        <w:rPr>
          <w:rFonts w:hint="eastAsia" w:ascii="楷体" w:hAnsi="楷体" w:eastAsia="楷体" w:cs="楷体"/>
        </w:rPr>
      </w:pPr>
      <w:bookmarkStart w:id="7" w:name="_Toc11227"/>
      <w:r>
        <w:rPr>
          <w:rFonts w:hint="eastAsia" w:ascii="楷体" w:hAnsi="楷体" w:eastAsia="楷体" w:cs="楷体"/>
        </w:rPr>
        <w:t>（二）财政拨款收入支出决算总体情况说明</w:t>
      </w:r>
      <w:bookmarkEnd w:id="7"/>
    </w:p>
    <w:p>
      <w:pPr>
        <w:pStyle w:val="10"/>
        <w:keepNext w:val="0"/>
        <w:keepLines w:val="0"/>
        <w:pageBreakBefore w:val="0"/>
        <w:kinsoku/>
        <w:overflowPunct/>
        <w:topLinePunct w:val="0"/>
        <w:autoSpaceDN/>
        <w:bidi w:val="0"/>
        <w:adjustRightInd/>
        <w:snapToGrid w:val="0"/>
        <w:spacing w:before="0" w:beforeAutospacing="0" w:after="0" w:afterAutospacing="0" w:line="588" w:lineRule="exact"/>
        <w:ind w:firstLine="640" w:firstLineChars="200"/>
        <w:jc w:val="both"/>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shd w:val="clear" w:color="auto" w:fill="FFFFFF"/>
        </w:rPr>
        <w:t>2024年度财政拨款收、支总计</w:t>
      </w:r>
      <w:r>
        <w:rPr>
          <w:rFonts w:hint="eastAsia" w:ascii="Times New Roman" w:hAnsi="Times New Roman" w:eastAsia="方正仿宋_GBK" w:cs="Times New Roman"/>
          <w:b w:val="0"/>
          <w:bCs w:val="0"/>
          <w:sz w:val="32"/>
          <w:szCs w:val="32"/>
          <w:shd w:val="clear" w:color="auto" w:fill="FFFFFF"/>
          <w:lang w:val="en-US" w:eastAsia="zh-CN"/>
        </w:rPr>
        <w:t>758.28</w:t>
      </w:r>
      <w:r>
        <w:rPr>
          <w:rFonts w:hint="default" w:ascii="Times New Roman" w:hAnsi="Times New Roman" w:eastAsia="方正仿宋_GBK" w:cs="Times New Roman"/>
          <w:b w:val="0"/>
          <w:bCs w:val="0"/>
          <w:sz w:val="32"/>
          <w:szCs w:val="32"/>
          <w:shd w:val="clear" w:color="auto" w:fill="FFFFFF"/>
        </w:rPr>
        <w:t>万元。与2023年相比，财政拨款收、支总计各增加</w:t>
      </w:r>
      <w:r>
        <w:rPr>
          <w:rFonts w:hint="eastAsia" w:ascii="Times New Roman" w:hAnsi="Times New Roman" w:eastAsia="方正仿宋_GBK" w:cs="Times New Roman"/>
          <w:b w:val="0"/>
          <w:bCs w:val="0"/>
          <w:sz w:val="32"/>
          <w:szCs w:val="32"/>
          <w:shd w:val="clear" w:color="auto" w:fill="FFFFFF"/>
          <w:lang w:val="en-US" w:eastAsia="zh-CN"/>
        </w:rPr>
        <w:t>71.28</w:t>
      </w:r>
      <w:r>
        <w:rPr>
          <w:rFonts w:hint="default" w:ascii="Times New Roman" w:hAnsi="Times New Roman" w:eastAsia="方正仿宋_GBK" w:cs="Times New Roman"/>
          <w:b w:val="0"/>
          <w:bCs w:val="0"/>
          <w:sz w:val="32"/>
          <w:szCs w:val="32"/>
          <w:shd w:val="clear" w:color="auto" w:fill="FFFFFF"/>
        </w:rPr>
        <w:t>万元，增长1</w:t>
      </w:r>
      <w:r>
        <w:rPr>
          <w:rFonts w:hint="eastAsia" w:ascii="Times New Roman" w:hAnsi="Times New Roman" w:eastAsia="方正仿宋_GBK" w:cs="Times New Roman"/>
          <w:b w:val="0"/>
          <w:bCs w:val="0"/>
          <w:sz w:val="32"/>
          <w:szCs w:val="32"/>
          <w:shd w:val="clear" w:color="auto" w:fill="FFFFFF"/>
          <w:lang w:val="en-US" w:eastAsia="zh-CN"/>
        </w:rPr>
        <w:t>2.09</w:t>
      </w:r>
      <w:r>
        <w:rPr>
          <w:rFonts w:hint="default" w:ascii="Times New Roman" w:hAnsi="Times New Roman" w:eastAsia="方正仿宋_GBK" w:cs="Times New Roman"/>
          <w:b w:val="0"/>
          <w:bCs w:val="0"/>
          <w:sz w:val="32"/>
          <w:szCs w:val="32"/>
          <w:shd w:val="clear" w:color="auto" w:fill="FFFFFF"/>
        </w:rPr>
        <w:t>%。主要原因是</w:t>
      </w:r>
      <w:r>
        <w:rPr>
          <w:rFonts w:hint="eastAsia" w:ascii="Times New Roman" w:hAnsi="Times New Roman" w:eastAsia="仿宋" w:cs="Times New Roman"/>
          <w:sz w:val="32"/>
          <w:szCs w:val="32"/>
          <w:lang w:val="en-US" w:eastAsia="zh-CN"/>
        </w:rPr>
        <w:t>本年度补发事业人员2022年超额绩效</w:t>
      </w:r>
      <w:r>
        <w:rPr>
          <w:rFonts w:hint="default" w:ascii="Times New Roman" w:hAnsi="Times New Roman" w:eastAsia="仿宋" w:cs="Times New Roman"/>
          <w:sz w:val="32"/>
          <w:szCs w:val="32"/>
          <w:lang w:val="en-US" w:eastAsia="zh-CN"/>
        </w:rPr>
        <w:t>以及正常增人增资</w:t>
      </w:r>
      <w:r>
        <w:rPr>
          <w:rFonts w:hint="default" w:ascii="Times New Roman" w:hAnsi="Times New Roman" w:eastAsia="方正仿宋_GBK" w:cs="Times New Roman"/>
          <w:sz w:val="32"/>
          <w:szCs w:val="32"/>
        </w:rPr>
        <w:t>。</w:t>
      </w:r>
    </w:p>
    <w:p>
      <w:pPr>
        <w:pStyle w:val="3"/>
        <w:keepNext/>
        <w:keepLines/>
        <w:pageBreakBefore w:val="0"/>
        <w:widowControl/>
        <w:kinsoku/>
        <w:wordWrap/>
        <w:overflowPunct/>
        <w:topLinePunct w:val="0"/>
        <w:autoSpaceDE/>
        <w:autoSpaceDN/>
        <w:bidi w:val="0"/>
        <w:adjustRightInd/>
        <w:snapToGrid/>
        <w:spacing w:line="413" w:lineRule="auto"/>
        <w:ind w:firstLine="643" w:firstLineChars="200"/>
        <w:textAlignment w:val="auto"/>
        <w:rPr>
          <w:rFonts w:hint="eastAsia" w:ascii="楷体" w:hAnsi="楷体" w:eastAsia="楷体" w:cs="楷体"/>
        </w:rPr>
      </w:pPr>
      <w:bookmarkStart w:id="8" w:name="_Toc27611"/>
      <w:r>
        <w:rPr>
          <w:rFonts w:hint="eastAsia" w:ascii="楷体" w:hAnsi="楷体" w:eastAsia="楷体" w:cs="楷体"/>
        </w:rPr>
        <w:t>（三）一般公共预算财政拨款收入支出决算情况说明</w:t>
      </w:r>
      <w:bookmarkEnd w:id="8"/>
    </w:p>
    <w:p>
      <w:pPr>
        <w:pStyle w:val="10"/>
        <w:keepNext w:val="0"/>
        <w:keepLines w:val="0"/>
        <w:pageBreakBefore w:val="0"/>
        <w:kinsoku/>
        <w:overflowPunct/>
        <w:topLinePunct w:val="0"/>
        <w:autoSpaceDN/>
        <w:bidi w:val="0"/>
        <w:adjustRightInd/>
        <w:snapToGrid w:val="0"/>
        <w:spacing w:before="0" w:beforeAutospacing="0" w:after="0" w:afterAutospacing="0" w:line="588" w:lineRule="exact"/>
        <w:ind w:firstLine="640" w:firstLineChars="200"/>
        <w:jc w:val="both"/>
        <w:rPr>
          <w:rFonts w:hint="default" w:ascii="Times New Roman" w:hAnsi="Times New Roman" w:eastAsia="方正仿宋_GBK" w:cs="Times New Roman"/>
          <w:b w:val="0"/>
          <w:bCs w:val="0"/>
          <w:sz w:val="32"/>
          <w:szCs w:val="32"/>
        </w:rPr>
      </w:pPr>
      <w:r>
        <w:rPr>
          <w:rStyle w:val="12"/>
          <w:rFonts w:hint="default" w:ascii="Times New Roman" w:hAnsi="Times New Roman" w:eastAsia="方正仿宋_GBK" w:cs="Times New Roman"/>
          <w:b w:val="0"/>
          <w:bCs w:val="0"/>
          <w:sz w:val="32"/>
          <w:szCs w:val="32"/>
          <w:shd w:val="clear" w:color="auto" w:fill="FFFFFF"/>
        </w:rPr>
        <w:t>1.收入情况。</w:t>
      </w:r>
      <w:r>
        <w:rPr>
          <w:rFonts w:hint="default" w:ascii="Times New Roman" w:hAnsi="Times New Roman" w:eastAsia="方正仿宋_GBK" w:cs="Times New Roman"/>
          <w:b w:val="0"/>
          <w:bCs w:val="0"/>
          <w:sz w:val="32"/>
          <w:szCs w:val="32"/>
          <w:shd w:val="clear" w:color="auto" w:fill="FFFFFF"/>
        </w:rPr>
        <w:t>2024年度一般公共预算财政拨款收入</w:t>
      </w:r>
      <w:r>
        <w:rPr>
          <w:rFonts w:hint="eastAsia" w:ascii="Times New Roman" w:hAnsi="Times New Roman" w:eastAsia="方正仿宋_GBK" w:cs="Times New Roman"/>
          <w:b w:val="0"/>
          <w:bCs w:val="0"/>
          <w:sz w:val="32"/>
          <w:szCs w:val="32"/>
          <w:shd w:val="clear" w:color="auto" w:fill="FFFFFF"/>
          <w:lang w:val="en-US" w:eastAsia="zh-CN"/>
        </w:rPr>
        <w:t>758.28</w:t>
      </w:r>
      <w:r>
        <w:rPr>
          <w:rFonts w:hint="default" w:ascii="Times New Roman" w:hAnsi="Times New Roman" w:eastAsia="方正仿宋_GBK" w:cs="Times New Roman"/>
          <w:b w:val="0"/>
          <w:bCs w:val="0"/>
          <w:sz w:val="32"/>
          <w:szCs w:val="32"/>
          <w:shd w:val="clear" w:color="auto" w:fill="FFFFFF"/>
        </w:rPr>
        <w:t>万元，较上年决算数增加</w:t>
      </w:r>
      <w:r>
        <w:rPr>
          <w:rFonts w:hint="eastAsia" w:ascii="Times New Roman" w:hAnsi="Times New Roman" w:eastAsia="方正仿宋_GBK" w:cs="Times New Roman"/>
          <w:b w:val="0"/>
          <w:bCs w:val="0"/>
          <w:sz w:val="32"/>
          <w:szCs w:val="32"/>
          <w:shd w:val="clear" w:color="auto" w:fill="FFFFFF"/>
          <w:lang w:val="en-US" w:eastAsia="zh-CN"/>
        </w:rPr>
        <w:t>71.78</w:t>
      </w:r>
      <w:r>
        <w:rPr>
          <w:rFonts w:hint="default" w:ascii="Times New Roman" w:hAnsi="Times New Roman" w:eastAsia="方正仿宋_GBK" w:cs="Times New Roman"/>
          <w:b w:val="0"/>
          <w:bCs w:val="0"/>
          <w:sz w:val="32"/>
          <w:szCs w:val="32"/>
          <w:shd w:val="clear" w:color="auto" w:fill="FFFFFF"/>
        </w:rPr>
        <w:t>万元，增长</w:t>
      </w:r>
      <w:r>
        <w:rPr>
          <w:rFonts w:hint="eastAsia" w:ascii="Times New Roman" w:hAnsi="Times New Roman" w:eastAsia="方正仿宋_GBK" w:cs="Times New Roman"/>
          <w:b w:val="0"/>
          <w:bCs w:val="0"/>
          <w:sz w:val="32"/>
          <w:szCs w:val="32"/>
          <w:shd w:val="clear" w:color="auto" w:fill="FFFFFF"/>
          <w:lang w:val="en-US" w:eastAsia="zh-CN"/>
        </w:rPr>
        <w:t>12.09</w:t>
      </w:r>
      <w:r>
        <w:rPr>
          <w:rFonts w:hint="default" w:ascii="Times New Roman" w:hAnsi="Times New Roman" w:eastAsia="方正仿宋_GBK" w:cs="Times New Roman"/>
          <w:b w:val="0"/>
          <w:bCs w:val="0"/>
          <w:sz w:val="32"/>
          <w:szCs w:val="32"/>
          <w:shd w:val="clear" w:color="auto" w:fill="FFFFFF"/>
        </w:rPr>
        <w:t>%。主要原因是</w:t>
      </w:r>
      <w:r>
        <w:rPr>
          <w:rFonts w:hint="eastAsia" w:ascii="Times New Roman" w:hAnsi="Times New Roman" w:eastAsia="仿宋" w:cs="Times New Roman"/>
          <w:sz w:val="32"/>
          <w:szCs w:val="32"/>
          <w:lang w:val="en-US" w:eastAsia="zh-CN"/>
        </w:rPr>
        <w:t>本年度补发事业人员2022年超额绩效</w:t>
      </w:r>
      <w:r>
        <w:rPr>
          <w:rFonts w:hint="default" w:ascii="Times New Roman" w:hAnsi="Times New Roman" w:eastAsia="仿宋" w:cs="Times New Roman"/>
          <w:sz w:val="32"/>
          <w:szCs w:val="32"/>
          <w:lang w:val="en-US" w:eastAsia="zh-CN"/>
        </w:rPr>
        <w:t>以及正常增人增资</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b w:val="0"/>
          <w:bCs w:val="0"/>
          <w:sz w:val="32"/>
          <w:szCs w:val="32"/>
          <w:shd w:val="clear" w:color="auto" w:fill="FFFFFF"/>
        </w:rPr>
        <w:t>较年初预算数增加</w:t>
      </w:r>
      <w:r>
        <w:rPr>
          <w:rFonts w:hint="eastAsia" w:ascii="Times New Roman" w:hAnsi="Times New Roman" w:eastAsia="方正仿宋_GBK" w:cs="Times New Roman"/>
          <w:b w:val="0"/>
          <w:bCs w:val="0"/>
          <w:sz w:val="32"/>
          <w:szCs w:val="32"/>
          <w:shd w:val="clear" w:color="auto" w:fill="FFFFFF"/>
          <w:lang w:val="en-US" w:eastAsia="zh-CN"/>
        </w:rPr>
        <w:t>75.15</w:t>
      </w:r>
      <w:r>
        <w:rPr>
          <w:rFonts w:hint="default" w:ascii="Times New Roman" w:hAnsi="Times New Roman" w:eastAsia="方正仿宋_GBK" w:cs="Times New Roman"/>
          <w:b w:val="0"/>
          <w:bCs w:val="0"/>
          <w:sz w:val="32"/>
          <w:szCs w:val="32"/>
          <w:shd w:val="clear" w:color="auto" w:fill="FFFFFF"/>
        </w:rPr>
        <w:t>万元，增长</w:t>
      </w:r>
      <w:r>
        <w:rPr>
          <w:rFonts w:hint="eastAsia" w:ascii="Times New Roman" w:hAnsi="Times New Roman" w:eastAsia="方正仿宋_GBK" w:cs="Times New Roman"/>
          <w:b w:val="0"/>
          <w:bCs w:val="0"/>
          <w:sz w:val="32"/>
          <w:szCs w:val="32"/>
          <w:shd w:val="clear" w:color="auto" w:fill="FFFFFF"/>
          <w:lang w:val="en-US" w:eastAsia="zh-CN"/>
        </w:rPr>
        <w:t>11.00</w:t>
      </w:r>
      <w:r>
        <w:rPr>
          <w:rFonts w:hint="default" w:ascii="Times New Roman" w:hAnsi="Times New Roman" w:eastAsia="方正仿宋_GBK" w:cs="Times New Roman"/>
          <w:b w:val="0"/>
          <w:bCs w:val="0"/>
          <w:sz w:val="32"/>
          <w:szCs w:val="32"/>
          <w:shd w:val="clear" w:color="auto" w:fill="FFFFFF"/>
        </w:rPr>
        <w:t>%。主要原因是</w:t>
      </w:r>
      <w:r>
        <w:rPr>
          <w:rFonts w:hint="eastAsia" w:ascii="Times New Roman" w:hAnsi="Times New Roman" w:eastAsia="仿宋" w:cs="Times New Roman"/>
          <w:sz w:val="32"/>
          <w:szCs w:val="32"/>
          <w:lang w:val="en-US" w:eastAsia="zh-CN"/>
        </w:rPr>
        <w:t>本年度补发事业人员2022年超额绩效</w:t>
      </w:r>
      <w:r>
        <w:rPr>
          <w:rFonts w:hint="default" w:ascii="Times New Roman" w:hAnsi="Times New Roman" w:eastAsia="仿宋" w:cs="Times New Roman"/>
          <w:sz w:val="32"/>
          <w:szCs w:val="32"/>
          <w:lang w:val="en-US" w:eastAsia="zh-CN"/>
        </w:rPr>
        <w:t>以及正常增人增资</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b w:val="0"/>
          <w:bCs w:val="0"/>
          <w:sz w:val="32"/>
          <w:szCs w:val="32"/>
          <w:shd w:val="clear" w:color="auto" w:fill="FFFFFF"/>
        </w:rPr>
        <w:t>此外，年初财政拨款结转和结余</w:t>
      </w:r>
      <w:r>
        <w:rPr>
          <w:rFonts w:hint="default" w:ascii="Times New Roman" w:hAnsi="Times New Roman" w:eastAsia="方正仿宋_GBK" w:cs="Times New Roman"/>
          <w:b w:val="0"/>
          <w:bCs w:val="0"/>
          <w:sz w:val="32"/>
          <w:szCs w:val="32"/>
        </w:rPr>
        <w:t>0.00</w:t>
      </w:r>
      <w:r>
        <w:rPr>
          <w:rFonts w:hint="default" w:ascii="Times New Roman" w:hAnsi="Times New Roman" w:eastAsia="方正仿宋_GBK" w:cs="Times New Roman"/>
          <w:b w:val="0"/>
          <w:bCs w:val="0"/>
          <w:sz w:val="32"/>
          <w:szCs w:val="32"/>
          <w:shd w:val="clear" w:color="auto" w:fill="FFFFFF"/>
        </w:rPr>
        <w:t>万元。</w:t>
      </w:r>
    </w:p>
    <w:p>
      <w:pPr>
        <w:pStyle w:val="10"/>
        <w:keepNext w:val="0"/>
        <w:keepLines w:val="0"/>
        <w:pageBreakBefore w:val="0"/>
        <w:kinsoku/>
        <w:overflowPunct/>
        <w:topLinePunct w:val="0"/>
        <w:autoSpaceDN/>
        <w:bidi w:val="0"/>
        <w:adjustRightInd/>
        <w:snapToGrid w:val="0"/>
        <w:spacing w:before="0" w:beforeAutospacing="0" w:after="0" w:afterAutospacing="0" w:line="588" w:lineRule="exact"/>
        <w:ind w:firstLine="640" w:firstLineChars="200"/>
        <w:jc w:val="both"/>
        <w:rPr>
          <w:rFonts w:hint="default" w:ascii="Times New Roman" w:hAnsi="Times New Roman" w:eastAsia="方正仿宋_GBK" w:cs="Times New Roman"/>
          <w:b w:val="0"/>
          <w:bCs w:val="0"/>
          <w:sz w:val="32"/>
          <w:szCs w:val="32"/>
        </w:rPr>
      </w:pPr>
      <w:r>
        <w:rPr>
          <w:rStyle w:val="12"/>
          <w:rFonts w:hint="default" w:ascii="Times New Roman" w:hAnsi="Times New Roman" w:eastAsia="方正仿宋_GBK" w:cs="Times New Roman"/>
          <w:b w:val="0"/>
          <w:bCs w:val="0"/>
          <w:sz w:val="32"/>
          <w:szCs w:val="32"/>
          <w:shd w:val="clear" w:color="auto" w:fill="FFFFFF"/>
        </w:rPr>
        <w:t>2.支出情况。</w:t>
      </w:r>
      <w:r>
        <w:rPr>
          <w:rFonts w:hint="default" w:ascii="Times New Roman" w:hAnsi="Times New Roman" w:eastAsia="方正仿宋_GBK" w:cs="Times New Roman"/>
          <w:b w:val="0"/>
          <w:bCs w:val="0"/>
          <w:sz w:val="32"/>
          <w:szCs w:val="32"/>
          <w:shd w:val="clear" w:color="auto" w:fill="FFFFFF"/>
        </w:rPr>
        <w:t>2024年度一般公共预算财政拨款支出</w:t>
      </w:r>
      <w:r>
        <w:rPr>
          <w:rFonts w:hint="eastAsia" w:ascii="Times New Roman" w:hAnsi="Times New Roman" w:eastAsia="方正仿宋_GBK" w:cs="Times New Roman"/>
          <w:b w:val="0"/>
          <w:bCs w:val="0"/>
          <w:sz w:val="32"/>
          <w:szCs w:val="32"/>
          <w:shd w:val="clear" w:color="auto" w:fill="FFFFFF"/>
          <w:lang w:val="en-US" w:eastAsia="zh-CN"/>
        </w:rPr>
        <w:t>758.28</w:t>
      </w:r>
      <w:r>
        <w:rPr>
          <w:rFonts w:hint="default" w:ascii="Times New Roman" w:hAnsi="Times New Roman" w:eastAsia="方正仿宋_GBK" w:cs="Times New Roman"/>
          <w:b w:val="0"/>
          <w:bCs w:val="0"/>
          <w:sz w:val="32"/>
          <w:szCs w:val="32"/>
          <w:shd w:val="clear" w:color="auto" w:fill="FFFFFF"/>
        </w:rPr>
        <w:t>万元，较上年决算数增加</w:t>
      </w:r>
      <w:r>
        <w:rPr>
          <w:rFonts w:hint="eastAsia" w:ascii="Times New Roman" w:hAnsi="Times New Roman" w:eastAsia="方正仿宋_GBK" w:cs="Times New Roman"/>
          <w:b w:val="0"/>
          <w:bCs w:val="0"/>
          <w:sz w:val="32"/>
          <w:szCs w:val="32"/>
          <w:shd w:val="clear" w:color="auto" w:fill="FFFFFF"/>
          <w:lang w:val="en-US" w:eastAsia="zh-CN"/>
        </w:rPr>
        <w:t>71.78</w:t>
      </w:r>
      <w:r>
        <w:rPr>
          <w:rFonts w:hint="default" w:ascii="Times New Roman" w:hAnsi="Times New Roman" w:eastAsia="方正仿宋_GBK" w:cs="Times New Roman"/>
          <w:b w:val="0"/>
          <w:bCs w:val="0"/>
          <w:sz w:val="32"/>
          <w:szCs w:val="32"/>
          <w:shd w:val="clear" w:color="auto" w:fill="FFFFFF"/>
        </w:rPr>
        <w:t>万元，增长</w:t>
      </w:r>
      <w:r>
        <w:rPr>
          <w:rFonts w:hint="eastAsia" w:ascii="Times New Roman" w:hAnsi="Times New Roman" w:eastAsia="方正仿宋_GBK" w:cs="Times New Roman"/>
          <w:b w:val="0"/>
          <w:bCs w:val="0"/>
          <w:sz w:val="32"/>
          <w:szCs w:val="32"/>
          <w:shd w:val="clear" w:color="auto" w:fill="FFFFFF"/>
          <w:lang w:val="en-US" w:eastAsia="zh-CN"/>
        </w:rPr>
        <w:t>12.09</w:t>
      </w:r>
      <w:r>
        <w:rPr>
          <w:rFonts w:hint="default" w:ascii="Times New Roman" w:hAnsi="Times New Roman" w:eastAsia="方正仿宋_GBK" w:cs="Times New Roman"/>
          <w:b w:val="0"/>
          <w:bCs w:val="0"/>
          <w:sz w:val="32"/>
          <w:szCs w:val="32"/>
          <w:shd w:val="clear" w:color="auto" w:fill="FFFFFF"/>
        </w:rPr>
        <w:t>%。主要原因是</w:t>
      </w:r>
      <w:r>
        <w:rPr>
          <w:rFonts w:hint="eastAsia" w:ascii="Times New Roman" w:hAnsi="Times New Roman" w:eastAsia="仿宋" w:cs="Times New Roman"/>
          <w:sz w:val="32"/>
          <w:szCs w:val="32"/>
          <w:lang w:val="en-US" w:eastAsia="zh-CN"/>
        </w:rPr>
        <w:t>本年度补发事业人员2022年超额绩效</w:t>
      </w:r>
      <w:r>
        <w:rPr>
          <w:rFonts w:hint="default" w:ascii="Times New Roman" w:hAnsi="Times New Roman" w:eastAsia="仿宋" w:cs="Times New Roman"/>
          <w:sz w:val="32"/>
          <w:szCs w:val="32"/>
          <w:lang w:val="en-US" w:eastAsia="zh-CN"/>
        </w:rPr>
        <w:t>以及正常增人增资</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b w:val="0"/>
          <w:bCs w:val="0"/>
          <w:sz w:val="32"/>
          <w:szCs w:val="32"/>
          <w:shd w:val="clear" w:color="auto" w:fill="FFFFFF"/>
        </w:rPr>
        <w:t>较年初预算数增加</w:t>
      </w:r>
      <w:r>
        <w:rPr>
          <w:rFonts w:hint="eastAsia" w:ascii="Times New Roman" w:hAnsi="Times New Roman" w:eastAsia="方正仿宋_GBK" w:cs="Times New Roman"/>
          <w:b w:val="0"/>
          <w:bCs w:val="0"/>
          <w:sz w:val="32"/>
          <w:szCs w:val="32"/>
          <w:shd w:val="clear" w:color="auto" w:fill="FFFFFF"/>
          <w:lang w:val="en-US" w:eastAsia="zh-CN"/>
        </w:rPr>
        <w:t>75.15</w:t>
      </w:r>
      <w:r>
        <w:rPr>
          <w:rFonts w:hint="default" w:ascii="Times New Roman" w:hAnsi="Times New Roman" w:eastAsia="方正仿宋_GBK" w:cs="Times New Roman"/>
          <w:b w:val="0"/>
          <w:bCs w:val="0"/>
          <w:sz w:val="32"/>
          <w:szCs w:val="32"/>
          <w:shd w:val="clear" w:color="auto" w:fill="FFFFFF"/>
        </w:rPr>
        <w:t>万元，增长</w:t>
      </w:r>
      <w:r>
        <w:rPr>
          <w:rFonts w:hint="eastAsia" w:ascii="Times New Roman" w:hAnsi="Times New Roman" w:eastAsia="方正仿宋_GBK" w:cs="Times New Roman"/>
          <w:b w:val="0"/>
          <w:bCs w:val="0"/>
          <w:sz w:val="32"/>
          <w:szCs w:val="32"/>
          <w:shd w:val="clear" w:color="auto" w:fill="FFFFFF"/>
          <w:lang w:val="en-US" w:eastAsia="zh-CN"/>
        </w:rPr>
        <w:t>11.00</w:t>
      </w:r>
      <w:r>
        <w:rPr>
          <w:rFonts w:hint="default" w:ascii="Times New Roman" w:hAnsi="Times New Roman" w:eastAsia="方正仿宋_GBK" w:cs="Times New Roman"/>
          <w:b w:val="0"/>
          <w:bCs w:val="0"/>
          <w:sz w:val="32"/>
          <w:szCs w:val="32"/>
          <w:shd w:val="clear" w:color="auto" w:fill="FFFFFF"/>
        </w:rPr>
        <w:t>%。主要原因是</w:t>
      </w:r>
      <w:r>
        <w:rPr>
          <w:rFonts w:hint="eastAsia" w:ascii="Times New Roman" w:hAnsi="Times New Roman" w:eastAsia="仿宋" w:cs="Times New Roman"/>
          <w:sz w:val="32"/>
          <w:szCs w:val="32"/>
          <w:lang w:val="en-US" w:eastAsia="zh-CN"/>
        </w:rPr>
        <w:t>本年度补发事业人员2022年超额绩效</w:t>
      </w:r>
      <w:r>
        <w:rPr>
          <w:rFonts w:hint="default" w:ascii="Times New Roman" w:hAnsi="Times New Roman" w:eastAsia="仿宋" w:cs="Times New Roman"/>
          <w:sz w:val="32"/>
          <w:szCs w:val="32"/>
          <w:lang w:val="en-US" w:eastAsia="zh-CN"/>
        </w:rPr>
        <w:t>以及正常增人增资</w:t>
      </w:r>
      <w:r>
        <w:rPr>
          <w:rFonts w:hint="default" w:ascii="Times New Roman" w:hAnsi="Times New Roman" w:eastAsia="方正仿宋_GBK" w:cs="Times New Roman"/>
          <w:sz w:val="32"/>
          <w:szCs w:val="32"/>
        </w:rPr>
        <w:t>。</w:t>
      </w:r>
    </w:p>
    <w:p>
      <w:pPr>
        <w:pStyle w:val="10"/>
        <w:keepNext w:val="0"/>
        <w:keepLines w:val="0"/>
        <w:pageBreakBefore w:val="0"/>
        <w:kinsoku/>
        <w:overflowPunct/>
        <w:topLinePunct w:val="0"/>
        <w:autoSpaceDN/>
        <w:bidi w:val="0"/>
        <w:adjustRightInd/>
        <w:snapToGrid w:val="0"/>
        <w:spacing w:before="0" w:beforeAutospacing="0" w:after="0" w:afterAutospacing="0" w:line="588" w:lineRule="exact"/>
        <w:ind w:firstLine="640" w:firstLineChars="200"/>
        <w:jc w:val="both"/>
        <w:rPr>
          <w:rFonts w:hint="default" w:ascii="Times New Roman" w:hAnsi="Times New Roman" w:eastAsia="方正仿宋_GBK" w:cs="Times New Roman"/>
          <w:b w:val="0"/>
          <w:bCs w:val="0"/>
          <w:sz w:val="32"/>
          <w:szCs w:val="32"/>
        </w:rPr>
      </w:pPr>
      <w:r>
        <w:rPr>
          <w:rStyle w:val="12"/>
          <w:rFonts w:hint="default" w:ascii="Times New Roman" w:hAnsi="Times New Roman" w:eastAsia="方正仿宋_GBK" w:cs="Times New Roman"/>
          <w:b w:val="0"/>
          <w:bCs w:val="0"/>
          <w:sz w:val="32"/>
          <w:szCs w:val="32"/>
          <w:shd w:val="clear" w:color="auto" w:fill="FFFFFF"/>
        </w:rPr>
        <w:t>3.结转结余情况。</w:t>
      </w:r>
      <w:r>
        <w:rPr>
          <w:rFonts w:hint="default" w:ascii="Times New Roman" w:hAnsi="Times New Roman" w:eastAsia="方正仿宋_GBK" w:cs="Times New Roman"/>
          <w:b w:val="0"/>
          <w:bCs w:val="0"/>
          <w:sz w:val="32"/>
          <w:szCs w:val="32"/>
          <w:shd w:val="clear" w:color="auto" w:fill="FFFFFF"/>
        </w:rPr>
        <w:t>2024年度年末一般公共预算财政拨款结转和结余</w:t>
      </w:r>
      <w:r>
        <w:rPr>
          <w:rFonts w:hint="default" w:ascii="Times New Roman" w:hAnsi="Times New Roman" w:eastAsia="方正仿宋_GBK" w:cs="Times New Roman"/>
          <w:b w:val="0"/>
          <w:bCs w:val="0"/>
          <w:sz w:val="32"/>
          <w:szCs w:val="32"/>
        </w:rPr>
        <w:t>0.00</w:t>
      </w:r>
      <w:r>
        <w:rPr>
          <w:rFonts w:hint="default" w:ascii="Times New Roman" w:hAnsi="Times New Roman" w:eastAsia="方正仿宋_GBK" w:cs="Times New Roman"/>
          <w:b w:val="0"/>
          <w:bCs w:val="0"/>
          <w:sz w:val="32"/>
          <w:szCs w:val="32"/>
          <w:shd w:val="clear" w:color="auto" w:fill="FFFFFF"/>
        </w:rPr>
        <w:t>万元，较上年决算数无增减，主要原因是</w:t>
      </w:r>
      <w:r>
        <w:rPr>
          <w:rFonts w:hint="default" w:ascii="Times New Roman" w:hAnsi="Times New Roman" w:eastAsia="方正仿宋_GBK" w:cs="Times New Roman"/>
          <w:sz w:val="32"/>
          <w:szCs w:val="32"/>
        </w:rPr>
        <w:t>本单位无结转结余。</w:t>
      </w:r>
    </w:p>
    <w:p>
      <w:pPr>
        <w:pStyle w:val="10"/>
        <w:keepNext w:val="0"/>
        <w:keepLines w:val="0"/>
        <w:pageBreakBefore w:val="0"/>
        <w:kinsoku/>
        <w:overflowPunct/>
        <w:topLinePunct w:val="0"/>
        <w:autoSpaceDN/>
        <w:bidi w:val="0"/>
        <w:adjustRightInd/>
        <w:snapToGrid w:val="0"/>
        <w:spacing w:before="0" w:beforeAutospacing="0" w:after="0" w:afterAutospacing="0" w:line="588" w:lineRule="exact"/>
        <w:ind w:firstLine="640" w:firstLineChars="200"/>
        <w:jc w:val="both"/>
        <w:rPr>
          <w:rFonts w:hint="default" w:ascii="Times New Roman" w:hAnsi="Times New Roman" w:eastAsia="方正仿宋_GBK" w:cs="Times New Roman"/>
          <w:b w:val="0"/>
          <w:bCs w:val="0"/>
          <w:color w:val="FF0000"/>
          <w:sz w:val="32"/>
          <w:szCs w:val="32"/>
          <w:highlight w:val="cyan"/>
          <w:shd w:val="clear" w:color="auto" w:fill="FFFFFF"/>
        </w:rPr>
      </w:pPr>
      <w:r>
        <w:rPr>
          <w:rStyle w:val="12"/>
          <w:rFonts w:hint="default" w:ascii="Times New Roman" w:hAnsi="Times New Roman" w:eastAsia="方正仿宋_GBK" w:cs="Times New Roman"/>
          <w:b w:val="0"/>
          <w:bCs w:val="0"/>
          <w:sz w:val="32"/>
          <w:szCs w:val="32"/>
          <w:shd w:val="clear" w:color="auto" w:fill="FFFFFF"/>
        </w:rPr>
        <w:t>4.比较情况。</w:t>
      </w:r>
      <w:r>
        <w:rPr>
          <w:rFonts w:hint="default" w:ascii="Times New Roman" w:hAnsi="Times New Roman" w:eastAsia="方正仿宋_GBK" w:cs="Times New Roman"/>
          <w:b w:val="0"/>
          <w:bCs w:val="0"/>
          <w:sz w:val="32"/>
          <w:szCs w:val="32"/>
          <w:shd w:val="clear" w:color="auto" w:fill="FFFFFF"/>
        </w:rPr>
        <w:t>本单位2024年度一般公共预算财政拨款支出主要用于以下几个方面：</w:t>
      </w:r>
    </w:p>
    <w:p>
      <w:pPr>
        <w:keepNext w:val="0"/>
        <w:keepLines w:val="0"/>
        <w:pageBreakBefore w:val="0"/>
        <w:widowControl w:val="0"/>
        <w:kinsoku/>
        <w:wordWrap/>
        <w:overflowPunct/>
        <w:topLinePunct w:val="0"/>
        <w:autoSpaceDE/>
        <w:autoSpaceDN/>
        <w:bidi w:val="0"/>
        <w:adjustRightInd/>
        <w:snapToGrid/>
        <w:spacing w:line="588" w:lineRule="exact"/>
        <w:ind w:firstLine="640" w:firstLineChars="200"/>
        <w:textAlignment w:val="auto"/>
        <w:outlineLvl w:val="9"/>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shd w:val="clear" w:color="auto" w:fill="FFFFFF"/>
        </w:rPr>
        <w:t>（1）社会保障与就业支出</w:t>
      </w:r>
      <w:r>
        <w:rPr>
          <w:rFonts w:hint="eastAsia" w:ascii="Times New Roman" w:hAnsi="Times New Roman" w:eastAsia="方正仿宋_GBK" w:cs="Times New Roman"/>
          <w:b w:val="0"/>
          <w:bCs w:val="0"/>
          <w:sz w:val="32"/>
          <w:szCs w:val="32"/>
          <w:lang w:val="en-US" w:eastAsia="zh-CN"/>
        </w:rPr>
        <w:t>76.50</w:t>
      </w:r>
      <w:r>
        <w:rPr>
          <w:rFonts w:hint="default" w:ascii="Times New Roman" w:hAnsi="Times New Roman" w:eastAsia="方正仿宋_GBK" w:cs="Times New Roman"/>
          <w:b w:val="0"/>
          <w:bCs w:val="0"/>
          <w:sz w:val="32"/>
          <w:szCs w:val="32"/>
          <w:shd w:val="clear" w:color="auto" w:fill="FFFFFF"/>
        </w:rPr>
        <w:t>万元，占</w:t>
      </w:r>
      <w:r>
        <w:rPr>
          <w:rFonts w:hint="eastAsia" w:ascii="Times New Roman" w:hAnsi="Times New Roman" w:eastAsia="方正仿宋_GBK" w:cs="Times New Roman"/>
          <w:b w:val="0"/>
          <w:bCs w:val="0"/>
          <w:sz w:val="32"/>
          <w:szCs w:val="32"/>
          <w:lang w:val="en-US" w:eastAsia="zh-CN"/>
        </w:rPr>
        <w:t>10.09</w:t>
      </w:r>
      <w:r>
        <w:rPr>
          <w:rFonts w:hint="default" w:ascii="Times New Roman" w:hAnsi="Times New Roman" w:eastAsia="方正仿宋_GBK" w:cs="Times New Roman"/>
          <w:b w:val="0"/>
          <w:bCs w:val="0"/>
          <w:sz w:val="32"/>
          <w:szCs w:val="32"/>
          <w:shd w:val="clear" w:color="auto" w:fill="FFFFFF"/>
        </w:rPr>
        <w:t>%，较年初预算数无增减，主要原因是</w:t>
      </w:r>
      <w:r>
        <w:rPr>
          <w:rFonts w:hint="default" w:ascii="Times New Roman" w:hAnsi="Times New Roman" w:eastAsia="方正仿宋_GBK" w:cs="Times New Roman"/>
          <w:sz w:val="32"/>
          <w:szCs w:val="32"/>
        </w:rPr>
        <w:t>年初预算已于本年度全部支出。</w:t>
      </w:r>
    </w:p>
    <w:p>
      <w:pPr>
        <w:keepNext w:val="0"/>
        <w:keepLines w:val="0"/>
        <w:pageBreakBefore w:val="0"/>
        <w:widowControl w:val="0"/>
        <w:kinsoku/>
        <w:wordWrap/>
        <w:overflowPunct/>
        <w:topLinePunct w:val="0"/>
        <w:autoSpaceDE/>
        <w:autoSpaceDN/>
        <w:bidi w:val="0"/>
        <w:adjustRightInd/>
        <w:snapToGrid/>
        <w:spacing w:line="588" w:lineRule="exact"/>
        <w:ind w:firstLine="640" w:firstLineChars="200"/>
        <w:textAlignment w:val="auto"/>
        <w:outlineLvl w:val="9"/>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shd w:val="clear" w:color="auto" w:fill="FFFFFF"/>
        </w:rPr>
        <w:t>（2）卫生健康支出</w:t>
      </w:r>
      <w:r>
        <w:rPr>
          <w:rFonts w:hint="eastAsia" w:ascii="Times New Roman" w:hAnsi="Times New Roman" w:eastAsia="方正仿宋_GBK" w:cs="Times New Roman"/>
          <w:b w:val="0"/>
          <w:bCs w:val="0"/>
          <w:sz w:val="32"/>
          <w:szCs w:val="32"/>
          <w:lang w:val="en-US" w:eastAsia="zh-CN"/>
        </w:rPr>
        <w:t>36.42</w:t>
      </w:r>
      <w:r>
        <w:rPr>
          <w:rFonts w:hint="default" w:ascii="Times New Roman" w:hAnsi="Times New Roman" w:eastAsia="方正仿宋_GBK" w:cs="Times New Roman"/>
          <w:b w:val="0"/>
          <w:bCs w:val="0"/>
          <w:sz w:val="32"/>
          <w:szCs w:val="32"/>
          <w:shd w:val="clear" w:color="auto" w:fill="FFFFFF"/>
        </w:rPr>
        <w:t>万元，占</w:t>
      </w:r>
      <w:r>
        <w:rPr>
          <w:rFonts w:hint="default" w:ascii="Times New Roman" w:hAnsi="Times New Roman" w:eastAsia="方正仿宋_GBK" w:cs="Times New Roman"/>
          <w:b w:val="0"/>
          <w:bCs w:val="0"/>
          <w:sz w:val="32"/>
          <w:szCs w:val="32"/>
        </w:rPr>
        <w:t>4.8</w:t>
      </w:r>
      <w:r>
        <w:rPr>
          <w:rFonts w:hint="eastAsia" w:ascii="Times New Roman" w:hAnsi="Times New Roman" w:eastAsia="方正仿宋_GBK" w:cs="Times New Roman"/>
          <w:b w:val="0"/>
          <w:bCs w:val="0"/>
          <w:sz w:val="32"/>
          <w:szCs w:val="32"/>
          <w:lang w:val="en-US" w:eastAsia="zh-CN"/>
        </w:rPr>
        <w:t>0</w:t>
      </w:r>
      <w:r>
        <w:rPr>
          <w:rFonts w:hint="default" w:ascii="Times New Roman" w:hAnsi="Times New Roman" w:eastAsia="方正仿宋_GBK" w:cs="Times New Roman"/>
          <w:b w:val="0"/>
          <w:bCs w:val="0"/>
          <w:sz w:val="32"/>
          <w:szCs w:val="32"/>
          <w:shd w:val="clear" w:color="auto" w:fill="FFFFFF"/>
        </w:rPr>
        <w:t>%，较年初预算数无增减，主要原因是</w:t>
      </w:r>
      <w:r>
        <w:rPr>
          <w:rFonts w:hint="default" w:ascii="Times New Roman" w:hAnsi="Times New Roman" w:eastAsia="方正仿宋_GBK" w:cs="Times New Roman"/>
          <w:sz w:val="32"/>
          <w:szCs w:val="32"/>
        </w:rPr>
        <w:t>年初预算已于本年度全部支出。</w:t>
      </w:r>
    </w:p>
    <w:p>
      <w:pPr>
        <w:keepNext w:val="0"/>
        <w:keepLines w:val="0"/>
        <w:pageBreakBefore w:val="0"/>
        <w:widowControl w:val="0"/>
        <w:kinsoku/>
        <w:wordWrap/>
        <w:overflowPunct/>
        <w:topLinePunct w:val="0"/>
        <w:autoSpaceDE/>
        <w:autoSpaceDN/>
        <w:bidi w:val="0"/>
        <w:adjustRightInd/>
        <w:snapToGrid/>
        <w:spacing w:line="588" w:lineRule="exact"/>
        <w:ind w:firstLine="640" w:firstLineChars="200"/>
        <w:textAlignment w:val="auto"/>
        <w:outlineLvl w:val="9"/>
        <w:rPr>
          <w:rFonts w:hint="default" w:ascii="Times New Roman" w:hAnsi="Times New Roman" w:eastAsia="方正仿宋_GBK" w:cs="Times New Roman"/>
          <w:b w:val="0"/>
          <w:bCs w:val="0"/>
          <w:color w:val="FF000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（3）农林水支出</w:t>
      </w:r>
      <w:r>
        <w:rPr>
          <w:rFonts w:hint="eastAsia" w:ascii="Times New Roman" w:hAnsi="Times New Roman" w:eastAsia="方正仿宋_GBK" w:cs="Times New Roman"/>
          <w:b w:val="0"/>
          <w:bCs w:val="0"/>
          <w:sz w:val="32"/>
          <w:szCs w:val="32"/>
          <w:lang w:val="en-US" w:eastAsia="zh-CN"/>
        </w:rPr>
        <w:t>612.43</w:t>
      </w:r>
      <w:r>
        <w:rPr>
          <w:rFonts w:hint="default" w:ascii="Times New Roman" w:hAnsi="Times New Roman" w:eastAsia="方正仿宋_GBK" w:cs="Times New Roman"/>
          <w:b w:val="0"/>
          <w:bCs w:val="0"/>
          <w:sz w:val="32"/>
          <w:szCs w:val="32"/>
          <w:shd w:val="clear" w:color="auto" w:fill="FFFFFF"/>
        </w:rPr>
        <w:t>万元，占</w:t>
      </w:r>
      <w:r>
        <w:rPr>
          <w:rFonts w:hint="eastAsia" w:ascii="Times New Roman" w:hAnsi="Times New Roman" w:eastAsia="方正仿宋_GBK" w:cs="Times New Roman"/>
          <w:b w:val="0"/>
          <w:bCs w:val="0"/>
          <w:sz w:val="32"/>
          <w:szCs w:val="32"/>
          <w:lang w:val="en-US" w:eastAsia="zh-CN"/>
        </w:rPr>
        <w:t>80.77</w:t>
      </w:r>
      <w:r>
        <w:rPr>
          <w:rFonts w:hint="default" w:ascii="Times New Roman" w:hAnsi="Times New Roman" w:eastAsia="方正仿宋_GBK" w:cs="Times New Roman"/>
          <w:b w:val="0"/>
          <w:bCs w:val="0"/>
          <w:sz w:val="32"/>
          <w:szCs w:val="32"/>
          <w:shd w:val="clear" w:color="auto" w:fill="FFFFFF"/>
        </w:rPr>
        <w:t>%，较年初预算数增加</w:t>
      </w:r>
      <w:r>
        <w:rPr>
          <w:rFonts w:hint="eastAsia" w:ascii="Times New Roman" w:hAnsi="Times New Roman" w:eastAsia="方正仿宋_GBK" w:cs="Times New Roman"/>
          <w:b w:val="0"/>
          <w:bCs w:val="0"/>
          <w:sz w:val="32"/>
          <w:szCs w:val="32"/>
          <w:shd w:val="clear" w:color="auto" w:fill="FFFFFF"/>
          <w:lang w:val="en-US" w:eastAsia="zh-CN"/>
        </w:rPr>
        <w:t>75.15</w:t>
      </w:r>
      <w:r>
        <w:rPr>
          <w:rFonts w:hint="default" w:ascii="Times New Roman" w:hAnsi="Times New Roman" w:eastAsia="方正仿宋_GBK" w:cs="Times New Roman"/>
          <w:b w:val="0"/>
          <w:bCs w:val="0"/>
          <w:sz w:val="32"/>
          <w:szCs w:val="32"/>
          <w:shd w:val="clear" w:color="auto" w:fill="FFFFFF"/>
        </w:rPr>
        <w:t>万元，增长1</w:t>
      </w:r>
      <w:r>
        <w:rPr>
          <w:rFonts w:hint="eastAsia" w:ascii="Times New Roman" w:hAnsi="Times New Roman" w:eastAsia="方正仿宋_GBK" w:cs="Times New Roman"/>
          <w:b w:val="0"/>
          <w:bCs w:val="0"/>
          <w:sz w:val="32"/>
          <w:szCs w:val="32"/>
          <w:shd w:val="clear" w:color="auto" w:fill="FFFFFF"/>
          <w:lang w:val="en-US" w:eastAsia="zh-CN"/>
        </w:rPr>
        <w:t>3.99</w:t>
      </w:r>
      <w:r>
        <w:rPr>
          <w:rFonts w:hint="default" w:ascii="Times New Roman" w:hAnsi="Times New Roman" w:eastAsia="方正仿宋_GBK" w:cs="Times New Roman"/>
          <w:b w:val="0"/>
          <w:bCs w:val="0"/>
          <w:sz w:val="32"/>
          <w:szCs w:val="32"/>
          <w:shd w:val="clear" w:color="auto" w:fill="FFFFFF"/>
        </w:rPr>
        <w:t>%，主要原因是</w:t>
      </w:r>
      <w:r>
        <w:rPr>
          <w:rFonts w:hint="eastAsia" w:ascii="Times New Roman" w:hAnsi="Times New Roman" w:eastAsia="仿宋" w:cs="Times New Roman"/>
          <w:sz w:val="32"/>
          <w:szCs w:val="32"/>
          <w:lang w:val="en-US" w:eastAsia="zh-CN"/>
        </w:rPr>
        <w:t>本年度补发事业人员2022年超额绩效</w:t>
      </w:r>
      <w:r>
        <w:rPr>
          <w:rFonts w:hint="default" w:ascii="Times New Roman" w:hAnsi="Times New Roman" w:eastAsia="仿宋" w:cs="Times New Roman"/>
          <w:sz w:val="32"/>
          <w:szCs w:val="32"/>
          <w:lang w:val="en-US" w:eastAsia="zh-CN"/>
        </w:rPr>
        <w:t>以及正常增人增资</w:t>
      </w:r>
      <w:r>
        <w:rPr>
          <w:rFonts w:hint="default" w:ascii="Times New Roman" w:hAnsi="Times New Roman" w:eastAsia="方正仿宋_GBK" w:cs="Times New Roman"/>
          <w:sz w:val="32"/>
          <w:szCs w:val="32"/>
        </w:rPr>
        <w:t>。</w:t>
      </w:r>
    </w:p>
    <w:p>
      <w:pPr>
        <w:keepNext w:val="0"/>
        <w:keepLines w:val="0"/>
        <w:pageBreakBefore w:val="0"/>
        <w:widowControl w:val="0"/>
        <w:kinsoku/>
        <w:wordWrap/>
        <w:overflowPunct/>
        <w:topLinePunct w:val="0"/>
        <w:autoSpaceDE/>
        <w:autoSpaceDN/>
        <w:bidi w:val="0"/>
        <w:adjustRightInd/>
        <w:snapToGrid/>
        <w:spacing w:line="588" w:lineRule="exact"/>
        <w:ind w:firstLine="640" w:firstLineChars="200"/>
        <w:textAlignment w:val="auto"/>
        <w:outlineLvl w:val="9"/>
        <w:rPr>
          <w:rFonts w:hint="default" w:ascii="Times New Roman" w:hAnsi="Times New Roman" w:eastAsia="方正仿宋_GBK" w:cs="Times New Roman"/>
          <w:b w:val="0"/>
          <w:bCs w:val="0"/>
          <w:color w:val="FF000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（4）</w:t>
      </w:r>
      <w:r>
        <w:rPr>
          <w:rFonts w:hint="default" w:ascii="Times New Roman" w:hAnsi="Times New Roman" w:eastAsia="方正仿宋_GBK" w:cs="Times New Roman"/>
          <w:b w:val="0"/>
          <w:bCs w:val="0"/>
          <w:sz w:val="32"/>
          <w:szCs w:val="32"/>
        </w:rPr>
        <w:t>住房保障支出</w:t>
      </w:r>
      <w:r>
        <w:rPr>
          <w:rFonts w:hint="eastAsia" w:ascii="Times New Roman" w:hAnsi="Times New Roman" w:eastAsia="方正仿宋_GBK" w:cs="Times New Roman"/>
          <w:b w:val="0"/>
          <w:bCs w:val="0"/>
          <w:sz w:val="32"/>
          <w:szCs w:val="32"/>
          <w:lang w:val="en-US" w:eastAsia="zh-CN"/>
        </w:rPr>
        <w:t>32.93</w:t>
      </w:r>
      <w:r>
        <w:rPr>
          <w:rFonts w:hint="default" w:ascii="Times New Roman" w:hAnsi="Times New Roman" w:eastAsia="方正仿宋_GBK" w:cs="Times New Roman"/>
          <w:b w:val="0"/>
          <w:bCs w:val="0"/>
          <w:sz w:val="32"/>
          <w:szCs w:val="32"/>
          <w:shd w:val="clear" w:color="auto" w:fill="FFFFFF"/>
        </w:rPr>
        <w:t>万元，占</w:t>
      </w:r>
      <w:r>
        <w:rPr>
          <w:rFonts w:hint="default" w:ascii="Times New Roman" w:hAnsi="Times New Roman" w:eastAsia="方正仿宋_GBK" w:cs="Times New Roman"/>
          <w:b w:val="0"/>
          <w:bCs w:val="0"/>
          <w:sz w:val="32"/>
          <w:szCs w:val="32"/>
        </w:rPr>
        <w:t>4.</w:t>
      </w:r>
      <w:r>
        <w:rPr>
          <w:rFonts w:hint="eastAsia" w:ascii="Times New Roman" w:hAnsi="Times New Roman" w:eastAsia="方正仿宋_GBK" w:cs="Times New Roman"/>
          <w:b w:val="0"/>
          <w:bCs w:val="0"/>
          <w:sz w:val="32"/>
          <w:szCs w:val="32"/>
          <w:lang w:val="en-US" w:eastAsia="zh-CN"/>
        </w:rPr>
        <w:t>34</w:t>
      </w:r>
      <w:r>
        <w:rPr>
          <w:rFonts w:hint="default" w:ascii="Times New Roman" w:hAnsi="Times New Roman" w:eastAsia="方正仿宋_GBK" w:cs="Times New Roman"/>
          <w:b w:val="0"/>
          <w:bCs w:val="0"/>
          <w:sz w:val="32"/>
          <w:szCs w:val="32"/>
          <w:shd w:val="clear" w:color="auto" w:fill="FFFFFF"/>
        </w:rPr>
        <w:t>%，较年初预算数无增减，主要原因是</w:t>
      </w:r>
      <w:r>
        <w:rPr>
          <w:rFonts w:hint="default" w:ascii="Times New Roman" w:hAnsi="Times New Roman" w:eastAsia="方正仿宋_GBK" w:cs="Times New Roman"/>
          <w:sz w:val="32"/>
          <w:szCs w:val="32"/>
        </w:rPr>
        <w:t>年初预算已于本年度全部支出。</w:t>
      </w:r>
    </w:p>
    <w:p>
      <w:pPr>
        <w:pStyle w:val="3"/>
        <w:keepNext/>
        <w:keepLines/>
        <w:pageBreakBefore w:val="0"/>
        <w:widowControl/>
        <w:kinsoku/>
        <w:wordWrap/>
        <w:overflowPunct/>
        <w:topLinePunct w:val="0"/>
        <w:autoSpaceDE/>
        <w:autoSpaceDN/>
        <w:bidi w:val="0"/>
        <w:adjustRightInd/>
        <w:snapToGrid/>
        <w:spacing w:line="413" w:lineRule="auto"/>
        <w:ind w:firstLine="643" w:firstLineChars="200"/>
        <w:textAlignment w:val="auto"/>
        <w:rPr>
          <w:rFonts w:hint="eastAsia" w:ascii="楷体" w:hAnsi="楷体" w:eastAsia="楷体" w:cs="楷体"/>
        </w:rPr>
      </w:pPr>
      <w:bookmarkStart w:id="9" w:name="_Toc22956"/>
      <w:r>
        <w:rPr>
          <w:rFonts w:hint="eastAsia" w:ascii="楷体" w:hAnsi="楷体" w:eastAsia="楷体" w:cs="楷体"/>
        </w:rPr>
        <w:t>（四）一般公共预算财政拨款基本支出决算情况说明</w:t>
      </w:r>
      <w:bookmarkEnd w:id="9"/>
    </w:p>
    <w:p>
      <w:pPr>
        <w:keepNext w:val="0"/>
        <w:keepLines w:val="0"/>
        <w:pageBreakBefore w:val="0"/>
        <w:widowControl w:val="0"/>
        <w:kinsoku/>
        <w:wordWrap/>
        <w:overflowPunct/>
        <w:topLinePunct w:val="0"/>
        <w:autoSpaceDE/>
        <w:autoSpaceDN/>
        <w:bidi w:val="0"/>
        <w:adjustRightInd/>
        <w:snapToGrid/>
        <w:spacing w:line="588" w:lineRule="exact"/>
        <w:ind w:firstLine="640" w:firstLineChars="200"/>
        <w:textAlignment w:val="auto"/>
        <w:outlineLvl w:val="9"/>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shd w:val="clear" w:color="auto" w:fill="FFFFFF"/>
        </w:rPr>
        <w:t>2024年度一般公共财政拨款基本支出</w:t>
      </w:r>
      <w:r>
        <w:rPr>
          <w:rFonts w:hint="eastAsia" w:ascii="Times New Roman" w:hAnsi="Times New Roman" w:eastAsia="方正仿宋_GBK" w:cs="Times New Roman"/>
          <w:b w:val="0"/>
          <w:bCs w:val="0"/>
          <w:sz w:val="32"/>
          <w:szCs w:val="32"/>
          <w:lang w:val="en-US" w:eastAsia="zh-CN"/>
        </w:rPr>
        <w:t>758.28</w:t>
      </w:r>
      <w:r>
        <w:rPr>
          <w:rFonts w:hint="default" w:ascii="Times New Roman" w:hAnsi="Times New Roman" w:eastAsia="方正仿宋_GBK" w:cs="Times New Roman"/>
          <w:b w:val="0"/>
          <w:bCs w:val="0"/>
          <w:sz w:val="32"/>
          <w:szCs w:val="32"/>
          <w:shd w:val="clear" w:color="auto" w:fill="FFFFFF"/>
        </w:rPr>
        <w:t>万元。其中：人员经费</w:t>
      </w:r>
      <w:r>
        <w:rPr>
          <w:rFonts w:hint="eastAsia" w:ascii="Times New Roman" w:hAnsi="Times New Roman" w:eastAsia="方正仿宋_GBK" w:cs="Times New Roman"/>
          <w:b w:val="0"/>
          <w:bCs w:val="0"/>
          <w:sz w:val="32"/>
          <w:szCs w:val="32"/>
          <w:lang w:val="en-US" w:eastAsia="zh-CN"/>
        </w:rPr>
        <w:t>671.60</w:t>
      </w:r>
      <w:r>
        <w:rPr>
          <w:rFonts w:hint="default" w:ascii="Times New Roman" w:hAnsi="Times New Roman" w:eastAsia="方正仿宋_GBK" w:cs="Times New Roman"/>
          <w:b w:val="0"/>
          <w:bCs w:val="0"/>
          <w:sz w:val="32"/>
          <w:szCs w:val="32"/>
          <w:shd w:val="clear" w:color="auto" w:fill="FFFFFF"/>
        </w:rPr>
        <w:t>万元，较上年决算数增加</w:t>
      </w:r>
      <w:r>
        <w:rPr>
          <w:rFonts w:hint="eastAsia" w:ascii="Times New Roman" w:hAnsi="Times New Roman" w:eastAsia="方正仿宋_GBK" w:cs="Times New Roman"/>
          <w:b w:val="0"/>
          <w:bCs w:val="0"/>
          <w:sz w:val="32"/>
          <w:szCs w:val="32"/>
          <w:shd w:val="clear" w:color="auto" w:fill="FFFFFF"/>
          <w:lang w:val="en-US" w:eastAsia="zh-CN"/>
        </w:rPr>
        <w:t>89.24</w:t>
      </w:r>
      <w:r>
        <w:rPr>
          <w:rFonts w:hint="default" w:ascii="Times New Roman" w:hAnsi="Times New Roman" w:eastAsia="方正仿宋_GBK" w:cs="Times New Roman"/>
          <w:b w:val="0"/>
          <w:bCs w:val="0"/>
          <w:sz w:val="32"/>
          <w:szCs w:val="32"/>
          <w:shd w:val="clear" w:color="auto" w:fill="FFFFFF"/>
        </w:rPr>
        <w:t>万元，增长</w:t>
      </w:r>
      <w:r>
        <w:rPr>
          <w:rFonts w:hint="eastAsia" w:ascii="Times New Roman" w:hAnsi="Times New Roman" w:eastAsia="方正仿宋_GBK" w:cs="Times New Roman"/>
          <w:b w:val="0"/>
          <w:bCs w:val="0"/>
          <w:sz w:val="32"/>
          <w:szCs w:val="32"/>
          <w:shd w:val="clear" w:color="auto" w:fill="FFFFFF"/>
          <w:lang w:val="en-US" w:eastAsia="zh-CN"/>
        </w:rPr>
        <w:t>15.32</w:t>
      </w:r>
      <w:r>
        <w:rPr>
          <w:rFonts w:hint="default" w:ascii="Times New Roman" w:hAnsi="Times New Roman" w:eastAsia="方正仿宋_GBK" w:cs="Times New Roman"/>
          <w:b w:val="0"/>
          <w:bCs w:val="0"/>
          <w:sz w:val="32"/>
          <w:szCs w:val="32"/>
          <w:shd w:val="clear" w:color="auto" w:fill="FFFFFF"/>
        </w:rPr>
        <w:t>%，主要原因是</w:t>
      </w:r>
      <w:r>
        <w:rPr>
          <w:rFonts w:hint="eastAsia" w:ascii="Times New Roman" w:hAnsi="Times New Roman" w:eastAsia="仿宋" w:cs="Times New Roman"/>
          <w:sz w:val="32"/>
          <w:szCs w:val="32"/>
          <w:lang w:val="en-US" w:eastAsia="zh-CN"/>
        </w:rPr>
        <w:t>本年度补发事业人员2022年超额绩效</w:t>
      </w:r>
      <w:r>
        <w:rPr>
          <w:rFonts w:hint="default" w:ascii="Times New Roman" w:hAnsi="Times New Roman" w:eastAsia="仿宋" w:cs="Times New Roman"/>
          <w:sz w:val="32"/>
          <w:szCs w:val="32"/>
          <w:lang w:val="en-US" w:eastAsia="zh-CN"/>
        </w:rPr>
        <w:t>以及正常增人增资</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b w:val="0"/>
          <w:bCs w:val="0"/>
          <w:sz w:val="32"/>
          <w:szCs w:val="32"/>
          <w:shd w:val="clear" w:color="auto" w:fill="FFFFFF"/>
        </w:rPr>
        <w:t>人员经费用途</w:t>
      </w:r>
      <w:r>
        <w:rPr>
          <w:rFonts w:hint="default" w:ascii="Times New Roman" w:hAnsi="Times New Roman" w:eastAsia="方正仿宋_GBK" w:cs="Times New Roman"/>
          <w:sz w:val="32"/>
          <w:szCs w:val="32"/>
        </w:rPr>
        <w:t>主要包括基本工资、津贴补贴、奖金、社会保障缴费等。</w:t>
      </w:r>
      <w:r>
        <w:rPr>
          <w:rFonts w:hint="default" w:ascii="Times New Roman" w:hAnsi="Times New Roman" w:eastAsia="方正仿宋_GBK" w:cs="Times New Roman"/>
          <w:b w:val="0"/>
          <w:bCs w:val="0"/>
          <w:sz w:val="32"/>
          <w:szCs w:val="32"/>
          <w:shd w:val="clear" w:color="auto" w:fill="FFFFFF"/>
        </w:rPr>
        <w:t>公用经费</w:t>
      </w:r>
      <w:r>
        <w:rPr>
          <w:rFonts w:hint="eastAsia" w:ascii="Times New Roman" w:hAnsi="Times New Roman" w:eastAsia="方正仿宋_GBK" w:cs="Times New Roman"/>
          <w:b w:val="0"/>
          <w:bCs w:val="0"/>
          <w:sz w:val="32"/>
          <w:szCs w:val="32"/>
          <w:lang w:val="en-US" w:eastAsia="zh-CN"/>
        </w:rPr>
        <w:t>86.69</w:t>
      </w:r>
      <w:r>
        <w:rPr>
          <w:rFonts w:hint="default" w:ascii="Times New Roman" w:hAnsi="Times New Roman" w:eastAsia="方正仿宋_GBK" w:cs="Times New Roman"/>
          <w:b w:val="0"/>
          <w:bCs w:val="0"/>
          <w:sz w:val="32"/>
          <w:szCs w:val="32"/>
          <w:shd w:val="clear" w:color="auto" w:fill="FFFFFF"/>
        </w:rPr>
        <w:t>万元，较上年决算数</w:t>
      </w:r>
      <w:r>
        <w:rPr>
          <w:rFonts w:hint="eastAsia" w:ascii="Times New Roman" w:hAnsi="Times New Roman" w:eastAsia="方正仿宋_GBK" w:cs="Times New Roman"/>
          <w:b w:val="0"/>
          <w:bCs w:val="0"/>
          <w:sz w:val="32"/>
          <w:szCs w:val="32"/>
          <w:shd w:val="clear" w:color="auto" w:fill="FFFFFF"/>
          <w:lang w:eastAsia="zh-CN"/>
        </w:rPr>
        <w:t>减少</w:t>
      </w:r>
      <w:r>
        <w:rPr>
          <w:rFonts w:hint="eastAsia" w:ascii="Times New Roman" w:hAnsi="Times New Roman" w:eastAsia="方正仿宋_GBK" w:cs="Times New Roman"/>
          <w:b w:val="0"/>
          <w:bCs w:val="0"/>
          <w:sz w:val="32"/>
          <w:szCs w:val="32"/>
          <w:shd w:val="clear" w:color="auto" w:fill="FFFFFF"/>
          <w:lang w:val="en-US" w:eastAsia="zh-CN"/>
        </w:rPr>
        <w:t>7.44</w:t>
      </w:r>
      <w:r>
        <w:rPr>
          <w:rFonts w:hint="default" w:ascii="Times New Roman" w:hAnsi="Times New Roman" w:eastAsia="方正仿宋_GBK" w:cs="Times New Roman"/>
          <w:b w:val="0"/>
          <w:bCs w:val="0"/>
          <w:sz w:val="32"/>
          <w:szCs w:val="32"/>
          <w:shd w:val="clear" w:color="auto" w:fill="FFFFFF"/>
        </w:rPr>
        <w:t>万元，</w:t>
      </w:r>
      <w:r>
        <w:rPr>
          <w:rFonts w:hint="eastAsia" w:ascii="Times New Roman" w:hAnsi="Times New Roman" w:eastAsia="方正仿宋_GBK" w:cs="Times New Roman"/>
          <w:b w:val="0"/>
          <w:bCs w:val="0"/>
          <w:sz w:val="32"/>
          <w:szCs w:val="32"/>
          <w:shd w:val="clear" w:color="auto" w:fill="FFFFFF"/>
          <w:lang w:eastAsia="zh-CN"/>
        </w:rPr>
        <w:t>下降</w:t>
      </w:r>
      <w:r>
        <w:rPr>
          <w:rFonts w:hint="eastAsia" w:ascii="Times New Roman" w:hAnsi="Times New Roman" w:eastAsia="方正仿宋_GBK" w:cs="Times New Roman"/>
          <w:b w:val="0"/>
          <w:bCs w:val="0"/>
          <w:sz w:val="32"/>
          <w:szCs w:val="32"/>
          <w:shd w:val="clear" w:color="auto" w:fill="FFFFFF"/>
          <w:lang w:val="en-US" w:eastAsia="zh-CN"/>
        </w:rPr>
        <w:t>7.90</w:t>
      </w:r>
      <w:r>
        <w:rPr>
          <w:rFonts w:hint="default" w:ascii="Times New Roman" w:hAnsi="Times New Roman" w:eastAsia="方正仿宋_GBK" w:cs="Times New Roman"/>
          <w:b w:val="0"/>
          <w:bCs w:val="0"/>
          <w:sz w:val="32"/>
          <w:szCs w:val="32"/>
          <w:shd w:val="clear" w:color="auto" w:fill="FFFFFF"/>
        </w:rPr>
        <w:t>%，主要原因是</w:t>
      </w:r>
      <w:r>
        <w:rPr>
          <w:rFonts w:hint="default" w:ascii="Times New Roman" w:hAnsi="Times New Roman" w:eastAsia="方正仿宋_GBK" w:cs="Times New Roman"/>
          <w:sz w:val="32"/>
          <w:szCs w:val="32"/>
        </w:rPr>
        <w:t>本单位本年度</w:t>
      </w:r>
      <w:r>
        <w:rPr>
          <w:rFonts w:hint="eastAsia" w:ascii="Times New Roman" w:hAnsi="Times New Roman" w:eastAsia="方正仿宋_GBK" w:cs="Times New Roman"/>
          <w:sz w:val="32"/>
          <w:szCs w:val="32"/>
          <w:lang w:eastAsia="zh-CN"/>
        </w:rPr>
        <w:t>厉行节约</w:t>
      </w:r>
      <w:r>
        <w:rPr>
          <w:rFonts w:hint="default" w:ascii="Times New Roman" w:hAnsi="Times New Roman" w:eastAsia="方正仿宋_GBK" w:cs="Times New Roman"/>
          <w:sz w:val="32"/>
          <w:szCs w:val="32"/>
        </w:rPr>
        <w:t>，故相应经费</w:t>
      </w:r>
      <w:r>
        <w:rPr>
          <w:rFonts w:hint="eastAsia" w:ascii="Times New Roman" w:hAnsi="Times New Roman" w:eastAsia="方正仿宋_GBK" w:cs="Times New Roman"/>
          <w:sz w:val="32"/>
          <w:szCs w:val="32"/>
          <w:lang w:eastAsia="zh-CN"/>
        </w:rPr>
        <w:t>下降。</w:t>
      </w:r>
      <w:r>
        <w:rPr>
          <w:rFonts w:hint="default" w:ascii="Times New Roman" w:hAnsi="Times New Roman" w:eastAsia="方正仿宋_GBK" w:cs="Times New Roman"/>
          <w:sz w:val="32"/>
          <w:szCs w:val="32"/>
        </w:rPr>
        <w:t>公用经费用途主要包括办公费、印刷费、咨询费、手续费等。</w:t>
      </w:r>
    </w:p>
    <w:p>
      <w:pPr>
        <w:pStyle w:val="3"/>
        <w:keepNext/>
        <w:keepLines/>
        <w:pageBreakBefore w:val="0"/>
        <w:widowControl/>
        <w:kinsoku/>
        <w:wordWrap/>
        <w:overflowPunct/>
        <w:topLinePunct w:val="0"/>
        <w:autoSpaceDE/>
        <w:autoSpaceDN/>
        <w:bidi w:val="0"/>
        <w:adjustRightInd/>
        <w:snapToGrid/>
        <w:spacing w:line="413" w:lineRule="auto"/>
        <w:ind w:firstLine="643" w:firstLineChars="200"/>
        <w:textAlignment w:val="auto"/>
        <w:rPr>
          <w:rFonts w:hint="eastAsia" w:ascii="楷体" w:hAnsi="楷体" w:eastAsia="楷体" w:cs="楷体"/>
        </w:rPr>
      </w:pPr>
      <w:bookmarkStart w:id="10" w:name="_Toc16120"/>
      <w:r>
        <w:rPr>
          <w:rFonts w:hint="eastAsia" w:ascii="楷体" w:hAnsi="楷体" w:eastAsia="楷体" w:cs="楷体"/>
        </w:rPr>
        <w:t>（五）政府性基金预算收支决算情况说明</w:t>
      </w:r>
      <w:bookmarkEnd w:id="10"/>
    </w:p>
    <w:p>
      <w:pPr>
        <w:pStyle w:val="10"/>
        <w:keepNext w:val="0"/>
        <w:keepLines w:val="0"/>
        <w:pageBreakBefore w:val="0"/>
        <w:kinsoku/>
        <w:overflowPunct/>
        <w:topLinePunct w:val="0"/>
        <w:autoSpaceDN/>
        <w:bidi w:val="0"/>
        <w:adjustRightInd/>
        <w:snapToGrid w:val="0"/>
        <w:spacing w:before="0" w:beforeAutospacing="0" w:after="0" w:afterAutospacing="0" w:line="588" w:lineRule="exact"/>
        <w:ind w:firstLine="640" w:firstLineChars="200"/>
        <w:jc w:val="both"/>
        <w:rPr>
          <w:rFonts w:hint="default" w:ascii="Times New Roman" w:hAnsi="Times New Roman" w:eastAsia="方正仿宋_GBK" w:cs="Times New Roman"/>
          <w:sz w:val="32"/>
          <w:szCs w:val="32"/>
          <w:lang w:val="en-US" w:eastAsia="zh-CN" w:bidi="ar-SA"/>
        </w:rPr>
      </w:pPr>
      <w:r>
        <w:rPr>
          <w:rFonts w:hint="default" w:ascii="Times New Roman" w:hAnsi="Times New Roman" w:eastAsia="方正仿宋_GBK" w:cs="Times New Roman"/>
          <w:sz w:val="32"/>
          <w:szCs w:val="32"/>
          <w:lang w:val="en-US" w:eastAsia="zh-CN" w:bidi="ar-SA"/>
        </w:rPr>
        <w:t>本单位2024年度无政府性基金预算财政拨款收支。</w:t>
      </w:r>
    </w:p>
    <w:p>
      <w:pPr>
        <w:pStyle w:val="3"/>
        <w:keepNext/>
        <w:keepLines/>
        <w:pageBreakBefore w:val="0"/>
        <w:widowControl/>
        <w:kinsoku/>
        <w:wordWrap/>
        <w:overflowPunct/>
        <w:topLinePunct w:val="0"/>
        <w:autoSpaceDE/>
        <w:autoSpaceDN/>
        <w:bidi w:val="0"/>
        <w:adjustRightInd/>
        <w:snapToGrid/>
        <w:spacing w:line="413" w:lineRule="auto"/>
        <w:ind w:firstLine="643" w:firstLineChars="200"/>
        <w:textAlignment w:val="auto"/>
        <w:rPr>
          <w:rFonts w:hint="eastAsia" w:ascii="楷体" w:hAnsi="楷体" w:eastAsia="楷体" w:cs="楷体"/>
        </w:rPr>
      </w:pPr>
      <w:bookmarkStart w:id="11" w:name="_Toc6727"/>
      <w:r>
        <w:rPr>
          <w:rFonts w:hint="eastAsia" w:ascii="楷体" w:hAnsi="楷体" w:eastAsia="楷体" w:cs="楷体"/>
        </w:rPr>
        <w:t>（六）国有资本经营预算财政拨款支出决算情况说明</w:t>
      </w:r>
      <w:bookmarkEnd w:id="11"/>
    </w:p>
    <w:p>
      <w:pPr>
        <w:pStyle w:val="10"/>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cs="Times New Roman"/>
          <w:sz w:val="32"/>
          <w:szCs w:val="32"/>
          <w:lang w:val="en-US" w:eastAsia="zh-CN" w:bidi="ar-SA"/>
        </w:rPr>
        <w:t>本单位2024年度无国有资本经营预算财政拨款支出</w:t>
      </w:r>
      <w:r>
        <w:rPr>
          <w:rFonts w:hint="eastAsia" w:ascii="Times New Roman" w:hAnsi="Times New Roman" w:eastAsia="方正仿宋_GBK" w:cs="Times New Roman"/>
          <w:sz w:val="32"/>
          <w:szCs w:val="32"/>
          <w:lang w:val="en-US" w:eastAsia="zh-CN" w:bidi="ar-SA"/>
        </w:rPr>
        <w:t>。</w:t>
      </w:r>
    </w:p>
    <w:p>
      <w:pPr>
        <w:pStyle w:val="10"/>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outlineLvl w:val="0"/>
        <w:rPr>
          <w:rStyle w:val="12"/>
          <w:rFonts w:hint="default" w:ascii="黑体" w:hAnsi="黑体" w:eastAsia="黑体" w:cs="黑体"/>
          <w:sz w:val="32"/>
          <w:szCs w:val="32"/>
          <w:shd w:val="clear" w:color="auto" w:fill="FFFFFF"/>
        </w:rPr>
      </w:pPr>
      <w:bookmarkStart w:id="12" w:name="_Toc24691"/>
      <w:r>
        <w:rPr>
          <w:rStyle w:val="12"/>
          <w:rFonts w:ascii="黑体" w:hAnsi="黑体" w:eastAsia="黑体" w:cs="黑体"/>
          <w:sz w:val="32"/>
          <w:szCs w:val="32"/>
          <w:shd w:val="clear" w:color="auto" w:fill="FFFFFF"/>
        </w:rPr>
        <w:t>三、</w:t>
      </w:r>
      <w:r>
        <w:rPr>
          <w:rStyle w:val="12"/>
          <w:rFonts w:hint="eastAsia" w:ascii="黑体" w:hAnsi="黑体" w:eastAsia="黑体" w:cs="黑体"/>
          <w:sz w:val="32"/>
          <w:szCs w:val="32"/>
          <w:shd w:val="clear" w:color="auto" w:fill="FFFFFF"/>
          <w:lang w:eastAsia="zh-CN"/>
        </w:rPr>
        <w:t>财政拨款</w:t>
      </w:r>
      <w:r>
        <w:rPr>
          <w:rStyle w:val="12"/>
          <w:rFonts w:ascii="黑体" w:hAnsi="黑体" w:eastAsia="黑体" w:cs="黑体"/>
          <w:sz w:val="32"/>
          <w:szCs w:val="32"/>
          <w:shd w:val="clear" w:color="auto" w:fill="FFFFFF"/>
        </w:rPr>
        <w:t>“三公”经费情况说明</w:t>
      </w:r>
      <w:bookmarkEnd w:id="12"/>
    </w:p>
    <w:p>
      <w:pPr>
        <w:pStyle w:val="3"/>
        <w:keepNext/>
        <w:keepLines/>
        <w:pageBreakBefore w:val="0"/>
        <w:widowControl/>
        <w:kinsoku/>
        <w:wordWrap/>
        <w:overflowPunct/>
        <w:topLinePunct w:val="0"/>
        <w:autoSpaceDE/>
        <w:autoSpaceDN/>
        <w:bidi w:val="0"/>
        <w:adjustRightInd/>
        <w:snapToGrid/>
        <w:spacing w:line="413" w:lineRule="auto"/>
        <w:ind w:firstLine="643" w:firstLineChars="200"/>
        <w:textAlignment w:val="auto"/>
        <w:rPr>
          <w:rFonts w:hint="eastAsia" w:ascii="楷体" w:hAnsi="楷体" w:eastAsia="楷体" w:cs="楷体"/>
        </w:rPr>
      </w:pPr>
      <w:bookmarkStart w:id="13" w:name="_Toc22680"/>
      <w:r>
        <w:rPr>
          <w:rFonts w:hint="eastAsia" w:ascii="楷体" w:hAnsi="楷体" w:eastAsia="楷体" w:cs="楷体"/>
        </w:rPr>
        <w:t>（一）“三公”经费支出总体情况说明</w:t>
      </w:r>
      <w:bookmarkEnd w:id="13"/>
    </w:p>
    <w:p>
      <w:pPr>
        <w:pStyle w:val="10"/>
        <w:keepNext w:val="0"/>
        <w:keepLines w:val="0"/>
        <w:pageBreakBefore w:val="0"/>
        <w:kinsoku/>
        <w:overflowPunct/>
        <w:topLinePunct w:val="0"/>
        <w:autoSpaceDN/>
        <w:bidi w:val="0"/>
        <w:adjustRightInd/>
        <w:snapToGrid w:val="0"/>
        <w:spacing w:before="0" w:beforeAutospacing="0" w:after="0" w:afterAutospacing="0" w:line="588" w:lineRule="exact"/>
        <w:ind w:firstLine="640" w:firstLineChars="200"/>
        <w:jc w:val="both"/>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shd w:val="clear" w:color="auto" w:fill="FFFFFF"/>
        </w:rPr>
        <w:t>2024年度“三公”经费支出共计</w:t>
      </w:r>
      <w:r>
        <w:rPr>
          <w:rFonts w:hint="default" w:ascii="Times New Roman" w:hAnsi="Times New Roman" w:eastAsia="方正仿宋_GBK" w:cs="Times New Roman"/>
          <w:b w:val="0"/>
          <w:bCs w:val="0"/>
          <w:sz w:val="32"/>
          <w:szCs w:val="32"/>
        </w:rPr>
        <w:t>0.00</w:t>
      </w:r>
      <w:r>
        <w:rPr>
          <w:rFonts w:hint="default" w:ascii="Times New Roman" w:hAnsi="Times New Roman" w:eastAsia="方正仿宋_GBK" w:cs="Times New Roman"/>
          <w:b w:val="0"/>
          <w:bCs w:val="0"/>
          <w:sz w:val="32"/>
          <w:szCs w:val="32"/>
          <w:shd w:val="clear" w:color="auto" w:fill="FFFFFF"/>
        </w:rPr>
        <w:t>万元，较年初预算数无增减，主要原因是</w:t>
      </w:r>
      <w:r>
        <w:rPr>
          <w:rFonts w:hint="eastAsia" w:ascii="Times New Roman" w:hAnsi="Times New Roman" w:eastAsia="方正仿宋_GBK" w:cs="Times New Roman"/>
          <w:sz w:val="32"/>
          <w:szCs w:val="32"/>
          <w:lang w:eastAsia="zh-CN"/>
        </w:rPr>
        <w:t>本单位与政府机关合署办公。</w:t>
      </w:r>
      <w:r>
        <w:rPr>
          <w:rFonts w:hint="default" w:ascii="Times New Roman" w:hAnsi="Times New Roman" w:eastAsia="方正仿宋_GBK" w:cs="Times New Roman"/>
          <w:b w:val="0"/>
          <w:bCs w:val="0"/>
          <w:sz w:val="32"/>
          <w:szCs w:val="32"/>
          <w:shd w:val="clear" w:color="auto" w:fill="FFFFFF"/>
        </w:rPr>
        <w:t>较上年支出数无增减，主要原因是</w:t>
      </w:r>
      <w:r>
        <w:rPr>
          <w:rFonts w:hint="eastAsia" w:ascii="Times New Roman" w:hAnsi="Times New Roman" w:eastAsia="方正仿宋_GBK" w:cs="Times New Roman"/>
          <w:sz w:val="32"/>
          <w:szCs w:val="32"/>
          <w:lang w:eastAsia="zh-CN"/>
        </w:rPr>
        <w:t>2024</w:t>
      </w:r>
      <w:r>
        <w:rPr>
          <w:rFonts w:hint="default" w:ascii="Times New Roman" w:hAnsi="Times New Roman" w:eastAsia="方正仿宋_GBK" w:cs="Times New Roman"/>
          <w:sz w:val="32"/>
          <w:szCs w:val="32"/>
        </w:rPr>
        <w:t>年度未发生</w:t>
      </w:r>
      <w:r>
        <w:rPr>
          <w:rFonts w:hint="default" w:ascii="Times New Roman" w:hAnsi="Times New Roman" w:eastAsia="方正仿宋_GBK" w:cs="Times New Roman"/>
          <w:b w:val="0"/>
          <w:bCs w:val="0"/>
          <w:sz w:val="32"/>
          <w:szCs w:val="32"/>
          <w:shd w:val="clear" w:color="auto" w:fill="FFFFFF"/>
        </w:rPr>
        <w:t>“三公”经费</w:t>
      </w:r>
      <w:r>
        <w:rPr>
          <w:rFonts w:hint="default" w:ascii="Times New Roman" w:hAnsi="Times New Roman" w:eastAsia="方正仿宋_GBK" w:cs="Times New Roman"/>
          <w:sz w:val="32"/>
          <w:szCs w:val="32"/>
        </w:rPr>
        <w:t>支出</w:t>
      </w:r>
      <w:r>
        <w:rPr>
          <w:rFonts w:hint="eastAsia" w:ascii="Times New Roman" w:hAnsi="Times New Roman" w:eastAsia="方正仿宋_GBK" w:cs="Times New Roman"/>
          <w:sz w:val="32"/>
          <w:szCs w:val="32"/>
          <w:lang w:eastAsia="zh-CN"/>
        </w:rPr>
        <w:t>。</w:t>
      </w:r>
    </w:p>
    <w:p>
      <w:pPr>
        <w:pStyle w:val="3"/>
        <w:keepNext/>
        <w:keepLines/>
        <w:pageBreakBefore w:val="0"/>
        <w:widowControl/>
        <w:kinsoku/>
        <w:wordWrap/>
        <w:overflowPunct/>
        <w:topLinePunct w:val="0"/>
        <w:autoSpaceDE/>
        <w:autoSpaceDN/>
        <w:bidi w:val="0"/>
        <w:adjustRightInd/>
        <w:snapToGrid/>
        <w:spacing w:line="413" w:lineRule="auto"/>
        <w:ind w:firstLine="643" w:firstLineChars="200"/>
        <w:textAlignment w:val="auto"/>
        <w:rPr>
          <w:rFonts w:hint="eastAsia" w:ascii="楷体" w:hAnsi="楷体" w:eastAsia="楷体" w:cs="楷体"/>
        </w:rPr>
      </w:pPr>
      <w:bookmarkStart w:id="14" w:name="_Toc22368"/>
      <w:r>
        <w:rPr>
          <w:rFonts w:hint="eastAsia" w:ascii="楷体" w:hAnsi="楷体" w:eastAsia="楷体" w:cs="楷体"/>
        </w:rPr>
        <w:t>（二）“三公”经费分项支出情况</w:t>
      </w:r>
      <w:bookmarkEnd w:id="14"/>
    </w:p>
    <w:p>
      <w:pPr>
        <w:pStyle w:val="10"/>
        <w:keepNext w:val="0"/>
        <w:keepLines w:val="0"/>
        <w:pageBreakBefore w:val="0"/>
        <w:kinsoku/>
        <w:overflowPunct/>
        <w:topLinePunct w:val="0"/>
        <w:autoSpaceDN/>
        <w:bidi w:val="0"/>
        <w:adjustRightInd/>
        <w:snapToGrid w:val="0"/>
        <w:spacing w:before="0" w:beforeAutospacing="0" w:after="0" w:afterAutospacing="0" w:line="588"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b w:val="0"/>
          <w:bCs w:val="0"/>
          <w:sz w:val="32"/>
          <w:szCs w:val="32"/>
          <w:shd w:val="clear" w:color="auto" w:fill="FFFFFF"/>
        </w:rPr>
        <w:t>2024年度本单位因公出国（境）费用</w:t>
      </w:r>
      <w:r>
        <w:rPr>
          <w:rFonts w:hint="default" w:ascii="Times New Roman" w:hAnsi="Times New Roman" w:eastAsia="方正仿宋_GBK" w:cs="Times New Roman"/>
          <w:b w:val="0"/>
          <w:bCs w:val="0"/>
          <w:sz w:val="32"/>
          <w:szCs w:val="32"/>
        </w:rPr>
        <w:t>0.00</w:t>
      </w:r>
      <w:r>
        <w:rPr>
          <w:rFonts w:hint="default" w:ascii="Times New Roman" w:hAnsi="Times New Roman" w:eastAsia="方正仿宋_GBK" w:cs="Times New Roman"/>
          <w:b w:val="0"/>
          <w:bCs w:val="0"/>
          <w:sz w:val="32"/>
          <w:szCs w:val="32"/>
          <w:shd w:val="clear" w:color="auto" w:fill="FFFFFF"/>
        </w:rPr>
        <w:t>万元，主要是用于</w:t>
      </w:r>
      <w:r>
        <w:rPr>
          <w:rFonts w:hint="default" w:ascii="Times New Roman" w:hAnsi="Times New Roman" w:eastAsia="方正仿宋_GBK" w:cs="Times New Roman"/>
          <w:sz w:val="32"/>
          <w:szCs w:val="32"/>
        </w:rPr>
        <w:t>因公出国、出境支出。费用支出</w:t>
      </w:r>
      <w:r>
        <w:rPr>
          <w:rFonts w:hint="default" w:ascii="Times New Roman" w:hAnsi="Times New Roman" w:eastAsia="方正仿宋_GBK" w:cs="Times New Roman"/>
          <w:b w:val="0"/>
          <w:bCs w:val="0"/>
          <w:sz w:val="32"/>
          <w:szCs w:val="32"/>
          <w:shd w:val="clear" w:color="auto" w:fill="FFFFFF"/>
        </w:rPr>
        <w:t>较年初预算数无增减</w:t>
      </w:r>
      <w:r>
        <w:rPr>
          <w:rFonts w:hint="default" w:ascii="Times New Roman" w:hAnsi="Times New Roman" w:eastAsia="方正仿宋_GBK" w:cs="Times New Roman"/>
          <w:sz w:val="32"/>
          <w:szCs w:val="32"/>
        </w:rPr>
        <w:t>，主要原因是本单位</w:t>
      </w:r>
      <w:r>
        <w:rPr>
          <w:rFonts w:hint="eastAsia" w:ascii="Times New Roman" w:hAnsi="Times New Roman" w:eastAsia="方正仿宋_GBK" w:cs="Times New Roman"/>
          <w:sz w:val="32"/>
          <w:szCs w:val="32"/>
          <w:lang w:eastAsia="zh-CN"/>
        </w:rPr>
        <w:t>2024</w:t>
      </w:r>
      <w:r>
        <w:rPr>
          <w:rFonts w:hint="default" w:ascii="Times New Roman" w:hAnsi="Times New Roman" w:eastAsia="方正仿宋_GBK" w:cs="Times New Roman"/>
          <w:sz w:val="32"/>
          <w:szCs w:val="32"/>
        </w:rPr>
        <w:t>年度未发生因公出国（境）费支出。</w:t>
      </w:r>
      <w:r>
        <w:rPr>
          <w:rFonts w:hint="default" w:ascii="Times New Roman" w:hAnsi="Times New Roman" w:eastAsia="方正仿宋_GBK" w:cs="Times New Roman"/>
          <w:b w:val="0"/>
          <w:bCs w:val="0"/>
          <w:sz w:val="32"/>
          <w:szCs w:val="32"/>
          <w:shd w:val="clear" w:color="auto" w:fill="FFFFFF"/>
        </w:rPr>
        <w:t>较上年支出数无增减，主要原因是</w:t>
      </w:r>
      <w:r>
        <w:rPr>
          <w:rFonts w:hint="eastAsia" w:ascii="Times New Roman" w:hAnsi="Times New Roman" w:eastAsia="方正仿宋_GBK" w:cs="Times New Roman"/>
          <w:sz w:val="32"/>
          <w:szCs w:val="32"/>
          <w:lang w:eastAsia="zh-CN"/>
        </w:rPr>
        <w:t>2024</w:t>
      </w:r>
      <w:r>
        <w:rPr>
          <w:rFonts w:hint="default" w:ascii="Times New Roman" w:hAnsi="Times New Roman" w:eastAsia="方正仿宋_GBK" w:cs="Times New Roman"/>
          <w:sz w:val="32"/>
          <w:szCs w:val="32"/>
        </w:rPr>
        <w:t>年度未发生因公出国（境）费支出。</w:t>
      </w:r>
    </w:p>
    <w:p>
      <w:pPr>
        <w:keepNext w:val="0"/>
        <w:keepLines w:val="0"/>
        <w:pageBreakBefore w:val="0"/>
        <w:widowControl w:val="0"/>
        <w:kinsoku/>
        <w:wordWrap/>
        <w:overflowPunct/>
        <w:topLinePunct w:val="0"/>
        <w:autoSpaceDE/>
        <w:autoSpaceDN/>
        <w:bidi w:val="0"/>
        <w:adjustRightInd/>
        <w:snapToGrid/>
        <w:spacing w:line="588" w:lineRule="exact"/>
        <w:ind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b w:val="0"/>
          <w:bCs w:val="0"/>
          <w:sz w:val="32"/>
          <w:szCs w:val="32"/>
          <w:shd w:val="clear" w:color="auto" w:fill="FFFFFF"/>
        </w:rPr>
        <w:t>公务车购置费</w:t>
      </w:r>
      <w:r>
        <w:rPr>
          <w:rFonts w:hint="default" w:ascii="Times New Roman" w:hAnsi="Times New Roman" w:eastAsia="方正仿宋_GBK" w:cs="Times New Roman"/>
          <w:b w:val="0"/>
          <w:bCs w:val="0"/>
          <w:sz w:val="32"/>
          <w:szCs w:val="32"/>
        </w:rPr>
        <w:t>0.00</w:t>
      </w:r>
      <w:r>
        <w:rPr>
          <w:rFonts w:hint="default" w:ascii="Times New Roman" w:hAnsi="Times New Roman" w:eastAsia="方正仿宋_GBK" w:cs="Times New Roman"/>
          <w:b w:val="0"/>
          <w:bCs w:val="0"/>
          <w:sz w:val="32"/>
          <w:szCs w:val="32"/>
          <w:shd w:val="clear" w:color="auto" w:fill="FFFFFF"/>
        </w:rPr>
        <w:t>万元，主要用于</w:t>
      </w:r>
      <w:r>
        <w:rPr>
          <w:rFonts w:hint="default" w:ascii="Times New Roman" w:hAnsi="Times New Roman" w:eastAsia="方正仿宋_GBK" w:cs="Times New Roman"/>
          <w:sz w:val="32"/>
          <w:szCs w:val="32"/>
        </w:rPr>
        <w:t>购买公务车。费用支出</w:t>
      </w:r>
      <w:r>
        <w:rPr>
          <w:rFonts w:hint="default" w:ascii="Times New Roman" w:hAnsi="Times New Roman" w:eastAsia="方正仿宋_GBK" w:cs="Times New Roman"/>
          <w:b w:val="0"/>
          <w:bCs w:val="0"/>
          <w:sz w:val="32"/>
          <w:szCs w:val="32"/>
          <w:shd w:val="clear" w:color="auto" w:fill="FFFFFF"/>
        </w:rPr>
        <w:t>较年初预算数无增减</w:t>
      </w:r>
      <w:r>
        <w:rPr>
          <w:rFonts w:hint="default" w:ascii="Times New Roman" w:hAnsi="Times New Roman" w:eastAsia="方正仿宋_GBK" w:cs="Times New Roman"/>
          <w:sz w:val="32"/>
          <w:szCs w:val="32"/>
        </w:rPr>
        <w:t>，主要原因是本单位</w:t>
      </w:r>
      <w:r>
        <w:rPr>
          <w:rFonts w:hint="eastAsia" w:ascii="Times New Roman" w:hAnsi="Times New Roman" w:eastAsia="方正仿宋_GBK" w:cs="Times New Roman"/>
          <w:sz w:val="32"/>
          <w:szCs w:val="32"/>
          <w:lang w:eastAsia="zh-CN"/>
        </w:rPr>
        <w:t>未发生</w:t>
      </w:r>
      <w:r>
        <w:rPr>
          <w:rFonts w:hint="default" w:ascii="Times New Roman" w:hAnsi="Times New Roman" w:eastAsia="方正仿宋_GBK" w:cs="Times New Roman"/>
          <w:sz w:val="32"/>
          <w:szCs w:val="32"/>
        </w:rPr>
        <w:t>公务用车购置安排</w:t>
      </w:r>
      <w:r>
        <w:rPr>
          <w:rFonts w:hint="eastAsia" w:ascii="Times New Roman" w:hAnsi="Times New Roman" w:eastAsia="方正仿宋_GBK" w:cs="Times New Roman"/>
          <w:sz w:val="32"/>
          <w:szCs w:val="32"/>
          <w:lang w:eastAsia="zh-CN"/>
        </w:rPr>
        <w:t>支出</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b w:val="0"/>
          <w:bCs w:val="0"/>
          <w:sz w:val="32"/>
          <w:szCs w:val="32"/>
          <w:shd w:val="clear" w:color="auto" w:fill="FFFFFF"/>
        </w:rPr>
        <w:t>较上年支出数无增减，主要原因是</w:t>
      </w:r>
      <w:r>
        <w:rPr>
          <w:rFonts w:hint="default" w:ascii="Times New Roman" w:hAnsi="Times New Roman" w:eastAsia="方正仿宋_GBK" w:cs="Times New Roman"/>
          <w:sz w:val="32"/>
          <w:szCs w:val="32"/>
        </w:rPr>
        <w:t>本单位</w:t>
      </w:r>
      <w:r>
        <w:rPr>
          <w:rFonts w:hint="eastAsia" w:ascii="Times New Roman" w:hAnsi="Times New Roman" w:eastAsia="方正仿宋_GBK" w:cs="Times New Roman"/>
          <w:sz w:val="32"/>
          <w:szCs w:val="32"/>
          <w:lang w:eastAsia="zh-CN"/>
        </w:rPr>
        <w:t>未发生</w:t>
      </w:r>
      <w:r>
        <w:rPr>
          <w:rFonts w:hint="default" w:ascii="Times New Roman" w:hAnsi="Times New Roman" w:eastAsia="方正仿宋_GBK" w:cs="Times New Roman"/>
          <w:sz w:val="32"/>
          <w:szCs w:val="32"/>
        </w:rPr>
        <w:t>公务用车购置安排</w:t>
      </w:r>
      <w:r>
        <w:rPr>
          <w:rFonts w:hint="eastAsia" w:ascii="Times New Roman" w:hAnsi="Times New Roman" w:eastAsia="方正仿宋_GBK" w:cs="Times New Roman"/>
          <w:sz w:val="32"/>
          <w:szCs w:val="32"/>
          <w:lang w:eastAsia="zh-CN"/>
        </w:rPr>
        <w:t>支出</w:t>
      </w:r>
      <w:r>
        <w:rPr>
          <w:rFonts w:hint="default" w:ascii="Times New Roman" w:hAnsi="Times New Roman" w:eastAsia="方正仿宋_GBK" w:cs="Times New Roman"/>
          <w:sz w:val="32"/>
          <w:szCs w:val="32"/>
        </w:rPr>
        <w:t>。</w:t>
      </w:r>
    </w:p>
    <w:p>
      <w:pPr>
        <w:pStyle w:val="10"/>
        <w:keepNext w:val="0"/>
        <w:keepLines w:val="0"/>
        <w:pageBreakBefore w:val="0"/>
        <w:kinsoku/>
        <w:overflowPunct/>
        <w:topLinePunct w:val="0"/>
        <w:autoSpaceDN/>
        <w:bidi w:val="0"/>
        <w:adjustRightInd/>
        <w:snapToGrid w:val="0"/>
        <w:spacing w:before="0" w:beforeAutospacing="0" w:after="0" w:afterAutospacing="0" w:line="588"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b w:val="0"/>
          <w:bCs w:val="0"/>
          <w:sz w:val="32"/>
          <w:szCs w:val="32"/>
          <w:shd w:val="clear" w:color="auto" w:fill="FFFFFF"/>
        </w:rPr>
        <w:t>公务车运行维护费</w:t>
      </w:r>
      <w:r>
        <w:rPr>
          <w:rFonts w:hint="default" w:ascii="Times New Roman" w:hAnsi="Times New Roman" w:eastAsia="方正仿宋_GBK" w:cs="Times New Roman"/>
          <w:b w:val="0"/>
          <w:bCs w:val="0"/>
          <w:sz w:val="32"/>
          <w:szCs w:val="32"/>
        </w:rPr>
        <w:t>0.00</w:t>
      </w:r>
      <w:r>
        <w:rPr>
          <w:rFonts w:hint="default" w:ascii="Times New Roman" w:hAnsi="Times New Roman" w:eastAsia="方正仿宋_GBK" w:cs="Times New Roman"/>
          <w:b w:val="0"/>
          <w:bCs w:val="0"/>
          <w:sz w:val="32"/>
          <w:szCs w:val="32"/>
          <w:shd w:val="clear" w:color="auto" w:fill="FFFFFF"/>
        </w:rPr>
        <w:t>万元，主要用于</w:t>
      </w:r>
      <w:r>
        <w:rPr>
          <w:rFonts w:hint="default" w:ascii="Times New Roman" w:hAnsi="Times New Roman" w:eastAsia="方正仿宋_GBK" w:cs="Times New Roman"/>
          <w:sz w:val="32"/>
          <w:szCs w:val="32"/>
        </w:rPr>
        <w:t>机要文件交换、市内因公出行等工作所需车辆的燃料费、维修费、过桥过路费、保险费等</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费用支出</w:t>
      </w:r>
      <w:r>
        <w:rPr>
          <w:rFonts w:hint="default" w:ascii="Times New Roman" w:hAnsi="Times New Roman" w:eastAsia="方正仿宋_GBK" w:cs="Times New Roman"/>
          <w:b w:val="0"/>
          <w:bCs w:val="0"/>
          <w:sz w:val="32"/>
          <w:szCs w:val="32"/>
          <w:shd w:val="clear" w:color="auto" w:fill="FFFFFF"/>
        </w:rPr>
        <w:t>较年初预算数无增减</w:t>
      </w:r>
      <w:r>
        <w:rPr>
          <w:rFonts w:hint="default" w:ascii="Times New Roman" w:hAnsi="Times New Roman" w:eastAsia="方正仿宋_GBK" w:cs="Times New Roman"/>
          <w:sz w:val="32"/>
          <w:szCs w:val="32"/>
        </w:rPr>
        <w:t>，主要原因是本单位</w:t>
      </w:r>
      <w:r>
        <w:rPr>
          <w:rFonts w:hint="eastAsia" w:ascii="Times New Roman" w:hAnsi="Times New Roman" w:eastAsia="方正仿宋_GBK" w:cs="Times New Roman"/>
          <w:sz w:val="32"/>
          <w:szCs w:val="32"/>
          <w:lang w:eastAsia="zh-CN"/>
        </w:rPr>
        <w:t>未发生</w:t>
      </w:r>
      <w:r>
        <w:rPr>
          <w:rFonts w:hint="default" w:ascii="Times New Roman" w:hAnsi="Times New Roman" w:eastAsia="方正仿宋_GBK" w:cs="Times New Roman"/>
          <w:sz w:val="32"/>
          <w:szCs w:val="32"/>
        </w:rPr>
        <w:t>公务车</w:t>
      </w:r>
      <w:r>
        <w:rPr>
          <w:rFonts w:hint="eastAsia" w:ascii="Times New Roman" w:hAnsi="Times New Roman" w:eastAsia="方正仿宋_GBK" w:cs="Times New Roman"/>
          <w:sz w:val="32"/>
          <w:szCs w:val="32"/>
          <w:lang w:eastAsia="zh-CN"/>
        </w:rPr>
        <w:t>运行维护费支出</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b w:val="0"/>
          <w:bCs w:val="0"/>
          <w:sz w:val="32"/>
          <w:szCs w:val="32"/>
          <w:shd w:val="clear" w:color="auto" w:fill="FFFFFF"/>
        </w:rPr>
        <w:t>较上年支出数无增减，主要原因是</w:t>
      </w:r>
      <w:r>
        <w:rPr>
          <w:rFonts w:hint="default" w:ascii="Times New Roman" w:hAnsi="Times New Roman" w:eastAsia="方正仿宋_GBK" w:cs="Times New Roman"/>
          <w:sz w:val="32"/>
          <w:szCs w:val="32"/>
        </w:rPr>
        <w:t>本单位</w:t>
      </w:r>
      <w:r>
        <w:rPr>
          <w:rFonts w:hint="eastAsia" w:ascii="Times New Roman" w:hAnsi="Times New Roman" w:eastAsia="方正仿宋_GBK" w:cs="Times New Roman"/>
          <w:sz w:val="32"/>
          <w:szCs w:val="32"/>
          <w:lang w:eastAsia="zh-CN"/>
        </w:rPr>
        <w:t>未发生</w:t>
      </w:r>
      <w:r>
        <w:rPr>
          <w:rFonts w:hint="default" w:ascii="Times New Roman" w:hAnsi="Times New Roman" w:eastAsia="方正仿宋_GBK" w:cs="Times New Roman"/>
          <w:sz w:val="32"/>
          <w:szCs w:val="32"/>
        </w:rPr>
        <w:t>公务车</w:t>
      </w:r>
      <w:r>
        <w:rPr>
          <w:rFonts w:hint="eastAsia" w:ascii="Times New Roman" w:hAnsi="Times New Roman" w:eastAsia="方正仿宋_GBK" w:cs="Times New Roman"/>
          <w:sz w:val="32"/>
          <w:szCs w:val="32"/>
          <w:lang w:eastAsia="zh-CN"/>
        </w:rPr>
        <w:t>运行维护费支出</w:t>
      </w:r>
      <w:r>
        <w:rPr>
          <w:rFonts w:hint="default" w:ascii="Times New Roman" w:hAnsi="Times New Roman" w:eastAsia="方正仿宋_GBK" w:cs="Times New Roman"/>
          <w:sz w:val="32"/>
          <w:szCs w:val="32"/>
        </w:rPr>
        <w:t>。</w:t>
      </w:r>
    </w:p>
    <w:p>
      <w:pPr>
        <w:pStyle w:val="10"/>
        <w:keepNext w:val="0"/>
        <w:keepLines w:val="0"/>
        <w:pageBreakBefore w:val="0"/>
        <w:kinsoku/>
        <w:overflowPunct/>
        <w:topLinePunct w:val="0"/>
        <w:autoSpaceDN/>
        <w:bidi w:val="0"/>
        <w:adjustRightInd/>
        <w:snapToGrid w:val="0"/>
        <w:spacing w:before="0" w:beforeAutospacing="0" w:after="0" w:afterAutospacing="0" w:line="588" w:lineRule="exact"/>
        <w:ind w:firstLine="640" w:firstLineChars="200"/>
        <w:jc w:val="both"/>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shd w:val="clear" w:color="auto" w:fill="FFFFFF"/>
        </w:rPr>
        <w:t>公务接待费</w:t>
      </w:r>
      <w:r>
        <w:rPr>
          <w:rFonts w:hint="default" w:ascii="Times New Roman" w:hAnsi="Times New Roman" w:eastAsia="方正仿宋_GBK" w:cs="Times New Roman"/>
          <w:b w:val="0"/>
          <w:bCs w:val="0"/>
          <w:sz w:val="32"/>
          <w:szCs w:val="32"/>
        </w:rPr>
        <w:t>0.00</w:t>
      </w:r>
      <w:r>
        <w:rPr>
          <w:rFonts w:hint="default" w:ascii="Times New Roman" w:hAnsi="Times New Roman" w:eastAsia="方正仿宋_GBK" w:cs="Times New Roman"/>
          <w:b w:val="0"/>
          <w:bCs w:val="0"/>
          <w:sz w:val="32"/>
          <w:szCs w:val="32"/>
          <w:shd w:val="clear" w:color="auto" w:fill="FFFFFF"/>
        </w:rPr>
        <w:t>万元，</w:t>
      </w:r>
      <w:r>
        <w:rPr>
          <w:rFonts w:hint="default" w:ascii="Times New Roman" w:hAnsi="Times New Roman" w:eastAsia="方正仿宋_GBK" w:cs="Times New Roman"/>
          <w:sz w:val="32"/>
          <w:szCs w:val="32"/>
        </w:rPr>
        <w:t>主要用于接待到我单位学习调研、接受相关部门检查指导工作发生的接待支出等。费用支出</w:t>
      </w:r>
      <w:r>
        <w:rPr>
          <w:rFonts w:hint="default" w:ascii="Times New Roman" w:hAnsi="Times New Roman" w:eastAsia="方正仿宋_GBK" w:cs="Times New Roman"/>
          <w:b w:val="0"/>
          <w:bCs w:val="0"/>
          <w:sz w:val="32"/>
          <w:szCs w:val="32"/>
          <w:shd w:val="clear" w:color="auto" w:fill="FFFFFF"/>
        </w:rPr>
        <w:t>较年初预算数无增减</w:t>
      </w:r>
      <w:r>
        <w:rPr>
          <w:rFonts w:hint="default" w:ascii="Times New Roman" w:hAnsi="Times New Roman" w:eastAsia="方正仿宋_GBK" w:cs="Times New Roman"/>
          <w:sz w:val="32"/>
          <w:szCs w:val="32"/>
        </w:rPr>
        <w:t>，主要原因是</w:t>
      </w:r>
      <w:r>
        <w:rPr>
          <w:rFonts w:hint="eastAsia" w:ascii="Times New Roman" w:hAnsi="Times New Roman" w:eastAsia="方正仿宋_GBK" w:cs="Times New Roman"/>
          <w:sz w:val="32"/>
          <w:szCs w:val="32"/>
          <w:lang w:eastAsia="zh-CN"/>
        </w:rPr>
        <w:t>本单位与政府机关合署办公，公务接待费由本级列支</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b w:val="0"/>
          <w:bCs w:val="0"/>
          <w:sz w:val="32"/>
          <w:szCs w:val="32"/>
          <w:shd w:val="clear" w:color="auto" w:fill="FFFFFF"/>
        </w:rPr>
        <w:t>较上年支出数无增减，主要原因是</w:t>
      </w:r>
      <w:r>
        <w:rPr>
          <w:rFonts w:hint="default" w:ascii="Times New Roman" w:hAnsi="Times New Roman" w:eastAsia="方正仿宋_GBK" w:cs="Times New Roman"/>
          <w:sz w:val="32"/>
          <w:szCs w:val="32"/>
        </w:rPr>
        <w:t>本单位</w:t>
      </w:r>
      <w:r>
        <w:rPr>
          <w:rFonts w:hint="eastAsia" w:ascii="Times New Roman" w:hAnsi="Times New Roman" w:eastAsia="方正仿宋_GBK" w:cs="Times New Roman"/>
          <w:sz w:val="32"/>
          <w:szCs w:val="32"/>
          <w:lang w:eastAsia="zh-CN"/>
        </w:rPr>
        <w:t>未发生</w:t>
      </w:r>
      <w:r>
        <w:rPr>
          <w:rFonts w:hint="default" w:ascii="Times New Roman" w:hAnsi="Times New Roman" w:eastAsia="方正仿宋_GBK" w:cs="Times New Roman"/>
          <w:b w:val="0"/>
          <w:bCs w:val="0"/>
          <w:sz w:val="32"/>
          <w:szCs w:val="32"/>
          <w:shd w:val="clear" w:color="auto" w:fill="FFFFFF"/>
        </w:rPr>
        <w:t>公务接待费</w:t>
      </w:r>
      <w:r>
        <w:rPr>
          <w:rFonts w:hint="eastAsia" w:ascii="Times New Roman" w:hAnsi="Times New Roman" w:eastAsia="方正仿宋_GBK" w:cs="Times New Roman"/>
          <w:sz w:val="32"/>
          <w:szCs w:val="32"/>
          <w:lang w:eastAsia="zh-CN"/>
        </w:rPr>
        <w:t>支出</w:t>
      </w:r>
      <w:r>
        <w:rPr>
          <w:rFonts w:hint="default" w:ascii="Times New Roman" w:hAnsi="Times New Roman" w:eastAsia="方正仿宋_GBK" w:cs="Times New Roman"/>
          <w:sz w:val="32"/>
          <w:szCs w:val="32"/>
        </w:rPr>
        <w:t>。</w:t>
      </w:r>
    </w:p>
    <w:p>
      <w:pPr>
        <w:pStyle w:val="3"/>
        <w:keepNext/>
        <w:keepLines/>
        <w:pageBreakBefore w:val="0"/>
        <w:widowControl/>
        <w:kinsoku/>
        <w:wordWrap/>
        <w:overflowPunct/>
        <w:topLinePunct w:val="0"/>
        <w:autoSpaceDE/>
        <w:autoSpaceDN/>
        <w:bidi w:val="0"/>
        <w:adjustRightInd/>
        <w:snapToGrid/>
        <w:spacing w:line="413" w:lineRule="auto"/>
        <w:ind w:firstLine="643" w:firstLineChars="200"/>
        <w:textAlignment w:val="auto"/>
        <w:rPr>
          <w:rFonts w:hint="eastAsia" w:ascii="楷体" w:hAnsi="楷体" w:eastAsia="楷体" w:cs="楷体"/>
        </w:rPr>
      </w:pPr>
      <w:bookmarkStart w:id="15" w:name="_Toc4049"/>
      <w:r>
        <w:rPr>
          <w:rFonts w:hint="eastAsia" w:ascii="楷体" w:hAnsi="楷体" w:eastAsia="楷体" w:cs="楷体"/>
        </w:rPr>
        <w:t>（三）“三公”经费实物量情况</w:t>
      </w:r>
      <w:bookmarkEnd w:id="15"/>
    </w:p>
    <w:p>
      <w:pPr>
        <w:pStyle w:val="10"/>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lang w:eastAsia="zh-CN"/>
        </w:rPr>
      </w:pPr>
      <w:r>
        <w:rPr>
          <w:rFonts w:hint="default" w:ascii="Times New Roman" w:hAnsi="Times New Roman" w:eastAsia="方正仿宋_GBK" w:cs="Times New Roman"/>
          <w:b w:val="0"/>
          <w:bCs w:val="0"/>
          <w:sz w:val="32"/>
          <w:szCs w:val="32"/>
          <w:shd w:val="clear" w:color="auto" w:fill="FFFFFF"/>
        </w:rPr>
        <w:t>2024年度本单位因公出国（境）共计</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个团组，</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人；公务用车购置</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辆，公务车保有量为</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辆；国内公务接待</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批次</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人，其中：国内外事接待</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批次，</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人；国（境）外公务接待</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批次，</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人。2024年本单位人均接待费</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元，车均购置费</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万元，车均维护费</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万元</w:t>
      </w:r>
      <w:r>
        <w:rPr>
          <w:rFonts w:hint="eastAsia" w:ascii="Times New Roman" w:hAnsi="Times New Roman" w:eastAsia="方正仿宋_GBK" w:cs="Times New Roman"/>
          <w:b w:val="0"/>
          <w:bCs w:val="0"/>
          <w:sz w:val="32"/>
          <w:szCs w:val="32"/>
          <w:shd w:val="clear" w:color="auto" w:fill="FFFFFF"/>
          <w:lang w:eastAsia="zh-CN"/>
        </w:rPr>
        <w:t>。</w:t>
      </w:r>
    </w:p>
    <w:p>
      <w:pPr>
        <w:pStyle w:val="10"/>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outlineLvl w:val="0"/>
        <w:rPr>
          <w:rStyle w:val="12"/>
          <w:rFonts w:hint="default" w:ascii="黑体" w:hAnsi="黑体" w:eastAsia="黑体" w:cs="黑体"/>
          <w:sz w:val="32"/>
          <w:szCs w:val="32"/>
          <w:shd w:val="clear" w:color="auto" w:fill="FFFFFF"/>
        </w:rPr>
      </w:pPr>
      <w:bookmarkStart w:id="16" w:name="_Toc18645"/>
      <w:r>
        <w:rPr>
          <w:rStyle w:val="12"/>
          <w:rFonts w:ascii="黑体" w:hAnsi="黑体" w:eastAsia="黑体" w:cs="黑体"/>
          <w:sz w:val="32"/>
          <w:szCs w:val="32"/>
          <w:shd w:val="clear" w:color="auto" w:fill="FFFFFF"/>
        </w:rPr>
        <w:t>四、其他需要说明的事项</w:t>
      </w:r>
      <w:bookmarkEnd w:id="16"/>
    </w:p>
    <w:p>
      <w:pPr>
        <w:pStyle w:val="3"/>
        <w:keepNext/>
        <w:keepLines/>
        <w:pageBreakBefore w:val="0"/>
        <w:widowControl/>
        <w:kinsoku/>
        <w:wordWrap/>
        <w:overflowPunct/>
        <w:topLinePunct w:val="0"/>
        <w:autoSpaceDE/>
        <w:autoSpaceDN/>
        <w:bidi w:val="0"/>
        <w:adjustRightInd/>
        <w:snapToGrid/>
        <w:spacing w:line="413" w:lineRule="auto"/>
        <w:ind w:firstLine="643" w:firstLineChars="200"/>
        <w:textAlignment w:val="auto"/>
        <w:rPr>
          <w:rFonts w:hint="eastAsia" w:ascii="楷体" w:hAnsi="楷体" w:eastAsia="楷体" w:cs="楷体"/>
        </w:rPr>
      </w:pPr>
      <w:bookmarkStart w:id="17" w:name="_Toc13492"/>
      <w:r>
        <w:rPr>
          <w:rFonts w:hint="eastAsia" w:ascii="楷体" w:hAnsi="楷体" w:eastAsia="楷体" w:cs="楷体"/>
        </w:rPr>
        <w:t>（一）财政拨款会议费、培训费和差旅费情况说明</w:t>
      </w:r>
      <w:bookmarkEnd w:id="17"/>
    </w:p>
    <w:p>
      <w:pPr>
        <w:keepNext w:val="0"/>
        <w:keepLines w:val="0"/>
        <w:pageBreakBefore w:val="0"/>
        <w:widowControl w:val="0"/>
        <w:kinsoku/>
        <w:wordWrap/>
        <w:overflowPunct/>
        <w:topLinePunct w:val="0"/>
        <w:autoSpaceDE/>
        <w:autoSpaceDN/>
        <w:bidi w:val="0"/>
        <w:adjustRightInd/>
        <w:snapToGrid/>
        <w:spacing w:line="588" w:lineRule="exact"/>
        <w:ind w:firstLine="640" w:firstLineChars="200"/>
        <w:textAlignment w:val="auto"/>
        <w:outlineLvl w:val="9"/>
        <w:rPr>
          <w:rFonts w:hint="eastAsia" w:ascii="Times New Roman" w:hAnsi="Times New Roman" w:eastAsia="方正仿宋_GBK" w:cs="Times New Roman"/>
          <w:b w:val="0"/>
          <w:bCs w:val="0"/>
          <w:sz w:val="32"/>
          <w:szCs w:val="32"/>
          <w:lang w:eastAsia="zh-CN"/>
        </w:rPr>
      </w:pPr>
      <w:r>
        <w:rPr>
          <w:rFonts w:hint="default" w:ascii="Times New Roman" w:hAnsi="Times New Roman" w:eastAsia="方正仿宋_GBK" w:cs="Times New Roman"/>
          <w:b w:val="0"/>
          <w:bCs w:val="0"/>
          <w:sz w:val="32"/>
          <w:szCs w:val="32"/>
          <w:shd w:val="clear" w:color="auto" w:fill="FFFFFF"/>
        </w:rPr>
        <w:t>本年度会议费支出</w:t>
      </w:r>
      <w:r>
        <w:rPr>
          <w:rFonts w:hint="default" w:ascii="Times New Roman" w:hAnsi="Times New Roman" w:eastAsia="方正仿宋_GBK" w:cs="Times New Roman"/>
          <w:b w:val="0"/>
          <w:bCs w:val="0"/>
          <w:sz w:val="32"/>
          <w:szCs w:val="32"/>
        </w:rPr>
        <w:t>0.00</w:t>
      </w:r>
      <w:r>
        <w:rPr>
          <w:rFonts w:hint="default" w:ascii="Times New Roman" w:hAnsi="Times New Roman" w:eastAsia="方正仿宋_GBK" w:cs="Times New Roman"/>
          <w:b w:val="0"/>
          <w:bCs w:val="0"/>
          <w:sz w:val="32"/>
          <w:szCs w:val="32"/>
          <w:shd w:val="clear" w:color="auto" w:fill="FFFFFF"/>
        </w:rPr>
        <w:t>万元，较上年决算数无增减，主要原因是</w:t>
      </w:r>
      <w:r>
        <w:rPr>
          <w:rFonts w:hint="default" w:ascii="Times New Roman" w:hAnsi="Times New Roman" w:eastAsia="方正仿宋_GBK" w:cs="Times New Roman"/>
          <w:sz w:val="32"/>
          <w:szCs w:val="32"/>
        </w:rPr>
        <w:t>本单位为合署办公，会议费在机关列支。</w:t>
      </w:r>
      <w:r>
        <w:rPr>
          <w:rFonts w:hint="default" w:ascii="Times New Roman" w:hAnsi="Times New Roman" w:eastAsia="方正仿宋_GBK" w:cs="Times New Roman"/>
          <w:b w:val="0"/>
          <w:bCs w:val="0"/>
          <w:sz w:val="32"/>
          <w:szCs w:val="32"/>
          <w:shd w:val="clear" w:color="auto" w:fill="FFFFFF"/>
        </w:rPr>
        <w:t>本年度培训费支出</w:t>
      </w:r>
      <w:r>
        <w:rPr>
          <w:rFonts w:hint="eastAsia" w:ascii="Times New Roman" w:hAnsi="Times New Roman" w:eastAsia="方正仿宋_GBK" w:cs="Times New Roman"/>
          <w:b w:val="0"/>
          <w:bCs w:val="0"/>
          <w:sz w:val="32"/>
          <w:szCs w:val="32"/>
          <w:lang w:val="en-US" w:eastAsia="zh-CN"/>
        </w:rPr>
        <w:t>0.00</w:t>
      </w:r>
      <w:r>
        <w:rPr>
          <w:rFonts w:hint="default" w:ascii="Times New Roman" w:hAnsi="Times New Roman" w:eastAsia="方正仿宋_GBK" w:cs="Times New Roman"/>
          <w:b w:val="0"/>
          <w:bCs w:val="0"/>
          <w:sz w:val="32"/>
          <w:szCs w:val="32"/>
          <w:shd w:val="clear" w:color="auto" w:fill="FFFFFF"/>
        </w:rPr>
        <w:t>万元，较上年决算数</w:t>
      </w:r>
      <w:r>
        <w:rPr>
          <w:rFonts w:hint="eastAsia" w:ascii="Times New Roman" w:hAnsi="Times New Roman" w:eastAsia="方正仿宋_GBK" w:cs="Times New Roman"/>
          <w:b w:val="0"/>
          <w:bCs w:val="0"/>
          <w:sz w:val="32"/>
          <w:szCs w:val="32"/>
          <w:shd w:val="clear" w:color="auto" w:fill="FFFFFF"/>
          <w:lang w:eastAsia="zh-CN"/>
        </w:rPr>
        <w:t>减少</w:t>
      </w:r>
      <w:r>
        <w:rPr>
          <w:rFonts w:hint="eastAsia" w:ascii="Times New Roman" w:hAnsi="Times New Roman" w:eastAsia="方正仿宋_GBK" w:cs="Times New Roman"/>
          <w:b w:val="0"/>
          <w:bCs w:val="0"/>
          <w:sz w:val="32"/>
          <w:szCs w:val="32"/>
          <w:shd w:val="clear" w:color="auto" w:fill="FFFFFF"/>
          <w:lang w:val="en-US" w:eastAsia="zh-CN"/>
        </w:rPr>
        <w:t>2.24</w:t>
      </w:r>
      <w:r>
        <w:rPr>
          <w:rFonts w:hint="default" w:ascii="Times New Roman" w:hAnsi="Times New Roman" w:eastAsia="方正仿宋_GBK" w:cs="Times New Roman"/>
          <w:b w:val="0"/>
          <w:bCs w:val="0"/>
          <w:sz w:val="32"/>
          <w:szCs w:val="32"/>
          <w:shd w:val="clear" w:color="auto" w:fill="FFFFFF"/>
        </w:rPr>
        <w:t>万元，增</w:t>
      </w:r>
      <w:r>
        <w:rPr>
          <w:rFonts w:hint="eastAsia" w:ascii="Times New Roman" w:hAnsi="Times New Roman" w:eastAsia="方正仿宋_GBK" w:cs="Times New Roman"/>
          <w:b w:val="0"/>
          <w:bCs w:val="0"/>
          <w:sz w:val="32"/>
          <w:szCs w:val="32"/>
          <w:shd w:val="clear" w:color="auto" w:fill="FFFFFF"/>
          <w:lang w:eastAsia="zh-CN"/>
        </w:rPr>
        <w:t>下降</w:t>
      </w:r>
      <w:r>
        <w:rPr>
          <w:rFonts w:hint="eastAsia" w:ascii="Times New Roman" w:hAnsi="Times New Roman" w:eastAsia="方正仿宋_GBK" w:cs="Times New Roman"/>
          <w:b w:val="0"/>
          <w:bCs w:val="0"/>
          <w:sz w:val="32"/>
          <w:szCs w:val="32"/>
          <w:shd w:val="clear" w:color="auto" w:fill="FFFFFF"/>
          <w:lang w:val="en-US" w:eastAsia="zh-CN"/>
        </w:rPr>
        <w:t>100</w:t>
      </w:r>
      <w:r>
        <w:rPr>
          <w:rFonts w:hint="default" w:ascii="Times New Roman" w:hAnsi="Times New Roman" w:eastAsia="方正仿宋_GBK" w:cs="Times New Roman"/>
          <w:b w:val="0"/>
          <w:bCs w:val="0"/>
          <w:sz w:val="32"/>
          <w:szCs w:val="32"/>
          <w:shd w:val="clear" w:color="auto" w:fill="FFFFFF"/>
        </w:rPr>
        <w:t>%，主要原因是</w:t>
      </w:r>
      <w:r>
        <w:rPr>
          <w:rFonts w:hint="default" w:ascii="Times New Roman" w:hAnsi="Times New Roman" w:eastAsia="方正仿宋_GBK" w:cs="Times New Roman"/>
          <w:sz w:val="32"/>
          <w:szCs w:val="32"/>
        </w:rPr>
        <w:t>本单位</w:t>
      </w:r>
      <w:r>
        <w:rPr>
          <w:rFonts w:hint="eastAsia" w:ascii="Times New Roman" w:hAnsi="Times New Roman" w:eastAsia="方正仿宋_GBK" w:cs="Times New Roman"/>
          <w:sz w:val="32"/>
          <w:szCs w:val="32"/>
          <w:lang w:eastAsia="zh-CN"/>
        </w:rPr>
        <w:t>本年度未发生</w:t>
      </w:r>
      <w:r>
        <w:rPr>
          <w:rFonts w:hint="default" w:ascii="Times New Roman" w:hAnsi="Times New Roman" w:eastAsia="方正仿宋_GBK" w:cs="Times New Roman"/>
          <w:sz w:val="32"/>
          <w:szCs w:val="32"/>
        </w:rPr>
        <w:t>培训</w:t>
      </w:r>
      <w:r>
        <w:rPr>
          <w:rFonts w:hint="eastAsia" w:ascii="Times New Roman" w:hAnsi="Times New Roman" w:eastAsia="方正仿宋_GBK" w:cs="Times New Roman"/>
          <w:sz w:val="32"/>
          <w:szCs w:val="32"/>
          <w:lang w:eastAsia="zh-CN"/>
        </w:rPr>
        <w:t>费</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b w:val="0"/>
          <w:bCs w:val="0"/>
          <w:sz w:val="32"/>
          <w:szCs w:val="32"/>
          <w:shd w:val="clear" w:color="auto" w:fill="FFFFFF"/>
        </w:rPr>
        <w:t>本年度差旅费支出</w:t>
      </w:r>
      <w:r>
        <w:rPr>
          <w:rFonts w:hint="default" w:ascii="Times New Roman" w:hAnsi="Times New Roman" w:eastAsia="方正仿宋_GBK" w:cs="Times New Roman"/>
          <w:b w:val="0"/>
          <w:bCs w:val="0"/>
          <w:sz w:val="32"/>
          <w:szCs w:val="32"/>
        </w:rPr>
        <w:t>0.00万元，</w:t>
      </w:r>
      <w:r>
        <w:rPr>
          <w:rFonts w:hint="default" w:ascii="Times New Roman" w:hAnsi="Times New Roman" w:eastAsia="方正仿宋_GBK" w:cs="Times New Roman"/>
          <w:b w:val="0"/>
          <w:bCs w:val="0"/>
          <w:sz w:val="32"/>
          <w:szCs w:val="32"/>
          <w:shd w:val="clear" w:color="auto" w:fill="FFFFFF"/>
        </w:rPr>
        <w:t>较上年决算数无变化，主要原因是</w:t>
      </w:r>
      <w:r>
        <w:rPr>
          <w:rFonts w:hint="eastAsia" w:ascii="Times New Roman" w:hAnsi="Times New Roman" w:eastAsia="方正仿宋_GBK" w:cs="Times New Roman"/>
          <w:b w:val="0"/>
          <w:bCs w:val="0"/>
          <w:sz w:val="32"/>
          <w:szCs w:val="32"/>
          <w:shd w:val="clear" w:color="auto" w:fill="FFFFFF"/>
          <w:lang w:eastAsia="zh-CN"/>
        </w:rPr>
        <w:t>本单位本年度未发生差旅费。</w:t>
      </w:r>
    </w:p>
    <w:p>
      <w:pPr>
        <w:pStyle w:val="3"/>
        <w:keepNext/>
        <w:keepLines/>
        <w:pageBreakBefore w:val="0"/>
        <w:widowControl/>
        <w:kinsoku/>
        <w:wordWrap/>
        <w:overflowPunct/>
        <w:topLinePunct w:val="0"/>
        <w:autoSpaceDE/>
        <w:autoSpaceDN/>
        <w:bidi w:val="0"/>
        <w:adjustRightInd/>
        <w:snapToGrid/>
        <w:spacing w:line="413" w:lineRule="auto"/>
        <w:ind w:firstLine="643" w:firstLineChars="200"/>
        <w:textAlignment w:val="auto"/>
        <w:rPr>
          <w:rFonts w:hint="eastAsia" w:ascii="楷体" w:hAnsi="楷体" w:eastAsia="楷体" w:cs="楷体"/>
        </w:rPr>
      </w:pPr>
      <w:bookmarkStart w:id="18" w:name="_Toc12932"/>
      <w:r>
        <w:rPr>
          <w:rFonts w:hint="eastAsia" w:ascii="楷体" w:hAnsi="楷体" w:eastAsia="楷体" w:cs="楷体"/>
        </w:rPr>
        <w:t>（二）机关运行经费情况说明</w:t>
      </w:r>
      <w:bookmarkEnd w:id="18"/>
    </w:p>
    <w:p>
      <w:pPr>
        <w:pStyle w:val="10"/>
        <w:keepNext w:val="0"/>
        <w:keepLines w:val="0"/>
        <w:pageBreakBefore w:val="0"/>
        <w:kinsoku/>
        <w:overflowPunct/>
        <w:topLinePunct w:val="0"/>
        <w:autoSpaceDN/>
        <w:bidi w:val="0"/>
        <w:adjustRightInd/>
        <w:snapToGrid w:val="0"/>
        <w:spacing w:before="0" w:beforeAutospacing="0" w:after="0" w:afterAutospacing="0" w:line="588" w:lineRule="exact"/>
        <w:ind w:firstLine="640" w:firstLineChars="200"/>
        <w:jc w:val="both"/>
        <w:rPr>
          <w:rFonts w:hint="default" w:ascii="Times New Roman" w:hAnsi="Times New Roman" w:eastAsia="方正仿宋_GBK" w:cs="Times New Roman"/>
          <w:b w:val="0"/>
          <w:bCs w:val="0"/>
          <w:sz w:val="32"/>
          <w:szCs w:val="32"/>
          <w:shd w:val="clear" w:color="auto" w:fill="FFFFFF"/>
          <w:lang w:val="en-US" w:eastAsia="zh-CN" w:bidi="ar-SA"/>
        </w:rPr>
      </w:pPr>
      <w:r>
        <w:rPr>
          <w:rFonts w:hint="default" w:ascii="Times New Roman" w:hAnsi="Times New Roman" w:eastAsia="方正仿宋_GBK" w:cs="Times New Roman"/>
          <w:b w:val="0"/>
          <w:bCs w:val="0"/>
          <w:sz w:val="32"/>
          <w:szCs w:val="32"/>
          <w:shd w:val="clear" w:color="auto" w:fill="FFFFFF"/>
          <w:lang w:val="en-US" w:eastAsia="zh-CN" w:bidi="ar-SA"/>
        </w:rPr>
        <w:t>按照部门决算列报口径，我单位不在机关运行经费统计范围之内。</w:t>
      </w:r>
    </w:p>
    <w:p>
      <w:pPr>
        <w:pStyle w:val="3"/>
        <w:keepNext/>
        <w:keepLines/>
        <w:pageBreakBefore w:val="0"/>
        <w:widowControl/>
        <w:kinsoku/>
        <w:wordWrap/>
        <w:overflowPunct/>
        <w:topLinePunct w:val="0"/>
        <w:autoSpaceDE/>
        <w:autoSpaceDN/>
        <w:bidi w:val="0"/>
        <w:adjustRightInd/>
        <w:snapToGrid/>
        <w:spacing w:line="413" w:lineRule="auto"/>
        <w:ind w:firstLine="643" w:firstLineChars="200"/>
        <w:textAlignment w:val="auto"/>
        <w:rPr>
          <w:rFonts w:hint="eastAsia" w:ascii="楷体" w:hAnsi="楷体" w:eastAsia="楷体" w:cs="楷体"/>
        </w:rPr>
      </w:pPr>
      <w:bookmarkStart w:id="19" w:name="_Toc8766"/>
      <w:r>
        <w:rPr>
          <w:rFonts w:hint="eastAsia" w:ascii="楷体" w:hAnsi="楷体" w:eastAsia="楷体" w:cs="楷体"/>
        </w:rPr>
        <w:t>（三）国有资产占用情况说明</w:t>
      </w:r>
      <w:bookmarkEnd w:id="19"/>
    </w:p>
    <w:p>
      <w:pPr>
        <w:pStyle w:val="10"/>
        <w:keepNext w:val="0"/>
        <w:keepLines w:val="0"/>
        <w:pageBreakBefore w:val="0"/>
        <w:kinsoku/>
        <w:overflowPunct/>
        <w:topLinePunct w:val="0"/>
        <w:autoSpaceDN/>
        <w:bidi w:val="0"/>
        <w:adjustRightInd/>
        <w:snapToGrid w:val="0"/>
        <w:spacing w:before="0" w:beforeAutospacing="0" w:after="0" w:afterAutospacing="0" w:line="588" w:lineRule="exact"/>
        <w:ind w:firstLine="640" w:firstLineChars="200"/>
        <w:jc w:val="both"/>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shd w:val="clear" w:color="auto" w:fill="FFFFFF"/>
        </w:rPr>
        <w:t>截至2024年12月31日，本单位共有车辆</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辆，其中，副部（省）级及以上领导用车</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辆、主要负责人用车</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辆、机要通信用车</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辆、应急保障用车</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辆、执法执勤用车</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辆，特种专业技术用车</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辆，离退休干部用车</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辆。单价100万元（含）以上专用设备</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台（套）。</w:t>
      </w:r>
    </w:p>
    <w:p>
      <w:pPr>
        <w:pStyle w:val="3"/>
        <w:keepNext/>
        <w:keepLines/>
        <w:pageBreakBefore w:val="0"/>
        <w:widowControl/>
        <w:kinsoku/>
        <w:wordWrap/>
        <w:overflowPunct/>
        <w:topLinePunct w:val="0"/>
        <w:autoSpaceDE/>
        <w:autoSpaceDN/>
        <w:bidi w:val="0"/>
        <w:adjustRightInd/>
        <w:snapToGrid/>
        <w:spacing w:line="413" w:lineRule="auto"/>
        <w:ind w:firstLine="643" w:firstLineChars="200"/>
        <w:textAlignment w:val="auto"/>
        <w:rPr>
          <w:rFonts w:hint="eastAsia" w:ascii="楷体" w:hAnsi="楷体" w:eastAsia="楷体" w:cs="楷体"/>
        </w:rPr>
      </w:pPr>
      <w:bookmarkStart w:id="20" w:name="_Toc20289"/>
      <w:r>
        <w:rPr>
          <w:rFonts w:hint="eastAsia" w:ascii="楷体" w:hAnsi="楷体" w:eastAsia="楷体" w:cs="楷体"/>
        </w:rPr>
        <w:t>（四）政府采购支出情况说明</w:t>
      </w:r>
      <w:bookmarkEnd w:id="20"/>
    </w:p>
    <w:p>
      <w:pPr>
        <w:pStyle w:val="15"/>
        <w:keepNext w:val="0"/>
        <w:keepLines w:val="0"/>
        <w:pageBreakBefore w:val="0"/>
        <w:widowControl/>
        <w:kinsoku/>
        <w:wordWrap/>
        <w:overflowPunct/>
        <w:topLinePunct w:val="0"/>
        <w:autoSpaceDE w:val="0"/>
        <w:autoSpaceDN/>
        <w:bidi w:val="0"/>
        <w:adjustRightInd/>
        <w:snapToGrid/>
        <w:spacing w:line="596" w:lineRule="exact"/>
        <w:ind w:firstLine="640" w:firstLineChars="200"/>
        <w:jc w:val="both"/>
        <w:textAlignment w:val="auto"/>
        <w:rPr>
          <w:rFonts w:hint="eastAsia" w:ascii="方正仿宋_GBK" w:hAnsi="方正仿宋_GBK" w:eastAsia="方正仿宋_GBK" w:cs="方正仿宋_GBK"/>
          <w:color w:val="FF0000"/>
          <w:sz w:val="32"/>
          <w:szCs w:val="32"/>
          <w:shd w:val="clear" w:color="auto" w:fill="FFFFFF"/>
          <w:lang w:eastAsia="zh-CN"/>
        </w:rPr>
      </w:pPr>
      <w:r>
        <w:rPr>
          <w:rFonts w:hint="default" w:ascii="Times New Roman" w:hAnsi="Times New Roman" w:eastAsia="方正仿宋_GBK" w:cs="Times New Roman"/>
          <w:b w:val="0"/>
          <w:bCs w:val="0"/>
          <w:sz w:val="32"/>
          <w:szCs w:val="32"/>
          <w:shd w:val="clear" w:color="auto" w:fill="FFFFFF"/>
        </w:rPr>
        <w:t>2024年度我单位未发生政府采购事项，无相关经费支出</w:t>
      </w:r>
      <w:r>
        <w:rPr>
          <w:rFonts w:hint="eastAsia" w:ascii="Times New Roman" w:hAnsi="Times New Roman" w:eastAsia="方正仿宋_GBK" w:cs="Times New Roman"/>
          <w:b w:val="0"/>
          <w:bCs w:val="0"/>
          <w:sz w:val="32"/>
          <w:szCs w:val="32"/>
          <w:shd w:val="clear" w:color="auto" w:fill="FFFFFF"/>
          <w:lang w:eastAsia="zh-CN"/>
        </w:rPr>
        <w:t>。</w:t>
      </w:r>
    </w:p>
    <w:p>
      <w:pPr>
        <w:pStyle w:val="15"/>
        <w:keepNext w:val="0"/>
        <w:keepLines w:val="0"/>
        <w:pageBreakBefore w:val="0"/>
        <w:widowControl/>
        <w:kinsoku/>
        <w:wordWrap/>
        <w:overflowPunct/>
        <w:topLinePunct w:val="0"/>
        <w:autoSpaceDE w:val="0"/>
        <w:autoSpaceDN/>
        <w:bidi w:val="0"/>
        <w:adjustRightInd/>
        <w:snapToGrid/>
        <w:spacing w:line="596" w:lineRule="exact"/>
        <w:ind w:firstLine="643" w:firstLineChars="200"/>
        <w:jc w:val="both"/>
        <w:textAlignment w:val="auto"/>
        <w:outlineLvl w:val="0"/>
        <w:rPr>
          <w:rStyle w:val="12"/>
          <w:rFonts w:hint="eastAsia" w:ascii="黑体" w:hAnsi="黑体" w:eastAsia="黑体" w:cs="黑体"/>
          <w:sz w:val="32"/>
          <w:szCs w:val="32"/>
          <w:shd w:val="clear" w:color="auto" w:fill="FFFFFF"/>
          <w:lang w:val="en-US" w:eastAsia="zh-CN" w:bidi="ar-SA"/>
        </w:rPr>
      </w:pPr>
      <w:bookmarkStart w:id="21" w:name="_Toc27795"/>
      <w:r>
        <w:rPr>
          <w:rStyle w:val="12"/>
          <w:rFonts w:ascii="黑体" w:hAnsi="黑体" w:eastAsia="黑体" w:cs="黑体"/>
          <w:sz w:val="32"/>
          <w:szCs w:val="32"/>
          <w:shd w:val="clear" w:color="auto" w:fill="FFFFFF"/>
        </w:rPr>
        <w:t>五、</w:t>
      </w:r>
      <w:r>
        <w:rPr>
          <w:rStyle w:val="12"/>
          <w:rFonts w:hint="default" w:ascii="Times New Roman" w:hAnsi="Times New Roman" w:eastAsia="黑体" w:cs="Times New Roman"/>
          <w:sz w:val="32"/>
          <w:szCs w:val="32"/>
          <w:shd w:val="clear" w:color="auto" w:fill="FFFFFF"/>
          <w:lang w:val="en-US" w:eastAsia="zh-CN" w:bidi="ar-SA"/>
        </w:rPr>
        <w:t>2024</w:t>
      </w:r>
      <w:r>
        <w:rPr>
          <w:rStyle w:val="12"/>
          <w:rFonts w:hint="eastAsia" w:ascii="黑体" w:hAnsi="黑体" w:eastAsia="黑体" w:cs="黑体"/>
          <w:sz w:val="32"/>
          <w:szCs w:val="32"/>
          <w:shd w:val="clear" w:color="auto" w:fill="FFFFFF"/>
          <w:lang w:val="en-US" w:eastAsia="zh-CN" w:bidi="ar-SA"/>
        </w:rPr>
        <w:t>年度绩效情况说明</w:t>
      </w:r>
      <w:bookmarkEnd w:id="21"/>
    </w:p>
    <w:p>
      <w:pPr>
        <w:ind w:firstLine="640" w:firstLineChars="200"/>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202</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4</w:t>
      </w:r>
      <w:r>
        <w:rPr>
          <w:rFonts w:hint="default" w:ascii="Times New Roman" w:hAnsi="Times New Roman" w:eastAsia="方正仿宋_GBK" w:cs="Times New Roman"/>
          <w:color w:val="000000" w:themeColor="text1"/>
          <w:sz w:val="32"/>
          <w:szCs w:val="32"/>
          <w14:textFill>
            <w14:solidFill>
              <w14:schemeClr w14:val="tx1"/>
            </w14:solidFill>
          </w14:textFill>
        </w:rPr>
        <w:t>年我镇</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加强</w:t>
      </w:r>
      <w:r>
        <w:rPr>
          <w:rFonts w:hint="default" w:ascii="Times New Roman" w:hAnsi="Times New Roman" w:eastAsia="方正仿宋_GBK" w:cs="Times New Roman"/>
          <w:color w:val="000000" w:themeColor="text1"/>
          <w:sz w:val="32"/>
          <w:szCs w:val="32"/>
          <w14:textFill>
            <w14:solidFill>
              <w14:schemeClr w14:val="tx1"/>
            </w14:solidFill>
          </w14:textFill>
        </w:rPr>
        <w:t>预算绩效管理</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全面推进绩效管理与预算编制、执行监控、财会监督等持续深度融合，提升财政资金使用绩效。确保专项资金依法依规、专款专用,发挥资金最大效益。</w:t>
      </w:r>
    </w:p>
    <w:p>
      <w:pPr>
        <w:pStyle w:val="3"/>
        <w:keepNext/>
        <w:keepLines/>
        <w:pageBreakBefore w:val="0"/>
        <w:widowControl/>
        <w:kinsoku/>
        <w:wordWrap/>
        <w:overflowPunct/>
        <w:topLinePunct w:val="0"/>
        <w:autoSpaceDE/>
        <w:autoSpaceDN/>
        <w:bidi w:val="0"/>
        <w:adjustRightInd/>
        <w:snapToGrid/>
        <w:spacing w:line="413" w:lineRule="auto"/>
        <w:ind w:firstLine="643" w:firstLineChars="200"/>
        <w:textAlignment w:val="auto"/>
        <w:rPr>
          <w:rFonts w:hint="eastAsia" w:ascii="楷体" w:hAnsi="楷体" w:eastAsia="楷体" w:cs="楷体"/>
        </w:rPr>
      </w:pPr>
      <w:bookmarkStart w:id="22" w:name="_Toc9346"/>
      <w:bookmarkStart w:id="23" w:name="_Toc7356"/>
      <w:r>
        <w:rPr>
          <w:rFonts w:hint="eastAsia" w:ascii="楷体" w:hAnsi="楷体" w:eastAsia="楷体" w:cs="楷体"/>
        </w:rPr>
        <w:t>（一）单位自评情况</w:t>
      </w:r>
      <w:bookmarkEnd w:id="22"/>
      <w:bookmarkEnd w:id="23"/>
    </w:p>
    <w:p>
      <w:pPr>
        <w:pStyle w:val="16"/>
        <w:keepNext w:val="0"/>
        <w:keepLines w:val="0"/>
        <w:pageBreakBefore w:val="0"/>
        <w:widowControl/>
        <w:kinsoku/>
        <w:wordWrap/>
        <w:overflowPunct/>
        <w:topLinePunct w:val="0"/>
        <w:autoSpaceDE w:val="0"/>
        <w:autoSpaceDN/>
        <w:bidi w:val="0"/>
        <w:adjustRightInd/>
        <w:snapToGrid/>
        <w:spacing w:before="0" w:beforeAutospacing="0" w:after="0" w:afterAutospacing="0" w:line="588" w:lineRule="exact"/>
        <w:ind w:firstLine="640" w:firstLineChars="200"/>
        <w:textAlignment w:val="auto"/>
        <w:rPr>
          <w:rFonts w:hint="default" w:ascii="Times New Roman" w:hAnsi="Times New Roman" w:eastAsia="方正仿宋_GBK" w:cs="Times New Roman"/>
          <w:b w:val="0"/>
          <w:bCs w:val="0"/>
          <w:sz w:val="32"/>
          <w:szCs w:val="32"/>
          <w:highlight w:val="yellow"/>
          <w:shd w:val="clear" w:color="auto" w:fill="FFFFFF"/>
        </w:rPr>
      </w:pPr>
      <w:r>
        <w:rPr>
          <w:rFonts w:hint="default" w:ascii="Times New Roman" w:hAnsi="Times New Roman" w:eastAsia="方正仿宋_GBK" w:cs="Times New Roman"/>
          <w:b w:val="0"/>
          <w:bCs w:val="0"/>
          <w:sz w:val="32"/>
          <w:szCs w:val="32"/>
          <w:shd w:val="clear" w:color="auto" w:fill="FFFFFF"/>
        </w:rPr>
        <w:t>根据预算绩效管理要求，我单位对部门整体和</w:t>
      </w:r>
      <w:r>
        <w:rPr>
          <w:rFonts w:hint="default" w:ascii="Times New Roman" w:hAnsi="Times New Roman" w:eastAsia="方正仿宋_GBK" w:cs="Times New Roman"/>
          <w:b w:val="0"/>
          <w:bCs w:val="0"/>
          <w:sz w:val="32"/>
          <w:szCs w:val="32"/>
          <w:shd w:val="clear" w:color="auto" w:fill="FFFFFF"/>
          <w:lang w:val="en-US" w:eastAsia="zh-CN"/>
        </w:rPr>
        <w:t>0</w:t>
      </w:r>
      <w:r>
        <w:rPr>
          <w:rFonts w:hint="default" w:ascii="Times New Roman" w:hAnsi="Times New Roman" w:eastAsia="方正仿宋_GBK" w:cs="Times New Roman"/>
          <w:b w:val="0"/>
          <w:bCs w:val="0"/>
          <w:sz w:val="32"/>
          <w:szCs w:val="32"/>
          <w:shd w:val="clear" w:color="auto" w:fill="FFFFFF"/>
        </w:rPr>
        <w:t>个二级项目开展了绩效自评，涉及财政拨款项目支出资金</w:t>
      </w:r>
      <w:r>
        <w:rPr>
          <w:rFonts w:hint="default" w:ascii="Times New Roman" w:hAnsi="Times New Roman" w:eastAsia="方正仿宋_GBK" w:cs="Times New Roman"/>
          <w:b w:val="0"/>
          <w:bCs w:val="0"/>
          <w:sz w:val="32"/>
          <w:szCs w:val="32"/>
          <w:shd w:val="clear" w:color="auto" w:fill="FFFFFF"/>
          <w:lang w:val="en-US" w:eastAsia="zh-CN"/>
        </w:rPr>
        <w:t>0</w:t>
      </w:r>
      <w:r>
        <w:rPr>
          <w:rFonts w:hint="default" w:ascii="Times New Roman" w:hAnsi="Times New Roman" w:eastAsia="方正仿宋_GBK" w:cs="Times New Roman"/>
          <w:b w:val="0"/>
          <w:bCs w:val="0"/>
          <w:sz w:val="32"/>
          <w:szCs w:val="32"/>
          <w:shd w:val="clear" w:color="auto" w:fill="FFFFFF"/>
        </w:rPr>
        <w:t>万元</w:t>
      </w:r>
      <w:r>
        <w:rPr>
          <w:rFonts w:hint="default" w:ascii="Times New Roman" w:hAnsi="Times New Roman" w:eastAsia="方正仿宋_GBK" w:cs="Times New Roman"/>
          <w:b w:val="0"/>
          <w:bCs w:val="0"/>
          <w:sz w:val="32"/>
          <w:szCs w:val="32"/>
          <w:shd w:val="clear" w:color="auto" w:fill="FFFFFF"/>
          <w:lang w:eastAsia="zh-CN"/>
        </w:rPr>
        <w:t>。</w:t>
      </w:r>
    </w:p>
    <w:p>
      <w:pPr>
        <w:pStyle w:val="3"/>
        <w:keepNext/>
        <w:keepLines/>
        <w:pageBreakBefore w:val="0"/>
        <w:widowControl/>
        <w:kinsoku/>
        <w:wordWrap/>
        <w:overflowPunct/>
        <w:topLinePunct w:val="0"/>
        <w:autoSpaceDE/>
        <w:autoSpaceDN/>
        <w:bidi w:val="0"/>
        <w:adjustRightInd/>
        <w:snapToGrid/>
        <w:spacing w:line="413" w:lineRule="auto"/>
        <w:ind w:firstLine="643" w:firstLineChars="200"/>
        <w:textAlignment w:val="auto"/>
        <w:rPr>
          <w:rFonts w:hint="eastAsia" w:ascii="楷体" w:hAnsi="楷体" w:eastAsia="楷体" w:cs="楷体"/>
        </w:rPr>
      </w:pPr>
      <w:bookmarkStart w:id="24" w:name="_Toc21592"/>
      <w:bookmarkStart w:id="25" w:name="_Toc17037"/>
      <w:r>
        <w:rPr>
          <w:rFonts w:hint="eastAsia" w:ascii="楷体" w:hAnsi="楷体" w:eastAsia="楷体" w:cs="楷体"/>
        </w:rPr>
        <w:t>（二）单位绩效评价情况</w:t>
      </w:r>
      <w:bookmarkEnd w:id="24"/>
      <w:bookmarkEnd w:id="25"/>
    </w:p>
    <w:p>
      <w:pPr>
        <w:keepNext w:val="0"/>
        <w:keepLines w:val="0"/>
        <w:pageBreakBefore w:val="0"/>
        <w:widowControl w:val="0"/>
        <w:kinsoku/>
        <w:wordWrap/>
        <w:overflowPunct/>
        <w:topLinePunct w:val="0"/>
        <w:autoSpaceDE/>
        <w:autoSpaceDN/>
        <w:bidi w:val="0"/>
        <w:adjustRightInd/>
        <w:snapToGrid/>
        <w:spacing w:line="588" w:lineRule="exact"/>
        <w:ind w:firstLine="640" w:firstLineChars="200"/>
        <w:textAlignment w:val="auto"/>
        <w:outlineLvl w:val="9"/>
        <w:rPr>
          <w:rFonts w:hint="default" w:ascii="Times New Roman" w:hAnsi="Times New Roman" w:eastAsia="方正仿宋_GBK" w:cs="Times New Roman"/>
          <w:sz w:val="32"/>
          <w:szCs w:val="32"/>
        </w:rPr>
      </w:pPr>
      <w:bookmarkStart w:id="26" w:name="_Toc3785"/>
      <w:r>
        <w:rPr>
          <w:rFonts w:hint="default" w:ascii="Times New Roman" w:hAnsi="Times New Roman" w:eastAsia="方正仿宋_GBK" w:cs="Times New Roman"/>
          <w:sz w:val="32"/>
          <w:szCs w:val="32"/>
        </w:rPr>
        <w:t>具体内容详见附件中《</w:t>
      </w:r>
      <w:r>
        <w:rPr>
          <w:rFonts w:hint="default" w:ascii="Times New Roman" w:hAnsi="Times New Roman" w:eastAsia="方正仿宋_GBK" w:cs="Times New Roman"/>
          <w:sz w:val="32"/>
          <w:szCs w:val="32"/>
          <w:lang w:eastAsia="zh-CN"/>
        </w:rPr>
        <w:t>2024</w:t>
      </w:r>
      <w:r>
        <w:rPr>
          <w:rFonts w:hint="default" w:ascii="Times New Roman" w:hAnsi="Times New Roman" w:eastAsia="方正仿宋_GBK" w:cs="Times New Roman"/>
          <w:sz w:val="32"/>
          <w:szCs w:val="32"/>
        </w:rPr>
        <w:t>年度部门整体绩效自评表》、《</w:t>
      </w:r>
      <w:r>
        <w:rPr>
          <w:rFonts w:hint="default" w:ascii="Times New Roman" w:hAnsi="Times New Roman" w:eastAsia="方正仿宋_GBK" w:cs="Times New Roman"/>
          <w:sz w:val="32"/>
          <w:szCs w:val="32"/>
          <w:lang w:eastAsia="zh-CN"/>
        </w:rPr>
        <w:t>重庆市永川区</w:t>
      </w:r>
      <w:r>
        <w:rPr>
          <w:rFonts w:hint="eastAsia" w:ascii="Times New Roman" w:hAnsi="Times New Roman" w:eastAsia="方正仿宋_GBK" w:cs="Times New Roman"/>
          <w:sz w:val="32"/>
          <w:szCs w:val="32"/>
          <w:lang w:eastAsia="zh-CN"/>
        </w:rPr>
        <w:t>来苏</w:t>
      </w:r>
      <w:r>
        <w:rPr>
          <w:rFonts w:hint="default" w:ascii="Times New Roman" w:hAnsi="Times New Roman" w:eastAsia="方正仿宋_GBK" w:cs="Times New Roman"/>
          <w:sz w:val="32"/>
          <w:szCs w:val="32"/>
          <w:lang w:eastAsia="zh-CN"/>
        </w:rPr>
        <w:t>镇</w:t>
      </w:r>
      <w:r>
        <w:rPr>
          <w:rFonts w:hint="eastAsia" w:ascii="Times New Roman" w:hAnsi="Times New Roman" w:eastAsia="方正仿宋_GBK" w:cs="Times New Roman"/>
          <w:sz w:val="32"/>
          <w:szCs w:val="32"/>
          <w:lang w:eastAsia="zh-CN"/>
        </w:rPr>
        <w:t>农业服务中心</w:t>
      </w:r>
      <w:r>
        <w:rPr>
          <w:rFonts w:hint="default" w:ascii="Times New Roman" w:hAnsi="Times New Roman" w:eastAsia="方正仿宋_GBK" w:cs="Times New Roman"/>
          <w:sz w:val="32"/>
          <w:szCs w:val="32"/>
        </w:rPr>
        <w:t>项目绩效自评结果汇总表》</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eastAsia="zh-CN"/>
        </w:rPr>
        <w:t>2024</w:t>
      </w:r>
      <w:r>
        <w:rPr>
          <w:rFonts w:hint="default" w:ascii="Times New Roman" w:hAnsi="Times New Roman" w:eastAsia="方正仿宋_GBK" w:cs="Times New Roman"/>
          <w:sz w:val="32"/>
          <w:szCs w:val="32"/>
        </w:rPr>
        <w:t>年度项目支出预算绩效自评表1》、《</w:t>
      </w:r>
      <w:r>
        <w:rPr>
          <w:rFonts w:hint="default" w:ascii="Times New Roman" w:hAnsi="Times New Roman" w:eastAsia="方正仿宋_GBK" w:cs="Times New Roman"/>
          <w:sz w:val="32"/>
          <w:szCs w:val="32"/>
          <w:lang w:eastAsia="zh-CN"/>
        </w:rPr>
        <w:t>2024</w:t>
      </w:r>
      <w:r>
        <w:rPr>
          <w:rFonts w:hint="default" w:ascii="Times New Roman" w:hAnsi="Times New Roman" w:eastAsia="方正仿宋_GBK" w:cs="Times New Roman"/>
          <w:sz w:val="32"/>
          <w:szCs w:val="32"/>
        </w:rPr>
        <w:t>年度项目支出预算绩效自评表2》、《</w:t>
      </w:r>
      <w:r>
        <w:rPr>
          <w:rFonts w:hint="default" w:ascii="Times New Roman" w:hAnsi="Times New Roman" w:eastAsia="方正仿宋_GBK" w:cs="Times New Roman"/>
          <w:sz w:val="32"/>
          <w:szCs w:val="32"/>
          <w:lang w:eastAsia="zh-CN"/>
        </w:rPr>
        <w:t>2024</w:t>
      </w:r>
      <w:r>
        <w:rPr>
          <w:rFonts w:hint="default" w:ascii="Times New Roman" w:hAnsi="Times New Roman" w:eastAsia="方正仿宋_GBK" w:cs="Times New Roman"/>
          <w:sz w:val="32"/>
          <w:szCs w:val="32"/>
        </w:rPr>
        <w:t>年度项目支出预算绩效自评表3》。</w:t>
      </w:r>
    </w:p>
    <w:p>
      <w:pPr>
        <w:pStyle w:val="3"/>
        <w:keepNext/>
        <w:keepLines/>
        <w:pageBreakBefore w:val="0"/>
        <w:widowControl/>
        <w:kinsoku/>
        <w:wordWrap/>
        <w:overflowPunct/>
        <w:topLinePunct w:val="0"/>
        <w:autoSpaceDE/>
        <w:autoSpaceDN/>
        <w:bidi w:val="0"/>
        <w:adjustRightInd/>
        <w:snapToGrid/>
        <w:spacing w:line="413" w:lineRule="auto"/>
        <w:ind w:firstLine="643" w:firstLineChars="200"/>
        <w:textAlignment w:val="auto"/>
        <w:rPr>
          <w:rFonts w:hint="eastAsia" w:ascii="楷体" w:hAnsi="楷体" w:eastAsia="楷体" w:cs="楷体"/>
        </w:rPr>
      </w:pPr>
      <w:bookmarkStart w:id="27" w:name="_Toc29677"/>
      <w:r>
        <w:rPr>
          <w:rFonts w:hint="eastAsia" w:ascii="楷体" w:hAnsi="楷体" w:eastAsia="楷体" w:cs="楷体"/>
        </w:rPr>
        <w:t>（三）财政绩效评价情况</w:t>
      </w:r>
      <w:bookmarkEnd w:id="26"/>
      <w:bookmarkEnd w:id="27"/>
    </w:p>
    <w:p>
      <w:pPr>
        <w:pStyle w:val="15"/>
        <w:keepNext w:val="0"/>
        <w:keepLines w:val="0"/>
        <w:pageBreakBefore w:val="0"/>
        <w:widowControl/>
        <w:kinsoku/>
        <w:wordWrap/>
        <w:overflowPunct/>
        <w:topLinePunct w:val="0"/>
        <w:autoSpaceDE w:val="0"/>
        <w:autoSpaceDN/>
        <w:bidi w:val="0"/>
        <w:adjustRightInd/>
        <w:snapToGrid/>
        <w:spacing w:line="596" w:lineRule="exact"/>
        <w:ind w:firstLine="640" w:firstLineChars="200"/>
        <w:jc w:val="both"/>
        <w:textAlignment w:val="auto"/>
        <w:rPr>
          <w:rStyle w:val="12"/>
          <w:rFonts w:hint="eastAsia" w:ascii="黑体" w:hAnsi="黑体" w:eastAsia="黑体" w:cs="黑体"/>
          <w:sz w:val="32"/>
          <w:szCs w:val="32"/>
          <w:shd w:val="clear" w:color="auto" w:fill="FFFFFF"/>
          <w:lang w:val="en-US" w:eastAsia="zh-CN" w:bidi="ar-SA"/>
        </w:rPr>
      </w:pPr>
      <w:r>
        <w:rPr>
          <w:rFonts w:ascii="Times New Roman" w:hAnsi="Times New Roman" w:eastAsia="方正仿宋_GBK" w:cs="Times New Roman"/>
          <w:sz w:val="32"/>
          <w:szCs w:val="32"/>
        </w:rPr>
        <w:t>本单位202</w:t>
      </w:r>
      <w:r>
        <w:rPr>
          <w:rFonts w:hint="eastAsia" w:ascii="Times New Roman" w:hAnsi="Times New Roman" w:eastAsia="方正仿宋_GBK" w:cs="Times New Roman"/>
          <w:sz w:val="32"/>
          <w:szCs w:val="32"/>
          <w:lang w:val="en-US" w:eastAsia="zh-CN"/>
        </w:rPr>
        <w:t>4</w:t>
      </w:r>
      <w:r>
        <w:rPr>
          <w:rFonts w:ascii="Times New Roman" w:hAnsi="Times New Roman" w:eastAsia="方正仿宋_GBK" w:cs="Times New Roman"/>
          <w:sz w:val="32"/>
          <w:szCs w:val="32"/>
        </w:rPr>
        <w:t>年不涉及开展重点绩效评价的项目</w:t>
      </w:r>
      <w:r>
        <w:rPr>
          <w:rFonts w:hint="eastAsia" w:ascii="Times New Roman" w:hAnsi="Times New Roman" w:eastAsia="方正仿宋_GBK" w:cs="Times New Roman"/>
          <w:b w:val="0"/>
          <w:bCs w:val="0"/>
          <w:sz w:val="32"/>
          <w:szCs w:val="32"/>
          <w:shd w:val="clear" w:color="auto" w:fill="FFFFFF"/>
          <w:lang w:val="en-US" w:eastAsia="zh-CN" w:bidi="ar-SA"/>
        </w:rPr>
        <w:t>。</w:t>
      </w:r>
    </w:p>
    <w:p>
      <w:pPr>
        <w:pStyle w:val="2"/>
        <w:keepNext/>
        <w:keepLines/>
        <w:pageBreakBefore w:val="0"/>
        <w:widowControl/>
        <w:kinsoku/>
        <w:wordWrap/>
        <w:overflowPunct/>
        <w:topLinePunct w:val="0"/>
        <w:autoSpaceDE/>
        <w:autoSpaceDN/>
        <w:bidi w:val="0"/>
        <w:adjustRightInd/>
        <w:snapToGrid/>
        <w:ind w:firstLine="643" w:firstLineChars="200"/>
        <w:textAlignment w:val="auto"/>
        <w:rPr>
          <w:rFonts w:hint="eastAsia" w:ascii="黑体" w:hAnsi="黑体" w:eastAsia="黑体" w:cs="黑体"/>
          <w:sz w:val="32"/>
          <w:szCs w:val="32"/>
          <w:lang w:eastAsia="zh-CN"/>
        </w:rPr>
      </w:pPr>
      <w:bookmarkStart w:id="28" w:name="_Toc9700"/>
      <w:r>
        <w:rPr>
          <w:rFonts w:hint="eastAsia" w:ascii="黑体" w:hAnsi="黑体" w:eastAsia="黑体" w:cs="黑体"/>
          <w:sz w:val="32"/>
          <w:szCs w:val="32"/>
          <w:lang w:eastAsia="zh-CN"/>
        </w:rPr>
        <w:t>六</w:t>
      </w:r>
      <w:r>
        <w:rPr>
          <w:rFonts w:hint="eastAsia" w:ascii="黑体" w:hAnsi="黑体" w:eastAsia="黑体" w:cs="黑体"/>
          <w:sz w:val="32"/>
          <w:szCs w:val="32"/>
        </w:rPr>
        <w:t>、专业名词解释</w:t>
      </w:r>
      <w:bookmarkEnd w:id="28"/>
    </w:p>
    <w:p>
      <w:pPr>
        <w:pStyle w:val="10"/>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Fonts w:ascii="楷体" w:hAnsi="楷体" w:eastAsia="楷体" w:cs="楷体"/>
          <w:b/>
          <w:bCs/>
          <w:sz w:val="32"/>
          <w:szCs w:val="32"/>
          <w:shd w:val="clear" w:color="auto" w:fill="FFFFFF"/>
        </w:rPr>
        <w:t>（一）财政拨款收入：</w:t>
      </w:r>
      <w:r>
        <w:rPr>
          <w:rFonts w:ascii="方正仿宋_GBK" w:hAnsi="方正仿宋_GBK" w:eastAsia="方正仿宋_GBK" w:cs="方正仿宋_GBK"/>
          <w:sz w:val="32"/>
          <w:szCs w:val="32"/>
          <w:shd w:val="clear" w:color="auto" w:fill="FFFFFF"/>
        </w:rPr>
        <w:t>指本年度从本级财政部门取得的财政拨款。</w:t>
      </w:r>
    </w:p>
    <w:p>
      <w:pPr>
        <w:pStyle w:val="10"/>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12"/>
          <w:rFonts w:ascii="楷体" w:hAnsi="楷体" w:eastAsia="楷体" w:cs="楷体"/>
          <w:sz w:val="32"/>
          <w:szCs w:val="32"/>
          <w:shd w:val="clear" w:color="auto" w:fill="FFFFFF"/>
        </w:rPr>
        <w:t>（二）事业收入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指事业单位开展专业业务活动及其辅助活动取得的</w:t>
      </w:r>
      <w:r>
        <w:rPr>
          <w:rFonts w:hint="eastAsia" w:ascii="方正仿宋_GBK" w:hAnsi="方正仿宋_GBK" w:eastAsia="方正仿宋_GBK" w:cs="方正仿宋_GBK"/>
          <w:sz w:val="32"/>
          <w:szCs w:val="32"/>
          <w:shd w:val="clear" w:color="auto" w:fill="FFFFFF"/>
          <w:lang w:eastAsia="zh-CN"/>
        </w:rPr>
        <w:t>收入</w:t>
      </w:r>
      <w:r>
        <w:rPr>
          <w:rFonts w:ascii="方正仿宋_GBK" w:hAnsi="方正仿宋_GBK" w:eastAsia="方正仿宋_GBK" w:cs="方正仿宋_GBK"/>
          <w:sz w:val="32"/>
          <w:szCs w:val="32"/>
          <w:shd w:val="clear" w:color="auto" w:fill="FFFFFF"/>
        </w:rPr>
        <w:t>。</w:t>
      </w:r>
    </w:p>
    <w:p>
      <w:pPr>
        <w:pStyle w:val="10"/>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12"/>
          <w:rFonts w:ascii="楷体" w:hAnsi="楷体" w:eastAsia="楷体" w:cs="楷体"/>
          <w:sz w:val="32"/>
          <w:szCs w:val="32"/>
          <w:shd w:val="clear" w:color="auto" w:fill="FFFFFF"/>
        </w:rPr>
        <w:t>（三）经营收入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指事业单位在专业业务活动及其辅助活动之外开展非独立核算经营活动取得的</w:t>
      </w:r>
      <w:r>
        <w:rPr>
          <w:rFonts w:hint="eastAsia" w:ascii="方正仿宋_GBK" w:hAnsi="方正仿宋_GBK" w:eastAsia="方正仿宋_GBK" w:cs="方正仿宋_GBK"/>
          <w:sz w:val="32"/>
          <w:szCs w:val="32"/>
          <w:shd w:val="clear" w:color="auto" w:fill="FFFFFF"/>
          <w:lang w:eastAsia="zh-CN"/>
        </w:rPr>
        <w:t>收入</w:t>
      </w:r>
      <w:r>
        <w:rPr>
          <w:rFonts w:ascii="方正仿宋_GBK" w:hAnsi="方正仿宋_GBK" w:eastAsia="方正仿宋_GBK" w:cs="方正仿宋_GBK"/>
          <w:sz w:val="32"/>
          <w:szCs w:val="32"/>
          <w:shd w:val="clear" w:color="auto" w:fill="FFFFFF"/>
        </w:rPr>
        <w:t>。</w:t>
      </w:r>
    </w:p>
    <w:p>
      <w:pPr>
        <w:pStyle w:val="10"/>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12"/>
          <w:rFonts w:ascii="楷体" w:hAnsi="楷体" w:eastAsia="楷体" w:cs="楷体"/>
          <w:sz w:val="32"/>
          <w:szCs w:val="32"/>
          <w:shd w:val="clear" w:color="auto" w:fill="FFFFFF"/>
        </w:rPr>
        <w:t>（四）其他收入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10"/>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3" w:firstLineChars="200"/>
        <w:jc w:val="both"/>
        <w:textAlignment w:val="auto"/>
        <w:rPr>
          <w:rFonts w:hint="default" w:ascii="方正仿宋_GBK" w:hAnsi="方正仿宋_GBK" w:eastAsia="方正仿宋_GBK" w:cs="方正仿宋_GBK"/>
          <w:sz w:val="32"/>
          <w:szCs w:val="32"/>
        </w:rPr>
      </w:pPr>
      <w:r>
        <w:rPr>
          <w:rStyle w:val="12"/>
          <w:rFonts w:ascii="楷体" w:hAnsi="楷体" w:eastAsia="楷体" w:cs="楷体"/>
          <w:sz w:val="32"/>
          <w:szCs w:val="32"/>
          <w:shd w:val="clear" w:color="auto" w:fill="FFFFFF"/>
        </w:rPr>
        <w:t>（五）使用非财政拨款结余</w:t>
      </w:r>
      <w:r>
        <w:rPr>
          <w:rStyle w:val="12"/>
          <w:rFonts w:hint="eastAsia" w:ascii="楷体" w:hAnsi="楷体" w:eastAsia="楷体" w:cs="楷体"/>
          <w:sz w:val="32"/>
          <w:szCs w:val="32"/>
          <w:shd w:val="clear" w:color="auto" w:fill="FFFFFF"/>
          <w:lang w:eastAsia="zh-CN"/>
        </w:rPr>
        <w:t>（含专用结余）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w:t>
      </w:r>
      <w:r>
        <w:rPr>
          <w:rFonts w:hint="eastAsia" w:ascii="方正仿宋_GBK" w:hAnsi="方正仿宋_GBK" w:eastAsia="方正仿宋_GBK" w:cs="方正仿宋_GBK"/>
          <w:sz w:val="32"/>
          <w:szCs w:val="32"/>
          <w:shd w:val="clear" w:color="auto" w:fill="FFFFFF"/>
          <w:lang w:eastAsia="zh-CN"/>
        </w:rPr>
        <w:t>事业单位按照预算管理要求使用非财政拨款结余弥补收支差额的金额，以及使用专用结余安排支出的金额。</w:t>
      </w:r>
    </w:p>
    <w:p>
      <w:pPr>
        <w:pStyle w:val="10"/>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12"/>
          <w:rFonts w:ascii="楷体" w:hAnsi="楷体" w:eastAsia="楷体" w:cs="楷体"/>
          <w:sz w:val="32"/>
          <w:szCs w:val="32"/>
          <w:shd w:val="clear" w:color="auto" w:fill="FFFFFF"/>
        </w:rPr>
        <w:t>（六）年初结转和结余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指单位上年结转本年使用的基本支出结转、项目支出结转和结余、经营结余。</w:t>
      </w:r>
    </w:p>
    <w:p>
      <w:pPr>
        <w:pStyle w:val="10"/>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12"/>
          <w:rFonts w:ascii="楷体" w:hAnsi="楷体" w:eastAsia="楷体" w:cs="楷体"/>
          <w:sz w:val="32"/>
          <w:szCs w:val="32"/>
          <w:shd w:val="clear" w:color="auto" w:fill="FFFFFF"/>
        </w:rPr>
        <w:t>（七）结余分配</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pPr>
        <w:pStyle w:val="10"/>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12"/>
          <w:rFonts w:ascii="楷体" w:hAnsi="楷体" w:eastAsia="楷体" w:cs="楷体"/>
          <w:sz w:val="32"/>
          <w:szCs w:val="32"/>
          <w:shd w:val="clear" w:color="auto" w:fill="FFFFFF"/>
        </w:rPr>
        <w:t>（八）年末结转和结余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指单位结转下年的基本支出结转、项目支出结转和结余、经营结余。</w:t>
      </w:r>
    </w:p>
    <w:p>
      <w:pPr>
        <w:pStyle w:val="10"/>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12"/>
          <w:rFonts w:ascii="楷体" w:hAnsi="楷体" w:eastAsia="楷体" w:cs="楷体"/>
          <w:sz w:val="32"/>
          <w:szCs w:val="32"/>
          <w:shd w:val="clear" w:color="auto" w:fill="FFFFFF"/>
        </w:rPr>
        <w:t>（九）基本支出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0"/>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12"/>
          <w:rFonts w:ascii="楷体" w:hAnsi="楷体" w:eastAsia="楷体" w:cs="楷体"/>
          <w:sz w:val="32"/>
          <w:szCs w:val="32"/>
          <w:shd w:val="clear" w:color="auto" w:fill="FFFFFF"/>
        </w:rPr>
        <w:t>（十）项目支出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指在基本支出之外为完成特定行政任务和事业发展目标所发生的支出。</w:t>
      </w:r>
    </w:p>
    <w:p>
      <w:pPr>
        <w:pStyle w:val="10"/>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12"/>
          <w:rFonts w:ascii="楷体" w:hAnsi="楷体" w:eastAsia="楷体" w:cs="楷体"/>
          <w:sz w:val="32"/>
          <w:szCs w:val="32"/>
          <w:shd w:val="clear" w:color="auto" w:fill="FFFFFF"/>
        </w:rPr>
        <w:t>（十一）经营支出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pPr>
        <w:pStyle w:val="10"/>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12"/>
          <w:rFonts w:ascii="楷体" w:hAnsi="楷体" w:eastAsia="楷体" w:cs="楷体"/>
          <w:sz w:val="32"/>
          <w:szCs w:val="32"/>
          <w:shd w:val="clear" w:color="auto" w:fill="FFFFFF"/>
        </w:rPr>
        <w:t>（十二）“三公”经费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用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0"/>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12"/>
          <w:rFonts w:ascii="楷体" w:hAnsi="楷体" w:eastAsia="楷体" w:cs="楷体"/>
          <w:sz w:val="32"/>
          <w:szCs w:val="32"/>
          <w:shd w:val="clear" w:color="auto" w:fill="FFFFFF"/>
        </w:rPr>
        <w:t>（十三）机关运行经费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0"/>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12"/>
          <w:rFonts w:ascii="楷体" w:hAnsi="楷体" w:eastAsia="楷体" w:cs="楷体"/>
          <w:sz w:val="32"/>
          <w:szCs w:val="32"/>
          <w:shd w:val="clear" w:color="auto" w:fill="FFFFFF"/>
        </w:rPr>
        <w:t>（十四）工资福利支出（支出经济分类科目类级）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pPr>
        <w:pStyle w:val="10"/>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12"/>
          <w:rFonts w:ascii="楷体" w:hAnsi="楷体" w:eastAsia="楷体" w:cs="楷体"/>
          <w:sz w:val="32"/>
          <w:szCs w:val="32"/>
          <w:shd w:val="clear" w:color="auto" w:fill="FFFFFF"/>
        </w:rPr>
        <w:t>（十五）商品和服务支出（支出经济分类科目类级）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pPr>
        <w:pStyle w:val="10"/>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12"/>
          <w:rFonts w:ascii="楷体" w:hAnsi="楷体" w:eastAsia="楷体" w:cs="楷体"/>
          <w:sz w:val="32"/>
          <w:szCs w:val="32"/>
          <w:shd w:val="clear" w:color="auto" w:fill="FFFFFF"/>
        </w:rPr>
        <w:t>（十六）对个人和家庭的补助（支出经济分类科目类级）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反映用于对个人和家庭的补助支出。</w:t>
      </w:r>
    </w:p>
    <w:p>
      <w:pPr>
        <w:pStyle w:val="10"/>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shd w:val="clear" w:color="auto" w:fill="FFFFFF"/>
        </w:rPr>
      </w:pPr>
      <w:r>
        <w:rPr>
          <w:rStyle w:val="12"/>
          <w:rFonts w:ascii="楷体" w:hAnsi="楷体" w:eastAsia="楷体" w:cs="楷体"/>
          <w:sz w:val="32"/>
          <w:szCs w:val="32"/>
          <w:shd w:val="clear" w:color="auto" w:fill="FFFFFF"/>
        </w:rPr>
        <w:t>（十七）其他资本性支出（支出经济分类科目类级）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pStyle w:val="10"/>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3" w:firstLineChars="200"/>
        <w:textAlignment w:val="auto"/>
        <w:outlineLvl w:val="0"/>
        <w:rPr>
          <w:rStyle w:val="12"/>
          <w:rFonts w:hint="default" w:ascii="黑体" w:hAnsi="黑体" w:eastAsia="黑体" w:cs="黑体"/>
          <w:sz w:val="32"/>
          <w:szCs w:val="32"/>
          <w:shd w:val="clear" w:color="auto" w:fill="FFFFFF"/>
        </w:rPr>
      </w:pPr>
      <w:bookmarkStart w:id="29" w:name="_Toc29192"/>
      <w:r>
        <w:rPr>
          <w:rStyle w:val="12"/>
          <w:rFonts w:hint="eastAsia" w:ascii="黑体" w:hAnsi="黑体" w:eastAsia="黑体" w:cs="黑体"/>
          <w:sz w:val="32"/>
          <w:szCs w:val="32"/>
          <w:shd w:val="clear" w:color="auto" w:fill="FFFFFF"/>
          <w:lang w:eastAsia="zh-CN"/>
        </w:rPr>
        <w:t>七</w:t>
      </w:r>
      <w:r>
        <w:rPr>
          <w:rStyle w:val="12"/>
          <w:rFonts w:ascii="黑体" w:hAnsi="黑体" w:eastAsia="黑体" w:cs="黑体"/>
          <w:sz w:val="32"/>
          <w:szCs w:val="32"/>
          <w:shd w:val="clear" w:color="auto" w:fill="FFFFFF"/>
        </w:rPr>
        <w:t>、决算公开联系方式及信息反馈渠道</w:t>
      </w:r>
      <w:bookmarkEnd w:id="29"/>
    </w:p>
    <w:p>
      <w:pPr>
        <w:keepNext w:val="0"/>
        <w:keepLines w:val="0"/>
        <w:pageBreakBefore w:val="0"/>
        <w:widowControl w:val="0"/>
        <w:kinsoku/>
        <w:wordWrap/>
        <w:overflowPunct/>
        <w:topLinePunct w:val="0"/>
        <w:autoSpaceDE/>
        <w:autoSpaceDN/>
        <w:bidi w:val="0"/>
        <w:adjustRightInd/>
        <w:snapToGrid/>
        <w:spacing w:line="588" w:lineRule="exact"/>
        <w:ind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本单位决算公开信息反馈和联系方式：</w:t>
      </w:r>
    </w:p>
    <w:p>
      <w:pPr>
        <w:pStyle w:val="15"/>
        <w:autoSpaceDE w:val="0"/>
        <w:spacing w:line="596" w:lineRule="exact"/>
        <w:ind w:firstLine="640"/>
        <w:jc w:val="both"/>
        <w:rPr>
          <w:rStyle w:val="12"/>
          <w:rFonts w:hint="default" w:ascii="方正仿宋_GBK" w:hAnsi="方正仿宋_GBK" w:eastAsia="方正仿宋_GBK" w:cs="方正仿宋_GBK"/>
          <w:sz w:val="32"/>
          <w:szCs w:val="32"/>
          <w:shd w:val="clear" w:color="auto" w:fill="FFFF00"/>
          <w:lang w:val="en-US" w:eastAsia="zh-CN"/>
        </w:rPr>
        <w:sectPr>
          <w:footerReference r:id="rId3" w:type="default"/>
          <w:pgSz w:w="11915" w:h="16840"/>
          <w:pgMar w:top="1440" w:right="1800" w:bottom="1440" w:left="1800" w:header="851" w:footer="992" w:gutter="0"/>
          <w:pgNumType w:fmt="numberInDash" w:start="1"/>
          <w:cols w:space="720" w:num="1"/>
          <w:docGrid w:type="lines" w:linePitch="312" w:charSpace="0"/>
        </w:sectPr>
      </w:pPr>
      <w:r>
        <w:rPr>
          <w:rFonts w:hint="eastAsia" w:ascii="Times New Roman" w:hAnsi="Times New Roman" w:eastAsia="方正仿宋_GBK" w:cs="Times New Roman"/>
          <w:sz w:val="32"/>
          <w:szCs w:val="32"/>
          <w:lang w:eastAsia="zh-CN"/>
        </w:rPr>
        <w:t>侯林杰</w:t>
      </w:r>
      <w:r>
        <w:rPr>
          <w:rFonts w:hint="default" w:ascii="Times New Roman" w:hAnsi="Times New Roman" w:eastAsia="方正仿宋_GBK" w:cs="Times New Roman"/>
          <w:sz w:val="32"/>
          <w:szCs w:val="32"/>
        </w:rPr>
        <w:t xml:space="preserve"> 023-</w:t>
      </w:r>
      <w:r>
        <w:rPr>
          <w:rFonts w:hint="eastAsia" w:ascii="Times New Roman" w:hAnsi="Times New Roman" w:eastAsia="方正仿宋_GBK" w:cs="Times New Roman"/>
          <w:sz w:val="32"/>
          <w:szCs w:val="32"/>
          <w:lang w:val="en-US" w:eastAsia="zh-CN"/>
        </w:rPr>
        <w:t>85370595</w:t>
      </w:r>
      <w:bookmarkStart w:id="30" w:name="_GoBack"/>
      <w:bookmarkEnd w:id="30"/>
    </w:p>
    <w:p>
      <w:pPr>
        <w:rPr>
          <w:rFonts w:hint="default" w:cs="宋体"/>
          <w:sz w:val="18"/>
          <w:szCs w:val="18"/>
        </w:rPr>
      </w:pPr>
    </w:p>
    <w:sectPr>
      <w:headerReference r:id="rId4" w:type="default"/>
      <w:footerReference r:id="rId5" w:type="default"/>
      <w:pgSz w:w="11850" w:h="16783"/>
      <w:pgMar w:top="454" w:right="567" w:bottom="1037" w:left="56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方正小标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hint="default"/>
      </w:rPr>
    </w:pPr>
    <w:r>
      <w:rPr>
        <w:rFonts w:hint="default"/>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5"/>
                            <w:rPr>
                              <w:rFonts w:hint="default"/>
                            </w:rPr>
                          </w:pPr>
                          <w:r>
                            <w:fldChar w:fldCharType="begin"/>
                          </w:r>
                          <w:r>
                            <w:instrText xml:space="preserve"> PAGE  \* MERGEFORMAT </w:instrText>
                          </w:r>
                          <w:r>
                            <w:fldChar w:fldCharType="separate"/>
                          </w:r>
                          <w:r>
                            <w:rPr>
                              <w:rFonts w:hint="default"/>
                            </w:rPr>
                            <w:t>- 21 -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DxeeBeGQIAACEEAAAOAAAA&#10;AAAAAAEAIAAAAB8BAABkcnMvZTJvRG9jLnhtbFBLBQYAAAAABgAGAFkBAACqBQAAAAA=&#10;">
              <v:fill on="f" focussize="0,0"/>
              <v:stroke on="f" weight="0.5pt"/>
              <v:imagedata o:title=""/>
              <o:lock v:ext="edit" aspectratio="f"/>
              <v:textbox inset="0mm,0mm,0mm,0mm" style="mso-fit-shape-to-text:t;">
                <w:txbxContent>
                  <w:p>
                    <w:pPr>
                      <w:pStyle w:val="5"/>
                      <w:rPr>
                        <w:rFonts w:hint="default"/>
                      </w:rPr>
                    </w:pPr>
                    <w:r>
                      <w:fldChar w:fldCharType="begin"/>
                    </w:r>
                    <w:r>
                      <w:instrText xml:space="preserve"> PAGE  \* MERGEFORMAT </w:instrText>
                    </w:r>
                    <w:r>
                      <w:fldChar w:fldCharType="separate"/>
                    </w:r>
                    <w:r>
                      <w:rPr>
                        <w:rFonts w:hint="default"/>
                      </w:rPr>
                      <w:t>- 21 -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both"/>
      <w:rPr>
        <w:rFonts w:hint="default"/>
      </w:rPr>
    </w:pP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5"/>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30 -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zSVju0AAAAAUBAAAPAAAAAAAAAAEA&#10;IAAAACIAAABkcnMvZG93bnJldi54bWxQSwECFAAUAAAACACHTuJAsPgxiRcCAAAZBAAADgAAAAAA&#10;AAABACAAAAAfAQAAZHJzL2Uyb0RvYy54bWxQSwUGAAAAAAYABgBZAQAAqAUAAAAA&#10;">
              <v:fill on="f" focussize="0,0"/>
              <v:stroke on="f" weight="0.5pt"/>
              <v:imagedata o:title=""/>
              <o:lock v:ext="edit" aspectratio="f"/>
              <v:textbox inset="0mm,0mm,0mm,0mm" style="mso-fit-shape-to-text:t;">
                <w:txbxContent>
                  <w:p>
                    <w:pPr>
                      <w:pStyle w:val="5"/>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30 -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5"/>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eA1UVNgAAAAKAQAA&#10;DwAAAAAAAAABACAAAAAiAAAAZHJzL2Rvd25yZXYueG1sUEsBAhQAFAAAAAgAh07iQG8zbR0ZAgAA&#10;GAQAAA4AAAAAAAAAAQAgAAAAJwEAAGRycy9lMm9Eb2MueG1sUEsFBgAAAAAGAAYAWQEAALIFAAAA&#10;AA==&#10;">
              <v:fill on="f" focussize="0,0"/>
              <v:stroke on="f" weight="0.5pt"/>
              <v:imagedata o:title=""/>
              <o:lock v:ext="edit" aspectratio="f"/>
              <v:textbox inset="0mm,0mm,0mm,0mm">
                <w:txbxContent>
                  <w:p>
                    <w:pPr>
                      <w:pStyle w:val="5"/>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C01CC"/>
    <w:rsid w:val="000D7702"/>
    <w:rsid w:val="000F6721"/>
    <w:rsid w:val="001632EC"/>
    <w:rsid w:val="00261065"/>
    <w:rsid w:val="002D0E5A"/>
    <w:rsid w:val="002D71F4"/>
    <w:rsid w:val="002E5443"/>
    <w:rsid w:val="0032196C"/>
    <w:rsid w:val="004852DA"/>
    <w:rsid w:val="004C12FF"/>
    <w:rsid w:val="004D0390"/>
    <w:rsid w:val="00550ABE"/>
    <w:rsid w:val="005B023C"/>
    <w:rsid w:val="00600322"/>
    <w:rsid w:val="006137D7"/>
    <w:rsid w:val="00634FA8"/>
    <w:rsid w:val="0063613A"/>
    <w:rsid w:val="0068170B"/>
    <w:rsid w:val="006E2034"/>
    <w:rsid w:val="00732392"/>
    <w:rsid w:val="00792285"/>
    <w:rsid w:val="007A0D2E"/>
    <w:rsid w:val="007A3314"/>
    <w:rsid w:val="007B419D"/>
    <w:rsid w:val="007C5C5B"/>
    <w:rsid w:val="00810F13"/>
    <w:rsid w:val="00826B47"/>
    <w:rsid w:val="00893689"/>
    <w:rsid w:val="00940231"/>
    <w:rsid w:val="00944711"/>
    <w:rsid w:val="009574D5"/>
    <w:rsid w:val="009821E3"/>
    <w:rsid w:val="00984852"/>
    <w:rsid w:val="009B37A6"/>
    <w:rsid w:val="009B67B8"/>
    <w:rsid w:val="00A03B1E"/>
    <w:rsid w:val="00A67739"/>
    <w:rsid w:val="00A820B7"/>
    <w:rsid w:val="00A830E1"/>
    <w:rsid w:val="00AC5566"/>
    <w:rsid w:val="00B03CCD"/>
    <w:rsid w:val="00B104B0"/>
    <w:rsid w:val="00B40138"/>
    <w:rsid w:val="00BF5A85"/>
    <w:rsid w:val="00C307F6"/>
    <w:rsid w:val="00C96B11"/>
    <w:rsid w:val="00C97747"/>
    <w:rsid w:val="00CC6B99"/>
    <w:rsid w:val="00DF7706"/>
    <w:rsid w:val="00E05175"/>
    <w:rsid w:val="00E654E2"/>
    <w:rsid w:val="00E76362"/>
    <w:rsid w:val="00E86B80"/>
    <w:rsid w:val="00F137D3"/>
    <w:rsid w:val="00F13C36"/>
    <w:rsid w:val="00F23C68"/>
    <w:rsid w:val="00F32C53"/>
    <w:rsid w:val="00F73F90"/>
    <w:rsid w:val="00F7623D"/>
    <w:rsid w:val="00F8598B"/>
    <w:rsid w:val="00FA0819"/>
    <w:rsid w:val="00FB7EF0"/>
    <w:rsid w:val="01474EBF"/>
    <w:rsid w:val="01F3521E"/>
    <w:rsid w:val="03B87EA0"/>
    <w:rsid w:val="03E3214F"/>
    <w:rsid w:val="044C50BA"/>
    <w:rsid w:val="05BC6D49"/>
    <w:rsid w:val="06194FF1"/>
    <w:rsid w:val="06A2550B"/>
    <w:rsid w:val="06F80EE2"/>
    <w:rsid w:val="07001CCA"/>
    <w:rsid w:val="075678DB"/>
    <w:rsid w:val="079D7CC7"/>
    <w:rsid w:val="08051BCA"/>
    <w:rsid w:val="086C12F4"/>
    <w:rsid w:val="08BA052C"/>
    <w:rsid w:val="08DB07BA"/>
    <w:rsid w:val="0969353F"/>
    <w:rsid w:val="098305D0"/>
    <w:rsid w:val="098A0877"/>
    <w:rsid w:val="0A5C4B69"/>
    <w:rsid w:val="0A86124A"/>
    <w:rsid w:val="0AB54CC0"/>
    <w:rsid w:val="0B9335CE"/>
    <w:rsid w:val="0C7927C4"/>
    <w:rsid w:val="0C9B098C"/>
    <w:rsid w:val="0D673E11"/>
    <w:rsid w:val="0DD37E3A"/>
    <w:rsid w:val="0DDA54E4"/>
    <w:rsid w:val="0E3A5F83"/>
    <w:rsid w:val="0E74421A"/>
    <w:rsid w:val="0EA46639"/>
    <w:rsid w:val="0EC6180C"/>
    <w:rsid w:val="0F497FB6"/>
    <w:rsid w:val="0F836721"/>
    <w:rsid w:val="0FA25D96"/>
    <w:rsid w:val="107B59E5"/>
    <w:rsid w:val="10EC0126"/>
    <w:rsid w:val="10F70B9A"/>
    <w:rsid w:val="111445C7"/>
    <w:rsid w:val="114278C6"/>
    <w:rsid w:val="1158083A"/>
    <w:rsid w:val="11643A4B"/>
    <w:rsid w:val="11ED0F98"/>
    <w:rsid w:val="11F03528"/>
    <w:rsid w:val="12C921C4"/>
    <w:rsid w:val="12F52ECF"/>
    <w:rsid w:val="13871C70"/>
    <w:rsid w:val="13A71CB4"/>
    <w:rsid w:val="13AF1D43"/>
    <w:rsid w:val="13CE1647"/>
    <w:rsid w:val="13DA0C25"/>
    <w:rsid w:val="13FD55AB"/>
    <w:rsid w:val="14200702"/>
    <w:rsid w:val="14907817"/>
    <w:rsid w:val="163A6CEE"/>
    <w:rsid w:val="173708E3"/>
    <w:rsid w:val="174C19C7"/>
    <w:rsid w:val="17C374FC"/>
    <w:rsid w:val="189079DC"/>
    <w:rsid w:val="189B0D0B"/>
    <w:rsid w:val="18B43F7C"/>
    <w:rsid w:val="190D3FF4"/>
    <w:rsid w:val="194A1770"/>
    <w:rsid w:val="19B906A4"/>
    <w:rsid w:val="1B6F15B6"/>
    <w:rsid w:val="1BAA2EDC"/>
    <w:rsid w:val="1C5C0973"/>
    <w:rsid w:val="1CA55E64"/>
    <w:rsid w:val="1D014A01"/>
    <w:rsid w:val="1D022362"/>
    <w:rsid w:val="1D1B04B0"/>
    <w:rsid w:val="1D6534C4"/>
    <w:rsid w:val="1DBD6767"/>
    <w:rsid w:val="1DC52125"/>
    <w:rsid w:val="1DD26311"/>
    <w:rsid w:val="1E374ACB"/>
    <w:rsid w:val="1E5E27E3"/>
    <w:rsid w:val="1EA33588"/>
    <w:rsid w:val="1ECF0A66"/>
    <w:rsid w:val="1EF67CA4"/>
    <w:rsid w:val="1F020D3A"/>
    <w:rsid w:val="1F2C5189"/>
    <w:rsid w:val="1F4B0B02"/>
    <w:rsid w:val="1FBB35CD"/>
    <w:rsid w:val="1FCD26AF"/>
    <w:rsid w:val="20642787"/>
    <w:rsid w:val="21556F04"/>
    <w:rsid w:val="22403BD3"/>
    <w:rsid w:val="23DA37D9"/>
    <w:rsid w:val="24B92327"/>
    <w:rsid w:val="24C14514"/>
    <w:rsid w:val="2533755C"/>
    <w:rsid w:val="25791755"/>
    <w:rsid w:val="26396DF4"/>
    <w:rsid w:val="27167136"/>
    <w:rsid w:val="27B23302"/>
    <w:rsid w:val="29310A5F"/>
    <w:rsid w:val="29C37A35"/>
    <w:rsid w:val="2A076083"/>
    <w:rsid w:val="2A73162E"/>
    <w:rsid w:val="2B167953"/>
    <w:rsid w:val="2B200583"/>
    <w:rsid w:val="2B220436"/>
    <w:rsid w:val="2B8209DE"/>
    <w:rsid w:val="2C6762A3"/>
    <w:rsid w:val="2EBF7B3E"/>
    <w:rsid w:val="2EDE1934"/>
    <w:rsid w:val="2FCA4B37"/>
    <w:rsid w:val="2FE029D7"/>
    <w:rsid w:val="2FF06E00"/>
    <w:rsid w:val="30562E26"/>
    <w:rsid w:val="30586FEC"/>
    <w:rsid w:val="30EC7046"/>
    <w:rsid w:val="315F0B22"/>
    <w:rsid w:val="319D022C"/>
    <w:rsid w:val="31C90022"/>
    <w:rsid w:val="31D84415"/>
    <w:rsid w:val="32285F6F"/>
    <w:rsid w:val="32770556"/>
    <w:rsid w:val="329C0913"/>
    <w:rsid w:val="32AA0460"/>
    <w:rsid w:val="3337290D"/>
    <w:rsid w:val="33E31118"/>
    <w:rsid w:val="33EF7674"/>
    <w:rsid w:val="342D7BC6"/>
    <w:rsid w:val="34475F39"/>
    <w:rsid w:val="352930DB"/>
    <w:rsid w:val="35573069"/>
    <w:rsid w:val="355F6038"/>
    <w:rsid w:val="358C217E"/>
    <w:rsid w:val="35937598"/>
    <w:rsid w:val="36C9128A"/>
    <w:rsid w:val="372E3953"/>
    <w:rsid w:val="37841E99"/>
    <w:rsid w:val="37BF1123"/>
    <w:rsid w:val="383C3F15"/>
    <w:rsid w:val="38BE4696"/>
    <w:rsid w:val="3939115E"/>
    <w:rsid w:val="39B82A39"/>
    <w:rsid w:val="39C42CA8"/>
    <w:rsid w:val="39DC4FD6"/>
    <w:rsid w:val="39F03D7A"/>
    <w:rsid w:val="39F33306"/>
    <w:rsid w:val="3A2C1C67"/>
    <w:rsid w:val="3B1705E5"/>
    <w:rsid w:val="3B18334B"/>
    <w:rsid w:val="3B36794F"/>
    <w:rsid w:val="3C566AD6"/>
    <w:rsid w:val="3C6A5B02"/>
    <w:rsid w:val="3D2757A1"/>
    <w:rsid w:val="3D3D4FC4"/>
    <w:rsid w:val="3DDF3AB1"/>
    <w:rsid w:val="3DE16921"/>
    <w:rsid w:val="3E1D0952"/>
    <w:rsid w:val="3E42660A"/>
    <w:rsid w:val="3E7555B1"/>
    <w:rsid w:val="3E787ED9"/>
    <w:rsid w:val="3EEC37F3"/>
    <w:rsid w:val="3F032E93"/>
    <w:rsid w:val="3F0527E5"/>
    <w:rsid w:val="3F4814B0"/>
    <w:rsid w:val="3F5E5D98"/>
    <w:rsid w:val="3F694D83"/>
    <w:rsid w:val="3F885DCC"/>
    <w:rsid w:val="3FCD675E"/>
    <w:rsid w:val="3FD86860"/>
    <w:rsid w:val="4004000C"/>
    <w:rsid w:val="40D54604"/>
    <w:rsid w:val="411B6CE5"/>
    <w:rsid w:val="412070D7"/>
    <w:rsid w:val="41314E40"/>
    <w:rsid w:val="41E0734B"/>
    <w:rsid w:val="426554D0"/>
    <w:rsid w:val="426C1EA8"/>
    <w:rsid w:val="42736402"/>
    <w:rsid w:val="42E86A87"/>
    <w:rsid w:val="43307B09"/>
    <w:rsid w:val="43470647"/>
    <w:rsid w:val="438D0E97"/>
    <w:rsid w:val="43BB152F"/>
    <w:rsid w:val="44494994"/>
    <w:rsid w:val="44C37687"/>
    <w:rsid w:val="45CB699A"/>
    <w:rsid w:val="465B470D"/>
    <w:rsid w:val="469D6AD4"/>
    <w:rsid w:val="471E6C84"/>
    <w:rsid w:val="4748792B"/>
    <w:rsid w:val="475D719D"/>
    <w:rsid w:val="47674801"/>
    <w:rsid w:val="48225EF7"/>
    <w:rsid w:val="488F422B"/>
    <w:rsid w:val="48E36915"/>
    <w:rsid w:val="495C4A24"/>
    <w:rsid w:val="497135DF"/>
    <w:rsid w:val="4A1605D9"/>
    <w:rsid w:val="4A263DF2"/>
    <w:rsid w:val="4A6F6675"/>
    <w:rsid w:val="4ABF0746"/>
    <w:rsid w:val="4B0502DF"/>
    <w:rsid w:val="4B135857"/>
    <w:rsid w:val="4B7951CB"/>
    <w:rsid w:val="4B7C315C"/>
    <w:rsid w:val="4CCF773C"/>
    <w:rsid w:val="4DAC4ACA"/>
    <w:rsid w:val="4DBE01D2"/>
    <w:rsid w:val="4EFC6D10"/>
    <w:rsid w:val="4F0C6BA3"/>
    <w:rsid w:val="4F10477D"/>
    <w:rsid w:val="4F186D58"/>
    <w:rsid w:val="4FEA65B7"/>
    <w:rsid w:val="5042146E"/>
    <w:rsid w:val="50F06B6E"/>
    <w:rsid w:val="52234D33"/>
    <w:rsid w:val="52261ABA"/>
    <w:rsid w:val="522F6E0C"/>
    <w:rsid w:val="52463BA1"/>
    <w:rsid w:val="5298794F"/>
    <w:rsid w:val="52F163D4"/>
    <w:rsid w:val="531A2DB4"/>
    <w:rsid w:val="53C0244D"/>
    <w:rsid w:val="53DD4D4E"/>
    <w:rsid w:val="53E578CE"/>
    <w:rsid w:val="541330F0"/>
    <w:rsid w:val="54272666"/>
    <w:rsid w:val="543B029D"/>
    <w:rsid w:val="54861779"/>
    <w:rsid w:val="552256E1"/>
    <w:rsid w:val="554E5773"/>
    <w:rsid w:val="555A3CBC"/>
    <w:rsid w:val="5582012B"/>
    <w:rsid w:val="558E4E05"/>
    <w:rsid w:val="55BE2E85"/>
    <w:rsid w:val="55D82B6C"/>
    <w:rsid w:val="561D52C4"/>
    <w:rsid w:val="5651697D"/>
    <w:rsid w:val="56530F5D"/>
    <w:rsid w:val="56692AE5"/>
    <w:rsid w:val="567700D3"/>
    <w:rsid w:val="56FF7E9E"/>
    <w:rsid w:val="578867FC"/>
    <w:rsid w:val="5842572D"/>
    <w:rsid w:val="5A3B59D6"/>
    <w:rsid w:val="5AD134D8"/>
    <w:rsid w:val="5B6503B1"/>
    <w:rsid w:val="5C0F7EC4"/>
    <w:rsid w:val="5C263CE4"/>
    <w:rsid w:val="5C5D2777"/>
    <w:rsid w:val="5CF66BF3"/>
    <w:rsid w:val="5D290C69"/>
    <w:rsid w:val="5F2D4A41"/>
    <w:rsid w:val="60C74F6C"/>
    <w:rsid w:val="61025A59"/>
    <w:rsid w:val="613D5BBC"/>
    <w:rsid w:val="61536C39"/>
    <w:rsid w:val="61E64F4A"/>
    <w:rsid w:val="623E0993"/>
    <w:rsid w:val="62944DD7"/>
    <w:rsid w:val="6319381F"/>
    <w:rsid w:val="63236436"/>
    <w:rsid w:val="63C25DC5"/>
    <w:rsid w:val="63C62057"/>
    <w:rsid w:val="64571EF5"/>
    <w:rsid w:val="64CB0157"/>
    <w:rsid w:val="64FB113D"/>
    <w:rsid w:val="65036946"/>
    <w:rsid w:val="654A25FE"/>
    <w:rsid w:val="656152C6"/>
    <w:rsid w:val="6587477F"/>
    <w:rsid w:val="658C3A08"/>
    <w:rsid w:val="65C031CA"/>
    <w:rsid w:val="65CE6852"/>
    <w:rsid w:val="66267C04"/>
    <w:rsid w:val="663F505A"/>
    <w:rsid w:val="66967186"/>
    <w:rsid w:val="66EE5541"/>
    <w:rsid w:val="67924660"/>
    <w:rsid w:val="683200C2"/>
    <w:rsid w:val="68407834"/>
    <w:rsid w:val="6883293E"/>
    <w:rsid w:val="688412AD"/>
    <w:rsid w:val="68EB1B71"/>
    <w:rsid w:val="69475C96"/>
    <w:rsid w:val="6AAD2300"/>
    <w:rsid w:val="6B474EF5"/>
    <w:rsid w:val="6BBF53FD"/>
    <w:rsid w:val="6C560CAE"/>
    <w:rsid w:val="6C576495"/>
    <w:rsid w:val="6D3141DD"/>
    <w:rsid w:val="6D903FF5"/>
    <w:rsid w:val="6DA955B8"/>
    <w:rsid w:val="6DE346AB"/>
    <w:rsid w:val="6DE5391A"/>
    <w:rsid w:val="6EFD1324"/>
    <w:rsid w:val="6F5A53AC"/>
    <w:rsid w:val="6FAC003D"/>
    <w:rsid w:val="6FE55E12"/>
    <w:rsid w:val="6FFB2E76"/>
    <w:rsid w:val="708F6F7F"/>
    <w:rsid w:val="70D94BD3"/>
    <w:rsid w:val="71C34D91"/>
    <w:rsid w:val="72DB435C"/>
    <w:rsid w:val="72E2613A"/>
    <w:rsid w:val="72F771F4"/>
    <w:rsid w:val="734150D5"/>
    <w:rsid w:val="736650B0"/>
    <w:rsid w:val="73934AD2"/>
    <w:rsid w:val="750837F0"/>
    <w:rsid w:val="754758CF"/>
    <w:rsid w:val="761275E6"/>
    <w:rsid w:val="764F62AB"/>
    <w:rsid w:val="765C45EC"/>
    <w:rsid w:val="768A7619"/>
    <w:rsid w:val="772E1EBA"/>
    <w:rsid w:val="77EB79F7"/>
    <w:rsid w:val="796D60A4"/>
    <w:rsid w:val="79A031D5"/>
    <w:rsid w:val="7A1525F7"/>
    <w:rsid w:val="7B420052"/>
    <w:rsid w:val="7B861484"/>
    <w:rsid w:val="7BD06A28"/>
    <w:rsid w:val="7C3A7C0B"/>
    <w:rsid w:val="7C5248E4"/>
    <w:rsid w:val="7C566698"/>
    <w:rsid w:val="7C5866A3"/>
    <w:rsid w:val="7D7406BB"/>
    <w:rsid w:val="7DE94331"/>
    <w:rsid w:val="7F446A19"/>
    <w:rsid w:val="7F7452B9"/>
    <w:rsid w:val="7F8401D1"/>
    <w:rsid w:val="7FAC32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1">
    <w:name w:val="Default Paragraph Font"/>
    <w:semiHidden/>
    <w:unhideWhenUsed/>
    <w:qFormat/>
    <w:uiPriority w:val="1"/>
  </w:style>
  <w:style w:type="table" w:default="1" w:styleId="13">
    <w:name w:val="Normal Table"/>
    <w:semiHidden/>
    <w:unhideWhenUsed/>
    <w:qFormat/>
    <w:uiPriority w:val="99"/>
    <w:tblPr>
      <w:tblLayout w:type="fixed"/>
      <w:tblCellMar>
        <w:top w:w="0" w:type="dxa"/>
        <w:left w:w="108" w:type="dxa"/>
        <w:bottom w:w="0" w:type="dxa"/>
        <w:right w:w="108" w:type="dxa"/>
      </w:tblCellMar>
    </w:tblPr>
  </w:style>
  <w:style w:type="paragraph" w:styleId="4">
    <w:name w:val="Balloon Text"/>
    <w:basedOn w:val="1"/>
    <w:link w:val="19"/>
    <w:qFormat/>
    <w:uiPriority w:val="0"/>
    <w:rPr>
      <w:sz w:val="18"/>
      <w:szCs w:val="18"/>
    </w:rPr>
  </w:style>
  <w:style w:type="paragraph" w:styleId="5">
    <w:name w:val="footer"/>
    <w:basedOn w:val="1"/>
    <w:qFormat/>
    <w:uiPriority w:val="0"/>
    <w:pPr>
      <w:tabs>
        <w:tab w:val="center" w:pos="4153"/>
        <w:tab w:val="right" w:pos="8306"/>
      </w:tabs>
      <w:snapToGrid w:val="0"/>
    </w:pPr>
    <w:rPr>
      <w:sz w:val="18"/>
      <w:szCs w:val="18"/>
    </w:rPr>
  </w:style>
  <w:style w:type="paragraph" w:styleId="6">
    <w:name w:val="header"/>
    <w:basedOn w:val="1"/>
    <w:qFormat/>
    <w:uiPriority w:val="0"/>
    <w:pPr>
      <w:tabs>
        <w:tab w:val="center" w:pos="4153"/>
        <w:tab w:val="right" w:pos="8306"/>
      </w:tabs>
      <w:snapToGrid w:val="0"/>
      <w:jc w:val="center"/>
    </w:pPr>
    <w:rPr>
      <w:sz w:val="18"/>
      <w:szCs w:val="18"/>
    </w:rPr>
  </w:style>
  <w:style w:type="paragraph" w:styleId="7">
    <w:name w:val="toc 1"/>
    <w:basedOn w:val="1"/>
    <w:next w:val="1"/>
    <w:qFormat/>
    <w:uiPriority w:val="0"/>
  </w:style>
  <w:style w:type="paragraph" w:styleId="8">
    <w:name w:val="toc 2"/>
    <w:basedOn w:val="1"/>
    <w:next w:val="1"/>
    <w:qFormat/>
    <w:uiPriority w:val="0"/>
    <w:pPr>
      <w:ind w:left="420" w:leftChars="200"/>
    </w:pPr>
  </w:style>
  <w:style w:type="paragraph" w:styleId="9">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10">
    <w:name w:val="Normal (Web)"/>
    <w:basedOn w:val="1"/>
    <w:unhideWhenUsed/>
    <w:qFormat/>
    <w:uiPriority w:val="0"/>
    <w:pPr>
      <w:spacing w:before="100" w:beforeAutospacing="1" w:after="100" w:afterAutospacing="1"/>
    </w:pPr>
  </w:style>
  <w:style w:type="character" w:styleId="12">
    <w:name w:val="Strong"/>
    <w:qFormat/>
    <w:uiPriority w:val="0"/>
    <w:rPr>
      <w:b/>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15">
    <w:name w:val="列出段落1"/>
    <w:basedOn w:val="1"/>
    <w:qFormat/>
    <w:uiPriority w:val="99"/>
    <w:pPr>
      <w:ind w:firstLine="420" w:firstLineChars="200"/>
    </w:pPr>
    <w:rPr>
      <w:rFonts w:hint="default"/>
    </w:rPr>
  </w:style>
  <w:style w:type="paragraph" w:customStyle="1" w:styleId="16">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7">
    <w:name w:val="21"/>
    <w:qFormat/>
    <w:uiPriority w:val="0"/>
    <w:rPr>
      <w:rFonts w:hint="default" w:ascii="Wingdings" w:hAnsi="Wingdings" w:cs="Wingdings"/>
      <w:b/>
      <w:bCs/>
    </w:rPr>
  </w:style>
  <w:style w:type="paragraph" w:customStyle="1" w:styleId="18">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9">
    <w:name w:val="批注框文本 Char"/>
    <w:basedOn w:val="11"/>
    <w:link w:val="4"/>
    <w:qFormat/>
    <w:uiPriority w:val="0"/>
    <w:rPr>
      <w:rFonts w:ascii="宋体" w:hAnsi="宋体"/>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30</Pages>
  <Words>3933</Words>
  <Characters>22421</Characters>
  <Lines>186</Lines>
  <Paragraphs>52</Paragraphs>
  <TotalTime>1</TotalTime>
  <ScaleCrop>false</ScaleCrop>
  <LinksUpToDate>false</LinksUpToDate>
  <CharactersWithSpaces>26302</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2025-06-26T07:40:00Z</dcterms:created>
  <dc:creator>Administrator</dc:creator>
  <cp:lastModifiedBy>Administrator</cp:lastModifiedBy>
  <dcterms:modified xsi:type="dcterms:W3CDTF">2025-08-20T08:28:07Z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BB46EABDBB2749749395447164B066B3_12</vt:lpwstr>
  </property>
</Properties>
</file>