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both"/>
        <w:outlineLvl w:val="0"/>
        <w:rPr>
          <w:rFonts w:ascii="方正小标宋_GBK" w:hAnsi="方正小标宋_GBK" w:eastAsia="方正小标宋_GBK" w:cs="方正小标宋_GBK"/>
          <w:b w:val="0"/>
          <w:bCs w:val="0"/>
          <w:sz w:val="36"/>
          <w:szCs w:val="36"/>
        </w:rPr>
        <w:sectPr>
          <w:pgSz w:w="11915" w:h="16840"/>
          <w:pgMar w:top="1440" w:right="1800" w:bottom="1440" w:left="1800" w:header="851" w:footer="992" w:gutter="0"/>
          <w:pgNumType w:fmt="numberInDash"/>
          <w:cols w:space="720" w:num="1"/>
          <w:docGrid w:type="lines" w:linePitch="312" w:charSpace="0"/>
        </w:sectPr>
      </w:pPr>
      <w:bookmarkStart w:id="0" w:name="_Toc13034"/>
    </w:p>
    <w:p>
      <w:pPr>
        <w:pStyle w:val="10"/>
        <w:spacing w:before="0" w:beforeAutospacing="0" w:after="0" w:afterAutospacing="0" w:line="596" w:lineRule="exact"/>
        <w:jc w:val="center"/>
        <w:outlineLvl w:val="0"/>
        <w:rPr>
          <w:rFonts w:ascii="方正小标宋_GBK" w:hAnsi="方正小标宋_GBK" w:eastAsia="方正小标宋_GBK" w:cs="方正小标宋_GBK"/>
          <w:b w:val="0"/>
          <w:bCs w:val="0"/>
          <w:sz w:val="36"/>
          <w:szCs w:val="36"/>
        </w:rPr>
      </w:pPr>
      <w:r>
        <w:rPr>
          <w:rFonts w:ascii="方正小标宋_GBK" w:hAnsi="方正小标宋_GBK" w:eastAsia="方正小标宋_GBK" w:cs="方正小标宋_GBK"/>
          <w:b w:val="0"/>
          <w:bCs w:val="0"/>
          <w:sz w:val="36"/>
          <w:szCs w:val="36"/>
        </w:rPr>
        <w:t>重庆市永川区来苏镇建设环保服务中心</w:t>
      </w:r>
      <w:bookmarkEnd w:id="0"/>
    </w:p>
    <w:p>
      <w:pPr>
        <w:pStyle w:val="10"/>
        <w:spacing w:before="0" w:beforeAutospacing="0" w:after="0" w:afterAutospacing="0" w:line="596" w:lineRule="exact"/>
        <w:jc w:val="center"/>
        <w:outlineLvl w:val="0"/>
        <w:rPr>
          <w:rFonts w:hint="default" w:ascii="方正小标宋_GBK" w:hAnsi="方正小标宋_GBK" w:eastAsia="方正小标宋_GBK" w:cs="方正小标宋_GBK"/>
          <w:b w:val="0"/>
          <w:bCs w:val="0"/>
          <w:sz w:val="36"/>
          <w:szCs w:val="36"/>
          <w:shd w:val="clear" w:color="auto" w:fill="FFFFFF"/>
        </w:rPr>
      </w:pPr>
      <w:bookmarkStart w:id="1" w:name="_Toc20237"/>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bookmarkEnd w:id="1"/>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2" w:name="_Toc19470"/>
      <w:r>
        <w:rPr>
          <w:rFonts w:hint="eastAsia" w:ascii="黑体" w:hAnsi="黑体" w:eastAsia="黑体" w:cs="黑体"/>
          <w:sz w:val="32"/>
          <w:szCs w:val="32"/>
        </w:rPr>
        <w:t>一、</w:t>
      </w:r>
      <w:r>
        <w:rPr>
          <w:rFonts w:hint="eastAsia" w:ascii="黑体" w:hAnsi="黑体" w:eastAsia="黑体" w:cs="黑体"/>
          <w:sz w:val="32"/>
          <w:szCs w:val="32"/>
          <w:lang w:eastAsia="zh-CN"/>
        </w:rPr>
        <w:t>部门</w:t>
      </w:r>
      <w:r>
        <w:rPr>
          <w:rFonts w:hint="eastAsia" w:ascii="黑体" w:hAnsi="黑体" w:eastAsia="黑体" w:cs="黑体"/>
          <w:sz w:val="32"/>
          <w:szCs w:val="32"/>
        </w:rPr>
        <w:t>基本情况</w:t>
      </w:r>
      <w:bookmarkEnd w:id="2"/>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 w:name="_Toc17602"/>
      <w:r>
        <w:rPr>
          <w:rFonts w:hint="eastAsia" w:ascii="楷体" w:hAnsi="楷体" w:eastAsia="楷体" w:cs="楷体"/>
        </w:rPr>
        <w:t>（一）职能职责</w:t>
      </w:r>
      <w:bookmarkEnd w:id="3"/>
    </w:p>
    <w:p>
      <w:pPr>
        <w:spacing w:line="600" w:lineRule="exact"/>
        <w:ind w:firstLine="640" w:firstLineChars="200"/>
        <w:outlineLvl w:val="0"/>
        <w:rPr>
          <w:rFonts w:hint="eastAsia" w:ascii="方正仿宋_GBK" w:hAnsi="仿宋_GB2312" w:eastAsia="方正仿宋_GBK" w:cs="仿宋_GB2312"/>
          <w:sz w:val="32"/>
        </w:rPr>
      </w:pPr>
      <w:bookmarkStart w:id="4" w:name="_Toc8112"/>
      <w:r>
        <w:rPr>
          <w:rFonts w:hint="eastAsia" w:ascii="方正仿宋_GBK" w:hAnsi="仿宋_GB2312" w:eastAsia="方正仿宋_GBK" w:cs="仿宋_GB2312"/>
          <w:sz w:val="32"/>
        </w:rPr>
        <w:t>重庆市永川区来苏镇建设环保服务中心位于来苏镇东坡大道168号，负责城乡建设、自建项目（含农村建设项目、农村综合开发项目）及配套建设、建设统计年报和档案管理、住房及物业、市容市貌（含村容村貌）、环境卫生、园林绿化、市政公用设施、自然生态环境保护、污染监测防治、交通建设和道路绿化养护及交通运输等领域的事务性服务工作。</w:t>
      </w:r>
      <w:bookmarkEnd w:id="4"/>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r>
        <w:rPr>
          <w:rFonts w:hint="eastAsia" w:ascii="楷体" w:hAnsi="楷体" w:eastAsia="楷体" w:cs="楷体"/>
          <w:lang w:val="en-US" w:eastAsia="zh-CN"/>
        </w:rPr>
        <w:t xml:space="preserve"> </w:t>
      </w:r>
      <w:bookmarkStart w:id="5" w:name="_Toc17208"/>
      <w:r>
        <w:rPr>
          <w:rFonts w:hint="eastAsia" w:ascii="楷体" w:hAnsi="楷体" w:eastAsia="楷体" w:cs="楷体"/>
        </w:rPr>
        <w:t>（二）机构设置</w:t>
      </w:r>
      <w:bookmarkEnd w:id="5"/>
    </w:p>
    <w:p>
      <w:pPr>
        <w:spacing w:line="600" w:lineRule="exact"/>
        <w:ind w:firstLine="640" w:firstLineChars="200"/>
        <w:outlineLvl w:val="0"/>
        <w:rPr>
          <w:rFonts w:hint="eastAsia" w:ascii="方正仿宋_GBK" w:hAnsi="仿宋_GB2312" w:eastAsia="方正仿宋_GBK" w:cs="仿宋_GB2312"/>
          <w:sz w:val="32"/>
        </w:rPr>
      </w:pPr>
      <w:bookmarkStart w:id="6" w:name="_Toc29017"/>
      <w:r>
        <w:rPr>
          <w:rFonts w:hint="default" w:ascii="Times New Roman" w:hAnsi="Times New Roman" w:eastAsia="方正仿宋_GBK" w:cs="Times New Roman"/>
          <w:b w:val="0"/>
          <w:bCs w:val="0"/>
          <w:sz w:val="32"/>
          <w:szCs w:val="32"/>
        </w:rPr>
        <w:t>本单位内设机构1个。机构类别为公益一类，经费形式为财政全额拨款</w:t>
      </w:r>
      <w:r>
        <w:rPr>
          <w:rFonts w:hint="eastAsia" w:ascii="方正仿宋_GBK" w:hAnsi="仿宋_GB2312" w:eastAsia="方正仿宋_GBK" w:cs="仿宋_GB2312"/>
          <w:sz w:val="32"/>
        </w:rPr>
        <w:t>。</w:t>
      </w:r>
      <w:bookmarkEnd w:id="6"/>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7" w:name="_Toc15285"/>
      <w:r>
        <w:rPr>
          <w:rFonts w:hint="eastAsia" w:ascii="黑体" w:hAnsi="黑体" w:eastAsia="黑体" w:cs="黑体"/>
          <w:sz w:val="32"/>
          <w:szCs w:val="32"/>
        </w:rPr>
        <w:t>二、</w:t>
      </w:r>
      <w:r>
        <w:rPr>
          <w:rFonts w:hint="eastAsia" w:ascii="黑体" w:hAnsi="黑体" w:eastAsia="黑体" w:cs="黑体"/>
          <w:sz w:val="32"/>
          <w:szCs w:val="32"/>
          <w:lang w:eastAsia="zh-CN"/>
        </w:rPr>
        <w:t>部门</w:t>
      </w:r>
      <w:r>
        <w:rPr>
          <w:rFonts w:hint="eastAsia" w:ascii="黑体" w:hAnsi="黑体" w:eastAsia="黑体" w:cs="黑体"/>
          <w:sz w:val="32"/>
          <w:szCs w:val="32"/>
        </w:rPr>
        <w:t>决算</w:t>
      </w:r>
      <w:r>
        <w:rPr>
          <w:rFonts w:hint="eastAsia" w:ascii="黑体" w:hAnsi="黑体" w:eastAsia="黑体" w:cs="黑体"/>
          <w:sz w:val="32"/>
          <w:szCs w:val="32"/>
          <w:lang w:eastAsia="zh-CN"/>
        </w:rPr>
        <w:t>收支</w:t>
      </w:r>
      <w:r>
        <w:rPr>
          <w:rFonts w:hint="eastAsia" w:ascii="黑体" w:hAnsi="黑体" w:eastAsia="黑体" w:cs="黑体"/>
          <w:sz w:val="32"/>
          <w:szCs w:val="32"/>
        </w:rPr>
        <w:t>情况说明</w:t>
      </w:r>
      <w:bookmarkEnd w:id="7"/>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8" w:name="_Toc16789"/>
      <w:r>
        <w:rPr>
          <w:rFonts w:hint="eastAsia" w:ascii="楷体" w:hAnsi="楷体" w:eastAsia="楷体" w:cs="楷体"/>
        </w:rPr>
        <w:t>（一）收入支出决算总体情况说明</w:t>
      </w:r>
      <w:bookmarkEnd w:id="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w:t>
      </w:r>
      <w:r>
        <w:rPr>
          <w:rFonts w:hint="eastAsia" w:ascii="Times New Roman" w:hAnsi="Times New Roman" w:eastAsia="方正仿宋_GBK" w:cs="Times New Roman"/>
          <w:b w:val="0"/>
          <w:bCs w:val="0"/>
          <w:sz w:val="32"/>
          <w:szCs w:val="32"/>
          <w:shd w:val="clear" w:color="auto" w:fill="FFFFFF"/>
          <w:lang w:val="en-US" w:eastAsia="zh-CN"/>
        </w:rPr>
        <w:t>45.53</w:t>
      </w:r>
      <w:r>
        <w:rPr>
          <w:rFonts w:hint="default" w:ascii="Times New Roman" w:hAnsi="Times New Roman" w:eastAsia="方正仿宋_GBK" w:cs="Times New Roman"/>
          <w:b w:val="0"/>
          <w:bCs w:val="0"/>
          <w:sz w:val="32"/>
          <w:szCs w:val="32"/>
          <w:shd w:val="clear" w:color="auto" w:fill="FFFFFF"/>
        </w:rPr>
        <w:t>万元，支出总计</w:t>
      </w:r>
      <w:r>
        <w:rPr>
          <w:rFonts w:hint="eastAsia" w:ascii="Times New Roman" w:hAnsi="Times New Roman" w:eastAsia="方正仿宋_GBK" w:cs="Times New Roman"/>
          <w:b w:val="0"/>
          <w:bCs w:val="0"/>
          <w:sz w:val="32"/>
          <w:szCs w:val="32"/>
          <w:shd w:val="clear" w:color="auto" w:fill="FFFFFF"/>
          <w:lang w:val="en-US" w:eastAsia="zh-CN"/>
        </w:rPr>
        <w:t>45.53</w:t>
      </w:r>
      <w:r>
        <w:rPr>
          <w:rFonts w:hint="default" w:ascii="Times New Roman" w:hAnsi="Times New Roman" w:eastAsia="方正仿宋_GBK" w:cs="Times New Roman"/>
          <w:b w:val="0"/>
          <w:bCs w:val="0"/>
          <w:sz w:val="32"/>
          <w:szCs w:val="32"/>
          <w:shd w:val="clear" w:color="auto" w:fill="FFFFFF"/>
        </w:rPr>
        <w:t>万元。收支较上年决算数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8.82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16.23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2024年度收入合计</w:t>
      </w:r>
      <w:r>
        <w:rPr>
          <w:rFonts w:hint="eastAsia" w:ascii="Times New Roman" w:hAnsi="Times New Roman" w:eastAsia="方正仿宋_GBK" w:cs="Times New Roman"/>
          <w:b w:val="0"/>
          <w:bCs w:val="0"/>
          <w:sz w:val="32"/>
          <w:szCs w:val="32"/>
          <w:shd w:val="clear" w:color="auto" w:fill="FFFFFF"/>
          <w:lang w:val="en-US" w:eastAsia="zh-CN"/>
        </w:rPr>
        <w:t>45.53</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8.82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16.23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其中：财政拨款收入</w:t>
      </w:r>
      <w:r>
        <w:rPr>
          <w:rFonts w:hint="eastAsia" w:ascii="Times New Roman" w:hAnsi="Times New Roman" w:eastAsia="方正仿宋_GBK" w:cs="Times New Roman"/>
          <w:b w:val="0"/>
          <w:bCs w:val="0"/>
          <w:sz w:val="32"/>
          <w:szCs w:val="32"/>
          <w:lang w:val="en-US" w:eastAsia="zh-CN"/>
        </w:rPr>
        <w:t>45.53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2024年度支出合计</w:t>
      </w:r>
      <w:r>
        <w:rPr>
          <w:rFonts w:hint="eastAsia" w:ascii="Times New Roman" w:hAnsi="Times New Roman" w:eastAsia="方正仿宋_GBK" w:cs="Times New Roman"/>
          <w:b w:val="0"/>
          <w:bCs w:val="0"/>
          <w:sz w:val="32"/>
          <w:szCs w:val="32"/>
          <w:shd w:val="clear" w:color="auto" w:fill="FFFFFF"/>
          <w:lang w:val="en-US" w:eastAsia="zh-CN"/>
        </w:rPr>
        <w:t>45.53</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8.82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16.23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其中：基本支出</w:t>
      </w:r>
      <w:r>
        <w:rPr>
          <w:rFonts w:hint="eastAsia" w:ascii="Times New Roman" w:hAnsi="Times New Roman" w:eastAsia="方正仿宋_GBK" w:cs="Times New Roman"/>
          <w:b w:val="0"/>
          <w:bCs w:val="0"/>
          <w:sz w:val="32"/>
          <w:szCs w:val="32"/>
          <w:lang w:val="en-US" w:eastAsia="zh-CN"/>
        </w:rPr>
        <w:t>45.53</w:t>
      </w:r>
      <w:r>
        <w:rPr>
          <w:rFonts w:hint="default" w:ascii="Times New Roman" w:hAnsi="Times New Roman" w:eastAsia="方正仿宋_GBK" w:cs="Times New Roman"/>
          <w:b w:val="0"/>
          <w:bCs w:val="0"/>
          <w:sz w:val="32"/>
          <w:szCs w:val="32"/>
          <w:shd w:val="clear" w:color="auto" w:fill="FFFFFF"/>
        </w:rPr>
        <w:t>万元，占100.00%。此外，结余分配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9" w:name="_Toc6028"/>
      <w:r>
        <w:rPr>
          <w:rFonts w:hint="eastAsia" w:ascii="楷体" w:hAnsi="楷体" w:eastAsia="楷体" w:cs="楷体"/>
        </w:rPr>
        <w:t>（二）财政拨款收入支出决算总体情况说明</w:t>
      </w:r>
      <w:bookmarkEnd w:id="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w:t>
      </w:r>
      <w:r>
        <w:rPr>
          <w:rFonts w:hint="eastAsia" w:ascii="Times New Roman" w:hAnsi="Times New Roman" w:eastAsia="方正仿宋_GBK" w:cs="Times New Roman"/>
          <w:b w:val="0"/>
          <w:bCs w:val="0"/>
          <w:sz w:val="32"/>
          <w:szCs w:val="32"/>
          <w:shd w:val="clear" w:color="auto" w:fill="FFFFFF"/>
          <w:lang w:val="en-US" w:eastAsia="zh-CN"/>
        </w:rPr>
        <w:t>45.53</w:t>
      </w:r>
      <w:r>
        <w:rPr>
          <w:rFonts w:hint="default" w:ascii="Times New Roman" w:hAnsi="Times New Roman" w:eastAsia="方正仿宋_GBK" w:cs="Times New Roman"/>
          <w:b w:val="0"/>
          <w:bCs w:val="0"/>
          <w:sz w:val="32"/>
          <w:szCs w:val="32"/>
          <w:shd w:val="clear" w:color="auto" w:fill="FFFFFF"/>
        </w:rPr>
        <w:t>万元。与2023年相比，财政拨款收、支总计各</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8.82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16.23</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0" w:name="_Toc23442"/>
      <w:r>
        <w:rPr>
          <w:rFonts w:hint="eastAsia" w:ascii="楷体" w:hAnsi="楷体" w:eastAsia="楷体" w:cs="楷体"/>
        </w:rPr>
        <w:t>（三）一般公共预算财政拨款收入支出决算情况说明</w:t>
      </w:r>
      <w:bookmarkEnd w:id="1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w:t>
      </w:r>
      <w:r>
        <w:rPr>
          <w:rFonts w:hint="eastAsia" w:ascii="Times New Roman" w:hAnsi="Times New Roman" w:eastAsia="方正仿宋_GBK" w:cs="Times New Roman"/>
          <w:b w:val="0"/>
          <w:bCs w:val="0"/>
          <w:sz w:val="32"/>
          <w:szCs w:val="32"/>
          <w:lang w:val="en-US" w:eastAsia="zh-CN"/>
        </w:rPr>
        <w:t>45.53</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8.82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16.23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4.16</w:t>
      </w:r>
      <w:r>
        <w:rPr>
          <w:rFonts w:hint="default" w:ascii="Times New Roman" w:hAnsi="Times New Roman" w:eastAsia="方正仿宋_GBK" w:cs="Times New Roman"/>
          <w:b w:val="0"/>
          <w:bCs w:val="0"/>
          <w:sz w:val="32"/>
          <w:szCs w:val="32"/>
          <w:shd w:val="clear" w:color="auto" w:fill="FFFFFF"/>
        </w:rPr>
        <w:t>万元，增长1</w:t>
      </w:r>
      <w:r>
        <w:rPr>
          <w:rFonts w:hint="eastAsia" w:ascii="Times New Roman" w:hAnsi="Times New Roman" w:eastAsia="方正仿宋_GBK" w:cs="Times New Roman"/>
          <w:b w:val="0"/>
          <w:bCs w:val="0"/>
          <w:sz w:val="32"/>
          <w:szCs w:val="32"/>
          <w:shd w:val="clear" w:color="auto" w:fill="FFFFFF"/>
          <w:lang w:val="en-US" w:eastAsia="zh-CN"/>
        </w:rPr>
        <w:t>0.06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补发事业人员</w:t>
      </w:r>
      <w:r>
        <w:rPr>
          <w:rFonts w:hint="default" w:ascii="Times New Roman" w:hAnsi="Times New Roman" w:eastAsia="方正仿宋_GBK" w:cs="Times New Roman"/>
          <w:sz w:val="32"/>
          <w:szCs w:val="32"/>
          <w:lang w:val="en-US" w:eastAsia="zh-CN"/>
        </w:rPr>
        <w:t>2022年超额绩效</w:t>
      </w:r>
      <w:r>
        <w:rPr>
          <w:rFonts w:hint="default" w:ascii="Times New Roman" w:hAnsi="Times New Roman" w:eastAsia="方正仿宋_GBK" w:cs="Times New Roman"/>
          <w:sz w:val="32"/>
          <w:szCs w:val="32"/>
          <w:lang w:eastAsia="zh-CN"/>
        </w:rPr>
        <w:t>及正常增人增资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w:t>
      </w:r>
      <w:r>
        <w:rPr>
          <w:rFonts w:hint="eastAsia" w:ascii="Times New Roman" w:hAnsi="Times New Roman" w:eastAsia="方正仿宋_GBK" w:cs="Times New Roman"/>
          <w:b w:val="0"/>
          <w:bCs w:val="0"/>
          <w:sz w:val="32"/>
          <w:szCs w:val="32"/>
          <w:lang w:val="en-US" w:eastAsia="zh-CN"/>
        </w:rPr>
        <w:t>45.53</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8.82</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16.23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4.16</w:t>
      </w:r>
      <w:r>
        <w:rPr>
          <w:rFonts w:hint="default" w:ascii="Times New Roman" w:hAnsi="Times New Roman" w:eastAsia="方正仿宋_GBK" w:cs="Times New Roman"/>
          <w:b w:val="0"/>
          <w:bCs w:val="0"/>
          <w:sz w:val="32"/>
          <w:szCs w:val="32"/>
          <w:shd w:val="clear" w:color="auto" w:fill="FFFFFF"/>
        </w:rPr>
        <w:t>万元，增长1</w:t>
      </w:r>
      <w:r>
        <w:rPr>
          <w:rFonts w:hint="eastAsia" w:ascii="Times New Roman" w:hAnsi="Times New Roman" w:eastAsia="方正仿宋_GBK" w:cs="Times New Roman"/>
          <w:b w:val="0"/>
          <w:bCs w:val="0"/>
          <w:sz w:val="32"/>
          <w:szCs w:val="32"/>
          <w:shd w:val="clear" w:color="auto" w:fill="FFFFFF"/>
          <w:lang w:val="en-US" w:eastAsia="zh-CN"/>
        </w:rPr>
        <w:t>0.06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补发事业人员</w:t>
      </w:r>
      <w:r>
        <w:rPr>
          <w:rFonts w:hint="default" w:ascii="Times New Roman" w:hAnsi="Times New Roman" w:eastAsia="方正仿宋_GBK" w:cs="Times New Roman"/>
          <w:sz w:val="32"/>
          <w:szCs w:val="32"/>
          <w:lang w:val="en-US" w:eastAsia="zh-CN"/>
        </w:rPr>
        <w:t>2022年超额绩效</w:t>
      </w:r>
      <w:r>
        <w:rPr>
          <w:rFonts w:hint="default" w:ascii="Times New Roman" w:hAnsi="Times New Roman" w:eastAsia="方正仿宋_GBK" w:cs="Times New Roman"/>
          <w:sz w:val="32"/>
          <w:szCs w:val="32"/>
          <w:lang w:eastAsia="zh-CN"/>
        </w:rPr>
        <w:t>及正常增人增资</w:t>
      </w:r>
      <w:r>
        <w:rPr>
          <w:rFonts w:hint="default" w:ascii="Times New Roman" w:hAnsi="Times New Roman" w:eastAsia="方正仿宋_GBK" w:cs="Times New Roman"/>
          <w:sz w:val="32"/>
          <w:szCs w:val="32"/>
        </w:rPr>
        <w:t>。</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eastAsia" w:ascii="Times New Roman" w:hAnsi="Times New Roman" w:eastAsia="方正仿宋_GBK" w:cs="Times New Roman"/>
          <w:b w:val="0"/>
          <w:bCs w:val="0"/>
          <w:sz w:val="32"/>
          <w:szCs w:val="32"/>
          <w:lang w:val="en-US" w:eastAsia="zh-CN"/>
        </w:rPr>
        <w:t>3.77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w:t>
      </w:r>
      <w:r>
        <w:rPr>
          <w:rFonts w:hint="eastAsia" w:ascii="Times New Roman" w:hAnsi="Times New Roman" w:eastAsia="方正仿宋_GBK" w:cs="Times New Roman"/>
          <w:b w:val="0"/>
          <w:bCs w:val="0"/>
          <w:sz w:val="32"/>
          <w:szCs w:val="32"/>
          <w:lang w:val="en-US" w:eastAsia="zh-CN"/>
        </w:rPr>
        <w:t>28</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eastAsia" w:ascii="Times New Roman" w:hAnsi="Times New Roman" w:eastAsia="方正仿宋_GBK" w:cs="Times New Roman"/>
          <w:b w:val="0"/>
          <w:bCs w:val="0"/>
          <w:sz w:val="32"/>
          <w:szCs w:val="32"/>
          <w:lang w:val="en-US" w:eastAsia="zh-CN"/>
        </w:rPr>
        <w:t>1.91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shd w:val="clear" w:color="auto" w:fill="FFFFFF"/>
        </w:rPr>
        <w:t>%，较年初预算数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0.19万元，下降9.05%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本单位合署办公，养老保险、医疗保险等相关经费绝大部分在本级列支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）城乡社区支出</w:t>
      </w:r>
      <w:r>
        <w:rPr>
          <w:rFonts w:hint="eastAsia" w:ascii="Times New Roman" w:hAnsi="Times New Roman" w:eastAsia="方正仿宋_GBK" w:cs="Times New Roman"/>
          <w:b w:val="0"/>
          <w:bCs w:val="0"/>
          <w:sz w:val="32"/>
          <w:szCs w:val="32"/>
          <w:lang w:val="en-US" w:eastAsia="zh-CN"/>
        </w:rPr>
        <w:t>37.97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w:t>
      </w:r>
      <w:r>
        <w:rPr>
          <w:rFonts w:hint="eastAsia" w:ascii="Times New Roman" w:hAnsi="Times New Roman" w:eastAsia="方正仿宋_GBK" w:cs="Times New Roman"/>
          <w:b w:val="0"/>
          <w:bCs w:val="0"/>
          <w:sz w:val="32"/>
          <w:szCs w:val="32"/>
          <w:lang w:val="en-US" w:eastAsia="zh-CN"/>
        </w:rPr>
        <w:t>3.40</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4.36</w:t>
      </w:r>
      <w:r>
        <w:rPr>
          <w:rFonts w:hint="default" w:ascii="Times New Roman" w:hAnsi="Times New Roman" w:eastAsia="方正仿宋_GBK" w:cs="Times New Roman"/>
          <w:b w:val="0"/>
          <w:bCs w:val="0"/>
          <w:sz w:val="32"/>
          <w:szCs w:val="32"/>
          <w:shd w:val="clear" w:color="auto" w:fill="FFFFFF"/>
        </w:rPr>
        <w:t>万元，增长1</w:t>
      </w:r>
      <w:r>
        <w:rPr>
          <w:rFonts w:hint="eastAsia" w:ascii="Times New Roman" w:hAnsi="Times New Roman" w:eastAsia="方正仿宋_GBK" w:cs="Times New Roman"/>
          <w:b w:val="0"/>
          <w:bCs w:val="0"/>
          <w:sz w:val="32"/>
          <w:szCs w:val="32"/>
          <w:shd w:val="clear" w:color="auto" w:fill="FFFFFF"/>
          <w:lang w:val="en-US" w:eastAsia="zh-CN"/>
        </w:rPr>
        <w:t>2.97</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本单位本年度补缴事业人员</w:t>
      </w:r>
      <w:r>
        <w:rPr>
          <w:rFonts w:hint="default" w:ascii="Times New Roman" w:hAnsi="Times New Roman" w:eastAsia="方正仿宋_GBK" w:cs="Times New Roman"/>
          <w:sz w:val="32"/>
          <w:szCs w:val="32"/>
          <w:lang w:val="en-US" w:eastAsia="zh-CN"/>
        </w:rPr>
        <w:t>2022年超额绩效及正常增人增资。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eastAsia" w:ascii="Times New Roman" w:hAnsi="Times New Roman" w:eastAsia="方正仿宋_GBK" w:cs="Times New Roman"/>
          <w:b w:val="0"/>
          <w:bCs w:val="0"/>
          <w:sz w:val="32"/>
          <w:szCs w:val="32"/>
          <w:lang w:val="en-US" w:eastAsia="zh-CN"/>
        </w:rPr>
        <w:t>1.88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13</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1" w:name="_Toc1971"/>
      <w:r>
        <w:rPr>
          <w:rFonts w:hint="eastAsia" w:ascii="楷体" w:hAnsi="楷体" w:eastAsia="楷体" w:cs="楷体"/>
        </w:rPr>
        <w:t>（四）一般公共预算财政拨款基本支出决算情况说明</w:t>
      </w:r>
      <w:bookmarkEnd w:id="1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2024年度一般公共财政拨款基本支出</w:t>
      </w:r>
      <w:r>
        <w:rPr>
          <w:rFonts w:hint="eastAsia" w:ascii="Times New Roman" w:hAnsi="Times New Roman" w:eastAsia="方正仿宋_GBK" w:cs="Times New Roman"/>
          <w:b w:val="0"/>
          <w:bCs w:val="0"/>
          <w:sz w:val="32"/>
          <w:szCs w:val="32"/>
          <w:lang w:val="en-US" w:eastAsia="zh-CN"/>
        </w:rPr>
        <w:t>45.53</w:t>
      </w:r>
      <w:r>
        <w:rPr>
          <w:rFonts w:hint="default" w:ascii="Times New Roman" w:hAnsi="Times New Roman" w:eastAsia="方正仿宋_GBK" w:cs="Times New Roman"/>
          <w:b w:val="0"/>
          <w:bCs w:val="0"/>
          <w:sz w:val="32"/>
          <w:szCs w:val="32"/>
          <w:shd w:val="clear" w:color="auto" w:fill="FFFFFF"/>
        </w:rPr>
        <w:t>万元。其中：人员经费</w:t>
      </w:r>
      <w:r>
        <w:rPr>
          <w:rFonts w:hint="eastAsia" w:ascii="Times New Roman" w:hAnsi="Times New Roman" w:eastAsia="方正仿宋_GBK" w:cs="Times New Roman"/>
          <w:b w:val="0"/>
          <w:bCs w:val="0"/>
          <w:sz w:val="32"/>
          <w:szCs w:val="32"/>
          <w:lang w:val="en-US" w:eastAsia="zh-CN"/>
        </w:rPr>
        <w:t>39.62</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8.54</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17.73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本单位合署办公，养老保险、医疗保险、住房公积金、水电费、公务接待费等相关经费绝大部分在本级列支</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人员经费用途主要包括基本工资、津贴补贴、奖金、社会保障缴费等。</w:t>
      </w:r>
      <w:r>
        <w:rPr>
          <w:rFonts w:hint="default" w:ascii="Times New Roman" w:hAnsi="Times New Roman" w:eastAsia="方正仿宋_GBK" w:cs="Times New Roman"/>
          <w:b w:val="0"/>
          <w:bCs w:val="0"/>
          <w:sz w:val="32"/>
          <w:szCs w:val="32"/>
          <w:shd w:val="clear" w:color="auto" w:fill="FFFFFF"/>
        </w:rPr>
        <w:t>公用经费</w:t>
      </w:r>
      <w:r>
        <w:rPr>
          <w:rFonts w:hint="eastAsia" w:ascii="Times New Roman" w:hAnsi="Times New Roman" w:eastAsia="方正仿宋_GBK" w:cs="Times New Roman"/>
          <w:b w:val="0"/>
          <w:bCs w:val="0"/>
          <w:sz w:val="32"/>
          <w:szCs w:val="32"/>
          <w:lang w:val="en-US" w:eastAsia="zh-CN"/>
        </w:rPr>
        <w:t>5.91</w:t>
      </w:r>
      <w:r>
        <w:rPr>
          <w:rFonts w:hint="default" w:ascii="Times New Roman" w:hAnsi="Times New Roman" w:eastAsia="方正仿宋_GBK" w:cs="Times New Roman"/>
          <w:b w:val="0"/>
          <w:bCs w:val="0"/>
          <w:sz w:val="32"/>
          <w:szCs w:val="32"/>
          <w:shd w:val="clear" w:color="auto" w:fill="FFFFFF"/>
        </w:rPr>
        <w:t>万元，较上年决算数减少0.</w:t>
      </w:r>
      <w:r>
        <w:rPr>
          <w:rFonts w:hint="eastAsia" w:ascii="Times New Roman" w:hAnsi="Times New Roman" w:eastAsia="方正仿宋_GBK" w:cs="Times New Roman"/>
          <w:b w:val="0"/>
          <w:bCs w:val="0"/>
          <w:sz w:val="32"/>
          <w:szCs w:val="32"/>
          <w:shd w:val="clear" w:color="auto" w:fill="FFFFFF"/>
          <w:lang w:val="en-US" w:eastAsia="zh-CN"/>
        </w:rPr>
        <w:t>28</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4.52</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本单位合署办公，公务接待费减少</w:t>
      </w:r>
      <w:r>
        <w:rPr>
          <w:rFonts w:hint="default" w:ascii="Times New Roman" w:hAnsi="Times New Roman" w:eastAsia="方正仿宋_GBK" w:cs="Times New Roman"/>
          <w:sz w:val="32"/>
          <w:szCs w:val="32"/>
        </w:rPr>
        <w:t>。公用经费用途主要包括办公费、印刷费、咨询费、手续费等。</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2" w:name="_Toc31976"/>
      <w:r>
        <w:rPr>
          <w:rFonts w:hint="eastAsia" w:ascii="楷体" w:hAnsi="楷体" w:eastAsia="楷体" w:cs="楷体"/>
        </w:rPr>
        <w:t>（五）政府性基金预算收支决算情况说明</w:t>
      </w:r>
      <w:bookmarkEnd w:id="12"/>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本单位2024年度无政府性基金预算财政拨款收支。</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3" w:name="_Toc18930"/>
      <w:r>
        <w:rPr>
          <w:rFonts w:hint="eastAsia" w:ascii="楷体" w:hAnsi="楷体" w:eastAsia="楷体" w:cs="楷体"/>
        </w:rPr>
        <w:t>（六）国有资本经营预算财政拨款支出决算情况说明</w:t>
      </w:r>
      <w:bookmarkEnd w:id="13"/>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本单位2024年度无国有资本经营预算财政拨款支出。</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14" w:name="_Toc20615"/>
      <w:r>
        <w:rPr>
          <w:rFonts w:hint="eastAsia" w:ascii="黑体" w:hAnsi="黑体" w:eastAsia="黑体" w:cs="黑体"/>
          <w:sz w:val="32"/>
          <w:szCs w:val="32"/>
        </w:rPr>
        <w:t>三、</w:t>
      </w:r>
      <w:r>
        <w:rPr>
          <w:rFonts w:hint="eastAsia" w:ascii="黑体" w:hAnsi="黑体" w:eastAsia="黑体" w:cs="黑体"/>
          <w:sz w:val="32"/>
          <w:szCs w:val="32"/>
          <w:lang w:eastAsia="zh-CN"/>
        </w:rPr>
        <w:t>财政拨款</w:t>
      </w:r>
      <w:r>
        <w:rPr>
          <w:rFonts w:hint="eastAsia" w:ascii="黑体" w:hAnsi="黑体" w:eastAsia="黑体" w:cs="黑体"/>
          <w:sz w:val="32"/>
          <w:szCs w:val="32"/>
        </w:rPr>
        <w:t>“三公”经费情况说明</w:t>
      </w:r>
      <w:bookmarkEnd w:id="14"/>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5" w:name="_Toc22683"/>
      <w:r>
        <w:rPr>
          <w:rFonts w:hint="eastAsia" w:ascii="楷体" w:hAnsi="楷体" w:eastAsia="楷体" w:cs="楷体"/>
        </w:rPr>
        <w:t>（一）“三公”经费支出总体情况说明</w:t>
      </w:r>
      <w:bookmarkEnd w:id="15"/>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万元，较年初预算数无增减，主要原因是</w:t>
      </w:r>
      <w:r>
        <w:rPr>
          <w:rFonts w:hint="default" w:ascii="Times New Roman" w:hAnsi="Times New Roman" w:eastAsia="方正仿宋_GBK" w:cs="Times New Roman"/>
          <w:sz w:val="32"/>
          <w:szCs w:val="32"/>
          <w:lang w:eastAsia="zh-CN"/>
        </w:rPr>
        <w:t>本单位与政府机关合署办公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较上年支出数减少0.</w:t>
      </w:r>
      <w:r>
        <w:rPr>
          <w:rFonts w:hint="eastAsia" w:ascii="Times New Roman" w:hAnsi="Times New Roman" w:eastAsia="方正仿宋_GBK" w:cs="Times New Roman"/>
          <w:b w:val="0"/>
          <w:bCs w:val="0"/>
          <w:sz w:val="32"/>
          <w:szCs w:val="32"/>
          <w:shd w:val="clear" w:color="auto" w:fill="FFFFFF"/>
          <w:lang w:val="en-US" w:eastAsia="zh-CN"/>
        </w:rPr>
        <w:t>00</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.00%，主要原因是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w:t>
      </w:r>
      <w:r>
        <w:rPr>
          <w:rFonts w:hint="default" w:ascii="Times New Roman" w:hAnsi="Times New Roman" w:eastAsia="方正仿宋_GBK" w:cs="Times New Roman"/>
          <w:b w:val="0"/>
          <w:bCs w:val="0"/>
          <w:sz w:val="32"/>
          <w:szCs w:val="32"/>
          <w:shd w:val="clear" w:color="auto" w:fill="FFFFFF"/>
        </w:rPr>
        <w:t>“三公”经费</w:t>
      </w:r>
      <w:r>
        <w:rPr>
          <w:rFonts w:hint="default" w:ascii="Times New Roman" w:hAnsi="Times New Roman" w:eastAsia="方正仿宋_GBK" w:cs="Times New Roman"/>
          <w:sz w:val="32"/>
          <w:szCs w:val="32"/>
        </w:rPr>
        <w:t>支出。</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6" w:name="_Toc32279"/>
      <w:r>
        <w:rPr>
          <w:rFonts w:hint="eastAsia" w:ascii="楷体" w:hAnsi="楷体" w:eastAsia="楷体" w:cs="楷体"/>
        </w:rPr>
        <w:t>（二）“三公”经费分项支出情况</w:t>
      </w:r>
      <w:bookmarkEnd w:id="16"/>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万元，主要是用于</w:t>
      </w:r>
      <w:r>
        <w:rPr>
          <w:rFonts w:hint="default" w:ascii="Times New Roman" w:hAnsi="Times New Roman" w:eastAsia="方正仿宋_GBK" w:cs="Times New Roman"/>
          <w:sz w:val="32"/>
          <w:szCs w:val="32"/>
        </w:rPr>
        <w:t>因公出国、出境支出。费用支出较年初预算数增加0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万元，增长0.0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购买公务车。费用支出较年初预算数增加0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万元，增长0.0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机要文件交换、市内因公出行等工作所需车辆的燃料费、维修费、过桥过路费、保险费等。费用支出较年初预算数增加0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万元，增长0.0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default" w:ascii="Times New Roman" w:hAnsi="Times New Roman" w:eastAsia="方正仿宋_GBK" w:cs="Times New Roman"/>
          <w:sz w:val="32"/>
          <w:szCs w:val="32"/>
          <w:lang w:eastAsia="zh-CN"/>
        </w:rPr>
        <w:t>运行维护费支出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default" w:ascii="Times New Roman" w:hAnsi="Times New Roman" w:eastAsia="方正仿宋_GBK" w:cs="Times New Roman"/>
          <w:sz w:val="32"/>
          <w:szCs w:val="32"/>
          <w:lang w:eastAsia="zh-CN"/>
        </w:rPr>
        <w:t>运行维护费支出</w:t>
      </w:r>
      <w:r>
        <w:rPr>
          <w:rFonts w:hint="eastAsia" w:ascii="Times New Roman" w:hAnsi="Times New Roman" w:eastAsia="方正仿宋_GBK" w:cs="Times New Roman"/>
          <w:sz w:val="32"/>
          <w:szCs w:val="32"/>
          <w:lang w:eastAsia="zh-CN"/>
        </w:rPr>
        <w:t>。</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接待到我单位学习调研、接受相关部门检查指导工作发生的接待支出等。费用支出较年初预算数增加0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万元，增长0.0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%，主要原因是本单位</w:t>
      </w:r>
      <w:r>
        <w:rPr>
          <w:rFonts w:hint="default" w:ascii="Times New Roman" w:hAnsi="Times New Roman" w:eastAsia="方正仿宋_GBK" w:cs="Times New Roman"/>
          <w:sz w:val="32"/>
          <w:szCs w:val="32"/>
          <w:lang w:eastAsia="zh-CN"/>
        </w:rPr>
        <w:t>未发</w:t>
      </w:r>
      <w:r>
        <w:rPr>
          <w:rFonts w:hint="eastAsia" w:ascii="Times New Roman" w:hAnsi="Times New Roman" w:eastAsia="方正仿宋_GBK" w:cs="Times New Roman"/>
          <w:sz w:val="32"/>
          <w:szCs w:val="32"/>
          <w:lang w:eastAsia="zh-CN"/>
        </w:rPr>
        <w:t>生</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7" w:name="_Toc24809"/>
      <w:r>
        <w:rPr>
          <w:rFonts w:hint="eastAsia" w:ascii="楷体" w:hAnsi="楷体" w:eastAsia="楷体" w:cs="楷体"/>
        </w:rPr>
        <w:t>（三）“三公”经费实物量情况</w:t>
      </w:r>
      <w:bookmarkEnd w:id="17"/>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val="0"/>
          <w:bCs w:val="0"/>
          <w:sz w:val="32"/>
          <w:szCs w:val="32"/>
          <w:shd w:val="clear" w:color="auto" w:fill="FFFFFF"/>
        </w:rPr>
        <w:t>2024年度本单位因公出国（境）共计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人。2024年本单位人均接待费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18" w:name="_Toc22863"/>
      <w:r>
        <w:rPr>
          <w:rFonts w:hint="eastAsia" w:ascii="黑体" w:hAnsi="黑体" w:eastAsia="黑体" w:cs="黑体"/>
          <w:sz w:val="32"/>
          <w:szCs w:val="32"/>
        </w:rPr>
        <w:t>四、其他需要说明的事项</w:t>
      </w:r>
      <w:bookmarkEnd w:id="18"/>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19" w:name="_Toc32123"/>
      <w:r>
        <w:rPr>
          <w:rFonts w:hint="eastAsia" w:ascii="楷体" w:hAnsi="楷体" w:eastAsia="楷体" w:cs="楷体"/>
        </w:rPr>
        <w:t>（一）财政拨款会议费、培训费和差旅费情况说明</w:t>
      </w:r>
      <w:bookmarkEnd w:id="1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本单位为合署办公，会议费发生在本级。</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eastAsia" w:ascii="Times New Roman" w:hAnsi="Times New Roman" w:eastAsia="方正仿宋_GBK" w:cs="Times New Roman"/>
          <w:b w:val="0"/>
          <w:bCs w:val="0"/>
          <w:sz w:val="32"/>
          <w:szCs w:val="32"/>
          <w:lang w:val="en-US" w:eastAsia="zh-CN"/>
        </w:rPr>
        <w:t>00</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0.13万元</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下降</w:t>
      </w:r>
      <w:r>
        <w:rPr>
          <w:rFonts w:hint="eastAsia" w:ascii="Times New Roman" w:hAnsi="Times New Roman" w:eastAsia="方正仿宋_GBK" w:cs="Times New Roman"/>
          <w:b w:val="0"/>
          <w:bCs w:val="0"/>
          <w:sz w:val="32"/>
          <w:szCs w:val="32"/>
          <w:shd w:val="clear" w:color="auto" w:fill="FFFFFF"/>
          <w:lang w:val="en-US" w:eastAsia="zh-CN"/>
        </w:rPr>
        <w:t>100.00%</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本年度本单位未发生培训费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rPr>
        <w:t>0.00万元，</w:t>
      </w:r>
      <w:r>
        <w:rPr>
          <w:rFonts w:hint="default" w:ascii="Times New Roman" w:hAnsi="Times New Roman" w:eastAsia="方正仿宋_GBK" w:cs="Times New Roman"/>
          <w:b w:val="0"/>
          <w:bCs w:val="0"/>
          <w:sz w:val="32"/>
          <w:szCs w:val="32"/>
          <w:shd w:val="clear" w:color="auto" w:fill="FFFFFF"/>
        </w:rPr>
        <w:t>较上年决算数无变化，主要原因是</w:t>
      </w:r>
      <w:r>
        <w:rPr>
          <w:rFonts w:hint="eastAsia" w:ascii="Times New Roman" w:hAnsi="Times New Roman" w:eastAsia="方正仿宋_GBK" w:cs="Times New Roman"/>
          <w:b w:val="0"/>
          <w:bCs w:val="0"/>
          <w:sz w:val="32"/>
          <w:szCs w:val="32"/>
          <w:shd w:val="clear" w:color="auto" w:fill="FFFFFF"/>
          <w:lang w:eastAsia="zh-CN"/>
        </w:rPr>
        <w:t>本年度本单位未发生差旅费。</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0" w:name="_Toc22798"/>
      <w:r>
        <w:rPr>
          <w:rFonts w:hint="eastAsia" w:ascii="楷体" w:hAnsi="楷体" w:eastAsia="楷体" w:cs="楷体"/>
        </w:rPr>
        <w:t>（二）机关运行经费情况说明</w:t>
      </w:r>
      <w:bookmarkEnd w:id="20"/>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按照部门决算列报口径，我单位不在机关运行经费统计范围之内。</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1" w:name="_Toc23942"/>
      <w:r>
        <w:rPr>
          <w:rFonts w:hint="eastAsia" w:ascii="楷体" w:hAnsi="楷体" w:eastAsia="楷体" w:cs="楷体"/>
        </w:rPr>
        <w:t>（三）国有资产占用情况说明</w:t>
      </w:r>
      <w:bookmarkEnd w:id="21"/>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2" w:name="_Toc31803"/>
      <w:r>
        <w:rPr>
          <w:rFonts w:hint="eastAsia" w:ascii="楷体" w:hAnsi="楷体" w:eastAsia="楷体" w:cs="楷体"/>
        </w:rPr>
        <w:t>（四）政府采购支出情况说明</w:t>
      </w:r>
      <w:bookmarkEnd w:id="22"/>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lang w:val="en-US" w:eastAsia="zh-CN"/>
        </w:rPr>
      </w:pPr>
      <w:bookmarkStart w:id="23" w:name="_Toc1712"/>
      <w:r>
        <w:rPr>
          <w:rFonts w:hint="eastAsia" w:ascii="黑体" w:hAnsi="黑体" w:eastAsia="黑体" w:cs="黑体"/>
          <w:sz w:val="32"/>
          <w:szCs w:val="32"/>
        </w:rPr>
        <w:t>五、</w:t>
      </w:r>
      <w:r>
        <w:rPr>
          <w:rFonts w:hint="eastAsia" w:ascii="黑体" w:hAnsi="黑体" w:eastAsia="黑体" w:cs="黑体"/>
          <w:sz w:val="32"/>
          <w:szCs w:val="32"/>
          <w:lang w:val="en-US" w:eastAsia="zh-CN"/>
        </w:rPr>
        <w:t>2024年度绩效情况说明</w:t>
      </w:r>
      <w:bookmarkEnd w:id="23"/>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年我镇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预算绩效管理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全面推进绩效管理与预算编制、执行监控、财会监督等持续深度融合，提升财政资金使用绩效。确保专项资金依法依规、专款专用,发挥资金最大效益。</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4" w:name="_Toc9346"/>
      <w:bookmarkStart w:id="25" w:name="_Toc12991"/>
      <w:r>
        <w:rPr>
          <w:rFonts w:hint="eastAsia" w:ascii="楷体" w:hAnsi="楷体" w:eastAsia="楷体" w:cs="楷体"/>
        </w:rPr>
        <w:t>（一）单位自评情况</w:t>
      </w:r>
      <w:bookmarkEnd w:id="24"/>
      <w:bookmarkEnd w:id="25"/>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88" w:lineRule="exact"/>
        <w:ind w:firstLine="640" w:firstLineChars="200"/>
        <w:textAlignment w:val="auto"/>
        <w:rPr>
          <w:rFonts w:hint="default" w:ascii="Times New Roman" w:hAnsi="Times New Roman" w:eastAsia="方正仿宋_GBK" w:cs="Times New Roman"/>
          <w:b w:val="0"/>
          <w:bCs w:val="0"/>
          <w:sz w:val="32"/>
          <w:szCs w:val="32"/>
          <w:highlight w:val="yellow"/>
          <w:shd w:val="clear" w:color="auto" w:fill="FFFFFF"/>
        </w:rPr>
      </w:pPr>
      <w:r>
        <w:rPr>
          <w:rFonts w:hint="default" w:ascii="Times New Roman" w:hAnsi="Times New Roman" w:eastAsia="方正仿宋_GBK" w:cs="Times New Roman"/>
          <w:b w:val="0"/>
          <w:bCs w:val="0"/>
          <w:sz w:val="32"/>
          <w:szCs w:val="32"/>
          <w:shd w:val="clear" w:color="auto" w:fill="FFFFFF"/>
        </w:rPr>
        <w:t>根据预算绩效管理要求，我单位对部门整体和</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26" w:name="_Toc17037"/>
      <w:bookmarkStart w:id="27" w:name="_Toc3768"/>
      <w:r>
        <w:rPr>
          <w:rFonts w:hint="eastAsia" w:ascii="楷体" w:hAnsi="楷体" w:eastAsia="楷体" w:cs="楷体"/>
        </w:rPr>
        <w:t>（二）单位绩效评价情况</w:t>
      </w:r>
      <w:bookmarkEnd w:id="26"/>
      <w:bookmarkEnd w:id="27"/>
    </w:p>
    <w:p>
      <w:pPr>
        <w:pStyle w:val="15"/>
        <w:keepNext w:val="0"/>
        <w:keepLines w:val="0"/>
        <w:pageBreakBefore w:val="0"/>
        <w:kinsoku/>
        <w:overflowPunct/>
        <w:topLinePunct w:val="0"/>
        <w:autoSpaceDE w:val="0"/>
        <w:autoSpaceDN/>
        <w:bidi w:val="0"/>
        <w:adjustRightInd/>
        <w:spacing w:beforeAutospacing="0" w:afterAutospacing="0" w:line="588" w:lineRule="exact"/>
        <w:ind w:firstLine="640" w:firstLineChars="200"/>
        <w:outlineLvl w:val="1"/>
        <w:rPr>
          <w:rFonts w:hint="default" w:ascii="Times New Roman" w:hAnsi="Times New Roman" w:eastAsia="方正仿宋_GBK" w:cs="Times New Roman"/>
          <w:sz w:val="32"/>
          <w:szCs w:val="32"/>
        </w:rPr>
      </w:pPr>
      <w:bookmarkStart w:id="28" w:name="_Toc21258"/>
      <w:bookmarkStart w:id="29" w:name="_Toc3785"/>
      <w:r>
        <w:rPr>
          <w:rFonts w:hint="default" w:ascii="Times New Roman" w:hAnsi="Times New Roman" w:eastAsia="方正仿宋_GBK" w:cs="Times New Roman"/>
          <w:sz w:val="32"/>
          <w:szCs w:val="32"/>
        </w:rPr>
        <w:t>具体内容详见附件中《</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年度部门整体绩效自评表》、《</w:t>
      </w:r>
      <w:r>
        <w:rPr>
          <w:rFonts w:hint="default" w:ascii="Times New Roman" w:hAnsi="Times New Roman" w:eastAsia="方正仿宋_GBK" w:cs="Times New Roman"/>
          <w:sz w:val="32"/>
          <w:szCs w:val="32"/>
          <w:lang w:eastAsia="zh-CN"/>
        </w:rPr>
        <w:t>重庆市永川区</w:t>
      </w:r>
      <w:r>
        <w:rPr>
          <w:rFonts w:hint="eastAsia" w:ascii="Times New Roman" w:hAnsi="Times New Roman" w:eastAsia="方正仿宋_GBK" w:cs="Times New Roman"/>
          <w:sz w:val="32"/>
          <w:szCs w:val="32"/>
          <w:lang w:eastAsia="zh-CN"/>
        </w:rPr>
        <w:t>来苏</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建设环保服务中心</w:t>
      </w:r>
      <w:r>
        <w:rPr>
          <w:rFonts w:hint="default" w:ascii="Times New Roman" w:hAnsi="Times New Roman" w:eastAsia="方正仿宋_GBK" w:cs="Times New Roman"/>
          <w:sz w:val="32"/>
          <w:szCs w:val="32"/>
        </w:rPr>
        <w:t>项目绩效自评结果汇总表》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年度项目支出预算绩效自评表1》、《</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年度项目支出预算绩效自评表2》、《</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年度项目支出预算绩效自评表3》。</w:t>
      </w:r>
      <w:bookmarkEnd w:id="28"/>
    </w:p>
    <w:p>
      <w:pPr>
        <w:pStyle w:val="3"/>
        <w:keepNext/>
        <w:keepLines/>
        <w:pageBreakBefore w:val="0"/>
        <w:widowControl/>
        <w:kinsoku/>
        <w:wordWrap/>
        <w:overflowPunct/>
        <w:topLinePunct w:val="0"/>
        <w:autoSpaceDE/>
        <w:autoSpaceDN/>
        <w:bidi w:val="0"/>
        <w:adjustRightInd/>
        <w:snapToGrid/>
        <w:spacing w:line="413" w:lineRule="auto"/>
        <w:ind w:firstLine="643" w:firstLineChars="200"/>
        <w:textAlignment w:val="auto"/>
        <w:rPr>
          <w:rFonts w:hint="eastAsia" w:ascii="楷体" w:hAnsi="楷体" w:eastAsia="楷体" w:cs="楷体"/>
        </w:rPr>
      </w:pPr>
      <w:bookmarkStart w:id="30" w:name="_Toc21327"/>
      <w:r>
        <w:rPr>
          <w:rFonts w:hint="eastAsia" w:ascii="楷体" w:hAnsi="楷体" w:eastAsia="楷体" w:cs="楷体"/>
        </w:rPr>
        <w:t>（三）财政绩效评价情况</w:t>
      </w:r>
      <w:bookmarkEnd w:id="29"/>
      <w:bookmarkEnd w:id="30"/>
    </w:p>
    <w:p>
      <w:pPr>
        <w:pStyle w:val="15"/>
        <w:keepNext w:val="0"/>
        <w:keepLines w:val="0"/>
        <w:pageBreakBefore w:val="0"/>
        <w:kinsoku/>
        <w:overflowPunct/>
        <w:topLinePunct w:val="0"/>
        <w:autoSpaceDE w:val="0"/>
        <w:autoSpaceDN/>
        <w:bidi w:val="0"/>
        <w:adjustRightInd/>
        <w:spacing w:beforeAutospacing="0" w:afterAutospacing="0" w:line="588" w:lineRule="exact"/>
        <w:ind w:firstLine="640" w:firstLineChars="200"/>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年不涉及开展重点绩效评价的项目</w:t>
      </w:r>
      <w:r>
        <w:rPr>
          <w:rFonts w:hint="default" w:ascii="Times New Roman" w:hAnsi="Times New Roman" w:eastAsia="方正仿宋_GBK" w:cs="Times New Roman"/>
          <w:b w:val="0"/>
          <w:bCs w:val="0"/>
          <w:sz w:val="32"/>
          <w:szCs w:val="32"/>
          <w:shd w:val="clear" w:color="auto" w:fill="FFFFFF"/>
          <w:lang w:val="en-US" w:eastAsia="zh-CN" w:bidi="ar-SA"/>
        </w:rPr>
        <w:t>。</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31" w:name="_Toc10498"/>
      <w:r>
        <w:rPr>
          <w:rFonts w:hint="eastAsia" w:ascii="黑体" w:hAnsi="黑体" w:eastAsia="黑体" w:cs="黑体"/>
          <w:sz w:val="32"/>
          <w:szCs w:val="32"/>
          <w:lang w:eastAsia="zh-CN"/>
        </w:rPr>
        <w:t>六</w:t>
      </w:r>
      <w:r>
        <w:rPr>
          <w:rFonts w:hint="eastAsia" w:ascii="黑体" w:hAnsi="黑体" w:eastAsia="黑体" w:cs="黑体"/>
          <w:sz w:val="32"/>
          <w:szCs w:val="32"/>
        </w:rPr>
        <w:t>、专业名词解释</w:t>
      </w:r>
      <w:bookmarkEnd w:id="31"/>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Style w:val="12"/>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32" w:name="_Toc10705"/>
      <w:r>
        <w:rPr>
          <w:rFonts w:hint="eastAsia" w:ascii="黑体" w:hAnsi="黑体" w:eastAsia="黑体" w:cs="黑体"/>
          <w:sz w:val="32"/>
          <w:szCs w:val="32"/>
          <w:lang w:eastAsia="zh-CN"/>
        </w:rPr>
        <w:t>七</w:t>
      </w:r>
      <w:r>
        <w:rPr>
          <w:rFonts w:hint="eastAsia" w:ascii="黑体" w:hAnsi="黑体" w:eastAsia="黑体" w:cs="黑体"/>
          <w:sz w:val="32"/>
          <w:szCs w:val="32"/>
        </w:rPr>
        <w:t>、决算公开联系方式及信息反馈渠道</w:t>
      </w:r>
      <w:bookmarkEnd w:id="32"/>
    </w:p>
    <w:p>
      <w:pPr>
        <w:pStyle w:val="15"/>
        <w:autoSpaceDE w:val="0"/>
        <w:spacing w:line="596" w:lineRule="exact"/>
        <w:ind w:firstLine="64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15"/>
        <w:autoSpaceDE w:val="0"/>
        <w:spacing w:line="596" w:lineRule="exact"/>
        <w:ind w:firstLine="64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start="1"/>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侯林杰</w:t>
      </w:r>
      <w:r>
        <w:rPr>
          <w:rFonts w:hint="eastAsia" w:ascii="方正仿宋_GBK" w:hAnsi="方正仿宋_GBK" w:eastAsia="方正仿宋_GBK" w:cs="方正仿宋_GBK"/>
          <w:sz w:val="32"/>
          <w:szCs w:val="32"/>
          <w:shd w:val="clear" w:color="auto" w:fill="FFFFFF"/>
          <w:lang w:val="en-US" w:eastAsia="zh-CN"/>
        </w:rPr>
        <w:t xml:space="preserve"> 023-85370595</w:t>
      </w:r>
      <w:bookmarkStart w:id="33" w:name="_GoBack"/>
      <w:bookmarkEnd w:id="33"/>
    </w:p>
    <w:p>
      <w:pPr>
        <w:rPr>
          <w:rFonts w:hint="default" w:cs="宋体"/>
          <w:sz w:val="18"/>
          <w:szCs w:val="18"/>
        </w:rPr>
      </w:pP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BqM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T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pLBqMbAgAAIQQAAA4A&#10;AAAAAAAAAQAgAAAAHwEAAGRycy9lMm9Eb2MueG1sUEsFBgAAAAAGAAYAWQEAAKw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4F5D1F"/>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0F2D62"/>
    <w:rsid w:val="45CB699A"/>
    <w:rsid w:val="465B470D"/>
    <w:rsid w:val="469D6AD4"/>
    <w:rsid w:val="471E6C84"/>
    <w:rsid w:val="4748792B"/>
    <w:rsid w:val="475D719D"/>
    <w:rsid w:val="47674801"/>
    <w:rsid w:val="48225EF7"/>
    <w:rsid w:val="488F422B"/>
    <w:rsid w:val="48E36915"/>
    <w:rsid w:val="490B122F"/>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DA089E"/>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toc 1"/>
    <w:basedOn w:val="1"/>
    <w:next w:val="1"/>
    <w:uiPriority w:val="0"/>
  </w:style>
  <w:style w:type="paragraph" w:styleId="8">
    <w:name w:val="toc 2"/>
    <w:basedOn w:val="1"/>
    <w:next w:val="1"/>
    <w:qFormat/>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2025-08-20T08:25:09Z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