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26"/>
        </w:tabs>
        <w:bidi w:val="0"/>
        <w:jc w:val="left"/>
        <w:rPr>
          <w:rFonts w:hint="eastAsia"/>
          <w:lang w:val="en-US" w:eastAsia="zh-CN"/>
        </w:rPr>
        <w:sectPr>
          <w:pgSz w:w="11915" w:h="16840"/>
          <w:pgMar w:top="1440" w:right="1800" w:bottom="1440" w:left="1800" w:header="851" w:footer="992" w:gutter="0"/>
          <w:pgNumType w:fmt="numberInDash"/>
          <w:cols w:space="720" w:num="1"/>
          <w:docGrid w:type="lines" w:linePitch="312" w:charSpace="0"/>
        </w:sectPr>
      </w:pPr>
    </w:p>
    <w:p>
      <w:pPr>
        <w:pStyle w:val="12"/>
        <w:spacing w:before="0" w:beforeAutospacing="0" w:after="0" w:afterAutospacing="0" w:line="596" w:lineRule="exact"/>
        <w:jc w:val="center"/>
        <w:rPr>
          <w:rFonts w:ascii="方正小标宋_GBK" w:hAnsi="方正小标宋_GBK" w:eastAsia="方正小标宋_GBK" w:cs="方正小标宋_GBK"/>
          <w:b w:val="0"/>
          <w:bCs w:val="0"/>
          <w:sz w:val="36"/>
          <w:szCs w:val="36"/>
        </w:rPr>
      </w:pPr>
      <w:r>
        <w:rPr>
          <w:rFonts w:ascii="方正小标宋_GBK" w:hAnsi="方正小标宋_GBK" w:eastAsia="方正小标宋_GBK" w:cs="方正小标宋_GBK"/>
          <w:b w:val="0"/>
          <w:bCs w:val="0"/>
          <w:sz w:val="36"/>
          <w:szCs w:val="36"/>
        </w:rPr>
        <w:t>重庆市永川区来苏镇人民政府</w:t>
      </w:r>
    </w:p>
    <w:p>
      <w:pPr>
        <w:pStyle w:val="12"/>
        <w:spacing w:before="0" w:beforeAutospacing="0" w:after="0" w:afterAutospacing="0" w:line="596" w:lineRule="exact"/>
        <w:jc w:val="center"/>
      </w:pP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3"/>
        <w:bidi w:val="0"/>
        <w:rPr>
          <w:rFonts w:hint="eastAsia" w:ascii="黑体" w:hAnsi="黑体" w:eastAsia="黑体" w:cs="黑体"/>
        </w:rPr>
      </w:pPr>
      <w:bookmarkStart w:id="0" w:name="_Toc8096"/>
      <w:r>
        <w:rPr>
          <w:rFonts w:hint="eastAsia" w:ascii="黑体" w:hAnsi="黑体" w:eastAsia="黑体" w:cs="黑体"/>
        </w:rPr>
        <w:t>一、</w:t>
      </w:r>
      <w:r>
        <w:rPr>
          <w:rFonts w:hint="eastAsia" w:ascii="黑体" w:hAnsi="黑体" w:eastAsia="黑体" w:cs="黑体"/>
          <w:lang w:eastAsia="zh-CN"/>
        </w:rPr>
        <w:t>部门</w:t>
      </w:r>
      <w:r>
        <w:rPr>
          <w:rFonts w:hint="eastAsia" w:ascii="黑体" w:hAnsi="黑体" w:eastAsia="黑体" w:cs="黑体"/>
        </w:rPr>
        <w:t>基本情况</w:t>
      </w:r>
      <w:bookmarkEnd w:id="0"/>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 w:name="_Toc29627"/>
      <w:bookmarkStart w:id="2" w:name="_Toc5187"/>
      <w:bookmarkStart w:id="3" w:name="_Toc12090"/>
      <w:r>
        <w:rPr>
          <w:rFonts w:hint="eastAsia" w:ascii="楷体" w:hAnsi="楷体" w:eastAsia="楷体" w:cs="楷体"/>
          <w:b/>
          <w:bCs/>
        </w:rPr>
        <w:t>（一）职能职责</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rPr>
      </w:pPr>
      <w:r>
        <w:rPr>
          <w:rFonts w:ascii="Times New Roman" w:hAnsi="Times New Roman" w:eastAsia="方正仿宋_GBK" w:cs="Times New Roman"/>
          <w:sz w:val="32"/>
          <w:szCs w:val="32"/>
        </w:rPr>
        <w:t> </w:t>
      </w:r>
      <w:r>
        <w:rPr>
          <w:rFonts w:hint="eastAsia" w:ascii="Times New Roman" w:hAnsi="Times New Roman" w:eastAsia="方正仿宋_GBK" w:cs="Times New Roman"/>
          <w:kern w:val="2"/>
          <w:sz w:val="32"/>
          <w:szCs w:val="32"/>
        </w:rPr>
        <w:t>来苏镇现有人口约5万人，与四川泸县接壤。全镇幅员面积93.21平方公里，辖13个行政村，1个社区居委会。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1、</w:t>
      </w:r>
      <w:r>
        <w:rPr>
          <w:rFonts w:hint="eastAsia" w:ascii="Times New Roman" w:hAnsi="Times New Roman" w:eastAsia="方正仿宋_GBK" w:cs="Times New Roman"/>
          <w:kern w:val="2"/>
          <w:sz w:val="32"/>
          <w:szCs w:val="32"/>
        </w:rPr>
        <w:t>制定和组织实施经济、科技和社会发展计划，制定资源开发技术改造和产业结构调整方案，织指导好各业生产，搞好商品流通，协调好本镇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rPr>
        <w:t>负责本行政区域内的民政、文化教育、卫生健康、体育等社会公益事业的综合性工作，维护一切经济单位和个人的正当经济权益，取缔非法经济活动，调解和处理民事纠纷，打击刑事犯罪维护社会稳定。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rPr>
        <w:t>按计划组织本级财政收入和地方税的征收，完成国家财政计划，不断培植税源，管好财政资金，增强财政实力。</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4" w:name="_Toc21165"/>
      <w:bookmarkStart w:id="5" w:name="_Toc24586"/>
      <w:bookmarkStart w:id="6" w:name="_Toc28049"/>
      <w:r>
        <w:rPr>
          <w:rFonts w:hint="eastAsia" w:ascii="楷体" w:hAnsi="楷体" w:eastAsia="楷体" w:cs="楷体"/>
          <w:b/>
          <w:bCs/>
        </w:rPr>
        <w:t>（二）机构设置</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来苏镇人民政府事业单位包括：</w:t>
      </w:r>
      <w:r>
        <w:rPr>
          <w:rFonts w:hint="default" w:ascii="Times New Roman" w:hAnsi="Times New Roman" w:eastAsia="方正仿宋_GBK" w:cs="Times New Roman"/>
          <w:kern w:val="2"/>
          <w:sz w:val="32"/>
          <w:szCs w:val="32"/>
        </w:rPr>
        <w:t>农业服务中心</w:t>
      </w:r>
      <w:r>
        <w:rPr>
          <w:rFonts w:hint="eastAsia" w:ascii="Times New Roman" w:hAnsi="Times New Roman" w:eastAsia="方正仿宋_GBK" w:cs="Times New Roman"/>
          <w:kern w:val="2"/>
          <w:sz w:val="32"/>
          <w:szCs w:val="32"/>
        </w:rPr>
        <w:t>、建设环保服务中心、</w:t>
      </w:r>
      <w:r>
        <w:rPr>
          <w:rFonts w:hint="default" w:ascii="Times New Roman" w:hAnsi="Times New Roman" w:eastAsia="方正仿宋_GBK" w:cs="Times New Roman"/>
          <w:kern w:val="2"/>
          <w:sz w:val="32"/>
          <w:szCs w:val="32"/>
        </w:rPr>
        <w:t>文化服务中心、劳动就业和社会保障服务所、</w:t>
      </w:r>
      <w:r>
        <w:rPr>
          <w:rFonts w:hint="eastAsia" w:ascii="Times New Roman" w:hAnsi="Times New Roman" w:eastAsia="方正仿宋_GBK" w:cs="Times New Roman"/>
          <w:kern w:val="2"/>
          <w:sz w:val="32"/>
          <w:szCs w:val="32"/>
        </w:rPr>
        <w:t>退役军人服务站、</w:t>
      </w:r>
      <w:r>
        <w:rPr>
          <w:rFonts w:hint="default" w:ascii="Times New Roman" w:hAnsi="Times New Roman" w:eastAsia="方正仿宋_GBK" w:cs="Times New Roman"/>
          <w:kern w:val="2"/>
          <w:sz w:val="32"/>
          <w:szCs w:val="32"/>
        </w:rPr>
        <w:t>综合行政执法大队</w:t>
      </w:r>
      <w:r>
        <w:rPr>
          <w:rFonts w:hint="eastAsia" w:ascii="Times New Roman" w:hAnsi="Times New Roman" w:eastAsia="方正仿宋_GBK" w:cs="Times New Roman"/>
          <w:kern w:val="2"/>
          <w:sz w:val="32"/>
          <w:szCs w:val="32"/>
        </w:rPr>
        <w:t>、产业发展服务中心、党政办公室、党群工作办公室、</w:t>
      </w:r>
      <w:r>
        <w:rPr>
          <w:rFonts w:hint="default" w:ascii="Times New Roman" w:hAnsi="Times New Roman" w:eastAsia="方正仿宋_GBK" w:cs="Times New Roman"/>
          <w:kern w:val="2"/>
          <w:sz w:val="32"/>
          <w:szCs w:val="32"/>
        </w:rPr>
        <w:t>经济发展办公室、民政和社</w:t>
      </w:r>
      <w:r>
        <w:rPr>
          <w:rFonts w:hint="eastAsia" w:ascii="Times New Roman" w:hAnsi="Times New Roman" w:eastAsia="方正仿宋_GBK" w:cs="Times New Roman"/>
          <w:kern w:val="2"/>
          <w:sz w:val="32"/>
          <w:szCs w:val="32"/>
        </w:rPr>
        <w:t>会</w:t>
      </w:r>
      <w:r>
        <w:rPr>
          <w:rFonts w:hint="default" w:ascii="Times New Roman" w:hAnsi="Times New Roman" w:eastAsia="方正仿宋_GBK" w:cs="Times New Roman"/>
          <w:kern w:val="2"/>
          <w:sz w:val="32"/>
          <w:szCs w:val="32"/>
        </w:rPr>
        <w:t>事务办公室、</w:t>
      </w:r>
      <w:r>
        <w:rPr>
          <w:rFonts w:hint="eastAsia" w:ascii="Times New Roman" w:hAnsi="Times New Roman" w:eastAsia="方正仿宋_GBK" w:cs="Times New Roman"/>
          <w:kern w:val="2"/>
          <w:sz w:val="32"/>
          <w:szCs w:val="32"/>
        </w:rPr>
        <w:t>平安建设</w:t>
      </w:r>
      <w:r>
        <w:rPr>
          <w:rFonts w:hint="default" w:ascii="Times New Roman" w:hAnsi="Times New Roman" w:eastAsia="方正仿宋_GBK" w:cs="Times New Roman"/>
          <w:kern w:val="2"/>
          <w:sz w:val="32"/>
          <w:szCs w:val="32"/>
        </w:rPr>
        <w:t>办公室、</w:t>
      </w:r>
      <w:r>
        <w:rPr>
          <w:rFonts w:hint="eastAsia" w:ascii="Times New Roman" w:hAnsi="Times New Roman" w:eastAsia="方正仿宋_GBK" w:cs="Times New Roman"/>
          <w:kern w:val="2"/>
          <w:sz w:val="32"/>
          <w:szCs w:val="32"/>
        </w:rPr>
        <w:t>规划</w:t>
      </w:r>
      <w:r>
        <w:rPr>
          <w:rFonts w:hint="default" w:ascii="Times New Roman" w:hAnsi="Times New Roman" w:eastAsia="方正仿宋_GBK" w:cs="Times New Roman"/>
          <w:kern w:val="2"/>
          <w:sz w:val="32"/>
          <w:szCs w:val="32"/>
        </w:rPr>
        <w:t>建设管理环保办公室、财政办公室、</w:t>
      </w:r>
      <w:r>
        <w:rPr>
          <w:rFonts w:hint="eastAsia" w:ascii="Times New Roman" w:hAnsi="Times New Roman" w:eastAsia="方正仿宋_GBK" w:cs="Times New Roman"/>
          <w:kern w:val="2"/>
          <w:sz w:val="32"/>
          <w:szCs w:val="32"/>
        </w:rPr>
        <w:t>应急管理办公室，</w:t>
      </w:r>
      <w:r>
        <w:rPr>
          <w:rFonts w:hint="default" w:ascii="Times New Roman" w:hAnsi="Times New Roman" w:eastAsia="方正仿宋_GBK" w:cs="Times New Roman"/>
          <w:kern w:val="2"/>
          <w:sz w:val="32"/>
          <w:szCs w:val="32"/>
        </w:rPr>
        <w:t>人大办公室</w:t>
      </w:r>
      <w:r>
        <w:rPr>
          <w:rFonts w:hint="eastAsia" w:ascii="Times New Roman" w:hAnsi="Times New Roman" w:eastAsia="方正仿宋_GBK" w:cs="Times New Roman"/>
          <w:kern w:val="2"/>
          <w:sz w:val="32"/>
          <w:szCs w:val="32"/>
        </w:rPr>
        <w:t>单独设置</w:t>
      </w:r>
      <w:r>
        <w:rPr>
          <w:rFonts w:hint="default"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lang w:val="en-US" w:eastAsia="zh-CN"/>
        </w:rPr>
        <w:t>来苏</w:t>
      </w:r>
      <w:r>
        <w:rPr>
          <w:rFonts w:hint="default" w:ascii="Times New Roman" w:hAnsi="Times New Roman" w:eastAsia="方正仿宋_GBK" w:cs="Times New Roman"/>
          <w:kern w:val="2"/>
          <w:sz w:val="32"/>
          <w:szCs w:val="32"/>
        </w:rPr>
        <w:t>镇人民政府设置事业单位7个，即：农业服务中心、综合行政执法大队、社区文化服务中心、劳动就业和社会保障服务所、退役军人服务站、建设环保服务中心、产业发展服务中心。机构规格为正科级，机构类别为公益一类，经费形式为财政全额拨款。</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7" w:name="_Toc31594"/>
      <w:bookmarkStart w:id="8" w:name="_Toc16087"/>
      <w:bookmarkStart w:id="9" w:name="_Toc16690"/>
      <w:r>
        <w:rPr>
          <w:rFonts w:hint="eastAsia" w:ascii="楷体" w:hAnsi="楷体" w:eastAsia="楷体" w:cs="楷体"/>
          <w:b/>
          <w:bCs/>
        </w:rPr>
        <w:t>（三）单位构成</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从预算单位构成看，纳入</w:t>
      </w:r>
      <w:r>
        <w:rPr>
          <w:rFonts w:hint="eastAsia" w:ascii="Times New Roman" w:hAnsi="Times New Roman" w:eastAsia="方正仿宋_GBK" w:cs="Times New Roman"/>
          <w:kern w:val="2"/>
          <w:sz w:val="32"/>
          <w:szCs w:val="32"/>
        </w:rPr>
        <w:t>本单位</w:t>
      </w:r>
      <w:r>
        <w:rPr>
          <w:rFonts w:hint="default"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年度决算编制的二级预算单位主要包括重庆市永川区</w:t>
      </w:r>
      <w:r>
        <w:rPr>
          <w:rFonts w:hint="eastAsia" w:ascii="Times New Roman" w:hAnsi="Times New Roman" w:eastAsia="方正仿宋_GBK" w:cs="Times New Roman"/>
          <w:kern w:val="2"/>
          <w:sz w:val="32"/>
          <w:szCs w:val="32"/>
          <w:lang w:val="en-US" w:eastAsia="zh-CN"/>
        </w:rPr>
        <w:t>来苏</w:t>
      </w:r>
      <w:r>
        <w:rPr>
          <w:rFonts w:hint="default" w:ascii="Times New Roman" w:hAnsi="Times New Roman" w:eastAsia="方正仿宋_GBK" w:cs="Times New Roman"/>
          <w:kern w:val="2"/>
          <w:sz w:val="32"/>
          <w:szCs w:val="32"/>
        </w:rPr>
        <w:t>镇人民政府（本级）、重庆市永川区</w:t>
      </w:r>
      <w:r>
        <w:rPr>
          <w:rFonts w:hint="eastAsia" w:ascii="Times New Roman" w:hAnsi="Times New Roman" w:eastAsia="方正仿宋_GBK" w:cs="Times New Roman"/>
          <w:kern w:val="2"/>
          <w:sz w:val="32"/>
          <w:szCs w:val="32"/>
          <w:lang w:eastAsia="zh-CN"/>
        </w:rPr>
        <w:t>来苏</w:t>
      </w:r>
      <w:r>
        <w:rPr>
          <w:rFonts w:hint="default" w:ascii="Times New Roman" w:hAnsi="Times New Roman" w:eastAsia="方正仿宋_GBK" w:cs="Times New Roman"/>
          <w:kern w:val="2"/>
          <w:sz w:val="32"/>
          <w:szCs w:val="32"/>
        </w:rPr>
        <w:t>镇产业发展服务中心、重庆市永川区</w:t>
      </w:r>
      <w:r>
        <w:rPr>
          <w:rFonts w:hint="eastAsia" w:ascii="Times New Roman" w:hAnsi="Times New Roman" w:eastAsia="方正仿宋_GBK" w:cs="Times New Roman"/>
          <w:kern w:val="2"/>
          <w:sz w:val="32"/>
          <w:szCs w:val="32"/>
          <w:lang w:eastAsia="zh-CN"/>
        </w:rPr>
        <w:t>来苏</w:t>
      </w:r>
      <w:r>
        <w:rPr>
          <w:rFonts w:hint="eastAsia" w:ascii="Times New Roman" w:hAnsi="Times New Roman" w:eastAsia="方正仿宋_GBK" w:cs="Times New Roman"/>
          <w:kern w:val="2"/>
          <w:sz w:val="32"/>
          <w:szCs w:val="32"/>
        </w:rPr>
        <w:t>镇</w:t>
      </w:r>
      <w:r>
        <w:rPr>
          <w:rFonts w:hint="default" w:ascii="Times New Roman" w:hAnsi="Times New Roman" w:eastAsia="方正仿宋_GBK" w:cs="Times New Roman"/>
          <w:kern w:val="2"/>
          <w:sz w:val="32"/>
          <w:szCs w:val="32"/>
        </w:rPr>
        <w:t>农业服务中心、重庆市永川区</w:t>
      </w:r>
      <w:r>
        <w:rPr>
          <w:rFonts w:hint="eastAsia" w:ascii="Times New Roman" w:hAnsi="Times New Roman" w:eastAsia="方正仿宋_GBK" w:cs="Times New Roman"/>
          <w:kern w:val="2"/>
          <w:sz w:val="32"/>
          <w:szCs w:val="32"/>
          <w:lang w:eastAsia="zh-CN"/>
        </w:rPr>
        <w:t>来苏</w:t>
      </w:r>
      <w:r>
        <w:rPr>
          <w:rFonts w:hint="default" w:ascii="Times New Roman" w:hAnsi="Times New Roman" w:eastAsia="方正仿宋_GBK" w:cs="Times New Roman"/>
          <w:kern w:val="2"/>
          <w:sz w:val="32"/>
          <w:szCs w:val="32"/>
        </w:rPr>
        <w:t>镇建设环保服务中心、重庆市永川区</w:t>
      </w:r>
      <w:r>
        <w:rPr>
          <w:rFonts w:hint="eastAsia" w:ascii="Times New Roman" w:hAnsi="Times New Roman" w:eastAsia="方正仿宋_GBK" w:cs="Times New Roman"/>
          <w:kern w:val="2"/>
          <w:sz w:val="32"/>
          <w:szCs w:val="32"/>
          <w:lang w:eastAsia="zh-CN"/>
        </w:rPr>
        <w:t>来苏</w:t>
      </w:r>
      <w:r>
        <w:rPr>
          <w:rFonts w:hint="default" w:ascii="Times New Roman" w:hAnsi="Times New Roman" w:eastAsia="方正仿宋_GBK" w:cs="Times New Roman"/>
          <w:kern w:val="2"/>
          <w:sz w:val="32"/>
          <w:szCs w:val="32"/>
        </w:rPr>
        <w:t>镇文化服务中心、重庆市永川区</w:t>
      </w:r>
      <w:r>
        <w:rPr>
          <w:rFonts w:hint="eastAsia" w:ascii="Times New Roman" w:hAnsi="Times New Roman" w:eastAsia="方正仿宋_GBK" w:cs="Times New Roman"/>
          <w:kern w:val="2"/>
          <w:sz w:val="32"/>
          <w:szCs w:val="32"/>
          <w:lang w:eastAsia="zh-CN"/>
        </w:rPr>
        <w:t>来苏</w:t>
      </w:r>
      <w:r>
        <w:rPr>
          <w:rFonts w:hint="default" w:ascii="Times New Roman" w:hAnsi="Times New Roman" w:eastAsia="方正仿宋_GBK" w:cs="Times New Roman"/>
          <w:kern w:val="2"/>
          <w:sz w:val="32"/>
          <w:szCs w:val="32"/>
        </w:rPr>
        <w:t>镇劳动就业和社会保障服务所、重庆市永川区</w:t>
      </w:r>
      <w:r>
        <w:rPr>
          <w:rFonts w:hint="eastAsia" w:ascii="Times New Roman" w:hAnsi="Times New Roman" w:eastAsia="方正仿宋_GBK" w:cs="Times New Roman"/>
          <w:kern w:val="2"/>
          <w:sz w:val="32"/>
          <w:szCs w:val="32"/>
          <w:lang w:eastAsia="zh-CN"/>
        </w:rPr>
        <w:t>来苏</w:t>
      </w:r>
      <w:r>
        <w:rPr>
          <w:rFonts w:hint="default" w:ascii="Times New Roman" w:hAnsi="Times New Roman" w:eastAsia="方正仿宋_GBK" w:cs="Times New Roman"/>
          <w:kern w:val="2"/>
          <w:sz w:val="32"/>
          <w:szCs w:val="32"/>
        </w:rPr>
        <w:t>镇退役军人服务站、重庆市永川区</w:t>
      </w:r>
      <w:r>
        <w:rPr>
          <w:rFonts w:hint="eastAsia" w:ascii="Times New Roman" w:hAnsi="Times New Roman" w:eastAsia="方正仿宋_GBK" w:cs="Times New Roman"/>
          <w:kern w:val="2"/>
          <w:sz w:val="32"/>
          <w:szCs w:val="32"/>
          <w:lang w:eastAsia="zh-CN"/>
        </w:rPr>
        <w:t>来苏</w:t>
      </w:r>
      <w:r>
        <w:rPr>
          <w:rFonts w:hint="default" w:ascii="Times New Roman" w:hAnsi="Times New Roman" w:eastAsia="方正仿宋_GBK" w:cs="Times New Roman"/>
          <w:kern w:val="2"/>
          <w:sz w:val="32"/>
          <w:szCs w:val="32"/>
        </w:rPr>
        <w:t>镇综合行政执法大队。</w:t>
      </w:r>
    </w:p>
    <w:p>
      <w:pPr>
        <w:pStyle w:val="3"/>
        <w:bidi w:val="0"/>
        <w:rPr>
          <w:rFonts w:hint="eastAsia" w:ascii="黑体" w:hAnsi="黑体" w:eastAsia="黑体" w:cs="黑体"/>
        </w:rPr>
      </w:pPr>
      <w:bookmarkStart w:id="10" w:name="_Toc31185"/>
      <w:r>
        <w:rPr>
          <w:rFonts w:hint="eastAsia" w:ascii="黑体" w:hAnsi="黑体" w:eastAsia="黑体" w:cs="黑体"/>
        </w:rPr>
        <w:t>二、</w:t>
      </w:r>
      <w:r>
        <w:rPr>
          <w:rFonts w:hint="eastAsia" w:ascii="黑体" w:hAnsi="黑体" w:eastAsia="黑体" w:cs="黑体"/>
          <w:lang w:eastAsia="zh-CN"/>
        </w:rPr>
        <w:t>部门</w:t>
      </w:r>
      <w:r>
        <w:rPr>
          <w:rFonts w:hint="eastAsia" w:ascii="黑体" w:hAnsi="黑体" w:eastAsia="黑体" w:cs="黑体"/>
        </w:rPr>
        <w:t>决算</w:t>
      </w:r>
      <w:r>
        <w:rPr>
          <w:rFonts w:hint="eastAsia" w:ascii="黑体" w:hAnsi="黑体" w:eastAsia="黑体" w:cs="黑体"/>
          <w:lang w:eastAsia="zh-CN"/>
        </w:rPr>
        <w:t>收支</w:t>
      </w:r>
      <w:r>
        <w:rPr>
          <w:rFonts w:hint="eastAsia" w:ascii="黑体" w:hAnsi="黑体" w:eastAsia="黑体" w:cs="黑体"/>
        </w:rPr>
        <w:t>情况说明</w:t>
      </w:r>
      <w:bookmarkEnd w:id="10"/>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1" w:name="_Toc30904"/>
      <w:bookmarkStart w:id="12" w:name="_Toc25551"/>
      <w:bookmarkStart w:id="13" w:name="_Toc31418"/>
      <w:r>
        <w:rPr>
          <w:rFonts w:hint="eastAsia" w:ascii="楷体" w:hAnsi="楷体" w:eastAsia="楷体" w:cs="楷体"/>
          <w:b/>
          <w:bCs/>
        </w:rPr>
        <w:t>（一）收入支出决算总体情况说明</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年度收入总计</w:t>
      </w:r>
      <w:r>
        <w:rPr>
          <w:rFonts w:hint="eastAsia" w:ascii="Times New Roman" w:hAnsi="Times New Roman" w:eastAsia="方正仿宋_GBK" w:cs="Times New Roman"/>
          <w:sz w:val="32"/>
          <w:szCs w:val="32"/>
          <w:lang w:val="en-US" w:eastAsia="zh-CN"/>
        </w:rPr>
        <w:t>6615.67</w:t>
      </w:r>
      <w:r>
        <w:rPr>
          <w:rFonts w:hint="default" w:ascii="Times New Roman" w:hAnsi="Times New Roman" w:eastAsia="方正仿宋_GBK" w:cs="Times New Roman"/>
          <w:sz w:val="32"/>
          <w:szCs w:val="32"/>
        </w:rPr>
        <w:t>万元，支出总计</w:t>
      </w:r>
      <w:r>
        <w:rPr>
          <w:rFonts w:hint="eastAsia" w:ascii="Times New Roman" w:hAnsi="Times New Roman" w:eastAsia="方正仿宋_GBK" w:cs="Times New Roman"/>
          <w:sz w:val="32"/>
          <w:szCs w:val="32"/>
          <w:lang w:val="en-US" w:eastAsia="zh-CN"/>
        </w:rPr>
        <w:t>6615.67</w:t>
      </w:r>
      <w:r>
        <w:rPr>
          <w:rFonts w:hint="default" w:ascii="Times New Roman" w:hAnsi="Times New Roman" w:eastAsia="方正仿宋_GBK" w:cs="Times New Roman"/>
          <w:sz w:val="32"/>
          <w:szCs w:val="32"/>
        </w:rPr>
        <w:t>万元。收支较上年决算数减</w:t>
      </w:r>
      <w:r>
        <w:rPr>
          <w:rFonts w:hint="default" w:ascii="Times New Roman" w:hAnsi="Times New Roman" w:eastAsia="方正仿宋_GBK" w:cs="Times New Roman"/>
          <w:sz w:val="32"/>
          <w:szCs w:val="32"/>
          <w:lang w:val="en-US" w:eastAsia="zh-CN"/>
        </w:rPr>
        <w:t>少</w:t>
      </w:r>
      <w:r>
        <w:rPr>
          <w:rFonts w:hint="eastAsia" w:ascii="Times New Roman" w:hAnsi="Times New Roman" w:eastAsia="方正仿宋_GBK" w:cs="Times New Roman"/>
          <w:sz w:val="32"/>
          <w:szCs w:val="32"/>
          <w:lang w:val="en-US" w:eastAsia="zh-CN"/>
        </w:rPr>
        <w:t>1719.92</w:t>
      </w:r>
      <w:r>
        <w:rPr>
          <w:rFonts w:hint="default" w:ascii="Times New Roman" w:hAnsi="Times New Roman" w:eastAsia="方正仿宋_GBK" w:cs="Times New Roman"/>
          <w:sz w:val="32"/>
          <w:szCs w:val="32"/>
          <w:lang w:val="en-US" w:eastAsia="zh-CN"/>
        </w:rPr>
        <w:t>万元,下降</w:t>
      </w:r>
      <w:r>
        <w:rPr>
          <w:rFonts w:hint="eastAsia" w:ascii="Times New Roman" w:hAnsi="Times New Roman" w:eastAsia="方正仿宋_GBK" w:cs="Times New Roman"/>
          <w:sz w:val="32"/>
          <w:szCs w:val="32"/>
          <w:lang w:val="en-US" w:eastAsia="zh-CN"/>
        </w:rPr>
        <w:t>20.63</w:t>
      </w:r>
      <w:r>
        <w:rPr>
          <w:rFonts w:hint="default" w:ascii="Times New Roman" w:hAnsi="Times New Roman" w:eastAsia="方正仿宋_GBK" w:cs="Times New Roman"/>
          <w:sz w:val="32"/>
          <w:szCs w:val="32"/>
          <w:lang w:val="en-US" w:eastAsia="zh-CN"/>
        </w:rPr>
        <w:t>%，主要原因是</w:t>
      </w:r>
      <w:r>
        <w:rPr>
          <w:rFonts w:hint="eastAsia" w:ascii="Times New Roman" w:hAnsi="Times New Roman" w:eastAsia="方正仿宋_GBK" w:cs="Times New Roman"/>
          <w:sz w:val="32"/>
          <w:szCs w:val="32"/>
          <w:lang w:val="en-US" w:eastAsia="zh-CN"/>
        </w:rPr>
        <w:t>本年较上年减少卫生健康支出，隔离点经费支出减少；公路项目预算减少</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 xml:space="preserve"> 年度收入合计</w:t>
      </w:r>
      <w:r>
        <w:rPr>
          <w:rFonts w:hint="eastAsia" w:ascii="Times New Roman" w:hAnsi="Times New Roman" w:eastAsia="方正仿宋_GBK" w:cs="Times New Roman"/>
          <w:sz w:val="32"/>
          <w:szCs w:val="32"/>
          <w:lang w:val="en-US" w:eastAsia="zh-CN"/>
        </w:rPr>
        <w:t>6615.67</w:t>
      </w:r>
      <w:r>
        <w:rPr>
          <w:rFonts w:hint="default" w:ascii="Times New Roman" w:hAnsi="Times New Roman" w:eastAsia="方正仿宋_GBK" w:cs="Times New Roman"/>
          <w:sz w:val="32"/>
          <w:szCs w:val="32"/>
        </w:rPr>
        <w:t>万元，较上年决算数减</w:t>
      </w:r>
      <w:r>
        <w:rPr>
          <w:rFonts w:hint="default" w:ascii="Times New Roman" w:hAnsi="Times New Roman" w:eastAsia="方正仿宋_GBK" w:cs="Times New Roman"/>
          <w:sz w:val="32"/>
          <w:szCs w:val="32"/>
          <w:lang w:val="en-US" w:eastAsia="zh-CN"/>
        </w:rPr>
        <w:t>少</w:t>
      </w:r>
      <w:r>
        <w:rPr>
          <w:rFonts w:hint="eastAsia" w:ascii="Times New Roman" w:hAnsi="Times New Roman" w:eastAsia="方正仿宋_GBK" w:cs="Times New Roman"/>
          <w:sz w:val="32"/>
          <w:szCs w:val="32"/>
          <w:lang w:val="en-US" w:eastAsia="zh-CN"/>
        </w:rPr>
        <w:t>1719.92</w:t>
      </w:r>
      <w:r>
        <w:rPr>
          <w:rFonts w:hint="default" w:ascii="Times New Roman" w:hAnsi="Times New Roman" w:eastAsia="方正仿宋_GBK" w:cs="Times New Roman"/>
          <w:sz w:val="32"/>
          <w:szCs w:val="32"/>
          <w:lang w:val="en-US" w:eastAsia="zh-CN"/>
        </w:rPr>
        <w:t>万元,下降</w:t>
      </w:r>
      <w:r>
        <w:rPr>
          <w:rFonts w:hint="eastAsia" w:ascii="Times New Roman" w:hAnsi="Times New Roman" w:eastAsia="方正仿宋_GBK" w:cs="Times New Roman"/>
          <w:sz w:val="32"/>
          <w:szCs w:val="32"/>
          <w:lang w:val="en-US" w:eastAsia="zh-CN"/>
        </w:rPr>
        <w:t>20.63</w:t>
      </w:r>
      <w:r>
        <w:rPr>
          <w:rFonts w:hint="default" w:ascii="Times New Roman" w:hAnsi="Times New Roman" w:eastAsia="方正仿宋_GBK" w:cs="Times New Roman"/>
          <w:sz w:val="32"/>
          <w:szCs w:val="32"/>
          <w:lang w:val="en-US" w:eastAsia="zh-CN"/>
        </w:rPr>
        <w:t>%，主要原因是</w:t>
      </w:r>
      <w:r>
        <w:rPr>
          <w:rFonts w:hint="default" w:ascii="Times New Roman" w:hAnsi="Times New Roman" w:eastAsia="方正仿宋_GBK" w:cs="Times New Roman"/>
          <w:sz w:val="32"/>
          <w:szCs w:val="32"/>
        </w:rPr>
        <w:t>一般公共预算财政拨款收入减少。其中：财政拨款收入</w:t>
      </w:r>
      <w:r>
        <w:rPr>
          <w:rFonts w:hint="eastAsia" w:ascii="Times New Roman" w:hAnsi="Times New Roman" w:eastAsia="方正仿宋_GBK" w:cs="Times New Roman"/>
          <w:sz w:val="32"/>
          <w:szCs w:val="32"/>
          <w:lang w:val="en-US" w:eastAsia="zh-CN"/>
        </w:rPr>
        <w:t>6615.67</w:t>
      </w:r>
      <w:r>
        <w:rPr>
          <w:rFonts w:hint="default" w:ascii="Times New Roman" w:hAnsi="Times New Roman" w:eastAsia="方正仿宋_GBK" w:cs="Times New Roman"/>
          <w:sz w:val="32"/>
          <w:szCs w:val="32"/>
        </w:rPr>
        <w:t>万元，占100.0%。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年度支出合计</w:t>
      </w:r>
      <w:r>
        <w:rPr>
          <w:rFonts w:hint="eastAsia" w:ascii="Times New Roman" w:hAnsi="Times New Roman" w:eastAsia="方正仿宋_GBK" w:cs="Times New Roman"/>
          <w:sz w:val="32"/>
          <w:szCs w:val="32"/>
          <w:lang w:val="en-US" w:eastAsia="zh-CN"/>
        </w:rPr>
        <w:t>6615.67</w:t>
      </w:r>
      <w:r>
        <w:rPr>
          <w:rFonts w:hint="default" w:ascii="Times New Roman" w:hAnsi="Times New Roman" w:eastAsia="方正仿宋_GBK" w:cs="Times New Roman"/>
          <w:sz w:val="32"/>
          <w:szCs w:val="32"/>
        </w:rPr>
        <w:t>万元，较上年决算减</w:t>
      </w:r>
      <w:r>
        <w:rPr>
          <w:rFonts w:hint="default" w:ascii="Times New Roman" w:hAnsi="Times New Roman" w:eastAsia="方正仿宋_GBK" w:cs="Times New Roman"/>
          <w:sz w:val="32"/>
          <w:szCs w:val="32"/>
          <w:lang w:val="en-US" w:eastAsia="zh-CN"/>
        </w:rPr>
        <w:t>少</w:t>
      </w:r>
      <w:r>
        <w:rPr>
          <w:rFonts w:hint="eastAsia" w:ascii="Times New Roman" w:hAnsi="Times New Roman" w:eastAsia="方正仿宋_GBK" w:cs="Times New Roman"/>
          <w:sz w:val="32"/>
          <w:szCs w:val="32"/>
          <w:lang w:val="en-US" w:eastAsia="zh-CN"/>
        </w:rPr>
        <w:t>1719.92</w:t>
      </w:r>
      <w:r>
        <w:rPr>
          <w:rFonts w:hint="default" w:ascii="Times New Roman" w:hAnsi="Times New Roman" w:eastAsia="方正仿宋_GBK" w:cs="Times New Roman"/>
          <w:sz w:val="32"/>
          <w:szCs w:val="32"/>
          <w:lang w:val="en-US" w:eastAsia="zh-CN"/>
        </w:rPr>
        <w:t>万元,下降</w:t>
      </w:r>
      <w:r>
        <w:rPr>
          <w:rFonts w:hint="eastAsia" w:ascii="Times New Roman" w:hAnsi="Times New Roman" w:eastAsia="方正仿宋_GBK" w:cs="Times New Roman"/>
          <w:sz w:val="32"/>
          <w:szCs w:val="32"/>
          <w:lang w:val="en-US" w:eastAsia="zh-CN"/>
        </w:rPr>
        <w:t>20.63</w:t>
      </w:r>
      <w:r>
        <w:rPr>
          <w:rFonts w:hint="default" w:ascii="Times New Roman" w:hAnsi="Times New Roman" w:eastAsia="方正仿宋_GBK" w:cs="Times New Roman"/>
          <w:sz w:val="32"/>
          <w:szCs w:val="32"/>
          <w:lang w:val="en-US" w:eastAsia="zh-CN"/>
        </w:rPr>
        <w:t>%，主要原因是</w:t>
      </w:r>
      <w:r>
        <w:rPr>
          <w:rFonts w:hint="eastAsia" w:ascii="Times New Roman" w:hAnsi="Times New Roman" w:eastAsia="方正仿宋_GBK" w:cs="Times New Roman"/>
          <w:sz w:val="32"/>
          <w:szCs w:val="32"/>
          <w:lang w:val="en-US" w:eastAsia="zh-CN"/>
        </w:rPr>
        <w:t>本年较上年减少卫生健康支出，隔离点经费支出减少；公路项目预算减少</w:t>
      </w: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2926.91</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44.24</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3688.76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55.76</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 xml:space="preserve"> 年度年末结转和结余0万元，较上年决算数增加0万元，增长100.0%，主要原因是本单位无结转结余。</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4" w:name="_Toc13645"/>
      <w:bookmarkStart w:id="15" w:name="_Toc2723"/>
      <w:bookmarkStart w:id="16" w:name="_Toc1470"/>
      <w:r>
        <w:rPr>
          <w:rFonts w:hint="eastAsia" w:ascii="楷体" w:hAnsi="楷体" w:eastAsia="楷体" w:cs="楷体"/>
          <w:b/>
          <w:bCs/>
        </w:rPr>
        <w:t>（二）财政拨款收入支出决算总体情况说明</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年度财政拨款收、支总计</w:t>
      </w:r>
      <w:r>
        <w:rPr>
          <w:rFonts w:hint="eastAsia" w:ascii="Times New Roman" w:hAnsi="Times New Roman" w:eastAsia="方正仿宋_GBK" w:cs="Times New Roman"/>
          <w:sz w:val="32"/>
          <w:szCs w:val="32"/>
          <w:lang w:val="en-US" w:eastAsia="zh-CN"/>
        </w:rPr>
        <w:t>6615.67</w:t>
      </w:r>
      <w:r>
        <w:rPr>
          <w:rFonts w:hint="default" w:ascii="Times New Roman" w:hAnsi="Times New Roman" w:eastAsia="方正仿宋_GBK" w:cs="Times New Roman"/>
          <w:sz w:val="32"/>
          <w:szCs w:val="32"/>
        </w:rPr>
        <w:t>万元。与</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年相比，财政拨款收、支总计各减</w:t>
      </w:r>
      <w:r>
        <w:rPr>
          <w:rFonts w:hint="default" w:ascii="Times New Roman" w:hAnsi="Times New Roman" w:eastAsia="方正仿宋_GBK" w:cs="Times New Roman"/>
          <w:sz w:val="32"/>
          <w:szCs w:val="32"/>
          <w:lang w:val="en-US" w:eastAsia="zh-CN"/>
        </w:rPr>
        <w:t>少</w:t>
      </w:r>
      <w:r>
        <w:rPr>
          <w:rFonts w:hint="eastAsia" w:ascii="Times New Roman" w:hAnsi="Times New Roman" w:eastAsia="方正仿宋_GBK" w:cs="Times New Roman"/>
          <w:sz w:val="32"/>
          <w:szCs w:val="32"/>
          <w:lang w:val="en-US" w:eastAsia="zh-CN"/>
        </w:rPr>
        <w:t>1719.92</w:t>
      </w:r>
      <w:r>
        <w:rPr>
          <w:rFonts w:hint="default" w:ascii="Times New Roman" w:hAnsi="Times New Roman" w:eastAsia="方正仿宋_GBK" w:cs="Times New Roman"/>
          <w:sz w:val="32"/>
          <w:szCs w:val="32"/>
          <w:lang w:val="en-US" w:eastAsia="zh-CN"/>
        </w:rPr>
        <w:t>万元,下降</w:t>
      </w:r>
      <w:r>
        <w:rPr>
          <w:rFonts w:hint="eastAsia" w:ascii="Times New Roman" w:hAnsi="Times New Roman" w:eastAsia="方正仿宋_GBK" w:cs="Times New Roman"/>
          <w:sz w:val="32"/>
          <w:szCs w:val="32"/>
          <w:lang w:val="en-US" w:eastAsia="zh-CN"/>
        </w:rPr>
        <w:t>20.63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。主要原因是一般公共预算财政拨款收入及支出减少。</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7" w:name="_Toc29232"/>
      <w:bookmarkStart w:id="18" w:name="_Toc28108"/>
      <w:bookmarkStart w:id="19" w:name="_Toc10912"/>
      <w:r>
        <w:rPr>
          <w:rFonts w:hint="eastAsia" w:ascii="楷体" w:hAnsi="楷体" w:eastAsia="楷体" w:cs="楷体"/>
          <w:b/>
          <w:bCs/>
        </w:rPr>
        <w:t>（三）一般公共预算财政拨款收入支出决算情况说明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eastAsia" w:ascii="Times New Roman" w:hAnsi="Times New Roman" w:eastAsia="方正仿宋_GBK" w:cs="Times New Roman"/>
          <w:sz w:val="32"/>
          <w:szCs w:val="32"/>
          <w:lang w:val="en-US" w:eastAsia="zh-CN"/>
        </w:rPr>
        <w:t>6578.18</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1663.89</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了项目收入。较年初预算数增加</w:t>
      </w:r>
      <w:r>
        <w:rPr>
          <w:rFonts w:hint="eastAsia" w:ascii="Times New Roman" w:hAnsi="Times New Roman" w:eastAsia="方正仿宋_GBK" w:cs="Times New Roman"/>
          <w:sz w:val="32"/>
          <w:szCs w:val="32"/>
          <w:lang w:val="en-US" w:eastAsia="zh-CN"/>
        </w:rPr>
        <w:t>1536.79</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0.48</w:t>
      </w:r>
      <w:r>
        <w:rPr>
          <w:rFonts w:hint="default" w:ascii="Times New Roman" w:hAnsi="Times New Roman" w:eastAsia="方正仿宋_GBK" w:cs="Times New Roman"/>
          <w:sz w:val="32"/>
          <w:szCs w:val="32"/>
        </w:rPr>
        <w:t>%。主要原因是年中追加了项目收入。此外，年初财政拨款结转和结余0万元。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 xml:space="preserve"> 年度一般公共预算财政拨款支出</w:t>
      </w:r>
      <w:r>
        <w:rPr>
          <w:rFonts w:hint="eastAsia" w:ascii="Times New Roman" w:hAnsi="Times New Roman" w:eastAsia="方正仿宋_GBK" w:cs="Times New Roman"/>
          <w:sz w:val="32"/>
          <w:szCs w:val="32"/>
          <w:lang w:val="en-US" w:eastAsia="zh-CN"/>
        </w:rPr>
        <w:t>6578.18</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1663.89</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val="en-US" w:eastAsia="zh-CN"/>
        </w:rPr>
        <w:t>本年较上年减少卫生健康支出，隔离点经费支出减少；公路项目预算减少</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1536.79</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0.48</w:t>
      </w:r>
      <w:r>
        <w:rPr>
          <w:rFonts w:hint="default" w:ascii="Times New Roman" w:hAnsi="Times New Roman" w:eastAsia="方正仿宋_GBK" w:cs="Times New Roman"/>
          <w:sz w:val="32"/>
          <w:szCs w:val="32"/>
        </w:rPr>
        <w:t>%。主要原因是年中追加了农村</w:t>
      </w:r>
      <w:r>
        <w:rPr>
          <w:rFonts w:hint="default" w:ascii="Times New Roman" w:hAnsi="Times New Roman" w:eastAsia="方正仿宋_GBK" w:cs="Times New Roman"/>
          <w:sz w:val="32"/>
          <w:szCs w:val="32"/>
          <w:lang w:eastAsia="zh-CN"/>
        </w:rPr>
        <w:t>危房改造</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eastAsia="zh-CN"/>
        </w:rPr>
        <w:t>临时救助</w:t>
      </w:r>
      <w:r>
        <w:rPr>
          <w:rFonts w:hint="default" w:ascii="Times New Roman" w:hAnsi="Times New Roman" w:eastAsia="方正仿宋_GBK" w:cs="Times New Roman"/>
          <w:sz w:val="32"/>
          <w:szCs w:val="32"/>
        </w:rPr>
        <w:t>支出、交通运输支出、住房保障支出等。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年度年末一般公共预算财政拨款结转和结余0万元，较上年决算数增加0万元，增长100.0%，主要原因是本单位无结转结余。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w:t>
      </w:r>
      <w:r>
        <w:rPr>
          <w:rFonts w:hint="default" w:ascii="Times New Roman" w:hAnsi="Times New Roman" w:eastAsia="方正仿宋_GBK" w:cs="Times New Roman"/>
          <w:sz w:val="32"/>
          <w:szCs w:val="32"/>
          <w:lang w:eastAsia="zh-CN"/>
        </w:rPr>
        <w:t>本单位2024</w:t>
      </w:r>
      <w:r>
        <w:rPr>
          <w:rFonts w:hint="default" w:ascii="Times New Roman" w:hAnsi="Times New Roman" w:eastAsia="方正仿宋_GBK" w:cs="Times New Roman"/>
          <w:sz w:val="32"/>
          <w:szCs w:val="32"/>
        </w:rPr>
        <w:t xml:space="preserve">年度一般公共预算财政拨款支出主要用于以下几个方面：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  （1）一般公共服务支出</w:t>
      </w:r>
      <w:r>
        <w:rPr>
          <w:rFonts w:hint="eastAsia" w:ascii="Times New Roman" w:hAnsi="Times New Roman" w:eastAsia="方正仿宋_GBK" w:cs="Times New Roman"/>
          <w:sz w:val="32"/>
          <w:szCs w:val="32"/>
          <w:lang w:val="en-US" w:eastAsia="zh-CN"/>
        </w:rPr>
        <w:t>1797.07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28.70</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303.44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20.32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本年度新进</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名公务员，相关经费增加</w:t>
      </w:r>
      <w:r>
        <w:rPr>
          <w:rFonts w:hint="default" w:ascii="Times New Roman" w:hAnsi="Times New Roman" w:eastAsia="方正仿宋_GBK" w:cs="Times New Roman"/>
          <w:sz w:val="32"/>
          <w:szCs w:val="32"/>
        </w:rPr>
        <w:t>。</w:t>
      </w:r>
    </w:p>
    <w:p>
      <w:pPr>
        <w:pStyle w:val="2"/>
        <w:keepNext w:val="0"/>
        <w:keepLines w:val="0"/>
        <w:pageBreakBefore w:val="0"/>
        <w:widowControl/>
        <w:kinsoku/>
        <w:wordWrap/>
        <w:overflowPunct/>
        <w:topLinePunct w:val="0"/>
        <w:autoSpaceDE/>
        <w:autoSpaceDN/>
        <w:bidi w:val="0"/>
        <w:adjustRightInd/>
        <w:snapToGrid w:val="0"/>
        <w:textAlignment w:val="auto"/>
        <w:rPr>
          <w:rFonts w:hint="default"/>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国防</w:t>
      </w:r>
      <w:r>
        <w:rPr>
          <w:rFonts w:hint="default"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val="en-US" w:eastAsia="zh-CN"/>
        </w:rPr>
        <w:t>3.46</w:t>
      </w:r>
      <w:r>
        <w:rPr>
          <w:rFonts w:hint="default" w:ascii="Times New Roman" w:hAnsi="Times New Roman" w:eastAsia="方正仿宋_GBK" w:cs="Times New Roman"/>
          <w:sz w:val="32"/>
          <w:szCs w:val="32"/>
        </w:rPr>
        <w:t>万元，占0.0</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一致</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该项资金为往年资金，本年度使用完毕</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）公共安全支出</w:t>
      </w:r>
      <w:r>
        <w:rPr>
          <w:rFonts w:hint="eastAsia" w:ascii="Times New Roman" w:hAnsi="Times New Roman" w:eastAsia="方正仿宋_GBK" w:cs="Times New Roman"/>
          <w:sz w:val="32"/>
          <w:szCs w:val="32"/>
          <w:lang w:val="en-US" w:eastAsia="zh-CN"/>
        </w:rPr>
        <w:t>16.46</w:t>
      </w:r>
      <w:r>
        <w:rPr>
          <w:rFonts w:hint="default" w:ascii="Times New Roman" w:hAnsi="Times New Roman" w:eastAsia="方正仿宋_GBK" w:cs="Times New Roman"/>
          <w:sz w:val="32"/>
          <w:szCs w:val="32"/>
        </w:rPr>
        <w:t>万元，占0.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b w:val="0"/>
          <w:bCs w:val="0"/>
          <w:sz w:val="32"/>
          <w:szCs w:val="32"/>
          <w:shd w:val="clear" w:color="auto" w:fill="FFFFFF"/>
          <w:lang w:eastAsia="zh-CN"/>
        </w:rPr>
        <w:t>增加</w:t>
      </w:r>
      <w:r>
        <w:rPr>
          <w:rFonts w:hint="eastAsia" w:ascii="Times New Roman" w:hAnsi="Times New Roman" w:eastAsia="方正仿宋_GBK" w:cs="Times New Roman"/>
          <w:b w:val="0"/>
          <w:bCs w:val="0"/>
          <w:sz w:val="32"/>
          <w:szCs w:val="32"/>
          <w:shd w:val="clear" w:color="auto" w:fill="FFFFFF"/>
          <w:lang w:val="en-US" w:eastAsia="zh-CN"/>
        </w:rPr>
        <w:t>7.46</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增长</w:t>
      </w:r>
      <w:r>
        <w:rPr>
          <w:rFonts w:hint="eastAsia" w:ascii="Times New Roman" w:hAnsi="Times New Roman" w:eastAsia="方正仿宋_GBK" w:cs="Times New Roman"/>
          <w:b w:val="0"/>
          <w:bCs w:val="0"/>
          <w:sz w:val="32"/>
          <w:szCs w:val="32"/>
          <w:shd w:val="clear" w:color="auto" w:fill="FFFFFF"/>
          <w:lang w:val="en-US" w:eastAsia="zh-CN"/>
        </w:rPr>
        <w:t>82.89</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年中追加</w:t>
      </w:r>
      <w:r>
        <w:rPr>
          <w:rFonts w:hint="eastAsia" w:ascii="仿宋_GB2312" w:hAnsi="仿宋" w:eastAsia="仿宋_GB2312"/>
          <w:sz w:val="32"/>
          <w:szCs w:val="32"/>
          <w:lang w:val="en-US" w:eastAsia="zh-CN"/>
        </w:rPr>
        <w:t>反诈支出和门楼牌制作安装资金</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）文化旅游体育与传媒支出</w:t>
      </w:r>
      <w:r>
        <w:rPr>
          <w:rFonts w:hint="eastAsia" w:ascii="Times New Roman" w:hAnsi="Times New Roman" w:eastAsia="方正仿宋_GBK" w:cs="Times New Roman"/>
          <w:sz w:val="32"/>
          <w:szCs w:val="32"/>
          <w:lang w:val="en-US" w:eastAsia="zh-CN"/>
        </w:rPr>
        <w:t>187.34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13.25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7.61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年中追加文化</w:t>
      </w:r>
      <w:r>
        <w:rPr>
          <w:rFonts w:hint="eastAsia" w:ascii="Times New Roman" w:hAnsi="Times New Roman" w:eastAsia="方正仿宋_GBK" w:cs="Times New Roman"/>
          <w:sz w:val="32"/>
          <w:szCs w:val="32"/>
          <w:lang w:eastAsia="zh-CN"/>
        </w:rPr>
        <w:t>站</w:t>
      </w:r>
      <w:r>
        <w:rPr>
          <w:rFonts w:hint="default" w:ascii="Times New Roman" w:hAnsi="Times New Roman" w:eastAsia="方正仿宋_GBK" w:cs="Times New Roman"/>
          <w:sz w:val="32"/>
          <w:szCs w:val="32"/>
          <w:lang w:eastAsia="zh-CN"/>
        </w:rPr>
        <w:t>免开资金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）社会保障与就业支出</w:t>
      </w:r>
      <w:r>
        <w:rPr>
          <w:rFonts w:hint="eastAsia" w:ascii="Times New Roman" w:hAnsi="Times New Roman" w:eastAsia="方正仿宋_GBK" w:cs="Times New Roman"/>
          <w:sz w:val="32"/>
          <w:szCs w:val="32"/>
          <w:lang w:val="en-US" w:eastAsia="zh-CN"/>
        </w:rPr>
        <w:t>1139.20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7.32</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61.29</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5.69</w:t>
      </w:r>
      <w:r>
        <w:rPr>
          <w:rFonts w:hint="default" w:ascii="Times New Roman" w:hAnsi="Times New Roman" w:eastAsia="方正仿宋_GBK" w:cs="Times New Roman"/>
          <w:sz w:val="32"/>
          <w:szCs w:val="32"/>
        </w:rPr>
        <w:t>%，主要原因是年中追加</w:t>
      </w:r>
      <w:r>
        <w:rPr>
          <w:rFonts w:hint="default" w:ascii="Times New Roman" w:hAnsi="Times New Roman" w:eastAsia="方正仿宋_GBK" w:cs="Times New Roman"/>
          <w:sz w:val="32"/>
          <w:szCs w:val="32"/>
          <w:lang w:eastAsia="zh-CN"/>
        </w:rPr>
        <w:t>临时</w:t>
      </w:r>
      <w:r>
        <w:rPr>
          <w:rFonts w:hint="default" w:ascii="Times New Roman" w:hAnsi="Times New Roman" w:eastAsia="方正仿宋_GBK" w:cs="Times New Roman"/>
          <w:sz w:val="32"/>
          <w:szCs w:val="32"/>
        </w:rPr>
        <w:t>救助资金等。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266.75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4.06</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106.47</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66.43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年中追加医疗保障经办事务经费</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eastAsia="zh-CN"/>
        </w:rPr>
        <w:t>疫情防控集中隔离点费用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）节能环保支出</w:t>
      </w:r>
      <w:r>
        <w:rPr>
          <w:rFonts w:hint="eastAsia" w:ascii="Times New Roman" w:hAnsi="Times New Roman" w:eastAsia="方正仿宋_GBK" w:cs="Times New Roman"/>
          <w:sz w:val="32"/>
          <w:szCs w:val="32"/>
          <w:lang w:val="en-US" w:eastAsia="zh-CN"/>
        </w:rPr>
        <w:t>7.48</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年初预算数增加</w:t>
      </w:r>
      <w:r>
        <w:rPr>
          <w:rFonts w:hint="eastAsia" w:ascii="Times New Roman" w:hAnsi="Times New Roman" w:eastAsia="方正仿宋_GBK" w:cs="Times New Roman"/>
          <w:sz w:val="32"/>
          <w:szCs w:val="32"/>
          <w:lang w:val="en-US" w:eastAsia="zh-CN"/>
        </w:rPr>
        <w:t>7.48</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年中追加</w:t>
      </w:r>
      <w:r>
        <w:rPr>
          <w:rFonts w:hint="default" w:ascii="Times New Roman" w:hAnsi="Times New Roman" w:eastAsia="方正仿宋_GBK" w:cs="Times New Roman"/>
          <w:sz w:val="32"/>
          <w:szCs w:val="32"/>
          <w:lang w:val="en-US" w:eastAsia="zh-CN"/>
        </w:rPr>
        <w:t>农村黑臭水体清零区县创建资金等。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）城乡社区支出</w:t>
      </w:r>
      <w:r>
        <w:rPr>
          <w:rFonts w:hint="eastAsia" w:ascii="Times New Roman" w:hAnsi="Times New Roman" w:eastAsia="方正仿宋_GBK" w:cs="Times New Roman"/>
          <w:sz w:val="32"/>
          <w:szCs w:val="32"/>
          <w:lang w:val="en-US" w:eastAsia="zh-CN"/>
        </w:rPr>
        <w:t>279.04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20.37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6.80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场镇清扫保洁支出较往年减少</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）农林水支出</w:t>
      </w:r>
      <w:r>
        <w:rPr>
          <w:rFonts w:hint="eastAsia" w:ascii="Times New Roman" w:hAnsi="Times New Roman" w:eastAsia="方正仿宋_GBK" w:cs="Times New Roman"/>
          <w:sz w:val="32"/>
          <w:szCs w:val="32"/>
          <w:lang w:val="en-US" w:eastAsia="zh-CN"/>
        </w:rPr>
        <w:t>2080.96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31.63</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882.34</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73.61</w:t>
      </w:r>
      <w:r>
        <w:rPr>
          <w:rFonts w:hint="default" w:ascii="Times New Roman" w:hAnsi="Times New Roman" w:eastAsia="方正仿宋_GBK" w:cs="Times New Roman"/>
          <w:sz w:val="32"/>
          <w:szCs w:val="32"/>
        </w:rPr>
        <w:t>%，主要原因是年中追加一事一议太阳能路灯资金及产业发展奖补资金等。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）交通运输支出</w:t>
      </w:r>
      <w:r>
        <w:rPr>
          <w:rFonts w:hint="eastAsia" w:ascii="Times New Roman" w:hAnsi="Times New Roman" w:eastAsia="方正仿宋_GBK" w:cs="Times New Roman"/>
          <w:sz w:val="32"/>
          <w:szCs w:val="32"/>
          <w:lang w:val="en-US" w:eastAsia="zh-CN"/>
        </w:rPr>
        <w:t>431.02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6.55</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179.29</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71.22</w:t>
      </w:r>
      <w:r>
        <w:rPr>
          <w:rFonts w:hint="default" w:ascii="Times New Roman" w:hAnsi="Times New Roman" w:eastAsia="方正仿宋_GBK" w:cs="Times New Roman"/>
          <w:sz w:val="32"/>
          <w:szCs w:val="32"/>
        </w:rPr>
        <w:t>%，主要原因是年终追加农村公路养护资金</w:t>
      </w:r>
      <w:r>
        <w:rPr>
          <w:rFonts w:hint="default" w:ascii="Times New Roman" w:hAnsi="Times New Roman" w:eastAsia="方正仿宋_GBK" w:cs="Times New Roman"/>
          <w:sz w:val="32"/>
          <w:szCs w:val="32"/>
          <w:lang w:eastAsia="zh-CN"/>
        </w:rPr>
        <w:t>及农村公路建设以奖代补资金</w:t>
      </w:r>
      <w:r>
        <w:rPr>
          <w:rFonts w:hint="default" w:ascii="Times New Roman" w:hAnsi="Times New Roman" w:eastAsia="方正仿宋_GBK"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230.61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41.73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2.09</w:t>
      </w:r>
      <w:r>
        <w:rPr>
          <w:rFonts w:hint="default" w:ascii="Times New Roman" w:hAnsi="Times New Roman" w:eastAsia="方正仿宋_GBK" w:cs="Times New Roman"/>
          <w:sz w:val="32"/>
          <w:szCs w:val="32"/>
        </w:rPr>
        <w:t>%，主要原因是年中追加老旧小区改造资金等。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）灾害防治及应急管理支出</w:t>
      </w:r>
      <w:r>
        <w:rPr>
          <w:rFonts w:hint="eastAsia" w:ascii="Times New Roman" w:hAnsi="Times New Roman" w:eastAsia="方正仿宋_GBK" w:cs="Times New Roman"/>
          <w:sz w:val="32"/>
          <w:szCs w:val="32"/>
          <w:lang w:val="en-US" w:eastAsia="zh-CN"/>
        </w:rPr>
        <w:t>176.27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155.40</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744.61</w:t>
      </w:r>
      <w:r>
        <w:rPr>
          <w:rFonts w:hint="default" w:ascii="Times New Roman" w:hAnsi="Times New Roman" w:eastAsia="方正仿宋_GBK" w:cs="Times New Roman"/>
          <w:sz w:val="32"/>
          <w:szCs w:val="32"/>
        </w:rPr>
        <w:t>%，主要原因是年中追加自然灾害</w:t>
      </w:r>
      <w:r>
        <w:rPr>
          <w:rFonts w:hint="default" w:ascii="Times New Roman" w:hAnsi="Times New Roman" w:eastAsia="方正仿宋_GBK" w:cs="Times New Roman"/>
          <w:sz w:val="32"/>
          <w:szCs w:val="32"/>
          <w:lang w:eastAsia="zh-CN"/>
        </w:rPr>
        <w:t>救灾</w:t>
      </w:r>
      <w:r>
        <w:rPr>
          <w:rFonts w:hint="default" w:ascii="Times New Roman" w:hAnsi="Times New Roman" w:eastAsia="方正仿宋_GBK" w:cs="Times New Roman"/>
          <w:sz w:val="32"/>
          <w:szCs w:val="32"/>
        </w:rPr>
        <w:t>资金等。</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0" w:name="_Toc18444"/>
      <w:bookmarkStart w:id="21" w:name="_Toc26692"/>
      <w:bookmarkStart w:id="22" w:name="_Toc5618"/>
      <w:r>
        <w:rPr>
          <w:rFonts w:hint="eastAsia" w:ascii="楷体" w:hAnsi="楷体" w:eastAsia="楷体" w:cs="楷体"/>
          <w:b/>
          <w:bCs/>
        </w:rPr>
        <w:t>（四）一般公共预算财政拨款基本支出决算情况说明</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年度一般公共预算财政拨款基本支出</w:t>
      </w:r>
      <w:r>
        <w:rPr>
          <w:rFonts w:hint="eastAsia" w:ascii="Times New Roman" w:hAnsi="Times New Roman" w:eastAsia="方正仿宋_GBK" w:cs="Times New Roman"/>
          <w:sz w:val="32"/>
          <w:szCs w:val="32"/>
          <w:lang w:val="en-US" w:eastAsia="zh-CN"/>
        </w:rPr>
        <w:t>2926.91</w:t>
      </w:r>
      <w:r>
        <w:rPr>
          <w:rFonts w:hint="default" w:ascii="Times New Roman" w:hAnsi="Times New Roman" w:eastAsia="方正仿宋_GBK" w:cs="Times New Roman"/>
          <w:sz w:val="32"/>
          <w:szCs w:val="32"/>
        </w:rPr>
        <w:t>万元。其中：人员经费</w:t>
      </w:r>
      <w:r>
        <w:rPr>
          <w:rFonts w:hint="eastAsia" w:ascii="Times New Roman" w:hAnsi="Times New Roman" w:eastAsia="方正仿宋_GBK" w:cs="Times New Roman"/>
          <w:sz w:val="32"/>
          <w:szCs w:val="32"/>
          <w:lang w:val="en-US" w:eastAsia="zh-CN"/>
        </w:rPr>
        <w:t>2580.74</w:t>
      </w:r>
      <w:r>
        <w:rPr>
          <w:rFonts w:hint="default"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lang w:val="en-US" w:eastAsia="zh-CN"/>
        </w:rPr>
        <w:t>72.75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2.90</w:t>
      </w:r>
      <w:r>
        <w:rPr>
          <w:rFonts w:hint="default" w:ascii="Times New Roman" w:hAnsi="Times New Roman" w:eastAsia="方正仿宋_GBK" w:cs="Times New Roman"/>
          <w:sz w:val="32"/>
          <w:szCs w:val="32"/>
        </w:rPr>
        <w:t>%，主要原因是增人增资。人员经费用途主要包括基本工资、津贴补贴、奖金、社会保障缴费等。公用经费</w:t>
      </w:r>
      <w:r>
        <w:rPr>
          <w:rFonts w:hint="eastAsia" w:ascii="Times New Roman" w:hAnsi="Times New Roman" w:eastAsia="方正仿宋_GBK" w:cs="Times New Roman"/>
          <w:sz w:val="32"/>
          <w:szCs w:val="32"/>
          <w:lang w:val="en-US" w:eastAsia="zh-CN"/>
        </w:rPr>
        <w:t>346.18</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40.21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10.41</w:t>
      </w:r>
      <w:r>
        <w:rPr>
          <w:rFonts w:hint="default" w:ascii="Times New Roman" w:hAnsi="Times New Roman" w:eastAsia="方正仿宋_GBK" w:cs="Times New Roman"/>
          <w:sz w:val="32"/>
          <w:szCs w:val="32"/>
        </w:rPr>
        <w:t>%，主要原因是厉行节约，减少公用经费开支。公用经费用途主要包括办公费、印刷费、咨询费、手续费等。</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3" w:name="_Toc19552"/>
      <w:bookmarkStart w:id="24" w:name="_Toc13210"/>
      <w:bookmarkStart w:id="25" w:name="_Toc712"/>
      <w:r>
        <w:rPr>
          <w:rFonts w:hint="eastAsia" w:ascii="楷体" w:hAnsi="楷体" w:eastAsia="楷体" w:cs="楷体"/>
          <w:b/>
          <w:bCs/>
        </w:rPr>
        <w:t>（五）政府性基金预算收支决算情况说明</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年度政府性基金预算财政拨款年初结转结余0万元，年末结转结余0万元。本年收入</w:t>
      </w:r>
      <w:r>
        <w:rPr>
          <w:rFonts w:hint="eastAsia" w:ascii="Times New Roman" w:hAnsi="Times New Roman" w:eastAsia="方正仿宋_GBK" w:cs="Times New Roman"/>
          <w:sz w:val="32"/>
          <w:szCs w:val="32"/>
          <w:lang w:val="en-US" w:eastAsia="zh-CN"/>
        </w:rPr>
        <w:t>37.49</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56.04</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59.92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年中追加</w:t>
      </w:r>
      <w:r>
        <w:rPr>
          <w:rFonts w:hint="eastAsia" w:ascii="Times New Roman" w:hAnsi="Times New Roman" w:eastAsia="方正仿宋_GBK" w:cs="Times New Roman"/>
          <w:sz w:val="32"/>
          <w:szCs w:val="32"/>
          <w:lang w:val="en-US" w:eastAsia="zh-CN"/>
        </w:rPr>
        <w:t>自然灾害救助</w:t>
      </w:r>
      <w:r>
        <w:rPr>
          <w:rFonts w:hint="default" w:ascii="Times New Roman" w:hAnsi="Times New Roman" w:eastAsia="方正仿宋_GBK" w:cs="Times New Roman"/>
          <w:sz w:val="32"/>
          <w:szCs w:val="32"/>
          <w:lang w:val="en-US" w:eastAsia="zh-CN"/>
        </w:rPr>
        <w:t>和公路养护补助资金等。</w:t>
      </w:r>
      <w:r>
        <w:rPr>
          <w:rFonts w:hint="default" w:ascii="Times New Roman" w:hAnsi="Times New Roman" w:eastAsia="方正仿宋_GBK" w:cs="Times New Roman"/>
          <w:b w:val="0"/>
          <w:bCs w:val="0"/>
          <w:sz w:val="32"/>
          <w:szCs w:val="32"/>
          <w:shd w:val="clear" w:color="auto" w:fill="FFFFFF"/>
        </w:rPr>
        <w:t>本年支出</w:t>
      </w:r>
      <w:r>
        <w:rPr>
          <w:rFonts w:hint="eastAsia" w:ascii="Times New Roman" w:hAnsi="Times New Roman" w:eastAsia="方正仿宋_GBK" w:cs="Times New Roman"/>
          <w:b w:val="0"/>
          <w:bCs w:val="0"/>
          <w:sz w:val="32"/>
          <w:szCs w:val="32"/>
          <w:lang w:val="en-US" w:eastAsia="zh-CN"/>
        </w:rPr>
        <w:t>37.49</w:t>
      </w:r>
      <w:r>
        <w:rPr>
          <w:rFonts w:hint="default" w:ascii="Times New Roman" w:hAnsi="Times New Roman" w:eastAsia="方正仿宋_GBK" w:cs="Times New Roman"/>
          <w:b w:val="0"/>
          <w:bCs w:val="0"/>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56.04</w:t>
      </w:r>
      <w:r>
        <w:rPr>
          <w:rFonts w:hint="default" w:ascii="Times New Roman" w:hAnsi="Times New Roman" w:eastAsia="方正仿宋_GBK" w:cs="Times New Roman"/>
          <w:b w:val="0"/>
          <w:bCs w:val="0"/>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59.92</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sz w:val="32"/>
          <w:szCs w:val="32"/>
          <w:lang w:eastAsia="zh-CN"/>
        </w:rPr>
        <w:t>本年支出</w:t>
      </w:r>
      <w:r>
        <w:rPr>
          <w:rFonts w:hint="eastAsia" w:ascii="Times New Roman" w:hAnsi="Times New Roman" w:eastAsia="方正仿宋_GBK" w:cs="Times New Roman"/>
          <w:sz w:val="32"/>
          <w:szCs w:val="32"/>
          <w:lang w:val="en-US" w:eastAsia="zh-CN"/>
        </w:rPr>
        <w:t>自然灾害救助</w:t>
      </w:r>
      <w:r>
        <w:rPr>
          <w:rFonts w:hint="default" w:ascii="Times New Roman" w:hAnsi="Times New Roman" w:eastAsia="方正仿宋_GBK" w:cs="Times New Roman"/>
          <w:sz w:val="32"/>
          <w:szCs w:val="32"/>
          <w:lang w:val="en-US" w:eastAsia="zh-CN"/>
        </w:rPr>
        <w:t>和公路养护补助资金等。</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6" w:name="_Toc12670"/>
      <w:bookmarkStart w:id="27" w:name="_Toc9009"/>
      <w:bookmarkStart w:id="28" w:name="_Toc15828"/>
      <w:r>
        <w:rPr>
          <w:rFonts w:hint="eastAsia" w:ascii="楷体" w:hAnsi="楷体" w:eastAsia="楷体" w:cs="楷体"/>
          <w:b/>
          <w:bCs/>
        </w:rPr>
        <w:t>（六）国有资本经营预算财政拨款支出决算情况说明</w:t>
      </w:r>
      <w:bookmarkEnd w:id="26"/>
      <w:bookmarkEnd w:id="27"/>
      <w:bookmarkEnd w:id="28"/>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部门2024</w:t>
      </w:r>
      <w:r>
        <w:rPr>
          <w:rFonts w:hint="default" w:ascii="Times New Roman" w:hAnsi="Times New Roman" w:eastAsia="方正仿宋_GBK" w:cs="Times New Roman"/>
          <w:sz w:val="32"/>
          <w:szCs w:val="32"/>
        </w:rPr>
        <w:t>年度无国有资本经营预算财政拨款支出</w:t>
      </w:r>
      <w:r>
        <w:rPr>
          <w:rFonts w:hint="eastAsia" w:ascii="Times New Roman" w:hAnsi="Times New Roman" w:eastAsia="方正仿宋_GBK" w:cs="Times New Roman"/>
          <w:sz w:val="32"/>
          <w:szCs w:val="32"/>
          <w:lang w:eastAsia="zh-CN"/>
        </w:rPr>
        <w:t>。</w:t>
      </w:r>
    </w:p>
    <w:p>
      <w:pPr>
        <w:pStyle w:val="3"/>
        <w:bidi w:val="0"/>
        <w:rPr>
          <w:rFonts w:hint="eastAsia" w:ascii="黑体" w:hAnsi="黑体" w:eastAsia="黑体" w:cs="黑体"/>
        </w:rPr>
      </w:pPr>
      <w:bookmarkStart w:id="29" w:name="_Toc7772"/>
      <w:r>
        <w:rPr>
          <w:rFonts w:hint="eastAsia" w:ascii="黑体" w:hAnsi="黑体" w:eastAsia="黑体" w:cs="黑体"/>
        </w:rPr>
        <w:t>三、</w:t>
      </w:r>
      <w:r>
        <w:rPr>
          <w:rFonts w:hint="eastAsia" w:ascii="黑体" w:hAnsi="黑体" w:eastAsia="黑体" w:cs="黑体"/>
          <w:lang w:eastAsia="zh-CN"/>
        </w:rPr>
        <w:t>财政拨款</w:t>
      </w:r>
      <w:r>
        <w:rPr>
          <w:rFonts w:hint="eastAsia" w:ascii="黑体" w:hAnsi="黑体" w:eastAsia="黑体" w:cs="黑体"/>
        </w:rPr>
        <w:t>“三公”经费情况说明</w:t>
      </w:r>
      <w:bookmarkEnd w:id="29"/>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30" w:name="_Toc27538"/>
      <w:r>
        <w:rPr>
          <w:rFonts w:hint="eastAsia" w:ascii="楷体" w:hAnsi="楷体" w:eastAsia="楷体" w:cs="楷体"/>
          <w:b/>
          <w:bCs/>
        </w:rPr>
        <w:t>（一）</w:t>
      </w:r>
      <w:r>
        <w:rPr>
          <w:rFonts w:hint="eastAsia" w:ascii="楷体" w:hAnsi="楷体" w:eastAsia="楷体" w:cs="楷体"/>
          <w:b/>
          <w:bCs/>
          <w:lang w:eastAsia="zh-CN"/>
        </w:rPr>
        <w:t>“</w:t>
      </w:r>
      <w:r>
        <w:rPr>
          <w:rFonts w:hint="eastAsia" w:ascii="楷体" w:hAnsi="楷体" w:eastAsia="楷体" w:cs="楷体"/>
          <w:b/>
          <w:bCs/>
        </w:rPr>
        <w:t>三公</w:t>
      </w:r>
      <w:r>
        <w:rPr>
          <w:rFonts w:hint="eastAsia" w:ascii="楷体" w:hAnsi="楷体" w:eastAsia="楷体" w:cs="楷体"/>
          <w:b/>
          <w:bCs/>
          <w:lang w:eastAsia="zh-CN"/>
        </w:rPr>
        <w:t>”</w:t>
      </w:r>
      <w:r>
        <w:rPr>
          <w:rFonts w:hint="eastAsia" w:ascii="楷体" w:hAnsi="楷体" w:eastAsia="楷体" w:cs="楷体"/>
          <w:b/>
          <w:bCs/>
        </w:rPr>
        <w:t>经费支出总体情况说明</w:t>
      </w:r>
      <w:bookmarkEnd w:id="30"/>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经费支出共计</w:t>
      </w:r>
      <w:r>
        <w:rPr>
          <w:rFonts w:hint="default" w:ascii="Times New Roman" w:hAnsi="Times New Roman" w:eastAsia="方正仿宋_GBK" w:cs="Times New Roman"/>
          <w:sz w:val="32"/>
          <w:szCs w:val="32"/>
          <w:lang w:val="en-US" w:eastAsia="zh-CN"/>
        </w:rPr>
        <w:t>18.75</w:t>
      </w:r>
      <w:r>
        <w:rPr>
          <w:rFonts w:hint="default" w:ascii="Times New Roman" w:hAnsi="Times New Roman" w:eastAsia="方正仿宋_GBK" w:cs="Times New Roman"/>
          <w:sz w:val="32"/>
          <w:szCs w:val="32"/>
        </w:rPr>
        <w:t>万元，较年初预算数减少</w:t>
      </w:r>
      <w:r>
        <w:rPr>
          <w:rFonts w:hint="default" w:ascii="Times New Roman" w:hAnsi="Times New Roman" w:eastAsia="方正仿宋_GBK" w:cs="Times New Roman"/>
          <w:sz w:val="32"/>
          <w:szCs w:val="32"/>
          <w:lang w:val="en-US" w:eastAsia="zh-CN"/>
        </w:rPr>
        <w:t>4.74</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16.67</w:t>
      </w:r>
      <w:r>
        <w:rPr>
          <w:rFonts w:hint="default" w:ascii="Times New Roman" w:hAnsi="Times New Roman" w:eastAsia="方正仿宋_GBK" w:cs="Times New Roman"/>
          <w:sz w:val="32"/>
          <w:szCs w:val="32"/>
        </w:rPr>
        <w:t>%，主要原因是认真贯彻落实中央八项规定精神，按照只减不增的要求从严控制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经费。较上年支出数减少</w:t>
      </w:r>
      <w:r>
        <w:rPr>
          <w:rFonts w:hint="default" w:ascii="Times New Roman" w:hAnsi="Times New Roman" w:eastAsia="方正仿宋_GBK" w:cs="Times New Roman"/>
          <w:sz w:val="32"/>
          <w:szCs w:val="32"/>
          <w:lang w:val="en-US" w:eastAsia="zh-CN"/>
        </w:rPr>
        <w:t>0.01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0.04</w:t>
      </w:r>
      <w:r>
        <w:rPr>
          <w:rFonts w:hint="default" w:ascii="Times New Roman" w:hAnsi="Times New Roman" w:eastAsia="方正仿宋_GBK" w:cs="Times New Roman"/>
          <w:sz w:val="32"/>
          <w:szCs w:val="32"/>
        </w:rPr>
        <w:t>%，主要原因是厉行节约，减少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31" w:name="_Toc13230"/>
      <w:bookmarkStart w:id="32" w:name="_Toc15210"/>
      <w:bookmarkStart w:id="33" w:name="_Toc12851"/>
      <w:r>
        <w:rPr>
          <w:rFonts w:hint="eastAsia" w:ascii="楷体" w:hAnsi="楷体" w:eastAsia="楷体" w:cs="楷体"/>
          <w:b/>
          <w:bCs/>
        </w:rPr>
        <w:t>（二）</w:t>
      </w:r>
      <w:r>
        <w:rPr>
          <w:rFonts w:hint="eastAsia" w:ascii="楷体" w:hAnsi="楷体" w:eastAsia="楷体" w:cs="楷体"/>
          <w:b/>
          <w:bCs/>
          <w:lang w:eastAsia="zh-CN"/>
        </w:rPr>
        <w:t>“</w:t>
      </w:r>
      <w:r>
        <w:rPr>
          <w:rFonts w:hint="eastAsia" w:ascii="楷体" w:hAnsi="楷体" w:eastAsia="楷体" w:cs="楷体"/>
          <w:b/>
          <w:bCs/>
        </w:rPr>
        <w:t>三公</w:t>
      </w:r>
      <w:r>
        <w:rPr>
          <w:rFonts w:hint="eastAsia" w:ascii="楷体" w:hAnsi="楷体" w:eastAsia="楷体" w:cs="楷体"/>
          <w:b/>
          <w:bCs/>
          <w:lang w:eastAsia="zh-CN"/>
        </w:rPr>
        <w:t>”</w:t>
      </w:r>
      <w:r>
        <w:rPr>
          <w:rFonts w:hint="eastAsia" w:ascii="楷体" w:hAnsi="楷体" w:eastAsia="楷体" w:cs="楷体"/>
          <w:b/>
          <w:bCs/>
        </w:rPr>
        <w:t>经费分项支出情况</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因公出国（境）费用0万元，主要是用于因公出国、出境支出。费用支出较年初预算数增加0万元，增长0.0%，主要原因是本</w:t>
      </w:r>
      <w:r>
        <w:rPr>
          <w:rFonts w:hint="default" w:ascii="Times New Roman" w:hAnsi="Times New Roman" w:eastAsia="方正仿宋_GBK" w:cs="Times New Roman"/>
          <w:sz w:val="32"/>
          <w:szCs w:val="32"/>
          <w:lang w:eastAsia="zh-CN"/>
        </w:rPr>
        <w:t>部门2024</w:t>
      </w:r>
      <w:r>
        <w:rPr>
          <w:rFonts w:hint="default" w:ascii="Times New Roman" w:hAnsi="Times New Roman" w:eastAsia="方正仿宋_GBK" w:cs="Times New Roman"/>
          <w:sz w:val="32"/>
          <w:szCs w:val="32"/>
        </w:rPr>
        <w:t>年度未发生因公出国（境）费支出。较上年支出数增加0万元，增长0.0%，主要原因是本</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lang w:val="en-US" w:eastAsia="zh-CN"/>
        </w:rPr>
        <w:t>未发生因公出国（境）费用支出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  公务车购置费0万元，主要用于购买公务车。费用支出较年初预算数增加0万元，增长0.0%，主要原因是本</w:t>
      </w:r>
      <w:r>
        <w:rPr>
          <w:rFonts w:hint="default" w:ascii="Times New Roman" w:hAnsi="Times New Roman" w:eastAsia="方正仿宋_GBK" w:cs="Times New Roman"/>
          <w:sz w:val="32"/>
          <w:szCs w:val="32"/>
          <w:lang w:eastAsia="zh-CN"/>
        </w:rPr>
        <w:t>部门未发生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。较上年支出数增加0万元，增长0.0%，主要原因是本</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lang w:val="en-US" w:eastAsia="zh-CN"/>
        </w:rPr>
        <w:t>未发生公务车购置安排支出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val="en-US" w:eastAsia="zh-CN"/>
        </w:rPr>
        <w:t>5.25</w:t>
      </w:r>
      <w:r>
        <w:rPr>
          <w:rFonts w:hint="default" w:ascii="Times New Roman" w:hAnsi="Times New Roman" w:eastAsia="方正仿宋_GBK" w:cs="Times New Roman"/>
          <w:sz w:val="32"/>
          <w:szCs w:val="32"/>
        </w:rPr>
        <w:t>万元，主要用于机要文件交换、市内因公出行等工作所需车辆的燃料费、维修费、过桥过路费、保险费等。费用支出较年初预算数减少</w:t>
      </w:r>
      <w:r>
        <w:rPr>
          <w:rFonts w:hint="default" w:ascii="Times New Roman" w:hAnsi="Times New Roman" w:eastAsia="方正仿宋_GBK" w:cs="Times New Roman"/>
          <w:sz w:val="32"/>
          <w:szCs w:val="32"/>
          <w:lang w:val="en-US" w:eastAsia="zh-CN"/>
        </w:rPr>
        <w:t>3.75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41.67</w:t>
      </w:r>
      <w:r>
        <w:rPr>
          <w:rFonts w:hint="default" w:ascii="Times New Roman" w:hAnsi="Times New Roman" w:eastAsia="方正仿宋_GBK" w:cs="Times New Roman"/>
          <w:sz w:val="32"/>
          <w:szCs w:val="32"/>
        </w:rPr>
        <w:t>%，主要原因是厉行节约、对公务车辆运行维护费严格把控。较上年支出数减少0.0</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0.06</w:t>
      </w:r>
      <w:r>
        <w:rPr>
          <w:rFonts w:hint="default" w:ascii="Times New Roman" w:hAnsi="Times New Roman" w:eastAsia="方正仿宋_GBK" w:cs="Times New Roman"/>
          <w:sz w:val="32"/>
          <w:szCs w:val="32"/>
        </w:rPr>
        <w:t>%，主要原因是厉行节约，减少公务车辆运行维护费支出。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  公务接待费</w:t>
      </w:r>
      <w:r>
        <w:rPr>
          <w:rFonts w:hint="default" w:ascii="Times New Roman" w:hAnsi="Times New Roman" w:eastAsia="方正仿宋_GBK" w:cs="Times New Roman"/>
          <w:sz w:val="32"/>
          <w:szCs w:val="32"/>
          <w:lang w:val="en-US" w:eastAsia="zh-CN"/>
        </w:rPr>
        <w:t>13.50</w:t>
      </w:r>
      <w:r>
        <w:rPr>
          <w:rFonts w:hint="default" w:ascii="Times New Roman" w:hAnsi="Times New Roman" w:eastAsia="方正仿宋_GBK" w:cs="Times New Roman"/>
          <w:sz w:val="32"/>
          <w:szCs w:val="32"/>
        </w:rPr>
        <w:t>万元，主要用于接待到我单位学习调研、接受相关部门检查指导工作发生的接待支出等。费用支出较年初预算数减少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6.90</w:t>
      </w:r>
      <w:r>
        <w:rPr>
          <w:rFonts w:hint="default" w:ascii="Times New Roman" w:hAnsi="Times New Roman" w:eastAsia="方正仿宋_GBK" w:cs="Times New Roman"/>
          <w:sz w:val="32"/>
          <w:szCs w:val="32"/>
        </w:rPr>
        <w:t>%，主要原因是认真贯彻落实中央八项规定精神，按照只减不增的要求从严控制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经费。较上年支出数减少</w:t>
      </w:r>
      <w:r>
        <w:rPr>
          <w:rFonts w:hint="default" w:ascii="Times New Roman" w:hAnsi="Times New Roman" w:eastAsia="方正仿宋_GBK" w:cs="Times New Roman"/>
          <w:sz w:val="32"/>
          <w:szCs w:val="32"/>
          <w:lang w:val="en-US" w:eastAsia="zh-CN"/>
        </w:rPr>
        <w:t>0.02</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%，主要原因是厉行节约，减少公务接待费支出。</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34" w:name="_Toc32132"/>
      <w:bookmarkStart w:id="35" w:name="_Toc21842"/>
      <w:bookmarkStart w:id="36" w:name="_Toc22133"/>
      <w:r>
        <w:rPr>
          <w:rFonts w:hint="eastAsia" w:ascii="楷体" w:hAnsi="楷体" w:eastAsia="楷体" w:cs="楷体"/>
          <w:b/>
          <w:bCs/>
        </w:rPr>
        <w:t>（三）</w:t>
      </w:r>
      <w:r>
        <w:rPr>
          <w:rFonts w:hint="eastAsia" w:ascii="楷体" w:hAnsi="楷体" w:eastAsia="楷体" w:cs="楷体"/>
          <w:b/>
          <w:bCs/>
          <w:lang w:eastAsia="zh-CN"/>
        </w:rPr>
        <w:t>“</w:t>
      </w:r>
      <w:r>
        <w:rPr>
          <w:rFonts w:hint="eastAsia" w:ascii="楷体" w:hAnsi="楷体" w:eastAsia="楷体" w:cs="楷体"/>
          <w:b/>
          <w:bCs/>
        </w:rPr>
        <w:t>三公</w:t>
      </w:r>
      <w:r>
        <w:rPr>
          <w:rFonts w:hint="eastAsia" w:ascii="楷体" w:hAnsi="楷体" w:eastAsia="楷体" w:cs="楷体"/>
          <w:b/>
          <w:bCs/>
          <w:lang w:eastAsia="zh-CN"/>
        </w:rPr>
        <w:t>”</w:t>
      </w:r>
      <w:r>
        <w:rPr>
          <w:rFonts w:hint="eastAsia" w:ascii="楷体" w:hAnsi="楷体" w:eastAsia="楷体" w:cs="楷体"/>
          <w:b/>
          <w:bCs/>
        </w:rPr>
        <w:t>经费实物量情况</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因公出国（境）共计0个团组，0人；公务用车购置0 辆，公务车保有量为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辆；国内公务接待</w:t>
      </w:r>
      <w:r>
        <w:rPr>
          <w:rFonts w:hint="default" w:ascii="Times New Roman" w:hAnsi="Times New Roman" w:eastAsia="方正仿宋_GBK" w:cs="Times New Roman"/>
          <w:sz w:val="32"/>
          <w:szCs w:val="32"/>
          <w:lang w:val="en-US" w:eastAsia="zh-CN"/>
        </w:rPr>
        <w:t>227</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1812</w:t>
      </w:r>
      <w:r>
        <w:rPr>
          <w:rFonts w:hint="default" w:ascii="Times New Roman" w:hAnsi="Times New Roman" w:eastAsia="方正仿宋_GBK" w:cs="Times New Roman"/>
          <w:sz w:val="32"/>
          <w:szCs w:val="32"/>
        </w:rPr>
        <w:t>人，其中：国内外事接待0批次，0人；国（境）外公务接待0批次，0人。</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rPr>
        <w:t>人均接待费</w:t>
      </w:r>
      <w:r>
        <w:rPr>
          <w:rFonts w:hint="default" w:ascii="Times New Roman" w:hAnsi="Times New Roman" w:eastAsia="方正仿宋_GBK" w:cs="Times New Roman"/>
          <w:sz w:val="32"/>
          <w:szCs w:val="32"/>
          <w:lang w:val="en-US" w:eastAsia="zh-CN"/>
        </w:rPr>
        <w:t>74.51</w:t>
      </w:r>
      <w:r>
        <w:rPr>
          <w:rFonts w:hint="default" w:ascii="Times New Roman" w:hAnsi="Times New Roman" w:eastAsia="方正仿宋_GBK" w:cs="Times New Roman"/>
          <w:sz w:val="32"/>
          <w:szCs w:val="32"/>
        </w:rPr>
        <w:t>元，车均购置费0.00万元，车均维护费2.</w:t>
      </w:r>
      <w:r>
        <w:rPr>
          <w:rFonts w:hint="default"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rPr>
        <w:t>万元。</w:t>
      </w:r>
    </w:p>
    <w:p>
      <w:pPr>
        <w:pStyle w:val="3"/>
        <w:bidi w:val="0"/>
        <w:rPr>
          <w:rFonts w:hint="eastAsia" w:ascii="黑体" w:hAnsi="黑体" w:eastAsia="黑体" w:cs="黑体"/>
        </w:rPr>
      </w:pPr>
      <w:bookmarkStart w:id="37" w:name="_Toc14451"/>
      <w:r>
        <w:rPr>
          <w:rFonts w:hint="eastAsia" w:ascii="黑体" w:hAnsi="黑体" w:eastAsia="黑体" w:cs="黑体"/>
        </w:rPr>
        <w:t>四、其他需要说明的事项</w:t>
      </w:r>
      <w:bookmarkEnd w:id="37"/>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38" w:name="_Toc16540"/>
      <w:bookmarkStart w:id="39" w:name="_Toc25979"/>
      <w:r>
        <w:rPr>
          <w:rFonts w:hint="eastAsia" w:ascii="楷体" w:hAnsi="楷体" w:eastAsia="楷体" w:cs="楷体"/>
          <w:b/>
          <w:bCs/>
        </w:rPr>
        <w:t>（一）财政拨款会议费、培训费和差旅费情况说明</w:t>
      </w:r>
      <w:bookmarkEnd w:id="38"/>
      <w:bookmarkEnd w:id="39"/>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w:t>
      </w:r>
      <w:r>
        <w:rPr>
          <w:rFonts w:hint="eastAsia" w:ascii="Times New Roman" w:hAnsi="Times New Roman" w:eastAsia="方正仿宋_GBK" w:cs="Times New Roman"/>
          <w:b w:val="0"/>
          <w:bCs w:val="0"/>
          <w:sz w:val="32"/>
          <w:szCs w:val="32"/>
          <w:lang w:val="en-US" w:eastAsia="zh-CN"/>
        </w:rPr>
        <w:t>0.00</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一致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4.60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本年度</w:t>
      </w:r>
      <w:r>
        <w:rPr>
          <w:rFonts w:hint="eastAsia" w:ascii="Times New Roman" w:hAnsi="Times New Roman" w:eastAsia="方正仿宋_GBK" w:cs="Times New Roman"/>
          <w:sz w:val="32"/>
          <w:szCs w:val="32"/>
          <w:lang w:eastAsia="zh-CN"/>
        </w:rPr>
        <w:t>未发生培训费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rPr>
        <w:t>0.00万元，</w:t>
      </w:r>
      <w:r>
        <w:rPr>
          <w:rFonts w:hint="default" w:ascii="Times New Roman" w:hAnsi="Times New Roman" w:eastAsia="方正仿宋_GBK" w:cs="Times New Roman"/>
          <w:b w:val="0"/>
          <w:bCs w:val="0"/>
          <w:sz w:val="32"/>
          <w:szCs w:val="32"/>
          <w:shd w:val="clear" w:color="auto" w:fill="FFFFFF"/>
        </w:rPr>
        <w:t>较上年决算数</w:t>
      </w:r>
      <w:r>
        <w:rPr>
          <w:rFonts w:hint="eastAsia" w:ascii="Times New Roman" w:hAnsi="Times New Roman" w:eastAsia="方正仿宋_GBK" w:cs="Times New Roman"/>
          <w:b w:val="0"/>
          <w:bCs w:val="0"/>
          <w:sz w:val="32"/>
          <w:szCs w:val="32"/>
          <w:shd w:val="clear" w:color="auto" w:fill="FFFFFF"/>
          <w:lang w:eastAsia="zh-CN"/>
        </w:rPr>
        <w:t>一致。</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40" w:name="_Toc3684"/>
      <w:bookmarkStart w:id="41" w:name="_Toc4211"/>
      <w:r>
        <w:rPr>
          <w:rFonts w:hint="eastAsia" w:ascii="楷体" w:hAnsi="楷体" w:eastAsia="楷体" w:cs="楷体"/>
          <w:b/>
          <w:bCs/>
        </w:rPr>
        <w:t>（二）机关运行经费情况说明</w:t>
      </w:r>
      <w:bookmarkEnd w:id="40"/>
      <w:bookmarkEnd w:id="41"/>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2024年度本单位机关运行经费支出</w:t>
      </w:r>
      <w:r>
        <w:rPr>
          <w:rFonts w:hint="eastAsia" w:ascii="Times New Roman" w:hAnsi="Times New Roman" w:eastAsia="方正仿宋_GBK" w:cs="Times New Roman"/>
          <w:b w:val="0"/>
          <w:bCs w:val="0"/>
          <w:sz w:val="32"/>
          <w:szCs w:val="32"/>
          <w:lang w:val="en-US" w:eastAsia="zh-CN"/>
        </w:rPr>
        <w:t>185.40</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sz w:val="32"/>
          <w:szCs w:val="32"/>
        </w:rPr>
        <w:t>办公费、公务车运行维护费、信息网络购置更新费。</w:t>
      </w:r>
      <w:r>
        <w:rPr>
          <w:rFonts w:hint="default" w:ascii="Times New Roman" w:hAnsi="Times New Roman" w:eastAsia="方正仿宋_GBK" w:cs="Times New Roman"/>
          <w:b w:val="0"/>
          <w:bCs w:val="0"/>
          <w:sz w:val="32"/>
          <w:szCs w:val="32"/>
          <w:shd w:val="clear" w:color="auto" w:fill="FFFFFF"/>
        </w:rPr>
        <w:t>机关运行经费较上年支出数减少</w:t>
      </w:r>
      <w:r>
        <w:rPr>
          <w:rFonts w:hint="eastAsia" w:ascii="Times New Roman" w:hAnsi="Times New Roman" w:eastAsia="方正仿宋_GBK" w:cs="Times New Roman"/>
          <w:b w:val="0"/>
          <w:bCs w:val="0"/>
          <w:sz w:val="32"/>
          <w:szCs w:val="32"/>
          <w:shd w:val="clear" w:color="auto" w:fill="FFFFFF"/>
          <w:lang w:val="en-US" w:eastAsia="zh-CN"/>
        </w:rPr>
        <w:t>32.76</w:t>
      </w:r>
      <w:r>
        <w:rPr>
          <w:rFonts w:hint="default" w:ascii="Times New Roman" w:hAnsi="Times New Roman" w:eastAsia="方正仿宋_GBK" w:cs="Times New Roman"/>
          <w:b w:val="0"/>
          <w:bCs w:val="0"/>
          <w:sz w:val="32"/>
          <w:szCs w:val="32"/>
          <w:shd w:val="clear" w:color="auto" w:fill="FFFFFF"/>
        </w:rPr>
        <w:t>万元，下降1</w:t>
      </w:r>
      <w:r>
        <w:rPr>
          <w:rFonts w:hint="eastAsia" w:ascii="Times New Roman" w:hAnsi="Times New Roman" w:eastAsia="方正仿宋_GBK" w:cs="Times New Roman"/>
          <w:b w:val="0"/>
          <w:bCs w:val="0"/>
          <w:sz w:val="32"/>
          <w:szCs w:val="32"/>
          <w:shd w:val="clear" w:color="auto" w:fill="FFFFFF"/>
          <w:lang w:val="en-US" w:eastAsia="zh-CN"/>
        </w:rPr>
        <w:t>5.02</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rPr>
        <w:t>厉行节约、减少运行经费开支。</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42" w:name="_Toc29716"/>
      <w:bookmarkStart w:id="43" w:name="_Toc24627"/>
      <w:r>
        <w:rPr>
          <w:rFonts w:hint="eastAsia" w:ascii="楷体" w:hAnsi="楷体" w:eastAsia="楷体" w:cs="楷体"/>
          <w:b/>
          <w:bCs/>
        </w:rPr>
        <w:t>（三）国有资产占用情况说明</w:t>
      </w:r>
      <w:bookmarkEnd w:id="42"/>
      <w:bookmarkEnd w:id="43"/>
    </w:p>
    <w:p>
      <w:pPr>
        <w:pStyle w:val="12"/>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44" w:name="_Toc12158"/>
      <w:bookmarkStart w:id="45" w:name="_Toc8581"/>
      <w:r>
        <w:rPr>
          <w:rFonts w:hint="eastAsia" w:ascii="楷体" w:hAnsi="楷体" w:eastAsia="楷体" w:cs="楷体"/>
          <w:b/>
          <w:bCs/>
        </w:rPr>
        <w:t>（四）政府采购支出情况说明</w:t>
      </w:r>
      <w:bookmarkEnd w:id="44"/>
      <w:bookmarkEnd w:id="45"/>
    </w:p>
    <w:p>
      <w:pPr>
        <w:pStyle w:val="17"/>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shd w:val="clear" w:color="auto" w:fill="FFFFFF"/>
        </w:rPr>
        <w:t>2024年度本单位政府采购支出总额</w:t>
      </w:r>
      <w:r>
        <w:rPr>
          <w:rFonts w:hint="eastAsia" w:ascii="Times New Roman" w:hAnsi="Times New Roman" w:eastAsia="方正仿宋_GBK" w:cs="Times New Roman"/>
          <w:b w:val="0"/>
          <w:bCs w:val="0"/>
          <w:sz w:val="32"/>
          <w:szCs w:val="32"/>
          <w:lang w:val="en-US" w:eastAsia="zh-CN"/>
        </w:rPr>
        <w:t>765.39</w:t>
      </w:r>
      <w:r>
        <w:rPr>
          <w:rFonts w:hint="default" w:ascii="Times New Roman" w:hAnsi="Times New Roman" w:eastAsia="方正仿宋_GBK" w:cs="Times New Roman"/>
          <w:b w:val="0"/>
          <w:bCs w:val="0"/>
          <w:sz w:val="32"/>
          <w:szCs w:val="32"/>
          <w:shd w:val="clear" w:color="auto" w:fill="FFFFFF"/>
        </w:rPr>
        <w:t>万元，其中：政府采购货物支出</w:t>
      </w:r>
      <w:r>
        <w:rPr>
          <w:rFonts w:hint="eastAsia" w:ascii="Times New Roman" w:hAnsi="Times New Roman" w:eastAsia="方正仿宋_GBK" w:cs="Times New Roman"/>
          <w:b w:val="0"/>
          <w:bCs w:val="0"/>
          <w:sz w:val="32"/>
          <w:szCs w:val="32"/>
          <w:lang w:val="en-US" w:eastAsia="zh-CN"/>
        </w:rPr>
        <w:t>16.48</w:t>
      </w:r>
      <w:r>
        <w:rPr>
          <w:rFonts w:hint="default" w:ascii="Times New Roman" w:hAnsi="Times New Roman" w:eastAsia="方正仿宋_GBK" w:cs="Times New Roman"/>
          <w:b w:val="0"/>
          <w:bCs w:val="0"/>
          <w:sz w:val="32"/>
          <w:szCs w:val="32"/>
          <w:shd w:val="clear" w:color="auto" w:fill="FFFFFF"/>
        </w:rPr>
        <w:t>万元、政府采购工程支出</w:t>
      </w:r>
      <w:r>
        <w:rPr>
          <w:rFonts w:hint="eastAsia" w:ascii="Times New Roman" w:hAnsi="Times New Roman" w:eastAsia="方正仿宋_GBK" w:cs="Times New Roman"/>
          <w:b w:val="0"/>
          <w:bCs w:val="0"/>
          <w:sz w:val="32"/>
          <w:szCs w:val="32"/>
          <w:lang w:val="en-US" w:eastAsia="zh-CN"/>
        </w:rPr>
        <w:t>392.90</w:t>
      </w:r>
      <w:r>
        <w:rPr>
          <w:rFonts w:hint="default" w:ascii="Times New Roman" w:hAnsi="Times New Roman" w:eastAsia="方正仿宋_GBK" w:cs="Times New Roman"/>
          <w:b w:val="0"/>
          <w:bCs w:val="0"/>
          <w:sz w:val="32"/>
          <w:szCs w:val="32"/>
          <w:shd w:val="clear" w:color="auto" w:fill="FFFFFF"/>
        </w:rPr>
        <w:t>万元、政府采购服务支出</w:t>
      </w:r>
      <w:r>
        <w:rPr>
          <w:rFonts w:hint="eastAsia" w:ascii="Times New Roman" w:hAnsi="Times New Roman" w:eastAsia="方正仿宋_GBK" w:cs="Times New Roman"/>
          <w:b w:val="0"/>
          <w:bCs w:val="0"/>
          <w:sz w:val="32"/>
          <w:szCs w:val="32"/>
          <w:lang w:val="en-US" w:eastAsia="zh-CN"/>
        </w:rPr>
        <w:t>356.01</w:t>
      </w:r>
      <w:r>
        <w:rPr>
          <w:rFonts w:hint="default" w:ascii="Times New Roman" w:hAnsi="Times New Roman" w:eastAsia="方正仿宋_GBK" w:cs="Times New Roman"/>
          <w:b w:val="0"/>
          <w:bCs w:val="0"/>
          <w:sz w:val="32"/>
          <w:szCs w:val="32"/>
          <w:shd w:val="clear" w:color="auto" w:fill="FFFFFF"/>
        </w:rPr>
        <w:t>万元。授予中小企业合同金额</w:t>
      </w:r>
      <w:r>
        <w:rPr>
          <w:rFonts w:hint="eastAsia" w:ascii="Times New Roman" w:hAnsi="Times New Roman" w:eastAsia="方正仿宋_GBK" w:cs="Times New Roman"/>
          <w:b w:val="0"/>
          <w:bCs w:val="0"/>
          <w:sz w:val="32"/>
          <w:szCs w:val="32"/>
          <w:lang w:val="en-US" w:eastAsia="zh-CN"/>
        </w:rPr>
        <w:t>409.38</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w:t>
      </w:r>
      <w:r>
        <w:rPr>
          <w:rFonts w:hint="eastAsia" w:ascii="Times New Roman" w:hAnsi="Times New Roman" w:eastAsia="方正仿宋_GBK" w:cs="Times New Roman"/>
          <w:b w:val="0"/>
          <w:bCs w:val="0"/>
          <w:sz w:val="32"/>
          <w:szCs w:val="32"/>
          <w:lang w:val="en-US" w:eastAsia="zh-CN"/>
        </w:rPr>
        <w:t>53.49</w:t>
      </w:r>
      <w:r>
        <w:rPr>
          <w:rFonts w:hint="default" w:ascii="Times New Roman" w:hAnsi="Times New Roman" w:eastAsia="方正仿宋_GBK" w:cs="Times New Roman"/>
          <w:b w:val="0"/>
          <w:bCs w:val="0"/>
          <w:sz w:val="32"/>
          <w:szCs w:val="32"/>
          <w:shd w:val="clear" w:color="auto" w:fill="FFFFFF"/>
        </w:rPr>
        <w:t>%，其中：授予小微企业合同金额</w:t>
      </w:r>
      <w:r>
        <w:rPr>
          <w:rFonts w:hint="eastAsia" w:ascii="Times New Roman" w:hAnsi="Times New Roman" w:eastAsia="方正仿宋_GBK" w:cs="Times New Roman"/>
          <w:b w:val="0"/>
          <w:bCs w:val="0"/>
          <w:sz w:val="32"/>
          <w:szCs w:val="32"/>
          <w:lang w:val="en-US" w:eastAsia="zh-CN"/>
        </w:rPr>
        <w:t>409.38</w:t>
      </w:r>
      <w:r>
        <w:rPr>
          <w:rFonts w:hint="default" w:ascii="Times New Roman" w:hAnsi="Times New Roman" w:eastAsia="方正仿宋_GBK" w:cs="Times New Roman"/>
          <w:b w:val="0"/>
          <w:bCs w:val="0"/>
          <w:sz w:val="32"/>
          <w:szCs w:val="32"/>
          <w:shd w:val="clear" w:color="auto" w:fill="FFFFFF"/>
        </w:rPr>
        <w:t>万元，占政府采购支出总额的</w:t>
      </w:r>
      <w:r>
        <w:rPr>
          <w:rFonts w:hint="eastAsia" w:ascii="Times New Roman" w:hAnsi="Times New Roman" w:eastAsia="方正仿宋_GBK" w:cs="Times New Roman"/>
          <w:b w:val="0"/>
          <w:bCs w:val="0"/>
          <w:sz w:val="32"/>
          <w:szCs w:val="32"/>
          <w:lang w:val="en-US" w:eastAsia="zh-CN"/>
        </w:rPr>
        <w:t>53.49</w:t>
      </w:r>
      <w:r>
        <w:rPr>
          <w:rFonts w:hint="default" w:ascii="Times New Roman" w:hAnsi="Times New Roman" w:eastAsia="方正仿宋_GBK" w:cs="Times New Roman"/>
          <w:b w:val="0"/>
          <w:bCs w:val="0"/>
          <w:sz w:val="32"/>
          <w:szCs w:val="32"/>
          <w:shd w:val="clear" w:color="auto" w:fill="FFFFFF"/>
        </w:rPr>
        <w:t xml:space="preserve"> %</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主要用于</w:t>
      </w:r>
      <w:r>
        <w:rPr>
          <w:rFonts w:hint="default" w:ascii="Times New Roman" w:hAnsi="Times New Roman" w:eastAsia="方正仿宋_GBK" w:cs="Times New Roman"/>
          <w:sz w:val="32"/>
          <w:szCs w:val="32"/>
        </w:rPr>
        <w:t>采购办公用电脑及政府采购工程等</w:t>
      </w:r>
      <w:r>
        <w:rPr>
          <w:rFonts w:hint="eastAsia" w:ascii="Times New Roman" w:hAnsi="Times New Roman" w:eastAsia="方正仿宋_GBK" w:cs="Times New Roman"/>
          <w:sz w:val="32"/>
          <w:szCs w:val="32"/>
          <w:lang w:eastAsia="zh-CN"/>
        </w:rPr>
        <w:t>。</w:t>
      </w:r>
    </w:p>
    <w:p>
      <w:pPr>
        <w:pStyle w:val="3"/>
        <w:bidi w:val="0"/>
        <w:rPr>
          <w:rFonts w:hint="eastAsia" w:ascii="黑体" w:hAnsi="黑体" w:eastAsia="黑体" w:cs="黑体"/>
          <w:lang w:val="en-US" w:eastAsia="zh-CN"/>
        </w:rPr>
      </w:pPr>
      <w:bookmarkStart w:id="46" w:name="_Toc20708"/>
      <w:r>
        <w:rPr>
          <w:rFonts w:hint="eastAsia" w:ascii="黑体" w:hAnsi="黑体" w:eastAsia="黑体" w:cs="黑体"/>
        </w:rPr>
        <w:t>五、</w:t>
      </w:r>
      <w:r>
        <w:rPr>
          <w:rFonts w:hint="eastAsia" w:ascii="黑体" w:hAnsi="黑体" w:eastAsia="黑体" w:cs="黑体"/>
          <w:lang w:val="en-US" w:eastAsia="zh-CN"/>
        </w:rPr>
        <w:t>2024年度绩效情况说明</w:t>
      </w:r>
      <w:bookmarkEnd w:id="46"/>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47" w:name="_Toc26257"/>
      <w:r>
        <w:rPr>
          <w:rFonts w:hint="eastAsia" w:ascii="楷体" w:hAnsi="楷体" w:eastAsia="楷体" w:cs="楷体"/>
          <w:b/>
          <w:bCs/>
        </w:rPr>
        <w:t>（一）单位自评情况</w:t>
      </w:r>
      <w:bookmarkEnd w:id="47"/>
    </w:p>
    <w:p>
      <w:pPr>
        <w:pStyle w:val="18"/>
        <w:keepNext w:val="0"/>
        <w:keepLines w:val="0"/>
        <w:pageBreakBefore w:val="0"/>
        <w:kinsoku/>
        <w:overflowPunct/>
        <w:topLinePunct w:val="0"/>
        <w:autoSpaceDE w:val="0"/>
        <w:autoSpaceDN/>
        <w:bidi w:val="0"/>
        <w:adjustRightInd/>
        <w:spacing w:before="0" w:beforeAutospacing="0" w:afterAutospacing="0" w:line="588" w:lineRule="exact"/>
        <w:ind w:firstLine="640" w:firstLineChars="200"/>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根据预算绩效管理要求，我部门对</w:t>
      </w:r>
      <w:r>
        <w:rPr>
          <w:rFonts w:hint="eastAsia" w:ascii="Times New Roman" w:hAnsi="Times New Roman" w:eastAsia="方正仿宋_GBK" w:cs="Times New Roman"/>
          <w:b w:val="0"/>
          <w:bCs w:val="0"/>
          <w:sz w:val="32"/>
          <w:szCs w:val="32"/>
          <w:shd w:val="clear" w:color="auto" w:fill="FFFFFF"/>
          <w:lang w:eastAsia="zh-CN"/>
        </w:rPr>
        <w:t>部门</w:t>
      </w:r>
      <w:r>
        <w:rPr>
          <w:rFonts w:hint="default" w:ascii="Times New Roman" w:hAnsi="Times New Roman" w:eastAsia="方正仿宋_GBK" w:cs="Times New Roman"/>
          <w:b w:val="0"/>
          <w:bCs w:val="0"/>
          <w:sz w:val="32"/>
          <w:szCs w:val="32"/>
          <w:shd w:val="clear" w:color="auto" w:fill="FFFFFF"/>
        </w:rPr>
        <w:t>整体和</w:t>
      </w:r>
      <w:r>
        <w:rPr>
          <w:rFonts w:hint="default"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val="en-US" w:eastAsia="zh-CN"/>
        </w:rPr>
        <w:t>21</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eastAsia" w:ascii="Times New Roman" w:hAnsi="Times New Roman" w:eastAsia="方正仿宋_GBK" w:cs="Times New Roman"/>
          <w:b w:val="0"/>
          <w:bCs w:val="0"/>
          <w:sz w:val="32"/>
          <w:szCs w:val="32"/>
          <w:shd w:val="clear" w:color="auto" w:fill="FFFFFF"/>
          <w:lang w:val="en-US" w:eastAsia="zh-CN"/>
        </w:rPr>
        <w:t>3688.76</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48" w:name="_Toc11716"/>
      <w:bookmarkStart w:id="49" w:name="_Toc225"/>
      <w:r>
        <w:rPr>
          <w:rFonts w:hint="eastAsia" w:ascii="楷体" w:hAnsi="楷体" w:eastAsia="楷体" w:cs="楷体"/>
          <w:b/>
          <w:bCs/>
        </w:rPr>
        <w:t>（二）单位绩效评价情况</w:t>
      </w:r>
      <w:bookmarkEnd w:id="48"/>
      <w:bookmarkEnd w:id="49"/>
    </w:p>
    <w:p>
      <w:pPr>
        <w:pStyle w:val="20"/>
        <w:keepNext w:val="0"/>
        <w:keepLines w:val="0"/>
        <w:pageBreakBefore w:val="0"/>
        <w:kinsoku/>
        <w:overflowPunct/>
        <w:topLinePunct w:val="0"/>
        <w:autoSpaceDE w:val="0"/>
        <w:autoSpaceDN/>
        <w:bidi w:val="0"/>
        <w:adjustRightInd/>
        <w:spacing w:beforeAutospacing="0" w:afterAutospacing="0" w:line="588" w:lineRule="exact"/>
        <w:ind w:firstLine="640" w:firstLineChars="200"/>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sz w:val="32"/>
          <w:szCs w:val="32"/>
        </w:rPr>
        <w:t>具体内容详见附件中《</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年度部门整体绩效自评表》、《</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年度项目绩效自评表1》、《</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年度项目绩效自评表2》、《</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年度项目绩效自评表3》、《</w:t>
      </w:r>
      <w:r>
        <w:rPr>
          <w:rFonts w:hint="default" w:ascii="Times New Roman" w:hAnsi="Times New Roman" w:eastAsia="方正仿宋_GBK" w:cs="Times New Roman"/>
          <w:sz w:val="32"/>
          <w:szCs w:val="32"/>
          <w:lang w:eastAsia="zh-CN"/>
        </w:rPr>
        <w:t>重庆市永川区</w:t>
      </w:r>
      <w:r>
        <w:rPr>
          <w:rFonts w:hint="eastAsia" w:ascii="Times New Roman" w:hAnsi="Times New Roman" w:eastAsia="方正仿宋_GBK" w:cs="Times New Roman"/>
          <w:sz w:val="32"/>
          <w:szCs w:val="32"/>
          <w:lang w:eastAsia="zh-CN"/>
        </w:rPr>
        <w:t>来苏</w:t>
      </w:r>
      <w:r>
        <w:rPr>
          <w:rFonts w:hint="default" w:ascii="Times New Roman" w:hAnsi="Times New Roman" w:eastAsia="方正仿宋_GBK" w:cs="Times New Roman"/>
          <w:sz w:val="32"/>
          <w:szCs w:val="32"/>
          <w:lang w:eastAsia="zh-CN"/>
        </w:rPr>
        <w:t>镇人民政府</w:t>
      </w:r>
      <w:r>
        <w:rPr>
          <w:rFonts w:hint="default" w:ascii="Times New Roman" w:hAnsi="Times New Roman" w:eastAsia="方正仿宋_GBK" w:cs="Times New Roman"/>
          <w:sz w:val="32"/>
          <w:szCs w:val="32"/>
        </w:rPr>
        <w:t>项目绩效自评结果汇总表》</w:t>
      </w:r>
      <w:r>
        <w:rPr>
          <w:rFonts w:hint="default" w:ascii="Times New Roman" w:hAnsi="Times New Roman" w:eastAsia="方正仿宋_GBK" w:cs="Times New Roman"/>
          <w:b w:val="0"/>
          <w:bCs w:val="0"/>
          <w:sz w:val="32"/>
          <w:szCs w:val="32"/>
          <w:shd w:val="clear" w:color="auto" w:fill="FFFFFF"/>
          <w:lang w:eastAsia="zh-CN"/>
        </w:rPr>
        <w:t>。</w:t>
      </w:r>
    </w:p>
    <w:p>
      <w:pPr>
        <w:pStyle w:val="4"/>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50" w:name="_Toc9330"/>
      <w:bookmarkStart w:id="51" w:name="_Toc1305"/>
      <w:r>
        <w:rPr>
          <w:rFonts w:hint="eastAsia" w:ascii="楷体" w:hAnsi="楷体" w:eastAsia="楷体" w:cs="楷体"/>
          <w:b/>
          <w:bCs/>
        </w:rPr>
        <w:t>（三）财政绩效评价情况</w:t>
      </w:r>
      <w:bookmarkEnd w:id="50"/>
      <w:bookmarkEnd w:id="51"/>
    </w:p>
    <w:p>
      <w:pPr>
        <w:pStyle w:val="17"/>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4"/>
          <w:rFonts w:hint="eastAsia" w:ascii="黑体" w:hAnsi="黑体" w:eastAsia="方正仿宋_GBK" w:cs="黑体"/>
          <w:sz w:val="32"/>
          <w:szCs w:val="32"/>
          <w:shd w:val="clear" w:color="auto" w:fill="FFFFFF"/>
          <w:lang w:val="en-US" w:eastAsia="zh-CN" w:bidi="ar-SA"/>
        </w:rPr>
      </w:pPr>
      <w:r>
        <w:rPr>
          <w:rFonts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年不涉及开展重点绩效评价的项目</w:t>
      </w:r>
      <w:r>
        <w:rPr>
          <w:rFonts w:hint="eastAsia" w:ascii="Times New Roman" w:hAnsi="Times New Roman" w:eastAsia="方正仿宋_GBK" w:cs="Times New Roman"/>
          <w:sz w:val="32"/>
          <w:szCs w:val="32"/>
          <w:lang w:eastAsia="zh-CN"/>
        </w:rPr>
        <w:t>。</w:t>
      </w:r>
    </w:p>
    <w:p>
      <w:pPr>
        <w:pStyle w:val="3"/>
        <w:bidi w:val="0"/>
        <w:rPr>
          <w:rFonts w:hint="eastAsia" w:ascii="黑体" w:hAnsi="黑体" w:eastAsia="黑体" w:cs="黑体"/>
        </w:rPr>
      </w:pPr>
      <w:bookmarkStart w:id="52" w:name="_Toc3942"/>
      <w:r>
        <w:rPr>
          <w:rFonts w:hint="eastAsia" w:ascii="黑体" w:hAnsi="黑体" w:eastAsia="黑体" w:cs="黑体"/>
          <w:lang w:eastAsia="zh-CN"/>
        </w:rPr>
        <w:t>六</w:t>
      </w:r>
      <w:r>
        <w:rPr>
          <w:rFonts w:hint="eastAsia" w:ascii="黑体" w:hAnsi="黑体" w:eastAsia="黑体" w:cs="黑体"/>
        </w:rPr>
        <w:t>、专业名词解释</w:t>
      </w:r>
      <w:bookmarkEnd w:id="52"/>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（五）使用非财政拨款结余</w:t>
      </w:r>
      <w:r>
        <w:rPr>
          <w:rStyle w:val="14"/>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4"/>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bidi w:val="0"/>
        <w:rPr>
          <w:rFonts w:hint="eastAsia" w:ascii="黑体" w:hAnsi="黑体" w:eastAsia="黑体" w:cs="黑体"/>
        </w:rPr>
      </w:pPr>
      <w:bookmarkStart w:id="53" w:name="_Toc14930"/>
      <w:r>
        <w:rPr>
          <w:rFonts w:hint="eastAsia" w:ascii="黑体" w:hAnsi="黑体" w:eastAsia="黑体" w:cs="黑体"/>
          <w:lang w:eastAsia="zh-CN"/>
        </w:rPr>
        <w:t>七</w:t>
      </w:r>
      <w:r>
        <w:rPr>
          <w:rFonts w:hint="eastAsia" w:ascii="黑体" w:hAnsi="黑体" w:eastAsia="黑体" w:cs="黑体"/>
        </w:rPr>
        <w:t>、决算公开联系方式及信息反馈渠道</w:t>
      </w:r>
      <w:bookmarkEnd w:id="53"/>
    </w:p>
    <w:p>
      <w:pPr>
        <w:pStyle w:val="17"/>
        <w:autoSpaceDE w:val="0"/>
        <w:spacing w:line="596" w:lineRule="exact"/>
        <w:ind w:firstLine="64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17"/>
        <w:autoSpaceDE w:val="0"/>
        <w:spacing w:line="596" w:lineRule="exact"/>
        <w:ind w:firstLine="64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start="1"/>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侯林杰</w:t>
      </w:r>
      <w:r>
        <w:rPr>
          <w:rFonts w:hint="eastAsia" w:ascii="方正仿宋_GBK" w:hAnsi="方正仿宋_GBK" w:eastAsia="方正仿宋_GBK" w:cs="方正仿宋_GBK"/>
          <w:sz w:val="32"/>
          <w:szCs w:val="32"/>
          <w:shd w:val="clear" w:color="auto" w:fill="FFFFFF"/>
          <w:lang w:val="en-US" w:eastAsia="zh-CN"/>
        </w:rPr>
        <w:t xml:space="preserve"> 023-85370595</w:t>
      </w:r>
      <w:bookmarkStart w:id="54" w:name="_GoBack"/>
      <w:bookmarkEnd w:id="54"/>
    </w:p>
    <w:p>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360DB0"/>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3E312E"/>
    <w:rsid w:val="23DA37D9"/>
    <w:rsid w:val="24B92327"/>
    <w:rsid w:val="24C14514"/>
    <w:rsid w:val="2533755C"/>
    <w:rsid w:val="25791755"/>
    <w:rsid w:val="26396DF4"/>
    <w:rsid w:val="27167136"/>
    <w:rsid w:val="27B23302"/>
    <w:rsid w:val="29310A5F"/>
    <w:rsid w:val="29C37A35"/>
    <w:rsid w:val="2A076083"/>
    <w:rsid w:val="2A73162E"/>
    <w:rsid w:val="2B0D02CF"/>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5FE259A3"/>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0733B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firstLine="720" w:firstLineChars="200"/>
      <w:jc w:val="left"/>
      <w:outlineLvl w:val="0"/>
    </w:pPr>
    <w:rPr>
      <w:rFonts w:eastAsia="黑体"/>
      <w:b/>
      <w:kern w:val="44"/>
      <w:sz w:val="32"/>
    </w:rPr>
  </w:style>
  <w:style w:type="paragraph" w:styleId="4">
    <w:name w:val="heading 2"/>
    <w:basedOn w:val="1"/>
    <w:next w:val="1"/>
    <w:unhideWhenUsed/>
    <w:qFormat/>
    <w:uiPriority w:val="0"/>
    <w:pPr>
      <w:keepNext/>
      <w:keepLines/>
      <w:spacing w:beforeLines="0" w:beforeAutospacing="0" w:afterLines="0" w:afterAutospacing="0" w:line="588" w:lineRule="exact"/>
      <w:ind w:firstLine="720" w:firstLineChars="200"/>
      <w:outlineLvl w:val="1"/>
    </w:pPr>
    <w:rPr>
      <w:rFonts w:ascii="Arial" w:hAnsi="Arial" w:eastAsia="方正楷体_GBK"/>
      <w:sz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5">
    <w:name w:val="Body Text"/>
    <w:basedOn w:val="1"/>
    <w:next w:val="6"/>
    <w:qFormat/>
    <w:uiPriority w:val="0"/>
    <w:pPr>
      <w:jc w:val="center"/>
    </w:pPr>
    <w:rPr>
      <w:rFonts w:ascii="Times New Roman" w:hAnsi="Times New Roman" w:eastAsia="宋体" w:cs="Times New Roman"/>
      <w:b/>
      <w:bCs/>
      <w:sz w:val="40"/>
    </w:rPr>
  </w:style>
  <w:style w:type="paragraph" w:styleId="6">
    <w:name w:val="toc 5"/>
    <w:basedOn w:val="1"/>
    <w:next w:val="1"/>
    <w:unhideWhenUsed/>
    <w:qFormat/>
    <w:uiPriority w:val="39"/>
    <w:pPr>
      <w:ind w:firstLine="480" w:firstLineChars="200"/>
    </w:pPr>
  </w:style>
  <w:style w:type="paragraph" w:styleId="7">
    <w:name w:val="Balloon Text"/>
    <w:basedOn w:val="1"/>
    <w:link w:val="21"/>
    <w:qFormat/>
    <w:uiPriority w:val="0"/>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2">
    <w:name w:val="Normal (Web)"/>
    <w:basedOn w:val="1"/>
    <w:unhideWhenUsed/>
    <w:qFormat/>
    <w:uiPriority w:val="0"/>
    <w:pPr>
      <w:spacing w:before="100" w:beforeAutospacing="1" w:after="100" w:afterAutospacing="1"/>
    </w:pPr>
  </w:style>
  <w:style w:type="character" w:styleId="14">
    <w:name w:val="Strong"/>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列出段落1"/>
    <w:basedOn w:val="1"/>
    <w:qFormat/>
    <w:uiPriority w:val="99"/>
    <w:pPr>
      <w:ind w:firstLine="420" w:firstLineChars="200"/>
    </w:pPr>
    <w:rPr>
      <w:rFonts w:hint="default"/>
    </w:rPr>
  </w:style>
  <w:style w:type="paragraph" w:customStyle="1" w:styleId="1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9">
    <w:name w:val="21"/>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Char"/>
    <w:basedOn w:val="13"/>
    <w:link w:val="7"/>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7</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2025-08-20T08:29:08Z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