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auto"/>
          <w:sz w:val="32"/>
          <w:u w:val="none"/>
        </w:rPr>
      </w:pPr>
      <w:r>
        <w:rPr>
          <w:rFonts w:hint="default" w:ascii="Times New Roman" w:hAnsi="Times New Roman" w:cs="Times New Roman"/>
          <w:color w:val="auto"/>
          <w:sz w:val="32"/>
          <w:szCs w:val="32"/>
          <w:lang w:val="en-US" w:eastAsia="zh-CN"/>
        </w:rPr>
        <w:t xml:space="preserve">                   </w:t>
      </w:r>
      <w:r>
        <w:rPr>
          <w:rFonts w:hint="default" w:ascii="Times New Roman" w:hAnsi="Times New Roman" w:eastAsia="方正仿宋_GBK" w:cs="Times New Roman"/>
          <w:color w:val="auto"/>
          <w:sz w:val="32"/>
          <w:u w:val="none"/>
        </w:rPr>
        <w:tab/>
      </w:r>
    </w:p>
    <w:p>
      <w:pPr>
        <w:keepNext w:val="0"/>
        <w:keepLines w:val="0"/>
        <w:pageBreakBefore w:val="0"/>
        <w:kinsoku/>
        <w:wordWrap/>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auto"/>
          <w:sz w:val="32"/>
          <w:u w:val="none"/>
        </w:rPr>
      </w:pPr>
    </w:p>
    <w:p>
      <w:pPr>
        <w:keepNext w:val="0"/>
        <w:keepLines w:val="0"/>
        <w:pageBreakBefore w:val="0"/>
        <w:kinsoku/>
        <w:wordWrap/>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auto"/>
          <w:sz w:val="32"/>
          <w:u w:val="none"/>
        </w:rPr>
      </w:pPr>
    </w:p>
    <w:p>
      <w:pPr>
        <w:keepNext w:val="0"/>
        <w:keepLines w:val="0"/>
        <w:pageBreakBefore w:val="0"/>
        <w:kinsoku/>
        <w:wordWrap/>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auto"/>
          <w:sz w:val="32"/>
          <w:u w:val="none"/>
        </w:rPr>
      </w:pPr>
    </w:p>
    <w:p>
      <w:pPr>
        <w:keepNext w:val="0"/>
        <w:keepLines w:val="0"/>
        <w:pageBreakBefore w:val="0"/>
        <w:kinsoku/>
        <w:wordWrap/>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auto"/>
          <w:sz w:val="32"/>
          <w:u w:val="none"/>
        </w:rPr>
      </w:pPr>
    </w:p>
    <w:p>
      <w:pPr>
        <w:keepNext w:val="0"/>
        <w:keepLines w:val="0"/>
        <w:pageBreakBefore w:val="0"/>
        <w:kinsoku/>
        <w:wordWrap/>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auto"/>
          <w:sz w:val="32"/>
          <w:u w:val="none"/>
        </w:rPr>
      </w:pPr>
    </w:p>
    <w:p>
      <w:pPr>
        <w:keepNext w:val="0"/>
        <w:keepLines w:val="0"/>
        <w:pageBreakBefore w:val="0"/>
        <w:kinsoku/>
        <w:wordWrap/>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auto"/>
          <w:sz w:val="32"/>
          <w:u w:val="none"/>
        </w:rPr>
      </w:pPr>
    </w:p>
    <w:p>
      <w:pPr>
        <w:keepNext w:val="0"/>
        <w:keepLines w:val="0"/>
        <w:pageBreakBefore w:val="0"/>
        <w:widowControl w:val="0"/>
        <w:kinsoku/>
        <w:wordWrap/>
        <w:overflowPunct/>
        <w:topLinePunct w:val="0"/>
        <w:bidi w:val="0"/>
        <w:spacing w:line="594"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红炉府发〔</w:t>
      </w:r>
      <w:r>
        <w:rPr>
          <w:rFonts w:hint="default" w:ascii="Times New Roman" w:hAnsi="Times New Roman" w:eastAsia="方正仿宋_GBK" w:cs="Times New Roman"/>
          <w:color w:val="auto"/>
          <w:sz w:val="32"/>
          <w:szCs w:val="32"/>
          <w:lang w:eastAsia="zh-CN"/>
        </w:rPr>
        <w:t>202</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w:t>
      </w:r>
      <w:r>
        <w:rPr>
          <w:rFonts w:hint="eastAsia" w:asci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号</w:t>
      </w:r>
    </w:p>
    <w:p>
      <w:pPr>
        <w:keepNext w:val="0"/>
        <w:keepLines w:val="0"/>
        <w:pageBreakBefore w:val="0"/>
        <w:widowControl w:val="0"/>
        <w:kinsoku/>
        <w:wordWrap/>
        <w:overflowPunct/>
        <w:topLinePunct w:val="0"/>
        <w:bidi w:val="0"/>
        <w:spacing w:line="594"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bidi w:val="0"/>
        <w:adjustRightInd w:val="0"/>
        <w:snapToGrid w:val="0"/>
        <w:spacing w:line="594"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rPr>
        <w:t>重庆市永川区</w:t>
      </w:r>
      <w:r>
        <w:rPr>
          <w:rFonts w:hint="default" w:ascii="Times New Roman" w:hAnsi="Times New Roman" w:eastAsia="方正小标宋_GBK" w:cs="Times New Roman"/>
          <w:color w:val="auto"/>
          <w:sz w:val="44"/>
          <w:szCs w:val="44"/>
          <w:lang w:val="en-US" w:eastAsia="zh-CN"/>
        </w:rPr>
        <w:t>红炉镇人民政府</w:t>
      </w:r>
    </w:p>
    <w:p>
      <w:pPr>
        <w:keepNext w:val="0"/>
        <w:keepLines w:val="0"/>
        <w:pageBreakBefore w:val="0"/>
        <w:kinsoku/>
        <w:wordWrap/>
        <w:overflowPunct w:val="0"/>
        <w:topLinePunct w:val="0"/>
        <w:bidi w:val="0"/>
        <w:spacing w:line="594" w:lineRule="exact"/>
        <w:jc w:val="center"/>
        <w:textAlignment w:val="auto"/>
        <w:rPr>
          <w:rFonts w:hint="default" w:ascii="Times New Roman" w:hAnsi="Times New Roman" w:eastAsia="方正小标宋_GBK" w:cs="Times New Roman"/>
          <w:color w:val="auto"/>
          <w:spacing w:val="-10"/>
          <w:sz w:val="44"/>
          <w:szCs w:val="44"/>
        </w:rPr>
      </w:pPr>
      <w:r>
        <w:rPr>
          <w:rFonts w:hint="default" w:ascii="Times New Roman" w:hAnsi="Times New Roman" w:eastAsia="方正小标宋_GBK" w:cs="Times New Roman"/>
          <w:color w:val="auto"/>
          <w:sz w:val="44"/>
          <w:szCs w:val="44"/>
        </w:rPr>
        <w:t>关于</w:t>
      </w:r>
      <w:r>
        <w:rPr>
          <w:rFonts w:hint="default" w:ascii="Times New Roman" w:hAnsi="Times New Roman" w:eastAsia="方正小标宋_GBK" w:cs="Times New Roman"/>
          <w:color w:val="auto"/>
          <w:sz w:val="44"/>
          <w:szCs w:val="44"/>
          <w:lang w:val="en-US" w:eastAsia="zh-CN"/>
        </w:rPr>
        <w:t>印发红炉镇工业厂房库房消防安全专项整治“回头看”工作方案</w:t>
      </w:r>
      <w:r>
        <w:rPr>
          <w:rFonts w:hint="default" w:ascii="Times New Roman" w:hAnsi="Times New Roman" w:eastAsia="方正小标宋_GBK" w:cs="Times New Roman"/>
          <w:color w:val="auto"/>
          <w:spacing w:val="-10"/>
          <w:sz w:val="44"/>
          <w:szCs w:val="44"/>
        </w:rPr>
        <w:t>的通知</w:t>
      </w:r>
    </w:p>
    <w:p>
      <w:pPr>
        <w:keepNext w:val="0"/>
        <w:keepLines w:val="0"/>
        <w:pageBreakBefore w:val="0"/>
        <w:widowControl w:val="0"/>
        <w:kinsoku/>
        <w:wordWrap/>
        <w:overflowPunct/>
        <w:topLinePunct w:val="0"/>
        <w:bidi w:val="0"/>
        <w:adjustRightInd w:val="0"/>
        <w:snapToGrid w:val="0"/>
        <w:spacing w:line="594" w:lineRule="exact"/>
        <w:textAlignment w:val="auto"/>
        <w:rPr>
          <w:rFonts w:hint="default" w:ascii="Times New Roman" w:hAnsi="Times New Roman" w:eastAsia="方正仿宋_GBK" w:cs="Times New Roman"/>
          <w:color w:val="auto"/>
          <w:szCs w:val="32"/>
        </w:rPr>
      </w:pPr>
    </w:p>
    <w:p>
      <w:pPr>
        <w:keepNext w:val="0"/>
        <w:keepLines w:val="0"/>
        <w:pageBreakBefore w:val="0"/>
        <w:widowControl w:val="0"/>
        <w:kinsoku/>
        <w:wordWrap/>
        <w:overflowPunct/>
        <w:topLinePunct w:val="0"/>
        <w:bidi w:val="0"/>
        <w:spacing w:line="594"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镇安委</w:t>
      </w:r>
      <w:r>
        <w:rPr>
          <w:rFonts w:hint="default" w:ascii="Times New Roman" w:hAnsi="Times New Roman" w:eastAsia="方正仿宋_GBK" w:cs="Times New Roman"/>
          <w:color w:val="auto"/>
          <w:sz w:val="32"/>
          <w:szCs w:val="32"/>
          <w:lang w:val="en-US" w:eastAsia="zh-CN"/>
        </w:rPr>
        <w:t>会</w:t>
      </w:r>
      <w:r>
        <w:rPr>
          <w:rFonts w:hint="default" w:ascii="Times New Roman" w:hAnsi="Times New Roman" w:eastAsia="方正仿宋_GBK" w:cs="Times New Roman"/>
          <w:color w:val="auto"/>
          <w:sz w:val="32"/>
          <w:szCs w:val="32"/>
        </w:rPr>
        <w:t>成员单位、各村（社区）、各企业：</w:t>
      </w:r>
    </w:p>
    <w:p>
      <w:pPr>
        <w:keepNext w:val="0"/>
        <w:keepLines w:val="0"/>
        <w:pageBreakBefore w:val="0"/>
        <w:widowControl w:val="0"/>
        <w:kinsoku/>
        <w:wordWrap/>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现将《红炉镇工业厂房库房消防安全专项整治“回头看”工作方案》印发给你们，请结合实际，抓好贯彻落实。</w:t>
      </w:r>
    </w:p>
    <w:p>
      <w:pPr>
        <w:pStyle w:val="9"/>
        <w:keepNext w:val="0"/>
        <w:keepLines w:val="0"/>
        <w:pageBreakBefore w:val="0"/>
        <w:widowControl w:val="0"/>
        <w:kinsoku/>
        <w:wordWrap/>
        <w:overflowPunct/>
        <w:topLinePunct w:val="0"/>
        <w:bidi w:val="0"/>
        <w:adjustRightInd w:val="0"/>
        <w:snapToGrid w:val="0"/>
        <w:spacing w:before="0" w:beforeAutospacing="0" w:after="0" w:afterAutospacing="0" w:line="594" w:lineRule="exact"/>
        <w:ind w:firstLine="640" w:firstLineChars="200"/>
        <w:jc w:val="right"/>
        <w:textAlignment w:val="auto"/>
        <w:rPr>
          <w:rFonts w:hint="default" w:ascii="Times New Roman" w:hAnsi="Times New Roman" w:eastAsia="方正仿宋_GBK" w:cs="Times New Roman"/>
          <w:color w:val="auto"/>
          <w:sz w:val="32"/>
          <w:szCs w:val="32"/>
        </w:rPr>
      </w:pPr>
    </w:p>
    <w:p>
      <w:pPr>
        <w:pStyle w:val="9"/>
        <w:keepNext w:val="0"/>
        <w:keepLines w:val="0"/>
        <w:pageBreakBefore w:val="0"/>
        <w:widowControl w:val="0"/>
        <w:kinsoku/>
        <w:wordWrap/>
        <w:overflowPunct/>
        <w:topLinePunct w:val="0"/>
        <w:bidi w:val="0"/>
        <w:adjustRightInd w:val="0"/>
        <w:snapToGrid w:val="0"/>
        <w:spacing w:before="0" w:beforeAutospacing="0" w:after="0" w:afterAutospacing="0" w:line="594" w:lineRule="exact"/>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w:t>
      </w:r>
    </w:p>
    <w:p>
      <w:pPr>
        <w:keepNext w:val="0"/>
        <w:keepLines w:val="0"/>
        <w:pageBreakBefore w:val="0"/>
        <w:widowControl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color w:val="auto"/>
          <w:szCs w:val="32"/>
          <w:lang w:val="en-US" w:eastAsia="zh-CN"/>
        </w:rPr>
      </w:pPr>
      <w:r>
        <w:rPr>
          <w:rFonts w:hint="default" w:ascii="Times New Roman" w:hAnsi="Times New Roman" w:eastAsia="方正仿宋_GBK" w:cs="Times New Roman"/>
          <w:color w:val="auto"/>
          <w:szCs w:val="32"/>
        </w:rPr>
        <w:t xml:space="preserve">                    </w:t>
      </w:r>
      <w:r>
        <w:rPr>
          <w:rFonts w:hint="default" w:ascii="Times New Roman" w:hAnsi="Times New Roman" w:eastAsia="方正仿宋_GBK" w:cs="Times New Roman"/>
          <w:color w:val="auto"/>
          <w:szCs w:val="32"/>
          <w:lang w:val="en-US" w:eastAsia="zh-CN"/>
        </w:rPr>
        <w:t xml:space="preserve">      </w:t>
      </w:r>
      <w:r>
        <w:rPr>
          <w:rFonts w:hint="default" w:ascii="Times New Roman" w:hAnsi="Times New Roman" w:eastAsia="方正仿宋_GBK" w:cs="Times New Roman"/>
          <w:color w:val="auto"/>
          <w:szCs w:val="32"/>
        </w:rPr>
        <w:t>重庆市永川区</w:t>
      </w:r>
      <w:r>
        <w:rPr>
          <w:rFonts w:hint="default" w:ascii="Times New Roman" w:hAnsi="Times New Roman" w:eastAsia="方正仿宋_GBK" w:cs="Times New Roman"/>
          <w:color w:val="auto"/>
          <w:szCs w:val="32"/>
          <w:lang w:val="en-US" w:eastAsia="zh-CN"/>
        </w:rPr>
        <w:t>红炉镇人民政府</w:t>
      </w:r>
    </w:p>
    <w:p>
      <w:pPr>
        <w:keepNext w:val="0"/>
        <w:keepLines w:val="0"/>
        <w:pageBreakBefore w:val="0"/>
        <w:widowControl w:val="0"/>
        <w:kinsoku/>
        <w:wordWrap/>
        <w:overflowPunct/>
        <w:topLinePunct w:val="0"/>
        <w:bidi w:val="0"/>
        <w:spacing w:line="594" w:lineRule="exact"/>
        <w:ind w:firstLine="5760" w:firstLineChars="1800"/>
        <w:jc w:val="both"/>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仿宋_GBK" w:cs="Times New Roman"/>
          <w:color w:val="auto"/>
          <w:szCs w:val="32"/>
          <w:lang w:val="en-US" w:eastAsia="zh-CN"/>
        </w:rPr>
        <w:t>2023年2月15日</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30" w:firstLineChars="200"/>
        <w:jc w:val="left"/>
        <w:textAlignment w:val="auto"/>
      </w:pPr>
      <w:r>
        <w:rPr>
          <w:rFonts w:ascii="方正仿宋_GBK" w:hAnsi="方正仿宋_GBK" w:eastAsia="方正仿宋_GBK" w:cs="方正仿宋_GBK"/>
          <w:i w:val="0"/>
          <w:caps w:val="0"/>
          <w:color w:val="000000"/>
          <w:spacing w:val="0"/>
          <w:kern w:val="0"/>
          <w:sz w:val="31"/>
          <w:szCs w:val="31"/>
          <w:lang w:val="en-US" w:eastAsia="zh-CN" w:bidi="ar"/>
        </w:rPr>
        <w:t>（此件公开发布）</w:t>
      </w:r>
    </w:p>
    <w:p>
      <w:pPr>
        <w:keepNext w:val="0"/>
        <w:keepLines w:val="0"/>
        <w:pageBreakBefore w:val="0"/>
        <w:widowControl w:val="0"/>
        <w:kinsoku/>
        <w:wordWrap/>
        <w:overflowPunct/>
        <w:topLinePunct w:val="0"/>
        <w:bidi w:val="0"/>
        <w:adjustRightInd w:val="0"/>
        <w:snapToGrid w:val="0"/>
        <w:spacing w:line="594" w:lineRule="exact"/>
        <w:jc w:val="both"/>
        <w:textAlignment w:val="auto"/>
        <w:rPr>
          <w:rFonts w:hint="default" w:ascii="Times New Roman" w:hAnsi="Times New Roman" w:eastAsia="方正小标宋_GBK" w:cs="Times New Roman"/>
          <w:color w:val="auto"/>
          <w:sz w:val="44"/>
          <w:szCs w:val="44"/>
          <w:lang w:val="en-US" w:eastAsia="zh-CN"/>
        </w:rPr>
      </w:pPr>
      <w:bookmarkStart w:id="5" w:name="_GoBack"/>
      <w:bookmarkEnd w:id="5"/>
    </w:p>
    <w:p>
      <w:pPr>
        <w:keepNext w:val="0"/>
        <w:keepLines w:val="0"/>
        <w:pageBreakBefore w:val="0"/>
        <w:kinsoku/>
        <w:wordWrap/>
        <w:overflowPunct w:val="0"/>
        <w:topLinePunct w:val="0"/>
        <w:bidi w:val="0"/>
        <w:spacing w:line="594" w:lineRule="exact"/>
        <w:jc w:val="center"/>
        <w:textAlignment w:val="auto"/>
        <w:rPr>
          <w:rFonts w:hint="default" w:ascii="Times New Roman" w:hAnsi="Times New Roman" w:eastAsia="方正小标宋_GBK" w:cs="Times New Roman"/>
          <w:color w:val="auto"/>
          <w:spacing w:val="-10"/>
          <w:sz w:val="44"/>
          <w:szCs w:val="44"/>
        </w:rPr>
      </w:pPr>
    </w:p>
    <w:p>
      <w:pPr>
        <w:pStyle w:val="9"/>
        <w:keepNext w:val="0"/>
        <w:keepLines w:val="0"/>
        <w:pageBreakBefore w:val="0"/>
        <w:widowControl w:val="0"/>
        <w:kinsoku/>
        <w:wordWrap/>
        <w:overflowPunct/>
        <w:topLinePunct w:val="0"/>
        <w:bidi w:val="0"/>
        <w:adjustRightInd w:val="0"/>
        <w:snapToGrid w:val="0"/>
        <w:spacing w:before="0" w:beforeAutospacing="0" w:after="0" w:afterAutospacing="0" w:line="594" w:lineRule="exact"/>
        <w:jc w:val="center"/>
        <w:textAlignment w:val="auto"/>
        <w:rPr>
          <w:rFonts w:hint="default" w:ascii="Times New Roman" w:hAnsi="Times New Roman" w:eastAsia="方正仿宋_GBK" w:cs="Times New Roman"/>
          <w:color w:val="auto"/>
          <w:w w:val="98"/>
          <w:szCs w:val="32"/>
        </w:rPr>
      </w:pPr>
      <w:r>
        <w:rPr>
          <w:rFonts w:hint="default" w:ascii="Times New Roman" w:hAnsi="Times New Roman" w:eastAsia="方正小标宋_GBK" w:cs="Times New Roman"/>
          <w:color w:val="auto"/>
          <w:w w:val="98"/>
          <w:sz w:val="44"/>
          <w:szCs w:val="44"/>
          <w:lang w:val="en-US" w:eastAsia="zh-CN"/>
        </w:rPr>
        <w:t>红炉镇工业厂房库房消防安全专项整治“回头看”工作方案</w:t>
      </w:r>
    </w:p>
    <w:p>
      <w:pPr>
        <w:keepNext w:val="0"/>
        <w:keepLines w:val="0"/>
        <w:pageBreakBefore w:val="0"/>
        <w:widowControl w:val="0"/>
        <w:kinsoku/>
        <w:wordWrap w:val="0"/>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color w:val="auto"/>
          <w:szCs w:val="32"/>
          <w:lang w:val="en-US" w:eastAsia="zh-CN"/>
        </w:rPr>
      </w:pPr>
      <w:r>
        <w:rPr>
          <w:rFonts w:hint="default" w:ascii="Times New Roman" w:hAnsi="Times New Roman" w:eastAsia="方正仿宋_GBK" w:cs="Times New Roman"/>
          <w:color w:val="auto"/>
          <w:szCs w:val="32"/>
          <w:lang w:val="en-US" w:eastAsia="zh-CN"/>
        </w:rPr>
        <w:t>为深刻汲取</w:t>
      </w:r>
      <w:r>
        <w:rPr>
          <w:rFonts w:hint="eastAsia" w:ascii="Times New Roman" w:hAnsi="Times New Roman" w:eastAsia="方正仿宋_GBK" w:cs="Times New Roman"/>
          <w:color w:val="auto"/>
          <w:szCs w:val="32"/>
          <w:lang w:val="en-US" w:eastAsia="zh-CN"/>
        </w:rPr>
        <w:t>去年</w:t>
      </w:r>
      <w:r>
        <w:rPr>
          <w:rFonts w:hint="eastAsia" w:ascii="方正仿宋_GBK" w:hAnsi="方正仿宋_GBK" w:eastAsia="方正仿宋_GBK" w:cs="方正仿宋_GBK"/>
          <w:snapToGrid w:val="0"/>
          <w:color w:val="auto"/>
          <w:spacing w:val="0"/>
          <w:kern w:val="0"/>
          <w:szCs w:val="32"/>
        </w:rPr>
        <w:t>河南省安阳市文峰区凯信达商贸有限公司厂房火灾</w:t>
      </w:r>
      <w:r>
        <w:rPr>
          <w:rFonts w:hint="eastAsia" w:ascii="方正仿宋_GBK" w:hAnsi="方正仿宋_GBK" w:eastAsia="方正仿宋_GBK" w:cs="方正仿宋_GBK"/>
          <w:snapToGrid w:val="0"/>
          <w:color w:val="auto"/>
          <w:spacing w:val="0"/>
          <w:kern w:val="0"/>
          <w:szCs w:val="32"/>
          <w:lang w:val="en-US" w:eastAsia="zh-CN"/>
        </w:rPr>
        <w:t>和</w:t>
      </w:r>
      <w:r>
        <w:rPr>
          <w:rFonts w:hint="eastAsia" w:ascii="方正仿宋_GBK" w:hAnsi="方正仿宋_GBK" w:eastAsia="方正仿宋_GBK" w:cs="方正仿宋_GBK"/>
          <w:snapToGrid w:val="0"/>
          <w:color w:val="auto"/>
          <w:spacing w:val="0"/>
          <w:kern w:val="0"/>
          <w:szCs w:val="32"/>
        </w:rPr>
        <w:t>我</w:t>
      </w:r>
      <w:r>
        <w:rPr>
          <w:rFonts w:hint="eastAsia" w:ascii="方正仿宋_GBK" w:hAnsi="方正仿宋_GBK" w:eastAsia="方正仿宋_GBK" w:cs="方正仿宋_GBK"/>
          <w:snapToGrid w:val="0"/>
          <w:color w:val="auto"/>
          <w:spacing w:val="0"/>
          <w:w w:val="105"/>
          <w:kern w:val="0"/>
          <w:szCs w:val="32"/>
        </w:rPr>
        <w:t>市奉节县夔门街道“4</w:t>
      </w:r>
      <w:r>
        <w:rPr>
          <w:rFonts w:hint="eastAsia" w:ascii="方正仿宋_GBK" w:hAnsi="方正仿宋_GBK" w:eastAsia="方正仿宋_GBK" w:cs="方正仿宋_GBK"/>
          <w:snapToGrid w:val="0"/>
          <w:color w:val="auto"/>
          <w:spacing w:val="0"/>
          <w:w w:val="105"/>
          <w:kern w:val="0"/>
          <w:szCs w:val="32"/>
          <w:lang w:val="en-US" w:eastAsia="zh-CN"/>
        </w:rPr>
        <w:t>·</w:t>
      </w:r>
      <w:r>
        <w:rPr>
          <w:rFonts w:hint="eastAsia" w:ascii="方正仿宋_GBK" w:hAnsi="方正仿宋_GBK" w:eastAsia="方正仿宋_GBK" w:cs="方正仿宋_GBK"/>
          <w:snapToGrid w:val="0"/>
          <w:color w:val="auto"/>
          <w:spacing w:val="0"/>
          <w:w w:val="105"/>
          <w:kern w:val="0"/>
          <w:szCs w:val="32"/>
        </w:rPr>
        <w:t>14”厂房、高新区白市驿镇“10·16”</w:t>
      </w:r>
      <w:r>
        <w:rPr>
          <w:rFonts w:hint="eastAsia" w:ascii="方正仿宋_GBK" w:hAnsi="方正仿宋_GBK" w:eastAsia="方正仿宋_GBK" w:cs="方正仿宋_GBK"/>
          <w:snapToGrid w:val="0"/>
          <w:color w:val="auto"/>
          <w:spacing w:val="0"/>
          <w:kern w:val="0"/>
          <w:szCs w:val="32"/>
        </w:rPr>
        <w:t>汽摩城等厂房库房领域火灾</w:t>
      </w:r>
      <w:r>
        <w:rPr>
          <w:rFonts w:hint="eastAsia" w:ascii="方正仿宋_GBK" w:hAnsi="方正仿宋_GBK" w:eastAsia="方正仿宋_GBK" w:cs="方正仿宋_GBK"/>
          <w:snapToGrid w:val="0"/>
          <w:color w:val="auto"/>
          <w:spacing w:val="0"/>
          <w:kern w:val="0"/>
          <w:szCs w:val="32"/>
          <w:lang w:val="en-US" w:eastAsia="zh-CN"/>
        </w:rPr>
        <w:t>事故教训</w:t>
      </w:r>
      <w:r>
        <w:rPr>
          <w:rFonts w:hint="eastAsia" w:ascii="方正仿宋_GBK" w:hAnsi="方正仿宋_GBK" w:eastAsia="方正仿宋_GBK" w:cs="方正仿宋_GBK"/>
          <w:snapToGrid w:val="0"/>
          <w:color w:val="auto"/>
          <w:spacing w:val="0"/>
          <w:kern w:val="0"/>
          <w:szCs w:val="32"/>
        </w:rPr>
        <w:t>。在前期已开展专项整治</w:t>
      </w:r>
      <w:r>
        <w:rPr>
          <w:rFonts w:hint="eastAsia" w:ascii="方正仿宋_GBK" w:hAnsi="方正仿宋_GBK" w:eastAsia="方正仿宋_GBK" w:cs="方正仿宋_GBK"/>
          <w:snapToGrid w:val="0"/>
          <w:color w:val="auto"/>
          <w:spacing w:val="0"/>
          <w:kern w:val="0"/>
          <w:szCs w:val="32"/>
          <w:lang w:val="en"/>
        </w:rPr>
        <w:t>的</w:t>
      </w:r>
      <w:r>
        <w:rPr>
          <w:rFonts w:hint="eastAsia" w:ascii="方正仿宋_GBK" w:hAnsi="方正仿宋_GBK" w:eastAsia="方正仿宋_GBK" w:cs="方正仿宋_GBK"/>
          <w:snapToGrid w:val="0"/>
          <w:color w:val="auto"/>
          <w:spacing w:val="0"/>
          <w:kern w:val="0"/>
          <w:szCs w:val="32"/>
        </w:rPr>
        <w:t>基础上，为深刻汲取事故教训，坚决整治突出问题，经</w:t>
      </w:r>
      <w:r>
        <w:rPr>
          <w:rFonts w:hint="eastAsia" w:ascii="方正仿宋_GBK" w:hAnsi="方正仿宋_GBK" w:eastAsia="方正仿宋_GBK" w:cs="方正仿宋_GBK"/>
          <w:snapToGrid w:val="0"/>
          <w:color w:val="auto"/>
          <w:spacing w:val="0"/>
          <w:kern w:val="0"/>
          <w:szCs w:val="32"/>
          <w:lang w:val="en-US" w:eastAsia="zh-CN"/>
        </w:rPr>
        <w:t>区消防救援支队工作安排</w:t>
      </w:r>
      <w:r>
        <w:rPr>
          <w:rFonts w:hint="eastAsia" w:ascii="方正仿宋_GBK" w:hAnsi="方正仿宋_GBK" w:eastAsia="方正仿宋_GBK" w:cs="方正仿宋_GBK"/>
          <w:snapToGrid w:val="0"/>
          <w:color w:val="auto"/>
          <w:spacing w:val="0"/>
          <w:kern w:val="0"/>
          <w:szCs w:val="32"/>
        </w:rPr>
        <w:t>，决定从即日起至2023年底，在</w:t>
      </w:r>
      <w:r>
        <w:rPr>
          <w:rFonts w:hint="eastAsia" w:ascii="方正仿宋_GBK" w:hAnsi="方正仿宋_GBK" w:eastAsia="方正仿宋_GBK" w:cs="方正仿宋_GBK"/>
          <w:snapToGrid w:val="0"/>
          <w:color w:val="auto"/>
          <w:spacing w:val="0"/>
          <w:kern w:val="0"/>
          <w:szCs w:val="32"/>
          <w:lang w:val="en-US" w:eastAsia="zh-CN"/>
        </w:rPr>
        <w:t>我镇</w:t>
      </w:r>
      <w:r>
        <w:rPr>
          <w:rFonts w:hint="eastAsia" w:ascii="方正仿宋_GBK" w:hAnsi="方正仿宋_GBK" w:eastAsia="方正仿宋_GBK" w:cs="方正仿宋_GBK"/>
          <w:snapToGrid w:val="0"/>
          <w:color w:val="auto"/>
          <w:spacing w:val="0"/>
          <w:kern w:val="0"/>
          <w:szCs w:val="32"/>
        </w:rPr>
        <w:t>部署厂房库房消防安全专项整治“回头看”工作，</w:t>
      </w:r>
      <w:r>
        <w:rPr>
          <w:rFonts w:hint="eastAsia" w:ascii="方正仿宋_GBK" w:hAnsi="方正仿宋_GBK" w:eastAsia="方正仿宋_GBK" w:cs="方正仿宋_GBK"/>
          <w:snapToGrid w:val="0"/>
          <w:color w:val="auto"/>
          <w:spacing w:val="0"/>
          <w:kern w:val="0"/>
          <w:szCs w:val="32"/>
          <w:lang w:val="en-US" w:eastAsia="zh-CN"/>
        </w:rPr>
        <w:t>特</w:t>
      </w:r>
      <w:r>
        <w:rPr>
          <w:rFonts w:hint="eastAsia" w:ascii="方正仿宋_GBK" w:hAnsi="方正仿宋_GBK" w:eastAsia="方正仿宋_GBK" w:cs="方正仿宋_GBK"/>
          <w:snapToGrid w:val="0"/>
          <w:color w:val="auto"/>
          <w:spacing w:val="0"/>
          <w:kern w:val="0"/>
          <w:szCs w:val="32"/>
        </w:rPr>
        <w:t>制定本</w:t>
      </w:r>
      <w:r>
        <w:rPr>
          <w:rFonts w:hint="eastAsia" w:ascii="方正仿宋_GBK" w:hAnsi="方正仿宋_GBK" w:eastAsia="方正仿宋_GBK" w:cs="方正仿宋_GBK"/>
          <w:snapToGrid w:val="0"/>
          <w:color w:val="auto"/>
          <w:spacing w:val="0"/>
          <w:kern w:val="0"/>
          <w:szCs w:val="32"/>
          <w:lang w:val="en-US" w:eastAsia="zh-CN"/>
        </w:rPr>
        <w:t>工作</w:t>
      </w:r>
      <w:r>
        <w:rPr>
          <w:rFonts w:hint="eastAsia" w:ascii="方正仿宋_GBK" w:hAnsi="方正仿宋_GBK" w:eastAsia="方正仿宋_GBK" w:cs="方正仿宋_GBK"/>
          <w:snapToGrid w:val="0"/>
          <w:color w:val="auto"/>
          <w:spacing w:val="0"/>
          <w:kern w:val="0"/>
          <w:szCs w:val="32"/>
        </w:rPr>
        <w:t>方案。</w:t>
      </w:r>
    </w:p>
    <w:p>
      <w:pPr>
        <w:keepNext w:val="0"/>
        <w:keepLines w:val="0"/>
        <w:pageBreakBefore w:val="0"/>
        <w:widowControl w:val="0"/>
        <w:numPr>
          <w:ilvl w:val="0"/>
          <w:numId w:val="0"/>
        </w:numPr>
        <w:kinsoku/>
        <w:wordWrap/>
        <w:overflowPunct/>
        <w:topLinePunct w:val="0"/>
        <w:bidi w:val="0"/>
        <w:adjustRightInd w:val="0"/>
        <w:snapToGrid w:val="0"/>
        <w:spacing w:line="594" w:lineRule="exact"/>
        <w:ind w:firstLine="640" w:firstLineChars="200"/>
        <w:textAlignment w:val="auto"/>
        <w:rPr>
          <w:rFonts w:hint="default" w:ascii="Times New Roman" w:hAnsi="Times New Roman" w:eastAsia="方正黑体_GBK" w:cs="Times New Roman"/>
          <w:color w:val="auto"/>
          <w:szCs w:val="32"/>
          <w:lang w:val="en-US" w:eastAsia="zh-CN"/>
        </w:rPr>
      </w:pPr>
      <w:r>
        <w:rPr>
          <w:rFonts w:hint="default" w:ascii="Times New Roman" w:hAnsi="Times New Roman" w:eastAsia="方正黑体_GBK" w:cs="Times New Roman"/>
          <w:color w:val="auto"/>
          <w:szCs w:val="32"/>
          <w:lang w:val="en-US" w:eastAsia="zh-CN"/>
        </w:rPr>
        <w:t>一、组织领导</w:t>
      </w:r>
    </w:p>
    <w:p>
      <w:pPr>
        <w:keepNext w:val="0"/>
        <w:keepLines w:val="0"/>
        <w:pageBreakBefore w:val="0"/>
        <w:widowControl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color w:val="auto"/>
          <w:szCs w:val="32"/>
          <w:lang w:val="en-US" w:eastAsia="zh-CN"/>
        </w:rPr>
      </w:pPr>
      <w:r>
        <w:rPr>
          <w:rFonts w:hint="default" w:ascii="Times New Roman" w:hAnsi="Times New Roman" w:eastAsia="方正仿宋_GBK" w:cs="Times New Roman"/>
          <w:color w:val="auto"/>
          <w:szCs w:val="32"/>
          <w:lang w:val="en-US" w:eastAsia="zh-CN"/>
        </w:rPr>
        <w:t>组  长：</w:t>
      </w:r>
      <w:r>
        <w:rPr>
          <w:rFonts w:hint="eastAsia" w:ascii="Times New Roman" w:hAnsi="Times New Roman" w:eastAsia="方正仿宋_GBK" w:cs="Times New Roman"/>
          <w:color w:val="auto"/>
          <w:szCs w:val="32"/>
          <w:lang w:val="en-US" w:eastAsia="zh-CN"/>
        </w:rPr>
        <w:t>李天强</w:t>
      </w:r>
      <w:r>
        <w:rPr>
          <w:rFonts w:hint="default" w:ascii="Times New Roman" w:hAnsi="Times New Roman" w:eastAsia="方正仿宋_GBK" w:cs="Times New Roman"/>
          <w:color w:val="auto"/>
          <w:szCs w:val="32"/>
          <w:lang w:val="en-US" w:eastAsia="zh-CN"/>
        </w:rPr>
        <w:t xml:space="preserve">    党委副书记、镇长</w:t>
      </w:r>
    </w:p>
    <w:p>
      <w:pPr>
        <w:keepNext w:val="0"/>
        <w:keepLines w:val="0"/>
        <w:pageBreakBefore w:val="0"/>
        <w:widowControl w:val="0"/>
        <w:kinsoku/>
        <w:wordWrap/>
        <w:overflowPunct/>
        <w:topLinePunct w:val="0"/>
        <w:bidi w:val="0"/>
        <w:spacing w:line="594" w:lineRule="exact"/>
        <w:ind w:firstLine="640" w:firstLineChars="200"/>
        <w:textAlignment w:val="auto"/>
        <w:rPr>
          <w:rFonts w:hint="default" w:ascii="Times New Roman" w:hAnsi="Times New Roman" w:eastAsia="方正仿宋_GBK" w:cs="Times New Roman"/>
          <w:color w:val="auto"/>
          <w:kern w:val="32"/>
          <w:sz w:val="32"/>
          <w:szCs w:val="32"/>
          <w:lang w:val="en-US" w:eastAsia="zh-CN" w:bidi="ar-SA"/>
        </w:rPr>
      </w:pPr>
      <w:r>
        <w:rPr>
          <w:rFonts w:hint="default" w:ascii="Times New Roman" w:hAnsi="Times New Roman" w:eastAsia="方正仿宋_GBK" w:cs="Times New Roman"/>
          <w:color w:val="auto"/>
          <w:szCs w:val="32"/>
          <w:lang w:val="en-US" w:eastAsia="zh-CN"/>
        </w:rPr>
        <w:t xml:space="preserve">副组长：穆勇全    </w:t>
      </w:r>
      <w:r>
        <w:rPr>
          <w:rFonts w:hint="eastAsia" w:ascii="Times New Roman" w:hAnsi="Times New Roman" w:eastAsia="方正仿宋_GBK" w:cs="Times New Roman"/>
          <w:color w:val="auto"/>
          <w:szCs w:val="32"/>
          <w:lang w:val="en-US" w:eastAsia="zh-CN"/>
        </w:rPr>
        <w:t>党委委员、人大主席</w:t>
      </w:r>
      <w:r>
        <w:rPr>
          <w:rFonts w:hint="default" w:ascii="Times New Roman" w:hAnsi="Times New Roman" w:eastAsia="方正仿宋_GBK" w:cs="Times New Roman"/>
          <w:color w:val="auto"/>
          <w:kern w:val="32"/>
          <w:sz w:val="32"/>
          <w:szCs w:val="32"/>
          <w:lang w:val="en-US" w:eastAsia="zh-CN" w:bidi="ar-SA"/>
        </w:rPr>
        <w:t xml:space="preserve"> </w:t>
      </w:r>
    </w:p>
    <w:p>
      <w:pPr>
        <w:pStyle w:val="6"/>
        <w:keepNext w:val="0"/>
        <w:keepLines w:val="0"/>
        <w:pageBreakBefore w:val="0"/>
        <w:widowControl w:val="0"/>
        <w:kinsoku/>
        <w:wordWrap/>
        <w:overflowPunct/>
        <w:topLinePunct w:val="0"/>
        <w:bidi w:val="0"/>
        <w:spacing w:line="594" w:lineRule="exact"/>
        <w:ind w:firstLine="1920" w:firstLineChars="600"/>
        <w:textAlignment w:val="auto"/>
        <w:rPr>
          <w:rFonts w:hint="default" w:ascii="Times New Roman" w:hAnsi="Times New Roman" w:eastAsia="方正仿宋_GBK" w:cs="Times New Roman"/>
          <w:color w:val="auto"/>
          <w:kern w:val="32"/>
          <w:sz w:val="32"/>
          <w:szCs w:val="32"/>
          <w:lang w:val="en-US" w:eastAsia="zh-CN" w:bidi="ar-SA"/>
        </w:rPr>
      </w:pPr>
      <w:r>
        <w:rPr>
          <w:rFonts w:hint="eastAsia" w:ascii="Times New Roman" w:hAnsi="Times New Roman" w:eastAsia="方正仿宋_GBK" w:cs="Times New Roman"/>
          <w:color w:val="auto"/>
          <w:kern w:val="32"/>
          <w:sz w:val="32"/>
          <w:szCs w:val="32"/>
          <w:lang w:val="en-US" w:eastAsia="zh-CN" w:bidi="ar-SA"/>
        </w:rPr>
        <w:t>张  菁</w:t>
      </w:r>
      <w:r>
        <w:rPr>
          <w:rFonts w:hint="default" w:ascii="Times New Roman" w:hAnsi="Times New Roman" w:eastAsia="方正仿宋_GBK" w:cs="Times New Roman"/>
          <w:color w:val="auto"/>
          <w:kern w:val="32"/>
          <w:sz w:val="32"/>
          <w:szCs w:val="32"/>
          <w:lang w:val="en-US" w:eastAsia="zh-CN" w:bidi="ar-SA"/>
        </w:rPr>
        <w:t xml:space="preserve">    党委委员、武装部长、副镇长</w:t>
      </w:r>
    </w:p>
    <w:p>
      <w:pPr>
        <w:keepNext w:val="0"/>
        <w:keepLines w:val="0"/>
        <w:pageBreakBefore w:val="0"/>
        <w:kinsoku/>
        <w:wordWrap/>
        <w:overflowPunct w:val="0"/>
        <w:topLinePunct w:val="0"/>
        <w:bidi w:val="0"/>
        <w:spacing w:line="594" w:lineRule="exact"/>
        <w:ind w:firstLine="640" w:firstLineChars="200"/>
        <w:textAlignment w:val="auto"/>
        <w:rPr>
          <w:rFonts w:hint="default" w:ascii="Times New Roman" w:hAnsi="Times New Roman" w:eastAsia="方正仿宋_GBK" w:cs="Times New Roman"/>
          <w:color w:val="auto"/>
          <w:kern w:val="32"/>
          <w:sz w:val="32"/>
          <w:szCs w:val="32"/>
          <w:lang w:val="en-US" w:eastAsia="zh-CN" w:bidi="ar-SA"/>
        </w:rPr>
      </w:pPr>
      <w:r>
        <w:rPr>
          <w:rFonts w:hint="default" w:ascii="Times New Roman" w:hAnsi="Times New Roman" w:eastAsia="方正仿宋_GBK" w:cs="Times New Roman"/>
          <w:color w:val="auto"/>
          <w:kern w:val="32"/>
          <w:sz w:val="32"/>
          <w:szCs w:val="32"/>
          <w:lang w:val="en-US" w:eastAsia="zh-CN" w:bidi="ar-SA"/>
        </w:rPr>
        <w:t xml:space="preserve"> 镇消委会成员单位负责人为成员，领导小组下设在</w:t>
      </w:r>
      <w:r>
        <w:rPr>
          <w:rFonts w:hint="eastAsia" w:ascii="Times New Roman" w:hAnsi="Times New Roman" w:eastAsia="方正仿宋_GBK" w:cs="Times New Roman"/>
          <w:color w:val="auto"/>
          <w:kern w:val="32"/>
          <w:sz w:val="32"/>
          <w:szCs w:val="32"/>
          <w:lang w:val="en-US" w:eastAsia="zh-CN" w:bidi="ar-SA"/>
        </w:rPr>
        <w:t>应急办</w:t>
      </w:r>
      <w:r>
        <w:rPr>
          <w:rFonts w:hint="default" w:ascii="Times New Roman" w:hAnsi="Times New Roman" w:eastAsia="方正仿宋_GBK" w:cs="Times New Roman"/>
          <w:color w:val="auto"/>
          <w:kern w:val="32"/>
          <w:sz w:val="32"/>
          <w:szCs w:val="32"/>
          <w:lang w:val="en-US" w:eastAsia="zh-CN" w:bidi="ar-SA"/>
        </w:rPr>
        <w:t>，由</w:t>
      </w:r>
      <w:r>
        <w:rPr>
          <w:rFonts w:hint="eastAsia" w:ascii="Times New Roman" w:hAnsi="Times New Roman" w:eastAsia="方正仿宋_GBK" w:cs="Times New Roman"/>
          <w:color w:val="auto"/>
          <w:kern w:val="32"/>
          <w:sz w:val="32"/>
          <w:szCs w:val="32"/>
          <w:lang w:val="en-US" w:eastAsia="zh-CN" w:bidi="ar-SA"/>
        </w:rPr>
        <w:t>党委委员、武装部长、副镇长张菁</w:t>
      </w:r>
      <w:r>
        <w:rPr>
          <w:rFonts w:hint="default" w:ascii="Times New Roman" w:hAnsi="Times New Roman" w:eastAsia="方正仿宋_GBK" w:cs="Times New Roman"/>
          <w:color w:val="auto"/>
          <w:kern w:val="32"/>
          <w:sz w:val="32"/>
          <w:szCs w:val="32"/>
          <w:lang w:val="en-US" w:eastAsia="zh-CN" w:bidi="ar-SA"/>
        </w:rPr>
        <w:t>兼任办公室主任，</w:t>
      </w:r>
      <w:r>
        <w:rPr>
          <w:rFonts w:hint="eastAsia" w:ascii="Times New Roman" w:hAnsi="Times New Roman" w:eastAsia="方正仿宋_GBK" w:cs="Times New Roman"/>
          <w:color w:val="auto"/>
          <w:kern w:val="32"/>
          <w:sz w:val="32"/>
          <w:szCs w:val="32"/>
          <w:lang w:val="en-US" w:eastAsia="zh-CN" w:bidi="ar-SA"/>
        </w:rPr>
        <w:t>应急办主任于万能</w:t>
      </w:r>
      <w:r>
        <w:rPr>
          <w:rFonts w:hint="default" w:ascii="Times New Roman" w:hAnsi="Times New Roman" w:eastAsia="方正仿宋_GBK" w:cs="Times New Roman"/>
          <w:color w:val="auto"/>
          <w:kern w:val="32"/>
          <w:sz w:val="32"/>
          <w:szCs w:val="32"/>
          <w:lang w:val="en-US" w:eastAsia="zh-CN" w:bidi="ar-SA"/>
        </w:rPr>
        <w:t>兼任办公室副主任，统筹协调相关事务工作。具体负责组织协调我镇开展工业厂房库房消防安全专项整治</w:t>
      </w:r>
      <w:r>
        <w:rPr>
          <w:rFonts w:hint="eastAsia" w:ascii="Times New Roman" w:hAnsi="Times New Roman" w:eastAsia="方正仿宋_GBK" w:cs="Times New Roman"/>
          <w:color w:val="auto"/>
          <w:kern w:val="32"/>
          <w:sz w:val="32"/>
          <w:szCs w:val="32"/>
          <w:lang w:val="en-US" w:eastAsia="zh-CN" w:bidi="ar-SA"/>
        </w:rPr>
        <w:t>“回头看”</w:t>
      </w:r>
      <w:r>
        <w:rPr>
          <w:rFonts w:hint="default" w:ascii="Times New Roman" w:hAnsi="Times New Roman" w:eastAsia="方正仿宋_GBK" w:cs="Times New Roman"/>
          <w:color w:val="auto"/>
          <w:kern w:val="32"/>
          <w:sz w:val="32"/>
          <w:szCs w:val="32"/>
          <w:lang w:val="en-US" w:eastAsia="zh-CN" w:bidi="ar-SA"/>
        </w:rPr>
        <w:t>工作及办公室日常工作。</w:t>
      </w:r>
    </w:p>
    <w:p>
      <w:pPr>
        <w:keepNext w:val="0"/>
        <w:keepLines w:val="0"/>
        <w:pageBreakBefore w:val="0"/>
        <w:numPr>
          <w:ilvl w:val="0"/>
          <w:numId w:val="0"/>
        </w:numPr>
        <w:kinsoku/>
        <w:wordWrap/>
        <w:overflowPunct w:val="0"/>
        <w:topLinePunct w:val="0"/>
        <w:bidi w:val="0"/>
        <w:spacing w:line="594"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eastAsia="方正黑体_GBK" w:cs="Times New Roman"/>
          <w:color w:val="auto"/>
          <w:sz w:val="32"/>
          <w:szCs w:val="32"/>
          <w:lang w:val="en-US" w:eastAsia="zh-CN"/>
        </w:rPr>
        <w:t>二、</w:t>
      </w:r>
      <w:r>
        <w:rPr>
          <w:rFonts w:hint="eastAsia" w:ascii="Times New Roman" w:hAnsi="Times New Roman" w:eastAsia="方正黑体_GBK" w:cs="Times New Roman"/>
          <w:color w:val="auto"/>
          <w:sz w:val="32"/>
          <w:szCs w:val="32"/>
          <w:lang w:val="en-US" w:eastAsia="zh-CN"/>
        </w:rPr>
        <w:t>工作</w:t>
      </w:r>
      <w:r>
        <w:rPr>
          <w:rFonts w:hint="default" w:ascii="Times New Roman" w:hAnsi="Times New Roman" w:eastAsia="方正黑体_GBK" w:cs="Times New Roman"/>
          <w:color w:val="auto"/>
          <w:sz w:val="32"/>
          <w:szCs w:val="32"/>
          <w:lang w:val="en-US" w:eastAsia="zh-CN"/>
        </w:rPr>
        <w:t>目标</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snapToGrid w:val="0"/>
          <w:color w:val="auto"/>
          <w:spacing w:val="0"/>
          <w:kern w:val="0"/>
          <w:szCs w:val="32"/>
        </w:rPr>
      </w:pPr>
      <w:r>
        <w:rPr>
          <w:rFonts w:hint="eastAsia" w:ascii="方正仿宋_GBK" w:hAnsi="方正仿宋_GBK" w:eastAsia="方正仿宋_GBK" w:cs="方正仿宋_GBK"/>
          <w:snapToGrid w:val="0"/>
          <w:color w:val="auto"/>
          <w:spacing w:val="0"/>
          <w:kern w:val="0"/>
          <w:szCs w:val="32"/>
        </w:rPr>
        <w:t>深入贯彻落实习近平总书记关于消防工作的重要指示批示精神，始终坚持人民至上、生命至上，坚决防范和遏制重特大事故。按照“全面排查、综合治理、注重长效”的要求，对</w:t>
      </w:r>
      <w:r>
        <w:rPr>
          <w:rFonts w:hint="eastAsia" w:ascii="方正仿宋_GBK" w:hAnsi="方正仿宋_GBK" w:eastAsia="方正仿宋_GBK" w:cs="方正仿宋_GBK"/>
          <w:snapToGrid w:val="0"/>
          <w:color w:val="auto"/>
          <w:spacing w:val="0"/>
          <w:kern w:val="0"/>
          <w:szCs w:val="32"/>
          <w:lang w:val="en-US" w:eastAsia="zh-CN"/>
        </w:rPr>
        <w:t>我镇</w:t>
      </w:r>
      <w:r>
        <w:rPr>
          <w:rFonts w:hint="eastAsia" w:ascii="方正仿宋_GBK" w:hAnsi="方正仿宋_GBK" w:eastAsia="方正仿宋_GBK" w:cs="方正仿宋_GBK"/>
          <w:snapToGrid w:val="0"/>
          <w:color w:val="auto"/>
          <w:spacing w:val="0"/>
          <w:kern w:val="0"/>
          <w:szCs w:val="32"/>
        </w:rPr>
        <w:t>厂房库房进行再排查再整治，进一步摸清底数，掌握消防安全状况，攻坚整治隐患，解决突出问题，完善长效机制，提升厂房库房消防安全综合监管水平，确保</w:t>
      </w:r>
      <w:r>
        <w:rPr>
          <w:rFonts w:hint="eastAsia" w:ascii="方正仿宋_GBK" w:hAnsi="方正仿宋_GBK" w:eastAsia="方正仿宋_GBK" w:cs="方正仿宋_GBK"/>
          <w:snapToGrid w:val="0"/>
          <w:color w:val="auto"/>
          <w:spacing w:val="0"/>
          <w:kern w:val="0"/>
          <w:szCs w:val="32"/>
          <w:lang w:val="en-US" w:eastAsia="zh-CN"/>
        </w:rPr>
        <w:t>我镇</w:t>
      </w:r>
      <w:r>
        <w:rPr>
          <w:rFonts w:hint="eastAsia" w:ascii="方正仿宋_GBK" w:hAnsi="方正仿宋_GBK" w:eastAsia="方正仿宋_GBK" w:cs="方正仿宋_GBK"/>
          <w:snapToGrid w:val="0"/>
          <w:color w:val="auto"/>
          <w:spacing w:val="0"/>
          <w:kern w:val="0"/>
          <w:szCs w:val="32"/>
        </w:rPr>
        <w:t>消防安全形势稳定向好。</w:t>
      </w:r>
    </w:p>
    <w:p>
      <w:pPr>
        <w:keepNext w:val="0"/>
        <w:keepLines w:val="0"/>
        <w:pageBreakBefore w:val="0"/>
        <w:numPr>
          <w:ilvl w:val="0"/>
          <w:numId w:val="1"/>
        </w:numPr>
        <w:kinsoku/>
        <w:wordWrap/>
        <w:overflowPunct w:val="0"/>
        <w:topLinePunct w:val="0"/>
        <w:bidi w:val="0"/>
        <w:spacing w:line="594" w:lineRule="exact"/>
        <w:ind w:firstLine="640" w:firstLineChars="200"/>
        <w:textAlignment w:val="auto"/>
        <w:rPr>
          <w:rFonts w:hint="eastAsia"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整治</w:t>
      </w:r>
      <w:r>
        <w:rPr>
          <w:rFonts w:hint="eastAsia" w:ascii="Times New Roman" w:hAnsi="Times New Roman" w:eastAsia="方正黑体_GBK" w:cs="Times New Roman"/>
          <w:color w:val="auto"/>
          <w:sz w:val="32"/>
          <w:szCs w:val="32"/>
          <w:lang w:val="en-US" w:eastAsia="zh-CN"/>
        </w:rPr>
        <w:t>对象</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snapToGrid w:val="0"/>
          <w:color w:val="auto"/>
          <w:spacing w:val="0"/>
          <w:kern w:val="0"/>
          <w:szCs w:val="32"/>
        </w:rPr>
      </w:pPr>
      <w:r>
        <w:rPr>
          <w:rFonts w:hint="eastAsia" w:ascii="方正仿宋_GBK" w:hAnsi="方正仿宋_GBK" w:eastAsia="方正仿宋_GBK" w:cs="方正仿宋_GBK"/>
          <w:snapToGrid w:val="0"/>
          <w:color w:val="auto"/>
          <w:spacing w:val="0"/>
          <w:kern w:val="0"/>
          <w:szCs w:val="32"/>
        </w:rPr>
        <w:t>重点整治以下7类厂房库房场所：</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snapToGrid w:val="0"/>
          <w:color w:val="auto"/>
          <w:spacing w:val="0"/>
          <w:kern w:val="0"/>
          <w:szCs w:val="32"/>
        </w:rPr>
      </w:pPr>
      <w:r>
        <w:rPr>
          <w:rFonts w:hint="eastAsia" w:ascii="方正仿宋_GBK" w:hAnsi="方正仿宋_GBK" w:eastAsia="方正仿宋_GBK" w:cs="方正仿宋_GBK"/>
          <w:snapToGrid w:val="0"/>
          <w:color w:val="auto"/>
          <w:spacing w:val="0"/>
          <w:kern w:val="0"/>
          <w:szCs w:val="32"/>
          <w:lang w:val="en-US" w:eastAsia="zh-CN"/>
        </w:rPr>
        <w:t>1.</w:t>
      </w:r>
      <w:r>
        <w:rPr>
          <w:rFonts w:hint="eastAsia" w:ascii="方正仿宋_GBK" w:hAnsi="方正仿宋_GBK" w:eastAsia="方正仿宋_GBK" w:cs="方正仿宋_GBK"/>
          <w:snapToGrid w:val="0"/>
          <w:color w:val="auto"/>
          <w:spacing w:val="0"/>
          <w:kern w:val="0"/>
          <w:szCs w:val="32"/>
        </w:rPr>
        <w:t>物流企业内的可燃物品库房；</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snapToGrid w:val="0"/>
          <w:color w:val="auto"/>
          <w:spacing w:val="0"/>
          <w:kern w:val="0"/>
          <w:szCs w:val="32"/>
        </w:rPr>
      </w:pPr>
      <w:r>
        <w:rPr>
          <w:rFonts w:hint="eastAsia" w:ascii="方正仿宋_GBK" w:hAnsi="方正仿宋_GBK" w:eastAsia="方正仿宋_GBK" w:cs="方正仿宋_GBK"/>
          <w:snapToGrid w:val="0"/>
          <w:color w:val="auto"/>
          <w:spacing w:val="0"/>
          <w:kern w:val="0"/>
          <w:szCs w:val="32"/>
          <w:lang w:val="en-US" w:eastAsia="zh-CN"/>
        </w:rPr>
        <w:t>2.</w:t>
      </w:r>
      <w:r>
        <w:rPr>
          <w:rFonts w:hint="eastAsia" w:ascii="方正仿宋_GBK" w:hAnsi="方正仿宋_GBK" w:eastAsia="方正仿宋_GBK" w:cs="方正仿宋_GBK"/>
          <w:bCs/>
          <w:snapToGrid w:val="0"/>
          <w:color w:val="auto"/>
          <w:spacing w:val="0"/>
          <w:kern w:val="0"/>
          <w:szCs w:val="32"/>
        </w:rPr>
        <w:t>各品牌寄递企业区（县）级邮件快件处理场所</w:t>
      </w:r>
      <w:r>
        <w:rPr>
          <w:rFonts w:hint="eastAsia" w:ascii="方正仿宋_GBK" w:hAnsi="方正仿宋_GBK" w:eastAsia="方正仿宋_GBK" w:cs="方正仿宋_GBK"/>
          <w:snapToGrid w:val="0"/>
          <w:color w:val="auto"/>
          <w:spacing w:val="0"/>
          <w:kern w:val="0"/>
          <w:szCs w:val="32"/>
        </w:rPr>
        <w:t>；</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snapToGrid w:val="0"/>
          <w:color w:val="auto"/>
          <w:spacing w:val="0"/>
          <w:kern w:val="0"/>
          <w:szCs w:val="32"/>
        </w:rPr>
      </w:pPr>
      <w:r>
        <w:rPr>
          <w:rFonts w:hint="eastAsia" w:ascii="方正仿宋_GBK" w:hAnsi="方正仿宋_GBK" w:eastAsia="方正仿宋_GBK" w:cs="方正仿宋_GBK"/>
          <w:snapToGrid w:val="0"/>
          <w:color w:val="auto"/>
          <w:spacing w:val="0"/>
          <w:kern w:val="0"/>
          <w:szCs w:val="32"/>
          <w:lang w:val="en-US" w:eastAsia="zh-CN"/>
        </w:rPr>
        <w:t>3.</w:t>
      </w:r>
      <w:r>
        <w:rPr>
          <w:rFonts w:hint="eastAsia" w:ascii="方正仿宋_GBK" w:hAnsi="方正仿宋_GBK" w:eastAsia="方正仿宋_GBK" w:cs="方正仿宋_GBK"/>
          <w:snapToGrid w:val="0"/>
          <w:color w:val="auto"/>
          <w:spacing w:val="0"/>
          <w:kern w:val="0"/>
          <w:szCs w:val="32"/>
        </w:rPr>
        <w:t>冷链物流企业设置的冻库；</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snapToGrid w:val="0"/>
          <w:color w:val="auto"/>
          <w:spacing w:val="0"/>
          <w:kern w:val="0"/>
          <w:szCs w:val="32"/>
        </w:rPr>
      </w:pPr>
      <w:r>
        <w:rPr>
          <w:rFonts w:hint="eastAsia" w:ascii="方正仿宋_GBK" w:hAnsi="方正仿宋_GBK" w:eastAsia="方正仿宋_GBK" w:cs="方正仿宋_GBK"/>
          <w:snapToGrid w:val="0"/>
          <w:color w:val="auto"/>
          <w:spacing w:val="0"/>
          <w:kern w:val="0"/>
          <w:szCs w:val="32"/>
          <w:lang w:val="en-US" w:eastAsia="zh-CN"/>
        </w:rPr>
        <w:t>4.</w:t>
      </w:r>
      <w:r>
        <w:rPr>
          <w:rFonts w:hint="eastAsia" w:ascii="方正仿宋_GBK" w:hAnsi="方正仿宋_GBK" w:eastAsia="方正仿宋_GBK" w:cs="方正仿宋_GBK"/>
          <w:snapToGrid w:val="0"/>
          <w:color w:val="auto"/>
          <w:spacing w:val="0"/>
          <w:kern w:val="0"/>
          <w:szCs w:val="32"/>
        </w:rPr>
        <w:t>汽配城、摩配城、家具建材等专业市场设置的库房；</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snapToGrid w:val="0"/>
          <w:color w:val="auto"/>
          <w:spacing w:val="0"/>
          <w:kern w:val="0"/>
          <w:szCs w:val="32"/>
        </w:rPr>
      </w:pPr>
      <w:r>
        <w:rPr>
          <w:rFonts w:hint="eastAsia" w:ascii="方正仿宋_GBK" w:hAnsi="方正仿宋_GBK" w:eastAsia="方正仿宋_GBK" w:cs="方正仿宋_GBK"/>
          <w:snapToGrid w:val="0"/>
          <w:color w:val="auto"/>
          <w:spacing w:val="0"/>
          <w:kern w:val="0"/>
          <w:szCs w:val="32"/>
          <w:lang w:val="en-US" w:eastAsia="zh-CN"/>
        </w:rPr>
        <w:t>5.</w:t>
      </w:r>
      <w:r>
        <w:rPr>
          <w:rFonts w:hint="eastAsia" w:ascii="方正仿宋_GBK" w:hAnsi="方正仿宋_GBK" w:eastAsia="方正仿宋_GBK" w:cs="方正仿宋_GBK"/>
          <w:snapToGrid w:val="0"/>
          <w:color w:val="auto"/>
          <w:spacing w:val="0"/>
          <w:kern w:val="0"/>
          <w:szCs w:val="32"/>
        </w:rPr>
        <w:t>集批发、零售和储存为一体的市场仓储库房；</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snapToGrid w:val="0"/>
          <w:color w:val="auto"/>
          <w:spacing w:val="0"/>
          <w:kern w:val="0"/>
          <w:szCs w:val="32"/>
        </w:rPr>
      </w:pPr>
      <w:r>
        <w:rPr>
          <w:rFonts w:hint="eastAsia" w:ascii="方正仿宋_GBK" w:hAnsi="方正仿宋_GBK" w:eastAsia="方正仿宋_GBK" w:cs="方正仿宋_GBK"/>
          <w:snapToGrid w:val="0"/>
          <w:color w:val="auto"/>
          <w:spacing w:val="0"/>
          <w:kern w:val="0"/>
          <w:szCs w:val="32"/>
          <w:lang w:val="en-US" w:eastAsia="zh-CN"/>
        </w:rPr>
        <w:t>6.</w:t>
      </w:r>
      <w:r>
        <w:rPr>
          <w:rFonts w:hint="eastAsia" w:ascii="方正仿宋_GBK" w:hAnsi="方正仿宋_GBK" w:eastAsia="方正仿宋_GBK" w:cs="方正仿宋_GBK"/>
          <w:snapToGrid w:val="0"/>
          <w:color w:val="auto"/>
          <w:spacing w:val="0"/>
          <w:kern w:val="0"/>
          <w:szCs w:val="32"/>
        </w:rPr>
        <w:t>同一建筑容纳10人以上的劳动密集型生产企业；</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color w:val="auto"/>
          <w:lang w:val="en-US" w:eastAsia="zh-CN"/>
        </w:rPr>
      </w:pPr>
      <w:r>
        <w:rPr>
          <w:rFonts w:hint="eastAsia" w:ascii="方正仿宋_GBK" w:hAnsi="方正仿宋_GBK" w:eastAsia="方正仿宋_GBK" w:cs="方正仿宋_GBK"/>
          <w:snapToGrid w:val="0"/>
          <w:color w:val="auto"/>
          <w:spacing w:val="0"/>
          <w:kern w:val="0"/>
          <w:szCs w:val="32"/>
          <w:lang w:val="en-US" w:eastAsia="zh-CN"/>
        </w:rPr>
        <w:t>7.</w:t>
      </w:r>
      <w:r>
        <w:rPr>
          <w:rFonts w:hint="eastAsia" w:ascii="方正仿宋_GBK" w:hAnsi="方正仿宋_GBK" w:eastAsia="方正仿宋_GBK" w:cs="方正仿宋_GBK"/>
          <w:snapToGrid w:val="0"/>
          <w:color w:val="auto"/>
          <w:spacing w:val="0"/>
          <w:kern w:val="0"/>
          <w:szCs w:val="32"/>
        </w:rPr>
        <w:t>其他生产储存易燃可燃物品的厂房库房。</w:t>
      </w:r>
    </w:p>
    <w:p>
      <w:pPr>
        <w:keepNext w:val="0"/>
        <w:keepLines w:val="0"/>
        <w:pageBreakBefore w:val="0"/>
        <w:kinsoku/>
        <w:wordWrap/>
        <w:topLinePunct w:val="0"/>
        <w:bidi w:val="0"/>
        <w:spacing w:line="594" w:lineRule="exact"/>
        <w:ind w:firstLine="640" w:firstLineChars="200"/>
        <w:rPr>
          <w:rFonts w:hint="eastAsia"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四、整治</w:t>
      </w:r>
      <w:r>
        <w:rPr>
          <w:rFonts w:hint="eastAsia" w:ascii="Times New Roman" w:hAnsi="Times New Roman" w:eastAsia="方正黑体_GBK" w:cs="Times New Roman"/>
          <w:color w:val="auto"/>
          <w:sz w:val="32"/>
          <w:szCs w:val="32"/>
          <w:lang w:val="en-US" w:eastAsia="zh-CN"/>
        </w:rPr>
        <w:t>内容</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snapToGrid w:val="0"/>
          <w:color w:val="auto"/>
          <w:spacing w:val="0"/>
          <w:kern w:val="0"/>
          <w:szCs w:val="32"/>
        </w:rPr>
      </w:pPr>
      <w:r>
        <w:rPr>
          <w:rFonts w:hint="eastAsia" w:ascii="方正仿宋_GBK" w:hAnsi="方正仿宋_GBK" w:eastAsia="方正仿宋_GBK" w:cs="方正仿宋_GBK"/>
          <w:snapToGrid w:val="0"/>
          <w:color w:val="auto"/>
          <w:spacing w:val="0"/>
          <w:kern w:val="0"/>
          <w:szCs w:val="32"/>
        </w:rPr>
        <w:t>重点整治以下9类消防安全突出问题：</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snapToGrid w:val="0"/>
          <w:color w:val="auto"/>
          <w:spacing w:val="0"/>
          <w:kern w:val="0"/>
          <w:szCs w:val="32"/>
        </w:rPr>
      </w:pPr>
      <w:r>
        <w:rPr>
          <w:rFonts w:hint="eastAsia" w:ascii="方正仿宋_GBK" w:hAnsi="方正仿宋_GBK" w:eastAsia="方正仿宋_GBK" w:cs="方正仿宋_GBK"/>
          <w:snapToGrid w:val="0"/>
          <w:color w:val="auto"/>
          <w:spacing w:val="0"/>
          <w:kern w:val="0"/>
          <w:szCs w:val="32"/>
        </w:rPr>
        <w:t>（一）违规改变建筑使用性质，特别是将丁戊类厂房库房改为丙类及以上厂房库房使用；</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snapToGrid w:val="0"/>
          <w:color w:val="auto"/>
          <w:spacing w:val="0"/>
          <w:kern w:val="0"/>
          <w:szCs w:val="32"/>
        </w:rPr>
      </w:pPr>
      <w:r>
        <w:rPr>
          <w:rFonts w:hint="eastAsia" w:ascii="方正仿宋_GBK" w:hAnsi="方正仿宋_GBK" w:eastAsia="方正仿宋_GBK" w:cs="方正仿宋_GBK"/>
          <w:snapToGrid w:val="0"/>
          <w:color w:val="auto"/>
          <w:spacing w:val="0"/>
          <w:kern w:val="0"/>
          <w:szCs w:val="32"/>
        </w:rPr>
        <w:t>（二）违规分租、转租，造成消防职责不清、防火分隔被破坏、疏散通道被堵塞；</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snapToGrid w:val="0"/>
          <w:color w:val="auto"/>
          <w:spacing w:val="0"/>
          <w:kern w:val="0"/>
          <w:szCs w:val="32"/>
        </w:rPr>
      </w:pPr>
      <w:r>
        <w:rPr>
          <w:rFonts w:hint="eastAsia" w:ascii="方正仿宋_GBK" w:hAnsi="方正仿宋_GBK" w:eastAsia="方正仿宋_GBK" w:cs="方正仿宋_GBK"/>
          <w:snapToGrid w:val="0"/>
          <w:color w:val="auto"/>
          <w:spacing w:val="0"/>
          <w:kern w:val="0"/>
          <w:szCs w:val="32"/>
        </w:rPr>
        <w:t>（三）违规使用可燃易燃夹芯彩钢板搭建建筑或进行分隔，违规设置夹层，冷链物流场所违规使用易燃可燃保温材料或擅自降低保温材料耐火等级；</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snapToGrid w:val="0"/>
          <w:color w:val="auto"/>
          <w:spacing w:val="0"/>
          <w:kern w:val="0"/>
          <w:szCs w:val="32"/>
        </w:rPr>
      </w:pPr>
      <w:r>
        <w:rPr>
          <w:rFonts w:hint="eastAsia" w:ascii="方正仿宋_GBK" w:hAnsi="方正仿宋_GBK" w:eastAsia="方正仿宋_GBK" w:cs="方正仿宋_GBK"/>
          <w:snapToGrid w:val="0"/>
          <w:color w:val="auto"/>
          <w:spacing w:val="0"/>
          <w:kern w:val="0"/>
          <w:szCs w:val="32"/>
        </w:rPr>
        <w:t>（四）将生产区域与可燃物品库房混合设置，且未按标准设置防火分隔措施；</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snapToGrid w:val="0"/>
          <w:color w:val="auto"/>
          <w:spacing w:val="0"/>
          <w:kern w:val="0"/>
          <w:szCs w:val="32"/>
        </w:rPr>
      </w:pPr>
      <w:r>
        <w:rPr>
          <w:rFonts w:hint="eastAsia" w:ascii="方正仿宋_GBK" w:hAnsi="方正仿宋_GBK" w:eastAsia="方正仿宋_GBK" w:cs="方正仿宋_GBK"/>
          <w:snapToGrid w:val="0"/>
          <w:color w:val="auto"/>
          <w:spacing w:val="0"/>
          <w:kern w:val="0"/>
          <w:szCs w:val="32"/>
        </w:rPr>
        <w:t>（五）建筑耐火等级不足，防火分隔不到位，安全出口数量不足，未按标准设置或擅自停用报警、喷淋等消防设施；</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snapToGrid w:val="0"/>
          <w:color w:val="auto"/>
          <w:spacing w:val="0"/>
          <w:kern w:val="0"/>
          <w:szCs w:val="32"/>
        </w:rPr>
      </w:pPr>
      <w:r>
        <w:rPr>
          <w:rFonts w:hint="eastAsia" w:ascii="方正仿宋_GBK" w:hAnsi="方正仿宋_GBK" w:eastAsia="方正仿宋_GBK" w:cs="方正仿宋_GBK"/>
          <w:snapToGrid w:val="0"/>
          <w:color w:val="auto"/>
          <w:spacing w:val="0"/>
          <w:kern w:val="0"/>
          <w:szCs w:val="32"/>
        </w:rPr>
        <w:t>（六）违章搭建、堆放物品、隔离防护等占用和堵塞消防车道、防火间距不足；</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snapToGrid w:val="0"/>
          <w:color w:val="auto"/>
          <w:spacing w:val="0"/>
          <w:kern w:val="0"/>
          <w:szCs w:val="32"/>
        </w:rPr>
      </w:pPr>
      <w:r>
        <w:rPr>
          <w:rFonts w:hint="eastAsia" w:ascii="方正仿宋_GBK" w:hAnsi="方正仿宋_GBK" w:eastAsia="方正仿宋_GBK" w:cs="方正仿宋_GBK"/>
          <w:snapToGrid w:val="0"/>
          <w:color w:val="auto"/>
          <w:spacing w:val="0"/>
          <w:kern w:val="0"/>
          <w:szCs w:val="32"/>
        </w:rPr>
        <w:t>（七）员工集体宿舍与生产车间、仓库设置在同一建筑内，厂房库房违规住人；</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snapToGrid w:val="0"/>
          <w:color w:val="auto"/>
          <w:spacing w:val="0"/>
          <w:kern w:val="0"/>
          <w:szCs w:val="32"/>
        </w:rPr>
      </w:pPr>
      <w:r>
        <w:rPr>
          <w:rFonts w:hint="eastAsia" w:ascii="方正仿宋_GBK" w:hAnsi="方正仿宋_GBK" w:eastAsia="方正仿宋_GBK" w:cs="方正仿宋_GBK"/>
          <w:snapToGrid w:val="0"/>
          <w:color w:val="auto"/>
          <w:spacing w:val="0"/>
          <w:kern w:val="0"/>
          <w:szCs w:val="32"/>
        </w:rPr>
        <w:t>（八）违规锁闭、堵塞安全出口和疏散通道，建筑外窗设置影响疏散的铁栅栏、防盗网；</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snapToGrid w:val="0"/>
          <w:color w:val="auto"/>
          <w:spacing w:val="0"/>
          <w:kern w:val="0"/>
          <w:szCs w:val="32"/>
        </w:rPr>
      </w:pPr>
      <w:r>
        <w:rPr>
          <w:rFonts w:hint="eastAsia" w:ascii="方正仿宋_GBK" w:hAnsi="方正仿宋_GBK" w:eastAsia="方正仿宋_GBK" w:cs="方正仿宋_GBK"/>
          <w:snapToGrid w:val="0"/>
          <w:color w:val="auto"/>
          <w:spacing w:val="0"/>
          <w:kern w:val="0"/>
          <w:szCs w:val="32"/>
        </w:rPr>
        <w:t>（九）违规实施电焊气焊作业，包括动火动焊未持证上岗、未制定应急处置预案、未落实专门人员现场看护、未清理周边易燃可燃物、未配置必要的消防器材等；</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snapToGrid w:val="0"/>
          <w:color w:val="auto"/>
          <w:spacing w:val="0"/>
          <w:kern w:val="0"/>
          <w:szCs w:val="32"/>
        </w:rPr>
      </w:pPr>
      <w:r>
        <w:rPr>
          <w:rFonts w:hint="eastAsia" w:ascii="方正仿宋_GBK" w:hAnsi="方正仿宋_GBK" w:eastAsia="方正仿宋_GBK" w:cs="方正仿宋_GBK"/>
          <w:snapToGrid w:val="0"/>
          <w:color w:val="auto"/>
          <w:spacing w:val="0"/>
          <w:kern w:val="0"/>
          <w:szCs w:val="32"/>
        </w:rPr>
        <w:t>除以上重点整治内容外，应当督促厂房库房严格落实有关法律法规和技术规范要求。</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200"/>
        <w:textAlignment w:val="auto"/>
        <w:rPr>
          <w:rFonts w:hint="eastAsia" w:ascii="方正黑体_GBK" w:hAnsi="方正黑体_GBK" w:eastAsia="方正黑体_GBK" w:cs="方正黑体_GBK"/>
          <w:snapToGrid w:val="0"/>
          <w:color w:val="auto"/>
          <w:spacing w:val="0"/>
          <w:kern w:val="0"/>
          <w:szCs w:val="32"/>
        </w:rPr>
      </w:pPr>
      <w:r>
        <w:rPr>
          <w:rFonts w:hint="eastAsia" w:ascii="方正黑体_GBK" w:hAnsi="方正黑体_GBK" w:eastAsia="方正黑体_GBK" w:cs="方正黑体_GBK"/>
          <w:snapToGrid w:val="0"/>
          <w:color w:val="auto"/>
          <w:spacing w:val="0"/>
          <w:kern w:val="0"/>
          <w:szCs w:val="32"/>
          <w:lang w:val="en-US" w:eastAsia="zh-CN"/>
        </w:rPr>
        <w:t>五、</w:t>
      </w:r>
      <w:r>
        <w:rPr>
          <w:rFonts w:hint="eastAsia" w:ascii="方正黑体_GBK" w:hAnsi="方正黑体_GBK" w:eastAsia="方正黑体_GBK" w:cs="方正黑体_GBK"/>
          <w:snapToGrid w:val="0"/>
          <w:color w:val="auto"/>
          <w:spacing w:val="0"/>
          <w:kern w:val="0"/>
          <w:szCs w:val="32"/>
        </w:rPr>
        <w:t>任务分工</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2" w:firstLineChars="200"/>
        <w:textAlignment w:val="auto"/>
        <w:rPr>
          <w:rFonts w:hint="eastAsia" w:ascii="方正仿宋_GBK" w:hAnsi="方正仿宋_GBK" w:eastAsia="方正仿宋_GBK" w:cs="方正仿宋_GBK"/>
          <w:snapToGrid w:val="0"/>
          <w:color w:val="auto"/>
          <w:spacing w:val="0"/>
          <w:kern w:val="0"/>
          <w:szCs w:val="32"/>
          <w:lang w:eastAsia="zh-CN"/>
        </w:rPr>
      </w:pPr>
      <w:r>
        <w:rPr>
          <w:rFonts w:hint="eastAsia" w:ascii="方正仿宋_GBK" w:hAnsi="方正仿宋_GBK" w:eastAsia="方正仿宋_GBK" w:cs="方正仿宋_GBK"/>
          <w:b/>
          <w:bCs/>
          <w:snapToGrid w:val="0"/>
          <w:color w:val="auto"/>
          <w:spacing w:val="0"/>
          <w:kern w:val="0"/>
          <w:szCs w:val="32"/>
          <w:lang w:val="en-US" w:eastAsia="zh-CN"/>
        </w:rPr>
        <w:t>1.应急办、综合行政执法办：</w:t>
      </w:r>
      <w:r>
        <w:rPr>
          <w:rFonts w:hint="eastAsia" w:ascii="方正仿宋_GBK" w:hAnsi="方正仿宋_GBK" w:eastAsia="方正仿宋_GBK" w:cs="方正仿宋_GBK"/>
          <w:snapToGrid w:val="0"/>
          <w:color w:val="auto"/>
          <w:spacing w:val="0"/>
          <w:kern w:val="0"/>
          <w:szCs w:val="32"/>
        </w:rPr>
        <w:t>负责组织开展本辖区厂房库房消防安全专项整治“回头看”工作，督促企业落实工作责任，研究解决隐患整治中的重点、难点问题，督办火灾隐患</w:t>
      </w:r>
      <w:r>
        <w:rPr>
          <w:rFonts w:hint="eastAsia" w:ascii="方正仿宋_GBK" w:hAnsi="方正仿宋_GBK" w:eastAsia="方正仿宋_GBK" w:cs="方正仿宋_GBK"/>
          <w:snapToGrid w:val="0"/>
          <w:color w:val="auto"/>
          <w:spacing w:val="0"/>
          <w:kern w:val="0"/>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2" w:firstLineChars="200"/>
        <w:textAlignment w:val="auto"/>
        <w:rPr>
          <w:rFonts w:hint="eastAsia" w:ascii="方正仿宋_GBK" w:hAnsi="方正仿宋_GBK" w:eastAsia="方正仿宋_GBK" w:cs="方正仿宋_GBK"/>
          <w:snapToGrid w:val="0"/>
          <w:color w:val="auto"/>
          <w:spacing w:val="0"/>
          <w:kern w:val="0"/>
          <w:szCs w:val="32"/>
          <w:lang w:eastAsia="zh-CN"/>
        </w:rPr>
      </w:pPr>
      <w:r>
        <w:rPr>
          <w:rFonts w:hint="eastAsia" w:ascii="方正仿宋_GBK" w:hAnsi="方正仿宋_GBK" w:eastAsia="方正仿宋_GBK" w:cs="方正仿宋_GBK"/>
          <w:b/>
          <w:bCs/>
          <w:snapToGrid w:val="0"/>
          <w:color w:val="auto"/>
          <w:spacing w:val="0"/>
          <w:kern w:val="0"/>
          <w:szCs w:val="32"/>
          <w:lang w:val="en-US" w:eastAsia="zh-CN"/>
        </w:rPr>
        <w:t>2.经发办：</w:t>
      </w:r>
      <w:r>
        <w:rPr>
          <w:rFonts w:hint="eastAsia" w:ascii="方正仿宋_GBK" w:hAnsi="方正仿宋_GBK" w:eastAsia="方正仿宋_GBK" w:cs="方正仿宋_GBK"/>
          <w:snapToGrid w:val="0"/>
          <w:color w:val="auto"/>
          <w:spacing w:val="0"/>
          <w:kern w:val="0"/>
          <w:szCs w:val="32"/>
        </w:rPr>
        <w:t>负责督促监管范围内的企业</w:t>
      </w:r>
      <w:r>
        <w:rPr>
          <w:rFonts w:hint="eastAsia" w:ascii="方正仿宋_GBK" w:hAnsi="方正仿宋_GBK" w:eastAsia="方正仿宋_GBK" w:cs="方正仿宋_GBK"/>
          <w:snapToGrid w:val="0"/>
          <w:color w:val="auto"/>
          <w:spacing w:val="0"/>
          <w:kern w:val="0"/>
          <w:szCs w:val="32"/>
          <w:lang w:eastAsia="zh-CN"/>
        </w:rPr>
        <w:t>、</w:t>
      </w:r>
      <w:r>
        <w:rPr>
          <w:rFonts w:hint="eastAsia" w:ascii="方正仿宋_GBK" w:hAnsi="方正仿宋_GBK" w:eastAsia="方正仿宋_GBK" w:cs="方正仿宋_GBK"/>
          <w:snapToGrid w:val="0"/>
          <w:color w:val="auto"/>
          <w:spacing w:val="0"/>
          <w:kern w:val="0"/>
          <w:szCs w:val="32"/>
          <w:lang w:val="en-US" w:eastAsia="zh-CN"/>
        </w:rPr>
        <w:t>农贸市场</w:t>
      </w:r>
      <w:r>
        <w:rPr>
          <w:rFonts w:hint="eastAsia" w:ascii="方正仿宋_GBK" w:hAnsi="方正仿宋_GBK" w:eastAsia="方正仿宋_GBK" w:cs="方正仿宋_GBK"/>
          <w:snapToGrid w:val="0"/>
          <w:color w:val="auto"/>
          <w:spacing w:val="0"/>
          <w:kern w:val="0"/>
          <w:szCs w:val="32"/>
        </w:rPr>
        <w:t>开展自查、排查，核查并督促指导火灾隐患整改</w:t>
      </w:r>
      <w:r>
        <w:rPr>
          <w:rFonts w:hint="eastAsia" w:ascii="方正仿宋_GBK" w:hAnsi="方正仿宋_GBK" w:eastAsia="方正仿宋_GBK" w:cs="方正仿宋_GBK"/>
          <w:snapToGrid w:val="0"/>
          <w:color w:val="auto"/>
          <w:spacing w:val="0"/>
          <w:kern w:val="0"/>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2" w:firstLineChars="200"/>
        <w:textAlignment w:val="auto"/>
        <w:rPr>
          <w:rFonts w:hint="eastAsia" w:ascii="方正仿宋_GBK" w:hAnsi="方正仿宋_GBK" w:eastAsia="方正仿宋_GBK" w:cs="方正仿宋_GBK"/>
          <w:snapToGrid w:val="0"/>
          <w:color w:val="auto"/>
          <w:spacing w:val="0"/>
          <w:kern w:val="0"/>
          <w:szCs w:val="32"/>
          <w:lang w:eastAsia="zh-CN"/>
        </w:rPr>
      </w:pPr>
      <w:r>
        <w:rPr>
          <w:rFonts w:hint="eastAsia" w:ascii="方正仿宋_GBK" w:hAnsi="方正仿宋_GBK" w:eastAsia="方正仿宋_GBK" w:cs="方正仿宋_GBK"/>
          <w:b/>
          <w:bCs/>
          <w:snapToGrid w:val="0"/>
          <w:color w:val="auto"/>
          <w:spacing w:val="0"/>
          <w:kern w:val="0"/>
          <w:szCs w:val="32"/>
          <w:lang w:val="en-US" w:eastAsia="zh-CN"/>
        </w:rPr>
        <w:t>3.红炉派出所：</w:t>
      </w:r>
      <w:r>
        <w:rPr>
          <w:rFonts w:hint="eastAsia" w:ascii="方正仿宋_GBK" w:hAnsi="方正仿宋_GBK" w:eastAsia="方正仿宋_GBK" w:cs="方正仿宋_GBK"/>
          <w:snapToGrid w:val="0"/>
          <w:color w:val="auto"/>
          <w:spacing w:val="0"/>
          <w:kern w:val="0"/>
          <w:szCs w:val="32"/>
        </w:rPr>
        <w:t>负责纳入公安派出所监督检查范围内单位的厂房库房隐患核查和督促整改工作；配合有关部门对相关违法行为人依法实施处罚</w:t>
      </w:r>
      <w:r>
        <w:rPr>
          <w:rFonts w:hint="eastAsia" w:ascii="方正仿宋_GBK" w:hAnsi="方正仿宋_GBK" w:eastAsia="方正仿宋_GBK" w:cs="方正仿宋_GBK"/>
          <w:snapToGrid w:val="0"/>
          <w:color w:val="auto"/>
          <w:spacing w:val="0"/>
          <w:kern w:val="0"/>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2" w:firstLineChars="200"/>
        <w:textAlignment w:val="auto"/>
        <w:rPr>
          <w:rFonts w:hint="eastAsia" w:ascii="方正仿宋_GBK" w:hAnsi="方正仿宋_GBK" w:eastAsia="方正仿宋_GBK" w:cs="方正仿宋_GBK"/>
          <w:snapToGrid w:val="0"/>
          <w:color w:val="auto"/>
          <w:spacing w:val="0"/>
          <w:kern w:val="0"/>
          <w:szCs w:val="32"/>
          <w:lang w:eastAsia="zh-CN"/>
        </w:rPr>
      </w:pPr>
      <w:r>
        <w:rPr>
          <w:rFonts w:hint="eastAsia" w:ascii="方正仿宋_GBK" w:hAnsi="方正仿宋_GBK" w:eastAsia="方正仿宋_GBK" w:cs="方正仿宋_GBK"/>
          <w:b/>
          <w:bCs/>
          <w:snapToGrid w:val="0"/>
          <w:color w:val="auto"/>
          <w:spacing w:val="0"/>
          <w:kern w:val="0"/>
          <w:szCs w:val="32"/>
          <w:lang w:val="en-US" w:eastAsia="zh-CN"/>
        </w:rPr>
        <w:t>4.规环办：</w:t>
      </w:r>
      <w:r>
        <w:rPr>
          <w:rFonts w:hint="eastAsia" w:ascii="方正仿宋_GBK" w:hAnsi="方正仿宋_GBK" w:eastAsia="方正仿宋_GBK" w:cs="方正仿宋_GBK"/>
          <w:snapToGrid w:val="0"/>
          <w:color w:val="auto"/>
          <w:spacing w:val="0"/>
          <w:kern w:val="0"/>
          <w:szCs w:val="32"/>
          <w:lang w:val="en-US" w:eastAsia="zh-CN"/>
        </w:rPr>
        <w:t>负责</w:t>
      </w:r>
      <w:r>
        <w:rPr>
          <w:rFonts w:hint="eastAsia" w:ascii="方正仿宋_GBK" w:hAnsi="方正仿宋_GBK" w:eastAsia="方正仿宋_GBK" w:cs="方正仿宋_GBK"/>
          <w:snapToGrid w:val="0"/>
          <w:color w:val="auto"/>
          <w:spacing w:val="0"/>
          <w:kern w:val="0"/>
          <w:szCs w:val="32"/>
        </w:rPr>
        <w:t>依法查处未进行建设工程消防设计审查、验收或备案等违法行为</w:t>
      </w:r>
      <w:r>
        <w:rPr>
          <w:rFonts w:hint="eastAsia" w:ascii="方正仿宋_GBK" w:hAnsi="方正仿宋_GBK" w:eastAsia="方正仿宋_GBK" w:cs="方正仿宋_GBK"/>
          <w:snapToGrid w:val="0"/>
          <w:color w:val="auto"/>
          <w:spacing w:val="0"/>
          <w:kern w:val="0"/>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2" w:firstLineChars="200"/>
        <w:textAlignment w:val="auto"/>
        <w:rPr>
          <w:rFonts w:hint="eastAsia"/>
          <w:color w:val="auto"/>
        </w:rPr>
      </w:pPr>
      <w:r>
        <w:rPr>
          <w:rFonts w:hint="eastAsia" w:ascii="方正仿宋_GBK" w:hAnsi="方正仿宋_GBK" w:eastAsia="方正仿宋_GBK" w:cs="方正仿宋_GBK"/>
          <w:b/>
          <w:bCs/>
          <w:snapToGrid w:val="0"/>
          <w:color w:val="auto"/>
          <w:spacing w:val="0"/>
          <w:kern w:val="0"/>
          <w:szCs w:val="32"/>
          <w:lang w:val="en-US" w:eastAsia="zh-CN"/>
        </w:rPr>
        <w:t>5.双石市场监管所：</w:t>
      </w:r>
      <w:r>
        <w:rPr>
          <w:rFonts w:hint="eastAsia" w:ascii="方正仿宋_GBK" w:hAnsi="方正仿宋_GBK" w:eastAsia="方正仿宋_GBK" w:cs="方正仿宋_GBK"/>
          <w:snapToGrid w:val="0"/>
          <w:color w:val="auto"/>
          <w:spacing w:val="0"/>
          <w:kern w:val="0"/>
          <w:szCs w:val="32"/>
        </w:rPr>
        <w:t>负责依法查处无照经营等违法经营行为。</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200"/>
        <w:textAlignment w:val="auto"/>
        <w:rPr>
          <w:rFonts w:hint="eastAsia" w:ascii="方正黑体_GBK" w:hAnsi="方正黑体_GBK" w:eastAsia="方正黑体_GBK" w:cs="方正黑体_GBK"/>
          <w:snapToGrid w:val="0"/>
          <w:color w:val="auto"/>
          <w:spacing w:val="0"/>
          <w:kern w:val="0"/>
          <w:szCs w:val="32"/>
          <w:lang w:val="en-US" w:eastAsia="zh-CN"/>
        </w:rPr>
      </w:pPr>
      <w:r>
        <w:rPr>
          <w:rFonts w:hint="eastAsia" w:ascii="方正黑体_GBK" w:hAnsi="方正黑体_GBK" w:eastAsia="方正黑体_GBK" w:cs="方正黑体_GBK"/>
          <w:snapToGrid w:val="0"/>
          <w:color w:val="auto"/>
          <w:spacing w:val="0"/>
          <w:kern w:val="0"/>
          <w:szCs w:val="32"/>
          <w:lang w:val="en-US" w:eastAsia="zh-CN"/>
        </w:rPr>
        <w:t>六、工作措施</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snapToGrid w:val="0"/>
          <w:color w:val="auto"/>
          <w:spacing w:val="0"/>
          <w:kern w:val="0"/>
          <w:szCs w:val="32"/>
        </w:rPr>
      </w:pPr>
      <w:r>
        <w:rPr>
          <w:rFonts w:hint="eastAsia" w:ascii="方正楷体_GBK" w:hAnsi="方正楷体_GBK" w:eastAsia="方正楷体_GBK" w:cs="方正楷体_GBK"/>
          <w:bCs/>
          <w:snapToGrid w:val="0"/>
          <w:color w:val="auto"/>
          <w:spacing w:val="0"/>
          <w:kern w:val="0"/>
          <w:sz w:val="32"/>
          <w:szCs w:val="32"/>
          <w:lang w:val="en-US" w:eastAsia="zh-CN" w:bidi="ar-SA"/>
        </w:rPr>
        <w:t>（一）深入开展排查。</w:t>
      </w:r>
      <w:r>
        <w:rPr>
          <w:rFonts w:hint="eastAsia" w:ascii="方正仿宋_GBK" w:hAnsi="方正仿宋_GBK" w:eastAsia="方正仿宋_GBK" w:cs="方正仿宋_GBK"/>
          <w:snapToGrid w:val="0"/>
          <w:color w:val="auto"/>
          <w:spacing w:val="0"/>
          <w:kern w:val="0"/>
          <w:szCs w:val="32"/>
        </w:rPr>
        <w:t>按照企业自查、属地排查和部门核查的方式，对全</w:t>
      </w:r>
      <w:r>
        <w:rPr>
          <w:rFonts w:hint="eastAsia" w:ascii="方正仿宋_GBK" w:hAnsi="方正仿宋_GBK" w:eastAsia="方正仿宋_GBK" w:cs="方正仿宋_GBK"/>
          <w:snapToGrid w:val="0"/>
          <w:color w:val="auto"/>
          <w:spacing w:val="0"/>
          <w:kern w:val="0"/>
          <w:szCs w:val="32"/>
          <w:lang w:val="en-US" w:eastAsia="zh-CN"/>
        </w:rPr>
        <w:t>镇</w:t>
      </w:r>
      <w:r>
        <w:rPr>
          <w:rFonts w:hint="eastAsia" w:ascii="方正仿宋_GBK" w:hAnsi="方正仿宋_GBK" w:eastAsia="方正仿宋_GBK" w:cs="方正仿宋_GBK"/>
          <w:snapToGrid w:val="0"/>
          <w:color w:val="auto"/>
          <w:spacing w:val="0"/>
          <w:kern w:val="0"/>
          <w:szCs w:val="32"/>
        </w:rPr>
        <w:t>厂房库房开展全覆盖排查，对新发现的单位及时录入“厂房库房消防安全专项整治信息系统”，对前期已排查的，开展起底式复查，重点复查排查是否到位，遗留隐患是否整改，更新系统隐患清单。针对排查情况进行核查，对排查不到位的要责令重新排查。</w:t>
      </w:r>
      <w:r>
        <w:rPr>
          <w:rFonts w:hint="eastAsia" w:ascii="方正仿宋_GBK" w:hAnsi="方正仿宋_GBK" w:eastAsia="方正仿宋_GBK" w:cs="方正仿宋_GBK"/>
          <w:snapToGrid w:val="0"/>
          <w:color w:val="auto"/>
          <w:spacing w:val="0"/>
          <w:kern w:val="0"/>
          <w:szCs w:val="32"/>
          <w:lang w:val="en-US" w:eastAsia="zh-CN"/>
        </w:rPr>
        <w:t>同时组织专家或</w:t>
      </w:r>
      <w:r>
        <w:rPr>
          <w:rFonts w:hint="eastAsia" w:ascii="方正仿宋_GBK" w:hAnsi="方正仿宋_GBK" w:eastAsia="方正仿宋_GBK" w:cs="方正仿宋_GBK"/>
          <w:snapToGrid w:val="0"/>
          <w:color w:val="auto"/>
          <w:spacing w:val="0"/>
          <w:kern w:val="0"/>
          <w:szCs w:val="32"/>
        </w:rPr>
        <w:t>委托技术服务机构进行排查，查明底数、查清隐患。</w:t>
      </w:r>
    </w:p>
    <w:p>
      <w:pPr>
        <w:pStyle w:val="5"/>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napToGrid w:val="0"/>
          <w:color w:val="auto"/>
          <w:spacing w:val="0"/>
          <w:kern w:val="0"/>
          <w:szCs w:val="32"/>
        </w:rPr>
      </w:pPr>
      <w:r>
        <w:rPr>
          <w:rFonts w:hint="eastAsia" w:ascii="方正楷体_GBK" w:hAnsi="方正楷体_GBK" w:eastAsia="方正楷体_GBK" w:cs="方正楷体_GBK"/>
          <w:bCs/>
          <w:snapToGrid w:val="0"/>
          <w:color w:val="auto"/>
          <w:spacing w:val="0"/>
          <w:kern w:val="0"/>
          <w:sz w:val="32"/>
          <w:szCs w:val="32"/>
          <w:lang w:val="en-US" w:eastAsia="zh-CN" w:bidi="ar-SA"/>
        </w:rPr>
        <w:t>（二）全面约谈督办。</w:t>
      </w:r>
      <w:r>
        <w:rPr>
          <w:rFonts w:hint="eastAsia" w:ascii="方正仿宋_GBK" w:hAnsi="方正仿宋_GBK" w:eastAsia="方正仿宋_GBK" w:cs="方正仿宋_GBK"/>
          <w:snapToGrid w:val="0"/>
          <w:color w:val="auto"/>
          <w:spacing w:val="0"/>
          <w:kern w:val="0"/>
          <w:szCs w:val="32"/>
          <w:lang w:val="en-US" w:eastAsia="zh-CN"/>
        </w:rPr>
        <w:t>镇应急办、综合行政执法办</w:t>
      </w:r>
      <w:r>
        <w:rPr>
          <w:rFonts w:hint="eastAsia" w:ascii="方正仿宋_GBK" w:hAnsi="方正仿宋_GBK" w:eastAsia="方正仿宋_GBK" w:cs="方正仿宋_GBK"/>
          <w:snapToGrid w:val="0"/>
          <w:color w:val="auto"/>
          <w:spacing w:val="0"/>
          <w:kern w:val="0"/>
          <w:szCs w:val="32"/>
        </w:rPr>
        <w:t>组织辖区厂房库房消防安全责任人、管理人开展一次警示约谈，通报河南安阳和我</w:t>
      </w:r>
      <w:r>
        <w:rPr>
          <w:rFonts w:hint="eastAsia" w:ascii="方正仿宋_GBK" w:hAnsi="方正仿宋_GBK" w:eastAsia="方正仿宋_GBK" w:cs="方正仿宋_GBK"/>
          <w:snapToGrid w:val="0"/>
          <w:color w:val="auto"/>
          <w:spacing w:val="0"/>
          <w:kern w:val="0"/>
          <w:szCs w:val="32"/>
          <w:lang w:val="en-US" w:eastAsia="zh-CN"/>
        </w:rPr>
        <w:t>镇</w:t>
      </w:r>
      <w:r>
        <w:rPr>
          <w:rFonts w:hint="eastAsia" w:ascii="方正仿宋_GBK" w:hAnsi="方正仿宋_GBK" w:eastAsia="方正仿宋_GBK" w:cs="方正仿宋_GBK"/>
          <w:snapToGrid w:val="0"/>
          <w:color w:val="auto"/>
          <w:spacing w:val="0"/>
          <w:kern w:val="0"/>
          <w:szCs w:val="32"/>
        </w:rPr>
        <w:t>专项整治以来厂房库房火灾事故以及前期整治发现的火灾隐患，督促落实整改措施，加强厂房消防安全管理。对隐患问题久拖不改的单位，采用督办交办的方式，专项推动隐患整改。</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snapToGrid w:val="0"/>
          <w:color w:val="auto"/>
          <w:spacing w:val="0"/>
          <w:kern w:val="0"/>
          <w:szCs w:val="32"/>
        </w:rPr>
      </w:pPr>
      <w:r>
        <w:rPr>
          <w:rFonts w:hint="eastAsia" w:ascii="方正楷体_GBK" w:hAnsi="方正楷体_GBK" w:eastAsia="方正楷体_GBK" w:cs="方正楷体_GBK"/>
          <w:bCs/>
          <w:snapToGrid w:val="0"/>
          <w:color w:val="auto"/>
          <w:spacing w:val="0"/>
          <w:kern w:val="0"/>
          <w:szCs w:val="32"/>
        </w:rPr>
        <w:t>（三）加大执法力度。</w:t>
      </w:r>
      <w:r>
        <w:rPr>
          <w:rFonts w:hint="eastAsia" w:ascii="方正仿宋_GBK" w:hAnsi="方正仿宋_GBK" w:eastAsia="方正仿宋_GBK" w:cs="方正仿宋_GBK"/>
          <w:snapToGrid w:val="0"/>
          <w:color w:val="auto"/>
          <w:spacing w:val="0"/>
          <w:kern w:val="0"/>
          <w:szCs w:val="32"/>
          <w:lang w:val="en-US" w:eastAsia="zh-CN"/>
        </w:rPr>
        <w:t>镇消安委成员单位</w:t>
      </w:r>
      <w:sdt>
        <w:sdtPr>
          <w:rPr>
            <w:color w:val="auto"/>
          </w:rPr>
          <w:alias w:val="易错词检查"/>
          <w:id w:val="3081101"/>
        </w:sdtPr>
        <w:sdtEndPr>
          <w:rPr>
            <w:color w:val="auto"/>
          </w:rPr>
        </w:sdtEndPr>
        <w:sdtContent>
          <w:bookmarkStart w:id="0" w:name="bkReivew3081101"/>
          <w:r>
            <w:rPr>
              <w:rFonts w:hint="eastAsia" w:ascii="方正仿宋_GBK" w:hAnsi="方正仿宋_GBK" w:eastAsia="方正仿宋_GBK" w:cs="方正仿宋_GBK"/>
              <w:snapToGrid w:val="0"/>
              <w:color w:val="auto"/>
              <w:spacing w:val="0"/>
              <w:kern w:val="0"/>
              <w:szCs w:val="32"/>
              <w:lang w:val="en-US" w:eastAsia="zh-CN"/>
            </w:rPr>
            <w:t>各司其</w:t>
          </w:r>
          <w:bookmarkEnd w:id="0"/>
          <w:r>
            <w:rPr>
              <w:rFonts w:hint="eastAsia" w:ascii="方正仿宋_GBK" w:hAnsi="方正仿宋_GBK" w:eastAsia="方正仿宋_GBK" w:cs="方正仿宋_GBK"/>
              <w:snapToGrid w:val="0"/>
              <w:color w:val="auto"/>
              <w:spacing w:val="0"/>
              <w:kern w:val="0"/>
              <w:szCs w:val="32"/>
              <w:lang w:val="en-US" w:eastAsia="zh-CN"/>
            </w:rPr>
            <w:t>职</w:t>
          </w:r>
        </w:sdtContent>
      </w:sdt>
      <w:r>
        <w:rPr>
          <w:rFonts w:hint="eastAsia" w:ascii="方正仿宋_GBK" w:hAnsi="方正仿宋_GBK" w:eastAsia="方正仿宋_GBK" w:cs="方正仿宋_GBK"/>
          <w:snapToGrid w:val="0"/>
          <w:color w:val="auto"/>
          <w:spacing w:val="0"/>
          <w:kern w:val="0"/>
          <w:szCs w:val="32"/>
          <w:lang w:val="en-US" w:eastAsia="zh-CN"/>
        </w:rPr>
        <w:t>，</w:t>
      </w:r>
      <w:r>
        <w:rPr>
          <w:rFonts w:hint="eastAsia" w:ascii="方正仿宋_GBK" w:hAnsi="方正仿宋_GBK" w:eastAsia="方正仿宋_GBK" w:cs="方正仿宋_GBK"/>
          <w:snapToGrid w:val="0"/>
          <w:color w:val="auto"/>
          <w:spacing w:val="0"/>
          <w:kern w:val="0"/>
          <w:szCs w:val="32"/>
        </w:rPr>
        <w:t>针对隐患清单，综合运用法律、行政、经济等手段，责令限期整改销号</w:t>
      </w:r>
      <w:r>
        <w:rPr>
          <w:rFonts w:hint="eastAsia" w:ascii="方正仿宋_GBK" w:hAnsi="方正仿宋_GBK" w:eastAsia="方正仿宋_GBK" w:cs="方正仿宋_GBK"/>
          <w:snapToGrid w:val="0"/>
          <w:color w:val="auto"/>
          <w:spacing w:val="0"/>
          <w:kern w:val="0"/>
          <w:szCs w:val="32"/>
          <w:lang w:eastAsia="zh-CN"/>
        </w:rPr>
        <w:t>；</w:t>
      </w:r>
      <w:r>
        <w:rPr>
          <w:rFonts w:hint="eastAsia" w:ascii="方正仿宋_GBK" w:hAnsi="方正仿宋_GBK" w:eastAsia="方正仿宋_GBK" w:cs="方正仿宋_GBK"/>
          <w:snapToGrid w:val="0"/>
          <w:color w:val="auto"/>
          <w:spacing w:val="0"/>
          <w:kern w:val="0"/>
          <w:szCs w:val="32"/>
        </w:rPr>
        <w:t>对未依法办理消防手续、违规改变使用性质，一律依法处罚；对建筑消防设施严重损坏、安全出口火灾疏散通道数量不足的，一律予以临时查封；对违规采用易燃可燃材料分隔、违规搭建易燃可燃夹芯彩钢板建筑、违规设置影响逃生和灭火救援障碍物的，一律依法强制拆除；发现违规居住的，一律立即清理；对构成重大火灾隐患的，</w:t>
      </w:r>
      <w:r>
        <w:rPr>
          <w:rFonts w:hint="eastAsia" w:ascii="方正仿宋_GBK" w:eastAsia="方正仿宋_GBK"/>
          <w:color w:val="auto"/>
          <w:sz w:val="32"/>
          <w:szCs w:val="32"/>
        </w:rPr>
        <w:t>及时上报并联合区消防救援支队一同进行检查，督促责任单位落实整改</w:t>
      </w:r>
      <w:r>
        <w:rPr>
          <w:rFonts w:hint="eastAsia" w:ascii="方正仿宋_GBK" w:eastAsia="方正仿宋_GBK"/>
          <w:color w:val="auto"/>
          <w:sz w:val="32"/>
          <w:szCs w:val="32"/>
          <w:lang w:eastAsia="zh-CN"/>
        </w:rPr>
        <w:t>；</w:t>
      </w:r>
      <w:r>
        <w:rPr>
          <w:rFonts w:hint="eastAsia" w:ascii="方正仿宋_GBK" w:hAnsi="方正仿宋_GBK" w:eastAsia="方正仿宋_GBK" w:cs="方正仿宋_GBK"/>
          <w:snapToGrid w:val="0"/>
          <w:color w:val="auto"/>
          <w:spacing w:val="0"/>
          <w:kern w:val="0"/>
          <w:szCs w:val="32"/>
        </w:rPr>
        <w:t>对问题企业连片的，充分运用“拆、搬、改、关”等硬性措施，一律限期予以解决。</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snapToGrid w:val="0"/>
          <w:color w:val="auto"/>
          <w:spacing w:val="0"/>
          <w:kern w:val="0"/>
          <w:szCs w:val="32"/>
          <w:lang w:eastAsia="zh-CN"/>
        </w:rPr>
      </w:pPr>
      <w:r>
        <w:rPr>
          <w:rFonts w:hint="eastAsia" w:ascii="方正楷体_GBK" w:hAnsi="方正楷体_GBK" w:eastAsia="方正楷体_GBK" w:cs="方正楷体_GBK"/>
          <w:bCs/>
          <w:snapToGrid w:val="0"/>
          <w:color w:val="auto"/>
          <w:spacing w:val="0"/>
          <w:kern w:val="0"/>
          <w:szCs w:val="32"/>
        </w:rPr>
        <w:t>（四）规范动火动焊作业。</w:t>
      </w:r>
      <w:r>
        <w:rPr>
          <w:rFonts w:hint="eastAsia" w:ascii="方正仿宋_GBK" w:hAnsi="方正仿宋_GBK" w:eastAsia="方正仿宋_GBK" w:cs="方正仿宋_GBK"/>
          <w:snapToGrid w:val="0"/>
          <w:color w:val="auto"/>
          <w:spacing w:val="0"/>
          <w:kern w:val="0"/>
          <w:szCs w:val="32"/>
        </w:rPr>
        <w:t>严格用工管理，督促用工企业、施工单位落实动焊作业持证上岗，严禁聘用“无证人员”进行电气焊作业。严格现场管理，督促办理动火审批手续，遵守消防安全操作规程，落实现场监护人员和措施。严格依法查处，对无证操作、违规作业的，既要依法处罚违规操作人员，也要严格依法处罚用工企业、施工单位</w:t>
      </w:r>
      <w:r>
        <w:rPr>
          <w:rFonts w:hint="eastAsia" w:ascii="方正仿宋_GBK" w:hAnsi="方正仿宋_GBK" w:eastAsia="方正仿宋_GBK" w:cs="方正仿宋_GBK"/>
          <w:snapToGrid w:val="0"/>
          <w:color w:val="auto"/>
          <w:spacing w:val="0"/>
          <w:kern w:val="0"/>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snapToGrid w:val="0"/>
          <w:color w:val="auto"/>
          <w:spacing w:val="0"/>
          <w:kern w:val="0"/>
          <w:szCs w:val="32"/>
          <w:lang w:eastAsia="zh-CN"/>
        </w:rPr>
      </w:pPr>
      <w:r>
        <w:rPr>
          <w:rFonts w:hint="eastAsia" w:ascii="方正楷体_GBK" w:hAnsi="方正楷体_GBK" w:eastAsia="方正楷体_GBK" w:cs="方正楷体_GBK"/>
          <w:bCs/>
          <w:snapToGrid w:val="0"/>
          <w:color w:val="auto"/>
          <w:spacing w:val="0"/>
          <w:kern w:val="0"/>
          <w:szCs w:val="32"/>
        </w:rPr>
        <w:t>（五）广泛开展宣传培训。</w:t>
      </w:r>
      <w:r>
        <w:rPr>
          <w:rFonts w:hint="eastAsia" w:ascii="方正仿宋_GBK" w:hAnsi="方正仿宋_GBK" w:eastAsia="方正仿宋_GBK" w:cs="方正仿宋_GBK"/>
          <w:snapToGrid w:val="0"/>
          <w:color w:val="auto"/>
          <w:spacing w:val="0"/>
          <w:kern w:val="0"/>
          <w:szCs w:val="32"/>
        </w:rPr>
        <w:t>专项整治“回头看”期间，</w:t>
      </w:r>
      <w:r>
        <w:rPr>
          <w:rFonts w:hint="eastAsia" w:ascii="方正仿宋_GBK" w:hAnsi="方正仿宋_GBK" w:eastAsia="方正仿宋_GBK" w:cs="方正仿宋_GBK"/>
          <w:snapToGrid w:val="0"/>
          <w:color w:val="auto"/>
          <w:spacing w:val="0"/>
          <w:kern w:val="0"/>
          <w:szCs w:val="32"/>
          <w:lang w:val="en-US" w:eastAsia="zh-CN"/>
        </w:rPr>
        <w:t>利用微信、“村村通”、入厂区宣传等形式开展宣传，并组织企业集中观看</w:t>
      </w:r>
      <w:r>
        <w:rPr>
          <w:rFonts w:hint="eastAsia" w:ascii="方正仿宋_GBK" w:hAnsi="方正仿宋_GBK" w:eastAsia="方正仿宋_GBK" w:cs="方正仿宋_GBK"/>
          <w:snapToGrid w:val="0"/>
          <w:color w:val="auto"/>
          <w:spacing w:val="0"/>
          <w:kern w:val="0"/>
          <w:szCs w:val="32"/>
        </w:rPr>
        <w:t>厂房库房火灾事故案例和追责问责情况</w:t>
      </w:r>
      <w:r>
        <w:rPr>
          <w:rFonts w:hint="eastAsia" w:ascii="方正仿宋_GBK" w:hAnsi="方正仿宋_GBK" w:eastAsia="方正仿宋_GBK" w:cs="方正仿宋_GBK"/>
          <w:snapToGrid w:val="0"/>
          <w:color w:val="auto"/>
          <w:spacing w:val="0"/>
          <w:kern w:val="0"/>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黑体_GBK" w:hAnsi="方正黑体_GBK" w:eastAsia="方正黑体_GBK" w:cs="方正黑体_GBK"/>
          <w:snapToGrid w:val="0"/>
          <w:color w:val="auto"/>
          <w:spacing w:val="0"/>
          <w:kern w:val="0"/>
          <w:szCs w:val="32"/>
        </w:rPr>
      </w:pPr>
      <w:r>
        <w:rPr>
          <w:rFonts w:hint="eastAsia" w:ascii="方正黑体_GBK" w:hAnsi="方正黑体_GBK" w:eastAsia="方正黑体_GBK" w:cs="方正黑体_GBK"/>
          <w:snapToGrid w:val="0"/>
          <w:color w:val="auto"/>
          <w:spacing w:val="0"/>
          <w:kern w:val="0"/>
          <w:szCs w:val="32"/>
          <w:lang w:val="en-US" w:eastAsia="zh-CN"/>
        </w:rPr>
        <w:t>七</w:t>
      </w:r>
      <w:r>
        <w:rPr>
          <w:rFonts w:hint="eastAsia" w:ascii="方正黑体_GBK" w:hAnsi="方正黑体_GBK" w:eastAsia="方正黑体_GBK" w:cs="方正黑体_GBK"/>
          <w:snapToGrid w:val="0"/>
          <w:color w:val="auto"/>
          <w:spacing w:val="0"/>
          <w:kern w:val="0"/>
          <w:szCs w:val="32"/>
        </w:rPr>
        <w:t>、工作步骤</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楷体_GBK" w:hAnsi="方正楷体_GBK" w:eastAsia="方正楷体_GBK" w:cs="方正楷体_GBK"/>
          <w:bCs/>
          <w:snapToGrid w:val="0"/>
          <w:color w:val="auto"/>
          <w:spacing w:val="0"/>
          <w:kern w:val="0"/>
          <w:szCs w:val="32"/>
        </w:rPr>
      </w:pPr>
      <w:r>
        <w:rPr>
          <w:rFonts w:hint="eastAsia" w:ascii="方正楷体_GBK" w:hAnsi="方正楷体_GBK" w:eastAsia="方正楷体_GBK" w:cs="方正楷体_GBK"/>
          <w:bCs/>
          <w:snapToGrid w:val="0"/>
          <w:color w:val="auto"/>
          <w:spacing w:val="0"/>
          <w:kern w:val="0"/>
          <w:szCs w:val="32"/>
        </w:rPr>
        <w:t>（一）部署发动（即日起至2023年2月15日）</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snapToGrid w:val="0"/>
          <w:color w:val="auto"/>
          <w:spacing w:val="0"/>
          <w:kern w:val="0"/>
          <w:szCs w:val="32"/>
          <w:lang w:eastAsia="zh-CN"/>
        </w:rPr>
      </w:pPr>
      <w:r>
        <w:rPr>
          <w:rFonts w:hint="eastAsia" w:ascii="方正仿宋_GBK" w:hAnsi="方正仿宋_GBK" w:eastAsia="方正仿宋_GBK" w:cs="方正仿宋_GBK"/>
          <w:snapToGrid w:val="0"/>
          <w:color w:val="auto"/>
          <w:spacing w:val="0"/>
          <w:kern w:val="0"/>
          <w:szCs w:val="32"/>
        </w:rPr>
        <w:t>制定工作方案，进行专题部署，明确“回头看”整治目标、任务和措施，明确工作职责，</w:t>
      </w:r>
      <w:sdt>
        <w:sdtPr>
          <w:rPr>
            <w:color w:val="auto"/>
          </w:rPr>
          <w:alias w:val="易错词检查"/>
          <w:id w:val="2223"/>
        </w:sdtPr>
        <w:sdtEndPr>
          <w:rPr>
            <w:color w:val="auto"/>
          </w:rPr>
        </w:sdtEndPr>
        <w:sdtContent>
          <w:bookmarkStart w:id="1" w:name="bkReivew2223"/>
          <w:r>
            <w:rPr>
              <w:rFonts w:hint="eastAsia" w:ascii="方正仿宋_GBK" w:hAnsi="方正仿宋_GBK" w:eastAsia="方正仿宋_GBK" w:cs="方正仿宋_GBK"/>
              <w:snapToGrid w:val="0"/>
              <w:color w:val="auto"/>
              <w:spacing w:val="0"/>
              <w:kern w:val="0"/>
              <w:szCs w:val="32"/>
            </w:rPr>
            <w:t>落实整治责任</w:t>
          </w:r>
          <w:bookmarkEnd w:id="1"/>
        </w:sdtContent>
      </w:sdt>
      <w:r>
        <w:rPr>
          <w:rFonts w:hint="eastAsia" w:ascii="方正仿宋_GBK" w:hAnsi="方正仿宋_GBK" w:eastAsia="方正仿宋_GBK" w:cs="方正仿宋_GBK"/>
          <w:snapToGrid w:val="0"/>
          <w:color w:val="auto"/>
          <w:spacing w:val="0"/>
          <w:kern w:val="0"/>
          <w:szCs w:val="32"/>
        </w:rPr>
        <w:t>。组织厂房库房消防安全责任人、管理人开展警示约谈</w:t>
      </w:r>
      <w:r>
        <w:rPr>
          <w:rFonts w:hint="eastAsia" w:ascii="方正仿宋_GBK" w:hAnsi="方正仿宋_GBK" w:eastAsia="方正仿宋_GBK" w:cs="方正仿宋_GBK"/>
          <w:snapToGrid w:val="0"/>
          <w:color w:val="auto"/>
          <w:spacing w:val="0"/>
          <w:kern w:val="0"/>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楷体_GBK" w:hAnsi="方正楷体_GBK" w:eastAsia="方正楷体_GBK" w:cs="方正楷体_GBK"/>
          <w:bCs/>
          <w:snapToGrid w:val="0"/>
          <w:color w:val="auto"/>
          <w:spacing w:val="0"/>
          <w:kern w:val="0"/>
          <w:szCs w:val="32"/>
        </w:rPr>
      </w:pPr>
      <w:r>
        <w:rPr>
          <w:rFonts w:hint="eastAsia" w:ascii="方正楷体_GBK" w:hAnsi="方正楷体_GBK" w:eastAsia="方正楷体_GBK" w:cs="方正楷体_GBK"/>
          <w:bCs/>
          <w:snapToGrid w:val="0"/>
          <w:color w:val="auto"/>
          <w:spacing w:val="0"/>
          <w:kern w:val="0"/>
          <w:szCs w:val="32"/>
        </w:rPr>
        <w:t>（二）排查检查（2023年2月16日至</w:t>
      </w:r>
      <w:sdt>
        <w:sdtPr>
          <w:rPr>
            <w:color w:val="auto"/>
          </w:rPr>
          <w:alias w:val="易错词检查"/>
          <w:id w:val="3161832"/>
        </w:sdtPr>
        <w:sdtEndPr>
          <w:rPr>
            <w:color w:val="auto"/>
          </w:rPr>
        </w:sdtEndPr>
        <w:sdtContent>
          <w:bookmarkStart w:id="2" w:name="bkReivew3161832"/>
          <w:r>
            <w:rPr>
              <w:rFonts w:hint="eastAsia" w:ascii="方正楷体_GBK" w:hAnsi="方正楷体_GBK" w:eastAsia="方正楷体_GBK" w:cs="方正楷体_GBK"/>
              <w:bCs/>
              <w:snapToGrid w:val="0"/>
              <w:color w:val="auto"/>
              <w:spacing w:val="0"/>
              <w:kern w:val="0"/>
              <w:szCs w:val="32"/>
            </w:rPr>
            <w:t>6月3</w:t>
          </w:r>
          <w:r>
            <w:rPr>
              <w:rFonts w:hint="eastAsia" w:ascii="方正楷体_GBK" w:hAnsi="方正楷体_GBK" w:eastAsia="方正楷体_GBK" w:cs="方正楷体_GBK"/>
              <w:bCs/>
              <w:snapToGrid w:val="0"/>
              <w:color w:val="auto"/>
              <w:spacing w:val="0"/>
              <w:kern w:val="0"/>
              <w:szCs w:val="32"/>
              <w:lang w:val="en-US" w:eastAsia="zh-CN"/>
            </w:rPr>
            <w:t>0</w:t>
          </w:r>
          <w:r>
            <w:rPr>
              <w:rFonts w:hint="eastAsia" w:ascii="方正楷体_GBK" w:hAnsi="方正楷体_GBK" w:eastAsia="方正楷体_GBK" w:cs="方正楷体_GBK"/>
              <w:bCs/>
              <w:snapToGrid w:val="0"/>
              <w:color w:val="auto"/>
              <w:spacing w:val="0"/>
              <w:kern w:val="0"/>
              <w:szCs w:val="32"/>
            </w:rPr>
            <w:t>日</w:t>
          </w:r>
          <w:bookmarkEnd w:id="2"/>
        </w:sdtContent>
      </w:sdt>
      <w:r>
        <w:rPr>
          <w:rFonts w:hint="eastAsia" w:ascii="方正楷体_GBK" w:hAnsi="方正楷体_GBK" w:eastAsia="方正楷体_GBK" w:cs="方正楷体_GBK"/>
          <w:bCs/>
          <w:snapToGrid w:val="0"/>
          <w:color w:val="auto"/>
          <w:spacing w:val="0"/>
          <w:kern w:val="0"/>
          <w:szCs w:val="32"/>
        </w:rPr>
        <w:t>）</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2" w:firstLineChars="200"/>
        <w:textAlignment w:val="auto"/>
        <w:rPr>
          <w:rFonts w:hint="default" w:ascii="方正仿宋_GBK" w:hAnsi="方正仿宋_GBK" w:eastAsia="方正仿宋_GBK" w:cs="方正仿宋_GBK"/>
          <w:snapToGrid w:val="0"/>
          <w:color w:val="auto"/>
          <w:spacing w:val="0"/>
          <w:kern w:val="0"/>
          <w:szCs w:val="32"/>
          <w:lang w:val="en-US" w:eastAsia="zh-CN"/>
        </w:rPr>
      </w:pPr>
      <w:r>
        <w:rPr>
          <w:rFonts w:hint="eastAsia" w:ascii="方正仿宋_GBK" w:hAnsi="方正仿宋_GBK" w:eastAsia="方正仿宋_GBK" w:cs="方正仿宋_GBK"/>
          <w:b/>
          <w:bCs/>
          <w:snapToGrid w:val="0"/>
          <w:color w:val="auto"/>
          <w:spacing w:val="0"/>
          <w:kern w:val="0"/>
          <w:szCs w:val="32"/>
          <w:lang w:val="en-US" w:eastAsia="zh-CN"/>
        </w:rPr>
        <w:t>1.</w:t>
      </w:r>
      <w:r>
        <w:rPr>
          <w:rFonts w:hint="eastAsia" w:ascii="方正仿宋_GBK" w:hAnsi="方正仿宋_GBK" w:eastAsia="方正仿宋_GBK" w:cs="方正仿宋_GBK"/>
          <w:b/>
          <w:bCs/>
          <w:snapToGrid w:val="0"/>
          <w:color w:val="auto"/>
          <w:spacing w:val="0"/>
          <w:kern w:val="0"/>
          <w:szCs w:val="32"/>
        </w:rPr>
        <w:t>企业自查（2月28日前）。</w:t>
      </w:r>
      <w:r>
        <w:rPr>
          <w:rFonts w:hint="eastAsia" w:ascii="方正仿宋_GBK" w:hAnsi="方正仿宋_GBK" w:eastAsia="方正仿宋_GBK" w:cs="方正仿宋_GBK"/>
          <w:snapToGrid w:val="0"/>
          <w:color w:val="auto"/>
          <w:spacing w:val="0"/>
          <w:kern w:val="0"/>
          <w:szCs w:val="32"/>
          <w:lang w:val="en-US" w:eastAsia="zh-CN"/>
        </w:rPr>
        <w:t>辖区各涉及</w:t>
      </w:r>
      <w:r>
        <w:rPr>
          <w:rFonts w:hint="eastAsia" w:ascii="方正仿宋_GBK" w:hAnsi="方正仿宋_GBK" w:eastAsia="方正仿宋_GBK" w:cs="方正仿宋_GBK"/>
          <w:snapToGrid w:val="0"/>
          <w:color w:val="auto"/>
          <w:spacing w:val="0"/>
          <w:kern w:val="0"/>
          <w:szCs w:val="32"/>
        </w:rPr>
        <w:t>厂房库房</w:t>
      </w:r>
      <w:r>
        <w:rPr>
          <w:rFonts w:hint="eastAsia" w:ascii="方正仿宋_GBK" w:hAnsi="方正仿宋_GBK" w:eastAsia="方正仿宋_GBK" w:cs="方正仿宋_GBK"/>
          <w:snapToGrid w:val="0"/>
          <w:color w:val="auto"/>
          <w:spacing w:val="0"/>
          <w:kern w:val="0"/>
          <w:szCs w:val="32"/>
          <w:lang w:val="en-US" w:eastAsia="zh-CN"/>
        </w:rPr>
        <w:t>的企业</w:t>
      </w:r>
      <w:r>
        <w:rPr>
          <w:rFonts w:hint="eastAsia" w:ascii="方正仿宋_GBK" w:hAnsi="方正仿宋_GBK" w:eastAsia="方正仿宋_GBK" w:cs="方正仿宋_GBK"/>
          <w:snapToGrid w:val="0"/>
          <w:color w:val="auto"/>
          <w:spacing w:val="0"/>
          <w:kern w:val="0"/>
          <w:szCs w:val="32"/>
        </w:rPr>
        <w:t>组织开展消防安全自查，将发现的隐患（含前期遗留隐患）及整改措施报</w:t>
      </w:r>
      <w:r>
        <w:rPr>
          <w:rFonts w:hint="eastAsia" w:ascii="方正仿宋_GBK" w:hAnsi="方正仿宋_GBK" w:eastAsia="方正仿宋_GBK" w:cs="方正仿宋_GBK"/>
          <w:snapToGrid w:val="0"/>
          <w:color w:val="auto"/>
          <w:spacing w:val="0"/>
          <w:kern w:val="0"/>
          <w:szCs w:val="32"/>
          <w:lang w:val="en-US" w:eastAsia="zh-CN"/>
        </w:rPr>
        <w:t>送至镇应急办。</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2" w:firstLineChars="200"/>
        <w:textAlignment w:val="auto"/>
        <w:rPr>
          <w:rFonts w:hint="eastAsia" w:ascii="方正仿宋_GBK" w:hAnsi="方正仿宋_GBK" w:eastAsia="方正仿宋_GBK" w:cs="方正仿宋_GBK"/>
          <w:snapToGrid w:val="0"/>
          <w:color w:val="auto"/>
          <w:spacing w:val="0"/>
          <w:kern w:val="0"/>
          <w:szCs w:val="32"/>
        </w:rPr>
      </w:pPr>
      <w:r>
        <w:rPr>
          <w:rFonts w:hint="eastAsia" w:ascii="方正仿宋_GBK" w:hAnsi="方正仿宋_GBK" w:eastAsia="方正仿宋_GBK" w:cs="方正仿宋_GBK"/>
          <w:b/>
          <w:bCs/>
          <w:snapToGrid w:val="0"/>
          <w:color w:val="auto"/>
          <w:spacing w:val="0"/>
          <w:kern w:val="0"/>
          <w:szCs w:val="32"/>
          <w:lang w:val="en-US" w:eastAsia="zh-CN"/>
        </w:rPr>
        <w:t>2.</w:t>
      </w:r>
      <w:r>
        <w:rPr>
          <w:rFonts w:hint="eastAsia" w:ascii="方正仿宋_GBK" w:hAnsi="方正仿宋_GBK" w:eastAsia="方正仿宋_GBK" w:cs="方正仿宋_GBK"/>
          <w:b/>
          <w:bCs/>
          <w:snapToGrid w:val="0"/>
          <w:color w:val="auto"/>
          <w:spacing w:val="0"/>
          <w:kern w:val="0"/>
          <w:szCs w:val="32"/>
        </w:rPr>
        <w:t>属地排查（4月30日前）。</w:t>
      </w:r>
      <w:r>
        <w:rPr>
          <w:rFonts w:hint="eastAsia" w:ascii="方正仿宋_GBK" w:hAnsi="方正仿宋_GBK" w:eastAsia="方正仿宋_GBK" w:cs="方正仿宋_GBK"/>
          <w:snapToGrid w:val="0"/>
          <w:color w:val="auto"/>
          <w:spacing w:val="0"/>
          <w:kern w:val="0"/>
          <w:szCs w:val="32"/>
          <w:lang w:val="en-US" w:eastAsia="zh-CN"/>
        </w:rPr>
        <w:t>镇应急办、综合行政执法办对</w:t>
      </w:r>
      <w:r>
        <w:rPr>
          <w:rFonts w:hint="eastAsia" w:ascii="方正仿宋_GBK" w:hAnsi="方正仿宋_GBK" w:eastAsia="方正仿宋_GBK" w:cs="方正仿宋_GBK"/>
          <w:snapToGrid w:val="0"/>
          <w:color w:val="auto"/>
          <w:spacing w:val="0"/>
          <w:kern w:val="0"/>
          <w:szCs w:val="32"/>
        </w:rPr>
        <w:t>本辖区整治对象进行拉网式排查，建立“厂房库房消防安全整治回头看工作台账”，报区消防安全委员会办公室。重点对9类突出问题进行排查，逐家企业建立隐患问题、整改措施、整改责任、督改责任“四个清单”。</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楷体_GBK" w:hAnsi="方正楷体_GBK" w:eastAsia="方正楷体_GBK" w:cs="方正楷体_GBK"/>
          <w:bCs/>
          <w:snapToGrid w:val="0"/>
          <w:color w:val="auto"/>
          <w:spacing w:val="0"/>
          <w:kern w:val="0"/>
          <w:szCs w:val="32"/>
        </w:rPr>
      </w:pPr>
      <w:r>
        <w:rPr>
          <w:rFonts w:hint="eastAsia" w:ascii="方正楷体_GBK" w:hAnsi="方正楷体_GBK" w:eastAsia="方正楷体_GBK" w:cs="方正楷体_GBK"/>
          <w:bCs/>
          <w:snapToGrid w:val="0"/>
          <w:color w:val="auto"/>
          <w:spacing w:val="0"/>
          <w:kern w:val="0"/>
          <w:szCs w:val="32"/>
        </w:rPr>
        <w:t>（三）隐患整改（2023年7月1日至10月31日）</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snapToGrid w:val="0"/>
          <w:color w:val="auto"/>
          <w:spacing w:val="0"/>
          <w:kern w:val="0"/>
          <w:szCs w:val="32"/>
        </w:rPr>
      </w:pPr>
      <w:r>
        <w:rPr>
          <w:rFonts w:hint="eastAsia" w:ascii="方正仿宋_GBK" w:hAnsi="方正仿宋_GBK" w:eastAsia="方正仿宋_GBK" w:cs="方正仿宋_GBK"/>
          <w:snapToGrid w:val="0"/>
          <w:color w:val="auto"/>
          <w:spacing w:val="0"/>
          <w:kern w:val="0"/>
          <w:szCs w:val="32"/>
        </w:rPr>
        <w:t>针对排查检查发现的问题，按照隐患</w:t>
      </w:r>
      <w:r>
        <w:rPr>
          <w:rFonts w:hint="eastAsia" w:ascii="方正仿宋_GBK" w:hAnsi="方正仿宋_GBK" w:eastAsia="方正仿宋_GBK" w:cs="方正仿宋_GBK"/>
          <w:snapToGrid w:val="0"/>
          <w:color w:val="auto"/>
          <w:spacing w:val="0"/>
          <w:kern w:val="0"/>
          <w:szCs w:val="32"/>
          <w:lang w:val="en-US" w:eastAsia="zh-CN"/>
        </w:rPr>
        <w:t>内容</w:t>
      </w:r>
      <w:r>
        <w:rPr>
          <w:rFonts w:hint="eastAsia" w:ascii="方正仿宋_GBK" w:hAnsi="方正仿宋_GBK" w:eastAsia="方正仿宋_GBK" w:cs="方正仿宋_GBK"/>
          <w:snapToGrid w:val="0"/>
          <w:color w:val="auto"/>
          <w:spacing w:val="0"/>
          <w:kern w:val="0"/>
          <w:szCs w:val="32"/>
        </w:rPr>
        <w:t>，明确整改措施，限期销号，形成闭环管理。</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楷体_GBK" w:hAnsi="方正楷体_GBK" w:eastAsia="方正楷体_GBK" w:cs="方正楷体_GBK"/>
          <w:snapToGrid w:val="0"/>
          <w:color w:val="auto"/>
          <w:spacing w:val="0"/>
          <w:kern w:val="0"/>
          <w:szCs w:val="32"/>
        </w:rPr>
      </w:pPr>
      <w:r>
        <w:rPr>
          <w:rFonts w:hint="eastAsia" w:ascii="方正楷体_GBK" w:hAnsi="方正楷体_GBK" w:eastAsia="方正楷体_GBK" w:cs="方正楷体_GBK"/>
          <w:snapToGrid w:val="0"/>
          <w:color w:val="auto"/>
          <w:spacing w:val="0"/>
          <w:kern w:val="0"/>
          <w:szCs w:val="32"/>
          <w:lang w:eastAsia="zh-CN"/>
        </w:rPr>
        <w:t>（四）</w:t>
      </w:r>
      <w:r>
        <w:rPr>
          <w:rFonts w:hint="eastAsia" w:ascii="方正楷体_GBK" w:hAnsi="方正楷体_GBK" w:eastAsia="方正楷体_GBK" w:cs="方正楷体_GBK"/>
          <w:snapToGrid w:val="0"/>
          <w:color w:val="auto"/>
          <w:spacing w:val="0"/>
          <w:kern w:val="0"/>
          <w:szCs w:val="32"/>
        </w:rPr>
        <w:t>总结提升（2023年11月1日至12月15日）</w:t>
      </w:r>
    </w:p>
    <w:p>
      <w:pPr>
        <w:keepNext w:val="0"/>
        <w:keepLines w:val="0"/>
        <w:pageBreakBefore w:val="0"/>
        <w:widowControl/>
        <w:kinsoku/>
        <w:wordWrap/>
        <w:topLinePunct w:val="0"/>
        <w:bidi w:val="0"/>
        <w:spacing w:line="594" w:lineRule="exact"/>
        <w:ind w:firstLine="630"/>
        <w:jc w:val="left"/>
        <w:rPr>
          <w:rFonts w:hint="eastAsia" w:ascii="Times New Roman" w:hAnsi="Times New Roman" w:eastAsia="方正黑体_GBK"/>
          <w:color w:val="auto"/>
          <w:sz w:val="32"/>
          <w:szCs w:val="32"/>
          <w:lang w:val="en-US" w:eastAsia="zh-CN"/>
        </w:rPr>
      </w:pPr>
      <w:r>
        <w:rPr>
          <w:rFonts w:hint="eastAsia" w:ascii="方正仿宋_GBK" w:eastAsia="方正仿宋_GBK"/>
          <w:color w:val="auto"/>
          <w:sz w:val="32"/>
          <w:szCs w:val="32"/>
        </w:rPr>
        <w:t>对</w:t>
      </w:r>
      <w:r>
        <w:rPr>
          <w:rFonts w:hint="eastAsia" w:ascii="方正仿宋_GBK" w:eastAsia="方正仿宋_GBK"/>
          <w:color w:val="auto"/>
          <w:sz w:val="32"/>
          <w:szCs w:val="32"/>
          <w:lang w:val="en-US" w:eastAsia="zh-CN"/>
        </w:rPr>
        <w:t>辖区工业</w:t>
      </w:r>
      <w:r>
        <w:rPr>
          <w:rFonts w:hint="eastAsia" w:ascii="方正仿宋_GBK" w:eastAsia="方正仿宋_GBK"/>
          <w:color w:val="auto"/>
          <w:sz w:val="32"/>
          <w:szCs w:val="32"/>
        </w:rPr>
        <w:t>厂房库房整治情况进行全面梳理、研判分析，开展自查自评，查找不足，总结经验，巩固成效，建立长效</w:t>
      </w:r>
      <w:r>
        <w:rPr>
          <w:rFonts w:hint="eastAsia" w:ascii="方正仿宋_GBK" w:eastAsia="方正仿宋_GBK"/>
          <w:color w:val="auto"/>
          <w:sz w:val="32"/>
          <w:szCs w:val="32"/>
          <w:lang w:val="en-US" w:eastAsia="zh-CN"/>
        </w:rPr>
        <w:t>管理</w:t>
      </w:r>
      <w:r>
        <w:rPr>
          <w:rFonts w:hint="eastAsia" w:ascii="方正仿宋_GBK" w:eastAsia="方正仿宋_GBK"/>
          <w:color w:val="auto"/>
          <w:sz w:val="32"/>
          <w:szCs w:val="32"/>
        </w:rPr>
        <w:t>机制，</w:t>
      </w:r>
      <w:r>
        <w:rPr>
          <w:rFonts w:hint="eastAsia" w:ascii="方正仿宋_GBK" w:eastAsia="方正仿宋_GBK"/>
          <w:color w:val="auto"/>
          <w:sz w:val="32"/>
          <w:szCs w:val="32"/>
          <w:lang w:val="en-US" w:eastAsia="zh-CN"/>
        </w:rPr>
        <w:t>坚决防止隐患</w:t>
      </w:r>
      <w:r>
        <w:rPr>
          <w:rFonts w:hint="eastAsia" w:ascii="方正仿宋_GBK" w:eastAsia="方正仿宋_GBK"/>
          <w:color w:val="auto"/>
          <w:sz w:val="32"/>
          <w:szCs w:val="32"/>
        </w:rPr>
        <w:t>问题反弹。</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黑体_GBK" w:hAnsi="方正黑体_GBK" w:eastAsia="方正黑体_GBK" w:cs="方正黑体_GBK"/>
          <w:snapToGrid w:val="0"/>
          <w:color w:val="auto"/>
          <w:spacing w:val="0"/>
          <w:kern w:val="0"/>
          <w:szCs w:val="32"/>
        </w:rPr>
      </w:pPr>
      <w:r>
        <w:rPr>
          <w:rFonts w:hint="eastAsia" w:ascii="方正黑体_GBK" w:hAnsi="方正黑体_GBK" w:eastAsia="方正黑体_GBK" w:cs="方正黑体_GBK"/>
          <w:snapToGrid w:val="0"/>
          <w:color w:val="auto"/>
          <w:spacing w:val="0"/>
          <w:kern w:val="0"/>
          <w:szCs w:val="32"/>
          <w:lang w:val="en-US" w:eastAsia="zh-CN"/>
        </w:rPr>
        <w:t>八</w:t>
      </w:r>
      <w:r>
        <w:rPr>
          <w:rFonts w:hint="eastAsia" w:ascii="方正黑体_GBK" w:hAnsi="方正黑体_GBK" w:eastAsia="方正黑体_GBK" w:cs="方正黑体_GBK"/>
          <w:snapToGrid w:val="0"/>
          <w:color w:val="auto"/>
          <w:spacing w:val="0"/>
          <w:kern w:val="0"/>
          <w:szCs w:val="32"/>
        </w:rPr>
        <w:t>、工作要求</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snapToGrid w:val="0"/>
          <w:color w:val="auto"/>
          <w:spacing w:val="0"/>
          <w:kern w:val="0"/>
          <w:szCs w:val="32"/>
        </w:rPr>
      </w:pPr>
      <w:r>
        <w:rPr>
          <w:rFonts w:hint="eastAsia" w:ascii="方正楷体_GBK" w:hAnsi="方正楷体_GBK" w:eastAsia="方正楷体_GBK" w:cs="方正楷体_GBK"/>
          <w:snapToGrid w:val="0"/>
          <w:color w:val="auto"/>
          <w:spacing w:val="0"/>
          <w:kern w:val="0"/>
          <w:szCs w:val="32"/>
        </w:rPr>
        <w:t>（一）提高认识，加强领导。</w:t>
      </w:r>
      <w:r>
        <w:rPr>
          <w:rFonts w:hint="eastAsia" w:ascii="方正仿宋_GBK" w:hAnsi="方正仿宋_GBK" w:eastAsia="方正仿宋_GBK" w:cs="方正仿宋_GBK"/>
          <w:snapToGrid w:val="0"/>
          <w:color w:val="auto"/>
          <w:spacing w:val="0"/>
          <w:kern w:val="0"/>
          <w:szCs w:val="32"/>
          <w:lang w:val="en-US" w:eastAsia="zh-CN"/>
        </w:rPr>
        <w:t>镇消安委成员单位</w:t>
      </w:r>
      <w:r>
        <w:rPr>
          <w:rFonts w:hint="eastAsia" w:ascii="方正仿宋_GBK" w:hAnsi="方正仿宋_GBK" w:eastAsia="方正仿宋_GBK" w:cs="方正仿宋_GBK"/>
          <w:snapToGrid w:val="0"/>
          <w:color w:val="auto"/>
          <w:spacing w:val="0"/>
          <w:kern w:val="0"/>
          <w:szCs w:val="32"/>
        </w:rPr>
        <w:t>要充分认识开展“回头看”活动的重要性和必要性，切实加强组织领导，结合本地实际，组织制定工作计划，明确整治内容和任务分工，</w:t>
      </w:r>
      <w:sdt>
        <w:sdtPr>
          <w:rPr>
            <w:color w:val="auto"/>
          </w:rPr>
          <w:alias w:val="易错词检查"/>
          <w:id w:val="1063314"/>
        </w:sdtPr>
        <w:sdtEndPr>
          <w:rPr>
            <w:color w:val="auto"/>
          </w:rPr>
        </w:sdtEndPr>
        <w:sdtContent>
          <w:bookmarkStart w:id="3" w:name="bkReivew1063314"/>
          <w:r>
            <w:rPr>
              <w:rFonts w:hint="eastAsia" w:ascii="方正仿宋_GBK" w:hAnsi="方正仿宋_GBK" w:eastAsia="方正仿宋_GBK" w:cs="方正仿宋_GBK"/>
              <w:snapToGrid w:val="0"/>
              <w:color w:val="auto"/>
              <w:spacing w:val="0"/>
              <w:kern w:val="0"/>
              <w:szCs w:val="32"/>
            </w:rPr>
            <w:t>落实整治责任</w:t>
          </w:r>
          <w:bookmarkEnd w:id="3"/>
        </w:sdtContent>
      </w:sdt>
      <w:r>
        <w:rPr>
          <w:rFonts w:hint="eastAsia" w:ascii="方正仿宋_GBK" w:hAnsi="方正仿宋_GBK" w:eastAsia="方正仿宋_GBK" w:cs="方正仿宋_GBK"/>
          <w:snapToGrid w:val="0"/>
          <w:color w:val="auto"/>
          <w:spacing w:val="0"/>
          <w:kern w:val="0"/>
          <w:szCs w:val="32"/>
        </w:rPr>
        <w:t>，确保工作取得实效。</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snapToGrid w:val="0"/>
          <w:color w:val="auto"/>
          <w:spacing w:val="0"/>
          <w:kern w:val="0"/>
          <w:szCs w:val="32"/>
        </w:rPr>
      </w:pPr>
      <w:r>
        <w:rPr>
          <w:rFonts w:hint="eastAsia" w:ascii="方正楷体_GBK" w:hAnsi="方正楷体_GBK" w:eastAsia="方正楷体_GBK" w:cs="方正楷体_GBK"/>
          <w:snapToGrid w:val="0"/>
          <w:color w:val="auto"/>
          <w:spacing w:val="0"/>
          <w:kern w:val="0"/>
          <w:szCs w:val="32"/>
        </w:rPr>
        <w:t>（二）协同共治，</w:t>
      </w:r>
      <w:sdt>
        <w:sdtPr>
          <w:rPr>
            <w:color w:val="auto"/>
          </w:rPr>
          <w:alias w:val="易错词检查"/>
          <w:id w:val="2063640"/>
        </w:sdtPr>
        <w:sdtEndPr>
          <w:rPr>
            <w:color w:val="auto"/>
          </w:rPr>
        </w:sdtEndPr>
        <w:sdtContent>
          <w:bookmarkStart w:id="4" w:name="bkReivew2063640"/>
          <w:r>
            <w:rPr>
              <w:rFonts w:hint="eastAsia" w:ascii="方正楷体_GBK" w:hAnsi="方正楷体_GBK" w:eastAsia="方正楷体_GBK" w:cs="方正楷体_GBK"/>
              <w:snapToGrid w:val="0"/>
              <w:color w:val="auto"/>
              <w:spacing w:val="0"/>
              <w:kern w:val="0"/>
              <w:szCs w:val="32"/>
            </w:rPr>
            <w:t>彻</w:t>
          </w:r>
          <w:bookmarkEnd w:id="4"/>
        </w:sdtContent>
      </w:sdt>
      <w:r>
        <w:rPr>
          <w:rFonts w:hint="eastAsia" w:ascii="方正楷体_GBK" w:hAnsi="方正楷体_GBK" w:eastAsia="方正楷体_GBK" w:cs="方正楷体_GBK"/>
          <w:snapToGrid w:val="0"/>
          <w:color w:val="auto"/>
          <w:spacing w:val="0"/>
          <w:kern w:val="0"/>
          <w:szCs w:val="32"/>
        </w:rPr>
        <w:t>改隐患。</w:t>
      </w:r>
      <w:r>
        <w:rPr>
          <w:rFonts w:hint="eastAsia" w:ascii="方正仿宋_GBK" w:hAnsi="方正仿宋_GBK" w:eastAsia="方正仿宋_GBK" w:cs="方正仿宋_GBK"/>
          <w:snapToGrid w:val="0"/>
          <w:color w:val="auto"/>
          <w:spacing w:val="0"/>
          <w:kern w:val="0"/>
          <w:szCs w:val="32"/>
          <w:lang w:val="en-US" w:eastAsia="zh-CN"/>
        </w:rPr>
        <w:t>镇消安委成员单位</w:t>
      </w:r>
      <w:r>
        <w:rPr>
          <w:rFonts w:hint="eastAsia" w:ascii="方正仿宋_GBK" w:hAnsi="方正仿宋_GBK" w:eastAsia="方正仿宋_GBK" w:cs="方正仿宋_GBK"/>
          <w:snapToGrid w:val="0"/>
          <w:color w:val="auto"/>
          <w:spacing w:val="0"/>
          <w:kern w:val="0"/>
          <w:szCs w:val="32"/>
        </w:rPr>
        <w:t>在前期专项整治基础上，按照职责分工，紧盯整治重点，加强协作配合，实施联合执法、综合治理。对前期厂房库房整治遗漏隐患和新排查发现的隐患，要倒排隐患整改期限，确保按期整改完毕。要加大执法力度，对整改隐患不力的企业依法坚决查处。</w:t>
      </w:r>
    </w:p>
    <w:p>
      <w:pPr>
        <w:keepNext w:val="0"/>
        <w:keepLines w:val="0"/>
        <w:pageBreakBefore w:val="0"/>
        <w:kinsoku/>
        <w:wordWrap/>
        <w:topLinePunct w:val="0"/>
        <w:bidi w:val="0"/>
        <w:spacing w:line="594" w:lineRule="exact"/>
        <w:ind w:firstLine="640" w:firstLineChars="200"/>
        <w:rPr>
          <w:rFonts w:hint="eastAsia" w:ascii="方正仿宋_GBK" w:hAnsi="方正仿宋_GBK" w:eastAsia="方正仿宋_GBK" w:cs="方正仿宋_GBK"/>
          <w:color w:val="auto"/>
          <w:szCs w:val="32"/>
        </w:rPr>
      </w:pPr>
      <w:r>
        <w:rPr>
          <w:rFonts w:hint="eastAsia" w:ascii="方正楷体_GBK" w:hAnsi="方正楷体_GBK" w:eastAsia="方正楷体_GBK" w:cs="方正楷体_GBK"/>
          <w:snapToGrid w:val="0"/>
          <w:color w:val="auto"/>
          <w:spacing w:val="0"/>
          <w:kern w:val="0"/>
          <w:szCs w:val="32"/>
        </w:rPr>
        <w:t>（三）落实责任，追责问效。</w:t>
      </w:r>
      <w:r>
        <w:rPr>
          <w:rFonts w:hint="eastAsia" w:ascii="方正仿宋_GBK" w:hAnsi="方正仿宋_GBK" w:eastAsia="方正仿宋_GBK" w:cs="方正仿宋_GBK"/>
          <w:snapToGrid w:val="0"/>
          <w:color w:val="auto"/>
          <w:spacing w:val="0"/>
          <w:kern w:val="0"/>
          <w:szCs w:val="32"/>
        </w:rPr>
        <w:t>严格按照“隐患排查不彻底不放过、隐患整治不到位不放过、事故责任不追究不放过”要求，全面落实各方责任。对工作开展不及时、措施不到位、整改不彻底，特别是整治期间发生厂房库房火灾事故的，要严肃追究责任，确保整治措施落实到位。</w:t>
      </w:r>
      <w:r>
        <w:rPr>
          <w:rFonts w:hint="eastAsia" w:ascii="方正仿宋_GBK" w:hAnsi="方正仿宋_GBK" w:eastAsia="方正仿宋_GBK" w:cs="方正仿宋_GBK"/>
          <w:color w:val="auto"/>
          <w:szCs w:val="32"/>
          <w:lang w:val="en-US" w:eastAsia="zh-CN"/>
        </w:rPr>
        <w:t>辖区</w:t>
      </w:r>
      <w:r>
        <w:rPr>
          <w:rFonts w:hint="eastAsia" w:ascii="方正仿宋_GBK" w:hAnsi="方正仿宋_GBK" w:eastAsia="方正仿宋_GBK" w:cs="方正仿宋_GBK"/>
          <w:color w:val="auto"/>
          <w:szCs w:val="32"/>
        </w:rPr>
        <w:t>工业厂房库房相关企业要落实企业主体责任，分级分类压实企业法人、分管负责人、安全管理人员的责任。</w:t>
      </w:r>
    </w:p>
    <w:p>
      <w:pPr>
        <w:keepNext w:val="0"/>
        <w:keepLines w:val="0"/>
        <w:pageBreakBefore w:val="0"/>
        <w:kinsoku/>
        <w:wordWrap/>
        <w:topLinePunct w:val="0"/>
        <w:bidi w:val="0"/>
        <w:spacing w:line="594" w:lineRule="exact"/>
        <w:ind w:firstLine="640" w:firstLineChars="200"/>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Cs w:val="32"/>
        </w:rPr>
        <w:t>附件：工业厂房库房消防安全检查记录表</w:t>
      </w:r>
    </w:p>
    <w:p>
      <w:pPr>
        <w:pStyle w:val="9"/>
        <w:keepNext w:val="0"/>
        <w:keepLines w:val="0"/>
        <w:pageBreakBefore w:val="0"/>
        <w:widowControl w:val="0"/>
        <w:kinsoku/>
        <w:wordWrap/>
        <w:overflowPunct/>
        <w:topLinePunct w:val="0"/>
        <w:bidi w:val="0"/>
        <w:spacing w:before="0" w:beforeAutospacing="0" w:after="0" w:afterAutospacing="0" w:line="594" w:lineRule="exact"/>
        <w:jc w:val="both"/>
        <w:textAlignment w:val="auto"/>
        <w:rPr>
          <w:rFonts w:hint="default" w:ascii="Times New Roman" w:hAnsi="Times New Roman" w:eastAsia="方正黑体_GBK" w:cs="Times New Roman"/>
          <w:color w:val="auto"/>
          <w:sz w:val="32"/>
          <w:szCs w:val="32"/>
        </w:rPr>
      </w:pPr>
    </w:p>
    <w:p>
      <w:pPr>
        <w:pStyle w:val="9"/>
        <w:keepNext w:val="0"/>
        <w:keepLines w:val="0"/>
        <w:pageBreakBefore w:val="0"/>
        <w:widowControl w:val="0"/>
        <w:kinsoku/>
        <w:wordWrap/>
        <w:overflowPunct/>
        <w:topLinePunct w:val="0"/>
        <w:bidi w:val="0"/>
        <w:spacing w:before="0" w:beforeAutospacing="0" w:after="0" w:afterAutospacing="0" w:line="594" w:lineRule="exact"/>
        <w:jc w:val="both"/>
        <w:textAlignment w:val="auto"/>
        <w:rPr>
          <w:rFonts w:hint="default" w:ascii="Times New Roman" w:hAnsi="Times New Roman" w:eastAsia="方正黑体_GBK" w:cs="Times New Roman"/>
          <w:color w:val="auto"/>
          <w:sz w:val="32"/>
          <w:szCs w:val="32"/>
        </w:rPr>
      </w:pPr>
    </w:p>
    <w:p>
      <w:pPr>
        <w:pStyle w:val="9"/>
        <w:keepNext w:val="0"/>
        <w:keepLines w:val="0"/>
        <w:pageBreakBefore w:val="0"/>
        <w:widowControl w:val="0"/>
        <w:kinsoku/>
        <w:wordWrap/>
        <w:overflowPunct/>
        <w:topLinePunct w:val="0"/>
        <w:bidi w:val="0"/>
        <w:spacing w:before="0" w:beforeAutospacing="0" w:after="0" w:afterAutospacing="0" w:line="594" w:lineRule="exact"/>
        <w:jc w:val="both"/>
        <w:textAlignment w:val="auto"/>
        <w:rPr>
          <w:rFonts w:hint="default" w:ascii="Times New Roman" w:hAnsi="Times New Roman" w:eastAsia="方正黑体_GBK" w:cs="Times New Roman"/>
          <w:color w:val="auto"/>
          <w:sz w:val="32"/>
          <w:szCs w:val="32"/>
        </w:rPr>
      </w:pPr>
    </w:p>
    <w:p>
      <w:pPr>
        <w:pStyle w:val="9"/>
        <w:keepNext w:val="0"/>
        <w:keepLines w:val="0"/>
        <w:pageBreakBefore w:val="0"/>
        <w:widowControl w:val="0"/>
        <w:kinsoku/>
        <w:wordWrap/>
        <w:overflowPunct/>
        <w:topLinePunct w:val="0"/>
        <w:bidi w:val="0"/>
        <w:spacing w:before="0" w:beforeAutospacing="0" w:after="0" w:afterAutospacing="0" w:line="594" w:lineRule="exact"/>
        <w:jc w:val="both"/>
        <w:textAlignment w:val="auto"/>
        <w:rPr>
          <w:rFonts w:hint="default" w:ascii="Times New Roman" w:hAnsi="Times New Roman" w:eastAsia="方正黑体_GBK" w:cs="Times New Roman"/>
          <w:color w:val="auto"/>
          <w:sz w:val="32"/>
          <w:szCs w:val="32"/>
        </w:rPr>
      </w:pPr>
    </w:p>
    <w:p>
      <w:pPr>
        <w:pStyle w:val="9"/>
        <w:keepNext w:val="0"/>
        <w:keepLines w:val="0"/>
        <w:pageBreakBefore w:val="0"/>
        <w:widowControl w:val="0"/>
        <w:kinsoku/>
        <w:wordWrap/>
        <w:overflowPunct/>
        <w:topLinePunct w:val="0"/>
        <w:bidi w:val="0"/>
        <w:spacing w:before="0" w:beforeAutospacing="0" w:after="0" w:afterAutospacing="0" w:line="594" w:lineRule="exact"/>
        <w:jc w:val="both"/>
        <w:textAlignment w:val="auto"/>
        <w:rPr>
          <w:rFonts w:hint="default" w:ascii="Times New Roman" w:hAnsi="Times New Roman" w:eastAsia="方正黑体_GBK" w:cs="Times New Roman"/>
          <w:color w:val="auto"/>
          <w:sz w:val="32"/>
          <w:szCs w:val="32"/>
        </w:rPr>
      </w:pPr>
    </w:p>
    <w:p>
      <w:pPr>
        <w:pStyle w:val="9"/>
        <w:keepNext w:val="0"/>
        <w:keepLines w:val="0"/>
        <w:pageBreakBefore w:val="0"/>
        <w:widowControl w:val="0"/>
        <w:kinsoku/>
        <w:wordWrap/>
        <w:overflowPunct/>
        <w:topLinePunct w:val="0"/>
        <w:bidi w:val="0"/>
        <w:spacing w:before="0" w:beforeAutospacing="0" w:after="0" w:afterAutospacing="0" w:line="594" w:lineRule="exact"/>
        <w:jc w:val="both"/>
        <w:textAlignment w:val="auto"/>
        <w:rPr>
          <w:rFonts w:hint="default" w:ascii="Times New Roman" w:hAnsi="Times New Roman" w:eastAsia="方正黑体_GBK" w:cs="Times New Roman"/>
          <w:color w:val="auto"/>
          <w:sz w:val="32"/>
          <w:szCs w:val="32"/>
        </w:rPr>
      </w:pPr>
    </w:p>
    <w:p>
      <w:pPr>
        <w:pStyle w:val="9"/>
        <w:keepNext w:val="0"/>
        <w:keepLines w:val="0"/>
        <w:pageBreakBefore w:val="0"/>
        <w:widowControl w:val="0"/>
        <w:kinsoku/>
        <w:wordWrap/>
        <w:overflowPunct/>
        <w:topLinePunct w:val="0"/>
        <w:bidi w:val="0"/>
        <w:spacing w:before="0" w:beforeAutospacing="0" w:after="0" w:afterAutospacing="0" w:line="594" w:lineRule="exact"/>
        <w:jc w:val="both"/>
        <w:textAlignment w:val="auto"/>
        <w:rPr>
          <w:rFonts w:hint="default" w:ascii="Times New Roman" w:hAnsi="Times New Roman" w:eastAsia="方正黑体_GBK" w:cs="Times New Roman"/>
          <w:color w:val="auto"/>
          <w:sz w:val="32"/>
          <w:szCs w:val="32"/>
        </w:rPr>
      </w:pPr>
    </w:p>
    <w:p>
      <w:pPr>
        <w:pStyle w:val="9"/>
        <w:keepNext w:val="0"/>
        <w:keepLines w:val="0"/>
        <w:pageBreakBefore w:val="0"/>
        <w:widowControl w:val="0"/>
        <w:kinsoku/>
        <w:wordWrap/>
        <w:overflowPunct/>
        <w:topLinePunct w:val="0"/>
        <w:bidi w:val="0"/>
        <w:spacing w:before="0" w:beforeAutospacing="0" w:after="0" w:afterAutospacing="0" w:line="594" w:lineRule="exact"/>
        <w:jc w:val="both"/>
        <w:textAlignment w:val="auto"/>
        <w:rPr>
          <w:rFonts w:hint="default" w:ascii="Times New Roman" w:hAnsi="Times New Roman" w:eastAsia="方正黑体_GBK" w:cs="Times New Roman"/>
          <w:color w:val="auto"/>
          <w:sz w:val="32"/>
          <w:szCs w:val="32"/>
        </w:rPr>
      </w:pPr>
    </w:p>
    <w:p>
      <w:pPr>
        <w:pStyle w:val="9"/>
        <w:keepNext w:val="0"/>
        <w:keepLines w:val="0"/>
        <w:pageBreakBefore w:val="0"/>
        <w:widowControl w:val="0"/>
        <w:kinsoku/>
        <w:wordWrap/>
        <w:overflowPunct/>
        <w:topLinePunct w:val="0"/>
        <w:bidi w:val="0"/>
        <w:spacing w:before="0" w:beforeAutospacing="0" w:after="0" w:afterAutospacing="0" w:line="594" w:lineRule="exact"/>
        <w:jc w:val="both"/>
        <w:textAlignment w:val="auto"/>
        <w:rPr>
          <w:rFonts w:hint="default" w:ascii="Times New Roman" w:hAnsi="Times New Roman" w:eastAsia="方正黑体_GBK" w:cs="Times New Roman"/>
          <w:color w:val="auto"/>
          <w:sz w:val="32"/>
          <w:szCs w:val="32"/>
        </w:rPr>
      </w:pPr>
    </w:p>
    <w:p>
      <w:pPr>
        <w:pStyle w:val="9"/>
        <w:keepNext w:val="0"/>
        <w:keepLines w:val="0"/>
        <w:pageBreakBefore w:val="0"/>
        <w:widowControl w:val="0"/>
        <w:kinsoku/>
        <w:wordWrap/>
        <w:overflowPunct/>
        <w:topLinePunct w:val="0"/>
        <w:bidi w:val="0"/>
        <w:spacing w:before="0" w:beforeAutospacing="0" w:after="0" w:afterAutospacing="0" w:line="594" w:lineRule="exact"/>
        <w:jc w:val="both"/>
        <w:textAlignment w:val="auto"/>
        <w:rPr>
          <w:rFonts w:hint="default" w:ascii="Times New Roman" w:hAnsi="Times New Roman" w:eastAsia="方正黑体_GBK" w:cs="Times New Roman"/>
          <w:color w:val="auto"/>
          <w:sz w:val="32"/>
          <w:szCs w:val="32"/>
        </w:rPr>
      </w:pPr>
    </w:p>
    <w:p>
      <w:pPr>
        <w:pStyle w:val="9"/>
        <w:keepNext w:val="0"/>
        <w:keepLines w:val="0"/>
        <w:pageBreakBefore w:val="0"/>
        <w:widowControl w:val="0"/>
        <w:kinsoku/>
        <w:wordWrap/>
        <w:overflowPunct/>
        <w:topLinePunct w:val="0"/>
        <w:bidi w:val="0"/>
        <w:spacing w:before="0" w:beforeAutospacing="0" w:after="0" w:afterAutospacing="0" w:line="594" w:lineRule="exact"/>
        <w:jc w:val="both"/>
        <w:textAlignment w:val="auto"/>
        <w:rPr>
          <w:rFonts w:hint="eastAsia" w:ascii="Times New Roman" w:hAnsi="Times New Roman" w:eastAsia="方正黑体_GBK" w:cs="Times New Roman"/>
          <w:color w:val="auto"/>
          <w:sz w:val="32"/>
          <w:szCs w:val="32"/>
          <w:lang w:val="en-US" w:eastAsia="zh-CN"/>
        </w:rPr>
      </w:pPr>
    </w:p>
    <w:p>
      <w:pPr>
        <w:pStyle w:val="9"/>
        <w:keepNext w:val="0"/>
        <w:keepLines w:val="0"/>
        <w:pageBreakBefore w:val="0"/>
        <w:widowControl w:val="0"/>
        <w:kinsoku/>
        <w:wordWrap/>
        <w:overflowPunct/>
        <w:topLinePunct w:val="0"/>
        <w:bidi w:val="0"/>
        <w:spacing w:before="0" w:beforeAutospacing="0" w:after="0" w:afterAutospacing="0" w:line="594" w:lineRule="exact"/>
        <w:jc w:val="both"/>
        <w:textAlignment w:val="auto"/>
        <w:rPr>
          <w:rFonts w:hint="eastAsia" w:ascii="Times New Roman" w:hAnsi="Times New Roman" w:eastAsia="方正黑体_GBK" w:cs="Times New Roman"/>
          <w:color w:val="auto"/>
          <w:sz w:val="32"/>
          <w:szCs w:val="32"/>
          <w:lang w:val="en-US" w:eastAsia="zh-CN"/>
        </w:rPr>
      </w:pPr>
    </w:p>
    <w:tbl>
      <w:tblPr>
        <w:tblStyle w:val="10"/>
        <w:tblW w:w="0" w:type="auto"/>
        <w:jc w:val="center"/>
        <w:tblLayout w:type="fixed"/>
        <w:tblCellMar>
          <w:top w:w="0" w:type="dxa"/>
          <w:left w:w="108" w:type="dxa"/>
          <w:bottom w:w="0" w:type="dxa"/>
          <w:right w:w="108" w:type="dxa"/>
        </w:tblCellMar>
      </w:tblPr>
      <w:tblGrid>
        <w:gridCol w:w="1957"/>
        <w:gridCol w:w="1246"/>
        <w:gridCol w:w="2427"/>
        <w:gridCol w:w="3308"/>
      </w:tblGrid>
      <w:tr>
        <w:tblPrEx>
          <w:tblCellMar>
            <w:top w:w="0" w:type="dxa"/>
            <w:left w:w="108" w:type="dxa"/>
            <w:bottom w:w="0" w:type="dxa"/>
            <w:right w:w="108" w:type="dxa"/>
          </w:tblCellMar>
        </w:tblPrEx>
        <w:trPr>
          <w:trHeight w:val="763" w:hRule="atLeast"/>
          <w:jc w:val="center"/>
        </w:trPr>
        <w:tc>
          <w:tcPr>
            <w:tcW w:w="8938" w:type="dxa"/>
            <w:gridSpan w:val="4"/>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黑体_GBK" w:hAnsi="方正黑体_GBK" w:eastAsia="方正黑体_GBK" w:cs="方正黑体_GBK"/>
                <w:color w:val="auto"/>
                <w:kern w:val="0"/>
                <w:szCs w:val="32"/>
              </w:rPr>
            </w:pPr>
            <w:r>
              <w:rPr>
                <w:rFonts w:hint="eastAsia" w:ascii="方正黑体_GBK" w:hAnsi="方正黑体_GBK" w:eastAsia="方正黑体_GBK" w:cs="方正黑体_GBK"/>
                <w:color w:val="auto"/>
                <w:kern w:val="0"/>
                <w:szCs w:val="32"/>
              </w:rPr>
              <w:t>附件</w:t>
            </w:r>
          </w:p>
          <w:p>
            <w:pPr>
              <w:adjustRightInd w:val="0"/>
              <w:snapToGrid w:val="0"/>
              <w:spacing w:line="0" w:lineRule="atLeast"/>
              <w:ind w:firstLine="583"/>
              <w:jc w:val="left"/>
              <w:textAlignment w:val="center"/>
              <w:rPr>
                <w:rFonts w:ascii="Times New Roman" w:eastAsia="方正黑体_GBK"/>
                <w:color w:val="auto"/>
                <w:kern w:val="0"/>
                <w:sz w:val="24"/>
              </w:rPr>
            </w:pPr>
          </w:p>
        </w:tc>
      </w:tr>
      <w:tr>
        <w:tblPrEx>
          <w:tblCellMar>
            <w:top w:w="0" w:type="dxa"/>
            <w:left w:w="108" w:type="dxa"/>
            <w:bottom w:w="0" w:type="dxa"/>
            <w:right w:w="108" w:type="dxa"/>
          </w:tblCellMar>
        </w:tblPrEx>
        <w:trPr>
          <w:jc w:val="center"/>
        </w:trPr>
        <w:tc>
          <w:tcPr>
            <w:tcW w:w="8938" w:type="dxa"/>
            <w:gridSpan w:val="4"/>
            <w:tcBorders>
              <w:top w:val="nil"/>
              <w:left w:val="nil"/>
              <w:bottom w:val="single" w:color="auto" w:sz="4" w:space="0"/>
              <w:right w:val="nil"/>
            </w:tcBorders>
            <w:tcMar>
              <w:top w:w="15" w:type="dxa"/>
              <w:left w:w="15" w:type="dxa"/>
              <w:bottom w:w="15" w:type="dxa"/>
              <w:right w:w="15" w:type="dxa"/>
            </w:tcMar>
            <w:vAlign w:val="center"/>
          </w:tcPr>
          <w:p>
            <w:pPr>
              <w:adjustRightInd w:val="0"/>
              <w:snapToGrid w:val="0"/>
              <w:spacing w:line="0" w:lineRule="atLeast"/>
              <w:jc w:val="center"/>
              <w:textAlignment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kern w:val="0"/>
                <w:sz w:val="44"/>
                <w:szCs w:val="44"/>
              </w:rPr>
              <w:t>工业厂房库房消防安全检查记录表</w:t>
            </w:r>
          </w:p>
        </w:tc>
      </w:tr>
      <w:tr>
        <w:tblPrEx>
          <w:tblCellMar>
            <w:top w:w="0" w:type="dxa"/>
            <w:left w:w="108" w:type="dxa"/>
            <w:bottom w:w="0" w:type="dxa"/>
            <w:right w:w="108" w:type="dxa"/>
          </w:tblCellMar>
        </w:tblPrEx>
        <w:trPr>
          <w:jc w:val="center"/>
        </w:trPr>
        <w:tc>
          <w:tcPr>
            <w:tcW w:w="1957"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企业名称</w:t>
            </w:r>
          </w:p>
        </w:tc>
        <w:tc>
          <w:tcPr>
            <w:tcW w:w="1246"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rPr>
                <w:rFonts w:hint="eastAsia" w:ascii="方正仿宋_GBK" w:hAnsi="方正仿宋_GBK" w:eastAsia="方正仿宋_GBK" w:cs="方正仿宋_GBK"/>
                <w:color w:val="auto"/>
                <w:sz w:val="18"/>
                <w:szCs w:val="18"/>
              </w:rPr>
            </w:pPr>
          </w:p>
        </w:tc>
        <w:tc>
          <w:tcPr>
            <w:tcW w:w="2427"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统一</w:t>
            </w:r>
            <w:r>
              <w:rPr>
                <w:rFonts w:hint="eastAsia" w:ascii="方正仿宋_GBK" w:hAnsi="方正仿宋_GBK" w:eastAsia="方正仿宋_GBK" w:cs="方正仿宋_GBK"/>
                <w:color w:val="auto"/>
                <w:kern w:val="0"/>
                <w:sz w:val="18"/>
                <w:szCs w:val="18"/>
                <w:lang w:eastAsia="zh-CN"/>
              </w:rPr>
              <w:t>社会</w:t>
            </w:r>
            <w:r>
              <w:rPr>
                <w:rFonts w:hint="eastAsia" w:ascii="方正仿宋_GBK" w:hAnsi="方正仿宋_GBK" w:eastAsia="方正仿宋_GBK" w:cs="方正仿宋_GBK"/>
                <w:color w:val="auto"/>
                <w:kern w:val="0"/>
                <w:sz w:val="18"/>
                <w:szCs w:val="18"/>
              </w:rPr>
              <w:t>信用代码</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（18位）</w:t>
            </w:r>
          </w:p>
        </w:tc>
        <w:tc>
          <w:tcPr>
            <w:tcW w:w="3308"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软件实现营业执照二维码扫描带出企业全称及统一</w:t>
            </w:r>
            <w:r>
              <w:rPr>
                <w:rFonts w:hint="eastAsia" w:ascii="方正仿宋_GBK" w:hAnsi="方正仿宋_GBK" w:eastAsia="方正仿宋_GBK" w:cs="方正仿宋_GBK"/>
                <w:color w:val="auto"/>
                <w:kern w:val="0"/>
                <w:sz w:val="18"/>
                <w:szCs w:val="18"/>
                <w:lang w:eastAsia="zh-CN"/>
              </w:rPr>
              <w:t>社会</w:t>
            </w:r>
            <w:r>
              <w:rPr>
                <w:rFonts w:hint="eastAsia" w:ascii="方正仿宋_GBK" w:hAnsi="方正仿宋_GBK" w:eastAsia="方正仿宋_GBK" w:cs="方正仿宋_GBK"/>
                <w:color w:val="auto"/>
                <w:kern w:val="0"/>
                <w:sz w:val="18"/>
                <w:szCs w:val="18"/>
              </w:rPr>
              <w:t>信用代码</w:t>
            </w:r>
          </w:p>
        </w:tc>
      </w:tr>
      <w:tr>
        <w:tblPrEx>
          <w:tblCellMar>
            <w:top w:w="0" w:type="dxa"/>
            <w:left w:w="108" w:type="dxa"/>
            <w:bottom w:w="0" w:type="dxa"/>
            <w:right w:w="108" w:type="dxa"/>
          </w:tblCellMar>
        </w:tblPrEx>
        <w:trPr>
          <w:jc w:val="center"/>
        </w:trPr>
        <w:tc>
          <w:tcPr>
            <w:tcW w:w="19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地址</w:t>
            </w: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rPr>
                <w:rFonts w:hint="eastAsia" w:ascii="方正仿宋_GBK" w:hAnsi="方正仿宋_GBK" w:eastAsia="方正仿宋_GBK" w:cs="方正仿宋_GBK"/>
                <w:color w:val="auto"/>
                <w:sz w:val="18"/>
                <w:szCs w:val="18"/>
              </w:rPr>
            </w:pPr>
          </w:p>
        </w:tc>
        <w:tc>
          <w:tcPr>
            <w:tcW w:w="24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是否规上（年营业额2000万以上）</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是/否</w:t>
            </w:r>
          </w:p>
        </w:tc>
      </w:tr>
      <w:tr>
        <w:tblPrEx>
          <w:tblCellMar>
            <w:top w:w="0" w:type="dxa"/>
            <w:left w:w="108" w:type="dxa"/>
            <w:bottom w:w="0" w:type="dxa"/>
            <w:right w:w="108" w:type="dxa"/>
          </w:tblCellMar>
        </w:tblPrEx>
        <w:trPr>
          <w:jc w:val="center"/>
        </w:trPr>
        <w:tc>
          <w:tcPr>
            <w:tcW w:w="19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所属区县</w:t>
            </w: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rPr>
                <w:rFonts w:hint="eastAsia" w:ascii="方正仿宋_GBK" w:hAnsi="方正仿宋_GBK" w:eastAsia="方正仿宋_GBK" w:cs="方正仿宋_GBK"/>
                <w:color w:val="auto"/>
                <w:sz w:val="18"/>
                <w:szCs w:val="18"/>
              </w:rPr>
            </w:pPr>
          </w:p>
        </w:tc>
        <w:tc>
          <w:tcPr>
            <w:tcW w:w="24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所属镇街（园区）</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rPr>
                <w:rFonts w:hint="eastAsia" w:ascii="方正仿宋_GBK" w:hAnsi="方正仿宋_GBK" w:eastAsia="方正仿宋_GBK" w:cs="方正仿宋_GBK"/>
                <w:color w:val="auto"/>
                <w:sz w:val="18"/>
                <w:szCs w:val="18"/>
              </w:rPr>
            </w:pPr>
          </w:p>
        </w:tc>
      </w:tr>
      <w:tr>
        <w:tblPrEx>
          <w:tblCellMar>
            <w:top w:w="0" w:type="dxa"/>
            <w:left w:w="108" w:type="dxa"/>
            <w:bottom w:w="0" w:type="dxa"/>
            <w:right w:w="108" w:type="dxa"/>
          </w:tblCellMar>
        </w:tblPrEx>
        <w:trPr>
          <w:jc w:val="center"/>
        </w:trPr>
        <w:tc>
          <w:tcPr>
            <w:tcW w:w="19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是否与其他厂房共用</w:t>
            </w:r>
          </w:p>
        </w:tc>
        <w:tc>
          <w:tcPr>
            <w:tcW w:w="1246"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adjustRightInd w:val="0"/>
              <w:snapToGrid w:val="0"/>
              <w:spacing w:line="0" w:lineRule="atLeast"/>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是/否</w:t>
            </w:r>
          </w:p>
        </w:tc>
        <w:tc>
          <w:tcPr>
            <w:tcW w:w="24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管理单位</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rPr>
                <w:rFonts w:hint="eastAsia" w:ascii="方正仿宋_GBK" w:hAnsi="方正仿宋_GBK" w:eastAsia="方正仿宋_GBK" w:cs="方正仿宋_GBK"/>
                <w:color w:val="auto"/>
                <w:sz w:val="18"/>
                <w:szCs w:val="18"/>
              </w:rPr>
            </w:pPr>
          </w:p>
        </w:tc>
      </w:tr>
      <w:tr>
        <w:tblPrEx>
          <w:tblCellMar>
            <w:top w:w="0" w:type="dxa"/>
            <w:left w:w="108" w:type="dxa"/>
            <w:bottom w:w="0" w:type="dxa"/>
            <w:right w:w="108" w:type="dxa"/>
          </w:tblCellMar>
        </w:tblPrEx>
        <w:trPr>
          <w:jc w:val="center"/>
        </w:trPr>
        <w:tc>
          <w:tcPr>
            <w:tcW w:w="19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主要性质</w:t>
            </w:r>
          </w:p>
        </w:tc>
        <w:tc>
          <w:tcPr>
            <w:tcW w:w="1246" w:type="dxa"/>
            <w:tcBorders>
              <w:top w:val="single" w:color="000000" w:sz="4" w:space="0"/>
              <w:left w:val="single" w:color="000000" w:sz="4" w:space="0"/>
              <w:bottom w:val="single" w:color="000000" w:sz="4" w:space="0"/>
              <w:right w:val="nil"/>
            </w:tcBorders>
            <w:tcMar>
              <w:top w:w="15" w:type="dxa"/>
              <w:left w:w="15" w:type="dxa"/>
              <w:bottom w:w="15" w:type="dxa"/>
              <w:right w:w="15" w:type="dxa"/>
            </w:tcMar>
            <w:vAlign w:val="center"/>
          </w:tcPr>
          <w:p>
            <w:pPr>
              <w:adjustRightInd w:val="0"/>
              <w:snapToGrid w:val="0"/>
              <w:spacing w:line="0" w:lineRule="atLeast"/>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生产/储存</w:t>
            </w:r>
          </w:p>
        </w:tc>
        <w:tc>
          <w:tcPr>
            <w:tcW w:w="24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所属类别</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食品/汽车/电器/机械/电子/纺织/制衣制鞋/家具/木材/造纸和纸制品/化工/医药/橡胶和塑料制品/电力与燃气/其他</w:t>
            </w:r>
          </w:p>
        </w:tc>
      </w:tr>
      <w:tr>
        <w:tblPrEx>
          <w:tblCellMar>
            <w:top w:w="0" w:type="dxa"/>
            <w:left w:w="108" w:type="dxa"/>
            <w:bottom w:w="0" w:type="dxa"/>
            <w:right w:w="108" w:type="dxa"/>
          </w:tblCellMar>
        </w:tblPrEx>
        <w:trPr>
          <w:jc w:val="center"/>
        </w:trPr>
        <w:tc>
          <w:tcPr>
            <w:tcW w:w="19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投产时间（年月）</w:t>
            </w: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rPr>
                <w:rFonts w:hint="eastAsia" w:ascii="方正仿宋_GBK" w:hAnsi="方正仿宋_GBK" w:eastAsia="方正仿宋_GBK" w:cs="方正仿宋_GBK"/>
                <w:color w:val="auto"/>
                <w:sz w:val="18"/>
                <w:szCs w:val="18"/>
              </w:rPr>
            </w:pPr>
          </w:p>
        </w:tc>
        <w:tc>
          <w:tcPr>
            <w:tcW w:w="24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单位列管情况</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火灾高危单位、消防安全重点单位、派出所列管单位、一般单位</w:t>
            </w:r>
          </w:p>
        </w:tc>
      </w:tr>
      <w:tr>
        <w:tblPrEx>
          <w:tblCellMar>
            <w:top w:w="0" w:type="dxa"/>
            <w:left w:w="108" w:type="dxa"/>
            <w:bottom w:w="0" w:type="dxa"/>
            <w:right w:w="108" w:type="dxa"/>
          </w:tblCellMar>
        </w:tblPrEx>
        <w:trPr>
          <w:jc w:val="center"/>
        </w:trPr>
        <w:tc>
          <w:tcPr>
            <w:tcW w:w="19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主要产品名称</w:t>
            </w: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rPr>
                <w:rFonts w:hint="eastAsia" w:ascii="方正仿宋_GBK" w:hAnsi="方正仿宋_GBK" w:eastAsia="方正仿宋_GBK" w:cs="方正仿宋_GBK"/>
                <w:color w:val="auto"/>
                <w:sz w:val="18"/>
                <w:szCs w:val="18"/>
              </w:rPr>
            </w:pPr>
          </w:p>
        </w:tc>
        <w:tc>
          <w:tcPr>
            <w:tcW w:w="24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主要产品储量</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rPr>
                <w:rFonts w:hint="eastAsia" w:ascii="方正仿宋_GBK" w:hAnsi="方正仿宋_GBK" w:eastAsia="方正仿宋_GBK" w:cs="方正仿宋_GBK"/>
                <w:color w:val="auto"/>
                <w:sz w:val="18"/>
                <w:szCs w:val="18"/>
              </w:rPr>
            </w:pPr>
          </w:p>
        </w:tc>
      </w:tr>
      <w:tr>
        <w:tblPrEx>
          <w:tblCellMar>
            <w:top w:w="0" w:type="dxa"/>
            <w:left w:w="108" w:type="dxa"/>
            <w:bottom w:w="0" w:type="dxa"/>
            <w:right w:w="108" w:type="dxa"/>
          </w:tblCellMar>
        </w:tblPrEx>
        <w:trPr>
          <w:jc w:val="center"/>
        </w:trPr>
        <w:tc>
          <w:tcPr>
            <w:tcW w:w="19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总建筑面积（平米）</w:t>
            </w: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rPr>
                <w:rFonts w:hint="eastAsia" w:ascii="方正仿宋_GBK" w:hAnsi="方正仿宋_GBK" w:eastAsia="方正仿宋_GBK" w:cs="方正仿宋_GBK"/>
                <w:color w:val="auto"/>
                <w:sz w:val="18"/>
                <w:szCs w:val="18"/>
              </w:rPr>
            </w:pPr>
          </w:p>
        </w:tc>
        <w:tc>
          <w:tcPr>
            <w:tcW w:w="24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最大生产厂房或库房建筑面积（平方米）</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rPr>
                <w:rFonts w:hint="eastAsia" w:ascii="方正仿宋_GBK" w:hAnsi="方正仿宋_GBK" w:eastAsia="方正仿宋_GBK" w:cs="方正仿宋_GBK"/>
                <w:color w:val="auto"/>
                <w:sz w:val="18"/>
                <w:szCs w:val="18"/>
              </w:rPr>
            </w:pPr>
          </w:p>
        </w:tc>
      </w:tr>
      <w:tr>
        <w:tblPrEx>
          <w:tblCellMar>
            <w:top w:w="0" w:type="dxa"/>
            <w:left w:w="108" w:type="dxa"/>
            <w:bottom w:w="0" w:type="dxa"/>
            <w:right w:w="108" w:type="dxa"/>
          </w:tblCellMar>
        </w:tblPrEx>
        <w:trPr>
          <w:jc w:val="center"/>
        </w:trPr>
        <w:tc>
          <w:tcPr>
            <w:tcW w:w="19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厂房数量（座）</w:t>
            </w: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rPr>
                <w:rFonts w:hint="eastAsia" w:ascii="方正仿宋_GBK" w:hAnsi="方正仿宋_GBK" w:eastAsia="方正仿宋_GBK" w:cs="方正仿宋_GBK"/>
                <w:color w:val="auto"/>
                <w:sz w:val="18"/>
                <w:szCs w:val="18"/>
              </w:rPr>
            </w:pPr>
          </w:p>
        </w:tc>
        <w:tc>
          <w:tcPr>
            <w:tcW w:w="24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库房数量（座）</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rPr>
                <w:rFonts w:hint="eastAsia" w:ascii="方正仿宋_GBK" w:hAnsi="方正仿宋_GBK" w:eastAsia="方正仿宋_GBK" w:cs="方正仿宋_GBK"/>
                <w:color w:val="auto"/>
                <w:sz w:val="18"/>
                <w:szCs w:val="18"/>
              </w:rPr>
            </w:pPr>
          </w:p>
        </w:tc>
      </w:tr>
      <w:tr>
        <w:tblPrEx>
          <w:tblCellMar>
            <w:top w:w="0" w:type="dxa"/>
            <w:left w:w="108" w:type="dxa"/>
            <w:bottom w:w="0" w:type="dxa"/>
            <w:right w:w="108" w:type="dxa"/>
          </w:tblCellMar>
        </w:tblPrEx>
        <w:trPr>
          <w:jc w:val="center"/>
        </w:trPr>
        <w:tc>
          <w:tcPr>
            <w:tcW w:w="19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企业总人数（人）</w:t>
            </w: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rPr>
                <w:rFonts w:hint="eastAsia" w:ascii="方正仿宋_GBK" w:hAnsi="方正仿宋_GBK" w:eastAsia="方正仿宋_GBK" w:cs="方正仿宋_GBK"/>
                <w:color w:val="auto"/>
                <w:sz w:val="18"/>
                <w:szCs w:val="18"/>
              </w:rPr>
            </w:pPr>
          </w:p>
        </w:tc>
        <w:tc>
          <w:tcPr>
            <w:tcW w:w="24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同一时间车间最大总人数（人）</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rPr>
                <w:rFonts w:hint="eastAsia" w:ascii="方正仿宋_GBK" w:hAnsi="方正仿宋_GBK" w:eastAsia="方正仿宋_GBK" w:cs="方正仿宋_GBK"/>
                <w:color w:val="auto"/>
                <w:sz w:val="18"/>
                <w:szCs w:val="18"/>
              </w:rPr>
            </w:pPr>
          </w:p>
        </w:tc>
      </w:tr>
      <w:tr>
        <w:tblPrEx>
          <w:tblCellMar>
            <w:top w:w="0" w:type="dxa"/>
            <w:left w:w="108" w:type="dxa"/>
            <w:bottom w:w="0" w:type="dxa"/>
            <w:right w:w="108" w:type="dxa"/>
          </w:tblCellMar>
        </w:tblPrEx>
        <w:trPr>
          <w:jc w:val="center"/>
        </w:trPr>
        <w:tc>
          <w:tcPr>
            <w:tcW w:w="19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是否有危化品库房</w:t>
            </w: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是/否</w:t>
            </w:r>
          </w:p>
        </w:tc>
        <w:tc>
          <w:tcPr>
            <w:tcW w:w="24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最高火灾危险性（危化品库房除外）</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甲、乙、丙、丁、戊</w:t>
            </w:r>
          </w:p>
        </w:tc>
      </w:tr>
      <w:tr>
        <w:tblPrEx>
          <w:tblCellMar>
            <w:top w:w="0" w:type="dxa"/>
            <w:left w:w="108" w:type="dxa"/>
            <w:bottom w:w="0" w:type="dxa"/>
            <w:right w:w="108" w:type="dxa"/>
          </w:tblCellMar>
        </w:tblPrEx>
        <w:trPr>
          <w:jc w:val="center"/>
        </w:trPr>
        <w:tc>
          <w:tcPr>
            <w:tcW w:w="19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消防安全责任人</w:t>
            </w: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rPr>
                <w:rFonts w:hint="eastAsia" w:ascii="方正仿宋_GBK" w:hAnsi="方正仿宋_GBK" w:eastAsia="方正仿宋_GBK" w:cs="方正仿宋_GBK"/>
                <w:color w:val="auto"/>
                <w:sz w:val="18"/>
                <w:szCs w:val="18"/>
              </w:rPr>
            </w:pPr>
          </w:p>
        </w:tc>
        <w:tc>
          <w:tcPr>
            <w:tcW w:w="24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消防安全责任人手机号</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rPr>
                <w:rFonts w:hint="eastAsia" w:ascii="方正仿宋_GBK" w:hAnsi="方正仿宋_GBK" w:eastAsia="方正仿宋_GBK" w:cs="方正仿宋_GBK"/>
                <w:color w:val="auto"/>
                <w:sz w:val="18"/>
                <w:szCs w:val="18"/>
              </w:rPr>
            </w:pPr>
          </w:p>
        </w:tc>
      </w:tr>
      <w:tr>
        <w:tblPrEx>
          <w:tblCellMar>
            <w:top w:w="0" w:type="dxa"/>
            <w:left w:w="108" w:type="dxa"/>
            <w:bottom w:w="0" w:type="dxa"/>
            <w:right w:w="108" w:type="dxa"/>
          </w:tblCellMar>
        </w:tblPrEx>
        <w:trPr>
          <w:jc w:val="center"/>
        </w:trPr>
        <w:tc>
          <w:tcPr>
            <w:tcW w:w="19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消防安全管理人</w:t>
            </w:r>
          </w:p>
        </w:tc>
        <w:tc>
          <w:tcPr>
            <w:tcW w:w="12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rPr>
                <w:rFonts w:hint="eastAsia" w:ascii="方正仿宋_GBK" w:hAnsi="方正仿宋_GBK" w:eastAsia="方正仿宋_GBK" w:cs="方正仿宋_GBK"/>
                <w:color w:val="auto"/>
                <w:sz w:val="18"/>
                <w:szCs w:val="18"/>
              </w:rPr>
            </w:pPr>
          </w:p>
        </w:tc>
        <w:tc>
          <w:tcPr>
            <w:tcW w:w="242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消防安全管理人手机号</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rPr>
                <w:rFonts w:hint="eastAsia" w:ascii="方正仿宋_GBK" w:hAnsi="方正仿宋_GBK" w:eastAsia="方正仿宋_GBK" w:cs="方正仿宋_GBK"/>
                <w:color w:val="auto"/>
                <w:sz w:val="18"/>
                <w:szCs w:val="18"/>
              </w:rPr>
            </w:pPr>
          </w:p>
        </w:tc>
      </w:tr>
      <w:tr>
        <w:tblPrEx>
          <w:tblCellMar>
            <w:top w:w="0" w:type="dxa"/>
            <w:left w:w="108" w:type="dxa"/>
            <w:bottom w:w="0" w:type="dxa"/>
            <w:right w:w="108" w:type="dxa"/>
          </w:tblCellMar>
        </w:tblPrEx>
        <w:trPr>
          <w:jc w:val="center"/>
        </w:trPr>
        <w:tc>
          <w:tcPr>
            <w:tcW w:w="19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检查内容</w:t>
            </w:r>
          </w:p>
        </w:tc>
        <w:tc>
          <w:tcPr>
            <w:tcW w:w="36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检查标准</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检查情况</w:t>
            </w:r>
          </w:p>
        </w:tc>
      </w:tr>
      <w:tr>
        <w:tblPrEx>
          <w:tblCellMar>
            <w:top w:w="0" w:type="dxa"/>
            <w:left w:w="108" w:type="dxa"/>
            <w:bottom w:w="0" w:type="dxa"/>
            <w:right w:w="108" w:type="dxa"/>
          </w:tblCellMar>
        </w:tblPrEx>
        <w:trPr>
          <w:jc w:val="center"/>
        </w:trPr>
        <w:tc>
          <w:tcPr>
            <w:tcW w:w="19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建筑使用性质</w:t>
            </w:r>
          </w:p>
        </w:tc>
        <w:tc>
          <w:tcPr>
            <w:tcW w:w="36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1、建筑是否未经消防验收合格擅自投入使用；</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存在问题：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无此类问题：□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不涉及：□</w:t>
            </w:r>
          </w:p>
        </w:tc>
      </w:tr>
      <w:tr>
        <w:tblPrEx>
          <w:tblCellMar>
            <w:top w:w="0" w:type="dxa"/>
            <w:left w:w="108" w:type="dxa"/>
            <w:bottom w:w="0" w:type="dxa"/>
            <w:right w:w="108" w:type="dxa"/>
          </w:tblCellMar>
        </w:tblPrEx>
        <w:trPr>
          <w:jc w:val="center"/>
        </w:trPr>
        <w:tc>
          <w:tcPr>
            <w:tcW w:w="1957"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Calibri" w:eastAsia="宋体"/>
                <w:color w:val="auto"/>
                <w:kern w:val="2"/>
                <w:sz w:val="21"/>
                <w:szCs w:val="22"/>
              </w:rPr>
            </w:pPr>
          </w:p>
        </w:tc>
        <w:tc>
          <w:tcPr>
            <w:tcW w:w="36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2、是否违规改变建筑使用性质，特别是擅自将丁戊类厂房库房改为丙类及以上厂房库房；</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存在问题：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无此类问题：□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不涉及：□</w:t>
            </w:r>
          </w:p>
        </w:tc>
      </w:tr>
      <w:tr>
        <w:tblPrEx>
          <w:tblCellMar>
            <w:top w:w="0" w:type="dxa"/>
            <w:left w:w="108" w:type="dxa"/>
            <w:bottom w:w="0" w:type="dxa"/>
            <w:right w:w="108" w:type="dxa"/>
          </w:tblCellMar>
        </w:tblPrEx>
        <w:trPr>
          <w:jc w:val="center"/>
        </w:trPr>
        <w:tc>
          <w:tcPr>
            <w:tcW w:w="19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消防安全管理</w:t>
            </w:r>
          </w:p>
        </w:tc>
        <w:tc>
          <w:tcPr>
            <w:tcW w:w="36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3、是否明确消防安全责任人、管理人；</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存在问题：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无此类问题：□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不涉及：□</w:t>
            </w:r>
          </w:p>
        </w:tc>
      </w:tr>
      <w:tr>
        <w:tblPrEx>
          <w:tblCellMar>
            <w:top w:w="0" w:type="dxa"/>
            <w:left w:w="108" w:type="dxa"/>
            <w:bottom w:w="0" w:type="dxa"/>
            <w:right w:w="108" w:type="dxa"/>
          </w:tblCellMar>
        </w:tblPrEx>
        <w:trPr>
          <w:jc w:val="center"/>
        </w:trPr>
        <w:tc>
          <w:tcPr>
            <w:tcW w:w="1957"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Calibri" w:eastAsia="宋体"/>
                <w:color w:val="auto"/>
                <w:kern w:val="2"/>
                <w:sz w:val="21"/>
                <w:szCs w:val="22"/>
              </w:rPr>
            </w:pPr>
          </w:p>
        </w:tc>
        <w:tc>
          <w:tcPr>
            <w:tcW w:w="36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4、消防控制室人员是否持证上岗；</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存在问题：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无此类问题：□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不涉及：□</w:t>
            </w:r>
          </w:p>
        </w:tc>
      </w:tr>
      <w:tr>
        <w:tblPrEx>
          <w:tblCellMar>
            <w:top w:w="0" w:type="dxa"/>
            <w:left w:w="108" w:type="dxa"/>
            <w:bottom w:w="0" w:type="dxa"/>
            <w:right w:w="108" w:type="dxa"/>
          </w:tblCellMar>
        </w:tblPrEx>
        <w:trPr>
          <w:jc w:val="center"/>
        </w:trPr>
        <w:tc>
          <w:tcPr>
            <w:tcW w:w="1957"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Calibri" w:eastAsia="宋体"/>
                <w:color w:val="auto"/>
                <w:kern w:val="2"/>
                <w:sz w:val="21"/>
                <w:szCs w:val="22"/>
              </w:rPr>
            </w:pPr>
          </w:p>
        </w:tc>
        <w:tc>
          <w:tcPr>
            <w:tcW w:w="36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5、自动消防设施是否按照规定定期维护保养、检测；</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存在问题：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无此类问题：□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不涉及：□</w:t>
            </w:r>
          </w:p>
        </w:tc>
      </w:tr>
      <w:tr>
        <w:tblPrEx>
          <w:tblCellMar>
            <w:top w:w="0" w:type="dxa"/>
            <w:left w:w="108" w:type="dxa"/>
            <w:bottom w:w="0" w:type="dxa"/>
            <w:right w:w="108" w:type="dxa"/>
          </w:tblCellMar>
        </w:tblPrEx>
        <w:trPr>
          <w:jc w:val="center"/>
        </w:trPr>
        <w:tc>
          <w:tcPr>
            <w:tcW w:w="1957"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Calibri" w:eastAsia="宋体"/>
                <w:color w:val="auto"/>
                <w:kern w:val="2"/>
                <w:sz w:val="21"/>
                <w:szCs w:val="22"/>
              </w:rPr>
            </w:pPr>
          </w:p>
        </w:tc>
        <w:tc>
          <w:tcPr>
            <w:tcW w:w="36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6、火灾高危单位是否按规定开展消防安全评估；</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存在问题：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无此类问题：□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不涉及：□</w:t>
            </w:r>
          </w:p>
        </w:tc>
      </w:tr>
      <w:tr>
        <w:tblPrEx>
          <w:tblCellMar>
            <w:top w:w="0" w:type="dxa"/>
            <w:left w:w="108" w:type="dxa"/>
            <w:bottom w:w="0" w:type="dxa"/>
            <w:right w:w="108" w:type="dxa"/>
          </w:tblCellMar>
        </w:tblPrEx>
        <w:trPr>
          <w:jc w:val="center"/>
        </w:trPr>
        <w:tc>
          <w:tcPr>
            <w:tcW w:w="1957"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Calibri" w:eastAsia="宋体"/>
                <w:color w:val="auto"/>
                <w:kern w:val="2"/>
                <w:sz w:val="21"/>
                <w:szCs w:val="22"/>
              </w:rPr>
            </w:pPr>
          </w:p>
        </w:tc>
        <w:tc>
          <w:tcPr>
            <w:tcW w:w="36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7、是否组织开展消防安全培训；</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存在问题：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无此类问题：□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不涉及：□</w:t>
            </w:r>
          </w:p>
        </w:tc>
      </w:tr>
      <w:tr>
        <w:tblPrEx>
          <w:tblCellMar>
            <w:top w:w="0" w:type="dxa"/>
            <w:left w:w="108" w:type="dxa"/>
            <w:bottom w:w="0" w:type="dxa"/>
            <w:right w:w="108" w:type="dxa"/>
          </w:tblCellMar>
        </w:tblPrEx>
        <w:trPr>
          <w:jc w:val="center"/>
        </w:trPr>
        <w:tc>
          <w:tcPr>
            <w:tcW w:w="1957"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Calibri" w:eastAsia="宋体"/>
                <w:color w:val="auto"/>
                <w:kern w:val="2"/>
                <w:sz w:val="21"/>
                <w:szCs w:val="22"/>
              </w:rPr>
            </w:pPr>
          </w:p>
        </w:tc>
        <w:tc>
          <w:tcPr>
            <w:tcW w:w="36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8、是否依法建立专职消防队、微型消防站或志愿消防队，并定期开展灭火疏散演练；</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存在问题：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无此类问题：□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不涉及：□</w:t>
            </w:r>
          </w:p>
        </w:tc>
      </w:tr>
      <w:tr>
        <w:tblPrEx>
          <w:tblCellMar>
            <w:top w:w="0" w:type="dxa"/>
            <w:left w:w="108" w:type="dxa"/>
            <w:bottom w:w="0" w:type="dxa"/>
            <w:right w:w="108" w:type="dxa"/>
          </w:tblCellMar>
        </w:tblPrEx>
        <w:trPr>
          <w:jc w:val="center"/>
        </w:trPr>
        <w:tc>
          <w:tcPr>
            <w:tcW w:w="19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火灾危险源</w:t>
            </w:r>
          </w:p>
        </w:tc>
        <w:tc>
          <w:tcPr>
            <w:tcW w:w="36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9、电气线路是否存在敷设不规范或私拉乱接的情况；</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存在问题：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无此类问题：□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不涉及：□</w:t>
            </w:r>
          </w:p>
        </w:tc>
      </w:tr>
      <w:tr>
        <w:tblPrEx>
          <w:tblCellMar>
            <w:top w:w="0" w:type="dxa"/>
            <w:left w:w="108" w:type="dxa"/>
            <w:bottom w:w="0" w:type="dxa"/>
            <w:right w:w="108" w:type="dxa"/>
          </w:tblCellMar>
        </w:tblPrEx>
        <w:trPr>
          <w:jc w:val="center"/>
        </w:trPr>
        <w:tc>
          <w:tcPr>
            <w:tcW w:w="1957"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Calibri" w:eastAsia="宋体"/>
                <w:color w:val="auto"/>
                <w:kern w:val="2"/>
                <w:sz w:val="21"/>
                <w:szCs w:val="22"/>
              </w:rPr>
            </w:pPr>
          </w:p>
        </w:tc>
        <w:tc>
          <w:tcPr>
            <w:tcW w:w="36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10、电气设备是否存在违规操作的情况；</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存在问题：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无此类问题：□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不涉及：□</w:t>
            </w:r>
          </w:p>
        </w:tc>
      </w:tr>
      <w:tr>
        <w:tblPrEx>
          <w:tblCellMar>
            <w:top w:w="0" w:type="dxa"/>
            <w:left w:w="108" w:type="dxa"/>
            <w:bottom w:w="0" w:type="dxa"/>
            <w:right w:w="108" w:type="dxa"/>
          </w:tblCellMar>
        </w:tblPrEx>
        <w:trPr>
          <w:jc w:val="center"/>
        </w:trPr>
        <w:tc>
          <w:tcPr>
            <w:tcW w:w="1957"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Calibri" w:eastAsia="宋体"/>
                <w:color w:val="auto"/>
                <w:kern w:val="2"/>
                <w:sz w:val="21"/>
                <w:szCs w:val="22"/>
              </w:rPr>
            </w:pPr>
          </w:p>
        </w:tc>
        <w:tc>
          <w:tcPr>
            <w:tcW w:w="36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11、是否违规存放易燃易爆危险品；</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存在问题：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无此类问题：□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不涉及：□</w:t>
            </w:r>
          </w:p>
        </w:tc>
      </w:tr>
      <w:tr>
        <w:tblPrEx>
          <w:tblCellMar>
            <w:top w:w="0" w:type="dxa"/>
            <w:left w:w="108" w:type="dxa"/>
            <w:bottom w:w="0" w:type="dxa"/>
            <w:right w:w="108" w:type="dxa"/>
          </w:tblCellMar>
        </w:tblPrEx>
        <w:trPr>
          <w:jc w:val="center"/>
        </w:trPr>
        <w:tc>
          <w:tcPr>
            <w:tcW w:w="1957"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Calibri" w:eastAsia="宋体"/>
                <w:color w:val="auto"/>
                <w:kern w:val="2"/>
                <w:sz w:val="21"/>
                <w:szCs w:val="22"/>
              </w:rPr>
            </w:pPr>
          </w:p>
        </w:tc>
        <w:tc>
          <w:tcPr>
            <w:tcW w:w="36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12、是否存在违规施工、违章动火动焊的情况；</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存在问题：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无此类问题：□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不涉及：□</w:t>
            </w:r>
          </w:p>
        </w:tc>
      </w:tr>
      <w:tr>
        <w:tblPrEx>
          <w:tblCellMar>
            <w:top w:w="0" w:type="dxa"/>
            <w:left w:w="108" w:type="dxa"/>
            <w:bottom w:w="0" w:type="dxa"/>
            <w:right w:w="108" w:type="dxa"/>
          </w:tblCellMar>
        </w:tblPrEx>
        <w:trPr>
          <w:jc w:val="center"/>
        </w:trPr>
        <w:tc>
          <w:tcPr>
            <w:tcW w:w="1957"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Calibri" w:eastAsia="宋体"/>
                <w:color w:val="auto"/>
                <w:kern w:val="2"/>
                <w:sz w:val="21"/>
                <w:szCs w:val="22"/>
              </w:rPr>
            </w:pPr>
          </w:p>
        </w:tc>
        <w:tc>
          <w:tcPr>
            <w:tcW w:w="36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13、厂房库房内不同火灾危险性的物品是否按要求分类储存</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存在问题：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无此类问题：□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不涉及：□</w:t>
            </w:r>
          </w:p>
        </w:tc>
      </w:tr>
      <w:tr>
        <w:tblPrEx>
          <w:tblCellMar>
            <w:top w:w="0" w:type="dxa"/>
            <w:left w:w="108" w:type="dxa"/>
            <w:bottom w:w="0" w:type="dxa"/>
            <w:right w:w="108" w:type="dxa"/>
          </w:tblCellMar>
        </w:tblPrEx>
        <w:trPr>
          <w:jc w:val="center"/>
        </w:trPr>
        <w:tc>
          <w:tcPr>
            <w:tcW w:w="1957"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Calibri" w:eastAsia="宋体"/>
                <w:color w:val="auto"/>
                <w:kern w:val="2"/>
                <w:sz w:val="21"/>
                <w:szCs w:val="22"/>
              </w:rPr>
            </w:pPr>
          </w:p>
        </w:tc>
        <w:tc>
          <w:tcPr>
            <w:tcW w:w="36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14、供油、供气设施是否符合要求；</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存在问题：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无此类问题：□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不涉及：□</w:t>
            </w:r>
          </w:p>
        </w:tc>
      </w:tr>
      <w:tr>
        <w:tblPrEx>
          <w:tblCellMar>
            <w:top w:w="0" w:type="dxa"/>
            <w:left w:w="108" w:type="dxa"/>
            <w:bottom w:w="0" w:type="dxa"/>
            <w:right w:w="108" w:type="dxa"/>
          </w:tblCellMar>
        </w:tblPrEx>
        <w:trPr>
          <w:jc w:val="center"/>
        </w:trPr>
        <w:tc>
          <w:tcPr>
            <w:tcW w:w="1957"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Calibri" w:eastAsia="宋体"/>
                <w:color w:val="auto"/>
                <w:kern w:val="2"/>
                <w:sz w:val="21"/>
                <w:szCs w:val="22"/>
              </w:rPr>
            </w:pPr>
          </w:p>
        </w:tc>
        <w:tc>
          <w:tcPr>
            <w:tcW w:w="36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15、铅酸、锂、氢等新能源电池存放方式是否符合规定；</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存在问题：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无此类问题：□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不涉及：□</w:t>
            </w:r>
          </w:p>
        </w:tc>
      </w:tr>
      <w:tr>
        <w:tblPrEx>
          <w:tblCellMar>
            <w:top w:w="0" w:type="dxa"/>
            <w:left w:w="108" w:type="dxa"/>
            <w:bottom w:w="0" w:type="dxa"/>
            <w:right w:w="108" w:type="dxa"/>
          </w:tblCellMar>
        </w:tblPrEx>
        <w:trPr>
          <w:jc w:val="center"/>
        </w:trPr>
        <w:tc>
          <w:tcPr>
            <w:tcW w:w="19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建筑防火</w:t>
            </w:r>
          </w:p>
        </w:tc>
        <w:tc>
          <w:tcPr>
            <w:tcW w:w="36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16、建筑内防火分隔是否符合要求；</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存在问题：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无此类问题：□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不涉及：□</w:t>
            </w:r>
          </w:p>
        </w:tc>
      </w:tr>
      <w:tr>
        <w:tblPrEx>
          <w:tblCellMar>
            <w:top w:w="0" w:type="dxa"/>
            <w:left w:w="108" w:type="dxa"/>
            <w:bottom w:w="0" w:type="dxa"/>
            <w:right w:w="108" w:type="dxa"/>
          </w:tblCellMar>
        </w:tblPrEx>
        <w:trPr>
          <w:jc w:val="center"/>
        </w:trPr>
        <w:tc>
          <w:tcPr>
            <w:tcW w:w="1957"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Calibri" w:eastAsia="宋体"/>
                <w:color w:val="auto"/>
                <w:kern w:val="2"/>
                <w:sz w:val="21"/>
                <w:szCs w:val="22"/>
              </w:rPr>
            </w:pPr>
          </w:p>
        </w:tc>
        <w:tc>
          <w:tcPr>
            <w:tcW w:w="36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17、疏散通道、疏散楼梯、安全出口、消防车道、消防救援场地是否符合规范要求；</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存在问题：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无此类问题：□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不涉及：□</w:t>
            </w:r>
          </w:p>
        </w:tc>
      </w:tr>
      <w:tr>
        <w:tblPrEx>
          <w:tblCellMar>
            <w:top w:w="0" w:type="dxa"/>
            <w:left w:w="108" w:type="dxa"/>
            <w:bottom w:w="0" w:type="dxa"/>
            <w:right w:w="108" w:type="dxa"/>
          </w:tblCellMar>
        </w:tblPrEx>
        <w:trPr>
          <w:jc w:val="center"/>
        </w:trPr>
        <w:tc>
          <w:tcPr>
            <w:tcW w:w="1957"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Calibri" w:eastAsia="宋体"/>
                <w:color w:val="auto"/>
                <w:kern w:val="2"/>
                <w:sz w:val="21"/>
                <w:szCs w:val="22"/>
              </w:rPr>
            </w:pPr>
          </w:p>
        </w:tc>
        <w:tc>
          <w:tcPr>
            <w:tcW w:w="36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18、疏散通道、疏散楼梯、安全出口、消防车道、消防救援场地是否存在被堵塞或占用的情况；</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存在问题：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无此类问题：□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不涉及：□</w:t>
            </w:r>
          </w:p>
        </w:tc>
      </w:tr>
      <w:tr>
        <w:tblPrEx>
          <w:tblCellMar>
            <w:top w:w="0" w:type="dxa"/>
            <w:left w:w="108" w:type="dxa"/>
            <w:bottom w:w="0" w:type="dxa"/>
            <w:right w:w="108" w:type="dxa"/>
          </w:tblCellMar>
        </w:tblPrEx>
        <w:trPr>
          <w:jc w:val="center"/>
        </w:trPr>
        <w:tc>
          <w:tcPr>
            <w:tcW w:w="1957"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Calibri" w:eastAsia="宋体"/>
                <w:color w:val="auto"/>
                <w:kern w:val="2"/>
                <w:sz w:val="21"/>
                <w:szCs w:val="22"/>
              </w:rPr>
            </w:pPr>
          </w:p>
        </w:tc>
        <w:tc>
          <w:tcPr>
            <w:tcW w:w="36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19、是否存在生产、储存、经营与住宿设置在同一建筑内的“多合一”现象；</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存在问题：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无此类问题：□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不涉及：□</w:t>
            </w:r>
          </w:p>
        </w:tc>
      </w:tr>
      <w:tr>
        <w:tblPrEx>
          <w:tblCellMar>
            <w:top w:w="0" w:type="dxa"/>
            <w:left w:w="108" w:type="dxa"/>
            <w:bottom w:w="0" w:type="dxa"/>
            <w:right w:w="108" w:type="dxa"/>
          </w:tblCellMar>
        </w:tblPrEx>
        <w:trPr>
          <w:jc w:val="center"/>
        </w:trPr>
        <w:tc>
          <w:tcPr>
            <w:tcW w:w="1957"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Calibri" w:eastAsia="宋体"/>
                <w:color w:val="auto"/>
                <w:kern w:val="2"/>
                <w:sz w:val="21"/>
                <w:szCs w:val="22"/>
              </w:rPr>
            </w:pPr>
          </w:p>
        </w:tc>
        <w:tc>
          <w:tcPr>
            <w:tcW w:w="36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20、厂房仓库内是否违规设置办公室、休息室、员工宿舍、中间仓库；</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存在问题：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无此类问题：□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不涉及：□</w:t>
            </w:r>
          </w:p>
        </w:tc>
      </w:tr>
      <w:tr>
        <w:tblPrEx>
          <w:tblCellMar>
            <w:top w:w="0" w:type="dxa"/>
            <w:left w:w="108" w:type="dxa"/>
            <w:bottom w:w="0" w:type="dxa"/>
            <w:right w:w="108" w:type="dxa"/>
          </w:tblCellMar>
        </w:tblPrEx>
        <w:trPr>
          <w:jc w:val="center"/>
        </w:trPr>
        <w:tc>
          <w:tcPr>
            <w:tcW w:w="1957"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Calibri" w:eastAsia="宋体"/>
                <w:color w:val="auto"/>
                <w:kern w:val="2"/>
                <w:sz w:val="21"/>
                <w:szCs w:val="22"/>
              </w:rPr>
            </w:pPr>
          </w:p>
        </w:tc>
        <w:tc>
          <w:tcPr>
            <w:tcW w:w="36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21、是否存在防火间距不足或被占用的情况；</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存在问题：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无此类问题：□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不涉及：□</w:t>
            </w:r>
          </w:p>
        </w:tc>
      </w:tr>
      <w:tr>
        <w:tblPrEx>
          <w:tblCellMar>
            <w:top w:w="0" w:type="dxa"/>
            <w:left w:w="108" w:type="dxa"/>
            <w:bottom w:w="0" w:type="dxa"/>
            <w:right w:w="108" w:type="dxa"/>
          </w:tblCellMar>
        </w:tblPrEx>
        <w:trPr>
          <w:jc w:val="center"/>
        </w:trPr>
        <w:tc>
          <w:tcPr>
            <w:tcW w:w="1957"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Calibri" w:eastAsia="宋体"/>
                <w:color w:val="auto"/>
                <w:kern w:val="2"/>
                <w:sz w:val="21"/>
                <w:szCs w:val="22"/>
              </w:rPr>
            </w:pPr>
          </w:p>
        </w:tc>
        <w:tc>
          <w:tcPr>
            <w:tcW w:w="36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22、是否使用易燃可燃彩钢板搭建建筑；</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存在问题：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无此类问题：□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不涉及：□</w:t>
            </w:r>
          </w:p>
        </w:tc>
      </w:tr>
      <w:tr>
        <w:tblPrEx>
          <w:tblCellMar>
            <w:top w:w="0" w:type="dxa"/>
            <w:left w:w="108" w:type="dxa"/>
            <w:bottom w:w="0" w:type="dxa"/>
            <w:right w:w="108" w:type="dxa"/>
          </w:tblCellMar>
        </w:tblPrEx>
        <w:trPr>
          <w:jc w:val="center"/>
        </w:trPr>
        <w:tc>
          <w:tcPr>
            <w:tcW w:w="1957"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Calibri" w:eastAsia="宋体"/>
                <w:color w:val="auto"/>
                <w:kern w:val="2"/>
                <w:sz w:val="21"/>
                <w:szCs w:val="22"/>
              </w:rPr>
            </w:pPr>
          </w:p>
        </w:tc>
        <w:tc>
          <w:tcPr>
            <w:tcW w:w="36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23、防爆、泄爆措施是否完好有效；</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存在问题：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无此类问题：□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不涉及：□</w:t>
            </w:r>
          </w:p>
        </w:tc>
      </w:tr>
      <w:tr>
        <w:tblPrEx>
          <w:tblCellMar>
            <w:top w:w="0" w:type="dxa"/>
            <w:left w:w="108" w:type="dxa"/>
            <w:bottom w:w="0" w:type="dxa"/>
            <w:right w:w="108" w:type="dxa"/>
          </w:tblCellMar>
        </w:tblPrEx>
        <w:trPr>
          <w:jc w:val="center"/>
        </w:trPr>
        <w:tc>
          <w:tcPr>
            <w:tcW w:w="195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消防设施</w:t>
            </w:r>
          </w:p>
        </w:tc>
        <w:tc>
          <w:tcPr>
            <w:tcW w:w="36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24、消防水源是否满足规范要求；</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存在问题：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无此类问题：</w:t>
            </w:r>
            <w:r>
              <w:rPr>
                <w:rFonts w:hint="eastAsia" w:ascii="方正仿宋_GBK" w:hAnsi="方正仿宋_GBK" w:eastAsia="方正仿宋_GBK" w:cs="方正仿宋_GBK"/>
                <w:color w:val="auto"/>
                <w:kern w:val="0"/>
                <w:sz w:val="18"/>
                <w:szCs w:val="18"/>
              </w:rPr>
              <w:sym w:font="Wingdings 2" w:char="00A3"/>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不涉及：</w:t>
            </w:r>
            <w:r>
              <w:rPr>
                <w:rFonts w:hint="eastAsia" w:ascii="方正仿宋_GBK" w:hAnsi="方正仿宋_GBK" w:eastAsia="方正仿宋_GBK" w:cs="方正仿宋_GBK"/>
                <w:color w:val="auto"/>
                <w:kern w:val="0"/>
                <w:sz w:val="18"/>
                <w:szCs w:val="18"/>
              </w:rPr>
              <w:sym w:font="Wingdings 2" w:char="00A3"/>
            </w:r>
          </w:p>
        </w:tc>
      </w:tr>
      <w:tr>
        <w:tblPrEx>
          <w:tblCellMar>
            <w:top w:w="0" w:type="dxa"/>
            <w:left w:w="108" w:type="dxa"/>
            <w:bottom w:w="0" w:type="dxa"/>
            <w:right w:w="108" w:type="dxa"/>
          </w:tblCellMar>
        </w:tblPrEx>
        <w:trPr>
          <w:jc w:val="center"/>
        </w:trPr>
        <w:tc>
          <w:tcPr>
            <w:tcW w:w="1957"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Calibri" w:eastAsia="宋体"/>
                <w:color w:val="auto"/>
                <w:kern w:val="2"/>
                <w:sz w:val="21"/>
                <w:szCs w:val="22"/>
              </w:rPr>
            </w:pPr>
          </w:p>
        </w:tc>
        <w:tc>
          <w:tcPr>
            <w:tcW w:w="36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25、室内、外消火栓系统是否按规范设置并保持完好有效；</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存在问题：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无此类问题：□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不涉及：□</w:t>
            </w:r>
          </w:p>
        </w:tc>
      </w:tr>
      <w:tr>
        <w:tblPrEx>
          <w:tblCellMar>
            <w:top w:w="0" w:type="dxa"/>
            <w:left w:w="108" w:type="dxa"/>
            <w:bottom w:w="0" w:type="dxa"/>
            <w:right w:w="108" w:type="dxa"/>
          </w:tblCellMar>
        </w:tblPrEx>
        <w:trPr>
          <w:jc w:val="center"/>
        </w:trPr>
        <w:tc>
          <w:tcPr>
            <w:tcW w:w="1957"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Calibri" w:eastAsia="宋体"/>
                <w:color w:val="auto"/>
                <w:kern w:val="2"/>
                <w:sz w:val="21"/>
                <w:szCs w:val="22"/>
              </w:rPr>
            </w:pPr>
          </w:p>
        </w:tc>
        <w:tc>
          <w:tcPr>
            <w:tcW w:w="36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26、火灾自动报警系统是否按规范设置并保持完好有效；</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存在问题：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无此类问题：□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不涉及：□</w:t>
            </w:r>
          </w:p>
        </w:tc>
      </w:tr>
      <w:tr>
        <w:tblPrEx>
          <w:tblCellMar>
            <w:top w:w="0" w:type="dxa"/>
            <w:left w:w="108" w:type="dxa"/>
            <w:bottom w:w="0" w:type="dxa"/>
            <w:right w:w="108" w:type="dxa"/>
          </w:tblCellMar>
        </w:tblPrEx>
        <w:trPr>
          <w:jc w:val="center"/>
        </w:trPr>
        <w:tc>
          <w:tcPr>
            <w:tcW w:w="1957"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Calibri" w:eastAsia="宋体"/>
                <w:color w:val="auto"/>
                <w:kern w:val="2"/>
                <w:sz w:val="21"/>
                <w:szCs w:val="22"/>
              </w:rPr>
            </w:pPr>
          </w:p>
        </w:tc>
        <w:tc>
          <w:tcPr>
            <w:tcW w:w="36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27、自动喷水灭火系统是否按规范设置并保持完好有效；</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存在问题：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无此类问题：□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不涉及：□</w:t>
            </w:r>
          </w:p>
        </w:tc>
      </w:tr>
      <w:tr>
        <w:tblPrEx>
          <w:tblCellMar>
            <w:top w:w="0" w:type="dxa"/>
            <w:left w:w="108" w:type="dxa"/>
            <w:bottom w:w="0" w:type="dxa"/>
            <w:right w:w="108" w:type="dxa"/>
          </w:tblCellMar>
        </w:tblPrEx>
        <w:trPr>
          <w:jc w:val="center"/>
        </w:trPr>
        <w:tc>
          <w:tcPr>
            <w:tcW w:w="1957"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Calibri" w:eastAsia="宋体"/>
                <w:color w:val="auto"/>
                <w:kern w:val="2"/>
                <w:sz w:val="21"/>
                <w:szCs w:val="22"/>
              </w:rPr>
            </w:pPr>
          </w:p>
        </w:tc>
        <w:tc>
          <w:tcPr>
            <w:tcW w:w="36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28、防排烟系统是否按规范设置并保持完好有效；</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存在问题：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无此类问题：□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不涉及：□</w:t>
            </w:r>
          </w:p>
        </w:tc>
      </w:tr>
      <w:tr>
        <w:tblPrEx>
          <w:tblCellMar>
            <w:top w:w="0" w:type="dxa"/>
            <w:left w:w="108" w:type="dxa"/>
            <w:bottom w:w="0" w:type="dxa"/>
            <w:right w:w="108" w:type="dxa"/>
          </w:tblCellMar>
        </w:tblPrEx>
        <w:trPr>
          <w:jc w:val="center"/>
        </w:trPr>
        <w:tc>
          <w:tcPr>
            <w:tcW w:w="1957"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Calibri" w:eastAsia="宋体"/>
                <w:color w:val="auto"/>
                <w:kern w:val="2"/>
                <w:sz w:val="21"/>
                <w:szCs w:val="22"/>
              </w:rPr>
            </w:pPr>
          </w:p>
        </w:tc>
        <w:tc>
          <w:tcPr>
            <w:tcW w:w="36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29、泡沫灭火系统、气体灭火系统等是否按规范设置并保持完好有效；</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存在问题：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无此类问题：□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不涉及：□</w:t>
            </w:r>
          </w:p>
        </w:tc>
      </w:tr>
      <w:tr>
        <w:tblPrEx>
          <w:tblCellMar>
            <w:top w:w="0" w:type="dxa"/>
            <w:left w:w="108" w:type="dxa"/>
            <w:bottom w:w="0" w:type="dxa"/>
            <w:right w:w="108" w:type="dxa"/>
          </w:tblCellMar>
        </w:tblPrEx>
        <w:trPr>
          <w:jc w:val="center"/>
        </w:trPr>
        <w:tc>
          <w:tcPr>
            <w:tcW w:w="1957"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Calibri" w:eastAsia="宋体"/>
                <w:color w:val="auto"/>
                <w:kern w:val="2"/>
                <w:sz w:val="21"/>
                <w:szCs w:val="22"/>
              </w:rPr>
            </w:pPr>
          </w:p>
        </w:tc>
        <w:tc>
          <w:tcPr>
            <w:tcW w:w="36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30、消防应急照明和疏散指示标志是否按规范设置并保持完好有效；</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存在问题：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无此类问题：□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不涉及：□</w:t>
            </w:r>
          </w:p>
        </w:tc>
      </w:tr>
      <w:tr>
        <w:tblPrEx>
          <w:tblCellMar>
            <w:top w:w="0" w:type="dxa"/>
            <w:left w:w="108" w:type="dxa"/>
            <w:bottom w:w="0" w:type="dxa"/>
            <w:right w:w="108" w:type="dxa"/>
          </w:tblCellMar>
        </w:tblPrEx>
        <w:trPr>
          <w:jc w:val="center"/>
        </w:trPr>
        <w:tc>
          <w:tcPr>
            <w:tcW w:w="1957"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Calibri" w:eastAsia="宋体"/>
                <w:color w:val="auto"/>
                <w:kern w:val="2"/>
                <w:sz w:val="21"/>
                <w:szCs w:val="22"/>
              </w:rPr>
            </w:pPr>
          </w:p>
        </w:tc>
        <w:tc>
          <w:tcPr>
            <w:tcW w:w="36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31、灭火器等消防器材配件是否按规范设置并保持完好有效；</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存在问题：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无此类问题：□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不涉及：□</w:t>
            </w:r>
          </w:p>
        </w:tc>
      </w:tr>
      <w:tr>
        <w:tblPrEx>
          <w:tblCellMar>
            <w:top w:w="0" w:type="dxa"/>
            <w:left w:w="108" w:type="dxa"/>
            <w:bottom w:w="0" w:type="dxa"/>
            <w:right w:w="108" w:type="dxa"/>
          </w:tblCellMar>
        </w:tblPrEx>
        <w:trPr>
          <w:trHeight w:val="1220" w:hRule="atLeast"/>
          <w:jc w:val="center"/>
        </w:trPr>
        <w:tc>
          <w:tcPr>
            <w:tcW w:w="195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center"/>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其他</w:t>
            </w:r>
          </w:p>
        </w:tc>
        <w:tc>
          <w:tcPr>
            <w:tcW w:w="3673"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32、是否存在其他消防安全违法违规行为。</w:t>
            </w:r>
          </w:p>
        </w:tc>
        <w:tc>
          <w:tcPr>
            <w:tcW w:w="330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0" w:lineRule="atLeast"/>
              <w:jc w:val="left"/>
              <w:textAlignment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kern w:val="0"/>
                <w:sz w:val="18"/>
                <w:szCs w:val="18"/>
              </w:rPr>
              <w:t>存在问题：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无此类问题：□</w:t>
            </w:r>
            <w:r>
              <w:rPr>
                <w:rFonts w:hint="eastAsia" w:ascii="方正仿宋_GBK" w:hAnsi="方正仿宋_GBK" w:eastAsia="方正仿宋_GBK" w:cs="方正仿宋_GBK"/>
                <w:color w:val="auto"/>
                <w:kern w:val="0"/>
                <w:sz w:val="18"/>
                <w:szCs w:val="18"/>
              </w:rPr>
              <w:br w:type="textWrapping"/>
            </w:r>
            <w:r>
              <w:rPr>
                <w:rFonts w:hint="eastAsia" w:ascii="方正仿宋_GBK" w:hAnsi="方正仿宋_GBK" w:eastAsia="方正仿宋_GBK" w:cs="方正仿宋_GBK"/>
                <w:color w:val="auto"/>
                <w:kern w:val="0"/>
                <w:sz w:val="18"/>
                <w:szCs w:val="18"/>
              </w:rPr>
              <w:t>不涉及：□</w:t>
            </w:r>
          </w:p>
        </w:tc>
      </w:tr>
      <w:tr>
        <w:tblPrEx>
          <w:tblCellMar>
            <w:top w:w="0" w:type="dxa"/>
            <w:left w:w="108" w:type="dxa"/>
            <w:bottom w:w="0" w:type="dxa"/>
            <w:right w:w="108" w:type="dxa"/>
          </w:tblCellMar>
        </w:tblPrEx>
        <w:trPr>
          <w:jc w:val="center"/>
        </w:trPr>
        <w:tc>
          <w:tcPr>
            <w:tcW w:w="8938"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tabs>
                <w:tab w:val="left" w:pos="3025"/>
              </w:tabs>
              <w:adjustRightInd w:val="0"/>
              <w:snapToGrid w:val="0"/>
              <w:spacing w:line="0" w:lineRule="atLeast"/>
              <w:jc w:val="left"/>
              <w:textAlignment w:val="center"/>
              <w:rPr>
                <w:rFonts w:hint="eastAsia" w:ascii="方正仿宋_GBK" w:hAnsi="方正仿宋_GBK" w:eastAsia="方正仿宋_GBK" w:cs="方正仿宋_GBK"/>
                <w:color w:val="auto"/>
                <w:kern w:val="0"/>
                <w:sz w:val="18"/>
                <w:szCs w:val="18"/>
              </w:rPr>
            </w:pPr>
            <w:r>
              <w:rPr>
                <w:rFonts w:hint="eastAsia" w:ascii="方正仿宋_GBK" w:hAnsi="方正仿宋_GBK" w:eastAsia="方正仿宋_GBK" w:cs="方正仿宋_GBK"/>
                <w:color w:val="auto"/>
                <w:kern w:val="0"/>
                <w:sz w:val="18"/>
                <w:szCs w:val="18"/>
              </w:rPr>
              <w:t>注：1</w:t>
            </w:r>
            <w:r>
              <w:rPr>
                <w:rFonts w:hint="eastAsia" w:ascii="方正仿宋_GBK" w:hAnsi="方正仿宋_GBK" w:eastAsia="方正仿宋_GBK" w:cs="方正仿宋_GBK"/>
                <w:color w:val="auto"/>
                <w:szCs w:val="32"/>
              </w:rPr>
              <w:t>﹒</w:t>
            </w:r>
            <w:r>
              <w:rPr>
                <w:rFonts w:hint="eastAsia" w:ascii="方正仿宋_GBK" w:hAnsi="方正仿宋_GBK" w:eastAsia="方正仿宋_GBK" w:cs="方正仿宋_GBK"/>
                <w:color w:val="auto"/>
                <w:kern w:val="0"/>
                <w:sz w:val="18"/>
                <w:szCs w:val="18"/>
              </w:rPr>
              <w:t>现场核查时，需采集下列图片：单位大门、主要生产现场、消防验收意见书、消防维保合同、室内外消火栓压力测试、火灾报警主机、喷淋</w:t>
            </w:r>
          </w:p>
        </w:tc>
      </w:tr>
    </w:tbl>
    <w:p>
      <w:pPr>
        <w:pStyle w:val="2"/>
        <w:rPr>
          <w:rFonts w:hint="default" w:ascii="Times New Roman" w:hAnsi="Times New Roman" w:eastAsia="方正仿宋_GBK" w:cs="Times New Roman"/>
          <w:color w:val="auto"/>
          <w:szCs w:val="32"/>
        </w:rPr>
        <w:sectPr>
          <w:footerReference r:id="rId3" w:type="default"/>
          <w:pgSz w:w="11917" w:h="16838"/>
          <w:pgMar w:top="1984" w:right="1446" w:bottom="1644" w:left="1446" w:header="851" w:footer="1361" w:gutter="0"/>
          <w:cols w:space="0" w:num="1"/>
          <w:rtlGutter w:val="0"/>
          <w:docGrid w:type="lines" w:linePitch="601" w:charSpace="0"/>
        </w:sectPr>
      </w:pPr>
    </w:p>
    <w:p>
      <w:pPr>
        <w:pStyle w:val="6"/>
        <w:keepNext w:val="0"/>
        <w:keepLines w:val="0"/>
        <w:pageBreakBefore w:val="0"/>
        <w:widowControl w:val="0"/>
        <w:numPr>
          <w:ilvl w:val="0"/>
          <w:numId w:val="0"/>
        </w:numPr>
        <w:kinsoku/>
        <w:wordWrap/>
        <w:overflowPunct/>
        <w:topLinePunct w:val="0"/>
        <w:bidi w:val="0"/>
        <w:snapToGrid w:val="0"/>
        <w:spacing w:line="594" w:lineRule="exact"/>
        <w:jc w:val="left"/>
        <w:textAlignment w:val="auto"/>
        <w:rPr>
          <w:rFonts w:hint="default" w:ascii="Times New Roman" w:hAnsi="Times New Roman" w:cs="Times New Roman"/>
          <w:color w:val="auto"/>
        </w:rPr>
      </w:pPr>
    </w:p>
    <w:sectPr>
      <w:footerReference r:id="rId4" w:type="default"/>
      <w:pgSz w:w="16838" w:h="11917" w:orient="landscape"/>
      <w:pgMar w:top="1446" w:right="1984" w:bottom="1446" w:left="1644" w:header="851" w:footer="1361" w:gutter="0"/>
      <w:cols w:space="0" w:num="1"/>
      <w:rtlGutter w:val="0"/>
      <w:docGrid w:type="lines" w:linePitch="60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Verdana">
    <w:altName w:val="Ubuntu"/>
    <w:panose1 w:val="020B0604030504040204"/>
    <w:charset w:val="00"/>
    <w:family w:val="swiss"/>
    <w:pitch w:val="default"/>
    <w:sig w:usb0="00000000" w:usb1="00000000"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Ubuntu">
    <w:panose1 w:val="020B0604030602030204"/>
    <w:charset w:val="00"/>
    <w:family w:val="auto"/>
    <w:pitch w:val="default"/>
    <w:sig w:usb0="E00002FF" w:usb1="5000205B" w:usb2="00000000" w:usb3="00000000" w:csb0="2000009F" w:csb1="5601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right="320" w:rightChars="100" w:firstLine="280" w:firstLineChars="100"/>
      <w:rPr>
        <w:rStyle w:val="12"/>
        <w:rFonts w:hint="eastAsia" w:ascii="宋体" w:hAnsi="宋体" w:eastAsia="宋体"/>
        <w:sz w:val="28"/>
        <w:szCs w:val="28"/>
      </w:rPr>
    </w:pPr>
    <w:r>
      <w:rPr>
        <w:rStyle w:val="12"/>
        <w:rFonts w:hint="eastAsia" w:ascii="宋体" w:hAnsi="宋体" w:eastAsia="宋体"/>
        <w:sz w:val="28"/>
        <w:szCs w:val="28"/>
      </w:rPr>
      <w:t xml:space="preserve">— </w:t>
    </w:r>
    <w:r>
      <w:rPr>
        <w:rFonts w:ascii="宋体" w:hAnsi="宋体" w:eastAsia="宋体"/>
        <w:sz w:val="28"/>
        <w:szCs w:val="28"/>
      </w:rPr>
      <w:fldChar w:fldCharType="begin"/>
    </w:r>
    <w:r>
      <w:rPr>
        <w:rStyle w:val="12"/>
        <w:rFonts w:ascii="宋体" w:hAnsi="宋体" w:eastAsia="宋体"/>
        <w:sz w:val="28"/>
        <w:szCs w:val="28"/>
      </w:rPr>
      <w:instrText xml:space="preserve">PAGE  </w:instrText>
    </w:r>
    <w:r>
      <w:rPr>
        <w:rFonts w:ascii="宋体" w:hAnsi="宋体" w:eastAsia="宋体"/>
        <w:sz w:val="28"/>
        <w:szCs w:val="28"/>
      </w:rPr>
      <w:fldChar w:fldCharType="separate"/>
    </w:r>
    <w:r>
      <w:rPr>
        <w:rStyle w:val="12"/>
        <w:rFonts w:ascii="宋体" w:hAnsi="宋体" w:eastAsia="宋体"/>
        <w:sz w:val="28"/>
        <w:szCs w:val="28"/>
      </w:rPr>
      <w:t>1</w:t>
    </w:r>
    <w:r>
      <w:rPr>
        <w:rFonts w:ascii="宋体" w:hAnsi="宋体" w:eastAsia="宋体"/>
        <w:sz w:val="28"/>
        <w:szCs w:val="28"/>
      </w:rPr>
      <w:fldChar w:fldCharType="end"/>
    </w:r>
    <w:r>
      <w:rPr>
        <w:rStyle w:val="12"/>
        <w:rFonts w:hint="eastAsia" w:ascii="宋体" w:hAnsi="宋体" w:eastAsia="宋体"/>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D5D743"/>
    <w:multiLevelType w:val="singleLevel"/>
    <w:tmpl w:val="E0D5D74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320"/>
  <w:drawingGridVerticalSpacing w:val="30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lODJjZmQ2OGU3NDljNGEyZWNjNzViZTI0Nzk3ZjkifQ=="/>
  </w:docVars>
  <w:rsids>
    <w:rsidRoot w:val="230D1981"/>
    <w:rsid w:val="02807C93"/>
    <w:rsid w:val="070706D4"/>
    <w:rsid w:val="073203BA"/>
    <w:rsid w:val="08B50148"/>
    <w:rsid w:val="09910DFC"/>
    <w:rsid w:val="0A476047"/>
    <w:rsid w:val="0FF717F2"/>
    <w:rsid w:val="10172A22"/>
    <w:rsid w:val="150111C0"/>
    <w:rsid w:val="1613160A"/>
    <w:rsid w:val="163D471C"/>
    <w:rsid w:val="16AA0226"/>
    <w:rsid w:val="1B542134"/>
    <w:rsid w:val="1BB450FC"/>
    <w:rsid w:val="1D642C53"/>
    <w:rsid w:val="1E4D0EE3"/>
    <w:rsid w:val="1F766EFB"/>
    <w:rsid w:val="22C828B5"/>
    <w:rsid w:val="230D1981"/>
    <w:rsid w:val="23FD0735"/>
    <w:rsid w:val="2481732E"/>
    <w:rsid w:val="2A793E12"/>
    <w:rsid w:val="2E8D0E32"/>
    <w:rsid w:val="2EA939A9"/>
    <w:rsid w:val="31191CD9"/>
    <w:rsid w:val="36550158"/>
    <w:rsid w:val="370247DB"/>
    <w:rsid w:val="3D78686B"/>
    <w:rsid w:val="41BE24F6"/>
    <w:rsid w:val="420103D8"/>
    <w:rsid w:val="43735176"/>
    <w:rsid w:val="488952FB"/>
    <w:rsid w:val="48BF720D"/>
    <w:rsid w:val="4ABE23B4"/>
    <w:rsid w:val="4E096388"/>
    <w:rsid w:val="4EC930CF"/>
    <w:rsid w:val="50690978"/>
    <w:rsid w:val="57C2649C"/>
    <w:rsid w:val="5C661F85"/>
    <w:rsid w:val="5F767138"/>
    <w:rsid w:val="61F52108"/>
    <w:rsid w:val="627C1C15"/>
    <w:rsid w:val="73A405BE"/>
    <w:rsid w:val="781B1B3F"/>
    <w:rsid w:val="789178A1"/>
    <w:rsid w:val="79C5068F"/>
    <w:rsid w:val="BB67656E"/>
    <w:rsid w:val="FF7E9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3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4">
    <w:name w:val="Normal Indent"/>
    <w:basedOn w:val="1"/>
    <w:qFormat/>
    <w:uiPriority w:val="0"/>
    <w:pPr>
      <w:ind w:firstLine="420" w:firstLineChars="200"/>
    </w:pPr>
    <w:rPr>
      <w:rFonts w:hint="eastAsia"/>
    </w:rPr>
  </w:style>
  <w:style w:type="paragraph" w:styleId="5">
    <w:name w:val="Body Text"/>
    <w:basedOn w:val="1"/>
    <w:qFormat/>
    <w:uiPriority w:val="0"/>
    <w:pPr>
      <w:spacing w:line="0" w:lineRule="atLeast"/>
    </w:pPr>
    <w:rPr>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12">
    <w:name w:val="page number"/>
    <w:basedOn w:val="11"/>
    <w:qFormat/>
    <w:uiPriority w:val="0"/>
  </w:style>
  <w:style w:type="paragraph" w:customStyle="1" w:styleId="13">
    <w:name w:val="_Style 4"/>
    <w:basedOn w:val="1"/>
    <w:qFormat/>
    <w:uiPriority w:val="0"/>
    <w:pPr>
      <w:widowControl/>
      <w:spacing w:after="160" w:line="240" w:lineRule="exact"/>
      <w:jc w:val="left"/>
    </w:pPr>
    <w:rPr>
      <w:rFonts w:ascii="Verdana" w:hAnsi="Verdana" w:cs="Verdana"/>
      <w:kern w:val="0"/>
      <w:sz w:val="24"/>
      <w:lang w:eastAsia="en-US"/>
    </w:rPr>
  </w:style>
  <w:style w:type="paragraph" w:customStyle="1" w:styleId="14">
    <w:name w:val="列出段落1"/>
    <w:basedOn w:val="1"/>
    <w:qFormat/>
    <w:uiPriority w:val="99"/>
    <w:pPr>
      <w:ind w:firstLine="420" w:firstLineChars="200"/>
    </w:pPr>
  </w:style>
  <w:style w:type="character" w:customStyle="1" w:styleId="15">
    <w:name w:val="font0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5025</Words>
  <Characters>5102</Characters>
  <Lines>0</Lines>
  <Paragraphs>0</Paragraphs>
  <TotalTime>18</TotalTime>
  <ScaleCrop>false</ScaleCrop>
  <LinksUpToDate>false</LinksUpToDate>
  <CharactersWithSpaces>5196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2021-05-27T08:00:00Z</dcterms:created>
  <dc:creator>大猫</dc:creator>
  <cp:lastModifiedBy> </cp:lastModifiedBy>
  <cp:lastPrinted>2023-02-18T03:27:00Z</cp:lastPrinted>
  <dcterms:modified xsi:type="dcterms:W3CDTF">2023-10-10T10:28:10Z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BD3B3AF432E642F78C5A6D1612163339</vt:lpwstr>
  </property>
  <property fmtid="{D5CDD505-2E9C-101B-9397-08002B2CF9AE}" pid="4" name="KSOSaveFontToCloudKey">
    <vt:lpwstr>689417194_btnclosed</vt:lpwstr>
  </property>
</Properties>
</file>