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2020年度陈食街道根治欠薪冬季专项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行动工作方案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为进一步落实党中央、国务院“六保”“六稳”决策部署和区委、区政府工作要求，全面贯彻实施《保障农民工工资支付条例》，确保农民工按时足额拿到工资，维护农民工合法权益和社会和谐稳定，根据《重庆市永川区保障农民工工资支付专项工作领导小组办公室关于开展根治欠薪冬季专项行动的通知》(永农工支办发﹝2020﹞12号)相关规定和要求，决定深入开展2020年度根治欠薪冬季专项行动，现制定行动方案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bookmarkStart w:id="0" w:name="_GoBack"/>
      <w:bookmarkEnd w:id="0"/>
      <w:r>
        <w:rPr>
          <w:rFonts w:hint="eastAsia" w:ascii="方正黑体_GBK" w:hAnsi="方正黑体_GBK" w:eastAsia="方正黑体_GBK" w:cs="方正黑体_GBK"/>
          <w:i w:val="0"/>
          <w:caps w:val="0"/>
          <w:color w:val="000000"/>
          <w:spacing w:val="0"/>
          <w:sz w:val="32"/>
          <w:szCs w:val="32"/>
        </w:rPr>
        <w:t>一、行动重点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此次行动以工程建设领域和劳动密集型加工制造等行业为重点，突出政府投资工程项目和国企项目，易受疫情影响的加工制造业、餐饮住宿健身、装饰装修等居民服务业，以及发生过工资拖欠的其他企业。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二、行动内容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点核查建设领域“一金三制”制度落实情况:一是用人单位依法按时足额支付农民工工资情况;二是政府投资工程项目、国企项目及各类政府与社会资本合作项目审批管理、资金监管和工程款(人工费)按期足额拨付情况;三是工程建设领域落实农民工工资专用账户、施工总承包单位代发工资、农民工实名制管理、工资保证金存储、维权信息公示等保障工资支付制度情况。针对辖区企业，重点核查企业与员工签订合同情况和用人单位是否依法按时足额支付员工工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三、时间安排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实地排查(2020年12月21日至2020年12月25日)。街道规环办、交通办、经发办等部门按照行业负责原则，做好管辖范围内保障农民工工资发放排查工作。社保所工作人员张环宇联系交通办，共同参与公路建设领域排查工作;庞红梅联系经发办，共同参与辖区企业排查工作;张世菊联系规环办，共同参与建设领域和芋荷湾村国企项目排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集中研判(2020年12月26日至12月31日)。各行业主管部门和社保所要按照根治欠薪冬季专项行动要求，对发现的欠薪隐患先行处置;对实地核查发现的案件，召开专题会议，集中研判，逐案分析研究，做到一案一专班，一案一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督促整改落实(2020年1月1日至2021年2月7日)。各行业主管部门要按照“谁主管谁负责、谁许可谁负责”的原则，对核查中发现的问题严格按照要求进行整改，社保所要积极参与配合，政府投资工程项目、国企项目以及各类政府与社会资本合作项目拖欠农民工工资案件在2020年底前全部清零，其他欠薪案件在2021年春节前动态清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(一)加强部门协同配合。要按照根治拖欠农民工工资工作协调机制，落实根治欠薪快速联动机制，各部门加强工作配合，形成工作合力，共同做好根治欠薪工作。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严厉打击违法行为。对排查中发现的问题，各行业主管部门要主动作为，积极处置，切实督促整改落实到位，对拒不进行整改的企业，要及时上报街道办事处和区级相关部门，开展多部门联合打击，保持对恶意欠薪行为的高压态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认真做好材料取证工作。在排查过程中，要按照区级要求做好检查资料、迎检资料、照片等相关材料取证，排查行动结束后，要及时总结经验，梳理问题，分析原因，提出对策建议，认真整改，确保街道无拖欠民工工资情况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righ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righ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right"/>
        <w:textAlignment w:val="auto"/>
        <w:outlineLvl w:val="9"/>
        <w:rPr>
          <w:rFonts w:hint="eastAsia" w:ascii="方正仿宋_GBK" w:hAnsi="方正仿宋_GBK" w:eastAsia="方正仿宋_GBK" w:cs="方正仿宋_GBK"/>
          <w:i w:val="0"/>
          <w:caps w:val="0"/>
          <w:color w:val="000000"/>
          <w:spacing w:val="0"/>
          <w:sz w:val="32"/>
          <w:szCs w:val="32"/>
        </w:rPr>
      </w:pPr>
      <w:bookmarkStart w:id="1" w:name="_GoBack"/>
      <w:bookmarkEnd w:id="1"/>
      <w:r>
        <w:rPr>
          <w:rFonts w:hint="eastAsia" w:ascii="方正仿宋_GBK" w:hAnsi="方正仿宋_GBK" w:eastAsia="方正仿宋_GBK" w:cs="方正仿宋_GBK"/>
          <w:i w:val="0"/>
          <w:caps w:val="0"/>
          <w:color w:val="000000"/>
          <w:spacing w:val="0"/>
          <w:sz w:val="32"/>
          <w:szCs w:val="32"/>
        </w:rPr>
        <w:t>重庆市永川区陈食街道办事处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                       2020年12月21日</w:t>
      </w: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8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党政办</dc:creator>
  <cp:lastModifiedBy>陈食街道办事处</cp:lastModifiedBy>
  <dcterms:modified xsi:type="dcterms:W3CDTF">2021-03-14T07:14:54Z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