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jc w:val="center"/>
        <w:textAlignment w:val="auto"/>
      </w:pPr>
      <w:r>
        <w:rPr>
          <w:rFonts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ascii="方正仿宋_GBK" w:hAnsi="方正仿宋_GBK" w:eastAsia="方正仿宋_GBK" w:cs="方正仿宋_GBK"/>
          <w:sz w:val="31"/>
          <w:szCs w:val="31"/>
        </w:rPr>
        <w:t>板桥府发〔20</w:t>
      </w:r>
      <w:r>
        <w:rPr>
          <w:rFonts w:hint="eastAsia" w:ascii="方正仿宋_GBK" w:hAnsi="方正仿宋_GBK" w:eastAsia="方正仿宋_GBK" w:cs="方正仿宋_GBK"/>
          <w:sz w:val="31"/>
          <w:szCs w:val="31"/>
        </w:rPr>
        <w:t>21〕100号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bookmarkStart w:id="0" w:name="_GoBack"/>
      <w:r>
        <w:rPr>
          <w:rFonts w:hint="eastAsia" w:ascii="方正小标宋_GBK" w:hAnsi="方正小标宋_GBK" w:eastAsia="方正小标宋_GBK" w:cs="方正小标宋_GBK"/>
          <w:sz w:val="43"/>
          <w:szCs w:val="43"/>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关于调整农民工工资清欠专项行动领导小组的通知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eastAsia" w:ascii="方正仿宋_GBK" w:hAnsi="方正仿宋_GBK" w:eastAsia="方正仿宋_GBK" w:cs="方正仿宋_GBK"/>
          <w:sz w:val="31"/>
          <w:szCs w:val="31"/>
        </w:rPr>
        <w:t>各村（社区）、各相关部门、各相关单位：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为认真贯彻落实上级部门预防和解决拖欠农民工工资有关问题的文件精神，预防辖区内企事业单位拖欠农民工工资案件的发生和对已发生案件的快速及时处置，切实保护农民工合法权益，维护镇经济社会稳定。经研究决定，调整农民工工资拖欠清理专项行动领导小组，组成人员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组  长：周  萍    党委副书记、镇长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副组长：唐恩财    党委副书记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尚东川    党委委员、武装部长、副镇长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盘  宏    党委委员、政法书记、副镇长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周  利    党委委员、组织委员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成  员：王冠楠    党政办主任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杨书波    平安办主任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        冷先红    规环办主任                  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        肖必中    农业服务中心主任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        黎朝波    应急办主任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        康钦禄    财政办主任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        涂珍元    派出所所长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spacing w:val="-20"/>
        </w:rPr>
      </w:pPr>
      <w:r>
        <w:rPr>
          <w:rFonts w:hint="eastAsia" w:ascii="方正仿宋_GBK" w:hAnsi="方正仿宋_GBK" w:eastAsia="方正仿宋_GBK" w:cs="方正仿宋_GBK"/>
          <w:sz w:val="31"/>
          <w:szCs w:val="31"/>
        </w:rPr>
        <w:t>        唐春燕    </w:t>
      </w:r>
      <w:r>
        <w:rPr>
          <w:rFonts w:hint="eastAsia" w:ascii="方正仿宋_GBK" w:hAnsi="方正仿宋_GBK" w:eastAsia="方正仿宋_GBK" w:cs="方正仿宋_GBK"/>
          <w:spacing w:val="-20"/>
          <w:sz w:val="31"/>
          <w:szCs w:val="31"/>
        </w:rPr>
        <w:t>产业发展服务中心主任（经发办负责人）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        苏东梅    劳动就业和社会保障服务所所长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        江  帆    民社办主任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        张庭政    司法所所长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        各村（社区）委员会主任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领导小组下设办公室，周利兼任办公室主任，办公地点设在板桥镇劳动就业和社会保障服务所，办公室成员由苏东梅、杨书波、黎朝波、冷先红、肖必中等同志组成。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                           2021年7月28日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D77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2022-08-04T15:12:54Z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