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5A" w:rsidRDefault="00CD465A" w:rsidP="00CD465A">
      <w:pPr>
        <w:widowControl/>
        <w:spacing w:line="594" w:lineRule="exact"/>
        <w:jc w:val="center"/>
        <w:rPr>
          <w:rFonts w:ascii="Times New Roman" w:eastAsia="方正小标宋_GBK" w:hAnsi="Times New Roman" w:hint="eastAsia"/>
          <w:color w:val="333333"/>
          <w:kern w:val="0"/>
          <w:sz w:val="44"/>
          <w:szCs w:val="44"/>
          <w:lang/>
        </w:rPr>
      </w:pPr>
      <w:r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  <w:t>永川区统计局</w:t>
      </w:r>
      <w:r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  <w:t>解读</w:t>
      </w:r>
      <w:r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  <w:t>202</w:t>
      </w:r>
      <w:r>
        <w:rPr>
          <w:rFonts w:ascii="Times New Roman" w:eastAsia="方正小标宋_GBK" w:hAnsi="Times New Roman" w:hint="eastAsia"/>
          <w:color w:val="333333"/>
          <w:kern w:val="0"/>
          <w:sz w:val="44"/>
          <w:szCs w:val="44"/>
          <w:lang/>
        </w:rPr>
        <w:t>5</w:t>
      </w:r>
      <w:r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  <w:t>年</w:t>
      </w:r>
      <w:r>
        <w:rPr>
          <w:rFonts w:ascii="Times New Roman" w:eastAsia="方正小标宋_GBK" w:hAnsi="Times New Roman" w:hint="eastAsia"/>
          <w:color w:val="333333"/>
          <w:kern w:val="0"/>
          <w:sz w:val="44"/>
          <w:szCs w:val="44"/>
          <w:lang/>
        </w:rPr>
        <w:t>上半年</w:t>
      </w:r>
    </w:p>
    <w:p w:rsidR="004520B7" w:rsidRDefault="00CD465A" w:rsidP="00CD465A">
      <w:pPr>
        <w:widowControl/>
        <w:spacing w:line="594" w:lineRule="exact"/>
        <w:jc w:val="center"/>
        <w:rPr>
          <w:rFonts w:ascii="Times New Roman" w:eastAsia="方正小标宋_GBK" w:hAnsi="Times New Roman" w:hint="eastAsia"/>
          <w:color w:val="333333"/>
          <w:kern w:val="0"/>
          <w:sz w:val="44"/>
          <w:szCs w:val="44"/>
          <w:lang/>
        </w:rPr>
      </w:pPr>
      <w:r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  <w:t>主要经济指标数据</w:t>
      </w:r>
    </w:p>
    <w:p w:rsidR="00CD465A" w:rsidRPr="00CD465A" w:rsidRDefault="00CD465A" w:rsidP="00CD465A">
      <w:pPr>
        <w:widowControl/>
        <w:spacing w:line="594" w:lineRule="exact"/>
        <w:jc w:val="center"/>
        <w:rPr>
          <w:rFonts w:ascii="Times New Roman" w:eastAsia="方正小标宋_GBK" w:hAnsi="Times New Roman"/>
          <w:color w:val="333333"/>
          <w:kern w:val="0"/>
          <w:sz w:val="44"/>
          <w:szCs w:val="44"/>
          <w:lang/>
        </w:rPr>
      </w:pP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20"/>
        </w:rPr>
      </w:pPr>
      <w:r>
        <w:rPr>
          <w:rFonts w:ascii="Times New Roman" w:eastAsia="方正仿宋_GBK" w:hAnsi="Times New Roman"/>
          <w:sz w:val="32"/>
          <w:szCs w:val="20"/>
        </w:rPr>
        <w:t>2025</w:t>
      </w:r>
      <w:r>
        <w:rPr>
          <w:rFonts w:ascii="Times New Roman" w:eastAsia="方正仿宋_GBK" w:hAnsi="Times New Roman"/>
          <w:sz w:val="32"/>
          <w:szCs w:val="20"/>
        </w:rPr>
        <w:t>年上半年，全区坚持以习近平新时代中国特色社会主义思想为指导，</w:t>
      </w:r>
      <w:r>
        <w:rPr>
          <w:rFonts w:ascii="Times New Roman" w:eastAsia="方正仿宋_GBK" w:hAnsi="Times New Roman"/>
          <w:sz w:val="32"/>
          <w:szCs w:val="32"/>
        </w:rPr>
        <w:t>深入贯彻落实党的二十大和二十届二中、三中全会精神</w:t>
      </w:r>
      <w:r>
        <w:rPr>
          <w:rFonts w:ascii="Times New Roman" w:eastAsia="方正仿宋_GBK" w:hAnsi="Times New Roman"/>
          <w:sz w:val="32"/>
          <w:szCs w:val="20"/>
        </w:rPr>
        <w:t>，紧扣</w:t>
      </w:r>
      <w:r>
        <w:rPr>
          <w:rFonts w:ascii="Times New Roman" w:eastAsia="方正仿宋_GBK" w:hAnsi="Times New Roman"/>
          <w:sz w:val="32"/>
          <w:szCs w:val="20"/>
        </w:rPr>
        <w:t>“</w:t>
      </w:r>
      <w:r>
        <w:rPr>
          <w:rFonts w:ascii="Times New Roman" w:eastAsia="方正仿宋_GBK" w:hAnsi="Times New Roman"/>
          <w:sz w:val="32"/>
          <w:szCs w:val="20"/>
        </w:rPr>
        <w:t>稳进增效、改革创新、除险固安、强企富民</w:t>
      </w:r>
      <w:r>
        <w:rPr>
          <w:rFonts w:ascii="Times New Roman" w:eastAsia="方正仿宋_GBK" w:hAnsi="Times New Roman"/>
          <w:sz w:val="32"/>
          <w:szCs w:val="20"/>
        </w:rPr>
        <w:t>”</w:t>
      </w:r>
      <w:r>
        <w:rPr>
          <w:rFonts w:ascii="Times New Roman" w:eastAsia="方正仿宋_GBK" w:hAnsi="Times New Roman"/>
          <w:sz w:val="32"/>
          <w:szCs w:val="20"/>
        </w:rPr>
        <w:t>工作导向，扎实推进高质量发展。全区主要经济指标</w:t>
      </w:r>
      <w:r>
        <w:rPr>
          <w:rFonts w:ascii="Times New Roman" w:eastAsia="方正仿宋_GBK" w:hAnsi="Times New Roman"/>
          <w:sz w:val="32"/>
          <w:szCs w:val="32"/>
        </w:rPr>
        <w:t>保持</w:t>
      </w:r>
      <w:r>
        <w:rPr>
          <w:rFonts w:ascii="Times New Roman" w:eastAsia="方正仿宋_GBK" w:hAnsi="Times New Roman"/>
          <w:sz w:val="32"/>
          <w:szCs w:val="32"/>
        </w:rPr>
        <w:t>稳定</w:t>
      </w:r>
      <w:r>
        <w:rPr>
          <w:rFonts w:ascii="Times New Roman" w:eastAsia="方正仿宋_GBK" w:hAnsi="Times New Roman"/>
          <w:sz w:val="32"/>
          <w:szCs w:val="32"/>
        </w:rPr>
        <w:t>增长</w:t>
      </w:r>
      <w:r>
        <w:rPr>
          <w:rFonts w:ascii="Times New Roman" w:eastAsia="方正仿宋_GBK" w:hAnsi="Times New Roman"/>
          <w:sz w:val="32"/>
          <w:szCs w:val="20"/>
        </w:rPr>
        <w:t>，创新动能加速集聚，民生福祉稳步提升</w:t>
      </w:r>
      <w:r>
        <w:rPr>
          <w:rFonts w:ascii="Times New Roman" w:eastAsia="方正仿宋_GBK" w:hAnsi="Times New Roman"/>
          <w:sz w:val="32"/>
          <w:szCs w:val="20"/>
        </w:rPr>
        <w:t>，</w:t>
      </w:r>
      <w:r>
        <w:rPr>
          <w:rFonts w:ascii="Times New Roman" w:eastAsia="方正仿宋_GBK" w:hAnsi="Times New Roman"/>
          <w:sz w:val="32"/>
          <w:szCs w:val="32"/>
        </w:rPr>
        <w:t>高质量发展基础进一步巩固。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（一）</w:t>
      </w:r>
      <w:r>
        <w:rPr>
          <w:rFonts w:ascii="Times New Roman" w:eastAsia="方正楷体_GBK" w:hAnsi="Times New Roman"/>
          <w:sz w:val="32"/>
          <w:szCs w:val="32"/>
        </w:rPr>
        <w:t>地区生产总值</w:t>
      </w:r>
      <w:r>
        <w:rPr>
          <w:rFonts w:ascii="Times New Roman" w:eastAsia="方正楷体_GBK" w:hAnsi="Times New Roman"/>
          <w:sz w:val="32"/>
          <w:szCs w:val="32"/>
        </w:rPr>
        <w:t>稳定</w:t>
      </w:r>
      <w:r>
        <w:rPr>
          <w:rFonts w:ascii="Times New Roman" w:eastAsia="方正楷体_GBK" w:hAnsi="Times New Roman"/>
          <w:sz w:val="32"/>
          <w:szCs w:val="32"/>
        </w:rPr>
        <w:t>增长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全区地区生产总值</w:t>
      </w:r>
      <w:r>
        <w:rPr>
          <w:rFonts w:ascii="Times New Roman" w:eastAsia="方正仿宋_GBK" w:hAnsi="Times New Roman" w:hint="eastAsia"/>
          <w:sz w:val="32"/>
          <w:szCs w:val="32"/>
        </w:rPr>
        <w:t>582.1</w:t>
      </w:r>
      <w:r>
        <w:rPr>
          <w:rFonts w:ascii="Times New Roman" w:eastAsia="方正仿宋_GBK" w:hAnsi="Times New Roman"/>
          <w:sz w:val="32"/>
          <w:szCs w:val="32"/>
        </w:rPr>
        <w:t>亿元，按可比价格计算同比增长</w:t>
      </w:r>
      <w:r>
        <w:rPr>
          <w:rFonts w:ascii="Times New Roman" w:eastAsia="方正仿宋_GBK" w:hAnsi="Times New Roman" w:hint="eastAsia"/>
          <w:sz w:val="32"/>
          <w:szCs w:val="32"/>
        </w:rPr>
        <w:t>5.0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，经济总量稳步扩大</w:t>
      </w:r>
      <w:r>
        <w:rPr>
          <w:rFonts w:ascii="Times New Roman" w:eastAsia="方正仿宋_GBK" w:hAnsi="Times New Roman"/>
          <w:sz w:val="32"/>
          <w:szCs w:val="32"/>
        </w:rPr>
        <w:t>。从产业结构看，三次产业总体保持平稳增长态势。第一产业增加值</w:t>
      </w:r>
      <w:r>
        <w:rPr>
          <w:rFonts w:ascii="Times New Roman" w:eastAsia="方正仿宋_GBK" w:hAnsi="Times New Roman"/>
          <w:sz w:val="32"/>
          <w:szCs w:val="32"/>
        </w:rPr>
        <w:t>30.3</w:t>
      </w:r>
      <w:r>
        <w:rPr>
          <w:rFonts w:ascii="Times New Roman" w:eastAsia="方正仿宋_GBK" w:hAnsi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hint="eastAsia"/>
          <w:sz w:val="32"/>
          <w:szCs w:val="32"/>
        </w:rPr>
        <w:t>1.9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；第二产业增加值</w:t>
      </w:r>
      <w:r>
        <w:rPr>
          <w:rFonts w:ascii="Times New Roman" w:eastAsia="方正仿宋_GBK" w:hAnsi="Times New Roman" w:hint="eastAsia"/>
          <w:sz w:val="32"/>
          <w:szCs w:val="32"/>
        </w:rPr>
        <w:t>248.4</w:t>
      </w:r>
      <w:r>
        <w:rPr>
          <w:rFonts w:ascii="Times New Roman" w:eastAsia="方正仿宋_GBK" w:hAnsi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hint="eastAsia"/>
          <w:sz w:val="32"/>
          <w:szCs w:val="32"/>
        </w:rPr>
        <w:t>4.8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；第三产业增加值</w:t>
      </w:r>
      <w:r>
        <w:rPr>
          <w:rFonts w:ascii="Times New Roman" w:eastAsia="方正仿宋_GBK" w:hAnsi="Times New Roman" w:hint="eastAsia"/>
          <w:sz w:val="32"/>
          <w:szCs w:val="32"/>
        </w:rPr>
        <w:t>303.3</w:t>
      </w:r>
      <w:r>
        <w:rPr>
          <w:rFonts w:ascii="Times New Roman" w:eastAsia="方正仿宋_GBK" w:hAnsi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hint="eastAsia"/>
          <w:sz w:val="32"/>
          <w:szCs w:val="32"/>
        </w:rPr>
        <w:t>5.5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</w:t>
      </w:r>
      <w:r>
        <w:rPr>
          <w:rFonts w:ascii="Times New Roman" w:eastAsia="方正楷体_GBK" w:hAnsi="Times New Roman" w:hint="eastAsia"/>
          <w:sz w:val="32"/>
          <w:szCs w:val="32"/>
        </w:rPr>
        <w:t>二</w:t>
      </w:r>
      <w:r>
        <w:rPr>
          <w:rFonts w:ascii="Times New Roman" w:eastAsia="方正楷体_GBK" w:hAnsi="Times New Roman"/>
          <w:sz w:val="32"/>
          <w:szCs w:val="32"/>
        </w:rPr>
        <w:t>）工业经济</w:t>
      </w:r>
      <w:r>
        <w:rPr>
          <w:rFonts w:ascii="Times New Roman" w:eastAsia="方正楷体_GBK" w:hAnsi="Times New Roman" w:hint="eastAsia"/>
          <w:sz w:val="32"/>
          <w:szCs w:val="32"/>
        </w:rPr>
        <w:t>平稳运行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20"/>
        </w:rPr>
        <w:t>全区</w:t>
      </w:r>
      <w:r>
        <w:rPr>
          <w:rFonts w:ascii="Times New Roman" w:eastAsia="方正仿宋_GBK" w:hAnsi="Times New Roman"/>
          <w:sz w:val="32"/>
          <w:szCs w:val="20"/>
        </w:rPr>
        <w:t>工业增加值</w:t>
      </w:r>
      <w:r>
        <w:rPr>
          <w:rFonts w:ascii="Times New Roman" w:eastAsia="方正仿宋_GBK" w:hAnsi="Times New Roman" w:hint="eastAsia"/>
          <w:sz w:val="32"/>
          <w:szCs w:val="20"/>
        </w:rPr>
        <w:t>183.7</w:t>
      </w:r>
      <w:r>
        <w:rPr>
          <w:rFonts w:ascii="Times New Roman" w:eastAsia="方正仿宋_GBK" w:hAnsi="Times New Roman"/>
          <w:sz w:val="32"/>
          <w:szCs w:val="20"/>
        </w:rPr>
        <w:t>亿元，同比增长</w:t>
      </w:r>
      <w:r>
        <w:rPr>
          <w:rFonts w:ascii="Times New Roman" w:eastAsia="方正仿宋_GBK" w:hAnsi="Times New Roman" w:hint="eastAsia"/>
          <w:sz w:val="32"/>
          <w:szCs w:val="20"/>
        </w:rPr>
        <w:t>5.2</w:t>
      </w:r>
      <w:r>
        <w:rPr>
          <w:rFonts w:ascii="Times New Roman" w:eastAsia="方正仿宋_GBK" w:hAnsi="Times New Roman"/>
          <w:sz w:val="32"/>
          <w:szCs w:val="20"/>
        </w:rPr>
        <w:t>%</w:t>
      </w:r>
      <w:r>
        <w:rPr>
          <w:rFonts w:ascii="Times New Roman" w:eastAsia="方正仿宋_GBK" w:hAnsi="Times New Roman"/>
          <w:sz w:val="32"/>
          <w:szCs w:val="20"/>
        </w:rPr>
        <w:t>，</w:t>
      </w:r>
      <w:r>
        <w:rPr>
          <w:rFonts w:ascii="Times New Roman" w:eastAsia="方正仿宋_GBK" w:hAnsi="Times New Roman" w:hint="eastAsia"/>
          <w:sz w:val="32"/>
          <w:szCs w:val="20"/>
        </w:rPr>
        <w:t>增速较一季度提升</w:t>
      </w:r>
      <w:r>
        <w:rPr>
          <w:rFonts w:ascii="Times New Roman" w:eastAsia="方正仿宋_GBK" w:hAnsi="Times New Roman" w:hint="eastAsia"/>
          <w:sz w:val="32"/>
          <w:szCs w:val="20"/>
        </w:rPr>
        <w:t>0.6</w:t>
      </w:r>
      <w:r>
        <w:rPr>
          <w:rFonts w:ascii="Times New Roman" w:eastAsia="方正仿宋_GBK" w:hAnsi="Times New Roman" w:hint="eastAsia"/>
          <w:sz w:val="32"/>
          <w:szCs w:val="20"/>
        </w:rPr>
        <w:t>个百分点</w:t>
      </w:r>
      <w:r>
        <w:rPr>
          <w:rFonts w:ascii="Times New Roman" w:eastAsia="方正仿宋_GBK" w:hAnsi="Times New Roman"/>
          <w:sz w:val="32"/>
          <w:szCs w:val="20"/>
        </w:rPr>
        <w:t>。</w:t>
      </w:r>
      <w:r>
        <w:rPr>
          <w:rFonts w:ascii="Times New Roman" w:eastAsia="方正仿宋_GBK" w:hAnsi="Times New Roman" w:hint="eastAsia"/>
          <w:sz w:val="32"/>
          <w:szCs w:val="20"/>
        </w:rPr>
        <w:t>其中，</w:t>
      </w:r>
      <w:proofErr w:type="gramStart"/>
      <w:r>
        <w:rPr>
          <w:rFonts w:ascii="Times New Roman" w:eastAsia="方正仿宋_GBK" w:hAnsi="Times New Roman"/>
          <w:sz w:val="32"/>
          <w:szCs w:val="20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20"/>
        </w:rPr>
        <w:t>上工业增加值同比增长</w:t>
      </w:r>
      <w:r>
        <w:rPr>
          <w:rFonts w:ascii="Times New Roman" w:eastAsia="方正仿宋_GBK" w:hAnsi="Times New Roman" w:hint="eastAsia"/>
          <w:sz w:val="32"/>
          <w:szCs w:val="20"/>
        </w:rPr>
        <w:t>5.8</w:t>
      </w:r>
      <w:r>
        <w:rPr>
          <w:rFonts w:ascii="Times New Roman" w:eastAsia="方正仿宋_GBK" w:hAnsi="Times New Roman"/>
          <w:sz w:val="32"/>
          <w:szCs w:val="20"/>
        </w:rPr>
        <w:t>%</w:t>
      </w:r>
      <w:r>
        <w:rPr>
          <w:rFonts w:ascii="Times New Roman" w:eastAsia="方正仿宋_GBK" w:hAnsi="Times New Roman"/>
          <w:sz w:val="32"/>
          <w:szCs w:val="20"/>
        </w:rPr>
        <w:t>。</w:t>
      </w:r>
      <w:proofErr w:type="gramStart"/>
      <w:r>
        <w:rPr>
          <w:rFonts w:ascii="Times New Roman" w:eastAsia="方正仿宋_GBK" w:hAnsi="Times New Roman"/>
          <w:sz w:val="32"/>
          <w:szCs w:val="20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20"/>
        </w:rPr>
        <w:t>上工业总产值</w:t>
      </w:r>
      <w:r>
        <w:rPr>
          <w:rFonts w:ascii="Times New Roman" w:eastAsia="方正仿宋_GBK" w:hAnsi="Times New Roman"/>
          <w:sz w:val="32"/>
          <w:szCs w:val="20"/>
        </w:rPr>
        <w:t>同比增长</w:t>
      </w:r>
      <w:r>
        <w:rPr>
          <w:rFonts w:ascii="Times New Roman" w:eastAsia="方正仿宋_GBK" w:hAnsi="Times New Roman" w:hint="eastAsia"/>
          <w:sz w:val="32"/>
          <w:szCs w:val="20"/>
        </w:rPr>
        <w:t>6.7</w:t>
      </w:r>
      <w:r>
        <w:rPr>
          <w:rFonts w:ascii="Times New Roman" w:eastAsia="方正仿宋_GBK" w:hAnsi="Times New Roman"/>
          <w:sz w:val="32"/>
          <w:szCs w:val="20"/>
        </w:rPr>
        <w:t>%</w:t>
      </w:r>
      <w:r>
        <w:rPr>
          <w:rFonts w:ascii="Times New Roman" w:eastAsia="方正仿宋_GBK" w:hAnsi="Times New Roman"/>
          <w:sz w:val="32"/>
          <w:szCs w:val="20"/>
        </w:rPr>
        <w:t>。</w:t>
      </w:r>
      <w:r>
        <w:rPr>
          <w:rFonts w:ascii="Times New Roman" w:eastAsia="方正仿宋_GBK" w:hAnsi="Times New Roman"/>
          <w:sz w:val="32"/>
          <w:szCs w:val="36"/>
        </w:rPr>
        <w:t>核心引擎动力强劲</w:t>
      </w:r>
      <w:r>
        <w:rPr>
          <w:rFonts w:ascii="Times New Roman" w:eastAsia="方正仿宋_GBK" w:hAnsi="Times New Roman" w:hint="eastAsia"/>
          <w:sz w:val="32"/>
          <w:szCs w:val="36"/>
        </w:rPr>
        <w:t>，持续提升产业能级，</w:t>
      </w:r>
      <w:proofErr w:type="gramStart"/>
      <w:r>
        <w:rPr>
          <w:rFonts w:ascii="Times New Roman" w:eastAsia="方正仿宋_GBK" w:hAnsi="Times New Roman" w:hint="eastAsia"/>
          <w:sz w:val="32"/>
          <w:szCs w:val="36"/>
        </w:rPr>
        <w:t>瞰瞰</w:t>
      </w:r>
      <w:proofErr w:type="gramEnd"/>
      <w:r>
        <w:rPr>
          <w:rFonts w:ascii="Times New Roman" w:eastAsia="方正仿宋_GBK" w:hAnsi="Times New Roman" w:hint="eastAsia"/>
          <w:sz w:val="32"/>
          <w:szCs w:val="36"/>
        </w:rPr>
        <w:t>AI</w:t>
      </w:r>
      <w:r>
        <w:rPr>
          <w:rFonts w:ascii="Times New Roman" w:eastAsia="方正仿宋_GBK" w:hAnsi="Times New Roman" w:hint="eastAsia"/>
          <w:sz w:val="32"/>
          <w:szCs w:val="36"/>
        </w:rPr>
        <w:t>智能驾驶视觉研发制造基地投产，实现全区汽车智能座舱产业“零的突破”，长城汽车哈</w:t>
      </w:r>
      <w:proofErr w:type="gramStart"/>
      <w:r>
        <w:rPr>
          <w:rFonts w:ascii="Times New Roman" w:eastAsia="方正仿宋_GBK" w:hAnsi="Times New Roman" w:hint="eastAsia"/>
          <w:sz w:val="32"/>
          <w:szCs w:val="36"/>
        </w:rPr>
        <w:t>弗</w:t>
      </w:r>
      <w:proofErr w:type="spellStart"/>
      <w:proofErr w:type="gramEnd"/>
      <w:r>
        <w:rPr>
          <w:rFonts w:ascii="Times New Roman" w:eastAsia="方正仿宋_GBK" w:hAnsi="Times New Roman" w:hint="eastAsia"/>
          <w:sz w:val="32"/>
          <w:szCs w:val="36"/>
        </w:rPr>
        <w:t>H9</w:t>
      </w:r>
      <w:proofErr w:type="spellEnd"/>
      <w:r>
        <w:rPr>
          <w:rFonts w:ascii="Times New Roman" w:eastAsia="方正仿宋_GBK" w:hAnsi="Times New Roman" w:hint="eastAsia"/>
          <w:sz w:val="32"/>
          <w:szCs w:val="36"/>
        </w:rPr>
        <w:t>、坦克</w:t>
      </w:r>
      <w:r>
        <w:rPr>
          <w:rFonts w:ascii="Times New Roman" w:eastAsia="方正仿宋_GBK" w:hAnsi="Times New Roman" w:hint="eastAsia"/>
          <w:sz w:val="32"/>
          <w:szCs w:val="36"/>
        </w:rPr>
        <w:t>300</w:t>
      </w:r>
      <w:r>
        <w:rPr>
          <w:rFonts w:ascii="Times New Roman" w:eastAsia="方正仿宋_GBK" w:hAnsi="Times New Roman" w:hint="eastAsia"/>
          <w:sz w:val="32"/>
          <w:szCs w:val="36"/>
        </w:rPr>
        <w:t>混动车型放量生产，雅</w:t>
      </w:r>
      <w:proofErr w:type="gramStart"/>
      <w:r>
        <w:rPr>
          <w:rFonts w:ascii="Times New Roman" w:eastAsia="方正仿宋_GBK" w:hAnsi="Times New Roman" w:hint="eastAsia"/>
          <w:sz w:val="32"/>
          <w:szCs w:val="36"/>
        </w:rPr>
        <w:t>迪</w:t>
      </w:r>
      <w:proofErr w:type="gramEnd"/>
      <w:r>
        <w:rPr>
          <w:rFonts w:ascii="Times New Roman" w:eastAsia="方正仿宋_GBK" w:hAnsi="Times New Roman" w:hint="eastAsia"/>
          <w:sz w:val="32"/>
          <w:szCs w:val="36"/>
        </w:rPr>
        <w:t>推出星际、莱卡等</w:t>
      </w:r>
      <w:r>
        <w:rPr>
          <w:rFonts w:ascii="Times New Roman" w:eastAsia="方正仿宋_GBK" w:hAnsi="Times New Roman" w:hint="eastAsia"/>
          <w:sz w:val="32"/>
          <w:szCs w:val="36"/>
        </w:rPr>
        <w:t>10</w:t>
      </w:r>
      <w:r>
        <w:rPr>
          <w:rFonts w:ascii="Times New Roman" w:eastAsia="方正仿宋_GBK" w:hAnsi="Times New Roman" w:hint="eastAsia"/>
          <w:sz w:val="32"/>
          <w:szCs w:val="36"/>
        </w:rPr>
        <w:t>款新车型等因素，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6"/>
        </w:rPr>
        <w:t>推</w:t>
      </w:r>
      <w:r>
        <w:rPr>
          <w:rFonts w:ascii="Times New Roman" w:eastAsia="方正仿宋_GBK" w:hAnsi="Times New Roman" w:hint="eastAsia"/>
          <w:sz w:val="32"/>
          <w:szCs w:val="36"/>
        </w:rPr>
        <w:lastRenderedPageBreak/>
        <w:t>动</w:t>
      </w:r>
      <w:r>
        <w:rPr>
          <w:rFonts w:ascii="Times New Roman" w:eastAsia="方正仿宋_GBK" w:hAnsi="Times New Roman"/>
          <w:sz w:val="32"/>
          <w:szCs w:val="32"/>
        </w:rPr>
        <w:t>智能网联新能源汽车产值</w:t>
      </w:r>
      <w:r>
        <w:rPr>
          <w:rFonts w:ascii="Times New Roman" w:eastAsia="方正仿宋_GBK" w:hAnsi="Times New Roman"/>
          <w:sz w:val="32"/>
          <w:szCs w:val="32"/>
        </w:rPr>
        <w:t>同比</w:t>
      </w:r>
      <w:r>
        <w:rPr>
          <w:rFonts w:ascii="Times New Roman" w:eastAsia="方正仿宋_GBK" w:hAnsi="Times New Roman"/>
          <w:sz w:val="32"/>
          <w:szCs w:val="32"/>
        </w:rPr>
        <w:t>增长</w:t>
      </w:r>
      <w:r>
        <w:rPr>
          <w:rFonts w:ascii="Times New Roman" w:eastAsia="方正仿宋_GBK" w:hAnsi="Times New Roman" w:hint="eastAsia"/>
          <w:sz w:val="32"/>
          <w:szCs w:val="32"/>
        </w:rPr>
        <w:t>23.5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。新兴产业培育提速，推动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大未来产业产值</w:t>
      </w:r>
      <w:r>
        <w:rPr>
          <w:rFonts w:ascii="Times New Roman" w:eastAsia="方正仿宋_GBK" w:hAnsi="Times New Roman"/>
          <w:sz w:val="32"/>
          <w:szCs w:val="32"/>
        </w:rPr>
        <w:t>同比</w:t>
      </w:r>
      <w:r>
        <w:rPr>
          <w:rFonts w:ascii="Times New Roman" w:eastAsia="方正仿宋_GBK" w:hAnsi="Times New Roman"/>
          <w:sz w:val="32"/>
          <w:szCs w:val="32"/>
        </w:rPr>
        <w:t>增长</w:t>
      </w:r>
      <w:r>
        <w:rPr>
          <w:rFonts w:ascii="Times New Roman" w:eastAsia="方正仿宋_GBK" w:hAnsi="Times New Roman" w:hint="eastAsia"/>
          <w:sz w:val="32"/>
          <w:szCs w:val="32"/>
        </w:rPr>
        <w:t>52.2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</w:t>
      </w:r>
      <w:r>
        <w:rPr>
          <w:rFonts w:ascii="Times New Roman" w:eastAsia="方正楷体_GBK" w:hAnsi="Times New Roman" w:hint="eastAsia"/>
          <w:sz w:val="32"/>
          <w:szCs w:val="32"/>
        </w:rPr>
        <w:t>三</w:t>
      </w:r>
      <w:r>
        <w:rPr>
          <w:rFonts w:ascii="Times New Roman" w:eastAsia="方正楷体_GBK" w:hAnsi="Times New Roman"/>
          <w:sz w:val="32"/>
          <w:szCs w:val="32"/>
        </w:rPr>
        <w:t>）消费市场稳步复苏</w:t>
      </w:r>
    </w:p>
    <w:p w:rsidR="004520B7" w:rsidRDefault="00CD465A" w:rsidP="00CD465A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全区社会消费品零售总额</w:t>
      </w:r>
      <w:r>
        <w:rPr>
          <w:rFonts w:ascii="Times New Roman" w:eastAsia="方正仿宋_GBK" w:hAnsi="Times New Roman" w:hint="eastAsia"/>
          <w:sz w:val="32"/>
          <w:szCs w:val="32"/>
        </w:rPr>
        <w:t>259.7</w:t>
      </w:r>
      <w:r>
        <w:rPr>
          <w:rFonts w:ascii="Times New Roman" w:eastAsia="方正仿宋_GBK" w:hAnsi="Times New Roman"/>
          <w:sz w:val="32"/>
          <w:szCs w:val="32"/>
        </w:rPr>
        <w:t>亿元</w:t>
      </w:r>
      <w:r>
        <w:rPr>
          <w:rFonts w:ascii="Times New Roman" w:eastAsia="方正仿宋_GBK" w:hAnsi="Times New Roman"/>
          <w:sz w:val="32"/>
          <w:szCs w:val="32"/>
        </w:rPr>
        <w:t>，同比</w:t>
      </w:r>
      <w:r>
        <w:rPr>
          <w:rFonts w:ascii="Times New Roman" w:eastAsia="方正仿宋_GBK" w:hAnsi="Times New Roman"/>
          <w:sz w:val="32"/>
          <w:szCs w:val="32"/>
        </w:rPr>
        <w:t>增长</w:t>
      </w:r>
      <w:r>
        <w:rPr>
          <w:rFonts w:ascii="Times New Roman" w:eastAsia="方正仿宋_GBK" w:hAnsi="Times New Roman" w:hint="eastAsia"/>
          <w:sz w:val="32"/>
          <w:szCs w:val="32"/>
        </w:rPr>
        <w:t>5.3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，增速居全市第</w:t>
      </w: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位、主城都市区第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位。</w:t>
      </w:r>
      <w:r>
        <w:rPr>
          <w:rFonts w:ascii="Times New Roman" w:eastAsia="方正仿宋_GBK" w:hAnsi="Times New Roman"/>
          <w:sz w:val="32"/>
          <w:szCs w:val="32"/>
        </w:rPr>
        <w:t>批发业引领增长。龙头企业带动</w:t>
      </w:r>
      <w:r>
        <w:rPr>
          <w:rFonts w:ascii="Times New Roman" w:eastAsia="方正仿宋_GBK" w:hAnsi="Times New Roman" w:hint="eastAsia"/>
          <w:sz w:val="32"/>
          <w:szCs w:val="32"/>
        </w:rPr>
        <w:t>下，</w:t>
      </w:r>
      <w:r>
        <w:rPr>
          <w:rFonts w:ascii="Times New Roman" w:eastAsia="方正仿宋_GBK" w:hAnsi="Times New Roman"/>
          <w:sz w:val="32"/>
          <w:szCs w:val="32"/>
        </w:rPr>
        <w:t>批发业增加值</w:t>
      </w:r>
      <w:r>
        <w:rPr>
          <w:rFonts w:ascii="Times New Roman" w:eastAsia="方正仿宋_GBK" w:hAnsi="Times New Roman" w:hint="eastAsia"/>
          <w:sz w:val="32"/>
          <w:szCs w:val="32"/>
        </w:rPr>
        <w:t>44.7</w:t>
      </w:r>
      <w:r>
        <w:rPr>
          <w:rFonts w:ascii="Times New Roman" w:eastAsia="方正仿宋_GBK" w:hAnsi="Times New Roman"/>
          <w:sz w:val="32"/>
          <w:szCs w:val="32"/>
        </w:rPr>
        <w:t>亿元，同比增长</w:t>
      </w:r>
      <w:r>
        <w:rPr>
          <w:rFonts w:ascii="Times New Roman" w:eastAsia="方正仿宋_GBK" w:hAnsi="Times New Roman" w:hint="eastAsia"/>
          <w:sz w:val="32"/>
          <w:szCs w:val="32"/>
        </w:rPr>
        <w:t>23.2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。批发业销售额同比增长</w:t>
      </w:r>
      <w:r>
        <w:rPr>
          <w:rFonts w:ascii="Times New Roman" w:eastAsia="方正仿宋_GBK" w:hAnsi="Times New Roman" w:hint="eastAsia"/>
          <w:sz w:val="32"/>
          <w:szCs w:val="32"/>
        </w:rPr>
        <w:t>40.4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，增速居全市</w:t>
      </w:r>
      <w:r>
        <w:rPr>
          <w:rFonts w:ascii="Times New Roman" w:eastAsia="方正仿宋_GBK" w:hAnsi="Times New Roman" w:hint="eastAsia"/>
          <w:sz w:val="32"/>
          <w:szCs w:val="32"/>
        </w:rPr>
        <w:t>首位</w:t>
      </w:r>
      <w:r>
        <w:rPr>
          <w:rFonts w:ascii="Times New Roman" w:eastAsia="方正仿宋_GBK" w:hAnsi="Times New Roman"/>
          <w:sz w:val="32"/>
          <w:szCs w:val="32"/>
        </w:rPr>
        <w:t>。家电以旧换新、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文旅融合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等领域均表现出色。家用电器和音像器材类商品零售额同比增长</w:t>
      </w:r>
      <w:r>
        <w:rPr>
          <w:rFonts w:ascii="Times New Roman" w:eastAsia="方正仿宋_GBK" w:hAnsi="Times New Roman"/>
          <w:sz w:val="32"/>
          <w:szCs w:val="32"/>
        </w:rPr>
        <w:t>35.9%</w:t>
      </w:r>
      <w:r>
        <w:rPr>
          <w:rFonts w:ascii="Times New Roman" w:eastAsia="方正仿宋_GBK" w:hAnsi="Times New Roman"/>
          <w:sz w:val="32"/>
          <w:szCs w:val="32"/>
        </w:rPr>
        <w:t>，通讯器材类商品零售额同比增长</w:t>
      </w:r>
      <w:r>
        <w:rPr>
          <w:rFonts w:ascii="Times New Roman" w:eastAsia="方正仿宋_GBK" w:hAnsi="Times New Roman" w:hint="eastAsia"/>
          <w:sz w:val="32"/>
          <w:szCs w:val="32"/>
        </w:rPr>
        <w:t>51.7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520B7" w:rsidRDefault="004520B7" w:rsidP="00CD465A">
      <w:pPr>
        <w:tabs>
          <w:tab w:val="left" w:pos="6480"/>
        </w:tabs>
        <w:spacing w:line="594" w:lineRule="exact"/>
        <w:ind w:firstLineChars="50" w:firstLine="140"/>
        <w:rPr>
          <w:rFonts w:ascii="Times New Roman" w:eastAsia="方正仿宋_GBK" w:hAnsi="Times New Roman"/>
          <w:sz w:val="28"/>
          <w:szCs w:val="28"/>
        </w:rPr>
      </w:pPr>
    </w:p>
    <w:sectPr w:rsidR="004520B7" w:rsidSect="00CD465A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B7" w:rsidRDefault="004520B7" w:rsidP="004520B7">
      <w:r>
        <w:separator/>
      </w:r>
    </w:p>
  </w:endnote>
  <w:endnote w:type="continuationSeparator" w:id="0">
    <w:p w:rsidR="004520B7" w:rsidRDefault="004520B7" w:rsidP="0045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B7" w:rsidRDefault="004520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 filled="f" stroked="f" strokeweight=".5pt">
          <v:textbox style="mso-fit-shape-to-text:t" inset="0,0,0,0">
            <w:txbxContent>
              <w:p w:rsidR="004520B7" w:rsidRDefault="004520B7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CD465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D465A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B7" w:rsidRDefault="004520B7" w:rsidP="004520B7">
      <w:r>
        <w:separator/>
      </w:r>
    </w:p>
  </w:footnote>
  <w:footnote w:type="continuationSeparator" w:id="0">
    <w:p w:rsidR="004520B7" w:rsidRDefault="004520B7" w:rsidP="00452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EDFF4261"/>
    <w:rsid w:val="EFFF2A5E"/>
    <w:rsid w:val="F5FF47C5"/>
    <w:rsid w:val="FFDEA756"/>
    <w:rsid w:val="000D57E7"/>
    <w:rsid w:val="00172A27"/>
    <w:rsid w:val="00362203"/>
    <w:rsid w:val="004042CD"/>
    <w:rsid w:val="004520B7"/>
    <w:rsid w:val="004A31D2"/>
    <w:rsid w:val="007C717F"/>
    <w:rsid w:val="007D2909"/>
    <w:rsid w:val="00CD465A"/>
    <w:rsid w:val="01655E65"/>
    <w:rsid w:val="01C47B20"/>
    <w:rsid w:val="05516D01"/>
    <w:rsid w:val="069C6813"/>
    <w:rsid w:val="0B996E37"/>
    <w:rsid w:val="0FE663C2"/>
    <w:rsid w:val="101F3682"/>
    <w:rsid w:val="10501A8E"/>
    <w:rsid w:val="116D7B8B"/>
    <w:rsid w:val="119C142F"/>
    <w:rsid w:val="134E6759"/>
    <w:rsid w:val="15BD7BC5"/>
    <w:rsid w:val="16232E2A"/>
    <w:rsid w:val="19D25AEF"/>
    <w:rsid w:val="1A6B2390"/>
    <w:rsid w:val="1BB76E65"/>
    <w:rsid w:val="1BBB4BA7"/>
    <w:rsid w:val="1E7F5E24"/>
    <w:rsid w:val="25AB0A2D"/>
    <w:rsid w:val="27C2106B"/>
    <w:rsid w:val="27F91D9A"/>
    <w:rsid w:val="2A763D8B"/>
    <w:rsid w:val="2EEF6BEA"/>
    <w:rsid w:val="2F7D4CC8"/>
    <w:rsid w:val="304E5B92"/>
    <w:rsid w:val="33082597"/>
    <w:rsid w:val="335F6FD7"/>
    <w:rsid w:val="3442156A"/>
    <w:rsid w:val="352275ED"/>
    <w:rsid w:val="355E6A9D"/>
    <w:rsid w:val="398B38CA"/>
    <w:rsid w:val="3DDB3F34"/>
    <w:rsid w:val="3E8D63FE"/>
    <w:rsid w:val="42D63D3D"/>
    <w:rsid w:val="4AC27F13"/>
    <w:rsid w:val="4AC5789E"/>
    <w:rsid w:val="526020E0"/>
    <w:rsid w:val="53FF0DCE"/>
    <w:rsid w:val="56F73FDE"/>
    <w:rsid w:val="5A6D08AB"/>
    <w:rsid w:val="5B4B61BB"/>
    <w:rsid w:val="5C553C81"/>
    <w:rsid w:val="5F6F4EA8"/>
    <w:rsid w:val="63D6044B"/>
    <w:rsid w:val="63E57A79"/>
    <w:rsid w:val="683747EF"/>
    <w:rsid w:val="72B43E14"/>
    <w:rsid w:val="732E6B82"/>
    <w:rsid w:val="73B6354C"/>
    <w:rsid w:val="75C367A6"/>
    <w:rsid w:val="766A7EC3"/>
    <w:rsid w:val="777811D4"/>
    <w:rsid w:val="794E62CA"/>
    <w:rsid w:val="7A6A4943"/>
    <w:rsid w:val="7DEA3B28"/>
    <w:rsid w:val="7FF32CE5"/>
    <w:rsid w:val="7FFB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0B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520B7"/>
    <w:rPr>
      <w:sz w:val="18"/>
      <w:szCs w:val="18"/>
    </w:rPr>
  </w:style>
  <w:style w:type="paragraph" w:styleId="a4">
    <w:name w:val="footer"/>
    <w:basedOn w:val="a"/>
    <w:link w:val="Char0"/>
    <w:qFormat/>
    <w:rsid w:val="0045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5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52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4520B7"/>
    <w:rPr>
      <w:rFonts w:ascii="方正小标宋_GBK" w:eastAsia="方正小标宋_GBK" w:hAnsi="方正小标宋_GBK" w:cs="方正小标宋_GBK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4520B7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Char1">
    <w:name w:val="页眉 Char"/>
    <w:basedOn w:val="a0"/>
    <w:link w:val="a5"/>
    <w:qFormat/>
    <w:rsid w:val="004520B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520B7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520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649</Words>
  <Characters>99</Characters>
  <Application>Microsoft Office Word</Application>
  <DocSecurity>0</DocSecurity>
  <Lines>1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半岛弥音7mr1380337175</dc:creator>
  <cp:lastModifiedBy>区统计局</cp:lastModifiedBy>
  <cp:revision>3</cp:revision>
  <cp:lastPrinted>2025-07-30T18:06:00Z</cp:lastPrinted>
  <dcterms:created xsi:type="dcterms:W3CDTF">2025-04-17T01:30:00Z</dcterms:created>
  <dcterms:modified xsi:type="dcterms:W3CDTF">2025-07-31T07:59:00Z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FFC7946B52534AEAAE5B419FEA12BE7A_13</vt:lpwstr>
  </property>
  <property fmtid="{D5CDD505-2E9C-101B-9397-08002B2CF9AE}" pid="4" name="KSOTemplateDocerSaveRecord">
    <vt:lpwstr>eyJoZGlkIjoiZDYzYmFmNjgxMDNkN2RlMTlhNGExNjViYThiZmViNDIiLCJ1c2VySWQiOiIzMDQ2MDE0MDkifQ==</vt:lpwstr>
  </property>
</Properties>
</file>