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F0682C">
      <w:pPr>
        <w:adjustRightInd w:val="0"/>
        <w:snapToGrid w:val="0"/>
        <w:spacing w:line="500" w:lineRule="exact"/>
        <w:jc w:val="center"/>
        <w:rPr>
          <w:rFonts w:ascii="仿宋_GB2312" w:eastAsia="仿宋_GB2312"/>
          <w:szCs w:val="32"/>
        </w:rPr>
      </w:pPr>
    </w:p>
    <w:p w14:paraId="725FBE9A">
      <w:pPr>
        <w:pStyle w:val="4"/>
        <w:adjustRightInd w:val="0"/>
        <w:snapToGrid w:val="0"/>
        <w:spacing w:line="500" w:lineRule="exact"/>
      </w:pPr>
    </w:p>
    <w:p w14:paraId="4DB007FC">
      <w:pPr>
        <w:spacing w:beforeLines="250" w:line="540" w:lineRule="exact"/>
        <w:jc w:val="center"/>
        <w:rPr>
          <w:rFonts w:ascii="仿宋_GB2312" w:eastAsia="仿宋_GB2312"/>
          <w:szCs w:val="32"/>
        </w:rPr>
      </w:pPr>
    </w:p>
    <w:p w14:paraId="09E41C85">
      <w:pPr>
        <w:spacing w:line="540" w:lineRule="exact"/>
        <w:jc w:val="center"/>
        <w:rPr>
          <w:rFonts w:ascii="仿宋_GB2312" w:eastAsia="仿宋_GB2312"/>
          <w:szCs w:val="32"/>
        </w:rPr>
      </w:pPr>
    </w:p>
    <w:p w14:paraId="3EEBA9F5">
      <w:pPr>
        <w:spacing w:line="540" w:lineRule="exact"/>
        <w:rPr>
          <w:rFonts w:ascii="仿宋_GB2312" w:eastAsia="仿宋_GB2312"/>
          <w:szCs w:val="32"/>
        </w:rPr>
      </w:pPr>
    </w:p>
    <w:p w14:paraId="08AAE002">
      <w:pPr>
        <w:spacing w:line="540" w:lineRule="exact"/>
        <w:jc w:val="center"/>
        <w:rPr>
          <w:rFonts w:ascii="Times New Roman" w:hAnsi="Times New Roman" w:cs="Times New Roman"/>
          <w:szCs w:val="32"/>
        </w:rPr>
      </w:pPr>
      <w:bookmarkStart w:id="2" w:name="_GoBack"/>
      <w:bookmarkEnd w:id="2"/>
      <w:r>
        <w:rPr>
          <w:rFonts w:ascii="Times New Roman" w:hAnsi="Times New Roman" w:cs="Times New Roman"/>
          <w:szCs w:val="32"/>
        </w:rPr>
        <w:t>永</w:t>
      </w:r>
      <w:r>
        <w:rPr>
          <w:rFonts w:hint="eastAsia" w:ascii="Times New Roman" w:hAnsi="Times New Roman" w:cs="Times New Roman"/>
          <w:szCs w:val="32"/>
        </w:rPr>
        <w:t>水许可</w:t>
      </w:r>
      <w:r>
        <w:rPr>
          <w:rFonts w:ascii="Times New Roman" w:hAnsi="Times New Roman" w:cs="Times New Roman"/>
          <w:szCs w:val="32"/>
        </w:rPr>
        <w:t>〔202</w:t>
      </w:r>
      <w:r>
        <w:rPr>
          <w:rFonts w:hint="eastAsia" w:ascii="Times New Roman" w:hAnsi="Times New Roman" w:cs="Times New Roman"/>
          <w:szCs w:val="32"/>
        </w:rPr>
        <w:t>5</w:t>
      </w:r>
      <w:r>
        <w:rPr>
          <w:rFonts w:ascii="Times New Roman" w:hAnsi="Times New Roman" w:cs="Times New Roman"/>
          <w:szCs w:val="32"/>
        </w:rPr>
        <w:t>〕</w:t>
      </w:r>
      <w:r>
        <w:rPr>
          <w:rFonts w:hint="eastAsia" w:ascii="Times New Roman" w:hAnsi="Times New Roman" w:cs="Times New Roman"/>
          <w:szCs w:val="32"/>
        </w:rPr>
        <w:t>52</w:t>
      </w:r>
      <w:r>
        <w:rPr>
          <w:rFonts w:ascii="Times New Roman" w:hAnsi="Times New Roman" w:cs="Times New Roman"/>
          <w:szCs w:val="32"/>
        </w:rPr>
        <w:t>号</w:t>
      </w:r>
    </w:p>
    <w:p w14:paraId="520C97B5">
      <w:pPr>
        <w:spacing w:line="660" w:lineRule="exact"/>
        <w:rPr>
          <w:rFonts w:ascii="方正小标宋简体" w:eastAsia="方正小标宋简体"/>
          <w:sz w:val="44"/>
          <w:szCs w:val="44"/>
        </w:rPr>
      </w:pPr>
    </w:p>
    <w:p w14:paraId="7D9FC1D0">
      <w:pPr>
        <w:snapToGrid w:val="0"/>
        <w:spacing w:line="594"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重庆市永川区水利局</w:t>
      </w:r>
    </w:p>
    <w:p w14:paraId="23C1C3E3">
      <w:pPr>
        <w:snapToGrid w:val="0"/>
        <w:spacing w:line="594" w:lineRule="exact"/>
        <w:jc w:val="center"/>
        <w:rPr>
          <w:rFonts w:ascii="Times New Roman" w:hAnsi="Times New Roman" w:eastAsia="方正小标宋_GBK"/>
          <w:sz w:val="44"/>
          <w:szCs w:val="44"/>
        </w:rPr>
      </w:pPr>
      <w:r>
        <w:rPr>
          <w:rFonts w:hint="eastAsia" w:ascii="Times New Roman" w:hAnsi="Times New Roman" w:eastAsia="方正小标宋_GBK"/>
          <w:sz w:val="44"/>
          <w:szCs w:val="44"/>
        </w:rPr>
        <w:t>关</w:t>
      </w:r>
      <w:r>
        <w:rPr>
          <w:rFonts w:ascii="Times New Roman" w:hAnsi="Times New Roman" w:eastAsia="方正小标宋_GBK" w:cs="Times New Roman"/>
          <w:sz w:val="44"/>
          <w:szCs w:val="44"/>
        </w:rPr>
        <w:t>于</w:t>
      </w:r>
      <w:r>
        <w:rPr>
          <w:rFonts w:hint="eastAsia" w:ascii="Times New Roman" w:hAnsi="Times New Roman" w:eastAsia="方正小标宋_GBK"/>
          <w:sz w:val="44"/>
          <w:szCs w:val="44"/>
        </w:rPr>
        <w:t>永川区万笋连接道工程</w:t>
      </w:r>
      <w:r>
        <w:rPr>
          <w:rFonts w:ascii="Times New Roman" w:hAnsi="Times New Roman" w:eastAsia="方正小标宋_GBK" w:cs="Times New Roman"/>
          <w:sz w:val="44"/>
          <w:szCs w:val="44"/>
        </w:rPr>
        <w:t>洪水影响评价准予行政许可的决定</w:t>
      </w:r>
    </w:p>
    <w:p w14:paraId="67B682B9">
      <w:pPr>
        <w:pStyle w:val="12"/>
        <w:snapToGrid w:val="0"/>
        <w:spacing w:beforeAutospacing="0" w:afterAutospacing="0" w:line="594" w:lineRule="exact"/>
        <w:rPr>
          <w:rFonts w:ascii="Times New Roman" w:hAnsi="Times New Roman"/>
        </w:rPr>
      </w:pPr>
    </w:p>
    <w:p w14:paraId="4002F0AB">
      <w:pPr>
        <w:spacing w:line="594" w:lineRule="exact"/>
        <w:rPr>
          <w:rFonts w:ascii="Times New Roman" w:hAnsi="Times New Roman" w:cs="Times New Roman"/>
          <w:szCs w:val="32"/>
        </w:rPr>
      </w:pPr>
      <w:r>
        <w:rPr>
          <w:rFonts w:ascii="Times New Roman" w:hAnsi="Times New Roman" w:cs="Times New Roman"/>
          <w:kern w:val="0"/>
          <w:szCs w:val="32"/>
        </w:rPr>
        <w:t>重庆永川高新技术产业投资发展集团有限公司</w:t>
      </w:r>
      <w:r>
        <w:rPr>
          <w:rFonts w:ascii="Times New Roman" w:hAnsi="Times New Roman" w:cs="Times New Roman"/>
          <w:szCs w:val="32"/>
        </w:rPr>
        <w:t>：</w:t>
      </w:r>
    </w:p>
    <w:p w14:paraId="6AF83D96">
      <w:pPr>
        <w:snapToGrid w:val="0"/>
        <w:spacing w:line="594" w:lineRule="exact"/>
        <w:ind w:firstLine="640" w:firstLineChars="200"/>
        <w:rPr>
          <w:rFonts w:ascii="Times New Roman" w:hAnsi="Times New Roman" w:cs="Times New Roman"/>
          <w:szCs w:val="32"/>
        </w:rPr>
      </w:pPr>
      <w:r>
        <w:rPr>
          <w:rFonts w:ascii="Times New Roman" w:hAnsi="方正仿宋_GBK" w:cs="Times New Roman"/>
          <w:color w:val="000000"/>
        </w:rPr>
        <w:t>根据你</w:t>
      </w:r>
      <w:r>
        <w:rPr>
          <w:rFonts w:ascii="Times New Roman" w:hAnsi="Times New Roman" w:cs="Times New Roman"/>
          <w:color w:val="000000"/>
        </w:rPr>
        <w:t>单位关于</w:t>
      </w:r>
      <w:r>
        <w:rPr>
          <w:rFonts w:ascii="Times New Roman" w:hAnsi="Times New Roman" w:cs="Times New Roman"/>
          <w:szCs w:val="32"/>
        </w:rPr>
        <w:t>永川区万笋连接道工程</w:t>
      </w:r>
      <w:r>
        <w:rPr>
          <w:rFonts w:ascii="Times New Roman" w:hAnsi="Times New Roman" w:cs="Times New Roman"/>
          <w:color w:val="000000"/>
        </w:rPr>
        <w:t>洪水影响评价</w:t>
      </w:r>
      <w:r>
        <w:rPr>
          <w:rFonts w:ascii="Times New Roman" w:hAnsi="方正仿宋_GBK" w:cs="Times New Roman"/>
          <w:color w:val="000000"/>
        </w:rPr>
        <w:t>的行政许可申请</w:t>
      </w:r>
      <w:r>
        <w:rPr>
          <w:rFonts w:ascii="Times New Roman" w:hAnsi="Times New Roman" w:cs="Times New Roman"/>
          <w:szCs w:val="32"/>
        </w:rPr>
        <w:t>（项目代码：2503-500118-04-01-494858）</w:t>
      </w:r>
      <w:r>
        <w:rPr>
          <w:rFonts w:ascii="Times New Roman" w:hAnsi="方正仿宋_GBK" w:cs="Times New Roman"/>
          <w:color w:val="000000"/>
        </w:rPr>
        <w:t>，我局组织专家对《</w:t>
      </w:r>
      <w:r>
        <w:rPr>
          <w:rFonts w:ascii="Times New Roman" w:hAnsi="Times New Roman" w:cs="Times New Roman"/>
          <w:szCs w:val="32"/>
        </w:rPr>
        <w:t>永川区万笋连接道工程</w:t>
      </w:r>
      <w:r>
        <w:rPr>
          <w:rFonts w:ascii="Times New Roman" w:hAnsi="Times New Roman" w:cs="Times New Roman"/>
          <w:color w:val="000000"/>
        </w:rPr>
        <w:t>洪水影响评价</w:t>
      </w:r>
      <w:r>
        <w:rPr>
          <w:rFonts w:ascii="Times New Roman" w:hAnsi="方正仿宋_GBK" w:cs="Times New Roman"/>
          <w:color w:val="000000"/>
        </w:rPr>
        <w:t>报告》进行了审查。</w:t>
      </w:r>
      <w:r>
        <w:rPr>
          <w:rFonts w:ascii="Times New Roman" w:hAnsi="Times New Roman" w:cs="Times New Roman"/>
          <w:szCs w:val="32"/>
        </w:rPr>
        <w:t>根据《行政许可法》第三十八条第一款、《水行政许可实施办法》第三十二条第一项规定和专家评审意见，现就该工程洪水影响评价作出准予行政许可决定。</w:t>
      </w:r>
    </w:p>
    <w:p w14:paraId="2A9C99C8">
      <w:pPr>
        <w:snapToGrid w:val="0"/>
        <w:spacing w:line="594" w:lineRule="exact"/>
        <w:ind w:firstLine="640" w:firstLineChars="200"/>
        <w:rPr>
          <w:rFonts w:ascii="Times New Roman" w:hAnsi="Times New Roman" w:cs="Times New Roman"/>
          <w:szCs w:val="32"/>
        </w:rPr>
      </w:pPr>
      <w:r>
        <w:rPr>
          <w:rFonts w:ascii="Times New Roman" w:hAnsi="Times New Roman" w:cs="Times New Roman"/>
          <w:szCs w:val="32"/>
        </w:rPr>
        <w:t>一、</w:t>
      </w:r>
      <w:r>
        <w:rPr>
          <w:rFonts w:ascii="Times New Roman" w:hAnsi="Times New Roman" w:cs="Times New Roman"/>
          <w:kern w:val="0"/>
          <w:szCs w:val="32"/>
        </w:rPr>
        <w:t>项目涉河工程位于永川区朱沱镇</w:t>
      </w:r>
      <w:r>
        <w:rPr>
          <w:rFonts w:ascii="Times New Roman" w:hAnsi="Times New Roman" w:cs="Times New Roman"/>
          <w:szCs w:val="32"/>
        </w:rPr>
        <w:t>，涉及河道为江永河、陈湾河沟，同意河道防洪标准采用10年一遇；江永河中桥设计洪水标准为100年一遇；改道箱涵设计洪水标准为100年一遇，箱涵上下游过渡段护岸至现状地面。</w:t>
      </w:r>
    </w:p>
    <w:p w14:paraId="0AC2F7D3">
      <w:pPr>
        <w:snapToGrid w:val="0"/>
        <w:spacing w:line="594" w:lineRule="exact"/>
        <w:ind w:firstLine="640" w:firstLineChars="200"/>
        <w:rPr>
          <w:rFonts w:ascii="Times New Roman" w:hAnsi="Times New Roman" w:cs="Times New Roman"/>
          <w:szCs w:val="32"/>
        </w:rPr>
      </w:pPr>
      <w:r>
        <w:rPr>
          <w:rFonts w:ascii="Times New Roman" w:hAnsi="Times New Roman" w:cs="Times New Roman"/>
          <w:szCs w:val="32"/>
        </w:rPr>
        <w:t>二、原则同意涉河建设方案的洪水影响评价结论</w:t>
      </w:r>
    </w:p>
    <w:p w14:paraId="0E097876">
      <w:pPr>
        <w:widowControl/>
        <w:spacing w:line="594" w:lineRule="exact"/>
        <w:ind w:firstLine="640" w:firstLineChars="200"/>
        <w:rPr>
          <w:rFonts w:ascii="Times New Roman" w:hAnsi="Times New Roman" w:cs="Times New Roman"/>
          <w:szCs w:val="32"/>
        </w:rPr>
      </w:pPr>
      <w:r>
        <w:rPr>
          <w:rFonts w:ascii="Times New Roman" w:hAnsi="Times New Roman" w:cs="Times New Roman"/>
          <w:szCs w:val="32"/>
        </w:rPr>
        <w:t>永川区万笋连接道工程涉河建筑物主要为江永河中桥及</w:t>
      </w:r>
      <w:bookmarkStart w:id="0" w:name="OLE_LINK1"/>
      <w:r>
        <w:rPr>
          <w:rFonts w:ascii="Times New Roman" w:hAnsi="Times New Roman" w:cs="Times New Roman"/>
          <w:szCs w:val="32"/>
        </w:rPr>
        <w:t>陈湾河沟改道</w:t>
      </w:r>
      <w:bookmarkEnd w:id="0"/>
      <w:r>
        <w:rPr>
          <w:rFonts w:ascii="Times New Roman" w:hAnsi="Times New Roman" w:cs="Times New Roman"/>
          <w:szCs w:val="32"/>
        </w:rPr>
        <w:t>。</w:t>
      </w:r>
    </w:p>
    <w:p w14:paraId="07F3CBEC">
      <w:pPr>
        <w:widowControl/>
        <w:spacing w:line="594" w:lineRule="exact"/>
        <w:ind w:firstLine="640" w:firstLineChars="200"/>
        <w:rPr>
          <w:rFonts w:ascii="Times New Roman" w:hAnsi="Times New Roman" w:cs="Times New Roman"/>
          <w:szCs w:val="32"/>
        </w:rPr>
      </w:pPr>
      <w:r>
        <w:rPr>
          <w:rFonts w:ascii="Times New Roman" w:hAnsi="Times New Roman" w:cs="Times New Roman"/>
          <w:szCs w:val="32"/>
        </w:rPr>
        <w:t>桥梁起讫桩号K0+907～K0+964，设计全长57m。桥梁上部结构采用3×16m预应力混凝土简支密排T梁，桥面连续。桥梁下部结构0#桥台均采用重力式U型桥台，桥台长度为6m，基础为扩大基础；3#桥台采用桩柱式轻型桥台；1#、2#桥墩均采用盖梁柱式墩。为保障河道行洪，桥梁建设过程中将对梁底上下游各45m范围河段进行开挖清理。桥梁底部河底宽度由4m扩宽为12m，清理厚度约0.5-1.2m，仅清理两侧岸坡。</w:t>
      </w:r>
    </w:p>
    <w:p w14:paraId="3A32A62C">
      <w:pPr>
        <w:widowControl/>
        <w:spacing w:line="594" w:lineRule="exact"/>
        <w:ind w:firstLine="640" w:firstLineChars="200"/>
        <w:rPr>
          <w:rFonts w:ascii="Times New Roman" w:hAnsi="Times New Roman" w:cs="Times New Roman"/>
          <w:szCs w:val="32"/>
        </w:rPr>
      </w:pPr>
      <w:r>
        <w:rPr>
          <w:rFonts w:ascii="Times New Roman" w:hAnsi="Times New Roman" w:cs="Times New Roman"/>
          <w:szCs w:val="32"/>
        </w:rPr>
        <w:t>K0+080-K0+200道路（陈湾河沟区域）河道改道总长111.7m，改道前河段长235.4m，改道后河段长111.7m，由过渡段（河道治理）及箱涵段组成，其中上游过渡段32.7m，箱涵段70.8m，下游过渡段8.2m。主要建设内容为新建箱涵53.5m，新建八字翼墙连接段17.3m，新建护岸85.11m（左岸43.1m，右岸42m）。</w:t>
      </w:r>
    </w:p>
    <w:p w14:paraId="770165DF">
      <w:pPr>
        <w:widowControl/>
        <w:spacing w:line="594" w:lineRule="exact"/>
        <w:ind w:firstLine="640" w:firstLineChars="200"/>
        <w:rPr>
          <w:rFonts w:ascii="Times New Roman" w:hAnsi="Times New Roman" w:cs="Times New Roman"/>
          <w:szCs w:val="32"/>
        </w:rPr>
      </w:pPr>
      <w:r>
        <w:rPr>
          <w:rFonts w:ascii="Times New Roman" w:hAnsi="Times New Roman" w:cs="Times New Roman"/>
          <w:szCs w:val="32"/>
        </w:rPr>
        <w:t>（1）C′0+000.0～C′0+032.7</w:t>
      </w:r>
    </w:p>
    <w:p w14:paraId="5DBA1A4F">
      <w:pPr>
        <w:widowControl/>
        <w:spacing w:line="594" w:lineRule="exact"/>
        <w:ind w:firstLine="640" w:firstLineChars="200"/>
        <w:rPr>
          <w:rFonts w:ascii="Times New Roman" w:hAnsi="Times New Roman" w:cs="Times New Roman"/>
          <w:szCs w:val="32"/>
        </w:rPr>
      </w:pPr>
      <w:r>
        <w:rPr>
          <w:rFonts w:ascii="Times New Roman" w:hAnsi="Times New Roman" w:cs="Times New Roman"/>
          <w:szCs w:val="32"/>
        </w:rPr>
        <w:t>本段为天然河道与箱涵进口过渡段，段长32.7m，结构型式为C25砼挡墙+格宾护垫护坡+植草绿化，镇脚顶高程282.41m，左岸岸顶高程283.19m，右岸岸顶高程283.29m。</w:t>
      </w:r>
    </w:p>
    <w:p w14:paraId="3AF75191">
      <w:pPr>
        <w:widowControl/>
        <w:spacing w:line="594" w:lineRule="exact"/>
        <w:ind w:firstLine="640" w:firstLineChars="200"/>
        <w:rPr>
          <w:rFonts w:ascii="Times New Roman" w:hAnsi="Times New Roman" w:cs="Times New Roman"/>
          <w:szCs w:val="32"/>
        </w:rPr>
      </w:pPr>
      <w:r>
        <w:rPr>
          <w:rFonts w:ascii="Times New Roman" w:hAnsi="Times New Roman" w:cs="Times New Roman"/>
          <w:szCs w:val="32"/>
        </w:rPr>
        <w:t>（2）C′0+032.7～C′0+041.3</w:t>
      </w:r>
    </w:p>
    <w:p w14:paraId="158127F2">
      <w:pPr>
        <w:widowControl/>
        <w:spacing w:line="594" w:lineRule="exact"/>
        <w:ind w:firstLine="640" w:firstLineChars="200"/>
        <w:rPr>
          <w:rFonts w:ascii="Times New Roman" w:hAnsi="Times New Roman" w:cs="Times New Roman"/>
          <w:szCs w:val="32"/>
        </w:rPr>
      </w:pPr>
      <w:r>
        <w:rPr>
          <w:rFonts w:ascii="Times New Roman" w:hAnsi="Times New Roman" w:cs="Times New Roman"/>
          <w:szCs w:val="32"/>
        </w:rPr>
        <w:t>本段为箱涵进口八字翼墙段，段长8.6m，结构型式为C25砼重力式边墙及C25砼底板，边墙高1.8～5.6m，底板宽11.95～7.35m，进口底板顶高程281.40m。</w:t>
      </w:r>
    </w:p>
    <w:p w14:paraId="4FE971E6">
      <w:pPr>
        <w:widowControl/>
        <w:spacing w:line="594" w:lineRule="exact"/>
        <w:ind w:firstLine="640" w:firstLineChars="200"/>
        <w:rPr>
          <w:rFonts w:ascii="Times New Roman" w:hAnsi="Times New Roman" w:cs="Times New Roman"/>
          <w:szCs w:val="32"/>
        </w:rPr>
      </w:pPr>
      <w:r>
        <w:rPr>
          <w:rFonts w:ascii="Times New Roman" w:hAnsi="Times New Roman" w:cs="Times New Roman"/>
          <w:szCs w:val="32"/>
        </w:rPr>
        <w:t>（3）C′0+041.3～C′0+094.8</w:t>
      </w:r>
    </w:p>
    <w:p w14:paraId="4ECB7CDD">
      <w:pPr>
        <w:widowControl/>
        <w:spacing w:line="594" w:lineRule="exact"/>
        <w:ind w:firstLine="640" w:firstLineChars="200"/>
        <w:rPr>
          <w:rFonts w:ascii="Times New Roman" w:hAnsi="Times New Roman" w:cs="Times New Roman"/>
          <w:szCs w:val="32"/>
        </w:rPr>
      </w:pPr>
      <w:r>
        <w:rPr>
          <w:rFonts w:ascii="Times New Roman" w:hAnsi="Times New Roman" w:cs="Times New Roman"/>
          <w:szCs w:val="32"/>
        </w:rPr>
        <w:t>本段为箱涵段，段长53.5m，与上部道路夹角55°。箱涵结构型式为C25钢筋砼矩形涵，净空6.0m×5.0m（宽×高），壁厚0.45m，箱涵底板顶高程281.40～281.30m。</w:t>
      </w:r>
    </w:p>
    <w:p w14:paraId="65BE0C85">
      <w:pPr>
        <w:widowControl/>
        <w:spacing w:line="594" w:lineRule="exact"/>
        <w:ind w:firstLine="640" w:firstLineChars="200"/>
        <w:rPr>
          <w:rFonts w:ascii="Times New Roman" w:hAnsi="Times New Roman" w:cs="Times New Roman"/>
          <w:szCs w:val="32"/>
        </w:rPr>
      </w:pPr>
      <w:r>
        <w:rPr>
          <w:rFonts w:ascii="Times New Roman" w:hAnsi="Times New Roman" w:cs="Times New Roman"/>
          <w:szCs w:val="32"/>
        </w:rPr>
        <w:t>（4）C′0+094.8～C′0+103.5</w:t>
      </w:r>
    </w:p>
    <w:p w14:paraId="4E51967F">
      <w:pPr>
        <w:widowControl/>
        <w:spacing w:line="594" w:lineRule="exact"/>
        <w:ind w:firstLine="640" w:firstLineChars="200"/>
        <w:rPr>
          <w:rFonts w:ascii="Times New Roman" w:hAnsi="Times New Roman" w:cs="Times New Roman"/>
          <w:szCs w:val="32"/>
        </w:rPr>
      </w:pPr>
      <w:r>
        <w:rPr>
          <w:rFonts w:ascii="Times New Roman" w:hAnsi="Times New Roman" w:cs="Times New Roman"/>
          <w:szCs w:val="32"/>
        </w:rPr>
        <w:t>本段为箱涵出口八字翼墙段，段长8.7m，结构型式为C25砼重力式边墙及C25砼底板，边墙高5.6～1.8m，底板宽7.35～11.95m，出口底板顶高程281.30m。</w:t>
      </w:r>
    </w:p>
    <w:p w14:paraId="0745E44F">
      <w:pPr>
        <w:widowControl/>
        <w:spacing w:line="594" w:lineRule="exact"/>
        <w:ind w:firstLine="640" w:firstLineChars="200"/>
        <w:rPr>
          <w:rFonts w:ascii="Times New Roman" w:hAnsi="Times New Roman" w:cs="Times New Roman"/>
          <w:szCs w:val="32"/>
        </w:rPr>
      </w:pPr>
      <w:r>
        <w:rPr>
          <w:rFonts w:ascii="Times New Roman" w:hAnsi="Times New Roman" w:cs="Times New Roman"/>
          <w:szCs w:val="32"/>
        </w:rPr>
        <w:t>（5）C′0+103.5～C′0+111.7</w:t>
      </w:r>
    </w:p>
    <w:p w14:paraId="5AD4671A">
      <w:pPr>
        <w:widowControl/>
        <w:spacing w:line="594" w:lineRule="exact"/>
        <w:ind w:firstLine="640" w:firstLineChars="200"/>
        <w:rPr>
          <w:rFonts w:ascii="Times New Roman" w:hAnsi="Times New Roman" w:cs="Times New Roman"/>
          <w:szCs w:val="32"/>
        </w:rPr>
      </w:pPr>
      <w:r>
        <w:rPr>
          <w:rFonts w:ascii="Times New Roman" w:hAnsi="Times New Roman" w:cs="Times New Roman"/>
          <w:szCs w:val="32"/>
        </w:rPr>
        <w:t>本段为箱涵出口与天然河道过渡段，段长8.2m，结构型式为C25砼挡墙+格宾护垫护坡+植草绿化，镇脚顶高程282.41m，左岸岸顶高程283.41m，右岸岸顶高程284.67m。</w:t>
      </w:r>
    </w:p>
    <w:p w14:paraId="1EC6C728">
      <w:pPr>
        <w:widowControl/>
        <w:spacing w:line="594" w:lineRule="exact"/>
        <w:ind w:firstLine="640" w:firstLineChars="200"/>
        <w:rPr>
          <w:rFonts w:ascii="Times New Roman" w:hAnsi="Times New Roman" w:cs="Times New Roman"/>
          <w:szCs w:val="32"/>
        </w:rPr>
      </w:pPr>
      <w:r>
        <w:rPr>
          <w:rFonts w:ascii="Times New Roman" w:hAnsi="方正仿宋_GBK" w:cs="Times New Roman"/>
          <w:szCs w:val="32"/>
        </w:rPr>
        <w:t>《报告》已明确项目与河道名录中的其他河道再无其他交叉。</w:t>
      </w:r>
    </w:p>
    <w:p w14:paraId="6A16BAA9">
      <w:pPr>
        <w:pStyle w:val="7"/>
        <w:spacing w:line="594" w:lineRule="exact"/>
        <w:ind w:firstLine="646" w:firstLineChars="202"/>
        <w:rPr>
          <w:rFonts w:ascii="Times New Roman" w:hAnsi="Times New Roman" w:eastAsia="方正仿宋_GBK"/>
          <w:sz w:val="32"/>
          <w:szCs w:val="32"/>
        </w:rPr>
      </w:pPr>
      <w:r>
        <w:rPr>
          <w:rFonts w:ascii="Times New Roman" w:hAnsi="Times New Roman" w:eastAsia="方正仿宋_GBK"/>
          <w:sz w:val="32"/>
          <w:szCs w:val="32"/>
        </w:rPr>
        <w:t>三、原则同意</w:t>
      </w:r>
      <w:r>
        <w:rPr>
          <w:rFonts w:ascii="Times New Roman" w:hAnsi="Times New Roman" w:eastAsia="方正仿宋_GBK"/>
          <w:kern w:val="0"/>
          <w:sz w:val="32"/>
          <w:szCs w:val="32"/>
        </w:rPr>
        <w:t>工程规划符合性的分析。</w:t>
      </w:r>
    </w:p>
    <w:p w14:paraId="7CBEC37F">
      <w:pPr>
        <w:snapToGrid w:val="0"/>
        <w:spacing w:line="594" w:lineRule="exact"/>
        <w:ind w:firstLine="640" w:firstLineChars="200"/>
        <w:rPr>
          <w:rFonts w:ascii="Times New Roman" w:hAnsi="Times New Roman" w:cs="Times New Roman"/>
          <w:szCs w:val="32"/>
        </w:rPr>
      </w:pPr>
      <w:r>
        <w:rPr>
          <w:rFonts w:ascii="Times New Roman" w:hAnsi="Times New Roman" w:cs="Times New Roman"/>
          <w:szCs w:val="32"/>
        </w:rPr>
        <w:t>四、原则同意本报告关于工程建设对第三方影响的分析结论。</w:t>
      </w:r>
    </w:p>
    <w:p w14:paraId="60D9AB4D">
      <w:pPr>
        <w:pStyle w:val="7"/>
        <w:spacing w:line="594" w:lineRule="exact"/>
        <w:ind w:firstLine="646" w:firstLineChars="202"/>
        <w:rPr>
          <w:rFonts w:ascii="Times New Roman" w:hAnsi="Times New Roman" w:eastAsia="方正仿宋_GBK"/>
          <w:sz w:val="32"/>
          <w:szCs w:val="32"/>
        </w:rPr>
      </w:pPr>
      <w:r>
        <w:rPr>
          <w:rFonts w:ascii="Times New Roman" w:hAnsi="Times New Roman" w:eastAsia="方正仿宋_GBK"/>
          <w:sz w:val="32"/>
          <w:szCs w:val="32"/>
        </w:rPr>
        <w:t>五、有关要求</w:t>
      </w:r>
    </w:p>
    <w:p w14:paraId="658A0B69">
      <w:pPr>
        <w:widowControl/>
        <w:snapToGrid w:val="0"/>
        <w:spacing w:line="594" w:lineRule="exact"/>
        <w:ind w:firstLine="640" w:firstLineChars="200"/>
        <w:rPr>
          <w:rFonts w:ascii="Times New Roman" w:hAnsi="Times New Roman" w:cs="Times New Roman"/>
          <w:szCs w:val="32"/>
        </w:rPr>
      </w:pPr>
      <w:r>
        <w:rPr>
          <w:rFonts w:ascii="Times New Roman" w:hAnsi="Times New Roman" w:cs="Times New Roman"/>
          <w:szCs w:val="32"/>
        </w:rPr>
        <w:t>（一）项目法人应妥善处理好占地补偿及相关道路交叉事项等第三方合法水事权益。</w:t>
      </w:r>
    </w:p>
    <w:p w14:paraId="41BB5FFC">
      <w:pPr>
        <w:spacing w:line="594" w:lineRule="exact"/>
        <w:ind w:firstLine="640" w:firstLineChars="200"/>
        <w:rPr>
          <w:rFonts w:ascii="Times New Roman" w:hAnsi="Times New Roman" w:cs="Times New Roman"/>
          <w:szCs w:val="32"/>
        </w:rPr>
      </w:pPr>
      <w:r>
        <w:rPr>
          <w:rFonts w:ascii="Times New Roman" w:hAnsi="Times New Roman" w:cs="Times New Roman"/>
          <w:szCs w:val="32"/>
        </w:rPr>
        <w:t>（二）工程开工前，项目法人应编制施工期防汛应急预案，报区防汛指挥机构和区水利局备案。将施工方案报送区水利局，由区水利局对施工期进行施工管理，并服从区防汛指挥部门的统一指挥。项目法人要充分重视河道保护工作，施工完工后应及时拆除施工设施，清除弃渣等阻碍物，确保行洪安全。</w:t>
      </w:r>
    </w:p>
    <w:p w14:paraId="16509DA5">
      <w:pPr>
        <w:snapToGrid w:val="0"/>
        <w:spacing w:line="594" w:lineRule="exact"/>
        <w:ind w:firstLine="640" w:firstLineChars="200"/>
        <w:rPr>
          <w:rFonts w:ascii="Times New Roman" w:hAnsi="Times New Roman" w:cs="Times New Roman"/>
          <w:szCs w:val="32"/>
        </w:rPr>
      </w:pPr>
      <w:r>
        <w:rPr>
          <w:rFonts w:ascii="Times New Roman" w:hAnsi="Times New Roman" w:cs="Times New Roman"/>
          <w:szCs w:val="32"/>
        </w:rPr>
        <w:t>（三）工程开工后，项目法人要及时将施工放样资料报送区水利局，区水利局将对工程控制坐标在内的涉河事项进行核查。</w:t>
      </w:r>
    </w:p>
    <w:p w14:paraId="44076EBC">
      <w:pPr>
        <w:spacing w:line="594" w:lineRule="exact"/>
        <w:ind w:firstLine="640" w:firstLineChars="200"/>
        <w:rPr>
          <w:rFonts w:ascii="Times New Roman" w:hAnsi="Times New Roman" w:cs="Times New Roman"/>
          <w:szCs w:val="32"/>
        </w:rPr>
      </w:pPr>
      <w:r>
        <w:rPr>
          <w:rFonts w:ascii="Times New Roman" w:hAnsi="Times New Roman" w:cs="Times New Roman"/>
          <w:szCs w:val="32"/>
        </w:rPr>
        <w:t>（四）工程竣工后，项目法人应报告区水利局，区水利局将对工程控制坐标在内的涉河事项进行全面复核；区水利局根据复核报告，参加工程项目的综合验收。工程经验收合格后方可启用。</w:t>
      </w:r>
    </w:p>
    <w:p w14:paraId="22B9CB2B">
      <w:pPr>
        <w:snapToGrid w:val="0"/>
        <w:spacing w:line="594" w:lineRule="exact"/>
        <w:ind w:firstLine="640" w:firstLineChars="200"/>
        <w:rPr>
          <w:rFonts w:ascii="Times New Roman" w:hAnsi="Times New Roman" w:cs="Times New Roman"/>
          <w:szCs w:val="32"/>
        </w:rPr>
      </w:pPr>
      <w:r>
        <w:rPr>
          <w:rFonts w:ascii="Times New Roman" w:hAnsi="Times New Roman" w:cs="Times New Roman"/>
          <w:szCs w:val="32"/>
        </w:rPr>
        <w:t>（五）本行政许可决定有效期为3年，自签发之日起计算。期满后，若该工程未开工建设，本行政许可决定自行失效；若要继续建设，应重新履行行政许可手续。工程建设过程中涉河建设方案有较大变更的，也应按规定重新办理许可手续。</w:t>
      </w:r>
    </w:p>
    <w:p w14:paraId="65A7E83B">
      <w:pPr>
        <w:snapToGrid w:val="0"/>
        <w:spacing w:line="594" w:lineRule="exact"/>
        <w:ind w:firstLine="640" w:firstLineChars="200"/>
        <w:rPr>
          <w:rFonts w:ascii="Times New Roman" w:hAnsi="Times New Roman" w:cs="Times New Roman"/>
          <w:szCs w:val="32"/>
        </w:rPr>
      </w:pPr>
      <w:r>
        <w:rPr>
          <w:rFonts w:ascii="Times New Roman" w:hAnsi="Times New Roman" w:cs="Times New Roman"/>
          <w:szCs w:val="32"/>
        </w:rPr>
        <w:t>（六）项目法人应严格按照批复的内容和要求实施。</w:t>
      </w:r>
    </w:p>
    <w:p w14:paraId="7D2DAA5E">
      <w:pPr>
        <w:snapToGrid w:val="0"/>
        <w:spacing w:line="594" w:lineRule="exact"/>
        <w:ind w:firstLine="640" w:firstLineChars="200"/>
        <w:rPr>
          <w:rFonts w:ascii="Times New Roman" w:hAnsi="Times New Roman" w:cs="Times New Roman"/>
          <w:szCs w:val="32"/>
        </w:rPr>
      </w:pPr>
      <w:r>
        <w:rPr>
          <w:rFonts w:ascii="Times New Roman" w:hAnsi="Times New Roman" w:cs="Times New Roman"/>
          <w:szCs w:val="32"/>
        </w:rPr>
        <w:t>附表：主要建筑物控制坐标表</w:t>
      </w:r>
    </w:p>
    <w:p w14:paraId="3E5FBA81">
      <w:pPr>
        <w:snapToGrid w:val="0"/>
        <w:spacing w:line="594" w:lineRule="exact"/>
        <w:ind w:firstLine="640" w:firstLineChars="200"/>
        <w:rPr>
          <w:rFonts w:hint="eastAsia" w:ascii="Times New Roman"/>
          <w:szCs w:val="32"/>
        </w:rPr>
      </w:pPr>
      <w:r>
        <w:rPr>
          <w:rFonts w:ascii="Times New Roman" w:hAnsi="Times New Roman" w:cs="Times New Roman"/>
          <w:szCs w:val="32"/>
        </w:rPr>
        <w:t>附件：永川区万笋连接道工程洪水影响</w:t>
      </w:r>
      <w:r>
        <w:rPr>
          <w:rFonts w:hint="eastAsia" w:ascii="Times New Roman" w:cs="Times New Roman"/>
          <w:szCs w:val="32"/>
        </w:rPr>
        <w:t>评价报告</w:t>
      </w:r>
      <w:r>
        <w:rPr>
          <w:rFonts w:hint="eastAsia" w:ascii="Times New Roman"/>
          <w:szCs w:val="32"/>
        </w:rPr>
        <w:t>专家评审意见</w:t>
      </w:r>
    </w:p>
    <w:p w14:paraId="504DAAD3">
      <w:pPr>
        <w:snapToGrid w:val="0"/>
        <w:spacing w:line="594" w:lineRule="exact"/>
        <w:ind w:firstLine="5600" w:firstLineChars="1750"/>
        <w:rPr>
          <w:rFonts w:ascii="Times New Roman" w:hAnsi="Times New Roman" w:cs="Times New Roman"/>
          <w:szCs w:val="32"/>
        </w:rPr>
      </w:pPr>
      <w:r>
        <w:rPr>
          <w:rFonts w:ascii="Times New Roman" w:hAnsi="Times New Roman" w:cs="Times New Roman"/>
          <w:szCs w:val="32"/>
        </w:rPr>
        <w:t>重庆市永川区水利局</w:t>
      </w:r>
    </w:p>
    <w:p w14:paraId="005E997C">
      <w:pPr>
        <w:snapToGrid w:val="0"/>
        <w:spacing w:line="594" w:lineRule="exact"/>
        <w:ind w:firstLine="6080" w:firstLineChars="1900"/>
        <w:rPr>
          <w:rFonts w:ascii="Times New Roman" w:hAnsi="Times New Roman" w:cs="Times New Roman"/>
          <w:szCs w:val="32"/>
        </w:rPr>
      </w:pPr>
      <w:r>
        <w:rPr>
          <w:rFonts w:ascii="Times New Roman" w:hAnsi="Times New Roman" w:cs="Times New Roman"/>
          <w:szCs w:val="32"/>
        </w:rPr>
        <w:t>2025年</w:t>
      </w:r>
      <w:r>
        <w:rPr>
          <w:rFonts w:hint="eastAsia" w:ascii="Times New Roman" w:hAnsi="Times New Roman" w:cs="Times New Roman"/>
          <w:szCs w:val="32"/>
        </w:rPr>
        <w:t>10</w:t>
      </w:r>
      <w:r>
        <w:rPr>
          <w:rFonts w:ascii="Times New Roman" w:hAnsi="Times New Roman" w:cs="Times New Roman"/>
          <w:szCs w:val="32"/>
        </w:rPr>
        <w:t>月</w:t>
      </w:r>
      <w:r>
        <w:rPr>
          <w:rFonts w:hint="eastAsia" w:ascii="Times New Roman" w:hAnsi="Times New Roman" w:cs="Times New Roman"/>
          <w:szCs w:val="32"/>
        </w:rPr>
        <w:t>15</w:t>
      </w:r>
      <w:r>
        <w:rPr>
          <w:rFonts w:ascii="Times New Roman" w:hAnsi="Times New Roman" w:cs="Times New Roman"/>
          <w:szCs w:val="32"/>
        </w:rPr>
        <w:t>日</w:t>
      </w:r>
    </w:p>
    <w:p w14:paraId="76E3C891">
      <w:pPr>
        <w:snapToGrid w:val="0"/>
        <w:spacing w:line="594" w:lineRule="exact"/>
        <w:ind w:firstLine="640" w:firstLineChars="200"/>
        <w:rPr>
          <w:rFonts w:ascii="Times New Roman" w:hAnsi="Times New Roman" w:eastAsia="方正黑体_GBK" w:cs="Times New Roman"/>
          <w:szCs w:val="32"/>
        </w:rPr>
      </w:pPr>
      <w:r>
        <w:rPr>
          <w:rFonts w:ascii="Times New Roman" w:hAnsi="Times New Roman" w:cs="Times New Roman"/>
          <w:szCs w:val="32"/>
        </w:rPr>
        <w:t>（此件主动公开发布）</w:t>
      </w:r>
      <w:r>
        <w:rPr>
          <w:rFonts w:ascii="Times New Roman" w:hAnsi="Times New Roman" w:eastAsia="方正黑体_GBK" w:cs="Times New Roman"/>
          <w:szCs w:val="32"/>
        </w:rPr>
        <w:t xml:space="preserve">  </w:t>
      </w:r>
    </w:p>
    <w:p w14:paraId="66A0745A">
      <w:pPr>
        <w:snapToGrid w:val="0"/>
        <w:spacing w:line="600" w:lineRule="exact"/>
        <w:jc w:val="center"/>
        <w:rPr>
          <w:rFonts w:ascii="Times New Roman" w:hAnsi="Times New Roman" w:cs="Times New Roman"/>
          <w:kern w:val="0"/>
          <w:sz w:val="28"/>
          <w:szCs w:val="32"/>
        </w:rPr>
      </w:pPr>
      <w:r>
        <w:rPr>
          <w:rFonts w:ascii="Times New Roman" w:hAnsi="Times New Roman" w:cs="Times New Roman"/>
          <w:kern w:val="0"/>
          <w:sz w:val="28"/>
          <w:szCs w:val="32"/>
        </w:rPr>
        <w:pict>
          <v:line id="直线 4" o:spid="_x0000_s1054" o:spt="20" style="position:absolute;left:0pt;margin-left:0pt;margin-top:2.6pt;height:0pt;width:408.2pt;z-index:251669504;mso-width-relative:page;mso-height-relative:page;" coordsize="21600,21600" o:gfxdata="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r9iw0QAAAAQBAAAPAAAAAAAAAAEAIAAAACIAAABkcnMvZG93&#10;bnJldi54bWxQSwECFAAUAAAACACHTuJAs1b4G84BAACOAwAADgAAAAAAAAABACAAAAAgAQAAZHJz&#10;L2Uyb0RvYy54bWxQSwUGAAAAAAYABgBZAQAAYAUAAAAA&#10;">
            <v:path arrowok="t"/>
            <v:fill focussize="0,0"/>
            <v:stroke/>
            <v:imagedata o:title=""/>
            <o:lock v:ext="edit"/>
          </v:line>
        </w:pict>
      </w:r>
      <w:r>
        <w:rPr>
          <w:rFonts w:ascii="Times New Roman" w:hAnsi="Times New Roman" w:cs="Times New Roman"/>
          <w:kern w:val="0"/>
          <w:sz w:val="28"/>
          <w:szCs w:val="32"/>
        </w:rPr>
        <w:pict>
          <v:line id="直线 12" o:spid="_x0000_s1044" o:spt="20" style="position:absolute;left:0pt;margin-left:0pt;margin-top:2.6pt;height:0pt;width:450pt;z-index:251659264;mso-width-relative:page;mso-height-relative:page;" coordsize="21600,21600" o:gfxdata="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r9iw0QAAAAQBAAAPAAAAAAAAAAEAIAAAACIAAABkcnMvZG93&#10;bnJldi54bWxQSwECFAAUAAAACACHTuJA5mb4xs4BAACOAwAADgAAAAAAAAABACAAAAAgAQAAZHJz&#10;L2Uyb0RvYy54bWxQSwUGAAAAAAYABgBZAQAAYAUAAAAA&#10;">
            <v:path arrowok="t"/>
            <v:fill focussize="0,0"/>
            <v:stroke/>
            <v:imagedata o:title=""/>
            <o:lock v:ext="edit"/>
          </v:line>
        </w:pict>
      </w:r>
      <w:r>
        <w:rPr>
          <w:rFonts w:ascii="Times New Roman" w:hAnsi="Times New Roman" w:cs="Times New Roman"/>
          <w:kern w:val="0"/>
          <w:sz w:val="28"/>
          <w:szCs w:val="32"/>
        </w:rPr>
        <w:pict>
          <v:line id="直线 13" o:spid="_x0000_s1045" o:spt="20" style="position:absolute;left:0pt;margin-left:0pt;margin-top:2.6pt;height:0pt;width:450pt;z-index:251660288;mso-width-relative:page;mso-height-relative:page;" coordsize="21600,21600" o:gfxdata="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r9iw0QAAAAQBAAAPAAAAAAAAAAEAIAAAACIAAABkcnMvZG93&#10;bnJldi54bWxQSwECFAAUAAAACACHTuJA0NycUs4BAACOAwAADgAAAAAAAAABACAAAAAgAQAAZHJz&#10;L2Uyb0RvYy54bWxQSwUGAAAAAAYABgBZAQAAYAUAAAAA&#10;">
            <v:path arrowok="t"/>
            <v:fill focussize="0,0"/>
            <v:stroke/>
            <v:imagedata o:title=""/>
            <o:lock v:ext="edit"/>
          </v:line>
        </w:pict>
      </w:r>
      <w:r>
        <w:rPr>
          <w:rFonts w:ascii="Times New Roman" w:hAnsi="Times New Roman" w:cs="Times New Roman"/>
          <w:kern w:val="0"/>
          <w:sz w:val="28"/>
          <w:szCs w:val="32"/>
        </w:rPr>
        <w:pict>
          <v:line id="直线 11" o:spid="_x0000_s1046" o:spt="20" style="position:absolute;left:0pt;margin-left:0pt;margin-top:2.6pt;height:0pt;width:450pt;z-index:251661312;mso-width-relative:page;mso-height-relative:page;" coordsize="21600,21600" o:gfxdata="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Sr9iw0QAAAAQBAAAPAAAAAAAAAAEAIAAAACIAAABkcnMvZG93&#10;bnJldi54bWxQSwECFAAUAAAACACHTuJAK/X1ps4BAACOAwAADgAAAAAAAAABACAAAAAgAQAAZHJz&#10;L2Uyb0RvYy54bWxQSwUGAAAAAAYABgBZAQAAYAUAAAAA&#10;">
            <v:path arrowok="t"/>
            <v:fill focussize="0,0"/>
            <v:stroke/>
            <v:imagedata o:title=""/>
            <o:lock v:ext="edit"/>
          </v:line>
        </w:pict>
      </w:r>
      <w:r>
        <w:rPr>
          <w:rFonts w:ascii="Times New Roman" w:hAnsi="Times New Roman" w:cs="Times New Roman"/>
          <w:kern w:val="0"/>
          <w:sz w:val="28"/>
          <w:szCs w:val="32"/>
        </w:rPr>
        <w:pict>
          <v:line id="直线 9" o:spid="_x0000_s1047" o:spt="20" style="position:absolute;left:0pt;margin-left:0pt;margin-top:2.6pt;height:0pt;width:450pt;z-index:251662336;mso-width-relative:page;mso-height-relative:page;" coordsize="21600,21600" o:gfxdata="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Kv2LDRAAAABAEAAA8AAAAAAAAAAQAgAAAAIgAAAGRycy9kb3du&#10;cmV2LnhtbFBLAQIUABQAAAAIAIdO4kAqu60RzQEAAI0DAAAOAAAAAAAAAAEAIAAAACABAABkcnMv&#10;ZTJvRG9jLnhtbFBLBQYAAAAABgAGAFkBAABfBQAAAAA=&#10;">
            <v:path arrowok="t"/>
            <v:fill focussize="0,0"/>
            <v:stroke/>
            <v:imagedata o:title=""/>
            <o:lock v:ext="edit"/>
          </v:line>
        </w:pict>
      </w:r>
      <w:r>
        <w:rPr>
          <w:rFonts w:ascii="Times New Roman" w:hAnsi="Times New Roman" w:cs="Times New Roman"/>
          <w:kern w:val="0"/>
          <w:sz w:val="28"/>
          <w:szCs w:val="32"/>
        </w:rPr>
        <w:pict>
          <v:line id="直线 10" o:spid="_x0000_s1048" o:spt="20" style="position:absolute;left:0pt;margin-left:0pt;margin-top:2.6pt;height:0pt;width:450pt;z-index:251663360;mso-width-relative:page;mso-height-relative:page;" coordsize="21600,21600" o:gfxdata="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Eq/YsNEAAAAEAQAADwAAAAAAAAABACAAAAAiAAAAZHJzL2Rvd25y&#10;ZXYueG1sUEsBAhQAFAAAAAgAh07iQIREBnLMAQAAjgMAAA4AAAAAAAAAAQAgAAAAIAEAAGRycy9l&#10;Mm9Eb2MueG1sUEsFBgAAAAAGAAYAWQEAAF4FAAAAAA==&#10;">
            <v:path arrowok="t"/>
            <v:fill focussize="0,0"/>
            <v:stroke/>
            <v:imagedata o:title=""/>
            <o:lock v:ext="edit"/>
          </v:line>
        </w:pict>
      </w:r>
      <w:r>
        <w:rPr>
          <w:rFonts w:ascii="Times New Roman" w:hAnsi="Times New Roman" w:cs="Times New Roman"/>
          <w:kern w:val="0"/>
          <w:sz w:val="28"/>
          <w:szCs w:val="32"/>
        </w:rPr>
        <w:pict>
          <v:line id="直线 8" o:spid="_x0000_s1049" o:spt="20" style="position:absolute;left:0pt;margin-left:0pt;margin-top:2.6pt;height:0pt;width:450pt;z-index:251664384;mso-width-relative:page;mso-height-relative:page;" coordsize="21600,21600" o:gfxdata="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Kv2LDRAAAABAEAAA8AAAAAAAAAAQAgAAAAIgAAAGRycy9kb3du&#10;cmV2LnhtbFBLAQIUABQAAAAIAIdO4kC6ygv4zQEAAI0DAAAOAAAAAAAAAAEAIAAAACABAABkcnMv&#10;ZTJvRG9jLnhtbFBLBQYAAAAABgAGAFkBAABfBQAAAAA=&#10;">
            <v:path arrowok="t"/>
            <v:fill focussize="0,0"/>
            <v:stroke/>
            <v:imagedata o:title=""/>
            <o:lock v:ext="edit"/>
          </v:line>
        </w:pict>
      </w:r>
      <w:r>
        <w:rPr>
          <w:rFonts w:ascii="Times New Roman" w:hAnsi="Times New Roman" w:cs="Times New Roman"/>
          <w:kern w:val="0"/>
          <w:sz w:val="28"/>
          <w:szCs w:val="32"/>
        </w:rPr>
        <w:pict>
          <v:line id="直线 6" o:spid="_x0000_s1050" o:spt="20" style="position:absolute;left:0pt;margin-left:0pt;margin-top:2.6pt;height:0pt;width:450pt;z-index:251665408;mso-width-relative:page;mso-height-relative:page;" coordsize="21600,21600" o:gfxdata="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Kv2LDRAAAABAEAAA8AAAAAAAAAAQAgAAAAIgAAAGRycy9kb3du&#10;cmV2LnhtbFBLAQIUABQAAAAIAIdO4kA53hklzQEAAI0DAAAOAAAAAAAAAAEAIAAAACABAABkcnMv&#10;ZTJvRG9jLnhtbFBLBQYAAAAABgAGAFkBAABfBQAAAAA=&#10;">
            <v:path arrowok="t"/>
            <v:fill focussize="0,0"/>
            <v:stroke/>
            <v:imagedata o:title=""/>
            <o:lock v:ext="edit"/>
          </v:line>
        </w:pict>
      </w:r>
      <w:r>
        <w:rPr>
          <w:rFonts w:ascii="Times New Roman" w:hAnsi="Times New Roman" w:cs="Times New Roman"/>
          <w:kern w:val="0"/>
          <w:sz w:val="28"/>
          <w:szCs w:val="32"/>
        </w:rPr>
        <w:pict>
          <v:line id="直线 7" o:spid="_x0000_s1051" o:spt="20" style="position:absolute;left:0pt;margin-left:0pt;margin-top:2.6pt;height:0pt;width:450pt;z-index:251666432;mso-width-relative:page;mso-height-relative:page;" coordsize="21600,21600" o:gfxdata="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Kv2LDRAAAABAEAAA8AAAAAAAAAAQAgAAAAIgAAAGRycy9kb3du&#10;cmV2LnhtbFBLAQIUABQAAAAIAIdO4kB5nyHgzQEAAI0DAAAOAAAAAAAAAAEAIAAAACABAABkcnMv&#10;ZTJvRG9jLnhtbFBLBQYAAAAABgAGAFkBAABfBQAAAAA=&#10;">
            <v:path arrowok="t"/>
            <v:fill focussize="0,0"/>
            <v:stroke/>
            <v:imagedata o:title=""/>
            <o:lock v:ext="edit"/>
          </v:line>
        </w:pict>
      </w:r>
      <w:r>
        <w:rPr>
          <w:rFonts w:ascii="Times New Roman" w:hAnsi="Times New Roman" w:cs="Times New Roman"/>
          <w:kern w:val="0"/>
          <w:sz w:val="28"/>
          <w:szCs w:val="32"/>
        </w:rPr>
        <w:pict>
          <v:line id="_x0000_s1052" o:spid="_x0000_s1052" o:spt="20" style="position:absolute;left:0pt;margin-left:0pt;margin-top:2.6pt;height:0pt;width:450pt;z-index:251667456;mso-width-relative:page;mso-height-relative:page;" coordsize="21600,21600" o:gfxdata="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Eq/YsNEAAAAEAQAADwAAAAAAAAABACAAAAAiAAAAZHJzL2Rvd25y&#10;ZXYueG1sUEsBAhQAFAAAAAgAh07iQPKFHKDMAQAAjQMAAA4AAAAAAAAAAQAgAAAAIAEAAGRycy9l&#10;Mm9Eb2MueG1sUEsFBgAAAAAGAAYAWQEAAF4FAAAAAA==&#10;">
            <v:path arrowok="t"/>
            <v:fill focussize="0,0"/>
            <v:stroke/>
            <v:imagedata o:title=""/>
            <o:lock v:ext="edit"/>
          </v:line>
        </w:pict>
      </w:r>
      <w:r>
        <w:rPr>
          <w:rFonts w:ascii="Times New Roman" w:hAnsi="Times New Roman" w:cs="Times New Roman"/>
          <w:kern w:val="0"/>
          <w:sz w:val="28"/>
          <w:szCs w:val="32"/>
        </w:rPr>
        <w:pict>
          <v:line id="直线 3" o:spid="_x0000_s1053" o:spt="20" style="position:absolute;left:0pt;margin-left:0pt;margin-top:2.6pt;height:0pt;width:450pt;z-index:251668480;mso-width-relative:page;mso-height-relative:page;" coordsize="21600,21600" o:gfxdata="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Kv2LDRAAAABAEAAA8AAAAAAAAAAQAgAAAAIgAAAGRycy9kb3du&#10;cmV2LnhtbFBLAQIUABQAAAAIAIdO4kC+CBkyzQEAAI4DAAAOAAAAAAAAAAEAIAAAACABAABkcnMv&#10;ZTJvRG9jLnhtbFBLBQYAAAAABgAGAFkBAABfBQAAAAA=&#10;">
            <v:path arrowok="t"/>
            <v:fill focussize="0,0"/>
            <v:stroke/>
            <v:imagedata o:title=""/>
            <o:lock v:ext="edit"/>
          </v:line>
        </w:pict>
      </w:r>
      <w:r>
        <w:rPr>
          <w:rFonts w:ascii="Times New Roman" w:hAnsi="Times New Roman" w:cs="Times New Roman"/>
          <w:kern w:val="0"/>
          <w:sz w:val="28"/>
          <w:szCs w:val="32"/>
        </w:rPr>
        <w:t>永川区水利局规划建设科（行政审批科）       2025年</w:t>
      </w:r>
      <w:r>
        <w:rPr>
          <w:rFonts w:hint="eastAsia" w:ascii="Times New Roman" w:hAnsi="Times New Roman" w:cs="Times New Roman"/>
          <w:kern w:val="0"/>
          <w:sz w:val="28"/>
          <w:szCs w:val="32"/>
        </w:rPr>
        <w:t>10</w:t>
      </w:r>
      <w:r>
        <w:rPr>
          <w:rFonts w:ascii="Times New Roman" w:hAnsi="Times New Roman" w:cs="Times New Roman"/>
          <w:kern w:val="0"/>
          <w:sz w:val="28"/>
          <w:szCs w:val="32"/>
        </w:rPr>
        <w:t>月</w:t>
      </w:r>
      <w:r>
        <w:rPr>
          <w:rFonts w:hint="eastAsia" w:ascii="Times New Roman" w:hAnsi="Times New Roman" w:cs="Times New Roman"/>
          <w:kern w:val="0"/>
          <w:sz w:val="28"/>
          <w:szCs w:val="32"/>
        </w:rPr>
        <w:t>15</w:t>
      </w:r>
      <w:r>
        <w:rPr>
          <w:rFonts w:ascii="Times New Roman" w:hAnsi="Times New Roman" w:cs="Times New Roman"/>
          <w:kern w:val="0"/>
          <w:sz w:val="28"/>
          <w:szCs w:val="32"/>
        </w:rPr>
        <w:t>日印发</w:t>
      </w:r>
    </w:p>
    <w:p w14:paraId="758354E5">
      <w:pPr>
        <w:ind w:firstLine="6720" w:firstLineChars="2100"/>
        <w:rPr>
          <w:rFonts w:ascii="Times New Roman" w:hAnsi="Times New Roman" w:cs="Times New Roman"/>
          <w:kern w:val="0"/>
          <w:szCs w:val="32"/>
        </w:rPr>
      </w:pPr>
      <w:r>
        <w:rPr>
          <w:rFonts w:ascii="Times New Roman" w:hAnsi="Times New Roman" w:cs="Times New Roman"/>
          <w:kern w:val="0"/>
          <w:szCs w:val="32"/>
        </w:rPr>
        <w:pict>
          <v:line id="直线 2" o:spid="_x0000_s1055" o:spt="20" style="position:absolute;left:0pt;margin-left:0pt;margin-top:0.2pt;height:0pt;width:450pt;z-index:251670528;mso-width-relative:page;mso-height-relative:page;" coordsize="21600,21600" o:gfxdata="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BDOsg/QAAAAAgEAAA8AAAAAAAAAAQAgAAAAIgAAAGRycy9kb3du&#10;cmV2LnhtbFBLAQIUABQAAAAIAIdO4kAueb/bzgEAAI4DAAAOAAAAAAAAAAEAIAAAAB8BAABkcnMv&#10;ZTJvRG9jLnhtbFBLBQYAAAAABgAGAFkBAABfBQAAAAA=&#10;">
            <v:path arrowok="t"/>
            <v:fill focussize="0,0"/>
            <v:stroke/>
            <v:imagedata o:title=""/>
            <o:lock v:ext="edit"/>
          </v:line>
        </w:pict>
      </w:r>
      <w:r>
        <w:rPr>
          <w:rFonts w:ascii="Times New Roman" w:hAnsi="Times New Roman" w:cs="Times New Roman"/>
          <w:kern w:val="0"/>
          <w:szCs w:val="32"/>
        </w:rPr>
        <w:t>（共印</w:t>
      </w:r>
      <w:r>
        <w:rPr>
          <w:rFonts w:hint="eastAsia" w:ascii="Times New Roman" w:hAnsi="Times New Roman" w:cs="Times New Roman"/>
          <w:kern w:val="0"/>
          <w:szCs w:val="32"/>
        </w:rPr>
        <w:t>3</w:t>
      </w:r>
      <w:r>
        <w:rPr>
          <w:rFonts w:ascii="Times New Roman" w:hAnsi="Times New Roman" w:cs="Times New Roman"/>
          <w:kern w:val="0"/>
          <w:szCs w:val="32"/>
        </w:rPr>
        <w:t>份）</w:t>
      </w:r>
    </w:p>
    <w:p w14:paraId="270B7239">
      <w:pPr>
        <w:rPr>
          <w:rFonts w:hint="eastAsia" w:ascii="方正仿宋_GBK" w:cs="Times New Roman"/>
          <w:b/>
          <w:bCs/>
          <w:sz w:val="28"/>
          <w:szCs w:val="28"/>
        </w:rPr>
      </w:pPr>
      <w:r>
        <w:rPr>
          <w:rFonts w:hint="eastAsia" w:ascii="方正黑体_GBK" w:hAnsi="Times New Roman" w:eastAsia="方正黑体_GBK" w:cs="Times New Roman"/>
          <w:kern w:val="0"/>
          <w:szCs w:val="32"/>
        </w:rPr>
        <w:t xml:space="preserve">附表                </w:t>
      </w:r>
      <w:r>
        <w:rPr>
          <w:rFonts w:hint="eastAsia" w:ascii="方正仿宋_GBK" w:cs="Times New Roman"/>
          <w:b/>
          <w:bCs/>
          <w:sz w:val="28"/>
          <w:szCs w:val="28"/>
        </w:rPr>
        <w:t>主要建筑物控制坐标表</w:t>
      </w:r>
      <w:r>
        <w:rPr>
          <w:rFonts w:hint="eastAsia" w:ascii="方正黑体_GBK" w:hAnsi="Times New Roman" w:eastAsia="方正黑体_GBK" w:cs="Times New Roman"/>
          <w:kern w:val="0"/>
          <w:szCs w:val="32"/>
        </w:rPr>
        <w:t xml:space="preserve">          </w:t>
      </w:r>
    </w:p>
    <w:p w14:paraId="706896E3">
      <w:pPr>
        <w:spacing w:line="500" w:lineRule="exact"/>
        <w:jc w:val="center"/>
        <w:rPr>
          <w:rFonts w:hint="eastAsia" w:ascii="方正仿宋_GBK" w:cs="Times New Roman"/>
          <w:b/>
          <w:bCs/>
          <w:sz w:val="24"/>
          <w:szCs w:val="24"/>
        </w:rPr>
      </w:pPr>
      <w:r>
        <w:rPr>
          <w:rFonts w:hint="eastAsia" w:ascii="方正仿宋_GBK" w:cs="Times New Roman"/>
          <w:b/>
          <w:bCs/>
          <w:sz w:val="24"/>
          <w:szCs w:val="24"/>
        </w:rPr>
        <w:t>江永河中桥梁控制坐标表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9"/>
        <w:gridCol w:w="1767"/>
        <w:gridCol w:w="1584"/>
        <w:gridCol w:w="1301"/>
        <w:gridCol w:w="1767"/>
        <w:gridCol w:w="1582"/>
      </w:tblGrid>
      <w:tr w14:paraId="5148C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585" w:type="pct"/>
            <w:vMerge w:val="restart"/>
            <w:noWrap/>
            <w:vAlign w:val="center"/>
          </w:tcPr>
          <w:p w14:paraId="23D6AF55">
            <w:pPr>
              <w:widowControl/>
              <w:snapToGrid w:val="0"/>
              <w:spacing w:line="240" w:lineRule="atLeast"/>
              <w:jc w:val="center"/>
              <w:rPr>
                <w:rFonts w:hint="eastAsia" w:ascii="方正仿宋_GBK" w:hAnsi="宋体"/>
                <w:kern w:val="0"/>
                <w:sz w:val="21"/>
                <w:szCs w:val="21"/>
              </w:rPr>
            </w:pPr>
            <w:bookmarkStart w:id="1" w:name="_Hlk209652158"/>
            <w:r>
              <w:rPr>
                <w:rFonts w:hint="eastAsia" w:ascii="方正仿宋_GBK" w:hAnsi="宋体"/>
                <w:kern w:val="0"/>
                <w:sz w:val="21"/>
                <w:szCs w:val="21"/>
              </w:rPr>
              <w:t>编号</w:t>
            </w:r>
          </w:p>
        </w:tc>
        <w:tc>
          <w:tcPr>
            <w:tcW w:w="1849" w:type="pct"/>
            <w:gridSpan w:val="2"/>
            <w:noWrap/>
            <w:vAlign w:val="center"/>
          </w:tcPr>
          <w:p w14:paraId="7E594E33">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坐标（m）</w:t>
            </w:r>
          </w:p>
        </w:tc>
        <w:tc>
          <w:tcPr>
            <w:tcW w:w="718" w:type="pct"/>
            <w:vMerge w:val="restart"/>
            <w:noWrap/>
            <w:vAlign w:val="center"/>
          </w:tcPr>
          <w:p w14:paraId="601E34A4">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编号</w:t>
            </w:r>
          </w:p>
        </w:tc>
        <w:tc>
          <w:tcPr>
            <w:tcW w:w="1848" w:type="pct"/>
            <w:gridSpan w:val="2"/>
            <w:noWrap/>
            <w:vAlign w:val="center"/>
          </w:tcPr>
          <w:p w14:paraId="29648183">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坐标（m）</w:t>
            </w:r>
          </w:p>
        </w:tc>
      </w:tr>
      <w:tr w14:paraId="00512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trPr>
        <w:tc>
          <w:tcPr>
            <w:tcW w:w="585" w:type="pct"/>
            <w:vMerge w:val="continue"/>
            <w:vAlign w:val="center"/>
          </w:tcPr>
          <w:p w14:paraId="684ECA05">
            <w:pPr>
              <w:widowControl/>
              <w:snapToGrid w:val="0"/>
              <w:spacing w:line="240" w:lineRule="atLeast"/>
              <w:jc w:val="left"/>
              <w:rPr>
                <w:rFonts w:hint="eastAsia" w:ascii="方正仿宋_GBK" w:hAnsi="宋体"/>
                <w:kern w:val="0"/>
                <w:sz w:val="21"/>
                <w:szCs w:val="21"/>
              </w:rPr>
            </w:pPr>
          </w:p>
        </w:tc>
        <w:tc>
          <w:tcPr>
            <w:tcW w:w="975" w:type="pct"/>
            <w:noWrap/>
            <w:vAlign w:val="center"/>
          </w:tcPr>
          <w:p w14:paraId="42097AE2">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X</w:t>
            </w:r>
          </w:p>
        </w:tc>
        <w:tc>
          <w:tcPr>
            <w:tcW w:w="874" w:type="pct"/>
            <w:noWrap/>
            <w:vAlign w:val="center"/>
          </w:tcPr>
          <w:p w14:paraId="62346AD2">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Y</w:t>
            </w:r>
          </w:p>
        </w:tc>
        <w:tc>
          <w:tcPr>
            <w:tcW w:w="718" w:type="pct"/>
            <w:vMerge w:val="continue"/>
            <w:vAlign w:val="center"/>
          </w:tcPr>
          <w:p w14:paraId="2DD8FDFD">
            <w:pPr>
              <w:widowControl/>
              <w:snapToGrid w:val="0"/>
              <w:spacing w:line="240" w:lineRule="atLeast"/>
              <w:jc w:val="left"/>
              <w:rPr>
                <w:rFonts w:hint="eastAsia" w:ascii="方正仿宋_GBK" w:hAnsi="宋体"/>
                <w:kern w:val="0"/>
                <w:sz w:val="21"/>
                <w:szCs w:val="21"/>
              </w:rPr>
            </w:pPr>
          </w:p>
        </w:tc>
        <w:tc>
          <w:tcPr>
            <w:tcW w:w="975" w:type="pct"/>
            <w:noWrap/>
            <w:vAlign w:val="center"/>
          </w:tcPr>
          <w:p w14:paraId="4769C14D">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X</w:t>
            </w:r>
          </w:p>
        </w:tc>
        <w:tc>
          <w:tcPr>
            <w:tcW w:w="873" w:type="pct"/>
            <w:noWrap/>
            <w:vAlign w:val="center"/>
          </w:tcPr>
          <w:p w14:paraId="53F3769E">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Y</w:t>
            </w:r>
          </w:p>
        </w:tc>
      </w:tr>
      <w:tr w14:paraId="777A3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5" w:type="pct"/>
            <w:noWrap/>
            <w:vAlign w:val="center"/>
          </w:tcPr>
          <w:p w14:paraId="70228B70">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0-1</w:t>
            </w:r>
          </w:p>
        </w:tc>
        <w:tc>
          <w:tcPr>
            <w:tcW w:w="975" w:type="pct"/>
            <w:noWrap/>
            <w:vAlign w:val="center"/>
          </w:tcPr>
          <w:p w14:paraId="68794C87">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3216336.85</w:t>
            </w:r>
          </w:p>
        </w:tc>
        <w:tc>
          <w:tcPr>
            <w:tcW w:w="874" w:type="pct"/>
            <w:noWrap/>
            <w:vAlign w:val="center"/>
          </w:tcPr>
          <w:p w14:paraId="1B73E63F">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577596.11</w:t>
            </w:r>
          </w:p>
        </w:tc>
        <w:tc>
          <w:tcPr>
            <w:tcW w:w="718" w:type="pct"/>
            <w:noWrap/>
            <w:vAlign w:val="center"/>
          </w:tcPr>
          <w:p w14:paraId="0F942D85">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2-1</w:t>
            </w:r>
          </w:p>
        </w:tc>
        <w:tc>
          <w:tcPr>
            <w:tcW w:w="975" w:type="pct"/>
            <w:noWrap/>
            <w:vAlign w:val="center"/>
          </w:tcPr>
          <w:p w14:paraId="7DA21F72">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3216301.35</w:t>
            </w:r>
          </w:p>
        </w:tc>
        <w:tc>
          <w:tcPr>
            <w:tcW w:w="873" w:type="pct"/>
            <w:noWrap/>
            <w:vAlign w:val="center"/>
          </w:tcPr>
          <w:p w14:paraId="2EBFB18B">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577610.06</w:t>
            </w:r>
          </w:p>
        </w:tc>
      </w:tr>
      <w:tr w14:paraId="1588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5" w:type="pct"/>
            <w:noWrap/>
            <w:vAlign w:val="center"/>
          </w:tcPr>
          <w:p w14:paraId="0D2AA672">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0-2</w:t>
            </w:r>
          </w:p>
        </w:tc>
        <w:tc>
          <w:tcPr>
            <w:tcW w:w="975" w:type="pct"/>
            <w:noWrap/>
            <w:vAlign w:val="center"/>
          </w:tcPr>
          <w:p w14:paraId="0A7AA6F4">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3216342.98</w:t>
            </w:r>
          </w:p>
        </w:tc>
        <w:tc>
          <w:tcPr>
            <w:tcW w:w="874" w:type="pct"/>
            <w:noWrap/>
            <w:vAlign w:val="center"/>
          </w:tcPr>
          <w:p w14:paraId="38EE23F4">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577616.71</w:t>
            </w:r>
          </w:p>
        </w:tc>
        <w:tc>
          <w:tcPr>
            <w:tcW w:w="718" w:type="pct"/>
            <w:noWrap/>
            <w:vAlign w:val="center"/>
          </w:tcPr>
          <w:p w14:paraId="012A247E">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2-2</w:t>
            </w:r>
          </w:p>
        </w:tc>
        <w:tc>
          <w:tcPr>
            <w:tcW w:w="975" w:type="pct"/>
            <w:noWrap/>
            <w:vAlign w:val="center"/>
          </w:tcPr>
          <w:p w14:paraId="51EB95EB">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3216302.78</w:t>
            </w:r>
          </w:p>
        </w:tc>
        <w:tc>
          <w:tcPr>
            <w:tcW w:w="873" w:type="pct"/>
            <w:noWrap/>
            <w:vAlign w:val="center"/>
          </w:tcPr>
          <w:p w14:paraId="0AC15C01">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577614.86</w:t>
            </w:r>
          </w:p>
        </w:tc>
      </w:tr>
      <w:tr w14:paraId="5DBCE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5" w:type="pct"/>
            <w:noWrap/>
            <w:vAlign w:val="center"/>
          </w:tcPr>
          <w:p w14:paraId="46226B2A">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0-3</w:t>
            </w:r>
          </w:p>
        </w:tc>
        <w:tc>
          <w:tcPr>
            <w:tcW w:w="975" w:type="pct"/>
            <w:noWrap/>
            <w:vAlign w:val="center"/>
          </w:tcPr>
          <w:p w14:paraId="6EB9AB06">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3216334.55</w:t>
            </w:r>
          </w:p>
        </w:tc>
        <w:tc>
          <w:tcPr>
            <w:tcW w:w="874" w:type="pct"/>
            <w:noWrap/>
            <w:vAlign w:val="center"/>
          </w:tcPr>
          <w:p w14:paraId="1297816B">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577619.23</w:t>
            </w:r>
          </w:p>
        </w:tc>
        <w:tc>
          <w:tcPr>
            <w:tcW w:w="718" w:type="pct"/>
            <w:noWrap/>
            <w:vAlign w:val="center"/>
          </w:tcPr>
          <w:p w14:paraId="737C30FC">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2-3</w:t>
            </w:r>
          </w:p>
        </w:tc>
        <w:tc>
          <w:tcPr>
            <w:tcW w:w="975" w:type="pct"/>
            <w:noWrap/>
            <w:vAlign w:val="center"/>
          </w:tcPr>
          <w:p w14:paraId="68B2DD2B">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3216304.21</w:t>
            </w:r>
          </w:p>
        </w:tc>
        <w:tc>
          <w:tcPr>
            <w:tcW w:w="873" w:type="pct"/>
            <w:noWrap/>
            <w:vAlign w:val="center"/>
          </w:tcPr>
          <w:p w14:paraId="3CA1F4D3">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577619.65</w:t>
            </w:r>
          </w:p>
        </w:tc>
      </w:tr>
      <w:tr w14:paraId="6CF40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5" w:type="pct"/>
            <w:noWrap/>
            <w:vAlign w:val="center"/>
          </w:tcPr>
          <w:p w14:paraId="6970B61C">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0-4</w:t>
            </w:r>
          </w:p>
        </w:tc>
        <w:tc>
          <w:tcPr>
            <w:tcW w:w="975" w:type="pct"/>
            <w:noWrap/>
            <w:vAlign w:val="center"/>
          </w:tcPr>
          <w:p w14:paraId="350C9DE3">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3216328.41</w:t>
            </w:r>
          </w:p>
        </w:tc>
        <w:tc>
          <w:tcPr>
            <w:tcW w:w="874" w:type="pct"/>
            <w:noWrap/>
            <w:vAlign w:val="center"/>
          </w:tcPr>
          <w:p w14:paraId="4D22AD12">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577598.62</w:t>
            </w:r>
          </w:p>
        </w:tc>
        <w:tc>
          <w:tcPr>
            <w:tcW w:w="718" w:type="pct"/>
            <w:noWrap/>
            <w:vAlign w:val="center"/>
          </w:tcPr>
          <w:p w14:paraId="7BCEE515">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2-4</w:t>
            </w:r>
          </w:p>
        </w:tc>
        <w:tc>
          <w:tcPr>
            <w:tcW w:w="975" w:type="pct"/>
            <w:noWrap/>
            <w:vAlign w:val="center"/>
          </w:tcPr>
          <w:p w14:paraId="4AB981EA">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3216305.63</w:t>
            </w:r>
          </w:p>
        </w:tc>
        <w:tc>
          <w:tcPr>
            <w:tcW w:w="873" w:type="pct"/>
            <w:noWrap/>
            <w:vAlign w:val="center"/>
          </w:tcPr>
          <w:p w14:paraId="3441FFA2">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577624.44</w:t>
            </w:r>
          </w:p>
        </w:tc>
      </w:tr>
      <w:tr w14:paraId="4366F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5" w:type="pct"/>
            <w:noWrap/>
            <w:vAlign w:val="center"/>
          </w:tcPr>
          <w:p w14:paraId="5B9CBD4D">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1-1</w:t>
            </w:r>
          </w:p>
        </w:tc>
        <w:tc>
          <w:tcPr>
            <w:tcW w:w="975" w:type="pct"/>
            <w:noWrap/>
            <w:vAlign w:val="center"/>
          </w:tcPr>
          <w:p w14:paraId="2EBCCCA0">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3216316.69</w:t>
            </w:r>
          </w:p>
        </w:tc>
        <w:tc>
          <w:tcPr>
            <w:tcW w:w="874" w:type="pct"/>
            <w:noWrap/>
            <w:vAlign w:val="center"/>
          </w:tcPr>
          <w:p w14:paraId="34B33ACB">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577605.50</w:t>
            </w:r>
          </w:p>
        </w:tc>
        <w:tc>
          <w:tcPr>
            <w:tcW w:w="718" w:type="pct"/>
            <w:noWrap/>
            <w:vAlign w:val="center"/>
          </w:tcPr>
          <w:p w14:paraId="5BD87993">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3-1</w:t>
            </w:r>
          </w:p>
        </w:tc>
        <w:tc>
          <w:tcPr>
            <w:tcW w:w="975" w:type="pct"/>
            <w:noWrap/>
            <w:vAlign w:val="center"/>
          </w:tcPr>
          <w:p w14:paraId="59884387">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3216286.40</w:t>
            </w:r>
          </w:p>
        </w:tc>
        <w:tc>
          <w:tcPr>
            <w:tcW w:w="873" w:type="pct"/>
            <w:noWrap/>
            <w:vAlign w:val="center"/>
          </w:tcPr>
          <w:p w14:paraId="05974BA1">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577614.51</w:t>
            </w:r>
          </w:p>
        </w:tc>
      </w:tr>
      <w:tr w14:paraId="24A55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5" w:type="pct"/>
            <w:noWrap/>
            <w:vAlign w:val="center"/>
          </w:tcPr>
          <w:p w14:paraId="44E019C2">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1-2</w:t>
            </w:r>
          </w:p>
        </w:tc>
        <w:tc>
          <w:tcPr>
            <w:tcW w:w="975" w:type="pct"/>
            <w:noWrap/>
            <w:vAlign w:val="center"/>
          </w:tcPr>
          <w:p w14:paraId="0B0D15B3">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3216318.11</w:t>
            </w:r>
          </w:p>
        </w:tc>
        <w:tc>
          <w:tcPr>
            <w:tcW w:w="874" w:type="pct"/>
            <w:noWrap/>
            <w:vAlign w:val="center"/>
          </w:tcPr>
          <w:p w14:paraId="40C25780">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577610.29</w:t>
            </w:r>
          </w:p>
        </w:tc>
        <w:tc>
          <w:tcPr>
            <w:tcW w:w="718" w:type="pct"/>
            <w:noWrap/>
            <w:vAlign w:val="center"/>
          </w:tcPr>
          <w:p w14:paraId="6273D4AB">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3-2</w:t>
            </w:r>
          </w:p>
        </w:tc>
        <w:tc>
          <w:tcPr>
            <w:tcW w:w="975" w:type="pct"/>
            <w:noWrap/>
            <w:vAlign w:val="center"/>
          </w:tcPr>
          <w:p w14:paraId="0764ACF5">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3216287.83</w:t>
            </w:r>
          </w:p>
        </w:tc>
        <w:tc>
          <w:tcPr>
            <w:tcW w:w="873" w:type="pct"/>
            <w:noWrap/>
            <w:vAlign w:val="center"/>
          </w:tcPr>
          <w:p w14:paraId="034C9481">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577619.31</w:t>
            </w:r>
          </w:p>
        </w:tc>
      </w:tr>
      <w:tr w14:paraId="64D47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5" w:type="pct"/>
            <w:noWrap/>
            <w:vAlign w:val="center"/>
          </w:tcPr>
          <w:p w14:paraId="4AB8E8EE">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1-3</w:t>
            </w:r>
          </w:p>
        </w:tc>
        <w:tc>
          <w:tcPr>
            <w:tcW w:w="975" w:type="pct"/>
            <w:noWrap/>
            <w:vAlign w:val="center"/>
          </w:tcPr>
          <w:p w14:paraId="6E013B7C">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3216319.54</w:t>
            </w:r>
          </w:p>
        </w:tc>
        <w:tc>
          <w:tcPr>
            <w:tcW w:w="874" w:type="pct"/>
            <w:noWrap/>
            <w:vAlign w:val="center"/>
          </w:tcPr>
          <w:p w14:paraId="24BA2D57">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577615.08</w:t>
            </w:r>
          </w:p>
        </w:tc>
        <w:tc>
          <w:tcPr>
            <w:tcW w:w="718" w:type="pct"/>
            <w:noWrap/>
            <w:vAlign w:val="center"/>
          </w:tcPr>
          <w:p w14:paraId="23BB4916">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3-3</w:t>
            </w:r>
          </w:p>
        </w:tc>
        <w:tc>
          <w:tcPr>
            <w:tcW w:w="975" w:type="pct"/>
            <w:noWrap/>
            <w:vAlign w:val="center"/>
          </w:tcPr>
          <w:p w14:paraId="53E693B3">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3216289.25</w:t>
            </w:r>
          </w:p>
        </w:tc>
        <w:tc>
          <w:tcPr>
            <w:tcW w:w="873" w:type="pct"/>
            <w:noWrap/>
            <w:vAlign w:val="center"/>
          </w:tcPr>
          <w:p w14:paraId="6E265F59">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577624.10</w:t>
            </w:r>
          </w:p>
        </w:tc>
      </w:tr>
      <w:tr w14:paraId="538E5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5" w:type="pct"/>
            <w:noWrap/>
            <w:vAlign w:val="center"/>
          </w:tcPr>
          <w:p w14:paraId="0D47673D">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1-4</w:t>
            </w:r>
          </w:p>
        </w:tc>
        <w:tc>
          <w:tcPr>
            <w:tcW w:w="975" w:type="pct"/>
            <w:noWrap/>
            <w:vAlign w:val="center"/>
          </w:tcPr>
          <w:p w14:paraId="0357BC11">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3216320.97</w:t>
            </w:r>
          </w:p>
        </w:tc>
        <w:tc>
          <w:tcPr>
            <w:tcW w:w="874" w:type="pct"/>
            <w:noWrap/>
            <w:vAlign w:val="center"/>
          </w:tcPr>
          <w:p w14:paraId="332AA34C">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577619.88</w:t>
            </w:r>
          </w:p>
        </w:tc>
        <w:tc>
          <w:tcPr>
            <w:tcW w:w="718" w:type="pct"/>
            <w:noWrap/>
            <w:vAlign w:val="center"/>
          </w:tcPr>
          <w:p w14:paraId="37584EC5">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3-4</w:t>
            </w:r>
          </w:p>
        </w:tc>
        <w:tc>
          <w:tcPr>
            <w:tcW w:w="975" w:type="pct"/>
            <w:noWrap/>
            <w:vAlign w:val="center"/>
          </w:tcPr>
          <w:p w14:paraId="7F082D73">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3216290.68</w:t>
            </w:r>
          </w:p>
        </w:tc>
        <w:tc>
          <w:tcPr>
            <w:tcW w:w="873" w:type="pct"/>
            <w:noWrap/>
            <w:vAlign w:val="center"/>
          </w:tcPr>
          <w:p w14:paraId="5EF406C1">
            <w:pPr>
              <w:widowControl/>
              <w:snapToGrid w:val="0"/>
              <w:spacing w:line="240" w:lineRule="atLeast"/>
              <w:jc w:val="center"/>
              <w:rPr>
                <w:rFonts w:hint="eastAsia" w:ascii="方正仿宋_GBK" w:hAnsi="宋体"/>
                <w:kern w:val="0"/>
                <w:sz w:val="21"/>
                <w:szCs w:val="21"/>
              </w:rPr>
            </w:pPr>
            <w:r>
              <w:rPr>
                <w:rFonts w:hint="eastAsia" w:ascii="方正仿宋_GBK" w:hAnsi="宋体"/>
                <w:kern w:val="0"/>
                <w:sz w:val="21"/>
                <w:szCs w:val="21"/>
              </w:rPr>
              <w:t>577628.89</w:t>
            </w:r>
          </w:p>
        </w:tc>
      </w:tr>
      <w:tr w14:paraId="4B4A6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5" w:type="pct"/>
            <w:noWrap/>
            <w:vAlign w:val="center"/>
          </w:tcPr>
          <w:p w14:paraId="7B3168CE">
            <w:pPr>
              <w:widowControl/>
              <w:snapToGrid w:val="0"/>
              <w:spacing w:line="240" w:lineRule="atLeast"/>
              <w:jc w:val="center"/>
              <w:rPr>
                <w:rFonts w:hint="eastAsia" w:ascii="方正仿宋_GBK" w:hAnsi="宋体"/>
                <w:kern w:val="0"/>
                <w:sz w:val="21"/>
                <w:szCs w:val="21"/>
              </w:rPr>
            </w:pPr>
            <w:r>
              <w:rPr>
                <w:rFonts w:hint="eastAsia" w:ascii="方正仿宋_GBK"/>
                <w:color w:val="000000"/>
                <w:kern w:val="0"/>
                <w:sz w:val="21"/>
                <w:szCs w:val="21"/>
              </w:rPr>
              <w:t>AZ1</w:t>
            </w:r>
          </w:p>
        </w:tc>
        <w:tc>
          <w:tcPr>
            <w:tcW w:w="975" w:type="pct"/>
            <w:noWrap/>
            <w:vAlign w:val="center"/>
          </w:tcPr>
          <w:p w14:paraId="0EB71537">
            <w:pPr>
              <w:widowControl/>
              <w:snapToGrid w:val="0"/>
              <w:spacing w:line="240" w:lineRule="atLeast"/>
              <w:jc w:val="center"/>
              <w:rPr>
                <w:rFonts w:hint="eastAsia" w:ascii="方正仿宋_GBK" w:hAnsi="宋体"/>
                <w:kern w:val="0"/>
                <w:sz w:val="21"/>
                <w:szCs w:val="21"/>
              </w:rPr>
            </w:pPr>
            <w:r>
              <w:rPr>
                <w:rFonts w:hint="eastAsia" w:ascii="方正仿宋_GBK"/>
                <w:color w:val="000000"/>
                <w:kern w:val="0"/>
                <w:sz w:val="21"/>
                <w:szCs w:val="21"/>
              </w:rPr>
              <w:t>3216341.56</w:t>
            </w:r>
          </w:p>
        </w:tc>
        <w:tc>
          <w:tcPr>
            <w:tcW w:w="874" w:type="pct"/>
            <w:noWrap/>
            <w:vAlign w:val="center"/>
          </w:tcPr>
          <w:p w14:paraId="6C599F54">
            <w:pPr>
              <w:widowControl/>
              <w:snapToGrid w:val="0"/>
              <w:spacing w:line="240" w:lineRule="atLeast"/>
              <w:jc w:val="center"/>
              <w:rPr>
                <w:rFonts w:hint="eastAsia" w:ascii="方正仿宋_GBK" w:hAnsi="宋体"/>
                <w:kern w:val="0"/>
                <w:sz w:val="21"/>
                <w:szCs w:val="21"/>
              </w:rPr>
            </w:pPr>
            <w:r>
              <w:rPr>
                <w:rFonts w:hint="eastAsia" w:ascii="方正仿宋_GBK"/>
                <w:color w:val="000000"/>
                <w:kern w:val="0"/>
                <w:sz w:val="21"/>
                <w:szCs w:val="21"/>
              </w:rPr>
              <w:t>577660.52</w:t>
            </w:r>
          </w:p>
        </w:tc>
        <w:tc>
          <w:tcPr>
            <w:tcW w:w="718" w:type="pct"/>
            <w:noWrap/>
            <w:vAlign w:val="center"/>
          </w:tcPr>
          <w:p w14:paraId="3A14C6FE">
            <w:pPr>
              <w:widowControl/>
              <w:snapToGrid w:val="0"/>
              <w:spacing w:line="240" w:lineRule="atLeast"/>
              <w:jc w:val="center"/>
              <w:rPr>
                <w:rFonts w:hint="eastAsia" w:ascii="方正仿宋_GBK" w:hAnsi="宋体"/>
                <w:kern w:val="0"/>
                <w:sz w:val="21"/>
                <w:szCs w:val="21"/>
              </w:rPr>
            </w:pPr>
            <w:r>
              <w:rPr>
                <w:rFonts w:hint="eastAsia" w:ascii="方正仿宋_GBK"/>
                <w:color w:val="000000"/>
                <w:kern w:val="0"/>
                <w:sz w:val="21"/>
                <w:szCs w:val="21"/>
              </w:rPr>
              <w:t>AZ3</w:t>
            </w:r>
          </w:p>
        </w:tc>
        <w:tc>
          <w:tcPr>
            <w:tcW w:w="975" w:type="pct"/>
            <w:noWrap/>
            <w:vAlign w:val="center"/>
          </w:tcPr>
          <w:p w14:paraId="55DDBD86">
            <w:pPr>
              <w:widowControl/>
              <w:snapToGrid w:val="0"/>
              <w:spacing w:line="240" w:lineRule="atLeast"/>
              <w:jc w:val="center"/>
              <w:rPr>
                <w:rFonts w:hint="eastAsia" w:ascii="方正仿宋_GBK" w:hAnsi="宋体"/>
                <w:kern w:val="0"/>
                <w:sz w:val="21"/>
                <w:szCs w:val="21"/>
              </w:rPr>
            </w:pPr>
            <w:r>
              <w:rPr>
                <w:rFonts w:hint="eastAsia" w:ascii="方正仿宋_GBK"/>
                <w:color w:val="000000"/>
                <w:kern w:val="0"/>
                <w:sz w:val="21"/>
                <w:szCs w:val="21"/>
              </w:rPr>
              <w:t>3216293.18</w:t>
            </w:r>
          </w:p>
        </w:tc>
        <w:tc>
          <w:tcPr>
            <w:tcW w:w="873" w:type="pct"/>
            <w:noWrap/>
            <w:vAlign w:val="center"/>
          </w:tcPr>
          <w:p w14:paraId="5B9E762C">
            <w:pPr>
              <w:widowControl/>
              <w:snapToGrid w:val="0"/>
              <w:spacing w:line="240" w:lineRule="atLeast"/>
              <w:jc w:val="center"/>
              <w:rPr>
                <w:rFonts w:hint="eastAsia" w:ascii="方正仿宋_GBK" w:hAnsi="宋体"/>
                <w:kern w:val="0"/>
                <w:sz w:val="21"/>
                <w:szCs w:val="21"/>
              </w:rPr>
            </w:pPr>
            <w:r>
              <w:rPr>
                <w:rFonts w:hint="eastAsia" w:ascii="方正仿宋_GBK"/>
                <w:color w:val="000000"/>
                <w:kern w:val="0"/>
                <w:sz w:val="21"/>
                <w:szCs w:val="21"/>
              </w:rPr>
              <w:t>577652.3</w:t>
            </w:r>
          </w:p>
        </w:tc>
      </w:tr>
      <w:tr w14:paraId="3B5C2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85" w:type="pct"/>
            <w:noWrap/>
            <w:vAlign w:val="center"/>
          </w:tcPr>
          <w:p w14:paraId="0A73B19D">
            <w:pPr>
              <w:widowControl/>
              <w:snapToGrid w:val="0"/>
              <w:spacing w:line="240" w:lineRule="atLeast"/>
              <w:jc w:val="center"/>
              <w:rPr>
                <w:rFonts w:hint="eastAsia" w:ascii="方正仿宋_GBK" w:hAnsi="宋体"/>
                <w:kern w:val="0"/>
                <w:sz w:val="21"/>
                <w:szCs w:val="21"/>
              </w:rPr>
            </w:pPr>
            <w:r>
              <w:rPr>
                <w:rFonts w:hint="eastAsia" w:ascii="方正仿宋_GBK"/>
                <w:color w:val="000000"/>
                <w:kern w:val="0"/>
                <w:sz w:val="21"/>
                <w:szCs w:val="21"/>
              </w:rPr>
              <w:t>AZ2</w:t>
            </w:r>
          </w:p>
        </w:tc>
        <w:tc>
          <w:tcPr>
            <w:tcW w:w="975" w:type="pct"/>
            <w:noWrap/>
            <w:vAlign w:val="center"/>
          </w:tcPr>
          <w:p w14:paraId="0EA09478">
            <w:pPr>
              <w:widowControl/>
              <w:snapToGrid w:val="0"/>
              <w:spacing w:line="240" w:lineRule="atLeast"/>
              <w:jc w:val="center"/>
              <w:rPr>
                <w:rFonts w:hint="eastAsia" w:ascii="方正仿宋_GBK" w:hAnsi="宋体"/>
                <w:kern w:val="0"/>
                <w:sz w:val="21"/>
                <w:szCs w:val="21"/>
              </w:rPr>
            </w:pPr>
            <w:r>
              <w:rPr>
                <w:rFonts w:hint="eastAsia" w:ascii="方正仿宋_GBK"/>
                <w:color w:val="000000"/>
                <w:kern w:val="0"/>
                <w:sz w:val="21"/>
                <w:szCs w:val="21"/>
              </w:rPr>
              <w:t>3216305.87</w:t>
            </w:r>
          </w:p>
        </w:tc>
        <w:tc>
          <w:tcPr>
            <w:tcW w:w="874" w:type="pct"/>
            <w:noWrap/>
            <w:vAlign w:val="center"/>
          </w:tcPr>
          <w:p w14:paraId="01E68838">
            <w:pPr>
              <w:widowControl/>
              <w:snapToGrid w:val="0"/>
              <w:spacing w:line="240" w:lineRule="atLeast"/>
              <w:jc w:val="center"/>
              <w:rPr>
                <w:rFonts w:hint="eastAsia" w:ascii="方正仿宋_GBK" w:hAnsi="宋体"/>
                <w:kern w:val="0"/>
                <w:sz w:val="21"/>
                <w:szCs w:val="21"/>
              </w:rPr>
            </w:pPr>
            <w:r>
              <w:rPr>
                <w:rFonts w:hint="eastAsia" w:ascii="方正仿宋_GBK"/>
                <w:color w:val="000000"/>
                <w:kern w:val="0"/>
                <w:sz w:val="21"/>
                <w:szCs w:val="21"/>
              </w:rPr>
              <w:t>577565.49</w:t>
            </w:r>
          </w:p>
        </w:tc>
        <w:tc>
          <w:tcPr>
            <w:tcW w:w="718" w:type="pct"/>
            <w:noWrap/>
            <w:vAlign w:val="center"/>
          </w:tcPr>
          <w:p w14:paraId="40BFE0BB">
            <w:pPr>
              <w:widowControl/>
              <w:snapToGrid w:val="0"/>
              <w:spacing w:line="240" w:lineRule="atLeast"/>
              <w:jc w:val="center"/>
              <w:rPr>
                <w:rFonts w:hint="eastAsia" w:ascii="方正仿宋_GBK" w:hAnsi="宋体"/>
                <w:kern w:val="0"/>
                <w:sz w:val="21"/>
                <w:szCs w:val="21"/>
              </w:rPr>
            </w:pPr>
            <w:r>
              <w:rPr>
                <w:rFonts w:hint="eastAsia" w:ascii="方正仿宋_GBK"/>
                <w:color w:val="000000"/>
                <w:kern w:val="0"/>
                <w:sz w:val="21"/>
                <w:szCs w:val="21"/>
              </w:rPr>
              <w:t>AZ4</w:t>
            </w:r>
          </w:p>
        </w:tc>
        <w:tc>
          <w:tcPr>
            <w:tcW w:w="975" w:type="pct"/>
            <w:noWrap/>
            <w:vAlign w:val="center"/>
          </w:tcPr>
          <w:p w14:paraId="08C9DF20">
            <w:pPr>
              <w:widowControl/>
              <w:snapToGrid w:val="0"/>
              <w:spacing w:line="240" w:lineRule="atLeast"/>
              <w:jc w:val="center"/>
              <w:rPr>
                <w:rFonts w:hint="eastAsia" w:ascii="方正仿宋_GBK" w:hAnsi="宋体"/>
                <w:kern w:val="0"/>
                <w:sz w:val="21"/>
                <w:szCs w:val="21"/>
              </w:rPr>
            </w:pPr>
            <w:r>
              <w:rPr>
                <w:rFonts w:hint="eastAsia" w:ascii="方正仿宋_GBK"/>
                <w:color w:val="000000"/>
                <w:kern w:val="0"/>
                <w:sz w:val="21"/>
                <w:szCs w:val="21"/>
              </w:rPr>
              <w:t>3216277.08</w:t>
            </w:r>
          </w:p>
        </w:tc>
        <w:tc>
          <w:tcPr>
            <w:tcW w:w="873" w:type="pct"/>
            <w:noWrap/>
            <w:vAlign w:val="center"/>
          </w:tcPr>
          <w:p w14:paraId="1FFC09DF">
            <w:pPr>
              <w:widowControl/>
              <w:snapToGrid w:val="0"/>
              <w:spacing w:line="240" w:lineRule="atLeast"/>
              <w:jc w:val="center"/>
              <w:rPr>
                <w:rFonts w:hint="eastAsia" w:ascii="方正仿宋_GBK" w:hAnsi="宋体"/>
                <w:kern w:val="0"/>
                <w:sz w:val="21"/>
                <w:szCs w:val="21"/>
              </w:rPr>
            </w:pPr>
            <w:r>
              <w:rPr>
                <w:rFonts w:hint="eastAsia" w:ascii="方正仿宋_GBK"/>
                <w:color w:val="000000"/>
                <w:kern w:val="0"/>
                <w:sz w:val="21"/>
                <w:szCs w:val="21"/>
              </w:rPr>
              <w:t>577569.1</w:t>
            </w:r>
          </w:p>
        </w:tc>
      </w:tr>
      <w:bookmarkEnd w:id="1"/>
    </w:tbl>
    <w:p w14:paraId="1BF96D99">
      <w:pPr>
        <w:spacing w:line="500" w:lineRule="exact"/>
        <w:jc w:val="center"/>
        <w:rPr>
          <w:rFonts w:hint="eastAsia" w:ascii="方正仿宋_GBK" w:cs="Times New Roman"/>
          <w:b/>
          <w:bCs/>
          <w:sz w:val="21"/>
          <w:szCs w:val="21"/>
        </w:rPr>
      </w:pPr>
      <w:r>
        <w:rPr>
          <w:rFonts w:hint="eastAsia" w:ascii="方正仿宋_GBK" w:cs="Times New Roman"/>
          <w:b/>
          <w:bCs/>
          <w:sz w:val="21"/>
          <w:szCs w:val="21"/>
        </w:rPr>
        <w:t>改道河段控制坐标统计表</w:t>
      </w:r>
    </w:p>
    <w:tbl>
      <w:tblPr>
        <w:tblStyle w:val="13"/>
        <w:tblW w:w="5000" w:type="pct"/>
        <w:tblInd w:w="0" w:type="dxa"/>
        <w:tblLayout w:type="autofit"/>
        <w:tblCellMar>
          <w:top w:w="0" w:type="dxa"/>
          <w:left w:w="108" w:type="dxa"/>
          <w:bottom w:w="0" w:type="dxa"/>
          <w:right w:w="108" w:type="dxa"/>
        </w:tblCellMar>
      </w:tblPr>
      <w:tblGrid>
        <w:gridCol w:w="770"/>
        <w:gridCol w:w="1767"/>
        <w:gridCol w:w="1428"/>
        <w:gridCol w:w="1290"/>
        <w:gridCol w:w="1654"/>
        <w:gridCol w:w="2151"/>
      </w:tblGrid>
      <w:tr w14:paraId="5DD817D8">
        <w:tblPrEx>
          <w:tblCellMar>
            <w:top w:w="0" w:type="dxa"/>
            <w:left w:w="108" w:type="dxa"/>
            <w:bottom w:w="0" w:type="dxa"/>
            <w:right w:w="108" w:type="dxa"/>
          </w:tblCellMar>
        </w:tblPrEx>
        <w:trPr>
          <w:trHeight w:val="240" w:hRule="atLeast"/>
        </w:trPr>
        <w:tc>
          <w:tcPr>
            <w:tcW w:w="425" w:type="pct"/>
            <w:vMerge w:val="restart"/>
            <w:tcBorders>
              <w:top w:val="single" w:color="auto" w:sz="4" w:space="0"/>
              <w:left w:val="single" w:color="auto" w:sz="4" w:space="0"/>
              <w:bottom w:val="single" w:color="000000" w:sz="4" w:space="0"/>
              <w:right w:val="single" w:color="auto" w:sz="4" w:space="0"/>
            </w:tcBorders>
            <w:noWrap/>
            <w:vAlign w:val="center"/>
          </w:tcPr>
          <w:p w14:paraId="6177C809">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编号</w:t>
            </w:r>
          </w:p>
        </w:tc>
        <w:tc>
          <w:tcPr>
            <w:tcW w:w="975" w:type="pct"/>
            <w:vMerge w:val="restart"/>
            <w:tcBorders>
              <w:top w:val="single" w:color="auto" w:sz="4" w:space="0"/>
              <w:left w:val="single" w:color="auto" w:sz="4" w:space="0"/>
              <w:bottom w:val="single" w:color="000000" w:sz="4" w:space="0"/>
              <w:right w:val="single" w:color="auto" w:sz="4" w:space="0"/>
            </w:tcBorders>
            <w:noWrap/>
            <w:vAlign w:val="center"/>
          </w:tcPr>
          <w:p w14:paraId="21BF998A">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桩号（km+m）</w:t>
            </w:r>
          </w:p>
        </w:tc>
        <w:tc>
          <w:tcPr>
            <w:tcW w:w="1500" w:type="pct"/>
            <w:gridSpan w:val="2"/>
            <w:tcBorders>
              <w:top w:val="single" w:color="auto" w:sz="4" w:space="0"/>
              <w:left w:val="nil"/>
              <w:bottom w:val="single" w:color="auto" w:sz="4" w:space="0"/>
              <w:right w:val="single" w:color="000000" w:sz="4" w:space="0"/>
            </w:tcBorders>
            <w:noWrap/>
            <w:vAlign w:val="center"/>
          </w:tcPr>
          <w:p w14:paraId="3A726B8E">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坐标值（m）</w:t>
            </w:r>
          </w:p>
        </w:tc>
        <w:tc>
          <w:tcPr>
            <w:tcW w:w="913" w:type="pct"/>
            <w:vMerge w:val="restart"/>
            <w:tcBorders>
              <w:top w:val="single" w:color="auto" w:sz="4" w:space="0"/>
              <w:left w:val="single" w:color="auto" w:sz="4" w:space="0"/>
              <w:bottom w:val="single" w:color="000000" w:sz="4" w:space="0"/>
              <w:right w:val="single" w:color="auto" w:sz="4" w:space="0"/>
            </w:tcBorders>
            <w:noWrap/>
            <w:vAlign w:val="center"/>
          </w:tcPr>
          <w:p w14:paraId="306B6ACE">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转弯半径R(m)</w:t>
            </w:r>
          </w:p>
        </w:tc>
        <w:tc>
          <w:tcPr>
            <w:tcW w:w="1188" w:type="pct"/>
            <w:vMerge w:val="restart"/>
            <w:tcBorders>
              <w:top w:val="single" w:color="auto" w:sz="4" w:space="0"/>
              <w:left w:val="single" w:color="auto" w:sz="4" w:space="0"/>
              <w:bottom w:val="single" w:color="000000" w:sz="4" w:space="0"/>
              <w:right w:val="single" w:color="auto" w:sz="4" w:space="0"/>
            </w:tcBorders>
            <w:noWrap/>
            <w:vAlign w:val="center"/>
          </w:tcPr>
          <w:p w14:paraId="31BACC28">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平面转角α(°)</w:t>
            </w:r>
          </w:p>
        </w:tc>
      </w:tr>
      <w:tr w14:paraId="60A3F832">
        <w:tblPrEx>
          <w:tblCellMar>
            <w:top w:w="0" w:type="dxa"/>
            <w:left w:w="108" w:type="dxa"/>
            <w:bottom w:w="0" w:type="dxa"/>
            <w:right w:w="108" w:type="dxa"/>
          </w:tblCellMar>
        </w:tblPrEx>
        <w:trPr>
          <w:trHeight w:val="240" w:hRule="atLeast"/>
        </w:trPr>
        <w:tc>
          <w:tcPr>
            <w:tcW w:w="425" w:type="pct"/>
            <w:vMerge w:val="continue"/>
            <w:tcBorders>
              <w:top w:val="single" w:color="auto" w:sz="4" w:space="0"/>
              <w:left w:val="single" w:color="auto" w:sz="4" w:space="0"/>
              <w:bottom w:val="single" w:color="000000" w:sz="4" w:space="0"/>
              <w:right w:val="single" w:color="auto" w:sz="4" w:space="0"/>
            </w:tcBorders>
            <w:vAlign w:val="center"/>
          </w:tcPr>
          <w:p w14:paraId="2580F1F1">
            <w:pPr>
              <w:widowControl/>
              <w:snapToGrid w:val="0"/>
              <w:spacing w:line="240" w:lineRule="atLeast"/>
              <w:jc w:val="center"/>
              <w:rPr>
                <w:rFonts w:hint="eastAsia" w:ascii="方正仿宋_GBK"/>
                <w:kern w:val="0"/>
                <w:sz w:val="21"/>
                <w:szCs w:val="21"/>
              </w:rPr>
            </w:pPr>
          </w:p>
        </w:tc>
        <w:tc>
          <w:tcPr>
            <w:tcW w:w="975" w:type="pct"/>
            <w:vMerge w:val="continue"/>
            <w:tcBorders>
              <w:top w:val="single" w:color="auto" w:sz="4" w:space="0"/>
              <w:left w:val="single" w:color="auto" w:sz="4" w:space="0"/>
              <w:bottom w:val="single" w:color="000000" w:sz="4" w:space="0"/>
              <w:right w:val="single" w:color="auto" w:sz="4" w:space="0"/>
            </w:tcBorders>
            <w:vAlign w:val="center"/>
          </w:tcPr>
          <w:p w14:paraId="76452E1D">
            <w:pPr>
              <w:widowControl/>
              <w:snapToGrid w:val="0"/>
              <w:spacing w:line="240" w:lineRule="atLeast"/>
              <w:jc w:val="center"/>
              <w:rPr>
                <w:rFonts w:hint="eastAsia" w:ascii="方正仿宋_GBK"/>
                <w:kern w:val="0"/>
                <w:sz w:val="21"/>
                <w:szCs w:val="21"/>
              </w:rPr>
            </w:pPr>
          </w:p>
        </w:tc>
        <w:tc>
          <w:tcPr>
            <w:tcW w:w="788" w:type="pct"/>
            <w:tcBorders>
              <w:top w:val="nil"/>
              <w:left w:val="nil"/>
              <w:bottom w:val="single" w:color="auto" w:sz="4" w:space="0"/>
              <w:right w:val="single" w:color="auto" w:sz="4" w:space="0"/>
            </w:tcBorders>
            <w:noWrap/>
            <w:vAlign w:val="center"/>
          </w:tcPr>
          <w:p w14:paraId="3A8F0263">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X</w:t>
            </w:r>
          </w:p>
        </w:tc>
        <w:tc>
          <w:tcPr>
            <w:tcW w:w="712" w:type="pct"/>
            <w:tcBorders>
              <w:top w:val="nil"/>
              <w:left w:val="nil"/>
              <w:bottom w:val="single" w:color="auto" w:sz="4" w:space="0"/>
              <w:right w:val="single" w:color="auto" w:sz="4" w:space="0"/>
            </w:tcBorders>
            <w:noWrap/>
            <w:vAlign w:val="center"/>
          </w:tcPr>
          <w:p w14:paraId="76A2D987">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Y</w:t>
            </w:r>
          </w:p>
        </w:tc>
        <w:tc>
          <w:tcPr>
            <w:tcW w:w="913" w:type="pct"/>
            <w:vMerge w:val="continue"/>
            <w:tcBorders>
              <w:top w:val="single" w:color="auto" w:sz="4" w:space="0"/>
              <w:left w:val="single" w:color="auto" w:sz="4" w:space="0"/>
              <w:bottom w:val="single" w:color="000000" w:sz="4" w:space="0"/>
              <w:right w:val="single" w:color="auto" w:sz="4" w:space="0"/>
            </w:tcBorders>
            <w:vAlign w:val="center"/>
          </w:tcPr>
          <w:p w14:paraId="49CFD634">
            <w:pPr>
              <w:widowControl/>
              <w:snapToGrid w:val="0"/>
              <w:spacing w:line="240" w:lineRule="atLeast"/>
              <w:jc w:val="center"/>
              <w:rPr>
                <w:rFonts w:hint="eastAsia" w:ascii="方正仿宋_GBK"/>
                <w:kern w:val="0"/>
                <w:sz w:val="21"/>
                <w:szCs w:val="21"/>
              </w:rPr>
            </w:pPr>
          </w:p>
        </w:tc>
        <w:tc>
          <w:tcPr>
            <w:tcW w:w="1188" w:type="pct"/>
            <w:vMerge w:val="continue"/>
            <w:tcBorders>
              <w:top w:val="single" w:color="auto" w:sz="4" w:space="0"/>
              <w:left w:val="single" w:color="auto" w:sz="4" w:space="0"/>
              <w:bottom w:val="single" w:color="000000" w:sz="4" w:space="0"/>
              <w:right w:val="single" w:color="auto" w:sz="4" w:space="0"/>
            </w:tcBorders>
            <w:vAlign w:val="center"/>
          </w:tcPr>
          <w:p w14:paraId="362E5FB5">
            <w:pPr>
              <w:widowControl/>
              <w:snapToGrid w:val="0"/>
              <w:spacing w:line="240" w:lineRule="atLeast"/>
              <w:jc w:val="center"/>
              <w:rPr>
                <w:rFonts w:hint="eastAsia" w:ascii="方正仿宋_GBK"/>
                <w:kern w:val="0"/>
                <w:sz w:val="21"/>
                <w:szCs w:val="21"/>
              </w:rPr>
            </w:pPr>
          </w:p>
        </w:tc>
      </w:tr>
      <w:tr w14:paraId="06653A65">
        <w:tblPrEx>
          <w:tblCellMar>
            <w:top w:w="0" w:type="dxa"/>
            <w:left w:w="108" w:type="dxa"/>
            <w:bottom w:w="0" w:type="dxa"/>
            <w:right w:w="108" w:type="dxa"/>
          </w:tblCellMar>
        </w:tblPrEx>
        <w:trPr>
          <w:trHeight w:val="240" w:hRule="atLeast"/>
        </w:trPr>
        <w:tc>
          <w:tcPr>
            <w:tcW w:w="425" w:type="pct"/>
            <w:tcBorders>
              <w:top w:val="nil"/>
              <w:left w:val="single" w:color="auto" w:sz="4" w:space="0"/>
              <w:bottom w:val="single" w:color="auto" w:sz="4" w:space="0"/>
              <w:right w:val="single" w:color="auto" w:sz="4" w:space="0"/>
            </w:tcBorders>
            <w:noWrap/>
            <w:vAlign w:val="center"/>
          </w:tcPr>
          <w:p w14:paraId="78F2493D">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L1</w:t>
            </w:r>
          </w:p>
        </w:tc>
        <w:tc>
          <w:tcPr>
            <w:tcW w:w="975" w:type="pct"/>
            <w:tcBorders>
              <w:top w:val="nil"/>
              <w:left w:val="nil"/>
              <w:bottom w:val="single" w:color="auto" w:sz="4" w:space="0"/>
              <w:right w:val="single" w:color="auto" w:sz="4" w:space="0"/>
            </w:tcBorders>
            <w:noWrap/>
            <w:vAlign w:val="center"/>
          </w:tcPr>
          <w:p w14:paraId="49BFE85A">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C′L0+000.0</w:t>
            </w:r>
          </w:p>
        </w:tc>
        <w:tc>
          <w:tcPr>
            <w:tcW w:w="788" w:type="pct"/>
            <w:tcBorders>
              <w:top w:val="nil"/>
              <w:left w:val="nil"/>
              <w:bottom w:val="single" w:color="auto" w:sz="4" w:space="0"/>
              <w:right w:val="single" w:color="auto" w:sz="4" w:space="0"/>
            </w:tcBorders>
            <w:noWrap/>
            <w:vAlign w:val="center"/>
          </w:tcPr>
          <w:p w14:paraId="55F52F8C">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3217100.07</w:t>
            </w:r>
          </w:p>
        </w:tc>
        <w:tc>
          <w:tcPr>
            <w:tcW w:w="712" w:type="pct"/>
            <w:tcBorders>
              <w:top w:val="nil"/>
              <w:left w:val="nil"/>
              <w:bottom w:val="single" w:color="auto" w:sz="4" w:space="0"/>
              <w:right w:val="single" w:color="auto" w:sz="4" w:space="0"/>
            </w:tcBorders>
            <w:noWrap/>
            <w:vAlign w:val="center"/>
          </w:tcPr>
          <w:p w14:paraId="5514930D">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577459.52</w:t>
            </w:r>
          </w:p>
        </w:tc>
        <w:tc>
          <w:tcPr>
            <w:tcW w:w="913" w:type="pct"/>
            <w:tcBorders>
              <w:top w:val="nil"/>
              <w:left w:val="nil"/>
              <w:bottom w:val="single" w:color="auto" w:sz="4" w:space="0"/>
              <w:right w:val="single" w:color="auto" w:sz="4" w:space="0"/>
            </w:tcBorders>
            <w:noWrap/>
            <w:vAlign w:val="center"/>
          </w:tcPr>
          <w:p w14:paraId="5FA43148">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w:t>
            </w:r>
          </w:p>
        </w:tc>
        <w:tc>
          <w:tcPr>
            <w:tcW w:w="1188" w:type="pct"/>
            <w:tcBorders>
              <w:top w:val="nil"/>
              <w:left w:val="nil"/>
              <w:bottom w:val="single" w:color="auto" w:sz="4" w:space="0"/>
              <w:right w:val="single" w:color="auto" w:sz="4" w:space="0"/>
            </w:tcBorders>
            <w:noWrap/>
            <w:vAlign w:val="center"/>
          </w:tcPr>
          <w:p w14:paraId="0D928AE7">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w:t>
            </w:r>
          </w:p>
        </w:tc>
      </w:tr>
      <w:tr w14:paraId="65A0893E">
        <w:tblPrEx>
          <w:tblCellMar>
            <w:top w:w="0" w:type="dxa"/>
            <w:left w:w="108" w:type="dxa"/>
            <w:bottom w:w="0" w:type="dxa"/>
            <w:right w:w="108" w:type="dxa"/>
          </w:tblCellMar>
        </w:tblPrEx>
        <w:trPr>
          <w:trHeight w:val="240" w:hRule="atLeast"/>
        </w:trPr>
        <w:tc>
          <w:tcPr>
            <w:tcW w:w="425" w:type="pct"/>
            <w:tcBorders>
              <w:top w:val="nil"/>
              <w:left w:val="single" w:color="auto" w:sz="4" w:space="0"/>
              <w:bottom w:val="single" w:color="auto" w:sz="4" w:space="0"/>
              <w:right w:val="single" w:color="auto" w:sz="4" w:space="0"/>
            </w:tcBorders>
            <w:noWrap/>
            <w:vAlign w:val="center"/>
          </w:tcPr>
          <w:p w14:paraId="629EAE2D">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L2</w:t>
            </w:r>
          </w:p>
        </w:tc>
        <w:tc>
          <w:tcPr>
            <w:tcW w:w="975" w:type="pct"/>
            <w:tcBorders>
              <w:top w:val="nil"/>
              <w:left w:val="nil"/>
              <w:bottom w:val="single" w:color="auto" w:sz="4" w:space="0"/>
              <w:right w:val="single" w:color="auto" w:sz="4" w:space="0"/>
            </w:tcBorders>
            <w:noWrap/>
            <w:vAlign w:val="center"/>
          </w:tcPr>
          <w:p w14:paraId="1C992975">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C′L0+014.3</w:t>
            </w:r>
          </w:p>
        </w:tc>
        <w:tc>
          <w:tcPr>
            <w:tcW w:w="788" w:type="pct"/>
            <w:tcBorders>
              <w:top w:val="nil"/>
              <w:left w:val="nil"/>
              <w:bottom w:val="single" w:color="auto" w:sz="4" w:space="0"/>
              <w:right w:val="single" w:color="auto" w:sz="4" w:space="0"/>
            </w:tcBorders>
            <w:noWrap/>
            <w:vAlign w:val="center"/>
          </w:tcPr>
          <w:p w14:paraId="32E4F88F">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3217098.49</w:t>
            </w:r>
          </w:p>
        </w:tc>
        <w:tc>
          <w:tcPr>
            <w:tcW w:w="712" w:type="pct"/>
            <w:tcBorders>
              <w:top w:val="nil"/>
              <w:left w:val="nil"/>
              <w:bottom w:val="single" w:color="auto" w:sz="4" w:space="0"/>
              <w:right w:val="single" w:color="auto" w:sz="4" w:space="0"/>
            </w:tcBorders>
            <w:noWrap/>
            <w:vAlign w:val="center"/>
          </w:tcPr>
          <w:p w14:paraId="055EB8B0">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577473.72</w:t>
            </w:r>
          </w:p>
        </w:tc>
        <w:tc>
          <w:tcPr>
            <w:tcW w:w="913" w:type="pct"/>
            <w:vMerge w:val="restart"/>
            <w:tcBorders>
              <w:top w:val="nil"/>
              <w:left w:val="single" w:color="auto" w:sz="4" w:space="0"/>
              <w:bottom w:val="single" w:color="auto" w:sz="4" w:space="0"/>
              <w:right w:val="single" w:color="auto" w:sz="4" w:space="0"/>
            </w:tcBorders>
            <w:noWrap/>
            <w:vAlign w:val="center"/>
          </w:tcPr>
          <w:p w14:paraId="5FD31020">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26.00</w:t>
            </w:r>
          </w:p>
        </w:tc>
        <w:tc>
          <w:tcPr>
            <w:tcW w:w="1188" w:type="pct"/>
            <w:vMerge w:val="restart"/>
            <w:tcBorders>
              <w:top w:val="nil"/>
              <w:left w:val="single" w:color="auto" w:sz="4" w:space="0"/>
              <w:bottom w:val="single" w:color="auto" w:sz="4" w:space="0"/>
              <w:right w:val="single" w:color="auto" w:sz="4" w:space="0"/>
            </w:tcBorders>
            <w:noWrap/>
            <w:vAlign w:val="center"/>
          </w:tcPr>
          <w:p w14:paraId="1BD81460">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18.50752</w:t>
            </w:r>
          </w:p>
        </w:tc>
      </w:tr>
      <w:tr w14:paraId="3C8548F7">
        <w:tblPrEx>
          <w:tblCellMar>
            <w:top w:w="0" w:type="dxa"/>
            <w:left w:w="108" w:type="dxa"/>
            <w:bottom w:w="0" w:type="dxa"/>
            <w:right w:w="108" w:type="dxa"/>
          </w:tblCellMar>
        </w:tblPrEx>
        <w:trPr>
          <w:trHeight w:val="240" w:hRule="atLeast"/>
        </w:trPr>
        <w:tc>
          <w:tcPr>
            <w:tcW w:w="425" w:type="pct"/>
            <w:tcBorders>
              <w:top w:val="nil"/>
              <w:left w:val="single" w:color="auto" w:sz="4" w:space="0"/>
              <w:bottom w:val="single" w:color="auto" w:sz="4" w:space="0"/>
              <w:right w:val="single" w:color="auto" w:sz="4" w:space="0"/>
            </w:tcBorders>
            <w:noWrap/>
            <w:vAlign w:val="center"/>
          </w:tcPr>
          <w:p w14:paraId="4A1A4577">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L3</w:t>
            </w:r>
          </w:p>
        </w:tc>
        <w:tc>
          <w:tcPr>
            <w:tcW w:w="975" w:type="pct"/>
            <w:tcBorders>
              <w:top w:val="nil"/>
              <w:left w:val="nil"/>
              <w:bottom w:val="single" w:color="auto" w:sz="4" w:space="0"/>
              <w:right w:val="single" w:color="auto" w:sz="4" w:space="0"/>
            </w:tcBorders>
            <w:noWrap/>
            <w:vAlign w:val="center"/>
          </w:tcPr>
          <w:p w14:paraId="6A73B44E">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C′L0+022.7</w:t>
            </w:r>
          </w:p>
        </w:tc>
        <w:tc>
          <w:tcPr>
            <w:tcW w:w="788" w:type="pct"/>
            <w:tcBorders>
              <w:top w:val="nil"/>
              <w:left w:val="nil"/>
              <w:bottom w:val="single" w:color="auto" w:sz="4" w:space="0"/>
              <w:right w:val="single" w:color="auto" w:sz="4" w:space="0"/>
            </w:tcBorders>
            <w:noWrap/>
            <w:vAlign w:val="center"/>
          </w:tcPr>
          <w:p w14:paraId="72C5538E">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3217098.92</w:t>
            </w:r>
          </w:p>
        </w:tc>
        <w:tc>
          <w:tcPr>
            <w:tcW w:w="712" w:type="pct"/>
            <w:tcBorders>
              <w:top w:val="nil"/>
              <w:left w:val="nil"/>
              <w:bottom w:val="single" w:color="auto" w:sz="4" w:space="0"/>
              <w:right w:val="single" w:color="auto" w:sz="4" w:space="0"/>
            </w:tcBorders>
            <w:noWrap/>
            <w:vAlign w:val="center"/>
          </w:tcPr>
          <w:p w14:paraId="7AFBF024">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577482.07</w:t>
            </w:r>
          </w:p>
        </w:tc>
        <w:tc>
          <w:tcPr>
            <w:tcW w:w="913" w:type="pct"/>
            <w:vMerge w:val="continue"/>
            <w:tcBorders>
              <w:top w:val="nil"/>
              <w:left w:val="single" w:color="auto" w:sz="4" w:space="0"/>
              <w:bottom w:val="single" w:color="auto" w:sz="4" w:space="0"/>
              <w:right w:val="single" w:color="auto" w:sz="4" w:space="0"/>
            </w:tcBorders>
            <w:vAlign w:val="center"/>
          </w:tcPr>
          <w:p w14:paraId="6A626953">
            <w:pPr>
              <w:widowControl/>
              <w:snapToGrid w:val="0"/>
              <w:spacing w:line="240" w:lineRule="atLeast"/>
              <w:jc w:val="center"/>
              <w:rPr>
                <w:rFonts w:hint="eastAsia" w:ascii="方正仿宋_GBK"/>
                <w:kern w:val="0"/>
                <w:sz w:val="21"/>
                <w:szCs w:val="21"/>
              </w:rPr>
            </w:pPr>
          </w:p>
        </w:tc>
        <w:tc>
          <w:tcPr>
            <w:tcW w:w="1188" w:type="pct"/>
            <w:vMerge w:val="continue"/>
            <w:tcBorders>
              <w:top w:val="nil"/>
              <w:left w:val="single" w:color="auto" w:sz="4" w:space="0"/>
              <w:bottom w:val="single" w:color="auto" w:sz="4" w:space="0"/>
              <w:right w:val="single" w:color="auto" w:sz="4" w:space="0"/>
            </w:tcBorders>
            <w:vAlign w:val="center"/>
          </w:tcPr>
          <w:p w14:paraId="02EB2FA4">
            <w:pPr>
              <w:widowControl/>
              <w:snapToGrid w:val="0"/>
              <w:spacing w:line="240" w:lineRule="atLeast"/>
              <w:jc w:val="center"/>
              <w:rPr>
                <w:rFonts w:hint="eastAsia" w:ascii="方正仿宋_GBK"/>
                <w:kern w:val="0"/>
                <w:sz w:val="21"/>
                <w:szCs w:val="21"/>
              </w:rPr>
            </w:pPr>
          </w:p>
        </w:tc>
      </w:tr>
      <w:tr w14:paraId="09F0F79A">
        <w:tblPrEx>
          <w:tblCellMar>
            <w:top w:w="0" w:type="dxa"/>
            <w:left w:w="108" w:type="dxa"/>
            <w:bottom w:w="0" w:type="dxa"/>
            <w:right w:w="108" w:type="dxa"/>
          </w:tblCellMar>
        </w:tblPrEx>
        <w:trPr>
          <w:trHeight w:val="240" w:hRule="atLeast"/>
        </w:trPr>
        <w:tc>
          <w:tcPr>
            <w:tcW w:w="425" w:type="pct"/>
            <w:tcBorders>
              <w:top w:val="nil"/>
              <w:left w:val="single" w:color="auto" w:sz="4" w:space="0"/>
              <w:bottom w:val="single" w:color="auto" w:sz="4" w:space="0"/>
              <w:right w:val="single" w:color="auto" w:sz="4" w:space="0"/>
            </w:tcBorders>
            <w:noWrap/>
            <w:vAlign w:val="center"/>
          </w:tcPr>
          <w:p w14:paraId="55FA5B40">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L4</w:t>
            </w:r>
          </w:p>
        </w:tc>
        <w:tc>
          <w:tcPr>
            <w:tcW w:w="975" w:type="pct"/>
            <w:tcBorders>
              <w:top w:val="nil"/>
              <w:left w:val="nil"/>
              <w:bottom w:val="single" w:color="auto" w:sz="4" w:space="0"/>
              <w:right w:val="single" w:color="auto" w:sz="4" w:space="0"/>
            </w:tcBorders>
            <w:noWrap/>
            <w:vAlign w:val="center"/>
          </w:tcPr>
          <w:p w14:paraId="16A31F31">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C′L0+033.8</w:t>
            </w:r>
          </w:p>
        </w:tc>
        <w:tc>
          <w:tcPr>
            <w:tcW w:w="788" w:type="pct"/>
            <w:tcBorders>
              <w:top w:val="nil"/>
              <w:left w:val="nil"/>
              <w:bottom w:val="single" w:color="auto" w:sz="4" w:space="0"/>
              <w:right w:val="single" w:color="auto" w:sz="4" w:space="0"/>
            </w:tcBorders>
            <w:noWrap/>
            <w:vAlign w:val="center"/>
          </w:tcPr>
          <w:p w14:paraId="51255982">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3217097.71</w:t>
            </w:r>
          </w:p>
        </w:tc>
        <w:tc>
          <w:tcPr>
            <w:tcW w:w="712" w:type="pct"/>
            <w:tcBorders>
              <w:top w:val="nil"/>
              <w:left w:val="nil"/>
              <w:bottom w:val="single" w:color="auto" w:sz="4" w:space="0"/>
              <w:right w:val="single" w:color="auto" w:sz="4" w:space="0"/>
            </w:tcBorders>
            <w:noWrap/>
            <w:vAlign w:val="center"/>
          </w:tcPr>
          <w:p w14:paraId="17B811F4">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577492.94</w:t>
            </w:r>
          </w:p>
        </w:tc>
        <w:tc>
          <w:tcPr>
            <w:tcW w:w="913" w:type="pct"/>
            <w:tcBorders>
              <w:top w:val="nil"/>
              <w:left w:val="nil"/>
              <w:bottom w:val="single" w:color="auto" w:sz="4" w:space="0"/>
              <w:right w:val="single" w:color="auto" w:sz="4" w:space="0"/>
            </w:tcBorders>
            <w:noWrap/>
            <w:vAlign w:val="center"/>
          </w:tcPr>
          <w:p w14:paraId="1D5E98F1">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17.40</w:t>
            </w:r>
          </w:p>
        </w:tc>
        <w:tc>
          <w:tcPr>
            <w:tcW w:w="1188" w:type="pct"/>
            <w:tcBorders>
              <w:top w:val="nil"/>
              <w:left w:val="nil"/>
              <w:bottom w:val="single" w:color="auto" w:sz="4" w:space="0"/>
              <w:right w:val="single" w:color="auto" w:sz="4" w:space="0"/>
            </w:tcBorders>
            <w:noWrap/>
            <w:vAlign w:val="center"/>
          </w:tcPr>
          <w:p w14:paraId="2F69D425">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36.6091</w:t>
            </w:r>
          </w:p>
        </w:tc>
      </w:tr>
      <w:tr w14:paraId="353D687E">
        <w:tblPrEx>
          <w:tblCellMar>
            <w:top w:w="0" w:type="dxa"/>
            <w:left w:w="108" w:type="dxa"/>
            <w:bottom w:w="0" w:type="dxa"/>
            <w:right w:w="108" w:type="dxa"/>
          </w:tblCellMar>
        </w:tblPrEx>
        <w:trPr>
          <w:trHeight w:val="240" w:hRule="atLeast"/>
        </w:trPr>
        <w:tc>
          <w:tcPr>
            <w:tcW w:w="425" w:type="pct"/>
            <w:tcBorders>
              <w:top w:val="nil"/>
              <w:left w:val="single" w:color="auto" w:sz="4" w:space="0"/>
              <w:bottom w:val="single" w:color="auto" w:sz="4" w:space="0"/>
              <w:right w:val="single" w:color="auto" w:sz="4" w:space="0"/>
            </w:tcBorders>
            <w:noWrap/>
            <w:vAlign w:val="center"/>
          </w:tcPr>
          <w:p w14:paraId="6B06D474">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L5</w:t>
            </w:r>
          </w:p>
        </w:tc>
        <w:tc>
          <w:tcPr>
            <w:tcW w:w="975" w:type="pct"/>
            <w:tcBorders>
              <w:top w:val="nil"/>
              <w:left w:val="nil"/>
              <w:bottom w:val="single" w:color="auto" w:sz="4" w:space="0"/>
              <w:right w:val="single" w:color="auto" w:sz="4" w:space="0"/>
            </w:tcBorders>
            <w:noWrap/>
            <w:vAlign w:val="center"/>
          </w:tcPr>
          <w:p w14:paraId="4DCB2564">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C′L0+043.5</w:t>
            </w:r>
          </w:p>
        </w:tc>
        <w:tc>
          <w:tcPr>
            <w:tcW w:w="788" w:type="pct"/>
            <w:tcBorders>
              <w:top w:val="nil"/>
              <w:left w:val="nil"/>
              <w:bottom w:val="single" w:color="auto" w:sz="4" w:space="0"/>
              <w:right w:val="single" w:color="auto" w:sz="4" w:space="0"/>
            </w:tcBorders>
            <w:noWrap/>
            <w:vAlign w:val="center"/>
          </w:tcPr>
          <w:p w14:paraId="60718E96">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3217090.36</w:t>
            </w:r>
          </w:p>
        </w:tc>
        <w:tc>
          <w:tcPr>
            <w:tcW w:w="712" w:type="pct"/>
            <w:tcBorders>
              <w:top w:val="nil"/>
              <w:left w:val="nil"/>
              <w:bottom w:val="single" w:color="auto" w:sz="4" w:space="0"/>
              <w:right w:val="single" w:color="auto" w:sz="4" w:space="0"/>
            </w:tcBorders>
            <w:noWrap/>
            <w:vAlign w:val="center"/>
          </w:tcPr>
          <w:p w14:paraId="048CFC20">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577499.28</w:t>
            </w:r>
          </w:p>
        </w:tc>
        <w:tc>
          <w:tcPr>
            <w:tcW w:w="913" w:type="pct"/>
            <w:tcBorders>
              <w:top w:val="nil"/>
              <w:left w:val="nil"/>
              <w:bottom w:val="single" w:color="auto" w:sz="4" w:space="0"/>
              <w:right w:val="single" w:color="auto" w:sz="4" w:space="0"/>
            </w:tcBorders>
            <w:noWrap/>
            <w:vAlign w:val="center"/>
          </w:tcPr>
          <w:p w14:paraId="3ECFD395">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w:t>
            </w:r>
          </w:p>
        </w:tc>
        <w:tc>
          <w:tcPr>
            <w:tcW w:w="1188" w:type="pct"/>
            <w:tcBorders>
              <w:top w:val="nil"/>
              <w:left w:val="nil"/>
              <w:bottom w:val="single" w:color="auto" w:sz="4" w:space="0"/>
              <w:right w:val="single" w:color="auto" w:sz="4" w:space="0"/>
            </w:tcBorders>
            <w:noWrap/>
            <w:vAlign w:val="center"/>
          </w:tcPr>
          <w:p w14:paraId="52CE1D9E">
            <w:pPr>
              <w:widowControl/>
              <w:snapToGrid w:val="0"/>
              <w:spacing w:line="240" w:lineRule="atLeast"/>
              <w:jc w:val="center"/>
              <w:rPr>
                <w:rFonts w:hint="eastAsia" w:ascii="方正仿宋_GBK"/>
                <w:kern w:val="0"/>
                <w:sz w:val="21"/>
                <w:szCs w:val="21"/>
              </w:rPr>
            </w:pPr>
          </w:p>
        </w:tc>
      </w:tr>
      <w:tr w14:paraId="604C05D2">
        <w:tblPrEx>
          <w:tblCellMar>
            <w:top w:w="0" w:type="dxa"/>
            <w:left w:w="108" w:type="dxa"/>
            <w:bottom w:w="0" w:type="dxa"/>
            <w:right w:w="108" w:type="dxa"/>
          </w:tblCellMar>
        </w:tblPrEx>
        <w:trPr>
          <w:trHeight w:val="240" w:hRule="atLeast"/>
        </w:trPr>
        <w:tc>
          <w:tcPr>
            <w:tcW w:w="425" w:type="pct"/>
            <w:tcBorders>
              <w:top w:val="nil"/>
              <w:left w:val="single" w:color="auto" w:sz="4" w:space="0"/>
              <w:bottom w:val="single" w:color="auto" w:sz="4" w:space="0"/>
              <w:right w:val="single" w:color="auto" w:sz="4" w:space="0"/>
            </w:tcBorders>
            <w:noWrap/>
            <w:vAlign w:val="center"/>
          </w:tcPr>
          <w:p w14:paraId="3D3D2C4F">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L6</w:t>
            </w:r>
          </w:p>
        </w:tc>
        <w:tc>
          <w:tcPr>
            <w:tcW w:w="975" w:type="pct"/>
            <w:tcBorders>
              <w:top w:val="nil"/>
              <w:left w:val="nil"/>
              <w:bottom w:val="single" w:color="auto" w:sz="4" w:space="0"/>
              <w:right w:val="single" w:color="auto" w:sz="4" w:space="0"/>
            </w:tcBorders>
            <w:noWrap/>
            <w:vAlign w:val="center"/>
          </w:tcPr>
          <w:p w14:paraId="3C750D7E">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C′L0+096.9</w:t>
            </w:r>
          </w:p>
        </w:tc>
        <w:tc>
          <w:tcPr>
            <w:tcW w:w="788" w:type="pct"/>
            <w:tcBorders>
              <w:top w:val="nil"/>
              <w:left w:val="nil"/>
              <w:bottom w:val="single" w:color="auto" w:sz="4" w:space="0"/>
              <w:right w:val="single" w:color="auto" w:sz="4" w:space="0"/>
            </w:tcBorders>
            <w:noWrap/>
            <w:vAlign w:val="center"/>
          </w:tcPr>
          <w:p w14:paraId="257EDD95">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3217049.94</w:t>
            </w:r>
          </w:p>
        </w:tc>
        <w:tc>
          <w:tcPr>
            <w:tcW w:w="712" w:type="pct"/>
            <w:tcBorders>
              <w:top w:val="nil"/>
              <w:left w:val="nil"/>
              <w:bottom w:val="single" w:color="auto" w:sz="4" w:space="0"/>
              <w:right w:val="single" w:color="auto" w:sz="4" w:space="0"/>
            </w:tcBorders>
            <w:noWrap/>
            <w:vAlign w:val="center"/>
          </w:tcPr>
          <w:p w14:paraId="6EFC7A33">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577534.17</w:t>
            </w:r>
          </w:p>
        </w:tc>
        <w:tc>
          <w:tcPr>
            <w:tcW w:w="913" w:type="pct"/>
            <w:tcBorders>
              <w:top w:val="nil"/>
              <w:left w:val="nil"/>
              <w:bottom w:val="single" w:color="auto" w:sz="4" w:space="0"/>
              <w:right w:val="single" w:color="auto" w:sz="4" w:space="0"/>
            </w:tcBorders>
            <w:noWrap/>
            <w:vAlign w:val="center"/>
          </w:tcPr>
          <w:p w14:paraId="48163647">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w:t>
            </w:r>
          </w:p>
        </w:tc>
        <w:tc>
          <w:tcPr>
            <w:tcW w:w="1188" w:type="pct"/>
            <w:tcBorders>
              <w:top w:val="nil"/>
              <w:left w:val="nil"/>
              <w:bottom w:val="single" w:color="auto" w:sz="4" w:space="0"/>
              <w:right w:val="single" w:color="auto" w:sz="4" w:space="0"/>
            </w:tcBorders>
            <w:noWrap/>
            <w:vAlign w:val="center"/>
          </w:tcPr>
          <w:p w14:paraId="726E8DB2">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30</w:t>
            </w:r>
          </w:p>
        </w:tc>
      </w:tr>
      <w:tr w14:paraId="222C2E68">
        <w:tblPrEx>
          <w:tblCellMar>
            <w:top w:w="0" w:type="dxa"/>
            <w:left w:w="108" w:type="dxa"/>
            <w:bottom w:w="0" w:type="dxa"/>
            <w:right w:w="108" w:type="dxa"/>
          </w:tblCellMar>
        </w:tblPrEx>
        <w:trPr>
          <w:trHeight w:val="240" w:hRule="atLeast"/>
        </w:trPr>
        <w:tc>
          <w:tcPr>
            <w:tcW w:w="425" w:type="pct"/>
            <w:tcBorders>
              <w:top w:val="nil"/>
              <w:left w:val="single" w:color="auto" w:sz="4" w:space="0"/>
              <w:bottom w:val="single" w:color="auto" w:sz="4" w:space="0"/>
              <w:right w:val="single" w:color="auto" w:sz="4" w:space="0"/>
            </w:tcBorders>
            <w:noWrap/>
            <w:vAlign w:val="center"/>
          </w:tcPr>
          <w:p w14:paraId="4E2679B4">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L7</w:t>
            </w:r>
          </w:p>
        </w:tc>
        <w:tc>
          <w:tcPr>
            <w:tcW w:w="975" w:type="pct"/>
            <w:tcBorders>
              <w:top w:val="nil"/>
              <w:left w:val="nil"/>
              <w:bottom w:val="single" w:color="auto" w:sz="4" w:space="0"/>
              <w:right w:val="single" w:color="auto" w:sz="4" w:space="0"/>
            </w:tcBorders>
            <w:noWrap/>
            <w:vAlign w:val="center"/>
          </w:tcPr>
          <w:p w14:paraId="149E7D1F">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C′L0+104.9</w:t>
            </w:r>
          </w:p>
        </w:tc>
        <w:tc>
          <w:tcPr>
            <w:tcW w:w="788" w:type="pct"/>
            <w:tcBorders>
              <w:top w:val="nil"/>
              <w:left w:val="nil"/>
              <w:bottom w:val="single" w:color="auto" w:sz="4" w:space="0"/>
              <w:right w:val="single" w:color="auto" w:sz="4" w:space="0"/>
            </w:tcBorders>
            <w:noWrap/>
            <w:vAlign w:val="center"/>
          </w:tcPr>
          <w:p w14:paraId="40701B86">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3217047.31</w:t>
            </w:r>
          </w:p>
        </w:tc>
        <w:tc>
          <w:tcPr>
            <w:tcW w:w="712" w:type="pct"/>
            <w:tcBorders>
              <w:top w:val="nil"/>
              <w:left w:val="nil"/>
              <w:bottom w:val="single" w:color="auto" w:sz="4" w:space="0"/>
              <w:right w:val="single" w:color="auto" w:sz="4" w:space="0"/>
            </w:tcBorders>
            <w:noWrap/>
            <w:vAlign w:val="center"/>
          </w:tcPr>
          <w:p w14:paraId="457E3D05">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577541.7</w:t>
            </w:r>
          </w:p>
        </w:tc>
        <w:tc>
          <w:tcPr>
            <w:tcW w:w="913" w:type="pct"/>
            <w:vMerge w:val="restart"/>
            <w:tcBorders>
              <w:top w:val="nil"/>
              <w:left w:val="single" w:color="auto" w:sz="4" w:space="0"/>
              <w:bottom w:val="single" w:color="auto" w:sz="4" w:space="0"/>
              <w:right w:val="single" w:color="auto" w:sz="4" w:space="0"/>
            </w:tcBorders>
            <w:noWrap/>
            <w:vAlign w:val="center"/>
          </w:tcPr>
          <w:p w14:paraId="3EA57B40">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6.16</w:t>
            </w:r>
          </w:p>
        </w:tc>
        <w:tc>
          <w:tcPr>
            <w:tcW w:w="1188" w:type="pct"/>
            <w:vMerge w:val="restart"/>
            <w:tcBorders>
              <w:top w:val="nil"/>
              <w:left w:val="single" w:color="auto" w:sz="4" w:space="0"/>
              <w:bottom w:val="single" w:color="auto" w:sz="4" w:space="0"/>
              <w:right w:val="single" w:color="auto" w:sz="4" w:space="0"/>
            </w:tcBorders>
            <w:noWrap/>
            <w:vAlign w:val="center"/>
          </w:tcPr>
          <w:p w14:paraId="0698C18C">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36.18136</w:t>
            </w:r>
          </w:p>
        </w:tc>
      </w:tr>
      <w:tr w14:paraId="28091289">
        <w:tblPrEx>
          <w:tblCellMar>
            <w:top w:w="0" w:type="dxa"/>
            <w:left w:w="108" w:type="dxa"/>
            <w:bottom w:w="0" w:type="dxa"/>
            <w:right w:w="108" w:type="dxa"/>
          </w:tblCellMar>
        </w:tblPrEx>
        <w:trPr>
          <w:trHeight w:val="240" w:hRule="atLeast"/>
        </w:trPr>
        <w:tc>
          <w:tcPr>
            <w:tcW w:w="425" w:type="pct"/>
            <w:tcBorders>
              <w:top w:val="nil"/>
              <w:left w:val="single" w:color="auto" w:sz="4" w:space="0"/>
              <w:bottom w:val="single" w:color="auto" w:sz="4" w:space="0"/>
              <w:right w:val="single" w:color="auto" w:sz="4" w:space="0"/>
            </w:tcBorders>
            <w:noWrap/>
            <w:vAlign w:val="center"/>
          </w:tcPr>
          <w:p w14:paraId="205A30FD">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L8</w:t>
            </w:r>
          </w:p>
        </w:tc>
        <w:tc>
          <w:tcPr>
            <w:tcW w:w="975" w:type="pct"/>
            <w:tcBorders>
              <w:top w:val="nil"/>
              <w:left w:val="nil"/>
              <w:bottom w:val="single" w:color="auto" w:sz="4" w:space="0"/>
              <w:right w:val="single" w:color="auto" w:sz="4" w:space="0"/>
            </w:tcBorders>
            <w:noWrap/>
            <w:vAlign w:val="center"/>
          </w:tcPr>
          <w:p w14:paraId="5A93F916">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C′L0+108.8</w:t>
            </w:r>
          </w:p>
        </w:tc>
        <w:tc>
          <w:tcPr>
            <w:tcW w:w="788" w:type="pct"/>
            <w:tcBorders>
              <w:top w:val="nil"/>
              <w:left w:val="nil"/>
              <w:bottom w:val="single" w:color="auto" w:sz="4" w:space="0"/>
              <w:right w:val="single" w:color="auto" w:sz="4" w:space="0"/>
            </w:tcBorders>
            <w:noWrap/>
            <w:vAlign w:val="center"/>
          </w:tcPr>
          <w:p w14:paraId="7D97ADA6">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3217044.67</w:t>
            </w:r>
          </w:p>
        </w:tc>
        <w:tc>
          <w:tcPr>
            <w:tcW w:w="712" w:type="pct"/>
            <w:tcBorders>
              <w:top w:val="nil"/>
              <w:left w:val="nil"/>
              <w:bottom w:val="single" w:color="auto" w:sz="4" w:space="0"/>
              <w:right w:val="single" w:color="auto" w:sz="4" w:space="0"/>
            </w:tcBorders>
            <w:noWrap/>
            <w:vAlign w:val="center"/>
          </w:tcPr>
          <w:p w14:paraId="4A5FDB53">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577544.47</w:t>
            </w:r>
          </w:p>
        </w:tc>
        <w:tc>
          <w:tcPr>
            <w:tcW w:w="913" w:type="pct"/>
            <w:vMerge w:val="continue"/>
            <w:tcBorders>
              <w:top w:val="nil"/>
              <w:left w:val="single" w:color="auto" w:sz="4" w:space="0"/>
              <w:bottom w:val="single" w:color="auto" w:sz="4" w:space="0"/>
              <w:right w:val="single" w:color="auto" w:sz="4" w:space="0"/>
            </w:tcBorders>
            <w:vAlign w:val="center"/>
          </w:tcPr>
          <w:p w14:paraId="6C351D7E">
            <w:pPr>
              <w:widowControl/>
              <w:snapToGrid w:val="0"/>
              <w:spacing w:line="240" w:lineRule="atLeast"/>
              <w:jc w:val="center"/>
              <w:rPr>
                <w:rFonts w:hint="eastAsia" w:ascii="方正仿宋_GBK"/>
                <w:kern w:val="0"/>
                <w:sz w:val="21"/>
                <w:szCs w:val="21"/>
              </w:rPr>
            </w:pPr>
          </w:p>
        </w:tc>
        <w:tc>
          <w:tcPr>
            <w:tcW w:w="1188" w:type="pct"/>
            <w:vMerge w:val="continue"/>
            <w:tcBorders>
              <w:top w:val="nil"/>
              <w:left w:val="single" w:color="auto" w:sz="4" w:space="0"/>
              <w:bottom w:val="single" w:color="auto" w:sz="4" w:space="0"/>
              <w:right w:val="single" w:color="auto" w:sz="4" w:space="0"/>
            </w:tcBorders>
            <w:vAlign w:val="center"/>
          </w:tcPr>
          <w:p w14:paraId="448C02CA">
            <w:pPr>
              <w:widowControl/>
              <w:snapToGrid w:val="0"/>
              <w:spacing w:line="240" w:lineRule="atLeast"/>
              <w:jc w:val="center"/>
              <w:rPr>
                <w:rFonts w:hint="eastAsia" w:ascii="方正仿宋_GBK"/>
                <w:kern w:val="0"/>
                <w:sz w:val="21"/>
                <w:szCs w:val="21"/>
              </w:rPr>
            </w:pPr>
          </w:p>
        </w:tc>
      </w:tr>
      <w:tr w14:paraId="4741BCCF">
        <w:tblPrEx>
          <w:tblCellMar>
            <w:top w:w="0" w:type="dxa"/>
            <w:left w:w="108" w:type="dxa"/>
            <w:bottom w:w="0" w:type="dxa"/>
            <w:right w:w="108" w:type="dxa"/>
          </w:tblCellMar>
        </w:tblPrEx>
        <w:trPr>
          <w:trHeight w:val="240" w:hRule="atLeast"/>
        </w:trPr>
        <w:tc>
          <w:tcPr>
            <w:tcW w:w="425" w:type="pct"/>
            <w:tcBorders>
              <w:top w:val="nil"/>
              <w:left w:val="single" w:color="auto" w:sz="4" w:space="0"/>
              <w:bottom w:val="single" w:color="auto" w:sz="4" w:space="0"/>
              <w:right w:val="single" w:color="auto" w:sz="4" w:space="0"/>
            </w:tcBorders>
            <w:noWrap/>
            <w:vAlign w:val="center"/>
          </w:tcPr>
          <w:p w14:paraId="0CE6D7F0">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L9</w:t>
            </w:r>
          </w:p>
        </w:tc>
        <w:tc>
          <w:tcPr>
            <w:tcW w:w="975" w:type="pct"/>
            <w:tcBorders>
              <w:top w:val="nil"/>
              <w:left w:val="nil"/>
              <w:bottom w:val="single" w:color="auto" w:sz="4" w:space="0"/>
              <w:right w:val="single" w:color="auto" w:sz="4" w:space="0"/>
            </w:tcBorders>
            <w:noWrap/>
            <w:vAlign w:val="center"/>
          </w:tcPr>
          <w:p w14:paraId="2EC6C01D">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C′L0+111.7</w:t>
            </w:r>
          </w:p>
        </w:tc>
        <w:tc>
          <w:tcPr>
            <w:tcW w:w="788" w:type="pct"/>
            <w:tcBorders>
              <w:top w:val="nil"/>
              <w:left w:val="nil"/>
              <w:bottom w:val="single" w:color="auto" w:sz="4" w:space="0"/>
              <w:right w:val="single" w:color="auto" w:sz="4" w:space="0"/>
            </w:tcBorders>
            <w:noWrap/>
            <w:vAlign w:val="center"/>
          </w:tcPr>
          <w:p w14:paraId="6F1F072B">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3217042.33</w:t>
            </w:r>
          </w:p>
        </w:tc>
        <w:tc>
          <w:tcPr>
            <w:tcW w:w="712" w:type="pct"/>
            <w:tcBorders>
              <w:top w:val="nil"/>
              <w:left w:val="nil"/>
              <w:bottom w:val="single" w:color="auto" w:sz="4" w:space="0"/>
              <w:right w:val="single" w:color="auto" w:sz="4" w:space="0"/>
            </w:tcBorders>
            <w:noWrap/>
            <w:vAlign w:val="center"/>
          </w:tcPr>
          <w:p w14:paraId="2B3AE187">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577546.19</w:t>
            </w:r>
          </w:p>
        </w:tc>
        <w:tc>
          <w:tcPr>
            <w:tcW w:w="913" w:type="pct"/>
            <w:tcBorders>
              <w:top w:val="nil"/>
              <w:left w:val="nil"/>
              <w:bottom w:val="single" w:color="auto" w:sz="4" w:space="0"/>
              <w:right w:val="single" w:color="auto" w:sz="4" w:space="0"/>
            </w:tcBorders>
            <w:noWrap/>
            <w:vAlign w:val="center"/>
          </w:tcPr>
          <w:p w14:paraId="763BE47E">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10.00</w:t>
            </w:r>
          </w:p>
        </w:tc>
        <w:tc>
          <w:tcPr>
            <w:tcW w:w="1188" w:type="pct"/>
            <w:tcBorders>
              <w:top w:val="nil"/>
              <w:left w:val="nil"/>
              <w:bottom w:val="single" w:color="auto" w:sz="4" w:space="0"/>
              <w:right w:val="single" w:color="auto" w:sz="4" w:space="0"/>
            </w:tcBorders>
            <w:noWrap/>
            <w:vAlign w:val="center"/>
          </w:tcPr>
          <w:p w14:paraId="5A4A8751">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16.69611</w:t>
            </w:r>
          </w:p>
        </w:tc>
      </w:tr>
      <w:tr w14:paraId="6C9E5F7D">
        <w:tblPrEx>
          <w:tblCellMar>
            <w:top w:w="0" w:type="dxa"/>
            <w:left w:w="108" w:type="dxa"/>
            <w:bottom w:w="0" w:type="dxa"/>
            <w:right w:w="108" w:type="dxa"/>
          </w:tblCellMar>
        </w:tblPrEx>
        <w:trPr>
          <w:trHeight w:val="240" w:hRule="atLeast"/>
        </w:trPr>
        <w:tc>
          <w:tcPr>
            <w:tcW w:w="425" w:type="pct"/>
            <w:tcBorders>
              <w:top w:val="nil"/>
              <w:left w:val="single" w:color="auto" w:sz="4" w:space="0"/>
              <w:bottom w:val="single" w:color="auto" w:sz="4" w:space="0"/>
              <w:right w:val="single" w:color="auto" w:sz="4" w:space="0"/>
            </w:tcBorders>
            <w:noWrap/>
            <w:vAlign w:val="center"/>
          </w:tcPr>
          <w:p w14:paraId="36EDD41D">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L10</w:t>
            </w:r>
          </w:p>
        </w:tc>
        <w:tc>
          <w:tcPr>
            <w:tcW w:w="975" w:type="pct"/>
            <w:tcBorders>
              <w:top w:val="nil"/>
              <w:left w:val="nil"/>
              <w:bottom w:val="single" w:color="auto" w:sz="4" w:space="0"/>
              <w:right w:val="single" w:color="auto" w:sz="4" w:space="0"/>
            </w:tcBorders>
            <w:noWrap/>
            <w:vAlign w:val="center"/>
          </w:tcPr>
          <w:p w14:paraId="75A1CB19">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C′L0+114.2</w:t>
            </w:r>
          </w:p>
        </w:tc>
        <w:tc>
          <w:tcPr>
            <w:tcW w:w="788" w:type="pct"/>
            <w:tcBorders>
              <w:top w:val="nil"/>
              <w:left w:val="nil"/>
              <w:bottom w:val="single" w:color="auto" w:sz="4" w:space="0"/>
              <w:right w:val="single" w:color="auto" w:sz="4" w:space="0"/>
            </w:tcBorders>
            <w:noWrap/>
            <w:vAlign w:val="center"/>
          </w:tcPr>
          <w:p w14:paraId="22714685">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3217040.53</w:t>
            </w:r>
          </w:p>
        </w:tc>
        <w:tc>
          <w:tcPr>
            <w:tcW w:w="712" w:type="pct"/>
            <w:tcBorders>
              <w:top w:val="nil"/>
              <w:left w:val="nil"/>
              <w:bottom w:val="single" w:color="auto" w:sz="4" w:space="0"/>
              <w:right w:val="single" w:color="auto" w:sz="4" w:space="0"/>
            </w:tcBorders>
            <w:noWrap/>
            <w:vAlign w:val="center"/>
          </w:tcPr>
          <w:p w14:paraId="0960776F">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577547.94</w:t>
            </w:r>
          </w:p>
        </w:tc>
        <w:tc>
          <w:tcPr>
            <w:tcW w:w="913" w:type="pct"/>
            <w:tcBorders>
              <w:top w:val="nil"/>
              <w:left w:val="nil"/>
              <w:bottom w:val="single" w:color="auto" w:sz="4" w:space="0"/>
              <w:right w:val="single" w:color="auto" w:sz="4" w:space="0"/>
            </w:tcBorders>
            <w:noWrap/>
            <w:vAlign w:val="center"/>
          </w:tcPr>
          <w:p w14:paraId="2BE6F0A1">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w:t>
            </w:r>
          </w:p>
        </w:tc>
        <w:tc>
          <w:tcPr>
            <w:tcW w:w="1188" w:type="pct"/>
            <w:tcBorders>
              <w:top w:val="nil"/>
              <w:left w:val="nil"/>
              <w:bottom w:val="single" w:color="auto" w:sz="4" w:space="0"/>
              <w:right w:val="single" w:color="auto" w:sz="4" w:space="0"/>
            </w:tcBorders>
            <w:noWrap/>
            <w:vAlign w:val="center"/>
          </w:tcPr>
          <w:p w14:paraId="71E35492">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w:t>
            </w:r>
          </w:p>
        </w:tc>
      </w:tr>
      <w:tr w14:paraId="1966FC88">
        <w:tblPrEx>
          <w:tblCellMar>
            <w:top w:w="0" w:type="dxa"/>
            <w:left w:w="108" w:type="dxa"/>
            <w:bottom w:w="0" w:type="dxa"/>
            <w:right w:w="108" w:type="dxa"/>
          </w:tblCellMar>
        </w:tblPrEx>
        <w:trPr>
          <w:trHeight w:val="240" w:hRule="atLeast"/>
        </w:trPr>
        <w:tc>
          <w:tcPr>
            <w:tcW w:w="425" w:type="pct"/>
            <w:tcBorders>
              <w:top w:val="nil"/>
              <w:left w:val="single" w:color="auto" w:sz="4" w:space="0"/>
              <w:bottom w:val="single" w:color="auto" w:sz="4" w:space="0"/>
              <w:right w:val="single" w:color="auto" w:sz="4" w:space="0"/>
            </w:tcBorders>
            <w:noWrap/>
            <w:vAlign w:val="center"/>
          </w:tcPr>
          <w:p w14:paraId="3BC6002A">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R1</w:t>
            </w:r>
          </w:p>
        </w:tc>
        <w:tc>
          <w:tcPr>
            <w:tcW w:w="975" w:type="pct"/>
            <w:tcBorders>
              <w:top w:val="nil"/>
              <w:left w:val="nil"/>
              <w:bottom w:val="single" w:color="auto" w:sz="4" w:space="0"/>
              <w:right w:val="single" w:color="auto" w:sz="4" w:space="0"/>
            </w:tcBorders>
            <w:noWrap/>
            <w:vAlign w:val="center"/>
          </w:tcPr>
          <w:p w14:paraId="0CEB2D83">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C′R0+000.0</w:t>
            </w:r>
          </w:p>
        </w:tc>
        <w:tc>
          <w:tcPr>
            <w:tcW w:w="788" w:type="pct"/>
            <w:tcBorders>
              <w:top w:val="nil"/>
              <w:left w:val="nil"/>
              <w:bottom w:val="single" w:color="auto" w:sz="4" w:space="0"/>
              <w:right w:val="single" w:color="auto" w:sz="4" w:space="0"/>
            </w:tcBorders>
            <w:noWrap/>
            <w:vAlign w:val="center"/>
          </w:tcPr>
          <w:p w14:paraId="551FBF85">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3217095.59</w:t>
            </w:r>
          </w:p>
        </w:tc>
        <w:tc>
          <w:tcPr>
            <w:tcW w:w="712" w:type="pct"/>
            <w:tcBorders>
              <w:top w:val="nil"/>
              <w:left w:val="nil"/>
              <w:bottom w:val="single" w:color="auto" w:sz="4" w:space="0"/>
              <w:right w:val="single" w:color="auto" w:sz="4" w:space="0"/>
            </w:tcBorders>
            <w:noWrap/>
            <w:vAlign w:val="center"/>
          </w:tcPr>
          <w:p w14:paraId="5FA51720">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577459.02</w:t>
            </w:r>
          </w:p>
        </w:tc>
        <w:tc>
          <w:tcPr>
            <w:tcW w:w="913" w:type="pct"/>
            <w:tcBorders>
              <w:top w:val="nil"/>
              <w:left w:val="nil"/>
              <w:bottom w:val="single" w:color="auto" w:sz="4" w:space="0"/>
              <w:right w:val="single" w:color="auto" w:sz="4" w:space="0"/>
            </w:tcBorders>
            <w:noWrap/>
            <w:vAlign w:val="center"/>
          </w:tcPr>
          <w:p w14:paraId="471C38A1">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w:t>
            </w:r>
          </w:p>
        </w:tc>
        <w:tc>
          <w:tcPr>
            <w:tcW w:w="1188" w:type="pct"/>
            <w:tcBorders>
              <w:top w:val="nil"/>
              <w:left w:val="nil"/>
              <w:bottom w:val="single" w:color="auto" w:sz="4" w:space="0"/>
              <w:right w:val="single" w:color="auto" w:sz="4" w:space="0"/>
            </w:tcBorders>
            <w:noWrap/>
            <w:vAlign w:val="center"/>
          </w:tcPr>
          <w:p w14:paraId="26FB8953">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w:t>
            </w:r>
          </w:p>
        </w:tc>
      </w:tr>
      <w:tr w14:paraId="6FDEFE63">
        <w:tblPrEx>
          <w:tblCellMar>
            <w:top w:w="0" w:type="dxa"/>
            <w:left w:w="108" w:type="dxa"/>
            <w:bottom w:w="0" w:type="dxa"/>
            <w:right w:w="108" w:type="dxa"/>
          </w:tblCellMar>
        </w:tblPrEx>
        <w:trPr>
          <w:trHeight w:val="240" w:hRule="atLeast"/>
        </w:trPr>
        <w:tc>
          <w:tcPr>
            <w:tcW w:w="425" w:type="pct"/>
            <w:tcBorders>
              <w:top w:val="nil"/>
              <w:left w:val="single" w:color="auto" w:sz="4" w:space="0"/>
              <w:bottom w:val="single" w:color="auto" w:sz="4" w:space="0"/>
              <w:right w:val="single" w:color="auto" w:sz="4" w:space="0"/>
            </w:tcBorders>
            <w:noWrap/>
            <w:vAlign w:val="center"/>
          </w:tcPr>
          <w:p w14:paraId="77B18987">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R2</w:t>
            </w:r>
          </w:p>
        </w:tc>
        <w:tc>
          <w:tcPr>
            <w:tcW w:w="975" w:type="pct"/>
            <w:tcBorders>
              <w:top w:val="nil"/>
              <w:left w:val="nil"/>
              <w:bottom w:val="single" w:color="auto" w:sz="4" w:space="0"/>
              <w:right w:val="single" w:color="auto" w:sz="4" w:space="0"/>
            </w:tcBorders>
            <w:noWrap/>
            <w:vAlign w:val="center"/>
          </w:tcPr>
          <w:p w14:paraId="762CE32F">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C′R0+011.8</w:t>
            </w:r>
          </w:p>
        </w:tc>
        <w:tc>
          <w:tcPr>
            <w:tcW w:w="788" w:type="pct"/>
            <w:tcBorders>
              <w:top w:val="nil"/>
              <w:left w:val="nil"/>
              <w:bottom w:val="single" w:color="auto" w:sz="4" w:space="0"/>
              <w:right w:val="single" w:color="auto" w:sz="4" w:space="0"/>
            </w:tcBorders>
            <w:noWrap/>
            <w:vAlign w:val="center"/>
          </w:tcPr>
          <w:p w14:paraId="02ECE648">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3217093.44</w:t>
            </w:r>
          </w:p>
        </w:tc>
        <w:tc>
          <w:tcPr>
            <w:tcW w:w="712" w:type="pct"/>
            <w:tcBorders>
              <w:top w:val="nil"/>
              <w:left w:val="nil"/>
              <w:bottom w:val="single" w:color="auto" w:sz="4" w:space="0"/>
              <w:right w:val="single" w:color="auto" w:sz="4" w:space="0"/>
            </w:tcBorders>
            <w:noWrap/>
            <w:vAlign w:val="center"/>
          </w:tcPr>
          <w:p w14:paraId="5E85D2D7">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577470.65</w:t>
            </w:r>
          </w:p>
        </w:tc>
        <w:tc>
          <w:tcPr>
            <w:tcW w:w="913" w:type="pct"/>
            <w:vMerge w:val="restart"/>
            <w:tcBorders>
              <w:top w:val="nil"/>
              <w:left w:val="single" w:color="auto" w:sz="4" w:space="0"/>
              <w:bottom w:val="single" w:color="auto" w:sz="4" w:space="0"/>
              <w:right w:val="single" w:color="auto" w:sz="4" w:space="0"/>
            </w:tcBorders>
            <w:noWrap/>
            <w:vAlign w:val="center"/>
          </w:tcPr>
          <w:p w14:paraId="59B521F6">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36.11</w:t>
            </w:r>
          </w:p>
        </w:tc>
        <w:tc>
          <w:tcPr>
            <w:tcW w:w="1188" w:type="pct"/>
            <w:vMerge w:val="restart"/>
            <w:tcBorders>
              <w:top w:val="nil"/>
              <w:left w:val="single" w:color="auto" w:sz="4" w:space="0"/>
              <w:bottom w:val="single" w:color="auto" w:sz="4" w:space="0"/>
              <w:right w:val="single" w:color="auto" w:sz="4" w:space="0"/>
            </w:tcBorders>
            <w:noWrap/>
            <w:vAlign w:val="center"/>
          </w:tcPr>
          <w:p w14:paraId="3AABF607">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16.44798</w:t>
            </w:r>
          </w:p>
        </w:tc>
      </w:tr>
      <w:tr w14:paraId="388B422E">
        <w:tblPrEx>
          <w:tblCellMar>
            <w:top w:w="0" w:type="dxa"/>
            <w:left w:w="108" w:type="dxa"/>
            <w:bottom w:w="0" w:type="dxa"/>
            <w:right w:w="108" w:type="dxa"/>
          </w:tblCellMar>
        </w:tblPrEx>
        <w:trPr>
          <w:trHeight w:val="240" w:hRule="atLeast"/>
        </w:trPr>
        <w:tc>
          <w:tcPr>
            <w:tcW w:w="425" w:type="pct"/>
            <w:tcBorders>
              <w:top w:val="nil"/>
              <w:left w:val="single" w:color="auto" w:sz="4" w:space="0"/>
              <w:bottom w:val="single" w:color="auto" w:sz="4" w:space="0"/>
              <w:right w:val="single" w:color="auto" w:sz="4" w:space="0"/>
            </w:tcBorders>
            <w:noWrap/>
            <w:vAlign w:val="center"/>
          </w:tcPr>
          <w:p w14:paraId="47CF1028">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R3</w:t>
            </w:r>
          </w:p>
        </w:tc>
        <w:tc>
          <w:tcPr>
            <w:tcW w:w="975" w:type="pct"/>
            <w:tcBorders>
              <w:top w:val="nil"/>
              <w:left w:val="nil"/>
              <w:bottom w:val="single" w:color="auto" w:sz="4" w:space="0"/>
              <w:right w:val="single" w:color="auto" w:sz="4" w:space="0"/>
            </w:tcBorders>
            <w:noWrap/>
            <w:vAlign w:val="center"/>
          </w:tcPr>
          <w:p w14:paraId="3D5B1F5E">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C′R0+022.2</w:t>
            </w:r>
          </w:p>
        </w:tc>
        <w:tc>
          <w:tcPr>
            <w:tcW w:w="788" w:type="pct"/>
            <w:tcBorders>
              <w:top w:val="nil"/>
              <w:left w:val="nil"/>
              <w:bottom w:val="single" w:color="auto" w:sz="4" w:space="0"/>
              <w:right w:val="single" w:color="auto" w:sz="4" w:space="0"/>
            </w:tcBorders>
            <w:noWrap/>
            <w:vAlign w:val="center"/>
          </w:tcPr>
          <w:p w14:paraId="3DFF98B6">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3217090.13</w:t>
            </w:r>
          </w:p>
        </w:tc>
        <w:tc>
          <w:tcPr>
            <w:tcW w:w="712" w:type="pct"/>
            <w:tcBorders>
              <w:top w:val="nil"/>
              <w:left w:val="nil"/>
              <w:bottom w:val="single" w:color="auto" w:sz="4" w:space="0"/>
              <w:right w:val="single" w:color="auto" w:sz="4" w:space="0"/>
            </w:tcBorders>
            <w:noWrap/>
            <w:vAlign w:val="center"/>
          </w:tcPr>
          <w:p w14:paraId="4ADB95DD">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577480.43</w:t>
            </w:r>
          </w:p>
        </w:tc>
        <w:tc>
          <w:tcPr>
            <w:tcW w:w="913" w:type="pct"/>
            <w:vMerge w:val="continue"/>
            <w:tcBorders>
              <w:top w:val="nil"/>
              <w:left w:val="single" w:color="auto" w:sz="4" w:space="0"/>
              <w:bottom w:val="single" w:color="auto" w:sz="4" w:space="0"/>
              <w:right w:val="single" w:color="auto" w:sz="4" w:space="0"/>
            </w:tcBorders>
            <w:vAlign w:val="center"/>
          </w:tcPr>
          <w:p w14:paraId="3E33B816">
            <w:pPr>
              <w:widowControl/>
              <w:snapToGrid w:val="0"/>
              <w:spacing w:line="240" w:lineRule="atLeast"/>
              <w:jc w:val="center"/>
              <w:rPr>
                <w:rFonts w:hint="eastAsia" w:ascii="方正仿宋_GBK"/>
                <w:kern w:val="0"/>
                <w:sz w:val="21"/>
                <w:szCs w:val="21"/>
              </w:rPr>
            </w:pPr>
          </w:p>
        </w:tc>
        <w:tc>
          <w:tcPr>
            <w:tcW w:w="1188" w:type="pct"/>
            <w:vMerge w:val="continue"/>
            <w:tcBorders>
              <w:top w:val="nil"/>
              <w:left w:val="single" w:color="auto" w:sz="4" w:space="0"/>
              <w:bottom w:val="single" w:color="auto" w:sz="4" w:space="0"/>
              <w:right w:val="single" w:color="auto" w:sz="4" w:space="0"/>
            </w:tcBorders>
            <w:vAlign w:val="center"/>
          </w:tcPr>
          <w:p w14:paraId="507990EE">
            <w:pPr>
              <w:widowControl/>
              <w:snapToGrid w:val="0"/>
              <w:spacing w:line="240" w:lineRule="atLeast"/>
              <w:jc w:val="center"/>
              <w:rPr>
                <w:rFonts w:hint="eastAsia" w:ascii="方正仿宋_GBK"/>
                <w:kern w:val="0"/>
                <w:sz w:val="21"/>
                <w:szCs w:val="21"/>
              </w:rPr>
            </w:pPr>
          </w:p>
        </w:tc>
      </w:tr>
      <w:tr w14:paraId="3CC2B51D">
        <w:tblPrEx>
          <w:tblCellMar>
            <w:top w:w="0" w:type="dxa"/>
            <w:left w:w="108" w:type="dxa"/>
            <w:bottom w:w="0" w:type="dxa"/>
            <w:right w:w="108" w:type="dxa"/>
          </w:tblCellMar>
        </w:tblPrEx>
        <w:trPr>
          <w:trHeight w:val="240" w:hRule="atLeast"/>
        </w:trPr>
        <w:tc>
          <w:tcPr>
            <w:tcW w:w="425" w:type="pct"/>
            <w:tcBorders>
              <w:top w:val="nil"/>
              <w:left w:val="single" w:color="auto" w:sz="4" w:space="0"/>
              <w:bottom w:val="single" w:color="auto" w:sz="4" w:space="0"/>
              <w:right w:val="single" w:color="auto" w:sz="4" w:space="0"/>
            </w:tcBorders>
            <w:noWrap/>
            <w:vAlign w:val="center"/>
          </w:tcPr>
          <w:p w14:paraId="2CBEBB87">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R4</w:t>
            </w:r>
          </w:p>
        </w:tc>
        <w:tc>
          <w:tcPr>
            <w:tcW w:w="975" w:type="pct"/>
            <w:tcBorders>
              <w:top w:val="nil"/>
              <w:left w:val="nil"/>
              <w:bottom w:val="single" w:color="auto" w:sz="4" w:space="0"/>
              <w:right w:val="single" w:color="auto" w:sz="4" w:space="0"/>
            </w:tcBorders>
            <w:noWrap/>
            <w:vAlign w:val="center"/>
          </w:tcPr>
          <w:p w14:paraId="3166059B">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C′R0+032.6</w:t>
            </w:r>
          </w:p>
        </w:tc>
        <w:tc>
          <w:tcPr>
            <w:tcW w:w="788" w:type="pct"/>
            <w:tcBorders>
              <w:top w:val="nil"/>
              <w:left w:val="nil"/>
              <w:bottom w:val="single" w:color="auto" w:sz="4" w:space="0"/>
              <w:right w:val="single" w:color="auto" w:sz="4" w:space="0"/>
            </w:tcBorders>
            <w:noWrap/>
            <w:vAlign w:val="center"/>
          </w:tcPr>
          <w:p w14:paraId="3240B03B">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3217085.89</w:t>
            </w:r>
          </w:p>
        </w:tc>
        <w:tc>
          <w:tcPr>
            <w:tcW w:w="712" w:type="pct"/>
            <w:tcBorders>
              <w:top w:val="nil"/>
              <w:left w:val="nil"/>
              <w:bottom w:val="single" w:color="auto" w:sz="4" w:space="0"/>
              <w:right w:val="single" w:color="auto" w:sz="4" w:space="0"/>
            </w:tcBorders>
            <w:noWrap/>
            <w:vAlign w:val="center"/>
          </w:tcPr>
          <w:p w14:paraId="280A825C">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577489.94</w:t>
            </w:r>
          </w:p>
        </w:tc>
        <w:tc>
          <w:tcPr>
            <w:tcW w:w="913" w:type="pct"/>
            <w:tcBorders>
              <w:top w:val="nil"/>
              <w:left w:val="nil"/>
              <w:bottom w:val="single" w:color="auto" w:sz="4" w:space="0"/>
              <w:right w:val="single" w:color="auto" w:sz="4" w:space="0"/>
            </w:tcBorders>
            <w:noWrap/>
            <w:vAlign w:val="center"/>
          </w:tcPr>
          <w:p w14:paraId="5C8BD821">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163.85</w:t>
            </w:r>
          </w:p>
        </w:tc>
        <w:tc>
          <w:tcPr>
            <w:tcW w:w="1188" w:type="pct"/>
            <w:tcBorders>
              <w:top w:val="nil"/>
              <w:left w:val="nil"/>
              <w:bottom w:val="single" w:color="auto" w:sz="4" w:space="0"/>
              <w:right w:val="single" w:color="auto" w:sz="4" w:space="0"/>
            </w:tcBorders>
            <w:noWrap/>
            <w:vAlign w:val="center"/>
          </w:tcPr>
          <w:p w14:paraId="72A25B82">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3.6413</w:t>
            </w:r>
          </w:p>
        </w:tc>
      </w:tr>
      <w:tr w14:paraId="7EBDA266">
        <w:tblPrEx>
          <w:tblCellMar>
            <w:top w:w="0" w:type="dxa"/>
            <w:left w:w="108" w:type="dxa"/>
            <w:bottom w:w="0" w:type="dxa"/>
            <w:right w:w="108" w:type="dxa"/>
          </w:tblCellMar>
        </w:tblPrEx>
        <w:trPr>
          <w:trHeight w:val="240" w:hRule="atLeast"/>
        </w:trPr>
        <w:tc>
          <w:tcPr>
            <w:tcW w:w="425" w:type="pct"/>
            <w:tcBorders>
              <w:top w:val="nil"/>
              <w:left w:val="single" w:color="auto" w:sz="4" w:space="0"/>
              <w:bottom w:val="single" w:color="auto" w:sz="4" w:space="0"/>
              <w:right w:val="single" w:color="auto" w:sz="4" w:space="0"/>
            </w:tcBorders>
            <w:noWrap/>
            <w:vAlign w:val="center"/>
          </w:tcPr>
          <w:p w14:paraId="39FEAC8B">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R5</w:t>
            </w:r>
          </w:p>
        </w:tc>
        <w:tc>
          <w:tcPr>
            <w:tcW w:w="975" w:type="pct"/>
            <w:tcBorders>
              <w:top w:val="nil"/>
              <w:left w:val="nil"/>
              <w:bottom w:val="single" w:color="auto" w:sz="4" w:space="0"/>
              <w:right w:val="single" w:color="auto" w:sz="4" w:space="0"/>
            </w:tcBorders>
            <w:noWrap/>
            <w:vAlign w:val="center"/>
          </w:tcPr>
          <w:p w14:paraId="7415C557">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C′R0+040.6</w:t>
            </w:r>
          </w:p>
        </w:tc>
        <w:tc>
          <w:tcPr>
            <w:tcW w:w="788" w:type="pct"/>
            <w:tcBorders>
              <w:top w:val="nil"/>
              <w:left w:val="nil"/>
              <w:bottom w:val="single" w:color="auto" w:sz="4" w:space="0"/>
              <w:right w:val="single" w:color="auto" w:sz="4" w:space="0"/>
            </w:tcBorders>
            <w:noWrap/>
            <w:vAlign w:val="center"/>
          </w:tcPr>
          <w:p w14:paraId="6287B119">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3217083.26</w:t>
            </w:r>
          </w:p>
        </w:tc>
        <w:tc>
          <w:tcPr>
            <w:tcW w:w="712" w:type="pct"/>
            <w:tcBorders>
              <w:top w:val="nil"/>
              <w:left w:val="nil"/>
              <w:bottom w:val="single" w:color="auto" w:sz="4" w:space="0"/>
              <w:right w:val="single" w:color="auto" w:sz="4" w:space="0"/>
            </w:tcBorders>
            <w:noWrap/>
            <w:vAlign w:val="center"/>
          </w:tcPr>
          <w:p w14:paraId="2C8956D7">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577497.48</w:t>
            </w:r>
          </w:p>
        </w:tc>
        <w:tc>
          <w:tcPr>
            <w:tcW w:w="913" w:type="pct"/>
            <w:tcBorders>
              <w:top w:val="nil"/>
              <w:left w:val="nil"/>
              <w:bottom w:val="single" w:color="auto" w:sz="4" w:space="0"/>
              <w:right w:val="single" w:color="auto" w:sz="4" w:space="0"/>
            </w:tcBorders>
            <w:noWrap/>
            <w:vAlign w:val="center"/>
          </w:tcPr>
          <w:p w14:paraId="5FDA062D">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w:t>
            </w:r>
          </w:p>
        </w:tc>
        <w:tc>
          <w:tcPr>
            <w:tcW w:w="1188" w:type="pct"/>
            <w:tcBorders>
              <w:top w:val="nil"/>
              <w:left w:val="nil"/>
              <w:bottom w:val="single" w:color="auto" w:sz="4" w:space="0"/>
              <w:right w:val="single" w:color="auto" w:sz="4" w:space="0"/>
            </w:tcBorders>
            <w:noWrap/>
            <w:vAlign w:val="center"/>
          </w:tcPr>
          <w:p w14:paraId="5FA0B45E">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30</w:t>
            </w:r>
          </w:p>
        </w:tc>
      </w:tr>
      <w:tr w14:paraId="2AD8F352">
        <w:tblPrEx>
          <w:tblCellMar>
            <w:top w:w="0" w:type="dxa"/>
            <w:left w:w="108" w:type="dxa"/>
            <w:bottom w:w="0" w:type="dxa"/>
            <w:right w:w="108" w:type="dxa"/>
          </w:tblCellMar>
        </w:tblPrEx>
        <w:trPr>
          <w:trHeight w:val="240" w:hRule="atLeast"/>
        </w:trPr>
        <w:tc>
          <w:tcPr>
            <w:tcW w:w="425" w:type="pct"/>
            <w:tcBorders>
              <w:top w:val="nil"/>
              <w:left w:val="single" w:color="auto" w:sz="4" w:space="0"/>
              <w:bottom w:val="single" w:color="auto" w:sz="4" w:space="0"/>
              <w:right w:val="single" w:color="auto" w:sz="4" w:space="0"/>
            </w:tcBorders>
            <w:noWrap/>
            <w:vAlign w:val="center"/>
          </w:tcPr>
          <w:p w14:paraId="1945131D">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R6</w:t>
            </w:r>
          </w:p>
        </w:tc>
        <w:tc>
          <w:tcPr>
            <w:tcW w:w="975" w:type="pct"/>
            <w:tcBorders>
              <w:top w:val="nil"/>
              <w:left w:val="nil"/>
              <w:bottom w:val="single" w:color="auto" w:sz="4" w:space="0"/>
              <w:right w:val="single" w:color="auto" w:sz="4" w:space="0"/>
            </w:tcBorders>
            <w:noWrap/>
            <w:vAlign w:val="center"/>
          </w:tcPr>
          <w:p w14:paraId="514388F1">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C′R0+094.0</w:t>
            </w:r>
          </w:p>
        </w:tc>
        <w:tc>
          <w:tcPr>
            <w:tcW w:w="788" w:type="pct"/>
            <w:tcBorders>
              <w:top w:val="nil"/>
              <w:left w:val="nil"/>
              <w:bottom w:val="single" w:color="auto" w:sz="4" w:space="0"/>
              <w:right w:val="single" w:color="auto" w:sz="4" w:space="0"/>
            </w:tcBorders>
            <w:noWrap/>
            <w:vAlign w:val="center"/>
          </w:tcPr>
          <w:p w14:paraId="08884CDF">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3217042.84</w:t>
            </w:r>
          </w:p>
        </w:tc>
        <w:tc>
          <w:tcPr>
            <w:tcW w:w="712" w:type="pct"/>
            <w:tcBorders>
              <w:top w:val="nil"/>
              <w:left w:val="nil"/>
              <w:bottom w:val="single" w:color="auto" w:sz="4" w:space="0"/>
              <w:right w:val="single" w:color="auto" w:sz="4" w:space="0"/>
            </w:tcBorders>
            <w:noWrap/>
            <w:vAlign w:val="center"/>
          </w:tcPr>
          <w:p w14:paraId="22353530">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577532.37</w:t>
            </w:r>
          </w:p>
        </w:tc>
        <w:tc>
          <w:tcPr>
            <w:tcW w:w="913" w:type="pct"/>
            <w:tcBorders>
              <w:top w:val="nil"/>
              <w:left w:val="nil"/>
              <w:bottom w:val="single" w:color="auto" w:sz="4" w:space="0"/>
              <w:right w:val="single" w:color="auto" w:sz="4" w:space="0"/>
            </w:tcBorders>
            <w:noWrap/>
            <w:vAlign w:val="center"/>
          </w:tcPr>
          <w:p w14:paraId="04AA2906">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w:t>
            </w:r>
          </w:p>
        </w:tc>
        <w:tc>
          <w:tcPr>
            <w:tcW w:w="1188" w:type="pct"/>
            <w:tcBorders>
              <w:top w:val="nil"/>
              <w:left w:val="nil"/>
              <w:bottom w:val="single" w:color="auto" w:sz="4" w:space="0"/>
              <w:right w:val="single" w:color="auto" w:sz="4" w:space="0"/>
            </w:tcBorders>
            <w:noWrap/>
            <w:vAlign w:val="center"/>
          </w:tcPr>
          <w:p w14:paraId="07B54AF9">
            <w:pPr>
              <w:widowControl/>
              <w:snapToGrid w:val="0"/>
              <w:spacing w:line="240" w:lineRule="atLeast"/>
              <w:jc w:val="center"/>
              <w:rPr>
                <w:rFonts w:hint="eastAsia" w:ascii="方正仿宋_GBK"/>
                <w:kern w:val="0"/>
                <w:sz w:val="21"/>
                <w:szCs w:val="21"/>
              </w:rPr>
            </w:pPr>
          </w:p>
        </w:tc>
      </w:tr>
      <w:tr w14:paraId="4C4044FD">
        <w:tblPrEx>
          <w:tblCellMar>
            <w:top w:w="0" w:type="dxa"/>
            <w:left w:w="108" w:type="dxa"/>
            <w:bottom w:w="0" w:type="dxa"/>
            <w:right w:w="108" w:type="dxa"/>
          </w:tblCellMar>
        </w:tblPrEx>
        <w:trPr>
          <w:trHeight w:val="240" w:hRule="atLeast"/>
        </w:trPr>
        <w:tc>
          <w:tcPr>
            <w:tcW w:w="425" w:type="pct"/>
            <w:tcBorders>
              <w:top w:val="nil"/>
              <w:left w:val="single" w:color="auto" w:sz="4" w:space="0"/>
              <w:bottom w:val="single" w:color="auto" w:sz="4" w:space="0"/>
              <w:right w:val="single" w:color="auto" w:sz="4" w:space="0"/>
            </w:tcBorders>
            <w:noWrap/>
            <w:vAlign w:val="center"/>
          </w:tcPr>
          <w:p w14:paraId="06B107B0">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R7</w:t>
            </w:r>
          </w:p>
        </w:tc>
        <w:tc>
          <w:tcPr>
            <w:tcW w:w="975" w:type="pct"/>
            <w:tcBorders>
              <w:top w:val="nil"/>
              <w:left w:val="nil"/>
              <w:bottom w:val="single" w:color="auto" w:sz="4" w:space="0"/>
              <w:right w:val="single" w:color="auto" w:sz="4" w:space="0"/>
            </w:tcBorders>
            <w:noWrap/>
            <w:vAlign w:val="center"/>
          </w:tcPr>
          <w:p w14:paraId="63D6CC4E">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C′R0+103.7</w:t>
            </w:r>
          </w:p>
        </w:tc>
        <w:tc>
          <w:tcPr>
            <w:tcW w:w="788" w:type="pct"/>
            <w:tcBorders>
              <w:top w:val="nil"/>
              <w:left w:val="nil"/>
              <w:bottom w:val="single" w:color="auto" w:sz="4" w:space="0"/>
              <w:right w:val="single" w:color="auto" w:sz="4" w:space="0"/>
            </w:tcBorders>
            <w:noWrap/>
            <w:vAlign w:val="center"/>
          </w:tcPr>
          <w:p w14:paraId="76BBCFCE">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3217035.49</w:t>
            </w:r>
          </w:p>
        </w:tc>
        <w:tc>
          <w:tcPr>
            <w:tcW w:w="712" w:type="pct"/>
            <w:tcBorders>
              <w:top w:val="nil"/>
              <w:left w:val="nil"/>
              <w:bottom w:val="single" w:color="auto" w:sz="4" w:space="0"/>
              <w:right w:val="single" w:color="auto" w:sz="4" w:space="0"/>
            </w:tcBorders>
            <w:noWrap/>
            <w:vAlign w:val="center"/>
          </w:tcPr>
          <w:p w14:paraId="4A5F0113">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577538.71</w:t>
            </w:r>
          </w:p>
        </w:tc>
        <w:tc>
          <w:tcPr>
            <w:tcW w:w="913" w:type="pct"/>
            <w:vMerge w:val="restart"/>
            <w:tcBorders>
              <w:top w:val="nil"/>
              <w:left w:val="single" w:color="auto" w:sz="4" w:space="0"/>
              <w:bottom w:val="single" w:color="auto" w:sz="4" w:space="0"/>
              <w:right w:val="single" w:color="auto" w:sz="4" w:space="0"/>
            </w:tcBorders>
            <w:noWrap/>
            <w:vAlign w:val="center"/>
          </w:tcPr>
          <w:p w14:paraId="61091925">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4.37</w:t>
            </w:r>
          </w:p>
        </w:tc>
        <w:tc>
          <w:tcPr>
            <w:tcW w:w="1188" w:type="pct"/>
            <w:vMerge w:val="restart"/>
            <w:tcBorders>
              <w:top w:val="nil"/>
              <w:left w:val="single" w:color="auto" w:sz="4" w:space="0"/>
              <w:bottom w:val="single" w:color="auto" w:sz="4" w:space="0"/>
              <w:right w:val="single" w:color="auto" w:sz="4" w:space="0"/>
            </w:tcBorders>
            <w:noWrap/>
            <w:vAlign w:val="center"/>
          </w:tcPr>
          <w:p w14:paraId="41FB0A33">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66.70743</w:t>
            </w:r>
          </w:p>
        </w:tc>
      </w:tr>
      <w:tr w14:paraId="3D9EEAF8">
        <w:tblPrEx>
          <w:tblCellMar>
            <w:top w:w="0" w:type="dxa"/>
            <w:left w:w="108" w:type="dxa"/>
            <w:bottom w:w="0" w:type="dxa"/>
            <w:right w:w="108" w:type="dxa"/>
          </w:tblCellMar>
        </w:tblPrEx>
        <w:trPr>
          <w:trHeight w:val="240" w:hRule="atLeast"/>
        </w:trPr>
        <w:tc>
          <w:tcPr>
            <w:tcW w:w="425" w:type="pct"/>
            <w:tcBorders>
              <w:top w:val="nil"/>
              <w:left w:val="single" w:color="auto" w:sz="4" w:space="0"/>
              <w:bottom w:val="single" w:color="auto" w:sz="4" w:space="0"/>
              <w:right w:val="single" w:color="auto" w:sz="4" w:space="0"/>
            </w:tcBorders>
            <w:noWrap/>
            <w:vAlign w:val="center"/>
          </w:tcPr>
          <w:p w14:paraId="609CD655">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R8</w:t>
            </w:r>
          </w:p>
        </w:tc>
        <w:tc>
          <w:tcPr>
            <w:tcW w:w="975" w:type="pct"/>
            <w:tcBorders>
              <w:top w:val="nil"/>
              <w:left w:val="nil"/>
              <w:bottom w:val="single" w:color="auto" w:sz="4" w:space="0"/>
              <w:right w:val="single" w:color="auto" w:sz="4" w:space="0"/>
            </w:tcBorders>
            <w:noWrap/>
            <w:vAlign w:val="center"/>
          </w:tcPr>
          <w:p w14:paraId="17027D48">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C′R0+108.8</w:t>
            </w:r>
          </w:p>
        </w:tc>
        <w:tc>
          <w:tcPr>
            <w:tcW w:w="788" w:type="pct"/>
            <w:tcBorders>
              <w:top w:val="nil"/>
              <w:left w:val="nil"/>
              <w:bottom w:val="single" w:color="auto" w:sz="4" w:space="0"/>
              <w:right w:val="single" w:color="auto" w:sz="4" w:space="0"/>
            </w:tcBorders>
            <w:noWrap/>
            <w:vAlign w:val="center"/>
          </w:tcPr>
          <w:p w14:paraId="2C8EAF21">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3217034.27</w:t>
            </w:r>
          </w:p>
        </w:tc>
        <w:tc>
          <w:tcPr>
            <w:tcW w:w="712" w:type="pct"/>
            <w:tcBorders>
              <w:top w:val="nil"/>
              <w:left w:val="nil"/>
              <w:bottom w:val="single" w:color="auto" w:sz="4" w:space="0"/>
              <w:right w:val="single" w:color="auto" w:sz="4" w:space="0"/>
            </w:tcBorders>
            <w:noWrap/>
            <w:vAlign w:val="center"/>
          </w:tcPr>
          <w:p w14:paraId="4E94D3C2">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577543.36</w:t>
            </w:r>
          </w:p>
        </w:tc>
        <w:tc>
          <w:tcPr>
            <w:tcW w:w="913" w:type="pct"/>
            <w:vMerge w:val="continue"/>
            <w:tcBorders>
              <w:top w:val="nil"/>
              <w:left w:val="single" w:color="auto" w:sz="4" w:space="0"/>
              <w:bottom w:val="single" w:color="auto" w:sz="4" w:space="0"/>
              <w:right w:val="single" w:color="auto" w:sz="4" w:space="0"/>
            </w:tcBorders>
            <w:vAlign w:val="center"/>
          </w:tcPr>
          <w:p w14:paraId="1F9049C8">
            <w:pPr>
              <w:widowControl/>
              <w:snapToGrid w:val="0"/>
              <w:spacing w:line="240" w:lineRule="atLeast"/>
              <w:jc w:val="center"/>
              <w:rPr>
                <w:rFonts w:hint="eastAsia" w:ascii="方正仿宋_GBK"/>
                <w:kern w:val="0"/>
                <w:sz w:val="21"/>
                <w:szCs w:val="21"/>
              </w:rPr>
            </w:pPr>
          </w:p>
        </w:tc>
        <w:tc>
          <w:tcPr>
            <w:tcW w:w="1188" w:type="pct"/>
            <w:vMerge w:val="continue"/>
            <w:tcBorders>
              <w:top w:val="nil"/>
              <w:left w:val="single" w:color="auto" w:sz="4" w:space="0"/>
              <w:bottom w:val="single" w:color="auto" w:sz="4" w:space="0"/>
              <w:right w:val="single" w:color="auto" w:sz="4" w:space="0"/>
            </w:tcBorders>
            <w:vAlign w:val="center"/>
          </w:tcPr>
          <w:p w14:paraId="5B3135B7">
            <w:pPr>
              <w:widowControl/>
              <w:snapToGrid w:val="0"/>
              <w:spacing w:line="240" w:lineRule="atLeast"/>
              <w:jc w:val="center"/>
              <w:rPr>
                <w:rFonts w:hint="eastAsia" w:ascii="方正仿宋_GBK"/>
                <w:kern w:val="0"/>
                <w:sz w:val="21"/>
                <w:szCs w:val="21"/>
              </w:rPr>
            </w:pPr>
          </w:p>
        </w:tc>
      </w:tr>
      <w:tr w14:paraId="195C51A9">
        <w:tblPrEx>
          <w:tblCellMar>
            <w:top w:w="0" w:type="dxa"/>
            <w:left w:w="108" w:type="dxa"/>
            <w:bottom w:w="0" w:type="dxa"/>
            <w:right w:w="108" w:type="dxa"/>
          </w:tblCellMar>
        </w:tblPrEx>
        <w:trPr>
          <w:trHeight w:val="240" w:hRule="atLeast"/>
        </w:trPr>
        <w:tc>
          <w:tcPr>
            <w:tcW w:w="425" w:type="pct"/>
            <w:tcBorders>
              <w:top w:val="nil"/>
              <w:left w:val="single" w:color="auto" w:sz="4" w:space="0"/>
              <w:bottom w:val="single" w:color="auto" w:sz="4" w:space="0"/>
              <w:right w:val="single" w:color="auto" w:sz="4" w:space="0"/>
            </w:tcBorders>
            <w:noWrap/>
            <w:vAlign w:val="center"/>
          </w:tcPr>
          <w:p w14:paraId="4DD2E67A">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R9</w:t>
            </w:r>
          </w:p>
        </w:tc>
        <w:tc>
          <w:tcPr>
            <w:tcW w:w="975" w:type="pct"/>
            <w:tcBorders>
              <w:top w:val="nil"/>
              <w:left w:val="nil"/>
              <w:bottom w:val="single" w:color="auto" w:sz="4" w:space="0"/>
              <w:right w:val="single" w:color="auto" w:sz="4" w:space="0"/>
            </w:tcBorders>
            <w:noWrap/>
            <w:vAlign w:val="center"/>
          </w:tcPr>
          <w:p w14:paraId="2D6EAF95">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C′R0+113.1</w:t>
            </w:r>
          </w:p>
        </w:tc>
        <w:tc>
          <w:tcPr>
            <w:tcW w:w="788" w:type="pct"/>
            <w:tcBorders>
              <w:top w:val="nil"/>
              <w:left w:val="nil"/>
              <w:bottom w:val="single" w:color="auto" w:sz="4" w:space="0"/>
              <w:right w:val="single" w:color="auto" w:sz="4" w:space="0"/>
            </w:tcBorders>
            <w:noWrap/>
            <w:vAlign w:val="center"/>
          </w:tcPr>
          <w:p w14:paraId="379B9C3D">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3217035.68</w:t>
            </w:r>
          </w:p>
        </w:tc>
        <w:tc>
          <w:tcPr>
            <w:tcW w:w="712" w:type="pct"/>
            <w:tcBorders>
              <w:top w:val="nil"/>
              <w:left w:val="nil"/>
              <w:bottom w:val="single" w:color="auto" w:sz="4" w:space="0"/>
              <w:right w:val="single" w:color="auto" w:sz="4" w:space="0"/>
            </w:tcBorders>
            <w:noWrap/>
            <w:vAlign w:val="center"/>
          </w:tcPr>
          <w:p w14:paraId="41E19022">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577547.4</w:t>
            </w:r>
          </w:p>
        </w:tc>
        <w:tc>
          <w:tcPr>
            <w:tcW w:w="913" w:type="pct"/>
            <w:tcBorders>
              <w:top w:val="nil"/>
              <w:left w:val="nil"/>
              <w:bottom w:val="single" w:color="auto" w:sz="4" w:space="0"/>
              <w:right w:val="single" w:color="auto" w:sz="4" w:space="0"/>
            </w:tcBorders>
            <w:noWrap/>
            <w:vAlign w:val="center"/>
          </w:tcPr>
          <w:p w14:paraId="1B3892BA">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w:t>
            </w:r>
          </w:p>
        </w:tc>
        <w:tc>
          <w:tcPr>
            <w:tcW w:w="1188" w:type="pct"/>
            <w:tcBorders>
              <w:top w:val="nil"/>
              <w:left w:val="nil"/>
              <w:bottom w:val="single" w:color="auto" w:sz="4" w:space="0"/>
              <w:right w:val="single" w:color="auto" w:sz="4" w:space="0"/>
            </w:tcBorders>
            <w:noWrap/>
            <w:vAlign w:val="center"/>
          </w:tcPr>
          <w:p w14:paraId="1D8A3668">
            <w:pPr>
              <w:widowControl/>
              <w:snapToGrid w:val="0"/>
              <w:spacing w:line="240" w:lineRule="atLeast"/>
              <w:jc w:val="center"/>
              <w:rPr>
                <w:rFonts w:hint="eastAsia" w:ascii="方正仿宋_GBK"/>
                <w:kern w:val="0"/>
                <w:sz w:val="21"/>
                <w:szCs w:val="21"/>
              </w:rPr>
            </w:pPr>
            <w:r>
              <w:rPr>
                <w:rFonts w:hint="eastAsia" w:ascii="方正仿宋_GBK"/>
                <w:kern w:val="0"/>
                <w:sz w:val="21"/>
                <w:szCs w:val="21"/>
              </w:rPr>
              <w:t>--</w:t>
            </w:r>
          </w:p>
        </w:tc>
      </w:tr>
    </w:tbl>
    <w:p w14:paraId="1AD04ED1">
      <w:pPr>
        <w:rPr>
          <w:rFonts w:hint="eastAsia" w:ascii="方正仿宋_GBK" w:hAnsi="Times New Roman" w:cs="Times New Roman"/>
          <w:kern w:val="0"/>
          <w:sz w:val="24"/>
          <w:szCs w:val="24"/>
        </w:rPr>
        <w:sectPr>
          <w:footerReference r:id="rId3" w:type="default"/>
          <w:footerReference r:id="rId4" w:type="even"/>
          <w:pgSz w:w="11906" w:h="16838"/>
          <w:pgMar w:top="1701" w:right="1474" w:bottom="1446" w:left="1588" w:header="851" w:footer="992" w:gutter="0"/>
          <w:cols w:space="425" w:num="1"/>
          <w:docGrid w:type="lines" w:linePitch="435" w:charSpace="0"/>
        </w:sectPr>
      </w:pPr>
    </w:p>
    <w:p w14:paraId="2EF36E5B">
      <w:pPr>
        <w:autoSpaceDE w:val="0"/>
        <w:autoSpaceDN w:val="0"/>
        <w:adjustRightInd w:val="0"/>
        <w:spacing w:line="360" w:lineRule="auto"/>
        <w:rPr>
          <w:rFonts w:hint="eastAsia" w:ascii="方正黑体_GBK" w:hAnsi="Times New Roman" w:eastAsia="方正黑体_GBK" w:cs="Times New Roman"/>
          <w:kern w:val="0"/>
          <w:szCs w:val="32"/>
        </w:rPr>
      </w:pPr>
      <w:r>
        <w:rPr>
          <w:rFonts w:hint="eastAsia" w:ascii="方正黑体_GBK" w:hAnsi="Times New Roman" w:eastAsia="方正黑体_GBK" w:cs="Times New Roman"/>
          <w:kern w:val="0"/>
          <w:szCs w:val="32"/>
        </w:rPr>
        <w:t>附件</w:t>
      </w:r>
    </w:p>
    <w:p w14:paraId="35C982D8">
      <w:pPr>
        <w:autoSpaceDE w:val="0"/>
        <w:autoSpaceDN w:val="0"/>
        <w:adjustRightInd w:val="0"/>
        <w:spacing w:line="360" w:lineRule="auto"/>
        <w:rPr>
          <w:rFonts w:hint="eastAsia" w:ascii="方正仿宋_GBK"/>
          <w:sz w:val="24"/>
          <w:szCs w:val="24"/>
        </w:rPr>
      </w:pPr>
      <w:r>
        <w:rPr>
          <w:rFonts w:hint="eastAsia" w:ascii="方正仿宋_GBK"/>
          <w:sz w:val="24"/>
          <w:szCs w:val="24"/>
        </w:rPr>
        <w:drawing>
          <wp:inline distT="0" distB="0" distL="0" distR="0">
            <wp:extent cx="5278120" cy="74612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srcRect/>
                    <a:stretch>
                      <a:fillRect/>
                    </a:stretch>
                  </pic:blipFill>
                  <pic:spPr>
                    <a:xfrm>
                      <a:off x="0" y="0"/>
                      <a:ext cx="5278120" cy="7461252"/>
                    </a:xfrm>
                    <a:prstGeom prst="rect">
                      <a:avLst/>
                    </a:prstGeom>
                    <a:noFill/>
                    <a:ln w="9525">
                      <a:noFill/>
                      <a:miter lim="800000"/>
                      <a:headEnd/>
                      <a:tailEnd/>
                    </a:ln>
                  </pic:spPr>
                </pic:pic>
              </a:graphicData>
            </a:graphic>
          </wp:inline>
        </w:drawing>
      </w:r>
      <w:r>
        <w:rPr>
          <w:rFonts w:hint="eastAsia" w:ascii="方正仿宋_GBK"/>
          <w:sz w:val="24"/>
          <w:szCs w:val="24"/>
        </w:rPr>
        <w:drawing>
          <wp:inline distT="0" distB="0" distL="0" distR="0">
            <wp:extent cx="5278120" cy="7461250"/>
            <wp:effectExtent l="19050" t="0" r="0"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9" cstate="print"/>
                    <a:srcRect/>
                    <a:stretch>
                      <a:fillRect/>
                    </a:stretch>
                  </pic:blipFill>
                  <pic:spPr>
                    <a:xfrm>
                      <a:off x="0" y="0"/>
                      <a:ext cx="5278120" cy="7461252"/>
                    </a:xfrm>
                    <a:prstGeom prst="rect">
                      <a:avLst/>
                    </a:prstGeom>
                    <a:noFill/>
                    <a:ln w="9525">
                      <a:noFill/>
                      <a:miter lim="800000"/>
                      <a:headEnd/>
                      <a:tailEnd/>
                    </a:ln>
                  </pic:spPr>
                </pic:pic>
              </a:graphicData>
            </a:graphic>
          </wp:inline>
        </w:drawing>
      </w:r>
      <w:r>
        <w:rPr>
          <w:rFonts w:hint="eastAsia" w:ascii="方正仿宋_GBK"/>
          <w:sz w:val="24"/>
          <w:szCs w:val="24"/>
        </w:rPr>
        <w:t xml:space="preserve"> </w:t>
      </w:r>
      <w:r>
        <w:rPr>
          <w:rFonts w:hint="eastAsia" w:ascii="方正仿宋_GBK"/>
          <w:sz w:val="24"/>
          <w:szCs w:val="24"/>
        </w:rPr>
        <w:drawing>
          <wp:inline distT="0" distB="0" distL="0" distR="0">
            <wp:extent cx="6069330" cy="8579485"/>
            <wp:effectExtent l="19050" t="0" r="7579" b="0"/>
            <wp:docPr id="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pic:cNvPicPr>
                      <a:picLocks noChangeAspect="1" noChangeArrowheads="1"/>
                    </pic:cNvPicPr>
                  </pic:nvPicPr>
                  <pic:blipFill>
                    <a:blip r:embed="rId10" cstate="print"/>
                    <a:srcRect/>
                    <a:stretch>
                      <a:fillRect/>
                    </a:stretch>
                  </pic:blipFill>
                  <pic:spPr>
                    <a:xfrm>
                      <a:off x="0" y="0"/>
                      <a:ext cx="6069993" cy="8580658"/>
                    </a:xfrm>
                    <a:prstGeom prst="rect">
                      <a:avLst/>
                    </a:prstGeom>
                    <a:noFill/>
                    <a:ln w="9525">
                      <a:noFill/>
                      <a:miter lim="800000"/>
                      <a:headEnd/>
                      <a:tailEnd/>
                    </a:ln>
                  </pic:spPr>
                </pic:pic>
              </a:graphicData>
            </a:graphic>
          </wp:inline>
        </w:drawing>
      </w:r>
    </w:p>
    <w:sectPr>
      <w:footerReference r:id="rId5" w:type="default"/>
      <w:footerReference r:id="rId6" w:type="even"/>
      <w:pgSz w:w="11906" w:h="16838"/>
      <w:pgMar w:top="1440" w:right="1797" w:bottom="1440" w:left="1797" w:header="851" w:footer="992" w:gutter="0"/>
      <w:cols w:space="425" w:num="1"/>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3000509000000000000"/>
    <w:charset w:val="86"/>
    <w:family w:val="script"/>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方正黑体_GBK">
    <w:panose1 w:val="03000509000000000000"/>
    <w:charset w:val="86"/>
    <w:family w:val="script"/>
    <w:pitch w:val="default"/>
    <w:sig w:usb0="00000001" w:usb1="080E0000" w:usb2="00000000" w:usb3="00000000" w:csb0="00040000" w:csb1="00000000"/>
  </w:font>
  <w:font w:name="Courier New">
    <w:panose1 w:val="02070309020205020404"/>
    <w:charset w:val="00"/>
    <w:family w:val="modern"/>
    <w:pitch w:val="default"/>
    <w:sig w:usb0="E0002EFF" w:usb1="C0007843" w:usb2="00000009" w:usb3="00000000" w:csb0="400001FF" w:csb1="FFFF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287036"/>
    </w:sdtPr>
    <w:sdtContent>
      <w:p w14:paraId="7C7476BC">
        <w:pPr>
          <w:pStyle w:val="10"/>
          <w:jc w:val="right"/>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5</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sdtContent>
  </w:sdt>
  <w:p w14:paraId="12C3F0A7">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287035"/>
    </w:sdtPr>
    <w:sdtContent>
      <w:p w14:paraId="5CED51DD">
        <w:pPr>
          <w:pStyle w:val="10"/>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sdtContent>
  </w:sdt>
  <w:p w14:paraId="74DE8AD3">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2CED0">
    <w:pPr>
      <w:pStyle w:val="10"/>
      <w:jc w:val="right"/>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8</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p w14:paraId="1EA542D2">
    <w:pPr>
      <w:pStyle w:val="10"/>
      <w:ind w:right="360" w:firstLine="360"/>
      <w:jc w:val="right"/>
      <w:rPr>
        <w:rFonts w:ascii="Times New Roman" w:hAnsi="Times New Roman" w:cs="Times New Roman"/>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8E2F6">
    <w:pPr>
      <w:pStyle w:val="10"/>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4</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p w14:paraId="124EB0A5">
    <w:pPr>
      <w:pStyle w:val="10"/>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dit="readOnly" w:enforcement="0"/>
  <w:defaultTabStop w:val="420"/>
  <w:drawingGridHorizontalSpacing w:val="160"/>
  <w:drawingGridVerticalSpacing w:val="435"/>
  <w:displayHorizont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KGWebUrl" w:val="http://23.211.169.62:80/seeyon/officeservlet"/>
  </w:docVars>
  <w:rsids>
    <w:rsidRoot w:val="73726EFB"/>
    <w:rsid w:val="00000AF5"/>
    <w:rsid w:val="00003A14"/>
    <w:rsid w:val="000129DD"/>
    <w:rsid w:val="00016A6F"/>
    <w:rsid w:val="00022A82"/>
    <w:rsid w:val="000574B9"/>
    <w:rsid w:val="00076EEA"/>
    <w:rsid w:val="00086075"/>
    <w:rsid w:val="000A439B"/>
    <w:rsid w:val="000D69CF"/>
    <w:rsid w:val="00100051"/>
    <w:rsid w:val="001423C0"/>
    <w:rsid w:val="00143EEF"/>
    <w:rsid w:val="00161C0A"/>
    <w:rsid w:val="00163073"/>
    <w:rsid w:val="001729EE"/>
    <w:rsid w:val="00173647"/>
    <w:rsid w:val="00174109"/>
    <w:rsid w:val="001B1DC0"/>
    <w:rsid w:val="001B353F"/>
    <w:rsid w:val="001D1227"/>
    <w:rsid w:val="001D5B43"/>
    <w:rsid w:val="001E08BE"/>
    <w:rsid w:val="001E7AF7"/>
    <w:rsid w:val="001F4113"/>
    <w:rsid w:val="002004BD"/>
    <w:rsid w:val="00201BD3"/>
    <w:rsid w:val="00202269"/>
    <w:rsid w:val="00230495"/>
    <w:rsid w:val="00245898"/>
    <w:rsid w:val="00254AD5"/>
    <w:rsid w:val="00256890"/>
    <w:rsid w:val="00266167"/>
    <w:rsid w:val="00266A59"/>
    <w:rsid w:val="00291F4A"/>
    <w:rsid w:val="00292D28"/>
    <w:rsid w:val="002B20D2"/>
    <w:rsid w:val="002B4E1C"/>
    <w:rsid w:val="002B5FCB"/>
    <w:rsid w:val="002C6E34"/>
    <w:rsid w:val="002E7C30"/>
    <w:rsid w:val="002F60D0"/>
    <w:rsid w:val="002F7A98"/>
    <w:rsid w:val="00300D0A"/>
    <w:rsid w:val="0030731B"/>
    <w:rsid w:val="00317529"/>
    <w:rsid w:val="00355BB0"/>
    <w:rsid w:val="003654F1"/>
    <w:rsid w:val="003730E6"/>
    <w:rsid w:val="003821AB"/>
    <w:rsid w:val="00384140"/>
    <w:rsid w:val="003848FC"/>
    <w:rsid w:val="00386B06"/>
    <w:rsid w:val="003B535E"/>
    <w:rsid w:val="003B6A73"/>
    <w:rsid w:val="003B71A3"/>
    <w:rsid w:val="003C6803"/>
    <w:rsid w:val="003D7C2F"/>
    <w:rsid w:val="003E18EB"/>
    <w:rsid w:val="003F00C2"/>
    <w:rsid w:val="00407321"/>
    <w:rsid w:val="00424071"/>
    <w:rsid w:val="004275E8"/>
    <w:rsid w:val="00431078"/>
    <w:rsid w:val="00461AB8"/>
    <w:rsid w:val="00465825"/>
    <w:rsid w:val="004665C9"/>
    <w:rsid w:val="004749E6"/>
    <w:rsid w:val="004856D9"/>
    <w:rsid w:val="004915F5"/>
    <w:rsid w:val="00493FE7"/>
    <w:rsid w:val="004A743A"/>
    <w:rsid w:val="004C7B66"/>
    <w:rsid w:val="004D128F"/>
    <w:rsid w:val="004E047C"/>
    <w:rsid w:val="004E7044"/>
    <w:rsid w:val="004F0507"/>
    <w:rsid w:val="004F1A96"/>
    <w:rsid w:val="00510049"/>
    <w:rsid w:val="00521F6F"/>
    <w:rsid w:val="00562859"/>
    <w:rsid w:val="0056798E"/>
    <w:rsid w:val="00585BD4"/>
    <w:rsid w:val="00585DD0"/>
    <w:rsid w:val="00594FCD"/>
    <w:rsid w:val="005C1641"/>
    <w:rsid w:val="005D66B6"/>
    <w:rsid w:val="005E3F54"/>
    <w:rsid w:val="005F2F6A"/>
    <w:rsid w:val="00604F2F"/>
    <w:rsid w:val="006252BF"/>
    <w:rsid w:val="00634DB6"/>
    <w:rsid w:val="00640318"/>
    <w:rsid w:val="00640DFE"/>
    <w:rsid w:val="00650D0A"/>
    <w:rsid w:val="00654C28"/>
    <w:rsid w:val="006604C1"/>
    <w:rsid w:val="0066242F"/>
    <w:rsid w:val="00663FA8"/>
    <w:rsid w:val="00677CEE"/>
    <w:rsid w:val="006960EA"/>
    <w:rsid w:val="006A4D27"/>
    <w:rsid w:val="006A7D5F"/>
    <w:rsid w:val="006B1BC1"/>
    <w:rsid w:val="006B3BB5"/>
    <w:rsid w:val="006C27EF"/>
    <w:rsid w:val="006C5AF4"/>
    <w:rsid w:val="006C66D4"/>
    <w:rsid w:val="007075F6"/>
    <w:rsid w:val="0071102D"/>
    <w:rsid w:val="00714838"/>
    <w:rsid w:val="00722157"/>
    <w:rsid w:val="0073659E"/>
    <w:rsid w:val="007477BE"/>
    <w:rsid w:val="0076230F"/>
    <w:rsid w:val="007A1C0F"/>
    <w:rsid w:val="007E2C03"/>
    <w:rsid w:val="007E6842"/>
    <w:rsid w:val="00802031"/>
    <w:rsid w:val="00804ED4"/>
    <w:rsid w:val="008142B1"/>
    <w:rsid w:val="008347D6"/>
    <w:rsid w:val="00835A60"/>
    <w:rsid w:val="00840747"/>
    <w:rsid w:val="0085616D"/>
    <w:rsid w:val="008667A6"/>
    <w:rsid w:val="00866CDB"/>
    <w:rsid w:val="00866F1A"/>
    <w:rsid w:val="008821A1"/>
    <w:rsid w:val="00883D32"/>
    <w:rsid w:val="008B0DC0"/>
    <w:rsid w:val="008B3E70"/>
    <w:rsid w:val="008C38C9"/>
    <w:rsid w:val="009030F2"/>
    <w:rsid w:val="009277A0"/>
    <w:rsid w:val="00943BF8"/>
    <w:rsid w:val="00966EE2"/>
    <w:rsid w:val="00970DB2"/>
    <w:rsid w:val="00981423"/>
    <w:rsid w:val="009B408B"/>
    <w:rsid w:val="009B4C1F"/>
    <w:rsid w:val="009C2CAF"/>
    <w:rsid w:val="009C2ECB"/>
    <w:rsid w:val="009D0CD9"/>
    <w:rsid w:val="009D7140"/>
    <w:rsid w:val="009E4932"/>
    <w:rsid w:val="00A0080C"/>
    <w:rsid w:val="00A26E0A"/>
    <w:rsid w:val="00A32107"/>
    <w:rsid w:val="00A3777A"/>
    <w:rsid w:val="00A64B45"/>
    <w:rsid w:val="00A942EB"/>
    <w:rsid w:val="00AA3131"/>
    <w:rsid w:val="00AB5684"/>
    <w:rsid w:val="00AE0D3A"/>
    <w:rsid w:val="00B1156C"/>
    <w:rsid w:val="00B27E7D"/>
    <w:rsid w:val="00B42E8B"/>
    <w:rsid w:val="00B445E2"/>
    <w:rsid w:val="00B74E04"/>
    <w:rsid w:val="00B77EBE"/>
    <w:rsid w:val="00B825FD"/>
    <w:rsid w:val="00BA3A1B"/>
    <w:rsid w:val="00BC1E6E"/>
    <w:rsid w:val="00BC5DAF"/>
    <w:rsid w:val="00BE5037"/>
    <w:rsid w:val="00BF118E"/>
    <w:rsid w:val="00C22E2B"/>
    <w:rsid w:val="00C33280"/>
    <w:rsid w:val="00C34F61"/>
    <w:rsid w:val="00C36A38"/>
    <w:rsid w:val="00C429D8"/>
    <w:rsid w:val="00C57428"/>
    <w:rsid w:val="00C608FE"/>
    <w:rsid w:val="00C66AB8"/>
    <w:rsid w:val="00C919FF"/>
    <w:rsid w:val="00C91F12"/>
    <w:rsid w:val="00CB307C"/>
    <w:rsid w:val="00CC6E4D"/>
    <w:rsid w:val="00D33DBB"/>
    <w:rsid w:val="00D45305"/>
    <w:rsid w:val="00D52D38"/>
    <w:rsid w:val="00D92372"/>
    <w:rsid w:val="00D96281"/>
    <w:rsid w:val="00D96BC4"/>
    <w:rsid w:val="00DA2E46"/>
    <w:rsid w:val="00DE26B5"/>
    <w:rsid w:val="00E0287F"/>
    <w:rsid w:val="00E07665"/>
    <w:rsid w:val="00E17337"/>
    <w:rsid w:val="00E17719"/>
    <w:rsid w:val="00E21C19"/>
    <w:rsid w:val="00E24FF7"/>
    <w:rsid w:val="00E25858"/>
    <w:rsid w:val="00E320DB"/>
    <w:rsid w:val="00E42E8A"/>
    <w:rsid w:val="00E43BD7"/>
    <w:rsid w:val="00E663DE"/>
    <w:rsid w:val="00E94CDD"/>
    <w:rsid w:val="00E9715E"/>
    <w:rsid w:val="00EB4ADA"/>
    <w:rsid w:val="00EB6FFD"/>
    <w:rsid w:val="00EC15E4"/>
    <w:rsid w:val="00EC221F"/>
    <w:rsid w:val="00EC7904"/>
    <w:rsid w:val="00ED3795"/>
    <w:rsid w:val="00ED69D7"/>
    <w:rsid w:val="00EF15FA"/>
    <w:rsid w:val="00EF4CEA"/>
    <w:rsid w:val="00EF6D2D"/>
    <w:rsid w:val="00F04A23"/>
    <w:rsid w:val="00F22369"/>
    <w:rsid w:val="00F22CA2"/>
    <w:rsid w:val="00F5748A"/>
    <w:rsid w:val="00F6343D"/>
    <w:rsid w:val="00F736A6"/>
    <w:rsid w:val="00F97828"/>
    <w:rsid w:val="00FA1EDA"/>
    <w:rsid w:val="00FB49E6"/>
    <w:rsid w:val="00FC6452"/>
    <w:rsid w:val="00FD4256"/>
    <w:rsid w:val="00FE0FC6"/>
    <w:rsid w:val="00FE47AA"/>
    <w:rsid w:val="01D847F2"/>
    <w:rsid w:val="080E41C5"/>
    <w:rsid w:val="089C597C"/>
    <w:rsid w:val="09CD1453"/>
    <w:rsid w:val="0B746511"/>
    <w:rsid w:val="0C71038C"/>
    <w:rsid w:val="0FBC7EC4"/>
    <w:rsid w:val="17002527"/>
    <w:rsid w:val="1A7E56FA"/>
    <w:rsid w:val="1C3224A7"/>
    <w:rsid w:val="25AD1B59"/>
    <w:rsid w:val="2A1A0D8F"/>
    <w:rsid w:val="2B156CFC"/>
    <w:rsid w:val="2E707209"/>
    <w:rsid w:val="2F871889"/>
    <w:rsid w:val="32B52F02"/>
    <w:rsid w:val="345F7854"/>
    <w:rsid w:val="36BC2D5B"/>
    <w:rsid w:val="39E77697"/>
    <w:rsid w:val="3B7B0277"/>
    <w:rsid w:val="3BC431F4"/>
    <w:rsid w:val="41062D9D"/>
    <w:rsid w:val="45454AB8"/>
    <w:rsid w:val="46C2047E"/>
    <w:rsid w:val="46EB0AAF"/>
    <w:rsid w:val="47B427C5"/>
    <w:rsid w:val="47D06B78"/>
    <w:rsid w:val="4C4A6392"/>
    <w:rsid w:val="51995A34"/>
    <w:rsid w:val="580A7F66"/>
    <w:rsid w:val="5893612C"/>
    <w:rsid w:val="59B07A6C"/>
    <w:rsid w:val="5A417F79"/>
    <w:rsid w:val="5E587F24"/>
    <w:rsid w:val="5FB17BB4"/>
    <w:rsid w:val="622546A7"/>
    <w:rsid w:val="622B235D"/>
    <w:rsid w:val="62B72468"/>
    <w:rsid w:val="63C3616A"/>
    <w:rsid w:val="65C504BE"/>
    <w:rsid w:val="66F26A79"/>
    <w:rsid w:val="6742694B"/>
    <w:rsid w:val="699E3490"/>
    <w:rsid w:val="69EA190C"/>
    <w:rsid w:val="6D2726C5"/>
    <w:rsid w:val="6DB568EE"/>
    <w:rsid w:val="73726EFB"/>
    <w:rsid w:val="73B463CB"/>
    <w:rsid w:val="74D14C9A"/>
    <w:rsid w:val="7974327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方正仿宋_GBK" w:asciiTheme="minorHAnsi" w:hAnsiTheme="minorHAnsi" w:cstheme="minorBidi"/>
      <w:kern w:val="2"/>
      <w:sz w:val="32"/>
      <w:szCs w:val="22"/>
      <w:lang w:val="en-US" w:eastAsia="zh-CN" w:bidi="ar-SA"/>
    </w:rPr>
  </w:style>
  <w:style w:type="paragraph" w:styleId="2">
    <w:name w:val="heading 2"/>
    <w:basedOn w:val="1"/>
    <w:next w:val="1"/>
    <w:link w:val="24"/>
    <w:qFormat/>
    <w:uiPriority w:val="9"/>
    <w:pPr>
      <w:keepNext/>
      <w:keepLines/>
      <w:spacing w:before="260" w:after="260" w:line="413" w:lineRule="auto"/>
      <w:outlineLvl w:val="1"/>
    </w:pPr>
    <w:rPr>
      <w:rFonts w:ascii="Arial" w:hAnsi="Arial" w:eastAsia="黑体" w:cs="Times New Roman"/>
      <w:szCs w:val="24"/>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uiPriority w:val="99"/>
    <w:pPr>
      <w:ind w:firstLine="420" w:firstLineChars="200"/>
    </w:pPr>
    <w:rPr>
      <w:rFonts w:ascii="Times New Roman" w:hAnsi="Times New Roman" w:eastAsia="宋体" w:cs="Times New Roman"/>
      <w:szCs w:val="21"/>
    </w:rPr>
  </w:style>
  <w:style w:type="paragraph" w:styleId="4">
    <w:name w:val="Body Text"/>
    <w:basedOn w:val="1"/>
    <w:next w:val="5"/>
    <w:link w:val="20"/>
    <w:qFormat/>
    <w:uiPriority w:val="0"/>
  </w:style>
  <w:style w:type="paragraph" w:styleId="5">
    <w:name w:val="Body Text First Indent"/>
    <w:basedOn w:val="4"/>
    <w:unhideWhenUsed/>
    <w:qFormat/>
    <w:uiPriority w:val="99"/>
    <w:pPr>
      <w:ind w:firstLine="420" w:firstLineChars="100"/>
    </w:pPr>
  </w:style>
  <w:style w:type="paragraph" w:styleId="6">
    <w:name w:val="toc 5"/>
    <w:basedOn w:val="1"/>
    <w:next w:val="1"/>
    <w:unhideWhenUsed/>
    <w:qFormat/>
    <w:uiPriority w:val="39"/>
    <w:pPr>
      <w:ind w:left="1120"/>
      <w:jc w:val="left"/>
    </w:pPr>
    <w:rPr>
      <w:rFonts w:ascii="Times New Roman" w:hAnsi="Times New Roman" w:eastAsia="宋体" w:cs="Times New Roman"/>
      <w:sz w:val="21"/>
      <w:szCs w:val="21"/>
    </w:rPr>
  </w:style>
  <w:style w:type="paragraph" w:styleId="7">
    <w:name w:val="Plain Text"/>
    <w:basedOn w:val="1"/>
    <w:link w:val="30"/>
    <w:uiPriority w:val="0"/>
    <w:rPr>
      <w:rFonts w:ascii="宋体" w:hAnsi="Courier New" w:eastAsia="宋体" w:cs="Times New Roman"/>
      <w:sz w:val="24"/>
      <w:szCs w:val="20"/>
    </w:rPr>
  </w:style>
  <w:style w:type="paragraph" w:styleId="8">
    <w:name w:val="Date"/>
    <w:basedOn w:val="1"/>
    <w:next w:val="1"/>
    <w:link w:val="18"/>
    <w:qFormat/>
    <w:uiPriority w:val="0"/>
    <w:pPr>
      <w:ind w:left="100" w:leftChars="2500"/>
    </w:pPr>
  </w:style>
  <w:style w:type="paragraph" w:styleId="9">
    <w:name w:val="Balloon Text"/>
    <w:basedOn w:val="1"/>
    <w:link w:val="22"/>
    <w:qFormat/>
    <w:uiPriority w:val="0"/>
    <w:rPr>
      <w:sz w:val="18"/>
      <w:szCs w:val="18"/>
    </w:rPr>
  </w:style>
  <w:style w:type="paragraph" w:styleId="10">
    <w:name w:val="footer"/>
    <w:basedOn w:val="1"/>
    <w:next w:val="1"/>
    <w:link w:val="21"/>
    <w:qFormat/>
    <w:uiPriority w:val="99"/>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Normal (Web)"/>
    <w:basedOn w:val="1"/>
    <w:qFormat/>
    <w:uiPriority w:val="0"/>
    <w:pPr>
      <w:spacing w:before="100" w:beforeAutospacing="1" w:after="100" w:afterAutospacing="1"/>
      <w:jc w:val="left"/>
    </w:pPr>
    <w:rPr>
      <w:kern w:val="0"/>
      <w:sz w:val="24"/>
    </w:rPr>
  </w:style>
  <w:style w:type="table" w:styleId="14">
    <w:name w:val="Table Grid"/>
    <w:basedOn w:val="13"/>
    <w:qFormat/>
    <w:uiPriority w:val="0"/>
    <w:pPr>
      <w:widowControl w:val="0"/>
      <w:jc w:val="both"/>
    </w:pPr>
    <w:rPr>
      <w:rFonts w:asciiTheme="minorHAnsi" w:hAnsiTheme="minorHAnsi"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page number"/>
    <w:basedOn w:val="15"/>
    <w:qFormat/>
    <w:uiPriority w:val="0"/>
  </w:style>
  <w:style w:type="paragraph" w:customStyle="1" w:styleId="17">
    <w:name w:val="Default"/>
    <w:unhideWhenUsed/>
    <w:qFormat/>
    <w:uiPriority w:val="0"/>
    <w:pPr>
      <w:widowControl w:val="0"/>
      <w:autoSpaceDE w:val="0"/>
      <w:autoSpaceDN w:val="0"/>
      <w:adjustRightInd w:val="0"/>
    </w:pPr>
    <w:rPr>
      <w:rFonts w:hint="eastAsia" w:ascii="方正黑体_GBK" w:hAnsi="Calibri" w:eastAsia="方正黑体_GBK" w:cstheme="minorBidi"/>
      <w:color w:val="000000"/>
      <w:sz w:val="24"/>
      <w:szCs w:val="22"/>
      <w:lang w:val="en-US" w:eastAsia="zh-CN" w:bidi="ar-SA"/>
    </w:rPr>
  </w:style>
  <w:style w:type="character" w:customStyle="1" w:styleId="18">
    <w:name w:val="日期 Char"/>
    <w:basedOn w:val="15"/>
    <w:link w:val="8"/>
    <w:qFormat/>
    <w:uiPriority w:val="0"/>
    <w:rPr>
      <w:rFonts w:eastAsia="方正仿宋_GBK" w:asciiTheme="minorHAnsi" w:hAnsiTheme="minorHAnsi" w:cstheme="minorBidi"/>
      <w:kern w:val="2"/>
      <w:sz w:val="32"/>
      <w:szCs w:val="22"/>
    </w:rPr>
  </w:style>
  <w:style w:type="paragraph" w:styleId="19">
    <w:name w:val="List Paragraph"/>
    <w:basedOn w:val="1"/>
    <w:qFormat/>
    <w:uiPriority w:val="99"/>
    <w:pPr>
      <w:ind w:firstLine="420" w:firstLineChars="200"/>
    </w:pPr>
  </w:style>
  <w:style w:type="character" w:customStyle="1" w:styleId="20">
    <w:name w:val="正文文本 Char"/>
    <w:basedOn w:val="15"/>
    <w:link w:val="4"/>
    <w:qFormat/>
    <w:uiPriority w:val="0"/>
    <w:rPr>
      <w:rFonts w:eastAsia="方正仿宋_GBK" w:asciiTheme="minorHAnsi" w:hAnsiTheme="minorHAnsi" w:cstheme="minorBidi"/>
      <w:kern w:val="2"/>
      <w:sz w:val="32"/>
      <w:szCs w:val="22"/>
    </w:rPr>
  </w:style>
  <w:style w:type="character" w:customStyle="1" w:styleId="21">
    <w:name w:val="页脚 Char"/>
    <w:basedOn w:val="15"/>
    <w:link w:val="10"/>
    <w:qFormat/>
    <w:uiPriority w:val="99"/>
    <w:rPr>
      <w:rFonts w:eastAsia="方正仿宋_GBK" w:asciiTheme="minorHAnsi" w:hAnsiTheme="minorHAnsi" w:cstheme="minorBidi"/>
      <w:kern w:val="2"/>
      <w:sz w:val="18"/>
      <w:szCs w:val="22"/>
    </w:rPr>
  </w:style>
  <w:style w:type="character" w:customStyle="1" w:styleId="22">
    <w:name w:val="批注框文本 Char"/>
    <w:basedOn w:val="15"/>
    <w:link w:val="9"/>
    <w:qFormat/>
    <w:uiPriority w:val="0"/>
    <w:rPr>
      <w:rFonts w:eastAsia="方正仿宋_GBK" w:asciiTheme="minorHAnsi" w:hAnsiTheme="minorHAnsi" w:cstheme="minorBidi"/>
      <w:kern w:val="2"/>
      <w:sz w:val="18"/>
      <w:szCs w:val="18"/>
    </w:rPr>
  </w:style>
  <w:style w:type="paragraph" w:customStyle="1" w:styleId="23">
    <w:name w:val="_Style 1"/>
    <w:basedOn w:val="1"/>
    <w:qFormat/>
    <w:uiPriority w:val="34"/>
    <w:pPr>
      <w:ind w:firstLine="420" w:firstLineChars="200"/>
    </w:pPr>
    <w:rPr>
      <w:rFonts w:ascii="Times New Roman" w:hAnsi="Times New Roman" w:eastAsia="宋体" w:cs="Times New Roman"/>
      <w:sz w:val="21"/>
      <w:szCs w:val="24"/>
    </w:rPr>
  </w:style>
  <w:style w:type="character" w:customStyle="1" w:styleId="24">
    <w:name w:val="标题 2 Char"/>
    <w:basedOn w:val="15"/>
    <w:link w:val="2"/>
    <w:qFormat/>
    <w:uiPriority w:val="9"/>
    <w:rPr>
      <w:rFonts w:ascii="Arial" w:hAnsi="Arial" w:eastAsia="黑体"/>
      <w:kern w:val="2"/>
      <w:sz w:val="32"/>
      <w:szCs w:val="24"/>
    </w:rPr>
  </w:style>
  <w:style w:type="paragraph" w:customStyle="1" w:styleId="25">
    <w:name w:val="p0"/>
    <w:basedOn w:val="1"/>
    <w:qFormat/>
    <w:uiPriority w:val="0"/>
    <w:pPr>
      <w:widowControl/>
      <w:spacing w:line="360" w:lineRule="auto"/>
      <w:ind w:firstLine="420"/>
    </w:pPr>
    <w:rPr>
      <w:rFonts w:ascii="宋体" w:hAnsi="宋体" w:eastAsia="宋体" w:cs="宋体"/>
      <w:kern w:val="0"/>
      <w:sz w:val="24"/>
      <w:szCs w:val="24"/>
    </w:rPr>
  </w:style>
  <w:style w:type="paragraph" w:customStyle="1" w:styleId="26">
    <w:name w:val="表格"/>
    <w:basedOn w:val="1"/>
    <w:qFormat/>
    <w:uiPriority w:val="0"/>
    <w:pPr>
      <w:keepLines/>
      <w:widowControl/>
      <w:adjustRightInd w:val="0"/>
      <w:snapToGrid w:val="0"/>
      <w:jc w:val="center"/>
    </w:pPr>
    <w:rPr>
      <w:rFonts w:ascii="Times New Roman" w:hAnsi="Times New Roman" w:eastAsia="宋体" w:cs="Times New Roman"/>
      <w:bCs/>
      <w:kern w:val="0"/>
      <w:sz w:val="22"/>
      <w:szCs w:val="20"/>
    </w:rPr>
  </w:style>
  <w:style w:type="paragraph" w:customStyle="1" w:styleId="27">
    <w:name w:val="表格文本"/>
    <w:basedOn w:val="1"/>
    <w:next w:val="1"/>
    <w:qFormat/>
    <w:uiPriority w:val="0"/>
    <w:pPr>
      <w:jc w:val="center"/>
    </w:pPr>
    <w:rPr>
      <w:rFonts w:ascii="Times New Roman" w:hAnsi="Times New Roman" w:eastAsia="宋体" w:cs="Times New Roman"/>
      <w:szCs w:val="21"/>
    </w:rPr>
  </w:style>
  <w:style w:type="paragraph" w:customStyle="1" w:styleId="28">
    <w:name w:val="Char"/>
    <w:basedOn w:val="1"/>
    <w:qFormat/>
    <w:uiPriority w:val="0"/>
    <w:rPr>
      <w:rFonts w:ascii="Times New Roman" w:hAnsi="Times New Roman" w:eastAsia="宋体" w:cs="Times New Roman"/>
      <w:sz w:val="21"/>
      <w:szCs w:val="20"/>
    </w:rPr>
  </w:style>
  <w:style w:type="paragraph" w:customStyle="1" w:styleId="29">
    <w:name w:val="Char1"/>
    <w:basedOn w:val="1"/>
    <w:qFormat/>
    <w:uiPriority w:val="0"/>
    <w:rPr>
      <w:rFonts w:ascii="Times New Roman" w:hAnsi="Times New Roman" w:eastAsia="宋体" w:cs="Times New Roman"/>
      <w:sz w:val="21"/>
      <w:szCs w:val="20"/>
    </w:rPr>
  </w:style>
  <w:style w:type="character" w:customStyle="1" w:styleId="30">
    <w:name w:val="纯文本 Char"/>
    <w:basedOn w:val="15"/>
    <w:link w:val="7"/>
    <w:uiPriority w:val="0"/>
    <w:rPr>
      <w:rFonts w:ascii="宋体" w:hAnsi="Courier New" w:eastAsia="宋体"/>
      <w:kern w:val="2"/>
      <w:sz w:val="24"/>
    </w:rPr>
  </w:style>
  <w:style w:type="paragraph" w:customStyle="1" w:styleId="31">
    <w:name w:val="Char2"/>
    <w:basedOn w:val="1"/>
    <w:qFormat/>
    <w:uiPriority w:val="0"/>
    <w:rPr>
      <w:rFonts w:ascii="Times New Roman" w:hAnsi="Times New Roman" w:eastAsia="宋体" w:cs="Times New Roman"/>
      <w:sz w:val="21"/>
      <w:szCs w:val="20"/>
    </w:rPr>
  </w:style>
  <w:style w:type="paragraph" w:customStyle="1" w:styleId="32">
    <w:name w:val="Char3"/>
    <w:basedOn w:val="1"/>
    <w:qFormat/>
    <w:uiPriority w:val="0"/>
    <w:rPr>
      <w:rFonts w:ascii="Times New Roman" w:hAnsi="Times New Roman" w:eastAsia="宋体" w:cs="Times New Roman"/>
      <w:sz w:val="21"/>
      <w:szCs w:val="20"/>
    </w:rPr>
  </w:style>
  <w:style w:type="paragraph" w:customStyle="1" w:styleId="33">
    <w:name w:val="表头文字小"/>
    <w:basedOn w:val="1"/>
    <w:qFormat/>
    <w:uiPriority w:val="0"/>
    <w:pPr>
      <w:tabs>
        <w:tab w:val="left" w:pos="1419"/>
      </w:tabs>
      <w:spacing w:line="320" w:lineRule="exact"/>
      <w:jc w:val="center"/>
    </w:pPr>
    <w:rPr>
      <w:rFonts w:ascii="宋体" w:hAnsi="Times New Roman" w:eastAsia="宋体" w:cs="Times New Roman"/>
      <w:sz w:val="21"/>
      <w:szCs w:val="21"/>
    </w:rPr>
  </w:style>
  <w:style w:type="paragraph" w:customStyle="1" w:styleId="34">
    <w:name w:val="Char4"/>
    <w:basedOn w:val="1"/>
    <w:qFormat/>
    <w:uiPriority w:val="0"/>
    <w:rPr>
      <w:rFonts w:ascii="Times New Roman" w:hAnsi="Times New Roman" w:eastAsia="宋体" w:cs="Times New Roman"/>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54"/>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5"/>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F5688D-88C6-41D4-9B7B-0D403BCBDAB5}">
  <ds:schemaRefs/>
</ds:datastoreItem>
</file>

<file path=docProps/app.xml><?xml version="1.0" encoding="utf-8"?>
<Properties xmlns="http://schemas.openxmlformats.org/officeDocument/2006/extended-properties" xmlns:vt="http://schemas.openxmlformats.org/officeDocument/2006/docPropsVTypes">
  <Template>Normal.dotm</Template>
  <Company>daohangxitong.com</Company>
  <Pages>8</Pages>
  <Words>1863</Words>
  <Characters>3151</Characters>
  <Lines>24</Lines>
  <Paragraphs>6</Paragraphs>
  <TotalTime>130</TotalTime>
  <ScaleCrop>false</ScaleCrop>
  <LinksUpToDate>false</LinksUpToDate>
  <CharactersWithSpaces>3187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2022-03-09T07:11:00Z</dcterms:created>
  <dc:creator>Administrator</dc:creator>
  <cp:lastModifiedBy>做个梦吧</cp:lastModifiedBy>
  <cp:lastPrinted>2025-10-15T03:06:00Z</cp:lastPrinted>
  <dcterms:modified xsi:type="dcterms:W3CDTF">2025-10-16T06:31:18Z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D411EE6DFE4F4FE1B37CCC42A540E44F</vt:lpwstr>
  </property>
  <property fmtid="{D5CDD505-2E9C-101B-9397-08002B2CF9AE}" pid="4" name="KSOTemplateDocerSaveRecord">
    <vt:lpwstr>eyJoZGlkIjoiYTJlNzA4OGUyNTFlNmZiMTI2YzYxMTlhODM5YWQwZGIiLCJ1c2VySWQiOiIzMDc1NTIzODcifQ==</vt:lpwstr>
  </property>
</Properties>
</file>