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9E32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0BD5192F">
      <w:pPr>
        <w:pStyle w:val="2"/>
        <w:adjustRightInd w:val="0"/>
        <w:snapToGrid w:val="0"/>
        <w:spacing w:line="500" w:lineRule="exact"/>
      </w:pPr>
    </w:p>
    <w:p w14:paraId="541EB611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656FFA9E">
      <w:pPr>
        <w:spacing w:line="540" w:lineRule="exact"/>
        <w:jc w:val="center"/>
        <w:rPr>
          <w:rFonts w:ascii="仿宋_GB2312" w:eastAsia="仿宋_GB2312"/>
          <w:szCs w:val="32"/>
        </w:rPr>
      </w:pPr>
    </w:p>
    <w:p w14:paraId="071A8C2F">
      <w:pPr>
        <w:spacing w:line="540" w:lineRule="exact"/>
        <w:rPr>
          <w:rFonts w:ascii="仿宋_GB2312" w:eastAsia="仿宋_GB2312"/>
          <w:szCs w:val="32"/>
        </w:rPr>
      </w:pPr>
    </w:p>
    <w:p w14:paraId="5818263B"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46</w:t>
      </w:r>
      <w:r>
        <w:rPr>
          <w:rFonts w:ascii="Times New Roman" w:hAnsi="Times New Roman" w:cs="Times New Roman"/>
          <w:szCs w:val="32"/>
        </w:rPr>
        <w:t>号</w:t>
      </w:r>
    </w:p>
    <w:p w14:paraId="4EC6FCD9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6064009E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 w14:paraId="7BD25AED"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关于永川区五星水库除险加固工程</w:t>
      </w:r>
      <w:r>
        <w:rPr>
          <w:rFonts w:ascii="方正小标宋_GBK" w:eastAsia="方正小标宋_GBK"/>
          <w:sz w:val="44"/>
          <w:szCs w:val="44"/>
        </w:rPr>
        <w:t>初</w:t>
      </w:r>
      <w:r>
        <w:rPr>
          <w:rFonts w:ascii="Times New Roman" w:hAnsi="Times New Roman" w:eastAsia="方正小标宋_GBK" w:cs="Times New Roman"/>
          <w:sz w:val="44"/>
          <w:szCs w:val="44"/>
        </w:rPr>
        <w:t>步设计报告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 w14:paraId="053EC80E"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 w14:paraId="0EB32CB8"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 w:ascii="方正仿宋_GBK"/>
          <w:szCs w:val="32"/>
        </w:rPr>
        <w:t>重庆市永</w:t>
      </w:r>
      <w:r>
        <w:rPr>
          <w:rFonts w:ascii="Times New Roman" w:hAnsi="Times New Roman" w:cs="Times New Roman"/>
          <w:szCs w:val="32"/>
        </w:rPr>
        <w:t>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 w14:paraId="48E9E71C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你单位提交的《永川区</w:t>
      </w:r>
      <w:r>
        <w:rPr>
          <w:rFonts w:hint="eastAsia" w:ascii="Times New Roman" w:hAnsi="Times New Roman"/>
          <w:szCs w:val="32"/>
        </w:rPr>
        <w:t>五星</w:t>
      </w:r>
      <w:r>
        <w:rPr>
          <w:rFonts w:ascii="Times New Roman" w:hAnsi="Times New Roman" w:cs="Times New Roman"/>
          <w:szCs w:val="32"/>
        </w:rPr>
        <w:t>水库除险加固工程初步设计报告》审批申请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 w14:paraId="7E1C5777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一、工程位置及任务</w:t>
      </w:r>
    </w:p>
    <w:p w14:paraId="79520CF8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五星</w:t>
      </w:r>
      <w:r>
        <w:rPr>
          <w:rFonts w:ascii="Times New Roman" w:hAnsi="Times New Roman" w:cs="Times New Roman"/>
          <w:szCs w:val="32"/>
        </w:rPr>
        <w:t>水库位于重庆市永川区</w:t>
      </w:r>
      <w:bookmarkStart w:id="0" w:name="OLE_LINK28"/>
      <w:bookmarkStart w:id="1" w:name="OLE_LINK27"/>
      <w:r>
        <w:rPr>
          <w:rFonts w:hint="eastAsia" w:ascii="Times New Roman" w:hAnsi="Times New Roman" w:cs="Times New Roman"/>
          <w:szCs w:val="32"/>
        </w:rPr>
        <w:t>吉安镇</w:t>
      </w:r>
      <w:bookmarkEnd w:id="0"/>
      <w:bookmarkEnd w:id="1"/>
      <w:r>
        <w:rPr>
          <w:rFonts w:hint="eastAsia" w:ascii="Times New Roman" w:hAnsi="Times New Roman" w:cs="Times New Roman"/>
          <w:szCs w:val="32"/>
        </w:rPr>
        <w:t>金门村</w:t>
      </w:r>
      <w:r>
        <w:rPr>
          <w:rFonts w:ascii="Times New Roman" w:hAnsi="Times New Roman" w:cs="Times New Roman"/>
          <w:szCs w:val="32"/>
        </w:rPr>
        <w:t>，</w:t>
      </w:r>
      <w:r>
        <w:rPr>
          <w:rFonts w:hint="eastAsia" w:ascii="Times New Roman" w:hAnsi="Times New Roman" w:cs="Times New Roman"/>
          <w:szCs w:val="32"/>
        </w:rPr>
        <w:t>所在河流属大陆溪河支流，</w:t>
      </w:r>
      <w:r>
        <w:rPr>
          <w:rFonts w:ascii="Times New Roman" w:hAnsi="Times New Roman" w:cs="Times New Roman"/>
          <w:szCs w:val="32"/>
        </w:rPr>
        <w:t>是一座以灌溉为主，兼防洪的小（2）型水库。水库距</w:t>
      </w:r>
      <w:r>
        <w:rPr>
          <w:rFonts w:hint="eastAsia" w:ascii="Times New Roman" w:hAnsi="Times New Roman" w:cs="Times New Roman"/>
          <w:szCs w:val="32"/>
        </w:rPr>
        <w:t>吉安镇9</w:t>
      </w:r>
      <w:r>
        <w:rPr>
          <w:rFonts w:ascii="Times New Roman" w:hAnsi="Times New Roman" w:cs="Times New Roman"/>
          <w:szCs w:val="32"/>
        </w:rPr>
        <w:t>km，距</w:t>
      </w:r>
      <w:r>
        <w:rPr>
          <w:rFonts w:hint="eastAsia" w:ascii="Times New Roman" w:hAnsi="Times New Roman" w:cs="Times New Roman"/>
          <w:szCs w:val="32"/>
        </w:rPr>
        <w:t>永川城</w:t>
      </w:r>
      <w:r>
        <w:rPr>
          <w:rFonts w:ascii="Times New Roman" w:hAnsi="Times New Roman" w:cs="Times New Roman"/>
          <w:szCs w:val="32"/>
        </w:rPr>
        <w:t>区约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8km</w:t>
      </w:r>
      <w:r>
        <w:rPr>
          <w:rFonts w:hint="eastAsia" w:ascii="Times New Roman" w:hAnsi="Times New Roman" w:cs="Times New Roman"/>
          <w:szCs w:val="32"/>
        </w:rPr>
        <w:t>。</w:t>
      </w:r>
    </w:p>
    <w:p w14:paraId="3097127E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水库枢纽由大坝、溢洪道和放水建筑物组成。</w:t>
      </w:r>
      <w:r>
        <w:rPr>
          <w:rFonts w:hint="eastAsia" w:ascii="Times New Roman" w:hAnsi="Times New Roman" w:cs="Times New Roman"/>
          <w:szCs w:val="32"/>
        </w:rPr>
        <w:t>水库坝址控制集雨面积</w:t>
      </w:r>
      <w:r>
        <w:rPr>
          <w:rFonts w:ascii="Times New Roman" w:hAnsi="Times New Roman" w:cs="Times New Roman"/>
          <w:szCs w:val="32"/>
        </w:rPr>
        <w:t>0.643km</w:t>
      </w:r>
      <w:r>
        <w:rPr>
          <w:rFonts w:hint="eastAsia" w:ascii="Times New Roman" w:hAnsi="Times New Roman" w:cs="Times New Roman"/>
          <w:szCs w:val="32"/>
          <w:vertAlign w:val="superscript"/>
        </w:rPr>
        <w:t>2</w:t>
      </w:r>
      <w:r>
        <w:rPr>
          <w:rFonts w:hint="eastAsia" w:ascii="Times New Roman" w:hAnsi="Times New Roman" w:cs="Times New Roman"/>
          <w:szCs w:val="32"/>
        </w:rPr>
        <w:t>，河长</w:t>
      </w:r>
      <w:r>
        <w:rPr>
          <w:rFonts w:ascii="Times New Roman" w:hAnsi="Times New Roman" w:cs="Times New Roman"/>
          <w:szCs w:val="32"/>
        </w:rPr>
        <w:t>1.27km</w:t>
      </w:r>
      <w:r>
        <w:rPr>
          <w:rFonts w:hint="eastAsia" w:ascii="Times New Roman" w:hAnsi="Times New Roman" w:cs="Times New Roman"/>
          <w:szCs w:val="32"/>
        </w:rPr>
        <w:t>，坝址以上河道平均坡降</w:t>
      </w:r>
      <w:r>
        <w:rPr>
          <w:rFonts w:ascii="Times New Roman" w:hAnsi="Times New Roman" w:cs="Times New Roman"/>
          <w:szCs w:val="32"/>
        </w:rPr>
        <w:t>137‰</w:t>
      </w:r>
      <w:r>
        <w:rPr>
          <w:rFonts w:hint="eastAsia" w:ascii="Times New Roman" w:hAnsi="Times New Roman" w:cs="Times New Roman"/>
          <w:szCs w:val="32"/>
        </w:rPr>
        <w:t>。水库总</w:t>
      </w:r>
      <w:r>
        <w:rPr>
          <w:rFonts w:ascii="Times New Roman" w:hAnsi="Times New Roman" w:cs="Times New Roman"/>
          <w:szCs w:val="32"/>
        </w:rPr>
        <w:t>库容为</w:t>
      </w:r>
      <w:r>
        <w:rPr>
          <w:rFonts w:hint="eastAsia" w:ascii="Times New Roman" w:hAnsi="Times New Roman" w:cs="Times New Roman"/>
          <w:szCs w:val="32"/>
        </w:rPr>
        <w:t>61.57</w:t>
      </w:r>
      <w:r>
        <w:rPr>
          <w:rFonts w:ascii="Times New Roman" w:hAnsi="Times New Roman" w:cs="Times New Roman"/>
          <w:szCs w:val="32"/>
        </w:rPr>
        <w:t>万m³，正常蓄水位为</w:t>
      </w:r>
      <w:r>
        <w:rPr>
          <w:rFonts w:hint="eastAsia" w:ascii="Times New Roman" w:hAnsi="Times New Roman" w:cs="Times New Roman"/>
          <w:szCs w:val="32"/>
        </w:rPr>
        <w:t>403.00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54.19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hint="eastAsia"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，死水位为</w:t>
      </w:r>
      <w:r>
        <w:rPr>
          <w:rFonts w:hint="eastAsia" w:ascii="Times New Roman" w:hAnsi="Times New Roman" w:cs="Times New Roman"/>
          <w:szCs w:val="32"/>
        </w:rPr>
        <w:t>389.50</w:t>
      </w:r>
      <w:r>
        <w:rPr>
          <w:rFonts w:ascii="Times New Roman" w:hAnsi="Times New Roman" w:cs="Times New Roman"/>
          <w:szCs w:val="32"/>
        </w:rPr>
        <w:t>m，死库容为</w:t>
      </w:r>
      <w:r>
        <w:rPr>
          <w:rFonts w:hint="eastAsia" w:ascii="Times New Roman" w:hAnsi="Times New Roman" w:cs="Times New Roman"/>
          <w:szCs w:val="32"/>
        </w:rPr>
        <w:t>0.58</w:t>
      </w:r>
      <w:r>
        <w:rPr>
          <w:rFonts w:ascii="Times New Roman" w:hAnsi="Times New Roman" w:cs="Times New Roman"/>
          <w:szCs w:val="32"/>
        </w:rPr>
        <w:t>万m³。水库设计灌溉面积</w:t>
      </w:r>
      <w:r>
        <w:rPr>
          <w:rFonts w:hint="eastAsia" w:ascii="Times New Roman" w:hAnsi="Times New Roman" w:cs="Times New Roman"/>
          <w:szCs w:val="32"/>
        </w:rPr>
        <w:t>5100</w:t>
      </w:r>
      <w:r>
        <w:rPr>
          <w:rFonts w:ascii="Times New Roman" w:hAnsi="Times New Roman" w:cs="Times New Roman"/>
          <w:szCs w:val="32"/>
        </w:rPr>
        <w:t>亩，保护下游</w:t>
      </w:r>
      <w:r>
        <w:rPr>
          <w:rFonts w:hint="eastAsia" w:ascii="Times New Roman" w:hAnsi="Times New Roman" w:cs="Times New Roman"/>
          <w:szCs w:val="32"/>
        </w:rPr>
        <w:t>55</w:t>
      </w:r>
      <w:r>
        <w:rPr>
          <w:rFonts w:ascii="Times New Roman" w:hAnsi="Times New Roman" w:cs="Times New Roman"/>
          <w:szCs w:val="32"/>
        </w:rPr>
        <w:t>0余人的生命财产安全。</w:t>
      </w:r>
    </w:p>
    <w:p w14:paraId="035EAE49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二、工程建设条件</w:t>
      </w:r>
    </w:p>
    <w:p w14:paraId="6308B15C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（一）水文</w:t>
      </w:r>
    </w:p>
    <w:p w14:paraId="56C81F61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同意选取的洪水标准、设计洪水计算方法。设计洪水标准为20年一遇，相应洪峰流量</w:t>
      </w:r>
      <w:r>
        <w:rPr>
          <w:rFonts w:hint="eastAsia" w:ascii="Times New Roman" w:hAnsi="Times New Roman" w:cs="Times New Roman"/>
          <w:szCs w:val="32"/>
        </w:rPr>
        <w:t>16.6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/s，校核洪水标准为200年一遇，相应洪峰流量</w:t>
      </w:r>
      <w:r>
        <w:rPr>
          <w:rFonts w:hint="eastAsia" w:ascii="Times New Roman" w:hAnsi="Times New Roman" w:cs="Times New Roman"/>
          <w:szCs w:val="32"/>
        </w:rPr>
        <w:t>25.9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/s。</w:t>
      </w:r>
    </w:p>
    <w:p w14:paraId="539DBED0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（二）工程地质</w:t>
      </w:r>
    </w:p>
    <w:p w14:paraId="7B8BC370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基本同意水库区域地质环境及地震、坝址一般工程地质条件、坝枢存在主要地质问题和天然建筑材料的评价。</w:t>
      </w:r>
    </w:p>
    <w:p w14:paraId="3EDB0C3C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三、除险加固设计</w:t>
      </w:r>
    </w:p>
    <w:p w14:paraId="0B1FE018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同意确定的工程等别、建筑物级别、主要参数以及除险加固工程措施。</w:t>
      </w:r>
    </w:p>
    <w:p w14:paraId="253342DD"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（一）工程等级及参数</w:t>
      </w:r>
    </w:p>
    <w:p w14:paraId="281CEEBE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工程属</w:t>
      </w:r>
      <w:r>
        <w:rPr>
          <w:rFonts w:ascii="Times New Roman" w:hAnsi="方正仿宋_GBK" w:cs="Times New Roman"/>
          <w:szCs w:val="32"/>
        </w:rPr>
        <w:t>Ⅴ</w:t>
      </w:r>
      <w:r>
        <w:rPr>
          <w:rFonts w:ascii="Times New Roman" w:hAnsi="Times New Roman" w:cs="Times New Roman"/>
          <w:szCs w:val="32"/>
        </w:rPr>
        <w:t>等小（2）型工程，主要建筑物为5级，次要建筑物为5级。水库总库容</w:t>
      </w:r>
      <w:r>
        <w:rPr>
          <w:rFonts w:hint="eastAsia" w:ascii="Times New Roman" w:hAnsi="Times New Roman" w:cs="Times New Roman"/>
          <w:szCs w:val="32"/>
        </w:rPr>
        <w:t>61.57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，设计洪水标准为20年一遇，校核洪水标准为200年一遇。正常水位为</w:t>
      </w:r>
      <w:r>
        <w:rPr>
          <w:rFonts w:hint="eastAsia" w:ascii="Times New Roman" w:hAnsi="Times New Roman" w:cs="Times New Roman"/>
          <w:szCs w:val="32"/>
        </w:rPr>
        <w:t>403.00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54.19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，设计洪水位</w:t>
      </w:r>
      <w:r>
        <w:rPr>
          <w:rFonts w:hint="eastAsia" w:ascii="Times New Roman" w:hAnsi="Times New Roman" w:cs="Times New Roman"/>
          <w:szCs w:val="32"/>
        </w:rPr>
        <w:t>403.73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59.04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，校核洪水位</w:t>
      </w:r>
      <w:r>
        <w:rPr>
          <w:rFonts w:hint="eastAsia" w:ascii="Times New Roman" w:hAnsi="Times New Roman" w:cs="Times New Roman"/>
          <w:szCs w:val="32"/>
        </w:rPr>
        <w:t>404.08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61.57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，死水位</w:t>
      </w:r>
      <w:r>
        <w:rPr>
          <w:rFonts w:hint="eastAsia" w:ascii="Times New Roman" w:hAnsi="Times New Roman" w:cs="Times New Roman"/>
          <w:szCs w:val="32"/>
        </w:rPr>
        <w:t>389.50</w:t>
      </w:r>
      <w:r>
        <w:rPr>
          <w:rFonts w:ascii="Times New Roman" w:hAnsi="Times New Roman" w:cs="Times New Roman"/>
          <w:szCs w:val="32"/>
        </w:rPr>
        <w:t>m，死库容为</w:t>
      </w:r>
      <w:r>
        <w:rPr>
          <w:rFonts w:hint="eastAsia" w:ascii="Times New Roman" w:hAnsi="Times New Roman" w:cs="Times New Roman"/>
          <w:szCs w:val="32"/>
        </w:rPr>
        <w:t>0.58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。</w:t>
      </w:r>
    </w:p>
    <w:p w14:paraId="1B93CE30"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（二）除险加固工程措施</w:t>
      </w:r>
    </w:p>
    <w:p w14:paraId="7D2AB6CB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1、大坝</w:t>
      </w:r>
    </w:p>
    <w:p w14:paraId="46EF0BE9">
      <w:pPr>
        <w:spacing w:line="594" w:lineRule="exact"/>
        <w:ind w:firstLine="64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坝顶：采用碎石垫层+C25砼重建路面；拆除改建上游安全栏杆，高度1.2m，下游波形护栏拆除后恢复。</w:t>
      </w:r>
    </w:p>
    <w:p w14:paraId="0C6F1F68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坝体：下游坝坡清表植草护坡；拆除改建砼马道及内侧排水沟。恢复右坝肩岸坡排水沟。排水棱体顶部培厚，内侧设砼排水沟；表面采用预制砼块护面。</w:t>
      </w:r>
    </w:p>
    <w:p w14:paraId="15D85595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大坝防渗：对大坝中部坝基进行帷幕灌浆，坝体充填灌浆,灌浆孔间距为2.0m。</w:t>
      </w:r>
    </w:p>
    <w:p w14:paraId="29638BE1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方正仿宋_GBK" w:cs="Times New Roman"/>
          <w:szCs w:val="32"/>
        </w:rPr>
        <w:t>、溢洪道</w:t>
      </w:r>
    </w:p>
    <w:p w14:paraId="60519EA8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对溢洪道进水渠清理杂草。交通桥两侧新建不锈钢栏杆。对全段溢洪道浆砌条石边墙开槽勾缝并清淤清草。</w:t>
      </w:r>
    </w:p>
    <w:p w14:paraId="71806C7A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方正仿宋_GBK" w:cs="Times New Roman"/>
          <w:szCs w:val="32"/>
        </w:rPr>
        <w:t>、放水设施</w:t>
      </w:r>
    </w:p>
    <w:p w14:paraId="1C640317">
      <w:pPr>
        <w:spacing w:line="594" w:lineRule="exact"/>
        <w:ind w:firstLine="64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库区右岸新建取水竖井1座（含工作桥）。取水竖井位于放水设施进口前端，为圆形C25钢筋砼竖井，</w:t>
      </w:r>
      <w:r>
        <w:rPr>
          <w:rFonts w:ascii="Times New Roman" w:hAnsi="Times New Roman" w:cs="Times New Roman"/>
          <w:szCs w:val="32"/>
        </w:rPr>
        <w:t>防渗等级为W</w:t>
      </w:r>
      <w:r>
        <w:rPr>
          <w:rFonts w:hint="eastAsia" w:ascii="Times New Roman" w:hAnsi="Times New Roman" w:cs="Times New Roman"/>
          <w:szCs w:val="32"/>
        </w:rPr>
        <w:t>6；人行桥采用钢筋砼“Π”型板梁结构。放水竖井采用分层取水的形式，每处放水管分别设置闸阀控制管道开启流量。放水管采用PE管穿原涵洞，为避免原涵洞渗水，放水管与原涵洞内壁接触部位采用细石砼封堵，对封堵段进行回填灌浆和接触灌浆。</w:t>
      </w:r>
    </w:p>
    <w:p w14:paraId="5C9DCFB0">
      <w:pPr>
        <w:spacing w:line="594" w:lineRule="exact"/>
        <w:ind w:firstLine="640" w:firstLineChars="200"/>
        <w:jc w:val="left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对原涵管侧壁进行充填灌浆，一共设置4排孔，梅花桩布置，间距2m。</w:t>
      </w:r>
    </w:p>
    <w:p w14:paraId="6EBB57A3">
      <w:pPr>
        <w:spacing w:line="594" w:lineRule="exact"/>
        <w:ind w:firstLine="64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方正仿宋_GBK" w:cs="Times New Roman"/>
          <w:szCs w:val="32"/>
        </w:rPr>
        <w:t>、附属设施</w:t>
      </w:r>
    </w:p>
    <w:p w14:paraId="7FC13125">
      <w:pPr>
        <w:spacing w:line="594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新建管理房；</w:t>
      </w:r>
      <w:r>
        <w:rPr>
          <w:rFonts w:hint="eastAsia" w:ascii="Times New Roman" w:hAnsi="方正仿宋_GBK"/>
          <w:szCs w:val="32"/>
        </w:rPr>
        <w:t>新建北斗自动变形监测、渗压监测、生态流量监测设施。</w:t>
      </w:r>
    </w:p>
    <w:p w14:paraId="56F55FCD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四、施工组织设计</w:t>
      </w:r>
    </w:p>
    <w:p w14:paraId="7137F962">
      <w:pPr>
        <w:spacing w:line="594" w:lineRule="exac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（一）基本同意报告施工组织设计方案，基本同意主体工程 的施工程序、施工方法和施工总体布置。</w:t>
      </w:r>
    </w:p>
    <w:p w14:paraId="1EEA1DF6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  <w:lang w:val="zh-CN"/>
        </w:rPr>
        <w:t>（</w:t>
      </w:r>
      <w:r>
        <w:rPr>
          <w:rFonts w:ascii="Times New Roman" w:hAnsi="Times New Roman" w:cs="Times New Roman"/>
          <w:szCs w:val="32"/>
        </w:rPr>
        <w:t>二</w:t>
      </w:r>
      <w:r>
        <w:rPr>
          <w:rFonts w:ascii="Times New Roman" w:hAnsi="Times New Roman" w:cs="Times New Roman"/>
          <w:szCs w:val="32"/>
          <w:lang w:val="zh-CN"/>
        </w:rPr>
        <w:t>）同意工程总工期</w:t>
      </w:r>
      <w:r>
        <w:rPr>
          <w:rFonts w:ascii="Times New Roman" w:hAnsi="Times New Roman" w:cs="Times New Roman"/>
          <w:szCs w:val="32"/>
        </w:rPr>
        <w:t>6个月</w:t>
      </w:r>
      <w:r>
        <w:rPr>
          <w:rFonts w:ascii="Times New Roman" w:hAnsi="Times New Roman" w:cs="Times New Roman"/>
          <w:szCs w:val="32"/>
          <w:lang w:val="zh-CN"/>
        </w:rPr>
        <w:t>。</w:t>
      </w:r>
    </w:p>
    <w:p w14:paraId="0467085B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五、工程占地、环境保护与水土保持</w:t>
      </w:r>
    </w:p>
    <w:p w14:paraId="092DC7AA">
      <w:pPr>
        <w:spacing w:line="594" w:lineRule="exact"/>
        <w:ind w:firstLine="60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方正仿宋_GBK" w:cs="Times New Roman"/>
          <w:sz w:val="30"/>
          <w:szCs w:val="30"/>
        </w:rPr>
        <w:t>同意工程总占地</w:t>
      </w:r>
      <w:r>
        <w:rPr>
          <w:rFonts w:hint="eastAsia" w:ascii="Times New Roman" w:hAnsi="Times New Roman" w:cs="Times New Roman"/>
          <w:sz w:val="30"/>
          <w:szCs w:val="30"/>
        </w:rPr>
        <w:t>2.35</w:t>
      </w:r>
      <w:r>
        <w:rPr>
          <w:rFonts w:ascii="Times New Roman" w:hAnsi="方正仿宋_GBK" w:cs="Times New Roman"/>
          <w:sz w:val="30"/>
          <w:szCs w:val="30"/>
        </w:rPr>
        <w:t>亩，其中永久占地</w:t>
      </w:r>
      <w:r>
        <w:rPr>
          <w:rFonts w:ascii="Times New Roman" w:hAnsi="Times New Roman" w:cs="Times New Roman"/>
          <w:sz w:val="30"/>
          <w:szCs w:val="30"/>
        </w:rPr>
        <w:t>0.</w:t>
      </w:r>
      <w:r>
        <w:rPr>
          <w:rFonts w:hint="eastAsia" w:ascii="Times New Roman" w:hAnsi="Times New Roman" w:cs="Times New Roman"/>
          <w:sz w:val="30"/>
          <w:szCs w:val="30"/>
        </w:rPr>
        <w:t>15</w:t>
      </w:r>
      <w:r>
        <w:rPr>
          <w:rFonts w:ascii="Times New Roman" w:hAnsi="方正仿宋_GBK" w:cs="Times New Roman"/>
          <w:sz w:val="30"/>
          <w:szCs w:val="30"/>
        </w:rPr>
        <w:t>亩，临时占地</w:t>
      </w:r>
      <w:r>
        <w:rPr>
          <w:rFonts w:hint="eastAsia" w:ascii="Times New Roman" w:hAnsi="Times New Roman" w:cs="Times New Roman"/>
          <w:sz w:val="30"/>
          <w:szCs w:val="30"/>
        </w:rPr>
        <w:t>2.20</w:t>
      </w:r>
      <w:r>
        <w:rPr>
          <w:rFonts w:ascii="Times New Roman" w:hAnsi="方正仿宋_GBK" w:cs="Times New Roman"/>
          <w:sz w:val="30"/>
          <w:szCs w:val="30"/>
        </w:rPr>
        <w:t>亩。原则同意环境保护与水土保持设计。</w:t>
      </w:r>
    </w:p>
    <w:p w14:paraId="28F65F1F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  <w:lang w:val="zh-CN"/>
        </w:rPr>
      </w:pPr>
      <w:r>
        <w:rPr>
          <w:rFonts w:ascii="Times New Roman" w:hAnsi="Times New Roman" w:eastAsia="方正黑体_GBK" w:cs="Times New Roman"/>
          <w:szCs w:val="32"/>
        </w:rPr>
        <w:t>六、工程投资及资金来源</w:t>
      </w:r>
    </w:p>
    <w:p w14:paraId="0A1F4603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本</w:t>
      </w:r>
      <w:r>
        <w:rPr>
          <w:rFonts w:ascii="Times New Roman" w:hAnsi="Times New Roman" w:cs="Times New Roman"/>
          <w:szCs w:val="32"/>
        </w:rPr>
        <w:t>工程概算总投资235.17万元。其中：建筑工程137.81万元；机电设备及安装工程15.70万元；金属结构设备及安装工程12.49万元；施工临时工程13.95万元；独立费用35.86万元；基本预备费10.79万元；建设征地与移民安置补偿投资1.71万元；环境保护工程投资2.88万元；水土保持工程投资3.98万元。</w:t>
      </w:r>
    </w:p>
    <w:p w14:paraId="266A8FEE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方正仿宋_GBK" w:cs="Times New Roman"/>
          <w:szCs w:val="32"/>
        </w:rPr>
        <w:t>资金来源：上级资金及区级配套资金。</w:t>
      </w:r>
    </w:p>
    <w:p w14:paraId="55933080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七、其他</w:t>
      </w:r>
    </w:p>
    <w:p w14:paraId="4A2E6B3A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（一）请接此许可决定后，进一步优化和完善施工图设计，复核建筑物的结构安全、稳定，合理衔接现状构筑物，确保建设和运行期间安全、美观。</w:t>
      </w:r>
    </w:p>
    <w:p w14:paraId="352A92C7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（二）施工期间做好水库的防洪度汛、农田灌溉与人畜饮用水的协调工作。</w:t>
      </w:r>
    </w:p>
    <w:p w14:paraId="24AC4046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（三）你单位负责本工程开工至竣工验收期间的建设管理工作，及时完善相关手续，在工程开工之日起15个工作日内完成开工备案。</w:t>
      </w:r>
    </w:p>
    <w:p w14:paraId="1F77454C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（四）请你单位按照审查意见要求和批复的设计文件、投资规模，严格控制工程建设标准，落实项目法人制、招标投标制、工程监理制、合同管理制，建立健全质量与安全监督体系，认真组织项目实施，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 w14:paraId="708D87E4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（五）本行政许可决定有效期为三年，自签发之日起计算。期满后，若该工程未开工建设，本许可决定自行失效；需延续有效期的，你单位应在有效期届满三十日前提出延续申请。   </w:t>
      </w:r>
    </w:p>
    <w:p w14:paraId="59910CFF">
      <w:pPr>
        <w:pStyle w:val="5"/>
        <w:rPr>
          <w:rFonts w:eastAsia="方正仿宋_GBK"/>
          <w:sz w:val="32"/>
          <w:szCs w:val="32"/>
        </w:rPr>
      </w:pPr>
    </w:p>
    <w:p w14:paraId="491B44F8">
      <w:pPr>
        <w:rPr>
          <w:rFonts w:ascii="Times New Roman" w:hAnsi="Times New Roman" w:cs="Times New Roman"/>
          <w:szCs w:val="32"/>
        </w:rPr>
      </w:pPr>
    </w:p>
    <w:p w14:paraId="703B9DB4">
      <w:pPr>
        <w:spacing w:line="570" w:lineRule="exact"/>
        <w:ind w:firstLine="720" w:firstLineChars="225"/>
        <w:jc w:val="righ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      </w:t>
      </w:r>
      <w:r>
        <w:rPr>
          <w:rFonts w:ascii="Times New Roman" w:hAnsi="Times New Roman" w:cs="Times New Roman"/>
          <w:szCs w:val="32"/>
        </w:rPr>
        <w:t>重庆市永川区水利局</w:t>
      </w:r>
    </w:p>
    <w:p w14:paraId="46D0673B">
      <w:pPr>
        <w:spacing w:line="570" w:lineRule="exact"/>
        <w:ind w:firstLine="720" w:firstLineChars="225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 </w:t>
      </w:r>
      <w:bookmarkStart w:id="2" w:name="_GoBack"/>
      <w:bookmarkEnd w:id="2"/>
      <w:r>
        <w:rPr>
          <w:rFonts w:ascii="Times New Roman" w:hAnsi="Times New Roman" w:cs="Times New Roman"/>
          <w:color w:val="000000"/>
          <w:szCs w:val="32"/>
        </w:rPr>
        <w:t>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 w14:paraId="1B58B738"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 w14:paraId="34FA3B7C">
      <w:pPr>
        <w:rPr>
          <w:rFonts w:ascii="Times New Roman" w:hAnsi="Times New Roman" w:cs="Times New Roman"/>
        </w:rPr>
      </w:pPr>
    </w:p>
    <w:p w14:paraId="6ED1204E">
      <w:pPr>
        <w:pStyle w:val="2"/>
        <w:rPr>
          <w:rFonts w:ascii="Times New Roman" w:hAnsi="Times New Roman" w:cs="Times New Roman"/>
        </w:rPr>
      </w:pPr>
    </w:p>
    <w:p w14:paraId="4D0D8964">
      <w:pPr>
        <w:rPr>
          <w:rFonts w:ascii="Times New Roman" w:hAnsi="Times New Roman" w:cs="Times New Roman"/>
        </w:rPr>
      </w:pPr>
    </w:p>
    <w:p w14:paraId="7418C9E2">
      <w:pPr>
        <w:pStyle w:val="2"/>
        <w:rPr>
          <w:rFonts w:hint="eastAsia" w:ascii="Times New Roman" w:hAnsi="Times New Roman" w:cs="Times New Roman"/>
        </w:rPr>
      </w:pPr>
    </w:p>
    <w:p w14:paraId="3E14EA14"/>
    <w:p w14:paraId="4E41A458">
      <w:pPr>
        <w:rPr>
          <w:rFonts w:ascii="Times New Roman" w:hAnsi="Times New Roman" w:cs="Times New Roman"/>
        </w:rPr>
      </w:pPr>
    </w:p>
    <w:p w14:paraId="43BC0451"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7206"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409E203C"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BD0A8"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2E690574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4CAE"/>
    <w:rsid w:val="00016A6F"/>
    <w:rsid w:val="000574B9"/>
    <w:rsid w:val="0006352A"/>
    <w:rsid w:val="0009238A"/>
    <w:rsid w:val="000A439B"/>
    <w:rsid w:val="000B0D76"/>
    <w:rsid w:val="000C7A65"/>
    <w:rsid w:val="000D69CF"/>
    <w:rsid w:val="00100051"/>
    <w:rsid w:val="001263A3"/>
    <w:rsid w:val="001423C0"/>
    <w:rsid w:val="00143EEF"/>
    <w:rsid w:val="00161C0A"/>
    <w:rsid w:val="00165456"/>
    <w:rsid w:val="001729EE"/>
    <w:rsid w:val="00173647"/>
    <w:rsid w:val="001D24EB"/>
    <w:rsid w:val="001E00DE"/>
    <w:rsid w:val="001E08BE"/>
    <w:rsid w:val="002004BD"/>
    <w:rsid w:val="00215E4A"/>
    <w:rsid w:val="00234313"/>
    <w:rsid w:val="0023791B"/>
    <w:rsid w:val="00240D8F"/>
    <w:rsid w:val="00245898"/>
    <w:rsid w:val="00254AD5"/>
    <w:rsid w:val="00256890"/>
    <w:rsid w:val="00266A59"/>
    <w:rsid w:val="002900F6"/>
    <w:rsid w:val="00291F4A"/>
    <w:rsid w:val="002B20D2"/>
    <w:rsid w:val="002B4E1C"/>
    <w:rsid w:val="002C6E34"/>
    <w:rsid w:val="002D7CF5"/>
    <w:rsid w:val="002E7C30"/>
    <w:rsid w:val="002F7A98"/>
    <w:rsid w:val="00300D0A"/>
    <w:rsid w:val="00317529"/>
    <w:rsid w:val="00355BB0"/>
    <w:rsid w:val="003654F1"/>
    <w:rsid w:val="003730E6"/>
    <w:rsid w:val="003821AB"/>
    <w:rsid w:val="00384140"/>
    <w:rsid w:val="00386B06"/>
    <w:rsid w:val="003B535E"/>
    <w:rsid w:val="003B71A3"/>
    <w:rsid w:val="003C1DD5"/>
    <w:rsid w:val="003D7C2F"/>
    <w:rsid w:val="003E18EB"/>
    <w:rsid w:val="003E6598"/>
    <w:rsid w:val="003F00C2"/>
    <w:rsid w:val="00407321"/>
    <w:rsid w:val="00424071"/>
    <w:rsid w:val="004275E8"/>
    <w:rsid w:val="00431078"/>
    <w:rsid w:val="0045708B"/>
    <w:rsid w:val="004578F4"/>
    <w:rsid w:val="00461AB8"/>
    <w:rsid w:val="004665C9"/>
    <w:rsid w:val="00473E2E"/>
    <w:rsid w:val="004749E6"/>
    <w:rsid w:val="00482F31"/>
    <w:rsid w:val="004A5313"/>
    <w:rsid w:val="004A743A"/>
    <w:rsid w:val="004D128F"/>
    <w:rsid w:val="004E047C"/>
    <w:rsid w:val="004E7044"/>
    <w:rsid w:val="00510049"/>
    <w:rsid w:val="0051669B"/>
    <w:rsid w:val="00517350"/>
    <w:rsid w:val="00521F6F"/>
    <w:rsid w:val="005453BD"/>
    <w:rsid w:val="00551BD3"/>
    <w:rsid w:val="005537CA"/>
    <w:rsid w:val="00562859"/>
    <w:rsid w:val="00585DD0"/>
    <w:rsid w:val="00594FCD"/>
    <w:rsid w:val="005958DC"/>
    <w:rsid w:val="005967BB"/>
    <w:rsid w:val="005C1641"/>
    <w:rsid w:val="005D66B6"/>
    <w:rsid w:val="005E3F54"/>
    <w:rsid w:val="00622C1B"/>
    <w:rsid w:val="00623DB0"/>
    <w:rsid w:val="006252BF"/>
    <w:rsid w:val="00650D0A"/>
    <w:rsid w:val="006604C1"/>
    <w:rsid w:val="0066242F"/>
    <w:rsid w:val="00677CEE"/>
    <w:rsid w:val="00681266"/>
    <w:rsid w:val="006960EA"/>
    <w:rsid w:val="006A7D5F"/>
    <w:rsid w:val="006B1BC1"/>
    <w:rsid w:val="006B3BB5"/>
    <w:rsid w:val="006C27EF"/>
    <w:rsid w:val="006C3F0A"/>
    <w:rsid w:val="006C5AF4"/>
    <w:rsid w:val="006C66D4"/>
    <w:rsid w:val="007075F6"/>
    <w:rsid w:val="00714838"/>
    <w:rsid w:val="00722157"/>
    <w:rsid w:val="0073659E"/>
    <w:rsid w:val="007411EC"/>
    <w:rsid w:val="007477BE"/>
    <w:rsid w:val="0076230F"/>
    <w:rsid w:val="007A1C0F"/>
    <w:rsid w:val="007C60B1"/>
    <w:rsid w:val="007E2C03"/>
    <w:rsid w:val="007F2DAA"/>
    <w:rsid w:val="00802031"/>
    <w:rsid w:val="00804ED4"/>
    <w:rsid w:val="008142B1"/>
    <w:rsid w:val="008347D6"/>
    <w:rsid w:val="00835A60"/>
    <w:rsid w:val="0085616D"/>
    <w:rsid w:val="008667A6"/>
    <w:rsid w:val="00866CDB"/>
    <w:rsid w:val="00866F1A"/>
    <w:rsid w:val="008821A1"/>
    <w:rsid w:val="0089744F"/>
    <w:rsid w:val="00897900"/>
    <w:rsid w:val="008B0DC0"/>
    <w:rsid w:val="008B3E70"/>
    <w:rsid w:val="008C38C9"/>
    <w:rsid w:val="009030F2"/>
    <w:rsid w:val="00912CEE"/>
    <w:rsid w:val="009277A0"/>
    <w:rsid w:val="00943BF8"/>
    <w:rsid w:val="00965ACE"/>
    <w:rsid w:val="00966EE2"/>
    <w:rsid w:val="00970DB2"/>
    <w:rsid w:val="00995537"/>
    <w:rsid w:val="009B408B"/>
    <w:rsid w:val="009B4C1F"/>
    <w:rsid w:val="009C2ECB"/>
    <w:rsid w:val="009D0CD9"/>
    <w:rsid w:val="009D4039"/>
    <w:rsid w:val="009D7140"/>
    <w:rsid w:val="009E4932"/>
    <w:rsid w:val="00A26E0A"/>
    <w:rsid w:val="00A32107"/>
    <w:rsid w:val="00A3777A"/>
    <w:rsid w:val="00A42E00"/>
    <w:rsid w:val="00A46101"/>
    <w:rsid w:val="00A855F7"/>
    <w:rsid w:val="00A942EB"/>
    <w:rsid w:val="00AA3131"/>
    <w:rsid w:val="00AA32A3"/>
    <w:rsid w:val="00AC6E4F"/>
    <w:rsid w:val="00AC743F"/>
    <w:rsid w:val="00AE0D3A"/>
    <w:rsid w:val="00AE182E"/>
    <w:rsid w:val="00AE4A38"/>
    <w:rsid w:val="00B27E7D"/>
    <w:rsid w:val="00B42E8B"/>
    <w:rsid w:val="00B445E2"/>
    <w:rsid w:val="00B55080"/>
    <w:rsid w:val="00B730EA"/>
    <w:rsid w:val="00B77EBE"/>
    <w:rsid w:val="00B825FD"/>
    <w:rsid w:val="00B85CA2"/>
    <w:rsid w:val="00BA3A1B"/>
    <w:rsid w:val="00BA4261"/>
    <w:rsid w:val="00BE5037"/>
    <w:rsid w:val="00C117EB"/>
    <w:rsid w:val="00C22E2B"/>
    <w:rsid w:val="00C304D2"/>
    <w:rsid w:val="00C33280"/>
    <w:rsid w:val="00C34F61"/>
    <w:rsid w:val="00C363B9"/>
    <w:rsid w:val="00C36A38"/>
    <w:rsid w:val="00C429D8"/>
    <w:rsid w:val="00C608FE"/>
    <w:rsid w:val="00C66AB8"/>
    <w:rsid w:val="00C762FB"/>
    <w:rsid w:val="00C919FF"/>
    <w:rsid w:val="00C91F12"/>
    <w:rsid w:val="00CA7C5D"/>
    <w:rsid w:val="00CC6E4D"/>
    <w:rsid w:val="00CD7008"/>
    <w:rsid w:val="00D13D56"/>
    <w:rsid w:val="00D178F0"/>
    <w:rsid w:val="00D33DBB"/>
    <w:rsid w:val="00D45305"/>
    <w:rsid w:val="00D52D38"/>
    <w:rsid w:val="00D674C5"/>
    <w:rsid w:val="00D869CC"/>
    <w:rsid w:val="00D96281"/>
    <w:rsid w:val="00D96BC4"/>
    <w:rsid w:val="00DA7840"/>
    <w:rsid w:val="00DE069A"/>
    <w:rsid w:val="00DE26B5"/>
    <w:rsid w:val="00E0287F"/>
    <w:rsid w:val="00E17337"/>
    <w:rsid w:val="00E17719"/>
    <w:rsid w:val="00E24FF7"/>
    <w:rsid w:val="00E42E8A"/>
    <w:rsid w:val="00E42EAF"/>
    <w:rsid w:val="00E43BD7"/>
    <w:rsid w:val="00E663DE"/>
    <w:rsid w:val="00E73140"/>
    <w:rsid w:val="00E80C67"/>
    <w:rsid w:val="00E9715E"/>
    <w:rsid w:val="00EB4ADA"/>
    <w:rsid w:val="00EB6FFD"/>
    <w:rsid w:val="00ED69D7"/>
    <w:rsid w:val="00EF15FA"/>
    <w:rsid w:val="00EF4CEA"/>
    <w:rsid w:val="00EF6D2D"/>
    <w:rsid w:val="00F1174B"/>
    <w:rsid w:val="00F22369"/>
    <w:rsid w:val="00F22CA2"/>
    <w:rsid w:val="00F5748A"/>
    <w:rsid w:val="00F6343D"/>
    <w:rsid w:val="00F82850"/>
    <w:rsid w:val="00F97828"/>
    <w:rsid w:val="00FB49E6"/>
    <w:rsid w:val="00FC6452"/>
    <w:rsid w:val="00FD34A3"/>
    <w:rsid w:val="00FD4256"/>
    <w:rsid w:val="00FE0FC6"/>
    <w:rsid w:val="00FE47AA"/>
    <w:rsid w:val="00FF6F90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E707209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E587F24"/>
    <w:rsid w:val="5FB17BB4"/>
    <w:rsid w:val="61E91BDF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qFormat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qFormat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customStyle="1" w:styleId="24">
    <w:name w:val="hl正文"/>
    <w:basedOn w:val="2"/>
    <w:link w:val="25"/>
    <w:qFormat/>
    <w:uiPriority w:val="0"/>
    <w:pPr>
      <w:adjustRightInd w:val="0"/>
      <w:snapToGrid w:val="0"/>
      <w:spacing w:line="560" w:lineRule="exact"/>
      <w:ind w:firstLine="200" w:firstLineChars="200"/>
      <w:textAlignment w:val="center"/>
    </w:pPr>
    <w:rPr>
      <w:rFonts w:ascii="宋体" w:hAnsi="宋体" w:eastAsia="宋体" w:cs="Times New Roman"/>
      <w:sz w:val="24"/>
      <w:szCs w:val="28"/>
    </w:rPr>
  </w:style>
  <w:style w:type="character" w:customStyle="1" w:styleId="25">
    <w:name w:val="hl正文 Char"/>
    <w:link w:val="24"/>
    <w:qFormat/>
    <w:uiPriority w:val="0"/>
    <w:rPr>
      <w:rFonts w:ascii="宋体" w:hAnsi="宋体" w:eastAsia="宋体"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C52F7-9FB4-4297-A9F6-0C158376F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5</Pages>
  <Words>1780</Words>
  <Characters>1972</Characters>
  <Lines>14</Lines>
  <Paragraphs>4</Paragraphs>
  <TotalTime>511</TotalTime>
  <ScaleCrop>false</ScaleCrop>
  <LinksUpToDate>false</LinksUpToDate>
  <CharactersWithSpaces>2027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做个梦吧</cp:lastModifiedBy>
  <cp:lastPrinted>2025-05-13T10:02:00Z</cp:lastPrinted>
  <dcterms:modified xsi:type="dcterms:W3CDTF">2025-09-18T07:09:35Z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