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BA864">
      <w:pPr>
        <w:adjustRightInd w:val="0"/>
        <w:snapToGrid w:val="0"/>
        <w:spacing w:line="500" w:lineRule="exact"/>
        <w:jc w:val="center"/>
        <w:rPr>
          <w:rFonts w:ascii="仿宋_GB2312" w:eastAsia="仿宋_GB2312"/>
          <w:szCs w:val="32"/>
        </w:rPr>
      </w:pPr>
    </w:p>
    <w:p w14:paraId="4C316F9E">
      <w:pPr>
        <w:pStyle w:val="2"/>
        <w:adjustRightInd w:val="0"/>
        <w:snapToGrid w:val="0"/>
        <w:spacing w:line="500" w:lineRule="exact"/>
      </w:pPr>
    </w:p>
    <w:p w14:paraId="00F34830">
      <w:pPr>
        <w:spacing w:beforeLines="250" w:line="540" w:lineRule="exact"/>
        <w:jc w:val="center"/>
        <w:rPr>
          <w:rFonts w:ascii="仿宋_GB2312" w:eastAsia="仿宋_GB2312"/>
          <w:szCs w:val="32"/>
        </w:rPr>
      </w:pPr>
    </w:p>
    <w:p w14:paraId="76D0F1A6">
      <w:pPr>
        <w:spacing w:line="540" w:lineRule="exact"/>
        <w:jc w:val="center"/>
        <w:rPr>
          <w:rFonts w:ascii="仿宋_GB2312" w:eastAsia="仿宋_GB2312"/>
          <w:szCs w:val="32"/>
        </w:rPr>
      </w:pPr>
    </w:p>
    <w:p w14:paraId="321B7268">
      <w:pPr>
        <w:spacing w:line="540" w:lineRule="exact"/>
        <w:rPr>
          <w:rFonts w:ascii="仿宋_GB2312" w:eastAsia="仿宋_GB2312"/>
          <w:szCs w:val="32"/>
        </w:rPr>
      </w:pPr>
    </w:p>
    <w:p w14:paraId="7EA5B49D">
      <w:pPr>
        <w:spacing w:line="540" w:lineRule="exact"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永</w:t>
      </w:r>
      <w:r>
        <w:rPr>
          <w:rFonts w:hint="eastAsia" w:ascii="Times New Roman" w:hAnsi="Times New Roman" w:cs="Times New Roman"/>
          <w:szCs w:val="32"/>
        </w:rPr>
        <w:t>水许可</w:t>
      </w:r>
      <w:r>
        <w:rPr>
          <w:rFonts w:ascii="Times New Roman" w:hAnsi="Times New Roman" w:cs="Times New Roman"/>
          <w:szCs w:val="32"/>
        </w:rPr>
        <w:t>〔202</w:t>
      </w:r>
      <w:r>
        <w:rPr>
          <w:rFonts w:hint="eastAsia" w:ascii="Times New Roman" w:hAnsi="Times New Roman" w:cs="Times New Roman"/>
          <w:szCs w:val="32"/>
        </w:rPr>
        <w:t>5</w:t>
      </w:r>
      <w:r>
        <w:rPr>
          <w:rFonts w:ascii="Times New Roman" w:hAnsi="Times New Roman" w:cs="Times New Roman"/>
          <w:szCs w:val="32"/>
        </w:rPr>
        <w:t>〕</w:t>
      </w:r>
      <w:r>
        <w:rPr>
          <w:rFonts w:hint="eastAsia" w:ascii="Times New Roman" w:hAnsi="Times New Roman" w:cs="Times New Roman"/>
          <w:szCs w:val="32"/>
        </w:rPr>
        <w:t>45</w:t>
      </w:r>
      <w:r>
        <w:rPr>
          <w:rFonts w:ascii="Times New Roman" w:hAnsi="Times New Roman" w:cs="Times New Roman"/>
          <w:szCs w:val="32"/>
        </w:rPr>
        <w:t>号</w:t>
      </w:r>
    </w:p>
    <w:p w14:paraId="78B92E69">
      <w:pPr>
        <w:spacing w:line="660" w:lineRule="exact"/>
        <w:rPr>
          <w:rFonts w:ascii="方正小标宋简体" w:eastAsia="方正小标宋简体"/>
          <w:sz w:val="44"/>
          <w:szCs w:val="44"/>
        </w:rPr>
      </w:pPr>
    </w:p>
    <w:p w14:paraId="1F30065E"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重庆市永川区水利局</w:t>
      </w:r>
    </w:p>
    <w:p w14:paraId="7DE52DF1">
      <w:pPr>
        <w:spacing w:line="600" w:lineRule="exact"/>
        <w:jc w:val="center"/>
        <w:rPr>
          <w:rFonts w:eastAsia="方正小标宋_GBK"/>
          <w:bCs/>
          <w:spacing w:val="6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关于永川区水洞岩水库除险加固工程</w:t>
      </w:r>
      <w:r>
        <w:rPr>
          <w:rFonts w:ascii="方正小标宋_GBK" w:eastAsia="方正小标宋_GBK"/>
          <w:sz w:val="44"/>
          <w:szCs w:val="44"/>
        </w:rPr>
        <w:t>初</w:t>
      </w:r>
      <w:r>
        <w:rPr>
          <w:rFonts w:ascii="Times New Roman" w:hAnsi="Times New Roman" w:eastAsia="方正小标宋_GBK" w:cs="Times New Roman"/>
          <w:sz w:val="44"/>
          <w:szCs w:val="44"/>
        </w:rPr>
        <w:t>步设计报告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准予行政许可</w:t>
      </w:r>
      <w:r>
        <w:rPr>
          <w:rFonts w:hint="eastAsia" w:eastAsia="方正小标宋_GBK"/>
          <w:bCs/>
          <w:spacing w:val="6"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决定</w:t>
      </w:r>
    </w:p>
    <w:p w14:paraId="57507C1C">
      <w:pPr>
        <w:spacing w:line="594" w:lineRule="exact"/>
        <w:jc w:val="left"/>
        <w:rPr>
          <w:rFonts w:ascii="方正小标宋_GBK" w:eastAsia="方正小标宋_GBK"/>
          <w:sz w:val="44"/>
          <w:szCs w:val="44"/>
        </w:rPr>
      </w:pPr>
    </w:p>
    <w:p w14:paraId="3406F72F">
      <w:pPr>
        <w:snapToGrid w:val="0"/>
        <w:spacing w:line="594" w:lineRule="exact"/>
        <w:jc w:val="left"/>
        <w:rPr>
          <w:rFonts w:ascii="Times New Roman" w:hAnsi="Times New Roman" w:cs="Times New Roman"/>
          <w:spacing w:val="-24"/>
          <w:szCs w:val="32"/>
        </w:rPr>
      </w:pPr>
      <w:r>
        <w:rPr>
          <w:rFonts w:hint="eastAsia" w:ascii="方正仿宋_GBK"/>
          <w:szCs w:val="32"/>
        </w:rPr>
        <w:t>重庆市永</w:t>
      </w:r>
      <w:r>
        <w:rPr>
          <w:rFonts w:ascii="Times New Roman" w:hAnsi="Times New Roman" w:cs="Times New Roman"/>
          <w:szCs w:val="32"/>
        </w:rPr>
        <w:t>川区水库服务中心</w:t>
      </w:r>
      <w:r>
        <w:rPr>
          <w:rFonts w:ascii="Times New Roman" w:hAnsi="Times New Roman" w:cs="Times New Roman"/>
          <w:spacing w:val="-24"/>
          <w:szCs w:val="32"/>
        </w:rPr>
        <w:t>：</w:t>
      </w:r>
    </w:p>
    <w:p w14:paraId="7EA2938A">
      <w:pPr>
        <w:spacing w:line="594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你单位提交的《永川区</w:t>
      </w:r>
      <w:r>
        <w:rPr>
          <w:rFonts w:hint="eastAsia" w:ascii="Times New Roman" w:hAnsi="Times New Roman"/>
          <w:szCs w:val="32"/>
        </w:rPr>
        <w:t>水洞岩</w:t>
      </w:r>
      <w:r>
        <w:rPr>
          <w:rFonts w:ascii="Times New Roman" w:hAnsi="Times New Roman" w:cs="Times New Roman"/>
          <w:szCs w:val="32"/>
        </w:rPr>
        <w:t>水库除险加固工程初步设计报告》审批申请和有关资料收悉。根据《中华人民共和国行政许可法》第三十八条第一款、《水行政许可实施办法》第三十二条第一项规定及专家组对该初设报告的技术审查意见，经研究，决定准予行政许可。</w:t>
      </w:r>
    </w:p>
    <w:p w14:paraId="62AE9053"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一、工程位置及任务</w:t>
      </w:r>
    </w:p>
    <w:p w14:paraId="5CE77CD7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水洞岩水库位于重庆市永川区朱沱镇马道子村，距朱沱</w:t>
      </w:r>
      <w:r>
        <w:rPr>
          <w:rFonts w:ascii="Times New Roman" w:hAnsi="方正仿宋_GBK" w:cs="Times New Roman"/>
          <w:szCs w:val="32"/>
        </w:rPr>
        <w:t>镇</w:t>
      </w:r>
      <w:r>
        <w:rPr>
          <w:rFonts w:ascii="Times New Roman" w:hAnsi="Times New Roman" w:cs="Times New Roman"/>
          <w:szCs w:val="32"/>
        </w:rPr>
        <w:t>14.5km，距永川城区约49km，是一座以灌溉为主，兼防洪的小（2）型水库，水库设计灌溉面积1500亩，保护下游300余人的生命财产安全。水库大坝为均质土坝，枢纽由大坝、溢洪道和放水建筑物组成。</w:t>
      </w:r>
    </w:p>
    <w:p w14:paraId="216C05A3"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二、工程建设条件</w:t>
      </w:r>
    </w:p>
    <w:p w14:paraId="303A5527">
      <w:pPr>
        <w:spacing w:line="594" w:lineRule="exact"/>
        <w:ind w:firstLine="640" w:firstLineChars="200"/>
        <w:rPr>
          <w:rFonts w:ascii="Times New Roman" w:hAnsi="Times New Roman" w:eastAsia="方正楷体_GBK" w:cs="Times New Roman"/>
          <w:szCs w:val="32"/>
        </w:rPr>
      </w:pPr>
      <w:r>
        <w:rPr>
          <w:rFonts w:ascii="Times New Roman" w:hAnsi="Times New Roman" w:eastAsia="方正楷体_GBK" w:cs="Times New Roman"/>
          <w:szCs w:val="32"/>
        </w:rPr>
        <w:t>（一）水文</w:t>
      </w:r>
    </w:p>
    <w:p w14:paraId="37E49D1A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同意选取的洪水标准、设计洪水计算方法。设计洪水标准为</w:t>
      </w:r>
      <w:r>
        <w:rPr>
          <w:rFonts w:hint="eastAsia" w:ascii="Times New Roman" w:hAnsi="Times New Roman" w:cs="Times New Roman"/>
          <w:szCs w:val="32"/>
        </w:rPr>
        <w:t>2</w:t>
      </w:r>
      <w:r>
        <w:rPr>
          <w:rFonts w:ascii="Times New Roman" w:hAnsi="Times New Roman" w:cs="Times New Roman"/>
          <w:szCs w:val="32"/>
        </w:rPr>
        <w:t>0年一遇，相应洪峰流量</w:t>
      </w:r>
      <w:r>
        <w:rPr>
          <w:rFonts w:hint="eastAsia" w:ascii="Times New Roman" w:hAnsi="Times New Roman" w:cs="Times New Roman"/>
          <w:szCs w:val="32"/>
        </w:rPr>
        <w:t>15.5</w:t>
      </w:r>
      <w:r>
        <w:rPr>
          <w:rFonts w:ascii="Times New Roman" w:hAnsi="Times New Roman" w:cs="Times New Roman"/>
          <w:szCs w:val="32"/>
        </w:rPr>
        <w:t>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/s，校核洪水标准为</w:t>
      </w:r>
      <w:r>
        <w:rPr>
          <w:rFonts w:hint="eastAsia" w:ascii="Times New Roman" w:hAnsi="Times New Roman" w:cs="Times New Roman"/>
          <w:szCs w:val="32"/>
        </w:rPr>
        <w:t>2</w:t>
      </w:r>
      <w:r>
        <w:rPr>
          <w:rFonts w:ascii="Times New Roman" w:hAnsi="Times New Roman" w:cs="Times New Roman"/>
          <w:szCs w:val="32"/>
        </w:rPr>
        <w:t>00年一遇，相应洪峰流量</w:t>
      </w:r>
      <w:r>
        <w:rPr>
          <w:rFonts w:hint="eastAsia" w:ascii="Times New Roman" w:hAnsi="Times New Roman" w:cs="Times New Roman"/>
          <w:szCs w:val="32"/>
        </w:rPr>
        <w:t>26.0</w:t>
      </w:r>
      <w:r>
        <w:rPr>
          <w:rFonts w:ascii="Times New Roman" w:hAnsi="Times New Roman" w:cs="Times New Roman"/>
          <w:szCs w:val="32"/>
        </w:rPr>
        <w:t>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/s。</w:t>
      </w:r>
    </w:p>
    <w:p w14:paraId="4B824728">
      <w:pPr>
        <w:spacing w:line="594" w:lineRule="exact"/>
        <w:ind w:firstLine="640" w:firstLineChars="200"/>
        <w:rPr>
          <w:rFonts w:ascii="Times New Roman" w:hAnsi="Times New Roman" w:eastAsia="方正楷体_GBK" w:cs="Times New Roman"/>
          <w:szCs w:val="32"/>
        </w:rPr>
      </w:pPr>
      <w:r>
        <w:rPr>
          <w:rFonts w:ascii="Times New Roman" w:hAnsi="Times New Roman" w:eastAsia="方正楷体_GBK" w:cs="Times New Roman"/>
          <w:szCs w:val="32"/>
        </w:rPr>
        <w:t>（二）工程地质</w:t>
      </w:r>
    </w:p>
    <w:p w14:paraId="0468D6B5">
      <w:pPr>
        <w:pStyle w:val="2"/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基本同意水库区域地质环境及地震、坝址一般工程地质条件、坝枢存在主要地质问题和天然建筑材料的评价。</w:t>
      </w:r>
    </w:p>
    <w:p w14:paraId="293A8835"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三、除险加固设计</w:t>
      </w:r>
    </w:p>
    <w:p w14:paraId="0393B99C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同意确定的工程等别、建筑物级别、主要参数以及除险加固工程措施。</w:t>
      </w:r>
    </w:p>
    <w:p w14:paraId="62C9FF7C">
      <w:pPr>
        <w:spacing w:line="594" w:lineRule="exact"/>
        <w:ind w:left="640" w:leftChars="200"/>
        <w:rPr>
          <w:rFonts w:ascii="Times New Roman" w:hAnsi="Times New Roman" w:eastAsia="方正楷体_GBK" w:cs="Times New Roman"/>
          <w:szCs w:val="32"/>
        </w:rPr>
      </w:pPr>
      <w:r>
        <w:rPr>
          <w:rFonts w:ascii="Times New Roman" w:hAnsi="Times New Roman" w:eastAsia="方正楷体_GBK" w:cs="Times New Roman"/>
          <w:szCs w:val="32"/>
        </w:rPr>
        <w:t>（一）工程等级及参数</w:t>
      </w:r>
    </w:p>
    <w:p w14:paraId="735C4757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工程属</w:t>
      </w:r>
      <w:r>
        <w:rPr>
          <w:rFonts w:ascii="Times New Roman" w:hAnsi="方正仿宋_GBK" w:cs="Times New Roman"/>
          <w:szCs w:val="32"/>
        </w:rPr>
        <w:t>Ⅴ</w:t>
      </w:r>
      <w:r>
        <w:rPr>
          <w:rFonts w:ascii="Times New Roman" w:hAnsi="Times New Roman" w:cs="Times New Roman"/>
          <w:szCs w:val="32"/>
        </w:rPr>
        <w:t>等小（</w:t>
      </w:r>
      <w:r>
        <w:rPr>
          <w:rFonts w:hint="eastAsia" w:ascii="Times New Roman" w:hAnsi="Times New Roman" w:cs="Times New Roman"/>
          <w:szCs w:val="32"/>
        </w:rPr>
        <w:t>2</w:t>
      </w:r>
      <w:r>
        <w:rPr>
          <w:rFonts w:ascii="Times New Roman" w:hAnsi="Times New Roman" w:cs="Times New Roman"/>
          <w:szCs w:val="32"/>
        </w:rPr>
        <w:t>）型工程，主要建筑物为</w:t>
      </w:r>
      <w:r>
        <w:rPr>
          <w:rFonts w:hint="eastAsia" w:ascii="Times New Roman" w:hAnsi="Times New Roman" w:cs="Times New Roman"/>
          <w:szCs w:val="32"/>
        </w:rPr>
        <w:t>5</w:t>
      </w:r>
      <w:r>
        <w:rPr>
          <w:rFonts w:ascii="Times New Roman" w:hAnsi="Times New Roman" w:cs="Times New Roman"/>
          <w:szCs w:val="32"/>
        </w:rPr>
        <w:t>级，次要建筑物为5级。水库总库容</w:t>
      </w:r>
      <w:r>
        <w:rPr>
          <w:rFonts w:hint="eastAsia" w:ascii="Times New Roman" w:hAnsi="Times New Roman" w:cs="Times New Roman"/>
          <w:szCs w:val="32"/>
        </w:rPr>
        <w:t>58.97</w:t>
      </w:r>
      <w:r>
        <w:rPr>
          <w:rFonts w:ascii="Times New Roman" w:hAnsi="Times New Roman" w:cs="Times New Roman"/>
          <w:szCs w:val="32"/>
        </w:rPr>
        <w:t>万m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，设计洪水标准为</w:t>
      </w:r>
      <w:r>
        <w:rPr>
          <w:rFonts w:hint="eastAsia" w:ascii="Times New Roman" w:hAnsi="Times New Roman" w:cs="Times New Roman"/>
          <w:szCs w:val="32"/>
        </w:rPr>
        <w:t>2</w:t>
      </w:r>
      <w:r>
        <w:rPr>
          <w:rFonts w:ascii="Times New Roman" w:hAnsi="Times New Roman" w:cs="Times New Roman"/>
          <w:szCs w:val="32"/>
        </w:rPr>
        <w:t>0年一遇，校核洪水标准为</w:t>
      </w:r>
      <w:r>
        <w:rPr>
          <w:rFonts w:hint="eastAsia" w:ascii="Times New Roman" w:hAnsi="Times New Roman" w:cs="Times New Roman"/>
          <w:szCs w:val="32"/>
        </w:rPr>
        <w:t>2</w:t>
      </w:r>
      <w:r>
        <w:rPr>
          <w:rFonts w:ascii="Times New Roman" w:hAnsi="Times New Roman" w:cs="Times New Roman"/>
          <w:szCs w:val="32"/>
        </w:rPr>
        <w:t>00年一遇。正常水位为</w:t>
      </w:r>
      <w:r>
        <w:rPr>
          <w:rFonts w:hint="eastAsia" w:ascii="Times New Roman" w:hAnsi="Times New Roman" w:cs="Times New Roman"/>
          <w:szCs w:val="32"/>
        </w:rPr>
        <w:t>308.85</w:t>
      </w:r>
      <w:r>
        <w:rPr>
          <w:rFonts w:ascii="Times New Roman" w:hAnsi="Times New Roman" w:cs="Times New Roman"/>
          <w:szCs w:val="32"/>
        </w:rPr>
        <w:t>m，相应库容为</w:t>
      </w:r>
      <w:r>
        <w:rPr>
          <w:rFonts w:hint="eastAsia" w:ascii="Times New Roman" w:hAnsi="Times New Roman" w:cs="Times New Roman"/>
          <w:szCs w:val="32"/>
        </w:rPr>
        <w:t>49.30</w:t>
      </w:r>
      <w:r>
        <w:rPr>
          <w:rFonts w:ascii="Times New Roman" w:hAnsi="Times New Roman" w:cs="Times New Roman"/>
          <w:szCs w:val="32"/>
        </w:rPr>
        <w:t>万m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，设计洪水位</w:t>
      </w:r>
      <w:r>
        <w:rPr>
          <w:rFonts w:hint="eastAsia" w:ascii="Times New Roman" w:hAnsi="Times New Roman" w:cs="Times New Roman"/>
          <w:szCs w:val="32"/>
        </w:rPr>
        <w:t>309.80</w:t>
      </w:r>
      <w:r>
        <w:rPr>
          <w:rFonts w:ascii="Times New Roman" w:hAnsi="Times New Roman" w:cs="Times New Roman"/>
          <w:szCs w:val="32"/>
        </w:rPr>
        <w:t>m，相应库容为</w:t>
      </w:r>
      <w:r>
        <w:rPr>
          <w:rFonts w:hint="eastAsia" w:ascii="Times New Roman" w:hAnsi="Times New Roman" w:cs="Times New Roman"/>
          <w:szCs w:val="32"/>
        </w:rPr>
        <w:t>55.75</w:t>
      </w:r>
      <w:r>
        <w:rPr>
          <w:rFonts w:ascii="Times New Roman" w:hAnsi="Times New Roman" w:cs="Times New Roman"/>
          <w:szCs w:val="32"/>
        </w:rPr>
        <w:t>万m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，校核洪水位</w:t>
      </w:r>
      <w:r>
        <w:rPr>
          <w:rFonts w:hint="eastAsia" w:ascii="Times New Roman" w:hAnsi="Times New Roman" w:cs="Times New Roman"/>
          <w:szCs w:val="32"/>
        </w:rPr>
        <w:t>310.24</w:t>
      </w:r>
      <w:r>
        <w:rPr>
          <w:rFonts w:ascii="Times New Roman" w:hAnsi="Times New Roman" w:cs="Times New Roman"/>
          <w:szCs w:val="32"/>
        </w:rPr>
        <w:t>m，相应库容为</w:t>
      </w:r>
      <w:r>
        <w:rPr>
          <w:rFonts w:hint="eastAsia" w:ascii="Times New Roman" w:hAnsi="Times New Roman" w:cs="Times New Roman"/>
          <w:szCs w:val="32"/>
        </w:rPr>
        <w:t>58.97</w:t>
      </w:r>
      <w:r>
        <w:rPr>
          <w:rFonts w:ascii="Times New Roman" w:hAnsi="Times New Roman" w:cs="Times New Roman"/>
          <w:szCs w:val="32"/>
        </w:rPr>
        <w:t>万m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，死水位</w:t>
      </w:r>
      <w:r>
        <w:rPr>
          <w:rFonts w:hint="eastAsia" w:ascii="Times New Roman" w:hAnsi="Times New Roman" w:cs="Times New Roman"/>
          <w:szCs w:val="32"/>
        </w:rPr>
        <w:t>299.11</w:t>
      </w:r>
      <w:r>
        <w:rPr>
          <w:rFonts w:ascii="Times New Roman" w:hAnsi="Times New Roman" w:cs="Times New Roman"/>
          <w:szCs w:val="32"/>
        </w:rPr>
        <w:t>m，死库容为</w:t>
      </w:r>
      <w:r>
        <w:rPr>
          <w:rFonts w:hint="eastAsia" w:ascii="Times New Roman" w:hAnsi="Times New Roman" w:cs="Times New Roman"/>
          <w:szCs w:val="32"/>
        </w:rPr>
        <w:t>5.59</w:t>
      </w:r>
      <w:r>
        <w:rPr>
          <w:rFonts w:ascii="Times New Roman" w:hAnsi="Times New Roman" w:cs="Times New Roman"/>
          <w:szCs w:val="32"/>
        </w:rPr>
        <w:t>万m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。</w:t>
      </w:r>
    </w:p>
    <w:p w14:paraId="0E856470">
      <w:pPr>
        <w:spacing w:line="594" w:lineRule="exact"/>
        <w:ind w:left="640" w:leftChars="200"/>
        <w:rPr>
          <w:rFonts w:ascii="Times New Roman" w:hAnsi="Times New Roman" w:eastAsia="方正楷体_GBK" w:cs="Times New Roman"/>
          <w:szCs w:val="32"/>
        </w:rPr>
      </w:pPr>
      <w:r>
        <w:rPr>
          <w:rFonts w:ascii="Times New Roman" w:hAnsi="Times New Roman" w:eastAsia="方正楷体_GBK" w:cs="Times New Roman"/>
          <w:szCs w:val="32"/>
        </w:rPr>
        <w:t>（二）除险加固工程措施</w:t>
      </w:r>
    </w:p>
    <w:p w14:paraId="5B1E52D8">
      <w:pPr>
        <w:spacing w:line="594" w:lineRule="exact"/>
        <w:ind w:left="640" w:left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1、大坝</w:t>
      </w:r>
    </w:p>
    <w:p w14:paraId="58B71FC4">
      <w:pPr>
        <w:spacing w:line="594" w:lineRule="exact"/>
        <w:ind w:firstLine="640" w:firstLineChars="200"/>
        <w:jc w:val="left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坝顶：采用C25砼修复部分已损坏路面；封闭防浪墙3m。</w:t>
      </w:r>
    </w:p>
    <w:p w14:paraId="2BDE42EB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坝体：上游挖除坝体穿管封堵区域，按原坡比碾压回填，拆除原浆砌块石齿墙及砼板护坡，新建C25砼齿墙，坝坡采用C25砼预制六棱板护坡；下游排水棱体表面清杂并修复破损区域，集渗沟清理并修复破损区域；坝体进行充填灌浆，进尺751.63m，坝基帷幕灌浆，进尺799.60m，形成防渗帷幕，孔距2.0m，坝基帷幕灌浆底界为相对不透水层以下5m。</w:t>
      </w:r>
    </w:p>
    <w:p w14:paraId="6F559527">
      <w:pPr>
        <w:pStyle w:val="2"/>
        <w:spacing w:line="594" w:lineRule="exact"/>
        <w:ind w:firstLine="640" w:firstLineChars="200"/>
        <w:rPr>
          <w:rFonts w:ascii="Times New Roman" w:hAnsi="方正仿宋_GBK"/>
          <w:szCs w:val="32"/>
        </w:rPr>
      </w:pPr>
      <w:r>
        <w:rPr>
          <w:rFonts w:hint="eastAsia" w:ascii="Times New Roman" w:hAnsi="方正仿宋_GBK"/>
          <w:szCs w:val="32"/>
        </w:rPr>
        <w:t>治理水库白蚁危害。</w:t>
      </w:r>
    </w:p>
    <w:p w14:paraId="14F5B72E">
      <w:pPr>
        <w:spacing w:line="594" w:lineRule="exact"/>
        <w:ind w:left="640" w:left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2</w:t>
      </w:r>
      <w:r>
        <w:rPr>
          <w:rFonts w:ascii="Times New Roman" w:hAnsi="方正仿宋_GBK" w:cs="Times New Roman"/>
          <w:szCs w:val="32"/>
        </w:rPr>
        <w:t>、溢洪道</w:t>
      </w:r>
    </w:p>
    <w:p w14:paraId="5BCD688A">
      <w:pPr>
        <w:spacing w:line="594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拆除泄槽第三段及消力池，采用C25钢筋砼重建。新建溢洪泄槽第三段长12.20m，宽度3.0m，底坡i=0.519，边墙高1.8m～3.2m，顶宽0.5m；泄槽段后接消力池，消力池池长15.0m，宽3.0m，末端设有尾坎，高1.5m，顶宽0.5m。</w:t>
      </w:r>
    </w:p>
    <w:p w14:paraId="56006FEE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3</w:t>
      </w:r>
      <w:r>
        <w:rPr>
          <w:rFonts w:ascii="Times New Roman" w:hAnsi="方正仿宋_GBK" w:cs="Times New Roman"/>
          <w:szCs w:val="32"/>
        </w:rPr>
        <w:t>、放水设施</w:t>
      </w:r>
    </w:p>
    <w:p w14:paraId="3209E230">
      <w:pPr>
        <w:spacing w:line="594" w:lineRule="exact"/>
        <w:ind w:firstLine="640" w:firstLineChars="200"/>
        <w:rPr>
          <w:rFonts w:hint="eastAsia" w:ascii="Times New Roman" w:hAnsi="方正仿宋_GBK"/>
          <w:szCs w:val="32"/>
        </w:rPr>
      </w:pPr>
      <w:r>
        <w:rPr>
          <w:rFonts w:hint="eastAsia" w:ascii="Times New Roman" w:hAnsi="方正仿宋_GBK"/>
          <w:szCs w:val="32"/>
        </w:rPr>
        <w:t>库区右岸新建取水竖井1座（含工作桥）。取水竖井</w:t>
      </w:r>
      <w:r>
        <w:rPr>
          <w:rFonts w:ascii="Times New Roman" w:hAnsi="方正仿宋_GBK"/>
          <w:szCs w:val="32"/>
        </w:rPr>
        <w:t>位于</w:t>
      </w:r>
      <w:r>
        <w:rPr>
          <w:rFonts w:hint="eastAsia" w:ascii="方正仿宋_GBK" w:hAnsi="方正仿宋_GBK" w:cs="方正仿宋_GBK"/>
          <w:szCs w:val="32"/>
        </w:rPr>
        <w:t>放水设施进口前端</w:t>
      </w:r>
      <w:r>
        <w:rPr>
          <w:rFonts w:ascii="Times New Roman" w:hAnsi="方正仿宋_GBK"/>
          <w:szCs w:val="32"/>
        </w:rPr>
        <w:t>，为圆形</w:t>
      </w:r>
      <w:r>
        <w:rPr>
          <w:rFonts w:ascii="Times New Roman" w:hAnsi="Times New Roman"/>
          <w:szCs w:val="32"/>
        </w:rPr>
        <w:t>C</w:t>
      </w:r>
      <w:r>
        <w:rPr>
          <w:rFonts w:hint="eastAsia" w:ascii="Times New Roman" w:hAnsi="Times New Roman"/>
          <w:szCs w:val="32"/>
        </w:rPr>
        <w:t>25</w:t>
      </w:r>
      <w:r>
        <w:rPr>
          <w:rFonts w:ascii="Times New Roman" w:hAnsi="方正仿宋_GBK"/>
          <w:szCs w:val="32"/>
        </w:rPr>
        <w:t>钢筋砼竖井，防渗等级为</w:t>
      </w:r>
      <w:r>
        <w:rPr>
          <w:rFonts w:ascii="Times New Roman" w:hAnsi="Times New Roman"/>
          <w:szCs w:val="32"/>
        </w:rPr>
        <w:t>W</w:t>
      </w:r>
      <w:r>
        <w:rPr>
          <w:rFonts w:hint="eastAsia" w:ascii="Times New Roman" w:hAnsi="Times New Roman"/>
          <w:szCs w:val="32"/>
        </w:rPr>
        <w:t>6</w:t>
      </w:r>
      <w:r>
        <w:rPr>
          <w:rFonts w:ascii="Times New Roman" w:hAnsi="方正仿宋_GBK"/>
          <w:szCs w:val="32"/>
        </w:rPr>
        <w:t>，</w:t>
      </w:r>
      <w:r>
        <w:rPr>
          <w:rFonts w:hint="eastAsia" w:ascii="Times New Roman" w:hAnsi="方正仿宋_GBK"/>
          <w:szCs w:val="32"/>
        </w:rPr>
        <w:t>取水塔</w:t>
      </w:r>
      <w:r>
        <w:rPr>
          <w:rFonts w:ascii="Times New Roman" w:hAnsi="方正仿宋_GBK"/>
          <w:szCs w:val="32"/>
        </w:rPr>
        <w:t>总高</w:t>
      </w:r>
      <w:r>
        <w:rPr>
          <w:rFonts w:hint="eastAsia" w:ascii="Times New Roman" w:hAnsi="Times New Roman"/>
          <w:szCs w:val="32"/>
        </w:rPr>
        <w:t>18.33</w:t>
      </w:r>
      <w:r>
        <w:rPr>
          <w:rFonts w:ascii="Times New Roman" w:hAnsi="Times New Roman"/>
          <w:szCs w:val="32"/>
        </w:rPr>
        <w:t>m</w:t>
      </w:r>
      <w:r>
        <w:rPr>
          <w:rFonts w:ascii="Times New Roman" w:hAnsi="方正仿宋_GBK"/>
          <w:szCs w:val="32"/>
        </w:rPr>
        <w:t>；</w:t>
      </w:r>
      <w:r>
        <w:rPr>
          <w:rFonts w:hint="eastAsia" w:ascii="Times New Roman" w:hAnsi="方正仿宋_GBK"/>
          <w:szCs w:val="32"/>
        </w:rPr>
        <w:t>新建取水塔与水库右岸道路连接交通桥，交通桥长18</w:t>
      </w:r>
      <w:r>
        <w:rPr>
          <w:rFonts w:ascii="Times New Roman" w:hAnsi="方正仿宋_GBK"/>
          <w:szCs w:val="32"/>
        </w:rPr>
        <w:t>m，</w:t>
      </w:r>
      <w:r>
        <w:rPr>
          <w:rFonts w:hint="eastAsia" w:ascii="Times New Roman" w:hAnsi="方正仿宋_GBK"/>
          <w:szCs w:val="32"/>
        </w:rPr>
        <w:t>共设置2</w:t>
      </w:r>
      <w:r>
        <w:rPr>
          <w:rFonts w:ascii="Times New Roman" w:hAnsi="方正仿宋_GBK"/>
          <w:szCs w:val="32"/>
        </w:rPr>
        <w:t>跨，桥面宽</w:t>
      </w:r>
      <w:r>
        <w:rPr>
          <w:rFonts w:hint="eastAsia" w:ascii="Times New Roman" w:hAnsi="Times New Roman"/>
          <w:szCs w:val="32"/>
        </w:rPr>
        <w:t>2.0</w:t>
      </w:r>
      <w:r>
        <w:rPr>
          <w:rFonts w:ascii="Times New Roman" w:hAnsi="Times New Roman"/>
          <w:szCs w:val="32"/>
        </w:rPr>
        <w:t>m</w:t>
      </w:r>
      <w:r>
        <w:rPr>
          <w:rFonts w:ascii="Times New Roman" w:hAnsi="方正仿宋_GBK"/>
          <w:szCs w:val="32"/>
        </w:rPr>
        <w:t>，采用</w:t>
      </w:r>
      <w:r>
        <w:rPr>
          <w:rFonts w:ascii="Times New Roman" w:hAnsi="Times New Roman"/>
          <w:szCs w:val="32"/>
        </w:rPr>
        <w:t>C</w:t>
      </w:r>
      <w:r>
        <w:rPr>
          <w:rFonts w:hint="eastAsia" w:ascii="Times New Roman" w:hAnsi="Times New Roman"/>
          <w:szCs w:val="32"/>
        </w:rPr>
        <w:t>25</w:t>
      </w:r>
      <w:r>
        <w:rPr>
          <w:rFonts w:ascii="Times New Roman" w:hAnsi="方正仿宋_GBK"/>
          <w:szCs w:val="32"/>
        </w:rPr>
        <w:t>钢筋砼现浇梁板式结构，</w:t>
      </w:r>
      <w:r>
        <w:rPr>
          <w:rFonts w:hint="eastAsia" w:ascii="Times New Roman" w:hAnsi="方正仿宋_GBK"/>
          <w:szCs w:val="32"/>
        </w:rPr>
        <w:t>交通</w:t>
      </w:r>
      <w:r>
        <w:rPr>
          <w:rFonts w:ascii="Times New Roman" w:hAnsi="方正仿宋_GBK"/>
          <w:szCs w:val="32"/>
        </w:rPr>
        <w:t>桥两侧设不锈钢栏杆；</w:t>
      </w:r>
      <w:r>
        <w:rPr>
          <w:rFonts w:hint="eastAsia" w:ascii="Times New Roman" w:hAnsi="方正仿宋_GBK"/>
          <w:szCs w:val="32"/>
        </w:rPr>
        <w:t>新建进水管采用涂塑钢管，放水管为0.6Mpa-DN315PE管。拆除左、右岸放水设施并采用</w:t>
      </w:r>
      <w:r>
        <w:rPr>
          <w:rFonts w:ascii="Times New Roman" w:hAnsi="Times New Roman"/>
          <w:szCs w:val="32"/>
        </w:rPr>
        <w:t>C</w:t>
      </w:r>
      <w:r>
        <w:rPr>
          <w:rFonts w:hint="eastAsia" w:ascii="Times New Roman" w:hAnsi="Times New Roman"/>
          <w:szCs w:val="32"/>
        </w:rPr>
        <w:t>2</w:t>
      </w:r>
      <w:r>
        <w:rPr>
          <w:rFonts w:ascii="Times New Roman" w:hAnsi="Times New Roman"/>
          <w:szCs w:val="32"/>
        </w:rPr>
        <w:t>0</w:t>
      </w:r>
      <w:r>
        <w:rPr>
          <w:rFonts w:hint="eastAsia" w:ascii="Times New Roman" w:hAnsi="方正仿宋_GBK"/>
          <w:szCs w:val="32"/>
        </w:rPr>
        <w:t>砼封堵，</w:t>
      </w:r>
      <w:r>
        <w:rPr>
          <w:rFonts w:ascii="Times New Roman" w:hAnsi="方正仿宋_GBK"/>
          <w:szCs w:val="32"/>
        </w:rPr>
        <w:t>坝下</w:t>
      </w:r>
      <w:r>
        <w:rPr>
          <w:rFonts w:hint="eastAsia" w:ascii="Times New Roman" w:hAnsi="方正仿宋_GBK"/>
          <w:szCs w:val="32"/>
        </w:rPr>
        <w:t>改建左岸</w:t>
      </w:r>
      <w:r>
        <w:rPr>
          <w:rFonts w:ascii="Times New Roman" w:hAnsi="Times New Roman"/>
          <w:szCs w:val="32"/>
        </w:rPr>
        <w:t>DN2</w:t>
      </w:r>
      <w:r>
        <w:rPr>
          <w:rFonts w:hint="eastAsia" w:ascii="Times New Roman" w:hAnsi="Times New Roman"/>
          <w:szCs w:val="32"/>
        </w:rPr>
        <w:t>0</w:t>
      </w:r>
      <w:r>
        <w:rPr>
          <w:rFonts w:ascii="Times New Roman" w:hAnsi="Times New Roman"/>
          <w:szCs w:val="32"/>
        </w:rPr>
        <w:t>0PE</w:t>
      </w:r>
      <w:r>
        <w:rPr>
          <w:rFonts w:hint="eastAsia" w:ascii="Times New Roman" w:hAnsi="Times New Roman"/>
          <w:szCs w:val="32"/>
        </w:rPr>
        <w:t>灌溉输水</w:t>
      </w:r>
      <w:r>
        <w:rPr>
          <w:rFonts w:ascii="Times New Roman" w:hAnsi="方正仿宋_GBK"/>
          <w:szCs w:val="32"/>
        </w:rPr>
        <w:t>管</w:t>
      </w:r>
      <w:r>
        <w:rPr>
          <w:rFonts w:hint="eastAsia" w:ascii="Times New Roman" w:hAnsi="方正仿宋_GBK"/>
          <w:szCs w:val="32"/>
        </w:rPr>
        <w:t>道。</w:t>
      </w:r>
    </w:p>
    <w:p w14:paraId="21F7CEFC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4</w:t>
      </w:r>
      <w:r>
        <w:rPr>
          <w:rFonts w:ascii="Times New Roman" w:hAnsi="方正仿宋_GBK" w:cs="Times New Roman"/>
          <w:szCs w:val="32"/>
        </w:rPr>
        <w:t>、附属设施</w:t>
      </w:r>
    </w:p>
    <w:p w14:paraId="0BA1B750">
      <w:pPr>
        <w:spacing w:line="594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采用C25砼硬化进库道路；</w:t>
      </w:r>
      <w:r>
        <w:rPr>
          <w:rFonts w:hint="eastAsia" w:ascii="Times New Roman" w:hAnsi="方正仿宋_GBK"/>
          <w:szCs w:val="32"/>
        </w:rPr>
        <w:t>新建北斗自动变形监测、渗压监测、生态流量监测设施。</w:t>
      </w:r>
    </w:p>
    <w:p w14:paraId="5B3DFE14">
      <w:pPr>
        <w:spacing w:line="594" w:lineRule="exact"/>
        <w:ind w:firstLine="640" w:firstLineChars="200"/>
        <w:rPr>
          <w:rFonts w:ascii="Times New Roman" w:hAnsi="Times New Roman" w:eastAsia="方正黑体_GBK" w:cs="Times New Roman"/>
        </w:rPr>
      </w:pPr>
      <w:r>
        <w:rPr>
          <w:rFonts w:ascii="Times New Roman" w:hAnsi="Times New Roman" w:eastAsia="方正黑体_GBK" w:cs="Times New Roman"/>
          <w:szCs w:val="32"/>
        </w:rPr>
        <w:t>四、施工组织设计</w:t>
      </w:r>
    </w:p>
    <w:p w14:paraId="35DC1BEE">
      <w:pPr>
        <w:spacing w:line="594" w:lineRule="exac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 （一）基本同意报告施工组织设计方案，基本同意主体工程 的施工程序、施工方法和施工总体布置。</w:t>
      </w:r>
    </w:p>
    <w:p w14:paraId="3D40ADDC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  <w:lang w:val="zh-CN"/>
        </w:rPr>
        <w:t>（</w:t>
      </w:r>
      <w:r>
        <w:rPr>
          <w:rFonts w:ascii="Times New Roman" w:hAnsi="Times New Roman" w:cs="Times New Roman"/>
          <w:szCs w:val="32"/>
        </w:rPr>
        <w:t>二</w:t>
      </w:r>
      <w:r>
        <w:rPr>
          <w:rFonts w:ascii="Times New Roman" w:hAnsi="Times New Roman" w:cs="Times New Roman"/>
          <w:szCs w:val="32"/>
          <w:lang w:val="zh-CN"/>
        </w:rPr>
        <w:t>）同意工程总工期</w:t>
      </w:r>
      <w:r>
        <w:rPr>
          <w:rFonts w:ascii="Times New Roman" w:hAnsi="Times New Roman" w:cs="Times New Roman"/>
          <w:szCs w:val="32"/>
        </w:rPr>
        <w:t>6个月</w:t>
      </w:r>
      <w:r>
        <w:rPr>
          <w:rFonts w:ascii="Times New Roman" w:hAnsi="Times New Roman" w:cs="Times New Roman"/>
          <w:szCs w:val="32"/>
          <w:lang w:val="zh-CN"/>
        </w:rPr>
        <w:t>。</w:t>
      </w:r>
    </w:p>
    <w:p w14:paraId="468D17FB">
      <w:pPr>
        <w:spacing w:line="594" w:lineRule="exact"/>
        <w:ind w:firstLine="640" w:firstLineChars="200"/>
        <w:rPr>
          <w:rFonts w:ascii="Times New Roman" w:hAnsi="Times New Roman" w:eastAsia="方正黑体_GBK" w:cs="Times New Roman"/>
        </w:rPr>
      </w:pPr>
      <w:r>
        <w:rPr>
          <w:rFonts w:ascii="Times New Roman" w:hAnsi="Times New Roman" w:eastAsia="方正黑体_GBK" w:cs="Times New Roman"/>
          <w:szCs w:val="32"/>
        </w:rPr>
        <w:t>五、工程占地、环境保护与水土保持</w:t>
      </w:r>
    </w:p>
    <w:p w14:paraId="2152A742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方正仿宋_GBK" w:cs="Times New Roman"/>
          <w:szCs w:val="32"/>
        </w:rPr>
        <w:t>同意工程总占地</w:t>
      </w:r>
      <w:r>
        <w:rPr>
          <w:rFonts w:ascii="Times New Roman" w:hAnsi="Times New Roman" w:cs="Times New Roman"/>
          <w:szCs w:val="32"/>
        </w:rPr>
        <w:t>0.</w:t>
      </w:r>
      <w:r>
        <w:rPr>
          <w:rFonts w:hint="eastAsia" w:ascii="Times New Roman" w:hAnsi="Times New Roman" w:cs="Times New Roman"/>
          <w:szCs w:val="32"/>
        </w:rPr>
        <w:t>78</w:t>
      </w:r>
      <w:r>
        <w:rPr>
          <w:rFonts w:ascii="Times New Roman" w:hAnsi="方正仿宋_GBK" w:cs="Times New Roman"/>
          <w:szCs w:val="32"/>
        </w:rPr>
        <w:t>亩，其中永久占地</w:t>
      </w:r>
      <w:r>
        <w:rPr>
          <w:rFonts w:ascii="Times New Roman" w:hAnsi="Times New Roman" w:cs="Times New Roman"/>
          <w:szCs w:val="32"/>
        </w:rPr>
        <w:t>0.1</w:t>
      </w:r>
      <w:r>
        <w:rPr>
          <w:rFonts w:hint="eastAsia" w:ascii="Times New Roman" w:hAnsi="Times New Roman" w:cs="Times New Roman"/>
          <w:szCs w:val="32"/>
        </w:rPr>
        <w:t>5</w:t>
      </w:r>
      <w:r>
        <w:rPr>
          <w:rFonts w:ascii="Times New Roman" w:hAnsi="方正仿宋_GBK" w:cs="Times New Roman"/>
          <w:szCs w:val="32"/>
        </w:rPr>
        <w:t>亩，临时占地</w:t>
      </w:r>
      <w:r>
        <w:rPr>
          <w:rFonts w:ascii="Times New Roman" w:hAnsi="Times New Roman" w:cs="Times New Roman"/>
          <w:szCs w:val="32"/>
        </w:rPr>
        <w:t>0.</w:t>
      </w:r>
      <w:r>
        <w:rPr>
          <w:rFonts w:hint="eastAsia" w:ascii="Times New Roman" w:hAnsi="Times New Roman" w:cs="Times New Roman"/>
          <w:szCs w:val="32"/>
        </w:rPr>
        <w:t>63</w:t>
      </w:r>
      <w:r>
        <w:rPr>
          <w:rFonts w:ascii="Times New Roman" w:hAnsi="方正仿宋_GBK" w:cs="Times New Roman"/>
          <w:szCs w:val="32"/>
        </w:rPr>
        <w:t>亩。原则同意环境保护与水土保持设计。</w:t>
      </w:r>
    </w:p>
    <w:p w14:paraId="4246A01E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  <w:lang w:val="zh-CN"/>
        </w:rPr>
      </w:pPr>
      <w:r>
        <w:rPr>
          <w:rFonts w:ascii="Times New Roman" w:hAnsi="Times New Roman" w:eastAsia="方正黑体_GBK" w:cs="Times New Roman"/>
          <w:szCs w:val="32"/>
        </w:rPr>
        <w:t>六、工程投资及资金来源</w:t>
      </w:r>
    </w:p>
    <w:p w14:paraId="6ED74599">
      <w:pPr>
        <w:spacing w:line="594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ascii="Times New Roman" w:hAnsi="方正仿宋_GBK"/>
          <w:szCs w:val="32"/>
        </w:rPr>
        <w:t>本工</w:t>
      </w:r>
      <w:r>
        <w:rPr>
          <w:rFonts w:ascii="Times New Roman" w:hAnsi="Times New Roman"/>
          <w:szCs w:val="32"/>
        </w:rPr>
        <w:t>程概算总投资</w:t>
      </w:r>
      <w:r>
        <w:rPr>
          <w:rFonts w:hint="eastAsia" w:ascii="Times New Roman" w:hAnsi="Times New Roman"/>
          <w:szCs w:val="32"/>
        </w:rPr>
        <w:t>270.47万元。其中：建筑工程181.66万元；机电设备及安装工程32.30万元；施工临时工程16.81万元；独立费用24.30万元；基本预备费12.75万元；建设征地与移民安置补偿投资1.75万元；环境保护工程投资0.5万元；水土保持工程投资0.5万元。</w:t>
      </w:r>
    </w:p>
    <w:p w14:paraId="09EC5715">
      <w:pPr>
        <w:spacing w:line="594" w:lineRule="exact"/>
        <w:ind w:firstLine="640" w:firstLineChars="200"/>
        <w:rPr>
          <w:rFonts w:ascii="Times New Roman" w:hAnsi="方正仿宋_GBK" w:cs="Times New Roman"/>
          <w:szCs w:val="32"/>
        </w:rPr>
      </w:pPr>
      <w:r>
        <w:rPr>
          <w:rFonts w:ascii="Times New Roman" w:hAnsi="方正仿宋_GBK" w:cs="Times New Roman"/>
          <w:szCs w:val="32"/>
        </w:rPr>
        <w:t>资金来源：上级资金及区级配套资金。</w:t>
      </w:r>
    </w:p>
    <w:p w14:paraId="3B35ABB4">
      <w:pPr>
        <w:spacing w:line="594" w:lineRule="exact"/>
        <w:ind w:firstLine="640" w:firstLineChars="200"/>
        <w:rPr>
          <w:rFonts w:ascii="Times New Roman" w:hAnsi="Times New Roman" w:eastAsia="方正黑体_GBK" w:cs="Times New Roman"/>
        </w:rPr>
      </w:pPr>
      <w:r>
        <w:rPr>
          <w:rFonts w:ascii="Times New Roman" w:hAnsi="Times New Roman" w:eastAsia="方正黑体_GBK" w:cs="Times New Roman"/>
          <w:szCs w:val="32"/>
        </w:rPr>
        <w:t>七、其他</w:t>
      </w:r>
    </w:p>
    <w:p w14:paraId="3DD73722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（一）请接此许可决定后，进一步优化和完善施工图设计，复核建筑物的结构安全、稳定，合理衔接现状构筑物，确保建设和运行期间安全、美观。</w:t>
      </w:r>
    </w:p>
    <w:p w14:paraId="17CAA664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（二）施工期间做好水库的防洪度汛、农田灌溉与人畜饮用水的协调工作。</w:t>
      </w:r>
    </w:p>
    <w:p w14:paraId="758D05E9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（三）你单位负责本工程开工至竣工验收期间的建设管理工作，及时完善相关手续，在工程开工之日起15个工作日内完成开工备案。</w:t>
      </w:r>
    </w:p>
    <w:p w14:paraId="03F0D847">
      <w:pPr>
        <w:spacing w:line="594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（四）请你单位按照审查意见要求和批复的设计文件、投资规模，严格控制工程建设标准，落实项目法人制、招标投标制、工程监理制、合同管理制，建立健全质量与安全监督体系，认真组织项目实施，</w:t>
      </w:r>
      <w:r>
        <w:rPr>
          <w:rFonts w:ascii="Times New Roman" w:hAnsi="Times New Roman" w:cs="Times New Roman"/>
          <w:kern w:val="0"/>
          <w:szCs w:val="32"/>
        </w:rPr>
        <w:t>按期完成工程建设任务</w:t>
      </w:r>
      <w:r>
        <w:rPr>
          <w:rFonts w:ascii="Times New Roman" w:hAnsi="Times New Roman" w:cs="Times New Roman"/>
          <w:szCs w:val="32"/>
        </w:rPr>
        <w:t>。</w:t>
      </w:r>
    </w:p>
    <w:p w14:paraId="345AD201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（五）本行政许可决定有效期为三年，自签发之日起计算。期满后，若该工程未开工建设，本许可决定自行失效；需延续有效期的，你单位应在有效期届满三十日前提出延续申请。   </w:t>
      </w:r>
    </w:p>
    <w:p w14:paraId="0AE88DE5">
      <w:pPr>
        <w:pStyle w:val="5"/>
        <w:rPr>
          <w:rFonts w:eastAsia="方正仿宋_GBK"/>
          <w:sz w:val="32"/>
          <w:szCs w:val="32"/>
        </w:rPr>
      </w:pPr>
    </w:p>
    <w:p w14:paraId="06B2A637">
      <w:pPr>
        <w:rPr>
          <w:rFonts w:ascii="Times New Roman" w:hAnsi="Times New Roman" w:cs="Times New Roman"/>
          <w:szCs w:val="32"/>
        </w:rPr>
      </w:pPr>
    </w:p>
    <w:p w14:paraId="5218D3D5">
      <w:pPr>
        <w:spacing w:line="570" w:lineRule="exact"/>
        <w:ind w:firstLine="720" w:firstLineChars="225"/>
        <w:jc w:val="right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 xml:space="preserve">       </w:t>
      </w:r>
      <w:r>
        <w:rPr>
          <w:rFonts w:ascii="Times New Roman" w:hAnsi="Times New Roman" w:cs="Times New Roman"/>
          <w:szCs w:val="32"/>
        </w:rPr>
        <w:t>重庆市永川区水利局</w:t>
      </w:r>
    </w:p>
    <w:p w14:paraId="5DF23C86">
      <w:pPr>
        <w:spacing w:line="570" w:lineRule="exact"/>
        <w:ind w:firstLine="720" w:firstLineChars="225"/>
        <w:jc w:val="center"/>
        <w:rPr>
          <w:rFonts w:ascii="Times New Roman" w:hAnsi="Times New Roman" w:cs="Times New Roman"/>
          <w:color w:val="FF0000"/>
          <w:szCs w:val="32"/>
          <w:highlight w:val="yellow"/>
        </w:rPr>
      </w:pPr>
      <w:r>
        <w:rPr>
          <w:rFonts w:ascii="Times New Roman" w:hAnsi="Times New Roman" w:cs="Times New Roman"/>
          <w:color w:val="FF0000"/>
          <w:szCs w:val="32"/>
        </w:rPr>
        <w:t xml:space="preserve">                            </w:t>
      </w:r>
      <w:r>
        <w:rPr>
          <w:rFonts w:ascii="Times New Roman" w:hAnsi="Times New Roman" w:cs="Times New Roman"/>
          <w:color w:val="000000"/>
          <w:szCs w:val="32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Cs w:val="32"/>
        </w:rPr>
        <w:t xml:space="preserve"> 202</w:t>
      </w:r>
      <w:r>
        <w:rPr>
          <w:rFonts w:hint="eastAsia" w:ascii="Times New Roman" w:hAnsi="Times New Roman" w:cs="Times New Roman"/>
          <w:color w:val="000000"/>
          <w:szCs w:val="32"/>
        </w:rPr>
        <w:t>5</w:t>
      </w:r>
      <w:r>
        <w:rPr>
          <w:rFonts w:ascii="Times New Roman" w:hAnsi="Times New Roman" w:cs="Times New Roman"/>
          <w:color w:val="000000"/>
          <w:szCs w:val="32"/>
        </w:rPr>
        <w:t>年</w:t>
      </w:r>
      <w:r>
        <w:rPr>
          <w:rFonts w:hint="eastAsia" w:ascii="Times New Roman" w:hAnsi="Times New Roman" w:cs="Times New Roman"/>
          <w:color w:val="000000"/>
          <w:szCs w:val="32"/>
        </w:rPr>
        <w:t>9</w:t>
      </w:r>
      <w:r>
        <w:rPr>
          <w:rFonts w:ascii="Times New Roman" w:hAnsi="Times New Roman" w:cs="Times New Roman"/>
          <w:color w:val="000000"/>
          <w:szCs w:val="32"/>
        </w:rPr>
        <w:t>月</w:t>
      </w:r>
      <w:r>
        <w:rPr>
          <w:rFonts w:hint="eastAsia" w:ascii="Times New Roman" w:hAnsi="Times New Roman" w:cs="Times New Roman"/>
          <w:color w:val="000000"/>
          <w:szCs w:val="32"/>
        </w:rPr>
        <w:t>9</w:t>
      </w:r>
      <w:r>
        <w:rPr>
          <w:rFonts w:ascii="Times New Roman" w:hAnsi="Times New Roman" w:cs="Times New Roman"/>
          <w:color w:val="000000"/>
          <w:szCs w:val="32"/>
        </w:rPr>
        <w:t>日</w:t>
      </w:r>
    </w:p>
    <w:p w14:paraId="16978138">
      <w:pPr>
        <w:pStyle w:val="5"/>
        <w:spacing w:line="570" w:lineRule="exact"/>
        <w:ind w:left="0"/>
        <w:rPr>
          <w:rFonts w:eastAsia="方正仿宋_GBK"/>
          <w:sz w:val="32"/>
          <w:szCs w:val="32"/>
        </w:rPr>
      </w:pPr>
    </w:p>
    <w:p w14:paraId="1AA4F031">
      <w:pPr>
        <w:pStyle w:val="5"/>
        <w:spacing w:line="570" w:lineRule="exact"/>
        <w:ind w:left="0"/>
        <w:rPr>
          <w:rFonts w:eastAsia="方正仿宋_GBK"/>
          <w:sz w:val="32"/>
          <w:szCs w:val="32"/>
        </w:rPr>
      </w:pPr>
    </w:p>
    <w:p w14:paraId="3846A46E">
      <w:pPr>
        <w:pStyle w:val="5"/>
        <w:spacing w:line="570" w:lineRule="exact"/>
        <w:ind w:left="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（此件公开发布）</w:t>
      </w:r>
    </w:p>
    <w:p w14:paraId="376E4B0C">
      <w:pPr>
        <w:rPr>
          <w:rFonts w:ascii="Times New Roman" w:hAnsi="Times New Roman" w:cs="Times New Roman"/>
        </w:rPr>
      </w:pPr>
    </w:p>
    <w:p w14:paraId="6C0564E8">
      <w:pPr>
        <w:pStyle w:val="2"/>
        <w:rPr>
          <w:rFonts w:ascii="Times New Roman" w:hAnsi="Times New Roman" w:cs="Times New Roman"/>
        </w:rPr>
      </w:pPr>
    </w:p>
    <w:p w14:paraId="0974F48A">
      <w:pPr>
        <w:rPr>
          <w:rFonts w:ascii="Times New Roman" w:hAnsi="Times New Roman" w:cs="Times New Roman"/>
        </w:rPr>
      </w:pPr>
    </w:p>
    <w:p w14:paraId="3B6AB3DD">
      <w:pPr>
        <w:pStyle w:val="2"/>
        <w:rPr>
          <w:rFonts w:ascii="Times New Roman" w:hAnsi="Times New Roman" w:cs="Times New Roman"/>
        </w:rPr>
      </w:pPr>
    </w:p>
    <w:p w14:paraId="1EFFBB66"/>
    <w:p w14:paraId="04579AC3">
      <w:pPr>
        <w:tabs>
          <w:tab w:val="left" w:pos="1745"/>
        </w:tabs>
        <w:rPr>
          <w:rFonts w:ascii="Times New Roman" w:hAnsi="Times New Roman" w:cs="Times New Roman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1F5B5">
    <w:pPr>
      <w:pStyle w:val="8"/>
      <w:jc w:val="right"/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7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  <w:p w14:paraId="26889D2C">
    <w:pPr>
      <w:pStyle w:val="8"/>
      <w:ind w:right="360" w:firstLine="360"/>
      <w:jc w:val="right"/>
      <w:rPr>
        <w:rFonts w:ascii="Times New Roman" w:hAnsi="Times New Roman" w:cs="Times New Roman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71AFE">
    <w:pPr>
      <w:pStyle w:val="8"/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6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  <w:p w14:paraId="43B9A0DA">
    <w:pPr>
      <w:pStyle w:val="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readOnly" w:enforcement="0"/>
  <w:defaultTabStop w:val="420"/>
  <w:evenAndOddHeaders w:val="1"/>
  <w:drawingGridHorizontalSpacing w:val="160"/>
  <w:drawingGridVerticalSpacing w:val="4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KGWebUrl" w:val="http://23.211.169.62:80/seeyon/officeservlet"/>
  </w:docVars>
  <w:rsids>
    <w:rsidRoot w:val="73726EFB"/>
    <w:rsid w:val="00000AF5"/>
    <w:rsid w:val="00003A14"/>
    <w:rsid w:val="000129DD"/>
    <w:rsid w:val="00016A6F"/>
    <w:rsid w:val="000574B9"/>
    <w:rsid w:val="0006352A"/>
    <w:rsid w:val="000A439B"/>
    <w:rsid w:val="000B0D76"/>
    <w:rsid w:val="000C7A65"/>
    <w:rsid w:val="000D69CF"/>
    <w:rsid w:val="00100051"/>
    <w:rsid w:val="001263A3"/>
    <w:rsid w:val="001423C0"/>
    <w:rsid w:val="00143EEF"/>
    <w:rsid w:val="00161C0A"/>
    <w:rsid w:val="00165456"/>
    <w:rsid w:val="001729EE"/>
    <w:rsid w:val="00173647"/>
    <w:rsid w:val="001D24EB"/>
    <w:rsid w:val="001E00DE"/>
    <w:rsid w:val="001E08BE"/>
    <w:rsid w:val="002004BD"/>
    <w:rsid w:val="00215E4A"/>
    <w:rsid w:val="00234313"/>
    <w:rsid w:val="0023791B"/>
    <w:rsid w:val="00240D8F"/>
    <w:rsid w:val="00245898"/>
    <w:rsid w:val="00254AD5"/>
    <w:rsid w:val="00256890"/>
    <w:rsid w:val="00266A59"/>
    <w:rsid w:val="002900F6"/>
    <w:rsid w:val="00291F4A"/>
    <w:rsid w:val="002B20D2"/>
    <w:rsid w:val="002B4E1C"/>
    <w:rsid w:val="002C6E34"/>
    <w:rsid w:val="002D7CF5"/>
    <w:rsid w:val="002E7C30"/>
    <w:rsid w:val="002F7A98"/>
    <w:rsid w:val="00300D0A"/>
    <w:rsid w:val="00317529"/>
    <w:rsid w:val="00355BB0"/>
    <w:rsid w:val="003654F1"/>
    <w:rsid w:val="003730E6"/>
    <w:rsid w:val="003821AB"/>
    <w:rsid w:val="00384140"/>
    <w:rsid w:val="00386B06"/>
    <w:rsid w:val="003B535E"/>
    <w:rsid w:val="003B71A3"/>
    <w:rsid w:val="003C1DD5"/>
    <w:rsid w:val="003D7C2F"/>
    <w:rsid w:val="003E18EB"/>
    <w:rsid w:val="003E6598"/>
    <w:rsid w:val="003F00C2"/>
    <w:rsid w:val="00407321"/>
    <w:rsid w:val="00424071"/>
    <w:rsid w:val="004275E8"/>
    <w:rsid w:val="00431078"/>
    <w:rsid w:val="00434A69"/>
    <w:rsid w:val="0045708B"/>
    <w:rsid w:val="004578F4"/>
    <w:rsid w:val="00461AB8"/>
    <w:rsid w:val="004665C9"/>
    <w:rsid w:val="00473E2E"/>
    <w:rsid w:val="004749E6"/>
    <w:rsid w:val="00482F31"/>
    <w:rsid w:val="004A5313"/>
    <w:rsid w:val="004A743A"/>
    <w:rsid w:val="004D128F"/>
    <w:rsid w:val="004E047C"/>
    <w:rsid w:val="004E7044"/>
    <w:rsid w:val="00510049"/>
    <w:rsid w:val="0051669B"/>
    <w:rsid w:val="00517350"/>
    <w:rsid w:val="00521F6F"/>
    <w:rsid w:val="005453BD"/>
    <w:rsid w:val="00551BD3"/>
    <w:rsid w:val="005537CA"/>
    <w:rsid w:val="00562859"/>
    <w:rsid w:val="005843CA"/>
    <w:rsid w:val="00585DD0"/>
    <w:rsid w:val="00594FCD"/>
    <w:rsid w:val="005958DC"/>
    <w:rsid w:val="005967BB"/>
    <w:rsid w:val="005C1641"/>
    <w:rsid w:val="005D66B6"/>
    <w:rsid w:val="005E3F54"/>
    <w:rsid w:val="00622C1B"/>
    <w:rsid w:val="00623DB0"/>
    <w:rsid w:val="006252BF"/>
    <w:rsid w:val="00650D0A"/>
    <w:rsid w:val="006604C1"/>
    <w:rsid w:val="0066242F"/>
    <w:rsid w:val="00677CEE"/>
    <w:rsid w:val="00681266"/>
    <w:rsid w:val="006960EA"/>
    <w:rsid w:val="006A7D5F"/>
    <w:rsid w:val="006B1BC1"/>
    <w:rsid w:val="006B3BB5"/>
    <w:rsid w:val="006C27EF"/>
    <w:rsid w:val="006C3F0A"/>
    <w:rsid w:val="006C5AF4"/>
    <w:rsid w:val="006C66D4"/>
    <w:rsid w:val="007075F6"/>
    <w:rsid w:val="00714838"/>
    <w:rsid w:val="00722157"/>
    <w:rsid w:val="0073659E"/>
    <w:rsid w:val="007411EC"/>
    <w:rsid w:val="007477BE"/>
    <w:rsid w:val="0076230F"/>
    <w:rsid w:val="007A1C0F"/>
    <w:rsid w:val="007C60B1"/>
    <w:rsid w:val="007E26E0"/>
    <w:rsid w:val="007E2C03"/>
    <w:rsid w:val="007E7A50"/>
    <w:rsid w:val="007F2DAA"/>
    <w:rsid w:val="00802031"/>
    <w:rsid w:val="00804ED4"/>
    <w:rsid w:val="008142B1"/>
    <w:rsid w:val="008347D6"/>
    <w:rsid w:val="00835A60"/>
    <w:rsid w:val="0085616D"/>
    <w:rsid w:val="008667A6"/>
    <w:rsid w:val="00866CDB"/>
    <w:rsid w:val="00866F1A"/>
    <w:rsid w:val="008821A1"/>
    <w:rsid w:val="0089744F"/>
    <w:rsid w:val="00897900"/>
    <w:rsid w:val="008B0DC0"/>
    <w:rsid w:val="008B3E70"/>
    <w:rsid w:val="008C38C9"/>
    <w:rsid w:val="009030F2"/>
    <w:rsid w:val="00912CEE"/>
    <w:rsid w:val="009277A0"/>
    <w:rsid w:val="00943BF8"/>
    <w:rsid w:val="00965ACE"/>
    <w:rsid w:val="00966EE2"/>
    <w:rsid w:val="00970DB2"/>
    <w:rsid w:val="00995537"/>
    <w:rsid w:val="009B408B"/>
    <w:rsid w:val="009B4C1F"/>
    <w:rsid w:val="009C2ECB"/>
    <w:rsid w:val="009D0CD9"/>
    <w:rsid w:val="009D4039"/>
    <w:rsid w:val="009D7140"/>
    <w:rsid w:val="009E4932"/>
    <w:rsid w:val="00A26E0A"/>
    <w:rsid w:val="00A32107"/>
    <w:rsid w:val="00A3777A"/>
    <w:rsid w:val="00A42E00"/>
    <w:rsid w:val="00A46101"/>
    <w:rsid w:val="00A855F7"/>
    <w:rsid w:val="00A942EB"/>
    <w:rsid w:val="00AA3131"/>
    <w:rsid w:val="00AA32A3"/>
    <w:rsid w:val="00AB0FAE"/>
    <w:rsid w:val="00AC6E4F"/>
    <w:rsid w:val="00AC743F"/>
    <w:rsid w:val="00AE0D3A"/>
    <w:rsid w:val="00AE182E"/>
    <w:rsid w:val="00AE4A38"/>
    <w:rsid w:val="00B27E7D"/>
    <w:rsid w:val="00B42E8B"/>
    <w:rsid w:val="00B445E2"/>
    <w:rsid w:val="00B730EA"/>
    <w:rsid w:val="00B77EBE"/>
    <w:rsid w:val="00B825FD"/>
    <w:rsid w:val="00B85CA2"/>
    <w:rsid w:val="00BA3A1B"/>
    <w:rsid w:val="00BA4261"/>
    <w:rsid w:val="00BE5037"/>
    <w:rsid w:val="00C117EB"/>
    <w:rsid w:val="00C22E2B"/>
    <w:rsid w:val="00C304D2"/>
    <w:rsid w:val="00C33280"/>
    <w:rsid w:val="00C34F61"/>
    <w:rsid w:val="00C363B9"/>
    <w:rsid w:val="00C36A38"/>
    <w:rsid w:val="00C429D8"/>
    <w:rsid w:val="00C608FE"/>
    <w:rsid w:val="00C66AB8"/>
    <w:rsid w:val="00C762FB"/>
    <w:rsid w:val="00C919FF"/>
    <w:rsid w:val="00C91F12"/>
    <w:rsid w:val="00CA7C5D"/>
    <w:rsid w:val="00CC6E4D"/>
    <w:rsid w:val="00CD7008"/>
    <w:rsid w:val="00D13D56"/>
    <w:rsid w:val="00D178F0"/>
    <w:rsid w:val="00D33DBB"/>
    <w:rsid w:val="00D45305"/>
    <w:rsid w:val="00D52D38"/>
    <w:rsid w:val="00D674C5"/>
    <w:rsid w:val="00D869CC"/>
    <w:rsid w:val="00D96281"/>
    <w:rsid w:val="00D96BC4"/>
    <w:rsid w:val="00DA7840"/>
    <w:rsid w:val="00DE069A"/>
    <w:rsid w:val="00DE26B5"/>
    <w:rsid w:val="00E0287F"/>
    <w:rsid w:val="00E17337"/>
    <w:rsid w:val="00E17719"/>
    <w:rsid w:val="00E24FF7"/>
    <w:rsid w:val="00E42E8A"/>
    <w:rsid w:val="00E42EAF"/>
    <w:rsid w:val="00E43BD7"/>
    <w:rsid w:val="00E663DE"/>
    <w:rsid w:val="00E73140"/>
    <w:rsid w:val="00E80C67"/>
    <w:rsid w:val="00E9715E"/>
    <w:rsid w:val="00EB4ADA"/>
    <w:rsid w:val="00EB6FFD"/>
    <w:rsid w:val="00EC1921"/>
    <w:rsid w:val="00ED69D7"/>
    <w:rsid w:val="00EF15FA"/>
    <w:rsid w:val="00EF4CEA"/>
    <w:rsid w:val="00EF6D2D"/>
    <w:rsid w:val="00F1174B"/>
    <w:rsid w:val="00F22369"/>
    <w:rsid w:val="00F22CA2"/>
    <w:rsid w:val="00F5748A"/>
    <w:rsid w:val="00F6343D"/>
    <w:rsid w:val="00F82850"/>
    <w:rsid w:val="00F97828"/>
    <w:rsid w:val="00FB49E6"/>
    <w:rsid w:val="00FC07CE"/>
    <w:rsid w:val="00FC6452"/>
    <w:rsid w:val="00FD34A3"/>
    <w:rsid w:val="00FD4256"/>
    <w:rsid w:val="00FE0FC6"/>
    <w:rsid w:val="00FE47AA"/>
    <w:rsid w:val="00FF35F4"/>
    <w:rsid w:val="00FF6F90"/>
    <w:rsid w:val="01D847F2"/>
    <w:rsid w:val="080E41C5"/>
    <w:rsid w:val="089C597C"/>
    <w:rsid w:val="09CD1453"/>
    <w:rsid w:val="0B746511"/>
    <w:rsid w:val="0C71038C"/>
    <w:rsid w:val="0FBC7EC4"/>
    <w:rsid w:val="17002527"/>
    <w:rsid w:val="1A7E56FA"/>
    <w:rsid w:val="1C3224A7"/>
    <w:rsid w:val="25AD1B59"/>
    <w:rsid w:val="2A1A0D8F"/>
    <w:rsid w:val="2E707209"/>
    <w:rsid w:val="2F871889"/>
    <w:rsid w:val="32B52F02"/>
    <w:rsid w:val="345F7854"/>
    <w:rsid w:val="36BC2D5B"/>
    <w:rsid w:val="39E77697"/>
    <w:rsid w:val="41062D9D"/>
    <w:rsid w:val="45454AB8"/>
    <w:rsid w:val="46C2047E"/>
    <w:rsid w:val="46EB0AAF"/>
    <w:rsid w:val="47B427C5"/>
    <w:rsid w:val="47D06B78"/>
    <w:rsid w:val="49F835E5"/>
    <w:rsid w:val="4C4A6392"/>
    <w:rsid w:val="51995A34"/>
    <w:rsid w:val="580A7F66"/>
    <w:rsid w:val="5893612C"/>
    <w:rsid w:val="59B07A6C"/>
    <w:rsid w:val="5A417F79"/>
    <w:rsid w:val="5E587F24"/>
    <w:rsid w:val="5FB17BB4"/>
    <w:rsid w:val="622546A7"/>
    <w:rsid w:val="622B235D"/>
    <w:rsid w:val="62B72468"/>
    <w:rsid w:val="63C3616A"/>
    <w:rsid w:val="65C504BE"/>
    <w:rsid w:val="66F26A79"/>
    <w:rsid w:val="6742694B"/>
    <w:rsid w:val="699E3490"/>
    <w:rsid w:val="69EA190C"/>
    <w:rsid w:val="6D2726C5"/>
    <w:rsid w:val="6DB568EE"/>
    <w:rsid w:val="73726EFB"/>
    <w:rsid w:val="73B463CB"/>
    <w:rsid w:val="74D14C9A"/>
    <w:rsid w:val="797432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link w:val="22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szCs w:val="24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8"/>
    <w:qFormat/>
    <w:uiPriority w:val="0"/>
  </w:style>
  <w:style w:type="paragraph" w:styleId="4">
    <w:name w:val="Body Text Indent"/>
    <w:basedOn w:val="1"/>
    <w:link w:val="23"/>
    <w:uiPriority w:val="0"/>
    <w:pPr>
      <w:spacing w:after="120"/>
      <w:ind w:left="420" w:leftChars="200"/>
    </w:pPr>
  </w:style>
  <w:style w:type="paragraph" w:styleId="5">
    <w:name w:val="toc 5"/>
    <w:basedOn w:val="1"/>
    <w:next w:val="1"/>
    <w:unhideWhenUsed/>
    <w:qFormat/>
    <w:uiPriority w:val="39"/>
    <w:pPr>
      <w:ind w:left="1120"/>
      <w:jc w:val="left"/>
    </w:pPr>
    <w:rPr>
      <w:rFonts w:ascii="Times New Roman" w:hAnsi="Times New Roman" w:eastAsia="宋体" w:cs="Times New Roman"/>
      <w:sz w:val="21"/>
      <w:szCs w:val="21"/>
    </w:rPr>
  </w:style>
  <w:style w:type="paragraph" w:styleId="6">
    <w:name w:val="Date"/>
    <w:basedOn w:val="1"/>
    <w:next w:val="1"/>
    <w:link w:val="16"/>
    <w:qFormat/>
    <w:uiPriority w:val="0"/>
    <w:pPr>
      <w:ind w:left="100" w:leftChars="2500"/>
    </w:pPr>
  </w:style>
  <w:style w:type="paragraph" w:styleId="7">
    <w:name w:val="Balloon Text"/>
    <w:basedOn w:val="1"/>
    <w:link w:val="20"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Theme="minorHAnsi" w:hAnsi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黑体_GBK" w:hAnsi="Calibri" w:eastAsia="方正黑体_GBK" w:cstheme="minorBidi"/>
      <w:color w:val="000000"/>
      <w:sz w:val="24"/>
      <w:szCs w:val="22"/>
      <w:lang w:val="en-US" w:eastAsia="zh-CN" w:bidi="ar-SA"/>
    </w:rPr>
  </w:style>
  <w:style w:type="character" w:customStyle="1" w:styleId="16">
    <w:name w:val="日期 Char"/>
    <w:basedOn w:val="13"/>
    <w:link w:val="6"/>
    <w:uiPriority w:val="0"/>
    <w:rPr>
      <w:rFonts w:eastAsia="方正仿宋_GBK" w:asciiTheme="minorHAnsi" w:hAnsiTheme="minorHAnsi" w:cstheme="minorBidi"/>
      <w:kern w:val="2"/>
      <w:sz w:val="32"/>
      <w:szCs w:val="22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正文文本 Char"/>
    <w:basedOn w:val="13"/>
    <w:link w:val="2"/>
    <w:uiPriority w:val="0"/>
    <w:rPr>
      <w:rFonts w:eastAsia="方正仿宋_GBK" w:asciiTheme="minorHAnsi" w:hAnsiTheme="minorHAnsi" w:cstheme="minorBidi"/>
      <w:kern w:val="2"/>
      <w:sz w:val="32"/>
      <w:szCs w:val="22"/>
    </w:rPr>
  </w:style>
  <w:style w:type="character" w:customStyle="1" w:styleId="19">
    <w:name w:val="页脚 Char"/>
    <w:basedOn w:val="13"/>
    <w:link w:val="8"/>
    <w:uiPriority w:val="99"/>
    <w:rPr>
      <w:rFonts w:eastAsia="方正仿宋_GBK" w:asciiTheme="minorHAnsi" w:hAnsiTheme="minorHAnsi" w:cstheme="minorBidi"/>
      <w:kern w:val="2"/>
      <w:sz w:val="18"/>
      <w:szCs w:val="22"/>
    </w:rPr>
  </w:style>
  <w:style w:type="character" w:customStyle="1" w:styleId="20">
    <w:name w:val="批注框文本 Char"/>
    <w:basedOn w:val="13"/>
    <w:link w:val="7"/>
    <w:uiPriority w:val="0"/>
    <w:rPr>
      <w:rFonts w:eastAsia="方正仿宋_GBK" w:asciiTheme="minorHAnsi" w:hAnsiTheme="minorHAnsi" w:cstheme="minorBidi"/>
      <w:kern w:val="2"/>
      <w:sz w:val="18"/>
      <w:szCs w:val="18"/>
    </w:rPr>
  </w:style>
  <w:style w:type="paragraph" w:customStyle="1" w:styleId="21">
    <w:name w:val="_Style 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21"/>
      <w:szCs w:val="24"/>
    </w:rPr>
  </w:style>
  <w:style w:type="character" w:customStyle="1" w:styleId="22">
    <w:name w:val="标题 2 Char"/>
    <w:basedOn w:val="13"/>
    <w:link w:val="3"/>
    <w:uiPriority w:val="9"/>
    <w:rPr>
      <w:rFonts w:ascii="Arial" w:hAnsi="Arial" w:eastAsia="黑体"/>
      <w:kern w:val="2"/>
      <w:sz w:val="32"/>
      <w:szCs w:val="24"/>
    </w:rPr>
  </w:style>
  <w:style w:type="character" w:customStyle="1" w:styleId="23">
    <w:name w:val="正文文本缩进 Char"/>
    <w:basedOn w:val="13"/>
    <w:link w:val="4"/>
    <w:uiPriority w:val="0"/>
    <w:rPr>
      <w:rFonts w:eastAsia="方正仿宋_GBK" w:asciiTheme="minorHAnsi" w:hAnsiTheme="minorHAnsi" w:cstheme="minorBidi"/>
      <w:kern w:val="2"/>
      <w:sz w:val="32"/>
      <w:szCs w:val="22"/>
    </w:rPr>
  </w:style>
  <w:style w:type="paragraph" w:customStyle="1" w:styleId="24">
    <w:name w:val="hl正文"/>
    <w:basedOn w:val="2"/>
    <w:link w:val="25"/>
    <w:qFormat/>
    <w:uiPriority w:val="0"/>
    <w:pPr>
      <w:adjustRightInd w:val="0"/>
      <w:snapToGrid w:val="0"/>
      <w:spacing w:line="560" w:lineRule="exact"/>
      <w:ind w:firstLine="200" w:firstLineChars="200"/>
      <w:textAlignment w:val="center"/>
    </w:pPr>
    <w:rPr>
      <w:rFonts w:ascii="宋体" w:hAnsi="宋体" w:eastAsia="宋体" w:cs="Times New Roman"/>
      <w:sz w:val="24"/>
      <w:szCs w:val="28"/>
    </w:rPr>
  </w:style>
  <w:style w:type="character" w:customStyle="1" w:styleId="25">
    <w:name w:val="hl正文 Char"/>
    <w:link w:val="24"/>
    <w:qFormat/>
    <w:uiPriority w:val="0"/>
    <w:rPr>
      <w:rFonts w:ascii="宋体" w:hAnsi="宋体" w:eastAsia="宋体"/>
      <w:kern w:val="2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90E0C-A999-4835-9923-3B19FC100A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5</Pages>
  <Words>1751</Words>
  <Characters>1984</Characters>
  <Lines>15</Lines>
  <Paragraphs>4</Paragraphs>
  <TotalTime>534</TotalTime>
  <ScaleCrop>false</ScaleCrop>
  <LinksUpToDate>false</LinksUpToDate>
  <CharactersWithSpaces>2039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2022-03-09T07:11:00Z</dcterms:created>
  <dc:creator>Administrator</dc:creator>
  <cp:lastModifiedBy>做个梦吧</cp:lastModifiedBy>
  <cp:lastPrinted>2025-05-13T10:02:00Z</cp:lastPrinted>
  <dcterms:modified xsi:type="dcterms:W3CDTF">2025-09-18T07:08:09Z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D411EE6DFE4F4FE1B37CCC42A540E44F</vt:lpwstr>
  </property>
  <property fmtid="{D5CDD505-2E9C-101B-9397-08002B2CF9AE}" pid="4" name="KSOTemplateDocerSaveRecord">
    <vt:lpwstr>eyJoZGlkIjoiYTJlNzA4OGUyNTFlNmZiMTI2YzYxMTlhODM5YWQwZGIiLCJ1c2VySWQiOiIzMDc1NTIzODcifQ==</vt:lpwstr>
  </property>
</Properties>
</file>