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913C0"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 w14:paraId="087C99EB">
      <w:pPr>
        <w:pStyle w:val="2"/>
        <w:adjustRightInd w:val="0"/>
        <w:snapToGrid w:val="0"/>
        <w:spacing w:line="500" w:lineRule="exact"/>
      </w:pPr>
    </w:p>
    <w:p w14:paraId="7A9493C6"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 w14:paraId="719CC342">
      <w:pPr>
        <w:spacing w:line="540" w:lineRule="exact"/>
        <w:jc w:val="center"/>
        <w:rPr>
          <w:rFonts w:ascii="仿宋_GB2312" w:eastAsia="仿宋_GB2312"/>
          <w:szCs w:val="32"/>
        </w:rPr>
      </w:pPr>
    </w:p>
    <w:p w14:paraId="4733A722">
      <w:pPr>
        <w:spacing w:line="540" w:lineRule="exact"/>
        <w:rPr>
          <w:rFonts w:ascii="仿宋_GB2312" w:eastAsia="仿宋_GB2312"/>
          <w:szCs w:val="32"/>
        </w:rPr>
      </w:pPr>
    </w:p>
    <w:p w14:paraId="6BE4C541">
      <w:pPr>
        <w:spacing w:line="540" w:lineRule="exact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</w:rPr>
        <w:t>水许可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</w:rPr>
        <w:t>41</w:t>
      </w:r>
      <w:r>
        <w:rPr>
          <w:rFonts w:ascii="Times New Roman" w:hAnsi="Times New Roman" w:cs="Times New Roman"/>
          <w:szCs w:val="32"/>
        </w:rPr>
        <w:t>号</w:t>
      </w:r>
    </w:p>
    <w:p w14:paraId="711ED7CD"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 w14:paraId="13155FB8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重庆市永川区水利局</w:t>
      </w:r>
    </w:p>
    <w:p w14:paraId="54B4257E">
      <w:pPr>
        <w:spacing w:line="600" w:lineRule="exact"/>
        <w:jc w:val="center"/>
        <w:rPr>
          <w:rFonts w:eastAsia="方正小标宋_GBK"/>
          <w:bCs/>
          <w:spacing w:val="6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永川区来苏镇、吉安镇等6个镇（街）大中型水库移民后期扶持产业转型升级项目初步</w:t>
      </w:r>
      <w:r>
        <w:rPr>
          <w:rFonts w:ascii="Times New Roman" w:hAnsi="Times New Roman" w:eastAsia="方正小标宋_GBK" w:cs="Times New Roman"/>
          <w:sz w:val="44"/>
          <w:szCs w:val="44"/>
        </w:rPr>
        <w:t>设计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变更</w:t>
      </w:r>
      <w:r>
        <w:rPr>
          <w:rFonts w:ascii="Times New Roman" w:hAnsi="Times New Roman" w:eastAsia="方正小标宋_GBK" w:cs="Times New Roman"/>
          <w:sz w:val="44"/>
          <w:szCs w:val="44"/>
        </w:rPr>
        <w:t>报告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准予行政许可</w:t>
      </w:r>
      <w:r>
        <w:rPr>
          <w:rFonts w:hint="eastAsia" w:eastAsia="方正小标宋_GBK"/>
          <w:bCs/>
          <w:spacing w:val="6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决定</w:t>
      </w:r>
    </w:p>
    <w:p w14:paraId="05A2A983">
      <w:pPr>
        <w:spacing w:line="594" w:lineRule="exact"/>
        <w:jc w:val="left"/>
        <w:rPr>
          <w:rFonts w:ascii="方正小标宋_GBK" w:eastAsia="方正小标宋_GBK"/>
          <w:sz w:val="44"/>
          <w:szCs w:val="44"/>
        </w:rPr>
      </w:pPr>
    </w:p>
    <w:p w14:paraId="1347E993">
      <w:pPr>
        <w:snapToGrid w:val="0"/>
        <w:spacing w:line="594" w:lineRule="exact"/>
        <w:jc w:val="left"/>
        <w:rPr>
          <w:rFonts w:ascii="Times New Roman" w:hAnsi="Times New Roman" w:cs="Times New Roman"/>
          <w:spacing w:val="-24"/>
          <w:szCs w:val="32"/>
        </w:rPr>
      </w:pPr>
      <w:r>
        <w:rPr>
          <w:rFonts w:hint="eastAsia"/>
          <w:szCs w:val="32"/>
        </w:rPr>
        <w:t>重庆市永川区水利站</w:t>
      </w:r>
      <w:r>
        <w:rPr>
          <w:rFonts w:ascii="Times New Roman" w:hAnsi="Times New Roman" w:cs="Times New Roman"/>
          <w:spacing w:val="-24"/>
          <w:szCs w:val="32"/>
        </w:rPr>
        <w:t>：</w:t>
      </w:r>
    </w:p>
    <w:p w14:paraId="21FE5AE5">
      <w:pPr>
        <w:spacing w:line="594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你单位提交</w:t>
      </w:r>
      <w:r>
        <w:rPr>
          <w:szCs w:val="32"/>
        </w:rPr>
        <w:t>的《</w:t>
      </w:r>
      <w:r>
        <w:rPr>
          <w:rFonts w:hint="eastAsia"/>
          <w:szCs w:val="32"/>
        </w:rPr>
        <w:t>永川区来苏镇、吉安镇等6个镇（街）大中型水库移民后期扶持产业转型升级项目初步设计变更报告</w:t>
      </w:r>
      <w:r>
        <w:rPr>
          <w:szCs w:val="32"/>
        </w:rPr>
        <w:t>》审批申请和有关资料收悉。根</w:t>
      </w:r>
      <w:r>
        <w:rPr>
          <w:rFonts w:ascii="Times New Roman" w:hAnsi="Times New Roman" w:cs="Times New Roman"/>
          <w:szCs w:val="32"/>
        </w:rPr>
        <w:t>据《中华人民共和国行政许可法》第三十八条第一款、《水行政许可实施办法》第三十二条第一项规定及专家组对该报告的技术审查意见，经研究，决定准予行政许可。</w:t>
      </w:r>
    </w:p>
    <w:p w14:paraId="596DEAC6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一、</w:t>
      </w:r>
      <w:r>
        <w:rPr>
          <w:rFonts w:hint="eastAsia" w:ascii="Times New Roman" w:hAnsi="Times New Roman" w:eastAsia="方正黑体_GBK" w:cs="Times New Roman"/>
          <w:szCs w:val="32"/>
        </w:rPr>
        <w:t>设计变更缘由</w:t>
      </w:r>
    </w:p>
    <w:p w14:paraId="62E9DB60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hint="eastAsia" w:ascii="Times New Roman" w:hAnsi="方正仿宋_GBK" w:cs="Times New Roman"/>
          <w:szCs w:val="32"/>
        </w:rPr>
        <w:t>设计变更缘由较充分，原则同意设计变更缘由。</w:t>
      </w:r>
    </w:p>
    <w:p w14:paraId="305EEB75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二、</w:t>
      </w:r>
      <w:r>
        <w:rPr>
          <w:rFonts w:hint="eastAsia" w:ascii="Times New Roman" w:hAnsi="Times New Roman" w:eastAsia="方正黑体_GBK" w:cs="Times New Roman"/>
          <w:szCs w:val="32"/>
        </w:rPr>
        <w:t>设计变更内容</w:t>
      </w:r>
    </w:p>
    <w:p w14:paraId="71311CD9">
      <w:pPr>
        <w:spacing w:line="594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（一）工程任务</w:t>
      </w:r>
    </w:p>
    <w:p w14:paraId="05F796C2">
      <w:pPr>
        <w:spacing w:line="594" w:lineRule="exact"/>
        <w:rPr>
          <w:szCs w:val="32"/>
        </w:rPr>
      </w:pPr>
      <w:r>
        <w:rPr>
          <w:rFonts w:hint="eastAsia"/>
          <w:szCs w:val="32"/>
        </w:rPr>
        <w:t xml:space="preserve">    变更总体布置可行，符合工程实际，变更后更符合产业转型升级任务。</w:t>
      </w:r>
    </w:p>
    <w:p w14:paraId="1009B133">
      <w:pPr>
        <w:pStyle w:val="2"/>
        <w:spacing w:line="594" w:lineRule="exact"/>
      </w:pPr>
      <w:r>
        <w:rPr>
          <w:rFonts w:hint="eastAsia"/>
          <w:szCs w:val="32"/>
        </w:rPr>
        <w:t xml:space="preserve">    （二）建设内容变更</w:t>
      </w:r>
    </w:p>
    <w:p w14:paraId="51B0742F">
      <w:pPr>
        <w:spacing w:line="594" w:lineRule="exact"/>
        <w:ind w:firstLine="640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hint="eastAsia"/>
          <w:szCs w:val="32"/>
        </w:rPr>
        <w:t>原则同意设计变更建设内容，变更后建设</w:t>
      </w:r>
      <w:r>
        <w:rPr>
          <w:rFonts w:ascii="Times New Roman" w:cs="Times New Roman"/>
          <w:szCs w:val="32"/>
        </w:rPr>
        <w:t>内容</w:t>
      </w:r>
      <w:r>
        <w:rPr>
          <w:rFonts w:ascii="Times New Roman" w:hAnsi="Times New Roman" w:cs="Times New Roman"/>
          <w:szCs w:val="32"/>
        </w:rPr>
        <w:t>：</w:t>
      </w:r>
    </w:p>
    <w:p w14:paraId="288DD12C">
      <w:pPr>
        <w:spacing w:line="594" w:lineRule="exact"/>
        <w:ind w:firstLine="64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1、金龙镇金鼎村农产品粮油加工及仓储：场地硬化1765m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，C25砼格构框格护坡750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，防护网围栏132m，厂区大门1扇，C20埋石砼挡墙60.0m。新建钢结构厂房977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，仓储300吨钢板仓、气调库200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、活动板房280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。购置单次烘干能力为21吨稻谷的烘干设备2台、控制系统1套以及烘干机配套辅助设备等。大米加工设备一套。</w:t>
      </w:r>
    </w:p>
    <w:p w14:paraId="5008CF1E">
      <w:pPr>
        <w:spacing w:line="594" w:lineRule="exact"/>
        <w:ind w:firstLine="64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2、宝峰镇龙凤桥村农产品加工中心：场地硬化1338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，C20埋石砼卸料平台360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，卸料进场道路宽4.0m长20m，防护网围栏183m，厂区大门1扇，DN300排水涵管15m；登东场农产品展示中心：场地硬化 500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，道路硬化宽4.5m长40.0m，C20埋石砼挡墙35m，砖砌围墙长258m，休闲座椅1套，垃圾箱1个，休憩石凳1套，体育设施1套。</w:t>
      </w:r>
    </w:p>
    <w:p w14:paraId="2F087ACB">
      <w:pPr>
        <w:spacing w:line="594" w:lineRule="exact"/>
        <w:ind w:firstLine="64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3、来苏镇关门山村</w:t>
      </w:r>
      <w:r>
        <w:rPr>
          <w:rFonts w:hint="eastAsia" w:ascii="Times New Roman" w:hAnsi="Times New Roman" w:cs="Times New Roman"/>
          <w:szCs w:val="32"/>
        </w:rPr>
        <w:t>厂房建设</w:t>
      </w:r>
      <w:r>
        <w:rPr>
          <w:rFonts w:ascii="Times New Roman" w:hAnsi="Times New Roman" w:cs="Times New Roman"/>
          <w:szCs w:val="32"/>
        </w:rPr>
        <w:t>：</w:t>
      </w:r>
      <w:bookmarkStart w:id="0" w:name="OLE_LINK15"/>
      <w:r>
        <w:rPr>
          <w:rFonts w:ascii="Times New Roman" w:hAnsi="Times New Roman" w:cs="Times New Roman"/>
          <w:szCs w:val="32"/>
        </w:rPr>
        <w:t>新建砖混结构厂房600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（两层），钢结构厂房580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（一层）</w:t>
      </w:r>
      <w:bookmarkEnd w:id="0"/>
      <w:r>
        <w:rPr>
          <w:rFonts w:ascii="Times New Roman" w:hAnsi="Times New Roman" w:cs="Times New Roman"/>
          <w:szCs w:val="32"/>
        </w:rPr>
        <w:t>，新建道路232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，场地硬化2580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，修筑防护网围栏226m</w:t>
      </w:r>
      <w:r>
        <w:rPr>
          <w:rFonts w:hint="eastAsia" w:ascii="Times New Roman" w:hAnsi="Times New Roman" w:cs="Times New Roman"/>
          <w:szCs w:val="32"/>
        </w:rPr>
        <w:t>，</w:t>
      </w:r>
      <w:r>
        <w:rPr>
          <w:rFonts w:ascii="Times New Roman" w:hAnsi="Times New Roman" w:cs="Times New Roman"/>
          <w:szCs w:val="32"/>
        </w:rPr>
        <w:t>厂区大门1道，片石砼挡墙92m。</w:t>
      </w:r>
    </w:p>
    <w:p w14:paraId="1EE436D3">
      <w:pPr>
        <w:spacing w:line="594" w:lineRule="exact"/>
        <w:ind w:firstLine="64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4、吉安镇向前村烘干仓储：场地硬化1860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，修筑防护网围栏70m，厂区大门1扇，原房屋拆除。15吨谷物干燥机1台，智能控制系统1套，烘干机配套辅助设备1套，活动板房110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，钢结构厂房1020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hint="eastAsia" w:ascii="Times New Roman" w:hAnsi="Times New Roman" w:cs="Times New Roman"/>
          <w:szCs w:val="32"/>
        </w:rPr>
        <w:t>；</w:t>
      </w:r>
      <w:r>
        <w:rPr>
          <w:rFonts w:ascii="Times New Roman" w:hAnsi="Times New Roman" w:cs="Times New Roman"/>
          <w:szCs w:val="32"/>
        </w:rPr>
        <w:t>吉安镇寒泸村：购买21吨谷物干燥机1台，15吨谷物干燥机1台，仓储300吨钢板仓。</w:t>
      </w:r>
    </w:p>
    <w:p w14:paraId="4C28013D">
      <w:pPr>
        <w:spacing w:line="594" w:lineRule="exact"/>
        <w:ind w:firstLine="64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5、仙龙镇金石村柑橘园水果包装厂房：新建果园围栏3500m，水果加工厂房600 m</w:t>
      </w:r>
      <w:r>
        <w:rPr>
          <w:rFonts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。购买水果加工线（10吨/小时）1套。购置烘干厂房配套设施设备，20吨谷物干燥机2台，15吨谷物干燥机1台，碾米机设备一套。</w:t>
      </w:r>
    </w:p>
    <w:p w14:paraId="2D4B91E3">
      <w:pPr>
        <w:spacing w:line="594" w:lineRule="exact"/>
        <w:ind w:firstLine="640" w:firstLineChars="200"/>
        <w:jc w:val="left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三、</w:t>
      </w:r>
      <w:r>
        <w:rPr>
          <w:rFonts w:hint="eastAsia" w:ascii="Times New Roman" w:hAnsi="Times New Roman" w:eastAsia="方正黑体_GBK" w:cs="Times New Roman"/>
          <w:szCs w:val="32"/>
        </w:rPr>
        <w:t>概算投资</w:t>
      </w:r>
    </w:p>
    <w:p w14:paraId="4ECECCAD">
      <w:pPr>
        <w:spacing w:line="594" w:lineRule="exact"/>
        <w:ind w:firstLine="640"/>
        <w:rPr>
          <w:rFonts w:ascii="方正仿宋_GBK"/>
          <w:szCs w:val="32"/>
        </w:rPr>
      </w:pPr>
      <w:r>
        <w:rPr>
          <w:rFonts w:hint="eastAsia"/>
          <w:szCs w:val="32"/>
        </w:rPr>
        <w:t>工程变更后概算</w:t>
      </w:r>
      <w:r>
        <w:rPr>
          <w:rFonts w:ascii="Times New Roman" w:hAnsi="Times New Roman" w:cs="Times New Roman"/>
          <w:szCs w:val="32"/>
        </w:rPr>
        <w:t>投资</w:t>
      </w:r>
      <w:r>
        <w:rPr>
          <w:rFonts w:hint="eastAsia" w:ascii="Times New Roman" w:hAnsi="Times New Roman" w:cs="Times New Roman"/>
          <w:szCs w:val="32"/>
        </w:rPr>
        <w:t>1982.67</w:t>
      </w:r>
      <w:r>
        <w:rPr>
          <w:rFonts w:ascii="Times New Roman" w:hAnsi="Times New Roman" w:cs="Times New Roman"/>
          <w:szCs w:val="32"/>
        </w:rPr>
        <w:t>万元，较原初设</w:t>
      </w:r>
      <w:r>
        <w:rPr>
          <w:rFonts w:hint="eastAsia" w:ascii="Times New Roman" w:hAnsi="Times New Roman" w:cs="Times New Roman"/>
          <w:szCs w:val="32"/>
        </w:rPr>
        <w:t>批复投资</w:t>
      </w:r>
      <w:r>
        <w:rPr>
          <w:rFonts w:ascii="Times New Roman" w:hAnsi="Times New Roman" w:cs="Times New Roman"/>
          <w:szCs w:val="32"/>
        </w:rPr>
        <w:t>减少</w:t>
      </w:r>
      <w:r>
        <w:rPr>
          <w:rFonts w:hint="eastAsia" w:ascii="Times New Roman" w:hAnsi="Times New Roman" w:cs="Times New Roman"/>
          <w:szCs w:val="32"/>
        </w:rPr>
        <w:t>52.1</w:t>
      </w:r>
      <w:r>
        <w:rPr>
          <w:rFonts w:ascii="Times New Roman" w:hAnsi="Times New Roman" w:cs="Times New Roman"/>
          <w:szCs w:val="32"/>
        </w:rPr>
        <w:t>万元。具体以变</w:t>
      </w:r>
      <w:r>
        <w:rPr>
          <w:rFonts w:hint="eastAsia"/>
          <w:szCs w:val="32"/>
        </w:rPr>
        <w:t>更审核为准</w:t>
      </w:r>
      <w:r>
        <w:rPr>
          <w:rFonts w:hint="eastAsia" w:ascii="方正仿宋_GBK"/>
          <w:szCs w:val="32"/>
        </w:rPr>
        <w:t>。</w:t>
      </w:r>
    </w:p>
    <w:p w14:paraId="186E66E8">
      <w:pPr>
        <w:spacing w:line="594" w:lineRule="exact"/>
        <w:ind w:firstLine="640"/>
        <w:rPr>
          <w:rFonts w:ascii="Times New Roman" w:hAnsi="Times New Roman" w:eastAsia="方正黑体_GBK" w:cs="Times New Roman"/>
          <w:szCs w:val="32"/>
        </w:rPr>
      </w:pPr>
      <w:r>
        <w:rPr>
          <w:rFonts w:hint="eastAsia" w:ascii="Times New Roman" w:hAnsi="Times New Roman" w:eastAsia="方正黑体_GBK" w:cs="Times New Roman"/>
          <w:szCs w:val="32"/>
        </w:rPr>
        <w:t>四、其他</w:t>
      </w:r>
    </w:p>
    <w:p w14:paraId="346D42BC">
      <w:pPr>
        <w:spacing w:line="594" w:lineRule="exact"/>
        <w:ind w:firstLine="64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（一）在确保工程质量和安全的前提下，请你单位加快工程建设进度，早日发挥工程效益。</w:t>
      </w:r>
    </w:p>
    <w:p w14:paraId="0364BD71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方正仿宋_GBK"/>
          <w:szCs w:val="32"/>
        </w:rPr>
        <w:t>（二）工程完工后，请你单位加快竣工验收工作。</w:t>
      </w:r>
      <w:r>
        <w:rPr>
          <w:rFonts w:hint="eastAsia" w:ascii="Times New Roman" w:hAnsi="方正仿宋_GBK" w:cs="Times New Roman"/>
          <w:szCs w:val="32"/>
        </w:rPr>
        <w:t xml:space="preserve">  </w:t>
      </w:r>
      <w:r>
        <w:rPr>
          <w:rFonts w:hint="eastAsia" w:ascii="Times New Roman" w:hAnsi="Times New Roman" w:cs="Times New Roman"/>
          <w:szCs w:val="32"/>
        </w:rPr>
        <w:t xml:space="preserve">                           </w:t>
      </w:r>
    </w:p>
    <w:p w14:paraId="608D6C10">
      <w:pPr>
        <w:spacing w:line="594" w:lineRule="exact"/>
        <w:ind w:firstLine="5600" w:firstLineChars="1750"/>
        <w:rPr>
          <w:rFonts w:ascii="Times New Roman" w:hAnsi="Times New Roman" w:cs="Times New Roman"/>
          <w:szCs w:val="32"/>
        </w:rPr>
      </w:pPr>
    </w:p>
    <w:p w14:paraId="72BB998B">
      <w:pPr>
        <w:spacing w:line="594" w:lineRule="exact"/>
        <w:ind w:firstLine="5120" w:firstLineChars="16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重庆市永川区水利局</w:t>
      </w:r>
    </w:p>
    <w:p w14:paraId="4EDD8940">
      <w:pPr>
        <w:spacing w:line="570" w:lineRule="exact"/>
        <w:ind w:firstLine="720" w:firstLineChars="225"/>
        <w:jc w:val="center"/>
        <w:rPr>
          <w:rFonts w:ascii="Times New Roman" w:hAnsi="Times New Roman" w:cs="Times New Roman"/>
          <w:color w:val="FF0000"/>
          <w:szCs w:val="32"/>
          <w:highlight w:val="yellow"/>
        </w:rPr>
      </w:pPr>
      <w:r>
        <w:rPr>
          <w:rFonts w:ascii="Times New Roman" w:hAnsi="Times New Roman" w:cs="Times New Roman"/>
          <w:color w:val="FF0000"/>
          <w:szCs w:val="32"/>
        </w:rPr>
        <w:t xml:space="preserve">                          </w:t>
      </w:r>
      <w:bookmarkStart w:id="1" w:name="_GoBack"/>
      <w:bookmarkEnd w:id="1"/>
      <w:r>
        <w:rPr>
          <w:rFonts w:ascii="Times New Roman" w:hAnsi="Times New Roman" w:cs="Times New Roman"/>
          <w:color w:val="000000"/>
          <w:szCs w:val="32"/>
        </w:rPr>
        <w:t xml:space="preserve"> 202</w:t>
      </w:r>
      <w:r>
        <w:rPr>
          <w:rFonts w:hint="eastAsia"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szCs w:val="32"/>
        </w:rPr>
        <w:t>4</w:t>
      </w:r>
      <w:r>
        <w:rPr>
          <w:rFonts w:ascii="Times New Roman" w:hAnsi="Times New Roman" w:cs="Times New Roman"/>
          <w:color w:val="000000"/>
          <w:szCs w:val="32"/>
        </w:rPr>
        <w:t>日</w:t>
      </w:r>
    </w:p>
    <w:p w14:paraId="6054E2CD">
      <w:pPr>
        <w:pStyle w:val="5"/>
        <w:spacing w:line="570" w:lineRule="exact"/>
        <w:ind w:left="0"/>
        <w:rPr>
          <w:rFonts w:hint="eastAsia" w:eastAsia="方正仿宋_GBK"/>
          <w:sz w:val="32"/>
          <w:szCs w:val="32"/>
        </w:rPr>
      </w:pPr>
    </w:p>
    <w:p w14:paraId="790C5E0C">
      <w:pPr>
        <w:pStyle w:val="5"/>
        <w:spacing w:line="570" w:lineRule="exact"/>
        <w:ind w:left="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（此件公开发布）</w:t>
      </w:r>
    </w:p>
    <w:p w14:paraId="59812F25">
      <w:pPr>
        <w:pStyle w:val="2"/>
        <w:rPr>
          <w:rFonts w:hint="eastAsia"/>
        </w:rPr>
      </w:pPr>
    </w:p>
    <w:p w14:paraId="362A719E">
      <w:pPr>
        <w:pStyle w:val="2"/>
      </w:pPr>
    </w:p>
    <w:p w14:paraId="7D090322">
      <w:pPr>
        <w:tabs>
          <w:tab w:val="left" w:pos="1745"/>
        </w:tabs>
        <w:rPr>
          <w:rFonts w:ascii="Times New Roman" w:hAnsi="Times New Roman" w:cs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7F335">
    <w:pPr>
      <w:pStyle w:val="8"/>
      <w:jc w:val="right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576ED18B">
    <w:pPr>
      <w:pStyle w:val="8"/>
      <w:ind w:right="360" w:firstLine="360"/>
      <w:jc w:val="right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334D9">
    <w:pPr>
      <w:pStyle w:val="8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58FE5060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evenAndOddHeaders w:val="1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6A6F"/>
    <w:rsid w:val="00041898"/>
    <w:rsid w:val="000574B9"/>
    <w:rsid w:val="000A439B"/>
    <w:rsid w:val="000D69CF"/>
    <w:rsid w:val="00100051"/>
    <w:rsid w:val="001423C0"/>
    <w:rsid w:val="00143EEF"/>
    <w:rsid w:val="00161C0A"/>
    <w:rsid w:val="001729EE"/>
    <w:rsid w:val="00173647"/>
    <w:rsid w:val="001D24EB"/>
    <w:rsid w:val="001E00DE"/>
    <w:rsid w:val="001E08BE"/>
    <w:rsid w:val="002004BD"/>
    <w:rsid w:val="0023791B"/>
    <w:rsid w:val="00240D8F"/>
    <w:rsid w:val="00245898"/>
    <w:rsid w:val="00254AD5"/>
    <w:rsid w:val="00256890"/>
    <w:rsid w:val="00266A59"/>
    <w:rsid w:val="00291F4A"/>
    <w:rsid w:val="002B20D2"/>
    <w:rsid w:val="002B4E1C"/>
    <w:rsid w:val="002C6E34"/>
    <w:rsid w:val="002D7CF5"/>
    <w:rsid w:val="002E7C30"/>
    <w:rsid w:val="002F7A98"/>
    <w:rsid w:val="00300D0A"/>
    <w:rsid w:val="00317529"/>
    <w:rsid w:val="00355BB0"/>
    <w:rsid w:val="003654F1"/>
    <w:rsid w:val="003730E6"/>
    <w:rsid w:val="003821AB"/>
    <w:rsid w:val="00384140"/>
    <w:rsid w:val="00386B06"/>
    <w:rsid w:val="003B535E"/>
    <w:rsid w:val="003B71A3"/>
    <w:rsid w:val="003D7C2F"/>
    <w:rsid w:val="003E18EB"/>
    <w:rsid w:val="003F00C2"/>
    <w:rsid w:val="00407321"/>
    <w:rsid w:val="00414340"/>
    <w:rsid w:val="00424071"/>
    <w:rsid w:val="004275E8"/>
    <w:rsid w:val="00431078"/>
    <w:rsid w:val="00461AB8"/>
    <w:rsid w:val="004665C9"/>
    <w:rsid w:val="004749E6"/>
    <w:rsid w:val="004A743A"/>
    <w:rsid w:val="004D128F"/>
    <w:rsid w:val="004E047C"/>
    <w:rsid w:val="004E7044"/>
    <w:rsid w:val="00510049"/>
    <w:rsid w:val="00521F6F"/>
    <w:rsid w:val="005453BD"/>
    <w:rsid w:val="005537CA"/>
    <w:rsid w:val="00562859"/>
    <w:rsid w:val="00585DD0"/>
    <w:rsid w:val="00594FCD"/>
    <w:rsid w:val="005958DC"/>
    <w:rsid w:val="005967BB"/>
    <w:rsid w:val="005C1641"/>
    <w:rsid w:val="005D66B6"/>
    <w:rsid w:val="005E3F54"/>
    <w:rsid w:val="00623DB0"/>
    <w:rsid w:val="006252BF"/>
    <w:rsid w:val="00650D0A"/>
    <w:rsid w:val="006604C1"/>
    <w:rsid w:val="0066242F"/>
    <w:rsid w:val="00677CEE"/>
    <w:rsid w:val="006960EA"/>
    <w:rsid w:val="006A7D5F"/>
    <w:rsid w:val="006B1BC1"/>
    <w:rsid w:val="006B3BB5"/>
    <w:rsid w:val="006C27EF"/>
    <w:rsid w:val="006C3F0A"/>
    <w:rsid w:val="006C5AF4"/>
    <w:rsid w:val="006C66D4"/>
    <w:rsid w:val="007075F6"/>
    <w:rsid w:val="00714838"/>
    <w:rsid w:val="00722157"/>
    <w:rsid w:val="0073659E"/>
    <w:rsid w:val="007477BE"/>
    <w:rsid w:val="0076230F"/>
    <w:rsid w:val="007A1C0F"/>
    <w:rsid w:val="007E2C03"/>
    <w:rsid w:val="00802031"/>
    <w:rsid w:val="00804ED4"/>
    <w:rsid w:val="00812643"/>
    <w:rsid w:val="008142B1"/>
    <w:rsid w:val="008347D6"/>
    <w:rsid w:val="00835A60"/>
    <w:rsid w:val="0085616D"/>
    <w:rsid w:val="008667A6"/>
    <w:rsid w:val="00866CDB"/>
    <w:rsid w:val="00866F1A"/>
    <w:rsid w:val="008821A1"/>
    <w:rsid w:val="0089744F"/>
    <w:rsid w:val="008B0DC0"/>
    <w:rsid w:val="008B3E70"/>
    <w:rsid w:val="008C38C9"/>
    <w:rsid w:val="008D0D1B"/>
    <w:rsid w:val="009030F2"/>
    <w:rsid w:val="00912CEE"/>
    <w:rsid w:val="009277A0"/>
    <w:rsid w:val="00943BF8"/>
    <w:rsid w:val="00966EE2"/>
    <w:rsid w:val="00970DB2"/>
    <w:rsid w:val="0097796D"/>
    <w:rsid w:val="009B408B"/>
    <w:rsid w:val="009B4C1F"/>
    <w:rsid w:val="009C2ECB"/>
    <w:rsid w:val="009D0CD9"/>
    <w:rsid w:val="009D4039"/>
    <w:rsid w:val="009D7140"/>
    <w:rsid w:val="009E25C7"/>
    <w:rsid w:val="009E4932"/>
    <w:rsid w:val="00A26E0A"/>
    <w:rsid w:val="00A32107"/>
    <w:rsid w:val="00A3777A"/>
    <w:rsid w:val="00A42E00"/>
    <w:rsid w:val="00A46101"/>
    <w:rsid w:val="00A855F7"/>
    <w:rsid w:val="00A942EB"/>
    <w:rsid w:val="00AA3131"/>
    <w:rsid w:val="00AC6E4F"/>
    <w:rsid w:val="00AC743F"/>
    <w:rsid w:val="00AE0D3A"/>
    <w:rsid w:val="00B27E7D"/>
    <w:rsid w:val="00B42E8B"/>
    <w:rsid w:val="00B445E2"/>
    <w:rsid w:val="00B57D08"/>
    <w:rsid w:val="00B730EA"/>
    <w:rsid w:val="00B77EBE"/>
    <w:rsid w:val="00B825FD"/>
    <w:rsid w:val="00B85CA2"/>
    <w:rsid w:val="00BA3A1B"/>
    <w:rsid w:val="00BA4261"/>
    <w:rsid w:val="00BE5037"/>
    <w:rsid w:val="00C22E2B"/>
    <w:rsid w:val="00C304D2"/>
    <w:rsid w:val="00C33280"/>
    <w:rsid w:val="00C34F61"/>
    <w:rsid w:val="00C363B9"/>
    <w:rsid w:val="00C36A38"/>
    <w:rsid w:val="00C429D8"/>
    <w:rsid w:val="00C608FE"/>
    <w:rsid w:val="00C66AB8"/>
    <w:rsid w:val="00C67B37"/>
    <w:rsid w:val="00C762FB"/>
    <w:rsid w:val="00C919FF"/>
    <w:rsid w:val="00C91F12"/>
    <w:rsid w:val="00CC6E4D"/>
    <w:rsid w:val="00CD7008"/>
    <w:rsid w:val="00D178F0"/>
    <w:rsid w:val="00D33160"/>
    <w:rsid w:val="00D33DBB"/>
    <w:rsid w:val="00D45305"/>
    <w:rsid w:val="00D52D38"/>
    <w:rsid w:val="00D869CC"/>
    <w:rsid w:val="00D96281"/>
    <w:rsid w:val="00D96BC4"/>
    <w:rsid w:val="00DA7840"/>
    <w:rsid w:val="00DE069A"/>
    <w:rsid w:val="00DE26B5"/>
    <w:rsid w:val="00E0287F"/>
    <w:rsid w:val="00E17337"/>
    <w:rsid w:val="00E17719"/>
    <w:rsid w:val="00E24FF7"/>
    <w:rsid w:val="00E42E8A"/>
    <w:rsid w:val="00E43BD7"/>
    <w:rsid w:val="00E663DE"/>
    <w:rsid w:val="00E67F33"/>
    <w:rsid w:val="00E73140"/>
    <w:rsid w:val="00E80C67"/>
    <w:rsid w:val="00E83828"/>
    <w:rsid w:val="00E9715E"/>
    <w:rsid w:val="00EB4ADA"/>
    <w:rsid w:val="00EB6FFD"/>
    <w:rsid w:val="00ED69D7"/>
    <w:rsid w:val="00EF15FA"/>
    <w:rsid w:val="00EF4CEA"/>
    <w:rsid w:val="00EF6D2D"/>
    <w:rsid w:val="00F1174B"/>
    <w:rsid w:val="00F17162"/>
    <w:rsid w:val="00F22369"/>
    <w:rsid w:val="00F22CA2"/>
    <w:rsid w:val="00F5748A"/>
    <w:rsid w:val="00F6343D"/>
    <w:rsid w:val="00F82033"/>
    <w:rsid w:val="00F96D19"/>
    <w:rsid w:val="00F97828"/>
    <w:rsid w:val="00FB49E6"/>
    <w:rsid w:val="00FC6452"/>
    <w:rsid w:val="00FD4256"/>
    <w:rsid w:val="00FE0FC6"/>
    <w:rsid w:val="00FE47AA"/>
    <w:rsid w:val="00FF6F90"/>
    <w:rsid w:val="01D847F2"/>
    <w:rsid w:val="080E41C5"/>
    <w:rsid w:val="089C597C"/>
    <w:rsid w:val="09CD1453"/>
    <w:rsid w:val="0B746511"/>
    <w:rsid w:val="0C71038C"/>
    <w:rsid w:val="0FBC7EC4"/>
    <w:rsid w:val="17002527"/>
    <w:rsid w:val="1A7E56FA"/>
    <w:rsid w:val="1C3224A7"/>
    <w:rsid w:val="25AD1B59"/>
    <w:rsid w:val="2A1A0D8F"/>
    <w:rsid w:val="2E707209"/>
    <w:rsid w:val="2F871889"/>
    <w:rsid w:val="32B52F02"/>
    <w:rsid w:val="345F7854"/>
    <w:rsid w:val="36BC2D5B"/>
    <w:rsid w:val="39E77697"/>
    <w:rsid w:val="41062D9D"/>
    <w:rsid w:val="45454AB8"/>
    <w:rsid w:val="46C2047E"/>
    <w:rsid w:val="46EB0AAF"/>
    <w:rsid w:val="47B427C5"/>
    <w:rsid w:val="47D06B78"/>
    <w:rsid w:val="4C4A6392"/>
    <w:rsid w:val="51995A34"/>
    <w:rsid w:val="580A7F66"/>
    <w:rsid w:val="5893612C"/>
    <w:rsid w:val="59B07A6C"/>
    <w:rsid w:val="5A417F79"/>
    <w:rsid w:val="5E587F24"/>
    <w:rsid w:val="5FB17BB4"/>
    <w:rsid w:val="622546A7"/>
    <w:rsid w:val="622B235D"/>
    <w:rsid w:val="62B72468"/>
    <w:rsid w:val="63C3616A"/>
    <w:rsid w:val="65C504BE"/>
    <w:rsid w:val="66F26A79"/>
    <w:rsid w:val="6742694B"/>
    <w:rsid w:val="699E3490"/>
    <w:rsid w:val="69EA190C"/>
    <w:rsid w:val="6D2726C5"/>
    <w:rsid w:val="6DB568EE"/>
    <w:rsid w:val="70B10F33"/>
    <w:rsid w:val="73726EFB"/>
    <w:rsid w:val="73B463CB"/>
    <w:rsid w:val="74D14C9A"/>
    <w:rsid w:val="79743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0"/>
  </w:style>
  <w:style w:type="paragraph" w:styleId="4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unhideWhenUsed/>
    <w:qFormat/>
    <w:uiPriority w:val="39"/>
    <w:pPr>
      <w:ind w:left="1120"/>
      <w:jc w:val="left"/>
    </w:pPr>
    <w:rPr>
      <w:rFonts w:ascii="Times New Roman" w:hAnsi="Times New Roman" w:eastAsia="宋体" w:cs="Times New Roman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20"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character" w:customStyle="1" w:styleId="16">
    <w:name w:val="日期 Char"/>
    <w:basedOn w:val="13"/>
    <w:link w:val="6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Char"/>
    <w:basedOn w:val="13"/>
    <w:link w:val="2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19">
    <w:name w:val="页脚 Char"/>
    <w:basedOn w:val="13"/>
    <w:link w:val="8"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20">
    <w:name w:val="批注框文本 Char"/>
    <w:basedOn w:val="13"/>
    <w:link w:val="7"/>
    <w:uiPriority w:val="0"/>
    <w:rPr>
      <w:rFonts w:eastAsia="方正仿宋_GBK" w:asciiTheme="minorHAnsi" w:hAnsiTheme="minorHAnsi" w:cstheme="minorBidi"/>
      <w:kern w:val="2"/>
      <w:sz w:val="18"/>
      <w:szCs w:val="18"/>
    </w:rPr>
  </w:style>
  <w:style w:type="paragraph" w:customStyle="1" w:styleId="21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22">
    <w:name w:val="标题 2 Char"/>
    <w:basedOn w:val="13"/>
    <w:link w:val="3"/>
    <w:qFormat/>
    <w:uiPriority w:val="9"/>
    <w:rPr>
      <w:rFonts w:ascii="Arial" w:hAnsi="Arial" w:eastAsia="黑体"/>
      <w:kern w:val="2"/>
      <w:sz w:val="32"/>
      <w:szCs w:val="24"/>
    </w:rPr>
  </w:style>
  <w:style w:type="character" w:customStyle="1" w:styleId="23">
    <w:name w:val="正文文本缩进 Char"/>
    <w:basedOn w:val="13"/>
    <w:link w:val="4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516C5-75BC-4B15-8CB1-9485D1A1F4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3</Pages>
  <Words>1061</Words>
  <Characters>1197</Characters>
  <Lines>9</Lines>
  <Paragraphs>2</Paragraphs>
  <TotalTime>340</TotalTime>
  <ScaleCrop>false</ScaleCrop>
  <LinksUpToDate>false</LinksUpToDate>
  <CharactersWithSpaces>1293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2022-03-09T07:11:00Z</dcterms:created>
  <dc:creator>Administrator</dc:creator>
  <cp:lastModifiedBy>咖啡色天蝎</cp:lastModifiedBy>
  <cp:lastPrinted>2025-09-05T01:52:00Z</cp:lastPrinted>
  <dcterms:modified xsi:type="dcterms:W3CDTF">2025-09-05T06:43:53Z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D411EE6DFE4F4FE1B37CCC42A540E44F</vt:lpwstr>
  </property>
  <property fmtid="{D5CDD505-2E9C-101B-9397-08002B2CF9AE}" pid="4" name="KSOTemplateDocerSaveRecord">
    <vt:lpwstr>eyJoZGlkIjoiYTJlNzA4OGUyNTFlNmZiMTI2YzYxMTlhODM5YWQwZGIiLCJ1c2VySWQiOiI1MDU3MDY0MjQifQ==</vt:lpwstr>
  </property>
</Properties>
</file>