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9A7F2B">
      <w:pPr>
        <w:adjustRightInd w:val="0"/>
        <w:snapToGrid w:val="0"/>
        <w:spacing w:line="500" w:lineRule="exact"/>
        <w:jc w:val="center"/>
        <w:rPr>
          <w:rFonts w:ascii="仿宋_GB2312" w:eastAsia="仿宋_GB2312"/>
          <w:szCs w:val="32"/>
        </w:rPr>
      </w:pPr>
    </w:p>
    <w:p w14:paraId="3BEEB76B">
      <w:pPr>
        <w:pStyle w:val="4"/>
        <w:adjustRightInd w:val="0"/>
        <w:snapToGrid w:val="0"/>
        <w:spacing w:line="500" w:lineRule="exact"/>
      </w:pPr>
    </w:p>
    <w:p w14:paraId="5BF619DE">
      <w:pPr>
        <w:spacing w:beforeLines="250" w:line="540" w:lineRule="exact"/>
        <w:jc w:val="center"/>
        <w:rPr>
          <w:rFonts w:ascii="仿宋_GB2312" w:eastAsia="仿宋_GB2312"/>
          <w:szCs w:val="32"/>
        </w:rPr>
      </w:pPr>
    </w:p>
    <w:p w14:paraId="36476F51">
      <w:pPr>
        <w:spacing w:line="540" w:lineRule="exact"/>
        <w:jc w:val="center"/>
        <w:rPr>
          <w:rFonts w:ascii="仿宋_GB2312" w:eastAsia="仿宋_GB2312"/>
          <w:szCs w:val="32"/>
        </w:rPr>
      </w:pPr>
    </w:p>
    <w:p w14:paraId="4A0D2310">
      <w:pPr>
        <w:spacing w:line="540" w:lineRule="exact"/>
        <w:rPr>
          <w:rFonts w:ascii="仿宋_GB2312" w:eastAsia="仿宋_GB2312"/>
          <w:szCs w:val="32"/>
        </w:rPr>
      </w:pPr>
    </w:p>
    <w:p w14:paraId="2D9E065F">
      <w:pPr>
        <w:spacing w:line="540" w:lineRule="exact"/>
        <w:jc w:val="center"/>
        <w:rPr>
          <w:rFonts w:ascii="Times New Roman" w:hAnsi="Times New Roman" w:cs="Times New Roman"/>
          <w:szCs w:val="32"/>
        </w:rPr>
      </w:pPr>
      <w:r>
        <w:rPr>
          <w:rFonts w:ascii="Times New Roman" w:hAnsi="Times New Roman" w:cs="Times New Roman"/>
          <w:szCs w:val="32"/>
        </w:rPr>
        <w:t>永</w:t>
      </w:r>
      <w:r>
        <w:rPr>
          <w:rFonts w:hint="eastAsia" w:ascii="Times New Roman" w:hAnsi="Times New Roman" w:cs="Times New Roman"/>
          <w:szCs w:val="32"/>
        </w:rPr>
        <w:t>水许可</w:t>
      </w:r>
      <w:r>
        <w:rPr>
          <w:rFonts w:ascii="Times New Roman" w:hAnsi="Times New Roman" w:cs="Times New Roman"/>
          <w:szCs w:val="32"/>
        </w:rPr>
        <w:t>〔202</w:t>
      </w:r>
      <w:r>
        <w:rPr>
          <w:rFonts w:hint="eastAsia" w:ascii="Times New Roman" w:hAnsi="Times New Roman" w:cs="Times New Roman"/>
          <w:szCs w:val="32"/>
        </w:rPr>
        <w:t>5</w:t>
      </w:r>
      <w:r>
        <w:rPr>
          <w:rFonts w:ascii="Times New Roman" w:hAnsi="Times New Roman" w:cs="Times New Roman"/>
          <w:szCs w:val="32"/>
        </w:rPr>
        <w:t>〕</w:t>
      </w:r>
      <w:r>
        <w:rPr>
          <w:rFonts w:hint="eastAsia" w:ascii="Times New Roman" w:hAnsi="Times New Roman" w:cs="Times New Roman"/>
          <w:szCs w:val="32"/>
        </w:rPr>
        <w:t>40</w:t>
      </w:r>
      <w:r>
        <w:rPr>
          <w:rFonts w:ascii="Times New Roman" w:hAnsi="Times New Roman" w:cs="Times New Roman"/>
          <w:szCs w:val="32"/>
        </w:rPr>
        <w:t>号</w:t>
      </w:r>
    </w:p>
    <w:p w14:paraId="470A3645">
      <w:pPr>
        <w:spacing w:line="660" w:lineRule="exact"/>
        <w:rPr>
          <w:rFonts w:ascii="方正小标宋简体" w:eastAsia="方正小标宋简体"/>
          <w:sz w:val="44"/>
          <w:szCs w:val="44"/>
        </w:rPr>
      </w:pPr>
    </w:p>
    <w:p w14:paraId="13E6C5D5">
      <w:pPr>
        <w:snapToGrid w:val="0"/>
        <w:spacing w:line="594"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重庆市永川区水利局</w:t>
      </w:r>
    </w:p>
    <w:p w14:paraId="4D8C0E40">
      <w:pPr>
        <w:snapToGrid w:val="0"/>
        <w:spacing w:line="594"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关</w:t>
      </w:r>
      <w:r>
        <w:rPr>
          <w:rFonts w:ascii="Times New Roman" w:hAnsi="Times New Roman" w:eastAsia="方正小标宋_GBK" w:cs="Times New Roman"/>
          <w:sz w:val="44"/>
          <w:szCs w:val="44"/>
        </w:rPr>
        <w:t>于</w:t>
      </w:r>
      <w:r>
        <w:rPr>
          <w:rFonts w:hint="eastAsia" w:ascii="方正小标宋_GBK" w:hAnsi="方正小标宋_GBK" w:eastAsia="方正小标宋_GBK" w:cs="方正小标宋_GBK"/>
          <w:bCs/>
          <w:sz w:val="44"/>
          <w:szCs w:val="44"/>
        </w:rPr>
        <w:t>永川临江-港桥产业园区输气管道项目A段河流穿越工程</w:t>
      </w:r>
      <w:r>
        <w:rPr>
          <w:rFonts w:ascii="Times New Roman" w:hAnsi="Times New Roman" w:eastAsia="方正小标宋_GBK" w:cs="Times New Roman"/>
          <w:sz w:val="44"/>
          <w:szCs w:val="44"/>
        </w:rPr>
        <w:t>洪水影响评价准予行政许可的决定</w:t>
      </w:r>
    </w:p>
    <w:p w14:paraId="1110B93A">
      <w:pPr>
        <w:pStyle w:val="12"/>
        <w:snapToGrid w:val="0"/>
        <w:spacing w:beforeAutospacing="0" w:afterAutospacing="0" w:line="594" w:lineRule="exact"/>
        <w:rPr>
          <w:rFonts w:ascii="Times New Roman" w:hAnsi="Times New Roman"/>
        </w:rPr>
      </w:pPr>
    </w:p>
    <w:p w14:paraId="1EAC88D3">
      <w:pPr>
        <w:spacing w:line="594" w:lineRule="exact"/>
        <w:rPr>
          <w:rFonts w:ascii="Times New Roman" w:hAnsi="Times New Roman" w:cs="Times New Roman"/>
          <w:szCs w:val="32"/>
        </w:rPr>
      </w:pPr>
      <w:r>
        <w:rPr>
          <w:rFonts w:hint="eastAsia"/>
          <w:bCs/>
          <w:szCs w:val="32"/>
        </w:rPr>
        <w:t>重庆渝西</w:t>
      </w:r>
      <w:r>
        <w:rPr>
          <w:rFonts w:ascii="Times New Roman" w:cs="Times New Roman"/>
          <w:bCs/>
          <w:szCs w:val="32"/>
        </w:rPr>
        <w:t>天然气管道有限公司</w:t>
      </w:r>
      <w:r>
        <w:rPr>
          <w:rFonts w:ascii="Times New Roman" w:hAnsi="Times New Roman" w:cs="Times New Roman"/>
          <w:szCs w:val="32"/>
        </w:rPr>
        <w:t>：</w:t>
      </w:r>
    </w:p>
    <w:p w14:paraId="2D4DEB88">
      <w:pPr>
        <w:snapToGrid w:val="0"/>
        <w:spacing w:line="594" w:lineRule="exact"/>
        <w:ind w:firstLine="640" w:firstLineChars="200"/>
        <w:rPr>
          <w:rFonts w:ascii="Times New Roman" w:hAnsi="Times New Roman" w:cs="Times New Roman"/>
          <w:szCs w:val="32"/>
        </w:rPr>
      </w:pPr>
      <w:r>
        <w:rPr>
          <w:rFonts w:ascii="Times New Roman" w:hAnsi="方正仿宋_GBK" w:cs="Times New Roman"/>
          <w:color w:val="000000"/>
        </w:rPr>
        <w:t>根据你</w:t>
      </w:r>
      <w:r>
        <w:rPr>
          <w:rFonts w:ascii="Times New Roman" w:cs="Times New Roman"/>
          <w:color w:val="000000"/>
        </w:rPr>
        <w:t>单位关于永川临江</w:t>
      </w:r>
      <w:r>
        <w:rPr>
          <w:rFonts w:ascii="Times New Roman" w:hAnsi="Times New Roman" w:cs="Times New Roman"/>
          <w:color w:val="000000"/>
        </w:rPr>
        <w:t>-</w:t>
      </w:r>
      <w:r>
        <w:rPr>
          <w:rFonts w:ascii="Times New Roman" w:cs="Times New Roman"/>
          <w:color w:val="000000"/>
        </w:rPr>
        <w:t>港桥产业园区输气管道项目</w:t>
      </w:r>
      <w:r>
        <w:rPr>
          <w:rFonts w:ascii="Times New Roman" w:hAnsi="Times New Roman" w:cs="Times New Roman"/>
          <w:color w:val="000000"/>
        </w:rPr>
        <w:t>A</w:t>
      </w:r>
      <w:r>
        <w:rPr>
          <w:rFonts w:ascii="Times New Roman" w:cs="Times New Roman"/>
          <w:color w:val="000000"/>
        </w:rPr>
        <w:t>段河流穿越工程洪水影响评价</w:t>
      </w:r>
      <w:r>
        <w:rPr>
          <w:rFonts w:ascii="Times New Roman" w:hAnsi="方正仿宋_GBK" w:cs="Times New Roman"/>
          <w:color w:val="000000"/>
        </w:rPr>
        <w:t>的行政许可申请</w:t>
      </w:r>
      <w:r>
        <w:rPr>
          <w:rFonts w:ascii="Times New Roman" w:cs="Times New Roman"/>
          <w:szCs w:val="32"/>
        </w:rPr>
        <w:t>（项目编码：</w:t>
      </w:r>
      <w:r>
        <w:rPr>
          <w:rFonts w:ascii="Times New Roman" w:hAnsi="Times New Roman" w:cs="Times New Roman"/>
          <w:szCs w:val="32"/>
        </w:rPr>
        <w:t>2105-500118-04-01-831295</w:t>
      </w:r>
      <w:r>
        <w:rPr>
          <w:rFonts w:ascii="Times New Roman" w:cs="Times New Roman"/>
          <w:szCs w:val="32"/>
        </w:rPr>
        <w:t>）</w:t>
      </w:r>
      <w:r>
        <w:rPr>
          <w:rFonts w:ascii="Times New Roman" w:hAnsi="方正仿宋_GBK" w:cs="Times New Roman"/>
          <w:color w:val="000000"/>
        </w:rPr>
        <w:t>，我局组织专家对《</w:t>
      </w:r>
      <w:r>
        <w:rPr>
          <w:rFonts w:ascii="Times New Roman" w:cs="Times New Roman"/>
          <w:color w:val="000000"/>
        </w:rPr>
        <w:t>永川临江</w:t>
      </w:r>
      <w:r>
        <w:rPr>
          <w:rFonts w:ascii="Times New Roman" w:hAnsi="Times New Roman" w:cs="Times New Roman"/>
          <w:color w:val="000000"/>
        </w:rPr>
        <w:t>-</w:t>
      </w:r>
      <w:r>
        <w:rPr>
          <w:rFonts w:ascii="Times New Roman" w:cs="Times New Roman"/>
          <w:color w:val="000000"/>
        </w:rPr>
        <w:t>港桥产业园区输气管道项目</w:t>
      </w:r>
      <w:r>
        <w:rPr>
          <w:rFonts w:ascii="Times New Roman" w:hAnsi="Times New Roman" w:cs="Times New Roman"/>
          <w:color w:val="000000"/>
        </w:rPr>
        <w:t>A</w:t>
      </w:r>
      <w:r>
        <w:rPr>
          <w:rFonts w:ascii="Times New Roman" w:cs="Times New Roman"/>
          <w:color w:val="000000"/>
        </w:rPr>
        <w:t>段河流穿越工程洪水影响评价</w:t>
      </w:r>
      <w:r>
        <w:rPr>
          <w:rFonts w:ascii="Times New Roman" w:hAnsi="方正仿宋_GBK" w:cs="Times New Roman"/>
          <w:color w:val="000000"/>
        </w:rPr>
        <w:t>报告》进行了审查。</w:t>
      </w:r>
      <w:r>
        <w:rPr>
          <w:rFonts w:ascii="Times New Roman" w:cs="Times New Roman"/>
          <w:szCs w:val="32"/>
        </w:rPr>
        <w:t>根据《行政许可法》第三十八条第一款、《水行政许可实施办法》第三十二条第一项规定和</w:t>
      </w:r>
      <w:r>
        <w:rPr>
          <w:rFonts w:hint="eastAsia"/>
          <w:szCs w:val="32"/>
        </w:rPr>
        <w:t>专家评审意见，现就该工程洪水影响评价作出准予行政许可决定</w:t>
      </w:r>
      <w:r>
        <w:rPr>
          <w:rFonts w:ascii="Times New Roman" w:cs="Times New Roman"/>
          <w:szCs w:val="32"/>
        </w:rPr>
        <w:t>。</w:t>
      </w:r>
    </w:p>
    <w:p w14:paraId="69F67410">
      <w:pPr>
        <w:snapToGrid w:val="0"/>
        <w:spacing w:line="594" w:lineRule="exact"/>
        <w:ind w:firstLine="640" w:firstLineChars="200"/>
        <w:rPr>
          <w:rFonts w:ascii="Times New Roman" w:cs="Times New Roman"/>
          <w:szCs w:val="32"/>
        </w:rPr>
      </w:pPr>
      <w:r>
        <w:rPr>
          <w:rFonts w:ascii="Times New Roman" w:cs="Times New Roman"/>
          <w:szCs w:val="32"/>
        </w:rPr>
        <w:t>一、</w:t>
      </w:r>
      <w:r>
        <w:rPr>
          <w:rFonts w:hint="eastAsia"/>
          <w:szCs w:val="32"/>
        </w:rPr>
        <w:t>永川临江-港桥产业园区输气管道项目 A 段位于重庆市永川区境内，管线全长为 29.87km，沿途涉及临江镇、何埂镇、仙龙镇</w:t>
      </w:r>
      <w:r>
        <w:rPr>
          <w:color w:val="000000"/>
          <w:szCs w:val="32"/>
        </w:rPr>
        <w:t>，</w:t>
      </w:r>
      <w:r>
        <w:rPr>
          <w:rFonts w:hint="eastAsia" w:cs="方正仿宋_GBK"/>
          <w:szCs w:val="32"/>
        </w:rPr>
        <w:t>同意</w:t>
      </w:r>
      <w:r>
        <w:rPr>
          <w:rFonts w:cs="方正仿宋_GBK"/>
          <w:szCs w:val="32"/>
        </w:rPr>
        <w:t>采用10年一遇洪水标准进行洪水影响评价</w:t>
      </w:r>
      <w:r>
        <w:rPr>
          <w:rFonts w:hint="eastAsia" w:cs="方正仿宋_GBK"/>
          <w:szCs w:val="32"/>
        </w:rPr>
        <w:t>。</w:t>
      </w:r>
      <w:r>
        <w:rPr>
          <w:rFonts w:hint="eastAsia" w:ascii="Times New Roman" w:hAnsi="Times New Roman" w:eastAsia="仿宋" w:cs="Times New Roman"/>
          <w:szCs w:val="32"/>
        </w:rPr>
        <w:t>同意本项目穿越管段设计洪水标准采用50年一遇</w:t>
      </w:r>
      <w:r>
        <w:rPr>
          <w:rFonts w:hint="eastAsia" w:ascii="Times New Roman" w:cs="Times New Roman"/>
          <w:szCs w:val="32"/>
        </w:rPr>
        <w:t>。</w:t>
      </w:r>
    </w:p>
    <w:p w14:paraId="1740EFB8">
      <w:pPr>
        <w:pStyle w:val="7"/>
        <w:spacing w:line="580" w:lineRule="exact"/>
        <w:ind w:firstLine="646" w:firstLineChars="202"/>
        <w:rPr>
          <w:rFonts w:ascii="Times New Roman" w:eastAsia="方正仿宋_GBK" w:hAnsiTheme="minorHAnsi"/>
          <w:sz w:val="32"/>
          <w:szCs w:val="32"/>
        </w:rPr>
      </w:pPr>
      <w:r>
        <w:rPr>
          <w:rFonts w:ascii="Times New Roman" w:hAnsi="Times New Roman" w:eastAsia="仿宋"/>
          <w:sz w:val="32"/>
          <w:szCs w:val="32"/>
        </w:rPr>
        <w:t>二、</w:t>
      </w:r>
      <w:r>
        <w:rPr>
          <w:rFonts w:hint="eastAsia" w:eastAsia="方正仿宋_GBK" w:cs="方正仿宋_GBK"/>
          <w:sz w:val="32"/>
          <w:szCs w:val="32"/>
        </w:rPr>
        <w:t>原则同意涉河建设方</w:t>
      </w:r>
      <w:r>
        <w:rPr>
          <w:rFonts w:hint="eastAsia" w:eastAsia="方正仿宋_GBK"/>
          <w:sz w:val="32"/>
          <w:szCs w:val="32"/>
        </w:rPr>
        <w:t>案的洪水影响评价结论。本工程</w:t>
      </w:r>
      <w:r>
        <w:rPr>
          <w:rFonts w:hint="eastAsia" w:ascii="Times New Roman" w:hAnsi="Times New Roman" w:eastAsia="方正仿宋_GBK"/>
          <w:sz w:val="32"/>
          <w:szCs w:val="32"/>
        </w:rPr>
        <w:t>输气管道共</w:t>
      </w:r>
      <w:r>
        <w:rPr>
          <w:rFonts w:ascii="Times New Roman" w:hAnsi="Times New Roman" w:eastAsia="方正仿宋_GBK"/>
          <w:sz w:val="32"/>
          <w:szCs w:val="32"/>
        </w:rPr>
        <w:t>11处涉河，涉及临江河、大河溪、高山河、后溪河、圣水河、水碾河、袁家沟、团结水库支流、梅家桥河9条河流，均为小型穿越。涉河管道采用外径406.4mm钢管，除穿越临江河时采用定向钻方式，其余均采用开挖埋管型式，管道埋深1.92~12.08m，根据穿越断面地质等实际情况，管道外部采用马鞍式压重块、袋装土+原土回填、原土回填共三种敷设方式</w:t>
      </w:r>
      <w:r>
        <w:rPr>
          <w:rFonts w:hint="eastAsia" w:eastAsia="方正仿宋_GBK"/>
          <w:sz w:val="32"/>
          <w:szCs w:val="32"/>
        </w:rPr>
        <w:t>，最后采用河床原状土压实覆盖至原河底高程，在保证不占行洪断面的情况下，对开挖后的天然河道岸坡按照生态治理方式进行恢复，为避免后期河道治理施工对燃气管道造成不利影响，对大河溪、圣水河、水碾河管道中心线上下游50m范围内做护岸设计</w:t>
      </w:r>
      <w:r>
        <w:rPr>
          <w:rFonts w:hint="eastAsia" w:ascii="Times New Roman" w:eastAsia="方正仿宋_GBK" w:hAnsiTheme="minorHAnsi"/>
          <w:sz w:val="32"/>
          <w:szCs w:val="32"/>
        </w:rPr>
        <w:t>。</w:t>
      </w:r>
    </w:p>
    <w:p w14:paraId="1BC92889">
      <w:pPr>
        <w:pStyle w:val="7"/>
        <w:spacing w:line="580" w:lineRule="exact"/>
        <w:ind w:firstLine="646" w:firstLineChars="202"/>
        <w:rPr>
          <w:rFonts w:ascii="Times New Roman" w:eastAsia="方正仿宋_GBK" w:hAnsiTheme="minorHAnsi"/>
          <w:sz w:val="32"/>
          <w:szCs w:val="32"/>
        </w:rPr>
      </w:pPr>
      <w:r>
        <w:rPr>
          <w:rFonts w:hint="eastAsia" w:eastAsia="仿宋"/>
          <w:sz w:val="32"/>
          <w:szCs w:val="32"/>
        </w:rPr>
        <w:t>采取相关保护措施后，本工程的建设不会对现有工程设施及其他第三方合法水事的权益造成不利的影响，对河势稳定、防洪安全及河流行洪基本无影响</w:t>
      </w:r>
      <w:r>
        <w:rPr>
          <w:rFonts w:ascii="Times New Roman" w:eastAsia="方正仿宋_GBK" w:hAnsiTheme="minorHAnsi"/>
          <w:sz w:val="32"/>
          <w:szCs w:val="32"/>
        </w:rPr>
        <w:t>。</w:t>
      </w:r>
    </w:p>
    <w:p w14:paraId="781619D9">
      <w:pPr>
        <w:spacing w:line="594" w:lineRule="exact"/>
        <w:ind w:firstLine="640"/>
        <w:rPr>
          <w:rFonts w:ascii="Times New Roman" w:hAnsi="Times New Roman" w:cs="Times New Roman"/>
          <w:szCs w:val="32"/>
        </w:rPr>
      </w:pPr>
      <w:r>
        <w:rPr>
          <w:rFonts w:ascii="Times New Roman" w:hAnsi="Times New Roman" w:cs="Times New Roman"/>
          <w:szCs w:val="32"/>
        </w:rPr>
        <w:t>三、有关要求</w:t>
      </w:r>
    </w:p>
    <w:p w14:paraId="45861178">
      <w:pPr>
        <w:snapToGrid w:val="0"/>
        <w:spacing w:line="594" w:lineRule="exact"/>
        <w:ind w:firstLine="640" w:firstLineChars="200"/>
        <w:rPr>
          <w:rFonts w:ascii="Times New Roman" w:hAnsi="Times New Roman" w:cs="Times New Roman"/>
          <w:szCs w:val="32"/>
        </w:rPr>
      </w:pPr>
      <w:r>
        <w:rPr>
          <w:rFonts w:ascii="Times New Roman" w:cs="Times New Roman"/>
          <w:szCs w:val="32"/>
        </w:rPr>
        <w:t>（一）项目法人应落实好第三方水事权益承诺有关责任事项。</w:t>
      </w:r>
    </w:p>
    <w:p w14:paraId="7EEDCEB2">
      <w:pPr>
        <w:spacing w:line="594" w:lineRule="exact"/>
        <w:ind w:firstLine="640" w:firstLineChars="200"/>
        <w:rPr>
          <w:rFonts w:ascii="Times New Roman" w:hAnsi="Times New Roman" w:cs="Times New Roman"/>
          <w:szCs w:val="32"/>
        </w:rPr>
      </w:pPr>
      <w:r>
        <w:rPr>
          <w:rFonts w:ascii="Times New Roman" w:cs="Times New Roman"/>
          <w:szCs w:val="32"/>
        </w:rPr>
        <w:t>（二）应充分考虑洪水对施工的不利影响，为确保自身防洪安全，工程开工前，项目法人应编制施工期防汛应急预案，报区防汛抗旱指挥部和我局备案。项目法人要充分重视河道保护工作，严禁向河道内倾倒弃土弃渣，施工完工后应及时拆除施工设施，清除弃渣等阻碍物，确保行洪安全。</w:t>
      </w:r>
    </w:p>
    <w:p w14:paraId="07E7181E">
      <w:pPr>
        <w:snapToGrid w:val="0"/>
        <w:spacing w:line="594" w:lineRule="exact"/>
        <w:ind w:firstLine="640" w:firstLineChars="200"/>
        <w:rPr>
          <w:rFonts w:ascii="Times New Roman" w:hAnsi="Times New Roman" w:cs="Times New Roman"/>
          <w:sz w:val="36"/>
          <w:szCs w:val="36"/>
        </w:rPr>
      </w:pPr>
      <w:r>
        <w:rPr>
          <w:rFonts w:ascii="Times New Roman" w:cs="Times New Roman"/>
          <w:szCs w:val="32"/>
        </w:rPr>
        <w:t>（三）工程开工后，项目法人要及时将施工放样资料报送我局，我局将对工程控制坐标在内的涉河事项进行核查。</w:t>
      </w:r>
    </w:p>
    <w:p w14:paraId="7353FC4F">
      <w:pPr>
        <w:spacing w:line="594" w:lineRule="exact"/>
        <w:ind w:firstLine="640" w:firstLineChars="200"/>
        <w:rPr>
          <w:rFonts w:ascii="Times New Roman" w:hAnsi="Times New Roman" w:cs="Times New Roman"/>
          <w:szCs w:val="32"/>
        </w:rPr>
      </w:pPr>
      <w:r>
        <w:rPr>
          <w:rFonts w:ascii="Times New Roman" w:cs="Times New Roman"/>
          <w:szCs w:val="32"/>
        </w:rPr>
        <w:t>（四）工程竣工后，项目法人应报告我局，我局将对工程控制坐标在内的涉河事项进行全面复核；我局根据复核报告，参加工程项目的综合验收。工程经验收合格后方可启用。</w:t>
      </w:r>
    </w:p>
    <w:p w14:paraId="6910D201">
      <w:pPr>
        <w:snapToGrid w:val="0"/>
        <w:spacing w:line="594" w:lineRule="exact"/>
        <w:ind w:firstLine="640" w:firstLineChars="200"/>
        <w:rPr>
          <w:rFonts w:cs="方正仿宋_GBK"/>
          <w:sz w:val="36"/>
          <w:szCs w:val="36"/>
        </w:rPr>
      </w:pPr>
      <w:r>
        <w:rPr>
          <w:rFonts w:ascii="Times New Roman" w:cs="Times New Roman"/>
          <w:szCs w:val="32"/>
        </w:rPr>
        <w:t>（五）本行政许可决定有效期为</w:t>
      </w:r>
      <w:r>
        <w:rPr>
          <w:rFonts w:ascii="Times New Roman" w:hAnsi="Times New Roman" w:cs="Times New Roman"/>
          <w:szCs w:val="32"/>
        </w:rPr>
        <w:t>3</w:t>
      </w:r>
      <w:r>
        <w:rPr>
          <w:rFonts w:ascii="Times New Roman" w:cs="Times New Roman"/>
          <w:szCs w:val="32"/>
        </w:rPr>
        <w:t>年，自签发之日起计算。期满后，若该工程未开工建设，本行政许可决定自行失效；若要继续建设，应重新履行行政许可手续。工程建</w:t>
      </w:r>
      <w:r>
        <w:rPr>
          <w:rFonts w:hint="eastAsia" w:cs="方正仿宋_GBK"/>
          <w:szCs w:val="32"/>
        </w:rPr>
        <w:t>设过程中涉河建设方案有较大变更的，也应按规定重新办理许可手续。</w:t>
      </w:r>
    </w:p>
    <w:p w14:paraId="4103232A">
      <w:pPr>
        <w:snapToGrid w:val="0"/>
        <w:spacing w:line="594" w:lineRule="exact"/>
        <w:ind w:firstLine="640" w:firstLineChars="200"/>
        <w:rPr>
          <w:rFonts w:ascii="Times New Roman" w:cs="Times New Roman"/>
          <w:szCs w:val="32"/>
        </w:rPr>
      </w:pPr>
      <w:r>
        <w:rPr>
          <w:rFonts w:hint="eastAsia" w:cs="方正仿宋_GBK"/>
          <w:szCs w:val="32"/>
        </w:rPr>
        <w:t>（六）项</w:t>
      </w:r>
      <w:r>
        <w:rPr>
          <w:rFonts w:ascii="Times New Roman" w:cs="Times New Roman"/>
          <w:szCs w:val="32"/>
        </w:rPr>
        <w:t>目法人应严格按照批复的内容和要求实施。</w:t>
      </w:r>
    </w:p>
    <w:p w14:paraId="25ABA6F8">
      <w:pPr>
        <w:snapToGrid w:val="0"/>
        <w:spacing w:line="594" w:lineRule="exact"/>
        <w:ind w:firstLine="640" w:firstLineChars="200"/>
        <w:rPr>
          <w:rFonts w:ascii="Times New Roman" w:cs="Times New Roman"/>
          <w:szCs w:val="32"/>
        </w:rPr>
      </w:pPr>
      <w:r>
        <w:rPr>
          <w:rFonts w:ascii="Times New Roman" w:cs="Times New Roman"/>
          <w:szCs w:val="32"/>
        </w:rPr>
        <w:t>附件：1、</w:t>
      </w:r>
      <w:r>
        <w:rPr>
          <w:rFonts w:hint="eastAsia"/>
          <w:szCs w:val="32"/>
        </w:rPr>
        <w:t>永川临江-港桥产业园区输气管道项目A段河流穿越工程洪水影响评价报告专家评审意见</w:t>
      </w:r>
    </w:p>
    <w:p w14:paraId="4CFE5822">
      <w:pPr>
        <w:snapToGrid w:val="0"/>
        <w:spacing w:line="594" w:lineRule="exact"/>
        <w:ind w:firstLine="640" w:firstLineChars="200"/>
        <w:rPr>
          <w:rFonts w:ascii="Times New Roman" w:cs="Times New Roman"/>
          <w:szCs w:val="32"/>
        </w:rPr>
      </w:pPr>
      <w:r>
        <w:rPr>
          <w:rFonts w:ascii="Times New Roman" w:cs="Times New Roman"/>
          <w:szCs w:val="32"/>
        </w:rPr>
        <w:t>2、</w:t>
      </w:r>
      <w:r>
        <w:rPr>
          <w:rFonts w:hint="eastAsia"/>
          <w:szCs w:val="32"/>
        </w:rPr>
        <w:t>永川临江-港桥产业园区输气管道项目A段河流穿越工程涉河建筑物主要控制点坐标表</w:t>
      </w:r>
    </w:p>
    <w:p w14:paraId="52D4E6B9">
      <w:pPr>
        <w:snapToGrid w:val="0"/>
        <w:spacing w:line="594" w:lineRule="exact"/>
        <w:rPr>
          <w:rFonts w:ascii="Times New Roman" w:hAnsi="Times New Roman" w:cs="Times New Roman"/>
          <w:szCs w:val="32"/>
        </w:rPr>
      </w:pPr>
    </w:p>
    <w:p w14:paraId="68887320">
      <w:pPr>
        <w:snapToGrid w:val="0"/>
        <w:spacing w:line="594" w:lineRule="exact"/>
        <w:ind w:firstLine="5600" w:firstLineChars="1750"/>
        <w:rPr>
          <w:rFonts w:ascii="Times New Roman" w:hAnsi="Times New Roman" w:cs="Times New Roman"/>
          <w:szCs w:val="32"/>
        </w:rPr>
      </w:pPr>
      <w:r>
        <w:rPr>
          <w:rFonts w:ascii="Times New Roman" w:hAnsi="Times New Roman" w:cs="Times New Roman"/>
          <w:szCs w:val="32"/>
        </w:rPr>
        <w:t>重庆市永川区水利局</w:t>
      </w:r>
    </w:p>
    <w:p w14:paraId="349FF01E">
      <w:pPr>
        <w:snapToGrid w:val="0"/>
        <w:spacing w:line="594" w:lineRule="exact"/>
        <w:ind w:firstLine="6080" w:firstLineChars="1900"/>
        <w:rPr>
          <w:rFonts w:ascii="Times New Roman" w:hAnsi="Times New Roman" w:cs="Times New Roman"/>
          <w:szCs w:val="32"/>
        </w:rPr>
      </w:pPr>
      <w:r>
        <w:rPr>
          <w:rFonts w:ascii="Times New Roman" w:hAnsi="Times New Roman" w:cs="Times New Roman"/>
          <w:szCs w:val="32"/>
        </w:rPr>
        <w:t>2025年</w:t>
      </w:r>
      <w:r>
        <w:rPr>
          <w:rFonts w:hint="eastAsia" w:ascii="Times New Roman" w:hAnsi="Times New Roman" w:cs="Times New Roman"/>
          <w:szCs w:val="32"/>
        </w:rPr>
        <w:t>8</w:t>
      </w:r>
      <w:r>
        <w:rPr>
          <w:rFonts w:ascii="Times New Roman" w:hAnsi="Times New Roman" w:cs="Times New Roman"/>
          <w:szCs w:val="32"/>
        </w:rPr>
        <w:t>月</w:t>
      </w:r>
      <w:r>
        <w:rPr>
          <w:rFonts w:hint="eastAsia" w:ascii="Times New Roman" w:hAnsi="Times New Roman" w:cs="Times New Roman"/>
          <w:szCs w:val="32"/>
        </w:rPr>
        <w:t>29</w:t>
      </w:r>
      <w:r>
        <w:rPr>
          <w:rFonts w:ascii="Times New Roman" w:hAnsi="Times New Roman" w:cs="Times New Roman"/>
          <w:szCs w:val="32"/>
        </w:rPr>
        <w:t>日</w:t>
      </w:r>
    </w:p>
    <w:p w14:paraId="0512091D">
      <w:pPr>
        <w:snapToGrid w:val="0"/>
        <w:spacing w:line="594" w:lineRule="exact"/>
        <w:ind w:firstLine="640" w:firstLineChars="200"/>
        <w:rPr>
          <w:rFonts w:ascii="Times New Roman" w:hAnsi="Times New Roman" w:cs="Times New Roman"/>
          <w:szCs w:val="32"/>
        </w:rPr>
      </w:pPr>
    </w:p>
    <w:p w14:paraId="79300BC5">
      <w:pPr>
        <w:snapToGrid w:val="0"/>
        <w:spacing w:line="594" w:lineRule="exact"/>
        <w:ind w:firstLine="640" w:firstLineChars="200"/>
        <w:rPr>
          <w:rFonts w:ascii="Times New Roman" w:hAnsi="Times New Roman" w:eastAsia="方正黑体_GBK" w:cs="Times New Roman"/>
          <w:szCs w:val="32"/>
        </w:rPr>
      </w:pPr>
      <w:r>
        <w:rPr>
          <w:rFonts w:ascii="Times New Roman" w:hAnsi="Times New Roman" w:cs="Times New Roman"/>
          <w:szCs w:val="32"/>
        </w:rPr>
        <w:t>（此件主动公开发布）</w:t>
      </w:r>
      <w:r>
        <w:rPr>
          <w:rFonts w:ascii="Times New Roman" w:hAnsi="Times New Roman" w:eastAsia="方正黑体_GBK" w:cs="Times New Roman"/>
          <w:szCs w:val="32"/>
        </w:rPr>
        <w:t xml:space="preserve">  </w:t>
      </w:r>
    </w:p>
    <w:p w14:paraId="052B5BB2">
      <w:pPr>
        <w:rPr>
          <w:rFonts w:hint="eastAsia" w:ascii="方正黑体_GBK" w:hAnsi="Times New Roman" w:eastAsia="方正黑体_GBK" w:cs="Times New Roman"/>
          <w:kern w:val="0"/>
          <w:szCs w:val="32"/>
        </w:rPr>
      </w:pPr>
    </w:p>
    <w:p w14:paraId="6922A087">
      <w:pPr>
        <w:rPr>
          <w:rFonts w:hint="eastAsia" w:ascii="方正黑体_GBK" w:hAnsi="Times New Roman" w:eastAsia="方正黑体_GBK" w:cs="Times New Roman"/>
          <w:kern w:val="0"/>
          <w:szCs w:val="32"/>
        </w:rPr>
      </w:pPr>
    </w:p>
    <w:p w14:paraId="784B9767">
      <w:pPr>
        <w:rPr>
          <w:rFonts w:ascii="方正黑体_GBK" w:hAnsi="Times New Roman" w:eastAsia="方正黑体_GBK" w:cs="Times New Roman"/>
          <w:kern w:val="0"/>
          <w:szCs w:val="32"/>
        </w:rPr>
      </w:pPr>
      <w:bookmarkStart w:id="0" w:name="_GoBack"/>
      <w:bookmarkEnd w:id="0"/>
      <w:r>
        <w:rPr>
          <w:rFonts w:hint="eastAsia" w:ascii="方正黑体_GBK" w:hAnsi="Times New Roman" w:eastAsia="方正黑体_GBK" w:cs="Times New Roman"/>
          <w:kern w:val="0"/>
          <w:szCs w:val="32"/>
        </w:rPr>
        <w:t>附件1</w:t>
      </w:r>
    </w:p>
    <w:p w14:paraId="10ADF24C">
      <w:pPr>
        <w:rPr>
          <w:rFonts w:ascii="Times New Roman" w:hAnsi="Times New Roman" w:cs="Times New Roman"/>
          <w:kern w:val="0"/>
          <w:szCs w:val="32"/>
        </w:rPr>
        <w:sectPr>
          <w:footerReference r:id="rId3" w:type="default"/>
          <w:footerReference r:id="rId4" w:type="even"/>
          <w:pgSz w:w="11906" w:h="16838"/>
          <w:pgMar w:top="1701" w:right="1474" w:bottom="1446" w:left="1588" w:header="851" w:footer="992" w:gutter="0"/>
          <w:cols w:space="425" w:num="1"/>
          <w:docGrid w:type="lines" w:linePitch="435" w:charSpace="0"/>
        </w:sectPr>
      </w:pPr>
      <w:r>
        <w:rPr>
          <w:rFonts w:hint="eastAsia" w:eastAsia="宋体"/>
        </w:rPr>
        <w:drawing>
          <wp:inline distT="0" distB="0" distL="0" distR="0">
            <wp:extent cx="5210175" cy="7651750"/>
            <wp:effectExtent l="19050" t="0" r="9525" b="0"/>
            <wp:docPr id="1" name="图片 13" descr="专家评审意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专家评审意见_1"/>
                    <pic:cNvPicPr>
                      <a:picLocks noChangeAspect="1" noChangeArrowheads="1"/>
                    </pic:cNvPicPr>
                  </pic:nvPicPr>
                  <pic:blipFill>
                    <a:blip r:embed="rId8" cstate="print"/>
                    <a:srcRect l="6451" t="4633" r="6207" b="4585"/>
                    <a:stretch>
                      <a:fillRect/>
                    </a:stretch>
                  </pic:blipFill>
                  <pic:spPr>
                    <a:xfrm>
                      <a:off x="0" y="0"/>
                      <a:ext cx="5210175" cy="7651750"/>
                    </a:xfrm>
                    <a:prstGeom prst="rect">
                      <a:avLst/>
                    </a:prstGeom>
                    <a:noFill/>
                    <a:ln w="9525" cmpd="sng">
                      <a:noFill/>
                      <a:miter lim="800000"/>
                      <a:headEnd/>
                      <a:tailEnd/>
                    </a:ln>
                  </pic:spPr>
                </pic:pic>
              </a:graphicData>
            </a:graphic>
          </wp:inline>
        </w:drawing>
      </w:r>
      <w:r>
        <w:rPr>
          <w:rFonts w:hint="eastAsia" w:eastAsia="宋体"/>
        </w:rPr>
        <w:drawing>
          <wp:inline distT="0" distB="0" distL="0" distR="0">
            <wp:extent cx="5615940" cy="8177530"/>
            <wp:effectExtent l="19050" t="0" r="3810" b="0"/>
            <wp:docPr id="3" name="图片 14" descr="专家评审意见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专家评审意见_2"/>
                    <pic:cNvPicPr>
                      <a:picLocks noChangeAspect="1" noChangeArrowheads="1"/>
                    </pic:cNvPicPr>
                  </pic:nvPicPr>
                  <pic:blipFill>
                    <a:blip r:embed="rId9" cstate="print"/>
                    <a:srcRect l="5951" t="5905" r="6462" b="3809"/>
                    <a:stretch>
                      <a:fillRect/>
                    </a:stretch>
                  </pic:blipFill>
                  <pic:spPr>
                    <a:xfrm>
                      <a:off x="0" y="0"/>
                      <a:ext cx="5615940" cy="8177530"/>
                    </a:xfrm>
                    <a:prstGeom prst="rect">
                      <a:avLst/>
                    </a:prstGeom>
                    <a:noFill/>
                    <a:ln w="9525" cmpd="sng">
                      <a:noFill/>
                      <a:miter lim="800000"/>
                      <a:headEnd/>
                      <a:tailEnd/>
                    </a:ln>
                  </pic:spPr>
                </pic:pic>
              </a:graphicData>
            </a:graphic>
          </wp:inline>
        </w:drawing>
      </w:r>
      <w:r>
        <w:rPr>
          <w:rFonts w:hint="eastAsia" w:eastAsia="宋体"/>
        </w:rPr>
        <w:drawing>
          <wp:inline distT="0" distB="0" distL="0" distR="0">
            <wp:extent cx="5381625" cy="8048625"/>
            <wp:effectExtent l="19050" t="0" r="9525" b="0"/>
            <wp:docPr id="8" name="图片 15" descr="专家评审意见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专家评审意见_3"/>
                    <pic:cNvPicPr>
                      <a:picLocks noChangeAspect="1" noChangeArrowheads="1"/>
                    </pic:cNvPicPr>
                  </pic:nvPicPr>
                  <pic:blipFill>
                    <a:blip r:embed="rId10" cstate="print"/>
                    <a:srcRect l="7451" t="6258" r="7040" b="3250"/>
                    <a:stretch>
                      <a:fillRect/>
                    </a:stretch>
                  </pic:blipFill>
                  <pic:spPr>
                    <a:xfrm>
                      <a:off x="0" y="0"/>
                      <a:ext cx="5381625" cy="8048625"/>
                    </a:xfrm>
                    <a:prstGeom prst="rect">
                      <a:avLst/>
                    </a:prstGeom>
                    <a:noFill/>
                    <a:ln w="9525" cmpd="sng">
                      <a:noFill/>
                      <a:miter lim="800000"/>
                      <a:headEnd/>
                      <a:tailEnd/>
                    </a:ln>
                  </pic:spPr>
                </pic:pic>
              </a:graphicData>
            </a:graphic>
          </wp:inline>
        </w:drawing>
      </w:r>
    </w:p>
    <w:p w14:paraId="0CB5DF14">
      <w:pPr>
        <w:autoSpaceDE w:val="0"/>
        <w:autoSpaceDN w:val="0"/>
        <w:adjustRightInd w:val="0"/>
        <w:spacing w:line="360" w:lineRule="auto"/>
        <w:rPr>
          <w:rFonts w:ascii="Times New Roman" w:hAnsi="Times New Roman" w:eastAsia="方正黑体_GBK" w:cs="Times New Roman"/>
          <w:szCs w:val="32"/>
        </w:rPr>
      </w:pPr>
      <w:r>
        <w:rPr>
          <w:rFonts w:ascii="Times New Roman" w:hAnsi="Times New Roman" w:eastAsia="方正黑体_GBK" w:cs="Times New Roman"/>
          <w:szCs w:val="32"/>
        </w:rPr>
        <w:t>附件2</w:t>
      </w:r>
    </w:p>
    <w:p w14:paraId="64181F84">
      <w:pPr>
        <w:autoSpaceDE w:val="0"/>
        <w:autoSpaceDN w:val="0"/>
        <w:adjustRightInd w:val="0"/>
        <w:spacing w:line="360" w:lineRule="auto"/>
        <w:ind w:firstLine="482" w:firstLineChars="200"/>
        <w:jc w:val="center"/>
        <w:rPr>
          <w:rFonts w:ascii="宋体" w:hAnsi="宋体" w:cs="宋体"/>
          <w:b/>
          <w:bCs/>
          <w:color w:val="000000"/>
          <w:kern w:val="0"/>
          <w:sz w:val="24"/>
          <w:szCs w:val="24"/>
        </w:rPr>
      </w:pPr>
      <w:r>
        <w:rPr>
          <w:rFonts w:hint="eastAsia" w:ascii="宋体" w:hAnsi="宋体" w:cs="宋体"/>
          <w:b/>
          <w:bCs/>
          <w:color w:val="000000"/>
          <w:kern w:val="0"/>
          <w:sz w:val="24"/>
          <w:szCs w:val="24"/>
        </w:rPr>
        <w:t>工程涉河建筑物控制点坐标表</w:t>
      </w:r>
    </w:p>
    <w:tbl>
      <w:tblPr>
        <w:tblStyle w:val="13"/>
        <w:tblW w:w="5003"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667"/>
        <w:gridCol w:w="1521"/>
        <w:gridCol w:w="1857"/>
        <w:gridCol w:w="1720"/>
        <w:gridCol w:w="1768"/>
      </w:tblGrid>
      <w:tr w14:paraId="02CC89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977" w:type="pct"/>
            <w:tcBorders>
              <w:tl2br w:val="nil"/>
              <w:tr2bl w:val="nil"/>
            </w:tcBorders>
            <w:vAlign w:val="center"/>
          </w:tcPr>
          <w:p w14:paraId="6B3BD3A9">
            <w:pPr>
              <w:widowControl/>
              <w:spacing w:line="240" w:lineRule="atLeast"/>
              <w:jc w:val="center"/>
              <w:rPr>
                <w:rFonts w:hint="eastAsia" w:ascii="Times New Roman" w:hAnsi="Times New Roman" w:eastAsia="宋体" w:cs="宋体"/>
                <w:kern w:val="0"/>
                <w:sz w:val="22"/>
                <w:szCs w:val="32"/>
              </w:rPr>
            </w:pPr>
            <w:r>
              <w:rPr>
                <w:rFonts w:hint="eastAsia" w:ascii="Times New Roman" w:hAnsi="Times New Roman" w:eastAsia="宋体" w:cs="宋体"/>
                <w:kern w:val="0"/>
                <w:sz w:val="22"/>
                <w:szCs w:val="32"/>
              </w:rPr>
              <w:t>穿越断面编号</w:t>
            </w:r>
          </w:p>
        </w:tc>
        <w:tc>
          <w:tcPr>
            <w:tcW w:w="891" w:type="pct"/>
            <w:tcBorders>
              <w:tl2br w:val="nil"/>
              <w:tr2bl w:val="nil"/>
            </w:tcBorders>
            <w:vAlign w:val="center"/>
          </w:tcPr>
          <w:p w14:paraId="5D746C42">
            <w:pPr>
              <w:widowControl/>
              <w:spacing w:line="240" w:lineRule="atLeast"/>
              <w:jc w:val="center"/>
              <w:rPr>
                <w:rFonts w:hint="eastAsia" w:ascii="Times New Roman" w:hAnsi="Times New Roman" w:eastAsia="宋体" w:cs="宋体"/>
                <w:kern w:val="0"/>
                <w:sz w:val="22"/>
                <w:szCs w:val="32"/>
              </w:rPr>
            </w:pPr>
            <w:r>
              <w:rPr>
                <w:rFonts w:hint="eastAsia" w:ascii="Times New Roman" w:hAnsi="Times New Roman" w:eastAsia="宋体" w:cs="宋体"/>
                <w:kern w:val="0"/>
                <w:sz w:val="22"/>
                <w:szCs w:val="32"/>
              </w:rPr>
              <w:t>河流名称</w:t>
            </w:r>
          </w:p>
        </w:tc>
        <w:tc>
          <w:tcPr>
            <w:tcW w:w="1088" w:type="pct"/>
            <w:tcBorders>
              <w:tl2br w:val="nil"/>
              <w:tr2bl w:val="nil"/>
            </w:tcBorders>
            <w:vAlign w:val="center"/>
          </w:tcPr>
          <w:p w14:paraId="6D06A5BD">
            <w:pPr>
              <w:widowControl/>
              <w:spacing w:line="240" w:lineRule="atLeast"/>
              <w:jc w:val="center"/>
              <w:rPr>
                <w:rFonts w:hint="eastAsia" w:ascii="Times New Roman" w:hAnsi="Times New Roman" w:eastAsia="宋体" w:cs="宋体"/>
                <w:kern w:val="0"/>
                <w:sz w:val="22"/>
                <w:szCs w:val="32"/>
              </w:rPr>
            </w:pPr>
            <w:r>
              <w:rPr>
                <w:rFonts w:hint="eastAsia" w:ascii="Times New Roman" w:hAnsi="Times New Roman" w:eastAsia="宋体" w:cs="宋体"/>
                <w:kern w:val="0"/>
                <w:sz w:val="22"/>
                <w:szCs w:val="32"/>
              </w:rPr>
              <w:t>管道桩号</w:t>
            </w:r>
          </w:p>
        </w:tc>
        <w:tc>
          <w:tcPr>
            <w:tcW w:w="1008" w:type="pct"/>
            <w:tcBorders>
              <w:tl2br w:val="nil"/>
              <w:tr2bl w:val="nil"/>
            </w:tcBorders>
            <w:vAlign w:val="center"/>
          </w:tcPr>
          <w:p w14:paraId="6E54B2BB">
            <w:pPr>
              <w:widowControl/>
              <w:spacing w:line="240" w:lineRule="atLeast"/>
              <w:jc w:val="center"/>
              <w:rPr>
                <w:rFonts w:hint="eastAsia" w:ascii="Times New Roman" w:hAnsi="Times New Roman" w:eastAsia="宋体" w:cs="宋体"/>
                <w:kern w:val="0"/>
                <w:sz w:val="22"/>
                <w:szCs w:val="32"/>
              </w:rPr>
            </w:pPr>
            <w:r>
              <w:rPr>
                <w:rFonts w:hint="eastAsia" w:ascii="Times New Roman" w:hAnsi="Times New Roman" w:eastAsia="宋体" w:cs="宋体"/>
                <w:kern w:val="0"/>
                <w:sz w:val="22"/>
                <w:szCs w:val="32"/>
              </w:rPr>
              <w:t>纵坐标（</w:t>
            </w:r>
            <w:r>
              <w:rPr>
                <w:rFonts w:ascii="Times New Roman" w:hAnsi="Times New Roman" w:eastAsia="宋体" w:cs="宋体"/>
                <w:kern w:val="0"/>
                <w:sz w:val="22"/>
                <w:szCs w:val="32"/>
              </w:rPr>
              <w:t>X</w:t>
            </w:r>
            <w:r>
              <w:rPr>
                <w:rFonts w:hint="eastAsia" w:ascii="Times New Roman" w:hAnsi="Times New Roman" w:eastAsia="宋体" w:cs="宋体"/>
                <w:kern w:val="0"/>
                <w:sz w:val="22"/>
                <w:szCs w:val="32"/>
              </w:rPr>
              <w:t>）</w:t>
            </w:r>
          </w:p>
        </w:tc>
        <w:tc>
          <w:tcPr>
            <w:tcW w:w="1036" w:type="pct"/>
            <w:tcBorders>
              <w:tl2br w:val="nil"/>
              <w:tr2bl w:val="nil"/>
            </w:tcBorders>
            <w:vAlign w:val="center"/>
          </w:tcPr>
          <w:p w14:paraId="64726435">
            <w:pPr>
              <w:widowControl/>
              <w:spacing w:line="240" w:lineRule="atLeast"/>
              <w:jc w:val="center"/>
              <w:rPr>
                <w:rFonts w:hint="eastAsia" w:ascii="Times New Roman" w:hAnsi="Times New Roman" w:eastAsia="宋体" w:cs="宋体"/>
                <w:kern w:val="0"/>
                <w:sz w:val="22"/>
                <w:szCs w:val="32"/>
              </w:rPr>
            </w:pPr>
            <w:r>
              <w:rPr>
                <w:rFonts w:hint="eastAsia" w:ascii="Times New Roman" w:hAnsi="Times New Roman" w:eastAsia="宋体" w:cs="宋体"/>
                <w:kern w:val="0"/>
                <w:sz w:val="22"/>
                <w:szCs w:val="32"/>
              </w:rPr>
              <w:t>横坐标（</w:t>
            </w:r>
            <w:r>
              <w:rPr>
                <w:rFonts w:ascii="Times New Roman" w:hAnsi="Times New Roman" w:eastAsia="宋体" w:cs="宋体"/>
                <w:kern w:val="0"/>
                <w:sz w:val="22"/>
                <w:szCs w:val="32"/>
              </w:rPr>
              <w:t>Y</w:t>
            </w:r>
            <w:r>
              <w:rPr>
                <w:rFonts w:hint="eastAsia" w:ascii="Times New Roman" w:hAnsi="Times New Roman" w:eastAsia="宋体" w:cs="宋体"/>
                <w:kern w:val="0"/>
                <w:sz w:val="22"/>
                <w:szCs w:val="32"/>
              </w:rPr>
              <w:t>）</w:t>
            </w:r>
          </w:p>
        </w:tc>
      </w:tr>
      <w:tr w14:paraId="1CB31E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restart"/>
            <w:tcBorders>
              <w:tl2br w:val="nil"/>
              <w:tr2bl w:val="nil"/>
            </w:tcBorders>
            <w:vAlign w:val="center"/>
          </w:tcPr>
          <w:p w14:paraId="2DE74BD3">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1#</w:t>
            </w:r>
          </w:p>
        </w:tc>
        <w:tc>
          <w:tcPr>
            <w:tcW w:w="891" w:type="pct"/>
            <w:vMerge w:val="restart"/>
            <w:tcBorders>
              <w:tl2br w:val="nil"/>
              <w:tr2bl w:val="nil"/>
            </w:tcBorders>
            <w:vAlign w:val="center"/>
          </w:tcPr>
          <w:p w14:paraId="4CC7EDED">
            <w:pPr>
              <w:widowControl/>
              <w:spacing w:line="240" w:lineRule="atLeast"/>
              <w:jc w:val="center"/>
              <w:rPr>
                <w:rFonts w:hint="eastAsia" w:ascii="Times New Roman" w:hAnsi="Times New Roman" w:eastAsia="宋体" w:cs="宋体"/>
                <w:kern w:val="0"/>
                <w:sz w:val="22"/>
                <w:szCs w:val="32"/>
              </w:rPr>
            </w:pPr>
            <w:r>
              <w:rPr>
                <w:rFonts w:hint="eastAsia" w:ascii="Times New Roman" w:hAnsi="Times New Roman" w:eastAsia="宋体" w:cs="宋体"/>
                <w:kern w:val="0"/>
                <w:sz w:val="22"/>
                <w:szCs w:val="32"/>
              </w:rPr>
              <w:t>大河溪</w:t>
            </w:r>
          </w:p>
        </w:tc>
        <w:tc>
          <w:tcPr>
            <w:tcW w:w="1088" w:type="pct"/>
            <w:tcBorders>
              <w:tl2br w:val="nil"/>
              <w:tr2bl w:val="nil"/>
            </w:tcBorders>
            <w:vAlign w:val="center"/>
          </w:tcPr>
          <w:p w14:paraId="224C50A2">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w:t>
            </w:r>
            <w:r>
              <w:rPr>
                <w:rFonts w:hint="eastAsia" w:ascii="Times New Roman" w:hAnsi="Times New Roman" w:eastAsia="宋体" w:cs="宋体"/>
                <w:kern w:val="0"/>
                <w:sz w:val="22"/>
                <w:szCs w:val="32"/>
              </w:rPr>
              <w:t>201</w:t>
            </w:r>
          </w:p>
        </w:tc>
        <w:tc>
          <w:tcPr>
            <w:tcW w:w="1008" w:type="pct"/>
            <w:tcBorders>
              <w:tl2br w:val="nil"/>
              <w:tr2bl w:val="nil"/>
            </w:tcBorders>
            <w:vAlign w:val="center"/>
          </w:tcPr>
          <w:p w14:paraId="40C9EFE3">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581785.31</w:t>
            </w:r>
          </w:p>
        </w:tc>
        <w:tc>
          <w:tcPr>
            <w:tcW w:w="1036" w:type="pct"/>
            <w:tcBorders>
              <w:tl2br w:val="nil"/>
              <w:tr2bl w:val="nil"/>
            </w:tcBorders>
            <w:vAlign w:val="center"/>
          </w:tcPr>
          <w:p w14:paraId="0A392427">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3223242.08</w:t>
            </w:r>
          </w:p>
        </w:tc>
      </w:tr>
      <w:tr w14:paraId="1E032A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continue"/>
            <w:tcBorders>
              <w:tl2br w:val="nil"/>
              <w:tr2bl w:val="nil"/>
            </w:tcBorders>
            <w:vAlign w:val="center"/>
          </w:tcPr>
          <w:p w14:paraId="51D6057E">
            <w:pPr>
              <w:widowControl/>
              <w:spacing w:line="240" w:lineRule="atLeast"/>
              <w:jc w:val="center"/>
              <w:rPr>
                <w:rFonts w:ascii="Times New Roman" w:hAnsi="Times New Roman" w:eastAsia="宋体" w:cs="宋体"/>
                <w:kern w:val="0"/>
                <w:sz w:val="22"/>
                <w:szCs w:val="32"/>
              </w:rPr>
            </w:pPr>
          </w:p>
        </w:tc>
        <w:tc>
          <w:tcPr>
            <w:tcW w:w="891" w:type="pct"/>
            <w:vMerge w:val="continue"/>
            <w:tcBorders>
              <w:tl2br w:val="nil"/>
              <w:tr2bl w:val="nil"/>
            </w:tcBorders>
            <w:vAlign w:val="center"/>
          </w:tcPr>
          <w:p w14:paraId="23BADEE3">
            <w:pPr>
              <w:widowControl/>
              <w:spacing w:line="240" w:lineRule="atLeast"/>
              <w:jc w:val="center"/>
              <w:rPr>
                <w:rFonts w:hint="eastAsia" w:ascii="Times New Roman" w:hAnsi="Times New Roman" w:eastAsia="宋体" w:cs="宋体"/>
                <w:kern w:val="0"/>
                <w:sz w:val="22"/>
                <w:szCs w:val="32"/>
              </w:rPr>
            </w:pPr>
          </w:p>
        </w:tc>
        <w:tc>
          <w:tcPr>
            <w:tcW w:w="1088" w:type="pct"/>
            <w:tcBorders>
              <w:tl2br w:val="nil"/>
              <w:tr2bl w:val="nil"/>
            </w:tcBorders>
            <w:vAlign w:val="center"/>
          </w:tcPr>
          <w:p w14:paraId="61E5E491">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LAG2</w:t>
            </w:r>
            <w:r>
              <w:rPr>
                <w:rFonts w:hint="eastAsia" w:ascii="Times New Roman" w:hAnsi="Times New Roman" w:eastAsia="宋体" w:cs="宋体"/>
                <w:kern w:val="0"/>
                <w:sz w:val="22"/>
                <w:szCs w:val="32"/>
              </w:rPr>
              <w:t>02</w:t>
            </w:r>
          </w:p>
        </w:tc>
        <w:tc>
          <w:tcPr>
            <w:tcW w:w="1008" w:type="pct"/>
            <w:tcBorders>
              <w:tl2br w:val="nil"/>
              <w:tr2bl w:val="nil"/>
            </w:tcBorders>
            <w:vAlign w:val="center"/>
          </w:tcPr>
          <w:p w14:paraId="50CD9391">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581452.</w:t>
            </w:r>
            <w:r>
              <w:rPr>
                <w:rFonts w:hint="eastAsia" w:ascii="Times New Roman" w:hAnsi="Times New Roman" w:eastAsia="宋体" w:cs="宋体"/>
                <w:kern w:val="0"/>
                <w:sz w:val="22"/>
                <w:szCs w:val="32"/>
              </w:rPr>
              <w:t>60</w:t>
            </w:r>
          </w:p>
        </w:tc>
        <w:tc>
          <w:tcPr>
            <w:tcW w:w="1036" w:type="pct"/>
            <w:tcBorders>
              <w:tl2br w:val="nil"/>
              <w:tr2bl w:val="nil"/>
            </w:tcBorders>
            <w:vAlign w:val="center"/>
          </w:tcPr>
          <w:p w14:paraId="288985C6">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3223175.2</w:t>
            </w:r>
            <w:r>
              <w:rPr>
                <w:rFonts w:hint="eastAsia" w:ascii="Times New Roman" w:hAnsi="Times New Roman" w:eastAsia="宋体" w:cs="宋体"/>
                <w:kern w:val="0"/>
                <w:sz w:val="22"/>
                <w:szCs w:val="32"/>
              </w:rPr>
              <w:t>1</w:t>
            </w:r>
          </w:p>
        </w:tc>
      </w:tr>
      <w:tr w14:paraId="18AE17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restart"/>
            <w:tcBorders>
              <w:tl2br w:val="nil"/>
              <w:tr2bl w:val="nil"/>
            </w:tcBorders>
            <w:vAlign w:val="center"/>
          </w:tcPr>
          <w:p w14:paraId="55AA7277">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2#</w:t>
            </w:r>
          </w:p>
        </w:tc>
        <w:tc>
          <w:tcPr>
            <w:tcW w:w="891" w:type="pct"/>
            <w:vMerge w:val="restart"/>
            <w:tcBorders>
              <w:tl2br w:val="nil"/>
              <w:tr2bl w:val="nil"/>
            </w:tcBorders>
            <w:vAlign w:val="center"/>
          </w:tcPr>
          <w:p w14:paraId="510FD028">
            <w:pPr>
              <w:widowControl/>
              <w:spacing w:line="240" w:lineRule="atLeast"/>
              <w:jc w:val="center"/>
              <w:rPr>
                <w:rFonts w:hint="eastAsia" w:ascii="Times New Roman" w:hAnsi="Times New Roman" w:eastAsia="宋体" w:cs="宋体"/>
                <w:kern w:val="0"/>
                <w:sz w:val="22"/>
                <w:szCs w:val="32"/>
              </w:rPr>
            </w:pPr>
            <w:r>
              <w:rPr>
                <w:rFonts w:hint="eastAsia" w:ascii="Times New Roman" w:hAnsi="Times New Roman" w:eastAsia="宋体" w:cs="宋体"/>
                <w:kern w:val="0"/>
                <w:sz w:val="22"/>
                <w:szCs w:val="32"/>
              </w:rPr>
              <w:t>高山河</w:t>
            </w:r>
          </w:p>
        </w:tc>
        <w:tc>
          <w:tcPr>
            <w:tcW w:w="1088" w:type="pct"/>
            <w:tcBorders>
              <w:tl2br w:val="nil"/>
              <w:tr2bl w:val="nil"/>
            </w:tcBorders>
            <w:vAlign w:val="center"/>
          </w:tcPr>
          <w:p w14:paraId="0E174B08">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LGA192</w:t>
            </w:r>
          </w:p>
        </w:tc>
        <w:tc>
          <w:tcPr>
            <w:tcW w:w="1008" w:type="pct"/>
            <w:tcBorders>
              <w:tl2br w:val="nil"/>
              <w:tr2bl w:val="nil"/>
            </w:tcBorders>
            <w:vAlign w:val="center"/>
          </w:tcPr>
          <w:p w14:paraId="6CB91880">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584157.82</w:t>
            </w:r>
          </w:p>
        </w:tc>
        <w:tc>
          <w:tcPr>
            <w:tcW w:w="1036" w:type="pct"/>
            <w:tcBorders>
              <w:tl2br w:val="nil"/>
              <w:tr2bl w:val="nil"/>
            </w:tcBorders>
            <w:vAlign w:val="center"/>
          </w:tcPr>
          <w:p w14:paraId="1E65C26B">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3223195.79</w:t>
            </w:r>
          </w:p>
        </w:tc>
      </w:tr>
      <w:tr w14:paraId="78CE76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continue"/>
            <w:tcBorders>
              <w:tl2br w:val="nil"/>
              <w:tr2bl w:val="nil"/>
            </w:tcBorders>
            <w:vAlign w:val="center"/>
          </w:tcPr>
          <w:p w14:paraId="0A92AE0F">
            <w:pPr>
              <w:widowControl/>
              <w:spacing w:line="240" w:lineRule="atLeast"/>
              <w:jc w:val="center"/>
              <w:rPr>
                <w:rFonts w:ascii="Times New Roman" w:hAnsi="Times New Roman" w:eastAsia="宋体" w:cs="宋体"/>
                <w:kern w:val="0"/>
                <w:sz w:val="22"/>
                <w:szCs w:val="32"/>
              </w:rPr>
            </w:pPr>
          </w:p>
        </w:tc>
        <w:tc>
          <w:tcPr>
            <w:tcW w:w="891" w:type="pct"/>
            <w:vMerge w:val="continue"/>
            <w:tcBorders>
              <w:tl2br w:val="nil"/>
              <w:tr2bl w:val="nil"/>
            </w:tcBorders>
            <w:vAlign w:val="center"/>
          </w:tcPr>
          <w:p w14:paraId="03755D6B">
            <w:pPr>
              <w:widowControl/>
              <w:spacing w:line="240" w:lineRule="atLeast"/>
              <w:jc w:val="center"/>
              <w:rPr>
                <w:rFonts w:hint="eastAsia" w:ascii="Times New Roman" w:hAnsi="Times New Roman" w:eastAsia="宋体" w:cs="宋体"/>
                <w:kern w:val="0"/>
                <w:sz w:val="22"/>
                <w:szCs w:val="32"/>
              </w:rPr>
            </w:pPr>
          </w:p>
        </w:tc>
        <w:tc>
          <w:tcPr>
            <w:tcW w:w="1088" w:type="pct"/>
            <w:tcBorders>
              <w:tl2br w:val="nil"/>
              <w:tr2bl w:val="nil"/>
            </w:tcBorders>
            <w:vAlign w:val="center"/>
          </w:tcPr>
          <w:p w14:paraId="147D2C29">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LGA193</w:t>
            </w:r>
          </w:p>
        </w:tc>
        <w:tc>
          <w:tcPr>
            <w:tcW w:w="1008" w:type="pct"/>
            <w:tcBorders>
              <w:tl2br w:val="nil"/>
              <w:tr2bl w:val="nil"/>
            </w:tcBorders>
            <w:vAlign w:val="center"/>
          </w:tcPr>
          <w:p w14:paraId="2F80BC37">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584074.25</w:t>
            </w:r>
          </w:p>
        </w:tc>
        <w:tc>
          <w:tcPr>
            <w:tcW w:w="1036" w:type="pct"/>
            <w:tcBorders>
              <w:tl2br w:val="nil"/>
              <w:tr2bl w:val="nil"/>
            </w:tcBorders>
            <w:vAlign w:val="center"/>
          </w:tcPr>
          <w:p w14:paraId="692F6340">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3223231.11</w:t>
            </w:r>
          </w:p>
        </w:tc>
      </w:tr>
      <w:tr w14:paraId="612955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restart"/>
            <w:tcBorders>
              <w:tl2br w:val="nil"/>
              <w:tr2bl w:val="nil"/>
            </w:tcBorders>
            <w:vAlign w:val="center"/>
          </w:tcPr>
          <w:p w14:paraId="7C6FEA8C">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w:t>
            </w:r>
          </w:p>
        </w:tc>
        <w:tc>
          <w:tcPr>
            <w:tcW w:w="891" w:type="pct"/>
            <w:vMerge w:val="restart"/>
            <w:tcBorders>
              <w:tl2br w:val="nil"/>
              <w:tr2bl w:val="nil"/>
            </w:tcBorders>
            <w:vAlign w:val="center"/>
          </w:tcPr>
          <w:p w14:paraId="06D34965">
            <w:pPr>
              <w:widowControl/>
              <w:spacing w:line="240" w:lineRule="atLeast"/>
              <w:jc w:val="center"/>
              <w:rPr>
                <w:rFonts w:hint="eastAsia" w:ascii="Times New Roman" w:hAnsi="Times New Roman" w:eastAsia="宋体" w:cs="宋体"/>
                <w:kern w:val="0"/>
                <w:sz w:val="22"/>
                <w:szCs w:val="32"/>
              </w:rPr>
            </w:pPr>
            <w:r>
              <w:rPr>
                <w:rFonts w:hint="eastAsia" w:ascii="Times New Roman" w:hAnsi="Times New Roman" w:eastAsia="宋体" w:cs="宋体"/>
                <w:kern w:val="0"/>
                <w:sz w:val="22"/>
                <w:szCs w:val="32"/>
              </w:rPr>
              <w:t>后溪河</w:t>
            </w:r>
          </w:p>
        </w:tc>
        <w:tc>
          <w:tcPr>
            <w:tcW w:w="1088" w:type="pct"/>
            <w:tcBorders>
              <w:tl2br w:val="nil"/>
              <w:tr2bl w:val="nil"/>
            </w:tcBorders>
            <w:vAlign w:val="center"/>
          </w:tcPr>
          <w:p w14:paraId="561DB310">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LGA179</w:t>
            </w:r>
          </w:p>
        </w:tc>
        <w:tc>
          <w:tcPr>
            <w:tcW w:w="1008" w:type="pct"/>
            <w:tcBorders>
              <w:tl2br w:val="nil"/>
              <w:tr2bl w:val="nil"/>
            </w:tcBorders>
            <w:vAlign w:val="center"/>
          </w:tcPr>
          <w:p w14:paraId="17B0829C">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585615.42</w:t>
            </w:r>
          </w:p>
        </w:tc>
        <w:tc>
          <w:tcPr>
            <w:tcW w:w="1036" w:type="pct"/>
            <w:tcBorders>
              <w:tl2br w:val="nil"/>
              <w:tr2bl w:val="nil"/>
            </w:tcBorders>
            <w:vAlign w:val="center"/>
          </w:tcPr>
          <w:p w14:paraId="738C59BB">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3223152.2</w:t>
            </w:r>
          </w:p>
        </w:tc>
      </w:tr>
      <w:tr w14:paraId="7A04B4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continue"/>
            <w:tcBorders>
              <w:tl2br w:val="nil"/>
              <w:tr2bl w:val="nil"/>
            </w:tcBorders>
            <w:vAlign w:val="center"/>
          </w:tcPr>
          <w:p w14:paraId="3DDEF2BC">
            <w:pPr>
              <w:widowControl/>
              <w:spacing w:line="240" w:lineRule="atLeast"/>
              <w:jc w:val="center"/>
              <w:rPr>
                <w:rFonts w:ascii="Times New Roman" w:hAnsi="Times New Roman" w:eastAsia="宋体" w:cs="宋体"/>
                <w:kern w:val="0"/>
                <w:sz w:val="22"/>
                <w:szCs w:val="32"/>
              </w:rPr>
            </w:pPr>
          </w:p>
        </w:tc>
        <w:tc>
          <w:tcPr>
            <w:tcW w:w="891" w:type="pct"/>
            <w:vMerge w:val="continue"/>
            <w:tcBorders>
              <w:tl2br w:val="nil"/>
              <w:tr2bl w:val="nil"/>
            </w:tcBorders>
            <w:vAlign w:val="center"/>
          </w:tcPr>
          <w:p w14:paraId="39B0B7CB">
            <w:pPr>
              <w:widowControl/>
              <w:spacing w:line="240" w:lineRule="atLeast"/>
              <w:jc w:val="center"/>
              <w:rPr>
                <w:rFonts w:hint="eastAsia" w:ascii="Times New Roman" w:hAnsi="Times New Roman" w:eastAsia="宋体" w:cs="宋体"/>
                <w:kern w:val="0"/>
                <w:sz w:val="22"/>
                <w:szCs w:val="32"/>
              </w:rPr>
            </w:pPr>
          </w:p>
        </w:tc>
        <w:tc>
          <w:tcPr>
            <w:tcW w:w="1088" w:type="pct"/>
            <w:tcBorders>
              <w:tl2br w:val="nil"/>
              <w:tr2bl w:val="nil"/>
            </w:tcBorders>
            <w:vAlign w:val="center"/>
          </w:tcPr>
          <w:p w14:paraId="6AD82515">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LGA180</w:t>
            </w:r>
          </w:p>
        </w:tc>
        <w:tc>
          <w:tcPr>
            <w:tcW w:w="1008" w:type="pct"/>
            <w:tcBorders>
              <w:tl2br w:val="nil"/>
              <w:tr2bl w:val="nil"/>
            </w:tcBorders>
            <w:vAlign w:val="center"/>
          </w:tcPr>
          <w:p w14:paraId="67AC97A9">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585585.83</w:t>
            </w:r>
          </w:p>
        </w:tc>
        <w:tc>
          <w:tcPr>
            <w:tcW w:w="1036" w:type="pct"/>
            <w:tcBorders>
              <w:tl2br w:val="nil"/>
              <w:tr2bl w:val="nil"/>
            </w:tcBorders>
            <w:vAlign w:val="center"/>
          </w:tcPr>
          <w:p w14:paraId="51B52CC2">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3223209.04</w:t>
            </w:r>
          </w:p>
        </w:tc>
      </w:tr>
      <w:tr w14:paraId="0B0DD0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restart"/>
            <w:tcBorders>
              <w:tl2br w:val="nil"/>
              <w:tr2bl w:val="nil"/>
            </w:tcBorders>
            <w:vAlign w:val="center"/>
          </w:tcPr>
          <w:p w14:paraId="23D9FE4D">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4#</w:t>
            </w:r>
          </w:p>
        </w:tc>
        <w:tc>
          <w:tcPr>
            <w:tcW w:w="891" w:type="pct"/>
            <w:vMerge w:val="restart"/>
            <w:tcBorders>
              <w:tl2br w:val="nil"/>
              <w:tr2bl w:val="nil"/>
            </w:tcBorders>
            <w:vAlign w:val="center"/>
          </w:tcPr>
          <w:p w14:paraId="45ADCA39">
            <w:pPr>
              <w:widowControl/>
              <w:spacing w:line="240" w:lineRule="atLeast"/>
              <w:jc w:val="center"/>
              <w:rPr>
                <w:rFonts w:hint="eastAsia" w:ascii="Times New Roman" w:hAnsi="Times New Roman" w:eastAsia="宋体" w:cs="宋体"/>
                <w:kern w:val="0"/>
                <w:sz w:val="22"/>
                <w:szCs w:val="32"/>
              </w:rPr>
            </w:pPr>
            <w:r>
              <w:rPr>
                <w:rFonts w:hint="eastAsia" w:ascii="Times New Roman" w:hAnsi="Times New Roman" w:eastAsia="宋体" w:cs="宋体"/>
                <w:kern w:val="0"/>
                <w:sz w:val="22"/>
                <w:szCs w:val="32"/>
              </w:rPr>
              <w:t>圣水河</w:t>
            </w:r>
          </w:p>
        </w:tc>
        <w:tc>
          <w:tcPr>
            <w:tcW w:w="1088" w:type="pct"/>
            <w:tcBorders>
              <w:tl2br w:val="nil"/>
              <w:tr2bl w:val="nil"/>
            </w:tcBorders>
            <w:vAlign w:val="center"/>
          </w:tcPr>
          <w:p w14:paraId="365DF9CE">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LGA163</w:t>
            </w:r>
          </w:p>
        </w:tc>
        <w:tc>
          <w:tcPr>
            <w:tcW w:w="1008" w:type="pct"/>
            <w:tcBorders>
              <w:tl2br w:val="nil"/>
              <w:tr2bl w:val="nil"/>
            </w:tcBorders>
            <w:vAlign w:val="center"/>
          </w:tcPr>
          <w:p w14:paraId="6BD7170F">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587085.68</w:t>
            </w:r>
          </w:p>
        </w:tc>
        <w:tc>
          <w:tcPr>
            <w:tcW w:w="1036" w:type="pct"/>
            <w:tcBorders>
              <w:tl2br w:val="nil"/>
              <w:tr2bl w:val="nil"/>
            </w:tcBorders>
            <w:vAlign w:val="center"/>
          </w:tcPr>
          <w:p w14:paraId="27C7B868">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3224655.1</w:t>
            </w:r>
          </w:p>
        </w:tc>
      </w:tr>
      <w:tr w14:paraId="7BA0CD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continue"/>
            <w:tcBorders>
              <w:tl2br w:val="nil"/>
              <w:tr2bl w:val="nil"/>
            </w:tcBorders>
            <w:vAlign w:val="center"/>
          </w:tcPr>
          <w:p w14:paraId="40F245C8">
            <w:pPr>
              <w:widowControl/>
              <w:spacing w:line="240" w:lineRule="atLeast"/>
              <w:jc w:val="center"/>
              <w:rPr>
                <w:rFonts w:ascii="Times New Roman" w:hAnsi="Times New Roman" w:eastAsia="宋体" w:cs="宋体"/>
                <w:kern w:val="0"/>
                <w:sz w:val="22"/>
                <w:szCs w:val="32"/>
              </w:rPr>
            </w:pPr>
          </w:p>
        </w:tc>
        <w:tc>
          <w:tcPr>
            <w:tcW w:w="891" w:type="pct"/>
            <w:vMerge w:val="continue"/>
            <w:tcBorders>
              <w:tl2br w:val="nil"/>
              <w:tr2bl w:val="nil"/>
            </w:tcBorders>
            <w:vAlign w:val="center"/>
          </w:tcPr>
          <w:p w14:paraId="7A619030">
            <w:pPr>
              <w:widowControl/>
              <w:spacing w:line="240" w:lineRule="atLeast"/>
              <w:jc w:val="center"/>
              <w:rPr>
                <w:rFonts w:hint="eastAsia" w:ascii="Times New Roman" w:hAnsi="Times New Roman" w:eastAsia="宋体" w:cs="宋体"/>
                <w:kern w:val="0"/>
                <w:sz w:val="22"/>
                <w:szCs w:val="32"/>
              </w:rPr>
            </w:pPr>
          </w:p>
        </w:tc>
        <w:tc>
          <w:tcPr>
            <w:tcW w:w="1088" w:type="pct"/>
            <w:tcBorders>
              <w:tl2br w:val="nil"/>
              <w:tr2bl w:val="nil"/>
            </w:tcBorders>
            <w:vAlign w:val="center"/>
          </w:tcPr>
          <w:p w14:paraId="306733AD">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LGA164</w:t>
            </w:r>
          </w:p>
        </w:tc>
        <w:tc>
          <w:tcPr>
            <w:tcW w:w="1008" w:type="pct"/>
            <w:tcBorders>
              <w:tl2br w:val="nil"/>
              <w:tr2bl w:val="nil"/>
            </w:tcBorders>
            <w:vAlign w:val="center"/>
          </w:tcPr>
          <w:p w14:paraId="0E42371B">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586878.6</w:t>
            </w:r>
          </w:p>
        </w:tc>
        <w:tc>
          <w:tcPr>
            <w:tcW w:w="1036" w:type="pct"/>
            <w:tcBorders>
              <w:tl2br w:val="nil"/>
              <w:tr2bl w:val="nil"/>
            </w:tcBorders>
            <w:vAlign w:val="center"/>
          </w:tcPr>
          <w:p w14:paraId="01D45903">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3224594.53</w:t>
            </w:r>
          </w:p>
        </w:tc>
      </w:tr>
      <w:tr w14:paraId="27CDAA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continue"/>
            <w:tcBorders>
              <w:tl2br w:val="nil"/>
              <w:tr2bl w:val="nil"/>
            </w:tcBorders>
            <w:vAlign w:val="center"/>
          </w:tcPr>
          <w:p w14:paraId="117523EF">
            <w:pPr>
              <w:widowControl/>
              <w:spacing w:line="240" w:lineRule="atLeast"/>
              <w:jc w:val="center"/>
              <w:rPr>
                <w:rFonts w:ascii="Times New Roman" w:hAnsi="Times New Roman" w:eastAsia="宋体" w:cs="宋体"/>
                <w:kern w:val="0"/>
                <w:sz w:val="22"/>
                <w:szCs w:val="32"/>
              </w:rPr>
            </w:pPr>
          </w:p>
        </w:tc>
        <w:tc>
          <w:tcPr>
            <w:tcW w:w="891" w:type="pct"/>
            <w:vMerge w:val="continue"/>
            <w:tcBorders>
              <w:tl2br w:val="nil"/>
              <w:tr2bl w:val="nil"/>
            </w:tcBorders>
            <w:vAlign w:val="center"/>
          </w:tcPr>
          <w:p w14:paraId="155BEDFA">
            <w:pPr>
              <w:widowControl/>
              <w:spacing w:line="240" w:lineRule="atLeast"/>
              <w:jc w:val="center"/>
              <w:rPr>
                <w:rFonts w:hint="eastAsia" w:ascii="Times New Roman" w:hAnsi="Times New Roman" w:eastAsia="宋体" w:cs="宋体"/>
                <w:kern w:val="0"/>
                <w:sz w:val="22"/>
                <w:szCs w:val="32"/>
              </w:rPr>
            </w:pPr>
          </w:p>
        </w:tc>
        <w:tc>
          <w:tcPr>
            <w:tcW w:w="1088" w:type="pct"/>
            <w:tcBorders>
              <w:tl2br w:val="nil"/>
              <w:tr2bl w:val="nil"/>
            </w:tcBorders>
            <w:vAlign w:val="center"/>
          </w:tcPr>
          <w:p w14:paraId="6E5E3905">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LGA165</w:t>
            </w:r>
          </w:p>
        </w:tc>
        <w:tc>
          <w:tcPr>
            <w:tcW w:w="1008" w:type="pct"/>
            <w:tcBorders>
              <w:tl2br w:val="nil"/>
              <w:tr2bl w:val="nil"/>
            </w:tcBorders>
            <w:vAlign w:val="center"/>
          </w:tcPr>
          <w:p w14:paraId="434B5F41">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586854.6</w:t>
            </w:r>
          </w:p>
        </w:tc>
        <w:tc>
          <w:tcPr>
            <w:tcW w:w="1036" w:type="pct"/>
            <w:tcBorders>
              <w:tl2br w:val="nil"/>
              <w:tr2bl w:val="nil"/>
            </w:tcBorders>
            <w:vAlign w:val="center"/>
          </w:tcPr>
          <w:p w14:paraId="15AB0409">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3224598.45</w:t>
            </w:r>
          </w:p>
        </w:tc>
      </w:tr>
      <w:tr w14:paraId="327D46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restart"/>
            <w:tcBorders>
              <w:tl2br w:val="nil"/>
              <w:tr2bl w:val="nil"/>
            </w:tcBorders>
            <w:vAlign w:val="center"/>
          </w:tcPr>
          <w:p w14:paraId="1136A903">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w:t>
            </w:r>
          </w:p>
        </w:tc>
        <w:tc>
          <w:tcPr>
            <w:tcW w:w="891" w:type="pct"/>
            <w:vMerge w:val="restart"/>
            <w:tcBorders>
              <w:tl2br w:val="nil"/>
              <w:tr2bl w:val="nil"/>
            </w:tcBorders>
            <w:vAlign w:val="center"/>
          </w:tcPr>
          <w:p w14:paraId="439F164A">
            <w:pPr>
              <w:widowControl/>
              <w:spacing w:line="240" w:lineRule="atLeast"/>
              <w:jc w:val="center"/>
              <w:rPr>
                <w:rFonts w:hint="eastAsia" w:ascii="Times New Roman" w:hAnsi="Times New Roman" w:eastAsia="宋体" w:cs="宋体"/>
                <w:kern w:val="0"/>
                <w:sz w:val="22"/>
                <w:szCs w:val="32"/>
              </w:rPr>
            </w:pPr>
            <w:r>
              <w:rPr>
                <w:rFonts w:hint="eastAsia" w:ascii="Times New Roman" w:hAnsi="Times New Roman" w:eastAsia="宋体" w:cs="宋体"/>
                <w:kern w:val="0"/>
                <w:sz w:val="22"/>
                <w:szCs w:val="32"/>
              </w:rPr>
              <w:t>水碾河</w:t>
            </w:r>
          </w:p>
        </w:tc>
        <w:tc>
          <w:tcPr>
            <w:tcW w:w="1088" w:type="pct"/>
            <w:tcBorders>
              <w:tl2br w:val="nil"/>
              <w:tr2bl w:val="nil"/>
            </w:tcBorders>
            <w:vAlign w:val="center"/>
          </w:tcPr>
          <w:p w14:paraId="655D2C6B">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LGA123</w:t>
            </w:r>
          </w:p>
        </w:tc>
        <w:tc>
          <w:tcPr>
            <w:tcW w:w="1008" w:type="pct"/>
            <w:tcBorders>
              <w:tl2br w:val="nil"/>
              <w:tr2bl w:val="nil"/>
            </w:tcBorders>
            <w:vAlign w:val="center"/>
          </w:tcPr>
          <w:p w14:paraId="62B566E2">
            <w:pPr>
              <w:widowControl/>
              <w:spacing w:line="240" w:lineRule="atLeast"/>
              <w:jc w:val="center"/>
              <w:rPr>
                <w:rFonts w:ascii="Times New Roman" w:hAnsi="Times New Roman" w:eastAsia="宋体" w:cs="宋体"/>
                <w:kern w:val="0"/>
                <w:sz w:val="22"/>
                <w:szCs w:val="32"/>
              </w:rPr>
            </w:pPr>
            <w:r>
              <w:rPr>
                <w:rFonts w:hint="eastAsia" w:ascii="Times New Roman" w:hAnsi="Times New Roman" w:eastAsia="宋体" w:cs="宋体"/>
                <w:kern w:val="0"/>
                <w:sz w:val="22"/>
                <w:szCs w:val="32"/>
              </w:rPr>
              <w:t>591008.78</w:t>
            </w:r>
          </w:p>
        </w:tc>
        <w:tc>
          <w:tcPr>
            <w:tcW w:w="1036" w:type="pct"/>
            <w:tcBorders>
              <w:tl2br w:val="nil"/>
              <w:tr2bl w:val="nil"/>
            </w:tcBorders>
            <w:vAlign w:val="center"/>
          </w:tcPr>
          <w:p w14:paraId="68592A0C">
            <w:pPr>
              <w:widowControl/>
              <w:spacing w:line="240" w:lineRule="atLeast"/>
              <w:jc w:val="center"/>
              <w:rPr>
                <w:rFonts w:ascii="Times New Roman" w:hAnsi="Times New Roman" w:eastAsia="宋体" w:cs="宋体"/>
                <w:kern w:val="0"/>
                <w:sz w:val="22"/>
                <w:szCs w:val="32"/>
              </w:rPr>
            </w:pPr>
            <w:r>
              <w:rPr>
                <w:rFonts w:hint="eastAsia" w:ascii="Times New Roman" w:hAnsi="Times New Roman" w:eastAsia="宋体" w:cs="宋体"/>
                <w:kern w:val="0"/>
                <w:sz w:val="22"/>
                <w:szCs w:val="32"/>
              </w:rPr>
              <w:t>3227972.62</w:t>
            </w:r>
          </w:p>
        </w:tc>
      </w:tr>
      <w:tr w14:paraId="6DCDEF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continue"/>
            <w:tcBorders>
              <w:tl2br w:val="nil"/>
              <w:tr2bl w:val="nil"/>
            </w:tcBorders>
            <w:vAlign w:val="center"/>
          </w:tcPr>
          <w:p w14:paraId="1BC7302C">
            <w:pPr>
              <w:widowControl/>
              <w:spacing w:line="240" w:lineRule="atLeast"/>
              <w:jc w:val="center"/>
              <w:rPr>
                <w:rFonts w:ascii="Times New Roman" w:hAnsi="Times New Roman" w:eastAsia="宋体" w:cs="宋体"/>
                <w:kern w:val="0"/>
                <w:sz w:val="22"/>
                <w:szCs w:val="32"/>
              </w:rPr>
            </w:pPr>
          </w:p>
        </w:tc>
        <w:tc>
          <w:tcPr>
            <w:tcW w:w="891" w:type="pct"/>
            <w:vMerge w:val="continue"/>
            <w:tcBorders>
              <w:tl2br w:val="nil"/>
              <w:tr2bl w:val="nil"/>
            </w:tcBorders>
            <w:vAlign w:val="center"/>
          </w:tcPr>
          <w:p w14:paraId="255785B0">
            <w:pPr>
              <w:widowControl/>
              <w:spacing w:line="240" w:lineRule="atLeast"/>
              <w:jc w:val="center"/>
              <w:rPr>
                <w:rFonts w:hint="eastAsia" w:ascii="Times New Roman" w:hAnsi="Times New Roman" w:eastAsia="宋体" w:cs="宋体"/>
                <w:kern w:val="0"/>
                <w:sz w:val="22"/>
                <w:szCs w:val="32"/>
              </w:rPr>
            </w:pPr>
          </w:p>
        </w:tc>
        <w:tc>
          <w:tcPr>
            <w:tcW w:w="1088" w:type="pct"/>
            <w:tcBorders>
              <w:tl2br w:val="nil"/>
              <w:tr2bl w:val="nil"/>
            </w:tcBorders>
            <w:vAlign w:val="center"/>
          </w:tcPr>
          <w:p w14:paraId="645457A8">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LGA124</w:t>
            </w:r>
          </w:p>
        </w:tc>
        <w:tc>
          <w:tcPr>
            <w:tcW w:w="1008" w:type="pct"/>
            <w:tcBorders>
              <w:tl2br w:val="nil"/>
              <w:tr2bl w:val="nil"/>
            </w:tcBorders>
            <w:vAlign w:val="center"/>
          </w:tcPr>
          <w:p w14:paraId="6419D202">
            <w:pPr>
              <w:widowControl/>
              <w:spacing w:line="240" w:lineRule="atLeast"/>
              <w:jc w:val="center"/>
              <w:rPr>
                <w:rFonts w:ascii="Times New Roman" w:hAnsi="Times New Roman" w:eastAsia="宋体" w:cs="宋体"/>
                <w:kern w:val="0"/>
                <w:sz w:val="22"/>
                <w:szCs w:val="32"/>
              </w:rPr>
            </w:pPr>
            <w:r>
              <w:rPr>
                <w:rFonts w:hint="eastAsia" w:ascii="Times New Roman" w:hAnsi="Times New Roman" w:eastAsia="宋体" w:cs="宋体"/>
                <w:kern w:val="0"/>
                <w:sz w:val="22"/>
                <w:szCs w:val="32"/>
              </w:rPr>
              <w:t>590981.59</w:t>
            </w:r>
          </w:p>
        </w:tc>
        <w:tc>
          <w:tcPr>
            <w:tcW w:w="1036" w:type="pct"/>
            <w:tcBorders>
              <w:tl2br w:val="nil"/>
              <w:tr2bl w:val="nil"/>
            </w:tcBorders>
            <w:vAlign w:val="center"/>
          </w:tcPr>
          <w:p w14:paraId="1E5DF7F7">
            <w:pPr>
              <w:widowControl/>
              <w:spacing w:line="240" w:lineRule="atLeast"/>
              <w:jc w:val="center"/>
              <w:rPr>
                <w:rFonts w:ascii="Times New Roman" w:hAnsi="Times New Roman" w:eastAsia="宋体" w:cs="宋体"/>
                <w:kern w:val="0"/>
                <w:sz w:val="22"/>
                <w:szCs w:val="32"/>
              </w:rPr>
            </w:pPr>
            <w:r>
              <w:rPr>
                <w:rFonts w:hint="eastAsia" w:ascii="Times New Roman" w:hAnsi="Times New Roman" w:eastAsia="宋体" w:cs="宋体"/>
                <w:kern w:val="0"/>
                <w:sz w:val="22"/>
                <w:szCs w:val="32"/>
              </w:rPr>
              <w:t>3227897.38</w:t>
            </w:r>
          </w:p>
        </w:tc>
      </w:tr>
      <w:tr w14:paraId="4242BC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continue"/>
            <w:tcBorders>
              <w:tl2br w:val="nil"/>
              <w:tr2bl w:val="nil"/>
            </w:tcBorders>
            <w:vAlign w:val="center"/>
          </w:tcPr>
          <w:p w14:paraId="55443F0D">
            <w:pPr>
              <w:widowControl/>
              <w:spacing w:line="240" w:lineRule="atLeast"/>
              <w:jc w:val="center"/>
              <w:rPr>
                <w:rFonts w:ascii="Times New Roman" w:hAnsi="Times New Roman" w:eastAsia="宋体" w:cs="宋体"/>
                <w:kern w:val="0"/>
                <w:sz w:val="22"/>
                <w:szCs w:val="32"/>
              </w:rPr>
            </w:pPr>
          </w:p>
        </w:tc>
        <w:tc>
          <w:tcPr>
            <w:tcW w:w="891" w:type="pct"/>
            <w:vMerge w:val="continue"/>
            <w:tcBorders>
              <w:tl2br w:val="nil"/>
              <w:tr2bl w:val="nil"/>
            </w:tcBorders>
            <w:vAlign w:val="center"/>
          </w:tcPr>
          <w:p w14:paraId="21252257">
            <w:pPr>
              <w:widowControl/>
              <w:spacing w:line="240" w:lineRule="atLeast"/>
              <w:jc w:val="center"/>
              <w:rPr>
                <w:rFonts w:hint="eastAsia" w:ascii="Times New Roman" w:hAnsi="Times New Roman" w:eastAsia="宋体" w:cs="宋体"/>
                <w:kern w:val="0"/>
                <w:sz w:val="22"/>
                <w:szCs w:val="32"/>
              </w:rPr>
            </w:pPr>
          </w:p>
        </w:tc>
        <w:tc>
          <w:tcPr>
            <w:tcW w:w="1088" w:type="pct"/>
            <w:tcBorders>
              <w:tl2br w:val="nil"/>
              <w:tr2bl w:val="nil"/>
            </w:tcBorders>
            <w:vAlign w:val="center"/>
          </w:tcPr>
          <w:p w14:paraId="231A12CE">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LGA125</w:t>
            </w:r>
          </w:p>
        </w:tc>
        <w:tc>
          <w:tcPr>
            <w:tcW w:w="1008" w:type="pct"/>
            <w:tcBorders>
              <w:tl2br w:val="nil"/>
              <w:tr2bl w:val="nil"/>
            </w:tcBorders>
            <w:vAlign w:val="center"/>
          </w:tcPr>
          <w:p w14:paraId="4288711E">
            <w:pPr>
              <w:widowControl/>
              <w:spacing w:line="240" w:lineRule="atLeast"/>
              <w:jc w:val="center"/>
              <w:rPr>
                <w:rFonts w:ascii="Times New Roman" w:hAnsi="Times New Roman" w:eastAsia="宋体" w:cs="宋体"/>
                <w:kern w:val="0"/>
                <w:sz w:val="22"/>
                <w:szCs w:val="32"/>
              </w:rPr>
            </w:pPr>
            <w:r>
              <w:rPr>
                <w:rFonts w:hint="eastAsia" w:ascii="Times New Roman" w:hAnsi="Times New Roman" w:eastAsia="宋体" w:cs="宋体"/>
                <w:kern w:val="0"/>
                <w:sz w:val="22"/>
                <w:szCs w:val="32"/>
              </w:rPr>
              <w:t>590953.68</w:t>
            </w:r>
          </w:p>
        </w:tc>
        <w:tc>
          <w:tcPr>
            <w:tcW w:w="1036" w:type="pct"/>
            <w:tcBorders>
              <w:tl2br w:val="nil"/>
              <w:tr2bl w:val="nil"/>
            </w:tcBorders>
            <w:vAlign w:val="center"/>
          </w:tcPr>
          <w:p w14:paraId="6C5136F9">
            <w:pPr>
              <w:widowControl/>
              <w:spacing w:line="240" w:lineRule="atLeast"/>
              <w:jc w:val="center"/>
              <w:rPr>
                <w:rFonts w:ascii="Times New Roman" w:hAnsi="Times New Roman" w:eastAsia="宋体" w:cs="宋体"/>
                <w:kern w:val="0"/>
                <w:sz w:val="22"/>
                <w:szCs w:val="32"/>
              </w:rPr>
            </w:pPr>
            <w:r>
              <w:rPr>
                <w:rFonts w:hint="eastAsia" w:ascii="Times New Roman" w:hAnsi="Times New Roman" w:eastAsia="宋体" w:cs="宋体"/>
                <w:kern w:val="0"/>
                <w:sz w:val="22"/>
                <w:szCs w:val="32"/>
              </w:rPr>
              <w:t>3227820.14</w:t>
            </w:r>
          </w:p>
        </w:tc>
      </w:tr>
      <w:tr w14:paraId="3A7F4C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restart"/>
            <w:tcBorders>
              <w:tl2br w:val="nil"/>
              <w:tr2bl w:val="nil"/>
            </w:tcBorders>
            <w:vAlign w:val="center"/>
          </w:tcPr>
          <w:p w14:paraId="6C426E73">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6#</w:t>
            </w:r>
          </w:p>
        </w:tc>
        <w:tc>
          <w:tcPr>
            <w:tcW w:w="891" w:type="pct"/>
            <w:vMerge w:val="restart"/>
            <w:tcBorders>
              <w:tl2br w:val="nil"/>
              <w:tr2bl w:val="nil"/>
            </w:tcBorders>
            <w:vAlign w:val="center"/>
          </w:tcPr>
          <w:p w14:paraId="14A41111">
            <w:pPr>
              <w:widowControl/>
              <w:spacing w:line="240" w:lineRule="atLeast"/>
              <w:jc w:val="center"/>
              <w:rPr>
                <w:rFonts w:hint="eastAsia" w:ascii="Times New Roman" w:hAnsi="Times New Roman" w:eastAsia="宋体" w:cs="宋体"/>
                <w:kern w:val="0"/>
                <w:sz w:val="22"/>
                <w:szCs w:val="32"/>
              </w:rPr>
            </w:pPr>
            <w:r>
              <w:rPr>
                <w:rFonts w:hint="eastAsia" w:ascii="Times New Roman" w:hAnsi="Times New Roman" w:eastAsia="宋体" w:cs="宋体"/>
                <w:kern w:val="0"/>
                <w:sz w:val="22"/>
                <w:szCs w:val="32"/>
              </w:rPr>
              <w:t>临江河</w:t>
            </w:r>
          </w:p>
        </w:tc>
        <w:tc>
          <w:tcPr>
            <w:tcW w:w="1088" w:type="pct"/>
            <w:tcBorders>
              <w:tl2br w:val="nil"/>
              <w:tr2bl w:val="nil"/>
            </w:tcBorders>
            <w:vAlign w:val="center"/>
          </w:tcPr>
          <w:p w14:paraId="4E3CB5E6">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LGA103</w:t>
            </w:r>
          </w:p>
        </w:tc>
        <w:tc>
          <w:tcPr>
            <w:tcW w:w="1008" w:type="pct"/>
            <w:tcBorders>
              <w:tl2br w:val="nil"/>
              <w:tr2bl w:val="nil"/>
            </w:tcBorders>
            <w:vAlign w:val="center"/>
          </w:tcPr>
          <w:p w14:paraId="41FDFFAD">
            <w:pPr>
              <w:widowControl/>
              <w:spacing w:line="240" w:lineRule="atLeast"/>
              <w:jc w:val="center"/>
              <w:rPr>
                <w:rFonts w:ascii="Times New Roman" w:hAnsi="Times New Roman" w:eastAsia="宋体" w:cs="宋体"/>
                <w:kern w:val="0"/>
                <w:sz w:val="22"/>
                <w:szCs w:val="32"/>
              </w:rPr>
            </w:pPr>
            <w:r>
              <w:rPr>
                <w:rFonts w:hint="eastAsia" w:ascii="Times New Roman" w:hAnsi="Times New Roman" w:eastAsia="宋体" w:cs="宋体"/>
                <w:kern w:val="0"/>
                <w:sz w:val="22"/>
                <w:szCs w:val="32"/>
              </w:rPr>
              <w:t>592394.66</w:t>
            </w:r>
          </w:p>
        </w:tc>
        <w:tc>
          <w:tcPr>
            <w:tcW w:w="1036" w:type="pct"/>
            <w:tcBorders>
              <w:tl2br w:val="nil"/>
              <w:tr2bl w:val="nil"/>
            </w:tcBorders>
            <w:vAlign w:val="center"/>
          </w:tcPr>
          <w:p w14:paraId="328FD40E">
            <w:pPr>
              <w:widowControl/>
              <w:spacing w:line="240" w:lineRule="atLeast"/>
              <w:jc w:val="center"/>
              <w:rPr>
                <w:rFonts w:ascii="Times New Roman" w:hAnsi="Times New Roman" w:eastAsia="宋体" w:cs="宋体"/>
                <w:kern w:val="0"/>
                <w:sz w:val="22"/>
                <w:szCs w:val="32"/>
              </w:rPr>
            </w:pPr>
            <w:r>
              <w:rPr>
                <w:rFonts w:hint="eastAsia" w:ascii="Times New Roman" w:hAnsi="Times New Roman" w:eastAsia="宋体" w:cs="宋体"/>
                <w:kern w:val="0"/>
                <w:sz w:val="22"/>
                <w:szCs w:val="32"/>
              </w:rPr>
              <w:t>3228975.1</w:t>
            </w:r>
          </w:p>
        </w:tc>
      </w:tr>
      <w:tr w14:paraId="032E9D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continue"/>
            <w:tcBorders>
              <w:tl2br w:val="nil"/>
              <w:tr2bl w:val="nil"/>
            </w:tcBorders>
            <w:vAlign w:val="center"/>
          </w:tcPr>
          <w:p w14:paraId="3F8BA7F1">
            <w:pPr>
              <w:widowControl/>
              <w:spacing w:line="240" w:lineRule="atLeast"/>
              <w:jc w:val="center"/>
              <w:rPr>
                <w:rFonts w:ascii="Times New Roman" w:hAnsi="Times New Roman" w:eastAsia="宋体" w:cs="宋体"/>
                <w:kern w:val="0"/>
                <w:sz w:val="22"/>
                <w:szCs w:val="32"/>
              </w:rPr>
            </w:pPr>
          </w:p>
        </w:tc>
        <w:tc>
          <w:tcPr>
            <w:tcW w:w="891" w:type="pct"/>
            <w:vMerge w:val="continue"/>
            <w:tcBorders>
              <w:tl2br w:val="nil"/>
              <w:tr2bl w:val="nil"/>
            </w:tcBorders>
            <w:vAlign w:val="center"/>
          </w:tcPr>
          <w:p w14:paraId="5951B4A6">
            <w:pPr>
              <w:widowControl/>
              <w:spacing w:line="240" w:lineRule="atLeast"/>
              <w:jc w:val="center"/>
              <w:rPr>
                <w:rFonts w:hint="eastAsia" w:ascii="Times New Roman" w:hAnsi="Times New Roman" w:eastAsia="宋体" w:cs="宋体"/>
                <w:kern w:val="0"/>
                <w:sz w:val="22"/>
                <w:szCs w:val="32"/>
              </w:rPr>
            </w:pPr>
          </w:p>
        </w:tc>
        <w:tc>
          <w:tcPr>
            <w:tcW w:w="1088" w:type="pct"/>
            <w:tcBorders>
              <w:tl2br w:val="nil"/>
              <w:tr2bl w:val="nil"/>
            </w:tcBorders>
            <w:vAlign w:val="center"/>
          </w:tcPr>
          <w:p w14:paraId="32E0B07C">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LGA104</w:t>
            </w:r>
          </w:p>
        </w:tc>
        <w:tc>
          <w:tcPr>
            <w:tcW w:w="1008" w:type="pct"/>
            <w:tcBorders>
              <w:tl2br w:val="nil"/>
              <w:tr2bl w:val="nil"/>
            </w:tcBorders>
            <w:vAlign w:val="center"/>
          </w:tcPr>
          <w:p w14:paraId="76077FD0">
            <w:pPr>
              <w:widowControl/>
              <w:spacing w:line="240" w:lineRule="atLeast"/>
              <w:jc w:val="center"/>
              <w:rPr>
                <w:rFonts w:ascii="Times New Roman" w:hAnsi="Times New Roman" w:eastAsia="宋体" w:cs="宋体"/>
                <w:kern w:val="0"/>
                <w:sz w:val="22"/>
                <w:szCs w:val="32"/>
              </w:rPr>
            </w:pPr>
            <w:r>
              <w:rPr>
                <w:rFonts w:hint="eastAsia" w:ascii="Times New Roman" w:hAnsi="Times New Roman" w:eastAsia="宋体" w:cs="宋体"/>
                <w:kern w:val="0"/>
                <w:sz w:val="22"/>
                <w:szCs w:val="32"/>
              </w:rPr>
              <w:t>591747.51</w:t>
            </w:r>
          </w:p>
        </w:tc>
        <w:tc>
          <w:tcPr>
            <w:tcW w:w="1036" w:type="pct"/>
            <w:tcBorders>
              <w:tl2br w:val="nil"/>
              <w:tr2bl w:val="nil"/>
            </w:tcBorders>
            <w:vAlign w:val="center"/>
          </w:tcPr>
          <w:p w14:paraId="1A3D1A22">
            <w:pPr>
              <w:widowControl/>
              <w:spacing w:line="240" w:lineRule="atLeast"/>
              <w:jc w:val="center"/>
              <w:rPr>
                <w:rFonts w:ascii="Times New Roman" w:hAnsi="Times New Roman" w:eastAsia="宋体" w:cs="宋体"/>
                <w:kern w:val="0"/>
                <w:sz w:val="22"/>
                <w:szCs w:val="32"/>
              </w:rPr>
            </w:pPr>
            <w:r>
              <w:rPr>
                <w:rFonts w:hint="eastAsia" w:ascii="Times New Roman" w:hAnsi="Times New Roman" w:eastAsia="宋体" w:cs="宋体"/>
                <w:kern w:val="0"/>
                <w:sz w:val="22"/>
                <w:szCs w:val="32"/>
              </w:rPr>
              <w:t>3229031.13</w:t>
            </w:r>
          </w:p>
        </w:tc>
      </w:tr>
      <w:tr w14:paraId="715567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restart"/>
            <w:tcBorders>
              <w:tl2br w:val="nil"/>
              <w:tr2bl w:val="nil"/>
            </w:tcBorders>
            <w:vAlign w:val="center"/>
          </w:tcPr>
          <w:p w14:paraId="2F14CE0A">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7#</w:t>
            </w:r>
          </w:p>
        </w:tc>
        <w:tc>
          <w:tcPr>
            <w:tcW w:w="891" w:type="pct"/>
            <w:vMerge w:val="restart"/>
            <w:tcBorders>
              <w:tl2br w:val="nil"/>
              <w:tr2bl w:val="nil"/>
            </w:tcBorders>
            <w:vAlign w:val="center"/>
          </w:tcPr>
          <w:p w14:paraId="38C0A20A">
            <w:pPr>
              <w:widowControl/>
              <w:spacing w:line="240" w:lineRule="atLeast"/>
              <w:jc w:val="center"/>
              <w:rPr>
                <w:rFonts w:hint="eastAsia" w:ascii="Times New Roman" w:hAnsi="Times New Roman" w:eastAsia="宋体" w:cs="宋体"/>
                <w:kern w:val="0"/>
                <w:sz w:val="22"/>
                <w:szCs w:val="32"/>
              </w:rPr>
            </w:pPr>
            <w:r>
              <w:rPr>
                <w:rFonts w:hint="eastAsia" w:ascii="Times New Roman" w:hAnsi="Times New Roman" w:eastAsia="宋体" w:cs="宋体"/>
                <w:kern w:val="0"/>
                <w:sz w:val="22"/>
                <w:szCs w:val="32"/>
              </w:rPr>
              <w:t>袁家沟</w:t>
            </w:r>
          </w:p>
        </w:tc>
        <w:tc>
          <w:tcPr>
            <w:tcW w:w="1088" w:type="pct"/>
            <w:tcBorders>
              <w:tl2br w:val="nil"/>
              <w:tr2bl w:val="nil"/>
            </w:tcBorders>
            <w:vAlign w:val="center"/>
          </w:tcPr>
          <w:p w14:paraId="112E2D7E">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LGA086</w:t>
            </w:r>
          </w:p>
        </w:tc>
        <w:tc>
          <w:tcPr>
            <w:tcW w:w="1008" w:type="pct"/>
            <w:tcBorders>
              <w:tl2br w:val="nil"/>
              <w:tr2bl w:val="nil"/>
            </w:tcBorders>
            <w:vAlign w:val="center"/>
          </w:tcPr>
          <w:p w14:paraId="4288BF28">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593322.77</w:t>
            </w:r>
          </w:p>
        </w:tc>
        <w:tc>
          <w:tcPr>
            <w:tcW w:w="1036" w:type="pct"/>
            <w:tcBorders>
              <w:tl2br w:val="nil"/>
              <w:tr2bl w:val="nil"/>
            </w:tcBorders>
            <w:vAlign w:val="center"/>
          </w:tcPr>
          <w:p w14:paraId="5526A9ED">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3231366.17</w:t>
            </w:r>
          </w:p>
        </w:tc>
      </w:tr>
      <w:tr w14:paraId="6DBD53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continue"/>
            <w:tcBorders>
              <w:tl2br w:val="nil"/>
              <w:tr2bl w:val="nil"/>
            </w:tcBorders>
            <w:vAlign w:val="center"/>
          </w:tcPr>
          <w:p w14:paraId="3B311C51">
            <w:pPr>
              <w:widowControl/>
              <w:spacing w:line="240" w:lineRule="atLeast"/>
              <w:jc w:val="center"/>
              <w:rPr>
                <w:rFonts w:ascii="Times New Roman" w:hAnsi="Times New Roman" w:eastAsia="宋体" w:cs="宋体"/>
                <w:kern w:val="0"/>
                <w:sz w:val="22"/>
                <w:szCs w:val="32"/>
              </w:rPr>
            </w:pPr>
          </w:p>
        </w:tc>
        <w:tc>
          <w:tcPr>
            <w:tcW w:w="891" w:type="pct"/>
            <w:vMerge w:val="continue"/>
            <w:tcBorders>
              <w:tl2br w:val="nil"/>
              <w:tr2bl w:val="nil"/>
            </w:tcBorders>
            <w:vAlign w:val="center"/>
          </w:tcPr>
          <w:p w14:paraId="706ED8D6">
            <w:pPr>
              <w:widowControl/>
              <w:spacing w:line="240" w:lineRule="atLeast"/>
              <w:jc w:val="center"/>
              <w:rPr>
                <w:rFonts w:hint="eastAsia" w:ascii="Times New Roman" w:hAnsi="Times New Roman" w:eastAsia="宋体" w:cs="宋体"/>
                <w:kern w:val="0"/>
                <w:sz w:val="22"/>
                <w:szCs w:val="32"/>
              </w:rPr>
            </w:pPr>
          </w:p>
        </w:tc>
        <w:tc>
          <w:tcPr>
            <w:tcW w:w="1088" w:type="pct"/>
            <w:tcBorders>
              <w:tl2br w:val="nil"/>
              <w:tr2bl w:val="nil"/>
            </w:tcBorders>
            <w:vAlign w:val="center"/>
          </w:tcPr>
          <w:p w14:paraId="478F7622">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LAG087</w:t>
            </w:r>
          </w:p>
        </w:tc>
        <w:tc>
          <w:tcPr>
            <w:tcW w:w="1008" w:type="pct"/>
            <w:tcBorders>
              <w:tl2br w:val="nil"/>
              <w:tr2bl w:val="nil"/>
            </w:tcBorders>
            <w:vAlign w:val="center"/>
          </w:tcPr>
          <w:p w14:paraId="623A96E4">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593301.53</w:t>
            </w:r>
          </w:p>
        </w:tc>
        <w:tc>
          <w:tcPr>
            <w:tcW w:w="1036" w:type="pct"/>
            <w:tcBorders>
              <w:tl2br w:val="nil"/>
              <w:tr2bl w:val="nil"/>
            </w:tcBorders>
            <w:vAlign w:val="center"/>
          </w:tcPr>
          <w:p w14:paraId="698DE0C8">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3231257.06</w:t>
            </w:r>
          </w:p>
        </w:tc>
      </w:tr>
      <w:tr w14:paraId="1C1B42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restart"/>
            <w:tcBorders>
              <w:tl2br w:val="nil"/>
              <w:tr2bl w:val="nil"/>
            </w:tcBorders>
            <w:vAlign w:val="center"/>
          </w:tcPr>
          <w:p w14:paraId="2AC4BF7A">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8#</w:t>
            </w:r>
          </w:p>
        </w:tc>
        <w:tc>
          <w:tcPr>
            <w:tcW w:w="891" w:type="pct"/>
            <w:vMerge w:val="restart"/>
            <w:tcBorders>
              <w:tl2br w:val="nil"/>
              <w:tr2bl w:val="nil"/>
            </w:tcBorders>
            <w:vAlign w:val="center"/>
          </w:tcPr>
          <w:p w14:paraId="3E2E0950">
            <w:pPr>
              <w:widowControl/>
              <w:spacing w:line="240" w:lineRule="atLeast"/>
              <w:jc w:val="center"/>
              <w:rPr>
                <w:rFonts w:hint="eastAsia" w:ascii="Times New Roman" w:hAnsi="Times New Roman" w:eastAsia="宋体" w:cs="宋体"/>
                <w:kern w:val="0"/>
                <w:sz w:val="22"/>
                <w:szCs w:val="32"/>
              </w:rPr>
            </w:pPr>
            <w:r>
              <w:rPr>
                <w:rFonts w:hint="eastAsia" w:ascii="Times New Roman" w:hAnsi="Times New Roman" w:eastAsia="宋体" w:cs="宋体"/>
                <w:kern w:val="0"/>
                <w:sz w:val="22"/>
                <w:szCs w:val="32"/>
              </w:rPr>
              <w:t>袁家沟</w:t>
            </w:r>
          </w:p>
        </w:tc>
        <w:tc>
          <w:tcPr>
            <w:tcW w:w="1088" w:type="pct"/>
            <w:tcBorders>
              <w:tl2br w:val="nil"/>
              <w:tr2bl w:val="nil"/>
            </w:tcBorders>
            <w:vAlign w:val="center"/>
          </w:tcPr>
          <w:p w14:paraId="527A79B6">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LGA086</w:t>
            </w:r>
          </w:p>
        </w:tc>
        <w:tc>
          <w:tcPr>
            <w:tcW w:w="1008" w:type="pct"/>
            <w:tcBorders>
              <w:tl2br w:val="nil"/>
              <w:tr2bl w:val="nil"/>
            </w:tcBorders>
            <w:vAlign w:val="center"/>
          </w:tcPr>
          <w:p w14:paraId="14CF3459">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593322.77</w:t>
            </w:r>
          </w:p>
        </w:tc>
        <w:tc>
          <w:tcPr>
            <w:tcW w:w="1036" w:type="pct"/>
            <w:tcBorders>
              <w:tl2br w:val="nil"/>
              <w:tr2bl w:val="nil"/>
            </w:tcBorders>
            <w:vAlign w:val="center"/>
          </w:tcPr>
          <w:p w14:paraId="157FAA16">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3231366.17</w:t>
            </w:r>
          </w:p>
        </w:tc>
      </w:tr>
      <w:tr w14:paraId="453822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continue"/>
            <w:tcBorders>
              <w:tl2br w:val="nil"/>
              <w:tr2bl w:val="nil"/>
            </w:tcBorders>
            <w:vAlign w:val="center"/>
          </w:tcPr>
          <w:p w14:paraId="3AF513E8">
            <w:pPr>
              <w:widowControl/>
              <w:spacing w:line="240" w:lineRule="atLeast"/>
              <w:jc w:val="center"/>
              <w:rPr>
                <w:rFonts w:ascii="Times New Roman" w:hAnsi="Times New Roman" w:eastAsia="宋体" w:cs="宋体"/>
                <w:kern w:val="0"/>
                <w:sz w:val="22"/>
                <w:szCs w:val="32"/>
              </w:rPr>
            </w:pPr>
          </w:p>
        </w:tc>
        <w:tc>
          <w:tcPr>
            <w:tcW w:w="891" w:type="pct"/>
            <w:vMerge w:val="continue"/>
            <w:tcBorders>
              <w:tl2br w:val="nil"/>
              <w:tr2bl w:val="nil"/>
            </w:tcBorders>
            <w:vAlign w:val="center"/>
          </w:tcPr>
          <w:p w14:paraId="496BEF4F">
            <w:pPr>
              <w:widowControl/>
              <w:spacing w:line="240" w:lineRule="atLeast"/>
              <w:jc w:val="center"/>
              <w:rPr>
                <w:rFonts w:hint="eastAsia" w:ascii="Times New Roman" w:hAnsi="Times New Roman" w:eastAsia="宋体" w:cs="宋体"/>
                <w:kern w:val="0"/>
                <w:sz w:val="22"/>
                <w:szCs w:val="32"/>
              </w:rPr>
            </w:pPr>
          </w:p>
        </w:tc>
        <w:tc>
          <w:tcPr>
            <w:tcW w:w="1088" w:type="pct"/>
            <w:tcBorders>
              <w:tl2br w:val="nil"/>
              <w:tr2bl w:val="nil"/>
            </w:tcBorders>
            <w:vAlign w:val="center"/>
          </w:tcPr>
          <w:p w14:paraId="3932F7FE">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LAG087</w:t>
            </w:r>
          </w:p>
        </w:tc>
        <w:tc>
          <w:tcPr>
            <w:tcW w:w="1008" w:type="pct"/>
            <w:tcBorders>
              <w:tl2br w:val="nil"/>
              <w:tr2bl w:val="nil"/>
            </w:tcBorders>
            <w:vAlign w:val="center"/>
          </w:tcPr>
          <w:p w14:paraId="7CA7E7C3">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593301.53</w:t>
            </w:r>
          </w:p>
        </w:tc>
        <w:tc>
          <w:tcPr>
            <w:tcW w:w="1036" w:type="pct"/>
            <w:tcBorders>
              <w:tl2br w:val="nil"/>
              <w:tr2bl w:val="nil"/>
            </w:tcBorders>
            <w:vAlign w:val="center"/>
          </w:tcPr>
          <w:p w14:paraId="05FAD3EC">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3231257.06</w:t>
            </w:r>
          </w:p>
        </w:tc>
      </w:tr>
      <w:tr w14:paraId="2A3093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restart"/>
            <w:tcBorders>
              <w:tl2br w:val="nil"/>
              <w:tr2bl w:val="nil"/>
            </w:tcBorders>
            <w:vAlign w:val="center"/>
          </w:tcPr>
          <w:p w14:paraId="4AE3BD2D">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9#</w:t>
            </w:r>
          </w:p>
        </w:tc>
        <w:tc>
          <w:tcPr>
            <w:tcW w:w="891" w:type="pct"/>
            <w:vMerge w:val="restart"/>
            <w:tcBorders>
              <w:tl2br w:val="nil"/>
              <w:tr2bl w:val="nil"/>
            </w:tcBorders>
            <w:vAlign w:val="center"/>
          </w:tcPr>
          <w:p w14:paraId="34F7334C">
            <w:pPr>
              <w:widowControl/>
              <w:spacing w:line="240" w:lineRule="atLeast"/>
              <w:jc w:val="center"/>
              <w:rPr>
                <w:rFonts w:hint="eastAsia" w:ascii="Times New Roman" w:hAnsi="Times New Roman" w:eastAsia="宋体" w:cs="宋体"/>
                <w:kern w:val="0"/>
                <w:sz w:val="22"/>
                <w:szCs w:val="32"/>
              </w:rPr>
            </w:pPr>
            <w:r>
              <w:rPr>
                <w:rFonts w:hint="eastAsia" w:ascii="Times New Roman" w:hAnsi="Times New Roman" w:eastAsia="宋体" w:cs="宋体"/>
                <w:kern w:val="0"/>
                <w:sz w:val="22"/>
                <w:szCs w:val="32"/>
              </w:rPr>
              <w:t>袁家沟</w:t>
            </w:r>
          </w:p>
        </w:tc>
        <w:tc>
          <w:tcPr>
            <w:tcW w:w="1088" w:type="pct"/>
            <w:tcBorders>
              <w:tl2br w:val="nil"/>
              <w:tr2bl w:val="nil"/>
            </w:tcBorders>
            <w:vAlign w:val="center"/>
          </w:tcPr>
          <w:p w14:paraId="2EB6D200">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LAG087</w:t>
            </w:r>
          </w:p>
        </w:tc>
        <w:tc>
          <w:tcPr>
            <w:tcW w:w="1008" w:type="pct"/>
            <w:tcBorders>
              <w:tl2br w:val="nil"/>
              <w:tr2bl w:val="nil"/>
            </w:tcBorders>
            <w:vAlign w:val="center"/>
          </w:tcPr>
          <w:p w14:paraId="7414C79E">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593301.53</w:t>
            </w:r>
          </w:p>
        </w:tc>
        <w:tc>
          <w:tcPr>
            <w:tcW w:w="1036" w:type="pct"/>
            <w:tcBorders>
              <w:tl2br w:val="nil"/>
              <w:tr2bl w:val="nil"/>
            </w:tcBorders>
            <w:vAlign w:val="center"/>
          </w:tcPr>
          <w:p w14:paraId="3FE4247A">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3231257.06</w:t>
            </w:r>
          </w:p>
        </w:tc>
      </w:tr>
      <w:tr w14:paraId="0D49AB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continue"/>
            <w:tcBorders>
              <w:tl2br w:val="nil"/>
              <w:tr2bl w:val="nil"/>
            </w:tcBorders>
            <w:vAlign w:val="center"/>
          </w:tcPr>
          <w:p w14:paraId="3C1791A0">
            <w:pPr>
              <w:widowControl/>
              <w:spacing w:line="240" w:lineRule="atLeast"/>
              <w:jc w:val="center"/>
              <w:rPr>
                <w:rFonts w:ascii="Times New Roman" w:hAnsi="Times New Roman" w:eastAsia="宋体" w:cs="宋体"/>
                <w:kern w:val="0"/>
                <w:sz w:val="22"/>
                <w:szCs w:val="32"/>
              </w:rPr>
            </w:pPr>
          </w:p>
        </w:tc>
        <w:tc>
          <w:tcPr>
            <w:tcW w:w="891" w:type="pct"/>
            <w:vMerge w:val="continue"/>
            <w:tcBorders>
              <w:tl2br w:val="nil"/>
              <w:tr2bl w:val="nil"/>
            </w:tcBorders>
            <w:vAlign w:val="center"/>
          </w:tcPr>
          <w:p w14:paraId="07B8D06C">
            <w:pPr>
              <w:widowControl/>
              <w:spacing w:line="240" w:lineRule="atLeast"/>
              <w:jc w:val="center"/>
              <w:rPr>
                <w:rFonts w:hint="eastAsia" w:ascii="Times New Roman" w:hAnsi="Times New Roman" w:eastAsia="宋体" w:cs="宋体"/>
                <w:kern w:val="0"/>
                <w:sz w:val="22"/>
                <w:szCs w:val="32"/>
              </w:rPr>
            </w:pPr>
          </w:p>
        </w:tc>
        <w:tc>
          <w:tcPr>
            <w:tcW w:w="1088" w:type="pct"/>
            <w:tcBorders>
              <w:tl2br w:val="nil"/>
              <w:tr2bl w:val="nil"/>
            </w:tcBorders>
            <w:vAlign w:val="center"/>
          </w:tcPr>
          <w:p w14:paraId="10728F16">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LAG088</w:t>
            </w:r>
          </w:p>
        </w:tc>
        <w:tc>
          <w:tcPr>
            <w:tcW w:w="1008" w:type="pct"/>
            <w:tcBorders>
              <w:tl2br w:val="nil"/>
              <w:tr2bl w:val="nil"/>
            </w:tcBorders>
            <w:vAlign w:val="center"/>
          </w:tcPr>
          <w:p w14:paraId="56DEDDAD">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593182.83</w:t>
            </w:r>
          </w:p>
        </w:tc>
        <w:tc>
          <w:tcPr>
            <w:tcW w:w="1036" w:type="pct"/>
            <w:tcBorders>
              <w:tl2br w:val="nil"/>
              <w:tr2bl w:val="nil"/>
            </w:tcBorders>
            <w:vAlign w:val="center"/>
          </w:tcPr>
          <w:p w14:paraId="7C7954CD">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3231020.48</w:t>
            </w:r>
          </w:p>
        </w:tc>
      </w:tr>
      <w:tr w14:paraId="1BF8CB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restart"/>
            <w:tcBorders>
              <w:tl2br w:val="nil"/>
              <w:tr2bl w:val="nil"/>
            </w:tcBorders>
            <w:vAlign w:val="center"/>
          </w:tcPr>
          <w:p w14:paraId="6E00929C">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10#</w:t>
            </w:r>
          </w:p>
        </w:tc>
        <w:tc>
          <w:tcPr>
            <w:tcW w:w="891" w:type="pct"/>
            <w:vMerge w:val="restart"/>
            <w:tcBorders>
              <w:tl2br w:val="nil"/>
              <w:tr2bl w:val="nil"/>
            </w:tcBorders>
            <w:vAlign w:val="center"/>
          </w:tcPr>
          <w:p w14:paraId="22A4583C">
            <w:pPr>
              <w:widowControl/>
              <w:spacing w:line="240" w:lineRule="atLeast"/>
              <w:jc w:val="center"/>
              <w:rPr>
                <w:rFonts w:hint="eastAsia" w:ascii="Times New Roman" w:hAnsi="Times New Roman" w:eastAsia="宋体" w:cs="宋体"/>
                <w:kern w:val="0"/>
                <w:sz w:val="22"/>
                <w:szCs w:val="32"/>
              </w:rPr>
            </w:pPr>
            <w:r>
              <w:rPr>
                <w:rFonts w:hint="eastAsia" w:ascii="Times New Roman" w:hAnsi="Times New Roman" w:eastAsia="宋体" w:cs="宋体"/>
                <w:kern w:val="0"/>
                <w:sz w:val="22"/>
                <w:szCs w:val="32"/>
              </w:rPr>
              <w:t>团结水库支流</w:t>
            </w:r>
          </w:p>
        </w:tc>
        <w:tc>
          <w:tcPr>
            <w:tcW w:w="1088" w:type="pct"/>
            <w:tcBorders>
              <w:tl2br w:val="nil"/>
              <w:tr2bl w:val="nil"/>
            </w:tcBorders>
            <w:vAlign w:val="center"/>
          </w:tcPr>
          <w:p w14:paraId="75655AAB">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LGA082</w:t>
            </w:r>
          </w:p>
        </w:tc>
        <w:tc>
          <w:tcPr>
            <w:tcW w:w="1008" w:type="pct"/>
            <w:tcBorders>
              <w:tl2br w:val="nil"/>
              <w:tr2bl w:val="nil"/>
            </w:tcBorders>
            <w:vAlign w:val="center"/>
          </w:tcPr>
          <w:p w14:paraId="36A1B442">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593209.06</w:t>
            </w:r>
          </w:p>
        </w:tc>
        <w:tc>
          <w:tcPr>
            <w:tcW w:w="1036" w:type="pct"/>
            <w:tcBorders>
              <w:tl2br w:val="nil"/>
              <w:tr2bl w:val="nil"/>
            </w:tcBorders>
            <w:vAlign w:val="center"/>
          </w:tcPr>
          <w:p w14:paraId="1024080D">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3232121.01</w:t>
            </w:r>
          </w:p>
        </w:tc>
      </w:tr>
      <w:tr w14:paraId="544806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continue"/>
            <w:tcBorders>
              <w:tl2br w:val="nil"/>
              <w:tr2bl w:val="nil"/>
            </w:tcBorders>
            <w:vAlign w:val="center"/>
          </w:tcPr>
          <w:p w14:paraId="1E5B6107">
            <w:pPr>
              <w:widowControl/>
              <w:spacing w:line="240" w:lineRule="atLeast"/>
              <w:jc w:val="center"/>
              <w:rPr>
                <w:rFonts w:ascii="Times New Roman" w:hAnsi="Times New Roman" w:eastAsia="宋体" w:cs="宋体"/>
                <w:kern w:val="0"/>
                <w:sz w:val="22"/>
                <w:szCs w:val="32"/>
              </w:rPr>
            </w:pPr>
          </w:p>
        </w:tc>
        <w:tc>
          <w:tcPr>
            <w:tcW w:w="891" w:type="pct"/>
            <w:vMerge w:val="continue"/>
            <w:tcBorders>
              <w:tl2br w:val="nil"/>
              <w:tr2bl w:val="nil"/>
            </w:tcBorders>
            <w:vAlign w:val="center"/>
          </w:tcPr>
          <w:p w14:paraId="090FF082">
            <w:pPr>
              <w:widowControl/>
              <w:spacing w:line="240" w:lineRule="atLeast"/>
              <w:jc w:val="center"/>
              <w:rPr>
                <w:rFonts w:hint="eastAsia" w:ascii="Times New Roman" w:hAnsi="Times New Roman" w:eastAsia="宋体" w:cs="宋体"/>
                <w:kern w:val="0"/>
                <w:sz w:val="22"/>
                <w:szCs w:val="32"/>
              </w:rPr>
            </w:pPr>
          </w:p>
        </w:tc>
        <w:tc>
          <w:tcPr>
            <w:tcW w:w="1088" w:type="pct"/>
            <w:tcBorders>
              <w:tl2br w:val="nil"/>
              <w:tr2bl w:val="nil"/>
            </w:tcBorders>
            <w:vAlign w:val="center"/>
          </w:tcPr>
          <w:p w14:paraId="0EFE343F">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LGA083</w:t>
            </w:r>
          </w:p>
        </w:tc>
        <w:tc>
          <w:tcPr>
            <w:tcW w:w="1008" w:type="pct"/>
            <w:tcBorders>
              <w:tl2br w:val="nil"/>
              <w:tr2bl w:val="nil"/>
            </w:tcBorders>
            <w:vAlign w:val="center"/>
          </w:tcPr>
          <w:p w14:paraId="38B2E301">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593398.95</w:t>
            </w:r>
          </w:p>
        </w:tc>
        <w:tc>
          <w:tcPr>
            <w:tcW w:w="1036" w:type="pct"/>
            <w:tcBorders>
              <w:tl2br w:val="nil"/>
              <w:tr2bl w:val="nil"/>
            </w:tcBorders>
            <w:vAlign w:val="center"/>
          </w:tcPr>
          <w:p w14:paraId="4E87212C">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3231792.19</w:t>
            </w:r>
          </w:p>
        </w:tc>
      </w:tr>
      <w:tr w14:paraId="5A4FB3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977" w:type="pct"/>
            <w:vMerge w:val="restart"/>
            <w:tcBorders>
              <w:tl2br w:val="nil"/>
              <w:tr2bl w:val="nil"/>
            </w:tcBorders>
            <w:vAlign w:val="center"/>
          </w:tcPr>
          <w:p w14:paraId="42479397">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11#</w:t>
            </w:r>
          </w:p>
        </w:tc>
        <w:tc>
          <w:tcPr>
            <w:tcW w:w="891" w:type="pct"/>
            <w:vMerge w:val="restart"/>
            <w:tcBorders>
              <w:tl2br w:val="nil"/>
              <w:tr2bl w:val="nil"/>
            </w:tcBorders>
            <w:vAlign w:val="center"/>
          </w:tcPr>
          <w:p w14:paraId="19ADA365">
            <w:pPr>
              <w:widowControl/>
              <w:spacing w:line="240" w:lineRule="atLeast"/>
              <w:jc w:val="center"/>
              <w:rPr>
                <w:rFonts w:hint="eastAsia" w:ascii="Times New Roman" w:hAnsi="Times New Roman" w:eastAsia="宋体" w:cs="宋体"/>
                <w:kern w:val="0"/>
                <w:sz w:val="22"/>
                <w:szCs w:val="32"/>
              </w:rPr>
            </w:pPr>
            <w:r>
              <w:rPr>
                <w:rFonts w:hint="eastAsia" w:ascii="Times New Roman" w:hAnsi="Times New Roman" w:eastAsia="宋体" w:cs="宋体"/>
                <w:kern w:val="0"/>
                <w:sz w:val="22"/>
                <w:szCs w:val="32"/>
              </w:rPr>
              <w:t>梅家桥河</w:t>
            </w:r>
          </w:p>
        </w:tc>
        <w:tc>
          <w:tcPr>
            <w:tcW w:w="1088" w:type="pct"/>
            <w:tcBorders>
              <w:tl2br w:val="nil"/>
              <w:tr2bl w:val="nil"/>
            </w:tcBorders>
            <w:vAlign w:val="center"/>
          </w:tcPr>
          <w:p w14:paraId="2086AE5E">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LGA02</w:t>
            </w:r>
            <w:r>
              <w:rPr>
                <w:rFonts w:hint="eastAsia" w:ascii="Times New Roman" w:hAnsi="Times New Roman" w:eastAsia="宋体" w:cs="宋体"/>
                <w:kern w:val="0"/>
                <w:sz w:val="22"/>
                <w:szCs w:val="32"/>
              </w:rPr>
              <w:t>6</w:t>
            </w:r>
          </w:p>
        </w:tc>
        <w:tc>
          <w:tcPr>
            <w:tcW w:w="1008" w:type="pct"/>
            <w:tcBorders>
              <w:tl2br w:val="nil"/>
              <w:tr2bl w:val="nil"/>
            </w:tcBorders>
            <w:vAlign w:val="center"/>
          </w:tcPr>
          <w:p w14:paraId="61BAD573">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595953.31</w:t>
            </w:r>
          </w:p>
        </w:tc>
        <w:tc>
          <w:tcPr>
            <w:tcW w:w="1036" w:type="pct"/>
            <w:tcBorders>
              <w:tl2br w:val="nil"/>
              <w:tr2bl w:val="nil"/>
            </w:tcBorders>
            <w:vAlign w:val="center"/>
          </w:tcPr>
          <w:p w14:paraId="55498349">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3238027.16</w:t>
            </w:r>
          </w:p>
        </w:tc>
      </w:tr>
      <w:tr w14:paraId="421D1A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9" w:hRule="atLeast"/>
        </w:trPr>
        <w:tc>
          <w:tcPr>
            <w:tcW w:w="977" w:type="pct"/>
            <w:vMerge w:val="continue"/>
            <w:tcBorders>
              <w:tl2br w:val="nil"/>
              <w:tr2bl w:val="nil"/>
            </w:tcBorders>
            <w:vAlign w:val="center"/>
          </w:tcPr>
          <w:p w14:paraId="2E17E5DD">
            <w:pPr>
              <w:widowControl/>
              <w:spacing w:line="240" w:lineRule="atLeast"/>
              <w:jc w:val="center"/>
              <w:rPr>
                <w:rFonts w:ascii="Times New Roman" w:hAnsi="Times New Roman" w:eastAsia="宋体" w:cs="宋体"/>
                <w:kern w:val="0"/>
                <w:sz w:val="22"/>
                <w:szCs w:val="32"/>
              </w:rPr>
            </w:pPr>
          </w:p>
        </w:tc>
        <w:tc>
          <w:tcPr>
            <w:tcW w:w="891" w:type="pct"/>
            <w:vMerge w:val="continue"/>
            <w:tcBorders>
              <w:tl2br w:val="nil"/>
              <w:tr2bl w:val="nil"/>
            </w:tcBorders>
            <w:vAlign w:val="center"/>
          </w:tcPr>
          <w:p w14:paraId="7949BAA6">
            <w:pPr>
              <w:widowControl/>
              <w:spacing w:line="240" w:lineRule="atLeast"/>
              <w:jc w:val="center"/>
              <w:rPr>
                <w:rFonts w:hint="eastAsia" w:ascii="Times New Roman" w:hAnsi="Times New Roman" w:eastAsia="宋体" w:cs="宋体"/>
                <w:kern w:val="0"/>
                <w:sz w:val="22"/>
                <w:szCs w:val="32"/>
              </w:rPr>
            </w:pPr>
          </w:p>
        </w:tc>
        <w:tc>
          <w:tcPr>
            <w:tcW w:w="1088" w:type="pct"/>
            <w:tcBorders>
              <w:tl2br w:val="nil"/>
              <w:tr2bl w:val="nil"/>
            </w:tcBorders>
            <w:vAlign w:val="center"/>
          </w:tcPr>
          <w:p w14:paraId="11567B51">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LGA02</w:t>
            </w:r>
            <w:r>
              <w:rPr>
                <w:rFonts w:hint="eastAsia" w:ascii="Times New Roman" w:hAnsi="Times New Roman" w:eastAsia="宋体" w:cs="宋体"/>
                <w:kern w:val="0"/>
                <w:sz w:val="22"/>
                <w:szCs w:val="32"/>
              </w:rPr>
              <w:t>7</w:t>
            </w:r>
          </w:p>
        </w:tc>
        <w:tc>
          <w:tcPr>
            <w:tcW w:w="1008" w:type="pct"/>
            <w:tcBorders>
              <w:tl2br w:val="nil"/>
              <w:tr2bl w:val="nil"/>
            </w:tcBorders>
            <w:vAlign w:val="center"/>
          </w:tcPr>
          <w:p w14:paraId="086495B1">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595958</w:t>
            </w:r>
            <w:r>
              <w:rPr>
                <w:rFonts w:hint="eastAsia" w:ascii="Times New Roman" w:hAnsi="Times New Roman" w:eastAsia="宋体" w:cs="宋体"/>
                <w:kern w:val="0"/>
                <w:sz w:val="22"/>
                <w:szCs w:val="32"/>
              </w:rPr>
              <w:t>.00</w:t>
            </w:r>
          </w:p>
        </w:tc>
        <w:tc>
          <w:tcPr>
            <w:tcW w:w="1036" w:type="pct"/>
            <w:tcBorders>
              <w:tl2br w:val="nil"/>
              <w:tr2bl w:val="nil"/>
            </w:tcBorders>
            <w:vAlign w:val="center"/>
          </w:tcPr>
          <w:p w14:paraId="184978BA">
            <w:pPr>
              <w:widowControl/>
              <w:spacing w:line="240" w:lineRule="atLeast"/>
              <w:jc w:val="center"/>
              <w:rPr>
                <w:rFonts w:ascii="Times New Roman" w:hAnsi="Times New Roman" w:eastAsia="宋体" w:cs="宋体"/>
                <w:kern w:val="0"/>
                <w:sz w:val="22"/>
                <w:szCs w:val="32"/>
              </w:rPr>
            </w:pPr>
            <w:r>
              <w:rPr>
                <w:rFonts w:ascii="Times New Roman" w:hAnsi="Times New Roman" w:eastAsia="宋体" w:cs="宋体"/>
                <w:kern w:val="0"/>
                <w:sz w:val="22"/>
                <w:szCs w:val="32"/>
              </w:rPr>
              <w:t>3237880.87</w:t>
            </w:r>
          </w:p>
        </w:tc>
      </w:tr>
    </w:tbl>
    <w:p w14:paraId="05CDE909">
      <w:pPr>
        <w:pStyle w:val="5"/>
        <w:ind w:firstLine="320"/>
        <w:rPr>
          <w:rFonts w:hint="eastAsia"/>
        </w:rPr>
      </w:pPr>
    </w:p>
    <w:sectPr>
      <w:footerReference r:id="rId5" w:type="default"/>
      <w:footerReference r:id="rId6" w:type="even"/>
      <w:pgSz w:w="11906" w:h="16838"/>
      <w:pgMar w:top="1440" w:right="1797" w:bottom="1440" w:left="1797"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方正黑体_GBK">
    <w:panose1 w:val="03000509000000000000"/>
    <w:charset w:val="86"/>
    <w:family w:val="script"/>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287036"/>
    </w:sdtPr>
    <w:sdtContent>
      <w:p w14:paraId="2541FA74">
        <w:pPr>
          <w:pStyle w:val="10"/>
          <w:jc w:val="right"/>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p w14:paraId="513E7E4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287035"/>
    </w:sdtPr>
    <w:sdtContent>
      <w:p w14:paraId="6C2D8A33">
        <w:pPr>
          <w:pStyle w:val="10"/>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p w14:paraId="03F0A5CE">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27CFE">
    <w:pPr>
      <w:pStyle w:val="10"/>
      <w:jc w:val="right"/>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7</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p w14:paraId="45BB41DF">
    <w:pPr>
      <w:pStyle w:val="10"/>
      <w:ind w:right="360" w:firstLine="360"/>
      <w:jc w:val="right"/>
      <w:rPr>
        <w:rFonts w:ascii="Times New Roman" w:hAnsi="Times New Roman" w:cs="Times New Roman"/>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F81E7">
    <w:pPr>
      <w:pStyle w:val="10"/>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p w14:paraId="47E9A095">
    <w:pPr>
      <w:pStyle w:val="10"/>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dit="readOnly" w:enforcement="0"/>
  <w:defaultTabStop w:val="420"/>
  <w:drawingGridHorizontalSpacing w:val="160"/>
  <w:drawingGridVerticalSpacing w:val="435"/>
  <w:displayHorizont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KGWebUrl" w:val="http://23.211.169.62:80/seeyon/officeservlet"/>
  </w:docVars>
  <w:rsids>
    <w:rsidRoot w:val="73726EFB"/>
    <w:rsid w:val="00000AF5"/>
    <w:rsid w:val="00003A14"/>
    <w:rsid w:val="000129DD"/>
    <w:rsid w:val="00016A6F"/>
    <w:rsid w:val="00022A82"/>
    <w:rsid w:val="000574B9"/>
    <w:rsid w:val="00076EEA"/>
    <w:rsid w:val="00086075"/>
    <w:rsid w:val="000A439B"/>
    <w:rsid w:val="000D69CF"/>
    <w:rsid w:val="00100051"/>
    <w:rsid w:val="001423C0"/>
    <w:rsid w:val="00143EEF"/>
    <w:rsid w:val="00161C0A"/>
    <w:rsid w:val="00163073"/>
    <w:rsid w:val="001729EE"/>
    <w:rsid w:val="00173647"/>
    <w:rsid w:val="00174109"/>
    <w:rsid w:val="001B353F"/>
    <w:rsid w:val="001D1227"/>
    <w:rsid w:val="001D5B43"/>
    <w:rsid w:val="001E08BE"/>
    <w:rsid w:val="001E7AF7"/>
    <w:rsid w:val="001F4113"/>
    <w:rsid w:val="002004BD"/>
    <w:rsid w:val="00201BD3"/>
    <w:rsid w:val="00202269"/>
    <w:rsid w:val="00230495"/>
    <w:rsid w:val="00245898"/>
    <w:rsid w:val="00254AD5"/>
    <w:rsid w:val="00256890"/>
    <w:rsid w:val="00266167"/>
    <w:rsid w:val="00266A59"/>
    <w:rsid w:val="00291F4A"/>
    <w:rsid w:val="00292D28"/>
    <w:rsid w:val="002B20D2"/>
    <w:rsid w:val="002B4E1C"/>
    <w:rsid w:val="002B5FCB"/>
    <w:rsid w:val="002C6E34"/>
    <w:rsid w:val="002E7C30"/>
    <w:rsid w:val="002F60D0"/>
    <w:rsid w:val="002F7A98"/>
    <w:rsid w:val="00300D0A"/>
    <w:rsid w:val="00317529"/>
    <w:rsid w:val="00355BB0"/>
    <w:rsid w:val="003654F1"/>
    <w:rsid w:val="003730E6"/>
    <w:rsid w:val="003821AB"/>
    <w:rsid w:val="00384140"/>
    <w:rsid w:val="003848FC"/>
    <w:rsid w:val="00386B06"/>
    <w:rsid w:val="003B535E"/>
    <w:rsid w:val="003B6A73"/>
    <w:rsid w:val="003B71A3"/>
    <w:rsid w:val="003C6803"/>
    <w:rsid w:val="003D7C2F"/>
    <w:rsid w:val="003E18EB"/>
    <w:rsid w:val="003F00C2"/>
    <w:rsid w:val="00407321"/>
    <w:rsid w:val="00424071"/>
    <w:rsid w:val="004275E8"/>
    <w:rsid w:val="00431078"/>
    <w:rsid w:val="00461AB8"/>
    <w:rsid w:val="00465825"/>
    <w:rsid w:val="004665C9"/>
    <w:rsid w:val="004749E6"/>
    <w:rsid w:val="004856D9"/>
    <w:rsid w:val="004915F5"/>
    <w:rsid w:val="00493FE7"/>
    <w:rsid w:val="004A743A"/>
    <w:rsid w:val="004C7B66"/>
    <w:rsid w:val="004D128F"/>
    <w:rsid w:val="004E047C"/>
    <w:rsid w:val="004E7044"/>
    <w:rsid w:val="004F0507"/>
    <w:rsid w:val="004F1A96"/>
    <w:rsid w:val="00510049"/>
    <w:rsid w:val="00521F6F"/>
    <w:rsid w:val="00562859"/>
    <w:rsid w:val="00585BD4"/>
    <w:rsid w:val="00585DD0"/>
    <w:rsid w:val="00594FCD"/>
    <w:rsid w:val="005C1641"/>
    <w:rsid w:val="005D66B6"/>
    <w:rsid w:val="005E3F54"/>
    <w:rsid w:val="005F2F6A"/>
    <w:rsid w:val="00604F2F"/>
    <w:rsid w:val="006252BF"/>
    <w:rsid w:val="00640318"/>
    <w:rsid w:val="00640DFE"/>
    <w:rsid w:val="00650D0A"/>
    <w:rsid w:val="00654C28"/>
    <w:rsid w:val="006604C1"/>
    <w:rsid w:val="0066242F"/>
    <w:rsid w:val="00663FA8"/>
    <w:rsid w:val="00677CEE"/>
    <w:rsid w:val="006960EA"/>
    <w:rsid w:val="006A4D27"/>
    <w:rsid w:val="006A7D5F"/>
    <w:rsid w:val="006B1BC1"/>
    <w:rsid w:val="006B3BB5"/>
    <w:rsid w:val="006C27EF"/>
    <w:rsid w:val="006C5AF4"/>
    <w:rsid w:val="006C66D4"/>
    <w:rsid w:val="007075F6"/>
    <w:rsid w:val="0071102D"/>
    <w:rsid w:val="00714838"/>
    <w:rsid w:val="00722157"/>
    <w:rsid w:val="0073659E"/>
    <w:rsid w:val="007477BE"/>
    <w:rsid w:val="0076230F"/>
    <w:rsid w:val="007A1C0F"/>
    <w:rsid w:val="007E2C03"/>
    <w:rsid w:val="007E6842"/>
    <w:rsid w:val="00802031"/>
    <w:rsid w:val="00804ED4"/>
    <w:rsid w:val="008142B1"/>
    <w:rsid w:val="008347D6"/>
    <w:rsid w:val="00835A60"/>
    <w:rsid w:val="00840747"/>
    <w:rsid w:val="0085616D"/>
    <w:rsid w:val="008667A6"/>
    <w:rsid w:val="00866CDB"/>
    <w:rsid w:val="00866F1A"/>
    <w:rsid w:val="008821A1"/>
    <w:rsid w:val="00883D32"/>
    <w:rsid w:val="008B0DC0"/>
    <w:rsid w:val="008B3E70"/>
    <w:rsid w:val="008C38C9"/>
    <w:rsid w:val="009030F2"/>
    <w:rsid w:val="009277A0"/>
    <w:rsid w:val="00943BF8"/>
    <w:rsid w:val="00966EE2"/>
    <w:rsid w:val="00970DB2"/>
    <w:rsid w:val="00981423"/>
    <w:rsid w:val="009B408B"/>
    <w:rsid w:val="009B4C1F"/>
    <w:rsid w:val="009C2CAF"/>
    <w:rsid w:val="009C2ECB"/>
    <w:rsid w:val="009D0CD9"/>
    <w:rsid w:val="009D7140"/>
    <w:rsid w:val="009E4932"/>
    <w:rsid w:val="00A0080C"/>
    <w:rsid w:val="00A26E0A"/>
    <w:rsid w:val="00A32107"/>
    <w:rsid w:val="00A3777A"/>
    <w:rsid w:val="00A64B45"/>
    <w:rsid w:val="00A942EB"/>
    <w:rsid w:val="00AA3131"/>
    <w:rsid w:val="00AB5684"/>
    <w:rsid w:val="00AE0D3A"/>
    <w:rsid w:val="00B1156C"/>
    <w:rsid w:val="00B27E7D"/>
    <w:rsid w:val="00B42E8B"/>
    <w:rsid w:val="00B445E2"/>
    <w:rsid w:val="00B74E04"/>
    <w:rsid w:val="00B77EBE"/>
    <w:rsid w:val="00B825FD"/>
    <w:rsid w:val="00BA3A1B"/>
    <w:rsid w:val="00BC1E6E"/>
    <w:rsid w:val="00BC5DAF"/>
    <w:rsid w:val="00BE5037"/>
    <w:rsid w:val="00BF118E"/>
    <w:rsid w:val="00C22E2B"/>
    <w:rsid w:val="00C33280"/>
    <w:rsid w:val="00C34F61"/>
    <w:rsid w:val="00C36A38"/>
    <w:rsid w:val="00C429D8"/>
    <w:rsid w:val="00C57428"/>
    <w:rsid w:val="00C608FE"/>
    <w:rsid w:val="00C66AB8"/>
    <w:rsid w:val="00C919FF"/>
    <w:rsid w:val="00C91F12"/>
    <w:rsid w:val="00CB307C"/>
    <w:rsid w:val="00CC6E4D"/>
    <w:rsid w:val="00D33DBB"/>
    <w:rsid w:val="00D45305"/>
    <w:rsid w:val="00D52D38"/>
    <w:rsid w:val="00D92372"/>
    <w:rsid w:val="00D96281"/>
    <w:rsid w:val="00D96BC4"/>
    <w:rsid w:val="00DA2E46"/>
    <w:rsid w:val="00DE26B5"/>
    <w:rsid w:val="00E0287F"/>
    <w:rsid w:val="00E07665"/>
    <w:rsid w:val="00E17337"/>
    <w:rsid w:val="00E17719"/>
    <w:rsid w:val="00E21C19"/>
    <w:rsid w:val="00E24FF7"/>
    <w:rsid w:val="00E25858"/>
    <w:rsid w:val="00E320DB"/>
    <w:rsid w:val="00E42E8A"/>
    <w:rsid w:val="00E43BD7"/>
    <w:rsid w:val="00E663DE"/>
    <w:rsid w:val="00E94CDD"/>
    <w:rsid w:val="00E9715E"/>
    <w:rsid w:val="00EB4ADA"/>
    <w:rsid w:val="00EB6FFD"/>
    <w:rsid w:val="00EC15E4"/>
    <w:rsid w:val="00EC221F"/>
    <w:rsid w:val="00ED3795"/>
    <w:rsid w:val="00ED69D7"/>
    <w:rsid w:val="00EF15FA"/>
    <w:rsid w:val="00EF4CEA"/>
    <w:rsid w:val="00EF6D2D"/>
    <w:rsid w:val="00F04A23"/>
    <w:rsid w:val="00F22369"/>
    <w:rsid w:val="00F22CA2"/>
    <w:rsid w:val="00F5748A"/>
    <w:rsid w:val="00F6343D"/>
    <w:rsid w:val="00F736A6"/>
    <w:rsid w:val="00F97828"/>
    <w:rsid w:val="00FA1EDA"/>
    <w:rsid w:val="00FB49E6"/>
    <w:rsid w:val="00FC6452"/>
    <w:rsid w:val="00FD4256"/>
    <w:rsid w:val="00FE0FC6"/>
    <w:rsid w:val="00FE47AA"/>
    <w:rsid w:val="01D847F2"/>
    <w:rsid w:val="080E41C5"/>
    <w:rsid w:val="089C597C"/>
    <w:rsid w:val="09CD1453"/>
    <w:rsid w:val="0B746511"/>
    <w:rsid w:val="0C71038C"/>
    <w:rsid w:val="0FBC7EC4"/>
    <w:rsid w:val="17002527"/>
    <w:rsid w:val="1A7E56FA"/>
    <w:rsid w:val="1C227A5E"/>
    <w:rsid w:val="1C3224A7"/>
    <w:rsid w:val="25AD1B59"/>
    <w:rsid w:val="2A1A0D8F"/>
    <w:rsid w:val="2B156CFC"/>
    <w:rsid w:val="2E707209"/>
    <w:rsid w:val="2F871889"/>
    <w:rsid w:val="32B52F02"/>
    <w:rsid w:val="345F7854"/>
    <w:rsid w:val="36BC2D5B"/>
    <w:rsid w:val="39E77697"/>
    <w:rsid w:val="3B7B0277"/>
    <w:rsid w:val="41062D9D"/>
    <w:rsid w:val="45454AB8"/>
    <w:rsid w:val="46C2047E"/>
    <w:rsid w:val="46EB0AAF"/>
    <w:rsid w:val="47B427C5"/>
    <w:rsid w:val="47D06B78"/>
    <w:rsid w:val="4C4A6392"/>
    <w:rsid w:val="51995A34"/>
    <w:rsid w:val="580A7F66"/>
    <w:rsid w:val="5893612C"/>
    <w:rsid w:val="59B07A6C"/>
    <w:rsid w:val="5A417F79"/>
    <w:rsid w:val="5E587F24"/>
    <w:rsid w:val="5FB17BB4"/>
    <w:rsid w:val="622546A7"/>
    <w:rsid w:val="622B235D"/>
    <w:rsid w:val="62B72468"/>
    <w:rsid w:val="63C3616A"/>
    <w:rsid w:val="65C504BE"/>
    <w:rsid w:val="66F26A79"/>
    <w:rsid w:val="6742694B"/>
    <w:rsid w:val="699E3490"/>
    <w:rsid w:val="69EA190C"/>
    <w:rsid w:val="6D2726C5"/>
    <w:rsid w:val="6DB568EE"/>
    <w:rsid w:val="73726EFB"/>
    <w:rsid w:val="73B463CB"/>
    <w:rsid w:val="74D14C9A"/>
    <w:rsid w:val="797432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方正仿宋_GBK" w:asciiTheme="minorHAnsi" w:hAnsiTheme="minorHAnsi" w:cstheme="minorBidi"/>
      <w:kern w:val="2"/>
      <w:sz w:val="32"/>
      <w:szCs w:val="22"/>
      <w:lang w:val="en-US" w:eastAsia="zh-CN" w:bidi="ar-SA"/>
    </w:rPr>
  </w:style>
  <w:style w:type="paragraph" w:styleId="2">
    <w:name w:val="heading 2"/>
    <w:basedOn w:val="1"/>
    <w:next w:val="1"/>
    <w:link w:val="24"/>
    <w:qFormat/>
    <w:uiPriority w:val="9"/>
    <w:pPr>
      <w:keepNext/>
      <w:keepLines/>
      <w:spacing w:before="260" w:after="260" w:line="413" w:lineRule="auto"/>
      <w:outlineLvl w:val="1"/>
    </w:pPr>
    <w:rPr>
      <w:rFonts w:ascii="Arial" w:hAnsi="Arial" w:eastAsia="黑体" w:cs="Times New Roman"/>
      <w:szCs w:val="24"/>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99"/>
    <w:pPr>
      <w:ind w:firstLine="420" w:firstLineChars="200"/>
    </w:pPr>
    <w:rPr>
      <w:rFonts w:ascii="Times New Roman" w:hAnsi="Times New Roman" w:eastAsia="宋体" w:cs="Times New Roman"/>
      <w:szCs w:val="21"/>
    </w:rPr>
  </w:style>
  <w:style w:type="paragraph" w:styleId="4">
    <w:name w:val="Body Text"/>
    <w:basedOn w:val="1"/>
    <w:next w:val="5"/>
    <w:link w:val="20"/>
    <w:qFormat/>
    <w:uiPriority w:val="0"/>
  </w:style>
  <w:style w:type="paragraph" w:styleId="5">
    <w:name w:val="Body Text First Indent"/>
    <w:basedOn w:val="4"/>
    <w:unhideWhenUsed/>
    <w:qFormat/>
    <w:uiPriority w:val="99"/>
    <w:pPr>
      <w:ind w:firstLine="420" w:firstLineChars="100"/>
    </w:pPr>
  </w:style>
  <w:style w:type="paragraph" w:styleId="6">
    <w:name w:val="toc 5"/>
    <w:basedOn w:val="1"/>
    <w:next w:val="1"/>
    <w:unhideWhenUsed/>
    <w:qFormat/>
    <w:uiPriority w:val="39"/>
    <w:pPr>
      <w:ind w:left="1120"/>
      <w:jc w:val="left"/>
    </w:pPr>
    <w:rPr>
      <w:rFonts w:ascii="Times New Roman" w:hAnsi="Times New Roman" w:eastAsia="宋体" w:cs="Times New Roman"/>
      <w:sz w:val="21"/>
      <w:szCs w:val="21"/>
    </w:rPr>
  </w:style>
  <w:style w:type="paragraph" w:styleId="7">
    <w:name w:val="Plain Text"/>
    <w:basedOn w:val="1"/>
    <w:link w:val="30"/>
    <w:uiPriority w:val="0"/>
    <w:rPr>
      <w:rFonts w:ascii="宋体" w:hAnsi="Courier New" w:eastAsia="宋体" w:cs="Times New Roman"/>
      <w:sz w:val="24"/>
      <w:szCs w:val="20"/>
    </w:rPr>
  </w:style>
  <w:style w:type="paragraph" w:styleId="8">
    <w:name w:val="Date"/>
    <w:basedOn w:val="1"/>
    <w:next w:val="1"/>
    <w:link w:val="18"/>
    <w:qFormat/>
    <w:uiPriority w:val="0"/>
    <w:pPr>
      <w:ind w:left="100" w:leftChars="2500"/>
    </w:pPr>
  </w:style>
  <w:style w:type="paragraph" w:styleId="9">
    <w:name w:val="Balloon Text"/>
    <w:basedOn w:val="1"/>
    <w:link w:val="22"/>
    <w:qFormat/>
    <w:uiPriority w:val="0"/>
    <w:rPr>
      <w:sz w:val="18"/>
      <w:szCs w:val="18"/>
    </w:rPr>
  </w:style>
  <w:style w:type="paragraph" w:styleId="10">
    <w:name w:val="footer"/>
    <w:basedOn w:val="1"/>
    <w:next w:val="1"/>
    <w:link w:val="21"/>
    <w:qFormat/>
    <w:uiPriority w:val="99"/>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Normal (Web)"/>
    <w:basedOn w:val="1"/>
    <w:qFormat/>
    <w:uiPriority w:val="0"/>
    <w:pPr>
      <w:spacing w:before="100" w:beforeAutospacing="1" w:after="100" w:afterAutospacing="1"/>
      <w:jc w:val="left"/>
    </w:pPr>
    <w:rPr>
      <w:kern w:val="0"/>
      <w:sz w:val="24"/>
    </w:rPr>
  </w:style>
  <w:style w:type="table" w:styleId="14">
    <w:name w:val="Table Grid"/>
    <w:basedOn w:val="13"/>
    <w:qFormat/>
    <w:uiPriority w:val="0"/>
    <w:pPr>
      <w:widowControl w:val="0"/>
      <w:jc w:val="both"/>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qFormat/>
    <w:uiPriority w:val="0"/>
  </w:style>
  <w:style w:type="paragraph" w:customStyle="1" w:styleId="17">
    <w:name w:val="Default"/>
    <w:unhideWhenUsed/>
    <w:qFormat/>
    <w:uiPriority w:val="0"/>
    <w:pPr>
      <w:widowControl w:val="0"/>
      <w:autoSpaceDE w:val="0"/>
      <w:autoSpaceDN w:val="0"/>
      <w:adjustRightInd w:val="0"/>
    </w:pPr>
    <w:rPr>
      <w:rFonts w:hint="eastAsia" w:ascii="方正黑体_GBK" w:hAnsi="Calibri" w:eastAsia="方正黑体_GBK" w:cstheme="minorBidi"/>
      <w:color w:val="000000"/>
      <w:sz w:val="24"/>
      <w:szCs w:val="22"/>
      <w:lang w:val="en-US" w:eastAsia="zh-CN" w:bidi="ar-SA"/>
    </w:rPr>
  </w:style>
  <w:style w:type="character" w:customStyle="1" w:styleId="18">
    <w:name w:val="日期 Char"/>
    <w:basedOn w:val="15"/>
    <w:link w:val="8"/>
    <w:qFormat/>
    <w:uiPriority w:val="0"/>
    <w:rPr>
      <w:rFonts w:eastAsia="方正仿宋_GBK" w:asciiTheme="minorHAnsi" w:hAnsiTheme="minorHAnsi" w:cstheme="minorBidi"/>
      <w:kern w:val="2"/>
      <w:sz w:val="32"/>
      <w:szCs w:val="22"/>
    </w:rPr>
  </w:style>
  <w:style w:type="paragraph" w:styleId="19">
    <w:name w:val="List Paragraph"/>
    <w:basedOn w:val="1"/>
    <w:qFormat/>
    <w:uiPriority w:val="99"/>
    <w:pPr>
      <w:ind w:firstLine="420" w:firstLineChars="200"/>
    </w:pPr>
  </w:style>
  <w:style w:type="character" w:customStyle="1" w:styleId="20">
    <w:name w:val="正文文本 Char"/>
    <w:basedOn w:val="15"/>
    <w:link w:val="4"/>
    <w:qFormat/>
    <w:uiPriority w:val="0"/>
    <w:rPr>
      <w:rFonts w:eastAsia="方正仿宋_GBK" w:asciiTheme="minorHAnsi" w:hAnsiTheme="minorHAnsi" w:cstheme="minorBidi"/>
      <w:kern w:val="2"/>
      <w:sz w:val="32"/>
      <w:szCs w:val="22"/>
    </w:rPr>
  </w:style>
  <w:style w:type="character" w:customStyle="1" w:styleId="21">
    <w:name w:val="页脚 Char"/>
    <w:basedOn w:val="15"/>
    <w:link w:val="10"/>
    <w:qFormat/>
    <w:uiPriority w:val="99"/>
    <w:rPr>
      <w:rFonts w:eastAsia="方正仿宋_GBK" w:asciiTheme="minorHAnsi" w:hAnsiTheme="minorHAnsi" w:cstheme="minorBidi"/>
      <w:kern w:val="2"/>
      <w:sz w:val="18"/>
      <w:szCs w:val="22"/>
    </w:rPr>
  </w:style>
  <w:style w:type="character" w:customStyle="1" w:styleId="22">
    <w:name w:val="批注框文本 Char"/>
    <w:basedOn w:val="15"/>
    <w:link w:val="9"/>
    <w:qFormat/>
    <w:uiPriority w:val="0"/>
    <w:rPr>
      <w:rFonts w:eastAsia="方正仿宋_GBK" w:asciiTheme="minorHAnsi" w:hAnsiTheme="minorHAnsi" w:cstheme="minorBidi"/>
      <w:kern w:val="2"/>
      <w:sz w:val="18"/>
      <w:szCs w:val="18"/>
    </w:rPr>
  </w:style>
  <w:style w:type="paragraph" w:customStyle="1" w:styleId="23">
    <w:name w:val="_Style 1"/>
    <w:basedOn w:val="1"/>
    <w:qFormat/>
    <w:uiPriority w:val="34"/>
    <w:pPr>
      <w:ind w:firstLine="420" w:firstLineChars="200"/>
    </w:pPr>
    <w:rPr>
      <w:rFonts w:ascii="Times New Roman" w:hAnsi="Times New Roman" w:eastAsia="宋体" w:cs="Times New Roman"/>
      <w:sz w:val="21"/>
      <w:szCs w:val="24"/>
    </w:rPr>
  </w:style>
  <w:style w:type="character" w:customStyle="1" w:styleId="24">
    <w:name w:val="标题 2 Char"/>
    <w:basedOn w:val="15"/>
    <w:link w:val="2"/>
    <w:qFormat/>
    <w:uiPriority w:val="9"/>
    <w:rPr>
      <w:rFonts w:ascii="Arial" w:hAnsi="Arial" w:eastAsia="黑体"/>
      <w:kern w:val="2"/>
      <w:sz w:val="32"/>
      <w:szCs w:val="24"/>
    </w:rPr>
  </w:style>
  <w:style w:type="paragraph" w:customStyle="1" w:styleId="25">
    <w:name w:val="p0"/>
    <w:basedOn w:val="1"/>
    <w:qFormat/>
    <w:uiPriority w:val="0"/>
    <w:pPr>
      <w:widowControl/>
      <w:spacing w:line="360" w:lineRule="auto"/>
      <w:ind w:firstLine="420"/>
    </w:pPr>
    <w:rPr>
      <w:rFonts w:ascii="宋体" w:hAnsi="宋体" w:eastAsia="宋体" w:cs="宋体"/>
      <w:kern w:val="0"/>
      <w:sz w:val="24"/>
      <w:szCs w:val="24"/>
    </w:rPr>
  </w:style>
  <w:style w:type="paragraph" w:customStyle="1" w:styleId="26">
    <w:name w:val="表格"/>
    <w:basedOn w:val="1"/>
    <w:qFormat/>
    <w:uiPriority w:val="0"/>
    <w:pPr>
      <w:keepLines/>
      <w:widowControl/>
      <w:adjustRightInd w:val="0"/>
      <w:snapToGrid w:val="0"/>
      <w:jc w:val="center"/>
    </w:pPr>
    <w:rPr>
      <w:rFonts w:ascii="Times New Roman" w:hAnsi="Times New Roman" w:eastAsia="宋体" w:cs="Times New Roman"/>
      <w:bCs/>
      <w:kern w:val="0"/>
      <w:sz w:val="22"/>
      <w:szCs w:val="20"/>
    </w:rPr>
  </w:style>
  <w:style w:type="paragraph" w:customStyle="1" w:styleId="27">
    <w:name w:val="表格文本"/>
    <w:basedOn w:val="1"/>
    <w:next w:val="1"/>
    <w:qFormat/>
    <w:uiPriority w:val="0"/>
    <w:pPr>
      <w:jc w:val="center"/>
    </w:pPr>
    <w:rPr>
      <w:rFonts w:ascii="Times New Roman" w:hAnsi="Times New Roman" w:eastAsia="宋体" w:cs="Times New Roman"/>
      <w:szCs w:val="21"/>
    </w:rPr>
  </w:style>
  <w:style w:type="paragraph" w:customStyle="1" w:styleId="28">
    <w:name w:val="Char"/>
    <w:basedOn w:val="1"/>
    <w:qFormat/>
    <w:uiPriority w:val="0"/>
    <w:rPr>
      <w:rFonts w:ascii="Times New Roman" w:hAnsi="Times New Roman" w:eastAsia="宋体" w:cs="Times New Roman"/>
      <w:sz w:val="21"/>
      <w:szCs w:val="20"/>
    </w:rPr>
  </w:style>
  <w:style w:type="paragraph" w:customStyle="1" w:styleId="29">
    <w:name w:val="Char1"/>
    <w:basedOn w:val="1"/>
    <w:qFormat/>
    <w:uiPriority w:val="0"/>
    <w:rPr>
      <w:rFonts w:ascii="Times New Roman" w:hAnsi="Times New Roman" w:eastAsia="宋体" w:cs="Times New Roman"/>
      <w:sz w:val="21"/>
      <w:szCs w:val="20"/>
    </w:rPr>
  </w:style>
  <w:style w:type="character" w:customStyle="1" w:styleId="30">
    <w:name w:val="纯文本 Char"/>
    <w:basedOn w:val="15"/>
    <w:link w:val="7"/>
    <w:uiPriority w:val="0"/>
    <w:rPr>
      <w:rFonts w:ascii="宋体" w:hAnsi="Courier New" w:eastAsia="宋体"/>
      <w:kern w:val="2"/>
      <w:sz w:val="24"/>
    </w:rPr>
  </w:style>
  <w:style w:type="paragraph" w:customStyle="1" w:styleId="31">
    <w:name w:val="Char2"/>
    <w:basedOn w:val="1"/>
    <w:qFormat/>
    <w:uiPriority w:val="0"/>
    <w:rPr>
      <w:rFonts w:ascii="Times New Roman" w:hAnsi="Times New Roman" w:eastAsia="宋体" w:cs="Times New Roman"/>
      <w:sz w:val="21"/>
      <w:szCs w:val="20"/>
    </w:rPr>
  </w:style>
  <w:style w:type="paragraph" w:customStyle="1" w:styleId="32">
    <w:name w:val="Char3"/>
    <w:basedOn w:val="1"/>
    <w:qFormat/>
    <w:uiPriority w:val="0"/>
    <w:rPr>
      <w:rFonts w:ascii="Times New Roman" w:hAnsi="Times New Roman" w:eastAsia="宋体" w:cs="Times New Roman"/>
      <w:sz w:val="21"/>
      <w:szCs w:val="20"/>
    </w:rPr>
  </w:style>
  <w:style w:type="paragraph" w:customStyle="1" w:styleId="33">
    <w:name w:val="表头文字小"/>
    <w:basedOn w:val="1"/>
    <w:qFormat/>
    <w:uiPriority w:val="0"/>
    <w:pPr>
      <w:tabs>
        <w:tab w:val="left" w:pos="1419"/>
      </w:tabs>
      <w:spacing w:line="320" w:lineRule="exact"/>
      <w:jc w:val="center"/>
    </w:pPr>
    <w:rPr>
      <w:rFonts w:ascii="宋体" w:hAnsi="Times New Roman" w:eastAsia="宋体" w:cs="Times New Roman"/>
      <w:sz w:val="21"/>
      <w:szCs w:val="21"/>
    </w:rPr>
  </w:style>
  <w:style w:type="paragraph" w:customStyle="1" w:styleId="34">
    <w:name w:val=" Char"/>
    <w:basedOn w:val="1"/>
    <w:qFormat/>
    <w:uiPriority w:val="0"/>
    <w:rPr>
      <w:rFonts w:ascii="Times New Roman" w:hAnsi="Times New Roman" w:eastAsia="宋体" w:cs="Times New Roman"/>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F7D97B-4D27-403B-867F-7322E06B3F55}">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7</Pages>
  <Words>1423</Words>
  <Characters>2021</Characters>
  <Lines>15</Lines>
  <Paragraphs>4</Paragraphs>
  <TotalTime>102</TotalTime>
  <ScaleCrop>false</ScaleCrop>
  <LinksUpToDate>false</LinksUpToDate>
  <CharactersWithSpaces>2033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2022-03-09T07:11:00Z</dcterms:created>
  <dc:creator>Administrator</dc:creator>
  <cp:lastModifiedBy>咖啡色天蝎</cp:lastModifiedBy>
  <cp:lastPrinted>2025-08-29T02:10:00Z</cp:lastPrinted>
  <dcterms:modified xsi:type="dcterms:W3CDTF">2025-09-05T06:43:28Z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D411EE6DFE4F4FE1B37CCC42A540E44F</vt:lpwstr>
  </property>
  <property fmtid="{D5CDD505-2E9C-101B-9397-08002B2CF9AE}" pid="4" name="KSOTemplateDocerSaveRecord">
    <vt:lpwstr>eyJoZGlkIjoiYTJlNzA4OGUyNTFlNmZiMTI2YzYxMTlhODM5YWQwZGIiLCJ1c2VySWQiOiI1MDU3MDY0MjQifQ==</vt:lpwstr>
  </property>
</Properties>
</file>