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97F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重庆市永川区司法局</w:t>
      </w:r>
    </w:p>
    <w:p w14:paraId="0878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重庆市永川区财政局</w:t>
      </w:r>
    </w:p>
    <w:p w14:paraId="472C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关于印发《永川区人民调解案件补贴发放</w:t>
      </w:r>
    </w:p>
    <w:p w14:paraId="0E57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管理办法》的通知</w:t>
      </w:r>
      <w:bookmarkStart w:id="0" w:name="_GoBack"/>
      <w:bookmarkEnd w:id="0"/>
    </w:p>
    <w:p w14:paraId="333BF4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永司法发〔2025〕27号</w:t>
      </w:r>
    </w:p>
    <w:p w14:paraId="0FDC0C05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FC9CC85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44"/>
        </w:rPr>
        <w:t>各镇人民政府、街道办事处，有关单位：</w:t>
      </w:r>
    </w:p>
    <w:p w14:paraId="77E7CBD8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44"/>
        </w:rPr>
        <w:t>为进一步规范全区人民调解案件补贴发放工作，现将《永川区人民调解案件补贴发放管理办法》印发给你们，请认真贯彻执行。</w:t>
      </w:r>
    </w:p>
    <w:p w14:paraId="7996984D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60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44"/>
        </w:rPr>
      </w:pPr>
    </w:p>
    <w:p w14:paraId="3E2E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永川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区司法局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 xml:space="preserve">          重庆市永川区财政局</w:t>
      </w:r>
    </w:p>
    <w:p w14:paraId="03E4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firstLine="5440" w:firstLineChars="17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日</w:t>
      </w:r>
    </w:p>
    <w:p w14:paraId="5967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4EE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 w14:paraId="25B60D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E2066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828593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DFA728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55EEC6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92C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34E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永川区人民调解案件补贴发放管理办法</w:t>
      </w:r>
    </w:p>
    <w:p w14:paraId="51300ED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4"/>
        </w:rPr>
      </w:pPr>
    </w:p>
    <w:p w14:paraId="65E7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为进一步加强人民调解工作，调动各级人民调解组织和广大人民调解员的工作积极性和主动性，充分发挥人民调解维护社会和谐稳定的重要作用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，根据《中华人民共和国人民调解法》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《财政部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司法部关于进一步加强人民调解工作经费保障的意见》（财行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2007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179号）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中共重庆市委政法委员会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重庆市高级人民法院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重庆市司法局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重庆市民政局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重庆市财政局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重庆市人力资源和社会保障局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关于加强人民调解员队伍建设的意见》（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发〔2018〕309号）有关规定，以及重庆市司法局2023年12月18日印发的《关于印发人民调解案件等级分类工作指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引（试行）的通知》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，结合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制定本办法。</w:t>
      </w:r>
    </w:p>
    <w:p w14:paraId="45E8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调解案件补贴的性质</w:t>
      </w:r>
    </w:p>
    <w:p w14:paraId="2288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人民调解委员会（以下简称调委会）是依法设立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调解民间纠纷的群众性组织。人民调解员（以下简称调解员）开展人民调解工作是基于群众拥戴和信任，调委会调解民间纠纷，不收取任何费用。案件补贴是按照矛盾纠纷的难易程度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社会影响大小以及案件调解质量等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发放给调解员调解成功的案件补贴经费，也是调动广大调解员工作积极性的一种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激励方式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F6E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案件补贴经费来源</w:t>
      </w:r>
    </w:p>
    <w:p w14:paraId="1ADA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2"/>
          <w:u w:val="none" w:color="auto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2"/>
          <w:u w:val="none" w:color="auto"/>
        </w:rPr>
        <w:t>上年度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2"/>
          <w:highlight w:val="none"/>
          <w:u w:val="none" w:color="auto"/>
          <w:lang w:eastAsia="zh-CN"/>
        </w:rPr>
        <w:t>发放调解案款金额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作为次年案件补贴经费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参照标准，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列入区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财政预算予以保障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每年发放的案件补贴金额以实际调解案件数为准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22"/>
          <w:u w:val="none" w:color="auto"/>
          <w:lang w:val="en-US" w:eastAsia="zh-CN"/>
        </w:rPr>
        <w:t>。</w:t>
      </w:r>
    </w:p>
    <w:p w14:paraId="262C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案件类别划分及补贴标准</w:t>
      </w:r>
    </w:p>
    <w:p w14:paraId="3844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人民调解案件原则上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按照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调解成功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协议履行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一案一卷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资料完善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以案定补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的原则予以实施。</w:t>
      </w:r>
    </w:p>
    <w:p w14:paraId="7462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人民调解案件分为口头案件、书面案件两大类。口头案件不分等级，不予补贴；书面案件根据难易程度分为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4个等级：简单纠纷、一般纠纷、重大纠纷、疑难纠纷。书面案件具体分类与补贴标准如下：</w:t>
      </w:r>
    </w:p>
    <w:p w14:paraId="75783E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200" w:leftChars="0" w:firstLine="64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简单纠纷。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主要发生在公民与公民之间，案情简单，不需要调查取证、无激化转化趋势，经当场调解即可化解的纠纷。一般为达成协议金额0-1万元（不含1万）或涉及当事人1-2人的书面案件。简单纠纷调解成功补贴35元/件。</w:t>
      </w:r>
    </w:p>
    <w:p w14:paraId="2C51EE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200" w:leftChars="0" w:firstLine="64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一般纠纷。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主要发生在公民与公民之间、公民与法人或其他组织之间，涉案人数较少，涉及金额较小，调解时需要进行调查取证，一次性调解成功的矛盾纠纷。一般为达成协议金额1万-10万元（不含10万）或涉及当事人3-5人的书面案件。一般纠纷调解成功补贴80元/件。</w:t>
      </w:r>
    </w:p>
    <w:p w14:paraId="58F68A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200" w:leftChars="0" w:firstLine="64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重大纠纷。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纠纷较为复杂、事实认定难度较大、调解难度大、需要进行调查取证或者咨询专家意见，邀请专家参与调解，涉案人数较多，涉及金额较大，经多方调查取证、多次会诊协商，调解成功的矛盾纠纷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一般为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达成协议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10万-50万元（不含50万）或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当事人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6-14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书面案件。重大纠纷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调解成功补贴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0CBE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（四）疑难纠纷。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参与人数多、涉及范围广、酝酿时间长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解周期长、社会影响重大的，上级领导有批示指示督办的，可能导致矛盾激化、群体性事件、越级上访或民事纠纷易转化为刑事案件的，经反复多次取证协商调解且履行难度大的，需要多个部门参与配合才能解决的矛盾纠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一般为达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成协议金额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万元（含）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以上或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当事人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人以上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的书面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案件。疑难纠纷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调解成功补贴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200元/件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B09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集团纠纷，即纠纷案由相同，五个（含五个）以上的当事人与同一单位或个人之间发生的，争议标的属于同一种类的纠纷案件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。集团纠纷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首件执行以上标准，从第2件开始，简单纠纷按照10元/件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一般纠纷按照20元/件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重大纠纷按照30元/件</w:t>
      </w:r>
      <w:r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疑难纠纷按照40元/件补贴。</w:t>
      </w:r>
    </w:p>
    <w:p w14:paraId="2388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案件补贴标准可依据有关政策、文件精神，结合本区经济社会发展水平，按照有关程序进行调整。</w:t>
      </w:r>
    </w:p>
    <w:p w14:paraId="04F7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案件补贴发放范围</w:t>
      </w:r>
    </w:p>
    <w:p w14:paraId="1BE8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）、行业性专业性调委会中经审查录入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“重庆调解在线”，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在永川区司法局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登记备案的调解员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可按审核通过的调解案件分类进行补贴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公职人员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</w:rPr>
        <w:t>明令禁止兼职取酬的人员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</w:rPr>
        <w:t>不得领取人民调解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案件补贴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59A10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</w:rPr>
        <w:t>案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卷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</w:rPr>
        <w:t>审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核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</w:rPr>
        <w:t>和补贴发放程序</w:t>
      </w:r>
    </w:p>
    <w:p w14:paraId="42C7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案卷录入及审核流程</w:t>
      </w:r>
    </w:p>
    <w:p w14:paraId="0015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行业性专业性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的调解员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调解成功一件纠纷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及时将人民调解案卷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严格按照司法部统一的人民调解案卷文书格式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录入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“重庆调解在线”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及时提交审核，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并登记台账。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司法所对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调委会调解的案卷进行初审，主要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案件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是否真实有效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分类是否符合要求、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档案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是否规范完备等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初审后报区司法局复审；其他行业性专业性调委会调解的案卷由区司法局审核。区司法局最终核定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案件补贴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107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案件补贴发放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79C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资料审核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案件补贴每季度发放一次。每季度末，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行业性专业性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根据平台录入的案件填报人民调解案件补贴发放汇总表，汇总本季度台账，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调委会提交司法所汇总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司法所负责人审签后，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报区司法局审核；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行业性专业性调委会，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原则上经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调委会主任和行业主管部门分管领导审签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后报区司法局审核。</w:t>
      </w:r>
    </w:p>
    <w:p w14:paraId="5CF5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公示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区司法局审核案卷和核定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案件补贴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金额后，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各调委会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进行公示，公示内容包括调解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、纠纷类别、补贴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金额等，公布监督电话和联系人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期限为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5个工作日。</w:t>
      </w:r>
    </w:p>
    <w:p w14:paraId="4BAE8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发放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区司法局收到公示反馈无异议结果后，将案件补贴通过银行转账的方式发放至调解员本人社保银行账户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。</w:t>
      </w:r>
    </w:p>
    <w:p w14:paraId="5D8C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归档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各行业性专业性调委会、司法所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案件补贴发放表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台账、公示记录的归档工作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人民调解纸质案卷由调委会做好归档留存工作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0569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案件补贴发放纪律</w:t>
      </w:r>
    </w:p>
    <w:p w14:paraId="0238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（一）各调委会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司法所要按照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一案一卷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严格审核人民调解案卷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589A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凡初审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不严格、不认真的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责令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整改，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视情节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轻重进行批评教育或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全区通报。</w:t>
      </w:r>
    </w:p>
    <w:p w14:paraId="381E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（三）凡虚报调解案件数，骗取、套取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冒领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案件补贴经费等行为，除取消该案件补贴经费外，视情节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轻重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按有关规定追究相关人员责任。涉嫌犯罪的，移送司法机关处理。</w:t>
      </w:r>
    </w:p>
    <w:p w14:paraId="2B96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（四）凡发生调解案件补贴经费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违规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分配、吃请等问题，将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按照有关规定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追究相关当事人的责任。</w:t>
      </w:r>
    </w:p>
    <w:p w14:paraId="39B3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规范人民调解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电子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卷宗</w:t>
      </w:r>
    </w:p>
    <w:p w14:paraId="791D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按照《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调解在线”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使用规范》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  <w:lang w:eastAsia="zh-CN"/>
        </w:rPr>
        <w:t>。</w:t>
      </w:r>
    </w:p>
    <w:p w14:paraId="5A07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八、案件补贴标准执行时间</w:t>
      </w:r>
    </w:p>
    <w:p w14:paraId="4B4E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"/>
        </w:rPr>
        <w:t>本办法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自印发之日起施行。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日印发的《重庆市永川区人民调解员办案补贴发放办法》（永司法发〔2017〕28号）同时废止。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AD00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73670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3670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52813CD">
    <w:pPr>
      <w:pStyle w:val="5"/>
      <w:wordWrap w:val="0"/>
      <w:ind w:left="1067" w:leftChars="508" w:firstLine="10115" w:firstLineChars="3161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重庆市永川区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司法局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办公室发布  </w:t>
    </w:r>
  </w:p>
  <w:p w14:paraId="5546A1E4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4CA66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lIsuz9wEAAMsDAAAOAAAAZHJzL2Uyb0RvYy54bWytU02O0zAU&#10;3iNxB8t7mjTTlhI1ncVUwwZBJeAArmMnlvwnP0/TXoILILGDFUv23IbhGDw7YRi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viD4QPEl8IZkoKGamUTfVaz4yuI2BdLf5ekZeuuldb5CrUlQ0Mr/BI0Q19K9AOG&#10;xiM3sB0lTHdoeB5DhgSnVZu2JyAI3eFKB3JkySblcv6iSqSx3V9lqfeOQT/W5dRoIKMivgmtDHIu&#10;0zft1jahi+zDiUEScpQuRQfXnrOiRZrhHeemkx+Tie7PMb7/B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R5KzUAAAACAEAAA8AAAAAAAAAAQAgAAAAIgAAAGRycy9kb3ducmV2LnhtbFBLAQIU&#10;ABQAAAAIAIdO4kClIsuz9wEAAMsDAAAOAAAAAAAAAAEAIAAAACMBAABkcnMvZTJvRG9jLnhtbFBL&#10;BQYAAAAABgAGAFkBAACM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579677F1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重庆市永川区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司法局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6926B"/>
    <w:multiLevelType w:val="singleLevel"/>
    <w:tmpl w:val="B7D6926B"/>
    <w:lvl w:ilvl="0" w:tentative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 w:ascii="方正楷体_GBK" w:hAnsi="方正楷体_GBK" w:eastAsia="方正楷体_GBK" w:cs="方正楷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AF5F6"/>
    <w:rsid w:val="3FE890A8"/>
    <w:rsid w:val="4C776637"/>
    <w:rsid w:val="59FE016A"/>
    <w:rsid w:val="5FBF8B3B"/>
    <w:rsid w:val="7F6FC032"/>
    <w:rsid w:val="9DFFF44A"/>
    <w:rsid w:val="BD3FE3F3"/>
    <w:rsid w:val="DF7AF5F6"/>
    <w:rsid w:val="FCE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2514</Words>
  <Characters>2577</Characters>
  <Lines>0</Lines>
  <Paragraphs>0</Paragraphs>
  <TotalTime>275</TotalTime>
  <ScaleCrop>false</ScaleCrop>
  <LinksUpToDate>false</LinksUpToDate>
  <CharactersWithSpaces>2607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2025-07-30T02:56:00Z</dcterms:created>
  <dc:creator>Lanpirate</dc:creator>
  <cp:lastModifiedBy>Lanpirate</cp:lastModifiedBy>
  <dcterms:modified xsi:type="dcterms:W3CDTF">2025-08-26T17:33:52Z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AF1169226FBA58195A3888681934BC36_41</vt:lpwstr>
  </property>
</Properties>
</file>