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F2FB6">
      <w:pPr>
        <w:keepNext w:val="0"/>
        <w:keepLines w:val="0"/>
        <w:pageBreakBefore w:val="0"/>
        <w:kinsoku/>
        <w:wordWrap/>
        <w:overflowPunct/>
        <w:topLinePunct w:val="0"/>
        <w:bidi w:val="0"/>
        <w:spacing w:line="600" w:lineRule="exact"/>
        <w:jc w:val="both"/>
        <w:rPr>
          <w:rFonts w:hint="default" w:ascii="Times New Roman" w:hAnsi="Times New Roman" w:eastAsia="方正小标宋_GBK" w:cs="Times New Roman"/>
          <w:color w:val="000000"/>
          <w:sz w:val="44"/>
          <w:szCs w:val="44"/>
        </w:rPr>
      </w:pPr>
    </w:p>
    <w:p w14:paraId="1B0AD7B7">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重庆市永川区科学技术局</w:t>
      </w:r>
    </w:p>
    <w:p w14:paraId="26BC4B1E">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中共重庆市永川区委组织部</w:t>
      </w:r>
    </w:p>
    <w:p w14:paraId="6D0AE813">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重庆市永川区财政局</w:t>
      </w:r>
    </w:p>
    <w:p w14:paraId="701AD493">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微软雅黑" w:cs="Times New Roman"/>
          <w:i w:val="0"/>
          <w:caps w:val="0"/>
          <w:color w:val="000000"/>
          <w:spacing w:val="0"/>
          <w:sz w:val="21"/>
          <w:szCs w:val="21"/>
        </w:rPr>
      </w:pPr>
      <w:r>
        <w:rPr>
          <w:rFonts w:hint="default" w:ascii="Times New Roman" w:hAnsi="Times New Roman" w:eastAsia="方正小标宋_GBK" w:cs="Times New Roman"/>
          <w:sz w:val="44"/>
          <w:szCs w:val="44"/>
          <w:lang w:val="en-US" w:eastAsia="zh-CN"/>
        </w:rPr>
        <w:t>关于修订《永川区科技创新支撑产业发展激励政策》的通知</w:t>
      </w:r>
    </w:p>
    <w:p w14:paraId="5D5CE725">
      <w:pPr>
        <w:keepNext w:val="0"/>
        <w:keepLines w:val="0"/>
        <w:pageBreakBefore w:val="0"/>
        <w:kinsoku/>
        <w:wordWrap/>
        <w:topLinePunct w:val="0"/>
        <w:bidi w:val="0"/>
        <w:snapToGrid w:val="0"/>
        <w:spacing w:line="600" w:lineRule="exact"/>
        <w:jc w:val="center"/>
        <w:textAlignment w:val="auto"/>
        <w:rPr>
          <w:rFonts w:hint="default" w:ascii="Times New Roman" w:hAnsi="Times New Roman" w:eastAsia="方正仿宋_GBK" w:cs="Times New Roman"/>
          <w:b w:val="0"/>
          <w:i w:val="0"/>
          <w:caps w:val="0"/>
          <w:color w:val="000000"/>
          <w:spacing w:val="0"/>
          <w:sz w:val="32"/>
          <w:szCs w:val="32"/>
          <w:shd w:val="clear" w:fill="FFFFFF"/>
          <w:lang w:val="en-US" w:eastAsia="zh-CN"/>
        </w:rPr>
      </w:pPr>
      <w:r>
        <w:rPr>
          <w:rFonts w:hint="default" w:ascii="Times New Roman" w:hAnsi="Times New Roman" w:eastAsia="方正仿宋_GBK" w:cs="Times New Roman"/>
          <w:b w:val="0"/>
          <w:i w:val="0"/>
          <w:caps w:val="0"/>
          <w:color w:val="000000"/>
          <w:spacing w:val="0"/>
          <w:sz w:val="32"/>
          <w:szCs w:val="32"/>
          <w:shd w:val="clear" w:fill="FFFFFF"/>
          <w:lang w:val="en-US" w:eastAsia="zh-CN"/>
        </w:rPr>
        <w:t>永科局〔2025〕35号</w:t>
      </w:r>
    </w:p>
    <w:p w14:paraId="5FF6C2FD">
      <w:pPr>
        <w:keepNext w:val="0"/>
        <w:keepLines w:val="0"/>
        <w:pageBreakBefore w:val="0"/>
        <w:kinsoku/>
        <w:wordWrap/>
        <w:topLinePunct w:val="0"/>
        <w:bidi w:val="0"/>
        <w:snapToGrid w:val="0"/>
        <w:spacing w:line="600" w:lineRule="exact"/>
        <w:jc w:val="center"/>
        <w:textAlignment w:val="auto"/>
        <w:rPr>
          <w:rFonts w:hint="default" w:ascii="Times New Roman" w:hAnsi="Times New Roman" w:eastAsia="方正仿宋_GBK" w:cs="Times New Roman"/>
          <w:b w:val="0"/>
          <w:i w:val="0"/>
          <w:caps w:val="0"/>
          <w:color w:val="000000"/>
          <w:spacing w:val="0"/>
          <w:sz w:val="32"/>
          <w:szCs w:val="32"/>
          <w:shd w:val="clear" w:fill="FFFFFF"/>
          <w:lang w:val="en-US" w:eastAsia="zh-CN"/>
        </w:rPr>
      </w:pPr>
    </w:p>
    <w:p w14:paraId="3C2C1CC0">
      <w:pPr>
        <w:keepNext w:val="0"/>
        <w:keepLines w:val="0"/>
        <w:pageBreakBefore w:val="0"/>
        <w:kinsoku/>
        <w:wordWrap/>
        <w:topLinePunct w:val="0"/>
        <w:bidi w:val="0"/>
        <w:adjustRightInd w:val="0"/>
        <w:snapToGrid w:val="0"/>
        <w:spacing w:line="600" w:lineRule="exact"/>
        <w:textAlignment w:val="auto"/>
        <w:rPr>
          <w:rFonts w:hint="default" w:ascii="Times New Roman" w:hAnsi="Times New Roman" w:eastAsia="方正仿宋_GBK" w:cs="Times New Roman"/>
          <w:sz w:val="32"/>
          <w:szCs w:val="44"/>
          <w:lang w:val="en-US" w:eastAsia="zh-CN"/>
        </w:rPr>
      </w:pPr>
      <w:r>
        <w:rPr>
          <w:rFonts w:hint="default" w:ascii="Times New Roman" w:hAnsi="Times New Roman" w:eastAsia="方正仿宋_GBK" w:cs="Times New Roman"/>
          <w:sz w:val="32"/>
          <w:szCs w:val="44"/>
          <w:lang w:val="en-US" w:eastAsia="zh-CN"/>
        </w:rPr>
        <w:t>各镇人民政府、街道办事处，区政府有关部门，有关单位：</w:t>
      </w:r>
    </w:p>
    <w:p w14:paraId="7971EBD1">
      <w:pPr>
        <w:keepNext w:val="0"/>
        <w:keepLines w:val="0"/>
        <w:pageBreakBefore w:val="0"/>
        <w:kinsoku/>
        <w:wordWrap/>
        <w:topLinePunct w:val="0"/>
        <w:bidi w:val="0"/>
        <w:adjustRightInd w:val="0"/>
        <w:snapToGrid w:val="0"/>
        <w:spacing w:line="600" w:lineRule="exact"/>
        <w:ind w:firstLine="630"/>
        <w:textAlignment w:val="auto"/>
        <w:rPr>
          <w:rFonts w:hint="default" w:ascii="Times New Roman" w:hAnsi="Times New Roman" w:eastAsia="方正仿宋_GBK" w:cs="Times New Roman"/>
          <w:sz w:val="32"/>
          <w:szCs w:val="44"/>
          <w:lang w:val="en-US" w:eastAsia="zh-CN"/>
        </w:rPr>
      </w:pPr>
      <w:r>
        <w:rPr>
          <w:rFonts w:hint="default" w:ascii="Times New Roman" w:hAnsi="Times New Roman" w:eastAsia="方正仿宋_GBK" w:cs="Times New Roman"/>
          <w:sz w:val="32"/>
          <w:szCs w:val="44"/>
          <w:lang w:val="en-US" w:eastAsia="zh-CN"/>
        </w:rPr>
        <w:t>根据《公平竞争审查条例》相关规定，现将修订后的《永川区科技创新支撑产业发展激励政策》印发给你们，请认真贯彻执行。</w:t>
      </w:r>
    </w:p>
    <w:p w14:paraId="625113C0">
      <w:pPr>
        <w:keepNext w:val="0"/>
        <w:keepLines w:val="0"/>
        <w:pageBreakBefore w:val="0"/>
        <w:kinsoku/>
        <w:wordWrap/>
        <w:topLinePunct w:val="0"/>
        <w:bidi w:val="0"/>
        <w:adjustRightInd w:val="0"/>
        <w:snapToGrid w:val="0"/>
        <w:spacing w:line="600" w:lineRule="exact"/>
        <w:textAlignment w:val="auto"/>
        <w:rPr>
          <w:rFonts w:hint="default" w:ascii="Times New Roman" w:hAnsi="Times New Roman" w:eastAsia="方正仿宋_GBK" w:cs="Times New Roman"/>
          <w:sz w:val="32"/>
          <w:szCs w:val="44"/>
        </w:rPr>
      </w:pPr>
    </w:p>
    <w:p w14:paraId="03547AF2">
      <w:pPr>
        <w:keepNext w:val="0"/>
        <w:keepLines w:val="0"/>
        <w:pageBreakBefore w:val="0"/>
        <w:kinsoku/>
        <w:wordWrap w:val="0"/>
        <w:topLinePunct w:val="0"/>
        <w:bidi w:val="0"/>
        <w:adjustRightInd w:val="0"/>
        <w:snapToGrid w:val="0"/>
        <w:spacing w:line="600" w:lineRule="exact"/>
        <w:ind w:firstLine="630"/>
        <w:jc w:val="right"/>
        <w:textAlignment w:val="auto"/>
        <w:rPr>
          <w:rFonts w:hint="default" w:ascii="Times New Roman" w:hAnsi="Times New Roman" w:eastAsia="方正仿宋_GBK" w:cs="Times New Roman"/>
          <w:sz w:val="32"/>
          <w:szCs w:val="44"/>
          <w:lang w:val="en-US" w:eastAsia="zh-CN"/>
        </w:rPr>
      </w:pPr>
      <w:r>
        <w:rPr>
          <w:rFonts w:hint="default" w:ascii="Times New Roman" w:hAnsi="Times New Roman" w:eastAsia="方正仿宋_GBK" w:cs="Times New Roman"/>
          <w:sz w:val="32"/>
          <w:szCs w:val="44"/>
          <w:lang w:val="en-US" w:eastAsia="zh-CN"/>
        </w:rPr>
        <w:t>重庆市永川区科学技术局</w:t>
      </w:r>
      <w:r>
        <w:rPr>
          <w:rFonts w:hint="eastAsia" w:ascii="Times New Roman" w:hAnsi="Times New Roman" w:eastAsia="方正仿宋_GBK" w:cs="Times New Roman"/>
          <w:sz w:val="32"/>
          <w:szCs w:val="44"/>
          <w:lang w:val="en-US" w:eastAsia="zh-CN"/>
        </w:rPr>
        <w:t xml:space="preserve">    </w:t>
      </w:r>
    </w:p>
    <w:p w14:paraId="005EAEE7">
      <w:pPr>
        <w:keepNext w:val="0"/>
        <w:keepLines w:val="0"/>
        <w:pageBreakBefore w:val="0"/>
        <w:kinsoku/>
        <w:wordWrap w:val="0"/>
        <w:topLinePunct w:val="0"/>
        <w:bidi w:val="0"/>
        <w:adjustRightInd w:val="0"/>
        <w:snapToGrid w:val="0"/>
        <w:spacing w:line="600" w:lineRule="exact"/>
        <w:ind w:firstLine="630"/>
        <w:jc w:val="right"/>
        <w:textAlignment w:val="auto"/>
        <w:rPr>
          <w:rFonts w:hint="default" w:ascii="Times New Roman" w:hAnsi="Times New Roman" w:eastAsia="方正仿宋_GBK" w:cs="Times New Roman"/>
          <w:sz w:val="32"/>
          <w:szCs w:val="44"/>
          <w:lang w:val="en-US" w:eastAsia="zh-CN"/>
        </w:rPr>
      </w:pPr>
      <w:r>
        <w:rPr>
          <w:rFonts w:hint="default" w:ascii="Times New Roman" w:hAnsi="Times New Roman" w:eastAsia="方正仿宋_GBK" w:cs="Times New Roman"/>
          <w:sz w:val="32"/>
          <w:szCs w:val="44"/>
          <w:lang w:val="en-US" w:eastAsia="zh-CN"/>
        </w:rPr>
        <w:t>中共重庆市永川区委组织部</w:t>
      </w:r>
      <w:r>
        <w:rPr>
          <w:rFonts w:hint="eastAsia" w:ascii="Times New Roman" w:hAnsi="Times New Roman" w:eastAsia="方正仿宋_GBK" w:cs="Times New Roman"/>
          <w:sz w:val="32"/>
          <w:szCs w:val="44"/>
          <w:lang w:val="en-US" w:eastAsia="zh-CN"/>
        </w:rPr>
        <w:t xml:space="preserve">   </w:t>
      </w:r>
    </w:p>
    <w:p w14:paraId="3DC989BC">
      <w:pPr>
        <w:keepNext w:val="0"/>
        <w:keepLines w:val="0"/>
        <w:pageBreakBefore w:val="0"/>
        <w:kinsoku/>
        <w:wordWrap w:val="0"/>
        <w:topLinePunct w:val="0"/>
        <w:bidi w:val="0"/>
        <w:adjustRightInd w:val="0"/>
        <w:snapToGrid w:val="0"/>
        <w:spacing w:line="600" w:lineRule="exact"/>
        <w:ind w:firstLine="630"/>
        <w:jc w:val="right"/>
        <w:textAlignment w:val="auto"/>
        <w:rPr>
          <w:rFonts w:hint="default" w:ascii="Times New Roman" w:hAnsi="Times New Roman" w:eastAsia="方正仿宋_GBK" w:cs="Times New Roman"/>
          <w:sz w:val="32"/>
          <w:szCs w:val="44"/>
          <w:lang w:val="en-US" w:eastAsia="zh-CN"/>
        </w:rPr>
      </w:pPr>
      <w:r>
        <w:rPr>
          <w:rFonts w:hint="default" w:ascii="Times New Roman" w:hAnsi="Times New Roman" w:eastAsia="方正仿宋_GBK" w:cs="Times New Roman"/>
          <w:sz w:val="32"/>
          <w:szCs w:val="44"/>
          <w:lang w:val="en-US" w:eastAsia="zh-CN"/>
        </w:rPr>
        <w:t xml:space="preserve">重庆市永川区财政局  </w:t>
      </w:r>
      <w:r>
        <w:rPr>
          <w:rFonts w:hint="eastAsia" w:ascii="Times New Roman" w:hAnsi="Times New Roman" w:eastAsia="方正仿宋_GBK" w:cs="Times New Roman"/>
          <w:sz w:val="32"/>
          <w:szCs w:val="44"/>
          <w:lang w:val="en-US" w:eastAsia="zh-CN"/>
        </w:rPr>
        <w:t xml:space="preserve">   </w:t>
      </w:r>
    </w:p>
    <w:p w14:paraId="2C89C4A6">
      <w:pPr>
        <w:keepNext w:val="0"/>
        <w:keepLines w:val="0"/>
        <w:pageBreakBefore w:val="0"/>
        <w:kinsoku/>
        <w:wordWrap w:val="0"/>
        <w:topLinePunct w:val="0"/>
        <w:bidi w:val="0"/>
        <w:adjustRightInd w:val="0"/>
        <w:snapToGrid w:val="0"/>
        <w:spacing w:line="600" w:lineRule="exact"/>
        <w:ind w:firstLine="630"/>
        <w:jc w:val="right"/>
        <w:textAlignment w:val="auto"/>
        <w:rPr>
          <w:rFonts w:hint="default" w:ascii="Times New Roman" w:hAnsi="Times New Roman" w:eastAsia="方正仿宋_GBK" w:cs="Times New Roman"/>
          <w:sz w:val="32"/>
          <w:szCs w:val="44"/>
          <w:lang w:val="en-US"/>
        </w:rPr>
      </w:pPr>
      <w:r>
        <w:rPr>
          <w:rFonts w:hint="default" w:ascii="Times New Roman" w:hAnsi="Times New Roman" w:eastAsia="方正仿宋_GBK" w:cs="Times New Roman"/>
          <w:sz w:val="32"/>
          <w:szCs w:val="44"/>
          <w:lang w:val="en-US" w:eastAsia="zh-CN"/>
        </w:rPr>
        <w:t xml:space="preserve">2025年9月15日      </w:t>
      </w:r>
    </w:p>
    <w:p w14:paraId="189E5992">
      <w:pPr>
        <w:keepNext w:val="0"/>
        <w:keepLines w:val="0"/>
        <w:pageBreakBefore w:val="0"/>
        <w:kinsoku/>
        <w:wordWrap/>
        <w:topLinePunct w:val="0"/>
        <w:bidi w:val="0"/>
        <w:adjustRightInd w:val="0"/>
        <w:snapToGrid w:val="0"/>
        <w:spacing w:line="600" w:lineRule="exact"/>
        <w:ind w:firstLine="630"/>
        <w:textAlignment w:val="auto"/>
        <w:rPr>
          <w:rFonts w:hint="default" w:ascii="Times New Roman" w:hAnsi="Times New Roman" w:eastAsia="方正仿宋_GBK" w:cs="Times New Roman"/>
          <w:sz w:val="32"/>
          <w:szCs w:val="44"/>
        </w:rPr>
      </w:pPr>
      <w:r>
        <w:rPr>
          <w:rFonts w:hint="default" w:ascii="Times New Roman" w:hAnsi="Times New Roman" w:eastAsia="方正仿宋_GBK" w:cs="Times New Roman"/>
          <w:sz w:val="32"/>
          <w:szCs w:val="44"/>
        </w:rPr>
        <w:t>（此件公开发布）</w:t>
      </w:r>
    </w:p>
    <w:p w14:paraId="6BD988D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p>
    <w:p w14:paraId="57AE4A24">
      <w:pPr>
        <w:keepNext w:val="0"/>
        <w:keepLines w:val="0"/>
        <w:pageBreakBefore w:val="0"/>
        <w:widowControl w:val="0"/>
        <w:shd w:val="clear" w:color="auto" w:fill="auto"/>
        <w:kinsoku/>
        <w:wordWrap/>
        <w:overflowPunct w:val="0"/>
        <w:topLinePunct w:val="0"/>
        <w:autoSpaceDE/>
        <w:autoSpaceDN/>
        <w:bidi w:val="0"/>
        <w:adjustRightInd/>
        <w:snapToGrid w:val="0"/>
        <w:spacing w:before="317" w:beforeLines="100" w:line="594" w:lineRule="exact"/>
        <w:ind w:firstLine="440" w:firstLineChars="100"/>
        <w:jc w:val="both"/>
        <w:textAlignment w:val="auto"/>
        <w:rPr>
          <w:rFonts w:hint="default" w:ascii="Times New Roman" w:hAnsi="Times New Roman" w:eastAsia="方正小标宋_GBK" w:cs="Times New Roman"/>
          <w:color w:val="000000"/>
          <w:sz w:val="44"/>
          <w:szCs w:val="44"/>
        </w:rPr>
      </w:pPr>
    </w:p>
    <w:p w14:paraId="50907D3D">
      <w:pPr>
        <w:keepNext w:val="0"/>
        <w:keepLines w:val="0"/>
        <w:pageBreakBefore w:val="0"/>
        <w:widowControl w:val="0"/>
        <w:shd w:val="clear" w:color="auto" w:fill="auto"/>
        <w:kinsoku/>
        <w:wordWrap/>
        <w:overflowPunct w:val="0"/>
        <w:topLinePunct w:val="0"/>
        <w:autoSpaceDE/>
        <w:autoSpaceDN/>
        <w:bidi w:val="0"/>
        <w:snapToGrid w:val="0"/>
        <w:spacing w:line="594" w:lineRule="exact"/>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永川区科技创新支撑产业发展激励政策</w:t>
      </w:r>
    </w:p>
    <w:p w14:paraId="6EFCF605">
      <w:pPr>
        <w:keepNext w:val="0"/>
        <w:keepLines w:val="0"/>
        <w:pageBreakBefore w:val="0"/>
        <w:widowControl w:val="0"/>
        <w:shd w:val="clear" w:color="auto" w:fill="auto"/>
        <w:kinsoku/>
        <w:wordWrap/>
        <w:overflowPunct w:val="0"/>
        <w:topLinePunct w:val="0"/>
        <w:autoSpaceDE/>
        <w:autoSpaceDN/>
        <w:bidi w:val="0"/>
        <w:snapToGrid w:val="0"/>
        <w:spacing w:line="594" w:lineRule="exact"/>
        <w:jc w:val="center"/>
        <w:textAlignment w:val="auto"/>
        <w:rPr>
          <w:rFonts w:hint="default" w:ascii="Times New Roman" w:hAnsi="Times New Roman" w:eastAsia="方正小标宋_GBK" w:cs="Times New Roman"/>
          <w:color w:val="000000"/>
          <w:sz w:val="44"/>
          <w:szCs w:val="44"/>
          <w:lang w:val="en-US" w:eastAsia="zh-CN"/>
        </w:rPr>
      </w:pPr>
    </w:p>
    <w:p w14:paraId="1BAAC670">
      <w:pPr>
        <w:pStyle w:val="11"/>
        <w:keepNext w:val="0"/>
        <w:keepLines w:val="0"/>
        <w:pageBreakBefore w:val="0"/>
        <w:widowControl w:val="0"/>
        <w:kinsoku/>
        <w:wordWrap/>
        <w:topLinePunct w:val="0"/>
        <w:bidi w:val="0"/>
        <w:adjustRightInd/>
        <w:snapToGrid/>
        <w:spacing w:line="594" w:lineRule="exact"/>
        <w:ind w:firstLine="640"/>
        <w:textAlignment w:val="auto"/>
      </w:pPr>
      <w:r>
        <w:rPr>
          <w:rFonts w:hint="eastAsia"/>
        </w:rPr>
        <w:t>为全面贯彻党的二十大精神和习近平总书记关于推动科技创新的重要论述，</w:t>
      </w:r>
      <w:r>
        <w:rPr>
          <w:rFonts w:hint="eastAsia"/>
          <w:lang w:eastAsia="zh-CN"/>
        </w:rPr>
        <w:t>营造良好创新生态，推动科技创新与产业创新深度融合</w:t>
      </w:r>
      <w:r>
        <w:rPr>
          <w:rFonts w:hint="eastAsia"/>
        </w:rPr>
        <w:t>，制定以下政策。</w:t>
      </w:r>
    </w:p>
    <w:p w14:paraId="175A1F9B">
      <w:pPr>
        <w:pStyle w:val="12"/>
        <w:keepNext w:val="0"/>
        <w:keepLines w:val="0"/>
        <w:pageBreakBefore w:val="0"/>
        <w:kinsoku/>
        <w:wordWrap/>
        <w:topLinePunct w:val="0"/>
        <w:bidi w:val="0"/>
        <w:adjustRightInd/>
        <w:snapToGrid/>
        <w:spacing w:line="594" w:lineRule="exact"/>
        <w:ind w:firstLine="640"/>
        <w:textAlignment w:val="auto"/>
      </w:pPr>
      <w:r>
        <w:rPr>
          <w:rFonts w:hint="eastAsia"/>
        </w:rPr>
        <w:t>一、培育壮大创新主体</w:t>
      </w:r>
    </w:p>
    <w:p w14:paraId="5FB777F2">
      <w:pPr>
        <w:pStyle w:val="11"/>
        <w:keepNext w:val="0"/>
        <w:keepLines w:val="0"/>
        <w:pageBreakBefore w:val="0"/>
        <w:widowControl w:val="0"/>
        <w:kinsoku/>
        <w:wordWrap/>
        <w:topLinePunct w:val="0"/>
        <w:bidi w:val="0"/>
        <w:adjustRightInd/>
        <w:snapToGrid/>
        <w:spacing w:line="594" w:lineRule="exact"/>
        <w:ind w:firstLine="640"/>
        <w:textAlignment w:val="auto"/>
      </w:pPr>
      <w:r>
        <w:rPr>
          <w:rStyle w:val="13"/>
          <w:rFonts w:hint="eastAsia"/>
        </w:rPr>
        <w:t>第一条  大力培育科技企业。</w:t>
      </w:r>
      <w:r>
        <w:rPr>
          <w:rFonts w:hint="eastAsia"/>
          <w:highlight w:val="none"/>
        </w:rPr>
        <w:t>对</w:t>
      </w:r>
      <w:r>
        <w:rPr>
          <w:rFonts w:hint="eastAsia"/>
          <w:highlight w:val="none"/>
          <w:lang w:val="en-US" w:eastAsia="zh-CN"/>
        </w:rPr>
        <w:t>新认定为</w:t>
      </w:r>
      <w:r>
        <w:rPr>
          <w:rFonts w:hint="eastAsia"/>
        </w:rPr>
        <w:t>市级科技型企业并更新年报的，给予一次性补助1万元。对新认定、通过复审及</w:t>
      </w:r>
      <w:r>
        <w:rPr>
          <w:rFonts w:hint="eastAsia"/>
          <w:lang w:eastAsia="zh-CN"/>
        </w:rPr>
        <w:t>新引进</w:t>
      </w:r>
      <w:r>
        <w:rPr>
          <w:rFonts w:hint="eastAsia"/>
        </w:rPr>
        <w:t>的高新技术企业给予一次性专项经费支持：</w:t>
      </w:r>
    </w:p>
    <w:p w14:paraId="79D161BC">
      <w:pPr>
        <w:pStyle w:val="11"/>
        <w:keepNext w:val="0"/>
        <w:keepLines w:val="0"/>
        <w:pageBreakBefore w:val="0"/>
        <w:widowControl w:val="0"/>
        <w:kinsoku/>
        <w:wordWrap/>
        <w:topLinePunct w:val="0"/>
        <w:bidi w:val="0"/>
        <w:adjustRightInd/>
        <w:snapToGrid/>
        <w:spacing w:line="594" w:lineRule="exact"/>
        <w:ind w:firstLine="640"/>
        <w:textAlignment w:val="auto"/>
      </w:pPr>
      <w:r>
        <w:rPr>
          <w:rFonts w:hint="eastAsia"/>
        </w:rPr>
        <w:t>（</w:t>
      </w:r>
      <w:r>
        <w:rPr>
          <w:rFonts w:hint="eastAsia"/>
          <w:lang w:eastAsia="zh-CN"/>
        </w:rPr>
        <w:t>一</w:t>
      </w:r>
      <w:r>
        <w:rPr>
          <w:rFonts w:hint="eastAsia"/>
        </w:rPr>
        <w:t>）对首次通过认定的企业一次性给予最高20万元支持，通过复审的一次性给予最高10万元支持；</w:t>
      </w:r>
    </w:p>
    <w:p w14:paraId="2FA8E4AC">
      <w:pPr>
        <w:pStyle w:val="11"/>
        <w:keepNext w:val="0"/>
        <w:keepLines w:val="0"/>
        <w:pageBreakBefore w:val="0"/>
        <w:widowControl w:val="0"/>
        <w:kinsoku/>
        <w:wordWrap/>
        <w:topLinePunct w:val="0"/>
        <w:bidi w:val="0"/>
        <w:adjustRightInd/>
        <w:snapToGrid/>
        <w:spacing w:line="594" w:lineRule="exact"/>
        <w:ind w:firstLine="640"/>
        <w:textAlignment w:val="auto"/>
      </w:pPr>
      <w:r>
        <w:rPr>
          <w:rFonts w:hint="eastAsia"/>
        </w:rPr>
        <w:t>（</w:t>
      </w:r>
      <w:r>
        <w:rPr>
          <w:rFonts w:hint="eastAsia"/>
          <w:lang w:eastAsia="zh-CN"/>
        </w:rPr>
        <w:t>二</w:t>
      </w:r>
      <w:r>
        <w:rPr>
          <w:rFonts w:hint="eastAsia"/>
        </w:rPr>
        <w:t>）对</w:t>
      </w:r>
      <w:r>
        <w:rPr>
          <w:rFonts w:hint="eastAsia"/>
          <w:lang w:eastAsia="zh-CN"/>
        </w:rPr>
        <w:t>新引进</w:t>
      </w:r>
      <w:r>
        <w:rPr>
          <w:rFonts w:hint="eastAsia"/>
        </w:rPr>
        <w:t>的高新技术企业一次性给予最高20万元支持。</w:t>
      </w:r>
    </w:p>
    <w:p w14:paraId="660ADE43">
      <w:pPr>
        <w:pStyle w:val="11"/>
        <w:keepNext w:val="0"/>
        <w:keepLines w:val="0"/>
        <w:pageBreakBefore w:val="0"/>
        <w:widowControl w:val="0"/>
        <w:kinsoku/>
        <w:wordWrap/>
        <w:topLinePunct w:val="0"/>
        <w:bidi w:val="0"/>
        <w:adjustRightInd/>
        <w:snapToGrid/>
        <w:spacing w:line="594" w:lineRule="exact"/>
        <w:ind w:firstLine="640"/>
        <w:textAlignment w:val="auto"/>
      </w:pPr>
      <w:r>
        <w:rPr>
          <w:rStyle w:val="13"/>
          <w:rFonts w:hint="eastAsia"/>
        </w:rPr>
        <w:t>第二条  支持新型研发机构建设。</w:t>
      </w:r>
      <w:r>
        <w:rPr>
          <w:rFonts w:hint="eastAsia"/>
        </w:rPr>
        <w:t>国内外知名高校、科研院所、企业以独资、合资、合作等方式设立高水平新型研发机构，对其给予不低于1000万元资金支持。获市级新型高端研发机构专项资金的，按所获专项资金给予1:1配套支持，最高不超过500万元；获市级初创型、区级新型研发机构认定，一次性分别给予50万元、20万元支持。</w:t>
      </w:r>
    </w:p>
    <w:p w14:paraId="0367F725">
      <w:pPr>
        <w:pStyle w:val="12"/>
        <w:keepNext w:val="0"/>
        <w:keepLines w:val="0"/>
        <w:pageBreakBefore w:val="0"/>
        <w:kinsoku/>
        <w:wordWrap/>
        <w:topLinePunct w:val="0"/>
        <w:bidi w:val="0"/>
        <w:adjustRightInd/>
        <w:snapToGrid/>
        <w:spacing w:line="594" w:lineRule="exact"/>
        <w:ind w:firstLine="640"/>
        <w:textAlignment w:val="auto"/>
      </w:pPr>
      <w:r>
        <w:rPr>
          <w:rFonts w:hint="eastAsia"/>
        </w:rPr>
        <w:t>二、支持提升研发能力</w:t>
      </w:r>
    </w:p>
    <w:p w14:paraId="1E7CD40B">
      <w:pPr>
        <w:pStyle w:val="11"/>
        <w:keepNext w:val="0"/>
        <w:keepLines w:val="0"/>
        <w:pageBreakBefore w:val="0"/>
        <w:widowControl w:val="0"/>
        <w:kinsoku/>
        <w:wordWrap/>
        <w:topLinePunct w:val="0"/>
        <w:bidi w:val="0"/>
        <w:adjustRightInd/>
        <w:snapToGrid/>
        <w:spacing w:line="594" w:lineRule="exact"/>
        <w:ind w:firstLine="640"/>
        <w:textAlignment w:val="auto"/>
      </w:pPr>
      <w:r>
        <w:rPr>
          <w:rStyle w:val="13"/>
          <w:rFonts w:hint="eastAsia"/>
        </w:rPr>
        <w:t>第三条  鼓励加大研发投入。</w:t>
      </w:r>
      <w:r>
        <w:rPr>
          <w:rFonts w:hint="eastAsia"/>
        </w:rPr>
        <w:t>全面落实企业研发投入加计扣除税收优惠政策，对建立研发准备金制度且申报研发费用在100万元以上1000万元以内的企业，区级按研发费用存量不高于3%、增量不高于10%给予补助。</w:t>
      </w:r>
    </w:p>
    <w:p w14:paraId="63C2C782">
      <w:pPr>
        <w:pStyle w:val="11"/>
        <w:keepNext w:val="0"/>
        <w:keepLines w:val="0"/>
        <w:pageBreakBefore w:val="0"/>
        <w:widowControl w:val="0"/>
        <w:kinsoku/>
        <w:wordWrap/>
        <w:topLinePunct w:val="0"/>
        <w:bidi w:val="0"/>
        <w:adjustRightInd/>
        <w:snapToGrid/>
        <w:spacing w:line="594" w:lineRule="exact"/>
        <w:ind w:firstLine="640"/>
        <w:textAlignment w:val="auto"/>
      </w:pPr>
      <w:r>
        <w:rPr>
          <w:rStyle w:val="13"/>
          <w:rFonts w:hint="eastAsia"/>
        </w:rPr>
        <w:t>第四条  组建创新联合体。</w:t>
      </w:r>
      <w:r>
        <w:rPr>
          <w:rFonts w:hint="eastAsia"/>
        </w:rPr>
        <w:t>推进产业链、创新链深度融合，组建一批龙头企业牵头、中小企业参与、高校院所支撑、各创新主体相互协同的创新联合体，提升企业创新能力和产业核心竞争力。根据绩效评估情况给予每个创新联合体最高不超过200万元的运行经费支持。</w:t>
      </w:r>
    </w:p>
    <w:p w14:paraId="04E95744">
      <w:pPr>
        <w:pStyle w:val="11"/>
        <w:keepNext w:val="0"/>
        <w:keepLines w:val="0"/>
        <w:pageBreakBefore w:val="0"/>
        <w:widowControl w:val="0"/>
        <w:kinsoku/>
        <w:wordWrap/>
        <w:topLinePunct w:val="0"/>
        <w:bidi w:val="0"/>
        <w:adjustRightInd/>
        <w:snapToGrid/>
        <w:spacing w:line="594" w:lineRule="exact"/>
        <w:ind w:firstLine="640"/>
        <w:textAlignment w:val="auto"/>
      </w:pPr>
      <w:r>
        <w:rPr>
          <w:rStyle w:val="13"/>
          <w:rFonts w:hint="eastAsia"/>
        </w:rPr>
        <w:t>第五条  支持研发平台建设。</w:t>
      </w:r>
      <w:r>
        <w:rPr>
          <w:rFonts w:hint="eastAsia"/>
        </w:rPr>
        <w:t>新认定全国重点实验室、国家技术创新中心等国家级科技创新基地，按照国拨资金1：1配套奖励，最高不超过1000万元。对新认定的重点实验室、技术创新中心等市级、区级科技创新基地，分别给予50万元、20万元一次性补助。对新认定的国家级、市级企业技术中心，分别给予100万元、20万元一次性补助。</w:t>
      </w:r>
    </w:p>
    <w:p w14:paraId="56CBE17B">
      <w:pPr>
        <w:pStyle w:val="12"/>
        <w:keepNext w:val="0"/>
        <w:keepLines w:val="0"/>
        <w:pageBreakBefore w:val="0"/>
        <w:kinsoku/>
        <w:wordWrap/>
        <w:topLinePunct w:val="0"/>
        <w:bidi w:val="0"/>
        <w:adjustRightInd/>
        <w:snapToGrid/>
        <w:spacing w:line="594" w:lineRule="exact"/>
        <w:ind w:firstLine="640"/>
        <w:textAlignment w:val="auto"/>
      </w:pPr>
      <w:r>
        <w:rPr>
          <w:rFonts w:hint="eastAsia"/>
        </w:rPr>
        <w:t>三、鼓励科技成果转化</w:t>
      </w:r>
    </w:p>
    <w:p w14:paraId="71307E2A">
      <w:pPr>
        <w:pStyle w:val="11"/>
        <w:keepNext w:val="0"/>
        <w:keepLines w:val="0"/>
        <w:pageBreakBefore w:val="0"/>
        <w:widowControl w:val="0"/>
        <w:kinsoku/>
        <w:wordWrap/>
        <w:topLinePunct w:val="0"/>
        <w:bidi w:val="0"/>
        <w:adjustRightInd/>
        <w:snapToGrid/>
        <w:spacing w:line="594" w:lineRule="exact"/>
        <w:ind w:firstLine="640"/>
        <w:textAlignment w:val="auto"/>
      </w:pPr>
      <w:r>
        <w:rPr>
          <w:rStyle w:val="13"/>
          <w:rFonts w:hint="eastAsia"/>
        </w:rPr>
        <w:t>第六条 支持开展创新创业。</w:t>
      </w:r>
      <w:r>
        <w:rPr>
          <w:rFonts w:hint="eastAsia"/>
        </w:rPr>
        <w:t>鼓励高校师生和科研人员开展创新创业活动，区内转化的科技成果获得国家级、市级科学技术奖或科技创新创业大赛、创新挑战赛奖励，按1：1给予配套奖励，分别最高不超过50万元、20万元。</w:t>
      </w:r>
    </w:p>
    <w:p w14:paraId="420E6F34">
      <w:pPr>
        <w:pStyle w:val="11"/>
        <w:keepNext w:val="0"/>
        <w:keepLines w:val="0"/>
        <w:pageBreakBefore w:val="0"/>
        <w:widowControl w:val="0"/>
        <w:kinsoku/>
        <w:wordWrap/>
        <w:topLinePunct w:val="0"/>
        <w:bidi w:val="0"/>
        <w:adjustRightInd/>
        <w:snapToGrid/>
        <w:spacing w:line="594" w:lineRule="exact"/>
        <w:ind w:firstLine="640"/>
        <w:textAlignment w:val="auto"/>
      </w:pPr>
      <w:r>
        <w:rPr>
          <w:rStyle w:val="13"/>
          <w:rFonts w:hint="eastAsia"/>
        </w:rPr>
        <w:t>第七条 激励重大科技成果产业化。</w:t>
      </w:r>
      <w:r>
        <w:rPr>
          <w:rFonts w:hint="eastAsia"/>
        </w:rPr>
        <w:t>鼓励高校院所、企业等重大科技成果在永开展二次开发、工艺验证和试生产等中小试服务，投入正式运营并产业化后，给予最高不超过500万元的产业化补贴。</w:t>
      </w:r>
    </w:p>
    <w:p w14:paraId="3C0956FD">
      <w:pPr>
        <w:pStyle w:val="11"/>
        <w:keepNext w:val="0"/>
        <w:keepLines w:val="0"/>
        <w:pageBreakBefore w:val="0"/>
        <w:widowControl w:val="0"/>
        <w:kinsoku/>
        <w:wordWrap/>
        <w:topLinePunct w:val="0"/>
        <w:bidi w:val="0"/>
        <w:adjustRightInd/>
        <w:snapToGrid/>
        <w:spacing w:line="594" w:lineRule="exact"/>
        <w:ind w:firstLine="640"/>
        <w:textAlignment w:val="auto"/>
      </w:pPr>
      <w:r>
        <w:rPr>
          <w:rStyle w:val="13"/>
          <w:rFonts w:hint="eastAsia"/>
        </w:rPr>
        <w:t>第八条 支持建设科技孵化机构。</w:t>
      </w:r>
      <w:r>
        <w:rPr>
          <w:rFonts w:hint="eastAsia"/>
        </w:rPr>
        <w:t>对新认定的国家级、市级、区级的众创空间（科技企业孵化器、创新创业示范基地、工业设计中心），分别予以50万元、20万元、10万元的奖励。</w:t>
      </w:r>
    </w:p>
    <w:p w14:paraId="0B224889">
      <w:pPr>
        <w:pStyle w:val="11"/>
        <w:keepNext w:val="0"/>
        <w:keepLines w:val="0"/>
        <w:pageBreakBefore w:val="0"/>
        <w:widowControl w:val="0"/>
        <w:kinsoku/>
        <w:wordWrap/>
        <w:topLinePunct w:val="0"/>
        <w:bidi w:val="0"/>
        <w:adjustRightInd/>
        <w:snapToGrid/>
        <w:spacing w:line="594" w:lineRule="exact"/>
        <w:ind w:firstLine="640"/>
        <w:textAlignment w:val="auto"/>
      </w:pPr>
      <w:r>
        <w:rPr>
          <w:rStyle w:val="13"/>
          <w:rFonts w:hint="eastAsia"/>
        </w:rPr>
        <w:t>第九条 鼓励技术交易。</w:t>
      </w:r>
      <w:r>
        <w:rPr>
          <w:rFonts w:hint="eastAsia"/>
        </w:rPr>
        <w:t>对认定为国家</w:t>
      </w:r>
      <w:r>
        <w:rPr>
          <w:rFonts w:hint="eastAsia"/>
          <w:highlight w:val="none"/>
          <w:lang w:val="en-US" w:eastAsia="zh-CN"/>
        </w:rPr>
        <w:t>级</w:t>
      </w:r>
      <w:r>
        <w:rPr>
          <w:rFonts w:hint="eastAsia"/>
        </w:rPr>
        <w:t>、市级、区级技术转移转化机构的，分别给予最高50万元、20万元、10万元一次性补助。技术合同在市、区科技部门登记认定后，按技术合同成交额最高不超过5</w:t>
      </w:r>
      <w:r>
        <w:t>‰</w:t>
      </w:r>
      <w:r>
        <w:rPr>
          <w:rFonts w:hint="eastAsia"/>
        </w:rPr>
        <w:t>给予补助。</w:t>
      </w:r>
    </w:p>
    <w:p w14:paraId="5D300F25">
      <w:pPr>
        <w:pStyle w:val="12"/>
        <w:keepNext w:val="0"/>
        <w:keepLines w:val="0"/>
        <w:pageBreakBefore w:val="0"/>
        <w:kinsoku/>
        <w:wordWrap/>
        <w:topLinePunct w:val="0"/>
        <w:bidi w:val="0"/>
        <w:adjustRightInd/>
        <w:snapToGrid/>
        <w:spacing w:line="594" w:lineRule="exact"/>
        <w:ind w:firstLine="640"/>
        <w:textAlignment w:val="auto"/>
      </w:pPr>
      <w:r>
        <w:rPr>
          <w:rFonts w:hint="eastAsia"/>
        </w:rPr>
        <w:t>四、优化创新发展生态</w:t>
      </w:r>
    </w:p>
    <w:p w14:paraId="197290EC">
      <w:pPr>
        <w:pStyle w:val="11"/>
        <w:keepNext w:val="0"/>
        <w:keepLines w:val="0"/>
        <w:pageBreakBefore w:val="0"/>
        <w:widowControl w:val="0"/>
        <w:kinsoku/>
        <w:wordWrap/>
        <w:topLinePunct w:val="0"/>
        <w:bidi w:val="0"/>
        <w:adjustRightInd/>
        <w:snapToGrid/>
        <w:spacing w:line="594" w:lineRule="exact"/>
        <w:ind w:firstLine="640"/>
        <w:textAlignment w:val="auto"/>
      </w:pPr>
      <w:r>
        <w:rPr>
          <w:rStyle w:val="13"/>
          <w:rFonts w:hint="eastAsia"/>
        </w:rPr>
        <w:t>第十条  支持科技人才集聚。</w:t>
      </w:r>
      <w:r>
        <w:rPr>
          <w:rFonts w:hint="eastAsia"/>
        </w:rPr>
        <w:t>引进产业发展急需的顶尖人才及团队，对其给予资金支持。新认定市级以上院士专家工作站正常运行一年以上的，一次性给予最高不超过300万元补助。企业、高校院所等在永牵头举办主导产业密切相关的国际、国内重要影响力的产业发展峰会，一次性分别给予10万元、5万元补助。</w:t>
      </w:r>
    </w:p>
    <w:p w14:paraId="29BAB529">
      <w:pPr>
        <w:pStyle w:val="11"/>
        <w:keepNext w:val="0"/>
        <w:keepLines w:val="0"/>
        <w:pageBreakBefore w:val="0"/>
        <w:widowControl w:val="0"/>
        <w:kinsoku/>
        <w:wordWrap/>
        <w:topLinePunct w:val="0"/>
        <w:bidi w:val="0"/>
        <w:adjustRightInd/>
        <w:snapToGrid/>
        <w:spacing w:line="594" w:lineRule="exact"/>
        <w:ind w:firstLine="640"/>
        <w:textAlignment w:val="auto"/>
        <w:rPr>
          <w:rFonts w:hint="eastAsia"/>
        </w:rPr>
      </w:pPr>
      <w:r>
        <w:rPr>
          <w:rStyle w:val="13"/>
          <w:rFonts w:hint="eastAsia"/>
        </w:rPr>
        <w:t>第十一条  强化科技金融支撑。</w:t>
      </w:r>
      <w:r>
        <w:rPr>
          <w:rFonts w:hint="eastAsia"/>
        </w:rPr>
        <w:t>发挥政府基金的引导和放大作用，有效吸纳社会投资，发展壮大科创培育基金。加大对科技型企业信贷支持，对获得知识价值信用贷款的科技型企业，按时还本付息后，给予企业该项贷款当期支付服务费50%的补助。探索开展科技保险试点工作，对保费给予一定比例补贴。</w:t>
      </w:r>
    </w:p>
    <w:p w14:paraId="37BE8BAE">
      <w:pPr>
        <w:pStyle w:val="11"/>
        <w:keepNext w:val="0"/>
        <w:keepLines w:val="0"/>
        <w:pageBreakBefore w:val="0"/>
        <w:widowControl w:val="0"/>
        <w:kinsoku/>
        <w:wordWrap/>
        <w:topLinePunct w:val="0"/>
        <w:bidi w:val="0"/>
        <w:adjustRightInd/>
        <w:snapToGrid/>
        <w:spacing w:line="594" w:lineRule="exact"/>
        <w:ind w:firstLine="640"/>
        <w:textAlignment w:val="auto"/>
      </w:pPr>
      <w:bookmarkStart w:id="0" w:name="_GoBack"/>
      <w:bookmarkEnd w:id="0"/>
      <w:r>
        <w:rPr>
          <w:rFonts w:hint="eastAsia" w:ascii="Times New Roman" w:hAnsi="Times New Roman" w:eastAsia="方正仿宋_GBK" w:cs="Times New Roman"/>
          <w:kern w:val="0"/>
          <w:sz w:val="32"/>
          <w:szCs w:val="32"/>
        </w:rPr>
        <w:t>本政策自</w:t>
      </w:r>
      <w:r>
        <w:rPr>
          <w:rFonts w:hint="eastAsia" w:ascii="Times New Roman" w:hAnsi="Times New Roman" w:eastAsia="方正仿宋_GBK" w:cs="Times New Roman"/>
          <w:kern w:val="0"/>
          <w:sz w:val="32"/>
          <w:szCs w:val="32"/>
          <w:highlight w:val="none"/>
          <w:lang w:eastAsia="zh-CN"/>
        </w:rPr>
        <w:t>公布之日</w:t>
      </w:r>
      <w:r>
        <w:rPr>
          <w:rFonts w:hint="eastAsia" w:ascii="Times New Roman" w:hAnsi="Times New Roman" w:eastAsia="方正仿宋_GBK" w:cs="Times New Roman"/>
          <w:kern w:val="0"/>
          <w:sz w:val="32"/>
          <w:szCs w:val="32"/>
        </w:rPr>
        <w:t>起</w:t>
      </w:r>
      <w:r>
        <w:rPr>
          <w:rFonts w:hint="eastAsia" w:ascii="Times New Roman" w:hAnsi="Times New Roman" w:eastAsia="方正仿宋_GBK" w:cs="Times New Roman"/>
          <w:kern w:val="0"/>
          <w:sz w:val="32"/>
          <w:szCs w:val="32"/>
          <w:lang w:val="en-US" w:eastAsia="zh-CN"/>
        </w:rPr>
        <w:t>30日后</w:t>
      </w:r>
      <w:r>
        <w:rPr>
          <w:rFonts w:hint="eastAsia" w:ascii="Times New Roman" w:hAnsi="Times New Roman" w:eastAsia="方正仿宋_GBK" w:cs="Times New Roman"/>
          <w:kern w:val="0"/>
          <w:sz w:val="32"/>
          <w:szCs w:val="32"/>
        </w:rPr>
        <w:t>施行</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本政策施行之日，</w:t>
      </w:r>
      <w:r>
        <w:rPr>
          <w:rFonts w:hint="eastAsia" w:ascii="Times New Roman" w:hAnsi="Times New Roman" w:eastAsia="方正仿宋_GBK" w:cs="Times New Roman"/>
          <w:kern w:val="0"/>
          <w:sz w:val="32"/>
          <w:szCs w:val="32"/>
          <w:lang w:eastAsia="zh-CN"/>
        </w:rPr>
        <w:t>原《重庆市永川区科学技术局</w:t>
      </w:r>
      <w:r>
        <w:rPr>
          <w:rFonts w:hint="eastAsia" w:ascii="Times New Roman" w:hAnsi="Times New Roman" w:eastAsia="方正仿宋_GBK" w:cs="Times New Roman"/>
          <w:kern w:val="0"/>
          <w:sz w:val="32"/>
          <w:szCs w:val="32"/>
          <w:lang w:val="en-US" w:eastAsia="zh-CN"/>
        </w:rPr>
        <w:t xml:space="preserve"> </w:t>
      </w:r>
      <w:r>
        <w:rPr>
          <w:rFonts w:hint="eastAsia" w:ascii="Times New Roman" w:hAnsi="Times New Roman" w:eastAsia="方正仿宋_GBK" w:cs="Times New Roman"/>
          <w:kern w:val="0"/>
          <w:sz w:val="32"/>
          <w:szCs w:val="32"/>
          <w:lang w:eastAsia="zh-CN"/>
        </w:rPr>
        <w:t>中共重庆市永川区委组织部</w:t>
      </w:r>
      <w:r>
        <w:rPr>
          <w:rFonts w:hint="eastAsia" w:ascii="Times New Roman" w:hAnsi="Times New Roman" w:eastAsia="方正仿宋_GBK" w:cs="Times New Roman"/>
          <w:kern w:val="0"/>
          <w:sz w:val="32"/>
          <w:szCs w:val="32"/>
          <w:lang w:val="en-US" w:eastAsia="zh-CN"/>
        </w:rPr>
        <w:t xml:space="preserve"> </w:t>
      </w:r>
      <w:r>
        <w:rPr>
          <w:rFonts w:hint="eastAsia" w:ascii="Times New Roman" w:hAnsi="Times New Roman" w:eastAsia="方正仿宋_GBK" w:cs="Times New Roman"/>
          <w:kern w:val="0"/>
          <w:sz w:val="32"/>
          <w:szCs w:val="32"/>
          <w:lang w:eastAsia="zh-CN"/>
        </w:rPr>
        <w:t>重庆市永川区财政局关于印发〈永川区科技创新支撑产业发展激励政策〉的通知》（永科局〔2023〕14号）同时废止</w:t>
      </w:r>
      <w:r>
        <w:rPr>
          <w:rFonts w:hint="eastAsia" w:ascii="Times New Roman" w:hAnsi="Times New Roman" w:eastAsia="方正仿宋_GBK" w:cs="Times New Roman"/>
          <w:kern w:val="0"/>
          <w:sz w:val="32"/>
          <w:szCs w:val="32"/>
        </w:rPr>
        <w:t>。每年由区科技局会同有关部门</w:t>
      </w:r>
      <w:r>
        <w:rPr>
          <w:rFonts w:hint="eastAsia" w:ascii="Times New Roman" w:hAnsi="Times New Roman" w:eastAsia="方正仿宋_GBK" w:cs="Times New Roman"/>
          <w:kern w:val="0"/>
          <w:sz w:val="32"/>
          <w:szCs w:val="32"/>
          <w:lang w:eastAsia="zh-CN"/>
        </w:rPr>
        <w:t>主要以“</w:t>
      </w:r>
      <w:r>
        <w:rPr>
          <w:rFonts w:hint="eastAsia" w:ascii="Times New Roman" w:hAnsi="Times New Roman" w:eastAsia="方正仿宋_GBK" w:cs="Times New Roman"/>
          <w:kern w:val="0"/>
          <w:sz w:val="32"/>
          <w:szCs w:val="32"/>
          <w:lang w:val="en-US" w:eastAsia="zh-CN"/>
        </w:rPr>
        <w:t>免</w:t>
      </w:r>
      <w:r>
        <w:rPr>
          <w:rFonts w:hint="eastAsia" w:ascii="Times New Roman" w:hAnsi="Times New Roman" w:eastAsia="方正仿宋_GBK" w:cs="Times New Roman"/>
          <w:kern w:val="0"/>
          <w:sz w:val="32"/>
          <w:szCs w:val="32"/>
          <w:lang w:eastAsia="zh-CN"/>
        </w:rPr>
        <w:t>申即享”方式</w:t>
      </w:r>
      <w:r>
        <w:rPr>
          <w:rFonts w:hint="eastAsia" w:ascii="Times New Roman" w:hAnsi="Times New Roman" w:eastAsia="方正仿宋_GBK" w:cs="Times New Roman"/>
          <w:kern w:val="0"/>
          <w:sz w:val="32"/>
          <w:szCs w:val="32"/>
        </w:rPr>
        <w:t>落实奖补政策。同一企业不重复享受各级政府出台的同类政策，明确表述为“配套政策”和“市区联动政策”的除外。</w:t>
      </w:r>
    </w:p>
    <w:sectPr>
      <w:headerReference r:id="rId5" w:type="default"/>
      <w:footerReference r:id="rId6" w:type="default"/>
      <w:pgSz w:w="11906" w:h="16838"/>
      <w:pgMar w:top="1962" w:right="1474" w:bottom="1848" w:left="1587" w:header="907" w:footer="510"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D6B28">
    <w:pPr>
      <w:pStyle w:val="5"/>
      <w:ind w:left="7296" w:leftChars="2280" w:firstLine="6400" w:firstLineChars="2000"/>
      <w:rPr>
        <w:rFonts w:eastAsia="仿宋"/>
        <w:sz w:val="32"/>
        <w:szCs w:val="48"/>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23F549">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7423F549">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586F9629">
    <w:pPr>
      <w:pStyle w:val="5"/>
      <w:tabs>
        <w:tab w:val="center" w:pos="1480"/>
        <w:tab w:val="clear" w:pos="4153"/>
      </w:tabs>
      <w:wordWrap w:val="0"/>
      <w:ind w:left="2870" w:leftChars="897" w:firstLine="8134" w:firstLineChars="2905"/>
      <w:rPr>
        <w:rFonts w:ascii="宋体" w:hAnsi="宋体" w:eastAsia="宋体" w:cs="宋体"/>
        <w:b/>
        <w:bCs/>
        <w:color w:val="005192"/>
        <w:szCs w:val="44"/>
      </w:rPr>
    </w:pPr>
    <w:r>
      <w:rPr>
        <w:color w:val="FAFAFA"/>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color w:val="FAFAFA"/>
        <w:szCs w:val="28"/>
      </w:rPr>
      <w:t xml:space="preserve">     </w:t>
    </w:r>
    <w:r>
      <w:rPr>
        <w:rFonts w:hint="eastAsia" w:ascii="宋体" w:hAnsi="宋体" w:eastAsia="宋体" w:cs="宋体"/>
        <w:b/>
        <w:bCs/>
        <w:color w:val="005192"/>
        <w:szCs w:val="44"/>
      </w:rPr>
      <w:t>重庆市永川区</w:t>
    </w:r>
    <w:r>
      <w:rPr>
        <w:rFonts w:hint="eastAsia" w:ascii="宋体" w:hAnsi="宋体" w:eastAsia="宋体" w:cs="宋体"/>
        <w:b/>
        <w:bCs/>
        <w:color w:val="005192"/>
        <w:szCs w:val="44"/>
        <w:lang w:val="en-US" w:eastAsia="zh-CN"/>
      </w:rPr>
      <w:t>科学技术</w:t>
    </w:r>
    <w:r>
      <w:rPr>
        <w:rFonts w:hint="eastAsia" w:ascii="宋体" w:hAnsi="宋体" w:eastAsia="宋体" w:cs="宋体"/>
        <w:b/>
        <w:bCs/>
        <w:color w:val="005192"/>
        <w:szCs w:val="44"/>
      </w:rPr>
      <w:t>局</w:t>
    </w:r>
    <w:r>
      <w:rPr>
        <w:rFonts w:hint="eastAsia" w:ascii="宋体" w:hAnsi="宋体" w:eastAsia="宋体" w:cs="宋体"/>
        <w:b/>
        <w:bCs/>
        <w:color w:val="005192"/>
        <w:szCs w:val="44"/>
        <w:lang w:eastAsia="zh-CN"/>
      </w:rPr>
      <w:t>办公室</w:t>
    </w:r>
    <w:r>
      <w:rPr>
        <w:rFonts w:hint="eastAsia" w:ascii="宋体" w:hAnsi="宋体" w:eastAsia="宋体" w:cs="宋体"/>
        <w:b/>
        <w:bCs/>
        <w:color w:val="005192"/>
        <w:szCs w:val="44"/>
      </w:rPr>
      <w:t xml:space="preserve">发布    </w:t>
    </w:r>
  </w:p>
  <w:p w14:paraId="459BF018">
    <w:pPr>
      <w:pStyle w:val="5"/>
      <w:ind w:left="5770" w:leftChars="1803" w:firstLine="6499" w:firstLineChars="2312"/>
      <w:jc w:val="left"/>
      <w:rPr>
        <w:rFonts w:ascii="宋体" w:hAnsi="宋体" w:eastAsia="宋体" w:cs="宋体"/>
        <w:b/>
        <w:bCs/>
        <w:color w:val="005192"/>
        <w:szCs w:val="28"/>
      </w:rPr>
    </w:pPr>
  </w:p>
  <w:p w14:paraId="78302DD3">
    <w:pPr>
      <w:pStyle w:val="5"/>
      <w:wordWrap w:val="0"/>
      <w:ind w:left="7296" w:leftChars="2280" w:firstLine="5622" w:firstLineChars="2000"/>
      <w:rPr>
        <w:rFonts w:ascii="宋体" w:hAnsi="宋体" w:eastAsia="宋体" w:cs="宋体"/>
        <w:b/>
        <w:bCs/>
        <w:color w:val="005192"/>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C7F12">
    <w:pPr>
      <w:pStyle w:val="5"/>
      <w:tabs>
        <w:tab w:val="left" w:pos="3735"/>
        <w:tab w:val="right" w:pos="8965"/>
      </w:tabs>
      <w:adjustRightInd/>
      <w:jc w:val="left"/>
      <w:textAlignment w:val="center"/>
      <w:rPr>
        <w:rFonts w:ascii="方正仿宋_GBK" w:hAnsi="方正仿宋_GBK" w:cs="方正仿宋_GBK"/>
        <w:b/>
        <w:bCs/>
        <w:color w:val="000000"/>
        <w:sz w:val="32"/>
      </w:rPr>
    </w:pPr>
    <w:r>
      <w:rPr>
        <w:rFonts w:hint="eastAsia" w:ascii="方正仿宋_GBK" w:hAnsi="方正仿宋_GBK" w:cs="方正仿宋_GBK"/>
        <w:b/>
        <w:bCs/>
        <w:color w:val="000000"/>
        <w:sz w:val="32"/>
      </w:rPr>
      <w:tab/>
    </w:r>
    <w:r>
      <w:rPr>
        <w:rFonts w:hint="eastAsia" w:ascii="方正仿宋_GBK" w:hAnsi="方正仿宋_GBK" w:cs="方正仿宋_GBK"/>
        <w:b/>
        <w:bCs/>
        <w:color w:val="000000"/>
        <w:sz w:val="32"/>
      </w:rPr>
      <w:tab/>
    </w:r>
    <w:r>
      <w:rPr>
        <w:rFonts w:hint="eastAsia" w:ascii="方正仿宋_GBK" w:hAnsi="方正仿宋_GBK" w:cs="方正仿宋_GBK"/>
        <w:b/>
        <w:bCs/>
        <w:color w:val="000000"/>
        <w:sz w:val="32"/>
      </w:rPr>
      <w:tab/>
    </w:r>
    <w:r>
      <w:rPr>
        <w:rFonts w:hint="eastAsia" w:ascii="方正仿宋_GBK" w:hAnsi="方正仿宋_GBK" w:cs="方正仿宋_GBK"/>
        <w:b/>
        <w:bCs/>
        <w:color w:val="000000"/>
        <w:sz w:val="32"/>
      </w:rPr>
      <w:tab/>
    </w:r>
  </w:p>
  <w:p w14:paraId="38132529">
    <w:pPr>
      <w:pStyle w:val="5"/>
      <w:adjustRightInd/>
      <w:jc w:val="left"/>
      <w:textAlignment w:val="center"/>
      <w:rPr>
        <w:rFonts w:ascii="宋体" w:hAnsi="宋体" w:eastAsia="宋体" w:cs="宋体"/>
        <w:b/>
        <w:bCs/>
        <w:color w:val="005192"/>
        <w:sz w:val="32"/>
      </w:rPr>
    </w:pPr>
    <w:r>
      <w:rPr>
        <w:rFonts w:ascii="方正仿宋_GBK" w:hAnsi="方正仿宋_GBK" w:cs="方正仿宋_GBK"/>
        <w:b/>
        <w:bCs/>
        <w:color w:val="000000"/>
        <w:sz w:val="32"/>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347980</wp:posOffset>
              </wp:positionV>
              <wp:extent cx="5620385" cy="0"/>
              <wp:effectExtent l="0" t="10795" r="18415" b="17780"/>
              <wp:wrapNone/>
              <wp:docPr id="3" name="直接连接符 3"/>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a:effectLst/>
                    </wps:spPr>
                    <wps:bodyPr/>
                  </wps:wsp>
                </a:graphicData>
              </a:graphic>
            </wp:anchor>
          </w:drawing>
        </mc:Choice>
        <mc:Fallback>
          <w:pict>
            <v:line id="_x0000_s1026" o:spid="_x0000_s1026" o:spt="20" style="position:absolute;left:0pt;margin-left:0.75pt;margin-top:27.4pt;height:0pt;width:442.55pt;z-index:251661312;mso-width-relative:page;mso-height-relative:page;" filled="f" stroked="t" coordsize="21600,21600" o:gfxdata="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NrnK0gAAAAcBAAAPAAAAAAAAAAEAIAAAACIAAABkcnMvZG93bnJldi54bWxQSwECFAAU&#10;AAAACACHTuJAuxxU8fcBAADxAwAADgAAAAAAAAABACAAAAAhAQAAZHJzL2Uyb0RvYy54bWxQSwUG&#10;AAAAAAYABgBZAQAAigUAAAAA&#10;">
              <v:fill on="f" focussize="0,0"/>
              <v:stroke weight="1.75pt" color="#0070C0" joinstyle="miter"/>
              <v:imagedata o:title=""/>
              <o:lock v:ext="edit" aspectratio="f"/>
            </v:line>
          </w:pict>
        </mc:Fallback>
      </mc:AlternateContent>
    </w:r>
    <w:r>
      <w:rPr>
        <w:rFonts w:ascii="宋体" w:hAnsi="宋体" w:eastAsia="宋体" w:cs="宋体"/>
        <w:b/>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rPr>
      <w:t>重庆市永川区</w:t>
    </w:r>
    <w:r>
      <w:rPr>
        <w:rFonts w:hint="eastAsia" w:ascii="宋体" w:hAnsi="宋体" w:eastAsia="宋体" w:cs="宋体"/>
        <w:b/>
        <w:bCs/>
        <w:color w:val="005192"/>
        <w:sz w:val="32"/>
        <w:lang w:val="en-US" w:eastAsia="zh-CN"/>
      </w:rPr>
      <w:t>科学技术</w:t>
    </w:r>
    <w:r>
      <w:rPr>
        <w:rFonts w:hint="eastAsia" w:ascii="宋体" w:hAnsi="宋体" w:eastAsia="宋体" w:cs="宋体"/>
        <w:b/>
        <w:bCs/>
        <w:color w:val="005192"/>
        <w:sz w:val="32"/>
      </w:rPr>
      <w:t>局行政规范性文件</w:t>
    </w:r>
  </w:p>
  <w:p w14:paraId="0568D31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9FF13E7"/>
    <w:rsid w:val="3DFEA12B"/>
    <w:rsid w:val="7D7B3B5B"/>
    <w:rsid w:val="F9FF1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List Paragraph"/>
    <w:basedOn w:val="1"/>
    <w:qFormat/>
    <w:uiPriority w:val="34"/>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pPr>
    <w:rPr>
      <w:sz w:val="28"/>
    </w:rPr>
  </w:style>
  <w:style w:type="paragraph" w:styleId="6">
    <w:name w:val="Normal (Web)"/>
    <w:basedOn w:val="1"/>
    <w:qFormat/>
    <w:uiPriority w:val="99"/>
    <w:pPr>
      <w:widowControl/>
      <w:spacing w:before="100" w:beforeAutospacing="1" w:after="100" w:afterAutospacing="1"/>
      <w:jc w:val="left"/>
    </w:pPr>
    <w:rPr>
      <w:rFonts w:ascii="宋体" w:hAnsi="宋体" w:eastAsia="宋体"/>
      <w:kern w:val="0"/>
      <w:sz w:val="24"/>
    </w:rPr>
  </w:style>
  <w:style w:type="paragraph" w:customStyle="1" w:styleId="9">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0">
    <w:name w:val="p0"/>
    <w:basedOn w:val="1"/>
    <w:qFormat/>
    <w:uiPriority w:val="0"/>
    <w:pPr>
      <w:widowControl/>
    </w:pPr>
    <w:rPr>
      <w:rFonts w:ascii="Calibri" w:hAnsi="Calibri" w:eastAsia="宋体" w:cs="宋体"/>
      <w:kern w:val="0"/>
      <w:szCs w:val="32"/>
    </w:rPr>
  </w:style>
  <w:style w:type="paragraph" w:customStyle="1" w:styleId="11">
    <w:name w:val="公文正文"/>
    <w:qFormat/>
    <w:uiPriority w:val="0"/>
    <w:pPr>
      <w:spacing w:line="594" w:lineRule="exact"/>
      <w:ind w:firstLine="420" w:firstLineChars="200"/>
      <w:jc w:val="both"/>
    </w:pPr>
    <w:rPr>
      <w:rFonts w:ascii="Times New Roman" w:hAnsi="Times New Roman" w:eastAsia="方正仿宋_GBK" w:cs="Times New Roman"/>
      <w:sz w:val="32"/>
      <w:szCs w:val="32"/>
      <w:lang w:val="en-US" w:eastAsia="zh-CN" w:bidi="ar-SA"/>
    </w:rPr>
  </w:style>
  <w:style w:type="paragraph" w:customStyle="1" w:styleId="12">
    <w:name w:val="公文一级标"/>
    <w:qFormat/>
    <w:uiPriority w:val="0"/>
    <w:pPr>
      <w:spacing w:line="594" w:lineRule="exact"/>
      <w:ind w:firstLine="420" w:firstLineChars="200"/>
      <w:jc w:val="both"/>
      <w:outlineLvl w:val="0"/>
    </w:pPr>
    <w:rPr>
      <w:rFonts w:ascii="Times New Roman" w:hAnsi="Times New Roman" w:eastAsia="方正黑体_GBK" w:cs="Times New Roman"/>
      <w:sz w:val="32"/>
      <w:szCs w:val="32"/>
      <w:lang w:val="en-US" w:eastAsia="zh-CN" w:bidi="ar-SA"/>
    </w:rPr>
  </w:style>
  <w:style w:type="character" w:customStyle="1" w:styleId="13">
    <w:name w:val="公文二级标 Char"/>
    <w:link w:val="14"/>
    <w:qFormat/>
    <w:uiPriority w:val="0"/>
    <w:rPr>
      <w:rFonts w:ascii="Times New Roman" w:hAnsi="Times New Roman" w:eastAsia="方正楷体_GBK" w:cs="Times New Roman"/>
      <w:sz w:val="32"/>
      <w:szCs w:val="32"/>
      <w:lang w:val="en-US" w:eastAsia="zh-CN" w:bidi="ar-SA"/>
    </w:rPr>
  </w:style>
  <w:style w:type="paragraph" w:customStyle="1" w:styleId="14">
    <w:name w:val="公文二级标"/>
    <w:next w:val="11"/>
    <w:link w:val="13"/>
    <w:qFormat/>
    <w:uiPriority w:val="0"/>
    <w:pPr>
      <w:spacing w:line="594" w:lineRule="exact"/>
      <w:ind w:firstLine="420" w:firstLineChars="200"/>
      <w:jc w:val="both"/>
    </w:pPr>
    <w:rPr>
      <w:rFonts w:ascii="Times New Roman" w:hAnsi="Times New Roman" w:eastAsia="方正楷体_GBK" w:cs="Times New Roman"/>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2025-10-10T01:34:00Z</dcterms:created>
  <dc:creator>Lanpirate</dc:creator>
  <cp:lastModifiedBy>Lanpirate</cp:lastModifiedBy>
  <dcterms:modified xsi:type="dcterms:W3CDTF">2025-10-14T11:18:44Z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2052-12.1.0.17900</vt:lpwstr>
  </property>
  <property fmtid="{D5CDD505-2E9C-101B-9397-08002B2CF9AE}" pid="3" name="ICV">
    <vt:lpwstr>72660670592039B1B281E768434E6758_41</vt:lpwstr>
  </property>
</Properties>
</file>