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仿宋_GBK"/>
          <w:sz w:val="32"/>
          <w:szCs w:val="32"/>
        </w:rPr>
      </w:pPr>
    </w:p>
    <w:p>
      <w:pPr>
        <w:jc w:val="center"/>
        <w:rPr>
          <w:rFonts w:hint="eastAsia" w:eastAsia="方正仿宋_GBK"/>
          <w:sz w:val="32"/>
          <w:szCs w:val="32"/>
        </w:rPr>
      </w:pPr>
    </w:p>
    <w:p>
      <w:pPr>
        <w:jc w:val="center"/>
        <w:rPr>
          <w:rFonts w:hint="eastAsia" w:eastAsia="方正仿宋_GBK"/>
          <w:sz w:val="32"/>
          <w:szCs w:val="32"/>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ge">
                  <wp:posOffset>3995420</wp:posOffset>
                </wp:positionV>
                <wp:extent cx="5734050" cy="0"/>
                <wp:effectExtent l="0" t="17145" r="0" b="20955"/>
                <wp:wrapNone/>
                <wp:docPr id="1" name="直线 3"/>
                <wp:cNvGraphicFramePr/>
                <a:graphic xmlns:a="http://schemas.openxmlformats.org/drawingml/2006/main">
                  <a:graphicData uri="http://schemas.microsoft.com/office/word/2010/wordprocessingShape">
                    <wps:wsp>
                      <wps:cNvSpPr/>
                      <wps:spPr>
                        <a:xfrm>
                          <a:off x="0" y="0"/>
                          <a:ext cx="5734050" cy="0"/>
                        </a:xfrm>
                        <a:prstGeom prst="line">
                          <a:avLst/>
                        </a:prstGeom>
                        <a:ln w="3492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4.25pt;margin-top:314.6pt;height:0pt;width:451.5pt;mso-position-vertical-relative:page;z-index:251660288;mso-width-relative:page;mso-height-relative:page;" filled="f" stroked="t" coordsize="21600,21600" o:gfxdata="UEsFBgAAAAAAAAAAAAAAAAAAAAAAAFBLAwQKAAAAAACHTuJAAAAAAAAAAAAAAAAABAAAAGRycy9Q&#10;SwMEFAAAAAgAh07iQC58HSLaAAAACwEAAA8AAABkcnMvZG93bnJldi54bWxNj8FKAzEQhu+C7xBG&#10;8CJtdhdt13WzPQiCohRt66G3NBk3SzfJkqTd9u0dQdDj/PPxzzf14mR7dsQQO+8E5NMMGDrldeda&#10;AZv106QEFpN0WvbeoYAzRlg0lxe1rLQf3QceV6llVOJiJQWYlIaK86gMWhmnfkBHuy8frEw0hpbr&#10;IEcqtz0vsmzGrewcXTBywEeDar86WAHPN/thXL6eX9Zb9Wne3oPK+bYU4voqzx6AJTylPxh+9Ekd&#10;GnLa+YPTkfUCJkV5R6iAWXFfACOinN9SsvtNeFPz/z8031BLAwQUAAAACACHTuJAwL0LGdMBAACR&#10;AwAADgAAAGRycy9lMm9Eb2MueG1srVNLbtswEN0X6B0I7mspdtyPYDmLOM6maAMkPcCYpCQC/IFD&#10;W/ZZeo2uuulxco0OacfpZ1MU8YIecoaP770ZLa721rCdiqi9a/nFpOZMOeGldn3Lvzys37znDBM4&#10;CcY71fKDQn61fP1qMYZGTf3gjVSREYjDZgwtH1IKTVWhGJQFnPigHCU7Hy0k2sa+khFGQremmtb1&#10;22r0UYbohUKk09UxyZcFv+uUSJ+7DlVipuXELZU1lnWT12q5gKaPEAYtTjTgP1hY0I4ePUOtIAHb&#10;Rv0XlNUievRdmghvK991WqiigdRc1H+ouR8gqKKFzMFwtglfDlZ82t1FpiX1jjMHllr0+PXb4/cf&#10;bJa9GQM2VHIf7uJphxRmofsu2vxPEti++Hk4+6n2iQk6nL+bXdZzsl085arniyFiulXeshy03GiX&#10;pUIDu4+Y6DEqfSrJx8axseWzyw/TOeEBjUpnIFFoA5FH15fL6I2Wa21MvoKx31ybyHZAzV+va/pl&#10;TQT8W1l+ZQU4HOtK6jgWgwJ54yRLh0C2OJpfnjlYJTkzisY9RwQITQJt/qWSnjaOGGRbj0bmaOPl&#10;gZqwDVH3A1mR4lYVojlJfS+UTzOaB+vXfQF7/pK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u&#10;fB0i2gAAAAsBAAAPAAAAAAAAAAEAIAAAADgAAABkcnMvZG93bnJldi54bWxQSwECFAAUAAAACACH&#10;TuJAwL0LGdMBAACRAwAADgAAAAAAAAABACAAAAA/AQAAZHJzL2Uyb0RvYy54bWxQSwUGAAAAAAYA&#10;BgBZAQAAhAUAAAAA&#10;">
                <v:fill on="f" focussize="0,0"/>
                <v:stroke weight="2.75pt" color="#FF0000" joinstyle="round"/>
                <v:imagedata o:title=""/>
                <o:lock v:ext="edit" aspectratio="f"/>
              </v:line>
            </w:pict>
          </mc:Fallback>
        </mc:AlternateContent>
      </w:r>
      <w:r>
        <w:rPr>
          <w:rFonts w:hint="eastAsia" w:eastAsia="方正仿宋_GBK"/>
          <w:sz w:val="32"/>
          <w:szCs w:val="32"/>
        </w:rPr>
        <w:t>永教督</w:t>
      </w:r>
      <w:r>
        <w:rPr>
          <w:rFonts w:ascii="Times New Roman" w:hAnsi="Times New Roman" w:eastAsia="方正仿宋_GBK"/>
          <w:sz w:val="32"/>
          <w:szCs w:val="32"/>
        </w:rPr>
        <w:t>〔</w:t>
      </w:r>
      <w:r>
        <w:rPr>
          <w:rFonts w:ascii="Times New Roman" w:hAnsi="Times New Roman" w:eastAsia="方正仿宋_GBK" w:cs="Times New Roman"/>
          <w:sz w:val="32"/>
          <w:szCs w:val="32"/>
        </w:rPr>
        <w:t>2021</w:t>
      </w:r>
      <w:r>
        <w:rPr>
          <w:rFonts w:ascii="Times New Roman" w:hAnsi="Times New Roman" w:eastAsia="方正仿宋_GBK"/>
          <w:sz w:val="32"/>
          <w:szCs w:val="32"/>
        </w:rPr>
        <w:t>〕</w:t>
      </w:r>
      <w:r>
        <w:rPr>
          <w:rFonts w:ascii="Times New Roman" w:hAnsi="Times New Roman" w:eastAsia="方正仿宋_GBK" w:cs="Times New Roman"/>
          <w:sz w:val="32"/>
          <w:szCs w:val="32"/>
        </w:rPr>
        <w:t>1</w:t>
      </w:r>
      <w:r>
        <w:rPr>
          <w:rFonts w:ascii="Times New Roman" w:hAnsi="Times New Roman" w:eastAsia="方正仿宋_GBK"/>
          <w:sz w:val="32"/>
          <w:szCs w:val="32"/>
        </w:rPr>
        <w:t>号</w:t>
      </w:r>
    </w:p>
    <w:tbl>
      <w:tblPr>
        <w:tblStyle w:val="6"/>
        <w:tblpPr w:leftFromText="181" w:rightFromText="181" w:vertAnchor="page" w:horzAnchor="page" w:tblpXSpec="center" w:tblpY="2692"/>
        <w:tblOverlap w:val="never"/>
        <w:tblW w:w="9455" w:type="dxa"/>
        <w:jc w:val="center"/>
        <w:tblLayout w:type="fixed"/>
        <w:tblCellMar>
          <w:top w:w="0" w:type="dxa"/>
          <w:left w:w="108" w:type="dxa"/>
          <w:bottom w:w="0" w:type="dxa"/>
          <w:right w:w="108" w:type="dxa"/>
        </w:tblCellMar>
      </w:tblPr>
      <w:tblGrid>
        <w:gridCol w:w="7991"/>
        <w:gridCol w:w="1464"/>
      </w:tblGrid>
      <w:tr>
        <w:tblPrEx>
          <w:tblCellMar>
            <w:top w:w="0" w:type="dxa"/>
            <w:left w:w="108" w:type="dxa"/>
            <w:bottom w:w="0" w:type="dxa"/>
            <w:right w:w="108" w:type="dxa"/>
          </w:tblCellMar>
        </w:tblPrEx>
        <w:trPr>
          <w:jc w:val="center"/>
        </w:trPr>
        <w:tc>
          <w:tcPr>
            <w:tcW w:w="7991" w:type="dxa"/>
          </w:tcPr>
          <w:p>
            <w:pPr>
              <w:spacing w:line="1200" w:lineRule="exact"/>
              <w:jc w:val="distribute"/>
              <w:rPr>
                <w:rFonts w:hint="eastAsia" w:eastAsia="方正小标宋_GBK"/>
                <w:color w:val="FF0000"/>
                <w:spacing w:val="-10"/>
                <w:w w:val="50"/>
                <w:sz w:val="100"/>
                <w:szCs w:val="100"/>
              </w:rPr>
            </w:pPr>
            <w:r>
              <w:rPr>
                <w:rFonts w:eastAsia="方正小标宋_GBK"/>
                <w:color w:val="FF0000"/>
                <w:spacing w:val="-10"/>
                <w:w w:val="50"/>
                <w:sz w:val="100"/>
                <w:szCs w:val="100"/>
              </w:rPr>
              <w:t>重庆市</w:t>
            </w:r>
            <w:r>
              <w:rPr>
                <w:rFonts w:hint="eastAsia" w:eastAsia="方正小标宋_GBK"/>
                <w:color w:val="FF0000"/>
                <w:spacing w:val="-10"/>
                <w:w w:val="50"/>
                <w:sz w:val="100"/>
                <w:szCs w:val="100"/>
              </w:rPr>
              <w:t>永川区教育委员会</w:t>
            </w:r>
          </w:p>
          <w:p>
            <w:pPr>
              <w:spacing w:line="1200" w:lineRule="exact"/>
              <w:jc w:val="distribute"/>
              <w:rPr>
                <w:rFonts w:hint="eastAsia" w:eastAsia="方正仿宋_GBK"/>
                <w:sz w:val="32"/>
                <w:szCs w:val="32"/>
              </w:rPr>
            </w:pPr>
            <w:r>
              <w:rPr>
                <w:rFonts w:hint="eastAsia" w:eastAsia="方正小标宋_GBK"/>
                <w:color w:val="FF0000"/>
                <w:spacing w:val="-10"/>
                <w:w w:val="50"/>
                <w:sz w:val="100"/>
                <w:szCs w:val="100"/>
              </w:rPr>
              <w:t>重庆市永川区人民政府教育督导室</w:t>
            </w:r>
          </w:p>
        </w:tc>
        <w:tc>
          <w:tcPr>
            <w:tcW w:w="1464" w:type="dxa"/>
            <w:vAlign w:val="center"/>
          </w:tcPr>
          <w:p>
            <w:pPr>
              <w:spacing w:line="1200" w:lineRule="exact"/>
              <w:rPr>
                <w:rFonts w:hint="eastAsia" w:eastAsia="方正仿宋_GBK"/>
                <w:sz w:val="32"/>
                <w:szCs w:val="32"/>
              </w:rPr>
            </w:pPr>
            <w:r>
              <w:rPr>
                <w:rFonts w:hint="eastAsia" w:eastAsia="方正小标宋_GBK"/>
                <w:color w:val="FF0000"/>
                <w:w w:val="50"/>
                <w:sz w:val="120"/>
                <w:szCs w:val="120"/>
              </w:rPr>
              <w:t>文件</w:t>
            </w:r>
          </w:p>
        </w:tc>
      </w:tr>
    </w:tbl>
    <w:p>
      <w:pPr>
        <w:spacing w:line="600" w:lineRule="exact"/>
        <w:jc w:val="center"/>
        <w:rPr>
          <w:rFonts w:hint="eastAsia" w:ascii="方正小标宋_GBK" w:eastAsia="方正小标宋_GBK"/>
          <w:b/>
          <w:sz w:val="44"/>
          <w:szCs w:val="44"/>
        </w:rPr>
      </w:pP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重庆市永川区教育委员会</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重庆市永川区人民政府教育督导室</w:t>
      </w:r>
    </w:p>
    <w:p>
      <w:pPr>
        <w:tabs>
          <w:tab w:val="left" w:pos="3030"/>
        </w:tabs>
        <w:spacing w:line="60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关于</w:t>
      </w:r>
      <w:r>
        <w:rPr>
          <w:rFonts w:ascii="Times New Roman" w:hAnsi="Times New Roman" w:eastAsia="方正小标宋_GBK" w:cs="Times New Roman"/>
          <w:b/>
          <w:sz w:val="44"/>
          <w:szCs w:val="44"/>
        </w:rPr>
        <w:t>2019</w:t>
      </w:r>
      <w:r>
        <w:rPr>
          <w:rFonts w:hint="eastAsia" w:ascii="方正小标宋_GBK" w:hAnsi="宋体" w:eastAsia="方正小标宋_GBK"/>
          <w:b/>
          <w:sz w:val="44"/>
          <w:szCs w:val="44"/>
        </w:rPr>
        <w:t>—</w:t>
      </w:r>
      <w:r>
        <w:rPr>
          <w:rFonts w:ascii="Times New Roman" w:hAnsi="Times New Roman" w:eastAsia="方正小标宋_GBK" w:cs="Times New Roman"/>
          <w:b/>
          <w:sz w:val="44"/>
          <w:szCs w:val="44"/>
        </w:rPr>
        <w:t>2020</w:t>
      </w:r>
      <w:r>
        <w:rPr>
          <w:rFonts w:hint="eastAsia" w:ascii="方正小标宋_GBK" w:hAnsi="宋体" w:eastAsia="方正小标宋_GBK"/>
          <w:b/>
          <w:sz w:val="44"/>
          <w:szCs w:val="44"/>
        </w:rPr>
        <w:t>学年度中小学自主定标</w:t>
      </w:r>
    </w:p>
    <w:p>
      <w:pPr>
        <w:tabs>
          <w:tab w:val="left" w:pos="3030"/>
        </w:tabs>
        <w:spacing w:line="60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督导评估情况的通报</w:t>
      </w:r>
    </w:p>
    <w:p>
      <w:pPr>
        <w:spacing w:line="600" w:lineRule="exact"/>
        <w:ind w:firstLine="640" w:firstLineChars="200"/>
        <w:rPr>
          <w:rFonts w:ascii="方正仿宋_GBK" w:eastAsia="方正仿宋_GBK"/>
          <w:sz w:val="32"/>
          <w:szCs w:val="32"/>
        </w:rPr>
      </w:pPr>
    </w:p>
    <w:p>
      <w:pPr>
        <w:spacing w:line="600" w:lineRule="exact"/>
        <w:jc w:val="left"/>
        <w:rPr>
          <w:rFonts w:ascii="方正仿宋_GBK" w:eastAsia="方正仿宋_GBK"/>
          <w:sz w:val="32"/>
          <w:szCs w:val="32"/>
        </w:rPr>
      </w:pPr>
      <w:r>
        <w:rPr>
          <w:rFonts w:hint="eastAsia" w:ascii="方正仿宋_GBK" w:eastAsia="方正仿宋_GBK"/>
          <w:sz w:val="32"/>
          <w:szCs w:val="32"/>
        </w:rPr>
        <w:t>各镇街教管中心、中小学：</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根据区教委、区政府教育督导室《关于开展</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2020</w:t>
      </w:r>
      <w:r>
        <w:rPr>
          <w:rFonts w:hint="eastAsia" w:ascii="方正仿宋_GBK" w:eastAsia="方正仿宋_GBK"/>
          <w:sz w:val="32"/>
          <w:szCs w:val="32"/>
        </w:rPr>
        <w:t>学年度中小学自主定标督导评估的通知》（</w:t>
      </w:r>
      <w:r>
        <w:rPr>
          <w:rFonts w:ascii="方正仿宋_GBK" w:eastAsia="方正仿宋_GBK"/>
          <w:sz w:val="32"/>
          <w:szCs w:val="32"/>
        </w:rPr>
        <w:t>永教督〔</w:t>
      </w:r>
      <w:r>
        <w:rPr>
          <w:rFonts w:ascii="Times New Roman" w:hAnsi="Times New Roman" w:eastAsia="方正仿宋_GBK" w:cs="Times New Roman"/>
          <w:sz w:val="32"/>
          <w:szCs w:val="32"/>
        </w:rPr>
        <w:t>2020</w:t>
      </w:r>
      <w:r>
        <w:rPr>
          <w:rFonts w:ascii="方正仿宋_GBK" w:eastAsia="方正仿宋_GBK"/>
          <w:sz w:val="32"/>
          <w:szCs w:val="32"/>
        </w:rPr>
        <w:t>〕</w:t>
      </w:r>
      <w:r>
        <w:rPr>
          <w:rFonts w:ascii="Times New Roman" w:hAnsi="Times New Roman" w:eastAsia="方正仿宋_GBK" w:cs="Times New Roman"/>
          <w:sz w:val="32"/>
          <w:szCs w:val="32"/>
        </w:rPr>
        <w:t>12</w:t>
      </w:r>
      <w:r>
        <w:rPr>
          <w:rFonts w:ascii="方正仿宋_GBK" w:eastAsia="方正仿宋_GBK"/>
          <w:sz w:val="32"/>
          <w:szCs w:val="32"/>
        </w:rPr>
        <w:t>号</w:t>
      </w:r>
      <w:r>
        <w:rPr>
          <w:rFonts w:hint="eastAsia" w:ascii="方正仿宋_GBK" w:eastAsia="方正仿宋_GBK"/>
          <w:sz w:val="32"/>
          <w:szCs w:val="32"/>
        </w:rPr>
        <w:t>）精神，</w:t>
      </w:r>
      <w:r>
        <w:rPr>
          <w:rFonts w:hint="eastAsia" w:ascii="方正仿宋_GBK" w:hAnsi="宋体" w:eastAsia="方正仿宋_GBK" w:cs="宋体"/>
          <w:kern w:val="0"/>
          <w:sz w:val="32"/>
          <w:szCs w:val="32"/>
        </w:rPr>
        <w:t>督导室于</w:t>
      </w:r>
      <w:r>
        <w:rPr>
          <w:rFonts w:ascii="Times New Roman" w:hAnsi="Times New Roman" w:eastAsia="方正仿宋_GBK" w:cs="Times New Roman"/>
          <w:kern w:val="0"/>
          <w:sz w:val="32"/>
          <w:szCs w:val="32"/>
        </w:rPr>
        <w:t>2020</w:t>
      </w:r>
      <w:r>
        <w:rPr>
          <w:rFonts w:hint="eastAsia" w:ascii="方正仿宋_GBK" w:hAnsi="宋体" w:eastAsia="方正仿宋_GBK" w:cs="宋体"/>
          <w:kern w:val="0"/>
          <w:sz w:val="32"/>
          <w:szCs w:val="32"/>
        </w:rPr>
        <w:t>年</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月委托第三方专业机构开展了全区中小学</w:t>
      </w:r>
      <w:r>
        <w:rPr>
          <w:rFonts w:hint="eastAsia" w:ascii="方正仿宋_GBK" w:eastAsia="方正仿宋_GBK"/>
          <w:sz w:val="32"/>
          <w:szCs w:val="32"/>
        </w:rPr>
        <w:t>自主定标评估，并在充分研讨、论证的基础上撰写了评估报告</w:t>
      </w:r>
      <w:r>
        <w:rPr>
          <w:rFonts w:hint="eastAsia" w:ascii="方正仿宋_GBK" w:hAnsi="宋体" w:eastAsia="方正仿宋_GBK" w:cs="宋体"/>
          <w:kern w:val="0"/>
          <w:sz w:val="32"/>
          <w:szCs w:val="32"/>
        </w:rPr>
        <w:t>。有关情况如下。</w:t>
      </w:r>
    </w:p>
    <w:p>
      <w:pPr>
        <w:spacing w:line="600" w:lineRule="exact"/>
        <w:ind w:left="64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一、评估要求</w:t>
      </w:r>
    </w:p>
    <w:p>
      <w:pPr>
        <w:spacing w:line="600" w:lineRule="exact"/>
        <w:ind w:firstLine="640" w:firstLineChars="200"/>
        <w:rPr>
          <w:rFonts w:ascii="方正楷体_GBK" w:hAnsi="宋体" w:eastAsia="方正楷体_GBK" w:cs="宋体"/>
          <w:b/>
          <w:kern w:val="0"/>
          <w:sz w:val="32"/>
          <w:szCs w:val="32"/>
        </w:rPr>
      </w:pPr>
      <w:r>
        <w:rPr>
          <w:rFonts w:hint="eastAsia" w:ascii="方正楷体_GBK" w:hAnsi="宋体" w:eastAsia="方正楷体_GBK" w:cs="宋体"/>
          <w:kern w:val="0"/>
          <w:sz w:val="32"/>
          <w:szCs w:val="32"/>
        </w:rPr>
        <w:t>（</w:t>
      </w:r>
      <w:r>
        <w:rPr>
          <w:rFonts w:hint="eastAsia" w:ascii="方正楷体_GBK" w:hAnsi="宋体" w:eastAsia="方正楷体_GBK" w:cs="宋体"/>
          <w:b/>
          <w:kern w:val="0"/>
          <w:sz w:val="32"/>
          <w:szCs w:val="32"/>
        </w:rPr>
        <w:t>一）评估内容</w:t>
      </w:r>
    </w:p>
    <w:p>
      <w:pPr>
        <w:spacing w:line="600" w:lineRule="exact"/>
        <w:ind w:firstLine="640" w:firstLineChars="200"/>
        <w:rPr>
          <w:rFonts w:ascii="方正楷体_GBK" w:hAnsi="宋体" w:eastAsia="方正楷体_GBK" w:cs="宋体"/>
          <w:b/>
          <w:kern w:val="0"/>
          <w:sz w:val="32"/>
          <w:szCs w:val="32"/>
        </w:rPr>
      </w:pPr>
      <w:r>
        <w:rPr>
          <w:rFonts w:hint="eastAsia" w:ascii="方正仿宋_GBK" w:hAnsi="宋体" w:eastAsia="方正仿宋_GBK" w:cs="宋体"/>
          <w:kern w:val="0"/>
          <w:sz w:val="32"/>
          <w:szCs w:val="32"/>
        </w:rPr>
        <w:t>一是项目选择：学校是否围绕优质发展主题，在落实立德树人根本任务，推进现代学校治理，深化课程教学改革，推进教育信息化，加强特色校园文化建设等范围内自选督导项目、自定督导标准。二是项目实施：包括自主定标项目是否符合学校现实需求，项目文本方案是否规范，项目方案的制定实施是否合法，项目的过程管理是否到位，项目是否产生实际效果等。</w:t>
      </w:r>
    </w:p>
    <w:p>
      <w:pPr>
        <w:spacing w:line="600" w:lineRule="exact"/>
        <w:ind w:firstLine="640" w:firstLineChars="200"/>
        <w:rPr>
          <w:rFonts w:ascii="方正楷体_GBK" w:hAnsi="宋体" w:eastAsia="方正楷体_GBK" w:cs="宋体"/>
          <w:b/>
          <w:kern w:val="0"/>
          <w:sz w:val="32"/>
          <w:szCs w:val="32"/>
        </w:rPr>
      </w:pPr>
      <w:r>
        <w:rPr>
          <w:rFonts w:hint="eastAsia" w:ascii="方正楷体_GBK" w:hAnsi="宋体" w:eastAsia="方正楷体_GBK" w:cs="宋体"/>
          <w:kern w:val="0"/>
          <w:sz w:val="32"/>
          <w:szCs w:val="32"/>
        </w:rPr>
        <w:t>（</w:t>
      </w:r>
      <w:r>
        <w:rPr>
          <w:rFonts w:hint="eastAsia" w:ascii="方正楷体_GBK" w:hAnsi="宋体" w:eastAsia="方正楷体_GBK" w:cs="宋体"/>
          <w:b/>
          <w:kern w:val="0"/>
          <w:sz w:val="32"/>
          <w:szCs w:val="32"/>
        </w:rPr>
        <w:t>二）评估方式</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是委托评估：完善学校自主定标督导评估“第三方”评价机制，委托“第三方”专业机构承担具体评估工作。二是分类评估：中小学分城区直属中学、农村直属中学、镇街初中、城区小学一类、城区小学二类、农村小学一类、农村小学二类等七个类别分别进行督导评估。一体化学校以对主校区的评估为准。</w:t>
      </w:r>
    </w:p>
    <w:p>
      <w:pPr>
        <w:spacing w:line="600" w:lineRule="exact"/>
        <w:ind w:firstLine="642" w:firstLineChars="200"/>
        <w:rPr>
          <w:rFonts w:ascii="方正黑体_GBK" w:eastAsia="方正黑体_GBK"/>
          <w:sz w:val="32"/>
          <w:szCs w:val="32"/>
        </w:rPr>
      </w:pPr>
      <w:r>
        <w:rPr>
          <w:rFonts w:hint="eastAsia" w:ascii="方正楷体_GBK" w:hAnsi="宋体" w:eastAsia="方正楷体_GBK" w:cs="宋体"/>
          <w:b/>
          <w:kern w:val="0"/>
          <w:sz w:val="32"/>
          <w:szCs w:val="32"/>
        </w:rPr>
        <w:t>（三）评估标准。</w:t>
      </w:r>
      <w:r>
        <w:rPr>
          <w:rFonts w:hint="eastAsia" w:ascii="方正仿宋_GBK" w:hAnsi="宋体" w:eastAsia="方正仿宋_GBK" w:cs="宋体"/>
          <w:kern w:val="0"/>
          <w:sz w:val="32"/>
          <w:szCs w:val="32"/>
        </w:rPr>
        <w:t>一是项目选择：自主定标项目或是上述自主定标范围中学校当下主要问题和薄弱环节的突破研究，或是学校在已有研究成果基础上的深入研究，或是学校承担区教委有关试点项目的创新研究。三者必居其一。</w:t>
      </w:r>
      <w:r>
        <w:rPr>
          <w:rFonts w:hint="eastAsia" w:ascii="方正仿宋_GBK" w:hAnsi="Times New Roman" w:eastAsia="方正仿宋_GBK"/>
          <w:sz w:val="32"/>
          <w:szCs w:val="32"/>
        </w:rPr>
        <w:t>若本学年度的自主定标项目与上学年度一致，必须有新的内涵、新的举措和新的成果。</w:t>
      </w:r>
      <w:r>
        <w:rPr>
          <w:rFonts w:hint="eastAsia" w:ascii="方正仿宋_GBK" w:hAnsi="宋体" w:eastAsia="方正仿宋_GBK" w:cs="宋体"/>
          <w:kern w:val="0"/>
          <w:sz w:val="32"/>
          <w:szCs w:val="32"/>
        </w:rPr>
        <w:t>二是方案制定：工作方案需“现状清楚、目标明确、任务具体、责任落实、措施得力”；项目方案需经学校教代会审议通过。三是过程管理及成效：依据各校自主定标工作推进的校本性、真实性、发展性，依据学校督导评估指标的达成情况，依据学校领导的陈述答辩，以及印证资料的吻合度等据实评分。</w:t>
      </w:r>
    </w:p>
    <w:p>
      <w:pPr>
        <w:spacing w:line="600" w:lineRule="exact"/>
        <w:ind w:firstLine="640" w:firstLineChars="200"/>
        <w:rPr>
          <w:rFonts w:ascii="方正仿宋_GBK" w:hAnsi="宋体" w:eastAsia="方正仿宋_GBK" w:cs="宋体"/>
          <w:kern w:val="0"/>
          <w:sz w:val="32"/>
          <w:szCs w:val="32"/>
        </w:rPr>
      </w:pPr>
      <w:r>
        <w:rPr>
          <w:rFonts w:hint="eastAsia" w:ascii="方正黑体_GBK" w:hAnsi="宋体" w:eastAsia="方正黑体_GBK" w:cs="宋体"/>
          <w:kern w:val="0"/>
          <w:sz w:val="32"/>
          <w:szCs w:val="32"/>
        </w:rPr>
        <w:t>二、评估结果</w:t>
      </w:r>
    </w:p>
    <w:p>
      <w:pPr>
        <w:spacing w:line="600" w:lineRule="exact"/>
        <w:ind w:firstLine="642" w:firstLineChars="200"/>
        <w:rPr>
          <w:rFonts w:ascii="方正楷体_GBK" w:hAnsi="宋体" w:eastAsia="方正楷体_GBK" w:cs="宋体"/>
          <w:b/>
          <w:kern w:val="0"/>
          <w:sz w:val="32"/>
          <w:szCs w:val="32"/>
        </w:rPr>
      </w:pPr>
      <w:bookmarkStart w:id="0" w:name="_Toc471721679"/>
      <w:bookmarkStart w:id="1" w:name="_Toc471753961"/>
      <w:bookmarkStart w:id="2" w:name="_Toc532173322"/>
      <w:r>
        <w:rPr>
          <w:rFonts w:hint="eastAsia" w:ascii="方正楷体_GBK" w:hAnsi="宋体" w:eastAsia="方正楷体_GBK" w:cs="宋体"/>
          <w:b/>
          <w:kern w:val="0"/>
          <w:sz w:val="32"/>
          <w:szCs w:val="32"/>
        </w:rPr>
        <w:t>（一）中学</w:t>
      </w:r>
      <w:bookmarkEnd w:id="0"/>
      <w:bookmarkEnd w:id="1"/>
      <w:bookmarkEnd w:id="2"/>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城区直属中学</w:t>
      </w:r>
      <w:r>
        <w:rPr>
          <w:rFonts w:ascii="Times New Roman" w:hAnsi="Times New Roman" w:eastAsia="方正仿宋_GBK" w:cs="Times New Roman"/>
          <w:kern w:val="0"/>
          <w:sz w:val="32"/>
          <w:szCs w:val="32"/>
        </w:rPr>
        <w:t>6</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%；农村直属中学</w:t>
      </w:r>
      <w:r>
        <w:rPr>
          <w:rFonts w:ascii="Times New Roman" w:hAnsi="Times New Roman" w:eastAsia="方正仿宋_GBK" w:cs="Times New Roman"/>
          <w:kern w:val="0"/>
          <w:sz w:val="32"/>
          <w:szCs w:val="32"/>
        </w:rPr>
        <w:t>9</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44</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44</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44</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44</w:t>
      </w:r>
      <w:r>
        <w:rPr>
          <w:rFonts w:hint="eastAsia" w:ascii="方正仿宋_GBK" w:hAnsi="宋体" w:eastAsia="方正仿宋_GBK" w:cs="宋体"/>
          <w:kern w:val="0"/>
          <w:sz w:val="32"/>
          <w:szCs w:val="32"/>
        </w:rPr>
        <w:t>%、C等</w:t>
      </w:r>
      <w:r>
        <w:rPr>
          <w:rFonts w:ascii="Times New Roman" w:hAnsi="Times New Roman" w:eastAsia="方正仿宋_GBK" w:cs="Times New Roman"/>
          <w:kern w:val="0"/>
          <w:sz w:val="32"/>
          <w:szCs w:val="32"/>
        </w:rPr>
        <w:t>11</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12</w:t>
      </w:r>
      <w:r>
        <w:rPr>
          <w:rFonts w:hint="eastAsia" w:ascii="方正仿宋_GBK" w:hAnsi="宋体" w:eastAsia="方正仿宋_GBK" w:cs="宋体"/>
          <w:kern w:val="0"/>
          <w:sz w:val="32"/>
          <w:szCs w:val="32"/>
        </w:rPr>
        <w:t>%；镇街初中</w:t>
      </w:r>
      <w:r>
        <w:rPr>
          <w:rFonts w:ascii="Times New Roman" w:hAnsi="Times New Roman" w:eastAsia="方正仿宋_GBK" w:cs="Times New Roman"/>
          <w:kern w:val="0"/>
          <w:sz w:val="32"/>
          <w:szCs w:val="32"/>
        </w:rPr>
        <w:t>16</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37</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5</w:t>
      </w:r>
      <w:r>
        <w:rPr>
          <w:rFonts w:hint="eastAsia" w:ascii="方正仿宋_GBK" w:hAnsi="宋体" w:eastAsia="方正仿宋_GBK" w:cs="宋体"/>
          <w:kern w:val="0"/>
          <w:sz w:val="32"/>
          <w:szCs w:val="32"/>
        </w:rPr>
        <w:t>%、C等</w:t>
      </w:r>
      <w:r>
        <w:rPr>
          <w:rFonts w:ascii="Times New Roman" w:hAnsi="Times New Roman" w:eastAsia="方正仿宋_GBK" w:cs="Times New Roman"/>
          <w:kern w:val="0"/>
          <w:sz w:val="32"/>
          <w:szCs w:val="32"/>
        </w:rPr>
        <w:t>12</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5</w:t>
      </w:r>
      <w:r>
        <w:rPr>
          <w:rFonts w:hint="eastAsia" w:ascii="方正仿宋_GBK" w:hAnsi="宋体" w:eastAsia="方正仿宋_GBK" w:cs="宋体"/>
          <w:kern w:val="0"/>
          <w:sz w:val="32"/>
          <w:szCs w:val="32"/>
        </w:rPr>
        <w:t>%。</w:t>
      </w:r>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（二）小学</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城区一类小学</w:t>
      </w:r>
      <w:r>
        <w:rPr>
          <w:rFonts w:ascii="Times New Roman" w:hAnsi="Times New Roman" w:eastAsia="方正仿宋_GBK" w:cs="Times New Roman"/>
          <w:kern w:val="0"/>
          <w:sz w:val="32"/>
          <w:szCs w:val="32"/>
        </w:rPr>
        <w:t>14</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42</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86</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42</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86</w:t>
      </w:r>
      <w:r>
        <w:rPr>
          <w:rFonts w:hint="eastAsia" w:ascii="方正仿宋_GBK" w:hAnsi="宋体" w:eastAsia="方正仿宋_GBK" w:cs="宋体"/>
          <w:kern w:val="0"/>
          <w:sz w:val="32"/>
          <w:szCs w:val="32"/>
        </w:rPr>
        <w:t>%、C等</w:t>
      </w:r>
      <w:r>
        <w:rPr>
          <w:rFonts w:ascii="Times New Roman" w:hAnsi="Times New Roman" w:eastAsia="方正仿宋_GBK" w:cs="Times New Roman"/>
          <w:kern w:val="0"/>
          <w:sz w:val="32"/>
          <w:szCs w:val="32"/>
        </w:rPr>
        <w:t>14</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28</w:t>
      </w:r>
      <w:r>
        <w:rPr>
          <w:rFonts w:hint="eastAsia" w:ascii="方正仿宋_GBK" w:hAnsi="宋体" w:eastAsia="方正仿宋_GBK" w:cs="宋体"/>
          <w:kern w:val="0"/>
          <w:sz w:val="32"/>
          <w:szCs w:val="32"/>
        </w:rPr>
        <w:t>%；城区小学二类</w:t>
      </w:r>
      <w:r>
        <w:rPr>
          <w:rFonts w:ascii="Times New Roman" w:hAnsi="Times New Roman" w:eastAsia="方正仿宋_GBK" w:cs="Times New Roman"/>
          <w:kern w:val="0"/>
          <w:sz w:val="32"/>
          <w:szCs w:val="32"/>
        </w:rPr>
        <w:t>4</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25</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75</w:t>
      </w:r>
      <w:r>
        <w:rPr>
          <w:rFonts w:hint="eastAsia" w:ascii="方正仿宋_GBK" w:hAnsi="宋体" w:eastAsia="方正仿宋_GBK" w:cs="宋体"/>
          <w:kern w:val="0"/>
          <w:sz w:val="32"/>
          <w:szCs w:val="32"/>
        </w:rPr>
        <w:t>%；农村一类小学</w:t>
      </w:r>
      <w:r>
        <w:rPr>
          <w:rFonts w:ascii="Times New Roman" w:hAnsi="Times New Roman" w:eastAsia="方正仿宋_GBK" w:cs="Times New Roman"/>
          <w:kern w:val="0"/>
          <w:sz w:val="32"/>
          <w:szCs w:val="32"/>
        </w:rPr>
        <w:t>19</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42</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11</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47</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37</w:t>
      </w:r>
      <w:r>
        <w:rPr>
          <w:rFonts w:hint="eastAsia" w:ascii="方正仿宋_GBK" w:hAnsi="宋体" w:eastAsia="方正仿宋_GBK" w:cs="宋体"/>
          <w:kern w:val="0"/>
          <w:sz w:val="32"/>
          <w:szCs w:val="32"/>
        </w:rPr>
        <w:t>%、C等</w:t>
      </w:r>
      <w:r>
        <w:rPr>
          <w:rFonts w:ascii="Times New Roman" w:hAnsi="Times New Roman" w:eastAsia="方正仿宋_GBK" w:cs="Times New Roman"/>
          <w:kern w:val="0"/>
          <w:sz w:val="32"/>
          <w:szCs w:val="32"/>
        </w:rPr>
        <w:t>10</w:t>
      </w:r>
      <w:r>
        <w:rPr>
          <w:rFonts w:ascii="方正仿宋_GBK" w:hAnsi="宋体" w:eastAsia="方正仿宋_GBK" w:cs="宋体"/>
          <w:kern w:val="0"/>
          <w:sz w:val="32"/>
          <w:szCs w:val="32"/>
        </w:rPr>
        <w:t>.</w:t>
      </w:r>
      <w:r>
        <w:rPr>
          <w:rFonts w:ascii="Times New Roman" w:hAnsi="Times New Roman" w:eastAsia="方正仿宋_GBK" w:cs="Times New Roman"/>
          <w:kern w:val="0"/>
          <w:sz w:val="32"/>
          <w:szCs w:val="32"/>
        </w:rPr>
        <w:t>52</w:t>
      </w:r>
      <w:r>
        <w:rPr>
          <w:rFonts w:hint="eastAsia" w:ascii="方正仿宋_GBK" w:hAnsi="宋体" w:eastAsia="方正仿宋_GBK" w:cs="宋体"/>
          <w:kern w:val="0"/>
          <w:sz w:val="32"/>
          <w:szCs w:val="32"/>
        </w:rPr>
        <w:t>%；农村二类小学</w:t>
      </w:r>
      <w:r>
        <w:rPr>
          <w:rFonts w:ascii="Times New Roman" w:hAnsi="Times New Roman" w:eastAsia="方正仿宋_GBK" w:cs="Times New Roman"/>
          <w:kern w:val="0"/>
          <w:sz w:val="32"/>
          <w:szCs w:val="32"/>
        </w:rPr>
        <w:t>38</w:t>
      </w:r>
      <w:r>
        <w:rPr>
          <w:rFonts w:hint="eastAsia" w:ascii="方正仿宋_GBK" w:hAnsi="宋体" w:eastAsia="方正仿宋_GBK" w:cs="宋体"/>
          <w:kern w:val="0"/>
          <w:sz w:val="32"/>
          <w:szCs w:val="32"/>
        </w:rPr>
        <w:t>所，达到A等比例为</w:t>
      </w:r>
      <w:r>
        <w:rPr>
          <w:rFonts w:ascii="Times New Roman" w:hAnsi="Times New Roman" w:eastAsia="方正仿宋_GBK" w:cs="Times New Roman"/>
          <w:kern w:val="0"/>
          <w:sz w:val="32"/>
          <w:szCs w:val="32"/>
        </w:rPr>
        <w:t>44</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74</w:t>
      </w:r>
      <w:r>
        <w:rPr>
          <w:rFonts w:hint="eastAsia" w:ascii="方正仿宋_GBK" w:hAnsi="宋体" w:eastAsia="方正仿宋_GBK" w:cs="宋体"/>
          <w:kern w:val="0"/>
          <w:sz w:val="32"/>
          <w:szCs w:val="32"/>
        </w:rPr>
        <w:t>%、B等</w:t>
      </w:r>
      <w:r>
        <w:rPr>
          <w:rFonts w:ascii="Times New Roman" w:hAnsi="Times New Roman" w:eastAsia="方正仿宋_GBK" w:cs="Times New Roman"/>
          <w:kern w:val="0"/>
          <w:sz w:val="32"/>
          <w:szCs w:val="32"/>
        </w:rPr>
        <w:t>42</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11</w:t>
      </w:r>
      <w:r>
        <w:rPr>
          <w:rFonts w:hint="eastAsia" w:ascii="方正仿宋_GBK" w:hAnsi="宋体" w:eastAsia="方正仿宋_GBK" w:cs="宋体"/>
          <w:kern w:val="0"/>
          <w:sz w:val="32"/>
          <w:szCs w:val="32"/>
        </w:rPr>
        <w:t>%、C等</w:t>
      </w:r>
      <w:r>
        <w:rPr>
          <w:rFonts w:ascii="Times New Roman" w:hAnsi="Times New Roman" w:eastAsia="方正仿宋_GBK" w:cs="Times New Roman"/>
          <w:kern w:val="0"/>
          <w:sz w:val="32"/>
          <w:szCs w:val="32"/>
        </w:rPr>
        <w:t>13</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15</w:t>
      </w:r>
      <w:r>
        <w:rPr>
          <w:rFonts w:hint="eastAsia" w:ascii="方正仿宋_GBK" w:hAnsi="宋体" w:eastAsia="方正仿宋_GBK" w:cs="宋体"/>
          <w:kern w:val="0"/>
          <w:sz w:val="32"/>
          <w:szCs w:val="32"/>
        </w:rPr>
        <w:t>%。</w:t>
      </w:r>
    </w:p>
    <w:p>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三、主要成绩</w:t>
      </w:r>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（一）学校教育教学自主权有效保障</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评估发现，广大中小学在遵循教育教学基本要求的基础上，通过“自主定标”项目，积极落实教育教学自主权，激发自身办学活力。</w:t>
      </w:r>
      <w:r>
        <w:rPr>
          <w:rFonts w:ascii="Times New Roman" w:hAnsi="Times New Roman" w:eastAsia="方正仿宋_GBK" w:cs="Times New Roman"/>
          <w:kern w:val="0"/>
          <w:sz w:val="32"/>
          <w:szCs w:val="32"/>
        </w:rPr>
        <w:t>9</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43</w:t>
      </w:r>
      <w:r>
        <w:rPr>
          <w:rFonts w:hint="eastAsia" w:ascii="方正仿宋_GBK" w:hAnsi="宋体" w:eastAsia="方正仿宋_GBK" w:cs="宋体"/>
          <w:kern w:val="0"/>
          <w:sz w:val="32"/>
          <w:szCs w:val="32"/>
        </w:rPr>
        <w:t>%的学校突出发展办学特色、办学水平；</w:t>
      </w:r>
      <w:r>
        <w:rPr>
          <w:rFonts w:ascii="Times New Roman" w:hAnsi="Times New Roman" w:eastAsia="方正仿宋_GBK" w:cs="Times New Roman"/>
          <w:kern w:val="0"/>
          <w:sz w:val="32"/>
          <w:szCs w:val="32"/>
        </w:rPr>
        <w:t>20</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75</w:t>
      </w:r>
      <w:r>
        <w:rPr>
          <w:rFonts w:hint="eastAsia" w:ascii="方正仿宋_GBK" w:hAnsi="宋体" w:eastAsia="方正仿宋_GBK" w:cs="宋体"/>
          <w:kern w:val="0"/>
          <w:sz w:val="32"/>
          <w:szCs w:val="32"/>
        </w:rPr>
        <w:t>%的学校突出落实课程实施主体地位；</w:t>
      </w:r>
      <w:r>
        <w:rPr>
          <w:rFonts w:ascii="Times New Roman" w:hAnsi="Times New Roman" w:eastAsia="方正仿宋_GBK" w:cs="Times New Roman"/>
          <w:kern w:val="0"/>
          <w:sz w:val="32"/>
          <w:szCs w:val="32"/>
        </w:rPr>
        <w:t>12</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76</w:t>
      </w:r>
      <w:r>
        <w:rPr>
          <w:rFonts w:hint="eastAsia" w:ascii="方正仿宋_GBK" w:hAnsi="宋体" w:eastAsia="方正仿宋_GBK" w:cs="宋体"/>
          <w:kern w:val="0"/>
          <w:sz w:val="32"/>
          <w:szCs w:val="32"/>
        </w:rPr>
        <w:t>%的学校突出改革育人方式手段、自主组织研训活动；</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2</w:t>
      </w:r>
      <w:r>
        <w:rPr>
          <w:rFonts w:hint="eastAsia" w:ascii="方正仿宋_GBK" w:hAnsi="宋体" w:eastAsia="方正仿宋_GBK" w:cs="宋体"/>
          <w:kern w:val="0"/>
          <w:sz w:val="32"/>
          <w:szCs w:val="32"/>
        </w:rPr>
        <w:t>%的学校突出自主实施教学评价；</w:t>
      </w:r>
      <w:r>
        <w:rPr>
          <w:rFonts w:ascii="Times New Roman" w:hAnsi="Times New Roman" w:eastAsia="方正仿宋_GBK" w:cs="Times New Roman"/>
          <w:kern w:val="0"/>
          <w:sz w:val="32"/>
          <w:szCs w:val="32"/>
        </w:rPr>
        <w:t>19</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2</w:t>
      </w:r>
      <w:r>
        <w:rPr>
          <w:rFonts w:hint="eastAsia" w:ascii="方正仿宋_GBK" w:hAnsi="宋体" w:eastAsia="方正仿宋_GBK" w:cs="宋体"/>
          <w:kern w:val="0"/>
          <w:sz w:val="32"/>
          <w:szCs w:val="32"/>
        </w:rPr>
        <w:t>%的学校突出自主实施跨学科主题教学与主题教育；</w:t>
      </w:r>
      <w:r>
        <w:rPr>
          <w:rFonts w:ascii="Times New Roman" w:hAnsi="Times New Roman" w:eastAsia="方正仿宋_GBK" w:cs="Times New Roman"/>
          <w:kern w:val="0"/>
          <w:sz w:val="32"/>
          <w:szCs w:val="32"/>
        </w:rPr>
        <w:t>16</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04</w:t>
      </w:r>
      <w:r>
        <w:rPr>
          <w:rFonts w:hint="eastAsia" w:ascii="方正仿宋_GBK" w:hAnsi="宋体" w:eastAsia="方正仿宋_GBK" w:cs="宋体"/>
          <w:kern w:val="0"/>
          <w:sz w:val="32"/>
          <w:szCs w:val="32"/>
        </w:rPr>
        <w:t>%学校突出开展校本研修、提升教师专业素养，充分发挥教师在课堂教学改革中的主体作用，积极探索符合学科特点、时代要求和学生成长规律的教育教学模式，学校办学活力进一步彰显。</w:t>
      </w:r>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（二）学校自我评价机制有效落实</w:t>
      </w:r>
    </w:p>
    <w:p>
      <w:pPr>
        <w:spacing w:line="600" w:lineRule="exact"/>
        <w:ind w:firstLine="640" w:firstLineChars="200"/>
        <w:rPr>
          <w:rFonts w:ascii="方正黑体_GBK" w:hAnsi="宋体" w:eastAsia="方正黑体_GBK" w:cs="宋体"/>
          <w:kern w:val="0"/>
          <w:sz w:val="32"/>
          <w:szCs w:val="32"/>
        </w:rPr>
      </w:pPr>
      <w:r>
        <w:rPr>
          <w:rFonts w:hint="eastAsia" w:ascii="方正仿宋_GBK" w:hAnsi="宋体" w:eastAsia="方正仿宋_GBK" w:cs="宋体"/>
          <w:kern w:val="0"/>
          <w:sz w:val="32"/>
          <w:szCs w:val="32"/>
        </w:rPr>
        <w:t>评估发现，广大中小学充分发挥教育质量保障的主体作用，不断完善学校内部质量保障体系和机制，结合“自主定标”要求，认真开展自评，形成和强化了学校自评文化。一是学校基本掌握了从质量诊断—工作设计—方案实施—效果评估的质量过程性评价办法。三教小学、神女湖小学、红旗小学、胜利小学、永川中学、仙龙初中、双竹初中等</w:t>
      </w:r>
      <w:r>
        <w:rPr>
          <w:rFonts w:ascii="Times New Roman" w:hAnsi="Times New Roman" w:eastAsia="方正仿宋_GBK" w:cs="Times New Roman"/>
          <w:kern w:val="0"/>
          <w:sz w:val="32"/>
          <w:szCs w:val="32"/>
        </w:rPr>
        <w:t>83</w:t>
      </w:r>
      <w:r>
        <w:rPr>
          <w:rFonts w:hint="eastAsia" w:ascii="方正仿宋_GBK" w:hAnsi="宋体" w:eastAsia="方正仿宋_GBK" w:cs="宋体"/>
          <w:kern w:val="0"/>
          <w:sz w:val="32"/>
          <w:szCs w:val="32"/>
        </w:rPr>
        <w:t>%的学校基本掌握从评价目标选定—评价内容确定—评价指标选择—项目实施方案制定—信息收集渠道与工具—评价信息数据分析与统计—评价结果运用与改进等方法，萱花中学、胜利小学、兴隆小学、张家小学、宝峰小学等</w:t>
      </w:r>
      <w:r>
        <w:rPr>
          <w:rFonts w:ascii="Times New Roman" w:hAnsi="Times New Roman" w:eastAsia="方正仿宋_GBK" w:cs="Times New Roman"/>
          <w:kern w:val="0"/>
          <w:sz w:val="32"/>
          <w:szCs w:val="32"/>
        </w:rPr>
        <w:t>63</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21</w:t>
      </w:r>
      <w:r>
        <w:rPr>
          <w:rFonts w:hint="eastAsia" w:ascii="方正仿宋_GBK" w:hAnsi="宋体" w:eastAsia="方正仿宋_GBK" w:cs="宋体"/>
          <w:kern w:val="0"/>
          <w:sz w:val="32"/>
          <w:szCs w:val="32"/>
        </w:rPr>
        <w:t>%的学校，基本建立了学校项目质量保障制度。二是部分学校的项目督导评价方案具有可操作性。评估发现，青城路小学、万寿小学、永川中学、兴龙湖中学等</w:t>
      </w:r>
      <w:r>
        <w:rPr>
          <w:rFonts w:ascii="Times New Roman" w:hAnsi="Times New Roman" w:eastAsia="方正仿宋_GBK" w:cs="Times New Roman"/>
          <w:kern w:val="0"/>
          <w:sz w:val="32"/>
          <w:szCs w:val="32"/>
        </w:rPr>
        <w:t>66</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04</w:t>
      </w:r>
      <w:r>
        <w:rPr>
          <w:rFonts w:hint="eastAsia" w:ascii="方正仿宋_GBK" w:hAnsi="宋体" w:eastAsia="方正仿宋_GBK" w:cs="宋体"/>
          <w:kern w:val="0"/>
          <w:sz w:val="32"/>
          <w:szCs w:val="32"/>
        </w:rPr>
        <w:t>%的学校，初步构建了较为规范的评价指标体系。如青城路小学构建的督导指标体系包括总体谋划、</w:t>
      </w:r>
      <w:r>
        <w:rPr>
          <w:rFonts w:ascii="方正仿宋_GBK" w:hAnsi="宋体" w:eastAsia="方正仿宋_GBK" w:cs="宋体"/>
          <w:kern w:val="0"/>
          <w:sz w:val="32"/>
          <w:szCs w:val="32"/>
        </w:rPr>
        <w:t>实施过程</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实施效果</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个一级指标、</w:t>
      </w:r>
      <w:r>
        <w:rPr>
          <w:rFonts w:ascii="Times New Roman" w:hAnsi="Times New Roman" w:eastAsia="方正仿宋_GBK" w:cs="Times New Roman"/>
          <w:kern w:val="0"/>
          <w:sz w:val="32"/>
          <w:szCs w:val="32"/>
        </w:rPr>
        <w:t>6</w:t>
      </w:r>
      <w:r>
        <w:rPr>
          <w:rFonts w:hint="eastAsia" w:ascii="方正仿宋_GBK" w:hAnsi="宋体" w:eastAsia="方正仿宋_GBK" w:cs="宋体"/>
          <w:kern w:val="0"/>
          <w:sz w:val="32"/>
          <w:szCs w:val="32"/>
        </w:rPr>
        <w:t>个二级指标、</w:t>
      </w:r>
      <w:r>
        <w:rPr>
          <w:rFonts w:ascii="Times New Roman" w:hAnsi="Times New Roman" w:eastAsia="方正仿宋_GBK" w:cs="Times New Roman"/>
          <w:kern w:val="0"/>
          <w:sz w:val="32"/>
          <w:szCs w:val="32"/>
        </w:rPr>
        <w:t>4</w:t>
      </w:r>
      <w:r>
        <w:rPr>
          <w:rFonts w:hint="eastAsia" w:ascii="方正仿宋_GBK" w:hAnsi="宋体" w:eastAsia="方正仿宋_GBK" w:cs="宋体"/>
          <w:kern w:val="0"/>
          <w:sz w:val="32"/>
          <w:szCs w:val="32"/>
        </w:rPr>
        <w:t>个三级指标，一共</w:t>
      </w:r>
      <w:r>
        <w:rPr>
          <w:rFonts w:ascii="Times New Roman" w:hAnsi="Times New Roman" w:eastAsia="方正仿宋_GBK" w:cs="Times New Roman"/>
          <w:kern w:val="0"/>
          <w:sz w:val="32"/>
          <w:szCs w:val="32"/>
        </w:rPr>
        <w:t>9</w:t>
      </w:r>
      <w:r>
        <w:rPr>
          <w:rFonts w:hint="eastAsia" w:ascii="方正仿宋_GBK" w:hAnsi="宋体" w:eastAsia="方正仿宋_GBK" w:cs="宋体"/>
          <w:kern w:val="0"/>
          <w:sz w:val="32"/>
          <w:szCs w:val="32"/>
        </w:rPr>
        <w:t>个观察点，可操作可执行；建立了自评与他评相结合的方式，其中自我督导包括成立督导评估机构、建立自我督导程序、确立过程与结果、自评与组织、定性与定量相结合的原则，建立了“两项督导”结果运用机制。永川中学督导评价指标体系与管理部门绩效评价结合，发挥了其管理质量内控作用；红旗小学现代学校治理的三年规划思路较为清晰、逻辑严密，形成了从探寻红旗精神到态势分析、再到发展定位、目标确立、七大工程项目和</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条具体措施和五大保障机制。</w:t>
      </w:r>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（三）学校优质发展能力有效增强</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估发现，学校在教育教学实践中，充分发挥“自主定标”载体功能，将“全面贯彻党的教育方针，落实立德树人根本任务，强化教师队伍基础作用”等落地见效，全面提升育人质量，全面增强学校优质发展能力。统计分析发现，在本次学校自主定标项目的八个方面中，集中度较高的主要有坚持五育并举、提升教师专业素养、实施课堂教学改革、推进学校特色建设、构建学校课程体系、发展学生综合素质等优质发展方面。</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1</w:t>
      </w:r>
      <w:r>
        <w:rPr>
          <w:rFonts w:hint="eastAsia" w:ascii="方正仿宋_GBK" w:hAnsi="宋体" w:eastAsia="方正仿宋_GBK" w:cs="宋体"/>
          <w:b/>
          <w:kern w:val="0"/>
          <w:sz w:val="32"/>
          <w:szCs w:val="32"/>
        </w:rPr>
        <w:t>．解决学校发展中问题。在创新学校发展方面：</w:t>
      </w:r>
      <w:r>
        <w:rPr>
          <w:rFonts w:hint="eastAsia" w:ascii="方正仿宋_GBK" w:hAnsi="宋体" w:eastAsia="方正仿宋_GBK" w:cs="宋体"/>
          <w:kern w:val="0"/>
          <w:sz w:val="32"/>
          <w:szCs w:val="32"/>
        </w:rPr>
        <w:t>凤凰湖中学“农场特色课程”，从课程基地建设，到课程实施的多样化如跨学科学习、国家课程的校本化实施，以及校本特色课程的建设等，都进行了卓有成效的探索；兴龙湖小学“以劳育人”让劳动教育落地生根，注重“四重”即重课程建设、重协同、重五育，将劳育与其它四育融合等。</w:t>
      </w:r>
      <w:r>
        <w:rPr>
          <w:rFonts w:hint="eastAsia" w:ascii="方正仿宋_GBK" w:hAnsi="宋体" w:eastAsia="方正仿宋_GBK" w:cs="宋体"/>
          <w:b/>
          <w:kern w:val="0"/>
          <w:sz w:val="32"/>
          <w:szCs w:val="32"/>
        </w:rPr>
        <w:t>在发扬传统优势方面：</w:t>
      </w:r>
      <w:r>
        <w:rPr>
          <w:rFonts w:hint="eastAsia" w:ascii="方正仿宋_GBK" w:hAnsi="宋体" w:eastAsia="方正仿宋_GBK" w:cs="宋体"/>
          <w:kern w:val="0"/>
          <w:sz w:val="32"/>
          <w:szCs w:val="32"/>
        </w:rPr>
        <w:t>萱花中学从构建社团活动体系出发，构建了学校品质德育体系，继承与发扬了学校的德育传统，并用社团活动课程的形式在实践活动中落地；陈食三官殿小学结合学校实际，挖掘学校历史名人文化元素，为解决区域办学难的问题，开展“励志课程”项目，符合学校改革发展和学生成人、成才需要；红河小学连续</w:t>
      </w:r>
      <w:r>
        <w:rPr>
          <w:rFonts w:ascii="Times New Roman" w:hAnsi="Times New Roman" w:eastAsia="方正仿宋_GBK" w:cs="Times New Roman"/>
          <w:kern w:val="0"/>
          <w:sz w:val="32"/>
          <w:szCs w:val="32"/>
        </w:rPr>
        <w:t>8</w:t>
      </w:r>
      <w:r>
        <w:rPr>
          <w:rFonts w:hint="eastAsia" w:ascii="方正仿宋_GBK" w:hAnsi="宋体" w:eastAsia="方正仿宋_GBK" w:cs="宋体"/>
          <w:kern w:val="0"/>
          <w:sz w:val="32"/>
          <w:szCs w:val="32"/>
        </w:rPr>
        <w:t>年开展花韵德育研究，形成了八位一体育人模式，目标、任务、措施匹配；胜利小学说唱快板养心育德项目，既传承的中华优秀传统文化，又紧紧结合时代特色，符合少年儿童心理特点；北山中学从“尚美教育”的学校文化积淀入手，探索了线上教育、防疫常规建立等策略，丰富了学生健康教育的内涵。</w:t>
      </w:r>
      <w:r>
        <w:rPr>
          <w:rFonts w:hint="eastAsia" w:ascii="方正仿宋_GBK" w:hAnsi="宋体" w:eastAsia="方正仿宋_GBK" w:cs="宋体"/>
          <w:b/>
          <w:kern w:val="0"/>
          <w:sz w:val="32"/>
          <w:szCs w:val="32"/>
        </w:rPr>
        <w:t>在提升课堂质量方面：</w:t>
      </w:r>
      <w:r>
        <w:rPr>
          <w:rFonts w:hint="eastAsia" w:ascii="方正仿宋_GBK" w:hAnsi="宋体" w:eastAsia="方正仿宋_GBK" w:cs="宋体"/>
          <w:kern w:val="0"/>
          <w:sz w:val="32"/>
          <w:szCs w:val="32"/>
        </w:rPr>
        <w:t>如仙龙初中的幸福课堂、卧龙初中的“四导式”课堂，两所学校教学模式不一样，但都聚焦课堂，关注课堂教学改革，关注教师的教学方式和学生学习方式的变革，既与当前新课程改革的要求一致，又基于学校现实发展的需要。</w:t>
      </w:r>
      <w:r>
        <w:rPr>
          <w:rFonts w:hint="eastAsia" w:ascii="方正仿宋_GBK" w:hAnsi="宋体" w:eastAsia="方正仿宋_GBK" w:cs="宋体"/>
          <w:b/>
          <w:kern w:val="0"/>
          <w:sz w:val="32"/>
          <w:szCs w:val="32"/>
        </w:rPr>
        <w:t>在培育教师队伍方面：</w:t>
      </w:r>
      <w:r>
        <w:rPr>
          <w:rFonts w:hint="eastAsia" w:ascii="方正仿宋_GBK" w:hAnsi="宋体" w:eastAsia="方正仿宋_GBK" w:cs="宋体"/>
          <w:kern w:val="0"/>
          <w:sz w:val="32"/>
          <w:szCs w:val="32"/>
        </w:rPr>
        <w:t>涨谷初中、四明初中、陈食初中、上游小学、五洲小学等学校，关注教师能力素质，特别是上游小学“三段五步六环节”课题研究、五洲小学开发的微课题研究工具等，以小切口入手，着力培养教师教学业务技能，研究范围小、内容具体、围绕其核心关键，多形式开展研究实践；文理附中根据学校办学条件的客观实际，有针对性地强化“学校教研常规”，突出教师专业能力建设。</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2</w:t>
      </w:r>
      <w:r>
        <w:rPr>
          <w:rFonts w:hint="eastAsia" w:ascii="方正仿宋_GBK" w:hAnsi="宋体" w:eastAsia="方正仿宋_GBK" w:cs="宋体"/>
          <w:b/>
          <w:kern w:val="0"/>
          <w:sz w:val="32"/>
          <w:szCs w:val="32"/>
        </w:rPr>
        <w:t>．面向学校教育发展未来。在</w:t>
      </w:r>
      <w:r>
        <w:rPr>
          <w:rFonts w:ascii="方正仿宋_GBK" w:hAnsi="宋体" w:eastAsia="方正仿宋_GBK" w:cs="宋体"/>
          <w:b/>
          <w:kern w:val="0"/>
          <w:sz w:val="32"/>
          <w:szCs w:val="32"/>
        </w:rPr>
        <w:t>新高考制度下的教师绩效评价</w:t>
      </w:r>
      <w:r>
        <w:rPr>
          <w:rFonts w:hint="eastAsia" w:ascii="方正仿宋_GBK" w:hAnsi="宋体" w:eastAsia="方正仿宋_GBK" w:cs="宋体"/>
          <w:b/>
          <w:kern w:val="0"/>
          <w:sz w:val="32"/>
          <w:szCs w:val="32"/>
        </w:rPr>
        <w:t>方面：</w:t>
      </w:r>
      <w:r>
        <w:rPr>
          <w:rFonts w:hint="eastAsia" w:ascii="方正仿宋_GBK" w:hAnsi="宋体" w:eastAsia="方正仿宋_GBK" w:cs="宋体"/>
          <w:kern w:val="0"/>
          <w:sz w:val="32"/>
          <w:szCs w:val="32"/>
        </w:rPr>
        <w:t>永川</w:t>
      </w:r>
      <w:r>
        <w:rPr>
          <w:rFonts w:ascii="方正仿宋_GBK" w:hAnsi="宋体" w:eastAsia="方正仿宋_GBK" w:cs="宋体"/>
          <w:kern w:val="0"/>
          <w:sz w:val="32"/>
          <w:szCs w:val="32"/>
        </w:rPr>
        <w:t>中学</w:t>
      </w:r>
      <w:r>
        <w:rPr>
          <w:rFonts w:hint="eastAsia" w:ascii="方正仿宋_GBK" w:hAnsi="宋体" w:eastAsia="方正仿宋_GBK" w:cs="宋体"/>
          <w:kern w:val="0"/>
          <w:sz w:val="32"/>
          <w:szCs w:val="32"/>
        </w:rPr>
        <w:t>“选课走班”新高考背景下的教师教学绩效评价，既是本校未来发展必须解决的问题，更是所有高中学校必须解决的问题，其“四维四层”目标分类设置，探索了一条可行的方案。</w:t>
      </w:r>
      <w:r>
        <w:rPr>
          <w:rFonts w:hint="eastAsia" w:ascii="方正仿宋_GBK" w:hAnsi="宋体" w:eastAsia="方正仿宋_GBK" w:cs="宋体"/>
          <w:b/>
          <w:kern w:val="0"/>
          <w:sz w:val="32"/>
          <w:szCs w:val="32"/>
        </w:rPr>
        <w:t>在探索信息技术在课堂教学中的运用方面：</w:t>
      </w:r>
      <w:r>
        <w:rPr>
          <w:rFonts w:hint="eastAsia" w:ascii="方正仿宋_GBK" w:hAnsi="宋体" w:eastAsia="方正仿宋_GBK" w:cs="宋体"/>
          <w:kern w:val="0"/>
          <w:sz w:val="32"/>
          <w:szCs w:val="32"/>
        </w:rPr>
        <w:t>兴龙湖中学“</w:t>
      </w:r>
      <w:r>
        <w:rPr>
          <w:rFonts w:ascii="Times New Roman" w:hAnsi="Times New Roman" w:eastAsia="方正仿宋_GBK" w:cs="Times New Roman"/>
          <w:kern w:val="0"/>
          <w:sz w:val="32"/>
          <w:szCs w:val="32"/>
        </w:rPr>
        <w:t>126</w:t>
      </w:r>
      <w:r>
        <w:rPr>
          <w:rFonts w:hint="eastAsia" w:ascii="方正仿宋_GBK" w:hAnsi="宋体" w:eastAsia="方正仿宋_GBK" w:cs="宋体"/>
          <w:kern w:val="0"/>
          <w:sz w:val="32"/>
          <w:szCs w:val="32"/>
        </w:rPr>
        <w:t>阳光智慧课堂”改革实验，通过学生学习过程的信息推送，提高了学生学习的信息容量和及时性，为提高学生学习质量提供了快捷的通道；永红小学采取在教研课中、集体备课、微课大赛、教师论坛、学生运用多媒体设备进行比赛等推进教师信息化技术运用，提升教师信息素养，培养教师的“数据思维”，以便为学生提供更为恰当的“指导”。</w:t>
      </w:r>
    </w:p>
    <w:p>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四、问题及改进建议</w:t>
      </w:r>
      <w:bookmarkStart w:id="3" w:name="_Toc57739731"/>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（一）进一步论证项目选择的适切性和重要性</w:t>
      </w:r>
      <w:bookmarkEnd w:id="3"/>
      <w:bookmarkStart w:id="4" w:name="_Toc530560633"/>
      <w:bookmarkStart w:id="5" w:name="_Toc57739732"/>
    </w:p>
    <w:p>
      <w:pPr>
        <w:spacing w:line="600" w:lineRule="exact"/>
        <w:ind w:firstLine="642" w:firstLineChars="200"/>
        <w:rPr>
          <w:rFonts w:ascii="方正仿宋_GBK" w:eastAsia="方正仿宋_GBK"/>
          <w:bCs/>
          <w:sz w:val="32"/>
          <w:szCs w:val="32"/>
        </w:rPr>
      </w:pPr>
      <w:r>
        <w:rPr>
          <w:rFonts w:ascii="Times New Roman" w:hAnsi="Times New Roman" w:eastAsia="方正仿宋_GBK" w:cs="Times New Roman"/>
          <w:b/>
          <w:bCs/>
          <w:sz w:val="32"/>
          <w:szCs w:val="32"/>
        </w:rPr>
        <w:t>1</w:t>
      </w:r>
      <w:r>
        <w:rPr>
          <w:rFonts w:hint="eastAsia" w:ascii="方正仿宋_GBK" w:hAnsi="Times New Roman" w:eastAsia="方正仿宋_GBK" w:cs="仿宋_GB2312"/>
          <w:b/>
          <w:bCs/>
          <w:sz w:val="32"/>
          <w:szCs w:val="32"/>
        </w:rPr>
        <w:t>．主要问题</w:t>
      </w:r>
      <w:bookmarkEnd w:id="4"/>
      <w:bookmarkEnd w:id="5"/>
      <w:r>
        <w:rPr>
          <w:rFonts w:hint="eastAsia" w:ascii="方正仿宋_GBK" w:hAnsi="Times New Roman" w:eastAsia="方正仿宋_GBK" w:cs="仿宋_GB2312"/>
          <w:b/>
          <w:bCs/>
          <w:sz w:val="32"/>
          <w:szCs w:val="32"/>
        </w:rPr>
        <w:t>。</w:t>
      </w:r>
      <w:r>
        <w:rPr>
          <w:rFonts w:hint="eastAsia" w:ascii="方正仿宋_GBK" w:eastAsia="方正仿宋_GBK"/>
          <w:b/>
          <w:bCs/>
          <w:sz w:val="32"/>
          <w:szCs w:val="32"/>
        </w:rPr>
        <w:t>一是少数学校将常规管理工作等同于学校当下急需要研究解决的问题。</w:t>
      </w:r>
      <w:r>
        <w:rPr>
          <w:rFonts w:hint="eastAsia" w:ascii="方正仿宋_GBK" w:eastAsia="方正仿宋_GBK"/>
          <w:bCs/>
          <w:sz w:val="32"/>
          <w:szCs w:val="32"/>
        </w:rPr>
        <w:t>评估发现，</w:t>
      </w:r>
      <w:r>
        <w:rPr>
          <w:rFonts w:ascii="Times New Roman" w:hAnsi="Times New Roman" w:eastAsia="方正仿宋_GBK" w:cs="Times New Roman"/>
          <w:bCs/>
          <w:sz w:val="32"/>
          <w:szCs w:val="32"/>
        </w:rPr>
        <w:t>7</w:t>
      </w:r>
      <w:r>
        <w:rPr>
          <w:rFonts w:hint="eastAsia" w:ascii="方正仿宋_GBK" w:eastAsia="方正仿宋_GBK"/>
          <w:bCs/>
          <w:sz w:val="32"/>
          <w:szCs w:val="32"/>
        </w:rPr>
        <w:t>.</w:t>
      </w:r>
      <w:r>
        <w:rPr>
          <w:rFonts w:ascii="Times New Roman" w:hAnsi="Times New Roman" w:eastAsia="方正仿宋_GBK" w:cs="Times New Roman"/>
          <w:bCs/>
          <w:sz w:val="32"/>
          <w:szCs w:val="32"/>
        </w:rPr>
        <w:t>9</w:t>
      </w:r>
      <w:r>
        <w:rPr>
          <w:rFonts w:hint="eastAsia" w:ascii="方正仿宋_GBK" w:eastAsia="方正仿宋_GBK"/>
          <w:bCs/>
          <w:sz w:val="32"/>
          <w:szCs w:val="32"/>
        </w:rPr>
        <w:t>%左右的项目选择寝室管理、班级管理、平安校园等常规工作问题，与推进现代学校治理，深化课程教学改革，推进教育信息化，师生评价改革导向等急需解决的问题关联性不够强，或未将项目与提升育人质量紧密结合。</w:t>
      </w:r>
      <w:r>
        <w:rPr>
          <w:rFonts w:hint="eastAsia" w:ascii="方正仿宋_GBK" w:eastAsia="方正仿宋_GBK"/>
          <w:b/>
          <w:bCs/>
          <w:sz w:val="32"/>
          <w:szCs w:val="32"/>
        </w:rPr>
        <w:t>二是部分学校选择项目未与学校自身的实际结合、问题研判精准度不够。</w:t>
      </w:r>
      <w:r>
        <w:rPr>
          <w:rFonts w:ascii="Times New Roman" w:hAnsi="Times New Roman" w:eastAsia="方正仿宋_GBK" w:cs="Times New Roman"/>
          <w:bCs/>
          <w:sz w:val="32"/>
          <w:szCs w:val="32"/>
        </w:rPr>
        <w:t>8</w:t>
      </w:r>
      <w:r>
        <w:rPr>
          <w:rFonts w:hint="eastAsia" w:ascii="方正仿宋_GBK" w:eastAsia="方正仿宋_GBK"/>
          <w:bCs/>
          <w:sz w:val="32"/>
          <w:szCs w:val="32"/>
        </w:rPr>
        <w:t>.</w:t>
      </w:r>
      <w:r>
        <w:rPr>
          <w:rFonts w:ascii="Times New Roman" w:hAnsi="Times New Roman" w:eastAsia="方正仿宋_GBK" w:cs="Times New Roman"/>
          <w:bCs/>
          <w:sz w:val="32"/>
          <w:szCs w:val="32"/>
        </w:rPr>
        <w:t>5</w:t>
      </w:r>
      <w:r>
        <w:rPr>
          <w:rFonts w:hint="eastAsia" w:ascii="方正仿宋_GBK" w:eastAsia="方正仿宋_GBK"/>
          <w:bCs/>
          <w:sz w:val="32"/>
          <w:szCs w:val="32"/>
        </w:rPr>
        <w:t>%左右的学校，特别是部分小规模学校和部分镇街初中，选择项目问题比较宽泛，缺乏农村学校的特色，未针对性思考小规模学校如何办得好、办得美、办成老百姓身边好学校，如心理健康教育问题，需要论证是普遍问题还是自己学校的问题。</w:t>
      </w:r>
      <w:r>
        <w:rPr>
          <w:rFonts w:hint="eastAsia" w:ascii="方正仿宋_GBK" w:eastAsia="方正仿宋_GBK"/>
          <w:b/>
          <w:bCs/>
          <w:sz w:val="32"/>
          <w:szCs w:val="32"/>
        </w:rPr>
        <w:t>三是极个别学校，仍然将学校特色发展等同于促进学生全面而富个性发展。</w:t>
      </w:r>
      <w:r>
        <w:rPr>
          <w:rFonts w:hint="eastAsia" w:ascii="方正仿宋_GBK" w:eastAsia="方正仿宋_GBK"/>
          <w:bCs/>
          <w:sz w:val="32"/>
          <w:szCs w:val="32"/>
        </w:rPr>
        <w:t>评估发现，有</w:t>
      </w:r>
      <w:r>
        <w:rPr>
          <w:rFonts w:ascii="Times New Roman" w:hAnsi="Times New Roman" w:eastAsia="方正仿宋_GBK" w:cs="Times New Roman"/>
          <w:bCs/>
          <w:sz w:val="32"/>
          <w:szCs w:val="32"/>
        </w:rPr>
        <w:t>4</w:t>
      </w:r>
      <w:r>
        <w:rPr>
          <w:rFonts w:hint="eastAsia" w:ascii="方正仿宋_GBK" w:eastAsia="方正仿宋_GBK"/>
          <w:bCs/>
          <w:sz w:val="32"/>
          <w:szCs w:val="32"/>
        </w:rPr>
        <w:t>%左右的项目选择重视学校特色课程打造，强调“人人参与”“人人掌握”“人人会”，忽视社团课程的多元选择，与大力拓宽学生学习基础、让学生有适合自己的“项目”或者“适合的教育”不完全一致。</w:t>
      </w:r>
      <w:bookmarkStart w:id="6" w:name="_Toc57739733"/>
    </w:p>
    <w:p>
      <w:pPr>
        <w:spacing w:line="600" w:lineRule="exact"/>
        <w:ind w:firstLine="642" w:firstLineChars="200"/>
        <w:rPr>
          <w:rFonts w:ascii="方正仿宋_GBK" w:eastAsia="方正仿宋_GBK"/>
          <w:bCs/>
          <w:sz w:val="32"/>
          <w:szCs w:val="32"/>
        </w:rPr>
      </w:pPr>
      <w:r>
        <w:rPr>
          <w:rFonts w:ascii="Times New Roman" w:hAnsi="Times New Roman" w:eastAsia="方正仿宋_GBK" w:cs="Times New Roman"/>
          <w:b/>
          <w:bCs/>
          <w:sz w:val="32"/>
          <w:szCs w:val="32"/>
        </w:rPr>
        <w:t>2</w:t>
      </w:r>
      <w:r>
        <w:rPr>
          <w:rFonts w:hint="eastAsia" w:ascii="方正仿宋_GBK" w:hAnsi="Times New Roman" w:eastAsia="方正仿宋_GBK" w:cs="仿宋_GB2312"/>
          <w:b/>
          <w:bCs/>
          <w:sz w:val="32"/>
          <w:szCs w:val="32"/>
        </w:rPr>
        <w:t>．改进建议</w:t>
      </w:r>
      <w:bookmarkEnd w:id="6"/>
      <w:r>
        <w:rPr>
          <w:rFonts w:hint="eastAsia" w:ascii="方正仿宋_GBK" w:hAnsi="Times New Roman" w:eastAsia="方正仿宋_GBK" w:cs="仿宋_GB2312"/>
          <w:b/>
          <w:bCs/>
          <w:sz w:val="32"/>
          <w:szCs w:val="32"/>
        </w:rPr>
        <w:t>。</w:t>
      </w:r>
      <w:r>
        <w:rPr>
          <w:rFonts w:hint="eastAsia" w:ascii="方正仿宋_GBK" w:eastAsia="方正仿宋_GBK"/>
          <w:bCs/>
          <w:sz w:val="32"/>
          <w:szCs w:val="32"/>
        </w:rPr>
        <w:t>学校自主定标项目选择，需要从政策依据、理论依据、现实需求等三方面论证进行，要具有政策与理论的科学性、价值观的正确性、解决问题的针对性。</w:t>
      </w:r>
      <w:r>
        <w:rPr>
          <w:rFonts w:hint="eastAsia" w:ascii="方正仿宋_GBK" w:eastAsia="方正仿宋_GBK"/>
          <w:b/>
          <w:bCs/>
          <w:sz w:val="32"/>
          <w:szCs w:val="32"/>
        </w:rPr>
        <w:t>一要重视政策解读。</w:t>
      </w:r>
      <w:r>
        <w:rPr>
          <w:rFonts w:hint="eastAsia" w:ascii="方正仿宋_GBK" w:eastAsia="方正仿宋_GBK"/>
          <w:bCs/>
          <w:sz w:val="32"/>
          <w:szCs w:val="32"/>
        </w:rPr>
        <w:t>解读《中共中央国务院关于深化教育教学改革全面提高义务教育质量的意见》《中共中央国务院关于全面加强新时代劳动教育的意见》《中共中央国务院关于全面深化新时代教师队伍建设改革意见》《爱国主义教育实施纲要》等，为项目选择、确定目标、增添措施提供支撑。</w:t>
      </w:r>
      <w:r>
        <w:rPr>
          <w:rFonts w:hint="eastAsia" w:ascii="方正仿宋_GBK" w:eastAsia="方正仿宋_GBK"/>
          <w:b/>
          <w:bCs/>
          <w:sz w:val="32"/>
          <w:szCs w:val="32"/>
        </w:rPr>
        <w:t>二</w:t>
      </w:r>
      <w:r>
        <w:rPr>
          <w:rFonts w:hint="eastAsia" w:ascii="方正仿宋_GBK" w:hAnsi="宋体" w:eastAsia="方正仿宋_GBK" w:cs="宋体"/>
          <w:b/>
          <w:kern w:val="0"/>
          <w:sz w:val="32"/>
          <w:szCs w:val="32"/>
        </w:rPr>
        <w:t>要坚持举措遵规。</w:t>
      </w:r>
      <w:r>
        <w:rPr>
          <w:rFonts w:hint="eastAsia" w:ascii="方正仿宋_GBK" w:hAnsi="宋体" w:eastAsia="方正仿宋_GBK" w:cs="宋体"/>
          <w:kern w:val="0"/>
          <w:sz w:val="32"/>
          <w:szCs w:val="32"/>
        </w:rPr>
        <w:t>项目问题的解决路径要符合党的教育方针、系列教育政策、教育政策要求、教育教学规律和人的成长规律。</w:t>
      </w:r>
      <w:r>
        <w:rPr>
          <w:rFonts w:hint="eastAsia" w:ascii="方正仿宋_GBK" w:eastAsia="方正仿宋_GBK"/>
          <w:b/>
          <w:bCs/>
          <w:sz w:val="32"/>
          <w:szCs w:val="32"/>
        </w:rPr>
        <w:t>三要准确把握校情。</w:t>
      </w:r>
      <w:r>
        <w:rPr>
          <w:rFonts w:hint="eastAsia" w:ascii="方正仿宋_GBK" w:eastAsia="方正仿宋_GBK"/>
          <w:bCs/>
          <w:sz w:val="32"/>
          <w:szCs w:val="32"/>
        </w:rPr>
        <w:t>项目选择要以问题为导向，以解决问题为目的，</w:t>
      </w:r>
      <w:r>
        <w:rPr>
          <w:rFonts w:hint="eastAsia" w:ascii="方正仿宋_GBK" w:hAnsi="宋体" w:eastAsia="方正仿宋_GBK" w:cs="宋体"/>
          <w:kern w:val="0"/>
          <w:sz w:val="32"/>
          <w:szCs w:val="32"/>
        </w:rPr>
        <w:t>将切实提高教育教学质量、促进学生全面发展和个性成长作为项目选择的基本标准，基于学校主要问题和薄弱环节，</w:t>
      </w:r>
      <w:r>
        <w:rPr>
          <w:rFonts w:hint="eastAsia" w:ascii="方正仿宋_GBK" w:eastAsia="方正仿宋_GBK"/>
          <w:bCs/>
          <w:sz w:val="32"/>
          <w:szCs w:val="32"/>
        </w:rPr>
        <w:t>选择切实可行、满足学校发展教师发展学生发展需要、学校高质量发展、可持续发展、特色发展需要的项目。</w:t>
      </w:r>
      <w:r>
        <w:rPr>
          <w:rFonts w:hint="eastAsia" w:ascii="方正仿宋_GBK" w:hAnsi="宋体" w:eastAsia="方正仿宋_GBK" w:cs="宋体"/>
          <w:b/>
          <w:kern w:val="0"/>
          <w:sz w:val="32"/>
          <w:szCs w:val="32"/>
        </w:rPr>
        <w:t>四要坚持覆盖面广。</w:t>
      </w:r>
      <w:r>
        <w:rPr>
          <w:rFonts w:hint="eastAsia" w:ascii="方正仿宋_GBK" w:hAnsi="宋体" w:eastAsia="方正仿宋_GBK" w:cs="宋体"/>
          <w:kern w:val="0"/>
          <w:sz w:val="32"/>
          <w:szCs w:val="32"/>
        </w:rPr>
        <w:t>项目适用、推广要有利于调动师生的积极性、主动性和创造性，有利于师生全员参与和积极实践。</w:t>
      </w:r>
      <w:r>
        <w:rPr>
          <w:rFonts w:hint="eastAsia" w:ascii="方正仿宋_GBK" w:eastAsia="方正仿宋_GBK"/>
          <w:b/>
          <w:bCs/>
          <w:sz w:val="32"/>
          <w:szCs w:val="32"/>
        </w:rPr>
        <w:t>五要明晰质量目标。</w:t>
      </w:r>
      <w:r>
        <w:rPr>
          <w:rFonts w:hint="eastAsia" w:ascii="方正仿宋_GBK" w:eastAsia="方正仿宋_GBK"/>
          <w:bCs/>
          <w:sz w:val="32"/>
          <w:szCs w:val="32"/>
        </w:rPr>
        <w:t>立足立德树人，构建“公平而有质量的教育”是学校发展项目的根本要求。提高教育质量是学校的永恒主题，因此学校的项目选择要以提高办学质量这个终极目标作为依据。由于不同学校的办学条件、师资水平、课程建设、管理制度方式不同，学校在选择与论证项目时，要对自身的优势和劣势、机遇和挑战等进行科学诊断，论证选择重要的、关键的、需要解决的项目，作为学校质量提高的突破口。</w:t>
      </w:r>
      <w:r>
        <w:rPr>
          <w:rFonts w:hint="eastAsia" w:ascii="方正仿宋_GBK" w:eastAsia="方正仿宋_GBK"/>
          <w:b/>
          <w:bCs/>
          <w:sz w:val="32"/>
          <w:szCs w:val="32"/>
        </w:rPr>
        <w:t>六要研究相关文献。</w:t>
      </w:r>
      <w:r>
        <w:rPr>
          <w:rFonts w:hint="eastAsia" w:ascii="方正仿宋_GBK" w:eastAsia="方正仿宋_GBK"/>
          <w:bCs/>
          <w:sz w:val="32"/>
          <w:szCs w:val="32"/>
        </w:rPr>
        <w:t>在项目选择时，建议学校通过文献研究，明确已有研究成果、可借鉴的地方以及应吸取的教训，确保项目实施的起点和创新点，达成“项目选择”与实施，真正促进学校质量发展的目标。</w:t>
      </w:r>
      <w:bookmarkStart w:id="7" w:name="_Toc57739734"/>
    </w:p>
    <w:p>
      <w:pPr>
        <w:spacing w:line="600" w:lineRule="exact"/>
        <w:ind w:firstLine="642" w:firstLineChars="200"/>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（二）进一步研究项目设计的逻辑性和有效性</w:t>
      </w:r>
      <w:bookmarkEnd w:id="7"/>
      <w:bookmarkStart w:id="8" w:name="_Toc57739735"/>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bCs/>
          <w:sz w:val="32"/>
          <w:szCs w:val="32"/>
        </w:rPr>
        <w:t>1</w:t>
      </w:r>
      <w:r>
        <w:rPr>
          <w:rFonts w:hint="eastAsia" w:ascii="方正仿宋_GBK" w:hAnsi="Times New Roman" w:eastAsia="方正仿宋_GBK" w:cs="仿宋_GB2312"/>
          <w:b/>
          <w:bCs/>
          <w:sz w:val="32"/>
          <w:szCs w:val="32"/>
        </w:rPr>
        <w:t>．主要问题</w:t>
      </w:r>
      <w:bookmarkEnd w:id="8"/>
      <w:r>
        <w:rPr>
          <w:rFonts w:hint="eastAsia" w:ascii="方正仿宋_GBK" w:hAnsi="Times New Roman" w:eastAsia="方正仿宋_GBK" w:cs="仿宋_GB2312"/>
          <w:b/>
          <w:bCs/>
          <w:sz w:val="32"/>
          <w:szCs w:val="32"/>
        </w:rPr>
        <w:t>。</w:t>
      </w:r>
      <w:r>
        <w:rPr>
          <w:rFonts w:hint="eastAsia" w:ascii="方正仿宋_GBK" w:eastAsia="方正仿宋_GBK"/>
          <w:b/>
          <w:bCs/>
          <w:sz w:val="32"/>
          <w:szCs w:val="32"/>
        </w:rPr>
        <w:t>一是部分项目未明晰其核心内涵。</w:t>
      </w:r>
      <w:r>
        <w:rPr>
          <w:rFonts w:hint="eastAsia" w:ascii="方正仿宋_GBK" w:eastAsia="方正仿宋_GBK"/>
          <w:bCs/>
          <w:sz w:val="32"/>
          <w:szCs w:val="32"/>
        </w:rPr>
        <w:t>评估发现，</w:t>
      </w:r>
      <w:r>
        <w:rPr>
          <w:rFonts w:ascii="Times New Roman" w:hAnsi="Times New Roman" w:eastAsia="方正仿宋_GBK" w:cs="Times New Roman"/>
          <w:bCs/>
          <w:sz w:val="32"/>
          <w:szCs w:val="32"/>
        </w:rPr>
        <w:t>20</w:t>
      </w:r>
      <w:r>
        <w:rPr>
          <w:rFonts w:hint="eastAsia" w:ascii="方正仿宋_GBK" w:eastAsia="方正仿宋_GBK"/>
          <w:bCs/>
          <w:sz w:val="32"/>
          <w:szCs w:val="32"/>
        </w:rPr>
        <w:t>%左右学校项目名称的概念、内涵、外延较为模糊。如部分“群文阅读”项目，未厘清“群文阅读”的概念、内涵和外延；如部分劳动教育项目，未对“劳动教育”作界定，仅把劳动教育理解为劳动课；如部分特色建设、阅读教学、书香校园建设、阅读+课辅班本化等项目，未清晰界定其内涵和外延。</w:t>
      </w:r>
      <w:r>
        <w:rPr>
          <w:rFonts w:hint="eastAsia" w:ascii="方正仿宋_GBK" w:eastAsia="方正仿宋_GBK"/>
          <w:b/>
          <w:bCs/>
          <w:sz w:val="32"/>
          <w:szCs w:val="32"/>
        </w:rPr>
        <w:t>二</w:t>
      </w:r>
      <w:r>
        <w:rPr>
          <w:rFonts w:hint="eastAsia" w:ascii="方正仿宋_GBK" w:hAnsi="宋体" w:eastAsia="方正仿宋_GBK" w:cs="宋体"/>
          <w:b/>
          <w:kern w:val="0"/>
          <w:sz w:val="32"/>
          <w:szCs w:val="32"/>
        </w:rPr>
        <w:t>是部分项目混淆工作任务、内容和工作目标</w:t>
      </w:r>
      <w:r>
        <w:rPr>
          <w:rFonts w:hint="eastAsia" w:ascii="方正仿宋_GBK" w:eastAsia="方正仿宋_GBK"/>
          <w:b/>
          <w:bCs/>
          <w:sz w:val="32"/>
          <w:szCs w:val="32"/>
        </w:rPr>
        <w:t>。</w:t>
      </w:r>
      <w:r>
        <w:rPr>
          <w:rFonts w:ascii="Times New Roman" w:hAnsi="Times New Roman" w:eastAsia="方正仿宋_GBK" w:cs="Times New Roman"/>
          <w:bCs/>
          <w:sz w:val="32"/>
          <w:szCs w:val="32"/>
        </w:rPr>
        <w:t>10</w:t>
      </w:r>
      <w:r>
        <w:rPr>
          <w:rFonts w:hint="eastAsia" w:ascii="方正仿宋_GBK" w:eastAsia="方正仿宋_GBK"/>
          <w:bCs/>
          <w:sz w:val="32"/>
          <w:szCs w:val="32"/>
        </w:rPr>
        <w:t>%左右的学校无明确的年度工作目标，</w:t>
      </w:r>
      <w:r>
        <w:rPr>
          <w:rFonts w:ascii="Times New Roman" w:hAnsi="Times New Roman" w:eastAsia="方正仿宋_GBK" w:cs="Times New Roman"/>
          <w:bCs/>
          <w:sz w:val="32"/>
          <w:szCs w:val="32"/>
        </w:rPr>
        <w:t>35</w:t>
      </w:r>
      <w:r>
        <w:rPr>
          <w:rFonts w:hint="eastAsia" w:ascii="方正仿宋_GBK" w:eastAsia="方正仿宋_GBK"/>
          <w:bCs/>
          <w:sz w:val="32"/>
          <w:szCs w:val="32"/>
        </w:rPr>
        <w:t>%左右的学校将成立领导组、制定方案、开展研究活动、外出学习考察等工作任务作为项目工作目标。</w:t>
      </w:r>
      <w:r>
        <w:rPr>
          <w:rFonts w:hint="eastAsia" w:ascii="方正仿宋_GBK" w:eastAsia="方正仿宋_GBK"/>
          <w:b/>
          <w:sz w:val="32"/>
          <w:szCs w:val="32"/>
        </w:rPr>
        <w:t>三</w:t>
      </w:r>
      <w:r>
        <w:rPr>
          <w:rFonts w:hint="eastAsia" w:ascii="方正仿宋_GBK" w:hAnsi="宋体" w:eastAsia="方正仿宋_GBK" w:cs="宋体"/>
          <w:b/>
          <w:kern w:val="0"/>
          <w:sz w:val="32"/>
          <w:szCs w:val="32"/>
        </w:rPr>
        <w:t>是大部分延续项目年度目标区分度不高。</w:t>
      </w:r>
      <w:r>
        <w:rPr>
          <w:rFonts w:ascii="Times New Roman" w:hAnsi="Times New Roman" w:eastAsia="方正仿宋_GBK" w:cs="Times New Roman"/>
          <w:bCs/>
          <w:sz w:val="32"/>
          <w:szCs w:val="32"/>
        </w:rPr>
        <w:t>106</w:t>
      </w:r>
      <w:r>
        <w:rPr>
          <w:rFonts w:hint="eastAsia" w:ascii="方正仿宋_GBK" w:eastAsia="方正仿宋_GBK"/>
          <w:bCs/>
          <w:sz w:val="32"/>
          <w:szCs w:val="32"/>
        </w:rPr>
        <w:t>所学校中，</w:t>
      </w:r>
      <w:r>
        <w:rPr>
          <w:rFonts w:ascii="Times New Roman" w:hAnsi="Times New Roman" w:eastAsia="方正仿宋_GBK" w:cs="Times New Roman"/>
          <w:bCs/>
          <w:sz w:val="32"/>
          <w:szCs w:val="32"/>
        </w:rPr>
        <w:t>40</w:t>
      </w:r>
      <w:r>
        <w:rPr>
          <w:rFonts w:hint="eastAsia" w:ascii="方正仿宋_GBK" w:eastAsia="方正仿宋_GBK"/>
          <w:bCs/>
          <w:sz w:val="32"/>
          <w:szCs w:val="32"/>
        </w:rPr>
        <w:t>所学校系持续研究项目，其中，</w:t>
      </w:r>
      <w:r>
        <w:rPr>
          <w:rFonts w:ascii="Times New Roman" w:hAnsi="Times New Roman" w:eastAsia="方正仿宋_GBK" w:cs="Times New Roman"/>
          <w:bCs/>
          <w:sz w:val="32"/>
          <w:szCs w:val="32"/>
        </w:rPr>
        <w:t>60</w:t>
      </w:r>
      <w:r>
        <w:rPr>
          <w:rFonts w:ascii="方正仿宋_GBK" w:eastAsia="方正仿宋_GBK"/>
          <w:bCs/>
          <w:sz w:val="32"/>
          <w:szCs w:val="32"/>
        </w:rPr>
        <w:t>%</w:t>
      </w:r>
      <w:r>
        <w:rPr>
          <w:rFonts w:hint="eastAsia" w:ascii="方正仿宋_GBK" w:eastAsia="方正仿宋_GBK"/>
          <w:bCs/>
          <w:sz w:val="32"/>
          <w:szCs w:val="32"/>
        </w:rPr>
        <w:t>的学校其年度重点目标、关键任务界限不明晰，基本重复上年实施内容，部分项目研究内容反而浅化，极少有增长点和创新点；在效果展现部分，没有项目发展的“增值”变化。如部分特色项目、特色课程、行为习惯培育等项目，基本停留在“活动层面”，未根据育人目标，将活动化为课程资源等；如部分研究行为习惯养成、礼仪教育项目，本年度从项目原内容中选择“某一种礼仪”或“某一种行为习惯”开展研究。</w:t>
      </w:r>
      <w:r>
        <w:rPr>
          <w:rFonts w:hint="eastAsia" w:ascii="方正仿宋_GBK" w:eastAsia="方正仿宋_GBK"/>
          <w:b/>
          <w:bCs/>
          <w:sz w:val="32"/>
          <w:szCs w:val="32"/>
        </w:rPr>
        <w:t>四是部分</w:t>
      </w:r>
      <w:r>
        <w:rPr>
          <w:rFonts w:hint="eastAsia" w:ascii="方正仿宋_GBK" w:hAnsi="宋体" w:eastAsia="方正仿宋_GBK" w:cs="宋体"/>
          <w:b/>
          <w:kern w:val="0"/>
          <w:sz w:val="32"/>
          <w:szCs w:val="32"/>
        </w:rPr>
        <w:t>校本课程建设项目未从培养学生能力目标上构建与实施。</w:t>
      </w:r>
      <w:r>
        <w:rPr>
          <w:rFonts w:hint="eastAsia" w:ascii="方正仿宋_GBK" w:hAnsi="宋体" w:eastAsia="方正仿宋_GBK" w:cs="宋体"/>
          <w:kern w:val="0"/>
          <w:sz w:val="32"/>
          <w:szCs w:val="32"/>
        </w:rPr>
        <w:t>评估发现，约</w:t>
      </w:r>
      <w:r>
        <w:rPr>
          <w:rFonts w:ascii="Times New Roman" w:hAnsi="Times New Roman" w:eastAsia="方正仿宋_GBK" w:cs="Times New Roman"/>
          <w:kern w:val="0"/>
          <w:sz w:val="32"/>
          <w:szCs w:val="32"/>
        </w:rPr>
        <w:t>32</w:t>
      </w:r>
      <w:r>
        <w:rPr>
          <w:rFonts w:hint="eastAsia" w:ascii="方正仿宋_GBK" w:hAnsi="宋体" w:eastAsia="方正仿宋_GBK" w:cs="宋体"/>
          <w:kern w:val="0"/>
          <w:sz w:val="32"/>
          <w:szCs w:val="32"/>
        </w:rPr>
        <w:t>%的项目实施注重学生活动体验、活动参与，但学生参与后，</w:t>
      </w:r>
      <w:r>
        <w:rPr>
          <w:rFonts w:hint="eastAsia" w:ascii="方正仿宋_GBK" w:eastAsia="方正仿宋_GBK"/>
          <w:bCs/>
          <w:sz w:val="32"/>
          <w:szCs w:val="32"/>
        </w:rPr>
        <w:t>对其是否达成能力达标、如何通过测试评价来认证达成目标等没有深入思考。</w:t>
      </w:r>
      <w:r>
        <w:rPr>
          <w:rFonts w:hint="eastAsia" w:ascii="方正仿宋_GBK" w:eastAsia="方正仿宋_GBK"/>
          <w:b/>
          <w:bCs/>
          <w:sz w:val="32"/>
          <w:szCs w:val="32"/>
        </w:rPr>
        <w:t>五是部分学校的项目实施过程缺乏评价反馈与督促改进提高环节。</w:t>
      </w:r>
      <w:r>
        <w:rPr>
          <w:rFonts w:hint="eastAsia" w:ascii="方正仿宋_GBK" w:eastAsia="方正仿宋_GBK"/>
          <w:bCs/>
          <w:sz w:val="32"/>
          <w:szCs w:val="32"/>
        </w:rPr>
        <w:t>评估发现，近</w:t>
      </w:r>
      <w:r>
        <w:rPr>
          <w:rFonts w:ascii="Times New Roman" w:hAnsi="Times New Roman" w:eastAsia="方正仿宋_GBK" w:cs="Times New Roman"/>
          <w:bCs/>
          <w:sz w:val="32"/>
          <w:szCs w:val="32"/>
        </w:rPr>
        <w:t>50</w:t>
      </w:r>
      <w:r>
        <w:rPr>
          <w:rFonts w:hint="eastAsia" w:ascii="方正仿宋_GBK" w:eastAsia="方正仿宋_GBK"/>
          <w:bCs/>
          <w:sz w:val="32"/>
          <w:szCs w:val="32"/>
        </w:rPr>
        <w:t>%左右的项目在实施过程中，“学校内部督导评价指标”中评价内容指标及权重分配，直接将区教委指标要求与对校的督导进行嫁接，校本评价指标不足；评价对象、评价内容、评价主体对应关系错位；部分项目没有真正开展评价反馈，没有促进改进提高环节。</w:t>
      </w:r>
      <w:r>
        <w:rPr>
          <w:rFonts w:hint="eastAsia" w:ascii="方正仿宋_GBK" w:eastAsia="方正仿宋_GBK"/>
          <w:b/>
          <w:bCs/>
          <w:sz w:val="32"/>
          <w:szCs w:val="32"/>
        </w:rPr>
        <w:t>六是部分项目提炼不足质量不高。</w:t>
      </w:r>
      <w:r>
        <w:rPr>
          <w:rFonts w:hint="eastAsia" w:ascii="方正仿宋_GBK" w:hAnsi="宋体" w:eastAsia="方正仿宋_GBK" w:cs="宋体"/>
          <w:kern w:val="0"/>
          <w:sz w:val="32"/>
          <w:szCs w:val="32"/>
        </w:rPr>
        <w:t>多数学校在总结项目成果时，主要呈现是做了什么，在“为什么”方面挖掘不够。如部分劳动教育、校园文化建设项目未深度挖掘和提炼项目的育人价值</w:t>
      </w:r>
      <w:bookmarkStart w:id="9" w:name="_Toc57739736"/>
      <w:r>
        <w:rPr>
          <w:rFonts w:hint="eastAsia" w:ascii="方正仿宋_GBK" w:hAnsi="宋体" w:eastAsia="方正仿宋_GBK" w:cs="宋体"/>
          <w:kern w:val="0"/>
          <w:sz w:val="32"/>
          <w:szCs w:val="32"/>
        </w:rPr>
        <w:t>。</w:t>
      </w:r>
    </w:p>
    <w:p>
      <w:pPr>
        <w:spacing w:line="600" w:lineRule="exact"/>
        <w:ind w:firstLine="642" w:firstLineChars="200"/>
        <w:rPr>
          <w:rFonts w:ascii="方正仿宋_GBK" w:eastAsia="方正仿宋_GBK"/>
          <w:sz w:val="32"/>
          <w:szCs w:val="32"/>
        </w:rPr>
      </w:pPr>
      <w:r>
        <w:rPr>
          <w:rFonts w:ascii="Times New Roman" w:hAnsi="Times New Roman" w:eastAsia="方正仿宋_GBK" w:cs="Times New Roman"/>
          <w:b/>
          <w:bCs/>
          <w:sz w:val="32"/>
          <w:szCs w:val="32"/>
        </w:rPr>
        <w:t>2</w:t>
      </w:r>
      <w:r>
        <w:rPr>
          <w:rFonts w:hint="eastAsia" w:ascii="方正仿宋_GBK" w:hAnsi="Times New Roman" w:eastAsia="方正仿宋_GBK" w:cs="仿宋_GB2312"/>
          <w:b/>
          <w:bCs/>
          <w:sz w:val="32"/>
          <w:szCs w:val="32"/>
        </w:rPr>
        <w:t>．改进建议</w:t>
      </w:r>
      <w:bookmarkEnd w:id="9"/>
      <w:r>
        <w:rPr>
          <w:rFonts w:hint="eastAsia" w:ascii="方正仿宋_GBK" w:hAnsi="Times New Roman" w:eastAsia="方正仿宋_GBK" w:cs="仿宋_GB2312"/>
          <w:b/>
          <w:bCs/>
          <w:sz w:val="32"/>
          <w:szCs w:val="32"/>
        </w:rPr>
        <w:t>。</w:t>
      </w:r>
      <w:r>
        <w:rPr>
          <w:rFonts w:ascii="方正仿宋_GBK" w:hAnsi="宋体" w:eastAsia="方正仿宋_GBK" w:cs="宋体"/>
          <w:b/>
          <w:kern w:val="0"/>
          <w:sz w:val="32"/>
          <w:szCs w:val="32"/>
        </w:rPr>
        <w:t>一要将项目</w:t>
      </w:r>
      <w:r>
        <w:rPr>
          <w:rFonts w:hint="eastAsia" w:ascii="方正仿宋_GBK" w:eastAsia="方正仿宋_GBK"/>
          <w:b/>
          <w:bCs/>
          <w:sz w:val="32"/>
          <w:szCs w:val="32"/>
        </w:rPr>
        <w:t>构建成闭合循环PDCA管理模型。</w:t>
      </w:r>
      <w:r>
        <w:rPr>
          <w:rFonts w:hint="eastAsia" w:ascii="方正仿宋_GBK" w:eastAsia="方正仿宋_GBK"/>
          <w:bCs/>
          <w:sz w:val="32"/>
          <w:szCs w:val="32"/>
        </w:rPr>
        <w:t>规划(P)：即根据学校项目定位，设置各项工作任务与指标，并通过具体的教育教育活动实施其任务规划；实施(D)：按照项目设计路线图，实施教育教学活动和管理活动；检测(C)：学校内部机构采用定期与不定期、常态与随机、综合与专项结合等方式，开展评审、审核、评估等活动；运用(A):将自主定标准项目自评质量结果通过一定的反馈方式，采取纠正措施和预防措施，控制程序的有效运行来不断发展、持续改进，使学校项目实施工作呈现螺旋式上升的状态。</w:t>
      </w:r>
      <w:r>
        <w:rPr>
          <w:rFonts w:hint="eastAsia" w:ascii="方正仿宋_GBK" w:hAnsi="宋体" w:eastAsia="方正仿宋_GBK" w:cs="宋体"/>
          <w:kern w:val="0"/>
          <w:sz w:val="32"/>
          <w:szCs w:val="32"/>
        </w:rPr>
        <w:t>尤其是过程评价和改进提高环节，要确保项目评价指标的科学性、评价工具的科学性，注重评价信息的收集和分析，注重问题的整改和提高。</w:t>
      </w:r>
      <w:r>
        <w:rPr>
          <w:rFonts w:hint="eastAsia" w:ascii="方正仿宋_GBK" w:hAnsi="宋体" w:eastAsia="方正仿宋_GBK" w:cs="宋体"/>
          <w:b/>
          <w:kern w:val="0"/>
          <w:sz w:val="32"/>
          <w:szCs w:val="32"/>
        </w:rPr>
        <w:t>二要重视方案设计“六项</w:t>
      </w:r>
      <w:r>
        <w:rPr>
          <w:rFonts w:ascii="方正仿宋_GBK" w:hAnsi="宋体" w:eastAsia="方正仿宋_GBK" w:cs="宋体"/>
          <w:b/>
          <w:kern w:val="0"/>
          <w:sz w:val="32"/>
          <w:szCs w:val="32"/>
        </w:rPr>
        <w:t>内容</w:t>
      </w:r>
      <w:r>
        <w:rPr>
          <w:rFonts w:hint="eastAsia" w:ascii="方正仿宋_GBK" w:hAnsi="宋体" w:eastAsia="方正仿宋_GBK" w:cs="宋体"/>
          <w:b/>
          <w:kern w:val="0"/>
          <w:sz w:val="32"/>
          <w:szCs w:val="32"/>
        </w:rPr>
        <w:t>”的逻辑性与科学性。主题</w:t>
      </w:r>
      <w:r>
        <w:rPr>
          <w:rFonts w:ascii="方正仿宋_GBK" w:hAnsi="宋体" w:eastAsia="方正仿宋_GBK" w:cs="宋体"/>
          <w:b/>
          <w:kern w:val="0"/>
          <w:sz w:val="32"/>
          <w:szCs w:val="32"/>
        </w:rPr>
        <w:t>要聚焦</w:t>
      </w:r>
      <w:r>
        <w:rPr>
          <w:rFonts w:hint="eastAsia" w:ascii="方正仿宋_GBK" w:hAnsi="宋体" w:eastAsia="方正仿宋_GBK" w:cs="宋体"/>
          <w:b/>
          <w:kern w:val="0"/>
          <w:sz w:val="32"/>
          <w:szCs w:val="32"/>
        </w:rPr>
        <w:t>：</w:t>
      </w:r>
      <w:r>
        <w:rPr>
          <w:rFonts w:hint="eastAsia" w:ascii="方正仿宋_GBK" w:hAnsi="宋体" w:eastAsia="方正仿宋_GBK" w:cs="宋体"/>
          <w:kern w:val="0"/>
          <w:sz w:val="32"/>
          <w:szCs w:val="32"/>
        </w:rPr>
        <w:t>聚焦立德树人、优质发展主题，牢牢把握</w:t>
      </w:r>
      <w:r>
        <w:rPr>
          <w:rFonts w:ascii="方正仿宋_GBK" w:eastAsia="方正仿宋_GBK"/>
          <w:sz w:val="32"/>
          <w:szCs w:val="32"/>
        </w:rPr>
        <w:t>项目实施</w:t>
      </w:r>
      <w:r>
        <w:rPr>
          <w:rFonts w:hint="eastAsia" w:ascii="方正仿宋_GBK" w:eastAsia="方正仿宋_GBK"/>
          <w:sz w:val="32"/>
          <w:szCs w:val="32"/>
        </w:rPr>
        <w:t>的</w:t>
      </w:r>
      <w:r>
        <w:rPr>
          <w:rFonts w:ascii="方正仿宋_GBK" w:eastAsia="方正仿宋_GBK"/>
          <w:sz w:val="32"/>
          <w:szCs w:val="32"/>
        </w:rPr>
        <w:t>价值意义</w:t>
      </w:r>
      <w:r>
        <w:rPr>
          <w:rFonts w:hint="eastAsia" w:ascii="方正仿宋_GBK" w:eastAsia="方正仿宋_GBK"/>
          <w:sz w:val="32"/>
          <w:szCs w:val="32"/>
        </w:rPr>
        <w:t>，</w:t>
      </w:r>
      <w:r>
        <w:rPr>
          <w:rFonts w:hint="eastAsia" w:ascii="方正仿宋_GBK" w:hAnsi="宋体" w:eastAsia="方正仿宋_GBK" w:cs="宋体"/>
          <w:kern w:val="0"/>
          <w:sz w:val="32"/>
          <w:szCs w:val="32"/>
        </w:rPr>
        <w:t>确保项目实施有方向。</w:t>
      </w:r>
      <w:r>
        <w:rPr>
          <w:rFonts w:hint="eastAsia" w:ascii="方正仿宋_GBK" w:hAnsi="宋体" w:eastAsia="方正仿宋_GBK" w:cs="宋体"/>
          <w:b/>
          <w:kern w:val="0"/>
          <w:sz w:val="32"/>
          <w:szCs w:val="32"/>
        </w:rPr>
        <w:t>内容要明确：</w:t>
      </w:r>
      <w:r>
        <w:rPr>
          <w:rFonts w:hint="eastAsia" w:ascii="方正仿宋_GBK" w:hAnsi="宋体" w:eastAsia="方正仿宋_GBK" w:cs="宋体"/>
          <w:kern w:val="0"/>
          <w:sz w:val="32"/>
          <w:szCs w:val="32"/>
        </w:rPr>
        <w:t>要明晰</w:t>
      </w:r>
      <w:r>
        <w:rPr>
          <w:rFonts w:ascii="方正仿宋_GBK" w:hAnsi="宋体" w:eastAsia="方正仿宋_GBK" w:cs="宋体"/>
          <w:kern w:val="0"/>
          <w:sz w:val="32"/>
          <w:szCs w:val="32"/>
        </w:rPr>
        <w:t>项目主题的内涵外延</w:t>
      </w:r>
      <w:r>
        <w:rPr>
          <w:rFonts w:hint="eastAsia" w:ascii="方正仿宋_GBK" w:hAnsi="宋体" w:eastAsia="方正仿宋_GBK" w:cs="宋体"/>
          <w:kern w:val="0"/>
          <w:sz w:val="32"/>
          <w:szCs w:val="32"/>
        </w:rPr>
        <w:t>、项目实施</w:t>
      </w:r>
      <w:r>
        <w:rPr>
          <w:rFonts w:ascii="方正仿宋_GBK" w:hAnsi="宋体" w:eastAsia="方正仿宋_GBK" w:cs="宋体"/>
          <w:kern w:val="0"/>
          <w:sz w:val="32"/>
          <w:szCs w:val="32"/>
        </w:rPr>
        <w:t>背景</w:t>
      </w:r>
      <w:r>
        <w:rPr>
          <w:rFonts w:hint="eastAsia" w:ascii="方正仿宋_GBK" w:hAnsi="宋体" w:eastAsia="方正仿宋_GBK" w:cs="宋体"/>
          <w:kern w:val="0"/>
          <w:sz w:val="32"/>
          <w:szCs w:val="32"/>
        </w:rPr>
        <w:t>，根据项目的目标来确定内容，要选准解决问题的突破口、重点内容。</w:t>
      </w:r>
      <w:r>
        <w:rPr>
          <w:rFonts w:hint="eastAsia" w:ascii="方正仿宋_GBK" w:hAnsi="宋体" w:eastAsia="方正仿宋_GBK" w:cs="宋体"/>
          <w:b/>
          <w:kern w:val="0"/>
          <w:sz w:val="32"/>
          <w:szCs w:val="32"/>
        </w:rPr>
        <w:t>实施路线要明晰：</w:t>
      </w:r>
      <w:r>
        <w:rPr>
          <w:rFonts w:hint="eastAsia" w:ascii="方正仿宋_GBK" w:eastAsia="方正仿宋_GBK"/>
          <w:bCs/>
          <w:sz w:val="32"/>
          <w:szCs w:val="32"/>
        </w:rPr>
        <w:t>项目要围绕目标定内容和任务，围绕内容、任务选措施，围绕措施做反思评价（或风险评估、阶段评估），围绕反思评价提炼价值成果，围绕价值成果展开推广，环环相扣，做到目标与措施匹配。</w:t>
      </w:r>
      <w:r>
        <w:rPr>
          <w:rFonts w:hint="eastAsia" w:ascii="方正仿宋_GBK" w:hAnsi="宋体" w:eastAsia="方正仿宋_GBK" w:cs="宋体"/>
          <w:b/>
          <w:kern w:val="0"/>
          <w:sz w:val="32"/>
          <w:szCs w:val="32"/>
        </w:rPr>
        <w:t>实施目标要可检测：</w:t>
      </w:r>
      <w:r>
        <w:rPr>
          <w:rFonts w:ascii="方正仿宋_GBK" w:hAnsi="宋体" w:eastAsia="方正仿宋_GBK" w:cs="宋体"/>
          <w:kern w:val="0"/>
          <w:sz w:val="32"/>
          <w:szCs w:val="32"/>
        </w:rPr>
        <w:t>项目要有清晰总体目标</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任务</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年度工作目标、任务措施、责任人员和过程评估、总结反思等</w:t>
      </w:r>
      <w:r>
        <w:rPr>
          <w:rFonts w:hint="eastAsia" w:ascii="方正仿宋_GBK" w:hAnsi="宋体" w:eastAsia="方正仿宋_GBK" w:cs="宋体"/>
          <w:kern w:val="0"/>
          <w:sz w:val="32"/>
          <w:szCs w:val="32"/>
        </w:rPr>
        <w:t>。</w:t>
      </w:r>
      <w:r>
        <w:rPr>
          <w:rFonts w:hint="eastAsia" w:ascii="方正仿宋_GBK" w:hAnsi="宋体" w:eastAsia="方正仿宋_GBK" w:cs="宋体"/>
          <w:b/>
          <w:kern w:val="0"/>
          <w:sz w:val="32"/>
          <w:szCs w:val="32"/>
        </w:rPr>
        <w:t>实施效果要可测评：</w:t>
      </w:r>
      <w:r>
        <w:rPr>
          <w:rFonts w:hint="eastAsia" w:ascii="方正仿宋_GBK" w:hAnsi="宋体" w:eastAsia="方正仿宋_GBK" w:cs="宋体"/>
          <w:kern w:val="0"/>
          <w:sz w:val="32"/>
          <w:szCs w:val="32"/>
        </w:rPr>
        <w:t>项目实施的效果，要用具有直接相关的数据说话，用案例支撑，进行归因分析。导向要正确：要高度重视项目</w:t>
      </w:r>
      <w:r>
        <w:rPr>
          <w:rFonts w:ascii="方正仿宋_GBK" w:eastAsia="方正仿宋_GBK"/>
          <w:sz w:val="32"/>
          <w:szCs w:val="32"/>
        </w:rPr>
        <w:t>实施过程中的措施、激励机制和价值导向</w:t>
      </w:r>
      <w:r>
        <w:rPr>
          <w:rFonts w:hint="eastAsia" w:ascii="方正仿宋_GBK" w:eastAsia="方正仿宋_GBK"/>
          <w:sz w:val="32"/>
          <w:szCs w:val="32"/>
        </w:rPr>
        <w:t>，</w:t>
      </w:r>
      <w:r>
        <w:rPr>
          <w:rFonts w:ascii="方正仿宋_GBK" w:eastAsia="方正仿宋_GBK"/>
          <w:sz w:val="32"/>
          <w:szCs w:val="32"/>
        </w:rPr>
        <w:t>要符合立德树人要求</w:t>
      </w:r>
      <w:r>
        <w:rPr>
          <w:rFonts w:hint="eastAsia" w:ascii="方正仿宋_GBK" w:eastAsia="方正仿宋_GBK"/>
          <w:sz w:val="32"/>
          <w:szCs w:val="32"/>
        </w:rPr>
        <w:t>、</w:t>
      </w:r>
      <w:r>
        <w:rPr>
          <w:rFonts w:ascii="方正仿宋_GBK" w:eastAsia="方正仿宋_GBK"/>
          <w:sz w:val="32"/>
          <w:szCs w:val="32"/>
        </w:rPr>
        <w:t>学生发展规律。</w:t>
      </w:r>
    </w:p>
    <w:p>
      <w:pPr>
        <w:spacing w:line="600" w:lineRule="exact"/>
        <w:ind w:firstLine="642" w:firstLineChars="200"/>
        <w:outlineLvl w:val="1"/>
        <w:rPr>
          <w:rFonts w:ascii="方正楷体_GBK" w:hAnsi="宋体" w:eastAsia="方正楷体_GBK" w:cs="宋体"/>
          <w:b/>
          <w:kern w:val="0"/>
          <w:sz w:val="32"/>
          <w:szCs w:val="32"/>
        </w:rPr>
      </w:pPr>
      <w:bookmarkStart w:id="10" w:name="_Toc57739737"/>
      <w:r>
        <w:rPr>
          <w:rFonts w:hint="eastAsia" w:ascii="方正楷体_GBK" w:hAnsi="宋体" w:eastAsia="方正楷体_GBK" w:cs="宋体"/>
          <w:b/>
          <w:kern w:val="0"/>
          <w:sz w:val="32"/>
          <w:szCs w:val="32"/>
        </w:rPr>
        <w:t>（三）进一步提升项目实施质量</w:t>
      </w:r>
      <w:bookmarkEnd w:id="10"/>
    </w:p>
    <w:p>
      <w:pPr>
        <w:spacing w:line="600" w:lineRule="exact"/>
        <w:ind w:firstLine="803" w:firstLineChars="250"/>
        <w:rPr>
          <w:rFonts w:ascii="方正仿宋_GBK" w:eastAsia="方正仿宋_GBK"/>
          <w:bCs/>
          <w:sz w:val="32"/>
          <w:szCs w:val="32"/>
        </w:rPr>
      </w:pPr>
      <w:r>
        <w:rPr>
          <w:rFonts w:ascii="Times New Roman" w:hAnsi="Times New Roman" w:eastAsia="方正仿宋_GBK" w:cs="Times New Roman"/>
          <w:b/>
          <w:kern w:val="0"/>
          <w:sz w:val="32"/>
          <w:szCs w:val="32"/>
        </w:rPr>
        <w:t>1</w:t>
      </w:r>
      <w:r>
        <w:rPr>
          <w:rFonts w:hint="eastAsia" w:ascii="方正仿宋_GBK" w:hAnsi="宋体" w:eastAsia="方正仿宋_GBK" w:cs="宋体"/>
          <w:b/>
          <w:kern w:val="0"/>
          <w:sz w:val="32"/>
          <w:szCs w:val="32"/>
        </w:rPr>
        <w:t>．校本研修类项目。</w:t>
      </w:r>
      <w:r>
        <w:rPr>
          <w:rFonts w:hint="eastAsia" w:ascii="方正仿宋_GBK" w:hAnsi="宋体" w:eastAsia="方正仿宋_GBK" w:cs="宋体"/>
          <w:kern w:val="0"/>
          <w:sz w:val="32"/>
          <w:szCs w:val="32"/>
        </w:rPr>
        <w:t>学校选择校本研修项目（含课题管理项目）尽管切合学校实际，但共性方法多、有针对性方法少。建议学校实施校本研修项目时，要实现从教研向科研转型，从片段式微格研究转向“问导式课例研究”、转向问题导向的“小课题研究”等，既要</w:t>
      </w:r>
      <w:r>
        <w:rPr>
          <w:rFonts w:hint="eastAsia" w:ascii="方正仿宋_GBK" w:eastAsia="方正仿宋_GBK"/>
          <w:bCs/>
          <w:sz w:val="32"/>
          <w:szCs w:val="32"/>
        </w:rPr>
        <w:t>着力于研修本身更要着力于聚焦课堂与教学、教师专业能力建设，</w:t>
      </w:r>
      <w:r>
        <w:rPr>
          <w:rFonts w:hint="eastAsia" w:ascii="方正仿宋_GBK" w:hAnsi="宋体" w:eastAsia="方正仿宋_GBK" w:cs="宋体"/>
          <w:kern w:val="0"/>
          <w:sz w:val="32"/>
          <w:szCs w:val="32"/>
        </w:rPr>
        <w:t>既</w:t>
      </w:r>
      <w:r>
        <w:rPr>
          <w:rFonts w:hint="eastAsia" w:ascii="方正仿宋_GBK" w:eastAsia="方正仿宋_GBK"/>
          <w:bCs/>
          <w:sz w:val="32"/>
          <w:szCs w:val="32"/>
        </w:rPr>
        <w:t>要着力于少数成功的教研活动本身更要着力于长效机制的建立，</w:t>
      </w:r>
      <w:r>
        <w:rPr>
          <w:rFonts w:hint="eastAsia" w:ascii="方正仿宋_GBK" w:hAnsi="宋体" w:eastAsia="方正仿宋_GBK" w:cs="宋体"/>
          <w:kern w:val="0"/>
          <w:sz w:val="32"/>
          <w:szCs w:val="32"/>
        </w:rPr>
        <w:t>既</w:t>
      </w:r>
      <w:r>
        <w:rPr>
          <w:rFonts w:hint="eastAsia" w:ascii="方正仿宋_GBK" w:eastAsia="方正仿宋_GBK"/>
          <w:bCs/>
          <w:sz w:val="32"/>
          <w:szCs w:val="32"/>
        </w:rPr>
        <w:t>要着力于校本研修形式更要着力于校本研修主题选择的针对性与序列性，既要着力于校本研修方式构建更要设计集中研修前中后研修任务的持续与研修成果的共享。</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2</w:t>
      </w:r>
      <w:r>
        <w:rPr>
          <w:rFonts w:hint="eastAsia" w:ascii="方正仿宋_GBK" w:hAnsi="宋体" w:eastAsia="方正仿宋_GBK" w:cs="宋体"/>
          <w:b/>
          <w:kern w:val="0"/>
          <w:sz w:val="32"/>
          <w:szCs w:val="32"/>
        </w:rPr>
        <w:t>．</w:t>
      </w:r>
      <w:r>
        <w:rPr>
          <w:rFonts w:ascii="方正仿宋_GBK" w:hAnsi="宋体" w:eastAsia="方正仿宋_GBK" w:cs="宋体"/>
          <w:b/>
          <w:kern w:val="0"/>
          <w:sz w:val="32"/>
          <w:szCs w:val="32"/>
        </w:rPr>
        <w:t>校本</w:t>
      </w:r>
      <w:r>
        <w:rPr>
          <w:rFonts w:hint="eastAsia" w:ascii="方正仿宋_GBK" w:hAnsi="宋体" w:eastAsia="方正仿宋_GBK" w:cs="宋体"/>
          <w:b/>
          <w:kern w:val="0"/>
          <w:sz w:val="32"/>
          <w:szCs w:val="32"/>
        </w:rPr>
        <w:t>课程建设类项目。</w:t>
      </w:r>
      <w:r>
        <w:rPr>
          <w:rFonts w:hint="eastAsia" w:ascii="方正仿宋_GBK" w:hAnsi="宋体" w:eastAsia="方正仿宋_GBK" w:cs="宋体"/>
          <w:kern w:val="0"/>
          <w:sz w:val="32"/>
          <w:szCs w:val="32"/>
        </w:rPr>
        <w:t>评估发现，在学校校本课程（含特色课程、特色项目）构建与实施过程中，体验性课程较多，学生认知与技能的课程，培养学生科学思维、形象思维、逻辑思维等类型的课程相对薄弱，部分学校校本课程没有形成理性“体系”。建议：一要厘清课程建设要素。首先是规划设计。主要是解决设置什么课程、课程如何排序、课程标准是什么等问题。主要包括：按照一定的思想和理论开发课程、考虑专业特性和学生特点并按照能力培养循序渐进的原则序化课程、建立课程标准即编制课程目标课程内容等框架计划。其次是实施过程。教学过程主要解决怎样“教”才能实现培养目标等问题，这一系列工作实际就是教学建设。二要关注校本课程的育人价值。建议学校开发校本课程时，要凸显校本课程的选择性；义务教育阶段学校，要更多体现课程的多样性，重在发展学生个性潜能；要基于学生能力提升，加强对校本课程实施过程及结果的价值判断。三是特色项目推进要与学科教学深度融合。其落脚点在学科和课堂，培育出全面发展的人。</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3</w:t>
      </w:r>
      <w:r>
        <w:rPr>
          <w:rFonts w:hint="eastAsia" w:ascii="方正仿宋_GBK" w:hAnsi="宋体" w:eastAsia="方正仿宋_GBK" w:cs="宋体"/>
          <w:b/>
          <w:kern w:val="0"/>
          <w:sz w:val="32"/>
          <w:szCs w:val="32"/>
        </w:rPr>
        <w:t>．阅读类项目。</w:t>
      </w:r>
      <w:r>
        <w:rPr>
          <w:rFonts w:hint="eastAsia" w:ascii="方正仿宋_GBK" w:hAnsi="宋体" w:eastAsia="方正仿宋_GBK" w:cs="宋体"/>
          <w:kern w:val="0"/>
          <w:sz w:val="32"/>
          <w:szCs w:val="32"/>
        </w:rPr>
        <w:t>部分阅读（含经典阅读、群文阅读、书香校园）等项目，注重了阅读形式、阅读活动、阅读材料和课时安排等，但设计逻辑体系不严密、育人目标有局限。建议将群文阅读、阅读课程、书香校园建设等纳入学校整体工作，把总目标分解到各个阶段，把总目标贯穿整个学校的发展，确保项目目标与育人目标一致；书香校园建设项目可以从营造书香文化环境、培育书香学生、打造书香班级、提升书香教师、拓展书香家庭等方面作深入研究，形成不同阶段的研修成果。</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4</w:t>
      </w:r>
      <w:r>
        <w:rPr>
          <w:rFonts w:hint="eastAsia" w:ascii="方正仿宋_GBK" w:hAnsi="宋体" w:eastAsia="方正仿宋_GBK" w:cs="宋体"/>
          <w:b/>
          <w:kern w:val="0"/>
          <w:sz w:val="32"/>
          <w:szCs w:val="32"/>
        </w:rPr>
        <w:t>．</w:t>
      </w:r>
      <w:r>
        <w:rPr>
          <w:rFonts w:ascii="方正仿宋_GBK" w:hAnsi="宋体" w:eastAsia="方正仿宋_GBK" w:cs="宋体"/>
          <w:b/>
          <w:kern w:val="0"/>
          <w:sz w:val="32"/>
          <w:szCs w:val="32"/>
        </w:rPr>
        <w:t>行为习惯养成类项目。</w:t>
      </w:r>
      <w:r>
        <w:rPr>
          <w:rFonts w:hint="eastAsia" w:ascii="方正仿宋_GBK" w:hAnsi="宋体" w:eastAsia="方正仿宋_GBK" w:cs="宋体"/>
          <w:kern w:val="0"/>
          <w:sz w:val="32"/>
          <w:szCs w:val="32"/>
        </w:rPr>
        <w:t>评估发现，部分学校学生学习习惯培养、行为习惯培养、礼仪素养养成等项目，年段目标模糊，细节与规范不够明确；培养措施针对性不强、系统性不够。建议相关学校将学习习惯、行为习惯等提升到立德树人高度认识其育人价值；分年级段设定阶段目标，确立相关“习惯”具体内容和重点指标，并细化相关具体行为规范，系统设计“习惯培养”步骤和关键环节，把“习惯内容”具体化为日常行为；强化过程评估，引导学生在“成功地体验”中养成“良好习惯”，促进学生良好品格形成。</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5</w:t>
      </w:r>
      <w:r>
        <w:rPr>
          <w:rFonts w:hint="eastAsia" w:ascii="方正仿宋_GBK" w:hAnsi="宋体" w:eastAsia="方正仿宋_GBK" w:cs="宋体"/>
          <w:b/>
          <w:kern w:val="0"/>
          <w:sz w:val="32"/>
          <w:szCs w:val="32"/>
        </w:rPr>
        <w:t>．劳动教育类项目。</w:t>
      </w:r>
      <w:r>
        <w:rPr>
          <w:rFonts w:hint="eastAsia" w:ascii="方正仿宋_GBK" w:hAnsi="宋体" w:eastAsia="方正仿宋_GBK" w:cs="宋体"/>
          <w:kern w:val="0"/>
          <w:sz w:val="32"/>
          <w:szCs w:val="32"/>
        </w:rPr>
        <w:t>评估发现，部分学校劳动项目，注重了劳动活动开展，但培养目标不明、时代特征不明显，未能解决劳动教育的关键问题。建议要拓展“劳动”教育的内涵和内容，部分学校要由当前关注的“农耕文化”转向“社会生活”，突出教育的现代性，增加学生“异质文化”“社会实践”等内容，让学生具有更宽泛的学习视野；要注重对学生劳动知识、劳动技能、劳动精神等考核评价。</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6</w:t>
      </w:r>
      <w:r>
        <w:rPr>
          <w:rFonts w:hint="eastAsia" w:ascii="方正仿宋_GBK" w:hAnsi="宋体" w:eastAsia="方正仿宋_GBK" w:cs="宋体"/>
          <w:b/>
          <w:kern w:val="0"/>
          <w:sz w:val="32"/>
          <w:szCs w:val="32"/>
        </w:rPr>
        <w:t>．课堂教学改革类项目。</w:t>
      </w:r>
      <w:r>
        <w:rPr>
          <w:rFonts w:hint="eastAsia" w:ascii="方正仿宋_GBK" w:hAnsi="宋体" w:eastAsia="方正仿宋_GBK" w:cs="宋体"/>
          <w:kern w:val="0"/>
          <w:sz w:val="32"/>
          <w:szCs w:val="32"/>
        </w:rPr>
        <w:t>评估发现，部分学校课堂教学改革，关注“形式”较多，关注“模式”“组织环节”“教学流程”较多，但在为什么改、改什么等方面分析不够。对课堂教学改革，要从关注“教学环节”与“流程”，转向研究改进学生“学”与优化教师“教”，从学习原理角度系统研究，优化学生学法、优化教师教法、优化学习资源提供与组织方式。</w:t>
      </w:r>
    </w:p>
    <w:p>
      <w:pPr>
        <w:spacing w:line="600" w:lineRule="exact"/>
        <w:ind w:firstLine="642" w:firstLineChars="200"/>
        <w:rPr>
          <w:rFonts w:ascii="方正仿宋_GBK" w:hAnsi="宋体" w:eastAsia="方正仿宋_GBK" w:cs="宋体"/>
          <w:kern w:val="0"/>
          <w:sz w:val="32"/>
          <w:szCs w:val="32"/>
        </w:rPr>
      </w:pPr>
      <w:r>
        <w:rPr>
          <w:rFonts w:ascii="Times New Roman" w:hAnsi="Times New Roman" w:eastAsia="方正仿宋_GBK" w:cs="Times New Roman"/>
          <w:b/>
          <w:kern w:val="0"/>
          <w:sz w:val="32"/>
          <w:szCs w:val="32"/>
        </w:rPr>
        <w:t>7</w:t>
      </w:r>
      <w:r>
        <w:rPr>
          <w:rFonts w:hint="eastAsia" w:ascii="方正仿宋_GBK" w:hAnsi="宋体" w:eastAsia="方正仿宋_GBK" w:cs="宋体"/>
          <w:b/>
          <w:kern w:val="0"/>
          <w:sz w:val="32"/>
          <w:szCs w:val="32"/>
        </w:rPr>
        <w:t>．教师专业发展类项目。</w:t>
      </w:r>
      <w:r>
        <w:rPr>
          <w:rFonts w:hint="eastAsia" w:ascii="方正仿宋_GBK" w:hAnsi="宋体" w:eastAsia="方正仿宋_GBK" w:cs="宋体"/>
          <w:kern w:val="0"/>
          <w:sz w:val="32"/>
          <w:szCs w:val="32"/>
        </w:rPr>
        <w:t>评估发现，部分学校教师专业发展项目，共性方法多、有针对性方法少，效率较低；注重对教师的“培”（即培训），但忽视对教师的“养”（即激发教师自主发展）等。建议：一要从学校文化浸润、制度激励、校本研修、实践提升（课堂）、搭建展示平台等维度，探究这些方式与提升教师专业素养、教师专业幸福之间的内在关系，开展教师专业发展的系统设计；二要对相关教师的专业发展状况进行诊断，形成一人一目标一方案，以达成精准规划、精准指导；三要创新校本培训，通过教师专业发展同盟、采用可视化学习活动等方式，提高研修活动针对性和实效性；四要建立教师发展成长档案，跟踪教师进步与变化，开展校本研修策略与教师发展的有效性分析。</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rPr>
          <w:rFonts w:ascii="方正仿宋_GBK" w:hAnsi="宋体" w:eastAsia="方正仿宋_GBK" w:cs="宋体"/>
          <w:kern w:val="0"/>
          <w:sz w:val="32"/>
          <w:szCs w:val="32"/>
        </w:rPr>
      </w:pPr>
    </w:p>
    <w:p>
      <w:pPr>
        <w:adjustRightInd w:val="0"/>
        <w:snapToGrid w:val="0"/>
        <w:spacing w:line="600" w:lineRule="exact"/>
        <w:ind w:right="735" w:rightChars="350" w:firstLine="2720" w:firstLineChars="850"/>
        <w:jc w:val="distribute"/>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重庆市永川区教育委员会</w:t>
      </w:r>
    </w:p>
    <w:p>
      <w:pPr>
        <w:adjustRightInd w:val="0"/>
        <w:snapToGrid w:val="0"/>
        <w:spacing w:line="600" w:lineRule="exact"/>
        <w:ind w:right="735" w:rightChars="350" w:firstLine="2720" w:firstLineChars="85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重庆市永川区人民政府教育督导室</w:t>
      </w:r>
    </w:p>
    <w:p>
      <w:pPr>
        <w:spacing w:line="600" w:lineRule="exact"/>
        <w:rPr>
          <w:sz w:val="32"/>
          <w:szCs w:val="32"/>
        </w:rPr>
      </w:pPr>
      <w:r>
        <w:rPr>
          <w:rFonts w:hint="eastAsia" w:ascii="方正仿宋_GBK" w:hAnsi="宋体" w:eastAsia="方正仿宋_GBK" w:cs="宋体"/>
          <w:kern w:val="0"/>
          <w:sz w:val="32"/>
          <w:szCs w:val="32"/>
        </w:rPr>
        <w:t xml:space="preserve">                            </w:t>
      </w:r>
      <w:r>
        <w:rPr>
          <w:rFonts w:ascii="Times New Roman" w:hAnsi="Times New Roman" w:eastAsia="方正仿宋_GBK" w:cs="Times New Roman"/>
          <w:kern w:val="0"/>
          <w:sz w:val="32"/>
          <w:szCs w:val="32"/>
        </w:rPr>
        <w:t>2021</w:t>
      </w:r>
      <w:r>
        <w:rPr>
          <w:rFonts w:hint="eastAsia" w:ascii="方正仿宋_GBK" w:hAnsi="宋体" w:eastAsia="方正仿宋_GBK" w:cs="宋体"/>
          <w:kern w:val="0"/>
          <w:sz w:val="32"/>
          <w:szCs w:val="32"/>
        </w:rPr>
        <w:t>年</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月</w:t>
      </w:r>
      <w:r>
        <w:rPr>
          <w:rFonts w:ascii="Times New Roman" w:hAnsi="Times New Roman" w:eastAsia="方正仿宋_GBK" w:cs="Times New Roman"/>
          <w:kern w:val="0"/>
          <w:sz w:val="32"/>
          <w:szCs w:val="32"/>
        </w:rPr>
        <w:t>12</w:t>
      </w:r>
      <w:r>
        <w:rPr>
          <w:rFonts w:hint="eastAsia" w:ascii="方正仿宋_GBK" w:hAnsi="宋体" w:eastAsia="方正仿宋_GBK" w:cs="宋体"/>
          <w:kern w:val="0"/>
          <w:sz w:val="32"/>
          <w:szCs w:val="32"/>
        </w:rPr>
        <w:t>日</w:t>
      </w:r>
    </w:p>
    <w:p>
      <w:pPr>
        <w:spacing w:line="600" w:lineRule="exact"/>
        <w:ind w:firstLine="640" w:firstLineChars="20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（此件公开发布）</w:t>
      </w:r>
      <w:bookmarkStart w:id="11" w:name="_GoBack"/>
      <w:bookmarkEnd w:id="11"/>
    </w:p>
    <w:sectPr>
      <w:headerReference r:id="rId5" w:type="first"/>
      <w:footerReference r:id="rId8" w:type="first"/>
      <w:headerReference r:id="rId3" w:type="default"/>
      <w:footerReference r:id="rId6" w:type="default"/>
      <w:headerReference r:id="rId4" w:type="even"/>
      <w:footerReference r:id="rId7" w:type="even"/>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right"/>
      <w:rPr>
        <w:rStyle w:val="8"/>
      </w:rPr>
    </w:pP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- 15 -</w:t>
    </w:r>
    <w:r>
      <w:rPr>
        <w:rStyle w:val="8"/>
        <w:rFonts w:ascii="宋体" w:hAnsi="宋体" w:eastAsia="宋体"/>
        <w:sz w:val="28"/>
      </w:rPr>
      <w:fldChar w:fldCharType="end"/>
    </w:r>
  </w:p>
  <w:p>
    <w:pPr>
      <w:pStyle w:val="3"/>
      <w:ind w:right="360"/>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8"/>
      </w:rPr>
    </w:pP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- 14 -</w:t>
    </w:r>
    <w:r>
      <w:rPr>
        <w:rStyle w:val="8"/>
        <w:rFonts w:ascii="宋体" w:hAnsi="宋体" w:eastAsia="宋体"/>
        <w:sz w:val="2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FFD50D30000D0CD" w:val=" "/>
    <w:docVar w:name="5FFD6DD700003404" w:val=" "/>
    <w:docVar w:name="5FFD750E00001DB8" w:val=" "/>
  </w:docVars>
  <w:rsids>
    <w:rsidRoot w:val="00364B31"/>
    <w:rsid w:val="00016F65"/>
    <w:rsid w:val="0014417F"/>
    <w:rsid w:val="00151670"/>
    <w:rsid w:val="001A014D"/>
    <w:rsid w:val="001C042B"/>
    <w:rsid w:val="00256EB7"/>
    <w:rsid w:val="00286C64"/>
    <w:rsid w:val="002D354F"/>
    <w:rsid w:val="00316429"/>
    <w:rsid w:val="00364B31"/>
    <w:rsid w:val="00392A0B"/>
    <w:rsid w:val="00463541"/>
    <w:rsid w:val="00470B64"/>
    <w:rsid w:val="004B7716"/>
    <w:rsid w:val="004C7149"/>
    <w:rsid w:val="004D14D2"/>
    <w:rsid w:val="00515A4E"/>
    <w:rsid w:val="00560EB7"/>
    <w:rsid w:val="00561000"/>
    <w:rsid w:val="006A433C"/>
    <w:rsid w:val="006B02B0"/>
    <w:rsid w:val="006D2FA9"/>
    <w:rsid w:val="007036E9"/>
    <w:rsid w:val="007444F0"/>
    <w:rsid w:val="0079485C"/>
    <w:rsid w:val="00796CB1"/>
    <w:rsid w:val="007A680A"/>
    <w:rsid w:val="007C588B"/>
    <w:rsid w:val="007F7999"/>
    <w:rsid w:val="008012DF"/>
    <w:rsid w:val="0082360A"/>
    <w:rsid w:val="00845A60"/>
    <w:rsid w:val="008B53B5"/>
    <w:rsid w:val="008C0174"/>
    <w:rsid w:val="008C5DD5"/>
    <w:rsid w:val="008E5DB2"/>
    <w:rsid w:val="00900B1A"/>
    <w:rsid w:val="00914083"/>
    <w:rsid w:val="009415D8"/>
    <w:rsid w:val="00941E4F"/>
    <w:rsid w:val="009673F0"/>
    <w:rsid w:val="00976BB7"/>
    <w:rsid w:val="0099492D"/>
    <w:rsid w:val="009D4768"/>
    <w:rsid w:val="009F6E99"/>
    <w:rsid w:val="00A02B69"/>
    <w:rsid w:val="00A372B0"/>
    <w:rsid w:val="00A65441"/>
    <w:rsid w:val="00A70FC9"/>
    <w:rsid w:val="00B164AD"/>
    <w:rsid w:val="00BF1DBA"/>
    <w:rsid w:val="00C756A0"/>
    <w:rsid w:val="00D538C3"/>
    <w:rsid w:val="00DC32DD"/>
    <w:rsid w:val="00E07600"/>
    <w:rsid w:val="00E5276C"/>
    <w:rsid w:val="00ED715D"/>
    <w:rsid w:val="00EE5AB9"/>
    <w:rsid w:val="00F67ECF"/>
    <w:rsid w:val="00F84D9D"/>
    <w:rsid w:val="00F9128B"/>
    <w:rsid w:val="00FF36A8"/>
    <w:rsid w:val="0F7029A7"/>
    <w:rsid w:val="405D40CD"/>
    <w:rsid w:val="D77DE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Title"/>
    <w:basedOn w:val="1"/>
    <w:next w:val="1"/>
    <w:link w:val="11"/>
    <w:qFormat/>
    <w:uiPriority w:val="0"/>
    <w:pPr>
      <w:spacing w:line="579" w:lineRule="exact"/>
      <w:ind w:left="640" w:leftChars="200" w:right="640" w:rightChars="200"/>
      <w:jc w:val="center"/>
      <w:outlineLvl w:val="0"/>
    </w:pPr>
    <w:rPr>
      <w:rFonts w:ascii="Arial" w:hAnsi="Arial" w:eastAsia="方正小标宋简体" w:cs="Arial"/>
      <w:bCs/>
      <w:sz w:val="44"/>
      <w:szCs w:val="32"/>
    </w:rPr>
  </w:style>
  <w:style w:type="character" w:styleId="8">
    <w:name w:val="page number"/>
    <w:basedOn w:val="7"/>
    <w:semiHidden/>
    <w:unhideWhenUsed/>
    <w:qFormat/>
    <w:uiPriority w:val="99"/>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sz w:val="18"/>
      <w:szCs w:val="18"/>
    </w:rPr>
  </w:style>
  <w:style w:type="character" w:customStyle="1" w:styleId="11">
    <w:name w:val="标题 Char"/>
    <w:basedOn w:val="7"/>
    <w:link w:val="5"/>
    <w:qFormat/>
    <w:uiPriority w:val="0"/>
    <w:rPr>
      <w:rFonts w:ascii="Arial" w:hAnsi="Arial" w:eastAsia="方正小标宋简体" w:cs="Arial"/>
      <w:bCs/>
      <w:sz w:val="44"/>
      <w:szCs w:val="32"/>
    </w:rPr>
  </w:style>
  <w:style w:type="character" w:customStyle="1" w:styleId="12">
    <w:name w:val="标题 2 Char"/>
    <w:basedOn w:val="7"/>
    <w:link w:val="2"/>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3850</Words>
  <Characters>3927</Characters>
  <Lines>163</Lines>
  <Paragraphs>47</Paragraphs>
  <TotalTime>1</TotalTime>
  <ScaleCrop>false</ScaleCrop>
  <LinksUpToDate>false</LinksUpToDate>
  <CharactersWithSpaces>7730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2021-01-12T18:10:00Z</dcterms:created>
  <dc:creator>Microsoft</dc:creator>
  <cp:lastModifiedBy> </cp:lastModifiedBy>
  <dcterms:modified xsi:type="dcterms:W3CDTF">2023-11-02T16:43:28Z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