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drawing>
          <wp:anchor distT="0" distB="0" distL="114300" distR="114300" simplePos="0" relativeHeight="251660288" behindDoc="1" locked="0" layoutInCell="1" allowOverlap="1">
            <wp:simplePos x="0" y="0"/>
            <wp:positionH relativeFrom="page">
              <wp:posOffset>286385</wp:posOffset>
            </wp:positionH>
            <wp:positionV relativeFrom="page">
              <wp:posOffset>110490</wp:posOffset>
            </wp:positionV>
            <wp:extent cx="7038975" cy="10291445"/>
            <wp:effectExtent l="19050" t="0" r="9525" b="0"/>
            <wp:wrapNone/>
            <wp:docPr id="2" name="图片 2" descr="文头--教委普文"/>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文头--教委普文"/>
                    <pic:cNvPicPr preferRelativeResize="false">
                      <a:picLocks noChangeAspect="true" noChangeArrowheads="true"/>
                    </pic:cNvPicPr>
                  </pic:nvPicPr>
                  <pic:blipFill>
                    <a:blip r:embed="rId7"/>
                    <a:srcRect/>
                    <a:stretch>
                      <a:fillRect/>
                    </a:stretch>
                  </pic:blipFill>
                  <pic:spPr>
                    <a:xfrm>
                      <a:off x="0" y="0"/>
                      <a:ext cx="7038975" cy="10291445"/>
                    </a:xfrm>
                    <a:prstGeom prst="rect">
                      <a:avLst/>
                    </a:prstGeom>
                    <a:noFill/>
                    <a:ln w="9525">
                      <a:noFill/>
                      <a:miter lim="800000"/>
                      <a:headEnd/>
                      <a:tailEnd/>
                    </a:ln>
                  </pic:spPr>
                </pic:pic>
              </a:graphicData>
            </a:graphic>
          </wp:anchor>
        </w:drawing>
      </w:r>
    </w:p>
    <w:p>
      <w:pPr>
        <w:rPr>
          <w:rFonts w:hint="eastAsia" w:ascii="黑体" w:eastAsia="黑体"/>
          <w:sz w:val="32"/>
          <w:szCs w:val="32"/>
        </w:rPr>
      </w:pPr>
    </w:p>
    <w:p>
      <w:pPr>
        <w:tabs>
          <w:tab w:val="left" w:pos="2880"/>
        </w:tabs>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pStyle w:val="15"/>
        <w:rPr>
          <w:rFonts w:hint="eastAsia" w:ascii="黑体" w:eastAsia="黑体"/>
        </w:rPr>
      </w:pPr>
    </w:p>
    <w:p>
      <w:pPr>
        <w:pStyle w:val="15"/>
        <w:rPr>
          <w:rFonts w:hint="eastAsia"/>
        </w:rPr>
      </w:pPr>
    </w:p>
    <w:p>
      <w:pPr>
        <w:pStyle w:val="15"/>
        <w:rPr>
          <w:rFonts w:hint="eastAsia" w:ascii="Times New Roman" w:eastAsia="方正仿宋_GBK" w:cs="Times New Roman"/>
        </w:rPr>
      </w:pPr>
      <w:r>
        <w:rPr>
          <w:rFonts w:ascii="Times New Roman" w:eastAsia="方正仿宋_GBK" w:cs="Times New Roman"/>
        </w:rPr>
        <w:t>永教</w:t>
      </w:r>
      <w:r>
        <w:rPr>
          <w:rFonts w:hint="eastAsia" w:ascii="Times New Roman" w:eastAsia="方正仿宋_GBK" w:cs="Times New Roman"/>
        </w:rPr>
        <w:t>发</w:t>
      </w:r>
      <w:r>
        <w:rPr>
          <w:rFonts w:ascii="Times New Roman" w:eastAsia="方正仿宋_GBK" w:cs="Times New Roman"/>
        </w:rPr>
        <w:t>〔201</w:t>
      </w:r>
      <w:r>
        <w:rPr>
          <w:rFonts w:hint="eastAsia" w:ascii="Times New Roman" w:eastAsia="方正仿宋_GBK" w:cs="Times New Roman"/>
        </w:rPr>
        <w:t>8</w:t>
      </w:r>
      <w:r>
        <w:rPr>
          <w:rFonts w:ascii="Times New Roman" w:eastAsia="方正仿宋_GBK" w:cs="Times New Roman"/>
        </w:rPr>
        <w:t>〕</w:t>
      </w:r>
      <w:r>
        <w:rPr>
          <w:rFonts w:hint="eastAsia" w:ascii="Times New Roman" w:eastAsia="方正仿宋_GBK" w:cs="Times New Roman"/>
        </w:rPr>
        <w:t>2</w:t>
      </w:r>
      <w:r>
        <w:rPr>
          <w:rFonts w:ascii="Times New Roman" w:eastAsia="方正仿宋_GBK" w:cs="Times New Roman"/>
        </w:rPr>
        <w:t>号</w:t>
      </w:r>
    </w:p>
    <w:p>
      <w:pPr>
        <w:pStyle w:val="15"/>
        <w:rPr>
          <w:rFonts w:hint="eastAsia" w:ascii="Times New Roman" w:eastAsia="方正仿宋_GBK" w:cs="Times New Roman"/>
        </w:rPr>
      </w:pPr>
    </w:p>
    <w:p>
      <w:pPr>
        <w:pStyle w:val="7"/>
        <w:spacing w:line="600" w:lineRule="exact"/>
        <w:ind w:left="0" w:leftChars="0" w:right="420"/>
        <w:rPr>
          <w:rFonts w:hint="eastAsia" w:ascii="方正小标宋_GBK" w:eastAsia="方正小标宋_GBK"/>
          <w:b/>
          <w:szCs w:val="44"/>
        </w:rPr>
      </w:pPr>
      <w:r>
        <w:rPr>
          <w:rFonts w:hint="eastAsia" w:ascii="方正小标宋_GBK" w:eastAsia="方正小标宋_GBK"/>
          <w:b/>
          <w:szCs w:val="44"/>
        </w:rPr>
        <w:t>重庆市永川区教育委员会</w:t>
      </w:r>
    </w:p>
    <w:p>
      <w:pPr>
        <w:widowControl/>
        <w:spacing w:line="600" w:lineRule="exact"/>
        <w:jc w:val="center"/>
        <w:rPr>
          <w:rFonts w:ascii="方正小标宋_GBK" w:hAnsi="宋体" w:eastAsia="方正小标宋_GBK" w:cs="宋体"/>
          <w:b/>
          <w:kern w:val="0"/>
          <w:sz w:val="44"/>
          <w:szCs w:val="44"/>
        </w:rPr>
      </w:pPr>
      <w:r>
        <w:rPr>
          <w:rFonts w:hint="eastAsia" w:ascii="方正小标宋_GBK" w:hAnsi="宋体" w:eastAsia="方正小标宋_GBK" w:cs="宋体"/>
          <w:b/>
          <w:kern w:val="0"/>
          <w:sz w:val="44"/>
          <w:szCs w:val="44"/>
        </w:rPr>
        <w:t>关于印发《永川区教育系统资产管理</w:t>
      </w:r>
    </w:p>
    <w:p>
      <w:pPr>
        <w:widowControl/>
        <w:spacing w:line="600" w:lineRule="exact"/>
        <w:jc w:val="center"/>
        <w:rPr>
          <w:rFonts w:ascii="方正小标宋_GBK" w:hAnsi="宋体" w:eastAsia="方正小标宋_GBK" w:cs="宋体"/>
          <w:b/>
          <w:kern w:val="0"/>
          <w:sz w:val="44"/>
          <w:szCs w:val="44"/>
        </w:rPr>
      </w:pPr>
      <w:r>
        <w:rPr>
          <w:rFonts w:hint="eastAsia" w:ascii="方正小标宋_GBK" w:hAnsi="宋体" w:eastAsia="方正小标宋_GBK" w:cs="宋体"/>
          <w:b/>
          <w:kern w:val="0"/>
          <w:sz w:val="44"/>
          <w:szCs w:val="44"/>
        </w:rPr>
        <w:t>内部控制制度（试行）》的通知</w:t>
      </w:r>
    </w:p>
    <w:p>
      <w:pPr>
        <w:widowControl/>
        <w:spacing w:line="600" w:lineRule="exact"/>
        <w:ind w:firstLine="726" w:firstLineChars="165"/>
        <w:rPr>
          <w:rFonts w:ascii="方正小标宋_GBK" w:hAnsi="宋体" w:eastAsia="方正小标宋_GBK" w:cs="宋体"/>
          <w:kern w:val="0"/>
          <w:sz w:val="44"/>
          <w:szCs w:val="44"/>
        </w:rPr>
      </w:pPr>
    </w:p>
    <w:p>
      <w:pPr>
        <w:widowControl/>
        <w:spacing w:line="600" w:lineRule="exact"/>
        <w:rPr>
          <w:rFonts w:ascii="方正楷体_GBK" w:hAnsi="宋体" w:eastAsia="方正楷体_GBK" w:cs="宋体"/>
          <w:kern w:val="0"/>
          <w:sz w:val="32"/>
          <w:szCs w:val="32"/>
        </w:rPr>
      </w:pPr>
      <w:r>
        <w:rPr>
          <w:rFonts w:hint="eastAsia" w:ascii="方正楷体_GBK" w:hAnsi="宋体" w:eastAsia="方正楷体_GBK" w:cs="宋体"/>
          <w:kern w:val="0"/>
          <w:sz w:val="32"/>
          <w:szCs w:val="32"/>
        </w:rPr>
        <w:t>各中小学、幼儿园、特教学校、教委机关及直属事业单位:</w:t>
      </w:r>
    </w:p>
    <w:p>
      <w:pPr>
        <w:widowControl/>
        <w:spacing w:line="600" w:lineRule="exact"/>
        <w:ind w:firstLine="528" w:firstLineChars="165"/>
        <w:rPr>
          <w:rFonts w:ascii="方正楷体_GBK" w:hAnsi="宋体" w:eastAsia="方正楷体_GBK" w:cs="宋体"/>
          <w:kern w:val="0"/>
          <w:sz w:val="32"/>
          <w:szCs w:val="32"/>
        </w:rPr>
      </w:pPr>
      <w:r>
        <w:rPr>
          <w:rFonts w:hint="eastAsia" w:ascii="方正楷体_GBK" w:hAnsi="宋体" w:eastAsia="方正楷体_GBK" w:cs="宋体"/>
          <w:kern w:val="0"/>
          <w:sz w:val="32"/>
          <w:szCs w:val="32"/>
        </w:rPr>
        <w:t>《永川区教育系统资产管理内部控制制度（试行）》已经区教委主任办公会审议通过，现印发给你们，请遵照执行。</w:t>
      </w:r>
    </w:p>
    <w:p>
      <w:pPr>
        <w:widowControl/>
        <w:spacing w:line="600" w:lineRule="exact"/>
        <w:ind w:firstLine="528" w:firstLineChars="165"/>
        <w:rPr>
          <w:rFonts w:ascii="方正楷体_GBK" w:hAnsi="宋体" w:eastAsia="方正楷体_GBK" w:cs="宋体"/>
          <w:kern w:val="0"/>
          <w:sz w:val="32"/>
          <w:szCs w:val="32"/>
        </w:rPr>
      </w:pPr>
    </w:p>
    <w:p>
      <w:pPr>
        <w:widowControl/>
        <w:spacing w:line="600" w:lineRule="exact"/>
        <w:ind w:firstLine="528" w:firstLineChars="165"/>
        <w:jc w:val="right"/>
        <w:rPr>
          <w:rFonts w:ascii="方正楷体_GBK" w:hAnsi="宋体" w:eastAsia="方正楷体_GBK" w:cs="宋体"/>
          <w:kern w:val="0"/>
          <w:sz w:val="32"/>
          <w:szCs w:val="32"/>
        </w:rPr>
      </w:pPr>
    </w:p>
    <w:p>
      <w:pPr>
        <w:widowControl/>
        <w:spacing w:line="600" w:lineRule="exact"/>
        <w:ind w:right="640" w:firstLine="528" w:firstLineChars="165"/>
        <w:jc w:val="right"/>
        <w:rPr>
          <w:rFonts w:ascii="方正楷体_GBK" w:hAnsi="宋体" w:eastAsia="方正楷体_GBK" w:cs="宋体"/>
          <w:kern w:val="0"/>
          <w:sz w:val="32"/>
          <w:szCs w:val="32"/>
        </w:rPr>
      </w:pPr>
      <w:r>
        <w:rPr>
          <w:rFonts w:hint="eastAsia" w:ascii="方正楷体_GBK" w:hAnsi="宋体" w:eastAsia="方正楷体_GBK" w:cs="宋体"/>
          <w:kern w:val="0"/>
          <w:sz w:val="32"/>
          <w:szCs w:val="32"/>
        </w:rPr>
        <w:t>重庆市永川区教育委员会</w:t>
      </w:r>
    </w:p>
    <w:p>
      <w:pPr>
        <w:widowControl/>
        <w:spacing w:line="600" w:lineRule="exact"/>
        <w:ind w:right="1440" w:firstLine="528" w:firstLineChars="165"/>
        <w:jc w:val="right"/>
        <w:rPr>
          <w:rFonts w:ascii="方正楷体_GBK" w:hAnsi="宋体" w:eastAsia="方正楷体_GBK" w:cs="宋体"/>
          <w:kern w:val="0"/>
          <w:sz w:val="32"/>
          <w:szCs w:val="32"/>
        </w:rPr>
      </w:pPr>
      <w:r>
        <w:rPr>
          <w:rFonts w:hint="eastAsia" w:ascii="方正楷体_GBK" w:hAnsi="宋体" w:eastAsia="方正楷体_GBK" w:cs="宋体"/>
          <w:kern w:val="0"/>
          <w:sz w:val="32"/>
          <w:szCs w:val="32"/>
        </w:rPr>
        <w:t>2018年3月9日</w:t>
      </w:r>
    </w:p>
    <w:p>
      <w:pPr>
        <w:spacing w:line="600" w:lineRule="exact"/>
        <w:rPr>
          <w:rFonts w:ascii="方正小标宋_GBK" w:hAnsi="宋体" w:eastAsia="方正小标宋_GBK"/>
          <w:sz w:val="44"/>
          <w:szCs w:val="44"/>
        </w:rPr>
      </w:pPr>
    </w:p>
    <w:p>
      <w:pPr>
        <w:spacing w:line="600" w:lineRule="exact"/>
        <w:ind w:firstLine="728" w:firstLineChars="165"/>
        <w:jc w:val="center"/>
        <w:rPr>
          <w:rFonts w:ascii="方正小标宋_GBK" w:hAnsi="宋体" w:eastAsia="方正小标宋_GBK"/>
          <w:b/>
          <w:sz w:val="44"/>
          <w:szCs w:val="44"/>
        </w:rPr>
      </w:pPr>
      <w:r>
        <w:rPr>
          <w:rFonts w:hint="eastAsia" w:ascii="方正小标宋_GBK" w:hAnsi="宋体" w:eastAsia="方正小标宋_GBK"/>
          <w:b/>
          <w:sz w:val="44"/>
          <w:szCs w:val="44"/>
        </w:rPr>
        <w:t>永川区教育系统资产管理内部控制制度</w:t>
      </w:r>
    </w:p>
    <w:p>
      <w:pPr>
        <w:spacing w:line="600" w:lineRule="exact"/>
        <w:ind w:firstLine="728" w:firstLineChars="165"/>
        <w:jc w:val="center"/>
        <w:rPr>
          <w:rFonts w:ascii="方正小标宋_GBK" w:hAnsi="宋体" w:eastAsia="方正小标宋_GBK"/>
          <w:b/>
          <w:sz w:val="44"/>
          <w:szCs w:val="44"/>
        </w:rPr>
      </w:pPr>
      <w:r>
        <w:rPr>
          <w:rFonts w:hint="eastAsia" w:ascii="方正小标宋_GBK" w:hAnsi="宋体" w:eastAsia="方正小标宋_GBK"/>
          <w:b/>
          <w:sz w:val="44"/>
          <w:szCs w:val="44"/>
        </w:rPr>
        <w:t>（试行）</w:t>
      </w:r>
    </w:p>
    <w:p>
      <w:pPr>
        <w:spacing w:line="600" w:lineRule="exact"/>
        <w:ind w:firstLine="346" w:firstLineChars="165"/>
        <w:jc w:val="center"/>
      </w:pPr>
    </w:p>
    <w:p>
      <w:pPr>
        <w:adjustRightInd w:val="0"/>
        <w:snapToGrid w:val="0"/>
        <w:spacing w:line="600" w:lineRule="exact"/>
        <w:ind w:firstLine="566" w:firstLineChars="177"/>
        <w:jc w:val="center"/>
        <w:rPr>
          <w:rFonts w:ascii="方正黑体_GBK" w:hAnsi="Calibri" w:eastAsia="方正黑体_GBK" w:cs="Times New Roman"/>
          <w:color w:val="000000"/>
          <w:sz w:val="32"/>
          <w:szCs w:val="32"/>
        </w:rPr>
      </w:pPr>
      <w:r>
        <w:rPr>
          <w:rFonts w:hint="eastAsia" w:ascii="方正黑体_GBK" w:hAnsi="Calibri" w:eastAsia="方正黑体_GBK" w:cs="Times New Roman"/>
          <w:color w:val="000000"/>
          <w:sz w:val="32"/>
          <w:szCs w:val="32"/>
        </w:rPr>
        <w:t>第一章  总  则</w:t>
      </w:r>
    </w:p>
    <w:p>
      <w:pPr>
        <w:spacing w:line="600" w:lineRule="exact"/>
        <w:ind w:firstLine="684" w:firstLineChars="213"/>
        <w:rPr>
          <w:rFonts w:ascii="方正仿宋_GBK" w:eastAsia="方正仿宋_GBK"/>
          <w:sz w:val="32"/>
          <w:szCs w:val="32"/>
        </w:rPr>
      </w:pPr>
      <w:r>
        <w:rPr>
          <w:rFonts w:hint="eastAsia" w:ascii="方正楷体_GBK" w:hAnsi="宋体" w:eastAsia="方正楷体_GBK"/>
          <w:b/>
          <w:sz w:val="32"/>
          <w:szCs w:val="32"/>
        </w:rPr>
        <w:t>第一条</w:t>
      </w:r>
      <w:r>
        <w:rPr>
          <w:rFonts w:hint="eastAsia" w:ascii="方正楷体_GBK" w:eastAsia="方正楷体_GBK"/>
          <w:b/>
          <w:sz w:val="32"/>
          <w:szCs w:val="32"/>
        </w:rPr>
        <w:t xml:space="preserve"> </w:t>
      </w:r>
      <w:r>
        <w:rPr>
          <w:rFonts w:hint="eastAsia" w:ascii="方正仿宋_GBK" w:eastAsia="方正仿宋_GBK"/>
          <w:sz w:val="32"/>
          <w:szCs w:val="32"/>
        </w:rPr>
        <w:t xml:space="preserve"> 本制度根据</w:t>
      </w:r>
      <w:r>
        <w:rPr>
          <w:rFonts w:hint="eastAsia" w:ascii="方正仿宋_GBK" w:hAnsi="宋体" w:eastAsia="方正仿宋_GBK" w:cs="宋体"/>
          <w:color w:val="333333"/>
          <w:kern w:val="0"/>
          <w:sz w:val="32"/>
          <w:szCs w:val="32"/>
        </w:rPr>
        <w:t>《事业单位财务规则》、《中小学财务制度》及</w:t>
      </w:r>
      <w:r>
        <w:rPr>
          <w:rFonts w:hint="eastAsia" w:ascii="方正仿宋_GBK" w:eastAsia="方正仿宋_GBK"/>
          <w:sz w:val="32"/>
          <w:szCs w:val="32"/>
        </w:rPr>
        <w:t>区教委《关于印发进一步完善教育系统内部控制制度建设工作方案的通知》（</w:t>
      </w:r>
      <w:r>
        <w:rPr>
          <w:rFonts w:hint="eastAsia" w:ascii="方正仿宋_GBK" w:hAnsi="宋体" w:eastAsia="方正仿宋_GBK"/>
          <w:sz w:val="32"/>
          <w:szCs w:val="32"/>
        </w:rPr>
        <w:t>永教办〔2018〕14号</w:t>
      </w:r>
      <w:r>
        <w:rPr>
          <w:rFonts w:hint="eastAsia" w:ascii="方正仿宋_GBK" w:eastAsia="方正仿宋_GBK"/>
          <w:sz w:val="32"/>
          <w:szCs w:val="32"/>
        </w:rPr>
        <w:t>）文件精神制定。</w:t>
      </w:r>
    </w:p>
    <w:p>
      <w:pPr>
        <w:spacing w:line="600" w:lineRule="exact"/>
        <w:ind w:firstLine="684" w:firstLineChars="213"/>
        <w:rPr>
          <w:rFonts w:ascii="方正仿宋_GBK" w:eastAsia="方正仿宋_GBK"/>
          <w:sz w:val="32"/>
          <w:szCs w:val="32"/>
        </w:rPr>
      </w:pPr>
      <w:r>
        <w:rPr>
          <w:rFonts w:hint="eastAsia" w:ascii="方正楷体_GBK" w:hAnsi="宋体" w:eastAsia="方正楷体_GBK"/>
          <w:b/>
          <w:sz w:val="32"/>
          <w:szCs w:val="32"/>
        </w:rPr>
        <w:t xml:space="preserve">第二条 </w:t>
      </w:r>
      <w:r>
        <w:rPr>
          <w:rFonts w:hint="eastAsia" w:ascii="方正仿宋_GBK" w:hAnsi="宋体" w:eastAsia="方正仿宋_GBK"/>
          <w:b/>
          <w:sz w:val="32"/>
          <w:szCs w:val="32"/>
        </w:rPr>
        <w:t xml:space="preserve"> </w:t>
      </w:r>
      <w:r>
        <w:rPr>
          <w:rFonts w:hint="eastAsia" w:ascii="方正仿宋_GBK" w:eastAsia="方正仿宋_GBK"/>
          <w:sz w:val="32"/>
          <w:szCs w:val="32"/>
        </w:rPr>
        <w:t>本制度适用于永川区各中小学、幼儿园、特教学校、教委机关及直属事业单位。</w:t>
      </w:r>
    </w:p>
    <w:p>
      <w:pPr>
        <w:spacing w:line="600" w:lineRule="exact"/>
        <w:ind w:firstLine="684" w:firstLineChars="213"/>
        <w:rPr>
          <w:rFonts w:ascii="方正仿宋_GBK" w:hAnsi="宋体" w:eastAsia="方正仿宋_GBK"/>
          <w:b/>
          <w:sz w:val="32"/>
          <w:szCs w:val="32"/>
        </w:rPr>
      </w:pPr>
      <w:r>
        <w:rPr>
          <w:rFonts w:hint="eastAsia" w:ascii="方正楷体_GBK" w:hAnsi="宋体" w:eastAsia="方正楷体_GBK"/>
          <w:b/>
          <w:sz w:val="32"/>
          <w:szCs w:val="32"/>
        </w:rPr>
        <w:t xml:space="preserve">第三条 </w:t>
      </w:r>
      <w:r>
        <w:rPr>
          <w:rFonts w:hint="eastAsia" w:ascii="方正仿宋_GBK" w:eastAsia="方正仿宋_GBK"/>
          <w:sz w:val="32"/>
          <w:szCs w:val="32"/>
        </w:rPr>
        <w:t xml:space="preserve"> 资产是指学校占有或者使用的能以货币计量的经济资源，包括流动资产、固定资产、在建工程、无形资产和对外投资等。</w:t>
      </w:r>
    </w:p>
    <w:p>
      <w:pPr>
        <w:spacing w:line="600" w:lineRule="exact"/>
        <w:ind w:firstLine="684" w:firstLineChars="213"/>
        <w:rPr>
          <w:rFonts w:ascii="方正仿宋_GBK" w:eastAsia="方正仿宋_GBK"/>
          <w:sz w:val="32"/>
          <w:szCs w:val="32"/>
        </w:rPr>
      </w:pPr>
      <w:r>
        <w:rPr>
          <w:rFonts w:hint="eastAsia" w:ascii="方正楷体_GBK" w:hAnsi="宋体" w:eastAsia="方正楷体_GBK"/>
          <w:b/>
          <w:sz w:val="32"/>
          <w:szCs w:val="32"/>
        </w:rPr>
        <w:t xml:space="preserve">第四条 </w:t>
      </w:r>
      <w:r>
        <w:rPr>
          <w:rFonts w:hint="eastAsia" w:ascii="方正仿宋_GBK" w:hAnsi="宋体" w:eastAsia="方正仿宋_GBK"/>
          <w:b/>
          <w:sz w:val="32"/>
          <w:szCs w:val="32"/>
        </w:rPr>
        <w:t xml:space="preserve"> </w:t>
      </w:r>
      <w:r>
        <w:rPr>
          <w:rFonts w:hint="eastAsia" w:ascii="方正仿宋_GBK" w:eastAsia="方正仿宋_GBK"/>
          <w:sz w:val="32"/>
          <w:szCs w:val="32"/>
        </w:rPr>
        <w:t>本制度旨在强化国有资产管理，提高国有资产管理质量，确保国有资产的高效运行和安全完整，防止国有资产闲置浪费、人为毁损和贪污挪用的行为发生。</w:t>
      </w:r>
    </w:p>
    <w:p>
      <w:pPr>
        <w:spacing w:line="600" w:lineRule="exact"/>
        <w:ind w:firstLine="684" w:firstLineChars="213"/>
        <w:rPr>
          <w:rFonts w:ascii="方正仿宋_GBK" w:eastAsia="方正仿宋_GBK"/>
          <w:sz w:val="32"/>
          <w:szCs w:val="32"/>
        </w:rPr>
      </w:pPr>
      <w:r>
        <w:rPr>
          <w:rFonts w:hint="eastAsia" w:ascii="方正楷体_GBK" w:hAnsi="宋体" w:eastAsia="方正楷体_GBK"/>
          <w:b/>
          <w:sz w:val="32"/>
          <w:szCs w:val="32"/>
        </w:rPr>
        <w:t xml:space="preserve">第五条 </w:t>
      </w:r>
      <w:r>
        <w:rPr>
          <w:rFonts w:hint="eastAsia" w:ascii="方正仿宋_GBK" w:eastAsia="方正仿宋_GBK"/>
          <w:sz w:val="32"/>
          <w:szCs w:val="32"/>
        </w:rPr>
        <w:t xml:space="preserve"> 全区教育系统行政事业单位要结合本单位国有资产管理实际情况制定相应的内部控制制度，并认真落实。</w:t>
      </w:r>
    </w:p>
    <w:p>
      <w:pPr>
        <w:spacing w:line="600" w:lineRule="exact"/>
        <w:ind w:firstLine="684" w:firstLineChars="213"/>
        <w:rPr>
          <w:rFonts w:ascii="方正黑体_GBK" w:hAnsi="宋体" w:eastAsia="方正黑体_GBK"/>
          <w:b/>
          <w:sz w:val="32"/>
          <w:szCs w:val="32"/>
        </w:rPr>
      </w:pPr>
    </w:p>
    <w:p>
      <w:pPr>
        <w:spacing w:line="600" w:lineRule="exact"/>
        <w:ind w:firstLine="684" w:firstLineChars="213"/>
        <w:jc w:val="center"/>
        <w:rPr>
          <w:rFonts w:ascii="方正黑体_GBK" w:hAnsi="宋体" w:eastAsia="方正黑体_GBK"/>
          <w:b/>
          <w:sz w:val="32"/>
          <w:szCs w:val="32"/>
        </w:rPr>
      </w:pPr>
      <w:r>
        <w:rPr>
          <w:rFonts w:hint="eastAsia" w:ascii="方正黑体_GBK" w:hAnsi="宋体" w:eastAsia="方正黑体_GBK"/>
          <w:b/>
          <w:sz w:val="32"/>
          <w:szCs w:val="32"/>
        </w:rPr>
        <w:t>第二章  管理体制</w:t>
      </w:r>
    </w:p>
    <w:p>
      <w:pPr>
        <w:adjustRightInd w:val="0"/>
        <w:snapToGrid w:val="0"/>
        <w:spacing w:line="600" w:lineRule="exact"/>
        <w:ind w:firstLine="684" w:firstLineChars="213"/>
        <w:rPr>
          <w:rFonts w:ascii="方正仿宋_GBK" w:hAnsi="宋体" w:eastAsia="方正仿宋_GBK"/>
          <w:sz w:val="32"/>
          <w:szCs w:val="32"/>
        </w:rPr>
      </w:pPr>
      <w:r>
        <w:rPr>
          <w:rFonts w:hint="eastAsia" w:ascii="方正楷体_GBK" w:hAnsi="宋体" w:eastAsia="方正楷体_GBK"/>
          <w:b/>
          <w:sz w:val="32"/>
          <w:szCs w:val="32"/>
        </w:rPr>
        <w:t xml:space="preserve">第六条  </w:t>
      </w:r>
      <w:r>
        <w:rPr>
          <w:rFonts w:hint="eastAsia" w:ascii="方正仿宋_GBK" w:hAnsi="宋体" w:eastAsia="方正仿宋_GBK"/>
          <w:sz w:val="32"/>
          <w:szCs w:val="32"/>
        </w:rPr>
        <w:t>国有资产管理实行 “统一领导，分类归口，分级管理，责任到人”的管理体制。在单位负责人的领导下，财务部门对资产的价值进行管理，资产部门对资产的实物和信息系统进行管理；各归口使用部门具体管理本部门的资产，职工个人管理自己所使用的资产。</w:t>
      </w:r>
    </w:p>
    <w:p>
      <w:pPr>
        <w:spacing w:line="600" w:lineRule="exact"/>
        <w:ind w:firstLine="684" w:firstLineChars="213"/>
        <w:rPr>
          <w:rFonts w:ascii="方正黑体_GBK" w:hAnsi="宋体" w:eastAsia="方正黑体_GBK"/>
          <w:b/>
          <w:sz w:val="32"/>
          <w:szCs w:val="32"/>
        </w:rPr>
      </w:pPr>
    </w:p>
    <w:p>
      <w:pPr>
        <w:spacing w:line="600" w:lineRule="exact"/>
        <w:ind w:firstLine="684" w:firstLineChars="213"/>
        <w:jc w:val="center"/>
        <w:rPr>
          <w:rFonts w:ascii="方正黑体_GBK" w:hAnsi="宋体" w:eastAsia="方正黑体_GBK"/>
          <w:b/>
          <w:sz w:val="32"/>
          <w:szCs w:val="32"/>
        </w:rPr>
      </w:pPr>
      <w:r>
        <w:rPr>
          <w:rFonts w:hint="eastAsia" w:ascii="方正黑体_GBK" w:hAnsi="宋体" w:eastAsia="方正黑体_GBK"/>
          <w:b/>
          <w:sz w:val="32"/>
          <w:szCs w:val="32"/>
        </w:rPr>
        <w:t>第三章  管理机构与职责</w:t>
      </w:r>
    </w:p>
    <w:p>
      <w:pPr>
        <w:spacing w:line="600" w:lineRule="exact"/>
        <w:ind w:firstLine="684" w:firstLineChars="213"/>
        <w:rPr>
          <w:rFonts w:ascii="方正仿宋_GBK" w:eastAsia="方正仿宋_GBK"/>
          <w:sz w:val="32"/>
          <w:szCs w:val="32"/>
        </w:rPr>
      </w:pPr>
      <w:r>
        <w:rPr>
          <w:rFonts w:hint="eastAsia" w:ascii="方正楷体_GBK" w:hAnsi="宋体" w:eastAsia="方正楷体_GBK"/>
          <w:b/>
          <w:sz w:val="32"/>
          <w:szCs w:val="32"/>
        </w:rPr>
        <w:t xml:space="preserve">第七条 </w:t>
      </w:r>
      <w:r>
        <w:rPr>
          <w:rFonts w:hint="eastAsia" w:ascii="方正黑体_GBK" w:hAnsi="宋体" w:eastAsia="方正黑体_GBK"/>
          <w:b/>
          <w:sz w:val="32"/>
          <w:szCs w:val="32"/>
        </w:rPr>
        <w:t xml:space="preserve"> </w:t>
      </w:r>
      <w:r>
        <w:rPr>
          <w:rFonts w:hint="eastAsia" w:ascii="方正仿宋_GBK" w:eastAsia="方正仿宋_GBK"/>
          <w:sz w:val="32"/>
          <w:szCs w:val="32"/>
        </w:rPr>
        <w:t>成立永川区教育系统</w:t>
      </w:r>
      <w:r>
        <w:rPr>
          <w:rFonts w:hint="eastAsia" w:ascii="方正仿宋_GBK" w:hAnsi="宋体" w:eastAsia="方正仿宋_GBK"/>
          <w:sz w:val="32"/>
          <w:szCs w:val="32"/>
        </w:rPr>
        <w:t>国有资产管理领导小组</w:t>
      </w:r>
      <w:r>
        <w:rPr>
          <w:rFonts w:hint="eastAsia" w:ascii="方正仿宋_GBK" w:eastAsia="方正仿宋_GBK"/>
          <w:sz w:val="32"/>
          <w:szCs w:val="32"/>
        </w:rPr>
        <w:t>。由区教委主任任组长,分管财务后勤的副主任任副组长,成员由财务审计科、人事科、建管中心、教育经费核算中心等相关科室及直属单位负责人和派驻</w:t>
      </w:r>
      <w:r>
        <w:rPr>
          <w:rFonts w:hint="eastAsia" w:ascii="方正仿宋_GBK" w:hAnsi="宋体" w:eastAsia="方正仿宋_GBK" w:cs="宋体"/>
          <w:color w:val="333333"/>
          <w:kern w:val="0"/>
          <w:sz w:val="32"/>
          <w:szCs w:val="32"/>
        </w:rPr>
        <w:t>纪检监察机构负责人组成</w:t>
      </w:r>
      <w:r>
        <w:rPr>
          <w:rFonts w:hint="eastAsia" w:ascii="方正仿宋_GBK" w:eastAsia="方正仿宋_GBK"/>
          <w:sz w:val="32"/>
          <w:szCs w:val="32"/>
        </w:rPr>
        <w:t>。领导小组组长对教育系统资产管理负总责，具体事务由财务审计科牵头组织开展，人事科、建管中心、教育经费核算中心等负责监督检查,</w:t>
      </w:r>
      <w:r>
        <w:rPr>
          <w:rFonts w:hint="eastAsia" w:ascii="方正仿宋_GBK" w:hAnsi="宋体" w:eastAsia="方正仿宋_GBK" w:cs="宋体"/>
          <w:color w:val="333333"/>
          <w:kern w:val="0"/>
          <w:sz w:val="32"/>
          <w:szCs w:val="32"/>
        </w:rPr>
        <w:t xml:space="preserve"> 纪检监察机构</w:t>
      </w:r>
      <w:r>
        <w:rPr>
          <w:rFonts w:hint="eastAsia" w:ascii="方正仿宋_GBK" w:eastAsia="方正仿宋_GBK"/>
          <w:sz w:val="32"/>
          <w:szCs w:val="32"/>
        </w:rPr>
        <w:t>负责全过程再监督。</w:t>
      </w:r>
    </w:p>
    <w:p>
      <w:pPr>
        <w:widowControl/>
        <w:shd w:val="clear" w:color="auto" w:fill="FFFFFF"/>
        <w:spacing w:line="600" w:lineRule="exact"/>
        <w:ind w:firstLine="684" w:firstLineChars="213"/>
        <w:rPr>
          <w:rFonts w:ascii="方正仿宋_GBK" w:eastAsia="方正仿宋_GBK"/>
          <w:sz w:val="32"/>
          <w:szCs w:val="32"/>
        </w:rPr>
      </w:pPr>
      <w:r>
        <w:rPr>
          <w:rFonts w:hint="eastAsia" w:ascii="方正楷体_GBK" w:hAnsi="宋体" w:eastAsia="方正楷体_GBK"/>
          <w:b/>
          <w:sz w:val="32"/>
          <w:szCs w:val="32"/>
        </w:rPr>
        <w:t xml:space="preserve">第八条  </w:t>
      </w:r>
      <w:r>
        <w:rPr>
          <w:rFonts w:hint="eastAsia" w:ascii="方正仿宋_GBK" w:eastAsia="方正仿宋_GBK"/>
          <w:sz w:val="32"/>
          <w:szCs w:val="32"/>
        </w:rPr>
        <w:t>永川区教育系统国有资产管理领导小组职责：</w:t>
      </w:r>
      <w:r>
        <w:rPr>
          <w:rFonts w:ascii="方正仿宋_GBK" w:eastAsia="方正仿宋_GBK"/>
          <w:sz w:val="32"/>
          <w:szCs w:val="32"/>
        </w:rPr>
        <w:t>承担</w:t>
      </w:r>
      <w:r>
        <w:rPr>
          <w:rFonts w:hint="eastAsia" w:ascii="方正仿宋_GBK" w:eastAsia="方正仿宋_GBK"/>
          <w:sz w:val="32"/>
          <w:szCs w:val="32"/>
        </w:rPr>
        <w:t>好</w:t>
      </w:r>
      <w:r>
        <w:rPr>
          <w:rFonts w:ascii="方正仿宋_GBK" w:eastAsia="方正仿宋_GBK"/>
          <w:sz w:val="32"/>
          <w:szCs w:val="32"/>
        </w:rPr>
        <w:t>所属行政事业单位国有资产的组织管理职责</w:t>
      </w:r>
      <w:r>
        <w:rPr>
          <w:rFonts w:hint="eastAsia" w:ascii="方正仿宋_GBK" w:eastAsia="方正仿宋_GBK"/>
          <w:sz w:val="32"/>
          <w:szCs w:val="32"/>
        </w:rPr>
        <w:t>，</w:t>
      </w:r>
      <w:r>
        <w:rPr>
          <w:rFonts w:ascii="方正仿宋_GBK" w:eastAsia="方正仿宋_GBK"/>
          <w:sz w:val="32"/>
          <w:szCs w:val="32"/>
        </w:rPr>
        <w:t>认真组织实施资产管理规章制度</w:t>
      </w:r>
      <w:r>
        <w:rPr>
          <w:rFonts w:hint="eastAsia" w:ascii="方正仿宋_GBK" w:eastAsia="方正仿宋_GBK"/>
          <w:sz w:val="32"/>
          <w:szCs w:val="32"/>
        </w:rPr>
        <w:t>，</w:t>
      </w:r>
      <w:r>
        <w:rPr>
          <w:rFonts w:ascii="方正仿宋_GBK" w:eastAsia="方正仿宋_GBK"/>
          <w:sz w:val="32"/>
          <w:szCs w:val="32"/>
        </w:rPr>
        <w:t>加强国有资产配置、使用、处置等事项的审核和监督管理</w:t>
      </w:r>
      <w:r>
        <w:rPr>
          <w:rFonts w:hint="eastAsia" w:ascii="方正仿宋_GBK" w:eastAsia="方正仿宋_GBK"/>
          <w:sz w:val="32"/>
          <w:szCs w:val="32"/>
        </w:rPr>
        <w:t>，</w:t>
      </w:r>
      <w:r>
        <w:rPr>
          <w:rFonts w:ascii="方正仿宋_GBK" w:eastAsia="方正仿宋_GBK"/>
          <w:sz w:val="32"/>
          <w:szCs w:val="32"/>
        </w:rPr>
        <w:t>组织实施对所属行政事业单位资产管理情况的考核评价。</w:t>
      </w:r>
    </w:p>
    <w:p>
      <w:pPr>
        <w:spacing w:line="600" w:lineRule="exact"/>
        <w:ind w:firstLine="684" w:firstLineChars="213"/>
        <w:rPr>
          <w:rFonts w:ascii="方正仿宋_GBK" w:eastAsia="方正仿宋_GBK"/>
          <w:sz w:val="32"/>
          <w:szCs w:val="32"/>
        </w:rPr>
      </w:pPr>
      <w:r>
        <w:rPr>
          <w:rFonts w:hint="eastAsia" w:ascii="方正楷体_GBK" w:hAnsi="宋体" w:eastAsia="方正楷体_GBK"/>
          <w:b/>
          <w:sz w:val="32"/>
          <w:szCs w:val="32"/>
        </w:rPr>
        <w:t xml:space="preserve">第九条 </w:t>
      </w:r>
      <w:r>
        <w:rPr>
          <w:rFonts w:hint="eastAsia" w:ascii="方正仿宋_GBK" w:eastAsia="方正仿宋_GBK"/>
          <w:b/>
          <w:sz w:val="32"/>
          <w:szCs w:val="32"/>
        </w:rPr>
        <w:t xml:space="preserve"> </w:t>
      </w:r>
      <w:r>
        <w:rPr>
          <w:rFonts w:hint="eastAsia" w:ascii="方正仿宋_GBK" w:eastAsia="方正仿宋_GBK"/>
          <w:sz w:val="32"/>
          <w:szCs w:val="32"/>
        </w:rPr>
        <w:t>全区教育系统</w:t>
      </w:r>
      <w:r>
        <w:rPr>
          <w:rFonts w:hint="eastAsia" w:ascii="方正仿宋_GBK" w:hAnsi="宋体" w:eastAsia="方正仿宋_GBK"/>
          <w:sz w:val="32"/>
          <w:szCs w:val="32"/>
        </w:rPr>
        <w:t>各单位要成立本单位资产管理领导小组，并明确成员具体职责。单位主要领导对资产管理负总责，分管领导主管，资产管理部门分管，资产管理员和财务管理员分工具体管理。领导小组成员各自职责要上墙公示，成员间要加强工作衔接，分工协作，做好资产的配置、入账、调剂、使用和处置等管理，</w:t>
      </w:r>
      <w:r>
        <w:rPr>
          <w:rFonts w:hint="eastAsia" w:ascii="方正仿宋_GBK" w:eastAsia="方正仿宋_GBK"/>
          <w:sz w:val="32"/>
          <w:szCs w:val="32"/>
        </w:rPr>
        <w:t>保障本单位职能的正常履行和国有资产的安全完整。</w:t>
      </w:r>
    </w:p>
    <w:p>
      <w:pPr>
        <w:spacing w:line="600" w:lineRule="exact"/>
        <w:ind w:firstLine="684" w:firstLineChars="213"/>
        <w:rPr>
          <w:rFonts w:ascii="方正黑体_GBK" w:hAnsi="宋体" w:eastAsia="方正黑体_GBK"/>
          <w:b/>
          <w:sz w:val="32"/>
          <w:szCs w:val="32"/>
        </w:rPr>
      </w:pPr>
    </w:p>
    <w:p>
      <w:pPr>
        <w:spacing w:line="600" w:lineRule="exact"/>
        <w:ind w:firstLine="684" w:firstLineChars="213"/>
        <w:jc w:val="center"/>
        <w:rPr>
          <w:rFonts w:ascii="方正黑体_GBK" w:hAnsi="宋体" w:eastAsia="方正黑体_GBK"/>
          <w:b/>
          <w:sz w:val="32"/>
          <w:szCs w:val="32"/>
        </w:rPr>
      </w:pPr>
      <w:r>
        <w:rPr>
          <w:rFonts w:hint="eastAsia" w:ascii="方正黑体_GBK" w:hAnsi="宋体" w:eastAsia="方正黑体_GBK"/>
          <w:b/>
          <w:sz w:val="32"/>
          <w:szCs w:val="32"/>
        </w:rPr>
        <w:t xml:space="preserve">第四章 </w:t>
      </w:r>
      <w:r>
        <w:rPr>
          <w:rFonts w:hint="eastAsia" w:ascii="方正仿宋_GBK" w:eastAsia="方正仿宋_GBK"/>
          <w:sz w:val="32"/>
          <w:szCs w:val="32"/>
        </w:rPr>
        <w:t xml:space="preserve"> </w:t>
      </w:r>
      <w:r>
        <w:rPr>
          <w:rFonts w:hint="eastAsia" w:ascii="方正黑体_GBK" w:hAnsi="宋体" w:eastAsia="方正黑体_GBK"/>
          <w:b/>
          <w:sz w:val="32"/>
          <w:szCs w:val="32"/>
        </w:rPr>
        <w:t>管理责任</w:t>
      </w:r>
    </w:p>
    <w:p>
      <w:pPr>
        <w:pStyle w:val="5"/>
        <w:shd w:val="clear" w:color="auto" w:fill="FFFFFF"/>
        <w:spacing w:line="600" w:lineRule="exact"/>
        <w:ind w:firstLine="684" w:firstLineChars="213"/>
        <w:jc w:val="both"/>
        <w:rPr>
          <w:rFonts w:ascii="方正仿宋_GBK" w:eastAsia="方正仿宋_GBK" w:hAnsiTheme="minorHAnsi" w:cstheme="minorBidi"/>
          <w:kern w:val="2"/>
          <w:sz w:val="32"/>
          <w:szCs w:val="32"/>
        </w:rPr>
      </w:pPr>
      <w:r>
        <w:rPr>
          <w:rFonts w:hint="eastAsia" w:ascii="方正楷体_GBK" w:eastAsia="方正楷体_GBK" w:cstheme="minorBidi"/>
          <w:b/>
          <w:kern w:val="2"/>
          <w:sz w:val="32"/>
          <w:szCs w:val="32"/>
        </w:rPr>
        <w:t xml:space="preserve">第十条 </w:t>
      </w:r>
      <w:r>
        <w:rPr>
          <w:rFonts w:hint="eastAsia" w:ascii="方正仿宋_GBK" w:eastAsia="方正仿宋_GBK" w:hAnsiTheme="minorHAnsi" w:cstheme="minorBidi"/>
          <w:b/>
          <w:kern w:val="2"/>
          <w:sz w:val="32"/>
          <w:szCs w:val="32"/>
        </w:rPr>
        <w:t xml:space="preserve"> </w:t>
      </w:r>
      <w:r>
        <w:rPr>
          <w:rFonts w:hint="eastAsia" w:ascii="方正仿宋_GBK" w:eastAsia="方正仿宋_GBK" w:hAnsiTheme="minorHAnsi" w:cstheme="minorBidi"/>
          <w:kern w:val="2"/>
          <w:sz w:val="32"/>
          <w:szCs w:val="32"/>
        </w:rPr>
        <w:t>承担</w:t>
      </w:r>
      <w:r>
        <w:rPr>
          <w:rFonts w:ascii="方正仿宋_GBK" w:eastAsia="方正仿宋_GBK" w:hAnsiTheme="minorHAnsi" w:cstheme="minorBidi"/>
          <w:kern w:val="2"/>
          <w:sz w:val="32"/>
          <w:szCs w:val="32"/>
        </w:rPr>
        <w:t>占有</w:t>
      </w:r>
      <w:r>
        <w:rPr>
          <w:rFonts w:hint="eastAsia" w:ascii="方正仿宋_GBK" w:eastAsia="方正仿宋_GBK" w:hAnsiTheme="minorHAnsi" w:cstheme="minorBidi"/>
          <w:kern w:val="2"/>
          <w:sz w:val="32"/>
          <w:szCs w:val="32"/>
        </w:rPr>
        <w:t>、</w:t>
      </w:r>
      <w:r>
        <w:rPr>
          <w:rFonts w:ascii="方正仿宋_GBK" w:eastAsia="方正仿宋_GBK" w:hAnsiTheme="minorHAnsi" w:cstheme="minorBidi"/>
          <w:kern w:val="2"/>
          <w:sz w:val="32"/>
          <w:szCs w:val="32"/>
        </w:rPr>
        <w:t>使用国有资产管理主体责任</w:t>
      </w:r>
      <w:r>
        <w:rPr>
          <w:rFonts w:hint="eastAsia" w:ascii="方正仿宋_GBK" w:eastAsia="方正仿宋_GBK" w:hAnsiTheme="minorHAnsi" w:cstheme="minorBidi"/>
          <w:kern w:val="2"/>
          <w:sz w:val="32"/>
          <w:szCs w:val="32"/>
        </w:rPr>
        <w:t>。负责</w:t>
      </w:r>
      <w:r>
        <w:rPr>
          <w:rFonts w:ascii="方正仿宋_GBK" w:eastAsia="方正仿宋_GBK" w:hAnsiTheme="minorHAnsi" w:cstheme="minorBidi"/>
          <w:kern w:val="2"/>
          <w:sz w:val="32"/>
          <w:szCs w:val="32"/>
        </w:rPr>
        <w:t>实现对</w:t>
      </w:r>
      <w:r>
        <w:rPr>
          <w:rFonts w:hint="eastAsia" w:ascii="方正仿宋_GBK" w:eastAsia="方正仿宋_GBK" w:hAnsiTheme="minorHAnsi" w:cstheme="minorBidi"/>
          <w:kern w:val="2"/>
          <w:sz w:val="32"/>
          <w:szCs w:val="32"/>
        </w:rPr>
        <w:t>本</w:t>
      </w:r>
      <w:r>
        <w:rPr>
          <w:rFonts w:ascii="方正仿宋_GBK" w:eastAsia="方正仿宋_GBK" w:hAnsiTheme="minorHAnsi" w:cstheme="minorBidi"/>
          <w:kern w:val="2"/>
          <w:sz w:val="32"/>
          <w:szCs w:val="32"/>
        </w:rPr>
        <w:t>单位国有资产的有效管理。</w:t>
      </w:r>
      <w:r>
        <w:rPr>
          <w:rFonts w:hint="eastAsia" w:ascii="方正仿宋_GBK" w:eastAsia="方正仿宋_GBK" w:hAnsiTheme="minorHAnsi" w:cstheme="minorBidi"/>
          <w:kern w:val="2"/>
          <w:sz w:val="32"/>
          <w:szCs w:val="32"/>
        </w:rPr>
        <w:t>建立健全管理职责，协调</w:t>
      </w:r>
      <w:r>
        <w:rPr>
          <w:rFonts w:ascii="方正仿宋_GBK" w:eastAsia="方正仿宋_GBK" w:hAnsiTheme="minorHAnsi" w:cstheme="minorBidi"/>
          <w:kern w:val="2"/>
          <w:sz w:val="32"/>
          <w:szCs w:val="32"/>
        </w:rPr>
        <w:t>职责分工，加强指导监督，搞好协作配合。加强对资产管理制度、规则、标准、流程等制定、管理与控制</w:t>
      </w:r>
      <w:r>
        <w:rPr>
          <w:rFonts w:hint="eastAsia" w:ascii="方正仿宋_GBK" w:eastAsia="方正仿宋_GBK" w:hAnsiTheme="minorHAnsi" w:cstheme="minorBidi"/>
          <w:kern w:val="2"/>
          <w:sz w:val="32"/>
          <w:szCs w:val="32"/>
        </w:rPr>
        <w:t>，</w:t>
      </w:r>
      <w:r>
        <w:rPr>
          <w:rFonts w:ascii="方正仿宋_GBK" w:eastAsia="方正仿宋_GBK" w:hAnsiTheme="minorHAnsi" w:cstheme="minorBidi"/>
          <w:kern w:val="2"/>
          <w:sz w:val="32"/>
          <w:szCs w:val="32"/>
        </w:rPr>
        <w:t>组织实施单位资产管理情况的考核评价</w:t>
      </w:r>
      <w:r>
        <w:rPr>
          <w:rFonts w:hint="eastAsia" w:ascii="方正仿宋_GBK" w:eastAsia="方正仿宋_GBK" w:hAnsiTheme="minorHAnsi" w:cstheme="minorBidi"/>
          <w:kern w:val="2"/>
          <w:sz w:val="32"/>
          <w:szCs w:val="32"/>
        </w:rPr>
        <w:t>，</w:t>
      </w:r>
      <w:r>
        <w:rPr>
          <w:rFonts w:ascii="方正仿宋_GBK" w:eastAsia="方正仿宋_GBK" w:hAnsiTheme="minorHAnsi" w:cstheme="minorBidi"/>
          <w:kern w:val="2"/>
          <w:sz w:val="32"/>
          <w:szCs w:val="32"/>
        </w:rPr>
        <w:t>充分调动</w:t>
      </w:r>
      <w:r>
        <w:rPr>
          <w:rFonts w:hint="eastAsia" w:ascii="方正仿宋_GBK" w:eastAsia="方正仿宋_GBK" w:hAnsiTheme="minorHAnsi" w:cstheme="minorBidi"/>
          <w:kern w:val="2"/>
          <w:sz w:val="32"/>
          <w:szCs w:val="32"/>
        </w:rPr>
        <w:t>各部门人员</w:t>
      </w:r>
      <w:r>
        <w:rPr>
          <w:rFonts w:ascii="方正仿宋_GBK" w:eastAsia="方正仿宋_GBK" w:hAnsiTheme="minorHAnsi" w:cstheme="minorBidi"/>
          <w:kern w:val="2"/>
          <w:sz w:val="32"/>
          <w:szCs w:val="32"/>
        </w:rPr>
        <w:t>的主动性、积极性</w:t>
      </w:r>
      <w:r>
        <w:rPr>
          <w:rFonts w:hint="eastAsia" w:ascii="方正仿宋_GBK" w:eastAsia="方正仿宋_GBK" w:hAnsiTheme="minorHAnsi" w:cstheme="minorBidi"/>
          <w:kern w:val="2"/>
          <w:sz w:val="32"/>
          <w:szCs w:val="32"/>
        </w:rPr>
        <w:t>。</w:t>
      </w:r>
    </w:p>
    <w:p>
      <w:pPr>
        <w:pStyle w:val="5"/>
        <w:shd w:val="clear" w:color="auto" w:fill="FFFFFF"/>
        <w:spacing w:line="600" w:lineRule="exact"/>
        <w:ind w:firstLine="684" w:firstLineChars="213"/>
        <w:jc w:val="both"/>
        <w:rPr>
          <w:rFonts w:ascii="方正仿宋_GBK" w:eastAsia="方正仿宋_GBK" w:hAnsiTheme="minorHAnsi" w:cstheme="minorBidi"/>
          <w:kern w:val="2"/>
          <w:sz w:val="32"/>
          <w:szCs w:val="32"/>
        </w:rPr>
      </w:pPr>
      <w:r>
        <w:rPr>
          <w:rFonts w:hint="eastAsia" w:ascii="方正楷体_GBK" w:eastAsia="方正楷体_GBK" w:cstheme="minorBidi"/>
          <w:b/>
          <w:kern w:val="2"/>
          <w:sz w:val="32"/>
          <w:szCs w:val="32"/>
        </w:rPr>
        <w:t xml:space="preserve">第十一条  </w:t>
      </w:r>
      <w:r>
        <w:rPr>
          <w:rFonts w:ascii="方正仿宋_GBK" w:eastAsia="方正仿宋_GBK" w:hAnsiTheme="minorHAnsi" w:cstheme="minorBidi"/>
          <w:kern w:val="2"/>
          <w:sz w:val="32"/>
          <w:szCs w:val="32"/>
        </w:rPr>
        <w:t>承担占有、使用国有资产具体管理职责</w:t>
      </w:r>
      <w:r>
        <w:rPr>
          <w:rFonts w:hint="eastAsia" w:ascii="方正仿宋_GBK" w:eastAsia="方正仿宋_GBK" w:hAnsiTheme="minorHAnsi" w:cstheme="minorBidi"/>
          <w:kern w:val="2"/>
          <w:sz w:val="32"/>
          <w:szCs w:val="32"/>
        </w:rPr>
        <w:t>。</w:t>
      </w:r>
      <w:r>
        <w:rPr>
          <w:rFonts w:ascii="方正仿宋_GBK" w:eastAsia="方正仿宋_GBK" w:hAnsiTheme="minorHAnsi" w:cstheme="minorBidi"/>
          <w:kern w:val="2"/>
          <w:sz w:val="32"/>
          <w:szCs w:val="32"/>
        </w:rPr>
        <w:t>在资产管理岗位设置、权责分配、业务流程等方面建立决策、执行和监督相互分离、相互制约、相互监督的机制，完善内部管理制度，强化资产管理与财务管理、预算管理的衔接，构建既有机联系又相互制衡的内部工作机制，提升管理效能。</w:t>
      </w:r>
      <w:r>
        <w:rPr>
          <w:rFonts w:hint="eastAsia" w:ascii="方正仿宋_GBK" w:eastAsia="方正仿宋_GBK" w:hAnsiTheme="minorHAnsi" w:cstheme="minorBidi"/>
          <w:kern w:val="2"/>
          <w:sz w:val="32"/>
          <w:szCs w:val="32"/>
        </w:rPr>
        <w:t>管理好</w:t>
      </w:r>
      <w:r>
        <w:rPr>
          <w:rFonts w:ascii="方正仿宋_GBK" w:eastAsia="方正仿宋_GBK" w:hAnsiTheme="minorHAnsi" w:cstheme="minorBidi"/>
          <w:kern w:val="2"/>
          <w:sz w:val="32"/>
          <w:szCs w:val="32"/>
        </w:rPr>
        <w:t>国有资产</w:t>
      </w:r>
      <w:r>
        <w:rPr>
          <w:rFonts w:hint="eastAsia" w:ascii="方正仿宋_GBK" w:eastAsia="方正仿宋_GBK" w:hAnsiTheme="minorHAnsi" w:cstheme="minorBidi"/>
          <w:kern w:val="2"/>
          <w:sz w:val="32"/>
          <w:szCs w:val="32"/>
        </w:rPr>
        <w:t>的</w:t>
      </w:r>
      <w:r>
        <w:rPr>
          <w:rFonts w:ascii="方正仿宋_GBK" w:eastAsia="方正仿宋_GBK" w:hAnsiTheme="minorHAnsi" w:cstheme="minorBidi"/>
          <w:kern w:val="2"/>
          <w:sz w:val="32"/>
          <w:szCs w:val="32"/>
        </w:rPr>
        <w:t>配置、使用、处置</w:t>
      </w:r>
      <w:r>
        <w:rPr>
          <w:rFonts w:hint="eastAsia" w:ascii="方正仿宋_GBK" w:eastAsia="方正仿宋_GBK" w:hAnsiTheme="minorHAnsi" w:cstheme="minorBidi"/>
          <w:kern w:val="2"/>
          <w:sz w:val="32"/>
          <w:szCs w:val="32"/>
        </w:rPr>
        <w:t>、</w:t>
      </w:r>
      <w:r>
        <w:rPr>
          <w:rFonts w:ascii="方正仿宋_GBK" w:eastAsia="方正仿宋_GBK" w:hAnsiTheme="minorHAnsi" w:cstheme="minorBidi"/>
          <w:kern w:val="2"/>
          <w:sz w:val="32"/>
          <w:szCs w:val="32"/>
        </w:rPr>
        <w:t>出租、出借、对外投资</w:t>
      </w:r>
      <w:r>
        <w:rPr>
          <w:rFonts w:hint="eastAsia" w:ascii="方正仿宋_GBK" w:eastAsia="方正仿宋_GBK" w:hAnsiTheme="minorHAnsi" w:cstheme="minorBidi"/>
          <w:kern w:val="2"/>
          <w:sz w:val="32"/>
          <w:szCs w:val="32"/>
        </w:rPr>
        <w:t>等事项，单位权限范围以外的</w:t>
      </w:r>
      <w:r>
        <w:rPr>
          <w:rFonts w:ascii="方正仿宋_GBK" w:eastAsia="方正仿宋_GBK" w:hAnsiTheme="minorHAnsi" w:cstheme="minorBidi"/>
          <w:kern w:val="2"/>
          <w:sz w:val="32"/>
          <w:szCs w:val="32"/>
        </w:rPr>
        <w:t>应当按照有关规定报</w:t>
      </w:r>
      <w:r>
        <w:rPr>
          <w:rFonts w:hint="eastAsia" w:ascii="方正仿宋_GBK" w:eastAsia="方正仿宋_GBK" w:hAnsiTheme="minorHAnsi" w:cstheme="minorBidi"/>
          <w:kern w:val="2"/>
          <w:sz w:val="32"/>
          <w:szCs w:val="32"/>
        </w:rPr>
        <w:t>主管部门</w:t>
      </w:r>
      <w:r>
        <w:rPr>
          <w:rFonts w:ascii="方正仿宋_GBK" w:eastAsia="方正仿宋_GBK" w:hAnsiTheme="minorHAnsi" w:cstheme="minorBidi"/>
          <w:kern w:val="2"/>
          <w:sz w:val="32"/>
          <w:szCs w:val="32"/>
        </w:rPr>
        <w:t>审批</w:t>
      </w:r>
      <w:r>
        <w:rPr>
          <w:rFonts w:hint="eastAsia" w:ascii="方正仿宋_GBK" w:eastAsia="方正仿宋_GBK" w:hAnsiTheme="minorHAnsi" w:cstheme="minorBidi"/>
          <w:kern w:val="2"/>
          <w:sz w:val="32"/>
          <w:szCs w:val="32"/>
        </w:rPr>
        <w:t>。</w:t>
      </w:r>
      <w:r>
        <w:rPr>
          <w:rFonts w:ascii="方正仿宋_GBK" w:eastAsia="方正仿宋_GBK" w:hAnsiTheme="minorHAnsi" w:cstheme="minorBidi"/>
          <w:kern w:val="2"/>
          <w:sz w:val="32"/>
          <w:szCs w:val="32"/>
        </w:rPr>
        <w:t xml:space="preserve"> </w:t>
      </w:r>
    </w:p>
    <w:p>
      <w:pPr>
        <w:widowControl/>
        <w:shd w:val="clear" w:color="auto" w:fill="FFFFFF"/>
        <w:spacing w:line="600" w:lineRule="exact"/>
        <w:ind w:firstLine="684" w:firstLineChars="213"/>
        <w:rPr>
          <w:rFonts w:ascii="黑体" w:hAnsi="黑体" w:eastAsia="黑体"/>
          <w:b/>
          <w:sz w:val="32"/>
          <w:szCs w:val="32"/>
        </w:rPr>
      </w:pPr>
    </w:p>
    <w:p>
      <w:pPr>
        <w:widowControl/>
        <w:shd w:val="clear" w:color="auto" w:fill="FFFFFF"/>
        <w:spacing w:line="600" w:lineRule="exact"/>
        <w:ind w:firstLine="684" w:firstLineChars="213"/>
        <w:jc w:val="center"/>
        <w:rPr>
          <w:rFonts w:ascii="方正黑体_GBK" w:hAnsi="宋体" w:eastAsia="方正黑体_GBK"/>
          <w:b/>
          <w:sz w:val="32"/>
          <w:szCs w:val="32"/>
        </w:rPr>
      </w:pPr>
      <w:r>
        <w:rPr>
          <w:rFonts w:hint="eastAsia" w:ascii="黑体" w:hAnsi="黑体" w:eastAsia="黑体"/>
          <w:b/>
          <w:sz w:val="32"/>
          <w:szCs w:val="32"/>
        </w:rPr>
        <w:t xml:space="preserve">第五章  </w:t>
      </w:r>
      <w:r>
        <w:rPr>
          <w:rFonts w:hint="eastAsia" w:ascii="方正黑体_GBK" w:hAnsi="宋体" w:eastAsia="方正黑体_GBK"/>
          <w:b/>
          <w:sz w:val="32"/>
          <w:szCs w:val="32"/>
        </w:rPr>
        <w:t>管理目标</w:t>
      </w:r>
    </w:p>
    <w:p>
      <w:pPr>
        <w:widowControl/>
        <w:shd w:val="clear" w:color="auto" w:fill="FFFFFF"/>
        <w:spacing w:line="600" w:lineRule="exact"/>
        <w:ind w:firstLine="684" w:firstLineChars="213"/>
        <w:rPr>
          <w:rFonts w:ascii="方正黑体_GBK" w:hAnsi="宋体" w:eastAsia="方正黑体_GBK"/>
          <w:b/>
          <w:sz w:val="32"/>
          <w:szCs w:val="32"/>
        </w:rPr>
      </w:pPr>
      <w:r>
        <w:rPr>
          <w:rFonts w:hint="eastAsia" w:ascii="方正楷体_GBK" w:hAnsi="宋体" w:eastAsia="方正楷体_GBK"/>
          <w:b/>
          <w:sz w:val="32"/>
          <w:szCs w:val="32"/>
        </w:rPr>
        <w:t xml:space="preserve">第十二条  </w:t>
      </w:r>
      <w:r>
        <w:rPr>
          <w:rFonts w:hint="eastAsia" w:ascii="方正仿宋_GBK" w:eastAsia="方正仿宋_GBK"/>
          <w:sz w:val="32"/>
          <w:szCs w:val="32"/>
        </w:rPr>
        <w:t>保障履职。</w:t>
      </w:r>
      <w:r>
        <w:rPr>
          <w:rFonts w:ascii="方正仿宋_GBK" w:eastAsia="方正仿宋_GBK"/>
          <w:sz w:val="32"/>
          <w:szCs w:val="32"/>
        </w:rPr>
        <w:t>充分发挥资产在单位履行职能方面的物质基础作用，有效保障</w:t>
      </w:r>
      <w:r>
        <w:rPr>
          <w:rFonts w:hint="eastAsia" w:ascii="方正仿宋_GBK" w:eastAsia="方正仿宋_GBK"/>
          <w:sz w:val="32"/>
          <w:szCs w:val="32"/>
        </w:rPr>
        <w:t>教育教学正常</w:t>
      </w:r>
      <w:r>
        <w:rPr>
          <w:rFonts w:ascii="方正仿宋_GBK" w:eastAsia="方正仿宋_GBK"/>
          <w:sz w:val="32"/>
          <w:szCs w:val="32"/>
        </w:rPr>
        <w:t>运转和服务</w:t>
      </w:r>
      <w:r>
        <w:rPr>
          <w:rFonts w:hint="eastAsia" w:ascii="方正仿宋_GBK" w:eastAsia="方正仿宋_GBK"/>
          <w:sz w:val="32"/>
          <w:szCs w:val="32"/>
        </w:rPr>
        <w:t>需求</w:t>
      </w:r>
      <w:r>
        <w:rPr>
          <w:rFonts w:ascii="方正仿宋_GBK" w:eastAsia="方正仿宋_GBK"/>
          <w:sz w:val="32"/>
          <w:szCs w:val="32"/>
        </w:rPr>
        <w:t>。</w:t>
      </w:r>
    </w:p>
    <w:p>
      <w:pPr>
        <w:pStyle w:val="5"/>
        <w:shd w:val="clear" w:color="auto" w:fill="FFFFFF"/>
        <w:spacing w:line="600" w:lineRule="exact"/>
        <w:ind w:firstLine="684" w:firstLineChars="213"/>
        <w:jc w:val="both"/>
        <w:rPr>
          <w:rFonts w:ascii="方正仿宋_GBK" w:eastAsia="方正仿宋_GBK" w:hAnsiTheme="minorHAnsi" w:cstheme="minorBidi"/>
          <w:kern w:val="2"/>
          <w:sz w:val="32"/>
          <w:szCs w:val="32"/>
        </w:rPr>
      </w:pPr>
      <w:r>
        <w:rPr>
          <w:rFonts w:hint="eastAsia" w:ascii="方正楷体_GBK" w:eastAsia="方正楷体_GBK" w:hAnsiTheme="minorHAnsi" w:cstheme="minorBidi"/>
          <w:b/>
          <w:kern w:val="2"/>
          <w:sz w:val="32"/>
          <w:szCs w:val="32"/>
        </w:rPr>
        <w:t xml:space="preserve">第十三条  </w:t>
      </w:r>
      <w:r>
        <w:rPr>
          <w:rFonts w:ascii="方正仿宋_GBK" w:eastAsia="方正仿宋_GBK" w:hAnsiTheme="minorHAnsi" w:cstheme="minorBidi"/>
          <w:kern w:val="2"/>
          <w:sz w:val="32"/>
          <w:szCs w:val="32"/>
        </w:rPr>
        <w:t>配置科学。资产配置的范围符合财政要求</w:t>
      </w:r>
      <w:r>
        <w:rPr>
          <w:rFonts w:hint="eastAsia" w:ascii="方正仿宋_GBK" w:eastAsia="方正仿宋_GBK" w:hAnsiTheme="minorHAnsi" w:cstheme="minorBidi"/>
          <w:kern w:val="2"/>
          <w:sz w:val="32"/>
          <w:szCs w:val="32"/>
        </w:rPr>
        <w:t>，</w:t>
      </w:r>
      <w:r>
        <w:rPr>
          <w:rFonts w:ascii="方正仿宋_GBK" w:eastAsia="方正仿宋_GBK" w:hAnsiTheme="minorHAnsi" w:cstheme="minorBidi"/>
          <w:kern w:val="2"/>
          <w:sz w:val="32"/>
          <w:szCs w:val="32"/>
        </w:rPr>
        <w:t>配置标准科学合理。</w:t>
      </w:r>
    </w:p>
    <w:p>
      <w:pPr>
        <w:pStyle w:val="5"/>
        <w:shd w:val="clear" w:color="auto" w:fill="FFFFFF"/>
        <w:spacing w:line="600" w:lineRule="exact"/>
        <w:ind w:firstLine="684" w:firstLineChars="213"/>
        <w:jc w:val="both"/>
        <w:rPr>
          <w:rFonts w:ascii="方正仿宋_GBK" w:eastAsia="方正仿宋_GBK" w:hAnsiTheme="minorHAnsi" w:cstheme="minorBidi"/>
          <w:kern w:val="2"/>
          <w:sz w:val="32"/>
          <w:szCs w:val="32"/>
        </w:rPr>
      </w:pPr>
      <w:r>
        <w:rPr>
          <w:rFonts w:hint="eastAsia" w:ascii="方正楷体_GBK" w:eastAsia="方正楷体_GBK" w:hAnsiTheme="minorHAnsi" w:cstheme="minorBidi"/>
          <w:b/>
          <w:kern w:val="2"/>
          <w:sz w:val="32"/>
          <w:szCs w:val="32"/>
        </w:rPr>
        <w:t xml:space="preserve">第十四条  </w:t>
      </w:r>
      <w:r>
        <w:rPr>
          <w:rFonts w:ascii="方正仿宋_GBK" w:eastAsia="方正仿宋_GBK" w:hAnsiTheme="minorHAnsi" w:cstheme="minorBidi"/>
          <w:kern w:val="2"/>
          <w:sz w:val="32"/>
          <w:szCs w:val="32"/>
        </w:rPr>
        <w:t>使用有效。单位资产日常管理制度完善，资产得到有效维护和使用；资产共享共用机制合理，实现使用效益最大化；绩效评价体系科学；对资产出租、出借和对外投资行为及其收益实现有效监管。</w:t>
      </w:r>
    </w:p>
    <w:p>
      <w:pPr>
        <w:pStyle w:val="5"/>
        <w:shd w:val="clear" w:color="auto" w:fill="FFFFFF"/>
        <w:spacing w:line="600" w:lineRule="exact"/>
        <w:ind w:firstLine="684" w:firstLineChars="213"/>
        <w:jc w:val="both"/>
        <w:rPr>
          <w:rFonts w:ascii="方正仿宋_GBK" w:eastAsia="方正仿宋_GBK" w:hAnsiTheme="minorHAnsi" w:cstheme="minorBidi"/>
          <w:kern w:val="2"/>
          <w:sz w:val="32"/>
          <w:szCs w:val="32"/>
        </w:rPr>
      </w:pPr>
      <w:r>
        <w:rPr>
          <w:rFonts w:hint="eastAsia" w:ascii="方正楷体_GBK" w:eastAsia="方正楷体_GBK" w:hAnsiTheme="minorHAnsi" w:cstheme="minorBidi"/>
          <w:b/>
          <w:kern w:val="2"/>
          <w:sz w:val="32"/>
          <w:szCs w:val="32"/>
        </w:rPr>
        <w:t xml:space="preserve">第十五条  </w:t>
      </w:r>
      <w:r>
        <w:rPr>
          <w:rFonts w:ascii="方正仿宋_GBK" w:eastAsia="方正仿宋_GBK" w:hAnsiTheme="minorHAnsi" w:cstheme="minorBidi"/>
          <w:kern w:val="2"/>
          <w:sz w:val="32"/>
          <w:szCs w:val="32"/>
        </w:rPr>
        <w:t>处置规范。资产处置</w:t>
      </w:r>
      <w:r>
        <w:rPr>
          <w:rFonts w:hint="eastAsia" w:ascii="方正仿宋_GBK" w:eastAsia="方正仿宋_GBK" w:hAnsiTheme="minorHAnsi" w:cstheme="minorBidi"/>
          <w:kern w:val="2"/>
          <w:sz w:val="32"/>
          <w:szCs w:val="32"/>
        </w:rPr>
        <w:t>规范，符合管理规定，</w:t>
      </w:r>
      <w:r>
        <w:rPr>
          <w:rFonts w:ascii="方正仿宋_GBK" w:eastAsia="方正仿宋_GBK" w:hAnsiTheme="minorHAnsi" w:cstheme="minorBidi"/>
          <w:kern w:val="2"/>
          <w:sz w:val="32"/>
          <w:szCs w:val="32"/>
        </w:rPr>
        <w:t>实现资产处置的公开化、透明化。</w:t>
      </w:r>
    </w:p>
    <w:p>
      <w:pPr>
        <w:pStyle w:val="5"/>
        <w:shd w:val="clear" w:color="auto" w:fill="FFFFFF"/>
        <w:spacing w:line="600" w:lineRule="exact"/>
        <w:ind w:firstLine="684" w:firstLineChars="213"/>
        <w:jc w:val="both"/>
        <w:rPr>
          <w:rFonts w:ascii="方正仿宋_GBK" w:eastAsia="方正仿宋_GBK" w:hAnsiTheme="minorHAnsi" w:cstheme="minorBidi"/>
          <w:kern w:val="2"/>
          <w:sz w:val="32"/>
          <w:szCs w:val="32"/>
        </w:rPr>
      </w:pPr>
      <w:r>
        <w:rPr>
          <w:rFonts w:hint="eastAsia" w:ascii="方正楷体_GBK" w:eastAsia="方正楷体_GBK" w:hAnsiTheme="minorHAnsi" w:cstheme="minorBidi"/>
          <w:b/>
          <w:kern w:val="2"/>
          <w:sz w:val="32"/>
          <w:szCs w:val="32"/>
        </w:rPr>
        <w:t xml:space="preserve">第十六条  </w:t>
      </w:r>
      <w:r>
        <w:rPr>
          <w:rFonts w:ascii="方正仿宋_GBK" w:eastAsia="方正仿宋_GBK" w:hAnsiTheme="minorHAnsi" w:cstheme="minorBidi"/>
          <w:kern w:val="2"/>
          <w:sz w:val="32"/>
          <w:szCs w:val="32"/>
        </w:rPr>
        <w:t>监督到位。单位资产管理监督体系</w:t>
      </w:r>
      <w:r>
        <w:rPr>
          <w:rFonts w:hint="eastAsia" w:ascii="方正仿宋_GBK" w:eastAsia="方正仿宋_GBK" w:hAnsiTheme="minorHAnsi" w:cstheme="minorBidi"/>
          <w:kern w:val="2"/>
          <w:sz w:val="32"/>
          <w:szCs w:val="32"/>
        </w:rPr>
        <w:t>健全</w:t>
      </w:r>
      <w:r>
        <w:rPr>
          <w:rFonts w:ascii="方正仿宋_GBK" w:eastAsia="方正仿宋_GBK" w:hAnsiTheme="minorHAnsi" w:cstheme="minorBidi"/>
          <w:kern w:val="2"/>
          <w:sz w:val="32"/>
          <w:szCs w:val="32"/>
        </w:rPr>
        <w:t>，</w:t>
      </w:r>
      <w:r>
        <w:rPr>
          <w:rFonts w:hint="eastAsia" w:ascii="方正仿宋_GBK" w:eastAsia="方正仿宋_GBK" w:hAnsiTheme="minorHAnsi" w:cstheme="minorBidi"/>
          <w:kern w:val="2"/>
          <w:sz w:val="32"/>
          <w:szCs w:val="32"/>
        </w:rPr>
        <w:t>建立</w:t>
      </w:r>
      <w:r>
        <w:rPr>
          <w:rFonts w:ascii="方正仿宋_GBK" w:eastAsia="方正仿宋_GBK" w:hAnsiTheme="minorHAnsi" w:cstheme="minorBidi"/>
          <w:kern w:val="2"/>
          <w:sz w:val="32"/>
          <w:szCs w:val="32"/>
        </w:rPr>
        <w:t>资产配置、使用、处置等全过程的监督制约机制，事前</w:t>
      </w:r>
      <w:r>
        <w:rPr>
          <w:rFonts w:hint="eastAsia" w:ascii="方正仿宋_GBK" w:eastAsia="方正仿宋_GBK" w:hAnsiTheme="minorHAnsi" w:cstheme="minorBidi"/>
          <w:kern w:val="2"/>
          <w:sz w:val="32"/>
          <w:szCs w:val="32"/>
        </w:rPr>
        <w:t>、</w:t>
      </w:r>
      <w:r>
        <w:rPr>
          <w:rFonts w:ascii="方正仿宋_GBK" w:eastAsia="方正仿宋_GBK" w:hAnsiTheme="minorHAnsi" w:cstheme="minorBidi"/>
          <w:kern w:val="2"/>
          <w:sz w:val="32"/>
          <w:szCs w:val="32"/>
        </w:rPr>
        <w:t>事中和事后监督相结合，单位内部监督</w:t>
      </w:r>
      <w:r>
        <w:rPr>
          <w:rFonts w:hint="eastAsia" w:ascii="方正仿宋_GBK" w:eastAsia="方正仿宋_GBK" w:hAnsiTheme="minorHAnsi" w:cstheme="minorBidi"/>
          <w:kern w:val="2"/>
          <w:sz w:val="32"/>
          <w:szCs w:val="32"/>
        </w:rPr>
        <w:t>有效</w:t>
      </w:r>
      <w:r>
        <w:rPr>
          <w:rFonts w:ascii="方正仿宋_GBK" w:eastAsia="方正仿宋_GBK" w:hAnsiTheme="minorHAnsi" w:cstheme="minorBidi"/>
          <w:kern w:val="2"/>
          <w:sz w:val="32"/>
          <w:szCs w:val="32"/>
        </w:rPr>
        <w:t>。</w:t>
      </w:r>
    </w:p>
    <w:p>
      <w:pPr>
        <w:spacing w:line="600" w:lineRule="exact"/>
        <w:ind w:firstLine="681" w:firstLineChars="213"/>
        <w:rPr>
          <w:rFonts w:ascii="方正仿宋_GBK" w:hAnsi="宋体" w:eastAsia="方正仿宋_GBK"/>
          <w:sz w:val="32"/>
          <w:szCs w:val="32"/>
        </w:rPr>
      </w:pPr>
    </w:p>
    <w:p>
      <w:pPr>
        <w:spacing w:line="600" w:lineRule="exact"/>
        <w:ind w:firstLine="684" w:firstLineChars="213"/>
        <w:jc w:val="center"/>
        <w:rPr>
          <w:rFonts w:ascii="黑体" w:hAnsi="黑体" w:eastAsia="黑体"/>
          <w:b/>
          <w:sz w:val="32"/>
          <w:szCs w:val="32"/>
        </w:rPr>
      </w:pPr>
      <w:r>
        <w:rPr>
          <w:rFonts w:hint="eastAsia" w:ascii="黑体" w:hAnsi="黑体" w:eastAsia="黑体"/>
          <w:b/>
          <w:sz w:val="32"/>
          <w:szCs w:val="32"/>
        </w:rPr>
        <w:t>第六章  岗位设置与职责</w:t>
      </w:r>
    </w:p>
    <w:p>
      <w:pPr>
        <w:spacing w:line="600" w:lineRule="exact"/>
        <w:ind w:firstLine="684" w:firstLineChars="213"/>
        <w:rPr>
          <w:rFonts w:ascii="方正仿宋_GBK" w:eastAsia="方正仿宋_GBK"/>
          <w:sz w:val="32"/>
          <w:szCs w:val="32"/>
        </w:rPr>
      </w:pPr>
      <w:r>
        <w:rPr>
          <w:rFonts w:hint="eastAsia" w:ascii="方正楷体_GBK" w:eastAsia="方正楷体_GBK"/>
          <w:b/>
          <w:sz w:val="32"/>
          <w:szCs w:val="32"/>
        </w:rPr>
        <w:t xml:space="preserve">第十七条  </w:t>
      </w:r>
      <w:r>
        <w:rPr>
          <w:rFonts w:hint="eastAsia" w:ascii="方正仿宋_GBK" w:eastAsia="方正仿宋_GBK"/>
          <w:sz w:val="32"/>
          <w:szCs w:val="32"/>
        </w:rPr>
        <w:t>各单位岗位设置应坚持不相容岗位分离的原则，钱、账、物应分别由不同的人员管理，所确定的岗位人员和职责应符合有关规定。</w:t>
      </w:r>
    </w:p>
    <w:p>
      <w:pPr>
        <w:spacing w:line="600" w:lineRule="exact"/>
        <w:ind w:firstLine="684" w:firstLineChars="213"/>
        <w:rPr>
          <w:rFonts w:ascii="方正楷体_GBK" w:eastAsia="方正楷体_GBK"/>
          <w:b/>
          <w:sz w:val="32"/>
          <w:szCs w:val="32"/>
        </w:rPr>
      </w:pPr>
      <w:r>
        <w:rPr>
          <w:rFonts w:hint="eastAsia" w:ascii="方正楷体_GBK" w:eastAsia="方正楷体_GBK"/>
          <w:b/>
          <w:sz w:val="32"/>
          <w:szCs w:val="32"/>
        </w:rPr>
        <w:t xml:space="preserve">第十八条  </w:t>
      </w:r>
      <w:r>
        <w:rPr>
          <w:rFonts w:hint="eastAsia" w:ascii="方正仿宋_GBK" w:eastAsia="方正仿宋_GBK"/>
          <w:sz w:val="32"/>
          <w:szCs w:val="32"/>
        </w:rPr>
        <w:t>单位货币资金业务不得由同一人全过程办理，实行钱账分管，应设置财务管理员和出纳员。财务管理员负责账务处理和财务档案管理，出纳人员负责现金收付业务管理。</w:t>
      </w:r>
    </w:p>
    <w:p>
      <w:pPr>
        <w:tabs>
          <w:tab w:val="left" w:pos="2268"/>
        </w:tabs>
        <w:snapToGrid w:val="0"/>
        <w:spacing w:line="600" w:lineRule="exact"/>
        <w:ind w:firstLine="684" w:firstLineChars="213"/>
        <w:rPr>
          <w:rFonts w:ascii="方正仿宋_GBK" w:eastAsia="方正仿宋_GBK"/>
          <w:sz w:val="32"/>
          <w:szCs w:val="32"/>
        </w:rPr>
      </w:pPr>
      <w:r>
        <w:rPr>
          <w:rFonts w:hint="eastAsia" w:ascii="方正楷体_GBK" w:hAnsi="宋体" w:eastAsia="方正楷体_GBK"/>
          <w:b/>
          <w:sz w:val="32"/>
          <w:szCs w:val="32"/>
        </w:rPr>
        <w:t xml:space="preserve">第十九条  </w:t>
      </w:r>
      <w:r>
        <w:rPr>
          <w:rFonts w:hint="eastAsia" w:ascii="方正仿宋_GBK" w:eastAsia="方正仿宋_GBK"/>
          <w:sz w:val="32"/>
          <w:szCs w:val="32"/>
        </w:rPr>
        <w:t>各单位实物资产实行“统一配置，分部门管理，部门领导负责”的管理办法，应设置资产管理负责人员1名，负责本单位资产业务的全面管理和指导；财务管理员1名，具体负责固定资产的价值管理、账务处理以及档案管理；资产（系统）账管理员1名，具体负责固定资产系统管理，包括卡片管理、系统信息处理、数据填报等工作；资产实物管理员1名，具体负责资产的验收、入库、调配、使用、维护、盘点等管理。各岗位人员之间既要分工也要协作，共同管好本单位的国有资产。</w:t>
      </w:r>
    </w:p>
    <w:p>
      <w:pPr>
        <w:spacing w:line="600" w:lineRule="exact"/>
        <w:ind w:firstLine="684" w:firstLineChars="213"/>
        <w:rPr>
          <w:rFonts w:ascii="黑体" w:hAnsi="黑体" w:eastAsia="黑体"/>
          <w:b/>
          <w:sz w:val="32"/>
          <w:szCs w:val="32"/>
        </w:rPr>
      </w:pPr>
    </w:p>
    <w:p>
      <w:pPr>
        <w:spacing w:line="600" w:lineRule="exact"/>
        <w:ind w:firstLine="684" w:firstLineChars="213"/>
        <w:jc w:val="center"/>
        <w:rPr>
          <w:rFonts w:ascii="黑体" w:hAnsi="黑体" w:eastAsia="黑体"/>
          <w:sz w:val="32"/>
          <w:szCs w:val="32"/>
        </w:rPr>
      </w:pPr>
      <w:r>
        <w:rPr>
          <w:rFonts w:hint="eastAsia" w:ascii="黑体" w:hAnsi="黑体" w:eastAsia="黑体"/>
          <w:b/>
          <w:sz w:val="32"/>
          <w:szCs w:val="32"/>
        </w:rPr>
        <w:t>第七章  业务管理</w:t>
      </w:r>
    </w:p>
    <w:p>
      <w:pPr>
        <w:spacing w:line="600" w:lineRule="exact"/>
        <w:ind w:firstLine="684" w:firstLineChars="213"/>
        <w:rPr>
          <w:rFonts w:ascii="方正楷体_GBK" w:hAnsi="宋体" w:eastAsia="方正楷体_GBK"/>
          <w:b/>
          <w:sz w:val="32"/>
          <w:szCs w:val="32"/>
        </w:rPr>
      </w:pPr>
      <w:r>
        <w:rPr>
          <w:rFonts w:hint="eastAsia" w:ascii="方正楷体_GBK" w:hAnsi="宋体" w:eastAsia="方正楷体_GBK"/>
          <w:b/>
          <w:sz w:val="32"/>
          <w:szCs w:val="32"/>
        </w:rPr>
        <w:t>第二十条  货币资金业务管理</w:t>
      </w:r>
    </w:p>
    <w:p>
      <w:pPr>
        <w:spacing w:line="600" w:lineRule="exact"/>
        <w:ind w:firstLine="681" w:firstLineChars="213"/>
        <w:rPr>
          <w:rFonts w:ascii="方正仿宋_GBK" w:eastAsia="方正仿宋_GBK"/>
          <w:sz w:val="32"/>
          <w:szCs w:val="32"/>
        </w:rPr>
      </w:pPr>
      <w:r>
        <w:rPr>
          <w:rFonts w:hint="eastAsia" w:ascii="方正仿宋_GBK" w:eastAsia="方正仿宋_GBK"/>
          <w:sz w:val="32"/>
          <w:szCs w:val="32"/>
        </w:rPr>
        <w:t>（一）支付申请。单位有关部门或个人用款时，应当向审批人提交货币资金支付申请凭证，注明款项的用途、金额、预算、支付方式等内容，并附相关证明或有效合同。</w:t>
      </w:r>
    </w:p>
    <w:p>
      <w:pPr>
        <w:spacing w:line="600" w:lineRule="exact"/>
        <w:ind w:firstLine="681" w:firstLineChars="213"/>
        <w:rPr>
          <w:rFonts w:ascii="方正仿宋_GBK" w:eastAsia="方正仿宋_GBK"/>
          <w:sz w:val="32"/>
          <w:szCs w:val="32"/>
        </w:rPr>
      </w:pPr>
      <w:r>
        <w:rPr>
          <w:rFonts w:hint="eastAsia" w:ascii="方正仿宋_GBK" w:eastAsia="方正仿宋_GBK"/>
          <w:sz w:val="32"/>
          <w:szCs w:val="32"/>
        </w:rPr>
        <w:t>（二）支付审批。审批人根据其职责、权限和相应程序对支付申请进行审批。对重要货币资金支付业务，应当实行集体决策和审批，并建立责任追究制度。对不符合规定的货币资金支付申请，审批人应当拒绝批准。　　</w:t>
      </w:r>
    </w:p>
    <w:p>
      <w:pPr>
        <w:spacing w:line="600" w:lineRule="exact"/>
        <w:ind w:firstLine="681" w:firstLineChars="213"/>
        <w:rPr>
          <w:rFonts w:ascii="方正仿宋_GBK" w:eastAsia="方正仿宋_GBK"/>
          <w:sz w:val="32"/>
          <w:szCs w:val="32"/>
        </w:rPr>
      </w:pPr>
      <w:r>
        <w:rPr>
          <w:rFonts w:hint="eastAsia" w:ascii="方正仿宋_GBK" w:eastAsia="方正仿宋_GBK"/>
          <w:sz w:val="32"/>
          <w:szCs w:val="32"/>
        </w:rPr>
        <w:t>（三）支付复核。复核人应当对批准后的货币资金支付申请进行复核，复核货币资金支付申请的批准范围、权限、程序是否合规，手续及相关凭证是否齐备，金额计算是否正确等。　　</w:t>
      </w:r>
    </w:p>
    <w:p>
      <w:pPr>
        <w:spacing w:line="600" w:lineRule="exact"/>
        <w:ind w:firstLine="681" w:firstLineChars="213"/>
        <w:rPr>
          <w:rFonts w:ascii="方正仿宋_GBK" w:eastAsia="方正仿宋_GBK"/>
          <w:sz w:val="32"/>
          <w:szCs w:val="32"/>
        </w:rPr>
      </w:pPr>
      <w:r>
        <w:rPr>
          <w:rFonts w:hint="eastAsia" w:ascii="方正仿宋_GBK" w:eastAsia="方正仿宋_GBK"/>
          <w:sz w:val="32"/>
          <w:szCs w:val="32"/>
        </w:rPr>
        <w:t>（四）办理支付。出纳人员应当根据复核无误的支付申请，按规定办理货币资金支付手续，及时登记现金和</w:t>
      </w:r>
      <w:r>
        <w:fldChar w:fldCharType="begin"/>
      </w:r>
      <w:r>
        <w:instrText xml:space="preserve"> HYPERLINK "https://www.baidu.com/s?wd=%E9%93%B6%E8%A1%8C%E5%AD%98%E6%AC%BE%E6%97%A5%E8%AE%B0%E8%B4%A6&amp;tn=44039180_cpr&amp;fenlei=mv6quAkxTZn0IZRqIHckPjm4nH00T1dBuHm4PHNBPhDdrHDdPH0k0ZwV5Hcvrjm3rH6sPfKWUMw85HfYnjn4nH6sgvPsT6KdThsqpZwYTjCEQLGCpyw9Uz4Bmy-bIi4WUvYETgN-TLwGUv3EnHn4nW0vrjmYP1bdP1Tvrj6d" \t "_blank" </w:instrText>
      </w:r>
      <w:r>
        <w:fldChar w:fldCharType="separate"/>
      </w:r>
      <w:r>
        <w:rPr>
          <w:rFonts w:hint="eastAsia" w:ascii="方正仿宋_GBK" w:eastAsia="方正仿宋_GBK"/>
          <w:sz w:val="32"/>
          <w:szCs w:val="32"/>
        </w:rPr>
        <w:t>银行存款日记账</w:t>
      </w:r>
      <w:r>
        <w:rPr>
          <w:rFonts w:hint="eastAsia" w:ascii="方正仿宋_GBK" w:eastAsia="方正仿宋_GBK"/>
          <w:sz w:val="32"/>
          <w:szCs w:val="32"/>
        </w:rPr>
        <w:fldChar w:fldCharType="end"/>
      </w:r>
      <w:r>
        <w:rPr>
          <w:rFonts w:hint="eastAsia" w:ascii="方正仿宋_GBK" w:eastAsia="方正仿宋_GBK"/>
          <w:sz w:val="32"/>
          <w:szCs w:val="32"/>
        </w:rPr>
        <w:t>。</w:t>
      </w:r>
    </w:p>
    <w:p>
      <w:pPr>
        <w:spacing w:line="600" w:lineRule="exact"/>
        <w:ind w:firstLine="684" w:firstLineChars="213"/>
        <w:rPr>
          <w:rFonts w:ascii="方正楷体_GBK" w:hAnsi="宋体" w:eastAsia="方正楷体_GBK"/>
          <w:b/>
          <w:sz w:val="32"/>
          <w:szCs w:val="32"/>
        </w:rPr>
      </w:pPr>
      <w:r>
        <w:rPr>
          <w:rFonts w:hint="eastAsia" w:ascii="方正楷体_GBK" w:hAnsi="宋体" w:eastAsia="方正楷体_GBK"/>
          <w:b/>
          <w:sz w:val="32"/>
          <w:szCs w:val="32"/>
        </w:rPr>
        <w:t>第二十一条  资产的配置管理</w:t>
      </w:r>
    </w:p>
    <w:p>
      <w:pPr>
        <w:spacing w:line="600" w:lineRule="exact"/>
        <w:ind w:firstLine="681" w:firstLineChars="213"/>
        <w:rPr>
          <w:rFonts w:ascii="方正仿宋_GBK" w:hAnsi="宋体" w:eastAsia="方正仿宋_GBK"/>
          <w:sz w:val="32"/>
          <w:szCs w:val="32"/>
        </w:rPr>
      </w:pPr>
      <w:r>
        <w:rPr>
          <w:rFonts w:hint="eastAsia" w:ascii="方正仿宋_GBK" w:hAnsi="宋体" w:eastAsia="方正仿宋_GBK"/>
          <w:sz w:val="32"/>
          <w:szCs w:val="32"/>
        </w:rPr>
        <w:t>（一）各单位根据配置标准和实际工作需要，</w:t>
      </w:r>
      <w:r>
        <w:rPr>
          <w:rFonts w:hint="eastAsia" w:ascii="方正仿宋_GBK" w:eastAsia="方正仿宋_GBK"/>
          <w:sz w:val="32"/>
          <w:szCs w:val="32"/>
        </w:rPr>
        <w:t>遵循科学合理、统筹优化、勤俭节约、从严控制的原则</w:t>
      </w:r>
      <w:r>
        <w:rPr>
          <w:rFonts w:hint="eastAsia" w:ascii="方正仿宋_GBK" w:hAnsi="宋体" w:eastAsia="方正仿宋_GBK"/>
          <w:sz w:val="32"/>
          <w:szCs w:val="32"/>
        </w:rPr>
        <w:t xml:space="preserve">，在充分论证其可行性和必要性的基础上，提出购建计划，再实施配置。 </w:t>
      </w:r>
    </w:p>
    <w:p>
      <w:pPr>
        <w:spacing w:line="600" w:lineRule="exact"/>
        <w:ind w:firstLine="681" w:firstLineChars="213"/>
        <w:rPr>
          <w:rFonts w:ascii="方正仿宋_GBK" w:hAnsi="宋体" w:eastAsia="方正仿宋_GBK"/>
          <w:sz w:val="32"/>
          <w:szCs w:val="32"/>
        </w:rPr>
      </w:pPr>
      <w:r>
        <w:rPr>
          <w:rFonts w:hint="eastAsia" w:ascii="方正仿宋_GBK" w:hAnsi="宋体" w:eastAsia="方正仿宋_GBK"/>
          <w:sz w:val="32"/>
          <w:szCs w:val="32"/>
        </w:rPr>
        <w:t>（二）权限以外须报主管部门审批，预先编制资产购建年度预算安排，按政府采购相关规定方式采购。</w:t>
      </w:r>
    </w:p>
    <w:p>
      <w:pPr>
        <w:spacing w:line="600" w:lineRule="exact"/>
        <w:ind w:firstLine="681" w:firstLineChars="213"/>
        <w:rPr>
          <w:rFonts w:ascii="方正仿宋_GBK" w:hAnsi="宋体" w:eastAsia="方正仿宋_GBK"/>
          <w:sz w:val="32"/>
          <w:szCs w:val="32"/>
        </w:rPr>
      </w:pPr>
      <w:r>
        <w:rPr>
          <w:rFonts w:hint="eastAsia" w:ascii="方正仿宋_GBK" w:hAnsi="宋体" w:eastAsia="方正仿宋_GBK"/>
          <w:sz w:val="32"/>
          <w:szCs w:val="32"/>
        </w:rPr>
        <w:t>（三）购建完成后，</w:t>
      </w:r>
      <w:r>
        <w:rPr>
          <w:rFonts w:hint="eastAsia" w:ascii="方正仿宋_GBK" w:eastAsia="方正仿宋_GBK"/>
          <w:sz w:val="32"/>
          <w:szCs w:val="32"/>
        </w:rPr>
        <w:t>审核报销单据应有财务部门和资产部门人员的签字，资产系统管理员、财务管理员应分别对属于固定资产的设备设施进行</w:t>
      </w:r>
      <w:r>
        <w:rPr>
          <w:rFonts w:hint="eastAsia" w:ascii="方正仿宋_GBK" w:hAnsi="宋体" w:eastAsia="方正仿宋_GBK"/>
          <w:sz w:val="32"/>
          <w:szCs w:val="32"/>
        </w:rPr>
        <w:t>资产系统账登记录入和行政事业单位财务账固定资产会计分录处理。</w:t>
      </w:r>
    </w:p>
    <w:p>
      <w:pPr>
        <w:spacing w:line="600" w:lineRule="exact"/>
        <w:ind w:firstLine="681" w:firstLineChars="213"/>
        <w:rPr>
          <w:rFonts w:ascii="方正仿宋_GBK" w:eastAsia="方正仿宋_GBK"/>
          <w:sz w:val="32"/>
          <w:szCs w:val="32"/>
        </w:rPr>
      </w:pPr>
      <w:r>
        <w:rPr>
          <w:rFonts w:hint="eastAsia" w:ascii="方正仿宋_GBK" w:hAnsi="宋体" w:eastAsia="方正仿宋_GBK"/>
          <w:sz w:val="32"/>
          <w:szCs w:val="32"/>
        </w:rPr>
        <w:t>（四）资产管理部门应及时安排所配置的设备设施投入使用。对于</w:t>
      </w:r>
      <w:r>
        <w:rPr>
          <w:rFonts w:hint="eastAsia" w:ascii="方正仿宋_GBK" w:eastAsia="方正仿宋_GBK"/>
          <w:sz w:val="32"/>
          <w:szCs w:val="32"/>
        </w:rPr>
        <w:t>主管部门提供的调拨设备、接受社会捐赠和单位盘盈的资产，资产管理部门必须依据有关凭据及时入库、入账，及时安排使用，不得出现账外使用和闲置浪费情况。</w:t>
      </w:r>
    </w:p>
    <w:p>
      <w:pPr>
        <w:spacing w:line="600" w:lineRule="exact"/>
        <w:ind w:firstLine="684" w:firstLineChars="213"/>
        <w:rPr>
          <w:rFonts w:ascii="方正楷体_GBK" w:hAnsi="宋体" w:eastAsia="方正楷体_GBK"/>
          <w:b/>
          <w:sz w:val="32"/>
          <w:szCs w:val="32"/>
        </w:rPr>
      </w:pPr>
      <w:r>
        <w:rPr>
          <w:rFonts w:hint="eastAsia" w:ascii="方正楷体_GBK" w:hAnsi="宋体" w:eastAsia="方正楷体_GBK"/>
          <w:b/>
          <w:sz w:val="32"/>
          <w:szCs w:val="32"/>
        </w:rPr>
        <w:t>第二十二条   固定资产的界定</w:t>
      </w:r>
    </w:p>
    <w:p>
      <w:pPr>
        <w:pStyle w:val="6"/>
        <w:shd w:val="clear" w:color="auto" w:fill="F7FCFF"/>
        <w:spacing w:before="0" w:beforeAutospacing="0" w:after="0" w:afterAutospacing="0" w:line="600" w:lineRule="exact"/>
        <w:ind w:firstLine="681" w:firstLineChars="213"/>
        <w:jc w:val="both"/>
        <w:rPr>
          <w:rFonts w:ascii="方正仿宋_GBK" w:eastAsia="方正仿宋_GBK" w:cstheme="minorBidi"/>
          <w:kern w:val="2"/>
          <w:sz w:val="32"/>
          <w:szCs w:val="32"/>
        </w:rPr>
      </w:pPr>
      <w:r>
        <w:rPr>
          <w:rFonts w:hint="eastAsia" w:ascii="方正仿宋_GBK" w:eastAsia="方正仿宋_GBK" w:cstheme="minorBidi"/>
          <w:kern w:val="2"/>
          <w:sz w:val="32"/>
          <w:szCs w:val="32"/>
        </w:rPr>
        <w:t>（一）固定资产是指使用期限超过一年，单位价值在1000元以上（其中：专用设备单位价值在1500元以上），并在使用过程中基本保持原有物质形态的资产。单位价值虽未达到规定标准，但是耐用时间在一年以上的大批同类物资，各单位须作为固定资产管理。</w:t>
      </w:r>
    </w:p>
    <w:p>
      <w:pPr>
        <w:pStyle w:val="6"/>
        <w:shd w:val="clear" w:color="auto" w:fill="F7FCFF"/>
        <w:spacing w:before="0" w:beforeAutospacing="0" w:after="0" w:afterAutospacing="0" w:line="600" w:lineRule="exact"/>
        <w:ind w:firstLine="681" w:firstLineChars="213"/>
        <w:jc w:val="both"/>
        <w:rPr>
          <w:rFonts w:ascii="方正仿宋_GBK" w:eastAsia="方正仿宋_GBK" w:cstheme="minorBidi"/>
          <w:kern w:val="2"/>
          <w:sz w:val="32"/>
          <w:szCs w:val="32"/>
        </w:rPr>
      </w:pPr>
      <w:r>
        <w:rPr>
          <w:rFonts w:hint="eastAsia" w:ascii="方正仿宋_GBK" w:eastAsia="方正仿宋_GBK" w:cstheme="minorBidi"/>
          <w:kern w:val="2"/>
          <w:sz w:val="32"/>
          <w:szCs w:val="32"/>
        </w:rPr>
        <w:t>（二）单位价值虽未达到规定标准，但是耐用时间在一年以上的大批同类物资，</w:t>
      </w:r>
      <w:r>
        <w:rPr>
          <w:rFonts w:hint="eastAsia" w:ascii="方正仿宋_GBK" w:eastAsia="方正仿宋_GBK"/>
          <w:sz w:val="32"/>
          <w:szCs w:val="32"/>
        </w:rPr>
        <w:t>主要包括：图书、桌、椅、凳、柜、床类，以及本单位长期用量在50件以上且单价超过100元的其它耐用设备。</w:t>
      </w:r>
    </w:p>
    <w:p>
      <w:pPr>
        <w:spacing w:line="600" w:lineRule="exact"/>
        <w:ind w:firstLine="684" w:firstLineChars="213"/>
        <w:rPr>
          <w:rFonts w:ascii="方正楷体_GBK" w:hAnsi="宋体" w:eastAsia="方正楷体_GBK"/>
          <w:b/>
          <w:sz w:val="32"/>
          <w:szCs w:val="32"/>
        </w:rPr>
      </w:pPr>
      <w:r>
        <w:rPr>
          <w:rFonts w:hint="eastAsia" w:ascii="方正楷体_GBK" w:hAnsi="宋体" w:eastAsia="方正楷体_GBK"/>
          <w:b/>
          <w:sz w:val="32"/>
          <w:szCs w:val="32"/>
        </w:rPr>
        <w:t>第二十三条  资产的账实管理</w:t>
      </w:r>
    </w:p>
    <w:p>
      <w:pPr>
        <w:spacing w:line="600" w:lineRule="exact"/>
        <w:ind w:firstLine="681" w:firstLineChars="213"/>
        <w:rPr>
          <w:rFonts w:ascii="方正仿宋_GBK" w:hAnsi="宋体" w:eastAsia="方正仿宋_GBK"/>
          <w:sz w:val="32"/>
          <w:szCs w:val="32"/>
        </w:rPr>
      </w:pPr>
      <w:r>
        <w:rPr>
          <w:rFonts w:hint="eastAsia" w:ascii="方正仿宋_GBK" w:hAnsi="宋体" w:eastAsia="方正仿宋_GBK"/>
          <w:sz w:val="32"/>
          <w:szCs w:val="32"/>
        </w:rPr>
        <w:t>（一）单位财务管理员与出纳员应当按月对现金及存款进行清查盘点。</w:t>
      </w:r>
    </w:p>
    <w:p>
      <w:pPr>
        <w:spacing w:line="600" w:lineRule="exact"/>
        <w:ind w:firstLine="681" w:firstLineChars="213"/>
        <w:rPr>
          <w:rFonts w:ascii="方正仿宋_GBK" w:hAnsi="宋体" w:eastAsia="方正仿宋_GBK"/>
          <w:sz w:val="32"/>
          <w:szCs w:val="32"/>
        </w:rPr>
      </w:pPr>
      <w:r>
        <w:rPr>
          <w:rFonts w:hint="eastAsia" w:ascii="方正仿宋_GBK" w:hAnsi="宋体" w:eastAsia="方正仿宋_GBK"/>
          <w:sz w:val="32"/>
          <w:szCs w:val="32"/>
        </w:rPr>
        <w:t>（二）资产系统账管理员与财务管理员要按月进行资产系统账和财务账的核对，保持固定资产账务数据信息完全一致，即账账相符；资产实物管理员要不定期进行固定资产实物与资产系统账的盘点核对工作，学期末要进行全面盘点清查，保证账实相符。防止出现账实不能对应、账实不符等情况发生。出现盘盈盘亏应当及时查明原因并按规定处理。</w:t>
      </w:r>
    </w:p>
    <w:p>
      <w:pPr>
        <w:spacing w:line="600" w:lineRule="exact"/>
        <w:ind w:firstLine="684" w:firstLineChars="213"/>
        <w:rPr>
          <w:rFonts w:ascii="方正楷体_GBK" w:hAnsi="宋体" w:eastAsia="方正楷体_GBK"/>
          <w:b/>
          <w:sz w:val="32"/>
          <w:szCs w:val="32"/>
        </w:rPr>
      </w:pPr>
      <w:r>
        <w:rPr>
          <w:rFonts w:hint="eastAsia" w:ascii="方正楷体_GBK" w:hAnsi="宋体" w:eastAsia="方正楷体_GBK"/>
          <w:b/>
          <w:sz w:val="32"/>
          <w:szCs w:val="32"/>
        </w:rPr>
        <w:t>第二十四条  资产的对外有偿使用管理</w:t>
      </w:r>
    </w:p>
    <w:p>
      <w:pPr>
        <w:spacing w:line="600" w:lineRule="exact"/>
        <w:ind w:firstLine="681" w:firstLineChars="213"/>
        <w:rPr>
          <w:rFonts w:ascii="方正仿宋_GBK" w:hAnsi="宋体" w:eastAsia="方正仿宋_GBK"/>
          <w:sz w:val="32"/>
          <w:szCs w:val="32"/>
        </w:rPr>
      </w:pPr>
      <w:r>
        <w:rPr>
          <w:rFonts w:hint="eastAsia" w:ascii="方正仿宋_GBK" w:hAnsi="宋体" w:eastAsia="方正仿宋_GBK"/>
          <w:sz w:val="32"/>
          <w:szCs w:val="32"/>
        </w:rPr>
        <w:t>（一）资产对外有偿使用包括固定资产的出租、出借、投资和担保。</w:t>
      </w:r>
    </w:p>
    <w:p>
      <w:pPr>
        <w:spacing w:line="600" w:lineRule="exact"/>
        <w:ind w:firstLine="681" w:firstLineChars="213"/>
        <w:rPr>
          <w:rFonts w:ascii="方正仿宋_GBK" w:hAnsi="宋体" w:eastAsia="方正仿宋_GBK"/>
          <w:sz w:val="32"/>
          <w:szCs w:val="32"/>
        </w:rPr>
      </w:pPr>
      <w:r>
        <w:rPr>
          <w:rFonts w:hint="eastAsia" w:ascii="方正仿宋_GBK" w:hAnsi="宋体" w:eastAsia="方正仿宋_GBK"/>
          <w:sz w:val="32"/>
          <w:szCs w:val="32"/>
        </w:rPr>
        <w:t>（二）各单位如有闲置的固定资产，在不影响职能正常履行的情况下，可以对外出租、出借。</w:t>
      </w:r>
    </w:p>
    <w:p>
      <w:pPr>
        <w:spacing w:line="600" w:lineRule="exact"/>
        <w:ind w:firstLine="681" w:firstLineChars="213"/>
        <w:rPr>
          <w:rFonts w:ascii="方正仿宋_GBK" w:hAnsi="宋体" w:eastAsia="方正仿宋_GBK"/>
          <w:sz w:val="32"/>
          <w:szCs w:val="32"/>
        </w:rPr>
      </w:pPr>
      <w:r>
        <w:rPr>
          <w:rFonts w:hint="eastAsia" w:ascii="方正仿宋_GBK" w:hAnsi="宋体" w:eastAsia="方正仿宋_GBK"/>
          <w:sz w:val="32"/>
          <w:szCs w:val="32"/>
        </w:rPr>
        <w:t>（三）出租资产位于镇街(非城区范围)，按单宗计量，租赁期限在1年及以下、且年租金在1万元及以下公开招标租赁项目；或因特殊情况需临时租赁，且租期连续在6个月以内，由单位按照民主决策程序自行决定。出租资产位于城区范围内原则上都要报批。权限以外的资产出租，单位要按规定拟订详细的资产租赁方案先报区教委再报区国资局或区财政局的程序进行审批。租赁资产要坚持合法安全和收益最大化的原则。</w:t>
      </w:r>
    </w:p>
    <w:p>
      <w:pPr>
        <w:spacing w:line="600" w:lineRule="exact"/>
        <w:ind w:firstLine="681" w:firstLineChars="213"/>
        <w:rPr>
          <w:rFonts w:ascii="方正仿宋_GBK" w:hAnsi="宋体" w:eastAsia="方正仿宋_GBK"/>
          <w:sz w:val="32"/>
          <w:szCs w:val="32"/>
        </w:rPr>
      </w:pPr>
      <w:r>
        <w:rPr>
          <w:rFonts w:hint="eastAsia" w:ascii="方正仿宋_GBK" w:hAnsi="宋体" w:eastAsia="方正仿宋_GBK"/>
          <w:sz w:val="32"/>
          <w:szCs w:val="32"/>
        </w:rPr>
        <w:t>（四）资产出借仅限于永川区行政事业单位之间 ，出借前应征得区教委同意，并办理好资产出借手续。</w:t>
      </w:r>
    </w:p>
    <w:p>
      <w:pPr>
        <w:spacing w:line="600" w:lineRule="exact"/>
        <w:ind w:firstLine="681" w:firstLineChars="213"/>
        <w:rPr>
          <w:rFonts w:ascii="方正仿宋_GBK" w:hAnsi="宋体" w:eastAsia="方正仿宋_GBK"/>
          <w:sz w:val="32"/>
          <w:szCs w:val="32"/>
        </w:rPr>
      </w:pPr>
      <w:r>
        <w:rPr>
          <w:rFonts w:hint="eastAsia" w:ascii="方正仿宋_GBK" w:eastAsia="方正仿宋_GBK"/>
          <w:sz w:val="32"/>
          <w:szCs w:val="32"/>
        </w:rPr>
        <w:t>（五）严格对外投资和担保管理，所有学校不得对外提供担保。义务教育阶段学校不得对外投资，学校不得使用财政拨款及其结余进行对外投资，不得从事股票、期货、基金、企业债券等投资；按照国家有关规定可以对外投资的，须报区教委、</w:t>
      </w:r>
      <w:r>
        <w:rPr>
          <w:rFonts w:hint="eastAsia" w:ascii="方正仿宋_GBK" w:hAnsi="宋体" w:eastAsia="方正仿宋_GBK"/>
          <w:sz w:val="32"/>
          <w:szCs w:val="32"/>
        </w:rPr>
        <w:t xml:space="preserve">区国资局或区财政局审批。 </w:t>
      </w:r>
    </w:p>
    <w:p>
      <w:pPr>
        <w:spacing w:line="600" w:lineRule="exact"/>
        <w:ind w:firstLine="684" w:firstLineChars="213"/>
        <w:rPr>
          <w:rFonts w:ascii="方正楷体_GBK" w:hAnsi="宋体" w:eastAsia="方正楷体_GBK"/>
          <w:b/>
          <w:sz w:val="32"/>
          <w:szCs w:val="32"/>
        </w:rPr>
      </w:pPr>
      <w:r>
        <w:rPr>
          <w:rFonts w:hint="eastAsia" w:ascii="方正楷体_GBK" w:hAnsi="宋体" w:eastAsia="方正楷体_GBK"/>
          <w:b/>
          <w:sz w:val="32"/>
          <w:szCs w:val="32"/>
        </w:rPr>
        <w:t>第二十五条  资产的处置管理</w:t>
      </w:r>
    </w:p>
    <w:p>
      <w:pPr>
        <w:tabs>
          <w:tab w:val="left" w:pos="2268"/>
        </w:tabs>
        <w:snapToGrid w:val="0"/>
        <w:spacing w:line="600" w:lineRule="exact"/>
        <w:ind w:firstLine="681" w:firstLineChars="213"/>
        <w:rPr>
          <w:rFonts w:ascii="方正仿宋_GBK" w:eastAsia="方正仿宋_GBK"/>
          <w:sz w:val="32"/>
          <w:szCs w:val="32"/>
        </w:rPr>
      </w:pPr>
      <w:r>
        <w:rPr>
          <w:rFonts w:hint="eastAsia" w:ascii="方正仿宋_GBK" w:eastAsia="方正仿宋_GBK"/>
          <w:sz w:val="32"/>
          <w:szCs w:val="32"/>
        </w:rPr>
        <w:t>（一）资产的处置管理包括资产的调拨（划转）、捐赠、出售（出让、转让）和置换、国有资产报损、报废等。</w:t>
      </w:r>
    </w:p>
    <w:p>
      <w:pPr>
        <w:tabs>
          <w:tab w:val="left" w:pos="2268"/>
        </w:tabs>
        <w:snapToGrid w:val="0"/>
        <w:spacing w:line="600" w:lineRule="exact"/>
        <w:ind w:firstLine="681" w:firstLineChars="213"/>
        <w:rPr>
          <w:rFonts w:ascii="方正仿宋_GBK" w:eastAsia="方正仿宋_GBK"/>
          <w:sz w:val="32"/>
          <w:szCs w:val="32"/>
        </w:rPr>
      </w:pPr>
      <w:r>
        <w:rPr>
          <w:rFonts w:hint="eastAsia" w:ascii="方正仿宋_GBK" w:eastAsia="方正仿宋_GBK"/>
          <w:sz w:val="32"/>
          <w:szCs w:val="32"/>
        </w:rPr>
        <w:t>（二）单位权限范围内的，按照民主决策程序办理；权限以外的，须按照有关规定报区教委、区财政局或区国资局审核，严格履行审批手续，未经批准不得自行处置，不得调整资产和财务账。</w:t>
      </w:r>
    </w:p>
    <w:p>
      <w:pPr>
        <w:tabs>
          <w:tab w:val="left" w:pos="2268"/>
        </w:tabs>
        <w:snapToGrid w:val="0"/>
        <w:spacing w:line="600" w:lineRule="exact"/>
        <w:ind w:firstLine="681" w:firstLineChars="213"/>
        <w:rPr>
          <w:rFonts w:ascii="方正楷体_GBK" w:hAnsi="宋体" w:eastAsia="方正楷体_GBK"/>
          <w:b/>
          <w:sz w:val="32"/>
          <w:szCs w:val="32"/>
        </w:rPr>
      </w:pPr>
      <w:r>
        <w:rPr>
          <w:rFonts w:hint="eastAsia" w:ascii="方正仿宋_GBK" w:eastAsia="方正仿宋_GBK"/>
          <w:sz w:val="32"/>
          <w:szCs w:val="32"/>
        </w:rPr>
        <w:t>（三）重要财产处置前其相关信息应在规定的交易平台、媒体和场所公示，按照公开、公平、公正的原则进行交易。处置取得收入须在10个工作日内按照政府非税收入管理规定，实行“收支两条线”管理，及时缴存财政专户。</w:t>
      </w:r>
    </w:p>
    <w:p>
      <w:pPr>
        <w:snapToGrid w:val="0"/>
        <w:spacing w:line="600" w:lineRule="exact"/>
        <w:ind w:firstLine="684" w:firstLineChars="213"/>
        <w:rPr>
          <w:rFonts w:ascii="方正楷体_GBK" w:hAnsi="宋体" w:eastAsia="方正楷体_GBK"/>
          <w:b/>
          <w:sz w:val="32"/>
          <w:szCs w:val="32"/>
        </w:rPr>
      </w:pPr>
      <w:r>
        <w:rPr>
          <w:rFonts w:hint="eastAsia" w:ascii="方正楷体_GBK" w:hAnsi="宋体" w:eastAsia="方正楷体_GBK"/>
          <w:b/>
          <w:sz w:val="32"/>
          <w:szCs w:val="32"/>
        </w:rPr>
        <w:t>第二十六条  资产的产权管理</w:t>
      </w:r>
    </w:p>
    <w:p>
      <w:pPr>
        <w:shd w:val="clear" w:color="auto" w:fill="FFFFFF"/>
        <w:spacing w:line="600" w:lineRule="exact"/>
        <w:ind w:firstLine="681" w:firstLineChars="213"/>
        <w:rPr>
          <w:rFonts w:ascii="方正仿宋_GBK" w:eastAsia="方正仿宋_GBK"/>
          <w:sz w:val="32"/>
          <w:szCs w:val="32"/>
        </w:rPr>
      </w:pPr>
      <w:r>
        <w:rPr>
          <w:rFonts w:hint="eastAsia" w:ascii="方正仿宋_GBK" w:eastAsia="方正仿宋_GBK"/>
          <w:sz w:val="32"/>
          <w:szCs w:val="32"/>
        </w:rPr>
        <w:t>（一）</w:t>
      </w:r>
      <w:r>
        <w:rPr>
          <w:rFonts w:ascii="方正仿宋_GBK" w:eastAsia="方正仿宋_GBK"/>
          <w:sz w:val="32"/>
          <w:szCs w:val="32"/>
        </w:rPr>
        <w:t>产权登记证是国家对事业单位国有资产享有所有权、单位享有占有、使用权的法律凭证</w:t>
      </w:r>
      <w:r>
        <w:rPr>
          <w:rFonts w:hint="eastAsia" w:ascii="方正仿宋_GBK" w:eastAsia="方正仿宋_GBK"/>
          <w:sz w:val="32"/>
          <w:szCs w:val="32"/>
        </w:rPr>
        <w:t>，</w:t>
      </w:r>
      <w:r>
        <w:rPr>
          <w:rFonts w:ascii="方正仿宋_GBK" w:eastAsia="方正仿宋_GBK"/>
          <w:sz w:val="32"/>
          <w:szCs w:val="32"/>
        </w:rPr>
        <w:t>也是事业单位编制部门预算、办理资产配置、资产使用、资产处置和办理其他资产管理事项的重要依据</w:t>
      </w:r>
      <w:r>
        <w:rPr>
          <w:rFonts w:hint="eastAsia" w:ascii="方正仿宋_GBK" w:eastAsia="方正仿宋_GBK"/>
          <w:sz w:val="32"/>
          <w:szCs w:val="32"/>
        </w:rPr>
        <w:t>。</w:t>
      </w:r>
    </w:p>
    <w:p>
      <w:pPr>
        <w:shd w:val="clear" w:color="auto" w:fill="FFFFFF"/>
        <w:spacing w:line="600" w:lineRule="exact"/>
        <w:ind w:firstLine="681" w:firstLineChars="213"/>
        <w:rPr>
          <w:rFonts w:ascii="方正仿宋_GBK" w:eastAsia="方正仿宋_GBK"/>
          <w:sz w:val="32"/>
          <w:szCs w:val="32"/>
        </w:rPr>
      </w:pPr>
      <w:r>
        <w:rPr>
          <w:rFonts w:hint="eastAsia" w:ascii="方正仿宋_GBK" w:eastAsia="方正仿宋_GBK"/>
          <w:sz w:val="32"/>
          <w:szCs w:val="32"/>
        </w:rPr>
        <w:t>（二）</w:t>
      </w:r>
      <w:r>
        <w:rPr>
          <w:rFonts w:ascii="方正仿宋_GBK" w:eastAsia="方正仿宋_GBK"/>
          <w:sz w:val="32"/>
          <w:szCs w:val="32"/>
        </w:rPr>
        <w:t>资产产权登记</w:t>
      </w:r>
      <w:r>
        <w:rPr>
          <w:rFonts w:hint="eastAsia" w:ascii="方正仿宋_GBK" w:eastAsia="方正仿宋_GBK"/>
          <w:sz w:val="32"/>
          <w:szCs w:val="32"/>
        </w:rPr>
        <w:t>。各单位应按照统一安排</w:t>
      </w:r>
      <w:r>
        <w:rPr>
          <w:rFonts w:ascii="方正仿宋_GBK" w:eastAsia="方正仿宋_GBK"/>
          <w:sz w:val="32"/>
          <w:szCs w:val="32"/>
        </w:rPr>
        <w:t>向</w:t>
      </w:r>
      <w:r>
        <w:rPr>
          <w:rFonts w:hint="eastAsia" w:ascii="方正仿宋_GBK" w:eastAsia="方正仿宋_GBK"/>
          <w:sz w:val="32"/>
          <w:szCs w:val="32"/>
        </w:rPr>
        <w:t>区</w:t>
      </w:r>
      <w:r>
        <w:rPr>
          <w:rFonts w:ascii="方正仿宋_GBK" w:eastAsia="方正仿宋_GBK"/>
          <w:sz w:val="32"/>
          <w:szCs w:val="32"/>
        </w:rPr>
        <w:t>财政</w:t>
      </w:r>
      <w:r>
        <w:rPr>
          <w:rFonts w:hint="eastAsia" w:ascii="方正仿宋_GBK" w:eastAsia="方正仿宋_GBK"/>
          <w:sz w:val="32"/>
          <w:szCs w:val="32"/>
        </w:rPr>
        <w:t>局</w:t>
      </w:r>
      <w:r>
        <w:rPr>
          <w:rFonts w:ascii="方正仿宋_GBK" w:eastAsia="方正仿宋_GBK"/>
          <w:sz w:val="32"/>
          <w:szCs w:val="32"/>
        </w:rPr>
        <w:t>申报、办理国有资产产权登记</w:t>
      </w:r>
      <w:r>
        <w:rPr>
          <w:rFonts w:hint="eastAsia" w:ascii="方正仿宋_GBK" w:eastAsia="方正仿宋_GBK"/>
          <w:sz w:val="32"/>
          <w:szCs w:val="32"/>
        </w:rPr>
        <w:t>，取得</w:t>
      </w:r>
      <w:r>
        <w:rPr>
          <w:rFonts w:ascii="方正仿宋_GBK" w:eastAsia="方正仿宋_GBK"/>
          <w:sz w:val="32"/>
          <w:szCs w:val="32"/>
        </w:rPr>
        <w:t>核发的《中华人民共和国事业单位国有资产产权登记证》。</w:t>
      </w:r>
    </w:p>
    <w:p>
      <w:pPr>
        <w:shd w:val="clear" w:color="auto" w:fill="FFFFFF"/>
        <w:spacing w:line="600" w:lineRule="exact"/>
        <w:ind w:firstLine="681" w:firstLineChars="213"/>
        <w:rPr>
          <w:rFonts w:ascii="方正仿宋_GBK" w:eastAsia="方正仿宋_GBK"/>
          <w:sz w:val="32"/>
          <w:szCs w:val="32"/>
        </w:rPr>
      </w:pPr>
      <w:r>
        <w:rPr>
          <w:rFonts w:hint="eastAsia" w:ascii="方正仿宋_GBK" w:eastAsia="方正仿宋_GBK"/>
          <w:sz w:val="32"/>
          <w:szCs w:val="32"/>
        </w:rPr>
        <w:t>（三）资产</w:t>
      </w:r>
      <w:r>
        <w:rPr>
          <w:rFonts w:ascii="方正仿宋_GBK" w:eastAsia="方正仿宋_GBK"/>
          <w:sz w:val="32"/>
          <w:szCs w:val="32"/>
        </w:rPr>
        <w:t>产权</w:t>
      </w:r>
      <w:r>
        <w:rPr>
          <w:rFonts w:hint="eastAsia" w:ascii="方正仿宋_GBK" w:eastAsia="方正仿宋_GBK"/>
          <w:sz w:val="32"/>
          <w:szCs w:val="32"/>
        </w:rPr>
        <w:t>变更</w:t>
      </w:r>
      <w:r>
        <w:rPr>
          <w:rFonts w:ascii="方正仿宋_GBK" w:eastAsia="方正仿宋_GBK"/>
          <w:sz w:val="32"/>
          <w:szCs w:val="32"/>
        </w:rPr>
        <w:t>登记</w:t>
      </w:r>
      <w:r>
        <w:rPr>
          <w:rFonts w:hint="eastAsia" w:ascii="方正仿宋_GBK" w:eastAsia="方正仿宋_GBK"/>
          <w:sz w:val="32"/>
          <w:szCs w:val="32"/>
        </w:rPr>
        <w:t>。</w:t>
      </w:r>
      <w:r>
        <w:rPr>
          <w:rFonts w:ascii="方正仿宋_GBK" w:eastAsia="方正仿宋_GBK"/>
          <w:sz w:val="32"/>
          <w:szCs w:val="32"/>
        </w:rPr>
        <w:t>单位发生分立、合并、部分改制，以及单位名称、单位(性质)分类、人员编制数、主管部门、管理级次、预算级次发生变化，以及国有资产金额一次或累计变动超过国有资产总额20%(含)的行为事项</w:t>
      </w:r>
      <w:r>
        <w:rPr>
          <w:rFonts w:hint="eastAsia" w:ascii="方正仿宋_GBK" w:eastAsia="方正仿宋_GBK"/>
          <w:sz w:val="32"/>
          <w:szCs w:val="32"/>
        </w:rPr>
        <w:t>，应进行</w:t>
      </w:r>
      <w:r>
        <w:rPr>
          <w:rFonts w:ascii="方正仿宋_GBK" w:eastAsia="方正仿宋_GBK"/>
          <w:sz w:val="32"/>
          <w:szCs w:val="32"/>
        </w:rPr>
        <w:t>变动产权登记</w:t>
      </w:r>
      <w:r>
        <w:rPr>
          <w:rFonts w:hint="eastAsia" w:ascii="方正仿宋_GBK" w:eastAsia="方正仿宋_GBK"/>
          <w:sz w:val="32"/>
          <w:szCs w:val="32"/>
        </w:rPr>
        <w:t>，</w:t>
      </w:r>
      <w:r>
        <w:rPr>
          <w:rFonts w:ascii="方正仿宋_GBK" w:eastAsia="方正仿宋_GBK"/>
          <w:sz w:val="32"/>
          <w:szCs w:val="32"/>
        </w:rPr>
        <w:t>应当自</w:t>
      </w:r>
      <w:r>
        <w:rPr>
          <w:rFonts w:hint="eastAsia" w:ascii="方正仿宋_GBK" w:eastAsia="方正仿宋_GBK"/>
          <w:sz w:val="32"/>
          <w:szCs w:val="32"/>
        </w:rPr>
        <w:t>区</w:t>
      </w:r>
      <w:r>
        <w:rPr>
          <w:rFonts w:ascii="方正仿宋_GBK" w:eastAsia="方正仿宋_GBK"/>
          <w:sz w:val="32"/>
          <w:szCs w:val="32"/>
        </w:rPr>
        <w:t>财政</w:t>
      </w:r>
      <w:r>
        <w:rPr>
          <w:rFonts w:hint="eastAsia" w:ascii="方正仿宋_GBK" w:eastAsia="方正仿宋_GBK"/>
          <w:sz w:val="32"/>
          <w:szCs w:val="32"/>
        </w:rPr>
        <w:t>局或区国资局</w:t>
      </w:r>
      <w:r>
        <w:rPr>
          <w:rFonts w:ascii="方正仿宋_GBK" w:eastAsia="方正仿宋_GBK"/>
          <w:sz w:val="32"/>
          <w:szCs w:val="32"/>
        </w:rPr>
        <w:t>批准变动之日起六十日内，经</w:t>
      </w:r>
      <w:r>
        <w:rPr>
          <w:rFonts w:hint="eastAsia" w:ascii="方正仿宋_GBK" w:eastAsia="方正仿宋_GBK"/>
          <w:sz w:val="32"/>
          <w:szCs w:val="32"/>
        </w:rPr>
        <w:t>区教委</w:t>
      </w:r>
      <w:r>
        <w:rPr>
          <w:rFonts w:ascii="方正仿宋_GBK" w:eastAsia="方正仿宋_GBK"/>
          <w:sz w:val="32"/>
          <w:szCs w:val="32"/>
        </w:rPr>
        <w:t>审核同意后，向</w:t>
      </w:r>
      <w:r>
        <w:rPr>
          <w:rFonts w:hint="eastAsia" w:ascii="方正仿宋_GBK" w:eastAsia="方正仿宋_GBK"/>
          <w:sz w:val="32"/>
          <w:szCs w:val="32"/>
        </w:rPr>
        <w:t>区</w:t>
      </w:r>
      <w:r>
        <w:rPr>
          <w:rFonts w:ascii="方正仿宋_GBK" w:eastAsia="方正仿宋_GBK"/>
          <w:sz w:val="32"/>
          <w:szCs w:val="32"/>
        </w:rPr>
        <w:t>财政</w:t>
      </w:r>
      <w:r>
        <w:rPr>
          <w:rFonts w:hint="eastAsia" w:ascii="方正仿宋_GBK" w:eastAsia="方正仿宋_GBK"/>
          <w:sz w:val="32"/>
          <w:szCs w:val="32"/>
        </w:rPr>
        <w:t>局或区国资局</w:t>
      </w:r>
      <w:r>
        <w:rPr>
          <w:rFonts w:ascii="方正仿宋_GBK" w:eastAsia="方正仿宋_GBK"/>
          <w:sz w:val="32"/>
          <w:szCs w:val="32"/>
        </w:rPr>
        <w:t>申请办理变动产权登记。</w:t>
      </w:r>
    </w:p>
    <w:p>
      <w:pPr>
        <w:shd w:val="clear" w:color="auto" w:fill="FFFFFF"/>
        <w:spacing w:line="600" w:lineRule="exact"/>
        <w:ind w:firstLine="681" w:firstLineChars="213"/>
        <w:rPr>
          <w:rFonts w:ascii="方正仿宋_GBK" w:eastAsia="方正仿宋_GBK"/>
          <w:sz w:val="32"/>
          <w:szCs w:val="32"/>
        </w:rPr>
      </w:pPr>
      <w:r>
        <w:rPr>
          <w:rFonts w:hint="eastAsia" w:ascii="方正仿宋_GBK" w:eastAsia="方正仿宋_GBK"/>
          <w:sz w:val="32"/>
          <w:szCs w:val="32"/>
        </w:rPr>
        <w:t>（四）资产</w:t>
      </w:r>
      <w:r>
        <w:rPr>
          <w:rFonts w:ascii="方正仿宋_GBK" w:eastAsia="方正仿宋_GBK"/>
          <w:sz w:val="32"/>
          <w:szCs w:val="32"/>
        </w:rPr>
        <w:t>产权注销登记</w:t>
      </w:r>
      <w:r>
        <w:rPr>
          <w:rFonts w:hint="eastAsia" w:ascii="方正仿宋_GBK" w:eastAsia="方正仿宋_GBK"/>
          <w:sz w:val="32"/>
          <w:szCs w:val="32"/>
        </w:rPr>
        <w:t>。</w:t>
      </w:r>
      <w:r>
        <w:rPr>
          <w:rFonts w:ascii="方正仿宋_GBK" w:eastAsia="方正仿宋_GBK"/>
          <w:sz w:val="32"/>
          <w:szCs w:val="32"/>
        </w:rPr>
        <w:t>因分立、合并、依法撤销或改制等原因被整体清算、注销和划转的事业单位</w:t>
      </w:r>
      <w:r>
        <w:rPr>
          <w:rFonts w:hint="eastAsia" w:ascii="方正仿宋_GBK" w:eastAsia="方正仿宋_GBK"/>
          <w:sz w:val="32"/>
          <w:szCs w:val="32"/>
        </w:rPr>
        <w:t>，需办理</w:t>
      </w:r>
      <w:r>
        <w:rPr>
          <w:rFonts w:ascii="方正仿宋_GBK" w:eastAsia="方正仿宋_GBK"/>
          <w:sz w:val="32"/>
          <w:szCs w:val="32"/>
        </w:rPr>
        <w:t>注销产权登记</w:t>
      </w:r>
      <w:r>
        <w:rPr>
          <w:rFonts w:hint="eastAsia" w:ascii="方正仿宋_GBK" w:eastAsia="方正仿宋_GBK"/>
          <w:sz w:val="32"/>
          <w:szCs w:val="32"/>
        </w:rPr>
        <w:t>。</w:t>
      </w:r>
      <w:r>
        <w:rPr>
          <w:rFonts w:ascii="方正仿宋_GBK" w:eastAsia="方正仿宋_GBK"/>
          <w:sz w:val="32"/>
          <w:szCs w:val="32"/>
        </w:rPr>
        <w:t>自</w:t>
      </w:r>
      <w:r>
        <w:rPr>
          <w:rFonts w:hint="eastAsia" w:ascii="方正仿宋_GBK" w:eastAsia="方正仿宋_GBK"/>
          <w:sz w:val="32"/>
          <w:szCs w:val="32"/>
        </w:rPr>
        <w:t>区</w:t>
      </w:r>
      <w:r>
        <w:rPr>
          <w:rFonts w:ascii="方正仿宋_GBK" w:eastAsia="方正仿宋_GBK"/>
          <w:sz w:val="32"/>
          <w:szCs w:val="32"/>
        </w:rPr>
        <w:t>财政</w:t>
      </w:r>
      <w:r>
        <w:rPr>
          <w:rFonts w:hint="eastAsia" w:ascii="方正仿宋_GBK" w:eastAsia="方正仿宋_GBK"/>
          <w:sz w:val="32"/>
          <w:szCs w:val="32"/>
        </w:rPr>
        <w:t>局或区国资局</w:t>
      </w:r>
      <w:r>
        <w:rPr>
          <w:rFonts w:ascii="方正仿宋_GBK" w:eastAsia="方正仿宋_GBK"/>
          <w:sz w:val="32"/>
          <w:szCs w:val="32"/>
        </w:rPr>
        <w:t>批准上述行为之日起六十日内，经</w:t>
      </w:r>
      <w:r>
        <w:rPr>
          <w:rFonts w:hint="eastAsia" w:ascii="方正仿宋_GBK" w:eastAsia="方正仿宋_GBK"/>
          <w:sz w:val="32"/>
          <w:szCs w:val="32"/>
        </w:rPr>
        <w:t>区教委</w:t>
      </w:r>
      <w:r>
        <w:rPr>
          <w:rFonts w:ascii="方正仿宋_GBK" w:eastAsia="方正仿宋_GBK"/>
          <w:sz w:val="32"/>
          <w:szCs w:val="32"/>
        </w:rPr>
        <w:t>审核同意后，向</w:t>
      </w:r>
      <w:r>
        <w:rPr>
          <w:rFonts w:hint="eastAsia" w:ascii="方正仿宋_GBK" w:eastAsia="方正仿宋_GBK"/>
          <w:sz w:val="32"/>
          <w:szCs w:val="32"/>
        </w:rPr>
        <w:t>区</w:t>
      </w:r>
      <w:r>
        <w:rPr>
          <w:rFonts w:ascii="方正仿宋_GBK" w:eastAsia="方正仿宋_GBK"/>
          <w:sz w:val="32"/>
          <w:szCs w:val="32"/>
        </w:rPr>
        <w:t>财政</w:t>
      </w:r>
      <w:r>
        <w:rPr>
          <w:rFonts w:hint="eastAsia" w:ascii="方正仿宋_GBK" w:eastAsia="方正仿宋_GBK"/>
          <w:sz w:val="32"/>
          <w:szCs w:val="32"/>
        </w:rPr>
        <w:t>局或区国资局</w:t>
      </w:r>
      <w:r>
        <w:rPr>
          <w:rFonts w:ascii="方正仿宋_GBK" w:eastAsia="方正仿宋_GBK"/>
          <w:sz w:val="32"/>
          <w:szCs w:val="32"/>
        </w:rPr>
        <w:t>申请办理注销产权登记</w:t>
      </w:r>
      <w:r>
        <w:rPr>
          <w:rFonts w:hint="eastAsia" w:ascii="方正仿宋_GBK" w:eastAsia="方正仿宋_GBK"/>
          <w:sz w:val="32"/>
          <w:szCs w:val="32"/>
        </w:rPr>
        <w:t>。</w:t>
      </w:r>
    </w:p>
    <w:p>
      <w:pPr>
        <w:shd w:val="clear" w:color="auto" w:fill="FFFFFF"/>
        <w:spacing w:line="600" w:lineRule="exact"/>
        <w:ind w:firstLine="681" w:firstLineChars="213"/>
        <w:rPr>
          <w:rFonts w:ascii="方正仿宋_GBK" w:eastAsia="方正仿宋_GBK"/>
          <w:sz w:val="32"/>
          <w:szCs w:val="32"/>
        </w:rPr>
      </w:pPr>
      <w:r>
        <w:rPr>
          <w:rFonts w:hint="eastAsia" w:ascii="方正仿宋_GBK" w:eastAsia="方正仿宋_GBK"/>
          <w:sz w:val="32"/>
          <w:szCs w:val="32"/>
        </w:rPr>
        <w:t>（五）资产产权纠纷处理。因财产所有权、经营权、使用权等产权归属不清而发生的争议的，应在维护国有资产权益的前提下，由涉及单位进行清理，协商解决，协商不能解决的，向区教委、区财政局或区国资局申请调解和界定。</w:t>
      </w:r>
    </w:p>
    <w:p>
      <w:pPr>
        <w:shd w:val="clear" w:color="auto" w:fill="FFFFFF"/>
        <w:spacing w:line="600" w:lineRule="exact"/>
        <w:ind w:firstLine="681" w:firstLineChars="213"/>
        <w:rPr>
          <w:rFonts w:ascii="方正仿宋_GBK" w:eastAsia="方正仿宋_GBK"/>
          <w:b/>
          <w:sz w:val="32"/>
          <w:szCs w:val="32"/>
        </w:rPr>
      </w:pPr>
      <w:r>
        <w:rPr>
          <w:rFonts w:hint="eastAsia" w:ascii="方正仿宋_GBK" w:eastAsia="方正仿宋_GBK"/>
          <w:sz w:val="32"/>
          <w:szCs w:val="32"/>
        </w:rPr>
        <w:t>（六）</w:t>
      </w:r>
      <w:r>
        <w:rPr>
          <w:rFonts w:ascii="方正仿宋_GBK" w:eastAsia="方正仿宋_GBK"/>
          <w:sz w:val="32"/>
          <w:szCs w:val="32"/>
        </w:rPr>
        <w:t>资产产权登记</w:t>
      </w:r>
      <w:r>
        <w:rPr>
          <w:rFonts w:hint="eastAsia" w:ascii="方正仿宋_GBK" w:eastAsia="方正仿宋_GBK"/>
          <w:sz w:val="32"/>
          <w:szCs w:val="32"/>
        </w:rPr>
        <w:t>的</w:t>
      </w:r>
      <w:r>
        <w:rPr>
          <w:rFonts w:ascii="方正仿宋_GBK" w:eastAsia="方正仿宋_GBK"/>
          <w:sz w:val="32"/>
          <w:szCs w:val="32"/>
        </w:rPr>
        <w:t>年度检查</w:t>
      </w:r>
      <w:r>
        <w:rPr>
          <w:rFonts w:hint="eastAsia" w:ascii="方正仿宋_GBK" w:eastAsia="方正仿宋_GBK"/>
          <w:sz w:val="32"/>
          <w:szCs w:val="32"/>
        </w:rPr>
        <w:t>。区</w:t>
      </w:r>
      <w:r>
        <w:rPr>
          <w:rFonts w:ascii="方正仿宋_GBK" w:eastAsia="方正仿宋_GBK"/>
          <w:sz w:val="32"/>
          <w:szCs w:val="32"/>
        </w:rPr>
        <w:t>财政</w:t>
      </w:r>
      <w:r>
        <w:rPr>
          <w:rFonts w:hint="eastAsia" w:ascii="方正仿宋_GBK" w:eastAsia="方正仿宋_GBK"/>
          <w:sz w:val="32"/>
          <w:szCs w:val="32"/>
        </w:rPr>
        <w:t>局</w:t>
      </w:r>
      <w:r>
        <w:rPr>
          <w:rFonts w:ascii="方正仿宋_GBK" w:eastAsia="方正仿宋_GBK"/>
          <w:sz w:val="32"/>
          <w:szCs w:val="32"/>
        </w:rPr>
        <w:t>、</w:t>
      </w:r>
      <w:r>
        <w:rPr>
          <w:rFonts w:hint="eastAsia" w:ascii="方正仿宋_GBK" w:eastAsia="方正仿宋_GBK"/>
          <w:sz w:val="32"/>
          <w:szCs w:val="32"/>
        </w:rPr>
        <w:t>区国资局</w:t>
      </w:r>
      <w:r>
        <w:rPr>
          <w:rFonts w:ascii="方正仿宋_GBK" w:eastAsia="方正仿宋_GBK"/>
          <w:sz w:val="32"/>
          <w:szCs w:val="32"/>
        </w:rPr>
        <w:t>依据资产管理信息系统数据、单位财务数据和年度资产产权变动的资料、法定批复文件等，对</w:t>
      </w:r>
      <w:r>
        <w:rPr>
          <w:rFonts w:hint="eastAsia" w:ascii="方正仿宋_GBK" w:eastAsia="方正仿宋_GBK"/>
          <w:sz w:val="32"/>
          <w:szCs w:val="32"/>
        </w:rPr>
        <w:t>各</w:t>
      </w:r>
      <w:r>
        <w:rPr>
          <w:rFonts w:ascii="方正仿宋_GBK" w:eastAsia="方正仿宋_GBK"/>
          <w:sz w:val="32"/>
          <w:szCs w:val="32"/>
        </w:rPr>
        <w:t>单位国有资产产权登记实行年度检查。</w:t>
      </w:r>
      <w:r>
        <w:rPr>
          <w:rFonts w:hint="eastAsia" w:ascii="方正仿宋_GBK" w:eastAsia="方正仿宋_GBK"/>
          <w:sz w:val="32"/>
          <w:szCs w:val="32"/>
        </w:rPr>
        <w:t>对</w:t>
      </w:r>
      <w:r>
        <w:rPr>
          <w:rFonts w:ascii="方正仿宋_GBK" w:hAnsi="Calibri" w:eastAsia="方正仿宋_GBK" w:cs="Times New Roman"/>
          <w:sz w:val="32"/>
          <w:szCs w:val="32"/>
        </w:rPr>
        <w:t>不按照规定办理年度检查或年度检查未通过的，</w:t>
      </w:r>
      <w:r>
        <w:rPr>
          <w:rFonts w:hint="eastAsia" w:ascii="方正仿宋_GBK" w:eastAsia="方正仿宋_GBK"/>
          <w:sz w:val="32"/>
          <w:szCs w:val="32"/>
        </w:rPr>
        <w:t>责令</w:t>
      </w:r>
      <w:r>
        <w:rPr>
          <w:rFonts w:ascii="方正仿宋_GBK" w:hAnsi="Calibri" w:eastAsia="方正仿宋_GBK" w:cs="Times New Roman"/>
          <w:sz w:val="32"/>
          <w:szCs w:val="32"/>
        </w:rPr>
        <w:t>限期办理或改正，逾期仍未办理或改正的，暂停办理相关资产管理审批事项。</w:t>
      </w:r>
    </w:p>
    <w:p>
      <w:pPr>
        <w:shd w:val="clear" w:color="auto" w:fill="FFFFFF"/>
        <w:spacing w:line="600" w:lineRule="exact"/>
        <w:ind w:firstLine="681" w:firstLineChars="213"/>
        <w:rPr>
          <w:rFonts w:ascii="方正仿宋_GBK" w:eastAsia="方正仿宋_GBK"/>
          <w:sz w:val="32"/>
          <w:szCs w:val="32"/>
        </w:rPr>
      </w:pPr>
      <w:r>
        <w:rPr>
          <w:rFonts w:hint="eastAsia" w:ascii="方正仿宋_GBK" w:eastAsia="方正仿宋_GBK"/>
          <w:sz w:val="32"/>
          <w:szCs w:val="32"/>
        </w:rPr>
        <w:t>（七）房地产权证的办理及变更管理。各单位对占有、使用的国有房屋和土地都应取得房地产权证，未办理房地产权证的需向区国土房屋管理局申请办理。发生</w:t>
      </w:r>
      <w:r>
        <w:rPr>
          <w:rFonts w:ascii="方正仿宋_GBK" w:eastAsia="方正仿宋_GBK"/>
          <w:sz w:val="32"/>
          <w:szCs w:val="32"/>
        </w:rPr>
        <w:t>分立、合并、撤销或改制等</w:t>
      </w:r>
      <w:r>
        <w:rPr>
          <w:rFonts w:hint="eastAsia" w:ascii="方正仿宋_GBK" w:eastAsia="方正仿宋_GBK"/>
          <w:sz w:val="32"/>
          <w:szCs w:val="32"/>
        </w:rPr>
        <w:t>情况，持有的原单位房地产权证有关信息与资产现所有单位不相符的，应由资产现所有单位向区国土房屋管理局申请产权证变更，确认为本单位产权。</w:t>
      </w:r>
    </w:p>
    <w:p>
      <w:pPr>
        <w:spacing w:line="600" w:lineRule="exact"/>
        <w:ind w:firstLine="684" w:firstLineChars="213"/>
        <w:rPr>
          <w:rFonts w:ascii="方正楷体_GBK" w:hAnsi="宋体" w:eastAsia="方正楷体_GBK"/>
          <w:b/>
          <w:sz w:val="32"/>
          <w:szCs w:val="32"/>
        </w:rPr>
      </w:pPr>
      <w:r>
        <w:rPr>
          <w:rFonts w:hint="eastAsia" w:ascii="方正楷体_GBK" w:hAnsi="宋体" w:eastAsia="方正楷体_GBK"/>
          <w:b/>
          <w:sz w:val="32"/>
          <w:szCs w:val="32"/>
        </w:rPr>
        <w:t>第二十七条  资产的评估</w:t>
      </w:r>
    </w:p>
    <w:p>
      <w:pPr>
        <w:shd w:val="clear" w:color="auto" w:fill="FFFFFF"/>
        <w:spacing w:line="600" w:lineRule="exact"/>
        <w:ind w:firstLine="681" w:firstLineChars="213"/>
        <w:rPr>
          <w:rFonts w:ascii="方正仿宋_GBK" w:eastAsia="方正仿宋_GBK"/>
          <w:sz w:val="32"/>
          <w:szCs w:val="32"/>
        </w:rPr>
      </w:pPr>
      <w:r>
        <w:rPr>
          <w:rFonts w:hint="eastAsia" w:ascii="方正仿宋_GBK" w:eastAsia="方正仿宋_GBK"/>
          <w:sz w:val="32"/>
          <w:szCs w:val="32"/>
        </w:rPr>
        <w:t>（一）</w:t>
      </w:r>
      <w:r>
        <w:rPr>
          <w:rFonts w:ascii="方正仿宋_GBK" w:eastAsia="方正仿宋_GBK"/>
          <w:sz w:val="32"/>
          <w:szCs w:val="32"/>
        </w:rPr>
        <w:t>科学评估国有资产，如实反映国有资产的价值量及其变动，</w:t>
      </w:r>
      <w:r>
        <w:rPr>
          <w:rFonts w:hint="eastAsia" w:ascii="方正仿宋_GBK" w:eastAsia="方正仿宋_GBK"/>
          <w:sz w:val="32"/>
          <w:szCs w:val="32"/>
        </w:rPr>
        <w:t>以</w:t>
      </w:r>
      <w:r>
        <w:rPr>
          <w:rFonts w:ascii="方正仿宋_GBK" w:eastAsia="方正仿宋_GBK"/>
          <w:sz w:val="32"/>
          <w:szCs w:val="32"/>
        </w:rPr>
        <w:t>推动国有资产的合理流动、优化配置和有效、节约使用</w:t>
      </w:r>
      <w:r>
        <w:rPr>
          <w:rFonts w:hint="eastAsia" w:ascii="方正仿宋_GBK" w:eastAsia="方正仿宋_GBK"/>
          <w:sz w:val="32"/>
          <w:szCs w:val="32"/>
        </w:rPr>
        <w:t>。</w:t>
      </w:r>
    </w:p>
    <w:p>
      <w:pPr>
        <w:shd w:val="clear" w:color="auto" w:fill="FFFFFF"/>
        <w:spacing w:line="600" w:lineRule="exact"/>
        <w:ind w:firstLine="681" w:firstLineChars="213"/>
        <w:rPr>
          <w:rFonts w:ascii="方正仿宋_GBK" w:eastAsia="方正仿宋_GBK"/>
          <w:sz w:val="32"/>
          <w:szCs w:val="32"/>
        </w:rPr>
      </w:pPr>
      <w:r>
        <w:rPr>
          <w:rFonts w:hint="eastAsia" w:ascii="方正仿宋_GBK" w:eastAsia="方正仿宋_GBK"/>
          <w:sz w:val="32"/>
          <w:szCs w:val="32"/>
        </w:rPr>
        <w:t>（二）需要评估的资产包括</w:t>
      </w:r>
      <w:r>
        <w:rPr>
          <w:rFonts w:ascii="方正仿宋_GBK" w:eastAsia="方正仿宋_GBK"/>
          <w:sz w:val="32"/>
          <w:szCs w:val="32"/>
        </w:rPr>
        <w:t>资产出售</w:t>
      </w:r>
      <w:r>
        <w:rPr>
          <w:rFonts w:hint="eastAsia" w:ascii="方正仿宋_GBK" w:eastAsia="方正仿宋_GBK"/>
          <w:sz w:val="32"/>
          <w:szCs w:val="32"/>
        </w:rPr>
        <w:t>、对外投资、</w:t>
      </w:r>
      <w:r>
        <w:fldChar w:fldCharType="begin"/>
      </w:r>
      <w:r>
        <w:instrText xml:space="preserve"> HYPERLINK "https://baike.baidu.com/item/%E8%B5%84%E4%BA%A7%E8%BD%AC%E8%AE%A9" \t "_blank" </w:instrText>
      </w:r>
      <w:r>
        <w:fldChar w:fldCharType="separate"/>
      </w:r>
      <w:r>
        <w:rPr>
          <w:rFonts w:ascii="方正仿宋_GBK" w:eastAsia="方正仿宋_GBK"/>
          <w:sz w:val="32"/>
          <w:szCs w:val="32"/>
        </w:rPr>
        <w:t>转让</w:t>
      </w:r>
      <w:r>
        <w:rPr>
          <w:rFonts w:ascii="方正仿宋_GBK" w:eastAsia="方正仿宋_GBK"/>
          <w:sz w:val="32"/>
          <w:szCs w:val="32"/>
        </w:rPr>
        <w:fldChar w:fldCharType="end"/>
      </w:r>
      <w:r>
        <w:rPr>
          <w:rFonts w:ascii="方正仿宋_GBK" w:eastAsia="方正仿宋_GBK"/>
          <w:sz w:val="32"/>
          <w:szCs w:val="32"/>
        </w:rPr>
        <w:t>、</w:t>
      </w:r>
      <w:r>
        <w:fldChar w:fldCharType="begin"/>
      </w:r>
      <w:r>
        <w:instrText xml:space="preserve"> HYPERLINK "https://baike.baidu.com/item/%E6%8A%B5%E6%8A%BC" \t "_blank" </w:instrText>
      </w:r>
      <w:r>
        <w:fldChar w:fldCharType="separate"/>
      </w:r>
      <w:r>
        <w:rPr>
          <w:rFonts w:ascii="方正仿宋_GBK" w:eastAsia="方正仿宋_GBK"/>
          <w:sz w:val="32"/>
          <w:szCs w:val="32"/>
        </w:rPr>
        <w:t>抵押</w:t>
      </w:r>
      <w:r>
        <w:rPr>
          <w:rFonts w:ascii="方正仿宋_GBK" w:eastAsia="方正仿宋_GBK"/>
          <w:sz w:val="32"/>
          <w:szCs w:val="32"/>
        </w:rPr>
        <w:fldChar w:fldCharType="end"/>
      </w:r>
      <w:r>
        <w:rPr>
          <w:rFonts w:ascii="方正仿宋_GBK" w:eastAsia="方正仿宋_GBK"/>
          <w:sz w:val="32"/>
          <w:szCs w:val="32"/>
        </w:rPr>
        <w:t>、担保</w:t>
      </w:r>
      <w:r>
        <w:rPr>
          <w:rFonts w:hint="eastAsia" w:ascii="方正仿宋_GBK" w:eastAsia="方正仿宋_GBK"/>
          <w:sz w:val="32"/>
          <w:szCs w:val="32"/>
        </w:rPr>
        <w:t>、租赁、改变</w:t>
      </w:r>
      <w:r>
        <w:rPr>
          <w:rFonts w:ascii="方正仿宋_GBK" w:eastAsia="方正仿宋_GBK"/>
          <w:sz w:val="32"/>
          <w:szCs w:val="32"/>
        </w:rPr>
        <w:t>单位性质</w:t>
      </w:r>
      <w:r>
        <w:rPr>
          <w:rFonts w:hint="eastAsia" w:ascii="方正仿宋_GBK" w:eastAsia="方正仿宋_GBK"/>
          <w:sz w:val="32"/>
          <w:szCs w:val="32"/>
        </w:rPr>
        <w:t>以及</w:t>
      </w:r>
      <w:r>
        <w:rPr>
          <w:rFonts w:ascii="方正仿宋_GBK" w:eastAsia="方正仿宋_GBK"/>
          <w:sz w:val="32"/>
          <w:szCs w:val="32"/>
        </w:rPr>
        <w:t>依照法律、法规规定需要进行资产评估的其他情况和行为</w:t>
      </w:r>
      <w:r>
        <w:rPr>
          <w:rFonts w:hint="eastAsia" w:ascii="方正仿宋_GBK" w:eastAsia="方正仿宋_GBK"/>
          <w:sz w:val="32"/>
          <w:szCs w:val="32"/>
        </w:rPr>
        <w:t>。</w:t>
      </w:r>
    </w:p>
    <w:p>
      <w:pPr>
        <w:shd w:val="clear" w:color="auto" w:fill="FFFFFF"/>
        <w:spacing w:line="600" w:lineRule="exact"/>
        <w:ind w:firstLine="681" w:firstLineChars="213"/>
        <w:rPr>
          <w:rFonts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国有资产评估</w:t>
      </w:r>
      <w:r>
        <w:rPr>
          <w:rFonts w:hint="eastAsia" w:ascii="方正仿宋_GBK" w:eastAsia="方正仿宋_GBK"/>
          <w:sz w:val="32"/>
          <w:szCs w:val="32"/>
        </w:rPr>
        <w:t>单位可在区国资局、区财政局确定的备选资产评估单位库中选择，或在法规规定具备相应资质的资产评估单位中确定。</w:t>
      </w:r>
    </w:p>
    <w:p>
      <w:pPr>
        <w:shd w:val="clear" w:color="auto" w:fill="FFFFFF"/>
        <w:spacing w:line="600" w:lineRule="exact"/>
        <w:ind w:firstLine="681" w:firstLineChars="213"/>
        <w:rPr>
          <w:rFonts w:ascii="方正仿宋_GBK" w:eastAsia="方正仿宋_GBK"/>
          <w:sz w:val="32"/>
          <w:szCs w:val="32"/>
        </w:rPr>
      </w:pPr>
      <w:r>
        <w:rPr>
          <w:rFonts w:hint="eastAsia" w:ascii="方正仿宋_GBK" w:eastAsia="方正仿宋_GBK"/>
          <w:sz w:val="32"/>
          <w:szCs w:val="32"/>
        </w:rPr>
        <w:t>（四）开展资产评估前单位须向区教委申请有关事项，办理结果须及时向主管部门报告。</w:t>
      </w:r>
    </w:p>
    <w:p>
      <w:pPr>
        <w:spacing w:line="600" w:lineRule="exact"/>
        <w:ind w:firstLine="684" w:firstLineChars="213"/>
        <w:rPr>
          <w:rFonts w:ascii="方正楷体_GBK" w:hAnsi="宋体" w:eastAsia="方正楷体_GBK"/>
          <w:b/>
          <w:sz w:val="32"/>
          <w:szCs w:val="32"/>
        </w:rPr>
      </w:pPr>
      <w:r>
        <w:rPr>
          <w:rFonts w:hint="eastAsia" w:ascii="方正楷体_GBK" w:hAnsi="宋体" w:eastAsia="方正楷体_GBK"/>
          <w:b/>
          <w:sz w:val="32"/>
          <w:szCs w:val="32"/>
        </w:rPr>
        <w:t>第二十八条  资产的清查</w:t>
      </w:r>
    </w:p>
    <w:p>
      <w:pPr>
        <w:widowControl/>
        <w:spacing w:line="600" w:lineRule="exact"/>
        <w:ind w:firstLine="681" w:firstLineChars="213"/>
        <w:rPr>
          <w:rFonts w:ascii="方正仿宋_GBK" w:eastAsia="方正仿宋_GBK"/>
          <w:sz w:val="32"/>
          <w:szCs w:val="32"/>
        </w:rPr>
      </w:pPr>
      <w:r>
        <w:rPr>
          <w:rFonts w:hint="eastAsia" w:ascii="方正仿宋_GBK" w:eastAsia="方正仿宋_GBK"/>
          <w:sz w:val="32"/>
          <w:szCs w:val="32"/>
        </w:rPr>
        <w:t>（一）各单位要根据区财政局、区国资局的统一部署</w:t>
      </w:r>
      <w:r>
        <w:rPr>
          <w:rFonts w:ascii="方正仿宋_GBK" w:eastAsia="方正仿宋_GBK"/>
          <w:sz w:val="32"/>
          <w:szCs w:val="32"/>
        </w:rPr>
        <w:t>，规范</w:t>
      </w:r>
      <w:r>
        <w:rPr>
          <w:rFonts w:hint="eastAsia" w:ascii="方正仿宋_GBK" w:eastAsia="方正仿宋_GBK"/>
          <w:sz w:val="32"/>
          <w:szCs w:val="32"/>
        </w:rPr>
        <w:t>本</w:t>
      </w:r>
      <w:r>
        <w:rPr>
          <w:rFonts w:ascii="方正仿宋_GBK" w:eastAsia="方正仿宋_GBK"/>
          <w:sz w:val="32"/>
          <w:szCs w:val="32"/>
        </w:rPr>
        <w:t>单位</w:t>
      </w:r>
      <w:r>
        <w:rPr>
          <w:rFonts w:hint="eastAsia" w:ascii="方正仿宋_GBK" w:eastAsia="方正仿宋_GBK"/>
          <w:sz w:val="32"/>
          <w:szCs w:val="32"/>
        </w:rPr>
        <w:t>的</w:t>
      </w:r>
      <w:r>
        <w:rPr>
          <w:rFonts w:ascii="方正仿宋_GBK" w:eastAsia="方正仿宋_GBK"/>
          <w:sz w:val="32"/>
          <w:szCs w:val="32"/>
        </w:rPr>
        <w:t>账务清理、财产清查</w:t>
      </w:r>
      <w:r>
        <w:rPr>
          <w:rFonts w:hint="eastAsia" w:ascii="方正仿宋_GBK" w:eastAsia="方正仿宋_GBK"/>
          <w:sz w:val="32"/>
          <w:szCs w:val="32"/>
        </w:rPr>
        <w:t>和</w:t>
      </w:r>
      <w:r>
        <w:rPr>
          <w:rFonts w:ascii="方正仿宋_GBK" w:eastAsia="方正仿宋_GBK"/>
          <w:sz w:val="32"/>
          <w:szCs w:val="32"/>
        </w:rPr>
        <w:t>核实工作</w:t>
      </w:r>
      <w:r>
        <w:rPr>
          <w:rFonts w:hint="eastAsia" w:ascii="方正仿宋_GBK" w:eastAsia="方正仿宋_GBK"/>
          <w:sz w:val="32"/>
          <w:szCs w:val="32"/>
        </w:rPr>
        <w:t>。</w:t>
      </w:r>
    </w:p>
    <w:p>
      <w:pPr>
        <w:widowControl/>
        <w:spacing w:line="600" w:lineRule="exact"/>
        <w:ind w:firstLine="681" w:firstLineChars="213"/>
        <w:rPr>
          <w:rFonts w:ascii="方正仿宋_GBK" w:eastAsia="方正仿宋_GBK"/>
          <w:sz w:val="32"/>
          <w:szCs w:val="32"/>
        </w:rPr>
      </w:pPr>
      <w:r>
        <w:rPr>
          <w:rFonts w:hint="eastAsia" w:ascii="方正仿宋_GBK" w:eastAsia="方正仿宋_GBK"/>
          <w:sz w:val="32"/>
          <w:szCs w:val="32"/>
        </w:rPr>
        <w:t>（二）按照主管部门</w:t>
      </w:r>
      <w:r>
        <w:rPr>
          <w:rFonts w:ascii="方正仿宋_GBK" w:eastAsia="方正仿宋_GBK"/>
          <w:sz w:val="32"/>
          <w:szCs w:val="32"/>
        </w:rPr>
        <w:t>批复</w:t>
      </w:r>
      <w:r>
        <w:rPr>
          <w:rFonts w:hint="eastAsia" w:ascii="方正仿宋_GBK" w:eastAsia="方正仿宋_GBK"/>
          <w:sz w:val="32"/>
          <w:szCs w:val="32"/>
        </w:rPr>
        <w:t>的</w:t>
      </w:r>
      <w:r>
        <w:rPr>
          <w:rFonts w:ascii="方正仿宋_GBK" w:eastAsia="方正仿宋_GBK"/>
          <w:sz w:val="32"/>
          <w:szCs w:val="32"/>
        </w:rPr>
        <w:t>资产盘盈、资产损失和资金挂账等</w:t>
      </w:r>
      <w:r>
        <w:rPr>
          <w:rFonts w:hint="eastAsia" w:ascii="方正仿宋_GBK" w:eastAsia="方正仿宋_GBK"/>
          <w:sz w:val="32"/>
          <w:szCs w:val="32"/>
        </w:rPr>
        <w:t>的数额</w:t>
      </w:r>
      <w:r>
        <w:rPr>
          <w:rFonts w:ascii="方正仿宋_GBK" w:eastAsia="方正仿宋_GBK"/>
          <w:sz w:val="32"/>
          <w:szCs w:val="32"/>
        </w:rPr>
        <w:t>进行认定，确认</w:t>
      </w:r>
      <w:r>
        <w:rPr>
          <w:rFonts w:hint="eastAsia" w:ascii="方正仿宋_GBK" w:eastAsia="方正仿宋_GBK"/>
          <w:sz w:val="32"/>
          <w:szCs w:val="32"/>
        </w:rPr>
        <w:t>本单位</w:t>
      </w:r>
      <w:r>
        <w:rPr>
          <w:rFonts w:ascii="方正仿宋_GBK" w:eastAsia="方正仿宋_GBK"/>
          <w:sz w:val="32"/>
          <w:szCs w:val="32"/>
        </w:rPr>
        <w:t>资产总额</w:t>
      </w:r>
      <w:r>
        <w:rPr>
          <w:rFonts w:hint="eastAsia" w:ascii="方正仿宋_GBK" w:eastAsia="方正仿宋_GBK"/>
          <w:sz w:val="32"/>
          <w:szCs w:val="32"/>
        </w:rPr>
        <w:t>，据实调整账务，</w:t>
      </w:r>
      <w:r>
        <w:rPr>
          <w:rFonts w:ascii="方正仿宋_GBK" w:eastAsia="方正仿宋_GBK"/>
          <w:sz w:val="32"/>
          <w:szCs w:val="32"/>
        </w:rPr>
        <w:t>真实反映资产及财务状况，保障国有资产的安全完整</w:t>
      </w:r>
      <w:r>
        <w:rPr>
          <w:rFonts w:hint="eastAsia" w:ascii="方正仿宋_GBK" w:eastAsia="方正仿宋_GBK"/>
          <w:sz w:val="32"/>
          <w:szCs w:val="32"/>
        </w:rPr>
        <w:t>。</w:t>
      </w:r>
    </w:p>
    <w:p>
      <w:pPr>
        <w:widowControl/>
        <w:spacing w:line="600" w:lineRule="exact"/>
        <w:ind w:firstLine="681" w:firstLineChars="213"/>
        <w:rPr>
          <w:rFonts w:ascii="方正仿宋_GBK" w:eastAsia="方正仿宋_GBK"/>
          <w:sz w:val="32"/>
          <w:szCs w:val="32"/>
        </w:rPr>
      </w:pPr>
      <w:r>
        <w:rPr>
          <w:rFonts w:hint="eastAsia" w:ascii="方正仿宋_GBK" w:eastAsia="方正仿宋_GBK"/>
          <w:sz w:val="32"/>
          <w:szCs w:val="32"/>
        </w:rPr>
        <w:t>（三）对在</w:t>
      </w:r>
      <w:r>
        <w:rPr>
          <w:rFonts w:ascii="方正仿宋_GBK" w:eastAsia="方正仿宋_GBK"/>
          <w:sz w:val="32"/>
          <w:szCs w:val="32"/>
        </w:rPr>
        <w:t>资产清查工作中发现的问题，</w:t>
      </w:r>
      <w:r>
        <w:rPr>
          <w:rFonts w:hint="eastAsia" w:ascii="方正仿宋_GBK" w:eastAsia="方正仿宋_GBK"/>
          <w:sz w:val="32"/>
          <w:szCs w:val="32"/>
        </w:rPr>
        <w:t>各单位要</w:t>
      </w:r>
      <w:r>
        <w:rPr>
          <w:rFonts w:ascii="方正仿宋_GBK" w:eastAsia="方正仿宋_GBK"/>
          <w:sz w:val="32"/>
          <w:szCs w:val="32"/>
        </w:rPr>
        <w:t>进行全面总结、认真分析，提出相应整改措施和实施计划，建立健全资产管理制度。</w:t>
      </w:r>
    </w:p>
    <w:p>
      <w:pPr>
        <w:widowControl/>
        <w:spacing w:line="600" w:lineRule="exact"/>
        <w:ind w:firstLine="681" w:firstLineChars="213"/>
        <w:rPr>
          <w:rFonts w:ascii="方正仿宋_GBK" w:eastAsia="方正仿宋_GBK"/>
          <w:sz w:val="32"/>
          <w:szCs w:val="32"/>
        </w:rPr>
      </w:pPr>
      <w:r>
        <w:rPr>
          <w:rFonts w:hint="eastAsia" w:ascii="方正仿宋_GBK" w:eastAsia="方正仿宋_GBK"/>
          <w:sz w:val="32"/>
          <w:szCs w:val="32"/>
        </w:rPr>
        <w:t>（四）根据工作需要，各单位应</w:t>
      </w:r>
      <w:r>
        <w:rPr>
          <w:rFonts w:ascii="方正仿宋_GBK" w:eastAsia="方正仿宋_GBK"/>
          <w:sz w:val="32"/>
          <w:szCs w:val="32"/>
        </w:rPr>
        <w:t>定期或者不定期对资产进行清查盘点</w:t>
      </w:r>
      <w:r>
        <w:rPr>
          <w:rFonts w:hint="eastAsia" w:ascii="方正仿宋_GBK" w:eastAsia="方正仿宋_GBK"/>
          <w:sz w:val="32"/>
          <w:szCs w:val="32"/>
        </w:rPr>
        <w:t>。每年年终前应当对本单位所有固定资产进行一次全面清查盘点，做到账、卡、物相符，对盘盈、盘亏的固定资产，应当及时查明原因，按照规定处理。</w:t>
      </w:r>
    </w:p>
    <w:p>
      <w:pPr>
        <w:spacing w:line="600" w:lineRule="exact"/>
        <w:ind w:firstLine="684" w:firstLineChars="213"/>
        <w:rPr>
          <w:rFonts w:ascii="方正楷体_GBK" w:hAnsi="宋体" w:eastAsia="方正楷体_GBK"/>
          <w:b/>
          <w:sz w:val="32"/>
          <w:szCs w:val="32"/>
        </w:rPr>
      </w:pPr>
      <w:r>
        <w:rPr>
          <w:rFonts w:hint="eastAsia" w:ascii="方正楷体_GBK" w:hAnsi="宋体" w:eastAsia="方正楷体_GBK"/>
          <w:b/>
          <w:sz w:val="32"/>
          <w:szCs w:val="32"/>
        </w:rPr>
        <w:t>第二十九条  资产的年度报告</w:t>
      </w:r>
    </w:p>
    <w:p>
      <w:pPr>
        <w:widowControl/>
        <w:spacing w:line="600" w:lineRule="exact"/>
        <w:ind w:firstLine="681" w:firstLineChars="213"/>
        <w:rPr>
          <w:rFonts w:ascii="方正仿宋_GBK" w:eastAsia="方正仿宋_GBK"/>
          <w:sz w:val="32"/>
          <w:szCs w:val="32"/>
        </w:rPr>
      </w:pPr>
      <w:r>
        <w:rPr>
          <w:rFonts w:hint="eastAsia" w:ascii="方正仿宋_GBK" w:eastAsia="方正仿宋_GBK"/>
          <w:sz w:val="32"/>
          <w:szCs w:val="32"/>
        </w:rPr>
        <w:t>（一）资产的年度报告包括</w:t>
      </w:r>
      <w:r>
        <w:rPr>
          <w:rFonts w:ascii="方正仿宋_GBK" w:eastAsia="方正仿宋_GBK"/>
          <w:sz w:val="32"/>
          <w:szCs w:val="32"/>
        </w:rPr>
        <w:t>行政事业单位资产报表、填报说明和分析报告</w:t>
      </w:r>
      <w:r>
        <w:rPr>
          <w:rFonts w:hint="eastAsia" w:ascii="方正仿宋_GBK" w:eastAsia="方正仿宋_GBK"/>
          <w:sz w:val="32"/>
          <w:szCs w:val="32"/>
        </w:rPr>
        <w:t>。</w:t>
      </w:r>
    </w:p>
    <w:p>
      <w:pPr>
        <w:widowControl/>
        <w:spacing w:line="600" w:lineRule="exact"/>
        <w:ind w:firstLine="681" w:firstLineChars="213"/>
        <w:rPr>
          <w:rFonts w:ascii="方正仿宋_GBK" w:eastAsia="方正仿宋_GBK"/>
          <w:sz w:val="32"/>
          <w:szCs w:val="32"/>
        </w:rPr>
      </w:pPr>
      <w:r>
        <w:rPr>
          <w:rFonts w:hint="eastAsia" w:ascii="方正仿宋_GBK" w:eastAsia="方正仿宋_GBK"/>
          <w:sz w:val="32"/>
          <w:szCs w:val="32"/>
        </w:rPr>
        <w:t>（二）各单位要</w:t>
      </w:r>
      <w:r>
        <w:rPr>
          <w:rFonts w:ascii="方正仿宋_GBK" w:eastAsia="方正仿宋_GBK"/>
          <w:sz w:val="32"/>
          <w:szCs w:val="32"/>
        </w:rPr>
        <w:t>在做好财务管理、会计核算的基础上，全面盘点资产情况，完善资产卡片数据，编制资产报告，做到账表、账账、账证、账实相符</w:t>
      </w:r>
      <w:r>
        <w:rPr>
          <w:rFonts w:hint="eastAsia" w:ascii="方正仿宋_GBK" w:eastAsia="方正仿宋_GBK"/>
          <w:sz w:val="32"/>
          <w:szCs w:val="32"/>
        </w:rPr>
        <w:t>。</w:t>
      </w:r>
    </w:p>
    <w:p>
      <w:pPr>
        <w:widowControl/>
        <w:spacing w:line="600" w:lineRule="exact"/>
        <w:ind w:firstLine="681" w:firstLineChars="213"/>
        <w:rPr>
          <w:rFonts w:ascii="方正仿宋_GBK" w:eastAsia="方正仿宋_GBK"/>
          <w:sz w:val="32"/>
          <w:szCs w:val="32"/>
        </w:rPr>
      </w:pPr>
      <w:r>
        <w:rPr>
          <w:rFonts w:hint="eastAsia" w:ascii="方正仿宋_GBK" w:eastAsia="方正仿宋_GBK"/>
          <w:sz w:val="32"/>
          <w:szCs w:val="32"/>
        </w:rPr>
        <w:t>（三）年度结束，各单位</w:t>
      </w:r>
      <w:r>
        <w:rPr>
          <w:rFonts w:ascii="方正仿宋_GBK" w:eastAsia="方正仿宋_GBK"/>
          <w:sz w:val="32"/>
          <w:szCs w:val="32"/>
        </w:rPr>
        <w:t>按照</w:t>
      </w:r>
      <w:r>
        <w:rPr>
          <w:rFonts w:hint="eastAsia" w:ascii="方正仿宋_GBK" w:eastAsia="方正仿宋_GBK"/>
          <w:sz w:val="32"/>
          <w:szCs w:val="32"/>
        </w:rPr>
        <w:t>主管部门的</w:t>
      </w:r>
      <w:r>
        <w:rPr>
          <w:rFonts w:ascii="方正仿宋_GBK" w:eastAsia="方正仿宋_GBK"/>
          <w:sz w:val="32"/>
          <w:szCs w:val="32"/>
        </w:rPr>
        <w:t>工作部署，在规定时间内编制和报送行政事业单位国有资产报告</w:t>
      </w:r>
      <w:r>
        <w:rPr>
          <w:rFonts w:hint="eastAsia" w:ascii="方正仿宋_GBK" w:eastAsia="方正仿宋_GBK"/>
          <w:sz w:val="32"/>
          <w:szCs w:val="32"/>
        </w:rPr>
        <w:t>，</w:t>
      </w:r>
      <w:r>
        <w:rPr>
          <w:rFonts w:ascii="方正仿宋_GBK" w:eastAsia="方正仿宋_GBK"/>
          <w:sz w:val="32"/>
          <w:szCs w:val="32"/>
        </w:rPr>
        <w:t>对资产报告的真实性、准确性和完整性负责</w:t>
      </w:r>
      <w:r>
        <w:rPr>
          <w:rFonts w:hint="eastAsia" w:ascii="方正仿宋_GBK" w:eastAsia="方正仿宋_GBK"/>
          <w:sz w:val="32"/>
          <w:szCs w:val="32"/>
        </w:rPr>
        <w:t>。</w:t>
      </w:r>
      <w:r>
        <w:rPr>
          <w:rFonts w:ascii="方正仿宋_GBK" w:eastAsia="方正仿宋_GBK"/>
          <w:sz w:val="32"/>
          <w:szCs w:val="32"/>
        </w:rPr>
        <w:t>充分有效利用行政事业单位资产管理信息系统和资产报告数据资料，全面、动态地掌握</w:t>
      </w:r>
      <w:r>
        <w:rPr>
          <w:rFonts w:hint="eastAsia" w:ascii="方正仿宋_GBK" w:eastAsia="方正仿宋_GBK"/>
          <w:sz w:val="32"/>
          <w:szCs w:val="32"/>
        </w:rPr>
        <w:t>本</w:t>
      </w:r>
      <w:r>
        <w:rPr>
          <w:rFonts w:ascii="方正仿宋_GBK" w:eastAsia="方正仿宋_GBK"/>
          <w:sz w:val="32"/>
          <w:szCs w:val="32"/>
        </w:rPr>
        <w:t>单位国有资产占有、使用、变动等情况。</w:t>
      </w:r>
    </w:p>
    <w:p>
      <w:pPr>
        <w:spacing w:line="600" w:lineRule="exact"/>
        <w:ind w:firstLine="684" w:firstLineChars="213"/>
        <w:rPr>
          <w:rFonts w:ascii="方正楷体_GBK" w:hAnsi="宋体" w:eastAsia="方正楷体_GBK"/>
          <w:b/>
          <w:sz w:val="32"/>
          <w:szCs w:val="32"/>
        </w:rPr>
      </w:pPr>
      <w:r>
        <w:rPr>
          <w:rFonts w:hint="eastAsia" w:ascii="方正楷体_GBK" w:hAnsi="宋体" w:eastAsia="方正楷体_GBK"/>
          <w:b/>
          <w:sz w:val="32"/>
          <w:szCs w:val="32"/>
        </w:rPr>
        <w:t>第三十条  资产的档案管理</w:t>
      </w:r>
    </w:p>
    <w:p>
      <w:pPr>
        <w:pStyle w:val="5"/>
        <w:shd w:val="clear" w:color="auto" w:fill="FFFFFF"/>
        <w:spacing w:line="600" w:lineRule="exact"/>
        <w:ind w:firstLine="681" w:firstLineChars="213"/>
        <w:jc w:val="both"/>
        <w:rPr>
          <w:rFonts w:ascii="方正仿宋_GBK" w:eastAsia="方正仿宋_GBK" w:hAnsiTheme="minorHAnsi" w:cstheme="minorBidi"/>
          <w:kern w:val="2"/>
          <w:sz w:val="32"/>
          <w:szCs w:val="32"/>
        </w:rPr>
      </w:pPr>
      <w:r>
        <w:rPr>
          <w:rFonts w:hint="eastAsia" w:ascii="方正仿宋_GBK" w:eastAsia="方正仿宋_GBK" w:hAnsiTheme="minorHAnsi" w:cstheme="minorBidi"/>
          <w:kern w:val="2"/>
          <w:sz w:val="32"/>
          <w:szCs w:val="32"/>
        </w:rPr>
        <w:t>（一）国有资产配置、使用和处置过程中形成的各种决议、合同、协议、章程、批示、批准文件及各类凭证等资料，应作为资产档案进行专门管理。</w:t>
      </w:r>
    </w:p>
    <w:p>
      <w:pPr>
        <w:pStyle w:val="5"/>
        <w:shd w:val="clear" w:color="auto" w:fill="FFFFFF"/>
        <w:spacing w:line="600" w:lineRule="exact"/>
        <w:ind w:firstLine="681" w:firstLineChars="213"/>
        <w:jc w:val="both"/>
        <w:rPr>
          <w:rFonts w:ascii="方正仿宋_GBK" w:eastAsia="方正仿宋_GBK" w:hAnsiTheme="minorHAnsi" w:cstheme="minorBidi"/>
          <w:kern w:val="2"/>
          <w:sz w:val="32"/>
          <w:szCs w:val="32"/>
        </w:rPr>
      </w:pPr>
      <w:r>
        <w:rPr>
          <w:rFonts w:hint="eastAsia" w:ascii="方正仿宋_GBK" w:eastAsia="方正仿宋_GBK" w:hAnsiTheme="minorHAnsi" w:cstheme="minorBidi"/>
          <w:kern w:val="2"/>
          <w:sz w:val="32"/>
          <w:szCs w:val="32"/>
        </w:rPr>
        <w:t>（二）各单位需</w:t>
      </w:r>
      <w:r>
        <w:rPr>
          <w:rFonts w:ascii="方正仿宋_GBK" w:eastAsia="方正仿宋_GBK" w:hAnsiTheme="minorHAnsi" w:cstheme="minorBidi"/>
          <w:kern w:val="2"/>
          <w:sz w:val="32"/>
          <w:szCs w:val="32"/>
        </w:rPr>
        <w:t>严格按照国家会计档案管理有关规定，</w:t>
      </w:r>
      <w:r>
        <w:rPr>
          <w:rFonts w:hint="eastAsia" w:ascii="方正仿宋_GBK" w:eastAsia="方正仿宋_GBK" w:hAnsiTheme="minorHAnsi" w:cstheme="minorBidi"/>
          <w:kern w:val="2"/>
          <w:sz w:val="32"/>
          <w:szCs w:val="32"/>
        </w:rPr>
        <w:t>全面、完整、及时地</w:t>
      </w:r>
      <w:r>
        <w:rPr>
          <w:rFonts w:ascii="方正仿宋_GBK" w:eastAsia="方正仿宋_GBK" w:hAnsiTheme="minorHAnsi" w:cstheme="minorBidi"/>
          <w:kern w:val="2"/>
          <w:sz w:val="32"/>
          <w:szCs w:val="32"/>
        </w:rPr>
        <w:t>对资产</w:t>
      </w:r>
      <w:r>
        <w:rPr>
          <w:rFonts w:hint="eastAsia" w:ascii="方正仿宋_GBK" w:eastAsia="方正仿宋_GBK" w:hAnsiTheme="minorHAnsi" w:cstheme="minorBidi"/>
          <w:kern w:val="2"/>
          <w:sz w:val="32"/>
          <w:szCs w:val="32"/>
        </w:rPr>
        <w:t>涉及</w:t>
      </w:r>
      <w:r>
        <w:rPr>
          <w:rFonts w:ascii="方正仿宋_GBK" w:eastAsia="方正仿宋_GBK" w:hAnsiTheme="minorHAnsi" w:cstheme="minorBidi"/>
          <w:kern w:val="2"/>
          <w:sz w:val="32"/>
          <w:szCs w:val="32"/>
        </w:rPr>
        <w:t>资料进行归类整理、建档建库、妥善保管</w:t>
      </w:r>
      <w:r>
        <w:rPr>
          <w:rFonts w:hint="eastAsia" w:ascii="方正仿宋_GBK" w:eastAsia="方正仿宋_GBK" w:hAnsiTheme="minorHAnsi" w:cstheme="minorBidi"/>
          <w:kern w:val="2"/>
          <w:sz w:val="32"/>
          <w:szCs w:val="32"/>
        </w:rPr>
        <w:t xml:space="preserve">，维护档案的完整与安全，防止遗失、毁损等情况发生。 </w:t>
      </w:r>
    </w:p>
    <w:p>
      <w:pPr>
        <w:spacing w:line="600" w:lineRule="exact"/>
        <w:ind w:firstLine="681" w:firstLineChars="213"/>
        <w:rPr>
          <w:rFonts w:ascii="方正仿宋_GBK" w:hAnsi="宋体" w:eastAsia="方正仿宋_GBK"/>
          <w:sz w:val="32"/>
          <w:szCs w:val="32"/>
        </w:rPr>
      </w:pPr>
    </w:p>
    <w:p>
      <w:pPr>
        <w:spacing w:line="600" w:lineRule="exact"/>
        <w:ind w:firstLine="681" w:firstLineChars="213"/>
        <w:jc w:val="center"/>
        <w:rPr>
          <w:rFonts w:ascii="方正黑体_GBK" w:hAnsi="黑体" w:eastAsia="方正黑体_GBK"/>
          <w:sz w:val="32"/>
          <w:szCs w:val="32"/>
        </w:rPr>
      </w:pPr>
      <w:r>
        <w:rPr>
          <w:rFonts w:hint="eastAsia" w:ascii="方正黑体_GBK" w:hAnsi="黑体" w:eastAsia="方正黑体_GBK"/>
          <w:sz w:val="32"/>
          <w:szCs w:val="32"/>
        </w:rPr>
        <w:t>第八章  附则</w:t>
      </w:r>
    </w:p>
    <w:p>
      <w:pPr>
        <w:spacing w:line="600" w:lineRule="exact"/>
        <w:ind w:firstLine="684" w:firstLineChars="213"/>
        <w:rPr>
          <w:rFonts w:ascii="方正仿宋_GBK" w:eastAsia="方正仿宋_GBK"/>
          <w:sz w:val="32"/>
          <w:szCs w:val="32"/>
        </w:rPr>
      </w:pPr>
      <w:r>
        <w:rPr>
          <w:rFonts w:hint="eastAsia" w:ascii="方正楷体_GBK" w:eastAsia="方正楷体_GBK"/>
          <w:b/>
          <w:sz w:val="32"/>
          <w:szCs w:val="32"/>
        </w:rPr>
        <w:t xml:space="preserve">第三十一条  </w:t>
      </w:r>
      <w:r>
        <w:rPr>
          <w:rFonts w:hint="eastAsia" w:ascii="方正仿宋_GBK" w:eastAsia="方正仿宋_GBK"/>
          <w:sz w:val="32"/>
          <w:szCs w:val="32"/>
        </w:rPr>
        <w:t>本制度由永川区教育委员会负责解释。</w:t>
      </w:r>
    </w:p>
    <w:p>
      <w:pPr>
        <w:spacing w:line="600" w:lineRule="exact"/>
        <w:ind w:firstLine="684" w:firstLineChars="213"/>
        <w:rPr>
          <w:rFonts w:ascii="方正仿宋_GBK" w:eastAsia="方正仿宋_GBK"/>
          <w:sz w:val="32"/>
          <w:szCs w:val="32"/>
        </w:rPr>
      </w:pPr>
      <w:r>
        <w:rPr>
          <w:rFonts w:hint="eastAsia" w:ascii="方正楷体_GBK" w:eastAsia="方正楷体_GBK"/>
          <w:b/>
          <w:sz w:val="32"/>
          <w:szCs w:val="32"/>
        </w:rPr>
        <w:t>第三十二条</w:t>
      </w:r>
      <w:r>
        <w:rPr>
          <w:rFonts w:hint="eastAsia" w:ascii="方正仿宋_GBK" w:eastAsia="方正仿宋_GBK"/>
          <w:b/>
          <w:sz w:val="32"/>
          <w:szCs w:val="32"/>
        </w:rPr>
        <w:t xml:space="preserve"> </w:t>
      </w:r>
      <w:r>
        <w:rPr>
          <w:rFonts w:hint="eastAsia" w:ascii="方正仿宋_GBK" w:eastAsia="方正仿宋_GBK"/>
          <w:sz w:val="32"/>
          <w:szCs w:val="32"/>
        </w:rPr>
        <w:t xml:space="preserve"> 本制度自印发之日起执行。</w:t>
      </w:r>
    </w:p>
    <w:p>
      <w:pPr>
        <w:spacing w:line="600" w:lineRule="exact"/>
        <w:ind w:firstLine="681" w:firstLineChars="213"/>
        <w:rPr>
          <w:rFonts w:ascii="方正仿宋_GBK" w:hAnsi="宋体" w:eastAsia="方正仿宋_GBK"/>
          <w:sz w:val="32"/>
          <w:szCs w:val="32"/>
        </w:rPr>
      </w:pPr>
    </w:p>
    <w:p>
      <w:pPr>
        <w:adjustRightInd w:val="0"/>
        <w:snapToGrid w:val="0"/>
        <w:spacing w:line="600" w:lineRule="exact"/>
        <w:ind w:firstLine="684" w:firstLineChars="213"/>
        <w:rPr>
          <w:rFonts w:ascii="方正仿宋_GBK" w:eastAsia="方正仿宋_GBK"/>
          <w:sz w:val="32"/>
          <w:szCs w:val="32"/>
        </w:rPr>
      </w:pPr>
      <w:r>
        <w:rPr>
          <w:rFonts w:hint="eastAsia" w:ascii="方正仿宋_GBK" w:hAnsi="宋体" w:eastAsia="方正仿宋_GBK"/>
          <w:b/>
          <w:sz w:val="32"/>
          <w:szCs w:val="32"/>
        </w:rPr>
        <w:t>附件：</w:t>
      </w:r>
      <w:r>
        <w:rPr>
          <w:rFonts w:hint="eastAsia" w:ascii="方正仿宋_GBK" w:eastAsia="方正仿宋_GBK"/>
          <w:sz w:val="32"/>
          <w:szCs w:val="32"/>
        </w:rPr>
        <w:t>1.固定资产管理部门职责</w:t>
      </w:r>
    </w:p>
    <w:p>
      <w:pPr>
        <w:spacing w:line="600" w:lineRule="exact"/>
        <w:ind w:firstLine="1747" w:firstLineChars="546"/>
        <w:rPr>
          <w:rFonts w:ascii="方正仿宋_GBK" w:eastAsia="方正仿宋_GBK"/>
          <w:sz w:val="32"/>
          <w:szCs w:val="32"/>
        </w:rPr>
      </w:pPr>
      <w:r>
        <w:rPr>
          <w:rFonts w:hint="eastAsia" w:ascii="方正仿宋_GBK" w:eastAsia="方正仿宋_GBK"/>
          <w:sz w:val="32"/>
          <w:szCs w:val="32"/>
        </w:rPr>
        <w:t>2.行政事业单位配置实物使用年限表</w:t>
      </w:r>
    </w:p>
    <w:p>
      <w:pPr>
        <w:widowControl/>
        <w:spacing w:line="600" w:lineRule="exact"/>
        <w:ind w:firstLine="1747" w:firstLineChars="546"/>
        <w:rPr>
          <w:rFonts w:ascii="方正仿宋_GBK" w:eastAsia="方正仿宋_GBK"/>
          <w:sz w:val="32"/>
          <w:szCs w:val="32"/>
        </w:rPr>
      </w:pPr>
      <w:r>
        <w:rPr>
          <w:rFonts w:hint="eastAsia" w:ascii="方正仿宋_GBK" w:eastAsia="方正仿宋_GBK"/>
          <w:sz w:val="32"/>
          <w:szCs w:val="32"/>
        </w:rPr>
        <w:t>3.固定资产领用登记册</w:t>
      </w:r>
    </w:p>
    <w:p>
      <w:pPr>
        <w:widowControl/>
        <w:spacing w:line="600" w:lineRule="exact"/>
        <w:ind w:firstLine="1747" w:firstLineChars="546"/>
        <w:rPr>
          <w:rFonts w:ascii="方正仿宋_GBK" w:eastAsia="方正仿宋_GBK"/>
          <w:sz w:val="32"/>
          <w:szCs w:val="32"/>
        </w:rPr>
      </w:pPr>
      <w:r>
        <w:rPr>
          <w:rFonts w:hint="eastAsia" w:ascii="方正仿宋_GBK" w:eastAsia="方正仿宋_GBK"/>
          <w:sz w:val="32"/>
          <w:szCs w:val="32"/>
        </w:rPr>
        <w:t>4.资产管理流程及说明</w:t>
      </w:r>
    </w:p>
    <w:p>
      <w:pPr>
        <w:widowControl/>
        <w:spacing w:line="600" w:lineRule="exact"/>
        <w:ind w:firstLine="1747" w:firstLineChars="546"/>
        <w:rPr>
          <w:rFonts w:ascii="方正仿宋_GBK" w:eastAsia="方正仿宋_GBK"/>
          <w:sz w:val="32"/>
          <w:szCs w:val="32"/>
        </w:rPr>
      </w:pPr>
    </w:p>
    <w:p>
      <w:pPr>
        <w:spacing w:line="600" w:lineRule="exact"/>
        <w:ind w:firstLine="528" w:firstLineChars="165"/>
        <w:rPr>
          <w:rFonts w:ascii="方正仿宋_GBK" w:hAnsi="宋体" w:eastAsia="方正仿宋_GBK"/>
          <w:sz w:val="32"/>
          <w:szCs w:val="32"/>
        </w:rPr>
      </w:pPr>
    </w:p>
    <w:p>
      <w:pPr>
        <w:spacing w:line="600" w:lineRule="exact"/>
        <w:ind w:firstLine="528" w:firstLineChars="165"/>
        <w:rPr>
          <w:rFonts w:ascii="方正黑体_GBK" w:hAnsi="宋体" w:eastAsia="方正黑体_GBK"/>
          <w:sz w:val="32"/>
          <w:szCs w:val="32"/>
        </w:rPr>
      </w:pPr>
      <w:r>
        <w:rPr>
          <w:rFonts w:hint="eastAsia" w:ascii="方正黑体_GBK" w:hAnsi="宋体" w:eastAsia="方正黑体_GBK"/>
          <w:sz w:val="32"/>
          <w:szCs w:val="32"/>
        </w:rPr>
        <w:t>附件1</w:t>
      </w:r>
    </w:p>
    <w:p>
      <w:pPr>
        <w:adjustRightInd w:val="0"/>
        <w:snapToGrid w:val="0"/>
        <w:spacing w:line="600" w:lineRule="exact"/>
        <w:ind w:firstLine="528" w:firstLineChars="165"/>
        <w:rPr>
          <w:rFonts w:ascii="方正仿宋_GBK" w:hAnsi="宋体" w:eastAsia="方正仿宋_GBK"/>
          <w:color w:val="000000"/>
          <w:sz w:val="32"/>
          <w:szCs w:val="32"/>
        </w:rPr>
      </w:pPr>
    </w:p>
    <w:p>
      <w:pPr>
        <w:adjustRightInd w:val="0"/>
        <w:snapToGrid w:val="0"/>
        <w:spacing w:line="600" w:lineRule="exact"/>
        <w:ind w:firstLine="728" w:firstLineChars="165"/>
        <w:jc w:val="center"/>
        <w:rPr>
          <w:rFonts w:ascii="方正小标宋_GBK" w:hAnsi="宋体" w:eastAsia="方正小标宋_GBK"/>
          <w:b/>
          <w:color w:val="000000"/>
          <w:sz w:val="44"/>
          <w:szCs w:val="44"/>
        </w:rPr>
      </w:pPr>
      <w:r>
        <w:rPr>
          <w:rFonts w:hint="eastAsia" w:ascii="方正小标宋_GBK" w:hAnsi="宋体" w:eastAsia="方正小标宋_GBK"/>
          <w:b/>
          <w:color w:val="000000"/>
          <w:sz w:val="44"/>
          <w:szCs w:val="44"/>
        </w:rPr>
        <w:t>固定资产管理部门职责</w:t>
      </w:r>
    </w:p>
    <w:p>
      <w:pPr>
        <w:adjustRightInd w:val="0"/>
        <w:snapToGrid w:val="0"/>
        <w:spacing w:line="600" w:lineRule="exact"/>
        <w:ind w:firstLine="530" w:firstLineChars="165"/>
        <w:rPr>
          <w:rFonts w:ascii="方正仿宋_GBK" w:hAnsi="宋体" w:eastAsia="方正仿宋_GBK"/>
          <w:b/>
          <w:sz w:val="32"/>
          <w:szCs w:val="32"/>
        </w:rPr>
      </w:pPr>
    </w:p>
    <w:p>
      <w:pPr>
        <w:adjustRightInd w:val="0"/>
        <w:snapToGrid w:val="0"/>
        <w:spacing w:line="600" w:lineRule="exact"/>
        <w:ind w:firstLine="528" w:firstLineChars="165"/>
        <w:rPr>
          <w:rFonts w:ascii="方正仿宋_GBK" w:hAnsi="宋体" w:eastAsia="方正仿宋_GBK"/>
          <w:sz w:val="32"/>
          <w:szCs w:val="32"/>
        </w:rPr>
      </w:pPr>
      <w:r>
        <w:rPr>
          <w:rFonts w:hint="eastAsia" w:ascii="方正仿宋_GBK" w:hAnsi="宋体" w:eastAsia="方正仿宋_GBK"/>
          <w:sz w:val="32"/>
          <w:szCs w:val="32"/>
        </w:rPr>
        <w:t>一、认真执行上级固定资产管理相关规定，制定并实施固定资产管理具体办法，规范本单位固定资产管理秩序。</w:t>
      </w:r>
    </w:p>
    <w:p>
      <w:pPr>
        <w:adjustRightInd w:val="0"/>
        <w:snapToGrid w:val="0"/>
        <w:spacing w:line="600" w:lineRule="exact"/>
        <w:ind w:firstLine="528" w:firstLineChars="165"/>
        <w:rPr>
          <w:rFonts w:ascii="方正仿宋_GBK" w:hAnsi="宋体" w:eastAsia="方正仿宋_GBK"/>
          <w:sz w:val="32"/>
          <w:szCs w:val="32"/>
        </w:rPr>
      </w:pPr>
      <w:r>
        <w:rPr>
          <w:rFonts w:hint="eastAsia" w:ascii="方正仿宋_GBK" w:hAnsi="宋体" w:eastAsia="方正仿宋_GBK"/>
          <w:sz w:val="32"/>
          <w:szCs w:val="32"/>
        </w:rPr>
        <w:t>二、固定资产的调配管理。做好验收、入账、分配、调整等工作，保持固定资产的合理配置。</w:t>
      </w:r>
    </w:p>
    <w:p>
      <w:pPr>
        <w:adjustRightInd w:val="0"/>
        <w:snapToGrid w:val="0"/>
        <w:spacing w:line="600" w:lineRule="exact"/>
        <w:ind w:firstLine="528" w:firstLineChars="165"/>
        <w:rPr>
          <w:rFonts w:ascii="方正仿宋_GBK" w:hAnsi="宋体" w:eastAsia="方正仿宋_GBK"/>
          <w:sz w:val="32"/>
          <w:szCs w:val="32"/>
        </w:rPr>
      </w:pPr>
      <w:r>
        <w:rPr>
          <w:rFonts w:hint="eastAsia" w:ascii="方正仿宋_GBK" w:hAnsi="宋体" w:eastAsia="方正仿宋_GBK"/>
          <w:sz w:val="32"/>
          <w:szCs w:val="32"/>
        </w:rPr>
        <w:t>三、固定资产使用管理。做好运行监管、利用检查、效益评价等工作，不断提高利用率。</w:t>
      </w:r>
    </w:p>
    <w:p>
      <w:pPr>
        <w:adjustRightInd w:val="0"/>
        <w:snapToGrid w:val="0"/>
        <w:spacing w:line="600" w:lineRule="exact"/>
        <w:ind w:firstLine="528" w:firstLineChars="165"/>
        <w:rPr>
          <w:rFonts w:ascii="方正仿宋_GBK" w:hAnsi="宋体" w:eastAsia="方正仿宋_GBK"/>
          <w:sz w:val="32"/>
          <w:szCs w:val="32"/>
        </w:rPr>
      </w:pPr>
      <w:r>
        <w:rPr>
          <w:rFonts w:hint="eastAsia" w:ascii="方正仿宋_GBK" w:hAnsi="宋体" w:eastAsia="方正仿宋_GBK"/>
          <w:sz w:val="32"/>
          <w:szCs w:val="32"/>
        </w:rPr>
        <w:t>四、固定资产维修维护管理。做好常规检修和养护，提出维修申请并协助维修维护、监督检查、验收等工作。</w:t>
      </w:r>
    </w:p>
    <w:p>
      <w:pPr>
        <w:adjustRightInd w:val="0"/>
        <w:snapToGrid w:val="0"/>
        <w:spacing w:line="600" w:lineRule="exact"/>
        <w:ind w:firstLine="528" w:firstLineChars="165"/>
        <w:rPr>
          <w:rFonts w:ascii="方正仿宋_GBK" w:hAnsi="宋体" w:eastAsia="方正仿宋_GBK"/>
          <w:sz w:val="32"/>
          <w:szCs w:val="32"/>
        </w:rPr>
      </w:pPr>
      <w:r>
        <w:rPr>
          <w:rFonts w:hint="eastAsia" w:ascii="方正仿宋_GBK" w:hAnsi="宋体" w:eastAsia="方正仿宋_GBK"/>
          <w:sz w:val="32"/>
          <w:szCs w:val="32"/>
        </w:rPr>
        <w:t>五、固定资产安全管理。做好安全教育、管理和检查，明确使用和管理责任人，做好固定资产常规管理工作。及时报告安全隐患和事故，协助调查和处理安全事故，保持固定资产安全完整。</w:t>
      </w:r>
    </w:p>
    <w:p>
      <w:pPr>
        <w:adjustRightInd w:val="0"/>
        <w:snapToGrid w:val="0"/>
        <w:spacing w:line="600" w:lineRule="exact"/>
        <w:ind w:firstLine="528" w:firstLineChars="165"/>
        <w:rPr>
          <w:rFonts w:ascii="方正仿宋_GBK" w:hAnsi="宋体" w:eastAsia="方正仿宋_GBK"/>
          <w:sz w:val="32"/>
          <w:szCs w:val="32"/>
        </w:rPr>
      </w:pPr>
      <w:r>
        <w:rPr>
          <w:rFonts w:hint="eastAsia" w:ascii="方正仿宋_GBK" w:hAnsi="宋体" w:eastAsia="方正仿宋_GBK"/>
          <w:sz w:val="32"/>
          <w:szCs w:val="32"/>
        </w:rPr>
        <w:t>六、固定资产账卡管理。管理好固定资产系统和账簿，负责增减变动登记和卡片、标签处理管理工作，开展好固定资产清查，保持账卡物一致。</w:t>
      </w:r>
    </w:p>
    <w:p>
      <w:pPr>
        <w:adjustRightInd w:val="0"/>
        <w:snapToGrid w:val="0"/>
        <w:spacing w:line="600" w:lineRule="exact"/>
        <w:ind w:firstLine="528" w:firstLineChars="165"/>
        <w:rPr>
          <w:rFonts w:ascii="方正仿宋_GBK" w:hAnsi="宋体" w:eastAsia="方正仿宋_GBK"/>
          <w:sz w:val="32"/>
          <w:szCs w:val="32"/>
        </w:rPr>
      </w:pPr>
      <w:r>
        <w:rPr>
          <w:rFonts w:hint="eastAsia" w:ascii="方正仿宋_GBK" w:hAnsi="宋体" w:eastAsia="方正仿宋_GBK"/>
          <w:sz w:val="32"/>
          <w:szCs w:val="32"/>
        </w:rPr>
        <w:t>七、固定资产处置管理。提出调拨申请并协助调拨工作，提出报废申请并协助报废鉴定、报废处理等工作。</w:t>
      </w:r>
    </w:p>
    <w:p>
      <w:pPr>
        <w:adjustRightInd w:val="0"/>
        <w:snapToGrid w:val="0"/>
        <w:spacing w:line="600" w:lineRule="exact"/>
        <w:ind w:firstLine="528" w:firstLineChars="165"/>
        <w:rPr>
          <w:rFonts w:ascii="方正仿宋_GBK" w:hAnsi="宋体" w:eastAsia="方正仿宋_GBK"/>
          <w:sz w:val="32"/>
          <w:szCs w:val="32"/>
        </w:rPr>
      </w:pPr>
      <w:r>
        <w:rPr>
          <w:rFonts w:hint="eastAsia" w:ascii="方正仿宋_GBK" w:hAnsi="宋体" w:eastAsia="方正仿宋_GBK"/>
          <w:sz w:val="32"/>
          <w:szCs w:val="32"/>
        </w:rPr>
        <w:t xml:space="preserve">八、固定资产信息管理。做好固定资产统计分析，按时报送固定资产有关报表等。  </w:t>
      </w:r>
    </w:p>
    <w:p>
      <w:pPr>
        <w:adjustRightInd w:val="0"/>
        <w:snapToGrid w:val="0"/>
        <w:spacing w:line="600" w:lineRule="exact"/>
        <w:ind w:firstLine="528" w:firstLineChars="165"/>
        <w:rPr>
          <w:rFonts w:ascii="方正仿宋_GBK" w:hAnsi="宋体" w:eastAsia="方正仿宋_GBK"/>
          <w:sz w:val="32"/>
          <w:szCs w:val="32"/>
        </w:rPr>
      </w:pPr>
      <w:r>
        <w:rPr>
          <w:rFonts w:hint="eastAsia" w:ascii="方正仿宋_GBK" w:hAnsi="宋体" w:eastAsia="方正仿宋_GBK"/>
          <w:sz w:val="32"/>
          <w:szCs w:val="32"/>
        </w:rPr>
        <w:t>九、组织固定资产清查、评估，做好固定资产经营、出售、出租、对外投资等的监督管理工作。</w:t>
      </w:r>
    </w:p>
    <w:p>
      <w:pPr>
        <w:adjustRightInd w:val="0"/>
        <w:snapToGrid w:val="0"/>
        <w:spacing w:line="600" w:lineRule="exact"/>
        <w:ind w:firstLine="528" w:firstLineChars="165"/>
        <w:rPr>
          <w:rFonts w:ascii="方正仿宋_GBK" w:hAnsi="宋体" w:eastAsia="方正仿宋_GBK"/>
          <w:sz w:val="32"/>
          <w:szCs w:val="32"/>
        </w:rPr>
      </w:pPr>
      <w:r>
        <w:rPr>
          <w:rFonts w:hint="eastAsia" w:ascii="方正仿宋_GBK" w:hAnsi="宋体" w:eastAsia="方正仿宋_GBK"/>
          <w:sz w:val="32"/>
          <w:szCs w:val="32"/>
        </w:rPr>
        <w:t>十、组织使用部门和使用人员进行固定资产管理的指导、监督、检查和考核，向本单位提出奖惩建议。</w:t>
      </w:r>
    </w:p>
    <w:p>
      <w:pPr>
        <w:adjustRightInd w:val="0"/>
        <w:snapToGrid w:val="0"/>
        <w:spacing w:line="600" w:lineRule="exact"/>
        <w:ind w:firstLine="528" w:firstLineChars="165"/>
        <w:rPr>
          <w:rFonts w:ascii="方正仿宋_GBK" w:hAnsi="宋体" w:eastAsia="方正仿宋_GBK"/>
          <w:sz w:val="32"/>
          <w:szCs w:val="32"/>
        </w:rPr>
      </w:pPr>
      <w:r>
        <w:rPr>
          <w:rFonts w:hint="eastAsia" w:ascii="方正仿宋_GBK" w:hAnsi="宋体" w:eastAsia="方正仿宋_GBK"/>
          <w:sz w:val="32"/>
          <w:szCs w:val="32"/>
        </w:rPr>
        <w:t>十一、组织固定资产责任事件调查，提出对责任部门和个人的处理意见。</w:t>
      </w:r>
    </w:p>
    <w:p>
      <w:pPr>
        <w:adjustRightInd w:val="0"/>
        <w:snapToGrid w:val="0"/>
        <w:spacing w:line="600" w:lineRule="exact"/>
        <w:ind w:firstLine="528" w:firstLineChars="165"/>
        <w:rPr>
          <w:rFonts w:ascii="方正仿宋_GBK" w:hAnsi="宋体" w:eastAsia="方正仿宋_GBK"/>
          <w:sz w:val="32"/>
          <w:szCs w:val="32"/>
        </w:rPr>
      </w:pPr>
      <w:r>
        <w:rPr>
          <w:rFonts w:hint="eastAsia" w:ascii="方正仿宋_GBK" w:hAnsi="宋体" w:eastAsia="方正仿宋_GBK"/>
          <w:sz w:val="32"/>
          <w:szCs w:val="32"/>
        </w:rPr>
        <w:t>十二、完成本单位交办的其他有关工作。</w:t>
      </w:r>
    </w:p>
    <w:p>
      <w:pPr>
        <w:spacing w:line="600" w:lineRule="exact"/>
        <w:ind w:firstLine="528" w:firstLineChars="165"/>
        <w:rPr>
          <w:rFonts w:ascii="方正仿宋_GBK" w:hAnsi="宋体" w:eastAsia="方正仿宋_GBK"/>
          <w:sz w:val="32"/>
          <w:szCs w:val="32"/>
        </w:rPr>
      </w:pPr>
    </w:p>
    <w:p>
      <w:pPr>
        <w:spacing w:line="600" w:lineRule="exact"/>
        <w:ind w:firstLine="528" w:firstLineChars="165"/>
        <w:rPr>
          <w:rFonts w:ascii="方正仿宋_GBK" w:hAnsi="宋体" w:eastAsia="方正仿宋_GBK"/>
          <w:sz w:val="32"/>
          <w:szCs w:val="32"/>
        </w:rPr>
      </w:pPr>
    </w:p>
    <w:p>
      <w:pPr>
        <w:spacing w:line="600" w:lineRule="exact"/>
        <w:ind w:firstLine="528" w:firstLineChars="165"/>
        <w:rPr>
          <w:rFonts w:ascii="方正仿宋_GBK" w:hAnsi="宋体" w:eastAsia="方正仿宋_GBK"/>
          <w:sz w:val="32"/>
          <w:szCs w:val="32"/>
        </w:rPr>
      </w:pPr>
    </w:p>
    <w:p>
      <w:pPr>
        <w:spacing w:line="600" w:lineRule="exact"/>
        <w:ind w:firstLine="528" w:firstLineChars="165"/>
        <w:rPr>
          <w:rFonts w:ascii="方正仿宋_GBK" w:hAnsi="宋体" w:eastAsia="方正仿宋_GBK"/>
          <w:sz w:val="32"/>
          <w:szCs w:val="32"/>
        </w:rPr>
      </w:pPr>
    </w:p>
    <w:p>
      <w:pPr>
        <w:spacing w:line="600" w:lineRule="exact"/>
        <w:ind w:firstLine="528" w:firstLineChars="165"/>
        <w:rPr>
          <w:rFonts w:ascii="方正仿宋_GBK" w:hAnsi="宋体" w:eastAsia="方正仿宋_GBK"/>
          <w:sz w:val="32"/>
          <w:szCs w:val="32"/>
        </w:rPr>
      </w:pPr>
    </w:p>
    <w:p>
      <w:pPr>
        <w:spacing w:line="600" w:lineRule="exact"/>
        <w:ind w:firstLine="528" w:firstLineChars="165"/>
        <w:rPr>
          <w:rFonts w:ascii="方正仿宋_GBK" w:hAnsi="宋体" w:eastAsia="方正仿宋_GBK"/>
          <w:sz w:val="32"/>
          <w:szCs w:val="32"/>
        </w:rPr>
      </w:pPr>
    </w:p>
    <w:p>
      <w:pPr>
        <w:spacing w:line="600" w:lineRule="exact"/>
        <w:ind w:firstLine="528" w:firstLineChars="165"/>
        <w:rPr>
          <w:rFonts w:ascii="方正仿宋_GBK" w:hAnsi="宋体" w:eastAsia="方正仿宋_GBK"/>
          <w:sz w:val="32"/>
          <w:szCs w:val="32"/>
        </w:rPr>
      </w:pPr>
    </w:p>
    <w:p>
      <w:pPr>
        <w:spacing w:line="600" w:lineRule="exact"/>
        <w:ind w:firstLine="528" w:firstLineChars="165"/>
        <w:rPr>
          <w:rFonts w:ascii="方正仿宋_GBK" w:hAnsi="宋体" w:eastAsia="方正仿宋_GBK"/>
          <w:sz w:val="32"/>
          <w:szCs w:val="32"/>
        </w:rPr>
      </w:pPr>
    </w:p>
    <w:p>
      <w:pPr>
        <w:spacing w:line="600" w:lineRule="exact"/>
        <w:ind w:firstLine="528" w:firstLineChars="165"/>
        <w:rPr>
          <w:rFonts w:ascii="方正仿宋_GBK" w:hAnsi="宋体" w:eastAsia="方正仿宋_GBK"/>
          <w:sz w:val="32"/>
          <w:szCs w:val="32"/>
        </w:rPr>
      </w:pPr>
    </w:p>
    <w:p>
      <w:pPr>
        <w:spacing w:line="600" w:lineRule="exact"/>
        <w:ind w:firstLine="528" w:firstLineChars="165"/>
        <w:rPr>
          <w:rFonts w:ascii="方正仿宋_GBK" w:hAnsi="宋体" w:eastAsia="方正仿宋_GBK"/>
          <w:sz w:val="32"/>
          <w:szCs w:val="32"/>
        </w:rPr>
      </w:pPr>
    </w:p>
    <w:p>
      <w:pPr>
        <w:spacing w:line="600" w:lineRule="exact"/>
        <w:ind w:firstLine="528" w:firstLineChars="165"/>
        <w:rPr>
          <w:rFonts w:ascii="方正仿宋_GBK" w:hAnsi="宋体" w:eastAsia="方正仿宋_GBK"/>
          <w:sz w:val="32"/>
          <w:szCs w:val="32"/>
        </w:rPr>
      </w:pPr>
    </w:p>
    <w:p>
      <w:pPr>
        <w:spacing w:line="600" w:lineRule="exact"/>
        <w:ind w:firstLine="528" w:firstLineChars="165"/>
        <w:rPr>
          <w:rFonts w:ascii="方正仿宋_GBK" w:hAnsi="宋体" w:eastAsia="方正仿宋_GBK"/>
          <w:sz w:val="32"/>
          <w:szCs w:val="32"/>
        </w:rPr>
      </w:pPr>
    </w:p>
    <w:p>
      <w:pPr>
        <w:spacing w:line="600" w:lineRule="exact"/>
        <w:ind w:firstLine="530" w:firstLineChars="165"/>
        <w:rPr>
          <w:rFonts w:ascii="方正仿宋_GBK" w:hAnsi="宋体" w:eastAsia="方正仿宋_GBK"/>
          <w:b/>
          <w:sz w:val="32"/>
          <w:szCs w:val="32"/>
        </w:rPr>
      </w:pPr>
    </w:p>
    <w:p>
      <w:pPr>
        <w:spacing w:line="600" w:lineRule="exact"/>
        <w:ind w:firstLine="530" w:firstLineChars="165"/>
        <w:rPr>
          <w:rFonts w:ascii="方正仿宋_GBK" w:hAnsi="宋体" w:eastAsia="方正仿宋_GBK"/>
          <w:b/>
          <w:sz w:val="32"/>
          <w:szCs w:val="32"/>
        </w:rPr>
      </w:pPr>
    </w:p>
    <w:p>
      <w:pPr>
        <w:spacing w:line="600" w:lineRule="exact"/>
        <w:rPr>
          <w:rFonts w:ascii="方正黑体_GBK" w:hAnsi="宋体" w:eastAsia="方正黑体_GBK"/>
          <w:sz w:val="32"/>
          <w:szCs w:val="32"/>
        </w:rPr>
      </w:pPr>
      <w:r>
        <w:rPr>
          <w:rFonts w:hint="eastAsia" w:ascii="方正黑体_GBK" w:hAnsi="宋体" w:eastAsia="方正黑体_GBK"/>
          <w:sz w:val="32"/>
          <w:szCs w:val="32"/>
        </w:rPr>
        <w:t>附件2</w:t>
      </w:r>
    </w:p>
    <w:tbl>
      <w:tblPr>
        <w:tblStyle w:val="8"/>
        <w:tblW w:w="8662" w:type="dxa"/>
        <w:tblInd w:w="-34" w:type="dxa"/>
        <w:tblLayout w:type="fixed"/>
        <w:tblCellMar>
          <w:top w:w="0" w:type="dxa"/>
          <w:left w:w="108" w:type="dxa"/>
          <w:bottom w:w="0" w:type="dxa"/>
          <w:right w:w="108" w:type="dxa"/>
        </w:tblCellMar>
      </w:tblPr>
      <w:tblGrid>
        <w:gridCol w:w="627"/>
        <w:gridCol w:w="510"/>
        <w:gridCol w:w="2001"/>
        <w:gridCol w:w="265"/>
        <w:gridCol w:w="1565"/>
        <w:gridCol w:w="419"/>
        <w:gridCol w:w="2135"/>
        <w:gridCol w:w="1140"/>
      </w:tblGrid>
      <w:tr>
        <w:tblPrEx>
          <w:tblCellMar>
            <w:top w:w="0" w:type="dxa"/>
            <w:left w:w="108" w:type="dxa"/>
            <w:bottom w:w="0" w:type="dxa"/>
            <w:right w:w="108" w:type="dxa"/>
          </w:tblCellMar>
        </w:tblPrEx>
        <w:trPr>
          <w:trHeight w:val="334" w:hRule="atLeast"/>
        </w:trPr>
        <w:tc>
          <w:tcPr>
            <w:tcW w:w="627" w:type="dxa"/>
            <w:tcBorders>
              <w:top w:val="nil"/>
              <w:left w:val="nil"/>
              <w:bottom w:val="nil"/>
              <w:right w:val="nil"/>
            </w:tcBorders>
            <w:shd w:val="clear" w:color="auto" w:fill="auto"/>
            <w:noWrap/>
            <w:vAlign w:val="center"/>
          </w:tcPr>
          <w:p>
            <w:pPr>
              <w:widowControl/>
              <w:jc w:val="left"/>
              <w:rPr>
                <w:rFonts w:ascii="方正仿宋_GBK" w:hAnsi="宋体" w:eastAsia="方正仿宋_GBK" w:cs="宋体"/>
                <w:color w:val="000000"/>
                <w:kern w:val="0"/>
                <w:sz w:val="24"/>
                <w:szCs w:val="24"/>
              </w:rPr>
            </w:pPr>
          </w:p>
        </w:tc>
        <w:tc>
          <w:tcPr>
            <w:tcW w:w="2511" w:type="dxa"/>
            <w:gridSpan w:val="2"/>
            <w:tcBorders>
              <w:top w:val="nil"/>
              <w:left w:val="nil"/>
              <w:bottom w:val="nil"/>
              <w:right w:val="nil"/>
            </w:tcBorders>
            <w:shd w:val="clear" w:color="auto" w:fill="auto"/>
            <w:noWrap/>
            <w:vAlign w:val="center"/>
          </w:tcPr>
          <w:p>
            <w:pPr>
              <w:widowControl/>
              <w:jc w:val="left"/>
              <w:rPr>
                <w:rFonts w:ascii="方正仿宋_GBK" w:hAnsi="宋体" w:eastAsia="方正仿宋_GBK" w:cs="宋体"/>
                <w:color w:val="000000"/>
                <w:kern w:val="0"/>
                <w:sz w:val="24"/>
                <w:szCs w:val="24"/>
              </w:rPr>
            </w:pPr>
          </w:p>
        </w:tc>
        <w:tc>
          <w:tcPr>
            <w:tcW w:w="1830" w:type="dxa"/>
            <w:gridSpan w:val="2"/>
            <w:tcBorders>
              <w:top w:val="nil"/>
              <w:left w:val="nil"/>
              <w:bottom w:val="nil"/>
              <w:right w:val="nil"/>
            </w:tcBorders>
            <w:shd w:val="clear" w:color="auto" w:fill="auto"/>
            <w:noWrap/>
            <w:vAlign w:val="center"/>
          </w:tcPr>
          <w:p>
            <w:pPr>
              <w:widowControl/>
              <w:jc w:val="left"/>
              <w:rPr>
                <w:rFonts w:ascii="方正仿宋_GBK" w:hAnsi="宋体" w:eastAsia="方正仿宋_GBK" w:cs="宋体"/>
                <w:color w:val="000000"/>
                <w:kern w:val="0"/>
                <w:sz w:val="24"/>
                <w:szCs w:val="24"/>
              </w:rPr>
            </w:pPr>
          </w:p>
        </w:tc>
        <w:tc>
          <w:tcPr>
            <w:tcW w:w="2554" w:type="dxa"/>
            <w:gridSpan w:val="2"/>
            <w:tcBorders>
              <w:top w:val="nil"/>
              <w:left w:val="nil"/>
              <w:bottom w:val="nil"/>
              <w:right w:val="nil"/>
            </w:tcBorders>
            <w:shd w:val="clear" w:color="auto" w:fill="auto"/>
            <w:noWrap/>
            <w:vAlign w:val="center"/>
          </w:tcPr>
          <w:p>
            <w:pPr>
              <w:widowControl/>
              <w:jc w:val="center"/>
              <w:rPr>
                <w:rFonts w:ascii="方正仿宋_GBK" w:hAnsi="宋体" w:eastAsia="方正仿宋_GBK" w:cs="宋体"/>
                <w:color w:val="000000"/>
                <w:kern w:val="0"/>
                <w:sz w:val="24"/>
                <w:szCs w:val="24"/>
              </w:rPr>
            </w:pPr>
          </w:p>
        </w:tc>
        <w:tc>
          <w:tcPr>
            <w:tcW w:w="1140" w:type="dxa"/>
            <w:tcBorders>
              <w:top w:val="nil"/>
              <w:left w:val="nil"/>
              <w:bottom w:val="nil"/>
              <w:right w:val="nil"/>
            </w:tcBorders>
            <w:shd w:val="clear" w:color="auto" w:fill="auto"/>
            <w:noWrap/>
            <w:vAlign w:val="center"/>
          </w:tcPr>
          <w:p>
            <w:pPr>
              <w:widowControl/>
              <w:jc w:val="left"/>
              <w:rPr>
                <w:rFonts w:ascii="方正仿宋_GBK" w:hAnsi="宋体" w:eastAsia="方正仿宋_GBK" w:cs="宋体"/>
                <w:color w:val="000000"/>
                <w:kern w:val="0"/>
                <w:sz w:val="24"/>
                <w:szCs w:val="24"/>
              </w:rPr>
            </w:pPr>
          </w:p>
        </w:tc>
      </w:tr>
      <w:tr>
        <w:tblPrEx>
          <w:tblCellMar>
            <w:top w:w="0" w:type="dxa"/>
            <w:left w:w="108" w:type="dxa"/>
            <w:bottom w:w="0" w:type="dxa"/>
            <w:right w:w="108" w:type="dxa"/>
          </w:tblCellMar>
        </w:tblPrEx>
        <w:trPr>
          <w:trHeight w:val="589" w:hRule="atLeast"/>
        </w:trPr>
        <w:tc>
          <w:tcPr>
            <w:tcW w:w="8662" w:type="dxa"/>
            <w:gridSpan w:val="8"/>
            <w:tcBorders>
              <w:top w:val="nil"/>
              <w:left w:val="nil"/>
              <w:bottom w:val="nil"/>
              <w:right w:val="nil"/>
            </w:tcBorders>
            <w:shd w:val="clear" w:color="auto" w:fill="auto"/>
            <w:noWrap/>
            <w:vAlign w:val="center"/>
          </w:tcPr>
          <w:p>
            <w:pPr>
              <w:widowControl/>
              <w:jc w:val="center"/>
              <w:rPr>
                <w:rFonts w:hint="eastAsia" w:ascii="方正小标宋_GBK" w:hAnsi="宋体" w:eastAsia="方正小标宋_GBK" w:cs="宋体"/>
                <w:b/>
                <w:bCs/>
                <w:color w:val="000000"/>
                <w:kern w:val="0"/>
                <w:sz w:val="28"/>
                <w:szCs w:val="28"/>
              </w:rPr>
            </w:pPr>
            <w:r>
              <w:rPr>
                <w:rFonts w:hint="eastAsia" w:ascii="方正小标宋_GBK" w:hAnsi="宋体" w:eastAsia="方正小标宋_GBK" w:cs="宋体"/>
                <w:b/>
                <w:bCs/>
                <w:color w:val="000000"/>
                <w:kern w:val="0"/>
                <w:sz w:val="28"/>
                <w:szCs w:val="28"/>
              </w:rPr>
              <w:t>行政事业单位配置实物使用年限表</w:t>
            </w:r>
          </w:p>
        </w:tc>
      </w:tr>
      <w:tr>
        <w:tblPrEx>
          <w:tblCellMar>
            <w:top w:w="0" w:type="dxa"/>
            <w:left w:w="108" w:type="dxa"/>
            <w:bottom w:w="0" w:type="dxa"/>
            <w:right w:w="108" w:type="dxa"/>
          </w:tblCellMar>
        </w:tblPrEx>
        <w:trPr>
          <w:trHeight w:val="334" w:hRule="atLeast"/>
        </w:trPr>
        <w:tc>
          <w:tcPr>
            <w:tcW w:w="1137" w:type="dxa"/>
            <w:gridSpan w:val="2"/>
            <w:tcBorders>
              <w:top w:val="nil"/>
              <w:left w:val="nil"/>
              <w:bottom w:val="nil"/>
              <w:right w:val="nil"/>
            </w:tcBorders>
            <w:shd w:val="clear" w:color="auto" w:fill="auto"/>
            <w:noWrap/>
            <w:vAlign w:val="center"/>
          </w:tcPr>
          <w:p>
            <w:pPr>
              <w:widowControl/>
              <w:jc w:val="center"/>
              <w:rPr>
                <w:rFonts w:ascii="Arial" w:hAnsi="Arial" w:eastAsia="方正仿宋_GBK" w:cs="Arial"/>
                <w:color w:val="000000"/>
                <w:kern w:val="0"/>
                <w:sz w:val="20"/>
                <w:szCs w:val="20"/>
              </w:rPr>
            </w:pPr>
          </w:p>
        </w:tc>
        <w:tc>
          <w:tcPr>
            <w:tcW w:w="2266" w:type="dxa"/>
            <w:gridSpan w:val="2"/>
            <w:tcBorders>
              <w:top w:val="nil"/>
              <w:left w:val="nil"/>
              <w:bottom w:val="nil"/>
              <w:right w:val="nil"/>
            </w:tcBorders>
            <w:shd w:val="clear" w:color="auto" w:fill="auto"/>
            <w:noWrap/>
            <w:vAlign w:val="bottom"/>
          </w:tcPr>
          <w:p>
            <w:pPr>
              <w:widowControl/>
              <w:jc w:val="left"/>
              <w:rPr>
                <w:rFonts w:ascii="Arial" w:hAnsi="Arial" w:eastAsia="方正仿宋_GBK" w:cs="Arial"/>
                <w:color w:val="000000"/>
                <w:kern w:val="0"/>
                <w:sz w:val="20"/>
                <w:szCs w:val="20"/>
              </w:rPr>
            </w:pPr>
          </w:p>
        </w:tc>
        <w:tc>
          <w:tcPr>
            <w:tcW w:w="1984" w:type="dxa"/>
            <w:gridSpan w:val="2"/>
            <w:tcBorders>
              <w:top w:val="nil"/>
              <w:left w:val="nil"/>
              <w:bottom w:val="nil"/>
              <w:right w:val="nil"/>
            </w:tcBorders>
            <w:shd w:val="clear" w:color="auto" w:fill="auto"/>
            <w:noWrap/>
            <w:vAlign w:val="bottom"/>
          </w:tcPr>
          <w:p>
            <w:pPr>
              <w:widowControl/>
              <w:jc w:val="left"/>
              <w:rPr>
                <w:rFonts w:ascii="Arial" w:hAnsi="Arial" w:eastAsia="方正仿宋_GBK" w:cs="Arial"/>
                <w:color w:val="000000"/>
                <w:kern w:val="0"/>
                <w:sz w:val="20"/>
                <w:szCs w:val="20"/>
              </w:rPr>
            </w:pPr>
          </w:p>
        </w:tc>
        <w:tc>
          <w:tcPr>
            <w:tcW w:w="2135" w:type="dxa"/>
            <w:tcBorders>
              <w:top w:val="nil"/>
              <w:left w:val="nil"/>
              <w:bottom w:val="nil"/>
              <w:right w:val="nil"/>
            </w:tcBorders>
            <w:shd w:val="clear" w:color="auto" w:fill="auto"/>
            <w:noWrap/>
            <w:vAlign w:val="bottom"/>
          </w:tcPr>
          <w:p>
            <w:pPr>
              <w:widowControl/>
              <w:jc w:val="center"/>
              <w:rPr>
                <w:rFonts w:ascii="Arial" w:hAnsi="Arial" w:eastAsia="方正仿宋_GBK" w:cs="Arial"/>
                <w:color w:val="000000"/>
                <w:kern w:val="0"/>
                <w:sz w:val="20"/>
                <w:szCs w:val="20"/>
              </w:rPr>
            </w:pPr>
          </w:p>
        </w:tc>
        <w:tc>
          <w:tcPr>
            <w:tcW w:w="1140" w:type="dxa"/>
            <w:tcBorders>
              <w:top w:val="nil"/>
              <w:left w:val="nil"/>
              <w:bottom w:val="nil"/>
              <w:right w:val="nil"/>
            </w:tcBorders>
            <w:shd w:val="clear" w:color="auto" w:fill="auto"/>
            <w:noWrap/>
            <w:vAlign w:val="bottom"/>
          </w:tcPr>
          <w:p>
            <w:pPr>
              <w:widowControl/>
              <w:jc w:val="left"/>
              <w:rPr>
                <w:rFonts w:ascii="Arial" w:hAnsi="Arial" w:eastAsia="方正仿宋_GBK" w:cs="Arial"/>
                <w:color w:val="000000"/>
                <w:kern w:val="0"/>
                <w:sz w:val="20"/>
                <w:szCs w:val="20"/>
              </w:rPr>
            </w:pPr>
          </w:p>
        </w:tc>
      </w:tr>
      <w:tr>
        <w:tblPrEx>
          <w:tblCellMar>
            <w:top w:w="0" w:type="dxa"/>
            <w:left w:w="108" w:type="dxa"/>
            <w:bottom w:w="0" w:type="dxa"/>
            <w:right w:w="108" w:type="dxa"/>
          </w:tblCellMar>
        </w:tblPrEx>
        <w:trPr>
          <w:trHeight w:val="334" w:hRule="atLeast"/>
        </w:trPr>
        <w:tc>
          <w:tcPr>
            <w:tcW w:w="11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2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配置项目</w:t>
            </w:r>
          </w:p>
        </w:tc>
        <w:tc>
          <w:tcPr>
            <w:tcW w:w="19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规格</w:t>
            </w:r>
          </w:p>
        </w:tc>
        <w:tc>
          <w:tcPr>
            <w:tcW w:w="2135"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至少使用年限</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334" w:hRule="atLeast"/>
        </w:trPr>
        <w:tc>
          <w:tcPr>
            <w:tcW w:w="113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color w:val="000000"/>
                <w:kern w:val="0"/>
                <w:sz w:val="22"/>
              </w:rPr>
            </w:pPr>
            <w:r>
              <w:rPr>
                <w:rFonts w:hint="eastAsia" w:ascii="宋体" w:hAnsi="宋体" w:eastAsia="宋体" w:cs="宋体"/>
                <w:b/>
                <w:color w:val="000000"/>
                <w:kern w:val="0"/>
                <w:sz w:val="22"/>
              </w:rPr>
              <w:t>办公家具</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办公室家具</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办公桌</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办公桌</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接待椅</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单人椅</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接待椅</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单人椅</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沙发、茶几</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书柜</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文件柜</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立柜</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饮水机</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普通型</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茶柜</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会议室家具</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保险柜</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color w:val="000000"/>
                <w:kern w:val="0"/>
                <w:sz w:val="22"/>
              </w:rPr>
            </w:pPr>
            <w:r>
              <w:rPr>
                <w:rFonts w:hint="eastAsia" w:ascii="宋体" w:hAnsi="宋体" w:eastAsia="宋体" w:cs="宋体"/>
                <w:b/>
                <w:color w:val="000000"/>
                <w:kern w:val="0"/>
                <w:sz w:val="22"/>
              </w:rPr>
              <w:t>办公设备</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计算机</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喷墨式</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激光打印机</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针式打印机</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复印机</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扫描仪</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传真机</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碎纸机</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速印机</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1" w:hRule="atLeast"/>
        </w:trPr>
        <w:tc>
          <w:tcPr>
            <w:tcW w:w="11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空调</w:t>
            </w:r>
          </w:p>
        </w:tc>
        <w:tc>
          <w:tcPr>
            <w:tcW w:w="198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1P-4P</w:t>
            </w:r>
          </w:p>
        </w:tc>
        <w:tc>
          <w:tcPr>
            <w:tcW w:w="2135"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rPr>
          <w:rFonts w:ascii="方正仿宋_GBK" w:hAnsi="宋体" w:eastAsia="方正仿宋_GBK"/>
          <w:sz w:val="32"/>
          <w:szCs w:val="32"/>
        </w:rPr>
        <w:sectPr>
          <w:footerReference r:id="rId5" w:type="first"/>
          <w:footerReference r:id="rId3" w:type="default"/>
          <w:footerReference r:id="rId4" w:type="even"/>
          <w:pgSz w:w="11906" w:h="16838"/>
          <w:pgMar w:top="1814" w:right="1701" w:bottom="1814" w:left="1701" w:header="851" w:footer="992" w:gutter="0"/>
          <w:pgNumType w:fmt="numberInDash"/>
          <w:cols w:space="425" w:num="1"/>
          <w:titlePg/>
          <w:docGrid w:type="lines" w:linePitch="312" w:charSpace="0"/>
        </w:sectPr>
      </w:pPr>
    </w:p>
    <w:p>
      <w:pPr>
        <w:spacing w:line="600" w:lineRule="exact"/>
        <w:rPr>
          <w:rFonts w:ascii="方正黑体_GBK" w:hAnsi="宋体" w:eastAsia="方正黑体_GBK"/>
          <w:sz w:val="32"/>
          <w:szCs w:val="32"/>
        </w:rPr>
      </w:pPr>
      <w:r>
        <w:rPr>
          <w:rFonts w:hint="eastAsia" w:ascii="方正黑体_GBK" w:hAnsi="宋体" w:eastAsia="方正黑体_GBK"/>
          <w:sz w:val="32"/>
          <w:szCs w:val="32"/>
        </w:rPr>
        <w:t>附件3</w:t>
      </w:r>
    </w:p>
    <w:tbl>
      <w:tblPr>
        <w:tblStyle w:val="8"/>
        <w:tblW w:w="15242" w:type="dxa"/>
        <w:tblInd w:w="-634" w:type="dxa"/>
        <w:tblLayout w:type="autofit"/>
        <w:tblCellMar>
          <w:top w:w="0" w:type="dxa"/>
          <w:left w:w="108" w:type="dxa"/>
          <w:bottom w:w="0" w:type="dxa"/>
          <w:right w:w="108" w:type="dxa"/>
        </w:tblCellMar>
      </w:tblPr>
      <w:tblGrid>
        <w:gridCol w:w="1309"/>
        <w:gridCol w:w="1701"/>
        <w:gridCol w:w="1276"/>
        <w:gridCol w:w="709"/>
        <w:gridCol w:w="1134"/>
        <w:gridCol w:w="1516"/>
        <w:gridCol w:w="1984"/>
        <w:gridCol w:w="1597"/>
        <w:gridCol w:w="1597"/>
        <w:gridCol w:w="1597"/>
        <w:gridCol w:w="822"/>
      </w:tblGrid>
      <w:tr>
        <w:tblPrEx>
          <w:tblCellMar>
            <w:top w:w="0" w:type="dxa"/>
            <w:left w:w="108" w:type="dxa"/>
            <w:bottom w:w="0" w:type="dxa"/>
            <w:right w:w="108" w:type="dxa"/>
          </w:tblCellMar>
        </w:tblPrEx>
        <w:trPr>
          <w:trHeight w:val="555" w:hRule="atLeast"/>
        </w:trPr>
        <w:tc>
          <w:tcPr>
            <w:tcW w:w="15242" w:type="dxa"/>
            <w:gridSpan w:val="11"/>
            <w:tcBorders>
              <w:top w:val="nil"/>
              <w:left w:val="nil"/>
              <w:bottom w:val="nil"/>
              <w:right w:val="nil"/>
            </w:tcBorders>
            <w:shd w:val="clear" w:color="auto" w:fill="auto"/>
            <w:noWrap/>
            <w:vAlign w:val="center"/>
          </w:tcPr>
          <w:p>
            <w:pPr>
              <w:widowControl/>
              <w:spacing w:line="600" w:lineRule="exact"/>
              <w:ind w:firstLine="530" w:firstLineChars="165"/>
              <w:jc w:val="center"/>
              <w:rPr>
                <w:rFonts w:hint="eastAsia" w:ascii="方正小标宋_GBK" w:hAnsi="宋体" w:eastAsia="方正小标宋_GBK" w:cs="宋体"/>
                <w:b/>
                <w:bCs/>
                <w:kern w:val="0"/>
                <w:sz w:val="32"/>
                <w:szCs w:val="32"/>
              </w:rPr>
            </w:pPr>
            <w:r>
              <w:rPr>
                <w:rFonts w:hint="eastAsia" w:ascii="方正小标宋_GBK" w:hAnsi="宋体" w:eastAsia="方正小标宋_GBK" w:cs="宋体"/>
                <w:b/>
                <w:bCs/>
                <w:kern w:val="0"/>
                <w:sz w:val="32"/>
                <w:szCs w:val="32"/>
              </w:rPr>
              <w:t>固定资产领用登记册</w:t>
            </w:r>
          </w:p>
          <w:p>
            <w:pPr>
              <w:widowControl/>
              <w:spacing w:line="600" w:lineRule="exact"/>
              <w:ind w:firstLine="530" w:firstLineChars="165"/>
              <w:rPr>
                <w:rFonts w:ascii="宋体" w:hAnsi="宋体" w:eastAsia="宋体" w:cs="宋体"/>
                <w:b/>
                <w:bCs/>
                <w:kern w:val="0"/>
                <w:sz w:val="32"/>
                <w:szCs w:val="32"/>
              </w:rPr>
            </w:pPr>
          </w:p>
        </w:tc>
      </w:tr>
      <w:tr>
        <w:tblPrEx>
          <w:tblCellMar>
            <w:top w:w="0" w:type="dxa"/>
            <w:left w:w="108" w:type="dxa"/>
            <w:bottom w:w="0" w:type="dxa"/>
            <w:right w:w="108" w:type="dxa"/>
          </w:tblCellMar>
        </w:tblPrEx>
        <w:trPr>
          <w:trHeight w:val="465" w:hRule="atLeast"/>
        </w:trPr>
        <w:tc>
          <w:tcPr>
            <w:tcW w:w="15242" w:type="dxa"/>
            <w:gridSpan w:val="11"/>
            <w:tcBorders>
              <w:top w:val="nil"/>
              <w:left w:val="nil"/>
              <w:bottom w:val="single" w:color="auto" w:sz="4" w:space="0"/>
              <w:right w:val="nil"/>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资产管理（使用）部门：                                    资产管理负责人：</w:t>
            </w:r>
          </w:p>
        </w:tc>
      </w:tr>
      <w:tr>
        <w:tblPrEx>
          <w:tblCellMar>
            <w:top w:w="0" w:type="dxa"/>
            <w:left w:w="108" w:type="dxa"/>
            <w:bottom w:w="0" w:type="dxa"/>
            <w:right w:w="108" w:type="dxa"/>
          </w:tblCellMar>
        </w:tblPrEx>
        <w:trPr>
          <w:trHeight w:val="585" w:hRule="atLeast"/>
        </w:trPr>
        <w:tc>
          <w:tcPr>
            <w:tcW w:w="1309"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szCs w:val="24"/>
              </w:rPr>
            </w:pPr>
            <w:r>
              <w:rPr>
                <w:rFonts w:hint="eastAsia" w:ascii="宋体" w:hAnsi="宋体" w:eastAsia="宋体" w:cs="宋体"/>
                <w:kern w:val="0"/>
                <w:sz w:val="24"/>
                <w:szCs w:val="24"/>
              </w:rPr>
              <w:t>资产编号</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jc w:val="center"/>
              <w:rPr>
                <w:rFonts w:ascii="宋体" w:hAnsi="宋体" w:eastAsia="宋体" w:cs="宋体"/>
                <w:kern w:val="0"/>
                <w:sz w:val="24"/>
                <w:szCs w:val="24"/>
              </w:rPr>
            </w:pPr>
            <w:r>
              <w:rPr>
                <w:rFonts w:hint="eastAsia" w:ascii="宋体" w:hAnsi="宋体" w:eastAsia="宋体" w:cs="宋体"/>
                <w:kern w:val="0"/>
                <w:sz w:val="24"/>
                <w:szCs w:val="24"/>
              </w:rPr>
              <w:t>资产名称</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szCs w:val="24"/>
              </w:rPr>
            </w:pPr>
            <w:r>
              <w:rPr>
                <w:rFonts w:hint="eastAsia" w:ascii="宋体" w:hAnsi="宋体" w:eastAsia="宋体" w:cs="宋体"/>
                <w:kern w:val="0"/>
                <w:sz w:val="24"/>
                <w:szCs w:val="24"/>
              </w:rPr>
              <w:t>品牌规格</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szCs w:val="24"/>
              </w:rPr>
            </w:pPr>
            <w:r>
              <w:rPr>
                <w:rFonts w:hint="eastAsia" w:ascii="宋体" w:hAnsi="宋体" w:eastAsia="宋体" w:cs="宋体"/>
                <w:kern w:val="0"/>
                <w:sz w:val="24"/>
                <w:szCs w:val="24"/>
              </w:rPr>
              <w:t>领用人</w:t>
            </w:r>
          </w:p>
        </w:tc>
        <w:tc>
          <w:tcPr>
            <w:tcW w:w="1516"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szCs w:val="24"/>
              </w:rPr>
            </w:pPr>
            <w:r>
              <w:rPr>
                <w:rFonts w:hint="eastAsia" w:ascii="宋体" w:hAnsi="宋体" w:eastAsia="宋体" w:cs="宋体"/>
                <w:kern w:val="0"/>
                <w:sz w:val="24"/>
                <w:szCs w:val="24"/>
              </w:rPr>
              <w:t>领用日期</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szCs w:val="24"/>
              </w:rPr>
            </w:pPr>
            <w:r>
              <w:rPr>
                <w:rFonts w:hint="eastAsia" w:ascii="宋体" w:hAnsi="宋体" w:eastAsia="宋体" w:cs="宋体"/>
                <w:kern w:val="0"/>
                <w:sz w:val="24"/>
                <w:szCs w:val="24"/>
              </w:rPr>
              <w:t>领用人签字</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jc w:val="center"/>
              <w:rPr>
                <w:rFonts w:ascii="宋体" w:hAnsi="宋体" w:eastAsia="宋体" w:cs="宋体"/>
                <w:kern w:val="0"/>
                <w:sz w:val="24"/>
                <w:szCs w:val="24"/>
              </w:rPr>
            </w:pPr>
            <w:r>
              <w:rPr>
                <w:rFonts w:hint="eastAsia" w:ascii="宋体" w:hAnsi="宋体" w:eastAsia="宋体" w:cs="宋体"/>
                <w:kern w:val="0"/>
                <w:sz w:val="24"/>
                <w:szCs w:val="24"/>
              </w:rPr>
              <w:t>归还日期</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jc w:val="center"/>
              <w:rPr>
                <w:rFonts w:ascii="宋体" w:hAnsi="宋体" w:eastAsia="宋体" w:cs="宋体"/>
                <w:kern w:val="0"/>
                <w:sz w:val="24"/>
                <w:szCs w:val="24"/>
              </w:rPr>
            </w:pPr>
            <w:r>
              <w:rPr>
                <w:rFonts w:hint="eastAsia" w:ascii="宋体" w:hAnsi="宋体" w:eastAsia="宋体" w:cs="宋体"/>
                <w:kern w:val="0"/>
                <w:sz w:val="24"/>
                <w:szCs w:val="24"/>
              </w:rPr>
              <w:t>归还签字</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变动情况</w:t>
            </w:r>
          </w:p>
        </w:tc>
        <w:tc>
          <w:tcPr>
            <w:tcW w:w="822"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70" w:hRule="atLeast"/>
        </w:trPr>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rPr>
                <w:rFonts w:ascii="宋体" w:hAnsi="宋体" w:eastAsia="宋体" w:cs="宋体"/>
                <w:kern w:val="0"/>
                <w:sz w:val="24"/>
                <w:szCs w:val="24"/>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822"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5" w:hRule="atLeast"/>
        </w:trPr>
        <w:tc>
          <w:tcPr>
            <w:tcW w:w="1309"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822"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5" w:hRule="atLeast"/>
        </w:trPr>
        <w:tc>
          <w:tcPr>
            <w:tcW w:w="1309"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822"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5" w:hRule="atLeast"/>
        </w:trPr>
        <w:tc>
          <w:tcPr>
            <w:tcW w:w="1309"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822"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5" w:hRule="atLeast"/>
        </w:trPr>
        <w:tc>
          <w:tcPr>
            <w:tcW w:w="1309"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822"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5" w:hRule="atLeast"/>
        </w:trPr>
        <w:tc>
          <w:tcPr>
            <w:tcW w:w="1309"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822"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5" w:hRule="atLeast"/>
        </w:trPr>
        <w:tc>
          <w:tcPr>
            <w:tcW w:w="1309"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1597"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c>
          <w:tcPr>
            <w:tcW w:w="822" w:type="dxa"/>
            <w:tcBorders>
              <w:top w:val="nil"/>
              <w:left w:val="nil"/>
              <w:bottom w:val="single" w:color="auto" w:sz="4" w:space="0"/>
              <w:right w:val="single" w:color="auto" w:sz="4" w:space="0"/>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35" w:hRule="atLeast"/>
        </w:trPr>
        <w:tc>
          <w:tcPr>
            <w:tcW w:w="15242" w:type="dxa"/>
            <w:gridSpan w:val="11"/>
            <w:tcBorders>
              <w:top w:val="single" w:color="auto" w:sz="4" w:space="0"/>
              <w:left w:val="nil"/>
              <w:bottom w:val="nil"/>
              <w:right w:val="nil"/>
            </w:tcBorders>
            <w:shd w:val="clear" w:color="auto" w:fill="auto"/>
            <w:noWrap/>
            <w:vAlign w:val="center"/>
          </w:tcPr>
          <w:p>
            <w:pPr>
              <w:widowControl/>
              <w:spacing w:line="600" w:lineRule="exact"/>
              <w:ind w:firstLine="396" w:firstLineChars="165"/>
              <w:rPr>
                <w:rFonts w:ascii="宋体" w:hAnsi="宋体" w:eastAsia="宋体" w:cs="宋体"/>
                <w:kern w:val="0"/>
                <w:sz w:val="24"/>
                <w:szCs w:val="24"/>
              </w:rPr>
            </w:pPr>
            <w:r>
              <w:rPr>
                <w:rFonts w:hint="eastAsia" w:ascii="宋体" w:hAnsi="宋体" w:eastAsia="宋体" w:cs="宋体"/>
                <w:kern w:val="0"/>
                <w:sz w:val="24"/>
                <w:szCs w:val="24"/>
              </w:rPr>
              <w:t>备注：学校根据管理需要可作适当调整。本表为资产管理系统的辅助记录表，主要登记贵重设备，如计算机、笔机本电脑、打印机、空调等，也可登记其它设备。</w:t>
            </w:r>
          </w:p>
        </w:tc>
      </w:tr>
    </w:tbl>
    <w:p>
      <w:pPr>
        <w:spacing w:line="600" w:lineRule="exact"/>
        <w:ind w:firstLine="528" w:firstLineChars="165"/>
        <w:rPr>
          <w:rFonts w:ascii="方正仿宋_GBK" w:hAnsi="宋体" w:eastAsia="方正仿宋_GBK"/>
          <w:sz w:val="32"/>
          <w:szCs w:val="32"/>
        </w:rPr>
        <w:sectPr>
          <w:pgSz w:w="16838" w:h="11906" w:orient="landscape"/>
          <w:pgMar w:top="1701" w:right="1814" w:bottom="1701" w:left="1814" w:header="851" w:footer="992" w:gutter="0"/>
          <w:pgNumType w:fmt="numberInDash"/>
          <w:cols w:space="425" w:num="1"/>
          <w:docGrid w:type="lines" w:linePitch="312" w:charSpace="0"/>
        </w:sectPr>
      </w:pPr>
    </w:p>
    <w:p>
      <w:pPr>
        <w:spacing w:line="600" w:lineRule="exact"/>
        <w:rPr>
          <w:rFonts w:ascii="方正黑体_GBK" w:hAnsi="宋体" w:eastAsia="方正黑体_GBK"/>
          <w:sz w:val="32"/>
          <w:szCs w:val="32"/>
        </w:rPr>
      </w:pPr>
      <w:r>
        <w:rPr>
          <w:rFonts w:hint="eastAsia" w:ascii="方正黑体_GBK" w:hAnsi="宋体" w:eastAsia="方正黑体_GBK"/>
          <w:sz w:val="32"/>
          <w:szCs w:val="32"/>
        </w:rPr>
        <w:t>附件4</w:t>
      </w:r>
    </w:p>
    <w:p>
      <w:pPr>
        <w:spacing w:line="600" w:lineRule="exact"/>
        <w:rPr>
          <w:rFonts w:ascii="方正黑体_GBK" w:hAnsi="宋体" w:eastAsia="方正黑体_GBK"/>
          <w:b/>
          <w:sz w:val="32"/>
          <w:szCs w:val="32"/>
        </w:rPr>
      </w:pPr>
    </w:p>
    <w:p>
      <w:pPr>
        <w:spacing w:line="600" w:lineRule="exact"/>
        <w:ind w:firstLine="708" w:firstLineChars="161"/>
        <w:jc w:val="center"/>
        <w:rPr>
          <w:rFonts w:ascii="方正小标宋_GBK" w:eastAsia="方正小标宋_GBK"/>
          <w:b/>
          <w:sz w:val="44"/>
          <w:szCs w:val="44"/>
        </w:rPr>
      </w:pPr>
      <w:r>
        <w:rPr>
          <w:rFonts w:hint="eastAsia" w:ascii="方正小标宋_GBK" w:eastAsia="方正小标宋_GBK"/>
          <w:b/>
          <w:sz w:val="44"/>
          <w:szCs w:val="44"/>
        </w:rPr>
        <w:t>资产管理流程及说明</w:t>
      </w:r>
    </w:p>
    <w:p>
      <w:pPr>
        <w:spacing w:line="600" w:lineRule="exact"/>
        <w:ind w:firstLine="528" w:firstLineChars="165"/>
        <w:rPr>
          <w:rFonts w:ascii="方正仿宋_GBK" w:eastAsia="方正仿宋_GBK"/>
          <w:b/>
          <w:sz w:val="32"/>
          <w:szCs w:val="32"/>
        </w:rPr>
      </w:pPr>
    </w:p>
    <w:p>
      <w:pPr>
        <w:pStyle w:val="13"/>
        <w:numPr>
          <w:ilvl w:val="0"/>
          <w:numId w:val="1"/>
        </w:numPr>
        <w:spacing w:line="600" w:lineRule="exact"/>
        <w:ind w:left="0" w:firstLine="656" w:firstLineChars="205"/>
        <w:rPr>
          <w:rFonts w:ascii="黑体" w:hAnsi="黑体" w:eastAsia="黑体"/>
          <w:sz w:val="32"/>
          <w:szCs w:val="32"/>
        </w:rPr>
      </w:pPr>
      <w:r>
        <w:rPr>
          <w:rFonts w:hint="eastAsia" w:ascii="黑体" w:hAnsi="黑体" w:eastAsia="黑体"/>
          <w:sz w:val="32"/>
          <w:szCs w:val="32"/>
        </w:rPr>
        <w:t xml:space="preserve">国有资产配置计划申报及审核流程和说明  </w:t>
      </w:r>
    </w:p>
    <w:p>
      <w:pPr>
        <w:pStyle w:val="13"/>
        <w:spacing w:line="600" w:lineRule="exact"/>
        <w:ind w:firstLine="656" w:firstLineChars="205"/>
        <w:rPr>
          <w:rFonts w:ascii="方正仿宋_GBK" w:hAnsi="黑体" w:eastAsia="方正仿宋_GBK"/>
          <w:sz w:val="32"/>
          <w:szCs w:val="32"/>
        </w:rPr>
      </w:pPr>
      <w:r>
        <w:rPr>
          <w:rFonts w:hint="eastAsia" w:ascii="方正仿宋_GBK" w:hAnsi="黑体" w:eastAsia="方正仿宋_GBK"/>
          <w:b/>
          <w:sz w:val="32"/>
          <w:szCs w:val="32"/>
        </w:rPr>
        <w:t>流程：</w:t>
      </w:r>
      <w:r>
        <w:rPr>
          <w:rFonts w:hint="eastAsia" w:ascii="方正仿宋_GBK" w:hAnsi="黑体" w:eastAsia="方正仿宋_GBK"/>
          <w:sz w:val="32"/>
          <w:szCs w:val="32"/>
        </w:rPr>
        <w:t>资产管理部门清理核实现有资产存量情况→对照有关配置标准提出配置预算计划→单位负责人审核配置的必要性→重大项目购置报办公会研究决定→资产管理部门组织实施配置。</w:t>
      </w:r>
    </w:p>
    <w:p>
      <w:pPr>
        <w:pStyle w:val="13"/>
        <w:spacing w:line="600" w:lineRule="exact"/>
        <w:ind w:firstLine="656" w:firstLineChars="205"/>
        <w:rPr>
          <w:rFonts w:ascii="方正仿宋_GBK" w:hAnsi="宋体" w:eastAsia="方正仿宋_GBK"/>
          <w:sz w:val="32"/>
          <w:szCs w:val="32"/>
        </w:rPr>
      </w:pPr>
      <w:r>
        <w:rPr>
          <w:rFonts w:hint="eastAsia" w:ascii="方正仿宋_GBK" w:hAnsi="黑体" w:eastAsia="方正仿宋_GBK"/>
          <w:b/>
          <w:sz w:val="32"/>
          <w:szCs w:val="32"/>
        </w:rPr>
        <w:t>说明：</w:t>
      </w:r>
      <w:r>
        <w:rPr>
          <w:rFonts w:hint="eastAsia" w:ascii="方正仿宋_GBK" w:hAnsi="黑体" w:eastAsia="方正仿宋_GBK"/>
          <w:sz w:val="32"/>
          <w:szCs w:val="32"/>
        </w:rPr>
        <w:t>资产配置</w:t>
      </w:r>
      <w:r>
        <w:rPr>
          <w:rFonts w:hint="eastAsia" w:ascii="方正仿宋_GBK" w:eastAsia="方正仿宋_GBK"/>
          <w:sz w:val="32"/>
          <w:szCs w:val="32"/>
        </w:rPr>
        <w:t>要科学合理、勤俭节约，保证教育教学所需资产够用、耐用和适用。</w:t>
      </w:r>
      <w:r>
        <w:rPr>
          <w:rFonts w:hint="eastAsia" w:ascii="方正仿宋_GBK" w:hAnsi="宋体" w:eastAsia="方正仿宋_GBK"/>
          <w:sz w:val="32"/>
          <w:szCs w:val="32"/>
        </w:rPr>
        <w:t>权限以外</w:t>
      </w:r>
      <w:r>
        <w:rPr>
          <w:rFonts w:hint="eastAsia" w:ascii="方正仿宋_GBK" w:hAnsi="黑体" w:eastAsia="方正仿宋_GBK"/>
          <w:sz w:val="32"/>
          <w:szCs w:val="32"/>
        </w:rPr>
        <w:t>资产配置须报区教委</w:t>
      </w:r>
      <w:r>
        <w:rPr>
          <w:rFonts w:hint="eastAsia" w:ascii="方正仿宋_GBK" w:hAnsi="宋体" w:eastAsia="方正仿宋_GBK"/>
          <w:sz w:val="32"/>
          <w:szCs w:val="32"/>
        </w:rPr>
        <w:t>、区财政局等有关部门审核，需预先编制资产购建年度预算安排，按政府规定的采购方式配置。</w:t>
      </w:r>
    </w:p>
    <w:p>
      <w:pPr>
        <w:pStyle w:val="13"/>
        <w:spacing w:line="600" w:lineRule="exact"/>
        <w:ind w:firstLine="656" w:firstLineChars="205"/>
        <w:rPr>
          <w:rFonts w:ascii="黑体" w:hAnsi="黑体" w:eastAsia="黑体"/>
          <w:sz w:val="32"/>
          <w:szCs w:val="32"/>
        </w:rPr>
      </w:pPr>
      <w:r>
        <w:rPr>
          <w:rFonts w:hint="eastAsia" w:ascii="黑体" w:hAnsi="黑体" w:eastAsia="黑体"/>
          <w:sz w:val="32"/>
          <w:szCs w:val="32"/>
        </w:rPr>
        <w:t xml:space="preserve">二、国有资产购置申请及审批流程和说明  </w:t>
      </w:r>
    </w:p>
    <w:p>
      <w:pPr>
        <w:spacing w:line="600" w:lineRule="exact"/>
        <w:ind w:firstLine="656" w:firstLineChars="205"/>
        <w:rPr>
          <w:rFonts w:ascii="方正仿宋_GBK" w:hAnsi="黑体" w:eastAsia="方正仿宋_GBK"/>
          <w:sz w:val="32"/>
          <w:szCs w:val="32"/>
        </w:rPr>
      </w:pPr>
      <w:r>
        <w:rPr>
          <w:rFonts w:hint="eastAsia" w:ascii="方正仿宋_GBK" w:hAnsi="黑体" w:eastAsia="方正仿宋_GBK"/>
          <w:b/>
          <w:sz w:val="32"/>
          <w:szCs w:val="32"/>
        </w:rPr>
        <w:t>流程：</w:t>
      </w:r>
      <w:r>
        <w:rPr>
          <w:rFonts w:hint="eastAsia" w:ascii="方正仿宋_GBK" w:hAnsi="黑体" w:eastAsia="方正仿宋_GBK"/>
          <w:sz w:val="32"/>
          <w:szCs w:val="32"/>
        </w:rPr>
        <w:t>资产使用部门经办人提出采购申请→资产管理部门进行可行性论证和审核→报单位负责人审核→重大项目购置报办公会研究决定→审核同意后资产管理部门组织实施采购→资产管理部门组织有关人员参与验收→财务部门对采购票据审核报销。</w:t>
      </w:r>
    </w:p>
    <w:p>
      <w:pPr>
        <w:spacing w:line="600" w:lineRule="exact"/>
        <w:ind w:firstLine="656" w:firstLineChars="205"/>
        <w:rPr>
          <w:rFonts w:ascii="方正仿宋_GBK" w:hAnsi="黑体" w:eastAsia="方正仿宋_GBK"/>
          <w:b/>
          <w:sz w:val="32"/>
          <w:szCs w:val="32"/>
        </w:rPr>
      </w:pPr>
      <w:r>
        <w:rPr>
          <w:rFonts w:hint="eastAsia" w:ascii="方正仿宋_GBK" w:hAnsi="黑体" w:eastAsia="方正仿宋_GBK"/>
          <w:b/>
          <w:sz w:val="32"/>
          <w:szCs w:val="32"/>
        </w:rPr>
        <w:t>说明：</w:t>
      </w:r>
      <w:r>
        <w:rPr>
          <w:rFonts w:hint="eastAsia" w:ascii="方正仿宋_GBK" w:hAnsi="黑体" w:eastAsia="方正仿宋_GBK"/>
          <w:sz w:val="32"/>
          <w:szCs w:val="32"/>
        </w:rPr>
        <w:t>固定资产请购单上应填写购置资产的名称、规格、型号、购置原因等相关内容。资产管理部门组织相关部门和人员要在购置前进行技术、经济论证，确定是否需要购置</w:t>
      </w:r>
      <w:bookmarkStart w:id="0" w:name="_GoBack"/>
      <w:bookmarkEnd w:id="0"/>
      <w:r>
        <w:rPr>
          <w:rFonts w:hint="eastAsia" w:ascii="方正仿宋_GBK" w:hAnsi="黑体" w:eastAsia="方正仿宋_GBK"/>
          <w:sz w:val="32"/>
          <w:szCs w:val="32"/>
        </w:rPr>
        <w:t>以及金额和标准，资产管理部门负责人要对资产购置可行性论证结果进行审核。重大购置项目需办公会议集体研究决定，形成会议记录后，单位负责人审批签字，参与人员均应签字。资产采购和验收时应有有关技术人员、资产管理员参与。财务部门在采购票据报销前要对票据的真实性、与预算金额的符合性、购置手续的完备性和填写内容的规范性等方面进行审核，全部合符规定后才能报销入账。</w:t>
      </w:r>
    </w:p>
    <w:p>
      <w:pPr>
        <w:spacing w:line="600" w:lineRule="exact"/>
        <w:ind w:firstLine="656" w:firstLineChars="205"/>
        <w:rPr>
          <w:rFonts w:ascii="黑体" w:hAnsi="黑体" w:eastAsia="黑体"/>
          <w:sz w:val="32"/>
          <w:szCs w:val="32"/>
        </w:rPr>
      </w:pPr>
      <w:r>
        <w:rPr>
          <w:rFonts w:hint="eastAsia" w:ascii="黑体" w:hAnsi="黑体" w:eastAsia="黑体"/>
          <w:sz w:val="32"/>
          <w:szCs w:val="32"/>
        </w:rPr>
        <w:t xml:space="preserve">三、国有资产领用流程和说明  </w:t>
      </w:r>
    </w:p>
    <w:p>
      <w:pPr>
        <w:spacing w:line="600" w:lineRule="exact"/>
        <w:ind w:firstLine="656" w:firstLineChars="205"/>
        <w:rPr>
          <w:rFonts w:ascii="方正仿宋_GBK" w:hAnsi="黑体" w:eastAsia="方正仿宋_GBK"/>
          <w:sz w:val="32"/>
          <w:szCs w:val="32"/>
        </w:rPr>
      </w:pPr>
      <w:r>
        <w:rPr>
          <w:rFonts w:hint="eastAsia" w:ascii="方正仿宋_GBK" w:hAnsi="黑体" w:eastAsia="方正仿宋_GBK"/>
          <w:b/>
          <w:sz w:val="32"/>
          <w:szCs w:val="32"/>
        </w:rPr>
        <w:t>流程：</w:t>
      </w:r>
      <w:r>
        <w:rPr>
          <w:rFonts w:hint="eastAsia" w:ascii="方正仿宋_GBK" w:hAnsi="黑体" w:eastAsia="方正仿宋_GBK"/>
          <w:sz w:val="32"/>
          <w:szCs w:val="32"/>
        </w:rPr>
        <w:t>各使用部门经办人填写物品领用单→资产管理部门核实并提出建议→负责人审批→使用部门经办人领用签字→资产管理部门发放用品。</w:t>
      </w:r>
    </w:p>
    <w:p>
      <w:pPr>
        <w:spacing w:line="600" w:lineRule="exact"/>
        <w:ind w:firstLine="656" w:firstLineChars="205"/>
        <w:rPr>
          <w:rFonts w:ascii="方正仿宋_GBK" w:hAnsi="黑体" w:eastAsia="方正仿宋_GBK"/>
          <w:sz w:val="32"/>
          <w:szCs w:val="32"/>
        </w:rPr>
      </w:pPr>
      <w:r>
        <w:rPr>
          <w:rFonts w:hint="eastAsia" w:ascii="方正仿宋_GBK" w:hAnsi="黑体" w:eastAsia="方正仿宋_GBK"/>
          <w:b/>
          <w:sz w:val="32"/>
          <w:szCs w:val="32"/>
        </w:rPr>
        <w:t>说明：</w:t>
      </w:r>
      <w:r>
        <w:rPr>
          <w:rFonts w:hint="eastAsia" w:ascii="方正仿宋_GBK" w:hAnsi="黑体" w:eastAsia="方正仿宋_GBK"/>
          <w:sz w:val="32"/>
          <w:szCs w:val="32"/>
        </w:rPr>
        <w:t>资产管理部门在核实领用单时，要注意审核配置的必要性和标准的掌握，为领导提供好参考意见。发放办公用品前使用部门要填写领用登记表，确认领用物品的基本信息并签字。</w:t>
      </w:r>
    </w:p>
    <w:p>
      <w:pPr>
        <w:spacing w:line="600" w:lineRule="exact"/>
        <w:ind w:firstLine="656" w:firstLineChars="205"/>
        <w:rPr>
          <w:rFonts w:ascii="黑体" w:hAnsi="黑体" w:eastAsia="黑体"/>
          <w:sz w:val="32"/>
          <w:szCs w:val="32"/>
        </w:rPr>
      </w:pPr>
      <w:r>
        <w:rPr>
          <w:rFonts w:hint="eastAsia" w:ascii="黑体" w:hAnsi="黑体" w:eastAsia="黑体"/>
          <w:sz w:val="32"/>
          <w:szCs w:val="32"/>
        </w:rPr>
        <w:t xml:space="preserve">四、国有资产调剂流程和说明  </w:t>
      </w:r>
    </w:p>
    <w:p>
      <w:pPr>
        <w:pStyle w:val="13"/>
        <w:spacing w:line="600" w:lineRule="exact"/>
        <w:ind w:firstLine="656" w:firstLineChars="205"/>
        <w:rPr>
          <w:rFonts w:ascii="方正仿宋_GBK" w:hAnsi="黑体" w:eastAsia="方正仿宋_GBK"/>
          <w:sz w:val="32"/>
          <w:szCs w:val="32"/>
        </w:rPr>
      </w:pPr>
      <w:r>
        <w:rPr>
          <w:rFonts w:hint="eastAsia" w:ascii="方正仿宋_GBK" w:hAnsi="黑体" w:eastAsia="方正仿宋_GBK"/>
          <w:b/>
          <w:sz w:val="32"/>
          <w:szCs w:val="32"/>
        </w:rPr>
        <w:t>流程：</w:t>
      </w:r>
      <w:r>
        <w:rPr>
          <w:rFonts w:hint="eastAsia" w:ascii="方正仿宋_GBK" w:hAnsi="黑体" w:eastAsia="方正仿宋_GBK"/>
          <w:sz w:val="32"/>
          <w:szCs w:val="32"/>
        </w:rPr>
        <w:t>资产管理部门清理单位存量资产→记录单位余缺资产信息→提出调剂建议报单位负责人审批→填写单位内部调剂通知单和有关人员签字→安排资产调剂。</w:t>
      </w:r>
    </w:p>
    <w:p>
      <w:pPr>
        <w:pStyle w:val="13"/>
        <w:spacing w:line="600" w:lineRule="exact"/>
        <w:ind w:firstLine="656" w:firstLineChars="205"/>
        <w:rPr>
          <w:rFonts w:ascii="方正仿宋_GBK" w:hAnsi="黑体" w:eastAsia="方正仿宋_GBK"/>
          <w:sz w:val="32"/>
          <w:szCs w:val="32"/>
        </w:rPr>
      </w:pPr>
      <w:r>
        <w:rPr>
          <w:rFonts w:hint="eastAsia" w:ascii="方正仿宋_GBK" w:hAnsi="黑体" w:eastAsia="方正仿宋_GBK"/>
          <w:b/>
          <w:sz w:val="32"/>
          <w:szCs w:val="32"/>
        </w:rPr>
        <w:t>说明：</w:t>
      </w:r>
      <w:r>
        <w:rPr>
          <w:rFonts w:hint="eastAsia" w:ascii="方正仿宋_GBK" w:hAnsi="黑体" w:eastAsia="方正仿宋_GBK"/>
          <w:sz w:val="32"/>
          <w:szCs w:val="32"/>
        </w:rPr>
        <w:t>单位内部调剂通知单上要注明调剂资产的名称、数量、规格、型号、系统内编号、调剂时间、调剂前使用部门和调剂后使用部门的名称，调剂前后所在部门和资产管理人员要签字确认。</w:t>
      </w:r>
    </w:p>
    <w:p>
      <w:pPr>
        <w:pStyle w:val="13"/>
        <w:spacing w:line="600" w:lineRule="exact"/>
        <w:ind w:firstLine="656" w:firstLineChars="205"/>
        <w:rPr>
          <w:rFonts w:ascii="黑体" w:hAnsi="黑体" w:eastAsia="黑体"/>
          <w:sz w:val="32"/>
          <w:szCs w:val="32"/>
        </w:rPr>
      </w:pPr>
      <w:r>
        <w:rPr>
          <w:rFonts w:hint="eastAsia" w:ascii="黑体" w:hAnsi="黑体" w:eastAsia="黑体"/>
          <w:sz w:val="32"/>
          <w:szCs w:val="32"/>
        </w:rPr>
        <w:t xml:space="preserve">五、资产盘点流程和说明  </w:t>
      </w:r>
    </w:p>
    <w:p>
      <w:pPr>
        <w:spacing w:line="600" w:lineRule="exact"/>
        <w:ind w:firstLine="656" w:firstLineChars="205"/>
        <w:rPr>
          <w:rFonts w:ascii="方正仿宋_GBK" w:hAnsi="黑体" w:eastAsia="方正仿宋_GBK"/>
          <w:sz w:val="32"/>
          <w:szCs w:val="32"/>
        </w:rPr>
      </w:pPr>
      <w:r>
        <w:rPr>
          <w:rFonts w:hint="eastAsia" w:ascii="方正仿宋_GBK" w:hAnsi="黑体" w:eastAsia="方正仿宋_GBK"/>
          <w:b/>
          <w:sz w:val="32"/>
          <w:szCs w:val="32"/>
        </w:rPr>
        <w:t>流程：</w:t>
      </w:r>
      <w:r>
        <w:rPr>
          <w:rFonts w:hint="eastAsia" w:ascii="方正仿宋_GBK" w:hAnsi="黑体" w:eastAsia="方正仿宋_GBK"/>
          <w:sz w:val="32"/>
          <w:szCs w:val="32"/>
        </w:rPr>
        <w:t>成立资产盘点小组并明确职责→编制资产盘点实施方案→盘点前资料准备工作→实施资产盘点核实→对盘点中的问题提出处理意见→编制资产清查盘点情况报告→负责人对盘点情况进行审核→按规定程序和要求处理有关问题。</w:t>
      </w:r>
    </w:p>
    <w:p>
      <w:pPr>
        <w:spacing w:line="600" w:lineRule="exact"/>
        <w:ind w:firstLine="656" w:firstLineChars="205"/>
        <w:rPr>
          <w:rFonts w:ascii="方正仿宋_GBK" w:hAnsi="黑体" w:eastAsia="方正仿宋_GBK"/>
          <w:b/>
          <w:sz w:val="32"/>
          <w:szCs w:val="32"/>
        </w:rPr>
      </w:pPr>
      <w:r>
        <w:rPr>
          <w:rFonts w:hint="eastAsia" w:ascii="方正仿宋_GBK" w:hAnsi="黑体" w:eastAsia="方正仿宋_GBK"/>
          <w:b/>
          <w:sz w:val="32"/>
          <w:szCs w:val="32"/>
        </w:rPr>
        <w:t>说明：</w:t>
      </w:r>
      <w:r>
        <w:rPr>
          <w:rFonts w:hint="eastAsia" w:ascii="方正仿宋_GBK" w:hAnsi="黑体" w:eastAsia="方正仿宋_GBK"/>
          <w:sz w:val="32"/>
          <w:szCs w:val="32"/>
        </w:rPr>
        <w:t>资产盘点小组成员应包括资产管理员、财务管理员和使用部门负责人等。盘点前资料准备工作包括：在资产系统内打印出资产卡片、资产明细表，以及有关资产的财务资料等。对盘点中出现的盘盈盘亏、报废毁损、被盗、资金挂账等账实不一致的问题，资产管理部门要按照会计管理制度和有关规定处理。</w:t>
      </w:r>
    </w:p>
    <w:p>
      <w:pPr>
        <w:pStyle w:val="13"/>
        <w:spacing w:line="600" w:lineRule="exact"/>
        <w:ind w:firstLine="656" w:firstLineChars="205"/>
        <w:rPr>
          <w:rFonts w:ascii="黑体" w:hAnsi="黑体" w:eastAsia="黑体"/>
          <w:sz w:val="32"/>
          <w:szCs w:val="32"/>
        </w:rPr>
      </w:pPr>
      <w:r>
        <w:rPr>
          <w:rFonts w:hint="eastAsia" w:ascii="黑体" w:hAnsi="黑体" w:eastAsia="黑体"/>
          <w:sz w:val="32"/>
          <w:szCs w:val="32"/>
        </w:rPr>
        <w:t xml:space="preserve">六、国有资产出租、出借流程和说明  </w:t>
      </w:r>
    </w:p>
    <w:p>
      <w:pPr>
        <w:pStyle w:val="13"/>
        <w:widowControl/>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56" w:firstLineChars="205"/>
        <w:rPr>
          <w:rFonts w:ascii="方正仿宋_GBK" w:eastAsia="方正仿宋_GBK" w:hAnsiTheme="minorEastAsia"/>
          <w:sz w:val="32"/>
          <w:szCs w:val="32"/>
        </w:rPr>
      </w:pPr>
      <w:r>
        <w:rPr>
          <w:rFonts w:hint="eastAsia" w:ascii="方正仿宋_GBK" w:eastAsia="方正仿宋_GBK" w:hAnsiTheme="minorEastAsia"/>
          <w:b/>
          <w:sz w:val="32"/>
          <w:szCs w:val="32"/>
        </w:rPr>
        <w:t>流程：</w:t>
      </w:r>
      <w:r>
        <w:rPr>
          <w:rFonts w:hint="eastAsia" w:ascii="方正仿宋_GBK" w:eastAsia="方正仿宋_GBK" w:hAnsiTheme="minorEastAsia"/>
          <w:sz w:val="32"/>
          <w:szCs w:val="32"/>
        </w:rPr>
        <w:t>资产管理部门清理本单位富余资产情况→提出资产出租出借意向或方案→报分管负责人审核可行性→单位负责人审批→单位领导班子会议集体决策→权限外的上报主管部门审批→审批同意后公开招租或出借→对招租或出借结果进行公示→签订出租出借合同。</w:t>
      </w:r>
    </w:p>
    <w:p>
      <w:pPr>
        <w:pStyle w:val="13"/>
        <w:widowControl/>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56" w:firstLineChars="205"/>
        <w:rPr>
          <w:rFonts w:ascii="方正仿宋_GBK" w:eastAsia="方正仿宋_GBK" w:hAnsiTheme="minorEastAsia"/>
          <w:sz w:val="32"/>
          <w:szCs w:val="32"/>
        </w:rPr>
      </w:pPr>
      <w:r>
        <w:rPr>
          <w:rFonts w:hint="eastAsia" w:ascii="方正仿宋_GBK" w:eastAsia="方正仿宋_GBK" w:hAnsiTheme="minorEastAsia"/>
          <w:b/>
          <w:sz w:val="32"/>
          <w:szCs w:val="32"/>
        </w:rPr>
        <w:t>说明：</w:t>
      </w:r>
      <w:r>
        <w:rPr>
          <w:rFonts w:hint="eastAsia" w:ascii="方正仿宋_GBK" w:eastAsia="方正仿宋_GBK" w:hAnsiTheme="minorEastAsia"/>
          <w:sz w:val="32"/>
          <w:szCs w:val="32"/>
        </w:rPr>
        <w:t>所出租、出借的资产应是本单位闲置或低效使用的资产，在不影响教育教学工作的前提下，可按规定要求办理出租、出借手续。需上报主管部门审批的出租出借资产，单位应在上报材料中按照规定要求拟订详细的出租出借方案。招租信息应在在规定的媒体、场所进行公示，招租整个过程按照公开、公平、公正的原则进行</w:t>
      </w:r>
      <w:r>
        <w:rPr>
          <w:rFonts w:hint="eastAsia" w:ascii="方正仿宋_GBK" w:eastAsia="方正仿宋_GBK" w:cs="宋体" w:hAnsiTheme="minorEastAsia"/>
          <w:color w:val="222222"/>
          <w:kern w:val="0"/>
          <w:sz w:val="32"/>
          <w:szCs w:val="32"/>
        </w:rPr>
        <w:t>。</w:t>
      </w:r>
      <w:r>
        <w:rPr>
          <w:rFonts w:hint="eastAsia" w:ascii="方正仿宋_GBK" w:eastAsia="方正仿宋_GBK" w:hAnsiTheme="minorEastAsia"/>
          <w:sz w:val="32"/>
          <w:szCs w:val="32"/>
        </w:rPr>
        <w:t>出租出借合同要明确期限和安全责任的管理。</w:t>
      </w:r>
    </w:p>
    <w:p>
      <w:pPr>
        <w:pStyle w:val="13"/>
        <w:spacing w:line="600" w:lineRule="exact"/>
        <w:ind w:firstLine="656" w:firstLineChars="205"/>
        <w:rPr>
          <w:rFonts w:ascii="黑体" w:hAnsi="黑体" w:eastAsia="黑体"/>
          <w:sz w:val="32"/>
          <w:szCs w:val="32"/>
        </w:rPr>
      </w:pPr>
      <w:r>
        <w:rPr>
          <w:rFonts w:hint="eastAsia" w:ascii="黑体" w:hAnsi="黑体" w:eastAsia="黑体"/>
          <w:sz w:val="32"/>
          <w:szCs w:val="32"/>
        </w:rPr>
        <w:t xml:space="preserve">七、国有资产对外投资、提供担保流程和说明 </w:t>
      </w:r>
    </w:p>
    <w:p>
      <w:pPr>
        <w:pStyle w:val="13"/>
        <w:spacing w:line="600" w:lineRule="exact"/>
        <w:ind w:firstLine="656" w:firstLineChars="205"/>
        <w:rPr>
          <w:rFonts w:ascii="方正仿宋_GBK" w:hAnsi="微软雅黑" w:eastAsia="方正仿宋_GBK"/>
          <w:color w:val="2B2B2B"/>
          <w:sz w:val="32"/>
          <w:szCs w:val="32"/>
        </w:rPr>
      </w:pPr>
      <w:r>
        <w:rPr>
          <w:rFonts w:hint="eastAsia" w:ascii="方正仿宋_GBK" w:hAnsi="微软雅黑" w:eastAsia="方正仿宋_GBK"/>
          <w:b/>
          <w:color w:val="2B2B2B"/>
          <w:sz w:val="32"/>
          <w:szCs w:val="32"/>
        </w:rPr>
        <w:t>流程：</w:t>
      </w:r>
      <w:r>
        <w:rPr>
          <w:rFonts w:hint="eastAsia" w:ascii="方正仿宋_GBK" w:hAnsi="微软雅黑" w:eastAsia="方正仿宋_GBK"/>
          <w:color w:val="2B2B2B"/>
          <w:sz w:val="32"/>
          <w:szCs w:val="32"/>
        </w:rPr>
        <w:t>单位充分论证拟对外投资担保项目→集体研究决策并拟定详细方案→向主管部门提交书面申请→主管部门审核确认并批复→实施投资担保的项目。</w:t>
      </w:r>
    </w:p>
    <w:p>
      <w:pPr>
        <w:pStyle w:val="13"/>
        <w:spacing w:line="600" w:lineRule="exact"/>
        <w:ind w:firstLine="656" w:firstLineChars="205"/>
        <w:rPr>
          <w:rFonts w:ascii="方正仿宋_GBK" w:hAnsi="微软雅黑" w:eastAsia="方正仿宋_GBK"/>
          <w:color w:val="2B2B2B"/>
          <w:sz w:val="32"/>
          <w:szCs w:val="32"/>
        </w:rPr>
      </w:pPr>
      <w:r>
        <w:rPr>
          <w:rFonts w:hint="eastAsia" w:ascii="方正仿宋_GBK" w:hAnsi="微软雅黑" w:eastAsia="方正仿宋_GBK"/>
          <w:b/>
          <w:color w:val="2B2B2B"/>
          <w:sz w:val="32"/>
          <w:szCs w:val="32"/>
        </w:rPr>
        <w:t>说明：</w:t>
      </w:r>
      <w:r>
        <w:rPr>
          <w:rFonts w:hint="eastAsia" w:ascii="方正仿宋_GBK" w:hAnsi="微软雅黑" w:eastAsia="方正仿宋_GBK"/>
          <w:color w:val="2B2B2B"/>
          <w:sz w:val="32"/>
          <w:szCs w:val="32"/>
        </w:rPr>
        <w:t>义务教育阶段学校一律不得对外投资和担保。</w:t>
      </w:r>
      <w:r>
        <w:rPr>
          <w:rFonts w:hint="eastAsia" w:ascii="方正仿宋_GBK" w:hAnsi="微软雅黑" w:eastAsia="方正仿宋_GBK" w:cs="Times New Roman"/>
          <w:color w:val="2B2B2B"/>
          <w:sz w:val="32"/>
          <w:szCs w:val="32"/>
        </w:rPr>
        <w:t>学校不得使用财政拨款及其结余进行对外投资，不得从事股票、期货、基金、企业债券等投资。</w:t>
      </w:r>
      <w:r>
        <w:rPr>
          <w:rFonts w:hint="eastAsia" w:ascii="方正仿宋_GBK" w:hAnsi="微软雅黑" w:eastAsia="方正仿宋_GBK"/>
          <w:color w:val="2B2B2B"/>
          <w:sz w:val="32"/>
          <w:szCs w:val="32"/>
        </w:rPr>
        <w:t>单位书面申请应附可行性论证报告、权属证明、投资或担保资产价值的有效凭证，投资经济实体的章程、意向书或者草签的合同、拟合作方或者被担保人的营业执照复印件、双方上一年度会计报表等。</w:t>
      </w:r>
    </w:p>
    <w:p>
      <w:pPr>
        <w:pStyle w:val="13"/>
        <w:spacing w:line="600" w:lineRule="exact"/>
        <w:ind w:firstLine="656" w:firstLineChars="205"/>
        <w:rPr>
          <w:rFonts w:ascii="黑体" w:hAnsi="黑体" w:eastAsia="黑体"/>
          <w:sz w:val="32"/>
          <w:szCs w:val="32"/>
        </w:rPr>
      </w:pPr>
      <w:r>
        <w:rPr>
          <w:rFonts w:hint="eastAsia" w:ascii="黑体" w:hAnsi="黑体" w:eastAsia="黑体"/>
          <w:sz w:val="32"/>
          <w:szCs w:val="32"/>
        </w:rPr>
        <w:t xml:space="preserve">八、国有资产调拨（划转）、捐赠流程和说明 </w:t>
      </w:r>
    </w:p>
    <w:p>
      <w:pPr>
        <w:pStyle w:val="13"/>
        <w:spacing w:line="600" w:lineRule="exact"/>
        <w:ind w:firstLine="656" w:firstLineChars="205"/>
        <w:rPr>
          <w:rFonts w:ascii="方正仿宋_GBK" w:hAnsi="黑体" w:eastAsia="方正仿宋_GBK"/>
          <w:sz w:val="32"/>
          <w:szCs w:val="32"/>
        </w:rPr>
      </w:pPr>
      <w:r>
        <w:rPr>
          <w:rFonts w:hint="eastAsia" w:ascii="方正仿宋_GBK" w:hAnsi="黑体" w:eastAsia="方正仿宋_GBK"/>
          <w:b/>
          <w:sz w:val="32"/>
          <w:szCs w:val="32"/>
        </w:rPr>
        <w:t>流程：</w:t>
      </w:r>
      <w:r>
        <w:rPr>
          <w:rFonts w:hint="eastAsia" w:ascii="方正仿宋_GBK" w:hAnsi="黑体" w:eastAsia="方正仿宋_GBK"/>
          <w:sz w:val="32"/>
          <w:szCs w:val="32"/>
        </w:rPr>
        <w:t>单</w:t>
      </w:r>
      <w:r>
        <w:rPr>
          <w:rFonts w:hint="eastAsia" w:ascii="方正仿宋_GBK" w:hAnsi="微软雅黑" w:eastAsia="方正仿宋_GBK"/>
          <w:color w:val="2B2B2B"/>
          <w:sz w:val="32"/>
          <w:szCs w:val="32"/>
        </w:rPr>
        <w:t>位内部清理拟调拨（划转）、捐赠的资产→在论证其可行性的基础上提出资产</w:t>
      </w:r>
      <w:r>
        <w:rPr>
          <w:rFonts w:hint="eastAsia" w:ascii="方正仿宋_GBK" w:hAnsi="黑体" w:eastAsia="方正仿宋_GBK"/>
          <w:sz w:val="32"/>
          <w:szCs w:val="32"/>
        </w:rPr>
        <w:t>调拨（划转）、捐赠申请→报主管部门审批→下达批复后单位办理</w:t>
      </w:r>
      <w:r>
        <w:rPr>
          <w:rFonts w:hint="eastAsia" w:ascii="方正仿宋_GBK" w:hAnsi="微软雅黑" w:eastAsia="方正仿宋_GBK"/>
          <w:color w:val="2B2B2B"/>
          <w:sz w:val="32"/>
          <w:szCs w:val="32"/>
        </w:rPr>
        <w:t>调拨（划转）、捐赠交接手续。</w:t>
      </w:r>
    </w:p>
    <w:p>
      <w:pPr>
        <w:pStyle w:val="13"/>
        <w:spacing w:line="600" w:lineRule="exact"/>
        <w:ind w:firstLine="656" w:firstLineChars="205"/>
        <w:rPr>
          <w:rFonts w:ascii="方正仿宋_GBK" w:hAnsi="黑体" w:eastAsia="方正仿宋_GBK"/>
          <w:b/>
          <w:sz w:val="32"/>
          <w:szCs w:val="32"/>
        </w:rPr>
      </w:pPr>
      <w:r>
        <w:rPr>
          <w:rFonts w:hint="eastAsia" w:ascii="方正仿宋_GBK" w:hAnsi="黑体" w:eastAsia="方正仿宋_GBK"/>
          <w:b/>
          <w:sz w:val="32"/>
          <w:szCs w:val="32"/>
        </w:rPr>
        <w:t>说明：</w:t>
      </w:r>
      <w:r>
        <w:rPr>
          <w:rFonts w:hint="eastAsia" w:ascii="方正仿宋_GBK" w:hAnsi="微软雅黑" w:eastAsia="方正仿宋_GBK"/>
          <w:color w:val="2B2B2B"/>
          <w:sz w:val="32"/>
          <w:szCs w:val="32"/>
        </w:rPr>
        <w:t>单位申请书需后附拟调拨（划转）、捐赠的资产明细表，镇街学校还应有教管中心签署的审核意见。论证可行性是指拟调拨（划转）、捐赠的资产是否为本单位闲置、低效或不适用的资产，确需调出盘活利用。资产调出单位需按照规定表格样式和有关要求完整填写资料，报区教委、区财政局或区国资局审批，然后双方再</w:t>
      </w:r>
      <w:r>
        <w:rPr>
          <w:rFonts w:hint="eastAsia" w:ascii="方正仿宋_GBK" w:hAnsi="黑体" w:eastAsia="方正仿宋_GBK"/>
          <w:sz w:val="32"/>
          <w:szCs w:val="32"/>
        </w:rPr>
        <w:t>办理</w:t>
      </w:r>
      <w:r>
        <w:rPr>
          <w:rFonts w:hint="eastAsia" w:ascii="方正仿宋_GBK" w:hAnsi="微软雅黑" w:eastAsia="方正仿宋_GBK"/>
          <w:color w:val="2B2B2B"/>
          <w:sz w:val="32"/>
          <w:szCs w:val="32"/>
        </w:rPr>
        <w:t>调拨（划转）、捐赠交接手续。</w:t>
      </w:r>
      <w:r>
        <w:rPr>
          <w:rFonts w:hint="eastAsia" w:ascii="方正仿宋_GBK" w:hAnsi="黑体" w:eastAsia="方正仿宋_GBK"/>
          <w:b/>
          <w:sz w:val="32"/>
          <w:szCs w:val="32"/>
        </w:rPr>
        <w:t xml:space="preserve"> </w:t>
      </w:r>
    </w:p>
    <w:p>
      <w:pPr>
        <w:pStyle w:val="13"/>
        <w:spacing w:line="600" w:lineRule="exact"/>
        <w:ind w:firstLine="656" w:firstLineChars="205"/>
        <w:rPr>
          <w:rFonts w:ascii="黑体" w:hAnsi="黑体" w:eastAsia="黑体"/>
          <w:sz w:val="32"/>
          <w:szCs w:val="32"/>
        </w:rPr>
      </w:pPr>
      <w:r>
        <w:rPr>
          <w:rFonts w:hint="eastAsia" w:ascii="黑体" w:hAnsi="黑体" w:eastAsia="黑体"/>
          <w:sz w:val="32"/>
          <w:szCs w:val="32"/>
        </w:rPr>
        <w:t xml:space="preserve">九、国有资产出售（出让、转让）和置换流程和说明 </w:t>
      </w:r>
    </w:p>
    <w:p>
      <w:pPr>
        <w:pStyle w:val="13"/>
        <w:spacing w:line="600" w:lineRule="exact"/>
        <w:ind w:firstLine="656" w:firstLineChars="205"/>
        <w:rPr>
          <w:rFonts w:ascii="方正仿宋_GBK" w:hAnsi="微软雅黑" w:eastAsia="方正仿宋_GBK"/>
          <w:color w:val="2B2B2B"/>
          <w:sz w:val="32"/>
          <w:szCs w:val="32"/>
        </w:rPr>
      </w:pPr>
      <w:r>
        <w:rPr>
          <w:rFonts w:hint="eastAsia" w:ascii="方正仿宋_GBK" w:hAnsi="黑体" w:eastAsia="方正仿宋_GBK"/>
          <w:b/>
          <w:sz w:val="32"/>
          <w:szCs w:val="32"/>
        </w:rPr>
        <w:t>流程：</w:t>
      </w:r>
      <w:r>
        <w:rPr>
          <w:rFonts w:hint="eastAsia" w:ascii="方正仿宋_GBK" w:hAnsi="微软雅黑" w:eastAsia="方正仿宋_GBK"/>
          <w:color w:val="2B2B2B"/>
          <w:sz w:val="32"/>
          <w:szCs w:val="32"/>
        </w:rPr>
        <w:t>单位在充分论证的基础上提出国有资产出售（出让、转让）和置换的初步方案→向主管部门提出申请→审批同意后办理资产评估和核准备案手续→在规定的媒体或场所公示出售（出让、转让）和置换的资产信息→按规定进行产权交易→办理产权交割手续和账务处理。</w:t>
      </w:r>
    </w:p>
    <w:p>
      <w:pPr>
        <w:pStyle w:val="5"/>
        <w:shd w:val="clear" w:color="auto" w:fill="FFFFFF"/>
        <w:spacing w:line="600" w:lineRule="exact"/>
        <w:ind w:firstLine="656" w:firstLineChars="205"/>
        <w:jc w:val="both"/>
        <w:rPr>
          <w:rFonts w:ascii="方正仿宋_GBK" w:hAnsi="微软雅黑" w:eastAsia="方正仿宋_GBK" w:cstheme="minorBidi"/>
          <w:color w:val="2B2B2B"/>
          <w:kern w:val="2"/>
          <w:sz w:val="32"/>
          <w:szCs w:val="32"/>
        </w:rPr>
      </w:pPr>
      <w:r>
        <w:rPr>
          <w:rFonts w:hint="eastAsia" w:ascii="方正仿宋_GBK" w:hAnsi="黑体" w:eastAsia="方正仿宋_GBK"/>
          <w:b/>
          <w:sz w:val="32"/>
          <w:szCs w:val="32"/>
        </w:rPr>
        <w:t>说明：</w:t>
      </w:r>
      <w:r>
        <w:rPr>
          <w:rFonts w:hint="eastAsia" w:ascii="方正仿宋_GBK" w:hAnsi="微软雅黑" w:eastAsia="方正仿宋_GBK" w:cstheme="minorBidi"/>
          <w:color w:val="2B2B2B"/>
          <w:kern w:val="2"/>
          <w:sz w:val="32"/>
          <w:szCs w:val="32"/>
        </w:rPr>
        <w:t>单位国有资产出售（出让、转让）和置换在申请时应填报处置审批表,并提供能够证明出售（出让、转让）和置换资产价值的有效凭证。在单位权限以外的，必须按照有关规定报区教委、区财政局或区国资局审核，严格履行审批手续，未经批准不得自行处置。</w:t>
      </w:r>
    </w:p>
    <w:p>
      <w:pPr>
        <w:pStyle w:val="13"/>
        <w:spacing w:line="600" w:lineRule="exact"/>
        <w:ind w:firstLine="656" w:firstLineChars="205"/>
        <w:rPr>
          <w:rFonts w:ascii="黑体" w:hAnsi="黑体" w:eastAsia="黑体"/>
          <w:sz w:val="32"/>
          <w:szCs w:val="32"/>
        </w:rPr>
      </w:pPr>
      <w:r>
        <w:rPr>
          <w:rFonts w:hint="eastAsia" w:ascii="黑体" w:hAnsi="黑体" w:eastAsia="黑体"/>
          <w:sz w:val="32"/>
          <w:szCs w:val="32"/>
        </w:rPr>
        <w:t>十、国有资产报损、报废流程和说明</w:t>
      </w:r>
    </w:p>
    <w:p>
      <w:pPr>
        <w:spacing w:line="600" w:lineRule="exact"/>
        <w:ind w:firstLine="656" w:firstLineChars="205"/>
        <w:rPr>
          <w:rFonts w:ascii="方正仿宋_GBK" w:hAnsi="黑体" w:eastAsia="方正仿宋_GBK"/>
          <w:sz w:val="32"/>
          <w:szCs w:val="32"/>
        </w:rPr>
      </w:pPr>
      <w:r>
        <w:rPr>
          <w:rFonts w:hint="eastAsia" w:ascii="方正仿宋_GBK" w:hAnsi="黑体" w:eastAsia="方正仿宋_GBK"/>
          <w:b/>
          <w:sz w:val="32"/>
          <w:szCs w:val="32"/>
        </w:rPr>
        <w:t>流程：</w:t>
      </w:r>
      <w:r>
        <w:rPr>
          <w:rFonts w:hint="eastAsia" w:ascii="方正仿宋_GBK" w:hAnsi="黑体" w:eastAsia="方正仿宋_GBK"/>
          <w:sz w:val="32"/>
          <w:szCs w:val="32"/>
        </w:rPr>
        <w:t>资产使用部门经办人提出报废报损申请→使用资产的处室负责人审批→资产管理部门进行技术鉴定和审核→报单位负责人审核→重大项目报废报损报办公会研究决定→权限外报主管部门审批→批复下达后资产管理部门组织实施处置→资产管理员核销固定资产卡片→财务管理员在财务账上作销账和收益缴存处理。</w:t>
      </w:r>
    </w:p>
    <w:p>
      <w:pPr>
        <w:spacing w:line="600" w:lineRule="exact"/>
        <w:ind w:firstLine="656" w:firstLineChars="205"/>
        <w:rPr>
          <w:rFonts w:ascii="方正仿宋_GBK" w:hAnsi="黑体" w:eastAsia="方正仿宋_GBK"/>
          <w:b/>
          <w:sz w:val="32"/>
          <w:szCs w:val="32"/>
        </w:rPr>
      </w:pPr>
      <w:r>
        <w:rPr>
          <w:rFonts w:hint="eastAsia" w:ascii="方正仿宋_GBK" w:hAnsi="黑体" w:eastAsia="方正仿宋_GBK"/>
          <w:b/>
          <w:sz w:val="32"/>
          <w:szCs w:val="32"/>
        </w:rPr>
        <w:t>说明：</w:t>
      </w:r>
      <w:r>
        <w:rPr>
          <w:rFonts w:hint="eastAsia" w:ascii="方正仿宋_GBK" w:hAnsi="黑体" w:eastAsia="方正仿宋_GBK"/>
          <w:sz w:val="32"/>
          <w:szCs w:val="32"/>
        </w:rPr>
        <w:t>报废、报损申请单上应写明资产的名称、规格、型号、购买日期、金额、报废报损的原因等内容。使用资产的处室负责人要在了解报废、报损资产的实际现状后审批。资产管理员组织技术人员要对拟报废、报损的固定资产进行技术鉴定，确定是否达到报废标准。资产管理负责人审核报废、报损设备的评估结论，要查看依据的标准、评估的程序是否符合规定。重要设备报废、报损需办公会议集体研究决定，形成会议记录后，单位负责人签字。财务管理员复核资产管理员交来的核销固定资产单据，在财务账上进行销账处理，如有处置收益则应核实并及时缴入财政专户。</w:t>
      </w:r>
    </w:p>
    <w:p>
      <w:pPr>
        <w:spacing w:line="600" w:lineRule="exact"/>
        <w:ind w:firstLine="656" w:firstLineChars="205"/>
        <w:rPr>
          <w:rFonts w:ascii="黑体" w:hAnsi="黑体" w:eastAsia="黑体"/>
          <w:sz w:val="32"/>
          <w:szCs w:val="32"/>
        </w:rPr>
      </w:pPr>
      <w:r>
        <w:rPr>
          <w:rFonts w:hint="eastAsia" w:ascii="黑体" w:hAnsi="黑体" w:eastAsia="黑体"/>
          <w:sz w:val="32"/>
          <w:szCs w:val="32"/>
        </w:rPr>
        <w:t xml:space="preserve">十一、国有资产产权登记、变更、注销流程和说明  </w:t>
      </w:r>
    </w:p>
    <w:p>
      <w:pPr>
        <w:shd w:val="clear" w:color="auto" w:fill="FFFFFF"/>
        <w:spacing w:line="600" w:lineRule="exact"/>
        <w:ind w:firstLine="656" w:firstLineChars="205"/>
        <w:rPr>
          <w:rFonts w:ascii="方正仿宋_GBK" w:hAnsi="Arial" w:eastAsia="方正仿宋_GBK"/>
          <w:sz w:val="32"/>
          <w:szCs w:val="32"/>
        </w:rPr>
      </w:pPr>
      <w:r>
        <w:rPr>
          <w:rFonts w:hint="eastAsia" w:ascii="方正仿宋_GBK" w:hAnsi="Arial" w:eastAsia="方正仿宋_GBK"/>
          <w:b/>
          <w:sz w:val="32"/>
          <w:szCs w:val="32"/>
        </w:rPr>
        <w:t>流程：资产管理部门</w:t>
      </w:r>
      <w:r>
        <w:rPr>
          <w:rFonts w:hint="eastAsia" w:ascii="方正仿宋_GBK" w:hAnsi="Arial" w:eastAsia="方正仿宋_GBK"/>
          <w:sz w:val="32"/>
          <w:szCs w:val="32"/>
        </w:rPr>
        <w:t>按照规定填写产权登记表、提交有关文件、证件及资料→区教委审核并出具意见→报区财政局、区国资局审批→核发、换发或收回《事业单位产权登记证》→区财政局、区国资局签署产权登记审批意见。</w:t>
      </w:r>
    </w:p>
    <w:p>
      <w:pPr>
        <w:shd w:val="clear" w:color="auto" w:fill="FFFFFF"/>
        <w:spacing w:line="600" w:lineRule="exact"/>
        <w:ind w:firstLine="656" w:firstLineChars="205"/>
        <w:rPr>
          <w:rFonts w:ascii="方正仿宋_GBK" w:hAnsi="Arial" w:eastAsia="方正仿宋_GBK"/>
          <w:sz w:val="32"/>
          <w:szCs w:val="32"/>
        </w:rPr>
      </w:pPr>
      <w:r>
        <w:rPr>
          <w:rFonts w:hint="eastAsia" w:ascii="方正仿宋_GBK" w:hAnsi="黑体" w:eastAsia="方正仿宋_GBK"/>
          <w:b/>
          <w:sz w:val="32"/>
          <w:szCs w:val="32"/>
        </w:rPr>
        <w:t>说明：</w:t>
      </w:r>
      <w:r>
        <w:rPr>
          <w:rFonts w:hint="eastAsia" w:ascii="方正仿宋_GBK" w:hAnsi="Arial" w:eastAsia="方正仿宋_GBK"/>
          <w:sz w:val="32"/>
          <w:szCs w:val="32"/>
        </w:rPr>
        <w:t>事业单位产权登记包括占有产权登记、变动产权登记和注销产权登记。占有产权登记适用于新设立和已经取得法人资格但尚未办理产权登记的事业单位，新设立单位提供资料包括产权登记的申请、审批机关批准设立的文件、国有资产总额及来源证明，涉及土地、房屋、车辆等重要资产的，应当提供相关的产权证明材料；已经取得法人资格但尚未办理产权登记的事业单位，在申请办理占有产权登记时应当填报《事业单位国有资产产权登记表(占有登记)》，还应提供批复的上一年度财务报告、《事业单位法人证书》复印件、《中华人民共和国组织机构代码证》复印件等。</w:t>
      </w:r>
    </w:p>
    <w:p>
      <w:pPr>
        <w:pStyle w:val="13"/>
        <w:spacing w:line="600" w:lineRule="exact"/>
        <w:ind w:firstLine="656" w:firstLineChars="205"/>
        <w:rPr>
          <w:rFonts w:ascii="黑体" w:hAnsi="黑体" w:eastAsia="黑体"/>
          <w:sz w:val="32"/>
          <w:szCs w:val="32"/>
        </w:rPr>
      </w:pPr>
      <w:r>
        <w:rPr>
          <w:rFonts w:hint="eastAsia" w:ascii="黑体" w:hAnsi="黑体" w:eastAsia="黑体"/>
          <w:sz w:val="32"/>
          <w:szCs w:val="32"/>
        </w:rPr>
        <w:t xml:space="preserve">十二、国有资产产权纠纷调处流程和说明  </w:t>
      </w:r>
    </w:p>
    <w:p>
      <w:pPr>
        <w:spacing w:line="600" w:lineRule="exact"/>
        <w:ind w:firstLine="656" w:firstLineChars="205"/>
        <w:rPr>
          <w:rFonts w:ascii="方正仿宋_GBK" w:hAnsi="Arial" w:eastAsia="方正仿宋_GBK"/>
          <w:sz w:val="32"/>
          <w:szCs w:val="32"/>
        </w:rPr>
      </w:pPr>
      <w:r>
        <w:rPr>
          <w:rFonts w:hint="eastAsia" w:ascii="方正仿宋_GBK" w:hAnsi="黑体" w:eastAsia="方正仿宋_GBK"/>
          <w:b/>
          <w:sz w:val="32"/>
          <w:szCs w:val="32"/>
        </w:rPr>
        <w:t>流程：</w:t>
      </w:r>
      <w:r>
        <w:rPr>
          <w:rFonts w:hint="eastAsia" w:ascii="方正仿宋_GBK" w:hAnsi="Arial" w:eastAsia="方正仿宋_GBK"/>
          <w:sz w:val="32"/>
          <w:szCs w:val="32"/>
        </w:rPr>
        <w:t>产权纠纷单位协商解决→协商不成则提供相关证明依据报区教委调解→仍然无法确定则报区财政局或区国资局申请调解和裁定→必要时按司法程序处理→办理经认定的国有资产产权登记等有关手续。</w:t>
      </w:r>
    </w:p>
    <w:p>
      <w:pPr>
        <w:spacing w:line="600" w:lineRule="exact"/>
        <w:ind w:firstLine="656" w:firstLineChars="205"/>
        <w:rPr>
          <w:rFonts w:ascii="方正仿宋_GBK" w:hAnsi="Arial" w:eastAsia="方正仿宋_GBK"/>
          <w:sz w:val="32"/>
          <w:szCs w:val="32"/>
        </w:rPr>
      </w:pPr>
      <w:r>
        <w:rPr>
          <w:rFonts w:hint="eastAsia" w:ascii="方正仿宋_GBK" w:hAnsi="Arial" w:eastAsia="方正仿宋_GBK"/>
          <w:b/>
          <w:sz w:val="32"/>
          <w:szCs w:val="32"/>
        </w:rPr>
        <w:t>说明：</w:t>
      </w:r>
      <w:r>
        <w:rPr>
          <w:rFonts w:hint="eastAsia" w:ascii="方正仿宋_GBK" w:hAnsi="Arial" w:eastAsia="方正仿宋_GBK"/>
          <w:sz w:val="32"/>
          <w:szCs w:val="32"/>
        </w:rPr>
        <w:t>产权纠纷是指因财产所有权、经营权、使用权等产权归属不清而发生的争议的行为，应在维护国有资产权益的前提下，由涉及单位对争议资产进行清理并提供归属依据。</w:t>
      </w:r>
    </w:p>
    <w:p>
      <w:pPr>
        <w:pStyle w:val="13"/>
        <w:spacing w:line="600" w:lineRule="exact"/>
        <w:ind w:firstLine="656" w:firstLineChars="205"/>
        <w:rPr>
          <w:rFonts w:ascii="黑体" w:hAnsi="黑体" w:eastAsia="黑体"/>
          <w:sz w:val="32"/>
          <w:szCs w:val="32"/>
        </w:rPr>
      </w:pPr>
      <w:r>
        <w:rPr>
          <w:rFonts w:hint="eastAsia" w:ascii="黑体" w:hAnsi="黑体" w:eastAsia="黑体"/>
          <w:sz w:val="32"/>
          <w:szCs w:val="32"/>
        </w:rPr>
        <w:t xml:space="preserve">十三、资产评估流程和说明 </w:t>
      </w:r>
    </w:p>
    <w:p>
      <w:pPr>
        <w:pStyle w:val="5"/>
        <w:shd w:val="clear" w:color="auto" w:fill="FFFFFF"/>
        <w:spacing w:line="600" w:lineRule="exact"/>
        <w:ind w:firstLine="656" w:firstLineChars="205"/>
        <w:jc w:val="both"/>
        <w:rPr>
          <w:rFonts w:ascii="方正仿宋_GBK" w:hAnsi="Arial" w:eastAsia="方正仿宋_GBK" w:cstheme="minorBidi"/>
          <w:kern w:val="2"/>
          <w:sz w:val="32"/>
          <w:szCs w:val="32"/>
        </w:rPr>
      </w:pPr>
      <w:r>
        <w:rPr>
          <w:rFonts w:hint="eastAsia" w:ascii="方正仿宋_GBK" w:hAnsi="Arial" w:eastAsia="方正仿宋_GBK" w:cstheme="minorBidi"/>
          <w:b/>
          <w:kern w:val="2"/>
          <w:sz w:val="32"/>
          <w:szCs w:val="32"/>
        </w:rPr>
        <w:t>流程：</w:t>
      </w:r>
      <w:r>
        <w:rPr>
          <w:rFonts w:hint="eastAsia" w:ascii="方正仿宋_GBK" w:hAnsi="Arial" w:eastAsia="方正仿宋_GBK" w:cstheme="minorBidi"/>
          <w:kern w:val="2"/>
          <w:sz w:val="32"/>
          <w:szCs w:val="32"/>
        </w:rPr>
        <w:t>单位向主管部门提交资产评估立项申请书→主管部门下达准予资产评估立项通知书→委托具备相应资质的资产评估机构评估资产→资产评估机构对被评估资产的价值进行评定和估算并出具资产评估结果报告书→评估结果报主管部门审核→主管部门审查同意后确认资产评估结果并下达确认通知书→单位根据会计制度进行账务处理。</w:t>
      </w:r>
    </w:p>
    <w:p>
      <w:pPr>
        <w:pStyle w:val="5"/>
        <w:shd w:val="clear" w:color="auto" w:fill="FFFFFF"/>
        <w:spacing w:line="600" w:lineRule="exact"/>
        <w:ind w:firstLine="656" w:firstLineChars="205"/>
        <w:jc w:val="both"/>
        <w:rPr>
          <w:rFonts w:ascii="方正仿宋_GBK" w:hAnsi="Arial" w:eastAsia="方正仿宋_GBK" w:cstheme="minorBidi"/>
          <w:kern w:val="2"/>
          <w:sz w:val="32"/>
          <w:szCs w:val="32"/>
        </w:rPr>
      </w:pPr>
      <w:r>
        <w:rPr>
          <w:rFonts w:hint="eastAsia" w:ascii="方正仿宋_GBK" w:hAnsi="Arial" w:eastAsia="方正仿宋_GBK" w:cstheme="minorBidi"/>
          <w:b/>
          <w:kern w:val="2"/>
          <w:sz w:val="32"/>
          <w:szCs w:val="32"/>
        </w:rPr>
        <w:t>说明：</w:t>
      </w:r>
      <w:r>
        <w:rPr>
          <w:rFonts w:hint="eastAsia" w:ascii="方正仿宋_GBK" w:hAnsi="Arial" w:eastAsia="方正仿宋_GBK" w:cstheme="minorBidi"/>
          <w:kern w:val="2"/>
          <w:sz w:val="32"/>
          <w:szCs w:val="32"/>
        </w:rPr>
        <w:t>资产评估立项申请书应说明拟评估资产的详细情况和开展评估的必要性，并附财产明细和有关会计报表等资料。单位选择的资产评估机构须具有国家或部门规定的资质要求，主管部门建立了资产评估机构名录库的，单位应在其中选择确定。</w:t>
      </w:r>
    </w:p>
    <w:p>
      <w:pPr>
        <w:pStyle w:val="13"/>
        <w:spacing w:line="600" w:lineRule="exact"/>
        <w:ind w:firstLine="656" w:firstLineChars="205"/>
        <w:rPr>
          <w:rFonts w:ascii="黑体" w:hAnsi="黑体" w:eastAsia="黑体"/>
          <w:sz w:val="32"/>
          <w:szCs w:val="32"/>
        </w:rPr>
      </w:pPr>
      <w:r>
        <w:rPr>
          <w:rFonts w:hint="eastAsia" w:ascii="黑体" w:hAnsi="黑体" w:eastAsia="黑体"/>
          <w:sz w:val="32"/>
          <w:szCs w:val="32"/>
        </w:rPr>
        <w:t xml:space="preserve">十四、国有资产清查核实流程和说明  </w:t>
      </w:r>
    </w:p>
    <w:p>
      <w:pPr>
        <w:widowControl/>
        <w:spacing w:line="600" w:lineRule="exact"/>
        <w:ind w:firstLine="656" w:firstLineChars="205"/>
        <w:rPr>
          <w:rFonts w:ascii="方正仿宋_GBK" w:hAnsi="Arial" w:eastAsia="方正仿宋_GBK" w:cs="Arial"/>
          <w:kern w:val="0"/>
          <w:sz w:val="32"/>
          <w:szCs w:val="32"/>
        </w:rPr>
      </w:pPr>
      <w:r>
        <w:rPr>
          <w:rFonts w:hint="eastAsia" w:ascii="方正仿宋_GBK" w:hAnsi="Arial" w:eastAsia="方正仿宋_GBK" w:cs="Arial"/>
          <w:b/>
          <w:kern w:val="0"/>
          <w:sz w:val="32"/>
          <w:szCs w:val="32"/>
        </w:rPr>
        <w:t>流程：</w:t>
      </w:r>
      <w:r>
        <w:rPr>
          <w:rFonts w:hint="eastAsia" w:ascii="方正仿宋_GBK" w:hAnsi="Arial" w:eastAsia="方正仿宋_GBK" w:cs="Arial"/>
          <w:sz w:val="32"/>
          <w:szCs w:val="32"/>
        </w:rPr>
        <w:t>资产管理部门制订清查核实工作方案→清查前的准备→组织</w:t>
      </w:r>
      <w:r>
        <w:rPr>
          <w:rFonts w:hint="eastAsia" w:ascii="方正仿宋_GBK" w:hAnsi="Arial" w:eastAsia="方正仿宋_GBK"/>
          <w:sz w:val="32"/>
          <w:szCs w:val="32"/>
        </w:rPr>
        <w:t>资产清查盘点→填报资产清查核实报表→撰写资产清查核实报告报单位负责人审核→报主管部门审批→主管部门</w:t>
      </w:r>
      <w:r>
        <w:rPr>
          <w:rFonts w:hint="eastAsia" w:ascii="方正仿宋_GBK" w:hAnsi="Arial" w:eastAsia="方正仿宋_GBK" w:cs="Arial"/>
          <w:kern w:val="0"/>
          <w:sz w:val="32"/>
          <w:szCs w:val="32"/>
        </w:rPr>
        <w:t>出具资产核实批复文件</w:t>
      </w:r>
      <w:r>
        <w:rPr>
          <w:rFonts w:hint="eastAsia" w:ascii="方正仿宋_GBK" w:hAnsi="Arial" w:eastAsia="方正仿宋_GBK" w:cs="Arial"/>
          <w:sz w:val="32"/>
          <w:szCs w:val="32"/>
        </w:rPr>
        <w:t>→单位调整</w:t>
      </w:r>
      <w:r>
        <w:rPr>
          <w:rFonts w:hint="eastAsia" w:ascii="方正仿宋_GBK" w:hAnsi="Arial" w:eastAsia="方正仿宋_GBK" w:cs="Arial"/>
          <w:kern w:val="0"/>
          <w:sz w:val="32"/>
          <w:szCs w:val="32"/>
        </w:rPr>
        <w:t>账务处理。</w:t>
      </w:r>
    </w:p>
    <w:p>
      <w:pPr>
        <w:widowControl/>
        <w:spacing w:line="600" w:lineRule="exact"/>
        <w:ind w:firstLine="656" w:firstLineChars="205"/>
        <w:rPr>
          <w:rFonts w:ascii="方正仿宋_GBK" w:hAnsi="Arial" w:eastAsia="方正仿宋_GBK" w:cs="Arial"/>
          <w:kern w:val="0"/>
          <w:sz w:val="32"/>
          <w:szCs w:val="32"/>
        </w:rPr>
      </w:pPr>
      <w:r>
        <w:rPr>
          <w:rFonts w:hint="eastAsia" w:ascii="方正仿宋_GBK" w:hAnsi="Arial" w:eastAsia="方正仿宋_GBK" w:cs="Arial"/>
          <w:b/>
          <w:kern w:val="0"/>
          <w:sz w:val="32"/>
          <w:szCs w:val="32"/>
        </w:rPr>
        <w:t>说明：</w:t>
      </w:r>
      <w:r>
        <w:rPr>
          <w:rFonts w:hint="eastAsia" w:ascii="方正仿宋_GBK" w:hAnsi="Arial" w:eastAsia="方正仿宋_GBK" w:cs="Arial"/>
          <w:sz w:val="32"/>
          <w:szCs w:val="32"/>
        </w:rPr>
        <w:t>资产清查核实包括主管部门统一清查核实和单位自主清查核实两类，单位自主清查核实不需报主管部门审批。资产管理部门</w:t>
      </w:r>
      <w:r>
        <w:rPr>
          <w:rFonts w:hint="eastAsia" w:ascii="方正仿宋_GBK" w:hAnsi="Arial" w:eastAsia="方正仿宋_GBK" w:cs="Arial"/>
          <w:kern w:val="0"/>
          <w:sz w:val="32"/>
          <w:szCs w:val="32"/>
        </w:rPr>
        <w:t>在资产清查核实前应做好资产明细账表、卡片和有关资料的准备，明确清查范围和基准日等内容。</w:t>
      </w:r>
    </w:p>
    <w:p>
      <w:pPr>
        <w:spacing w:line="600" w:lineRule="exact"/>
        <w:ind w:firstLine="656" w:firstLineChars="205"/>
        <w:rPr>
          <w:rFonts w:ascii="黑体" w:hAnsi="黑体" w:eastAsia="黑体"/>
          <w:sz w:val="32"/>
          <w:szCs w:val="32"/>
        </w:rPr>
      </w:pPr>
      <w:r>
        <w:rPr>
          <w:rFonts w:hint="eastAsia" w:ascii="黑体" w:hAnsi="黑体" w:eastAsia="黑体"/>
          <w:sz w:val="32"/>
          <w:szCs w:val="32"/>
        </w:rPr>
        <w:t xml:space="preserve">十五、国有资产年度报告编制及审批流程和说明  </w:t>
      </w:r>
    </w:p>
    <w:p>
      <w:pPr>
        <w:widowControl/>
        <w:spacing w:line="600" w:lineRule="exact"/>
        <w:ind w:firstLine="656" w:firstLineChars="205"/>
        <w:rPr>
          <w:rFonts w:ascii="方正仿宋_GBK" w:hAnsi="Arial" w:eastAsia="方正仿宋_GBK" w:cs="Arial"/>
          <w:sz w:val="32"/>
          <w:szCs w:val="32"/>
        </w:rPr>
      </w:pPr>
      <w:r>
        <w:rPr>
          <w:rFonts w:hint="eastAsia" w:ascii="方正仿宋_GBK" w:hAnsi="Arial" w:eastAsia="方正仿宋_GBK" w:cs="Arial"/>
          <w:b/>
          <w:kern w:val="0"/>
          <w:sz w:val="32"/>
          <w:szCs w:val="32"/>
        </w:rPr>
        <w:t>流程：</w:t>
      </w:r>
      <w:r>
        <w:rPr>
          <w:rFonts w:hint="eastAsia" w:ascii="方正仿宋_GBK" w:hAnsi="Arial" w:eastAsia="方正仿宋_GBK" w:cs="Arial"/>
          <w:sz w:val="32"/>
          <w:szCs w:val="32"/>
        </w:rPr>
        <w:t>资产管理部门做好资产盘点前的准备工作→开展资产全面盘点→编制国有资产报表→编写填报说明和分析报告→</w:t>
      </w:r>
      <w:r>
        <w:rPr>
          <w:rFonts w:hint="eastAsia" w:ascii="方正仿宋_GBK" w:hAnsi="Arial" w:eastAsia="方正仿宋_GBK"/>
          <w:sz w:val="32"/>
          <w:szCs w:val="32"/>
        </w:rPr>
        <w:t>报单位负责人审核→</w:t>
      </w:r>
      <w:r>
        <w:rPr>
          <w:rFonts w:hint="eastAsia" w:ascii="方正仿宋_GBK" w:hAnsi="Arial" w:eastAsia="方正仿宋_GBK" w:cs="Arial"/>
          <w:sz w:val="32"/>
          <w:szCs w:val="32"/>
        </w:rPr>
        <w:t>报主管部门核实并审批。</w:t>
      </w:r>
    </w:p>
    <w:p>
      <w:pPr>
        <w:widowControl/>
        <w:spacing w:line="600" w:lineRule="exact"/>
        <w:ind w:firstLine="656" w:firstLineChars="205"/>
        <w:rPr>
          <w:rFonts w:ascii="方正仿宋_GBK" w:hAnsi="宋体" w:eastAsia="方正仿宋_GBK"/>
          <w:sz w:val="32"/>
          <w:szCs w:val="32"/>
        </w:rPr>
      </w:pPr>
      <w:r>
        <w:rPr>
          <w:rFonts w:hint="eastAsia" w:ascii="方正仿宋_GBK" w:hAnsi="Arial" w:eastAsia="方正仿宋_GBK" w:cs="Arial"/>
          <w:b/>
          <w:kern w:val="0"/>
          <w:sz w:val="32"/>
          <w:szCs w:val="32"/>
        </w:rPr>
        <w:t>说明：</w:t>
      </w:r>
      <w:r>
        <w:rPr>
          <w:rFonts w:hint="eastAsia" w:ascii="方正仿宋_GBK" w:hAnsi="Arial" w:eastAsia="方正仿宋_GBK" w:cs="Arial"/>
          <w:sz w:val="32"/>
          <w:szCs w:val="32"/>
        </w:rPr>
        <w:t>各单位</w:t>
      </w:r>
      <w:r>
        <w:rPr>
          <w:rFonts w:hint="eastAsia" w:ascii="方正仿宋_GBK" w:hAnsi="Arial" w:eastAsia="方正仿宋_GBK" w:cs="Arial"/>
          <w:kern w:val="0"/>
          <w:sz w:val="32"/>
          <w:szCs w:val="32"/>
        </w:rPr>
        <w:t>在做好财务管理、会计核算的基础上，全面盘点资产情况。</w:t>
      </w:r>
      <w:r>
        <w:rPr>
          <w:rFonts w:hint="eastAsia" w:ascii="方正仿宋_GBK" w:hAnsi="Arial" w:eastAsia="方正仿宋_GBK" w:cs="Arial"/>
          <w:sz w:val="32"/>
          <w:szCs w:val="32"/>
        </w:rPr>
        <w:t>在每年年终前一定要核对并调整好财务账与资产系统账资产数据信息，保持财务账、部门决算与资产系统账有关资产数据信息的一致性，真实、准确编制报表，</w:t>
      </w:r>
      <w:r>
        <w:rPr>
          <w:rFonts w:hint="eastAsia" w:ascii="方正仿宋_GBK" w:hAnsi="Arial" w:eastAsia="方正仿宋_GBK" w:cs="Arial"/>
          <w:kern w:val="0"/>
          <w:sz w:val="32"/>
          <w:szCs w:val="32"/>
        </w:rPr>
        <w:t>认真编制行政事业单位国有资产报告，如实反映本单位资产占有、使用、变动等情况。</w:t>
      </w:r>
    </w:p>
    <w:sectPr>
      <w:pgSz w:w="11906" w:h="16838"/>
      <w:pgMar w:top="1814" w:right="1701" w:bottom="1814" w:left="1701"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51528"/>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17 -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4251526"/>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16 -</w:t>
        </w:r>
        <w:r>
          <w:rPr>
            <w:rFonts w:asciiTheme="minorEastAsia" w:hAnsiTheme="minorEastAsia"/>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51530"/>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B94771"/>
    <w:multiLevelType w:val="multilevel"/>
    <w:tmpl w:val="68B94771"/>
    <w:lvl w:ilvl="0" w:tentative="0">
      <w:start w:val="1"/>
      <w:numFmt w:val="japaneseCounting"/>
      <w:lvlText w:val="%1、"/>
      <w:lvlJc w:val="left"/>
      <w:pPr>
        <w:ind w:left="1590" w:hanging="450"/>
      </w:pPr>
      <w:rPr>
        <w:rFonts w:hint="default"/>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6FA0"/>
    <w:rsid w:val="00001A35"/>
    <w:rsid w:val="00002318"/>
    <w:rsid w:val="00002EB6"/>
    <w:rsid w:val="00003892"/>
    <w:rsid w:val="00003C0D"/>
    <w:rsid w:val="00003FFF"/>
    <w:rsid w:val="000076D0"/>
    <w:rsid w:val="000078A8"/>
    <w:rsid w:val="000117A2"/>
    <w:rsid w:val="00012587"/>
    <w:rsid w:val="00012AEC"/>
    <w:rsid w:val="00013AC5"/>
    <w:rsid w:val="00014F09"/>
    <w:rsid w:val="0002101F"/>
    <w:rsid w:val="0002338D"/>
    <w:rsid w:val="00024E40"/>
    <w:rsid w:val="00024E8B"/>
    <w:rsid w:val="00025061"/>
    <w:rsid w:val="00026787"/>
    <w:rsid w:val="00026B78"/>
    <w:rsid w:val="0002703D"/>
    <w:rsid w:val="00032B62"/>
    <w:rsid w:val="00036E42"/>
    <w:rsid w:val="00041E6E"/>
    <w:rsid w:val="00042261"/>
    <w:rsid w:val="00043246"/>
    <w:rsid w:val="0004324E"/>
    <w:rsid w:val="00043257"/>
    <w:rsid w:val="00043B6B"/>
    <w:rsid w:val="00045BCE"/>
    <w:rsid w:val="00045EF2"/>
    <w:rsid w:val="00045F29"/>
    <w:rsid w:val="000471FE"/>
    <w:rsid w:val="00050412"/>
    <w:rsid w:val="00051A1F"/>
    <w:rsid w:val="00051E3F"/>
    <w:rsid w:val="00052D54"/>
    <w:rsid w:val="0005375A"/>
    <w:rsid w:val="00053B15"/>
    <w:rsid w:val="00056E79"/>
    <w:rsid w:val="0006000C"/>
    <w:rsid w:val="0006190B"/>
    <w:rsid w:val="00062702"/>
    <w:rsid w:val="00062762"/>
    <w:rsid w:val="00062C51"/>
    <w:rsid w:val="0006610E"/>
    <w:rsid w:val="00066FA0"/>
    <w:rsid w:val="00067EC5"/>
    <w:rsid w:val="00071DF1"/>
    <w:rsid w:val="00072289"/>
    <w:rsid w:val="00072979"/>
    <w:rsid w:val="00075157"/>
    <w:rsid w:val="00080788"/>
    <w:rsid w:val="00081C7D"/>
    <w:rsid w:val="00084869"/>
    <w:rsid w:val="000852F6"/>
    <w:rsid w:val="00093BE3"/>
    <w:rsid w:val="00095CB3"/>
    <w:rsid w:val="00097A4B"/>
    <w:rsid w:val="00097E75"/>
    <w:rsid w:val="000A2D32"/>
    <w:rsid w:val="000A2F6C"/>
    <w:rsid w:val="000A4862"/>
    <w:rsid w:val="000A4AE3"/>
    <w:rsid w:val="000A4FB8"/>
    <w:rsid w:val="000A6CF6"/>
    <w:rsid w:val="000B1AB0"/>
    <w:rsid w:val="000B1F96"/>
    <w:rsid w:val="000B2648"/>
    <w:rsid w:val="000B43F8"/>
    <w:rsid w:val="000B52BF"/>
    <w:rsid w:val="000C1E4D"/>
    <w:rsid w:val="000C2EC1"/>
    <w:rsid w:val="000C5996"/>
    <w:rsid w:val="000C6314"/>
    <w:rsid w:val="000D1F4B"/>
    <w:rsid w:val="000D4A0C"/>
    <w:rsid w:val="000D6016"/>
    <w:rsid w:val="000D694C"/>
    <w:rsid w:val="000D77C8"/>
    <w:rsid w:val="000E0B0C"/>
    <w:rsid w:val="000E2ECE"/>
    <w:rsid w:val="000E49EC"/>
    <w:rsid w:val="000E6E34"/>
    <w:rsid w:val="000E7F59"/>
    <w:rsid w:val="000F18F0"/>
    <w:rsid w:val="000F340D"/>
    <w:rsid w:val="000F3649"/>
    <w:rsid w:val="00100301"/>
    <w:rsid w:val="001005E7"/>
    <w:rsid w:val="00103700"/>
    <w:rsid w:val="001041E9"/>
    <w:rsid w:val="00106DBB"/>
    <w:rsid w:val="00110B91"/>
    <w:rsid w:val="00113865"/>
    <w:rsid w:val="00115BE7"/>
    <w:rsid w:val="00116878"/>
    <w:rsid w:val="00120289"/>
    <w:rsid w:val="001262FC"/>
    <w:rsid w:val="00130550"/>
    <w:rsid w:val="00131F9A"/>
    <w:rsid w:val="001321D4"/>
    <w:rsid w:val="00133524"/>
    <w:rsid w:val="001352A3"/>
    <w:rsid w:val="00140E5C"/>
    <w:rsid w:val="001412F6"/>
    <w:rsid w:val="0014486F"/>
    <w:rsid w:val="00146C6F"/>
    <w:rsid w:val="00146E95"/>
    <w:rsid w:val="00147002"/>
    <w:rsid w:val="0015000D"/>
    <w:rsid w:val="001501B4"/>
    <w:rsid w:val="001519C6"/>
    <w:rsid w:val="0015256F"/>
    <w:rsid w:val="001541AE"/>
    <w:rsid w:val="00154D2F"/>
    <w:rsid w:val="0015522C"/>
    <w:rsid w:val="00156F2D"/>
    <w:rsid w:val="0015709C"/>
    <w:rsid w:val="00157A69"/>
    <w:rsid w:val="00162456"/>
    <w:rsid w:val="00162BC0"/>
    <w:rsid w:val="001630BA"/>
    <w:rsid w:val="00163C77"/>
    <w:rsid w:val="0016674D"/>
    <w:rsid w:val="0017019E"/>
    <w:rsid w:val="00171837"/>
    <w:rsid w:val="00172ED3"/>
    <w:rsid w:val="001733C0"/>
    <w:rsid w:val="00173A01"/>
    <w:rsid w:val="00174B49"/>
    <w:rsid w:val="00176DA1"/>
    <w:rsid w:val="00180C67"/>
    <w:rsid w:val="00184662"/>
    <w:rsid w:val="001846AD"/>
    <w:rsid w:val="00184932"/>
    <w:rsid w:val="00184CF0"/>
    <w:rsid w:val="00184E62"/>
    <w:rsid w:val="00186A7E"/>
    <w:rsid w:val="00187616"/>
    <w:rsid w:val="001908CD"/>
    <w:rsid w:val="00192403"/>
    <w:rsid w:val="0019476C"/>
    <w:rsid w:val="00194858"/>
    <w:rsid w:val="0019777D"/>
    <w:rsid w:val="001A11DA"/>
    <w:rsid w:val="001A31E3"/>
    <w:rsid w:val="001A5243"/>
    <w:rsid w:val="001A701F"/>
    <w:rsid w:val="001A76EB"/>
    <w:rsid w:val="001B5382"/>
    <w:rsid w:val="001B5873"/>
    <w:rsid w:val="001B7407"/>
    <w:rsid w:val="001C224E"/>
    <w:rsid w:val="001C31C3"/>
    <w:rsid w:val="001C3813"/>
    <w:rsid w:val="001D0701"/>
    <w:rsid w:val="001D0F45"/>
    <w:rsid w:val="001D6676"/>
    <w:rsid w:val="001D7493"/>
    <w:rsid w:val="001E270D"/>
    <w:rsid w:val="001E3EDE"/>
    <w:rsid w:val="001E4D9C"/>
    <w:rsid w:val="001E50ED"/>
    <w:rsid w:val="001E635B"/>
    <w:rsid w:val="001E7348"/>
    <w:rsid w:val="001E7514"/>
    <w:rsid w:val="001E7857"/>
    <w:rsid w:val="001F391A"/>
    <w:rsid w:val="001F3BDB"/>
    <w:rsid w:val="001F4094"/>
    <w:rsid w:val="001F5E56"/>
    <w:rsid w:val="001F6FD6"/>
    <w:rsid w:val="001F7C98"/>
    <w:rsid w:val="00200088"/>
    <w:rsid w:val="00202235"/>
    <w:rsid w:val="00204A6E"/>
    <w:rsid w:val="00206AA7"/>
    <w:rsid w:val="00211308"/>
    <w:rsid w:val="00212D3D"/>
    <w:rsid w:val="00213C72"/>
    <w:rsid w:val="0021439E"/>
    <w:rsid w:val="00220939"/>
    <w:rsid w:val="00220E12"/>
    <w:rsid w:val="00222D0A"/>
    <w:rsid w:val="00224137"/>
    <w:rsid w:val="0023104B"/>
    <w:rsid w:val="00231097"/>
    <w:rsid w:val="002324A9"/>
    <w:rsid w:val="0023261E"/>
    <w:rsid w:val="00233747"/>
    <w:rsid w:val="00236B71"/>
    <w:rsid w:val="002375EE"/>
    <w:rsid w:val="00237BF7"/>
    <w:rsid w:val="0024503A"/>
    <w:rsid w:val="00245281"/>
    <w:rsid w:val="00245D44"/>
    <w:rsid w:val="002461B0"/>
    <w:rsid w:val="0024692B"/>
    <w:rsid w:val="00254F18"/>
    <w:rsid w:val="00255408"/>
    <w:rsid w:val="0026022E"/>
    <w:rsid w:val="002622A7"/>
    <w:rsid w:val="00264720"/>
    <w:rsid w:val="00265CF5"/>
    <w:rsid w:val="0026627D"/>
    <w:rsid w:val="00274C75"/>
    <w:rsid w:val="00274DA8"/>
    <w:rsid w:val="002762C7"/>
    <w:rsid w:val="00280A27"/>
    <w:rsid w:val="0028205C"/>
    <w:rsid w:val="00284101"/>
    <w:rsid w:val="0028414C"/>
    <w:rsid w:val="00285335"/>
    <w:rsid w:val="00287ACF"/>
    <w:rsid w:val="00290513"/>
    <w:rsid w:val="00290E0B"/>
    <w:rsid w:val="002913B0"/>
    <w:rsid w:val="00291F84"/>
    <w:rsid w:val="00294907"/>
    <w:rsid w:val="00297DF6"/>
    <w:rsid w:val="002A0BDF"/>
    <w:rsid w:val="002A149B"/>
    <w:rsid w:val="002A1CA6"/>
    <w:rsid w:val="002A554D"/>
    <w:rsid w:val="002A704C"/>
    <w:rsid w:val="002B2E52"/>
    <w:rsid w:val="002B5586"/>
    <w:rsid w:val="002B55E8"/>
    <w:rsid w:val="002B779C"/>
    <w:rsid w:val="002C0662"/>
    <w:rsid w:val="002C21A5"/>
    <w:rsid w:val="002C281D"/>
    <w:rsid w:val="002C2A06"/>
    <w:rsid w:val="002C489B"/>
    <w:rsid w:val="002C4A23"/>
    <w:rsid w:val="002D1CBA"/>
    <w:rsid w:val="002D3C33"/>
    <w:rsid w:val="002D734D"/>
    <w:rsid w:val="002D7391"/>
    <w:rsid w:val="002E0E6C"/>
    <w:rsid w:val="002E4E5D"/>
    <w:rsid w:val="002E4F68"/>
    <w:rsid w:val="002E5A4B"/>
    <w:rsid w:val="002E6A14"/>
    <w:rsid w:val="002F11E9"/>
    <w:rsid w:val="002F6AC0"/>
    <w:rsid w:val="002F7729"/>
    <w:rsid w:val="00302F8D"/>
    <w:rsid w:val="00303180"/>
    <w:rsid w:val="0030551C"/>
    <w:rsid w:val="00305D0B"/>
    <w:rsid w:val="0030672A"/>
    <w:rsid w:val="0030680A"/>
    <w:rsid w:val="00307894"/>
    <w:rsid w:val="00311239"/>
    <w:rsid w:val="00311313"/>
    <w:rsid w:val="00311C25"/>
    <w:rsid w:val="003122AD"/>
    <w:rsid w:val="00314EDD"/>
    <w:rsid w:val="003161F2"/>
    <w:rsid w:val="00320DB8"/>
    <w:rsid w:val="00320E8B"/>
    <w:rsid w:val="003213C9"/>
    <w:rsid w:val="00322829"/>
    <w:rsid w:val="00322C79"/>
    <w:rsid w:val="00323A80"/>
    <w:rsid w:val="00332A0C"/>
    <w:rsid w:val="00333259"/>
    <w:rsid w:val="003332EC"/>
    <w:rsid w:val="00336BE4"/>
    <w:rsid w:val="003471FB"/>
    <w:rsid w:val="00347866"/>
    <w:rsid w:val="00347EED"/>
    <w:rsid w:val="00350350"/>
    <w:rsid w:val="00351717"/>
    <w:rsid w:val="003533F3"/>
    <w:rsid w:val="00353D17"/>
    <w:rsid w:val="0035629F"/>
    <w:rsid w:val="00363DF0"/>
    <w:rsid w:val="00364A3B"/>
    <w:rsid w:val="00365695"/>
    <w:rsid w:val="00365DA8"/>
    <w:rsid w:val="003668D1"/>
    <w:rsid w:val="00371837"/>
    <w:rsid w:val="0037217B"/>
    <w:rsid w:val="00372728"/>
    <w:rsid w:val="00376019"/>
    <w:rsid w:val="003765A8"/>
    <w:rsid w:val="00380672"/>
    <w:rsid w:val="0038160F"/>
    <w:rsid w:val="00382542"/>
    <w:rsid w:val="0038284E"/>
    <w:rsid w:val="00384F42"/>
    <w:rsid w:val="0038507F"/>
    <w:rsid w:val="003865DE"/>
    <w:rsid w:val="00386916"/>
    <w:rsid w:val="00390150"/>
    <w:rsid w:val="00395D3B"/>
    <w:rsid w:val="003A26ED"/>
    <w:rsid w:val="003A29BE"/>
    <w:rsid w:val="003A3D6B"/>
    <w:rsid w:val="003A3E99"/>
    <w:rsid w:val="003A459E"/>
    <w:rsid w:val="003A6056"/>
    <w:rsid w:val="003A661A"/>
    <w:rsid w:val="003A70C7"/>
    <w:rsid w:val="003A7D5B"/>
    <w:rsid w:val="003B227E"/>
    <w:rsid w:val="003B4C6A"/>
    <w:rsid w:val="003B5034"/>
    <w:rsid w:val="003B5C53"/>
    <w:rsid w:val="003C04C9"/>
    <w:rsid w:val="003C2002"/>
    <w:rsid w:val="003C228C"/>
    <w:rsid w:val="003C3134"/>
    <w:rsid w:val="003D01AF"/>
    <w:rsid w:val="003D0743"/>
    <w:rsid w:val="003D7E5F"/>
    <w:rsid w:val="003D7EFD"/>
    <w:rsid w:val="003E1F70"/>
    <w:rsid w:val="003E225F"/>
    <w:rsid w:val="003E238A"/>
    <w:rsid w:val="003E2DC3"/>
    <w:rsid w:val="003E3A83"/>
    <w:rsid w:val="003E50D7"/>
    <w:rsid w:val="003E68A6"/>
    <w:rsid w:val="003E6D0A"/>
    <w:rsid w:val="003E7110"/>
    <w:rsid w:val="003E796A"/>
    <w:rsid w:val="003E7DE5"/>
    <w:rsid w:val="003F133C"/>
    <w:rsid w:val="003F246E"/>
    <w:rsid w:val="003F3A1B"/>
    <w:rsid w:val="003F3DC5"/>
    <w:rsid w:val="003F502F"/>
    <w:rsid w:val="003F50F1"/>
    <w:rsid w:val="003F792F"/>
    <w:rsid w:val="00400133"/>
    <w:rsid w:val="004011E5"/>
    <w:rsid w:val="00402C9A"/>
    <w:rsid w:val="004033C7"/>
    <w:rsid w:val="0040671D"/>
    <w:rsid w:val="00411EE3"/>
    <w:rsid w:val="0041407C"/>
    <w:rsid w:val="004171C4"/>
    <w:rsid w:val="00421A15"/>
    <w:rsid w:val="00422466"/>
    <w:rsid w:val="00423D1D"/>
    <w:rsid w:val="00424178"/>
    <w:rsid w:val="00425A1B"/>
    <w:rsid w:val="0042751C"/>
    <w:rsid w:val="0043133F"/>
    <w:rsid w:val="004323BB"/>
    <w:rsid w:val="00437C34"/>
    <w:rsid w:val="00441F08"/>
    <w:rsid w:val="00443A36"/>
    <w:rsid w:val="00451076"/>
    <w:rsid w:val="004510C5"/>
    <w:rsid w:val="004510F9"/>
    <w:rsid w:val="00451BC6"/>
    <w:rsid w:val="0045362F"/>
    <w:rsid w:val="00454830"/>
    <w:rsid w:val="004559CB"/>
    <w:rsid w:val="0045648B"/>
    <w:rsid w:val="00457E55"/>
    <w:rsid w:val="00460E61"/>
    <w:rsid w:val="00462173"/>
    <w:rsid w:val="00467040"/>
    <w:rsid w:val="00467050"/>
    <w:rsid w:val="0047016B"/>
    <w:rsid w:val="00472519"/>
    <w:rsid w:val="004748EA"/>
    <w:rsid w:val="00474EC0"/>
    <w:rsid w:val="00475653"/>
    <w:rsid w:val="00480596"/>
    <w:rsid w:val="004817FF"/>
    <w:rsid w:val="00481DE8"/>
    <w:rsid w:val="00485036"/>
    <w:rsid w:val="00495646"/>
    <w:rsid w:val="0049742B"/>
    <w:rsid w:val="004A2023"/>
    <w:rsid w:val="004B331D"/>
    <w:rsid w:val="004B3463"/>
    <w:rsid w:val="004B3D7D"/>
    <w:rsid w:val="004B42AF"/>
    <w:rsid w:val="004B4C1A"/>
    <w:rsid w:val="004B4C2D"/>
    <w:rsid w:val="004B5225"/>
    <w:rsid w:val="004C3D41"/>
    <w:rsid w:val="004D2931"/>
    <w:rsid w:val="004D3280"/>
    <w:rsid w:val="004D3E9E"/>
    <w:rsid w:val="004D4264"/>
    <w:rsid w:val="004D70CF"/>
    <w:rsid w:val="004D7C33"/>
    <w:rsid w:val="004E056E"/>
    <w:rsid w:val="004E1257"/>
    <w:rsid w:val="004E1D69"/>
    <w:rsid w:val="004E2016"/>
    <w:rsid w:val="004E363C"/>
    <w:rsid w:val="004E4D67"/>
    <w:rsid w:val="004E63AC"/>
    <w:rsid w:val="004F0220"/>
    <w:rsid w:val="004F05A3"/>
    <w:rsid w:val="004F264A"/>
    <w:rsid w:val="004F300A"/>
    <w:rsid w:val="004F397A"/>
    <w:rsid w:val="004F4BA2"/>
    <w:rsid w:val="004F4DAA"/>
    <w:rsid w:val="004F6480"/>
    <w:rsid w:val="004F6623"/>
    <w:rsid w:val="004F7D6E"/>
    <w:rsid w:val="00501756"/>
    <w:rsid w:val="00501792"/>
    <w:rsid w:val="005028ED"/>
    <w:rsid w:val="00503699"/>
    <w:rsid w:val="00503F81"/>
    <w:rsid w:val="005048D4"/>
    <w:rsid w:val="00507796"/>
    <w:rsid w:val="00511B56"/>
    <w:rsid w:val="0051302A"/>
    <w:rsid w:val="00513122"/>
    <w:rsid w:val="0051459E"/>
    <w:rsid w:val="00517017"/>
    <w:rsid w:val="0051714F"/>
    <w:rsid w:val="005179EE"/>
    <w:rsid w:val="0052078B"/>
    <w:rsid w:val="005229D4"/>
    <w:rsid w:val="00522BC0"/>
    <w:rsid w:val="005233CF"/>
    <w:rsid w:val="005236CE"/>
    <w:rsid w:val="0052417C"/>
    <w:rsid w:val="00526139"/>
    <w:rsid w:val="005301CA"/>
    <w:rsid w:val="00535EB0"/>
    <w:rsid w:val="00541365"/>
    <w:rsid w:val="00541637"/>
    <w:rsid w:val="00541D51"/>
    <w:rsid w:val="005426C9"/>
    <w:rsid w:val="005447F1"/>
    <w:rsid w:val="005454B9"/>
    <w:rsid w:val="005455CD"/>
    <w:rsid w:val="0054793F"/>
    <w:rsid w:val="005501A5"/>
    <w:rsid w:val="0055315E"/>
    <w:rsid w:val="00553657"/>
    <w:rsid w:val="00554435"/>
    <w:rsid w:val="0055463E"/>
    <w:rsid w:val="0055707B"/>
    <w:rsid w:val="005577BE"/>
    <w:rsid w:val="00560998"/>
    <w:rsid w:val="00560D3B"/>
    <w:rsid w:val="005620AF"/>
    <w:rsid w:val="005650C5"/>
    <w:rsid w:val="00566FBE"/>
    <w:rsid w:val="005717B8"/>
    <w:rsid w:val="00571974"/>
    <w:rsid w:val="00576DC4"/>
    <w:rsid w:val="00577316"/>
    <w:rsid w:val="00582F18"/>
    <w:rsid w:val="0059038D"/>
    <w:rsid w:val="005922B4"/>
    <w:rsid w:val="0059258F"/>
    <w:rsid w:val="005935CD"/>
    <w:rsid w:val="005937A7"/>
    <w:rsid w:val="00594660"/>
    <w:rsid w:val="00594BF8"/>
    <w:rsid w:val="00597CA4"/>
    <w:rsid w:val="005A4F1E"/>
    <w:rsid w:val="005A5A0B"/>
    <w:rsid w:val="005B15C9"/>
    <w:rsid w:val="005B345A"/>
    <w:rsid w:val="005B4F97"/>
    <w:rsid w:val="005C0553"/>
    <w:rsid w:val="005C08C4"/>
    <w:rsid w:val="005C1EEF"/>
    <w:rsid w:val="005D046F"/>
    <w:rsid w:val="005D1F86"/>
    <w:rsid w:val="005D3527"/>
    <w:rsid w:val="005D4036"/>
    <w:rsid w:val="005D4C06"/>
    <w:rsid w:val="005D51C3"/>
    <w:rsid w:val="005E036A"/>
    <w:rsid w:val="005E162C"/>
    <w:rsid w:val="005E2CDB"/>
    <w:rsid w:val="005E3BDE"/>
    <w:rsid w:val="005F02B0"/>
    <w:rsid w:val="005F7F08"/>
    <w:rsid w:val="005F7F53"/>
    <w:rsid w:val="00600BC9"/>
    <w:rsid w:val="00600C66"/>
    <w:rsid w:val="00600F1A"/>
    <w:rsid w:val="00601C16"/>
    <w:rsid w:val="00603307"/>
    <w:rsid w:val="00603869"/>
    <w:rsid w:val="00603FD3"/>
    <w:rsid w:val="0060733E"/>
    <w:rsid w:val="00610311"/>
    <w:rsid w:val="00610545"/>
    <w:rsid w:val="00612D26"/>
    <w:rsid w:val="00615348"/>
    <w:rsid w:val="00615E51"/>
    <w:rsid w:val="00616397"/>
    <w:rsid w:val="006215C9"/>
    <w:rsid w:val="00621882"/>
    <w:rsid w:val="006223EA"/>
    <w:rsid w:val="006227B7"/>
    <w:rsid w:val="0062294C"/>
    <w:rsid w:val="00622C4B"/>
    <w:rsid w:val="00622E70"/>
    <w:rsid w:val="006231E2"/>
    <w:rsid w:val="00624E11"/>
    <w:rsid w:val="00625B10"/>
    <w:rsid w:val="00626142"/>
    <w:rsid w:val="00630DCC"/>
    <w:rsid w:val="006313A5"/>
    <w:rsid w:val="006316F7"/>
    <w:rsid w:val="00632A07"/>
    <w:rsid w:val="00633C46"/>
    <w:rsid w:val="006352FF"/>
    <w:rsid w:val="006363B5"/>
    <w:rsid w:val="00637256"/>
    <w:rsid w:val="00637B12"/>
    <w:rsid w:val="00640B28"/>
    <w:rsid w:val="0064240E"/>
    <w:rsid w:val="00644221"/>
    <w:rsid w:val="00646EAC"/>
    <w:rsid w:val="00647560"/>
    <w:rsid w:val="00652BF9"/>
    <w:rsid w:val="0065388F"/>
    <w:rsid w:val="00653C55"/>
    <w:rsid w:val="0065511C"/>
    <w:rsid w:val="0065617E"/>
    <w:rsid w:val="0065681E"/>
    <w:rsid w:val="006574DC"/>
    <w:rsid w:val="00657BFA"/>
    <w:rsid w:val="006631AA"/>
    <w:rsid w:val="00664977"/>
    <w:rsid w:val="006672C9"/>
    <w:rsid w:val="00670003"/>
    <w:rsid w:val="00670D67"/>
    <w:rsid w:val="006712C7"/>
    <w:rsid w:val="006718C7"/>
    <w:rsid w:val="00672CE2"/>
    <w:rsid w:val="006739BC"/>
    <w:rsid w:val="00673F8F"/>
    <w:rsid w:val="0067416E"/>
    <w:rsid w:val="00674FD2"/>
    <w:rsid w:val="00676B8E"/>
    <w:rsid w:val="00676EB1"/>
    <w:rsid w:val="00680D2A"/>
    <w:rsid w:val="00683E32"/>
    <w:rsid w:val="00685055"/>
    <w:rsid w:val="00691B89"/>
    <w:rsid w:val="0069262D"/>
    <w:rsid w:val="00692DD5"/>
    <w:rsid w:val="00694403"/>
    <w:rsid w:val="00694F3D"/>
    <w:rsid w:val="00695888"/>
    <w:rsid w:val="00695E5B"/>
    <w:rsid w:val="006A069A"/>
    <w:rsid w:val="006A1C4A"/>
    <w:rsid w:val="006A1CA1"/>
    <w:rsid w:val="006A306D"/>
    <w:rsid w:val="006A5B5A"/>
    <w:rsid w:val="006B04AB"/>
    <w:rsid w:val="006B04D4"/>
    <w:rsid w:val="006B0B0A"/>
    <w:rsid w:val="006B2238"/>
    <w:rsid w:val="006B2BC9"/>
    <w:rsid w:val="006B3E56"/>
    <w:rsid w:val="006B5D27"/>
    <w:rsid w:val="006B79CF"/>
    <w:rsid w:val="006C0B06"/>
    <w:rsid w:val="006C5C8E"/>
    <w:rsid w:val="006C5D48"/>
    <w:rsid w:val="006C5E9F"/>
    <w:rsid w:val="006D132B"/>
    <w:rsid w:val="006D3D95"/>
    <w:rsid w:val="006D58DF"/>
    <w:rsid w:val="006D64AD"/>
    <w:rsid w:val="006D671E"/>
    <w:rsid w:val="006D7212"/>
    <w:rsid w:val="006D7699"/>
    <w:rsid w:val="006E012F"/>
    <w:rsid w:val="006E03AF"/>
    <w:rsid w:val="006E1599"/>
    <w:rsid w:val="006E2D43"/>
    <w:rsid w:val="006E3996"/>
    <w:rsid w:val="006E4B17"/>
    <w:rsid w:val="006E6B10"/>
    <w:rsid w:val="006F05C0"/>
    <w:rsid w:val="006F0AA9"/>
    <w:rsid w:val="006F3FC3"/>
    <w:rsid w:val="006F40A1"/>
    <w:rsid w:val="006F53B9"/>
    <w:rsid w:val="006F5E19"/>
    <w:rsid w:val="006F5F05"/>
    <w:rsid w:val="006F784B"/>
    <w:rsid w:val="00700BD6"/>
    <w:rsid w:val="00700EC9"/>
    <w:rsid w:val="0070100C"/>
    <w:rsid w:val="00701900"/>
    <w:rsid w:val="0070257D"/>
    <w:rsid w:val="00703F64"/>
    <w:rsid w:val="00707BDA"/>
    <w:rsid w:val="0071247E"/>
    <w:rsid w:val="007132CC"/>
    <w:rsid w:val="0071483D"/>
    <w:rsid w:val="00715081"/>
    <w:rsid w:val="00717E8A"/>
    <w:rsid w:val="00721553"/>
    <w:rsid w:val="007234C5"/>
    <w:rsid w:val="0072460C"/>
    <w:rsid w:val="007300C2"/>
    <w:rsid w:val="00731BAF"/>
    <w:rsid w:val="00735BAA"/>
    <w:rsid w:val="007363EB"/>
    <w:rsid w:val="00736988"/>
    <w:rsid w:val="00736AE5"/>
    <w:rsid w:val="0073715C"/>
    <w:rsid w:val="007379FF"/>
    <w:rsid w:val="00743794"/>
    <w:rsid w:val="007437CD"/>
    <w:rsid w:val="00743AEA"/>
    <w:rsid w:val="00745677"/>
    <w:rsid w:val="00746EAA"/>
    <w:rsid w:val="007472CB"/>
    <w:rsid w:val="007478C5"/>
    <w:rsid w:val="007525D4"/>
    <w:rsid w:val="00754E96"/>
    <w:rsid w:val="0075771F"/>
    <w:rsid w:val="00762F11"/>
    <w:rsid w:val="00763800"/>
    <w:rsid w:val="00763D3E"/>
    <w:rsid w:val="00766D21"/>
    <w:rsid w:val="0077088A"/>
    <w:rsid w:val="00772F7F"/>
    <w:rsid w:val="007739B3"/>
    <w:rsid w:val="00777023"/>
    <w:rsid w:val="00780D68"/>
    <w:rsid w:val="007827F9"/>
    <w:rsid w:val="00784054"/>
    <w:rsid w:val="00785E4D"/>
    <w:rsid w:val="00786482"/>
    <w:rsid w:val="00787E04"/>
    <w:rsid w:val="007907B1"/>
    <w:rsid w:val="00792970"/>
    <w:rsid w:val="00795E65"/>
    <w:rsid w:val="007A0376"/>
    <w:rsid w:val="007A1B61"/>
    <w:rsid w:val="007A2B27"/>
    <w:rsid w:val="007A3358"/>
    <w:rsid w:val="007A510F"/>
    <w:rsid w:val="007A5FBB"/>
    <w:rsid w:val="007A7200"/>
    <w:rsid w:val="007A7F3F"/>
    <w:rsid w:val="007B0CC9"/>
    <w:rsid w:val="007B315A"/>
    <w:rsid w:val="007B69C9"/>
    <w:rsid w:val="007B7979"/>
    <w:rsid w:val="007C1A3A"/>
    <w:rsid w:val="007C2099"/>
    <w:rsid w:val="007C22D0"/>
    <w:rsid w:val="007C24AA"/>
    <w:rsid w:val="007C370B"/>
    <w:rsid w:val="007C4C3A"/>
    <w:rsid w:val="007C6F31"/>
    <w:rsid w:val="007D0B46"/>
    <w:rsid w:val="007D2482"/>
    <w:rsid w:val="007D4942"/>
    <w:rsid w:val="007D6170"/>
    <w:rsid w:val="007E1053"/>
    <w:rsid w:val="007E1B6D"/>
    <w:rsid w:val="007E4041"/>
    <w:rsid w:val="007E57FB"/>
    <w:rsid w:val="007E5B6A"/>
    <w:rsid w:val="007E6419"/>
    <w:rsid w:val="007F23BD"/>
    <w:rsid w:val="007F265F"/>
    <w:rsid w:val="007F48E7"/>
    <w:rsid w:val="007F4ED8"/>
    <w:rsid w:val="007F7D9D"/>
    <w:rsid w:val="008017E9"/>
    <w:rsid w:val="00802464"/>
    <w:rsid w:val="00802908"/>
    <w:rsid w:val="00802E8A"/>
    <w:rsid w:val="008032DE"/>
    <w:rsid w:val="00803BC0"/>
    <w:rsid w:val="00803E29"/>
    <w:rsid w:val="00804DAE"/>
    <w:rsid w:val="00806273"/>
    <w:rsid w:val="00806E02"/>
    <w:rsid w:val="008073EA"/>
    <w:rsid w:val="00807775"/>
    <w:rsid w:val="00810022"/>
    <w:rsid w:val="0081066A"/>
    <w:rsid w:val="00810E59"/>
    <w:rsid w:val="00812F81"/>
    <w:rsid w:val="0081305D"/>
    <w:rsid w:val="00814D68"/>
    <w:rsid w:val="00815937"/>
    <w:rsid w:val="00815B1A"/>
    <w:rsid w:val="008165F7"/>
    <w:rsid w:val="00817D18"/>
    <w:rsid w:val="008206EF"/>
    <w:rsid w:val="00820FB8"/>
    <w:rsid w:val="00822BD0"/>
    <w:rsid w:val="008231D6"/>
    <w:rsid w:val="0082361C"/>
    <w:rsid w:val="00826545"/>
    <w:rsid w:val="00830EF9"/>
    <w:rsid w:val="0083655F"/>
    <w:rsid w:val="0083710C"/>
    <w:rsid w:val="00842655"/>
    <w:rsid w:val="008429FD"/>
    <w:rsid w:val="00842DC3"/>
    <w:rsid w:val="0084319D"/>
    <w:rsid w:val="00844655"/>
    <w:rsid w:val="00850A47"/>
    <w:rsid w:val="00851E65"/>
    <w:rsid w:val="00852B3B"/>
    <w:rsid w:val="00852E12"/>
    <w:rsid w:val="00853E1D"/>
    <w:rsid w:val="00855C67"/>
    <w:rsid w:val="00855C75"/>
    <w:rsid w:val="008576AF"/>
    <w:rsid w:val="00863478"/>
    <w:rsid w:val="00863BAD"/>
    <w:rsid w:val="00864C9D"/>
    <w:rsid w:val="008650E0"/>
    <w:rsid w:val="00865AC8"/>
    <w:rsid w:val="00866335"/>
    <w:rsid w:val="00873618"/>
    <w:rsid w:val="00875E1E"/>
    <w:rsid w:val="0087638B"/>
    <w:rsid w:val="0087697B"/>
    <w:rsid w:val="00876F7C"/>
    <w:rsid w:val="008778B1"/>
    <w:rsid w:val="00877FF0"/>
    <w:rsid w:val="00880F7B"/>
    <w:rsid w:val="00881626"/>
    <w:rsid w:val="008816E9"/>
    <w:rsid w:val="0088189C"/>
    <w:rsid w:val="008823C9"/>
    <w:rsid w:val="00887CCB"/>
    <w:rsid w:val="00887D89"/>
    <w:rsid w:val="00891902"/>
    <w:rsid w:val="00892133"/>
    <w:rsid w:val="00892B4B"/>
    <w:rsid w:val="00893733"/>
    <w:rsid w:val="0089553B"/>
    <w:rsid w:val="0089556C"/>
    <w:rsid w:val="00896582"/>
    <w:rsid w:val="008A3238"/>
    <w:rsid w:val="008A432D"/>
    <w:rsid w:val="008A68D6"/>
    <w:rsid w:val="008A6D32"/>
    <w:rsid w:val="008A7105"/>
    <w:rsid w:val="008B250D"/>
    <w:rsid w:val="008B3920"/>
    <w:rsid w:val="008B72E1"/>
    <w:rsid w:val="008C07FD"/>
    <w:rsid w:val="008C242B"/>
    <w:rsid w:val="008C55E1"/>
    <w:rsid w:val="008D0232"/>
    <w:rsid w:val="008D3FF4"/>
    <w:rsid w:val="008D4B95"/>
    <w:rsid w:val="008D68DD"/>
    <w:rsid w:val="008D792A"/>
    <w:rsid w:val="008E08F2"/>
    <w:rsid w:val="008E3286"/>
    <w:rsid w:val="008E3A9D"/>
    <w:rsid w:val="008E6EF3"/>
    <w:rsid w:val="008E6F85"/>
    <w:rsid w:val="008E74D7"/>
    <w:rsid w:val="008F0CEA"/>
    <w:rsid w:val="008F40D5"/>
    <w:rsid w:val="008F4EDE"/>
    <w:rsid w:val="008F5B86"/>
    <w:rsid w:val="008F74FA"/>
    <w:rsid w:val="00901B31"/>
    <w:rsid w:val="00902608"/>
    <w:rsid w:val="009036D9"/>
    <w:rsid w:val="00903D3D"/>
    <w:rsid w:val="0090435C"/>
    <w:rsid w:val="00905113"/>
    <w:rsid w:val="00910896"/>
    <w:rsid w:val="009123CE"/>
    <w:rsid w:val="009130E7"/>
    <w:rsid w:val="0091483E"/>
    <w:rsid w:val="009148C5"/>
    <w:rsid w:val="00915B22"/>
    <w:rsid w:val="00916736"/>
    <w:rsid w:val="00916E13"/>
    <w:rsid w:val="00921CBA"/>
    <w:rsid w:val="00923943"/>
    <w:rsid w:val="00924CD8"/>
    <w:rsid w:val="00927566"/>
    <w:rsid w:val="00933425"/>
    <w:rsid w:val="00933C30"/>
    <w:rsid w:val="00934CA7"/>
    <w:rsid w:val="00934E60"/>
    <w:rsid w:val="0093686C"/>
    <w:rsid w:val="009404B5"/>
    <w:rsid w:val="00940DFF"/>
    <w:rsid w:val="00941598"/>
    <w:rsid w:val="009421EC"/>
    <w:rsid w:val="009424F3"/>
    <w:rsid w:val="009433C0"/>
    <w:rsid w:val="0094540A"/>
    <w:rsid w:val="009459E4"/>
    <w:rsid w:val="00945DDE"/>
    <w:rsid w:val="00947538"/>
    <w:rsid w:val="00950CD8"/>
    <w:rsid w:val="00952221"/>
    <w:rsid w:val="00957E38"/>
    <w:rsid w:val="00965A25"/>
    <w:rsid w:val="0097167D"/>
    <w:rsid w:val="00974533"/>
    <w:rsid w:val="009745DF"/>
    <w:rsid w:val="00974E37"/>
    <w:rsid w:val="009765B7"/>
    <w:rsid w:val="00976650"/>
    <w:rsid w:val="00976A0B"/>
    <w:rsid w:val="00977FCD"/>
    <w:rsid w:val="00981F5A"/>
    <w:rsid w:val="009820F4"/>
    <w:rsid w:val="00983B63"/>
    <w:rsid w:val="00985F19"/>
    <w:rsid w:val="00985FBE"/>
    <w:rsid w:val="0098687A"/>
    <w:rsid w:val="00986917"/>
    <w:rsid w:val="00990131"/>
    <w:rsid w:val="00990419"/>
    <w:rsid w:val="0099181B"/>
    <w:rsid w:val="00991AB2"/>
    <w:rsid w:val="0099274D"/>
    <w:rsid w:val="00993F2B"/>
    <w:rsid w:val="00994483"/>
    <w:rsid w:val="009966B4"/>
    <w:rsid w:val="009A0C1E"/>
    <w:rsid w:val="009A11D1"/>
    <w:rsid w:val="009A1835"/>
    <w:rsid w:val="009A281D"/>
    <w:rsid w:val="009A43A5"/>
    <w:rsid w:val="009A4B06"/>
    <w:rsid w:val="009A5449"/>
    <w:rsid w:val="009B09AE"/>
    <w:rsid w:val="009B0C3D"/>
    <w:rsid w:val="009B3860"/>
    <w:rsid w:val="009B40CD"/>
    <w:rsid w:val="009B4DFD"/>
    <w:rsid w:val="009B5080"/>
    <w:rsid w:val="009B7B05"/>
    <w:rsid w:val="009C17B1"/>
    <w:rsid w:val="009C38D5"/>
    <w:rsid w:val="009D17BD"/>
    <w:rsid w:val="009D3091"/>
    <w:rsid w:val="009D6464"/>
    <w:rsid w:val="009D6666"/>
    <w:rsid w:val="009D7E73"/>
    <w:rsid w:val="009E1370"/>
    <w:rsid w:val="009E15C0"/>
    <w:rsid w:val="009E51C6"/>
    <w:rsid w:val="009F01E9"/>
    <w:rsid w:val="009F1D82"/>
    <w:rsid w:val="009F2B60"/>
    <w:rsid w:val="009F3714"/>
    <w:rsid w:val="009F477D"/>
    <w:rsid w:val="009F4AFE"/>
    <w:rsid w:val="00A0072F"/>
    <w:rsid w:val="00A01EBB"/>
    <w:rsid w:val="00A029F5"/>
    <w:rsid w:val="00A02DFA"/>
    <w:rsid w:val="00A03863"/>
    <w:rsid w:val="00A04262"/>
    <w:rsid w:val="00A04B88"/>
    <w:rsid w:val="00A05001"/>
    <w:rsid w:val="00A0770A"/>
    <w:rsid w:val="00A07DD5"/>
    <w:rsid w:val="00A1140E"/>
    <w:rsid w:val="00A13050"/>
    <w:rsid w:val="00A147EB"/>
    <w:rsid w:val="00A165A0"/>
    <w:rsid w:val="00A1671E"/>
    <w:rsid w:val="00A2205A"/>
    <w:rsid w:val="00A23D38"/>
    <w:rsid w:val="00A23F0C"/>
    <w:rsid w:val="00A26292"/>
    <w:rsid w:val="00A32D76"/>
    <w:rsid w:val="00A3598A"/>
    <w:rsid w:val="00A42BFD"/>
    <w:rsid w:val="00A43656"/>
    <w:rsid w:val="00A47123"/>
    <w:rsid w:val="00A50319"/>
    <w:rsid w:val="00A50A7B"/>
    <w:rsid w:val="00A52BD1"/>
    <w:rsid w:val="00A53136"/>
    <w:rsid w:val="00A534EE"/>
    <w:rsid w:val="00A53A51"/>
    <w:rsid w:val="00A55806"/>
    <w:rsid w:val="00A62C4F"/>
    <w:rsid w:val="00A62D3D"/>
    <w:rsid w:val="00A647A0"/>
    <w:rsid w:val="00A6690B"/>
    <w:rsid w:val="00A74D34"/>
    <w:rsid w:val="00A75877"/>
    <w:rsid w:val="00A75E2E"/>
    <w:rsid w:val="00A819C5"/>
    <w:rsid w:val="00A85672"/>
    <w:rsid w:val="00A86B68"/>
    <w:rsid w:val="00A86DAE"/>
    <w:rsid w:val="00A90056"/>
    <w:rsid w:val="00A9007F"/>
    <w:rsid w:val="00A91E69"/>
    <w:rsid w:val="00A91FC1"/>
    <w:rsid w:val="00A94CBC"/>
    <w:rsid w:val="00A94D9E"/>
    <w:rsid w:val="00AA2FFB"/>
    <w:rsid w:val="00AA6AC4"/>
    <w:rsid w:val="00AB16F2"/>
    <w:rsid w:val="00AB1C3B"/>
    <w:rsid w:val="00AC4FAC"/>
    <w:rsid w:val="00AC6841"/>
    <w:rsid w:val="00AD068B"/>
    <w:rsid w:val="00AD48A6"/>
    <w:rsid w:val="00AE1606"/>
    <w:rsid w:val="00AE6199"/>
    <w:rsid w:val="00AF1618"/>
    <w:rsid w:val="00AF2AB2"/>
    <w:rsid w:val="00AF4984"/>
    <w:rsid w:val="00AF6A18"/>
    <w:rsid w:val="00B023DD"/>
    <w:rsid w:val="00B02CA6"/>
    <w:rsid w:val="00B04EAA"/>
    <w:rsid w:val="00B05ADC"/>
    <w:rsid w:val="00B068AB"/>
    <w:rsid w:val="00B07772"/>
    <w:rsid w:val="00B14F46"/>
    <w:rsid w:val="00B15C46"/>
    <w:rsid w:val="00B15F32"/>
    <w:rsid w:val="00B17CFF"/>
    <w:rsid w:val="00B17FCA"/>
    <w:rsid w:val="00B24933"/>
    <w:rsid w:val="00B265A9"/>
    <w:rsid w:val="00B265C2"/>
    <w:rsid w:val="00B32BD4"/>
    <w:rsid w:val="00B33180"/>
    <w:rsid w:val="00B341DE"/>
    <w:rsid w:val="00B34799"/>
    <w:rsid w:val="00B3618A"/>
    <w:rsid w:val="00B37761"/>
    <w:rsid w:val="00B42BBC"/>
    <w:rsid w:val="00B447A9"/>
    <w:rsid w:val="00B45CD0"/>
    <w:rsid w:val="00B533F3"/>
    <w:rsid w:val="00B5542F"/>
    <w:rsid w:val="00B56166"/>
    <w:rsid w:val="00B569D8"/>
    <w:rsid w:val="00B56DE0"/>
    <w:rsid w:val="00B56E75"/>
    <w:rsid w:val="00B61156"/>
    <w:rsid w:val="00B62ADF"/>
    <w:rsid w:val="00B66091"/>
    <w:rsid w:val="00B666C5"/>
    <w:rsid w:val="00B66F3B"/>
    <w:rsid w:val="00B72B48"/>
    <w:rsid w:val="00B73F7E"/>
    <w:rsid w:val="00B76E68"/>
    <w:rsid w:val="00B8236E"/>
    <w:rsid w:val="00B82708"/>
    <w:rsid w:val="00B82A1A"/>
    <w:rsid w:val="00B82B07"/>
    <w:rsid w:val="00B83100"/>
    <w:rsid w:val="00B83620"/>
    <w:rsid w:val="00B83FAA"/>
    <w:rsid w:val="00B87976"/>
    <w:rsid w:val="00B9086F"/>
    <w:rsid w:val="00B90A3C"/>
    <w:rsid w:val="00B92298"/>
    <w:rsid w:val="00B92F0E"/>
    <w:rsid w:val="00B961F3"/>
    <w:rsid w:val="00B97A12"/>
    <w:rsid w:val="00BA14B2"/>
    <w:rsid w:val="00BA1C3C"/>
    <w:rsid w:val="00BA2D59"/>
    <w:rsid w:val="00BA7103"/>
    <w:rsid w:val="00BA76AC"/>
    <w:rsid w:val="00BB021C"/>
    <w:rsid w:val="00BB0E0D"/>
    <w:rsid w:val="00BB2A61"/>
    <w:rsid w:val="00BB3889"/>
    <w:rsid w:val="00BB3A4B"/>
    <w:rsid w:val="00BB657E"/>
    <w:rsid w:val="00BC2996"/>
    <w:rsid w:val="00BC31C5"/>
    <w:rsid w:val="00BC32F4"/>
    <w:rsid w:val="00BC37A1"/>
    <w:rsid w:val="00BC3A0F"/>
    <w:rsid w:val="00BC421E"/>
    <w:rsid w:val="00BC6B25"/>
    <w:rsid w:val="00BC77E4"/>
    <w:rsid w:val="00BD3E55"/>
    <w:rsid w:val="00BD70B6"/>
    <w:rsid w:val="00BD7462"/>
    <w:rsid w:val="00BD7E6C"/>
    <w:rsid w:val="00BE2308"/>
    <w:rsid w:val="00BE28E4"/>
    <w:rsid w:val="00BE2980"/>
    <w:rsid w:val="00BE5196"/>
    <w:rsid w:val="00BE639B"/>
    <w:rsid w:val="00BE6F40"/>
    <w:rsid w:val="00BE7467"/>
    <w:rsid w:val="00BF1C28"/>
    <w:rsid w:val="00BF38F0"/>
    <w:rsid w:val="00BF39CC"/>
    <w:rsid w:val="00C00D9D"/>
    <w:rsid w:val="00C04940"/>
    <w:rsid w:val="00C04C74"/>
    <w:rsid w:val="00C05AC9"/>
    <w:rsid w:val="00C105E7"/>
    <w:rsid w:val="00C1078D"/>
    <w:rsid w:val="00C15DC8"/>
    <w:rsid w:val="00C17178"/>
    <w:rsid w:val="00C172FB"/>
    <w:rsid w:val="00C247DC"/>
    <w:rsid w:val="00C25E4D"/>
    <w:rsid w:val="00C30600"/>
    <w:rsid w:val="00C30FC9"/>
    <w:rsid w:val="00C33B73"/>
    <w:rsid w:val="00C357A9"/>
    <w:rsid w:val="00C35965"/>
    <w:rsid w:val="00C370BC"/>
    <w:rsid w:val="00C4098D"/>
    <w:rsid w:val="00C41995"/>
    <w:rsid w:val="00C41E4F"/>
    <w:rsid w:val="00C4267D"/>
    <w:rsid w:val="00C45907"/>
    <w:rsid w:val="00C46510"/>
    <w:rsid w:val="00C46A62"/>
    <w:rsid w:val="00C5128D"/>
    <w:rsid w:val="00C51573"/>
    <w:rsid w:val="00C5310A"/>
    <w:rsid w:val="00C55003"/>
    <w:rsid w:val="00C55063"/>
    <w:rsid w:val="00C559F5"/>
    <w:rsid w:val="00C566BC"/>
    <w:rsid w:val="00C6017E"/>
    <w:rsid w:val="00C60943"/>
    <w:rsid w:val="00C6169A"/>
    <w:rsid w:val="00C627A1"/>
    <w:rsid w:val="00C6478F"/>
    <w:rsid w:val="00C64868"/>
    <w:rsid w:val="00C6534A"/>
    <w:rsid w:val="00C711AC"/>
    <w:rsid w:val="00C716A8"/>
    <w:rsid w:val="00C74163"/>
    <w:rsid w:val="00C74BEB"/>
    <w:rsid w:val="00C751A5"/>
    <w:rsid w:val="00C759CA"/>
    <w:rsid w:val="00C80026"/>
    <w:rsid w:val="00C82D76"/>
    <w:rsid w:val="00C82DE0"/>
    <w:rsid w:val="00C846E7"/>
    <w:rsid w:val="00C85109"/>
    <w:rsid w:val="00C85E6B"/>
    <w:rsid w:val="00C87902"/>
    <w:rsid w:val="00C95402"/>
    <w:rsid w:val="00C96759"/>
    <w:rsid w:val="00CA0A9F"/>
    <w:rsid w:val="00CA2FCF"/>
    <w:rsid w:val="00CA32E6"/>
    <w:rsid w:val="00CA3EFF"/>
    <w:rsid w:val="00CA4043"/>
    <w:rsid w:val="00CA5C47"/>
    <w:rsid w:val="00CA7133"/>
    <w:rsid w:val="00CB007B"/>
    <w:rsid w:val="00CB03C2"/>
    <w:rsid w:val="00CB05DA"/>
    <w:rsid w:val="00CB1057"/>
    <w:rsid w:val="00CB1A25"/>
    <w:rsid w:val="00CB3D45"/>
    <w:rsid w:val="00CC0862"/>
    <w:rsid w:val="00CC2F11"/>
    <w:rsid w:val="00CC423E"/>
    <w:rsid w:val="00CC5017"/>
    <w:rsid w:val="00CC5770"/>
    <w:rsid w:val="00CC79CE"/>
    <w:rsid w:val="00CD0340"/>
    <w:rsid w:val="00CD0FCE"/>
    <w:rsid w:val="00CD1FD6"/>
    <w:rsid w:val="00CD3D79"/>
    <w:rsid w:val="00CD60F6"/>
    <w:rsid w:val="00CD7391"/>
    <w:rsid w:val="00CE0B85"/>
    <w:rsid w:val="00CE1B9A"/>
    <w:rsid w:val="00CE4104"/>
    <w:rsid w:val="00CE6BC8"/>
    <w:rsid w:val="00CE77AD"/>
    <w:rsid w:val="00CF053A"/>
    <w:rsid w:val="00CF3E32"/>
    <w:rsid w:val="00CF4B95"/>
    <w:rsid w:val="00CF5E1D"/>
    <w:rsid w:val="00D02809"/>
    <w:rsid w:val="00D02F71"/>
    <w:rsid w:val="00D04540"/>
    <w:rsid w:val="00D05879"/>
    <w:rsid w:val="00D10A7B"/>
    <w:rsid w:val="00D10B2F"/>
    <w:rsid w:val="00D113E6"/>
    <w:rsid w:val="00D116B6"/>
    <w:rsid w:val="00D14F04"/>
    <w:rsid w:val="00D16434"/>
    <w:rsid w:val="00D17B91"/>
    <w:rsid w:val="00D17FB9"/>
    <w:rsid w:val="00D20725"/>
    <w:rsid w:val="00D20B68"/>
    <w:rsid w:val="00D20BA4"/>
    <w:rsid w:val="00D21039"/>
    <w:rsid w:val="00D212A4"/>
    <w:rsid w:val="00D2387A"/>
    <w:rsid w:val="00D26079"/>
    <w:rsid w:val="00D265FE"/>
    <w:rsid w:val="00D30241"/>
    <w:rsid w:val="00D33F0E"/>
    <w:rsid w:val="00D363A9"/>
    <w:rsid w:val="00D41E21"/>
    <w:rsid w:val="00D43DA6"/>
    <w:rsid w:val="00D44C51"/>
    <w:rsid w:val="00D471EF"/>
    <w:rsid w:val="00D50CA7"/>
    <w:rsid w:val="00D513E5"/>
    <w:rsid w:val="00D51EC0"/>
    <w:rsid w:val="00D5211E"/>
    <w:rsid w:val="00D534AE"/>
    <w:rsid w:val="00D5421F"/>
    <w:rsid w:val="00D61BB6"/>
    <w:rsid w:val="00D673C6"/>
    <w:rsid w:val="00D70334"/>
    <w:rsid w:val="00D713D0"/>
    <w:rsid w:val="00D74C55"/>
    <w:rsid w:val="00D76011"/>
    <w:rsid w:val="00D809DF"/>
    <w:rsid w:val="00D87A4F"/>
    <w:rsid w:val="00D94342"/>
    <w:rsid w:val="00D9439E"/>
    <w:rsid w:val="00D947A6"/>
    <w:rsid w:val="00D95C1B"/>
    <w:rsid w:val="00D963FB"/>
    <w:rsid w:val="00DA0C5E"/>
    <w:rsid w:val="00DA4999"/>
    <w:rsid w:val="00DA632F"/>
    <w:rsid w:val="00DA7C6A"/>
    <w:rsid w:val="00DB11AF"/>
    <w:rsid w:val="00DB257C"/>
    <w:rsid w:val="00DB3758"/>
    <w:rsid w:val="00DB4112"/>
    <w:rsid w:val="00DB594A"/>
    <w:rsid w:val="00DB62D9"/>
    <w:rsid w:val="00DC1653"/>
    <w:rsid w:val="00DC1BA6"/>
    <w:rsid w:val="00DC48AA"/>
    <w:rsid w:val="00DC65E1"/>
    <w:rsid w:val="00DC7026"/>
    <w:rsid w:val="00DC7327"/>
    <w:rsid w:val="00DD4794"/>
    <w:rsid w:val="00DD5F61"/>
    <w:rsid w:val="00DD6B3E"/>
    <w:rsid w:val="00DE1C8C"/>
    <w:rsid w:val="00DE1D0D"/>
    <w:rsid w:val="00DE24FC"/>
    <w:rsid w:val="00DE3DD2"/>
    <w:rsid w:val="00DE4A6B"/>
    <w:rsid w:val="00DE535C"/>
    <w:rsid w:val="00DE6FCD"/>
    <w:rsid w:val="00DE7106"/>
    <w:rsid w:val="00DF3436"/>
    <w:rsid w:val="00DF47E1"/>
    <w:rsid w:val="00DF6A3F"/>
    <w:rsid w:val="00DF7032"/>
    <w:rsid w:val="00DF7465"/>
    <w:rsid w:val="00E00CCC"/>
    <w:rsid w:val="00E03490"/>
    <w:rsid w:val="00E04501"/>
    <w:rsid w:val="00E0548B"/>
    <w:rsid w:val="00E05673"/>
    <w:rsid w:val="00E059FA"/>
    <w:rsid w:val="00E06C2C"/>
    <w:rsid w:val="00E07844"/>
    <w:rsid w:val="00E11316"/>
    <w:rsid w:val="00E131DF"/>
    <w:rsid w:val="00E13DB0"/>
    <w:rsid w:val="00E15C82"/>
    <w:rsid w:val="00E15E36"/>
    <w:rsid w:val="00E16847"/>
    <w:rsid w:val="00E17128"/>
    <w:rsid w:val="00E17C84"/>
    <w:rsid w:val="00E20232"/>
    <w:rsid w:val="00E21317"/>
    <w:rsid w:val="00E2143A"/>
    <w:rsid w:val="00E216CC"/>
    <w:rsid w:val="00E24DAF"/>
    <w:rsid w:val="00E26168"/>
    <w:rsid w:val="00E309E3"/>
    <w:rsid w:val="00E32303"/>
    <w:rsid w:val="00E36FE6"/>
    <w:rsid w:val="00E41F53"/>
    <w:rsid w:val="00E4559B"/>
    <w:rsid w:val="00E47A11"/>
    <w:rsid w:val="00E50E6D"/>
    <w:rsid w:val="00E530E7"/>
    <w:rsid w:val="00E5745F"/>
    <w:rsid w:val="00E57921"/>
    <w:rsid w:val="00E60611"/>
    <w:rsid w:val="00E60641"/>
    <w:rsid w:val="00E61593"/>
    <w:rsid w:val="00E648EB"/>
    <w:rsid w:val="00E64E56"/>
    <w:rsid w:val="00E65366"/>
    <w:rsid w:val="00E66F89"/>
    <w:rsid w:val="00E670A5"/>
    <w:rsid w:val="00E677A5"/>
    <w:rsid w:val="00E718B7"/>
    <w:rsid w:val="00E71D1F"/>
    <w:rsid w:val="00E7389D"/>
    <w:rsid w:val="00E73A15"/>
    <w:rsid w:val="00E7611A"/>
    <w:rsid w:val="00E80302"/>
    <w:rsid w:val="00E80B82"/>
    <w:rsid w:val="00E8111C"/>
    <w:rsid w:val="00E813DB"/>
    <w:rsid w:val="00E8297E"/>
    <w:rsid w:val="00E83967"/>
    <w:rsid w:val="00E87108"/>
    <w:rsid w:val="00E93082"/>
    <w:rsid w:val="00E93C59"/>
    <w:rsid w:val="00E949F4"/>
    <w:rsid w:val="00EA33B9"/>
    <w:rsid w:val="00EA59B7"/>
    <w:rsid w:val="00EA59F8"/>
    <w:rsid w:val="00EA7E31"/>
    <w:rsid w:val="00EB27E8"/>
    <w:rsid w:val="00EB371C"/>
    <w:rsid w:val="00EB4DDD"/>
    <w:rsid w:val="00EB54B3"/>
    <w:rsid w:val="00EB7DE5"/>
    <w:rsid w:val="00EC51D9"/>
    <w:rsid w:val="00EC6862"/>
    <w:rsid w:val="00EC6905"/>
    <w:rsid w:val="00EC6A74"/>
    <w:rsid w:val="00ED47F7"/>
    <w:rsid w:val="00ED5E47"/>
    <w:rsid w:val="00ED5E49"/>
    <w:rsid w:val="00ED6349"/>
    <w:rsid w:val="00ED6938"/>
    <w:rsid w:val="00ED79AA"/>
    <w:rsid w:val="00EE4F14"/>
    <w:rsid w:val="00EE54C6"/>
    <w:rsid w:val="00EE75FE"/>
    <w:rsid w:val="00EF0091"/>
    <w:rsid w:val="00EF1B5D"/>
    <w:rsid w:val="00EF2057"/>
    <w:rsid w:val="00F0337D"/>
    <w:rsid w:val="00F06BDF"/>
    <w:rsid w:val="00F10384"/>
    <w:rsid w:val="00F109F6"/>
    <w:rsid w:val="00F12139"/>
    <w:rsid w:val="00F128F9"/>
    <w:rsid w:val="00F149DF"/>
    <w:rsid w:val="00F1526E"/>
    <w:rsid w:val="00F165F3"/>
    <w:rsid w:val="00F175B9"/>
    <w:rsid w:val="00F21AF0"/>
    <w:rsid w:val="00F241FB"/>
    <w:rsid w:val="00F248C2"/>
    <w:rsid w:val="00F260DF"/>
    <w:rsid w:val="00F3231E"/>
    <w:rsid w:val="00F33804"/>
    <w:rsid w:val="00F344A7"/>
    <w:rsid w:val="00F345BE"/>
    <w:rsid w:val="00F36183"/>
    <w:rsid w:val="00F37265"/>
    <w:rsid w:val="00F41E14"/>
    <w:rsid w:val="00F46180"/>
    <w:rsid w:val="00F50201"/>
    <w:rsid w:val="00F51370"/>
    <w:rsid w:val="00F51746"/>
    <w:rsid w:val="00F5201A"/>
    <w:rsid w:val="00F522AB"/>
    <w:rsid w:val="00F53446"/>
    <w:rsid w:val="00F5364E"/>
    <w:rsid w:val="00F53D3D"/>
    <w:rsid w:val="00F561FC"/>
    <w:rsid w:val="00F56586"/>
    <w:rsid w:val="00F62C08"/>
    <w:rsid w:val="00F63E6C"/>
    <w:rsid w:val="00F6539F"/>
    <w:rsid w:val="00F662B7"/>
    <w:rsid w:val="00F704A2"/>
    <w:rsid w:val="00F70600"/>
    <w:rsid w:val="00F71E04"/>
    <w:rsid w:val="00F7206D"/>
    <w:rsid w:val="00F73467"/>
    <w:rsid w:val="00F74900"/>
    <w:rsid w:val="00F861DF"/>
    <w:rsid w:val="00F908A2"/>
    <w:rsid w:val="00F93612"/>
    <w:rsid w:val="00F93868"/>
    <w:rsid w:val="00F94F72"/>
    <w:rsid w:val="00F95B9D"/>
    <w:rsid w:val="00F967E0"/>
    <w:rsid w:val="00F971E8"/>
    <w:rsid w:val="00F97B47"/>
    <w:rsid w:val="00FA024E"/>
    <w:rsid w:val="00FA1F7B"/>
    <w:rsid w:val="00FA2456"/>
    <w:rsid w:val="00FA3282"/>
    <w:rsid w:val="00FA5B81"/>
    <w:rsid w:val="00FB1D75"/>
    <w:rsid w:val="00FB3FDD"/>
    <w:rsid w:val="00FB4582"/>
    <w:rsid w:val="00FB7771"/>
    <w:rsid w:val="00FB789B"/>
    <w:rsid w:val="00FB796E"/>
    <w:rsid w:val="00FB7FD5"/>
    <w:rsid w:val="00FC1CCA"/>
    <w:rsid w:val="00FC2549"/>
    <w:rsid w:val="00FC31C6"/>
    <w:rsid w:val="00FC432C"/>
    <w:rsid w:val="00FC7CFD"/>
    <w:rsid w:val="00FD056D"/>
    <w:rsid w:val="00FD293D"/>
    <w:rsid w:val="00FD2D59"/>
    <w:rsid w:val="00FD37AA"/>
    <w:rsid w:val="00FD3B5A"/>
    <w:rsid w:val="00FD4B84"/>
    <w:rsid w:val="00FD53D7"/>
    <w:rsid w:val="00FD75DD"/>
    <w:rsid w:val="00FE3DF1"/>
    <w:rsid w:val="00FE501A"/>
    <w:rsid w:val="00FF14CF"/>
    <w:rsid w:val="00FF23A7"/>
    <w:rsid w:val="00FF3235"/>
    <w:rsid w:val="7EEFF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4"/>
    <w:qFormat/>
    <w:uiPriority w:val="0"/>
    <w:pPr>
      <w:spacing w:line="579" w:lineRule="exact"/>
      <w:ind w:left="640" w:leftChars="200" w:right="640" w:rightChars="200"/>
      <w:jc w:val="center"/>
      <w:outlineLvl w:val="0"/>
    </w:pPr>
    <w:rPr>
      <w:rFonts w:ascii="Arial" w:hAnsi="Arial" w:eastAsia="方正小标宋简体" w:cs="Arial"/>
      <w:bCs/>
      <w:sz w:val="44"/>
      <w:szCs w:val="32"/>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Char"/>
    <w:basedOn w:val="9"/>
    <w:link w:val="7"/>
    <w:qFormat/>
    <w:uiPriority w:val="0"/>
    <w:rPr>
      <w:rFonts w:ascii="Arial" w:hAnsi="Arial" w:eastAsia="方正小标宋简体" w:cs="Arial"/>
      <w:bCs/>
      <w:sz w:val="44"/>
      <w:szCs w:val="32"/>
    </w:rPr>
  </w:style>
  <w:style w:type="paragraph" w:customStyle="1" w:styleId="15">
    <w:name w:val="居中正文"/>
    <w:basedOn w:val="1"/>
    <w:qFormat/>
    <w:uiPriority w:val="0"/>
    <w:pPr>
      <w:spacing w:line="579" w:lineRule="exact"/>
      <w:jc w:val="center"/>
    </w:pPr>
    <w:rPr>
      <w:rFonts w:ascii="仿宋_GB2312" w:hAnsi="Times New Roman" w:eastAsia="仿宋_GB2312" w:cs="宋体"/>
      <w:sz w:val="32"/>
      <w:szCs w:val="32"/>
    </w:rPr>
  </w:style>
  <w:style w:type="character" w:customStyle="1" w:styleId="16">
    <w:name w:val="日期 Char"/>
    <w:basedOn w:val="9"/>
    <w:link w:val="2"/>
    <w:semiHidden/>
    <w:qFormat/>
    <w:uiPriority w:val="99"/>
  </w:style>
  <w:style w:type="character" w:customStyle="1" w:styleId="17">
    <w:name w:val="apple-converted-space"/>
    <w:basedOn w:val="9"/>
    <w:qFormat/>
    <w:uiPriority w:val="0"/>
  </w:style>
  <w:style w:type="character" w:customStyle="1" w:styleId="18">
    <w:name w:val="HTML 预设格式 Char"/>
    <w:basedOn w:val="9"/>
    <w:link w:val="5"/>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6782</Words>
  <Characters>6782</Characters>
  <Lines>521</Lines>
  <Paragraphs>301</Paragraphs>
  <TotalTime>3165</TotalTime>
  <ScaleCrop>false</ScaleCrop>
  <LinksUpToDate>false</LinksUpToDate>
  <CharactersWithSpaces>13263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2015-10-21T10:55:00Z</dcterms:created>
  <dc:creator>gh</dc:creator>
  <cp:lastModifiedBy>greatwall</cp:lastModifiedBy>
  <cp:lastPrinted>2018-03-09T16:31:00Z</cp:lastPrinted>
  <dcterms:modified xsi:type="dcterms:W3CDTF">2025-03-20T15:07:37Z</dcterms:modified>
  <cp:revision>1315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