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OLE_LINK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68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68"/>
          <w:sz w:val="44"/>
          <w:szCs w:val="44"/>
        </w:rPr>
        <w:t>重庆市永川区教育委员会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重庆市永川区人民政府教育督导室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/>
          <w:w w:val="90"/>
          <w:sz w:val="44"/>
          <w:szCs w:val="44"/>
        </w:rPr>
        <w:t>关于印发202</w:t>
      </w:r>
      <w:r>
        <w:rPr>
          <w:rFonts w:hint="eastAsia" w:ascii="Times New Roman" w:hAnsi="Times New Roman" w:eastAsia="方正小标宋_GBK" w:cs="Times New Roman"/>
          <w:b w:val="0"/>
          <w:bCs/>
          <w:w w:val="9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w w:val="9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b w:val="0"/>
          <w:bCs/>
          <w:w w:val="90"/>
          <w:sz w:val="44"/>
          <w:szCs w:val="44"/>
          <w:lang w:eastAsia="zh-CN"/>
        </w:rPr>
        <w:t>全区</w:t>
      </w:r>
      <w:r>
        <w:rPr>
          <w:rFonts w:hint="default" w:ascii="Times New Roman" w:hAnsi="Times New Roman" w:eastAsia="方正小标宋_GBK" w:cs="Times New Roman"/>
          <w:b w:val="0"/>
          <w:bCs/>
          <w:w w:val="90"/>
          <w:sz w:val="44"/>
          <w:szCs w:val="44"/>
        </w:rPr>
        <w:t>教育督导工作要点的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通知</w:t>
      </w:r>
    </w:p>
    <w:p>
      <w:pPr>
        <w:tabs>
          <w:tab w:val="left" w:pos="1422"/>
        </w:tabs>
        <w:spacing w:after="0" w:line="600" w:lineRule="exact"/>
        <w:jc w:val="center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shd w:val="clear" w:color="auto" w:fill="FFFFFF"/>
        <w:snapToGrid w:val="0"/>
        <w:spacing w:after="0" w:line="600" w:lineRule="exact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各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学区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，中小学、幼儿园：</w:t>
      </w:r>
    </w:p>
    <w:p>
      <w:pPr>
        <w:shd w:val="clear" w:color="auto" w:fill="FFFFFF"/>
        <w:snapToGrid w:val="0"/>
        <w:spacing w:after="0" w:line="60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现将《202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区教育督导工作要点》印发给你们，请结合实际贯彻执行。</w:t>
      </w:r>
    </w:p>
    <w:p>
      <w:pPr>
        <w:shd w:val="clear" w:color="auto" w:fill="FFFFFF"/>
        <w:snapToGrid w:val="0"/>
        <w:spacing w:after="0" w:line="600" w:lineRule="exact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</w:p>
    <w:p>
      <w:pPr>
        <w:shd w:val="clear" w:color="auto" w:fill="FFFFFF"/>
        <w:snapToGrid w:val="0"/>
        <w:spacing w:after="0" w:line="600" w:lineRule="exact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</w:p>
    <w:p>
      <w:pPr>
        <w:widowControl w:val="0"/>
        <w:spacing w:before="0" w:after="0" w:line="600" w:lineRule="exact"/>
        <w:ind w:firstLine="3584" w:firstLineChars="800"/>
        <w:jc w:val="left"/>
        <w:outlineLvl w:val="9"/>
        <w:rPr>
          <w:rFonts w:hint="default" w:ascii="Times New Roman" w:hAnsi="Times New Roman" w:eastAsia="方正楷体_GBK" w:cs="Times New Roman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/>
          <w:snapToGrid w:val="0"/>
          <w:spacing w:val="64"/>
          <w:kern w:val="0"/>
          <w:sz w:val="32"/>
          <w:szCs w:val="32"/>
          <w:fitText w:val="4800" w:id="1943041764"/>
          <w:lang w:val="en-US" w:eastAsia="zh-CN" w:bidi="ar-SA"/>
        </w:rPr>
        <w:t>重庆市永川区教育委员</w:t>
      </w:r>
      <w:r>
        <w:rPr>
          <w:rFonts w:hint="default" w:ascii="Times New Roman" w:hAnsi="Times New Roman" w:eastAsia="方正楷体_GBK" w:cs="Times New Roman"/>
          <w:b w:val="0"/>
          <w:bCs/>
          <w:snapToGrid w:val="0"/>
          <w:spacing w:val="0"/>
          <w:kern w:val="0"/>
          <w:sz w:val="32"/>
          <w:szCs w:val="32"/>
          <w:fitText w:val="4800" w:id="1943041764"/>
          <w:lang w:val="en-US" w:eastAsia="zh-CN" w:bidi="ar-SA"/>
        </w:rPr>
        <w:t>会</w:t>
      </w:r>
    </w:p>
    <w:p>
      <w:pPr>
        <w:widowControl w:val="0"/>
        <w:spacing w:before="0" w:after="0" w:line="600" w:lineRule="exact"/>
        <w:ind w:firstLine="3520" w:firstLineChars="1100"/>
        <w:jc w:val="left"/>
        <w:outlineLvl w:val="9"/>
        <w:rPr>
          <w:rFonts w:hint="default" w:ascii="Times New Roman" w:hAnsi="Times New Roman" w:eastAsia="方正楷体_GBK" w:cs="Times New Roman"/>
          <w:b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重庆市永川区人民政府教育督导室</w:t>
      </w:r>
    </w:p>
    <w:p>
      <w:pPr>
        <w:spacing w:after="0" w:line="600" w:lineRule="exact"/>
        <w:ind w:firstLine="5120" w:firstLineChars="16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年4月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日</w:t>
      </w:r>
    </w:p>
    <w:p>
      <w:pPr>
        <w:widowControl w:val="0"/>
        <w:tabs>
          <w:tab w:val="center" w:pos="4153"/>
          <w:tab w:val="right" w:pos="8306"/>
        </w:tabs>
        <w:snapToGrid w:val="0"/>
        <w:spacing w:after="0"/>
        <w:jc w:val="left"/>
        <w:rPr>
          <w:rFonts w:hint="default" w:ascii="Times New Roman" w:hAnsi="Times New Roman" w:eastAsia="方正仿宋_GBK" w:cs="Times New Roman"/>
          <w:kern w:val="2"/>
          <w:sz w:val="18"/>
          <w:lang w:val="en-US" w:eastAsia="zh-CN" w:bidi="ar-SA"/>
        </w:rPr>
      </w:pPr>
    </w:p>
    <w:p>
      <w:pPr>
        <w:spacing w:after="0" w:line="60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spacing w:after="0" w:line="60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spacing w:after="0" w:line="60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spacing w:after="0" w:line="60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spacing w:after="0" w:line="60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spacing w:after="0" w:line="60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spacing w:after="0" w:line="60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spacing w:after="0" w:line="600" w:lineRule="exact"/>
        <w:jc w:val="center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</w:rPr>
        <w:t>2025年全区教育督导工作要点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2025年，全区教育督导工作的总体思路是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：坚持以习近平新时代中国特色社会主义思想为指导，学习贯彻党的二十大和二十届二中、三中全会精神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深入学习领会习近平总书记关于教育的重要论述，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认真落实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全国、全市、全区教育大会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工作要求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坚持立德树人根本任务，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以新时代全区教育事业发展取得的成绩变化为出发点，以教育强区建设任务要求落地见效为着力点，以推动德智体美劳全面发展作为落脚点，落实督政、督学、评估监测各项工作部署，发挥督导评估“指挥棒”作用，助力教育强区建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22"/>
        </w:rPr>
      </w:pPr>
      <w:bookmarkStart w:id="1" w:name="OLE_LINK3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一、切实提高政治站位，坚持以党建引领教育督导发展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1.加强党对教育督导工作的全面领导。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以习近平新时代中国特色社会主义思想为指导，持续强化党对教育督导工作的领导，增强“四个意识”、坚定“四个自信”、做到“两个维护”，推动党建业务深度融合、同向发力，自觉用党的创新理论武装头脑、指导实践、推动教育督导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</w:rPr>
        <w:t>深入推进新时代教育评价改革。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优化学校评价，深化“五立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五破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”评价改革研究，改进结果评价，强化过程评价，探索教学质量增值评价，健全综合评价，加强评价结果运用力度。</w:t>
      </w:r>
      <w:bookmarkStart w:id="2" w:name="OLE_LINK5"/>
      <w:bookmarkStart w:id="3" w:name="OLE_LINK4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教师赋能评价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纳入学校办学质量评价内容</w:t>
      </w:r>
      <w:bookmarkEnd w:id="2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督促</w:t>
      </w:r>
      <w:bookmarkEnd w:id="3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指导学校健全以师德为先、能力为重、注重实绩、强化一线学生工作和贡献为导向的教师赋能评价机制，增加评价结果在教师绩效工资分配、职称评定聘任、岗位职级晋升等方面的比重。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将学生成长过程性评价纳入学校办学质量评价重点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督促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指导学校创新评价工具，利用人工智能、大数据等现代信息技术，探索开展学生各年级学习情况全过程纵向评价、德智体美劳全要素横向评价，建立学生全周期数字档案，完善学生成长评价的分析、诊断、反馈等机制。</w:t>
      </w:r>
      <w:bookmarkStart w:id="4" w:name="OLE_LINK6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统筹做好区级评价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改革和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市级评价试点推进，</w:t>
      </w:r>
      <w:bookmarkEnd w:id="4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不断提高支撑引领教育强区能力水平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3.</w:t>
      </w:r>
      <w:r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</w:rPr>
        <w:t>深入推进新时代教育督导体制机制改革。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进一步做大做强教育督导朋友圈，充分借力“川南渝西教育督导联合体”工作平台，全面提升督政、督学和评估监测能力水平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以落实重庆市“两个创建”监测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发现问题整改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为抓手，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争取区委教育工作领导小组会议专项研究，加强对区级有关部门单位落实整改职责监督。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改进教育督导方式方法，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信息技术手段应用，充分利用互联网、大数据、云计算等开展督导评估监测工作。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深化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督评结果的分析、诊断、反馈等机制，按照《重庆市教育督导问责实施细则（试行）》，充分运用约谈、通报、问责、激励等措施，切实强化教育督导的严肃性、权威性。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二、全力提升督政工作实效，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促进基础教育扩优提质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4.</w:t>
      </w:r>
      <w:bookmarkStart w:id="5" w:name="OLE_LINK7"/>
      <w:r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  <w:lang w:val="en-US" w:eastAsia="zh-CN"/>
        </w:rPr>
        <w:t>完善党对教育工作全面领导的体制机制。</w:t>
      </w:r>
      <w:bookmarkEnd w:id="5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健全区委区政府教育领导体制，履行好把方向、管大局、作决策、保落实的职责，区委常委会、区政府常务会议定期研究教育工作，党政主要负责同志定期为师生上思政课、深入教育一线调研、联系学校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探索建立区委教育工作领导小组评价区级有关部门单位、镇街履行教育职责机制。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5.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  <w:t>积极推进“两个创建”督导评估。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建立永川区创建专项工作机制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，印发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关于深入推进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创建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全国义务教育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优质均衡发展区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工作的通知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6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组建工作专班，</w:t>
      </w:r>
      <w:bookmarkStart w:id="6" w:name="OLE_LINK8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协同相关部门单位推进创建工作，确保2025年接受“全国义务教育优质均衡发展区”市级督导评估圆满顺利。</w:t>
      </w:r>
      <w:bookmarkEnd w:id="6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做好2025年重庆市“两个创建”督导评估重点指标监测工作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建立监测结果分析、指导、反馈机制。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6.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  <w:t>切实抓好规范社会事务进校园工作监管。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贯彻落实中办、国办印发的《整治形式主义为基层减负若干规定》，统筹加强区级社会事务进校园管理，</w:t>
      </w:r>
      <w:bookmarkStart w:id="7" w:name="OLE_LINK1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制定落实《永川区2025年区级层面社会事务进校园白名单》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统筹加强教委科室督查检查评比考核管理，制定落实《永川区教委2025年督查检查评比考核事项白名单》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做好迎接重庆市哨点监测工作，</w:t>
      </w:r>
      <w:bookmarkEnd w:id="7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切实减轻中小学教师非教育教学工作负担，让中小学教师聚焦“立德树人、教书育人”主责主业，潜心教书、静心育人。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三、巩固提高督学工作水平，助力教育规范发展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7.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  <w:t>常态化开展“双减”督导。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锚定“双减”目标任务，建立健全“双减”督导长效工作机制。</w:t>
      </w:r>
      <w:bookmarkStart w:id="8" w:name="_Hlk192529565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充分发挥中小学校责任督学作用，针对“双减”开展经常性督导。将“双减”工作情况作为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t>2025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年义务教育学校办学质量督导评价重要内容，从监督角度持续推进“双减”改革走深走实。</w:t>
      </w:r>
      <w:bookmarkEnd w:id="8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加大“双减”问题核查处置力度，做好市级“双减”督导典型案例评选，巩固深化“双减”工作成效。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8.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  <w:t>务实开展中小学办学质量督导评价。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t>精简优化义务教育学校、普通高中学校、特殊教育学校、中职学校办学质量督导评价指标体系，完善督导评价方案，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重点抓好学校思政教育、科学教育、健康教育、教共体建设、教联体建设等督导评价。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t>深入开展“课堂教学改革”委托第三方机构督导评估，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eastAsia="zh-CN"/>
        </w:rPr>
        <w:t>加强委托评估报告分析解读，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t>提高评估的专业性和建设性。加强对民办中小学落实立德树人根本任务的全方位督导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。配合做好重庆市中小学声誉评价。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u w:val="none"/>
        </w:rPr>
        <w:t>9.认真开展中小学幼儿园校（园）长任期结束综合督导评估。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总结提炼2024年校（园）长任期结束综合督导评估试点经验，形成可复制可推广的典型案例。进一步优化幼儿园园长、义务教育学校校长、普通高中学校校长任期结束综合督导评估指标体系，完善全区中小学幼儿园校（园）长任期结束综合督导评估方案。</w:t>
      </w:r>
      <w:bookmarkStart w:id="9" w:name="_Hlk192529599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完成对20位校（园）长任期结束综合督导评估工作任务。</w:t>
      </w:r>
    </w:p>
    <w:bookmarkEnd w:id="9"/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  <w:t>切实加强幼儿园办园质量督导评价。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根据教育部、市教委有关文件精神，完善《永川区幼儿园督导评估实施方案》。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抓好幼儿园年检暨专项督评，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重点评价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幼儿园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办园条件、安全卫生、保育教育、教职工队伍、内部管理等，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促进幼儿园规范办园行为，维护幼儿合法权益，保障幼儿身心健康成长。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  <w:t>抓实各项专项督导工作。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抓实春秋季开学工作专项督导检查，突出除险固安工作导向，健全三级督导检查体系，压实开学工作主体责任。抓实中小学（幼儿园）校园食品安全、校园安全、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校服、教辅资料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等专项督导，指导责任督学“逐校逐园”开展督导，按台账逐项督促整改落实，守住学校安全底线，守护好师生生命安全。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四、强化质量监测引领，赋能教育高质量发展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.</w:t>
      </w:r>
      <w:bookmarkStart w:id="10" w:name="_Hlk192529629"/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  <w:t>认真做好各级各类质量监测</w:t>
      </w:r>
      <w:bookmarkEnd w:id="10"/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t>按照2024年全市基础教育质量监测结果反馈会要求，抓好2024年国家义务教育质量监测、2023年国家高中质量监测试点整改工作，督促指导学校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深入查摆教育教学管理方面存在的问题、短板和弱项，设台账、建机制，抓落实、提质量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t>，促进立德树人根本任务、素质教育在学校的贯彻落实。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五、夯实基础能力建设，推动教育督导高水平发展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.</w:t>
      </w:r>
      <w:bookmarkStart w:id="11" w:name="_Hlk192529657"/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  <w:t>加强督学队伍管理。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充分发挥区级专兼职督学职能作用，强化督导责任区经常性督导功能</w:t>
      </w:r>
      <w:bookmarkEnd w:id="11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完善责任督学准入、考核、退出机制。全面提升各级各类督学综合素质，督促指导督学牢牢把握教育的政治属性、人民属性、战略属性，提高政治站位，提升督导能力素养，强化责任担当，树立良好形象，做到依法督导、文明督导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1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  <w:t>推进督导评价数字平台建设。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强化“重庆市教育督导管理信息系统”管理使用，助推责任督学经常性督导走深走实。建好用好“永川区数字化学校督导评价平台”，促进新时代教育督评改革工作提质增效，减轻基层负担。对接“数字重庆”建设要求，进一步全面梳理核心业务，强化多跨协同，充分用好大数据、人工智能，持续推动教育督导数字化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1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  <w:t>提升教育督导研究水平。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指导学校做好质量监测评价、教师评价、学生评价等专项课题研究。配合重庆市做好“中小学学科督导”“中小学校立德树人督导评估”研究。做好重庆市教育督导评估典型案例和研究论文评选工作。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落实川南渝西教育共同体评价改革协同发展重点项目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加强教育督导工作经验凝练、交流和宣传，努力形成永川教育督导更大成果和亮点。</w:t>
      </w:r>
    </w:p>
    <w:bookmarkEnd w:id="1"/>
    <w:p>
      <w:pPr>
        <w:widowControl w:val="0"/>
        <w:spacing w:after="0"/>
        <w:ind w:left="1680"/>
        <w:jc w:val="both"/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bookmarkStart w:id="12" w:name="_GoBack"/>
      <w:bookmarkEnd w:id="12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after="0"/>
      <w:jc w:val="left"/>
      <w:rPr>
        <w:rFonts w:ascii="Times New Roman" w:hAnsi="Times New Roman" w:eastAsia="方正仿宋_GBK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方正仿宋_GBK" w:cs="Times New Roman"/>
        <w:kern w:val="2"/>
        <w:sz w:val="18"/>
        <w:lang w:val="en-US" w:eastAsia="zh-CN" w:bidi="ar-SA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spacing w:after="0"/>
                  <w:jc w:val="left"/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t>1</w: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B0F"/>
    <w:rsid w:val="004F0B0F"/>
    <w:rsid w:val="00AD0785"/>
    <w:rsid w:val="09D77FEE"/>
    <w:rsid w:val="0FE37C8A"/>
    <w:rsid w:val="28743707"/>
    <w:rsid w:val="2B7926EC"/>
    <w:rsid w:val="2F6760D2"/>
    <w:rsid w:val="3402520B"/>
    <w:rsid w:val="46A97B36"/>
    <w:rsid w:val="5A1B7C59"/>
    <w:rsid w:val="6B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8</Pages>
  <Words>3144</Words>
  <Characters>3213</Characters>
  <Lines>1</Lines>
  <Paragraphs>1</Paragraphs>
  <TotalTime>0</TotalTime>
  <ScaleCrop>false</ScaleCrop>
  <LinksUpToDate>false</LinksUpToDate>
  <CharactersWithSpaces>3215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2012-06-23T01:41:00Z</dcterms:created>
  <dc:creator>somebody</dc:creator>
  <cp:lastModifiedBy> </cp:lastModifiedBy>
  <dcterms:modified xsi:type="dcterms:W3CDTF">2025-04-27T17:21:41Z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eyJoZGlkIjoiNTAwZjhmOTdiMDEzZDkyNjJhMzE0MzQxZmY2ODExYTIiLCJ1c2VySWQiOiI5NTcwMTczNjEifQ==</vt:lpwstr>
  </property>
  <property fmtid="{D5CDD505-2E9C-101B-9397-08002B2CF9AE}" pid="3" name="KSOProductBuildVer">
    <vt:lpwstr>2052-11.8.2.10386</vt:lpwstr>
  </property>
  <property fmtid="{D5CDD505-2E9C-101B-9397-08002B2CF9AE}" pid="4" name="ICV">
    <vt:lpwstr>887E7B953FFD4018A614BD6330A99263_12</vt:lpwstr>
  </property>
</Properties>
</file>