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color w:val="FF0000"/>
          <w:w w:val="53"/>
          <w:sz w:val="110"/>
          <w:szCs w:val="110"/>
          <w:highlight w:val="none"/>
        </w:rPr>
      </w:pPr>
      <w:r>
        <w:rPr>
          <w:rFonts w:hint="eastAsia" w:ascii="方正小标宋_GBK" w:hAnsi="宋体" w:eastAsia="方正小标宋_GBK"/>
          <w:color w:val="FF0000"/>
          <w:w w:val="53"/>
          <w:sz w:val="110"/>
          <w:szCs w:val="110"/>
          <w:highlight w:val="none"/>
        </w:rPr>
        <w:t>重庆市永川区</w:t>
      </w:r>
      <w:r>
        <w:rPr>
          <w:rFonts w:hint="eastAsia" w:ascii="方正小标宋_GBK" w:hAnsi="宋体" w:eastAsia="方正小标宋_GBK"/>
          <w:color w:val="FF0000"/>
          <w:w w:val="53"/>
          <w:sz w:val="110"/>
          <w:szCs w:val="110"/>
          <w:highlight w:val="none"/>
          <w:lang w:eastAsia="zh-CN"/>
        </w:rPr>
        <w:t>经济和信息化</w:t>
      </w:r>
      <w:r>
        <w:rPr>
          <w:rFonts w:hint="eastAsia" w:ascii="方正小标宋_GBK" w:hAnsi="宋体" w:eastAsia="方正小标宋_GBK"/>
          <w:color w:val="FF0000"/>
          <w:w w:val="53"/>
          <w:sz w:val="110"/>
          <w:szCs w:val="110"/>
          <w:highlight w:val="none"/>
        </w:rPr>
        <w:t>委员会</w:t>
      </w:r>
    </w:p>
    <w:p>
      <w:pPr>
        <w:spacing w:line="560" w:lineRule="exact"/>
        <w:jc w:val="center"/>
        <w:rPr>
          <w:rFonts w:ascii="方正仿宋_GBK"/>
          <w:szCs w:val="32"/>
          <w:highlight w:val="none"/>
        </w:rPr>
      </w:pPr>
    </w:p>
    <w:p>
      <w:pPr>
        <w:jc w:val="center"/>
        <w:rPr>
          <w:rFonts w:ascii="Times New Roman" w:hAnsi="Times New Roman"/>
          <w:szCs w:val="32"/>
          <w:highlight w:val="none"/>
        </w:rPr>
      </w:pPr>
      <w:r>
        <w:rPr>
          <w:rFonts w:ascii="Times New Roman" w:hAnsi="Times New Roman"/>
          <w:szCs w:val="32"/>
          <w:highlight w:val="none"/>
        </w:rPr>
        <w:t>永</w:t>
      </w:r>
      <w:r>
        <w:rPr>
          <w:rFonts w:hint="eastAsia"/>
          <w:szCs w:val="32"/>
          <w:highlight w:val="none"/>
          <w:lang w:eastAsia="zh-CN"/>
        </w:rPr>
        <w:t>经信</w:t>
      </w:r>
      <w:r>
        <w:rPr>
          <w:rFonts w:ascii="Times New Roman" w:hAnsi="Times New Roman"/>
          <w:szCs w:val="32"/>
          <w:highlight w:val="none"/>
        </w:rPr>
        <w:t>发〔202</w:t>
      </w:r>
      <w:r>
        <w:rPr>
          <w:rFonts w:hint="eastAsia"/>
          <w:szCs w:val="32"/>
          <w:highlight w:val="none"/>
          <w:lang w:val="en-US" w:eastAsia="zh-CN"/>
        </w:rPr>
        <w:t>4</w:t>
      </w:r>
      <w:r>
        <w:rPr>
          <w:rFonts w:ascii="Times New Roman" w:hAnsi="Times New Roman"/>
          <w:szCs w:val="32"/>
          <w:highlight w:val="none"/>
        </w:rPr>
        <w:t>〕</w:t>
      </w:r>
      <w:r>
        <w:rPr>
          <w:rFonts w:hint="eastAsia"/>
          <w:szCs w:val="32"/>
          <w:highlight w:val="none"/>
          <w:lang w:val="en-US" w:eastAsia="zh-CN"/>
        </w:rPr>
        <w:t>6</w:t>
      </w:r>
      <w:r>
        <w:rPr>
          <w:rFonts w:ascii="Times New Roman" w:hAnsi="Times New Roman"/>
          <w:szCs w:val="32"/>
          <w:highlight w:val="none"/>
        </w:rPr>
        <w:t>号</w:t>
      </w:r>
    </w:p>
    <w:p>
      <w:pPr>
        <w:spacing w:line="520" w:lineRule="exact"/>
        <w:jc w:val="center"/>
        <w:rPr>
          <w:rFonts w:hAnsi="方正仿宋_GBK"/>
          <w:highlight w:val="none"/>
        </w:rPr>
      </w:pPr>
      <w:r>
        <w:rPr>
          <w:rFonts w:ascii="方正仿宋_GBK" w:hAnsi="宋体"/>
          <w:sz w:val="72"/>
          <w:szCs w:val="72"/>
          <w:highlight w:val="none"/>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92075</wp:posOffset>
                </wp:positionV>
                <wp:extent cx="5486400" cy="0"/>
                <wp:effectExtent l="0" t="13970" r="0" b="24130"/>
                <wp:wrapNone/>
                <wp:docPr id="9" name="直接连接符 9"/>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85pt;margin-top:7.25pt;height:0pt;width:432pt;z-index:251659264;mso-width-relative:page;mso-height-relative:page;" filled="f" stroked="t" coordsize="21600,21600" o:gfxdata="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99zCTTAAAABwEAAA8AAAAAAAAAAQAgAAAAOAAAAGRycy9kb3ducmV2LnhtbFBL&#10;AQIUABQAAAAIAIdO4kDmbc4N5QEAAKgDAAAOAAAAAAAAAAEAIAAAADgBAABkcnMvZTJvRG9jLnht&#10;bFBLBQYAAAAABgAGAFkBAACPBQAAAAA=&#10;">
                <v:fill on="f" focussize="0,0"/>
                <v:stroke weight="2.25pt" color="#FF0000" joinstyle="round"/>
                <v:imagedata o:title=""/>
                <o:lock v:ext="edit" aspectratio="f"/>
              </v:line>
            </w:pict>
          </mc:Fallback>
        </mc:AlternateContent>
      </w:r>
    </w:p>
    <w:p>
      <w:pPr>
        <w:spacing w:line="594" w:lineRule="exact"/>
        <w:jc w:val="center"/>
        <w:rPr>
          <w:rFonts w:ascii="Times New Roman" w:hAnsi="Times New Roman" w:eastAsia="方正小标宋_GBK"/>
          <w:sz w:val="44"/>
          <w:szCs w:val="44"/>
          <w:highlight w:val="none"/>
        </w:rPr>
      </w:pPr>
      <w:r>
        <w:rPr>
          <w:rFonts w:ascii="Times New Roman" w:hAnsi="方正小标宋_GBK" w:eastAsia="方正小标宋_GBK"/>
          <w:sz w:val="44"/>
          <w:szCs w:val="44"/>
          <w:highlight w:val="none"/>
        </w:rPr>
        <w:t>重庆市永川区</w:t>
      </w:r>
      <w:r>
        <w:rPr>
          <w:rFonts w:hint="eastAsia" w:hAnsi="方正小标宋_GBK" w:eastAsia="方正小标宋_GBK"/>
          <w:sz w:val="44"/>
          <w:szCs w:val="44"/>
          <w:highlight w:val="none"/>
          <w:lang w:eastAsia="zh-CN"/>
        </w:rPr>
        <w:t>经济和信息化</w:t>
      </w:r>
      <w:r>
        <w:rPr>
          <w:rFonts w:ascii="Times New Roman" w:hAnsi="方正小标宋_GBK" w:eastAsia="方正小标宋_GBK"/>
          <w:sz w:val="44"/>
          <w:szCs w:val="44"/>
          <w:highlight w:val="none"/>
        </w:rPr>
        <w:t>委员会</w:t>
      </w:r>
    </w:p>
    <w:p>
      <w:pPr>
        <w:spacing w:line="594" w:lineRule="exact"/>
        <w:jc w:val="center"/>
        <w:rPr>
          <w:rFonts w:ascii="Times New Roman" w:hAnsi="方正小标宋_GBK" w:eastAsia="方正小标宋_GBK"/>
          <w:sz w:val="44"/>
          <w:szCs w:val="44"/>
          <w:highlight w:val="none"/>
        </w:rPr>
      </w:pPr>
      <w:r>
        <w:rPr>
          <w:rFonts w:hint="eastAsia" w:ascii="Times New Roman" w:hAnsi="方正小标宋_GBK" w:eastAsia="方正小标宋_GBK"/>
          <w:sz w:val="44"/>
          <w:szCs w:val="44"/>
          <w:highlight w:val="none"/>
        </w:rPr>
        <w:t>关于印发《重庆市永川区液化石油气、二甲醚、醇基燃料事故应急预案》的通知</w:t>
      </w:r>
    </w:p>
    <w:p>
      <w:pPr>
        <w:pStyle w:val="3"/>
        <w:adjustRightInd w:val="0"/>
        <w:snapToGrid w:val="0"/>
        <w:spacing w:line="594" w:lineRule="atLeast"/>
        <w:rPr>
          <w:highlight w:val="none"/>
        </w:rPr>
      </w:pPr>
    </w:p>
    <w:p>
      <w:pPr>
        <w:adjustRightInd w:val="0"/>
        <w:snapToGrid w:val="0"/>
        <w:spacing w:line="594" w:lineRule="atLeast"/>
        <w:jc w:val="both"/>
        <w:rPr>
          <w:rFonts w:ascii="Times New Roman" w:hAnsi="Times New Roman"/>
          <w:szCs w:val="32"/>
          <w:highlight w:val="none"/>
        </w:rPr>
      </w:pPr>
      <w:r>
        <w:rPr>
          <w:rFonts w:hint="eastAsia" w:ascii="Times New Roman" w:hAnsi="方正仿宋_GBK"/>
          <w:szCs w:val="32"/>
          <w:highlight w:val="none"/>
        </w:rPr>
        <w:t>各镇人民政府、街道办事处，</w:t>
      </w:r>
      <w:r>
        <w:rPr>
          <w:rFonts w:hint="eastAsia" w:hAnsi="方正仿宋_GBK"/>
          <w:szCs w:val="32"/>
          <w:highlight w:val="none"/>
          <w:lang w:eastAsia="zh-CN"/>
        </w:rPr>
        <w:t>高新区管委会，港桥</w:t>
      </w:r>
      <w:r>
        <w:rPr>
          <w:rFonts w:hint="eastAsia" w:ascii="Times New Roman" w:hAnsi="方正仿宋_GBK"/>
          <w:szCs w:val="32"/>
          <w:highlight w:val="none"/>
        </w:rPr>
        <w:t>产业促进中心，区级有关部门</w:t>
      </w:r>
      <w:r>
        <w:rPr>
          <w:rFonts w:hint="eastAsia" w:hAnsi="方正仿宋_GBK"/>
          <w:szCs w:val="32"/>
          <w:highlight w:val="none"/>
          <w:lang w:eastAsia="zh-CN"/>
        </w:rPr>
        <w:t>，相关企业</w:t>
      </w:r>
      <w:r>
        <w:rPr>
          <w:rFonts w:ascii="Times New Roman" w:hAnsi="方正仿宋_GBK"/>
          <w:szCs w:val="32"/>
          <w:highlight w:val="none"/>
        </w:rPr>
        <w:t>：</w:t>
      </w:r>
    </w:p>
    <w:p>
      <w:pPr>
        <w:adjustRightInd w:val="0"/>
        <w:snapToGrid w:val="0"/>
        <w:spacing w:line="594" w:lineRule="atLeast"/>
        <w:ind w:firstLine="640" w:firstLineChars="200"/>
        <w:jc w:val="both"/>
        <w:rPr>
          <w:rFonts w:ascii="Times New Roman" w:hAnsi="方正仿宋_GBK"/>
          <w:szCs w:val="32"/>
          <w:highlight w:val="none"/>
        </w:rPr>
      </w:pPr>
      <w:r>
        <w:rPr>
          <w:rFonts w:hint="eastAsia" w:ascii="Times New Roman" w:hAnsi="方正仿宋_GBK"/>
          <w:szCs w:val="32"/>
          <w:highlight w:val="none"/>
        </w:rPr>
        <w:t>《重庆市永川区液化石油气、二甲醚、醇基燃料事故应急预案》已经区</w:t>
      </w:r>
      <w:r>
        <w:rPr>
          <w:rFonts w:hint="eastAsia" w:hAnsi="方正仿宋_GBK"/>
          <w:szCs w:val="32"/>
          <w:highlight w:val="none"/>
          <w:lang w:eastAsia="zh-CN"/>
        </w:rPr>
        <w:t>经济信息委</w:t>
      </w:r>
      <w:r>
        <w:rPr>
          <w:rFonts w:hint="eastAsia" w:hAnsi="方正仿宋_GBK"/>
          <w:szCs w:val="32"/>
          <w:highlight w:val="none"/>
          <w:lang w:val="en-US" w:eastAsia="zh-CN"/>
        </w:rPr>
        <w:t>2024年</w:t>
      </w:r>
      <w:r>
        <w:rPr>
          <w:rFonts w:hint="eastAsia" w:ascii="Times New Roman" w:hAnsi="方正仿宋_GBK"/>
          <w:szCs w:val="32"/>
          <w:highlight w:val="none"/>
        </w:rPr>
        <w:t>第</w:t>
      </w:r>
      <w:r>
        <w:rPr>
          <w:rFonts w:hint="eastAsia" w:hAnsi="方正仿宋_GBK"/>
          <w:szCs w:val="32"/>
          <w:highlight w:val="none"/>
          <w:lang w:val="en-US" w:eastAsia="zh-CN"/>
        </w:rPr>
        <w:t>2</w:t>
      </w:r>
      <w:r>
        <w:rPr>
          <w:rFonts w:hint="eastAsia" w:ascii="Times New Roman" w:hAnsi="方正仿宋_GBK"/>
          <w:szCs w:val="32"/>
          <w:highlight w:val="none"/>
        </w:rPr>
        <w:t>次</w:t>
      </w:r>
      <w:r>
        <w:rPr>
          <w:rFonts w:hint="eastAsia" w:hAnsi="方正仿宋_GBK"/>
          <w:szCs w:val="32"/>
          <w:highlight w:val="none"/>
          <w:lang w:eastAsia="zh-CN"/>
        </w:rPr>
        <w:t>主任办公</w:t>
      </w:r>
      <w:r>
        <w:rPr>
          <w:rFonts w:hint="eastAsia" w:ascii="Times New Roman" w:hAnsi="方正仿宋_GBK"/>
          <w:szCs w:val="32"/>
          <w:highlight w:val="none"/>
        </w:rPr>
        <w:t>会审议通过，现印发给你们，请遵照执行</w:t>
      </w:r>
      <w:r>
        <w:rPr>
          <w:rFonts w:ascii="Times New Roman" w:hAnsi="方正仿宋_GBK"/>
          <w:szCs w:val="32"/>
          <w:highlight w:val="none"/>
        </w:rPr>
        <w:t>。</w:t>
      </w:r>
    </w:p>
    <w:p>
      <w:pPr>
        <w:jc w:val="both"/>
        <w:rPr>
          <w:highlight w:val="none"/>
        </w:rPr>
      </w:pPr>
    </w:p>
    <w:p>
      <w:pPr>
        <w:pStyle w:val="3"/>
        <w:adjustRightInd w:val="0"/>
        <w:snapToGrid w:val="0"/>
        <w:spacing w:line="594" w:lineRule="atLeast"/>
        <w:rPr>
          <w:rFonts w:hAnsi="方正仿宋_GBK"/>
          <w:szCs w:val="32"/>
          <w:highlight w:val="none"/>
        </w:rPr>
      </w:pPr>
    </w:p>
    <w:p>
      <w:pPr>
        <w:tabs>
          <w:tab w:val="left" w:pos="4732"/>
        </w:tabs>
        <w:adjustRightInd w:val="0"/>
        <w:snapToGrid w:val="0"/>
        <w:spacing w:line="594" w:lineRule="atLeast"/>
        <w:ind w:right="480"/>
        <w:jc w:val="right"/>
        <w:rPr>
          <w:rFonts w:ascii="Times New Roman" w:hAnsi="方正仿宋_GBK"/>
          <w:szCs w:val="32"/>
          <w:highlight w:val="none"/>
        </w:rPr>
      </w:pPr>
      <w:r>
        <w:rPr>
          <w:rFonts w:hint="eastAsia" w:ascii="Times New Roman" w:hAnsi="方正仿宋_GBK"/>
          <w:szCs w:val="32"/>
          <w:highlight w:val="none"/>
        </w:rPr>
        <w:t>重庆市永川区</w:t>
      </w:r>
      <w:r>
        <w:rPr>
          <w:rFonts w:hint="eastAsia" w:hAnsi="方正仿宋_GBK"/>
          <w:szCs w:val="32"/>
          <w:highlight w:val="none"/>
          <w:lang w:eastAsia="zh-CN"/>
        </w:rPr>
        <w:t>经济和信息化</w:t>
      </w:r>
      <w:r>
        <w:rPr>
          <w:rFonts w:hint="eastAsia" w:ascii="Times New Roman" w:hAnsi="方正仿宋_GBK"/>
          <w:szCs w:val="32"/>
          <w:highlight w:val="none"/>
        </w:rPr>
        <w:t>委员会</w:t>
      </w:r>
    </w:p>
    <w:p>
      <w:pPr>
        <w:tabs>
          <w:tab w:val="left" w:pos="4732"/>
        </w:tabs>
        <w:adjustRightInd w:val="0"/>
        <w:snapToGrid w:val="0"/>
        <w:spacing w:line="594" w:lineRule="atLeast"/>
        <w:ind w:firstLine="640" w:firstLineChars="200"/>
        <w:rPr>
          <w:rFonts w:hint="default"/>
          <w:highlight w:val="none"/>
          <w:lang w:val="en-US" w:eastAsia="zh-CN"/>
        </w:rPr>
        <w:sectPr>
          <w:pgSz w:w="11906" w:h="16838"/>
          <w:pgMar w:top="2098" w:right="1474" w:bottom="1984" w:left="1587" w:header="851" w:footer="992" w:gutter="0"/>
          <w:pgNumType w:fmt="decimal"/>
          <w:cols w:space="720" w:num="1"/>
          <w:docGrid w:type="lines" w:linePitch="312" w:charSpace="0"/>
        </w:sectPr>
      </w:pPr>
      <w:r>
        <w:rPr>
          <w:rFonts w:hint="eastAsia" w:ascii="Times New Roman" w:hAnsi="方正仿宋_GBK"/>
          <w:szCs w:val="32"/>
          <w:highlight w:val="none"/>
        </w:rPr>
        <w:t>（此件公开发布）           202</w:t>
      </w:r>
      <w:r>
        <w:rPr>
          <w:rFonts w:hint="eastAsia" w:hAnsi="方正仿宋_GBK"/>
          <w:szCs w:val="32"/>
          <w:highlight w:val="none"/>
          <w:lang w:val="en-US" w:eastAsia="zh-CN"/>
        </w:rPr>
        <w:t>4</w:t>
      </w:r>
      <w:r>
        <w:rPr>
          <w:rFonts w:hint="eastAsia" w:ascii="Times New Roman" w:hAnsi="方正仿宋_GBK"/>
          <w:szCs w:val="32"/>
          <w:highlight w:val="none"/>
        </w:rPr>
        <w:t>年</w:t>
      </w:r>
      <w:r>
        <w:rPr>
          <w:rFonts w:hint="eastAsia" w:hAnsi="方正仿宋_GBK"/>
          <w:szCs w:val="32"/>
          <w:highlight w:val="none"/>
          <w:lang w:val="en-US" w:eastAsia="zh-CN"/>
        </w:rPr>
        <w:t>2</w:t>
      </w:r>
      <w:r>
        <w:rPr>
          <w:rFonts w:hint="eastAsia" w:ascii="Times New Roman" w:hAnsi="方正仿宋_GBK"/>
          <w:szCs w:val="32"/>
          <w:highlight w:val="none"/>
        </w:rPr>
        <w:t>月</w:t>
      </w:r>
      <w:r>
        <w:rPr>
          <w:rFonts w:hint="eastAsia" w:hAnsi="方正仿宋_GBK"/>
          <w:szCs w:val="32"/>
          <w:highlight w:val="none"/>
          <w:lang w:val="en-US" w:eastAsia="zh-CN"/>
        </w:rPr>
        <w:t>4</w:t>
      </w:r>
      <w:r>
        <w:rPr>
          <w:rFonts w:hint="eastAsia" w:hAnsi="方正仿宋_GBK"/>
          <w:szCs w:val="32"/>
          <w:highlight w:val="none"/>
          <w:lang w:eastAsia="zh-CN"/>
        </w:rPr>
        <w:t>日</w:t>
      </w:r>
    </w:p>
    <w:p>
      <w:pPr>
        <w:rPr>
          <w:rFonts w:ascii="仿宋" w:hAnsi="仿宋" w:eastAsia="仿宋" w:cs="方正黑体_GBK"/>
          <w:color w:val="000000"/>
          <w:kern w:val="0"/>
          <w:sz w:val="42"/>
          <w:szCs w:val="42"/>
          <w:highlight w:val="none"/>
        </w:rPr>
      </w:pPr>
    </w:p>
    <w:p>
      <w:pPr>
        <w:widowControl/>
        <w:spacing w:line="590" w:lineRule="atLeast"/>
        <w:jc w:val="center"/>
        <w:rPr>
          <w:rFonts w:ascii="仿宋" w:hAnsi="仿宋" w:eastAsia="仿宋" w:cs="方正黑体_GBK"/>
          <w:color w:val="000000"/>
          <w:kern w:val="0"/>
          <w:sz w:val="42"/>
          <w:szCs w:val="42"/>
          <w:highlight w:val="none"/>
        </w:rPr>
      </w:pPr>
    </w:p>
    <w:p>
      <w:pPr>
        <w:widowControl/>
        <w:spacing w:line="590" w:lineRule="atLeast"/>
        <w:jc w:val="center"/>
        <w:rPr>
          <w:rFonts w:ascii="仿宋" w:hAnsi="仿宋" w:eastAsia="仿宋" w:cs="方正黑体_GBK"/>
          <w:color w:val="000000"/>
          <w:kern w:val="0"/>
          <w:sz w:val="42"/>
          <w:szCs w:val="42"/>
          <w:highlight w:val="none"/>
        </w:rPr>
      </w:pPr>
    </w:p>
    <w:p>
      <w:pPr>
        <w:widowControl/>
        <w:spacing w:line="590" w:lineRule="atLeast"/>
        <w:jc w:val="center"/>
        <w:rPr>
          <w:rFonts w:ascii="仿宋" w:hAnsi="仿宋" w:eastAsia="仿宋" w:cs="方正黑体_GBK"/>
          <w:color w:val="000000"/>
          <w:kern w:val="0"/>
          <w:sz w:val="42"/>
          <w:szCs w:val="42"/>
          <w:highlight w:val="none"/>
        </w:rPr>
      </w:pPr>
    </w:p>
    <w:p>
      <w:pPr>
        <w:widowControl/>
        <w:spacing w:line="590" w:lineRule="atLeast"/>
        <w:jc w:val="center"/>
        <w:rPr>
          <w:rFonts w:ascii="仿宋" w:hAnsi="仿宋" w:eastAsia="仿宋" w:cs="方正黑体_GBK"/>
          <w:color w:val="000000"/>
          <w:kern w:val="0"/>
          <w:sz w:val="42"/>
          <w:szCs w:val="42"/>
          <w:highlight w:val="none"/>
        </w:rPr>
      </w:pPr>
    </w:p>
    <w:p>
      <w:pPr>
        <w:snapToGrid w:val="0"/>
        <w:jc w:val="center"/>
        <w:rPr>
          <w:rFonts w:ascii="方正小标宋_GBK" w:eastAsia="方正小标宋_GBK" w:hAnsiTheme="minorHAnsi" w:cstheme="minorBidi"/>
          <w:bCs/>
          <w:sz w:val="44"/>
          <w:szCs w:val="44"/>
          <w:highlight w:val="none"/>
        </w:rPr>
      </w:pPr>
      <w:r>
        <w:rPr>
          <w:rFonts w:hint="eastAsia" w:ascii="方正小标宋_GBK" w:eastAsia="方正小标宋_GBK" w:hAnsiTheme="minorHAnsi" w:cstheme="minorBidi"/>
          <w:bCs/>
          <w:sz w:val="44"/>
          <w:szCs w:val="44"/>
          <w:highlight w:val="none"/>
        </w:rPr>
        <w:t>重庆市永川区</w:t>
      </w:r>
    </w:p>
    <w:p>
      <w:pPr>
        <w:snapToGrid w:val="0"/>
        <w:jc w:val="center"/>
        <w:rPr>
          <w:rFonts w:ascii="方正小标宋_GBK" w:eastAsia="方正小标宋_GBK" w:hAnsiTheme="minorHAnsi" w:cstheme="minorBidi"/>
          <w:bCs/>
          <w:sz w:val="44"/>
          <w:szCs w:val="44"/>
          <w:highlight w:val="none"/>
        </w:rPr>
      </w:pPr>
      <w:bookmarkStart w:id="0" w:name="_Toc77178934"/>
      <w:r>
        <w:rPr>
          <w:rFonts w:hint="eastAsia" w:ascii="方正小标宋_GBK" w:eastAsia="方正小标宋_GBK" w:hAnsiTheme="minorHAnsi" w:cstheme="minorBidi"/>
          <w:bCs/>
          <w:sz w:val="44"/>
          <w:szCs w:val="44"/>
          <w:highlight w:val="none"/>
        </w:rPr>
        <w:t>液化石油气、二甲醚、醇基燃料事故应急预案</w:t>
      </w:r>
      <w:bookmarkEnd w:id="0"/>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snapToGrid w:val="0"/>
        <w:spacing w:before="240" w:beforeLines="100"/>
        <w:jc w:val="center"/>
        <w:rPr>
          <w:rFonts w:ascii="方正黑体_GBK" w:eastAsia="方正黑体_GBK" w:hAnsiTheme="minorHAnsi" w:cstheme="minorBidi"/>
          <w:bCs/>
          <w:szCs w:val="32"/>
          <w:highlight w:val="none"/>
        </w:rPr>
      </w:pPr>
      <w:bookmarkStart w:id="1" w:name="_Toc21394_WPSOffice_Type3"/>
      <w:r>
        <w:rPr>
          <w:rFonts w:ascii="仿宋" w:hAnsi="仿宋" w:eastAsia="仿宋" w:cs="仿宋_GB2312"/>
          <w:sz w:val="28"/>
          <w:szCs w:val="28"/>
          <w:highlight w:val="none"/>
        </w:rPr>
        <w:br w:type="page"/>
      </w:r>
      <w:r>
        <w:rPr>
          <w:rFonts w:hint="eastAsia" w:ascii="方正黑体_GBK" w:eastAsia="方正黑体_GBK" w:hAnsiTheme="minorHAnsi" w:cstheme="minorBidi"/>
          <w:bCs/>
          <w:szCs w:val="32"/>
          <w:highlight w:val="none"/>
        </w:rPr>
        <w:t>目  录</w:t>
      </w:r>
    </w:p>
    <w:p>
      <w:pPr>
        <w:pStyle w:val="12"/>
        <w:tabs>
          <w:tab w:val="right" w:leader="dot" w:pos="8834"/>
        </w:tabs>
        <w:rPr>
          <w:rStyle w:val="19"/>
          <w:rFonts w:ascii="方正黑体_GBK" w:eastAsia="方正黑体_GBK"/>
          <w:color w:val="000000"/>
          <w:kern w:val="0"/>
          <w:sz w:val="28"/>
          <w:szCs w:val="28"/>
          <w:highlight w:val="none"/>
          <w:u w:val="none"/>
        </w:rPr>
      </w:pPr>
      <w:r>
        <w:rPr>
          <w:rFonts w:ascii="仿宋" w:hAnsi="仿宋" w:eastAsia="仿宋" w:cs="宋体"/>
          <w:b w:val="0"/>
          <w:bCs w:val="0"/>
          <w:caps w:val="0"/>
          <w:color w:val="000000"/>
          <w:spacing w:val="-2"/>
          <w:kern w:val="0"/>
          <w:sz w:val="30"/>
          <w:szCs w:val="30"/>
          <w:highlight w:val="none"/>
        </w:rPr>
        <w:fldChar w:fldCharType="begin"/>
      </w:r>
      <w:r>
        <w:rPr>
          <w:rFonts w:ascii="仿宋" w:hAnsi="仿宋" w:eastAsia="仿宋" w:cs="宋体"/>
          <w:b w:val="0"/>
          <w:bCs w:val="0"/>
          <w:caps w:val="0"/>
          <w:color w:val="000000"/>
          <w:spacing w:val="-2"/>
          <w:kern w:val="0"/>
          <w:sz w:val="30"/>
          <w:szCs w:val="30"/>
          <w:highlight w:val="none"/>
        </w:rPr>
        <w:instrText xml:space="preserve"> TOC \o "1-2" \h \z \u </w:instrText>
      </w:r>
      <w:r>
        <w:rPr>
          <w:rFonts w:ascii="仿宋" w:hAnsi="仿宋" w:eastAsia="仿宋" w:cs="宋体"/>
          <w:b w:val="0"/>
          <w:bCs w:val="0"/>
          <w:caps w:val="0"/>
          <w:color w:val="000000"/>
          <w:spacing w:val="-2"/>
          <w:kern w:val="0"/>
          <w:sz w:val="30"/>
          <w:szCs w:val="30"/>
          <w:highlight w:val="none"/>
        </w:rPr>
        <w:fldChar w:fldCharType="separate"/>
      </w:r>
      <w:r>
        <w:rPr>
          <w:highlight w:val="none"/>
        </w:rPr>
        <w:fldChar w:fldCharType="begin"/>
      </w:r>
      <w:r>
        <w:rPr>
          <w:highlight w:val="none"/>
        </w:rPr>
        <w:instrText xml:space="preserve"> HYPERLINK \l "_Toc148104579" </w:instrText>
      </w:r>
      <w:r>
        <w:rPr>
          <w:highlight w:val="none"/>
        </w:rPr>
        <w:fldChar w:fldCharType="separate"/>
      </w:r>
      <w:r>
        <w:rPr>
          <w:rStyle w:val="19"/>
          <w:rFonts w:ascii="方正黑体_GBK" w:eastAsia="方正黑体_GBK"/>
          <w:color w:val="000000"/>
          <w:kern w:val="0"/>
          <w:sz w:val="28"/>
          <w:szCs w:val="28"/>
          <w:highlight w:val="none"/>
          <w:u w:val="none"/>
        </w:rPr>
        <w:t xml:space="preserve">1  </w:t>
      </w:r>
      <w:r>
        <w:rPr>
          <w:rStyle w:val="19"/>
          <w:rFonts w:hint="eastAsia" w:ascii="方正黑体_GBK" w:eastAsia="方正黑体_GBK"/>
          <w:color w:val="000000"/>
          <w:kern w:val="0"/>
          <w:sz w:val="28"/>
          <w:szCs w:val="28"/>
          <w:highlight w:val="none"/>
          <w:u w:val="none"/>
        </w:rPr>
        <w:t>总则</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_Toc148104579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1</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"_Toc148104580"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1.1 </w:t>
      </w:r>
      <w:r>
        <w:rPr>
          <w:rStyle w:val="19"/>
          <w:rFonts w:hint="eastAsia" w:ascii="方正楷体_GBK" w:hAnsi="方正楷体_GBK" w:eastAsia="方正楷体_GBK" w:cs="方正楷体_GBK"/>
          <w:color w:val="000000"/>
          <w:kern w:val="0"/>
          <w:sz w:val="28"/>
          <w:szCs w:val="28"/>
          <w:highlight w:val="none"/>
          <w:u w:val="none"/>
        </w:rPr>
        <w:t>编制目的</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_Toc148104580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"_Toc148104581"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1.2 </w:t>
      </w:r>
      <w:r>
        <w:rPr>
          <w:rStyle w:val="19"/>
          <w:rFonts w:hint="eastAsia" w:ascii="方正楷体_GBK" w:hAnsi="方正楷体_GBK" w:eastAsia="方正楷体_GBK" w:cs="方正楷体_GBK"/>
          <w:color w:val="000000"/>
          <w:kern w:val="0"/>
          <w:sz w:val="28"/>
          <w:szCs w:val="28"/>
          <w:highlight w:val="none"/>
          <w:u w:val="none"/>
        </w:rPr>
        <w:t>编制依据</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_Toc148104581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"_Toc148104582"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1.3 </w:t>
      </w:r>
      <w:r>
        <w:rPr>
          <w:rStyle w:val="19"/>
          <w:rFonts w:hint="eastAsia" w:ascii="方正楷体_GBK" w:hAnsi="方正楷体_GBK" w:eastAsia="方正楷体_GBK" w:cs="方正楷体_GBK"/>
          <w:color w:val="000000"/>
          <w:kern w:val="0"/>
          <w:sz w:val="28"/>
          <w:szCs w:val="28"/>
          <w:highlight w:val="none"/>
          <w:u w:val="none"/>
        </w:rPr>
        <w:t>工作原则</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_Toc148104582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"_Toc148104583"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1.4 </w:t>
      </w:r>
      <w:r>
        <w:rPr>
          <w:rStyle w:val="19"/>
          <w:rFonts w:hint="eastAsia" w:ascii="方正楷体_GBK" w:hAnsi="方正楷体_GBK" w:eastAsia="方正楷体_GBK" w:cs="方正楷体_GBK"/>
          <w:color w:val="000000"/>
          <w:kern w:val="0"/>
          <w:sz w:val="28"/>
          <w:szCs w:val="28"/>
          <w:highlight w:val="none"/>
          <w:u w:val="none"/>
        </w:rPr>
        <w:t>适用范围</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_Toc148104583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"_Toc148104584"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1.5 </w:t>
      </w:r>
      <w:r>
        <w:rPr>
          <w:rStyle w:val="19"/>
          <w:rFonts w:hint="eastAsia" w:ascii="方正楷体_GBK" w:hAnsi="方正楷体_GBK" w:eastAsia="方正楷体_GBK" w:cs="方正楷体_GBK"/>
          <w:color w:val="000000"/>
          <w:kern w:val="0"/>
          <w:sz w:val="28"/>
          <w:szCs w:val="28"/>
          <w:highlight w:val="none"/>
          <w:u w:val="none"/>
        </w:rPr>
        <w:t>预案体系</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_Toc148104584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3</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2"/>
        <w:tabs>
          <w:tab w:val="right" w:leader="dot" w:pos="8834"/>
        </w:tabs>
        <w:rPr>
          <w:rStyle w:val="19"/>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"_Toc148104585" </w:instrText>
      </w:r>
      <w:r>
        <w:rPr>
          <w:highlight w:val="none"/>
        </w:rPr>
        <w:fldChar w:fldCharType="separate"/>
      </w:r>
      <w:r>
        <w:rPr>
          <w:rStyle w:val="19"/>
          <w:rFonts w:ascii="方正黑体_GBK" w:eastAsia="方正黑体_GBK"/>
          <w:color w:val="000000"/>
          <w:kern w:val="0"/>
          <w:sz w:val="28"/>
          <w:szCs w:val="28"/>
          <w:highlight w:val="none"/>
          <w:u w:val="none"/>
        </w:rPr>
        <w:t xml:space="preserve">2  </w:t>
      </w:r>
      <w:r>
        <w:rPr>
          <w:rStyle w:val="19"/>
          <w:rFonts w:hint="eastAsia" w:ascii="方正黑体_GBK" w:eastAsia="方正黑体_GBK"/>
          <w:color w:val="000000"/>
          <w:kern w:val="0"/>
          <w:sz w:val="28"/>
          <w:szCs w:val="28"/>
          <w:highlight w:val="none"/>
          <w:u w:val="none"/>
        </w:rPr>
        <w:t>应急组织机构及职责</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_Toc148104585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4</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"_Toc148104586"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2.1 </w:t>
      </w:r>
      <w:r>
        <w:rPr>
          <w:rStyle w:val="19"/>
          <w:rFonts w:hint="eastAsia" w:ascii="方正楷体_GBK" w:hAnsi="方正楷体_GBK" w:eastAsia="方正楷体_GBK" w:cs="方正楷体_GBK"/>
          <w:color w:val="000000"/>
          <w:kern w:val="0"/>
          <w:sz w:val="28"/>
          <w:szCs w:val="28"/>
          <w:highlight w:val="none"/>
          <w:u w:val="none"/>
        </w:rPr>
        <w:t>应急组织指挥机构</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_Toc148104586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4</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"_Toc148104587"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2.2 </w:t>
      </w:r>
      <w:r>
        <w:rPr>
          <w:rStyle w:val="19"/>
          <w:rFonts w:hint="eastAsia" w:ascii="方正楷体_GBK" w:hAnsi="方正楷体_GBK" w:eastAsia="方正楷体_GBK" w:cs="方正楷体_GBK"/>
          <w:color w:val="000000"/>
          <w:kern w:val="0"/>
          <w:sz w:val="28"/>
          <w:szCs w:val="28"/>
          <w:highlight w:val="none"/>
          <w:u w:val="none"/>
        </w:rPr>
        <w:t>现场指挥机构</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_Toc148104587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4</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"_Toc148104588"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2.3 </w:t>
      </w:r>
      <w:r>
        <w:rPr>
          <w:rStyle w:val="19"/>
          <w:rFonts w:hint="eastAsia" w:ascii="方正楷体_GBK" w:hAnsi="方正楷体_GBK" w:eastAsia="方正楷体_GBK" w:cs="方正楷体_GBK"/>
          <w:color w:val="000000"/>
          <w:kern w:val="0"/>
          <w:sz w:val="28"/>
          <w:szCs w:val="28"/>
          <w:highlight w:val="none"/>
          <w:u w:val="none"/>
        </w:rPr>
        <w:t>专家组</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_Toc148104588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5</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"_Toc148104589"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2.4 </w:t>
      </w:r>
      <w:r>
        <w:rPr>
          <w:rStyle w:val="19"/>
          <w:rFonts w:hint="eastAsia" w:ascii="方正楷体_GBK" w:hAnsi="方正楷体_GBK" w:eastAsia="方正楷体_GBK" w:cs="方正楷体_GBK"/>
          <w:color w:val="000000"/>
          <w:kern w:val="0"/>
          <w:sz w:val="28"/>
          <w:szCs w:val="28"/>
          <w:highlight w:val="none"/>
          <w:u w:val="none"/>
        </w:rPr>
        <w:t>应急组织机构工作职责</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_Toc148104589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5</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"_Toc148104590"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2.5 </w:t>
      </w:r>
      <w:r>
        <w:rPr>
          <w:rStyle w:val="19"/>
          <w:rFonts w:hint="eastAsia" w:ascii="方正楷体_GBK" w:hAnsi="方正楷体_GBK" w:eastAsia="方正楷体_GBK" w:cs="方正楷体_GBK"/>
          <w:color w:val="000000"/>
          <w:kern w:val="0"/>
          <w:sz w:val="28"/>
          <w:szCs w:val="28"/>
          <w:highlight w:val="none"/>
          <w:u w:val="none"/>
        </w:rPr>
        <w:t>主要成员单位职责</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_Toc148104590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9</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2"/>
        <w:tabs>
          <w:tab w:val="right" w:leader="dot" w:pos="8834"/>
        </w:tabs>
        <w:rPr>
          <w:rStyle w:val="19"/>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"_Toc148104591" </w:instrText>
      </w:r>
      <w:r>
        <w:rPr>
          <w:highlight w:val="none"/>
        </w:rPr>
        <w:fldChar w:fldCharType="separate"/>
      </w:r>
      <w:r>
        <w:rPr>
          <w:rStyle w:val="19"/>
          <w:rFonts w:ascii="方正黑体_GBK" w:eastAsia="方正黑体_GBK"/>
          <w:color w:val="000000"/>
          <w:kern w:val="0"/>
          <w:sz w:val="28"/>
          <w:szCs w:val="28"/>
          <w:highlight w:val="none"/>
          <w:u w:val="none"/>
        </w:rPr>
        <w:t xml:space="preserve">3  </w:t>
      </w:r>
      <w:r>
        <w:rPr>
          <w:rStyle w:val="19"/>
          <w:rFonts w:hint="eastAsia" w:ascii="方正黑体_GBK" w:eastAsia="方正黑体_GBK"/>
          <w:color w:val="000000"/>
          <w:kern w:val="0"/>
          <w:sz w:val="28"/>
          <w:szCs w:val="28"/>
          <w:highlight w:val="none"/>
          <w:u w:val="none"/>
        </w:rPr>
        <w:t>监测、预警</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_Toc148104591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11</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"_Toc148104592"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3.1 </w:t>
      </w:r>
      <w:r>
        <w:rPr>
          <w:rStyle w:val="19"/>
          <w:rFonts w:hint="eastAsia" w:ascii="方正楷体_GBK" w:hAnsi="方正楷体_GBK" w:eastAsia="方正楷体_GBK" w:cs="方正楷体_GBK"/>
          <w:color w:val="000000"/>
          <w:kern w:val="0"/>
          <w:sz w:val="28"/>
          <w:szCs w:val="28"/>
          <w:highlight w:val="none"/>
          <w:u w:val="none"/>
        </w:rPr>
        <w:t>监测</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_Toc148104592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11</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"_Toc148104593"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3.2 </w:t>
      </w:r>
      <w:r>
        <w:rPr>
          <w:rStyle w:val="19"/>
          <w:rFonts w:hint="eastAsia" w:ascii="方正楷体_GBK" w:hAnsi="方正楷体_GBK" w:eastAsia="方正楷体_GBK" w:cs="方正楷体_GBK"/>
          <w:color w:val="000000"/>
          <w:kern w:val="0"/>
          <w:sz w:val="28"/>
          <w:szCs w:val="28"/>
          <w:highlight w:val="none"/>
          <w:u w:val="none"/>
        </w:rPr>
        <w:t>预警分级</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_Toc148104593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12</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"_Toc148104594"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3.3 </w:t>
      </w:r>
      <w:r>
        <w:rPr>
          <w:rStyle w:val="19"/>
          <w:rFonts w:hint="eastAsia" w:ascii="方正楷体_GBK" w:hAnsi="方正楷体_GBK" w:eastAsia="方正楷体_GBK" w:cs="方正楷体_GBK"/>
          <w:color w:val="000000"/>
          <w:kern w:val="0"/>
          <w:sz w:val="28"/>
          <w:szCs w:val="28"/>
          <w:highlight w:val="none"/>
          <w:u w:val="none"/>
        </w:rPr>
        <w:t>预警信息发布</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_Toc148104594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12</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"_Toc148104595"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3.4 </w:t>
      </w:r>
      <w:r>
        <w:rPr>
          <w:rStyle w:val="19"/>
          <w:rFonts w:hint="eastAsia" w:ascii="方正楷体_GBK" w:hAnsi="方正楷体_GBK" w:eastAsia="方正楷体_GBK" w:cs="方正楷体_GBK"/>
          <w:color w:val="000000"/>
          <w:kern w:val="0"/>
          <w:sz w:val="28"/>
          <w:szCs w:val="28"/>
          <w:highlight w:val="none"/>
          <w:u w:val="none"/>
        </w:rPr>
        <w:t>预警行动</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_Toc148104595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13</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"_Toc148104596"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3.5 </w:t>
      </w:r>
      <w:r>
        <w:rPr>
          <w:rStyle w:val="19"/>
          <w:rFonts w:hint="eastAsia" w:ascii="方正楷体_GBK" w:hAnsi="方正楷体_GBK" w:eastAsia="方正楷体_GBK" w:cs="方正楷体_GBK"/>
          <w:color w:val="000000"/>
          <w:kern w:val="0"/>
          <w:sz w:val="28"/>
          <w:szCs w:val="28"/>
          <w:highlight w:val="none"/>
          <w:u w:val="none"/>
        </w:rPr>
        <w:t>预警调整和解除</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_Toc148104596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14</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2"/>
        <w:tabs>
          <w:tab w:val="right" w:leader="dot" w:pos="8834"/>
        </w:tabs>
        <w:rPr>
          <w:rStyle w:val="19"/>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"_Toc148104597" </w:instrText>
      </w:r>
      <w:r>
        <w:rPr>
          <w:highlight w:val="none"/>
        </w:rPr>
        <w:fldChar w:fldCharType="separate"/>
      </w:r>
      <w:r>
        <w:rPr>
          <w:rStyle w:val="19"/>
          <w:rFonts w:ascii="方正黑体_GBK" w:eastAsia="方正黑体_GBK"/>
          <w:color w:val="000000"/>
          <w:kern w:val="0"/>
          <w:sz w:val="28"/>
          <w:szCs w:val="28"/>
          <w:highlight w:val="none"/>
          <w:u w:val="none"/>
        </w:rPr>
        <w:t xml:space="preserve">4  </w:t>
      </w:r>
      <w:r>
        <w:rPr>
          <w:rStyle w:val="19"/>
          <w:rFonts w:hint="eastAsia" w:ascii="方正黑体_GBK" w:eastAsia="方正黑体_GBK"/>
          <w:color w:val="000000"/>
          <w:kern w:val="0"/>
          <w:sz w:val="28"/>
          <w:szCs w:val="28"/>
          <w:highlight w:val="none"/>
          <w:u w:val="none"/>
        </w:rPr>
        <w:t>应急响应</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_Toc148104597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14</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"_Toc148104598"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4.1 </w:t>
      </w:r>
      <w:r>
        <w:rPr>
          <w:rStyle w:val="19"/>
          <w:rFonts w:hint="eastAsia" w:ascii="方正楷体_GBK" w:hAnsi="方正楷体_GBK" w:eastAsia="方正楷体_GBK" w:cs="方正楷体_GBK"/>
          <w:color w:val="000000"/>
          <w:kern w:val="0"/>
          <w:sz w:val="28"/>
          <w:szCs w:val="28"/>
          <w:highlight w:val="none"/>
          <w:u w:val="none"/>
        </w:rPr>
        <w:t>信息报告</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_Toc148104598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14</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"_Toc148104599"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4.2 </w:t>
      </w:r>
      <w:r>
        <w:rPr>
          <w:rStyle w:val="19"/>
          <w:rFonts w:hint="eastAsia" w:ascii="方正楷体_GBK" w:hAnsi="方正楷体_GBK" w:eastAsia="方正楷体_GBK" w:cs="方正楷体_GBK"/>
          <w:color w:val="000000"/>
          <w:kern w:val="0"/>
          <w:sz w:val="28"/>
          <w:szCs w:val="28"/>
          <w:highlight w:val="none"/>
          <w:u w:val="none"/>
        </w:rPr>
        <w:t>响应分级</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_Toc148104599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15</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"_Toc148104600"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4.3 </w:t>
      </w:r>
      <w:r>
        <w:rPr>
          <w:rStyle w:val="19"/>
          <w:rFonts w:hint="eastAsia" w:ascii="方正楷体_GBK" w:hAnsi="方正楷体_GBK" w:eastAsia="方正楷体_GBK" w:cs="方正楷体_GBK"/>
          <w:color w:val="000000"/>
          <w:kern w:val="0"/>
          <w:sz w:val="28"/>
          <w:szCs w:val="28"/>
          <w:highlight w:val="none"/>
          <w:u w:val="none"/>
        </w:rPr>
        <w:t>响应程序</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_Toc148104600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16</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"_Toc148104601"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4.4 </w:t>
      </w:r>
      <w:r>
        <w:rPr>
          <w:rStyle w:val="19"/>
          <w:rFonts w:hint="eastAsia" w:ascii="方正楷体_GBK" w:hAnsi="方正楷体_GBK" w:eastAsia="方正楷体_GBK" w:cs="方正楷体_GBK"/>
          <w:color w:val="000000"/>
          <w:kern w:val="0"/>
          <w:sz w:val="28"/>
          <w:szCs w:val="28"/>
          <w:highlight w:val="none"/>
          <w:u w:val="none"/>
        </w:rPr>
        <w:t>响应措施</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_Toc148104601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18</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"_Toc148104602"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4.5 </w:t>
      </w:r>
      <w:r>
        <w:rPr>
          <w:rStyle w:val="19"/>
          <w:rFonts w:hint="eastAsia" w:ascii="方正楷体_GBK" w:hAnsi="方正楷体_GBK" w:eastAsia="方正楷体_GBK" w:cs="方正楷体_GBK"/>
          <w:color w:val="000000"/>
          <w:kern w:val="0"/>
          <w:sz w:val="28"/>
          <w:szCs w:val="28"/>
          <w:highlight w:val="none"/>
          <w:u w:val="none"/>
        </w:rPr>
        <w:t>扩大应急</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_Toc148104602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20</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"_Toc148104603"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4.6 </w:t>
      </w:r>
      <w:r>
        <w:rPr>
          <w:rStyle w:val="19"/>
          <w:rFonts w:hint="eastAsia" w:ascii="方正楷体_GBK" w:hAnsi="方正楷体_GBK" w:eastAsia="方正楷体_GBK" w:cs="方正楷体_GBK"/>
          <w:color w:val="000000"/>
          <w:kern w:val="0"/>
          <w:sz w:val="28"/>
          <w:szCs w:val="28"/>
          <w:highlight w:val="none"/>
          <w:u w:val="none"/>
        </w:rPr>
        <w:t>响应结束</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_Toc148104603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20</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"_Toc148104604"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4.7 </w:t>
      </w:r>
      <w:r>
        <w:rPr>
          <w:rStyle w:val="19"/>
          <w:rFonts w:hint="eastAsia" w:ascii="方正楷体_GBK" w:hAnsi="方正楷体_GBK" w:eastAsia="方正楷体_GBK" w:cs="方正楷体_GBK"/>
          <w:color w:val="000000"/>
          <w:kern w:val="0"/>
          <w:sz w:val="28"/>
          <w:szCs w:val="28"/>
          <w:highlight w:val="none"/>
          <w:u w:val="none"/>
        </w:rPr>
        <w:t>信息发布</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_Toc148104604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20</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2"/>
        <w:tabs>
          <w:tab w:val="right" w:leader="dot" w:pos="8834"/>
        </w:tabs>
        <w:rPr>
          <w:rStyle w:val="19"/>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"_Toc148104605" </w:instrText>
      </w:r>
      <w:r>
        <w:rPr>
          <w:highlight w:val="none"/>
        </w:rPr>
        <w:fldChar w:fldCharType="separate"/>
      </w:r>
      <w:r>
        <w:rPr>
          <w:rStyle w:val="19"/>
          <w:rFonts w:ascii="方正黑体_GBK" w:eastAsia="方正黑体_GBK"/>
          <w:color w:val="000000"/>
          <w:kern w:val="0"/>
          <w:sz w:val="28"/>
          <w:szCs w:val="28"/>
          <w:highlight w:val="none"/>
          <w:u w:val="none"/>
        </w:rPr>
        <w:t xml:space="preserve">5  </w:t>
      </w:r>
      <w:r>
        <w:rPr>
          <w:rStyle w:val="19"/>
          <w:rFonts w:hint="eastAsia" w:ascii="方正黑体_GBK" w:eastAsia="方正黑体_GBK"/>
          <w:color w:val="000000"/>
          <w:kern w:val="0"/>
          <w:sz w:val="28"/>
          <w:szCs w:val="28"/>
          <w:highlight w:val="none"/>
          <w:u w:val="none"/>
        </w:rPr>
        <w:t>后期处置</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_Toc148104605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21</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"_Toc148104606"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5.1 </w:t>
      </w:r>
      <w:r>
        <w:rPr>
          <w:rStyle w:val="19"/>
          <w:rFonts w:hint="eastAsia" w:ascii="方正楷体_GBK" w:hAnsi="方正楷体_GBK" w:eastAsia="方正楷体_GBK" w:cs="方正楷体_GBK"/>
          <w:color w:val="000000"/>
          <w:kern w:val="0"/>
          <w:sz w:val="28"/>
          <w:szCs w:val="28"/>
          <w:highlight w:val="none"/>
          <w:u w:val="none"/>
        </w:rPr>
        <w:t>善后处理</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_Toc148104606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21</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"_Toc148104607"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5.2 </w:t>
      </w:r>
      <w:r>
        <w:rPr>
          <w:rStyle w:val="19"/>
          <w:rFonts w:hint="eastAsia" w:ascii="方正楷体_GBK" w:hAnsi="方正楷体_GBK" w:eastAsia="方正楷体_GBK" w:cs="方正楷体_GBK"/>
          <w:color w:val="000000"/>
          <w:kern w:val="0"/>
          <w:sz w:val="28"/>
          <w:szCs w:val="28"/>
          <w:highlight w:val="none"/>
          <w:u w:val="none"/>
        </w:rPr>
        <w:t>事故调查</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_Toc148104607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21</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"_Toc148104608"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5.3 </w:t>
      </w:r>
      <w:r>
        <w:rPr>
          <w:rStyle w:val="19"/>
          <w:rFonts w:hint="eastAsia" w:ascii="方正楷体_GBK" w:hAnsi="方正楷体_GBK" w:eastAsia="方正楷体_GBK" w:cs="方正楷体_GBK"/>
          <w:color w:val="000000"/>
          <w:kern w:val="0"/>
          <w:sz w:val="28"/>
          <w:szCs w:val="28"/>
          <w:highlight w:val="none"/>
          <w:u w:val="none"/>
        </w:rPr>
        <w:t>总结评估</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_Toc148104608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22</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2"/>
        <w:tabs>
          <w:tab w:val="right" w:leader="dot" w:pos="8834"/>
        </w:tabs>
        <w:rPr>
          <w:rStyle w:val="19"/>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"_Toc148104609" </w:instrText>
      </w:r>
      <w:r>
        <w:rPr>
          <w:highlight w:val="none"/>
        </w:rPr>
        <w:fldChar w:fldCharType="separate"/>
      </w:r>
      <w:r>
        <w:rPr>
          <w:rStyle w:val="19"/>
          <w:rFonts w:ascii="方正黑体_GBK" w:eastAsia="方正黑体_GBK"/>
          <w:color w:val="000000"/>
          <w:kern w:val="0"/>
          <w:sz w:val="28"/>
          <w:szCs w:val="28"/>
          <w:highlight w:val="none"/>
          <w:u w:val="none"/>
        </w:rPr>
        <w:t xml:space="preserve">6  </w:t>
      </w:r>
      <w:r>
        <w:rPr>
          <w:rStyle w:val="19"/>
          <w:rFonts w:hint="eastAsia" w:ascii="方正黑体_GBK" w:eastAsia="方正黑体_GBK"/>
          <w:color w:val="000000"/>
          <w:kern w:val="0"/>
          <w:sz w:val="28"/>
          <w:szCs w:val="28"/>
          <w:highlight w:val="none"/>
          <w:u w:val="none"/>
        </w:rPr>
        <w:t>保障措施</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_Toc148104609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22</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"_Toc148104610"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6.1 </w:t>
      </w:r>
      <w:r>
        <w:rPr>
          <w:rStyle w:val="19"/>
          <w:rFonts w:hint="eastAsia" w:ascii="方正楷体_GBK" w:hAnsi="方正楷体_GBK" w:eastAsia="方正楷体_GBK" w:cs="方正楷体_GBK"/>
          <w:color w:val="000000"/>
          <w:kern w:val="0"/>
          <w:sz w:val="28"/>
          <w:szCs w:val="28"/>
          <w:highlight w:val="none"/>
          <w:u w:val="none"/>
        </w:rPr>
        <w:t>应急队伍保障</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_Toc148104610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22</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"_Toc148104611"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6.2 </w:t>
      </w:r>
      <w:r>
        <w:rPr>
          <w:rStyle w:val="19"/>
          <w:rFonts w:hint="eastAsia" w:ascii="方正楷体_GBK" w:hAnsi="方正楷体_GBK" w:eastAsia="方正楷体_GBK" w:cs="方正楷体_GBK"/>
          <w:color w:val="000000"/>
          <w:kern w:val="0"/>
          <w:sz w:val="28"/>
          <w:szCs w:val="28"/>
          <w:highlight w:val="none"/>
          <w:u w:val="none"/>
        </w:rPr>
        <w:t>物资和装备保障</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_Toc148104611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23</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"_Toc148104612"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6.3 </w:t>
      </w:r>
      <w:r>
        <w:rPr>
          <w:rStyle w:val="19"/>
          <w:rFonts w:hint="eastAsia" w:ascii="方正楷体_GBK" w:hAnsi="方正楷体_GBK" w:eastAsia="方正楷体_GBK" w:cs="方正楷体_GBK"/>
          <w:color w:val="000000"/>
          <w:kern w:val="0"/>
          <w:sz w:val="28"/>
          <w:szCs w:val="28"/>
          <w:highlight w:val="none"/>
          <w:u w:val="none"/>
        </w:rPr>
        <w:t>交通保障</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_Toc148104612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23</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"_Toc148104613"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6.4 </w:t>
      </w:r>
      <w:r>
        <w:rPr>
          <w:rStyle w:val="19"/>
          <w:rFonts w:hint="eastAsia" w:ascii="方正楷体_GBK" w:hAnsi="方正楷体_GBK" w:eastAsia="方正楷体_GBK" w:cs="方正楷体_GBK"/>
          <w:color w:val="000000"/>
          <w:kern w:val="0"/>
          <w:sz w:val="28"/>
          <w:szCs w:val="28"/>
          <w:highlight w:val="none"/>
          <w:u w:val="none"/>
        </w:rPr>
        <w:t>医疗卫生保障</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_Toc148104613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23</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"_Toc148104614"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6.5 </w:t>
      </w:r>
      <w:r>
        <w:rPr>
          <w:rStyle w:val="19"/>
          <w:rFonts w:hint="eastAsia" w:ascii="方正楷体_GBK" w:hAnsi="方正楷体_GBK" w:eastAsia="方正楷体_GBK" w:cs="方正楷体_GBK"/>
          <w:color w:val="000000"/>
          <w:kern w:val="0"/>
          <w:sz w:val="28"/>
          <w:szCs w:val="28"/>
          <w:highlight w:val="none"/>
          <w:u w:val="none"/>
        </w:rPr>
        <w:t>治安保障</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_Toc148104614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24</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"_Toc148104615"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6.6 </w:t>
      </w:r>
      <w:r>
        <w:rPr>
          <w:rStyle w:val="19"/>
          <w:rFonts w:hint="eastAsia" w:ascii="方正楷体_GBK" w:hAnsi="方正楷体_GBK" w:eastAsia="方正楷体_GBK" w:cs="方正楷体_GBK"/>
          <w:color w:val="000000"/>
          <w:kern w:val="0"/>
          <w:sz w:val="28"/>
          <w:szCs w:val="28"/>
          <w:highlight w:val="none"/>
          <w:u w:val="none"/>
        </w:rPr>
        <w:t>资金保障</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_Toc148104615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24</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2"/>
        <w:tabs>
          <w:tab w:val="right" w:leader="dot" w:pos="8834"/>
        </w:tabs>
        <w:rPr>
          <w:rStyle w:val="19"/>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"_Toc148104616" </w:instrText>
      </w:r>
      <w:r>
        <w:rPr>
          <w:highlight w:val="none"/>
        </w:rPr>
        <w:fldChar w:fldCharType="separate"/>
      </w:r>
      <w:r>
        <w:rPr>
          <w:rStyle w:val="19"/>
          <w:rFonts w:ascii="方正黑体_GBK" w:eastAsia="方正黑体_GBK"/>
          <w:color w:val="000000"/>
          <w:kern w:val="0"/>
          <w:sz w:val="28"/>
          <w:szCs w:val="28"/>
          <w:highlight w:val="none"/>
          <w:u w:val="none"/>
        </w:rPr>
        <w:t xml:space="preserve">7  </w:t>
      </w:r>
      <w:r>
        <w:rPr>
          <w:rStyle w:val="19"/>
          <w:rFonts w:hint="eastAsia" w:ascii="方正黑体_GBK" w:eastAsia="方正黑体_GBK"/>
          <w:color w:val="000000"/>
          <w:kern w:val="0"/>
          <w:sz w:val="28"/>
          <w:szCs w:val="28"/>
          <w:highlight w:val="none"/>
          <w:u w:val="none"/>
        </w:rPr>
        <w:t>监督管理</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_Toc148104616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24</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"_Toc148104617"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7.1 </w:t>
      </w:r>
      <w:r>
        <w:rPr>
          <w:rStyle w:val="19"/>
          <w:rFonts w:hint="eastAsia" w:ascii="方正楷体_GBK" w:hAnsi="方正楷体_GBK" w:eastAsia="方正楷体_GBK" w:cs="方正楷体_GBK"/>
          <w:color w:val="000000"/>
          <w:kern w:val="0"/>
          <w:sz w:val="28"/>
          <w:szCs w:val="28"/>
          <w:highlight w:val="none"/>
          <w:u w:val="none"/>
        </w:rPr>
        <w:t>宣传培训</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_Toc148104617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24</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"_Toc148104618"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7.2 </w:t>
      </w:r>
      <w:r>
        <w:rPr>
          <w:rStyle w:val="19"/>
          <w:rFonts w:hint="eastAsia" w:ascii="方正楷体_GBK" w:hAnsi="方正楷体_GBK" w:eastAsia="方正楷体_GBK" w:cs="方正楷体_GBK"/>
          <w:color w:val="000000"/>
          <w:kern w:val="0"/>
          <w:sz w:val="28"/>
          <w:szCs w:val="28"/>
          <w:highlight w:val="none"/>
          <w:u w:val="none"/>
        </w:rPr>
        <w:t>预案演练</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_Toc148104618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25</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"_Toc148104619"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7.3 </w:t>
      </w:r>
      <w:r>
        <w:rPr>
          <w:rStyle w:val="19"/>
          <w:rFonts w:hint="eastAsia" w:ascii="方正楷体_GBK" w:hAnsi="方正楷体_GBK" w:eastAsia="方正楷体_GBK" w:cs="方正楷体_GBK"/>
          <w:color w:val="000000"/>
          <w:kern w:val="0"/>
          <w:sz w:val="28"/>
          <w:szCs w:val="28"/>
          <w:highlight w:val="none"/>
          <w:u w:val="none"/>
        </w:rPr>
        <w:t>预案修订</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_Toc148104619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25</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"_Toc148104620"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7.4 </w:t>
      </w:r>
      <w:r>
        <w:rPr>
          <w:rStyle w:val="19"/>
          <w:rFonts w:hint="eastAsia" w:ascii="方正楷体_GBK" w:hAnsi="方正楷体_GBK" w:eastAsia="方正楷体_GBK" w:cs="方正楷体_GBK"/>
          <w:color w:val="000000"/>
          <w:kern w:val="0"/>
          <w:sz w:val="28"/>
          <w:szCs w:val="28"/>
          <w:highlight w:val="none"/>
          <w:u w:val="none"/>
        </w:rPr>
        <w:t>预案实施</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_Toc148104620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26</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2"/>
        <w:tabs>
          <w:tab w:val="right" w:leader="dot" w:pos="8834"/>
        </w:tabs>
        <w:rPr>
          <w:rStyle w:val="19"/>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"_Toc148104621" </w:instrText>
      </w:r>
      <w:r>
        <w:rPr>
          <w:highlight w:val="none"/>
        </w:rPr>
        <w:fldChar w:fldCharType="separate"/>
      </w:r>
      <w:r>
        <w:rPr>
          <w:rStyle w:val="19"/>
          <w:rFonts w:ascii="方正黑体_GBK" w:eastAsia="方正黑体_GBK"/>
          <w:color w:val="000000"/>
          <w:kern w:val="0"/>
          <w:sz w:val="28"/>
          <w:szCs w:val="28"/>
          <w:highlight w:val="none"/>
          <w:u w:val="none"/>
        </w:rPr>
        <w:t xml:space="preserve">8  </w:t>
      </w:r>
      <w:r>
        <w:rPr>
          <w:rStyle w:val="19"/>
          <w:rFonts w:hint="eastAsia" w:ascii="方正黑体_GBK" w:eastAsia="方正黑体_GBK"/>
          <w:color w:val="000000"/>
          <w:kern w:val="0"/>
          <w:sz w:val="28"/>
          <w:szCs w:val="28"/>
          <w:highlight w:val="none"/>
          <w:u w:val="none"/>
        </w:rPr>
        <w:t>附件</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_Toc148104621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27</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"_Toc148104622"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8.1 </w:t>
      </w:r>
      <w:r>
        <w:rPr>
          <w:rStyle w:val="19"/>
          <w:rFonts w:hint="eastAsia" w:ascii="方正楷体_GBK" w:hAnsi="方正楷体_GBK" w:eastAsia="方正楷体_GBK" w:cs="方正楷体_GBK"/>
          <w:color w:val="000000"/>
          <w:kern w:val="0"/>
          <w:sz w:val="28"/>
          <w:szCs w:val="28"/>
          <w:highlight w:val="none"/>
          <w:u w:val="none"/>
        </w:rPr>
        <w:t>永川区液化石油气、二甲醚、醇基燃料事故应急组织机构成员单位联系表</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_Toc148104622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27</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3"/>
        <w:tabs>
          <w:tab w:val="right" w:leader="dot" w:pos="8834"/>
        </w:tabs>
        <w:ind w:left="200"/>
        <w:rPr>
          <w:rStyle w:val="19"/>
          <w:rFonts w:ascii="方正楷体_GBK" w:hAnsi="方正楷体_GBK" w:eastAsia="方正楷体_GBK" w:cs="方正楷体_GBK"/>
          <w:color w:val="000000"/>
          <w:kern w:val="0"/>
          <w:sz w:val="28"/>
          <w:szCs w:val="28"/>
          <w:highlight w:val="none"/>
          <w:u w:val="none"/>
        </w:rPr>
      </w:pPr>
      <w:r>
        <w:rPr>
          <w:highlight w:val="none"/>
        </w:rPr>
        <w:fldChar w:fldCharType="begin"/>
      </w:r>
      <w:r>
        <w:rPr>
          <w:highlight w:val="none"/>
        </w:rPr>
        <w:instrText xml:space="preserve"> HYPERLINK \l "_Toc148104623" </w:instrText>
      </w:r>
      <w:r>
        <w:rPr>
          <w:highlight w:val="none"/>
        </w:rPr>
        <w:fldChar w:fldCharType="separate"/>
      </w:r>
      <w:r>
        <w:rPr>
          <w:rStyle w:val="19"/>
          <w:rFonts w:ascii="方正楷体_GBK" w:hAnsi="方正楷体_GBK" w:eastAsia="方正楷体_GBK" w:cs="方正楷体_GBK"/>
          <w:color w:val="000000"/>
          <w:kern w:val="0"/>
          <w:sz w:val="28"/>
          <w:szCs w:val="28"/>
          <w:highlight w:val="none"/>
          <w:u w:val="none"/>
        </w:rPr>
        <w:t xml:space="preserve">8.2  </w:t>
      </w:r>
      <w:r>
        <w:rPr>
          <w:rStyle w:val="19"/>
          <w:rFonts w:hint="eastAsia" w:ascii="方正楷体_GBK" w:hAnsi="方正楷体_GBK" w:eastAsia="方正楷体_GBK" w:cs="方正楷体_GBK"/>
          <w:color w:val="000000"/>
          <w:kern w:val="0"/>
          <w:sz w:val="28"/>
          <w:szCs w:val="28"/>
          <w:highlight w:val="none"/>
          <w:u w:val="none"/>
        </w:rPr>
        <w:t>永川区行政区域内液化石油气、液化二甲醚经营单位基本情况表</w:t>
      </w:r>
      <w:r>
        <w:rPr>
          <w:rStyle w:val="19"/>
          <w:rFonts w:ascii="方正楷体_GBK" w:hAnsi="方正楷体_GBK" w:eastAsia="方正楷体_GBK" w:cs="方正楷体_GBK"/>
          <w:color w:val="000000"/>
          <w:kern w:val="0"/>
          <w:sz w:val="28"/>
          <w:szCs w:val="28"/>
          <w:highlight w:val="none"/>
          <w:u w:val="none"/>
        </w:rPr>
        <w:tab/>
      </w:r>
      <w:r>
        <w:rPr>
          <w:rStyle w:val="19"/>
          <w:rFonts w:ascii="方正楷体_GBK" w:hAnsi="方正楷体_GBK" w:eastAsia="方正楷体_GBK" w:cs="方正楷体_GBK"/>
          <w:color w:val="000000"/>
          <w:kern w:val="0"/>
          <w:sz w:val="28"/>
          <w:szCs w:val="28"/>
          <w:highlight w:val="none"/>
          <w:u w:val="none"/>
        </w:rPr>
        <w:fldChar w:fldCharType="begin"/>
      </w:r>
      <w:r>
        <w:rPr>
          <w:rStyle w:val="19"/>
          <w:rFonts w:ascii="方正楷体_GBK" w:hAnsi="方正楷体_GBK" w:eastAsia="方正楷体_GBK" w:cs="方正楷体_GBK"/>
          <w:color w:val="000000"/>
          <w:kern w:val="0"/>
          <w:sz w:val="28"/>
          <w:szCs w:val="28"/>
          <w:highlight w:val="none"/>
          <w:u w:val="none"/>
        </w:rPr>
        <w:instrText xml:space="preserve"> PAGEREF _Toc148104623 \h </w:instrText>
      </w:r>
      <w:r>
        <w:rPr>
          <w:rStyle w:val="19"/>
          <w:rFonts w:ascii="方正楷体_GBK" w:hAnsi="方正楷体_GBK" w:eastAsia="方正楷体_GBK" w:cs="方正楷体_GBK"/>
          <w:color w:val="000000"/>
          <w:kern w:val="0"/>
          <w:sz w:val="28"/>
          <w:szCs w:val="28"/>
          <w:highlight w:val="none"/>
          <w:u w:val="none"/>
        </w:rPr>
        <w:fldChar w:fldCharType="separate"/>
      </w:r>
      <w:r>
        <w:rPr>
          <w:rStyle w:val="19"/>
          <w:rFonts w:ascii="方正楷体_GBK" w:hAnsi="方正楷体_GBK" w:eastAsia="方正楷体_GBK" w:cs="方正楷体_GBK"/>
          <w:color w:val="000000"/>
          <w:kern w:val="0"/>
          <w:sz w:val="28"/>
          <w:szCs w:val="28"/>
          <w:highlight w:val="none"/>
          <w:u w:val="none"/>
        </w:rPr>
        <w:t>29</w:t>
      </w:r>
      <w:r>
        <w:rPr>
          <w:rStyle w:val="19"/>
          <w:rFonts w:ascii="方正楷体_GBK" w:hAnsi="方正楷体_GBK" w:eastAsia="方正楷体_GBK" w:cs="方正楷体_GBK"/>
          <w:color w:val="000000"/>
          <w:kern w:val="0"/>
          <w:sz w:val="28"/>
          <w:szCs w:val="28"/>
          <w:highlight w:val="none"/>
          <w:u w:val="none"/>
        </w:rPr>
        <w:fldChar w:fldCharType="end"/>
      </w:r>
      <w:r>
        <w:rPr>
          <w:rStyle w:val="19"/>
          <w:rFonts w:ascii="方正楷体_GBK" w:hAnsi="方正楷体_GBK" w:eastAsia="方正楷体_GBK" w:cs="方正楷体_GBK"/>
          <w:color w:val="000000"/>
          <w:kern w:val="0"/>
          <w:sz w:val="28"/>
          <w:szCs w:val="28"/>
          <w:highlight w:val="none"/>
          <w:u w:val="none"/>
        </w:rPr>
        <w:fldChar w:fldCharType="end"/>
      </w:r>
    </w:p>
    <w:p>
      <w:pPr>
        <w:pStyle w:val="12"/>
        <w:tabs>
          <w:tab w:val="right" w:leader="dot" w:pos="8834"/>
        </w:tabs>
        <w:rPr>
          <w:rStyle w:val="19"/>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"_Toc148104624" </w:instrText>
      </w:r>
      <w:r>
        <w:rPr>
          <w:highlight w:val="none"/>
        </w:rPr>
        <w:fldChar w:fldCharType="separate"/>
      </w:r>
      <w:r>
        <w:rPr>
          <w:rStyle w:val="19"/>
          <w:rFonts w:hint="eastAsia" w:ascii="方正黑体_GBK" w:eastAsia="方正黑体_GBK"/>
          <w:color w:val="000000"/>
          <w:kern w:val="0"/>
          <w:sz w:val="28"/>
          <w:szCs w:val="28"/>
          <w:highlight w:val="none"/>
          <w:u w:val="none"/>
        </w:rPr>
        <w:t>附录</w:t>
      </w:r>
      <w:r>
        <w:rPr>
          <w:rStyle w:val="19"/>
          <w:rFonts w:ascii="方正黑体_GBK" w:eastAsia="方正黑体_GBK"/>
          <w:color w:val="000000"/>
          <w:kern w:val="0"/>
          <w:sz w:val="28"/>
          <w:szCs w:val="28"/>
          <w:highlight w:val="none"/>
          <w:u w:val="none"/>
        </w:rPr>
        <w:t xml:space="preserve">A  </w:t>
      </w:r>
      <w:r>
        <w:rPr>
          <w:rStyle w:val="19"/>
          <w:rFonts w:hint="eastAsia" w:ascii="方正黑体_GBK" w:eastAsia="方正黑体_GBK"/>
          <w:color w:val="000000"/>
          <w:kern w:val="0"/>
          <w:sz w:val="28"/>
          <w:szCs w:val="28"/>
          <w:highlight w:val="none"/>
          <w:u w:val="none"/>
        </w:rPr>
        <w:t>重庆市永川区液化石油气、二甲醚、醇基燃料事故风险评估报告</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_Toc148104624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31</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2"/>
        <w:tabs>
          <w:tab w:val="right" w:leader="dot" w:pos="8834"/>
        </w:tabs>
        <w:rPr>
          <w:rStyle w:val="19"/>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"_Toc148104631" </w:instrText>
      </w:r>
      <w:r>
        <w:rPr>
          <w:highlight w:val="none"/>
        </w:rPr>
        <w:fldChar w:fldCharType="separate"/>
      </w:r>
      <w:r>
        <w:rPr>
          <w:rStyle w:val="19"/>
          <w:rFonts w:hint="eastAsia" w:ascii="方正黑体_GBK" w:eastAsia="方正黑体_GBK"/>
          <w:color w:val="000000"/>
          <w:kern w:val="0"/>
          <w:sz w:val="28"/>
          <w:szCs w:val="28"/>
          <w:highlight w:val="none"/>
          <w:u w:val="none"/>
        </w:rPr>
        <w:t>附录</w:t>
      </w:r>
      <w:r>
        <w:rPr>
          <w:rStyle w:val="19"/>
          <w:rFonts w:ascii="方正黑体_GBK" w:eastAsia="方正黑体_GBK"/>
          <w:color w:val="000000"/>
          <w:kern w:val="0"/>
          <w:sz w:val="28"/>
          <w:szCs w:val="28"/>
          <w:highlight w:val="none"/>
          <w:u w:val="none"/>
        </w:rPr>
        <w:t xml:space="preserve">B  </w:t>
      </w:r>
      <w:r>
        <w:rPr>
          <w:rStyle w:val="19"/>
          <w:rFonts w:hint="eastAsia" w:ascii="方正黑体_GBK" w:eastAsia="方正黑体_GBK"/>
          <w:color w:val="000000"/>
          <w:kern w:val="0"/>
          <w:sz w:val="28"/>
          <w:szCs w:val="28"/>
          <w:highlight w:val="none"/>
          <w:u w:val="none"/>
        </w:rPr>
        <w:t>重庆市永川区液化石油气、二甲醚、醇基燃料事故应急资源调查报告</w:t>
      </w:r>
      <w:r>
        <w:rPr>
          <w:rStyle w:val="19"/>
          <w:rFonts w:ascii="方正黑体_GBK" w:eastAsia="方正黑体_GBK"/>
          <w:color w:val="000000"/>
          <w:kern w:val="0"/>
          <w:sz w:val="28"/>
          <w:szCs w:val="28"/>
          <w:highlight w:val="none"/>
          <w:u w:val="none"/>
        </w:rPr>
        <w:tab/>
      </w:r>
      <w:r>
        <w:rPr>
          <w:rStyle w:val="19"/>
          <w:rFonts w:ascii="方正黑体_GBK" w:eastAsia="方正黑体_GBK"/>
          <w:color w:val="000000"/>
          <w:kern w:val="0"/>
          <w:sz w:val="28"/>
          <w:szCs w:val="28"/>
          <w:highlight w:val="none"/>
          <w:u w:val="none"/>
        </w:rPr>
        <w:fldChar w:fldCharType="begin"/>
      </w:r>
      <w:r>
        <w:rPr>
          <w:rStyle w:val="19"/>
          <w:rFonts w:ascii="方正黑体_GBK" w:eastAsia="方正黑体_GBK"/>
          <w:color w:val="000000"/>
          <w:kern w:val="0"/>
          <w:sz w:val="28"/>
          <w:szCs w:val="28"/>
          <w:highlight w:val="none"/>
          <w:u w:val="none"/>
        </w:rPr>
        <w:instrText xml:space="preserve"> PAGEREF _Toc148104631 \h </w:instrText>
      </w:r>
      <w:r>
        <w:rPr>
          <w:rStyle w:val="19"/>
          <w:rFonts w:ascii="方正黑体_GBK" w:eastAsia="方正黑体_GBK"/>
          <w:color w:val="000000"/>
          <w:kern w:val="0"/>
          <w:sz w:val="28"/>
          <w:szCs w:val="28"/>
          <w:highlight w:val="none"/>
          <w:u w:val="none"/>
        </w:rPr>
        <w:fldChar w:fldCharType="separate"/>
      </w:r>
      <w:r>
        <w:rPr>
          <w:rStyle w:val="19"/>
          <w:rFonts w:ascii="方正黑体_GBK" w:eastAsia="方正黑体_GBK"/>
          <w:color w:val="000000"/>
          <w:kern w:val="0"/>
          <w:sz w:val="28"/>
          <w:szCs w:val="28"/>
          <w:highlight w:val="none"/>
          <w:u w:val="none"/>
        </w:rPr>
        <w:t>39</w:t>
      </w:r>
      <w:r>
        <w:rPr>
          <w:rStyle w:val="19"/>
          <w:rFonts w:ascii="方正黑体_GBK" w:eastAsia="方正黑体_GBK"/>
          <w:color w:val="000000"/>
          <w:kern w:val="0"/>
          <w:sz w:val="28"/>
          <w:szCs w:val="28"/>
          <w:highlight w:val="none"/>
          <w:u w:val="none"/>
        </w:rPr>
        <w:fldChar w:fldCharType="end"/>
      </w:r>
      <w:r>
        <w:rPr>
          <w:rStyle w:val="19"/>
          <w:rFonts w:ascii="方正黑体_GBK" w:eastAsia="方正黑体_GBK"/>
          <w:color w:val="000000"/>
          <w:kern w:val="0"/>
          <w:sz w:val="28"/>
          <w:szCs w:val="28"/>
          <w:highlight w:val="none"/>
          <w:u w:val="none"/>
        </w:rPr>
        <w:fldChar w:fldCharType="end"/>
      </w:r>
    </w:p>
    <w:p>
      <w:pPr>
        <w:pStyle w:val="13"/>
        <w:tabs>
          <w:tab w:val="right" w:leader="dot" w:pos="9060"/>
        </w:tabs>
        <w:rPr>
          <w:rFonts w:ascii="仿宋" w:hAnsi="仿宋" w:eastAsia="仿宋"/>
          <w:sz w:val="28"/>
          <w:szCs w:val="28"/>
          <w:highlight w:val="none"/>
        </w:rPr>
        <w:sectPr>
          <w:headerReference r:id="rId3" w:type="default"/>
          <w:pgSz w:w="11906" w:h="16838"/>
          <w:pgMar w:top="1418" w:right="1418" w:bottom="1418" w:left="1418" w:header="851" w:footer="1474" w:gutter="0"/>
          <w:pgNumType w:fmt="decimal" w:start="1"/>
          <w:cols w:space="720" w:num="1"/>
          <w:docGrid w:linePitch="579" w:charSpace="21674"/>
        </w:sectPr>
      </w:pPr>
      <w:r>
        <w:rPr>
          <w:rFonts w:ascii="仿宋" w:hAnsi="仿宋" w:eastAsia="仿宋" w:cs="宋体"/>
          <w:smallCaps w:val="0"/>
          <w:color w:val="000000"/>
          <w:spacing w:val="-2"/>
          <w:kern w:val="0"/>
          <w:sz w:val="30"/>
          <w:szCs w:val="30"/>
          <w:highlight w:val="none"/>
        </w:rPr>
        <w:fldChar w:fldCharType="end"/>
      </w:r>
      <w:bookmarkEnd w:id="1"/>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2" w:name="_Toc25164761"/>
      <w:bookmarkStart w:id="3" w:name="_Toc148104579"/>
      <w:bookmarkStart w:id="4" w:name="_Toc32514_WPSOffice_Level1"/>
      <w:bookmarkStart w:id="5" w:name="_Toc77178935"/>
      <w:r>
        <w:rPr>
          <w:rFonts w:hint="eastAsia" w:ascii="方正黑体_GBK" w:eastAsia="方正黑体_GBK"/>
          <w:bCs/>
          <w:szCs w:val="32"/>
          <w:highlight w:val="none"/>
          <w:lang w:val="zh-CN"/>
        </w:rPr>
        <w:t>1  总则</w:t>
      </w:r>
      <w:bookmarkEnd w:id="2"/>
      <w:bookmarkEnd w:id="3"/>
      <w:bookmarkEnd w:id="4"/>
      <w:bookmarkEnd w:id="5"/>
      <w:bookmarkStart w:id="6" w:name="_Toc429467950"/>
      <w:bookmarkStart w:id="7" w:name="_Toc439262322"/>
      <w:bookmarkStart w:id="8" w:name="_Toc436244643"/>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9" w:name="_Toc148104580"/>
      <w:bookmarkStart w:id="10" w:name="_Toc25164762"/>
      <w:bookmarkStart w:id="11" w:name="_Toc11590_WPSOffice_Level2"/>
      <w:bookmarkStart w:id="12" w:name="_Toc20205"/>
      <w:bookmarkStart w:id="13" w:name="_Toc77178936"/>
      <w:r>
        <w:rPr>
          <w:rFonts w:hint="eastAsia" w:ascii="方正楷体_GBK" w:hAnsi="方正楷体_GBK" w:eastAsia="方正楷体_GBK" w:cs="方正楷体_GBK"/>
          <w:b w:val="0"/>
          <w:bCs w:val="0"/>
          <w:highlight w:val="none"/>
        </w:rPr>
        <w:t>1.1 编制目的</w:t>
      </w:r>
      <w:bookmarkEnd w:id="6"/>
      <w:bookmarkEnd w:id="7"/>
      <w:bookmarkEnd w:id="8"/>
      <w:bookmarkEnd w:id="9"/>
      <w:bookmarkEnd w:id="10"/>
      <w:bookmarkEnd w:id="11"/>
      <w:bookmarkEnd w:id="12"/>
      <w:bookmarkEnd w:id="13"/>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为进一步提升本区应对液化石油气、二甲醚、醇基燃料事故的应急反应和处置能力，建立健全统一指挥、职责明确、运转有序、反应迅速、措施科学、处置有力的应急机制，保障人民群众生命财产安全，最大限度</w:t>
      </w:r>
      <w:r>
        <w:rPr>
          <w:rFonts w:hint="eastAsia" w:ascii="方正仿宋_GBK" w:hAnsi="Arial" w:eastAsia="方正仿宋_GBK" w:cs="Times New Roman"/>
          <w:sz w:val="32"/>
          <w:szCs w:val="32"/>
          <w:highlight w:val="none"/>
          <w:lang w:eastAsia="zh-CN"/>
        </w:rPr>
        <w:t>地</w:t>
      </w:r>
      <w:r>
        <w:rPr>
          <w:rFonts w:hint="eastAsia" w:ascii="方正仿宋_GBK" w:hAnsi="Arial" w:eastAsia="方正仿宋_GBK" w:cs="Times New Roman"/>
          <w:sz w:val="32"/>
          <w:szCs w:val="32"/>
          <w:highlight w:val="none"/>
        </w:rPr>
        <w:t>减少和降低城镇燃气事故造成的损失。</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4" w:name="_Toc436244644"/>
      <w:bookmarkStart w:id="15" w:name="_Toc77178937"/>
      <w:bookmarkStart w:id="16" w:name="_Toc12416_WPSOffice_Level2"/>
      <w:bookmarkStart w:id="17" w:name="_Toc429467951"/>
      <w:bookmarkStart w:id="18" w:name="_Toc439262323"/>
      <w:bookmarkStart w:id="19" w:name="_Toc3000"/>
      <w:bookmarkStart w:id="20" w:name="_Toc148104581"/>
      <w:bookmarkStart w:id="21" w:name="_Toc25164763"/>
      <w:r>
        <w:rPr>
          <w:rFonts w:hint="eastAsia" w:ascii="方正楷体_GBK" w:hAnsi="方正楷体_GBK" w:eastAsia="方正楷体_GBK" w:cs="方正楷体_GBK"/>
          <w:b w:val="0"/>
          <w:bCs w:val="0"/>
          <w:highlight w:val="none"/>
        </w:rPr>
        <w:t>1.2 编制依据</w:t>
      </w:r>
      <w:bookmarkEnd w:id="14"/>
      <w:bookmarkEnd w:id="15"/>
      <w:bookmarkEnd w:id="16"/>
      <w:bookmarkEnd w:id="17"/>
      <w:bookmarkEnd w:id="18"/>
      <w:bookmarkEnd w:id="19"/>
      <w:bookmarkEnd w:id="20"/>
      <w:bookmarkEnd w:id="21"/>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中华人民共和国安全生产法》《中华人民共和国突发事件应对法》《生产安全事故报告和调查处理条例》《城镇燃气管理条例》《生产安全事故应急条例》《突发事件应急预案管理办法》《重庆市安全生产条例》《重庆市突发事件应对条例》《重庆市天然气管理条例》《生产安全事故应急预案管理办法》《重庆市突发公共事件总体应急预案》《重庆市突发事件应急预案管理实施办法》《重庆市生产安全事故应急预案管理办法实施细则》《重庆市突发事件预警信息发布管理办法》《重庆市城镇天然气事故应急预案》《液化石油气供应工程设计规范》（GB 51142-2015）《城镇燃气用二甲醚应用技术规程》（T/CECS 518-2018）及有关法律法规、规范，制定本预案。</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2" w:name="_Toc148104582"/>
      <w:bookmarkStart w:id="23" w:name="_Toc436244646"/>
      <w:bookmarkStart w:id="24" w:name="_Toc77178941"/>
      <w:bookmarkStart w:id="25" w:name="_Toc17974_WPSOffice_Level2"/>
      <w:bookmarkStart w:id="26" w:name="_Toc439262325"/>
      <w:bookmarkStart w:id="27" w:name="_Toc25164764"/>
      <w:bookmarkStart w:id="28" w:name="_Toc31196"/>
      <w:bookmarkStart w:id="29" w:name="_Toc429467953"/>
      <w:r>
        <w:rPr>
          <w:rFonts w:hint="eastAsia" w:ascii="方正楷体_GBK" w:hAnsi="方正楷体_GBK" w:eastAsia="方正楷体_GBK" w:cs="方正楷体_GBK"/>
          <w:b w:val="0"/>
          <w:bCs w:val="0"/>
          <w:highlight w:val="none"/>
        </w:rPr>
        <w:t>1.3 工作原则</w:t>
      </w:r>
      <w:bookmarkEnd w:id="22"/>
      <w:bookmarkEnd w:id="23"/>
      <w:bookmarkEnd w:id="24"/>
      <w:bookmarkEnd w:id="25"/>
      <w:bookmarkEnd w:id="26"/>
      <w:bookmarkEnd w:id="27"/>
      <w:bookmarkEnd w:id="28"/>
      <w:bookmarkEnd w:id="29"/>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30" w:name="_Toc2708_WPSOffice_Level3"/>
      <w:bookmarkStart w:id="31" w:name="_Toc14222_WPSOffice_Level3"/>
      <w:bookmarkStart w:id="32" w:name="_Toc429467954"/>
      <w:bookmarkStart w:id="33" w:name="_Toc436244647"/>
      <w:bookmarkStart w:id="34" w:name="_Toc439262326"/>
      <w:bookmarkStart w:id="35" w:name="_Toc2610"/>
      <w:r>
        <w:rPr>
          <w:rFonts w:hint="eastAsia" w:ascii="方正仿宋_GBK" w:hAnsi="Arial" w:eastAsia="方正仿宋_GBK" w:cs="Times New Roman"/>
          <w:sz w:val="32"/>
          <w:szCs w:val="32"/>
          <w:highlight w:val="none"/>
        </w:rPr>
        <w:t>（1）以人为本，安全第一</w:t>
      </w:r>
      <w:bookmarkEnd w:id="30"/>
      <w:bookmarkEnd w:id="31"/>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始终把保障人民群众的生命安全和身体健康放在首位，切实加强应急救援人员的安全防护，最大限度地减少液化石油气、二甲醚、醇基燃料突发事故造成的人员伤亡和财产损失。</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36" w:name="_Toc6566_WPSOffice_Level3"/>
      <w:bookmarkStart w:id="37" w:name="_Toc16872_WPSOffice_Level3"/>
      <w:r>
        <w:rPr>
          <w:rFonts w:hint="eastAsia" w:ascii="方正仿宋_GBK" w:hAnsi="Arial" w:eastAsia="方正仿宋_GBK" w:cs="Times New Roman"/>
          <w:sz w:val="32"/>
          <w:szCs w:val="32"/>
          <w:highlight w:val="none"/>
        </w:rPr>
        <w:t>（2）统一领导，分级管理</w:t>
      </w:r>
      <w:bookmarkEnd w:id="36"/>
      <w:bookmarkEnd w:id="37"/>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在区政府的统一领导下，指导协调液化石油气、二甲醚、醇基燃料事故的应急救援工作。涉及突发事故的镇街及企业按照各自职责和权限，具体负责应急管理和应急救援工作。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38" w:name="_Toc4049_WPSOffice_Level3"/>
      <w:bookmarkStart w:id="39" w:name="_Toc22679_WPSOffice_Level3"/>
      <w:r>
        <w:rPr>
          <w:rFonts w:hint="eastAsia" w:ascii="方正仿宋_GBK" w:hAnsi="Arial" w:eastAsia="方正仿宋_GBK" w:cs="Times New Roman"/>
          <w:sz w:val="32"/>
          <w:szCs w:val="32"/>
          <w:highlight w:val="none"/>
        </w:rPr>
        <w:t>（3）谁主管、谁负责和属地管理</w:t>
      </w:r>
      <w:bookmarkEnd w:id="38"/>
      <w:bookmarkEnd w:id="39"/>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事发企业是应急救援的责任主体和第一响应者。按照分级响应的原则，涉及突发事故的</w:t>
      </w:r>
      <w:bookmarkStart w:id="40" w:name="_Hlk83397541"/>
      <w:r>
        <w:rPr>
          <w:rFonts w:hint="eastAsia" w:ascii="方正仿宋_GBK" w:hAnsi="Arial" w:eastAsia="方正仿宋_GBK" w:cs="Times New Roman"/>
          <w:sz w:val="32"/>
          <w:szCs w:val="32"/>
          <w:highlight w:val="none"/>
        </w:rPr>
        <w:t>各镇街</w:t>
      </w:r>
      <w:bookmarkEnd w:id="40"/>
      <w:r>
        <w:rPr>
          <w:rFonts w:hint="eastAsia" w:ascii="方正仿宋_GBK" w:hAnsi="Arial" w:eastAsia="方正仿宋_GBK" w:cs="Times New Roman"/>
          <w:sz w:val="32"/>
          <w:szCs w:val="32"/>
          <w:highlight w:val="none"/>
        </w:rPr>
        <w:t>，以及城镇燃气经营单位应及时启动应急预案，实施应急救援。</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41" w:name="_Toc30859_WPSOffice_Level3"/>
      <w:bookmarkStart w:id="42" w:name="_Toc1752_WPSOffice_Level3"/>
      <w:r>
        <w:rPr>
          <w:rFonts w:hint="eastAsia" w:ascii="方正仿宋_GBK" w:hAnsi="Arial" w:eastAsia="方正仿宋_GBK" w:cs="Times New Roman"/>
          <w:sz w:val="32"/>
          <w:szCs w:val="32"/>
          <w:highlight w:val="none"/>
        </w:rPr>
        <w:t>（4）依靠科学，依法规范</w:t>
      </w:r>
      <w:bookmarkEnd w:id="41"/>
      <w:bookmarkEnd w:id="4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充分发挥专家的作用，实行科学民主决策。各镇街以及城镇燃气经营单位要依靠科技手段不断改进和完善应急救援的装备、设施和手段，依法规范应急救援工作，确保预案的科学性、权威性和可操作性。</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43" w:name="_Toc7433_WPSOffice_Level3"/>
      <w:bookmarkStart w:id="44" w:name="_Toc2605_WPSOffice_Level3"/>
      <w:r>
        <w:rPr>
          <w:rFonts w:hint="eastAsia" w:ascii="方正仿宋_GBK" w:hAnsi="Arial" w:eastAsia="方正仿宋_GBK" w:cs="Times New Roman"/>
          <w:sz w:val="32"/>
          <w:szCs w:val="32"/>
          <w:highlight w:val="none"/>
        </w:rPr>
        <w:t>（5）预防为主，平战结合</w:t>
      </w:r>
      <w:bookmarkEnd w:id="43"/>
      <w:bookmarkEnd w:id="44"/>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贯彻落实“安全第一，预防为主，综合治理”的方针，坚持事件应急与预防相结合。按照“长期准备、重点建设”的要求，做好应对本辖区液化石油气、二甲醚、醇基燃料事故的各项工作准备，涉及城镇燃气的各镇街、城镇燃气经营单位救援队伍要加强培训演练，做到常备不懈。</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45" w:name="_Toc26344_WPSOffice_Level2"/>
      <w:bookmarkStart w:id="46" w:name="_Toc429467952"/>
      <w:bookmarkStart w:id="47" w:name="_Toc148104583"/>
      <w:bookmarkStart w:id="48" w:name="_Toc436244645"/>
      <w:bookmarkStart w:id="49" w:name="_Toc22670"/>
      <w:bookmarkStart w:id="50" w:name="_Toc25164765"/>
      <w:bookmarkStart w:id="51" w:name="_Toc77178942"/>
      <w:bookmarkStart w:id="52" w:name="_Toc439262324"/>
      <w:bookmarkStart w:id="53" w:name="_Toc180661289"/>
      <w:bookmarkStart w:id="54" w:name="_Toc27813"/>
      <w:bookmarkStart w:id="55" w:name="_Toc496103119"/>
      <w:bookmarkStart w:id="56" w:name="_Toc12370"/>
      <w:bookmarkStart w:id="57" w:name="_Toc27713"/>
      <w:bookmarkStart w:id="58" w:name="_Toc525643662"/>
      <w:bookmarkStart w:id="59" w:name="_Toc28254"/>
      <w:bookmarkStart w:id="60" w:name="_Toc10070"/>
      <w:bookmarkStart w:id="61" w:name="_Toc32517"/>
      <w:r>
        <w:rPr>
          <w:rFonts w:hint="eastAsia" w:ascii="方正楷体_GBK" w:hAnsi="方正楷体_GBK" w:eastAsia="方正楷体_GBK" w:cs="方正楷体_GBK"/>
          <w:b w:val="0"/>
          <w:bCs w:val="0"/>
          <w:highlight w:val="none"/>
        </w:rPr>
        <w:t>1.4 适用范围</w:t>
      </w:r>
      <w:bookmarkEnd w:id="45"/>
      <w:bookmarkEnd w:id="46"/>
      <w:bookmarkEnd w:id="47"/>
      <w:bookmarkEnd w:id="48"/>
      <w:bookmarkEnd w:id="49"/>
      <w:bookmarkEnd w:id="50"/>
      <w:bookmarkEnd w:id="51"/>
      <w:bookmarkEnd w:id="5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本预案适用于重庆市永川区行政区域内液化石油气、二甲醚、醇基燃气在供应、存储、充装、经营、使用过程中，发生的泄漏、火灾、爆炸等事故的应急处置工作。</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62" w:name="_Toc31927_WPSOffice_Level2"/>
      <w:bookmarkStart w:id="63" w:name="_Toc25164766"/>
      <w:bookmarkStart w:id="64" w:name="_Toc148104584"/>
      <w:bookmarkStart w:id="65" w:name="_Toc77178943"/>
      <w:r>
        <w:rPr>
          <w:rFonts w:hint="eastAsia" w:ascii="方正楷体_GBK" w:hAnsi="方正楷体_GBK" w:eastAsia="方正楷体_GBK" w:cs="方正楷体_GBK"/>
          <w:b w:val="0"/>
          <w:bCs w:val="0"/>
          <w:highlight w:val="none"/>
        </w:rPr>
        <w:t>1.5 预案体系</w:t>
      </w:r>
      <w:bookmarkEnd w:id="53"/>
      <w:bookmarkEnd w:id="54"/>
      <w:bookmarkEnd w:id="55"/>
      <w:bookmarkEnd w:id="56"/>
      <w:bookmarkEnd w:id="57"/>
      <w:bookmarkEnd w:id="58"/>
      <w:bookmarkEnd w:id="59"/>
      <w:bookmarkEnd w:id="60"/>
      <w:bookmarkEnd w:id="61"/>
      <w:bookmarkEnd w:id="62"/>
      <w:bookmarkEnd w:id="63"/>
      <w:bookmarkEnd w:id="64"/>
      <w:bookmarkEnd w:id="65"/>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本预案为《永川区突发公共事件综合应急预案》的专项应急预案，向下与各镇街，以及液化石油气、二甲醚、醇基燃料经营单位应急预案相衔接。</w:t>
      </w:r>
    </w:p>
    <w:p>
      <w:pPr>
        <w:pStyle w:val="15"/>
        <w:adjustRightInd w:val="0"/>
        <w:snapToGrid w:val="0"/>
        <w:spacing w:before="0" w:beforeAutospacing="0" w:after="0" w:afterAutospacing="0" w:line="360" w:lineRule="auto"/>
        <w:jc w:val="center"/>
        <w:rPr>
          <w:rFonts w:ascii="仿宋" w:hAnsi="仿宋" w:eastAsia="仿宋" w:cs="方正仿宋_GBK"/>
          <w:sz w:val="28"/>
          <w:szCs w:val="28"/>
          <w:highlight w:val="none"/>
          <w:shd w:val="clear" w:color="auto" w:fill="FFFFFF"/>
        </w:rPr>
      </w:pPr>
      <w:r>
        <w:rPr>
          <w:rFonts w:ascii="仿宋" w:hAnsi="仿宋" w:eastAsia="仿宋" w:cs="方正仿宋_GBK"/>
          <w:sz w:val="28"/>
          <w:szCs w:val="28"/>
          <w:highlight w:val="none"/>
          <w:shd w:val="clear" w:color="auto" w:fill="FFFFFF"/>
        </w:rPr>
        <w:drawing>
          <wp:inline distT="0" distB="0" distL="0" distR="0">
            <wp:extent cx="4706620" cy="1853565"/>
            <wp:effectExtent l="0" t="0" r="0" b="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4706620" cy="1853565"/>
                    </a:xfrm>
                    <a:prstGeom prst="rect">
                      <a:avLst/>
                    </a:prstGeom>
                    <a:noFill/>
                  </pic:spPr>
                </pic:pic>
              </a:graphicData>
            </a:graphic>
          </wp:inline>
        </w:drawing>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图1.5-1  应急预案体系图</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66" w:name="年号"/>
      <w:bookmarkEnd w:id="66"/>
      <w:bookmarkStart w:id="67" w:name="_Toc22199_WPSOffice_Level2"/>
      <w:bookmarkStart w:id="68" w:name="_Toc25164767"/>
      <w:bookmarkStart w:id="69" w:name="_Toc77178944"/>
      <w:r>
        <w:rPr>
          <w:rFonts w:hint="eastAsia" w:ascii="方正楷体_GBK" w:hAnsi="方正楷体_GBK" w:eastAsia="方正楷体_GBK" w:cs="方正楷体_GBK"/>
          <w:b w:val="0"/>
          <w:bCs w:val="0"/>
          <w:highlight w:val="none"/>
        </w:rPr>
        <w:t>1.6 事故分级</w:t>
      </w:r>
      <w:bookmarkEnd w:id="32"/>
      <w:bookmarkEnd w:id="33"/>
      <w:bookmarkEnd w:id="34"/>
      <w:bookmarkEnd w:id="35"/>
      <w:bookmarkEnd w:id="67"/>
      <w:bookmarkEnd w:id="68"/>
      <w:bookmarkEnd w:id="69"/>
    </w:p>
    <w:p>
      <w:pPr>
        <w:adjustRightInd w:val="0"/>
        <w:snapToGrid w:val="0"/>
        <w:spacing w:line="300" w:lineRule="auto"/>
        <w:jc w:val="center"/>
        <w:rPr>
          <w:rFonts w:ascii="方正黑体_GBK" w:eastAsia="方正黑体_GBK"/>
          <w:bCs/>
          <w:kern w:val="44"/>
          <w:sz w:val="28"/>
          <w:szCs w:val="28"/>
          <w:highlight w:val="none"/>
          <w:lang w:val="zh-CN"/>
        </w:rPr>
      </w:pPr>
      <w:bookmarkStart w:id="70" w:name="_Toc439262327"/>
      <w:bookmarkStart w:id="71" w:name="_Toc436244648"/>
      <w:r>
        <w:rPr>
          <w:rFonts w:hint="eastAsia" w:ascii="方正黑体_GBK" w:eastAsia="方正黑体_GBK"/>
          <w:bCs/>
          <w:kern w:val="44"/>
          <w:sz w:val="28"/>
          <w:szCs w:val="28"/>
          <w:highlight w:val="none"/>
          <w:lang w:val="zh-CN"/>
        </w:rPr>
        <w:t>表1.6-1  液化石油气、二甲醚、醇基燃料事故分级一览表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09" w:type="dxa"/>
            <w:vAlign w:val="center"/>
          </w:tcPr>
          <w:p>
            <w:pPr>
              <w:adjustRightInd w:val="0"/>
              <w:snapToGrid w:val="0"/>
              <w:jc w:val="center"/>
              <w:rPr>
                <w:rFonts w:asciiTheme="minorHAnsi" w:hAnsiTheme="minorHAnsi" w:cstheme="minorBidi"/>
                <w:b/>
                <w:sz w:val="21"/>
                <w:szCs w:val="21"/>
                <w:highlight w:val="none"/>
              </w:rPr>
            </w:pPr>
            <w:r>
              <w:rPr>
                <w:rFonts w:hint="eastAsia" w:asciiTheme="minorHAnsi" w:hAnsiTheme="minorHAnsi" w:cstheme="minorBidi"/>
                <w:b/>
                <w:sz w:val="21"/>
                <w:szCs w:val="21"/>
                <w:highlight w:val="none"/>
              </w:rPr>
              <w:t>响应分级</w:t>
            </w:r>
          </w:p>
        </w:tc>
        <w:tc>
          <w:tcPr>
            <w:tcW w:w="7263" w:type="dxa"/>
            <w:vAlign w:val="center"/>
          </w:tcPr>
          <w:p>
            <w:pPr>
              <w:adjustRightInd w:val="0"/>
              <w:snapToGrid w:val="0"/>
              <w:jc w:val="center"/>
              <w:rPr>
                <w:rFonts w:asciiTheme="minorHAnsi" w:hAnsiTheme="minorHAnsi" w:cstheme="minorBidi"/>
                <w:b/>
                <w:sz w:val="21"/>
                <w:szCs w:val="21"/>
                <w:highlight w:val="none"/>
              </w:rPr>
            </w:pPr>
            <w:r>
              <w:rPr>
                <w:rFonts w:hint="eastAsia" w:asciiTheme="minorHAnsi" w:hAnsiTheme="minorHAnsi" w:cstheme="minorBidi"/>
                <w:b/>
                <w:sz w:val="21"/>
                <w:szCs w:val="21"/>
                <w:highlight w:val="none"/>
              </w:rPr>
              <w:t>险  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9" w:type="dxa"/>
            <w:vAlign w:val="center"/>
          </w:tcPr>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特别重大事故</w:t>
            </w:r>
          </w:p>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（Ⅰ级）</w:t>
            </w:r>
          </w:p>
        </w:tc>
        <w:tc>
          <w:tcPr>
            <w:tcW w:w="7263" w:type="dxa"/>
            <w:vAlign w:val="center"/>
          </w:tcPr>
          <w:p>
            <w:pPr>
              <w:adjustRightInd w:val="0"/>
              <w:snapToGrid w:val="0"/>
              <w:ind w:firstLine="210" w:firstLineChars="100"/>
              <w:rPr>
                <w:rFonts w:asciiTheme="minorHAnsi" w:hAnsiTheme="minorHAnsi" w:cstheme="minorBidi"/>
                <w:sz w:val="21"/>
                <w:szCs w:val="21"/>
                <w:highlight w:val="none"/>
              </w:rPr>
            </w:pPr>
            <w:r>
              <w:rPr>
                <w:rFonts w:hint="eastAsia" w:asciiTheme="minorHAnsi" w:hAnsiTheme="minorHAnsi" w:cstheme="minorBidi"/>
                <w:sz w:val="21"/>
                <w:szCs w:val="21"/>
                <w:highlight w:val="none"/>
              </w:rPr>
              <w:t>液化石油气、二甲醚、醇基燃料在供应、存储、充装、经营、使用过程中发生泄漏、火灾、爆炸等事故，一次事故造成30人以上死亡或100人以上重伤的，或1亿元以上直接经济损失的。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9" w:type="dxa"/>
            <w:vAlign w:val="center"/>
          </w:tcPr>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重大事故</w:t>
            </w:r>
          </w:p>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（Ⅱ级）</w:t>
            </w:r>
          </w:p>
        </w:tc>
        <w:tc>
          <w:tcPr>
            <w:tcW w:w="7263" w:type="dxa"/>
            <w:vAlign w:val="center"/>
          </w:tcPr>
          <w:p>
            <w:pPr>
              <w:adjustRightInd w:val="0"/>
              <w:snapToGrid w:val="0"/>
              <w:ind w:firstLine="210" w:firstLineChars="100"/>
              <w:rPr>
                <w:rFonts w:asciiTheme="minorHAnsi" w:hAnsiTheme="minorHAnsi" w:cstheme="minorBidi"/>
                <w:sz w:val="21"/>
                <w:szCs w:val="21"/>
                <w:highlight w:val="none"/>
              </w:rPr>
            </w:pPr>
            <w:r>
              <w:rPr>
                <w:rFonts w:hint="eastAsia" w:asciiTheme="minorHAnsi" w:hAnsiTheme="minorHAnsi" w:cstheme="minorBidi"/>
                <w:sz w:val="21"/>
                <w:szCs w:val="21"/>
                <w:highlight w:val="none"/>
              </w:rPr>
              <w:t>液化石油气、二甲醚、醇基燃料在供应、存储、充装、经营、使用过程中，发生泄漏、火灾、爆炸等事故，一次事故造成10人以上30人以下死亡或50人以上100人以下重伤的，或造成5000万元以上1亿元以下直接经济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9" w:type="dxa"/>
            <w:vAlign w:val="center"/>
          </w:tcPr>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较大事故</w:t>
            </w:r>
          </w:p>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（Ⅲ级）</w:t>
            </w:r>
          </w:p>
        </w:tc>
        <w:tc>
          <w:tcPr>
            <w:tcW w:w="7263" w:type="dxa"/>
            <w:vAlign w:val="center"/>
          </w:tcPr>
          <w:p>
            <w:pPr>
              <w:adjustRightInd w:val="0"/>
              <w:snapToGrid w:val="0"/>
              <w:ind w:firstLine="210" w:firstLineChars="100"/>
              <w:rPr>
                <w:rFonts w:asciiTheme="minorHAnsi" w:hAnsiTheme="minorHAnsi" w:cstheme="minorBidi"/>
                <w:sz w:val="21"/>
                <w:szCs w:val="21"/>
                <w:highlight w:val="none"/>
              </w:rPr>
            </w:pPr>
            <w:r>
              <w:rPr>
                <w:rFonts w:hint="eastAsia" w:asciiTheme="minorHAnsi" w:hAnsiTheme="minorHAnsi" w:cstheme="minorBidi"/>
                <w:sz w:val="21"/>
                <w:szCs w:val="21"/>
                <w:highlight w:val="none"/>
              </w:rPr>
              <w:t>液化石油气、二甲醚、醇基燃料在供应、存储、充装、经营、使用过程中，发生泄漏、火灾、爆炸等事故，一次事故造成3人以上10人以下死亡或造成10人以上50人以下重伤的，或造成1000万元以上5000万元以下直接经济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9" w:type="dxa"/>
            <w:vAlign w:val="center"/>
          </w:tcPr>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一般事故</w:t>
            </w:r>
          </w:p>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（Ⅳ级）</w:t>
            </w:r>
          </w:p>
        </w:tc>
        <w:tc>
          <w:tcPr>
            <w:tcW w:w="7263" w:type="dxa"/>
            <w:vAlign w:val="center"/>
          </w:tcPr>
          <w:p>
            <w:pPr>
              <w:adjustRightInd w:val="0"/>
              <w:snapToGrid w:val="0"/>
              <w:ind w:firstLine="210" w:firstLineChars="100"/>
              <w:rPr>
                <w:rFonts w:asciiTheme="minorHAnsi" w:hAnsiTheme="minorHAnsi" w:cstheme="minorBidi"/>
                <w:sz w:val="21"/>
                <w:szCs w:val="21"/>
                <w:highlight w:val="none"/>
              </w:rPr>
            </w:pPr>
            <w:r>
              <w:rPr>
                <w:rFonts w:hint="eastAsia" w:asciiTheme="minorHAnsi" w:hAnsiTheme="minorHAnsi" w:cstheme="minorBidi"/>
                <w:sz w:val="21"/>
                <w:szCs w:val="21"/>
                <w:highlight w:val="none"/>
              </w:rPr>
              <w:t>液化石油气、二甲醚、醇基燃料在供应、存储、充装、经营、使用过程中，发生泄漏、火灾、爆炸等事故，一次事故造成1人以上3人以下死亡或造成10人以下重伤的，或造成1000万元以下直接经济损失的。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2" w:type="dxa"/>
            <w:gridSpan w:val="2"/>
            <w:vAlign w:val="center"/>
          </w:tcPr>
          <w:p>
            <w:pPr>
              <w:adjustRightInd w:val="0"/>
              <w:snapToGrid w:val="0"/>
              <w:rPr>
                <w:rFonts w:asciiTheme="minorHAnsi" w:hAnsiTheme="minorHAnsi" w:cstheme="minorBidi"/>
                <w:sz w:val="21"/>
                <w:szCs w:val="21"/>
                <w:highlight w:val="none"/>
              </w:rPr>
            </w:pPr>
            <w:r>
              <w:rPr>
                <w:rFonts w:hint="eastAsia" w:asciiTheme="minorHAnsi" w:hAnsiTheme="minorHAnsi" w:cstheme="minorBidi"/>
                <w:sz w:val="21"/>
                <w:szCs w:val="21"/>
                <w:highlight w:val="none"/>
              </w:rPr>
              <w:t>备注：“以上”含本数，“以下”不含本数。</w:t>
            </w:r>
          </w:p>
        </w:tc>
      </w:tr>
      <w:bookmarkEnd w:id="70"/>
      <w:bookmarkEnd w:id="71"/>
    </w:tbl>
    <w:p>
      <w:pPr>
        <w:pStyle w:val="15"/>
        <w:adjustRightInd w:val="0"/>
        <w:snapToGrid w:val="0"/>
        <w:spacing w:before="0" w:beforeAutospacing="0" w:after="0" w:afterAutospacing="0" w:line="360" w:lineRule="auto"/>
        <w:ind w:firstLine="560" w:firstLineChars="200"/>
        <w:jc w:val="both"/>
        <w:rPr>
          <w:rFonts w:ascii="仿宋" w:hAnsi="仿宋" w:eastAsia="仿宋" w:cs="方正仿宋_GBK"/>
          <w:sz w:val="28"/>
          <w:szCs w:val="28"/>
          <w:highlight w:val="none"/>
        </w:rPr>
      </w:pPr>
      <w:bookmarkStart w:id="72" w:name="_Toc25164768"/>
      <w:bookmarkStart w:id="73" w:name="_Toc49785192"/>
      <w:bookmarkStart w:id="74" w:name="_Toc25457_WPSOffice_Level1"/>
      <w:bookmarkStart w:id="75" w:name="_Toc25164771"/>
      <w:bookmarkStart w:id="76" w:name="_Toc77178945"/>
      <w:bookmarkStart w:id="77" w:name="_Toc29409_WPSOffice_Level1"/>
      <w:bookmarkStart w:id="78" w:name="_Toc439262328"/>
      <w:bookmarkStart w:id="79" w:name="_Toc429467960"/>
      <w:bookmarkStart w:id="80" w:name="_Toc436244649"/>
    </w:p>
    <w:bookmarkEnd w:id="72"/>
    <w:bookmarkEnd w:id="73"/>
    <w:bookmarkEnd w:id="74"/>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81" w:name="_Toc148104585"/>
      <w:r>
        <w:rPr>
          <w:rFonts w:hint="eastAsia" w:ascii="方正黑体_GBK" w:eastAsia="方正黑体_GBK"/>
          <w:bCs/>
          <w:szCs w:val="32"/>
          <w:highlight w:val="none"/>
          <w:lang w:val="zh-CN"/>
        </w:rPr>
        <w:t>2  应急组织机构及职责</w:t>
      </w:r>
      <w:bookmarkEnd w:id="75"/>
      <w:bookmarkEnd w:id="76"/>
      <w:bookmarkEnd w:id="77"/>
      <w:bookmarkEnd w:id="81"/>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82" w:name="_Toc148104586"/>
      <w:bookmarkStart w:id="83" w:name="_Toc77178946"/>
      <w:r>
        <w:rPr>
          <w:rFonts w:hint="eastAsia" w:ascii="方正楷体_GBK" w:hAnsi="方正楷体_GBK" w:eastAsia="方正楷体_GBK" w:cs="方正楷体_GBK"/>
          <w:b w:val="0"/>
          <w:bCs w:val="0"/>
          <w:highlight w:val="none"/>
        </w:rPr>
        <w:t>2.1 应急组织指挥机构</w:t>
      </w:r>
      <w:bookmarkEnd w:id="82"/>
      <w:bookmarkEnd w:id="83"/>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在区政府的统一领导下，成立永川区液化石油气、二甲醚、醇基燃料事故应急指挥部（以下简称“区城镇燃气应急指挥部”），指挥长由区政府分管副区长担任，副指挥长由区经济和信息化委员会（以下简称“区经济信息委”）主任、区应急管理局局长担任，统一领导和组织液化石油气、二甲醚、醇基燃料事故的应急处置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区城镇燃气应急指挥部下设指挥部办公室，办公室设在区经济信息委，由区经济信息委主任兼任办公室主任。</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成员由区委宣传部、区经济信息委、区住房和城乡建设委、区发展和改革委、区应急管理局、区交通局、区城市管理局、区生态环境局、区市场监管局、区商务委、区公安局、区卫生健康委、区民政局、区财政局、区人力社保局、区规划自然资源局、区气象局、区总工会、区消防救援支队、事发镇街，以及液化石油气、二甲醚、醇基燃料经营单位等负责人担任。</w:t>
      </w:r>
    </w:p>
    <w:p>
      <w:pPr>
        <w:pStyle w:val="6"/>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84" w:name="_Toc148104587"/>
      <w:r>
        <w:rPr>
          <w:rFonts w:hint="eastAsia" w:ascii="方正楷体_GBK" w:hAnsi="方正楷体_GBK" w:eastAsia="方正楷体_GBK" w:cs="方正楷体_GBK"/>
          <w:b w:val="0"/>
          <w:bCs w:val="0"/>
          <w:highlight w:val="none"/>
        </w:rPr>
        <w:t>2.2 现场指挥机构</w:t>
      </w:r>
      <w:bookmarkEnd w:id="84"/>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应急状态下，区城镇燃气应急指挥部根据事故现场处置需要设置现场指挥部，现场指挥部指挥长由区城镇燃气应急指挥部指挥长担任或指定。发生一般和较大事故的，现场指挥部组织开展事故应急救援工作。发生重大和特别重大事故的，现场指挥部在市委、市政府领导下，开展事故先期处置工作，在市级指挥机构到达现场后，配合市级指挥机构参与应急救援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现场应急指挥部下设综合协调组、抢险救援组、医疗救援组、秩序维护组、舆论引导组、后勤保障组、善后工作组、事故调查组等工作组。参与现场应急处置的单位和人员，应当服从现场应急指挥部的统一指挥。</w:t>
      </w:r>
    </w:p>
    <w:p>
      <w:pPr>
        <w:adjustRightInd w:val="0"/>
        <w:snapToGrid w:val="0"/>
        <w:spacing w:line="360" w:lineRule="auto"/>
        <w:rPr>
          <w:rFonts w:ascii="仿宋" w:hAnsi="仿宋" w:eastAsia="仿宋"/>
          <w:highlight w:val="none"/>
        </w:rPr>
      </w:pPr>
      <w:r>
        <w:rPr>
          <w:rFonts w:ascii="仿宋" w:hAnsi="仿宋" w:eastAsia="仿宋"/>
          <w:highlight w:val="none"/>
        </w:rPr>
        <w:drawing>
          <wp:inline distT="0" distB="0" distL="0" distR="0">
            <wp:extent cx="5633085" cy="2164080"/>
            <wp:effectExtent l="0" t="0" r="5715" b="762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5633085" cy="2164080"/>
                    </a:xfrm>
                    <a:prstGeom prst="rect">
                      <a:avLst/>
                    </a:prstGeom>
                    <a:noFill/>
                  </pic:spPr>
                </pic:pic>
              </a:graphicData>
            </a:graphic>
          </wp:inline>
        </w:drawing>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图2.2-1  永川区液化石油气、二甲醚、醇基燃料事故应急组织机构框图</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85" w:name="_Toc148104588"/>
      <w:r>
        <w:rPr>
          <w:rFonts w:hint="eastAsia" w:ascii="方正楷体_GBK" w:hAnsi="方正楷体_GBK" w:eastAsia="方正楷体_GBK" w:cs="方正楷体_GBK"/>
          <w:b w:val="0"/>
          <w:bCs w:val="0"/>
          <w:highlight w:val="none"/>
        </w:rPr>
        <w:t>2.3 专家组</w:t>
      </w:r>
      <w:bookmarkEnd w:id="85"/>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专家组由区城镇燃气应急指挥部根据城镇液化石油气、二甲醚、醇基燃料事故的具体情况，从市级城镇燃气事故抢险救援专家库调取，为事故应急处置和救援提供技术指导工作。</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86" w:name="_Toc148104589"/>
      <w:bookmarkStart w:id="87" w:name="_Toc77178947"/>
      <w:r>
        <w:rPr>
          <w:rFonts w:hint="eastAsia" w:ascii="方正楷体_GBK" w:hAnsi="方正楷体_GBK" w:eastAsia="方正楷体_GBK" w:cs="方正楷体_GBK"/>
          <w:b w:val="0"/>
          <w:bCs w:val="0"/>
          <w:highlight w:val="none"/>
        </w:rPr>
        <w:t>2.4 应急组织机构工作职责</w:t>
      </w:r>
      <w:bookmarkEnd w:id="86"/>
      <w:bookmarkEnd w:id="87"/>
    </w:p>
    <w:p>
      <w:pPr>
        <w:ind w:firstLine="642"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2.4.1 区城镇燃气应急指挥部主要职责</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（1）召开指挥部会议，传达上级有关指示精神，听取各工作组情况汇报，研究部署处置过程中的重大事宜；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（2）向市政府总值班室和区政府汇报事故处置应对情况；</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（3）组织调度有关队伍、专家、物资、装备；</w:t>
      </w:r>
    </w:p>
    <w:p>
      <w:pPr>
        <w:pStyle w:val="15"/>
        <w:widowControl w:val="0"/>
        <w:spacing w:before="0" w:beforeAutospacing="0" w:after="0" w:afterAutospacing="0"/>
        <w:ind w:firstLine="640" w:firstLineChars="200"/>
        <w:rPr>
          <w:rFonts w:hint="eastAsia"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（4）收集掌握涉及事故有关信息，综合分析事故预测预警信息，正确研判可能发生的事故以及紧急状态，评价其影响范围、程度，提出应对措施；</w:t>
      </w:r>
    </w:p>
    <w:p>
      <w:pPr>
        <w:pStyle w:val="15"/>
        <w:widowControl w:val="0"/>
        <w:spacing w:before="0" w:beforeAutospacing="0" w:after="0" w:afterAutospacing="0"/>
        <w:ind w:firstLine="640" w:firstLineChars="200"/>
        <w:jc w:val="both"/>
        <w:rPr>
          <w:rFonts w:hint="eastAsia"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（5）负责发布Ⅳ级、Ⅲ级启动和结束应急响应的指令；</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（6）按分级响应的规定，做好相关事故处置应急救援协调工作。</w:t>
      </w:r>
    </w:p>
    <w:p>
      <w:pPr>
        <w:ind w:firstLine="642"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2.4.2 区城镇燃气应急指挥部办公室主要职责</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（1）受理本区液化石油气、二甲醚、醇基燃料事故报警，了解掌握最新消息，及时向区城镇燃气应急指挥部汇报；</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（2）组织编制本区液化石油气、二甲醚、醇基燃料事故应急预案；</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 xml:space="preserve">（3）组织编制、实施城镇燃气事故应急工作计划； </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（4）定期组织本预案的培训及应急演练工作；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（5）区城镇燃气应急指挥部安排的其他工作。</w:t>
      </w:r>
    </w:p>
    <w:p>
      <w:pPr>
        <w:ind w:firstLine="642"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2.4.3 现场应急指挥部主要职责</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（1）划定事故现场的警戒范围，实施必要的交通管制及其他强制性措施。</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（2）研究判断事故性质及危害程度，组织控制和消除事故隐患。</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（3）根据区城镇燃气应急指挥部的决定，调度或征集社会力量参与应急处置工作。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（4）组织营救受伤人员，转移受威胁人员和重要财产。</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（5）执行指挥部下达的相关指令。</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（6）向区城镇燃气应急指挥部报告现场应急救援进展情况。</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（7）向区城镇燃气应急指挥部提出现场应急结束的建议，经同意后宣布现场应急结束。</w:t>
      </w:r>
    </w:p>
    <w:p>
      <w:pPr>
        <w:ind w:firstLine="642"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2.4.4 现场应急工作组主要职责</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（1）综合协调组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履行信息汇总和综合协调职能，发挥信息枢纽作用；传达上级有关指示；协调调配有关应急资源；协调各工作组全力开展应急处置工作。由区政府办公室牵头，区经济信息委、区应急管理局、区发展和改革委、事发地镇人民政府、街道办事处、事发企业（包括但不局限于上述单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（2）抢险救援组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负责组织专业救援队伍实施救援，消除次生灾害隐患，清理现场等。由区应急管理局牵头，区消防救援支队、区生态环境局、区公安局、区市场监管局、事发地镇人民政府、街道办事处、事发企业等参加，包括但不局限于上述单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（3）医疗救援组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组织开展伤病员医疗救治、心理援助；统计核实事故伤亡情况等。由区卫生健康委牵头，有关医疗卫生机构、事发地镇人民政府、街道办事处、事发企业等参加，包括但不</w:t>
      </w:r>
      <w:r>
        <w:rPr>
          <w:rFonts w:hint="eastAsia" w:ascii="方正仿宋_GBK" w:hAnsi="Arial" w:eastAsia="方正仿宋_GBK" w:cs="Times New Roman"/>
          <w:sz w:val="32"/>
          <w:szCs w:val="32"/>
          <w:highlight w:val="none"/>
          <w:lang w:eastAsia="zh-CN"/>
        </w:rPr>
        <w:t>限于</w:t>
      </w:r>
      <w:r>
        <w:rPr>
          <w:rFonts w:hint="eastAsia" w:ascii="方正仿宋_GBK" w:hAnsi="Arial" w:eastAsia="方正仿宋_GBK" w:cs="Times New Roman"/>
          <w:sz w:val="32"/>
          <w:szCs w:val="32"/>
          <w:highlight w:val="none"/>
        </w:rPr>
        <w:t>上述单位。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（4）秩序维护组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封锁、警戒、控制、保护事故现场及周边区域，维护现场治安；疏散转移现场和周边受威胁区域人员；开展交通管制，在现场外围开辟专用通道供应急救援车辆和人员通行。由区公安局牵头，区交通局、事发地镇人民政府、街道办事处等参加，包括但不局限于上述单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（5）舆论引导组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及时、准确、客观发布权威信息；汇总收集相关舆情；组织开展宣传报道；做好现场媒体记者的接待；做好舆论引导工作。由区委宣传部牵头，区经济信息委、区应急管理局、区生态环境局、区公安局等参加，包括但不局限于上述单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（6）后勤保障组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提供应急处置后勤服务；提供必要办公用品和交通、通信等工具；调集抢险救援所需装备、物资等；保障应急通信。由事发地镇人民政府、街道办事处及事发企业牵头，区财政局、区经济信息委、区交通局、区商务委等参加，包括但不局限于上述单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（7）善后工作组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开展伤亡人员及家属的安抚、补偿和保险理赔；做好事故死亡人员遗体火化；恢复正常的生产、生活秩序；事故现场污染物的清除以及生态破坏的恢复。由事发地镇人民政府、街道办事处及事发企业牵头，区经济信息委、区民政局、区人力社保局、</w:t>
      </w:r>
      <w:r>
        <w:rPr>
          <w:rFonts w:hint="eastAsia" w:ascii="方正仿宋_GBK" w:hAnsi="方正仿宋_GBK" w:eastAsia="方正仿宋_GBK" w:cs="方正仿宋_GBK"/>
          <w:color w:val="000000"/>
          <w:sz w:val="30"/>
          <w:szCs w:val="30"/>
          <w:highlight w:val="none"/>
        </w:rPr>
        <w:t>区市场监管局、</w:t>
      </w:r>
      <w:r>
        <w:rPr>
          <w:rFonts w:hint="eastAsia" w:ascii="方正仿宋_GBK" w:hAnsi="Arial" w:eastAsia="方正仿宋_GBK" w:cs="Times New Roman"/>
          <w:sz w:val="32"/>
          <w:szCs w:val="32"/>
          <w:highlight w:val="none"/>
        </w:rPr>
        <w:t>区总工会等参加，包括但不局限于上述单位。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（8）事故调查组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根据事故类型、等级以及有关规定成立调查组，组织开展较大和一般事故调查，认定事故责任，提出处理意见；配合市政府工作组开展重大及以上事故调查。由区应急管理局牵头，区经济信息委、区公安局、</w:t>
      </w:r>
      <w:r>
        <w:rPr>
          <w:rFonts w:hint="eastAsia" w:ascii="方正仿宋_GBK" w:hAnsi="方正仿宋_GBK" w:eastAsia="方正仿宋_GBK" w:cs="方正仿宋_GBK"/>
          <w:color w:val="000000"/>
          <w:sz w:val="30"/>
          <w:szCs w:val="30"/>
          <w:highlight w:val="none"/>
        </w:rPr>
        <w:t>区市场监管局、</w:t>
      </w:r>
      <w:r>
        <w:rPr>
          <w:rFonts w:hint="eastAsia" w:ascii="方正仿宋_GBK" w:hAnsi="Arial" w:eastAsia="方正仿宋_GBK" w:cs="Times New Roman"/>
          <w:sz w:val="32"/>
          <w:szCs w:val="32"/>
          <w:highlight w:val="none"/>
        </w:rPr>
        <w:t>事发镇街等参加，包括但不局限于上述单位。</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88" w:name="_Toc148104590"/>
      <w:r>
        <w:rPr>
          <w:rFonts w:hint="eastAsia" w:ascii="方正楷体_GBK" w:hAnsi="方正楷体_GBK" w:eastAsia="方正楷体_GBK" w:cs="方正楷体_GBK"/>
          <w:b w:val="0"/>
          <w:bCs w:val="0"/>
          <w:highlight w:val="none"/>
        </w:rPr>
        <w:t>2.5 主要成员单位职责</w:t>
      </w:r>
      <w:bookmarkEnd w:id="88"/>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区政府办公室：综合协调发挥运转枢纽作用，传达区城镇燃气应急指挥部指令；及时向市政府报告事故处置进展情况。</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负责牵头组织事故抢险救援；组织专家组制定救援技术方案和措施；调集相关专业救援队伍、专业应急装备和器材参与救援；按照有关规定参与开展事故调查工作；负责液化石油气、二甲醚、醇基燃料事故应急处置期间通信与联络畅通。</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区应急管理局：负责参与、协调应急救援工作；按照有关规定牵头组织事故调查工作。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区委宣传部：负责统筹指导新闻通稿的起草，组织新闻发布会；做好现场新闻媒体接待和服务工作；负责引导媒体和公众舆论。</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区住房和城乡建设委：负责组织抢修与恢复在液化石油气、二甲醚、醇基燃料事故中损坏的有关市政管线、设施。</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区发展和改革委：负责组织协调城镇燃气上游供应。</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区交通局：负责事故抢险救援过程中公路应急运输保障工作。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区城市管理局：参与灾后洗消和重建工作。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区生态环境局：负责事故现场及周边区域环境的应急监测，提出防止事态扩大和控制污染的要求或者建议，并对事故现场污染物的清除以及生态破坏的恢复工作予以指导。</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区规划自然资源局：负责监测和预报全区地质灾害预警信息，分析并及时提供影响事故发生区域的地质灾害情况；参与事故调查，协助、配合办理事故善后处置的城镇燃气工程项目规划选址和审批。</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区市场监管局：负责参与制定事故现场城镇燃气等特种设备的抢险救援方案；配合有关部门组织检验机构对事故有关的特种设备和遗留的产品进行质量检验。</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 xml:space="preserve">区商务委：负责参与、协调商业综合体燃气事故应急救援工作；负责组织协调事故救援过程中部分重点生活物资供应，会同相关部门按程序动用区级储备物资，稳定市场供应。 </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公安局：负责封锁、警戒、控制、保护事故现场及周边区域，维护现场治安秩序；协助有关部门疏散转移现场和周边受威胁区域人员；开展交通管制，维护现场交通秩序和开辟应急专用通道；做好现场安全保卫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区卫生健康委：负责在事故周边安全区域设置临时医疗急救区；对伤员进行紧急医疗处置，及时转运伤员到指定医院；统计事故伤亡人员情况。</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区民政局：负责支持引导社会力量参与应急抢险、救灾捐赠等工作，督促指导及时将符合条件的受灾人员纳入临时救助或最低生活保障范围；做好因事故灾害遇难人员殡仪工作。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区财政局：负责城镇燃气事故应急经费保障。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区人力社保局：负责工伤认定、参与善后处理工作。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区气象局：负责提供气象预警信息并为事故应急处置期间提供气象信息服务。</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区总工会：负责指导、协助企业做好事故善后处理和社会稳定工作，参与事故的调查处理工作。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区消防救援支队：负责在事故救援专家的指导下实施事故现场灭火工作；对事故被困人员进行救助；配合专业应急救援队进行器具堵漏、冷却抑爆、关阀断源等工作。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涉及液化石油气、二甲醚、醇基燃料事故的镇街：负责及时报告事故有关情况，启动有关应急预案，调集抢险救援力量开展应急处置，最大限度地减少人员伤亡、财产损失和环境危害；组织协调应急避难场所；牵头做好善后处理工作，为事故抢险救援提供后勤保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水务、电力、通信等单位：负责为事故现场抢险救援提供水、电、气、通信等应急保障，及时抢修受损水、电、气、通信等设施设备。</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经营单位：负责启动本单位应急预案，提供事故风险评估情况，组织本单位应急救援队伍和专家对事故进行先期应急处置，防止事故进一步扩大。按照响应分级，配合做好事故救援工作，提供应急救援相关资料、应急处置物资。负责配合做好调查处理工作。</w:t>
      </w:r>
    </w:p>
    <w:bookmarkEnd w:id="78"/>
    <w:bookmarkEnd w:id="79"/>
    <w:bookmarkEnd w:id="80"/>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89" w:name="_Toc654_WPSOffice_Level1"/>
      <w:bookmarkStart w:id="90" w:name="_Toc77178948"/>
      <w:bookmarkStart w:id="91" w:name="_Toc25164774"/>
      <w:bookmarkStart w:id="92" w:name="_Toc148104591"/>
      <w:bookmarkStart w:id="93" w:name="_Toc1348"/>
      <w:r>
        <w:rPr>
          <w:rFonts w:hint="eastAsia" w:ascii="方正黑体_GBK" w:eastAsia="方正黑体_GBK"/>
          <w:bCs/>
          <w:szCs w:val="32"/>
          <w:highlight w:val="none"/>
          <w:lang w:val="zh-CN"/>
        </w:rPr>
        <w:t>3  监测、预警</w:t>
      </w:r>
      <w:bookmarkEnd w:id="89"/>
      <w:bookmarkEnd w:id="90"/>
      <w:bookmarkEnd w:id="91"/>
      <w:bookmarkEnd w:id="92"/>
      <w:bookmarkEnd w:id="93"/>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94" w:name="_Toc77178949"/>
      <w:bookmarkStart w:id="95" w:name="_Toc148104592"/>
      <w:bookmarkStart w:id="96" w:name="_Toc436244653"/>
      <w:bookmarkStart w:id="97" w:name="_Toc429467966"/>
      <w:bookmarkStart w:id="98" w:name="_Toc439262331"/>
      <w:bookmarkStart w:id="99" w:name="_Toc24056"/>
      <w:r>
        <w:rPr>
          <w:rFonts w:hint="eastAsia" w:ascii="方正楷体_GBK" w:hAnsi="方正楷体_GBK" w:eastAsia="方正楷体_GBK" w:cs="方正楷体_GBK"/>
          <w:b w:val="0"/>
          <w:bCs w:val="0"/>
          <w:highlight w:val="none"/>
        </w:rPr>
        <w:t>3.1 监测</w:t>
      </w:r>
      <w:bookmarkEnd w:id="94"/>
      <w:bookmarkEnd w:id="95"/>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液化石油气、二甲醚、醇基燃料经营企业要建立健全燃气供应系统的日常数据监测、事故统计分析等各项生产管理制度，建立健全燃气安全评估和风险管理体系及用气预测、系统改造等相关信息数据库，落实各项预警监测措施。</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区经济信息委与各镇、街道办事处，以及液化石油气、二甲醚、醇基燃料经营企业保持联络通畅，随时了解和掌握供气动态情况，强化城镇燃气安全事故监测监控。</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区规划自然资源局、区生态环境局等部门和单位要按照职能职责依法开展监测工作，并及时获取区气象局发布的气象、地质等灾害信息，通报区经济信息委及相关部门和单位。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区经济信息委及时分析研判监测结果，预估可能造成的损失和影响，采取多种方式及时发布有关预警信息。</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00" w:name="_Toc22679_WPSOffice_Level2"/>
      <w:bookmarkStart w:id="101" w:name="_Toc25164776"/>
      <w:bookmarkStart w:id="102" w:name="_Toc148104593"/>
      <w:bookmarkStart w:id="103" w:name="_Toc77178950"/>
      <w:r>
        <w:rPr>
          <w:rFonts w:hint="eastAsia" w:ascii="方正楷体_GBK" w:hAnsi="方正楷体_GBK" w:eastAsia="方正楷体_GBK" w:cs="方正楷体_GBK"/>
          <w:b w:val="0"/>
          <w:bCs w:val="0"/>
          <w:highlight w:val="none"/>
        </w:rPr>
        <w:t>3.2 预警</w:t>
      </w:r>
      <w:bookmarkEnd w:id="100"/>
      <w:bookmarkEnd w:id="101"/>
      <w:r>
        <w:rPr>
          <w:rFonts w:hint="eastAsia" w:ascii="方正楷体_GBK" w:hAnsi="方正楷体_GBK" w:eastAsia="方正楷体_GBK" w:cs="方正楷体_GBK"/>
          <w:b w:val="0"/>
          <w:bCs w:val="0"/>
          <w:highlight w:val="none"/>
        </w:rPr>
        <w:t>分级</w:t>
      </w:r>
      <w:bookmarkEnd w:id="102"/>
      <w:bookmarkEnd w:id="103"/>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区经济信息委应组织有关部门和机构、专业技术人员及专家对可能发生的液化石油气、二甲醚、醇基燃料事故进行研判，预估可能的影响范围和危害程度，向区城镇燃气应急指挥部提出预警级别建议。</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液化石油气、二甲醚、醇基燃料事故预警，按照事故发生的可能性大小、紧急程度和可能造成的危害程度，由高到低分为一级、二级、三级、四级，分别用红色、橙色、黄色、蓝色标示，一级为最高等级。</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04" w:name="_Toc25164777"/>
      <w:bookmarkStart w:id="105" w:name="_Toc77178951"/>
      <w:bookmarkStart w:id="106" w:name="_Toc12406_WPSOffice_Level2"/>
      <w:bookmarkStart w:id="107" w:name="_Toc148104594"/>
      <w:r>
        <w:rPr>
          <w:rFonts w:hint="eastAsia" w:ascii="方正楷体_GBK" w:hAnsi="方正楷体_GBK" w:eastAsia="方正楷体_GBK" w:cs="方正楷体_GBK"/>
          <w:b w:val="0"/>
          <w:bCs w:val="0"/>
          <w:highlight w:val="none"/>
        </w:rPr>
        <w:t>3.3 预警信息发布</w:t>
      </w:r>
      <w:bookmarkEnd w:id="104"/>
      <w:bookmarkEnd w:id="105"/>
      <w:bookmarkEnd w:id="106"/>
      <w:bookmarkEnd w:id="107"/>
    </w:p>
    <w:bookmarkEnd w:id="96"/>
    <w:bookmarkEnd w:id="97"/>
    <w:bookmarkEnd w:id="98"/>
    <w:bookmarkEnd w:id="99"/>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发布权限。红色、橙色预警信息由市政府及其有关部门发布；黄色、蓝色预警信息由区政府或区政府授权的部门和单位按规定统一发布，并根据实际情况和有关规定适时调整预警信息和重新发布。预警信息发布部门应及时将预警信息通过各类渠道发放给涉及的单位和个人。</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（2）发布内容。预警信息内容包括：发布单位、发布时间、可能发生突发事故的类别、起始时间、可能影响范围、预警级别、警示事项、事态发展、相关措施、咨询电话等内容。</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（3）发布途径。预警信息应当通过事故信息发布平台或电视、广播、报纸、微博、微信、手机短信等途</w:t>
      </w:r>
      <w:r>
        <w:rPr>
          <w:rFonts w:hint="eastAsia" w:ascii="方正仿宋_GBK" w:hAnsi="Arial" w:eastAsia="方正仿宋_GBK" w:cs="Times New Roman"/>
          <w:sz w:val="32"/>
          <w:szCs w:val="32"/>
          <w:highlight w:val="none"/>
          <w:lang w:eastAsia="zh-CN"/>
        </w:rPr>
        <w:t>径</w:t>
      </w:r>
      <w:r>
        <w:rPr>
          <w:rFonts w:hint="eastAsia" w:ascii="方正仿宋_GBK" w:hAnsi="Arial" w:eastAsia="方正仿宋_GBK" w:cs="Times New Roman"/>
          <w:sz w:val="32"/>
          <w:szCs w:val="32"/>
          <w:highlight w:val="none"/>
        </w:rPr>
        <w:t>向公众发布。广播站、电视台、报社、网站和电信运营单位应当及时、准确、无偿地向社会公众传播预警信息。</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预警信息发布后，要密切关注事故进展情况，依据</w:t>
      </w:r>
      <w:r>
        <w:rPr>
          <w:rFonts w:hint="eastAsia" w:ascii="方正仿宋_GBK" w:hAnsi="Arial" w:eastAsia="方正仿宋_GBK" w:cs="Times New Roman"/>
          <w:sz w:val="32"/>
          <w:szCs w:val="32"/>
          <w:highlight w:val="none"/>
          <w:lang w:eastAsia="zh-CN"/>
        </w:rPr>
        <w:t>事态</w:t>
      </w:r>
      <w:r>
        <w:rPr>
          <w:rFonts w:hint="eastAsia" w:ascii="方正仿宋_GBK" w:hAnsi="Arial" w:eastAsia="方正仿宋_GBK" w:cs="Times New Roman"/>
          <w:sz w:val="32"/>
          <w:szCs w:val="32"/>
          <w:highlight w:val="none"/>
        </w:rPr>
        <w:t>变化情况适时调整预警级别，并及时发布。</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区城镇燃气应急指挥部有关成员单位应当根据预警信息立即做出部署，进入相应的应急工作状态，启动相关的应急响应，按职责做好应急防范处置工作。</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08" w:name="_Toc148104595"/>
      <w:bookmarkStart w:id="109" w:name="_Toc77178952"/>
      <w:r>
        <w:rPr>
          <w:rFonts w:hint="eastAsia" w:ascii="方正楷体_GBK" w:hAnsi="方正楷体_GBK" w:eastAsia="方正楷体_GBK" w:cs="方正楷体_GBK"/>
          <w:b w:val="0"/>
          <w:bCs w:val="0"/>
          <w:highlight w:val="none"/>
        </w:rPr>
        <w:t>3.4 预警行动</w:t>
      </w:r>
      <w:bookmarkEnd w:id="108"/>
      <w:bookmarkEnd w:id="109"/>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预警信息发布后，涉事镇街，以及液化石油气、二甲醚、醇基燃料经营企业可视情采取以下措施：</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（1）及时研判。组织液化石油气、二甲醚、醇基燃料经营企业和有关单位、专业技术人员及专家，及时进行分析研判，预估可能的影响范围和危害程度，视情启动应急响应程序。</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（2）防范处置。迅速采取有效处置措施，控制事件苗头。在涉险区域设置警示标志，利用各种渠道告知公众避险，提前疏散、转移可能受到危害的人员，并进行妥善安置。</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（3）应急准备。通知抢险救援组，以及液化石油气、二甲醚、醇基燃料经营单位救援队伍进入待命状态，做好参加应急救援和处置工作的准备，并调集应急所需物资和设备，做好应急准备工作。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（4）舆论引导。及时准确发布事态最新情况，公布咨询电话，组织专家解读，加强舆情监测，做好舆论引导工作。</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10" w:name="_Toc436244655"/>
      <w:bookmarkStart w:id="111" w:name="_Toc18084_WPSOffice_Level2"/>
      <w:bookmarkStart w:id="112" w:name="_Toc148104596"/>
      <w:bookmarkStart w:id="113" w:name="_Toc19370"/>
      <w:bookmarkStart w:id="114" w:name="_Toc439262333"/>
      <w:bookmarkStart w:id="115" w:name="_Toc77178953"/>
      <w:bookmarkStart w:id="116" w:name="_Toc25164778"/>
      <w:r>
        <w:rPr>
          <w:rFonts w:hint="eastAsia" w:ascii="方正楷体_GBK" w:hAnsi="方正楷体_GBK" w:eastAsia="方正楷体_GBK" w:cs="方正楷体_GBK"/>
          <w:b w:val="0"/>
          <w:bCs w:val="0"/>
          <w:highlight w:val="none"/>
        </w:rPr>
        <w:t>3.5 预警调整和解除</w:t>
      </w:r>
      <w:bookmarkEnd w:id="110"/>
      <w:bookmarkEnd w:id="111"/>
      <w:bookmarkEnd w:id="112"/>
      <w:bookmarkEnd w:id="113"/>
      <w:bookmarkEnd w:id="114"/>
      <w:bookmarkEnd w:id="115"/>
      <w:bookmarkEnd w:id="116"/>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预警信息发布后，发布预警信息的单位应当加强信息收集、分析、研判，及时掌握事件发展态势和排险进展，必要时建议预警信息发布单位及时调整预警级别并按照有关规定重新发布；有事实证明不可能发生突发事故或者危险已经解除的，由发布单位宣布终止预警，并通知有关单位解除已经采取的应急措施。</w:t>
      </w: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117" w:name="_Toc13862_WPSOffice_Level1"/>
      <w:bookmarkStart w:id="118" w:name="_Toc77178955"/>
      <w:bookmarkStart w:id="119" w:name="_Toc429467973"/>
      <w:bookmarkStart w:id="120" w:name="_Toc436244656"/>
      <w:bookmarkStart w:id="121" w:name="_Toc439262334"/>
      <w:bookmarkStart w:id="122" w:name="_Toc25164780"/>
      <w:bookmarkStart w:id="123" w:name="_Toc24098"/>
      <w:bookmarkStart w:id="124" w:name="_Toc148104597"/>
      <w:r>
        <w:rPr>
          <w:rFonts w:hint="eastAsia" w:ascii="方正黑体_GBK" w:eastAsia="方正黑体_GBK"/>
          <w:bCs/>
          <w:szCs w:val="32"/>
          <w:highlight w:val="none"/>
          <w:lang w:val="zh-CN"/>
        </w:rPr>
        <w:t>4  应急响应</w:t>
      </w:r>
      <w:bookmarkEnd w:id="117"/>
      <w:bookmarkEnd w:id="118"/>
      <w:bookmarkEnd w:id="119"/>
      <w:bookmarkEnd w:id="120"/>
      <w:bookmarkEnd w:id="121"/>
      <w:bookmarkEnd w:id="122"/>
      <w:bookmarkEnd w:id="123"/>
      <w:bookmarkEnd w:id="124"/>
      <w:bookmarkStart w:id="125" w:name="_Toc429467974"/>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26" w:name="_Toc27591_WPSOffice_Level2"/>
      <w:bookmarkStart w:id="127" w:name="_Toc148104598"/>
      <w:bookmarkStart w:id="128" w:name="_Toc77178954"/>
      <w:bookmarkStart w:id="129" w:name="_Toc27132062"/>
      <w:bookmarkStart w:id="130" w:name="_Toc77178956"/>
      <w:r>
        <w:rPr>
          <w:rFonts w:hint="eastAsia" w:ascii="方正楷体_GBK" w:hAnsi="方正楷体_GBK" w:eastAsia="方正楷体_GBK" w:cs="方正楷体_GBK"/>
          <w:b w:val="0"/>
          <w:bCs w:val="0"/>
          <w:highlight w:val="none"/>
        </w:rPr>
        <w:t>4.1 信息报告</w:t>
      </w:r>
      <w:bookmarkEnd w:id="126"/>
      <w:bookmarkEnd w:id="127"/>
      <w:bookmarkEnd w:id="128"/>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（1）报告程序</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事故发生后，液化石油气、二甲醚、醇基燃料经营企业应立即现场核实情况，并立即上报属地镇街、区经济信息委、区应急管理局。</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区应急管理局接报并核实后，初判达到一般及以上事故，立即向区委、区政府及本级相关部门报告事故信息，并及时向市经济信息委报告事故信息；初判达到较大及以上事故，区经济信息委、区应急管理局、区委、区政府在接报后30分钟内向市委值班室、市政府总值班室电话报告，1小时内书面报告。</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bookmarkStart w:id="131" w:name="_Toc521406776"/>
      <w:r>
        <w:rPr>
          <w:rFonts w:hint="eastAsia" w:ascii="方正仿宋_GBK" w:hAnsi="Arial" w:eastAsia="方正仿宋_GBK" w:cs="Times New Roman"/>
          <w:sz w:val="32"/>
          <w:szCs w:val="32"/>
          <w:highlight w:val="none"/>
        </w:rPr>
        <w:t>电话报告应包括时间、地点、信息来源、事故基本情况和可能造成的后果等内容；书面报告应包括时间、地点、信息来源、事故起因、基本过程、已造成的后果、影响范围、发展趋势、处置情况、拟采取的措施以及下一步工作建议等内容。</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（3）信息续报</w:t>
      </w:r>
      <w:bookmarkEnd w:id="131"/>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对首报时要素不齐全或事故衍生出新情况、处置工作有新进展的，要及时续报，可采取电话、书面等形式及时续报事故处置等有关情况。重大、特别重大事故每2小时续报事故进展。</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bookmarkStart w:id="132" w:name="_Toc503623846"/>
      <w:bookmarkEnd w:id="132"/>
      <w:bookmarkStart w:id="133" w:name="_Toc503624170"/>
      <w:bookmarkEnd w:id="133"/>
      <w:bookmarkStart w:id="134" w:name="_Toc503624314"/>
      <w:bookmarkEnd w:id="134"/>
      <w:bookmarkStart w:id="135" w:name="_Toc521406777"/>
      <w:r>
        <w:rPr>
          <w:rFonts w:hint="eastAsia" w:ascii="方正仿宋_GBK" w:hAnsi="Arial" w:eastAsia="方正仿宋_GBK" w:cs="Times New Roman"/>
          <w:sz w:val="32"/>
          <w:szCs w:val="32"/>
          <w:highlight w:val="none"/>
        </w:rPr>
        <w:t>（4）信息通报</w:t>
      </w:r>
      <w:bookmarkEnd w:id="135"/>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事故发生后，区经济信息委应当按照事故等级及时通报有关部门。因生产安全事故、交通事故、自然灾害等因素可能引发城镇燃气事故的，有关部门、有关单位应当及时向区经济信息委通报。</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（5）信息报告流程图</w:t>
      </w:r>
    </w:p>
    <w:p>
      <w:pPr>
        <w:pStyle w:val="15"/>
        <w:adjustRightInd w:val="0"/>
        <w:snapToGrid w:val="0"/>
        <w:spacing w:before="0" w:beforeAutospacing="0" w:after="0" w:afterAutospacing="0" w:line="360" w:lineRule="auto"/>
        <w:ind w:firstLine="600" w:firstLineChars="200"/>
        <w:jc w:val="center"/>
        <w:rPr>
          <w:rFonts w:ascii="仿宋" w:hAnsi="仿宋" w:eastAsia="仿宋" w:cs="方正仿宋_GBK"/>
          <w:color w:val="000000"/>
          <w:sz w:val="30"/>
          <w:szCs w:val="30"/>
          <w:highlight w:val="none"/>
        </w:rPr>
      </w:pPr>
      <w:r>
        <w:rPr>
          <w:rFonts w:ascii="仿宋" w:hAnsi="仿宋" w:eastAsia="仿宋" w:cs="方正仿宋_GBK"/>
          <w:color w:val="000000"/>
          <w:sz w:val="30"/>
          <w:szCs w:val="30"/>
          <w:highlight w:val="none"/>
        </w:rPr>
        <w:drawing>
          <wp:inline distT="0" distB="0" distL="0" distR="0">
            <wp:extent cx="4840605" cy="2761615"/>
            <wp:effectExtent l="0" t="0" r="0" b="63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4840605" cy="2761615"/>
                    </a:xfrm>
                    <a:prstGeom prst="rect">
                      <a:avLst/>
                    </a:prstGeom>
                    <a:noFill/>
                  </pic:spPr>
                </pic:pic>
              </a:graphicData>
            </a:graphic>
          </wp:inline>
        </w:drawing>
      </w:r>
    </w:p>
    <w:p>
      <w:pPr>
        <w:widowControl/>
        <w:adjustRightInd w:val="0"/>
        <w:snapToGrid w:val="0"/>
        <w:spacing w:before="100" w:beforeAutospacing="1" w:after="100" w:afterAutospacing="1"/>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图4.1-1  信息报告流程图</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36" w:name="_Toc148104599"/>
      <w:r>
        <w:rPr>
          <w:rFonts w:hint="eastAsia" w:ascii="方正楷体_GBK" w:hAnsi="方正楷体_GBK" w:eastAsia="方正楷体_GBK" w:cs="方正楷体_GBK"/>
          <w:b w:val="0"/>
          <w:bCs w:val="0"/>
          <w:highlight w:val="none"/>
        </w:rPr>
        <w:t>4.2 响应分级</w:t>
      </w:r>
      <w:bookmarkEnd w:id="129"/>
      <w:bookmarkEnd w:id="130"/>
      <w:bookmarkEnd w:id="136"/>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按照事故发生地和企业隶属关系实行属地化和分级处置，不管事故发生的大小，事发液化石油气、二甲醚、醇基燃料经营企业，以及事发镇街等都有先期处置的义务，其主要负责人或分管负责人要迅速赶赴现场，抢救伤员、控制事态、减少损失、维护社会治安，并按规定迅速上报。</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液化石油气、二甲醚、醇基燃料事故严重程度和发展态势，应急响应从低到高分为Ⅳ级、Ⅲ级、Ⅱ级、Ⅰ级4个等级。Ⅳ级、Ⅲ级应急响应由区城镇燃气应急指挥部组织开展实施应急救援工作；Ⅱ级、Ⅰ级应急响应需在市级应急指挥部的领导下，开展实施相应的应急救援工作。</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37" w:name="_Toc148104600"/>
      <w:bookmarkStart w:id="138" w:name="_Toc121390146"/>
      <w:r>
        <w:rPr>
          <w:rFonts w:hint="eastAsia" w:ascii="方正楷体_GBK" w:hAnsi="方正楷体_GBK" w:eastAsia="方正楷体_GBK" w:cs="方正楷体_GBK"/>
          <w:b w:val="0"/>
          <w:bCs w:val="0"/>
          <w:highlight w:val="none"/>
        </w:rPr>
        <w:t>4.3 响应程序</w:t>
      </w:r>
      <w:bookmarkEnd w:id="137"/>
      <w:bookmarkEnd w:id="138"/>
    </w:p>
    <w:p>
      <w:pPr>
        <w:ind w:firstLine="642" w:firstLineChars="200"/>
        <w:outlineLvl w:val="2"/>
        <w:rPr>
          <w:rFonts w:ascii="仿宋_GB2312" w:eastAsia="仿宋_GB2312" w:hAnsiTheme="minorHAnsi" w:cstheme="minorBidi"/>
          <w:b/>
          <w:bCs/>
          <w:highlight w:val="none"/>
        </w:rPr>
      </w:pPr>
      <w:bookmarkStart w:id="139" w:name="_Toc82789350"/>
      <w:bookmarkStart w:id="140" w:name="_Toc77092137"/>
      <w:bookmarkStart w:id="141" w:name="_Toc5218_WPSOffice_Level3"/>
      <w:bookmarkStart w:id="142" w:name="_Toc87862804"/>
      <w:bookmarkStart w:id="143" w:name="_Toc89076413"/>
      <w:bookmarkStart w:id="144" w:name="_Toc77091299"/>
      <w:bookmarkStart w:id="145" w:name="_Toc77178957"/>
      <w:bookmarkStart w:id="146" w:name="_Toc22927_WPSOffice_Level3"/>
      <w:r>
        <w:rPr>
          <w:rFonts w:hint="eastAsia" w:ascii="仿宋_GB2312" w:eastAsia="仿宋_GB2312" w:hAnsiTheme="minorHAnsi" w:cstheme="minorBidi"/>
          <w:b/>
          <w:bCs/>
          <w:highlight w:val="none"/>
        </w:rPr>
        <w:t>4.3.1 Ⅳ级应急响应</w:t>
      </w:r>
      <w:bookmarkEnd w:id="139"/>
      <w:bookmarkEnd w:id="140"/>
      <w:bookmarkEnd w:id="141"/>
      <w:bookmarkEnd w:id="142"/>
      <w:bookmarkEnd w:id="143"/>
      <w:bookmarkEnd w:id="144"/>
      <w:bookmarkEnd w:id="145"/>
      <w:bookmarkEnd w:id="146"/>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发生一般事故，事发单位应立即启动相关应急预案开展先期处置。</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办公室接报后，立即核实险情或事故，经研判上报区城镇燃气应急指挥部，由副指挥长启动Ⅳ级应急响应，根据实际情况及需要成立现场应急指挥部，由区城镇燃气应急指挥部副指挥长任现场指挥长，组织各应急工作组、事发企业救援队伍等开展应急处置工作。同时向市经济信息委报告事故信息及应急处置情况。</w:t>
      </w:r>
    </w:p>
    <w:p>
      <w:pPr>
        <w:ind w:firstLine="642" w:firstLineChars="200"/>
        <w:outlineLvl w:val="2"/>
        <w:rPr>
          <w:rFonts w:ascii="仿宋_GB2312" w:eastAsia="仿宋_GB2312" w:hAnsiTheme="minorHAnsi" w:cstheme="minorBidi"/>
          <w:b/>
          <w:bCs/>
          <w:highlight w:val="none"/>
        </w:rPr>
      </w:pPr>
      <w:bookmarkStart w:id="147" w:name="_Toc87862805"/>
      <w:bookmarkStart w:id="148" w:name="_Toc77178958"/>
      <w:bookmarkStart w:id="149" w:name="_Toc77091300"/>
      <w:bookmarkStart w:id="150" w:name="_Toc16151_WPSOffice_Level3"/>
      <w:bookmarkStart w:id="151" w:name="_Toc77092138"/>
      <w:bookmarkStart w:id="152" w:name="_Toc82789351"/>
      <w:bookmarkStart w:id="153" w:name="_Toc9902_WPSOffice_Level3"/>
      <w:bookmarkStart w:id="154" w:name="_Toc89076414"/>
      <w:r>
        <w:rPr>
          <w:rFonts w:hint="eastAsia" w:ascii="仿宋_GB2312" w:eastAsia="仿宋_GB2312" w:hAnsiTheme="minorHAnsi" w:cstheme="minorBidi"/>
          <w:b/>
          <w:bCs/>
          <w:highlight w:val="none"/>
        </w:rPr>
        <w:t>4.3.2 Ⅲ级应急响应</w:t>
      </w:r>
      <w:bookmarkEnd w:id="147"/>
      <w:bookmarkEnd w:id="148"/>
      <w:bookmarkEnd w:id="149"/>
      <w:bookmarkEnd w:id="150"/>
      <w:bookmarkEnd w:id="151"/>
      <w:bookmarkEnd w:id="152"/>
      <w:bookmarkEnd w:id="153"/>
      <w:bookmarkEnd w:id="154"/>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启动Ⅳ级应急响应事故或险情未得到有效控制，或发生较大事故，事发单位应立即启动相关应急预案开展先期处置。</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办公室接报后，立即核实险情或事故，经研判，上报区城镇燃气应急指挥部，由指挥长启动Ⅲ级应急响应，并根据实际情况成立现场应急指挥部，由区城镇燃气应急指挥部指挥长任现场指挥长，组织各应急工作组、事发企业救援队伍等开展应急处置工作。同时向市经济信息委报告事故信息及应急处置情况。</w:t>
      </w:r>
    </w:p>
    <w:p>
      <w:pPr>
        <w:ind w:firstLine="642"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4.3.3 Ⅱ级、Ⅰ级应急响应</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发生重大、特别重大事故，区城镇燃气应急指挥部立即成立现场应急指挥部，由区城镇燃气应急指挥部指挥长任现场指挥长，组织各应急工作组、事发城镇天然气企业救援队伍等开展先期应急处置工作。同时按照信息</w:t>
      </w:r>
      <w:r>
        <w:rPr>
          <w:rFonts w:hint="eastAsia" w:ascii="方正仿宋_GBK" w:hAnsi="Arial" w:eastAsia="方正仿宋_GBK" w:cs="Times New Roman"/>
          <w:sz w:val="32"/>
          <w:szCs w:val="32"/>
          <w:highlight w:val="none"/>
          <w:lang w:eastAsia="zh-CN"/>
        </w:rPr>
        <w:t>报告</w:t>
      </w:r>
      <w:r>
        <w:rPr>
          <w:rFonts w:hint="eastAsia" w:ascii="方正仿宋_GBK" w:hAnsi="Arial" w:eastAsia="方正仿宋_GBK" w:cs="Times New Roman"/>
          <w:sz w:val="32"/>
          <w:szCs w:val="32"/>
          <w:highlight w:val="none"/>
        </w:rPr>
        <w:t>程序上报市经济信息委、市委、市政府。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待市政府应急指挥部成立后移交指挥权，服从市级应急指挥部的统一调度指挥。液化石油气、二甲醚、醇基燃料事故应急响应流程图详见图4.3-1。</w:t>
      </w:r>
    </w:p>
    <w:p>
      <w:pPr>
        <w:pStyle w:val="15"/>
        <w:adjustRightInd w:val="0"/>
        <w:snapToGrid w:val="0"/>
        <w:spacing w:before="0" w:beforeAutospacing="0" w:after="0" w:afterAutospacing="0" w:line="360" w:lineRule="auto"/>
        <w:jc w:val="center"/>
        <w:rPr>
          <w:rFonts w:ascii="仿宋" w:hAnsi="仿宋" w:eastAsia="仿宋" w:cs="方正仿宋_GBK"/>
          <w:color w:val="000000"/>
          <w:sz w:val="30"/>
          <w:szCs w:val="30"/>
          <w:highlight w:val="none"/>
        </w:rPr>
      </w:pPr>
      <w:r>
        <w:rPr>
          <w:rFonts w:ascii="仿宋" w:hAnsi="仿宋" w:eastAsia="仿宋" w:cs="方正仿宋_GBK"/>
          <w:color w:val="000000"/>
          <w:sz w:val="30"/>
          <w:szCs w:val="30"/>
          <w:highlight w:val="none"/>
        </w:rPr>
        <w:drawing>
          <wp:inline distT="0" distB="0" distL="0" distR="0">
            <wp:extent cx="5511165" cy="6443980"/>
            <wp:effectExtent l="0" t="0" r="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5511165" cy="6443980"/>
                    </a:xfrm>
                    <a:prstGeom prst="rect">
                      <a:avLst/>
                    </a:prstGeom>
                    <a:noFill/>
                  </pic:spPr>
                </pic:pic>
              </a:graphicData>
            </a:graphic>
          </wp:inline>
        </w:drawing>
      </w:r>
    </w:p>
    <w:p>
      <w:pPr>
        <w:widowControl/>
        <w:adjustRightInd w:val="0"/>
        <w:snapToGrid w:val="0"/>
        <w:spacing w:before="100" w:beforeAutospacing="1" w:after="100" w:afterAutospacing="1"/>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图4.3-1  应急响应流程图</w:t>
      </w:r>
    </w:p>
    <w:bookmarkEnd w:id="125"/>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55" w:name="_Toc18696"/>
      <w:bookmarkStart w:id="156" w:name="_Toc439262337"/>
      <w:bookmarkStart w:id="157" w:name="_Toc436244659"/>
      <w:bookmarkStart w:id="158" w:name="_Toc148104601"/>
      <w:bookmarkStart w:id="159" w:name="_Toc5834_WPSOffice_Level2"/>
      <w:bookmarkStart w:id="160" w:name="_Toc25164782"/>
      <w:bookmarkStart w:id="161" w:name="_Toc77178960"/>
      <w:r>
        <w:rPr>
          <w:rFonts w:hint="eastAsia" w:ascii="方正楷体_GBK" w:hAnsi="方正楷体_GBK" w:eastAsia="方正楷体_GBK" w:cs="方正楷体_GBK"/>
          <w:b w:val="0"/>
          <w:bCs w:val="0"/>
          <w:highlight w:val="none"/>
        </w:rPr>
        <w:t xml:space="preserve">4.4 </w:t>
      </w:r>
      <w:bookmarkEnd w:id="155"/>
      <w:bookmarkEnd w:id="156"/>
      <w:bookmarkEnd w:id="157"/>
      <w:r>
        <w:rPr>
          <w:rFonts w:hint="eastAsia" w:ascii="方正楷体_GBK" w:hAnsi="方正楷体_GBK" w:eastAsia="方正楷体_GBK" w:cs="方正楷体_GBK"/>
          <w:b w:val="0"/>
          <w:bCs w:val="0"/>
          <w:highlight w:val="none"/>
        </w:rPr>
        <w:t>响应措施</w:t>
      </w:r>
      <w:bookmarkEnd w:id="158"/>
      <w:bookmarkEnd w:id="159"/>
      <w:bookmarkEnd w:id="160"/>
      <w:bookmarkEnd w:id="161"/>
    </w:p>
    <w:p>
      <w:pPr>
        <w:ind w:firstLine="642" w:firstLineChars="200"/>
        <w:outlineLvl w:val="2"/>
        <w:rPr>
          <w:rFonts w:ascii="仿宋_GB2312" w:eastAsia="仿宋_GB2312" w:hAnsiTheme="minorHAnsi" w:cstheme="minorBidi"/>
          <w:b/>
          <w:bCs/>
          <w:highlight w:val="none"/>
        </w:rPr>
      </w:pPr>
      <w:bookmarkStart w:id="162" w:name="_Toc87862808"/>
      <w:bookmarkStart w:id="163" w:name="_Toc77178961"/>
      <w:bookmarkStart w:id="164" w:name="_Toc30404_WPSOffice_Level3"/>
      <w:bookmarkStart w:id="165" w:name="_Toc82789354"/>
      <w:bookmarkStart w:id="166" w:name="_Toc11400_WPSOffice_Level3"/>
      <w:bookmarkStart w:id="167" w:name="_Toc89076417"/>
      <w:r>
        <w:rPr>
          <w:rFonts w:hint="eastAsia" w:ascii="仿宋_GB2312" w:eastAsia="仿宋_GB2312" w:hAnsiTheme="minorHAnsi" w:cstheme="minorBidi"/>
          <w:b/>
          <w:bCs/>
          <w:highlight w:val="none"/>
        </w:rPr>
        <w:t>4.4.1 先期处置</w:t>
      </w:r>
      <w:bookmarkEnd w:id="162"/>
      <w:bookmarkEnd w:id="163"/>
      <w:bookmarkEnd w:id="164"/>
      <w:bookmarkEnd w:id="165"/>
      <w:bookmarkEnd w:id="166"/>
      <w:bookmarkEnd w:id="167"/>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事故发生后，事发企业为先期处置的主要责任单位，企业主要负责人为抢险救援指挥的第一责任人，应立即组织开展抢险救援，同时，电话报告事发镇街等。企业要立即启动应急响应，按预案采取措施控制事态发展，组织开展应急救援工作，并及时向区城镇燃气应急指挥部报告。</w:t>
      </w:r>
    </w:p>
    <w:p>
      <w:pPr>
        <w:ind w:firstLine="642" w:firstLineChars="200"/>
        <w:outlineLvl w:val="2"/>
        <w:rPr>
          <w:rFonts w:ascii="仿宋_GB2312" w:eastAsia="仿宋_GB2312" w:hAnsiTheme="minorHAnsi" w:cstheme="minorBidi"/>
          <w:b/>
          <w:bCs/>
          <w:highlight w:val="none"/>
        </w:rPr>
      </w:pPr>
      <w:bookmarkStart w:id="168" w:name="_Toc89076418"/>
      <w:bookmarkStart w:id="169" w:name="_Toc87862809"/>
      <w:bookmarkStart w:id="170" w:name="_Toc77178962"/>
      <w:bookmarkStart w:id="171" w:name="_Toc82789355"/>
      <w:r>
        <w:rPr>
          <w:rFonts w:hint="eastAsia" w:ascii="仿宋_GB2312" w:eastAsia="仿宋_GB2312" w:hAnsiTheme="minorHAnsi" w:cstheme="minorBidi"/>
          <w:b/>
          <w:bCs/>
          <w:highlight w:val="none"/>
        </w:rPr>
        <w:t>4.4.2 转移安置人员</w:t>
      </w:r>
      <w:bookmarkEnd w:id="168"/>
      <w:bookmarkEnd w:id="169"/>
      <w:bookmarkEnd w:id="170"/>
      <w:bookmarkEnd w:id="171"/>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事故发生地的地理环境和人员密集程度等情况，设立现场警戒区、交通管制区和重点防护区，确定受威胁人员疏散方式和途径，有组织、有秩序地及时疏散转移受威胁人员和可能受影响地区的居民，并妥善做好转移人员的安置工作。</w:t>
      </w:r>
    </w:p>
    <w:p>
      <w:pPr>
        <w:ind w:firstLine="642" w:firstLineChars="200"/>
        <w:outlineLvl w:val="2"/>
        <w:rPr>
          <w:rFonts w:ascii="仿宋_GB2312" w:eastAsia="仿宋_GB2312" w:hAnsiTheme="minorHAnsi" w:cstheme="minorBidi"/>
          <w:b/>
          <w:bCs/>
          <w:highlight w:val="none"/>
        </w:rPr>
      </w:pPr>
      <w:bookmarkStart w:id="172" w:name="_Toc82789356"/>
      <w:bookmarkStart w:id="173" w:name="_Toc77178963"/>
      <w:bookmarkStart w:id="174" w:name="_Toc89076419"/>
      <w:bookmarkStart w:id="175" w:name="_Toc87862810"/>
      <w:r>
        <w:rPr>
          <w:rFonts w:hint="eastAsia" w:ascii="仿宋_GB2312" w:eastAsia="仿宋_GB2312" w:hAnsiTheme="minorHAnsi" w:cstheme="minorBidi"/>
          <w:b/>
          <w:bCs/>
          <w:highlight w:val="none"/>
        </w:rPr>
        <w:t>4.4.3 医疗救援</w:t>
      </w:r>
      <w:bookmarkEnd w:id="172"/>
      <w:bookmarkEnd w:id="173"/>
      <w:bookmarkEnd w:id="174"/>
      <w:bookmarkEnd w:id="175"/>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迅速组织当地医疗资源和力量，对伤病员进行诊疗，根据需要，及时、安全地将重症伤病员转运到有条件的医疗机构进行救治；视情增派医疗卫生专家和卫生应急队伍、调配急需医药物资，支持医疗救援；做好受影响人员的心理援助。</w:t>
      </w:r>
    </w:p>
    <w:p>
      <w:pPr>
        <w:ind w:firstLine="642" w:firstLineChars="200"/>
        <w:outlineLvl w:val="2"/>
        <w:rPr>
          <w:rFonts w:ascii="仿宋_GB2312" w:eastAsia="仿宋_GB2312" w:hAnsiTheme="minorHAnsi" w:cstheme="minorBidi"/>
          <w:b/>
          <w:bCs/>
          <w:highlight w:val="none"/>
        </w:rPr>
      </w:pPr>
      <w:bookmarkStart w:id="176" w:name="_Toc82789357"/>
      <w:bookmarkStart w:id="177" w:name="_Toc87862811"/>
      <w:bookmarkStart w:id="178" w:name="_Toc89076420"/>
      <w:bookmarkStart w:id="179" w:name="_Toc77178964"/>
      <w:r>
        <w:rPr>
          <w:rFonts w:hint="eastAsia" w:ascii="仿宋_GB2312" w:eastAsia="仿宋_GB2312" w:hAnsiTheme="minorHAnsi" w:cstheme="minorBidi"/>
          <w:b/>
          <w:bCs/>
          <w:highlight w:val="none"/>
        </w:rPr>
        <w:t>4.4.4 保障居民基本生活</w:t>
      </w:r>
      <w:bookmarkEnd w:id="176"/>
      <w:bookmarkEnd w:id="177"/>
      <w:bookmarkEnd w:id="178"/>
      <w:bookmarkEnd w:id="179"/>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供水、供电等部门应当采取措施，确保居民用水、用电需求；物资供应部门要迅速组织应急物资和生活必需品的生产、调配和运输，保障受影响居民停气期间的基本生活。</w:t>
      </w:r>
    </w:p>
    <w:p>
      <w:pPr>
        <w:ind w:firstLine="642" w:firstLineChars="200"/>
        <w:outlineLvl w:val="2"/>
        <w:rPr>
          <w:rFonts w:ascii="仿宋_GB2312" w:eastAsia="仿宋_GB2312" w:hAnsiTheme="minorHAnsi" w:cstheme="minorBidi"/>
          <w:b/>
          <w:bCs/>
          <w:highlight w:val="none"/>
        </w:rPr>
      </w:pPr>
      <w:bookmarkStart w:id="180" w:name="_Toc77178965"/>
      <w:bookmarkStart w:id="181" w:name="_Toc82789358"/>
      <w:bookmarkStart w:id="182" w:name="_Toc89076421"/>
      <w:bookmarkStart w:id="183" w:name="_Toc87862812"/>
      <w:r>
        <w:rPr>
          <w:rFonts w:hint="eastAsia" w:ascii="仿宋_GB2312" w:eastAsia="仿宋_GB2312" w:hAnsiTheme="minorHAnsi" w:cstheme="minorBidi"/>
          <w:b/>
          <w:bCs/>
          <w:highlight w:val="none"/>
        </w:rPr>
        <w:t>4.4.5</w:t>
      </w:r>
      <w:r>
        <w:rPr>
          <w:rFonts w:ascii="仿宋_GB2312" w:eastAsia="仿宋_GB2312" w:hAnsiTheme="minorHAnsi" w:cstheme="minorBidi"/>
          <w:b/>
          <w:bCs/>
          <w:highlight w:val="none"/>
        </w:rPr>
        <w:t xml:space="preserve"> </w:t>
      </w:r>
      <w:r>
        <w:rPr>
          <w:rFonts w:hint="eastAsia" w:ascii="仿宋_GB2312" w:eastAsia="仿宋_GB2312" w:hAnsiTheme="minorHAnsi" w:cstheme="minorBidi"/>
          <w:b/>
          <w:bCs/>
          <w:highlight w:val="none"/>
        </w:rPr>
        <w:t>舆论引导</w:t>
      </w:r>
      <w:bookmarkEnd w:id="180"/>
      <w:bookmarkEnd w:id="181"/>
      <w:bookmarkEnd w:id="182"/>
      <w:bookmarkEnd w:id="183"/>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按照及时准确、公开透明、客观统一的原则，加强信息发布和舆论引导，通过政府发布新闻通稿、举行新闻发布会等多种形式，借助电视、广播、报纸、网络等多种途径，运用微博、微信等新媒体平台，主动向社会发布事故相关信息和应对工作情况，提示相关注意事项和防范措施。加强舆情管控、收集、分析，及时回应社会关切，澄清不实消息，正确引导社会舆论，稳定公众情绪。</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84" w:name="_Toc148104602"/>
      <w:bookmarkStart w:id="185" w:name="_Toc3355_WPSOffice_Level3"/>
      <w:bookmarkStart w:id="186" w:name="_Toc6551_WPSOffice_Level3"/>
      <w:bookmarkStart w:id="187" w:name="_Toc25164784"/>
      <w:bookmarkStart w:id="188" w:name="_Toc25164779"/>
      <w:r>
        <w:rPr>
          <w:rFonts w:hint="eastAsia" w:ascii="方正楷体_GBK" w:hAnsi="方正楷体_GBK" w:eastAsia="方正楷体_GBK" w:cs="方正楷体_GBK"/>
          <w:b w:val="0"/>
          <w:bCs w:val="0"/>
          <w:highlight w:val="none"/>
        </w:rPr>
        <w:t>4.5 扩大应急</w:t>
      </w:r>
      <w:bookmarkEnd w:id="184"/>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w:t>
      </w:r>
      <w:r>
        <w:rPr>
          <w:rFonts w:ascii="方正仿宋_GBK" w:hAnsi="Arial" w:eastAsia="方正仿宋_GBK" w:cs="Times New Roman"/>
          <w:sz w:val="32"/>
          <w:szCs w:val="32"/>
          <w:highlight w:val="none"/>
        </w:rPr>
        <w:t>事故已经或可能次生、衍生其他突发事件，或事故规模超出我</w:t>
      </w:r>
      <w:r>
        <w:rPr>
          <w:rFonts w:hint="eastAsia" w:ascii="方正仿宋_GBK" w:hAnsi="Arial" w:eastAsia="方正仿宋_GBK" w:cs="Times New Roman"/>
          <w:sz w:val="32"/>
          <w:szCs w:val="32"/>
          <w:highlight w:val="none"/>
        </w:rPr>
        <w:t>区</w:t>
      </w:r>
      <w:r>
        <w:rPr>
          <w:rFonts w:ascii="方正仿宋_GBK" w:hAnsi="Arial" w:eastAsia="方正仿宋_GBK" w:cs="Times New Roman"/>
          <w:sz w:val="32"/>
          <w:szCs w:val="32"/>
          <w:highlight w:val="none"/>
        </w:rPr>
        <w:t>处置能力时，</w:t>
      </w:r>
      <w:r>
        <w:rPr>
          <w:rFonts w:hint="eastAsia" w:ascii="方正仿宋_GBK" w:hAnsi="Arial" w:eastAsia="方正仿宋_GBK" w:cs="Times New Roman"/>
          <w:sz w:val="32"/>
          <w:szCs w:val="32"/>
          <w:highlight w:val="none"/>
        </w:rPr>
        <w:t>区城镇燃气应急指挥部</w:t>
      </w:r>
      <w:r>
        <w:rPr>
          <w:rFonts w:ascii="方正仿宋_GBK" w:hAnsi="Arial" w:eastAsia="方正仿宋_GBK" w:cs="Times New Roman"/>
          <w:sz w:val="32"/>
          <w:szCs w:val="32"/>
          <w:highlight w:val="none"/>
        </w:rPr>
        <w:t>应及时向市</w:t>
      </w:r>
      <w:r>
        <w:rPr>
          <w:rFonts w:hint="eastAsia" w:ascii="方正仿宋_GBK" w:hAnsi="Arial" w:eastAsia="方正仿宋_GBK" w:cs="Times New Roman"/>
          <w:sz w:val="32"/>
          <w:szCs w:val="32"/>
          <w:highlight w:val="none"/>
        </w:rPr>
        <w:t>经济</w:t>
      </w:r>
      <w:r>
        <w:rPr>
          <w:rFonts w:ascii="方正仿宋_GBK" w:hAnsi="Arial" w:eastAsia="方正仿宋_GBK" w:cs="Times New Roman"/>
          <w:sz w:val="32"/>
          <w:szCs w:val="32"/>
          <w:highlight w:val="none"/>
        </w:rPr>
        <w:t>信息委</w:t>
      </w:r>
      <w:r>
        <w:rPr>
          <w:rFonts w:hint="eastAsia" w:ascii="方正仿宋_GBK" w:hAnsi="Arial" w:eastAsia="方正仿宋_GBK" w:cs="Times New Roman"/>
          <w:sz w:val="32"/>
          <w:szCs w:val="32"/>
          <w:highlight w:val="none"/>
        </w:rPr>
        <w:t>、</w:t>
      </w:r>
      <w:r>
        <w:rPr>
          <w:rFonts w:ascii="方正仿宋_GBK" w:hAnsi="Arial" w:eastAsia="方正仿宋_GBK" w:cs="Times New Roman"/>
          <w:sz w:val="32"/>
          <w:szCs w:val="32"/>
          <w:highlight w:val="none"/>
        </w:rPr>
        <w:t>市应急管理局和市政府</w:t>
      </w:r>
      <w:r>
        <w:rPr>
          <w:rFonts w:hint="eastAsia" w:ascii="方正仿宋_GBK" w:hAnsi="Arial" w:eastAsia="方正仿宋_GBK" w:cs="Times New Roman"/>
          <w:sz w:val="32"/>
          <w:szCs w:val="32"/>
          <w:highlight w:val="none"/>
        </w:rPr>
        <w:t>报告，请求上一级政府部门应急救援力量的支援</w:t>
      </w:r>
      <w:r>
        <w:rPr>
          <w:rFonts w:ascii="方正仿宋_GBK" w:hAnsi="Arial" w:eastAsia="方正仿宋_GBK" w:cs="Times New Roman"/>
          <w:sz w:val="32"/>
          <w:szCs w:val="32"/>
          <w:highlight w:val="none"/>
        </w:rPr>
        <w:t>。</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89" w:name="_Toc436244660"/>
      <w:bookmarkStart w:id="190" w:name="_Toc439262338"/>
      <w:bookmarkStart w:id="191" w:name="_Toc2319"/>
      <w:bookmarkStart w:id="192" w:name="_Toc25164783"/>
      <w:bookmarkStart w:id="193" w:name="_Toc23660_WPSOffice_Level2"/>
      <w:bookmarkStart w:id="194" w:name="_Toc77178966"/>
      <w:bookmarkStart w:id="195" w:name="_Toc148104603"/>
      <w:r>
        <w:rPr>
          <w:rFonts w:hint="eastAsia" w:ascii="方正楷体_GBK" w:hAnsi="方正楷体_GBK" w:eastAsia="方正楷体_GBK" w:cs="方正楷体_GBK"/>
          <w:b w:val="0"/>
          <w:bCs w:val="0"/>
          <w:highlight w:val="none"/>
        </w:rPr>
        <w:t xml:space="preserve">4.6 </w:t>
      </w:r>
      <w:bookmarkEnd w:id="189"/>
      <w:bookmarkEnd w:id="190"/>
      <w:bookmarkEnd w:id="191"/>
      <w:r>
        <w:rPr>
          <w:rFonts w:hint="eastAsia" w:ascii="方正楷体_GBK" w:hAnsi="方正楷体_GBK" w:eastAsia="方正楷体_GBK" w:cs="方正楷体_GBK"/>
          <w:b w:val="0"/>
          <w:bCs w:val="0"/>
          <w:highlight w:val="none"/>
        </w:rPr>
        <w:t>响应结束</w:t>
      </w:r>
      <w:bookmarkEnd w:id="192"/>
      <w:bookmarkEnd w:id="193"/>
      <w:bookmarkEnd w:id="194"/>
      <w:bookmarkEnd w:id="195"/>
    </w:p>
    <w:bookmarkEnd w:id="185"/>
    <w:bookmarkEnd w:id="186"/>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bookmarkStart w:id="196" w:name="_Toc77178967"/>
      <w:r>
        <w:rPr>
          <w:rFonts w:hint="eastAsia" w:ascii="方正仿宋_GBK" w:hAnsi="Arial" w:eastAsia="方正仿宋_GBK" w:cs="Times New Roman"/>
          <w:sz w:val="32"/>
          <w:szCs w:val="32"/>
          <w:highlight w:val="none"/>
        </w:rPr>
        <w:t>（1）Ⅲ级、Ⅳ级应急响应处置后，经现场应急指挥部确认下列条件同时满足时，由指挥长下达应急结束指令：</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1）遇险人员全部得救；</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2）事态得到有效控制，导致次生、衍生事故的隐患被消除；</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3）环境污染已得到有效控制，</w:t>
      </w:r>
      <w:r>
        <w:rPr>
          <w:rFonts w:hint="eastAsia" w:ascii="方正仿宋_GBK" w:hAnsi="Arial" w:eastAsia="方正仿宋_GBK" w:cs="Times New Roman"/>
          <w:sz w:val="32"/>
          <w:szCs w:val="32"/>
          <w:highlight w:val="none"/>
          <w:lang w:eastAsia="zh-CN"/>
        </w:rPr>
        <w:t>环境监测</w:t>
      </w:r>
      <w:r>
        <w:rPr>
          <w:rFonts w:hint="eastAsia" w:ascii="方正仿宋_GBK" w:hAnsi="Arial" w:eastAsia="方正仿宋_GBK" w:cs="Times New Roman"/>
          <w:sz w:val="32"/>
          <w:szCs w:val="32"/>
          <w:highlight w:val="none"/>
        </w:rPr>
        <w:t>符合有关标准；</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4）社会影响已基本消除。</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（2）Ⅰ级、Ⅱ级应急响应急处置后，经上级应急指挥部确认引发次生事件的因素已经消除，</w:t>
      </w:r>
      <w:r>
        <w:rPr>
          <w:rFonts w:hint="eastAsia" w:ascii="方正仿宋_GBK" w:hAnsi="Arial" w:eastAsia="方正仿宋_GBK" w:cs="Times New Roman"/>
          <w:sz w:val="32"/>
          <w:szCs w:val="32"/>
          <w:highlight w:val="none"/>
          <w:lang w:eastAsia="zh-CN"/>
        </w:rPr>
        <w:t>事</w:t>
      </w:r>
      <w:r>
        <w:rPr>
          <w:rFonts w:hint="eastAsia" w:ascii="方正仿宋_GBK" w:hAnsi="Arial" w:eastAsia="方正仿宋_GBK" w:cs="Times New Roman"/>
          <w:sz w:val="32"/>
          <w:szCs w:val="32"/>
          <w:highlight w:val="none"/>
        </w:rPr>
        <w:t>态得到全面控制，设备恢复正常运行时，由上级应急指挥部决定终止响应，有关人员、装备等及时撤离。</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197" w:name="_Toc148104604"/>
      <w:r>
        <w:rPr>
          <w:rFonts w:hint="eastAsia" w:ascii="方正楷体_GBK" w:hAnsi="方正楷体_GBK" w:eastAsia="方正楷体_GBK" w:cs="方正楷体_GBK"/>
          <w:b w:val="0"/>
          <w:bCs w:val="0"/>
          <w:highlight w:val="none"/>
        </w:rPr>
        <w:t>4.7 信息发布</w:t>
      </w:r>
      <w:bookmarkEnd w:id="196"/>
      <w:bookmarkEnd w:id="197"/>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事故的信息发布工作，应按照及时、准确、客观、全面的原则，根据事故等级，在事故发生后及时向社会发布重要信息、初步调查核实情况、采取的应对措施和公众防范措施，并根据事故处置情况做好后续发布工作。</w:t>
      </w:r>
    </w:p>
    <w:bookmarkEnd w:id="187"/>
    <w:bookmarkEnd w:id="188"/>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198" w:name="_Toc7585_WPSOffice_Level1"/>
      <w:bookmarkStart w:id="199" w:name="_Toc77178968"/>
      <w:bookmarkStart w:id="200" w:name="_Toc25164785"/>
      <w:bookmarkStart w:id="201" w:name="_Toc148104605"/>
      <w:r>
        <w:rPr>
          <w:rFonts w:hint="eastAsia" w:ascii="方正黑体_GBK" w:eastAsia="方正黑体_GBK"/>
          <w:bCs/>
          <w:szCs w:val="32"/>
          <w:highlight w:val="none"/>
          <w:lang w:val="zh-CN"/>
        </w:rPr>
        <w:t>5  后期处置</w:t>
      </w:r>
      <w:bookmarkEnd w:id="198"/>
      <w:bookmarkEnd w:id="199"/>
      <w:bookmarkEnd w:id="200"/>
      <w:bookmarkEnd w:id="201"/>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02" w:name="_Toc2823_WPSOffice_Level2"/>
      <w:bookmarkStart w:id="203" w:name="_Toc77178969"/>
      <w:bookmarkStart w:id="204" w:name="_Toc25164786"/>
      <w:bookmarkStart w:id="205" w:name="_Toc148104606"/>
      <w:bookmarkStart w:id="206" w:name="_Toc30963"/>
      <w:r>
        <w:rPr>
          <w:rFonts w:hint="eastAsia" w:ascii="方正楷体_GBK" w:hAnsi="方正楷体_GBK" w:eastAsia="方正楷体_GBK" w:cs="方正楷体_GBK"/>
          <w:b w:val="0"/>
          <w:bCs w:val="0"/>
          <w:highlight w:val="none"/>
        </w:rPr>
        <w:t>5.1 善后处理</w:t>
      </w:r>
      <w:bookmarkEnd w:id="202"/>
      <w:bookmarkEnd w:id="203"/>
      <w:bookmarkEnd w:id="204"/>
      <w:bookmarkEnd w:id="205"/>
      <w:bookmarkEnd w:id="206"/>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（1）善后工作组在区城镇燃气应急指挥部统一领导下，事发地镇街要迅速采取得力措施，救助灾民，恢复正常的社会秩序。</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（2）由善后工作组调查统计事故影响范围和受灾程度，评估、核实事故所造成的损失情况，报上级部门，按规定向社会公布。</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（3）区卫生健康委做好事故现场和灾民安置场所消毒和疫情的监测工作。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（4）按照国家有关规定并结合永川区实际情况，制定有关事故赔偿规定，确定赔偿标准，按法定程序进行赔偿。对因参与应急救援处置工作而受伤害的人员，按有关规定给予相应的褒奖和抚恤。</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（5）事发地镇街，以及液化石油气、二甲醚、醇基燃料经营单位及相关部门要在对事故情况、重建能力及可利用资源评估后，认真</w:t>
      </w:r>
      <w:r>
        <w:rPr>
          <w:rFonts w:hint="eastAsia" w:ascii="方正仿宋_GBK" w:hAnsi="Arial" w:eastAsia="方正仿宋_GBK" w:cs="Times New Roman"/>
          <w:sz w:val="32"/>
          <w:szCs w:val="32"/>
          <w:highlight w:val="none"/>
          <w:lang w:eastAsia="zh-CN"/>
        </w:rPr>
        <w:t>制定</w:t>
      </w:r>
      <w:r>
        <w:rPr>
          <w:rFonts w:hint="eastAsia" w:ascii="方正仿宋_GBK" w:hAnsi="Arial" w:eastAsia="方正仿宋_GBK" w:cs="Times New Roman"/>
          <w:sz w:val="32"/>
          <w:szCs w:val="32"/>
          <w:highlight w:val="none"/>
        </w:rPr>
        <w:t>事故重建和恢复生产、生活的规划，迅速采取有效的措施，突出重点，尽快完成恢复重建工作。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（6）污染物收集、清理与处理由区生态环境局负责制定工作程序。</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07" w:name="_Toc27172_WPSOffice_Level2"/>
      <w:bookmarkStart w:id="208" w:name="_Toc148104607"/>
      <w:bookmarkStart w:id="209" w:name="_Toc77178970"/>
      <w:bookmarkStart w:id="210" w:name="_Toc25164787"/>
      <w:bookmarkStart w:id="211" w:name="_Toc4290"/>
      <w:bookmarkStart w:id="212" w:name="_Toc9046"/>
      <w:r>
        <w:rPr>
          <w:rFonts w:hint="eastAsia" w:ascii="方正楷体_GBK" w:hAnsi="方正楷体_GBK" w:eastAsia="方正楷体_GBK" w:cs="方正楷体_GBK"/>
          <w:b w:val="0"/>
          <w:bCs w:val="0"/>
          <w:highlight w:val="none"/>
        </w:rPr>
        <w:t>5.2 事故调查</w:t>
      </w:r>
      <w:bookmarkEnd w:id="207"/>
      <w:bookmarkEnd w:id="208"/>
      <w:bookmarkEnd w:id="209"/>
      <w:bookmarkEnd w:id="210"/>
      <w:bookmarkEnd w:id="211"/>
      <w:bookmarkEnd w:id="212"/>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按照《生产安全事故报告和调查处理条例》，根据事故类型、等级以及有关规定成立调查组，客观、公正、准确地查明事故发生的经过、原因、性质、影响范围、人员伤亡情况及经济损失等情况，确定事故责任，总结事故教训，提出处理建议和防范整改措施，提交事故调查报告。</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13" w:name="_Toc429467993"/>
      <w:bookmarkStart w:id="214" w:name="_Toc439262340"/>
      <w:bookmarkStart w:id="215" w:name="_Toc491439575"/>
      <w:bookmarkStart w:id="216" w:name="_Toc25164788"/>
      <w:bookmarkStart w:id="217" w:name="_Toc148104608"/>
      <w:bookmarkStart w:id="218" w:name="_Toc436244662"/>
      <w:bookmarkStart w:id="219" w:name="_Toc77178971"/>
      <w:bookmarkStart w:id="220" w:name="_Toc8527_WPSOffice_Level2"/>
      <w:bookmarkStart w:id="221" w:name="_Toc9864"/>
      <w:r>
        <w:rPr>
          <w:rFonts w:hint="eastAsia" w:ascii="方正楷体_GBK" w:hAnsi="方正楷体_GBK" w:eastAsia="方正楷体_GBK" w:cs="方正楷体_GBK"/>
          <w:b w:val="0"/>
          <w:bCs w:val="0"/>
          <w:highlight w:val="none"/>
        </w:rPr>
        <w:t>5.3 总结评估</w:t>
      </w:r>
      <w:bookmarkEnd w:id="213"/>
      <w:bookmarkEnd w:id="214"/>
      <w:bookmarkEnd w:id="215"/>
      <w:bookmarkEnd w:id="216"/>
      <w:bookmarkEnd w:id="217"/>
      <w:bookmarkEnd w:id="218"/>
      <w:bookmarkEnd w:id="219"/>
      <w:bookmarkEnd w:id="220"/>
      <w:bookmarkEnd w:id="221"/>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应急处置工作结束后，区城镇燃气应急指挥部召集各有关部门，根据《生产安全事故应急处置评估暂行办法》对事故应急处置进行全面总结评估，提出加强和改进同类应急救援工作的意见或建议。应急救援评估报告在善后处置工作结束后15日内，以书面形式报区政府及有关部门。</w:t>
      </w: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222" w:name="_Toc439262344"/>
      <w:bookmarkStart w:id="223" w:name="_Toc429467996"/>
      <w:bookmarkStart w:id="224" w:name="_Toc18353"/>
      <w:bookmarkStart w:id="225" w:name="_Toc436244666"/>
      <w:bookmarkStart w:id="226" w:name="_Toc77178972"/>
      <w:bookmarkStart w:id="227" w:name="_Toc148104609"/>
      <w:bookmarkStart w:id="228" w:name="_Toc25164789"/>
      <w:bookmarkStart w:id="229" w:name="_Toc24316_WPSOffice_Level1"/>
      <w:r>
        <w:rPr>
          <w:rFonts w:hint="eastAsia" w:ascii="方正黑体_GBK" w:eastAsia="方正黑体_GBK"/>
          <w:bCs/>
          <w:szCs w:val="32"/>
          <w:highlight w:val="none"/>
          <w:lang w:val="zh-CN"/>
        </w:rPr>
        <w:t>6  保障</w:t>
      </w:r>
      <w:bookmarkEnd w:id="222"/>
      <w:bookmarkEnd w:id="223"/>
      <w:bookmarkEnd w:id="224"/>
      <w:bookmarkEnd w:id="225"/>
      <w:r>
        <w:rPr>
          <w:rFonts w:hint="eastAsia" w:ascii="方正黑体_GBK" w:eastAsia="方正黑体_GBK"/>
          <w:bCs/>
          <w:szCs w:val="32"/>
          <w:highlight w:val="none"/>
          <w:lang w:val="zh-CN"/>
        </w:rPr>
        <w:t>措施</w:t>
      </w:r>
      <w:bookmarkEnd w:id="226"/>
      <w:bookmarkEnd w:id="227"/>
      <w:bookmarkEnd w:id="228"/>
      <w:bookmarkEnd w:id="229"/>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30" w:name="_Toc148104610"/>
      <w:bookmarkStart w:id="231" w:name="_Toc29001_WPSOffice_Level2"/>
      <w:bookmarkStart w:id="232" w:name="_Toc25164791"/>
      <w:bookmarkStart w:id="233" w:name="_Toc77178974"/>
      <w:r>
        <w:rPr>
          <w:rFonts w:hint="eastAsia" w:ascii="方正楷体_GBK" w:hAnsi="方正楷体_GBK" w:eastAsia="方正楷体_GBK" w:cs="方正楷体_GBK"/>
          <w:b w:val="0"/>
          <w:bCs w:val="0"/>
          <w:highlight w:val="none"/>
        </w:rPr>
        <w:t>6.1 应急队伍保障</w:t>
      </w:r>
      <w:bookmarkEnd w:id="230"/>
      <w:bookmarkEnd w:id="231"/>
      <w:bookmarkEnd w:id="232"/>
      <w:bookmarkEnd w:id="233"/>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经营单位专业应急救援队伍是应急救援工作的基础力量，应按照有关规定配备人员、装备，开展培训、演练；各成员单位应急救援队伍是事故救援的重要支援力量和补充力量，应合理确定队伍规模，加强日常训练和演练，提高应急响应和处置能力；区城镇燃气应急指挥部办公室应加强对液化石油气、二甲醚、醇基燃料经营单位应急救援队伍的监督检查，促使其保持战斗力，在应急响应时统一协调指挥调配应急救援队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部门和有关单位要充分利用现有的技术专家资源和技术装备资源，依托市经济信息委组建的市城镇燃气事故抢险救援专家库和市应急管理局组建的市应急管理专家库、市安全生产应急救援专家库等技术专家队伍，提供在应急状态下的技术支持、科学施救。</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34" w:name="_Toc77178975"/>
      <w:bookmarkStart w:id="235" w:name="_Toc491439580"/>
      <w:bookmarkStart w:id="236" w:name="_Toc148104611"/>
      <w:bookmarkStart w:id="237" w:name="_Toc24280_WPSOffice_Level2"/>
      <w:bookmarkStart w:id="238" w:name="_Toc25164792"/>
      <w:r>
        <w:rPr>
          <w:rFonts w:hint="eastAsia" w:ascii="方正楷体_GBK" w:hAnsi="方正楷体_GBK" w:eastAsia="方正楷体_GBK" w:cs="方正楷体_GBK"/>
          <w:b w:val="0"/>
          <w:bCs w:val="0"/>
          <w:highlight w:val="none"/>
        </w:rPr>
        <w:t>6.2 物资和装备保障</w:t>
      </w:r>
      <w:bookmarkEnd w:id="234"/>
      <w:bookmarkEnd w:id="235"/>
      <w:bookmarkEnd w:id="236"/>
      <w:bookmarkEnd w:id="237"/>
      <w:bookmarkEnd w:id="238"/>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经营单位及各涉及城镇燃气的镇街、负责应急救援的有关单位要建立应急物资和装备信息库，明确物资装备的类型、数量、性能、存放位置等，建立健全应急物资装备维护、保养、调用等制度，保证应急救援工作需要。</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39" w:name="_Toc77178976"/>
      <w:bookmarkStart w:id="240" w:name="_Toc148104612"/>
      <w:bookmarkStart w:id="241" w:name="_Toc22196_WPSOffice_Level2"/>
      <w:bookmarkStart w:id="242" w:name="_Toc25164793"/>
      <w:r>
        <w:rPr>
          <w:rFonts w:hint="eastAsia" w:ascii="方正楷体_GBK" w:hAnsi="方正楷体_GBK" w:eastAsia="方正楷体_GBK" w:cs="方正楷体_GBK"/>
          <w:b w:val="0"/>
          <w:bCs w:val="0"/>
          <w:highlight w:val="none"/>
        </w:rPr>
        <w:t>6.3 交通保障</w:t>
      </w:r>
      <w:bookmarkEnd w:id="239"/>
      <w:bookmarkEnd w:id="240"/>
      <w:bookmarkEnd w:id="241"/>
      <w:bookmarkEnd w:id="242"/>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发生液化石油气、二甲醚、醇基燃料事故后，区公安局、区交通局要及时对事故现场实行道路交通管制，根据需要和可能组织开设应急救援“绿色通道”；道路设施受损的，要迅速组织有关部门和专业队伍进行抢修，尽快恢复良好状态；根据需要及时开通紧急运输通道；加强交通战备建设，确保应急组织和调集交通工具，紧急输送疏散人员和物资；必要时，现场指挥部同意并报区政府备案后，可紧急动员和征用其他部门及社会交通设施装备。</w:t>
      </w:r>
      <w:bookmarkStart w:id="243" w:name="_Toc185"/>
      <w:bookmarkStart w:id="244" w:name="_Toc5460_WPSOffice_Level2"/>
      <w:bookmarkStart w:id="245" w:name="_Toc11182"/>
      <w:bookmarkStart w:id="246" w:name="_Toc3490_WPSOffice_Level2"/>
      <w:bookmarkStart w:id="247" w:name="_Toc87069402"/>
      <w:bookmarkStart w:id="248" w:name="_Toc277600598"/>
      <w:bookmarkStart w:id="249" w:name="_Toc85877418"/>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50" w:name="_Toc148104613"/>
      <w:bookmarkStart w:id="251" w:name="_Toc77178977"/>
      <w:bookmarkStart w:id="252" w:name="_Toc9844_WPSOffice_Level2"/>
      <w:r>
        <w:rPr>
          <w:rFonts w:hint="eastAsia" w:ascii="方正楷体_GBK" w:hAnsi="方正楷体_GBK" w:eastAsia="方正楷体_GBK" w:cs="方正楷体_GBK"/>
          <w:b w:val="0"/>
          <w:bCs w:val="0"/>
          <w:highlight w:val="none"/>
        </w:rPr>
        <w:t>6.4 医疗卫生保障</w:t>
      </w:r>
      <w:bookmarkEnd w:id="243"/>
      <w:bookmarkEnd w:id="244"/>
      <w:bookmarkEnd w:id="245"/>
      <w:bookmarkEnd w:id="246"/>
      <w:bookmarkEnd w:id="247"/>
      <w:bookmarkEnd w:id="248"/>
      <w:bookmarkEnd w:id="249"/>
      <w:bookmarkEnd w:id="250"/>
      <w:bookmarkEnd w:id="251"/>
      <w:bookmarkEnd w:id="252"/>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由区卫生健康委牵头，根据“分级救治”原则，按照现场抢救、院前急救、专科救治的不同环节和需要组织实施救护；发生突发事故后，医疗卫生应急救援队伍要迅速进入救灾现场，对伤员实施紧急医疗救援，采取必要的急救措施后转运至医疗机构进行后续救治。</w:t>
      </w:r>
      <w:bookmarkStart w:id="253" w:name="_Toc87069403"/>
      <w:bookmarkStart w:id="254" w:name="_Toc15657"/>
      <w:bookmarkStart w:id="255" w:name="_Toc277600599"/>
      <w:bookmarkStart w:id="256" w:name="_Toc10895_WPSOffice_Level2"/>
      <w:bookmarkStart w:id="257" w:name="_Toc11273"/>
      <w:bookmarkStart w:id="258" w:name="_Toc85877419"/>
      <w:bookmarkStart w:id="259" w:name="_Toc12377_WPSOffice_Level2"/>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60" w:name="_Toc148104614"/>
      <w:bookmarkStart w:id="261" w:name="_Toc26217_WPSOffice_Level2"/>
      <w:bookmarkStart w:id="262" w:name="_Toc77178978"/>
      <w:r>
        <w:rPr>
          <w:rFonts w:hint="eastAsia" w:ascii="方正楷体_GBK" w:hAnsi="方正楷体_GBK" w:eastAsia="方正楷体_GBK" w:cs="方正楷体_GBK"/>
          <w:b w:val="0"/>
          <w:bCs w:val="0"/>
          <w:highlight w:val="none"/>
        </w:rPr>
        <w:t>6.5 治安保障</w:t>
      </w:r>
      <w:bookmarkEnd w:id="253"/>
      <w:bookmarkEnd w:id="254"/>
      <w:bookmarkEnd w:id="255"/>
      <w:bookmarkEnd w:id="256"/>
      <w:bookmarkEnd w:id="257"/>
      <w:bookmarkEnd w:id="258"/>
      <w:bookmarkEnd w:id="259"/>
      <w:bookmarkEnd w:id="260"/>
      <w:bookmarkEnd w:id="261"/>
      <w:bookmarkEnd w:id="262"/>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事故发生后，事发地警力、基层政府和社会组织立即在救灾现场周围设立警戒区和警戒哨，维持秩序，必要时疏散受灾群众；对重要场所、目标和救灾设施加强警卫，确保紧急处置工作有序进行，救灾物资、装备免受人为破坏，社会秩序保持正常。</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63" w:name="_Toc77178979"/>
      <w:bookmarkStart w:id="264" w:name="_Toc148104615"/>
      <w:bookmarkStart w:id="265" w:name="_Toc25164795"/>
      <w:bookmarkStart w:id="266" w:name="_Toc26310_WPSOffice_Level2"/>
      <w:r>
        <w:rPr>
          <w:rFonts w:hint="eastAsia" w:ascii="方正楷体_GBK" w:hAnsi="方正楷体_GBK" w:eastAsia="方正楷体_GBK" w:cs="方正楷体_GBK"/>
          <w:b w:val="0"/>
          <w:bCs w:val="0"/>
          <w:highlight w:val="none"/>
        </w:rPr>
        <w:t>6.6 资金保障</w:t>
      </w:r>
      <w:bookmarkEnd w:id="263"/>
      <w:bookmarkEnd w:id="264"/>
      <w:bookmarkEnd w:id="265"/>
      <w:bookmarkEnd w:id="266"/>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区财政局保障事故应急处置所需必要经费。液化石油气、二甲醚、醇基燃料经营企业要根据国家有关规定安排应急处置资金，确保应急处置的资金需要。</w:t>
      </w: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267" w:name="_Toc429468004"/>
      <w:bookmarkStart w:id="268" w:name="_Toc436244672"/>
      <w:bookmarkStart w:id="269" w:name="_Toc19673"/>
      <w:bookmarkStart w:id="270" w:name="_Toc439262350"/>
      <w:bookmarkStart w:id="271" w:name="_Toc20404_WPSOffice_Level1"/>
      <w:bookmarkStart w:id="272" w:name="_Toc25164796"/>
      <w:bookmarkStart w:id="273" w:name="_Toc148104616"/>
      <w:bookmarkStart w:id="274" w:name="_Toc77178980"/>
      <w:r>
        <w:rPr>
          <w:rFonts w:hint="eastAsia" w:ascii="方正黑体_GBK" w:eastAsia="方正黑体_GBK"/>
          <w:bCs/>
          <w:szCs w:val="32"/>
          <w:highlight w:val="none"/>
          <w:lang w:val="zh-CN"/>
        </w:rPr>
        <w:t xml:space="preserve">7 </w:t>
      </w:r>
      <w:bookmarkEnd w:id="267"/>
      <w:bookmarkEnd w:id="268"/>
      <w:bookmarkEnd w:id="269"/>
      <w:bookmarkEnd w:id="270"/>
      <w:r>
        <w:rPr>
          <w:rFonts w:hint="eastAsia" w:ascii="方正黑体_GBK" w:eastAsia="方正黑体_GBK"/>
          <w:bCs/>
          <w:szCs w:val="32"/>
          <w:highlight w:val="none"/>
          <w:lang w:val="zh-CN"/>
        </w:rPr>
        <w:t xml:space="preserve"> 监督管理</w:t>
      </w:r>
      <w:bookmarkEnd w:id="271"/>
      <w:bookmarkEnd w:id="272"/>
      <w:bookmarkEnd w:id="273"/>
      <w:bookmarkEnd w:id="274"/>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75" w:name="_Toc77178981"/>
      <w:bookmarkStart w:id="276" w:name="_Toc148104617"/>
      <w:bookmarkStart w:id="277" w:name="_Toc21900_WPSOffice_Level2"/>
      <w:bookmarkStart w:id="278" w:name="_Toc25164797"/>
      <w:bookmarkStart w:id="279" w:name="_Toc310581407"/>
      <w:bookmarkStart w:id="280" w:name="_Toc310581515"/>
      <w:bookmarkStart w:id="281" w:name="_Toc470033157"/>
      <w:bookmarkStart w:id="282" w:name="_Toc304833259"/>
      <w:bookmarkStart w:id="283" w:name="_Toc304962982"/>
      <w:bookmarkStart w:id="284" w:name="_Toc304963626"/>
      <w:bookmarkStart w:id="285" w:name="_Toc339636892"/>
      <w:bookmarkStart w:id="286" w:name="_Toc304964469"/>
      <w:bookmarkStart w:id="287" w:name="_Toc310581028"/>
      <w:r>
        <w:rPr>
          <w:rFonts w:hint="eastAsia" w:ascii="方正楷体_GBK" w:hAnsi="方正楷体_GBK" w:eastAsia="方正楷体_GBK" w:cs="方正楷体_GBK"/>
          <w:b w:val="0"/>
          <w:bCs w:val="0"/>
          <w:highlight w:val="none"/>
        </w:rPr>
        <w:t>7.1 宣传培训</w:t>
      </w:r>
      <w:bookmarkEnd w:id="275"/>
      <w:bookmarkEnd w:id="276"/>
      <w:bookmarkEnd w:id="277"/>
      <w:bookmarkEnd w:id="278"/>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各镇街、区政府有关部门和有关单位应有计划、有针对性地开展城镇燃气安全法律法规和应急避险常识的宣传，督促有关企事业单位履行城镇燃气安全教育和培训的法定义务，提升社会公众应急防范意识。</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督促液化石油气、二甲醚、醇基燃料经营单位根据本预案的要求，落实企业安全主体责任，建立健全事故应急管理培训制度，组织本部门、本行业、本单位人员开展应急抢险业务培训，熟悉应急处置程序，做好各项应急准备工作，提高应对事故的决策和处置能力。</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88" w:name="_Toc77178982"/>
      <w:bookmarkStart w:id="289" w:name="_Toc25164798"/>
      <w:bookmarkStart w:id="290" w:name="_Toc148104618"/>
      <w:bookmarkStart w:id="291" w:name="_Toc25998_WPSOffice_Level2"/>
      <w:r>
        <w:rPr>
          <w:rFonts w:hint="eastAsia" w:ascii="方正楷体_GBK" w:hAnsi="方正楷体_GBK" w:eastAsia="方正楷体_GBK" w:cs="方正楷体_GBK"/>
          <w:b w:val="0"/>
          <w:bCs w:val="0"/>
          <w:highlight w:val="none"/>
        </w:rPr>
        <w:t>7.2 预案演练</w:t>
      </w:r>
      <w:bookmarkEnd w:id="288"/>
      <w:bookmarkEnd w:id="289"/>
      <w:bookmarkEnd w:id="290"/>
      <w:bookmarkEnd w:id="291"/>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区城镇燃气应急指挥部办公室应组织有关部门和单位，至少每3年开展1次城镇燃气事故应急演练。检验应急预案的实战性，评估其有效性，针对实际情况及时修订和更新。</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各液化石油气、二甲醚、醇基燃料供应、储存、充装、销售企业要根据本预案的要求，修订完善部门、本企业应急预案，组织本单位人员开展应急抢险业务培训，熟悉应急处置程序，做好各项应急准备工作。</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92" w:name="_Toc148104619"/>
      <w:r>
        <w:rPr>
          <w:rFonts w:ascii="方正楷体_GBK" w:hAnsi="方正楷体_GBK" w:eastAsia="方正楷体_GBK" w:cs="方正楷体_GBK"/>
          <w:b w:val="0"/>
          <w:bCs w:val="0"/>
          <w:highlight w:val="none"/>
        </w:rPr>
        <w:t>7.3 预案修订</w:t>
      </w:r>
      <w:bookmarkEnd w:id="292"/>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区经济信息委应每5年组织有关部门和单位开展1次预案评估，提出预案修订意见；根据编修工作规定和实施过程中发现的问题，及时对本预案进行修订。</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有下列情形之一的，应当及时修订应急预案：</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（1）制定预案所依据的</w:t>
      </w:r>
      <w:r>
        <w:rPr>
          <w:rFonts w:hint="eastAsia" w:ascii="方正仿宋_GBK" w:hAnsi="Arial" w:eastAsia="方正仿宋_GBK" w:cs="Times New Roman"/>
          <w:sz w:val="32"/>
          <w:szCs w:val="32"/>
          <w:highlight w:val="none"/>
          <w:lang w:eastAsia="zh-CN"/>
        </w:rPr>
        <w:t>法律法规</w:t>
      </w:r>
      <w:r>
        <w:rPr>
          <w:rFonts w:ascii="方正仿宋_GBK" w:hAnsi="Arial" w:eastAsia="方正仿宋_GBK" w:cs="Times New Roman"/>
          <w:sz w:val="32"/>
          <w:szCs w:val="32"/>
          <w:highlight w:val="none"/>
        </w:rPr>
        <w:t>、规章、标准发生重大变化；</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（2）应急指挥机构及其职责发生调整；</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（3）面临的风险发生重大变化；</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（4）重要应急资源发生重大变化；</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（5）预案中的其他重要信息发生变化的；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（6）在预案演练或者应急救援中发现需要修订预案的重大问题；</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（7）其他应当修订的情形。</w:t>
      </w: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293" w:name="_Toc25164800"/>
      <w:bookmarkStart w:id="294" w:name="_Toc20272_WPSOffice_Level2"/>
      <w:bookmarkStart w:id="295" w:name="_Toc77178984"/>
      <w:bookmarkStart w:id="296" w:name="_Toc148104620"/>
      <w:r>
        <w:rPr>
          <w:rFonts w:hint="eastAsia" w:ascii="方正楷体_GBK" w:hAnsi="方正楷体_GBK" w:eastAsia="方正楷体_GBK" w:cs="方正楷体_GBK"/>
          <w:b w:val="0"/>
          <w:bCs w:val="0"/>
          <w:highlight w:val="none"/>
        </w:rPr>
        <w:t>7.4 预案实施</w:t>
      </w:r>
      <w:bookmarkEnd w:id="293"/>
      <w:bookmarkEnd w:id="294"/>
      <w:bookmarkEnd w:id="295"/>
      <w:bookmarkEnd w:id="296"/>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本预案由区经济信息委负责解释，自发布之日起实施。</w:t>
      </w:r>
      <w:bookmarkEnd w:id="279"/>
      <w:bookmarkEnd w:id="280"/>
      <w:bookmarkEnd w:id="281"/>
      <w:bookmarkEnd w:id="282"/>
      <w:bookmarkEnd w:id="283"/>
      <w:bookmarkEnd w:id="284"/>
      <w:bookmarkEnd w:id="285"/>
      <w:bookmarkEnd w:id="286"/>
      <w:bookmarkEnd w:id="287"/>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sectPr>
          <w:footerReference r:id="rId4" w:type="default"/>
          <w:pgSz w:w="11906" w:h="16838"/>
          <w:pgMar w:top="1418" w:right="1418" w:bottom="1418" w:left="1418" w:header="851" w:footer="1474" w:gutter="0"/>
          <w:pgNumType w:fmt="decimal" w:start="1"/>
          <w:cols w:space="720" w:num="1"/>
          <w:docGrid w:linePitch="579" w:charSpace="21674"/>
        </w:sectPr>
      </w:pP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297" w:name="_Toc5493_WPSOffice_Level1"/>
      <w:bookmarkStart w:id="298" w:name="_Toc148104621"/>
      <w:bookmarkStart w:id="299" w:name="_Toc25164801"/>
      <w:bookmarkStart w:id="300" w:name="_Toc77178985"/>
      <w:bookmarkStart w:id="301" w:name="_Toc496889789"/>
      <w:r>
        <w:rPr>
          <w:rFonts w:hint="eastAsia" w:ascii="方正黑体_GBK" w:eastAsia="方正黑体_GBK"/>
          <w:bCs/>
          <w:szCs w:val="32"/>
          <w:highlight w:val="none"/>
          <w:lang w:val="zh-CN"/>
        </w:rPr>
        <w:t>8  附件</w:t>
      </w:r>
      <w:bookmarkEnd w:id="297"/>
      <w:bookmarkEnd w:id="298"/>
      <w:bookmarkEnd w:id="299"/>
      <w:bookmarkEnd w:id="300"/>
    </w:p>
    <w:bookmarkEnd w:id="301"/>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302" w:name="_Toc148104622"/>
      <w:bookmarkStart w:id="303" w:name="_Toc25164807"/>
      <w:bookmarkStart w:id="304" w:name="_Toc7597_WPSOffice_Level2"/>
      <w:bookmarkStart w:id="305" w:name="_Toc525643704"/>
      <w:r>
        <w:rPr>
          <w:rFonts w:hint="eastAsia" w:ascii="方正楷体_GBK" w:hAnsi="方正楷体_GBK" w:eastAsia="方正楷体_GBK" w:cs="方正楷体_GBK"/>
          <w:b w:val="0"/>
          <w:bCs w:val="0"/>
          <w:highlight w:val="none"/>
        </w:rPr>
        <w:t>8.1 永川区液化石油气、二甲醚、醇基燃料事故应急组织机构成员单位联系表</w:t>
      </w:r>
      <w:bookmarkEnd w:id="302"/>
      <w:bookmarkEnd w:id="303"/>
      <w:bookmarkEnd w:id="304"/>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305"/>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91"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  号</w:t>
            </w:r>
          </w:p>
        </w:tc>
        <w:tc>
          <w:tcPr>
            <w:tcW w:w="3305"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单位名称</w:t>
            </w:r>
          </w:p>
        </w:tc>
        <w:tc>
          <w:tcPr>
            <w:tcW w:w="4676"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区政府办公室</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重庆市政府办公室</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区经济信息委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区应急管理局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49862275</w:t>
            </w:r>
            <w:r>
              <w:rPr>
                <w:rFonts w:hint="eastAsia" w:ascii="方正仿宋_GBK" w:hAnsiTheme="minorHAnsi" w:cstheme="minorBidi"/>
                <w:sz w:val="21"/>
                <w:szCs w:val="21"/>
                <w:highlight w:val="none"/>
              </w:rPr>
              <w:t>（白天值班电话）</w:t>
            </w:r>
          </w:p>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61133000</w:t>
            </w:r>
            <w:r>
              <w:rPr>
                <w:rFonts w:hint="eastAsia" w:ascii="方正仿宋_GBK" w:hAnsiTheme="minorHAnsi" w:cstheme="minorBidi"/>
                <w:sz w:val="21"/>
                <w:szCs w:val="21"/>
                <w:highlight w:val="none"/>
              </w:rPr>
              <w:t>（晚上值班电话）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区委宣传部</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49818866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区住房和城乡建设委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区发展和改革委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023-49821385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区交通局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49802924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区城市管理局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85370101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区生态环境局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49584710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区规划自然资源局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023－49860096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区市场监管局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－61188661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区商务委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区公安局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49577060</w:t>
            </w:r>
            <w:r>
              <w:rPr>
                <w:rFonts w:hint="eastAsia" w:ascii="方正仿宋_GBK" w:hAnsiTheme="minorHAnsi" w:cstheme="minorBidi"/>
                <w:sz w:val="21"/>
                <w:szCs w:val="21"/>
                <w:highlight w:val="none"/>
              </w:rPr>
              <w:t>（白天值班电话）</w:t>
            </w:r>
          </w:p>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49577110</w:t>
            </w:r>
            <w:r>
              <w:rPr>
                <w:rFonts w:hint="eastAsia" w:ascii="方正仿宋_GBK" w:hAnsiTheme="minorHAnsi" w:cstheme="minorBidi"/>
                <w:sz w:val="21"/>
                <w:szCs w:val="21"/>
                <w:highlight w:val="none"/>
              </w:rPr>
              <w:t>（晚上值班电话）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区卫生健康委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49822982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区民政局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区财政局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49895818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区人力社保局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023-49821385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区消防救援支队</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永川高新区</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023-49567567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中山路街道办事处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023-61191886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胜利路街道办事处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023-49862041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南大街街道办事处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023-49832042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茶山竹海街道办事处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023-49832042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大安街道办事处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023-49401013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卫星湖街道办事处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49681080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陈食街道办事处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023-49441002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朱沱镇人民政府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023-49601001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临江镇人民政府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松溉镇人民政府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红炉镇人民政府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023-61163000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吉安镇人民政府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023-49568117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五间镇人民政府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023-49586007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三教镇人民政府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023-49353576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青峰镇人民政府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023-49626001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仙龙镇人民政府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023-49561939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金龙镇人民政府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023-49432601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永荣镇人民政府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023-49330166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双石镇人民政府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023-49301026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何埂镇人民政府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来苏镇人民政府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023-49661029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板桥镇人民政府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023-49358159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宝峰镇</w:t>
            </w:r>
            <w:r>
              <w:rPr>
                <w:rFonts w:ascii="方正仿宋_GBK" w:hAnsiTheme="minorHAnsi" w:cstheme="minorBidi"/>
                <w:sz w:val="21"/>
                <w:szCs w:val="21"/>
                <w:highlight w:val="none"/>
              </w:rPr>
              <w:t>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023-49660005</w:t>
            </w:r>
          </w:p>
        </w:tc>
      </w:tr>
    </w:tbl>
    <w:p>
      <w:pPr>
        <w:pStyle w:val="27"/>
        <w:keepNext w:val="0"/>
        <w:keepLines w:val="0"/>
        <w:spacing w:line="360" w:lineRule="auto"/>
        <w:ind w:firstLine="560"/>
        <w:outlineLvl w:val="9"/>
        <w:rPr>
          <w:rFonts w:ascii="仿宋" w:hAnsi="仿宋" w:eastAsia="仿宋" w:cs="方正黑体_GBK"/>
          <w:sz w:val="28"/>
          <w:szCs w:val="28"/>
          <w:highlight w:val="none"/>
          <w:lang w:val="zh-CN"/>
        </w:rPr>
        <w:sectPr>
          <w:headerReference r:id="rId5" w:type="default"/>
          <w:pgSz w:w="11906" w:h="16838"/>
          <w:pgMar w:top="1418" w:right="1418" w:bottom="1418" w:left="1418" w:header="680" w:footer="680" w:gutter="0"/>
          <w:pgNumType w:fmt="decimal"/>
          <w:cols w:space="720" w:num="1"/>
          <w:docGrid w:type="lines" w:linePitch="321" w:charSpace="0"/>
        </w:sectPr>
      </w:pP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306" w:name="_Toc148104623"/>
      <w:bookmarkStart w:id="307" w:name="_Toc89076444"/>
      <w:r>
        <w:rPr>
          <w:rFonts w:hint="eastAsia" w:ascii="方正楷体_GBK" w:hAnsi="方正楷体_GBK" w:eastAsia="方正楷体_GBK" w:cs="方正楷体_GBK"/>
          <w:b w:val="0"/>
          <w:bCs w:val="0"/>
          <w:highlight w:val="none"/>
        </w:rPr>
        <w:t>8.2 永川区行政区域内液化石油气、液化二甲醚经营单位基本情况表</w:t>
      </w:r>
      <w:bookmarkEnd w:id="306"/>
      <w:bookmarkEnd w:id="307"/>
    </w:p>
    <w:tbl>
      <w:tblPr>
        <w:tblStyle w:val="17"/>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85"/>
        <w:gridCol w:w="2154"/>
        <w:gridCol w:w="992"/>
        <w:gridCol w:w="1701"/>
        <w:gridCol w:w="2126"/>
        <w:gridCol w:w="2268"/>
        <w:gridCol w:w="2126"/>
        <w:gridCol w:w="70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85"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序号</w:t>
            </w:r>
          </w:p>
        </w:tc>
        <w:tc>
          <w:tcPr>
            <w:tcW w:w="2154"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经营单位</w:t>
            </w:r>
          </w:p>
        </w:tc>
        <w:tc>
          <w:tcPr>
            <w:tcW w:w="992"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负责人</w:t>
            </w:r>
          </w:p>
        </w:tc>
        <w:tc>
          <w:tcPr>
            <w:tcW w:w="1701"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电话</w:t>
            </w:r>
          </w:p>
        </w:tc>
        <w:tc>
          <w:tcPr>
            <w:tcW w:w="2126"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ascii="方正仿宋_GBK" w:hAnsiTheme="minorHAnsi" w:cstheme="minorBidi"/>
                <w:b/>
                <w:sz w:val="21"/>
                <w:szCs w:val="21"/>
                <w:highlight w:val="none"/>
              </w:rPr>
              <w:t>设计</w:t>
            </w:r>
          </w:p>
          <w:p>
            <w:pPr>
              <w:adjustRightInd w:val="0"/>
              <w:snapToGrid w:val="0"/>
              <w:jc w:val="center"/>
              <w:rPr>
                <w:rFonts w:ascii="方正仿宋_GBK" w:hAnsiTheme="minorHAnsi" w:cstheme="minorBidi"/>
                <w:b/>
                <w:sz w:val="21"/>
                <w:szCs w:val="21"/>
                <w:highlight w:val="none"/>
              </w:rPr>
            </w:pPr>
            <w:r>
              <w:rPr>
                <w:rFonts w:ascii="方正仿宋_GBK" w:hAnsiTheme="minorHAnsi" w:cstheme="minorBidi"/>
                <w:b/>
                <w:sz w:val="21"/>
                <w:szCs w:val="21"/>
                <w:highlight w:val="none"/>
              </w:rPr>
              <w:t>最大储量</w:t>
            </w:r>
          </w:p>
        </w:tc>
        <w:tc>
          <w:tcPr>
            <w:tcW w:w="2268"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气瓶</w:t>
            </w:r>
          </w:p>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充装地点</w:t>
            </w:r>
          </w:p>
        </w:tc>
        <w:tc>
          <w:tcPr>
            <w:tcW w:w="2126"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气瓶</w:t>
            </w:r>
          </w:p>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储存地点</w:t>
            </w:r>
          </w:p>
        </w:tc>
        <w:tc>
          <w:tcPr>
            <w:tcW w:w="709"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销售分布</w:t>
            </w:r>
          </w:p>
        </w:tc>
        <w:tc>
          <w:tcPr>
            <w:tcW w:w="1331"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经营</w:t>
            </w:r>
          </w:p>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重庆市永川区昌州液化气销售有限责任公司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杨加英</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18996267127</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液化石油气54瓶、二甲醚280瓶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（公称容积15L）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重庆市永川区中山路街道双龙村桃子村民小组108号</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城区</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重庆市永川区城南燃气销售有限责任公司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权德兵</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18983025849</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液化石油气20瓶、二甲醚148瓶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重庆市永川区临江镇新桥街</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临江</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重庆市永川区万双燃气销售有限责任公司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黄生明</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13996002342</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重庆市永川区双石镇响滩子村罗家湾村民小组22号</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双石</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重庆市永川区翔天</w:t>
            </w:r>
            <w:r>
              <w:rPr>
                <w:rFonts w:hint="eastAsia" w:ascii="方正仿宋_GBK" w:hAnsiTheme="minorHAnsi" w:cstheme="minorBidi"/>
                <w:sz w:val="21"/>
                <w:szCs w:val="21"/>
                <w:highlight w:val="none"/>
                <w:lang w:eastAsia="zh-CN"/>
              </w:rPr>
              <w:t>然</w:t>
            </w:r>
            <w:r>
              <w:rPr>
                <w:rFonts w:hint="eastAsia" w:ascii="方正仿宋_GBK" w:hAnsiTheme="minorHAnsi" w:cstheme="minorBidi"/>
                <w:sz w:val="21"/>
                <w:szCs w:val="21"/>
                <w:highlight w:val="none"/>
              </w:rPr>
              <w:t>气销售有限公司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赵显林</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18580404981</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液化石油气20瓶、二甲醚148瓶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重庆市永川区仙龙镇石宝寺村大石坝小组</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仙龙</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重庆市永川区三桥燃气销售有限责任公司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王荣芬</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18723375216</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重庆市永川区三教镇皂角街29号</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三教</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重庆市永川区源天</w:t>
            </w:r>
            <w:r>
              <w:rPr>
                <w:rFonts w:hint="eastAsia" w:ascii="方正仿宋_GBK" w:hAnsiTheme="minorHAnsi" w:cstheme="minorBidi"/>
                <w:sz w:val="21"/>
                <w:szCs w:val="21"/>
                <w:highlight w:val="none"/>
                <w:lang w:eastAsia="zh-CN"/>
              </w:rPr>
              <w:t>然</w:t>
            </w:r>
            <w:r>
              <w:rPr>
                <w:rFonts w:hint="eastAsia" w:ascii="方正仿宋_GBK" w:hAnsiTheme="minorHAnsi" w:cstheme="minorBidi"/>
                <w:sz w:val="21"/>
                <w:szCs w:val="21"/>
                <w:highlight w:val="none"/>
              </w:rPr>
              <w:t>气销售有限责任公司</w:t>
            </w:r>
          </w:p>
        </w:tc>
        <w:tc>
          <w:tcPr>
            <w:tcW w:w="992"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任伍国</w:t>
            </w:r>
          </w:p>
        </w:tc>
        <w:tc>
          <w:tcPr>
            <w:tcW w:w="1701"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18725675805</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noWrap/>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重庆市永川区来苏镇五一路41号</w:t>
            </w:r>
          </w:p>
        </w:tc>
        <w:tc>
          <w:tcPr>
            <w:tcW w:w="709"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来苏</w:t>
            </w:r>
          </w:p>
        </w:tc>
        <w:tc>
          <w:tcPr>
            <w:tcW w:w="1331"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重庆鼎安燃气销售有限公司</w:t>
            </w:r>
          </w:p>
        </w:tc>
        <w:tc>
          <w:tcPr>
            <w:tcW w:w="992"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黄亿东</w:t>
            </w:r>
          </w:p>
        </w:tc>
        <w:tc>
          <w:tcPr>
            <w:tcW w:w="1701"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13883396434</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noWrap/>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noWrap/>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重庆市永川区大安街道石金路153号</w:t>
            </w:r>
          </w:p>
        </w:tc>
        <w:tc>
          <w:tcPr>
            <w:tcW w:w="709"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大安</w:t>
            </w:r>
          </w:p>
        </w:tc>
        <w:tc>
          <w:tcPr>
            <w:tcW w:w="1331"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重庆市永川区火耀燃气销售有限责任公司</w:t>
            </w:r>
          </w:p>
        </w:tc>
        <w:tc>
          <w:tcPr>
            <w:tcW w:w="992"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冯真友</w:t>
            </w:r>
          </w:p>
        </w:tc>
        <w:tc>
          <w:tcPr>
            <w:tcW w:w="1701"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15320599499</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noWrap/>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重庆市永川区朱沱镇长江路167号</w:t>
            </w:r>
          </w:p>
        </w:tc>
        <w:tc>
          <w:tcPr>
            <w:tcW w:w="709"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朱沱</w:t>
            </w:r>
          </w:p>
        </w:tc>
        <w:tc>
          <w:tcPr>
            <w:tcW w:w="1331"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重庆市永川区何松燃气销售有限责任公司</w:t>
            </w:r>
          </w:p>
        </w:tc>
        <w:tc>
          <w:tcPr>
            <w:tcW w:w="992"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尧宗桃</w:t>
            </w:r>
          </w:p>
        </w:tc>
        <w:tc>
          <w:tcPr>
            <w:tcW w:w="1701"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13708331463</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noWrap/>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重庆市永川区何埂镇中鑫街538号</w:t>
            </w:r>
          </w:p>
        </w:tc>
        <w:tc>
          <w:tcPr>
            <w:tcW w:w="709"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何埂</w:t>
            </w:r>
          </w:p>
        </w:tc>
        <w:tc>
          <w:tcPr>
            <w:tcW w:w="1331"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bookmarkEnd w:id="305"/>
    </w:tbl>
    <w:p>
      <w:pPr>
        <w:pStyle w:val="27"/>
        <w:keepNext w:val="0"/>
        <w:keepLines w:val="0"/>
        <w:spacing w:line="360" w:lineRule="auto"/>
        <w:ind w:firstLine="643"/>
        <w:jc w:val="both"/>
        <w:outlineLvl w:val="9"/>
        <w:rPr>
          <w:rFonts w:ascii="仿宋" w:hAnsi="仿宋" w:eastAsia="仿宋"/>
          <w:b/>
          <w:highlight w:val="none"/>
        </w:rPr>
        <w:sectPr>
          <w:headerReference r:id="rId6" w:type="default"/>
          <w:pgSz w:w="16838" w:h="11906" w:orient="landscape"/>
          <w:pgMar w:top="1418" w:right="1418" w:bottom="1418" w:left="1418" w:header="680" w:footer="680" w:gutter="0"/>
          <w:pgNumType w:fmt="decimal"/>
          <w:cols w:space="720" w:num="1"/>
          <w:docGrid w:type="lines" w:linePitch="321" w:charSpace="0"/>
        </w:sectPr>
      </w:pP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308" w:name="_Toc148103590"/>
      <w:bookmarkStart w:id="309" w:name="_Toc148104624"/>
      <w:r>
        <w:rPr>
          <w:rFonts w:hint="eastAsia" w:ascii="方正黑体_GBK" w:eastAsia="方正黑体_GBK"/>
          <w:bCs/>
          <w:szCs w:val="32"/>
          <w:highlight w:val="none"/>
          <w:lang w:val="zh-CN"/>
        </w:rPr>
        <w:t>附录A  重庆市永川区液化石油气、二甲醚、醇基燃料事故风险评估报告</w:t>
      </w:r>
      <w:bookmarkEnd w:id="308"/>
      <w:bookmarkEnd w:id="309"/>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310" w:name="_Toc266882459"/>
      <w:bookmarkStart w:id="311" w:name="_Toc139471331"/>
      <w:bookmarkStart w:id="312" w:name="_Toc148104625"/>
      <w:bookmarkStart w:id="313" w:name="_Toc272416049"/>
      <w:bookmarkStart w:id="314" w:name="_Toc187718296"/>
      <w:bookmarkStart w:id="315" w:name="_Toc182625046"/>
      <w:r>
        <w:rPr>
          <w:rFonts w:ascii="方正楷体_GBK" w:hAnsi="方正楷体_GBK" w:eastAsia="方正楷体_GBK" w:cs="方正楷体_GBK"/>
          <w:b w:val="0"/>
          <w:bCs w:val="0"/>
          <w:highlight w:val="none"/>
        </w:rPr>
        <w:t>A</w:t>
      </w:r>
      <w:r>
        <w:rPr>
          <w:rFonts w:hint="eastAsia" w:ascii="方正楷体_GBK" w:hAnsi="方正楷体_GBK" w:eastAsia="方正楷体_GBK" w:cs="方正楷体_GBK"/>
          <w:b w:val="0"/>
          <w:bCs w:val="0"/>
          <w:highlight w:val="none"/>
        </w:rPr>
        <w:t>.</w:t>
      </w:r>
      <w:r>
        <w:rPr>
          <w:rFonts w:ascii="方正楷体_GBK" w:hAnsi="方正楷体_GBK" w:eastAsia="方正楷体_GBK" w:cs="方正楷体_GBK"/>
          <w:b w:val="0"/>
          <w:bCs w:val="0"/>
          <w:highlight w:val="none"/>
        </w:rPr>
        <w:t>1</w:t>
      </w:r>
      <w:r>
        <w:rPr>
          <w:rFonts w:hint="eastAsia" w:ascii="方正楷体_GBK" w:hAnsi="方正楷体_GBK" w:eastAsia="方正楷体_GBK" w:cs="方正楷体_GBK"/>
          <w:b w:val="0"/>
          <w:bCs w:val="0"/>
          <w:highlight w:val="none"/>
        </w:rPr>
        <w:t xml:space="preserve"> </w:t>
      </w:r>
      <w:r>
        <w:rPr>
          <w:rFonts w:ascii="方正楷体_GBK" w:hAnsi="方正楷体_GBK" w:eastAsia="方正楷体_GBK" w:cs="方正楷体_GBK"/>
          <w:b w:val="0"/>
          <w:bCs w:val="0"/>
          <w:highlight w:val="none"/>
        </w:rPr>
        <w:t xml:space="preserve"> </w:t>
      </w:r>
      <w:bookmarkEnd w:id="310"/>
      <w:r>
        <w:rPr>
          <w:rFonts w:hint="eastAsia" w:ascii="方正楷体_GBK" w:hAnsi="方正楷体_GBK" w:eastAsia="方正楷体_GBK" w:cs="方正楷体_GBK"/>
          <w:b w:val="0"/>
          <w:bCs w:val="0"/>
          <w:highlight w:val="none"/>
        </w:rPr>
        <w:t>永川区液化石油气、二甲醚、醇基燃料经营现状概述</w:t>
      </w:r>
      <w:bookmarkEnd w:id="311"/>
      <w:bookmarkEnd w:id="312"/>
    </w:p>
    <w:bookmarkEnd w:id="313"/>
    <w:bookmarkEnd w:id="314"/>
    <w:bookmarkEnd w:id="315"/>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本区现有重庆市永川区昌州液化气销售有限责任公司、重庆市永川区城南燃气销售有限责任公司、重庆市永川区万双燃气销售有限责任公司、重庆市永川区翔天</w:t>
      </w:r>
      <w:r>
        <w:rPr>
          <w:rFonts w:hint="eastAsia" w:ascii="方正仿宋_GBK" w:hAnsi="Arial" w:eastAsia="方正仿宋_GBK" w:cs="Times New Roman"/>
          <w:sz w:val="32"/>
          <w:szCs w:val="32"/>
          <w:highlight w:val="none"/>
          <w:lang w:eastAsia="zh-CN"/>
        </w:rPr>
        <w:t>然</w:t>
      </w:r>
      <w:r>
        <w:rPr>
          <w:rFonts w:hint="eastAsia" w:ascii="方正仿宋_GBK" w:hAnsi="Arial" w:eastAsia="方正仿宋_GBK" w:cs="Times New Roman"/>
          <w:sz w:val="32"/>
          <w:szCs w:val="32"/>
          <w:highlight w:val="none"/>
        </w:rPr>
        <w:t>气销售有限公司、重庆市永川区三桥燃气销售有限责任公司、重庆市永川区源天</w:t>
      </w:r>
      <w:r>
        <w:rPr>
          <w:rFonts w:hint="eastAsia" w:ascii="方正仿宋_GBK" w:hAnsi="Arial" w:eastAsia="方正仿宋_GBK" w:cs="Times New Roman"/>
          <w:sz w:val="32"/>
          <w:szCs w:val="32"/>
          <w:highlight w:val="none"/>
          <w:lang w:eastAsia="zh-CN"/>
        </w:rPr>
        <w:t>然</w:t>
      </w:r>
      <w:r>
        <w:rPr>
          <w:rFonts w:hint="eastAsia" w:ascii="方正仿宋_GBK" w:hAnsi="Arial" w:eastAsia="方正仿宋_GBK" w:cs="Times New Roman"/>
          <w:sz w:val="32"/>
          <w:szCs w:val="32"/>
          <w:highlight w:val="none"/>
        </w:rPr>
        <w:t>气销售有限责任公司、重庆鼎安燃气销售有限公司、重庆市永川区火耀燃气销售有限责任公司、重庆市永川区何松燃气销售有限责任公司等9家液化石油气、液化二甲醚经营企业；1家重庆市永川区燃料建材有限责任公司液化气储配站。</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根据《重庆市民用醇基液体燃料行业安全发展规划（2021</w:t>
      </w:r>
      <w:r>
        <w:rPr>
          <w:rFonts w:hint="eastAsia" w:ascii="方正仿宋_GBK" w:hAnsi="Arial" w:eastAsia="方正仿宋_GBK" w:cs="Times New Roman"/>
          <w:sz w:val="32"/>
          <w:szCs w:val="32"/>
          <w:highlight w:val="none"/>
          <w:lang w:eastAsia="zh-CN"/>
        </w:rPr>
        <w:t>—</w:t>
      </w:r>
      <w:r>
        <w:rPr>
          <w:rFonts w:hint="eastAsia" w:ascii="方正仿宋_GBK" w:hAnsi="Arial" w:eastAsia="方正仿宋_GBK" w:cs="Times New Roman"/>
          <w:sz w:val="32"/>
          <w:szCs w:val="32"/>
          <w:highlight w:val="none"/>
        </w:rPr>
        <w:t>2025年）》，本区规划民用醇基液体燃料分装站1个，零售供应站4个。</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bookmarkStart w:id="316" w:name="_Toc148104626"/>
      <w:r>
        <w:rPr>
          <w:rFonts w:hint="eastAsia" w:ascii="方正仿宋_GBK" w:hAnsi="Arial" w:eastAsia="方正仿宋_GBK" w:cs="Times New Roman"/>
          <w:sz w:val="32"/>
          <w:szCs w:val="32"/>
          <w:highlight w:val="none"/>
        </w:rPr>
        <w:t>永川区行政区域内液化石油气、液化二甲醚经营单位基本情况详见表A.1-1。</w:t>
      </w:r>
      <w:bookmarkEnd w:id="316"/>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sectPr>
          <w:pgSz w:w="11906" w:h="16838"/>
          <w:pgMar w:top="1418" w:right="1418" w:bottom="1418" w:left="1418" w:header="680" w:footer="680" w:gutter="0"/>
          <w:pgNumType w:fmt="decimal"/>
          <w:cols w:space="720" w:num="1"/>
          <w:docGrid w:type="lines" w:linePitch="321" w:charSpace="0"/>
        </w:sectPr>
      </w:pPr>
    </w:p>
    <w:p>
      <w:pPr>
        <w:adjustRightInd w:val="0"/>
        <w:snapToGrid w:val="0"/>
        <w:spacing w:line="300" w:lineRule="auto"/>
        <w:jc w:val="center"/>
        <w:rPr>
          <w:rFonts w:ascii="方正黑体_GBK" w:eastAsia="方正黑体_GBK"/>
          <w:bCs/>
          <w:kern w:val="44"/>
          <w:sz w:val="28"/>
          <w:szCs w:val="28"/>
          <w:highlight w:val="none"/>
          <w:lang w:val="zh-CN"/>
        </w:rPr>
      </w:pPr>
      <w:bookmarkStart w:id="317" w:name="_Toc25164802"/>
      <w:bookmarkStart w:id="318" w:name="_Toc49785228"/>
      <w:bookmarkStart w:id="319" w:name="_Toc14583_WPSOffice_Level2"/>
      <w:r>
        <w:rPr>
          <w:rFonts w:hint="eastAsia" w:ascii="方正黑体_GBK" w:eastAsia="方正黑体_GBK"/>
          <w:bCs/>
          <w:kern w:val="44"/>
          <w:sz w:val="28"/>
          <w:szCs w:val="28"/>
          <w:highlight w:val="none"/>
          <w:lang w:val="zh-CN"/>
        </w:rPr>
        <w:t>表A.1-1  永川区行政区域内液化石油气、液化二甲醚经营单位基本情况表</w:t>
      </w:r>
      <w:bookmarkEnd w:id="317"/>
      <w:bookmarkEnd w:id="318"/>
      <w:bookmarkEnd w:id="319"/>
    </w:p>
    <w:tbl>
      <w:tblPr>
        <w:tblStyle w:val="17"/>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85"/>
        <w:gridCol w:w="2154"/>
        <w:gridCol w:w="992"/>
        <w:gridCol w:w="1701"/>
        <w:gridCol w:w="2126"/>
        <w:gridCol w:w="2268"/>
        <w:gridCol w:w="2126"/>
        <w:gridCol w:w="70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85"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序号</w:t>
            </w:r>
          </w:p>
        </w:tc>
        <w:tc>
          <w:tcPr>
            <w:tcW w:w="2154"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经营单位</w:t>
            </w:r>
          </w:p>
        </w:tc>
        <w:tc>
          <w:tcPr>
            <w:tcW w:w="992"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负责人</w:t>
            </w:r>
          </w:p>
        </w:tc>
        <w:tc>
          <w:tcPr>
            <w:tcW w:w="1701"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电话</w:t>
            </w:r>
          </w:p>
        </w:tc>
        <w:tc>
          <w:tcPr>
            <w:tcW w:w="2126"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ascii="方正仿宋_GBK" w:hAnsiTheme="minorHAnsi" w:cstheme="minorBidi"/>
                <w:b/>
                <w:sz w:val="21"/>
                <w:szCs w:val="21"/>
                <w:highlight w:val="none"/>
              </w:rPr>
              <w:t>设计</w:t>
            </w:r>
          </w:p>
          <w:p>
            <w:pPr>
              <w:adjustRightInd w:val="0"/>
              <w:snapToGrid w:val="0"/>
              <w:jc w:val="center"/>
              <w:rPr>
                <w:rFonts w:ascii="方正仿宋_GBK" w:hAnsiTheme="minorHAnsi" w:cstheme="minorBidi"/>
                <w:b/>
                <w:sz w:val="21"/>
                <w:szCs w:val="21"/>
                <w:highlight w:val="none"/>
              </w:rPr>
            </w:pPr>
            <w:r>
              <w:rPr>
                <w:rFonts w:ascii="方正仿宋_GBK" w:hAnsiTheme="minorHAnsi" w:cstheme="minorBidi"/>
                <w:b/>
                <w:sz w:val="21"/>
                <w:szCs w:val="21"/>
                <w:highlight w:val="none"/>
              </w:rPr>
              <w:t>最大储量</w:t>
            </w:r>
          </w:p>
        </w:tc>
        <w:tc>
          <w:tcPr>
            <w:tcW w:w="2268"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气瓶</w:t>
            </w:r>
          </w:p>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充装地点</w:t>
            </w:r>
          </w:p>
        </w:tc>
        <w:tc>
          <w:tcPr>
            <w:tcW w:w="2126"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气瓶</w:t>
            </w:r>
          </w:p>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储存地点</w:t>
            </w:r>
          </w:p>
        </w:tc>
        <w:tc>
          <w:tcPr>
            <w:tcW w:w="709"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销售分布</w:t>
            </w:r>
          </w:p>
        </w:tc>
        <w:tc>
          <w:tcPr>
            <w:tcW w:w="1331" w:type="dxa"/>
            <w:shd w:val="clear" w:color="auto" w:fill="FFFFFF"/>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经营</w:t>
            </w:r>
          </w:p>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重庆市永川区昌州液化气销售有限责任公司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杨加英</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18996267127</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液化石油气54瓶、二甲醚280瓶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（公称容积15L）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重庆市永川区中山路街道双龙村桃子村民小组108号</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城区</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重庆市永川区城南燃气销售有限责任公司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权德兵</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18983025849</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液化石油气20瓶、二甲醚148瓶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重庆市永川区临江镇新桥街</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临江</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重庆市永川区万双燃气销售有限责任公司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黄生明</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13996002342</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重庆市永川区双石镇响滩子村罗家湾村民小组22号</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双石</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重庆市永川区翔天</w:t>
            </w:r>
            <w:r>
              <w:rPr>
                <w:rFonts w:hint="eastAsia" w:ascii="方正仿宋_GBK" w:hAnsiTheme="minorHAnsi" w:cstheme="minorBidi"/>
                <w:sz w:val="21"/>
                <w:szCs w:val="21"/>
                <w:highlight w:val="none"/>
                <w:lang w:eastAsia="zh-CN"/>
              </w:rPr>
              <w:t>然</w:t>
            </w:r>
            <w:r>
              <w:rPr>
                <w:rFonts w:hint="eastAsia" w:ascii="方正仿宋_GBK" w:hAnsiTheme="minorHAnsi" w:cstheme="minorBidi"/>
                <w:sz w:val="21"/>
                <w:szCs w:val="21"/>
                <w:highlight w:val="none"/>
              </w:rPr>
              <w:t>气销售有限公司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赵显林</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18580404981</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液化石油气20瓶、二甲醚148瓶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重庆市永川区仙龙镇石宝寺村大石坝小组</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仙龙</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重庆市永川区三桥燃气销售有限责任公司</w:t>
            </w:r>
          </w:p>
        </w:tc>
        <w:tc>
          <w:tcPr>
            <w:tcW w:w="992"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王荣芬</w:t>
            </w:r>
          </w:p>
        </w:tc>
        <w:tc>
          <w:tcPr>
            <w:tcW w:w="1701"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18723375216</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重庆市永川区三教镇皂角街29号</w:t>
            </w:r>
          </w:p>
        </w:tc>
        <w:tc>
          <w:tcPr>
            <w:tcW w:w="709"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三教</w:t>
            </w:r>
          </w:p>
        </w:tc>
        <w:tc>
          <w:tcPr>
            <w:tcW w:w="1331" w:type="dxa"/>
            <w:shd w:val="clear" w:color="auto" w:fill="FFFFFF"/>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重庆市永川区源天</w:t>
            </w:r>
            <w:r>
              <w:rPr>
                <w:rFonts w:hint="eastAsia" w:ascii="方正仿宋_GBK" w:hAnsiTheme="minorHAnsi" w:cstheme="minorBidi"/>
                <w:sz w:val="21"/>
                <w:szCs w:val="21"/>
                <w:highlight w:val="none"/>
                <w:lang w:eastAsia="zh-CN"/>
              </w:rPr>
              <w:t>然</w:t>
            </w:r>
            <w:r>
              <w:rPr>
                <w:rFonts w:hint="eastAsia" w:ascii="方正仿宋_GBK" w:hAnsiTheme="minorHAnsi" w:cstheme="minorBidi"/>
                <w:sz w:val="21"/>
                <w:szCs w:val="21"/>
                <w:highlight w:val="none"/>
              </w:rPr>
              <w:t>气销售有限责任公司</w:t>
            </w:r>
          </w:p>
        </w:tc>
        <w:tc>
          <w:tcPr>
            <w:tcW w:w="992"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任伍国</w:t>
            </w:r>
          </w:p>
        </w:tc>
        <w:tc>
          <w:tcPr>
            <w:tcW w:w="1701"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18725675805</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noWrap/>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重庆市永川区来苏镇五一路41号</w:t>
            </w:r>
          </w:p>
        </w:tc>
        <w:tc>
          <w:tcPr>
            <w:tcW w:w="709"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来苏</w:t>
            </w:r>
          </w:p>
        </w:tc>
        <w:tc>
          <w:tcPr>
            <w:tcW w:w="1331"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重庆鼎安燃气销售有限公司</w:t>
            </w:r>
          </w:p>
        </w:tc>
        <w:tc>
          <w:tcPr>
            <w:tcW w:w="992"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黄亿东</w:t>
            </w:r>
          </w:p>
        </w:tc>
        <w:tc>
          <w:tcPr>
            <w:tcW w:w="1701"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13883396434</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noWrap/>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noWrap/>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重庆市永川区大安街道石金路153号</w:t>
            </w:r>
          </w:p>
        </w:tc>
        <w:tc>
          <w:tcPr>
            <w:tcW w:w="709"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大安</w:t>
            </w:r>
          </w:p>
        </w:tc>
        <w:tc>
          <w:tcPr>
            <w:tcW w:w="1331"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重庆市永川区火耀燃气销售有限责任公司</w:t>
            </w:r>
          </w:p>
        </w:tc>
        <w:tc>
          <w:tcPr>
            <w:tcW w:w="992"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冯真友</w:t>
            </w:r>
          </w:p>
        </w:tc>
        <w:tc>
          <w:tcPr>
            <w:tcW w:w="1701"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15320599499</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noWrap/>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重庆市永川区燃料建材有限责任公司液化气储配站</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重庆市永川区朱沱镇长江路167号</w:t>
            </w:r>
          </w:p>
        </w:tc>
        <w:tc>
          <w:tcPr>
            <w:tcW w:w="709"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朱沱</w:t>
            </w:r>
          </w:p>
        </w:tc>
        <w:tc>
          <w:tcPr>
            <w:tcW w:w="1331"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w:t>
            </w:r>
          </w:p>
        </w:tc>
        <w:tc>
          <w:tcPr>
            <w:tcW w:w="2154" w:type="dxa"/>
            <w:shd w:val="clear" w:color="auto" w:fill="FFFFF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重庆市永川区何松燃气销售有限责任公司</w:t>
            </w:r>
          </w:p>
        </w:tc>
        <w:tc>
          <w:tcPr>
            <w:tcW w:w="992"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尧宗桃</w:t>
            </w:r>
          </w:p>
        </w:tc>
        <w:tc>
          <w:tcPr>
            <w:tcW w:w="1701"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13708331463</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液化石油气48瓶、二甲醚120瓶</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（公称容积35.5L）</w:t>
            </w:r>
          </w:p>
        </w:tc>
        <w:tc>
          <w:tcPr>
            <w:tcW w:w="2268" w:type="dxa"/>
            <w:shd w:val="clear" w:color="auto" w:fill="FFFFFF"/>
            <w:noWrap/>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w:t>
            </w:r>
            <w:bookmarkStart w:id="377" w:name="_GoBack"/>
            <w:bookmarkEnd w:id="377"/>
            <w:r>
              <w:rPr>
                <w:rFonts w:hint="eastAsia" w:ascii="方正仿宋_GBK" w:hAnsiTheme="minorHAnsi" w:cstheme="minorBidi"/>
                <w:sz w:val="21"/>
                <w:szCs w:val="21"/>
                <w:highlight w:val="none"/>
              </w:rPr>
              <w:t>市永川区燃料建材有限责任公司液化气储配站</w:t>
            </w:r>
          </w:p>
        </w:tc>
        <w:tc>
          <w:tcPr>
            <w:tcW w:w="2126"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重庆市永川区何埂镇中鑫街538号</w:t>
            </w:r>
          </w:p>
        </w:tc>
        <w:tc>
          <w:tcPr>
            <w:tcW w:w="709" w:type="dxa"/>
            <w:shd w:val="clear" w:color="auto" w:fill="FFFFFF"/>
            <w:noWrap/>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何埂</w:t>
            </w:r>
          </w:p>
        </w:tc>
        <w:tc>
          <w:tcPr>
            <w:tcW w:w="1331" w:type="dxa"/>
            <w:shd w:val="clear" w:color="auto" w:fill="FFFFFF"/>
            <w:noWrap/>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w:t>
            </w:r>
          </w:p>
        </w:tc>
      </w:tr>
    </w:tbl>
    <w:p>
      <w:pPr>
        <w:pStyle w:val="27"/>
        <w:keepNext w:val="0"/>
        <w:keepLines w:val="0"/>
        <w:spacing w:line="360" w:lineRule="auto"/>
        <w:ind w:firstLine="640"/>
        <w:jc w:val="both"/>
        <w:outlineLvl w:val="9"/>
        <w:rPr>
          <w:rFonts w:ascii="仿宋" w:hAnsi="仿宋" w:eastAsia="仿宋"/>
          <w:highlight w:val="none"/>
        </w:rPr>
      </w:pPr>
    </w:p>
    <w:p>
      <w:pPr>
        <w:pStyle w:val="27"/>
        <w:keepNext w:val="0"/>
        <w:keepLines w:val="0"/>
        <w:spacing w:line="360" w:lineRule="auto"/>
        <w:ind w:firstLine="640"/>
        <w:jc w:val="both"/>
        <w:outlineLvl w:val="9"/>
        <w:rPr>
          <w:rFonts w:ascii="仿宋" w:hAnsi="仿宋" w:eastAsia="仿宋"/>
          <w:highlight w:val="none"/>
        </w:rPr>
      </w:pPr>
    </w:p>
    <w:p>
      <w:pPr>
        <w:pStyle w:val="27"/>
        <w:keepNext w:val="0"/>
        <w:keepLines w:val="0"/>
        <w:spacing w:line="360" w:lineRule="auto"/>
        <w:ind w:firstLine="640"/>
        <w:jc w:val="both"/>
        <w:outlineLvl w:val="9"/>
        <w:rPr>
          <w:rFonts w:ascii="仿宋" w:hAnsi="仿宋" w:eastAsia="仿宋"/>
          <w:highlight w:val="none"/>
        </w:rPr>
        <w:sectPr>
          <w:pgSz w:w="16838" w:h="11906" w:orient="landscape"/>
          <w:pgMar w:top="1418" w:right="1418" w:bottom="1418" w:left="1418" w:header="680" w:footer="680" w:gutter="0"/>
          <w:pgNumType w:fmt="decimal"/>
          <w:cols w:space="720" w:num="1"/>
          <w:docGrid w:type="lines" w:linePitch="321" w:charSpace="0"/>
        </w:sectPr>
      </w:pPr>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320" w:name="_Toc139471332"/>
      <w:bookmarkStart w:id="321" w:name="_Toc148104627"/>
      <w:r>
        <w:rPr>
          <w:rFonts w:hint="eastAsia" w:ascii="方正楷体_GBK" w:hAnsi="方正楷体_GBK" w:eastAsia="方正楷体_GBK" w:cs="方正楷体_GBK"/>
          <w:b w:val="0"/>
          <w:bCs w:val="0"/>
          <w:highlight w:val="none"/>
        </w:rPr>
        <w:t>A.2  危险有害因素辨识</w:t>
      </w:r>
      <w:bookmarkEnd w:id="320"/>
      <w:bookmarkEnd w:id="321"/>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永川区行政区域内液化石油气、二甲醚、民用醇基燃料经营单位主要涉及的危险物质为液化石油气、二甲醚和醇基燃料等，其火灾危险性为甲类，具有易燃、易爆、易扩散、有毒有害等特点。</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永川区行政区域内的液化石油气、二甲醚、民用醇基燃料在输配、充装、存储、使用过程中的主要安全风险为泄漏、火灾、爆炸。</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表A.2-1  危险有害因素辨识一览表</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8"/>
        <w:gridCol w:w="1531"/>
        <w:gridCol w:w="1559"/>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568" w:type="dxa"/>
            <w:vAlign w:val="center"/>
          </w:tcPr>
          <w:p>
            <w:pPr>
              <w:adjustRightInd w:val="0"/>
              <w:snapToGrid w:val="0"/>
              <w:jc w:val="center"/>
              <w:textAlignment w:val="center"/>
              <w:rPr>
                <w:rFonts w:ascii="方正仿宋_GBK" w:hAnsiTheme="minorHAnsi" w:cstheme="minorBidi"/>
                <w:b/>
                <w:sz w:val="21"/>
                <w:szCs w:val="21"/>
                <w:highlight w:val="none"/>
              </w:rPr>
            </w:pPr>
            <w:bookmarkStart w:id="322" w:name="_Toc272416065"/>
            <w:bookmarkStart w:id="323" w:name="_Toc187718309"/>
            <w:bookmarkStart w:id="324" w:name="_Toc182625059"/>
            <w:r>
              <w:rPr>
                <w:rFonts w:hint="eastAsia" w:ascii="方正仿宋_GBK" w:hAnsiTheme="minorHAnsi" w:cstheme="minorBidi"/>
                <w:b/>
                <w:sz w:val="21"/>
                <w:szCs w:val="21"/>
                <w:highlight w:val="none"/>
              </w:rPr>
              <w:t>序号</w:t>
            </w:r>
          </w:p>
        </w:tc>
        <w:tc>
          <w:tcPr>
            <w:tcW w:w="1531"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危险场所</w:t>
            </w:r>
          </w:p>
        </w:tc>
        <w:tc>
          <w:tcPr>
            <w:tcW w:w="1559"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可能导致的</w:t>
            </w:r>
          </w:p>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事故类型</w:t>
            </w:r>
          </w:p>
        </w:tc>
        <w:tc>
          <w:tcPr>
            <w:tcW w:w="5414"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w:t>
            </w:r>
            <w:r>
              <w:rPr>
                <w:rFonts w:ascii="方正仿宋_GBK" w:hAnsiTheme="minorHAnsi" w:cstheme="minorBidi"/>
                <w:b/>
                <w:sz w:val="21"/>
                <w:szCs w:val="21"/>
                <w:highlight w:val="none"/>
              </w:rPr>
              <w:t>诱因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1531"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液化石油气、二甲醚充装站、民用醇基燃料分装站</w:t>
            </w:r>
          </w:p>
        </w:tc>
        <w:tc>
          <w:tcPr>
            <w:tcW w:w="155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泄漏</w:t>
            </w:r>
          </w:p>
        </w:tc>
        <w:tc>
          <w:tcPr>
            <w:tcW w:w="5414"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1.压力指示器、压力表在安装前没有进行校验或失效。</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2.设备运行中，因仪表接管漏气，阀门密封不严等可引起可燃气体的泄漏。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3.管道因腐蚀、意外撞击、热胀冷缩、振动疲劳等原因被损坏时，会造成大量的气体外漏。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4.设备、管道超压运行可能引发爆炸或泄漏。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5.设备和管道的设计、选材、制造、安装、操作、维修等过程中未达到标准、规范、规程的要求。</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6.卸液时接管脱离，发生泄漏。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7.高压管道壁厚不够，不能承受所设计压力。</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8.操作人员未按操作规程操作。</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w:t>
            </w:r>
            <w:r>
              <w:rPr>
                <w:rFonts w:ascii="方正仿宋_GBK" w:hAnsiTheme="minorHAnsi" w:cstheme="minorBidi"/>
                <w:sz w:val="21"/>
                <w:szCs w:val="21"/>
                <w:highlight w:val="none"/>
              </w:rPr>
              <w:t>非法倒液化石油气、二甲醚发生泄漏，导致液化石油气、二甲醚发生泄漏。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531"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55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5414"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1.输送管道和使用设备未采取有效的防静电、防雷击接地措施，输送流速过快可能导致管道中静电积累，静电火花和雷击可能引发火灾爆炸事故。</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2.若储罐、管道材质不合格、介质置换不充分等，可能引发火灾爆炸事故。</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3.槽车向储罐输液前未按规定进行静电导出。</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4.槽车向储罐输液时未按规定熄火、制动，进厂车辆未安装排烟管阻火器。</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5.充装时超温、超压，引起爆炸。</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6.对不合格瓶充装导致爆炸。</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7.检维修过程中，对设备、容器和管道进行动火作业前，未对设备、容器内可燃性物料进行清洗置换或清洗置换不彻底。</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w:t>
            </w:r>
            <w:r>
              <w:rPr>
                <w:rFonts w:ascii="方正仿宋_GBK" w:hAnsiTheme="minorHAnsi" w:cstheme="minorBidi"/>
                <w:sz w:val="21"/>
                <w:szCs w:val="21"/>
                <w:highlight w:val="none"/>
              </w:rPr>
              <w:t>非法倒液化石油气、二甲醚，导致液化石油气、二甲醚发生泄漏遇明火发生爆炸事故。</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9.分装站工作人员安全意识淡薄，工作人员、送气人员在工作场所吸烟等危险行为。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pStyle w:val="15"/>
              <w:adjustRightInd w:val="0"/>
              <w:snapToGrid w:val="0"/>
              <w:spacing w:before="0" w:beforeAutospacing="0" w:after="0" w:afterAutospacing="0"/>
              <w:ind w:firstLine="240" w:firstLineChars="100"/>
              <w:jc w:val="both"/>
              <w:rPr>
                <w:rFonts w:ascii="仿宋" w:hAnsi="仿宋" w:eastAsia="仿宋" w:cs="方正仿宋_GBK"/>
                <w:color w:val="000000"/>
                <w:highlight w:val="none"/>
              </w:rPr>
            </w:pPr>
          </w:p>
        </w:tc>
        <w:tc>
          <w:tcPr>
            <w:tcW w:w="1531" w:type="dxa"/>
            <w:vMerge w:val="continue"/>
            <w:vAlign w:val="center"/>
          </w:tcPr>
          <w:p>
            <w:pPr>
              <w:pStyle w:val="15"/>
              <w:adjustRightInd w:val="0"/>
              <w:snapToGrid w:val="0"/>
              <w:spacing w:before="0" w:beforeAutospacing="0" w:after="0" w:afterAutospacing="0"/>
              <w:ind w:firstLine="240" w:firstLineChars="100"/>
              <w:jc w:val="both"/>
              <w:rPr>
                <w:rFonts w:ascii="仿宋" w:hAnsi="仿宋" w:eastAsia="仿宋" w:cs="方正仿宋_GBK"/>
                <w:color w:val="000000"/>
                <w:highlight w:val="none"/>
              </w:rPr>
            </w:pPr>
          </w:p>
        </w:tc>
        <w:tc>
          <w:tcPr>
            <w:tcW w:w="155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中毒</w:t>
            </w:r>
          </w:p>
        </w:tc>
        <w:tc>
          <w:tcPr>
            <w:tcW w:w="5414"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液化石油气、二甲醚、醇基燃料在充装过程中发生泄漏，可能导致工作大量吸入，发生中毒和窒息事故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1531"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液化石油气、二甲醚、醇基燃料用户户内</w:t>
            </w:r>
          </w:p>
        </w:tc>
        <w:tc>
          <w:tcPr>
            <w:tcW w:w="155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液化石油气、二甲醚、醇基燃料泄漏</w:t>
            </w:r>
          </w:p>
        </w:tc>
        <w:tc>
          <w:tcPr>
            <w:tcW w:w="5414"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1.商用、居民用</w:t>
            </w:r>
            <w:r>
              <w:rPr>
                <w:rFonts w:ascii="方正仿宋_GBK" w:hAnsiTheme="minorHAnsi" w:cstheme="minorBidi"/>
                <w:sz w:val="21"/>
                <w:szCs w:val="21"/>
                <w:highlight w:val="none"/>
              </w:rPr>
              <w:t>的</w:t>
            </w:r>
            <w:r>
              <w:rPr>
                <w:rFonts w:hint="eastAsia" w:ascii="方正仿宋_GBK" w:hAnsiTheme="minorHAnsi" w:cstheme="minorBidi"/>
                <w:sz w:val="21"/>
                <w:szCs w:val="21"/>
                <w:highlight w:val="none"/>
              </w:rPr>
              <w:t>液化石油气、二甲醚</w:t>
            </w:r>
            <w:r>
              <w:rPr>
                <w:rFonts w:ascii="方正仿宋_GBK" w:hAnsiTheme="minorHAnsi" w:cstheme="minorBidi"/>
                <w:sz w:val="21"/>
                <w:szCs w:val="21"/>
                <w:highlight w:val="none"/>
              </w:rPr>
              <w:t>钢瓶已超过使用年限</w:t>
            </w:r>
            <w:r>
              <w:rPr>
                <w:rFonts w:hint="eastAsia" w:ascii="方正仿宋_GBK" w:hAnsiTheme="minorHAnsi" w:cstheme="minorBidi"/>
                <w:sz w:val="21"/>
                <w:szCs w:val="21"/>
                <w:highlight w:val="none"/>
              </w:rPr>
              <w:t>或</w:t>
            </w:r>
            <w:r>
              <w:rPr>
                <w:rFonts w:ascii="方正仿宋_GBK" w:hAnsiTheme="minorHAnsi" w:cstheme="minorBidi"/>
                <w:sz w:val="21"/>
                <w:szCs w:val="21"/>
                <w:highlight w:val="none"/>
              </w:rPr>
              <w:t>钢瓶附件的老化，发生泄漏</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2.醇基燃料存放或使用不当发生泄漏。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3.商户为提高烹饪效率，节省摊位空间，私自改装使用三通接头连接液化气钢瓶，且将液化气钢瓶放倒使用的情况，增加气瓶泄漏风险。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531"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55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5414"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1.泄漏的液化石油气、二甲醚与空气混合能形成爆炸性混合物，遇明火、高</w:t>
            </w:r>
            <w:r>
              <w:rPr>
                <w:rFonts w:hint="eastAsia" w:ascii="方正仿宋_GBK" w:hAnsiTheme="minorHAnsi" w:cstheme="minorBidi"/>
                <w:sz w:val="21"/>
                <w:szCs w:val="21"/>
                <w:highlight w:val="none"/>
                <w:lang w:eastAsia="zh-CN"/>
              </w:rPr>
              <w:t>热</w:t>
            </w:r>
            <w:r>
              <w:rPr>
                <w:rFonts w:hint="eastAsia" w:ascii="方正仿宋_GBK" w:hAnsiTheme="minorHAnsi" w:cstheme="minorBidi"/>
                <w:sz w:val="21"/>
                <w:szCs w:val="21"/>
                <w:highlight w:val="none"/>
              </w:rPr>
              <w:t>等引起燃烧、爆炸。</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2.醇基燃料存放或使用不当可能导致在使用过程中发生爆炸。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531" w:type="dxa"/>
            <w:vMerge w:val="continue"/>
            <w:vAlign w:val="center"/>
          </w:tcPr>
          <w:p>
            <w:pPr>
              <w:adjustRightInd w:val="0"/>
              <w:snapToGrid w:val="0"/>
              <w:jc w:val="center"/>
              <w:rPr>
                <w:rFonts w:ascii="仿宋" w:hAnsi="仿宋" w:eastAsia="仿宋"/>
                <w:sz w:val="24"/>
                <w:highlight w:val="none"/>
              </w:rPr>
            </w:pPr>
          </w:p>
        </w:tc>
        <w:tc>
          <w:tcPr>
            <w:tcW w:w="155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中毒</w:t>
            </w:r>
          </w:p>
        </w:tc>
        <w:tc>
          <w:tcPr>
            <w:tcW w:w="5414"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1.液化石油气、二甲醚在存放和使用不当，发生泄漏，可能导致人员中毒。</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2.商户、用户灶具故障导致燃烧无完全，发生人员中毒事故。</w:t>
            </w:r>
          </w:p>
        </w:tc>
      </w:tr>
    </w:tbl>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325" w:name="_Toc139471333"/>
      <w:bookmarkStart w:id="326" w:name="_Toc148104628"/>
      <w:r>
        <w:rPr>
          <w:rFonts w:hint="eastAsia" w:ascii="方正楷体_GBK" w:hAnsi="方正楷体_GBK" w:eastAsia="方正楷体_GBK" w:cs="方正楷体_GBK"/>
          <w:b w:val="0"/>
          <w:bCs w:val="0"/>
          <w:highlight w:val="none"/>
        </w:rPr>
        <w:t>A.3</w:t>
      </w:r>
      <w:r>
        <w:rPr>
          <w:rFonts w:ascii="方正楷体_GBK" w:hAnsi="方正楷体_GBK" w:eastAsia="方正楷体_GBK" w:cs="方正楷体_GBK"/>
          <w:b w:val="0"/>
          <w:bCs w:val="0"/>
          <w:highlight w:val="none"/>
        </w:rPr>
        <w:t xml:space="preserve"> </w:t>
      </w:r>
      <w:r>
        <w:rPr>
          <w:rFonts w:hint="eastAsia" w:ascii="方正楷体_GBK" w:hAnsi="方正楷体_GBK" w:eastAsia="方正楷体_GBK" w:cs="方正楷体_GBK"/>
          <w:b w:val="0"/>
          <w:bCs w:val="0"/>
          <w:highlight w:val="none"/>
        </w:rPr>
        <w:t xml:space="preserve"> 事故风险分析</w:t>
      </w:r>
      <w:bookmarkEnd w:id="322"/>
      <w:bookmarkEnd w:id="323"/>
      <w:bookmarkEnd w:id="324"/>
      <w:bookmarkEnd w:id="325"/>
      <w:bookmarkEnd w:id="326"/>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bookmarkStart w:id="327" w:name="_Toc272416066"/>
      <w:bookmarkStart w:id="328" w:name="_Toc182625060"/>
      <w:bookmarkStart w:id="329" w:name="_Toc115746207"/>
      <w:bookmarkStart w:id="330" w:name="_Toc187718310"/>
      <w:bookmarkStart w:id="331" w:name="_Toc471393235"/>
      <w:r>
        <w:rPr>
          <w:rFonts w:hint="eastAsia" w:ascii="方正仿宋_GBK" w:hAnsi="Arial" w:eastAsia="方正仿宋_GBK" w:cs="Times New Roman"/>
          <w:sz w:val="32"/>
          <w:szCs w:val="32"/>
          <w:highlight w:val="none"/>
        </w:rPr>
        <w:t>本章针对永川区液化石油气、二甲醚、醇基燃料可能导致的主要事故风险的类型、发生的可能性、危害后果及影响范围进行分析，以列表形式表述，详见下表A.3-1。</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表A.3-1  风险分析一览表</w:t>
      </w:r>
    </w:p>
    <w:tbl>
      <w:tblPr>
        <w:tblStyle w:val="1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427"/>
        <w:gridCol w:w="1424"/>
        <w:gridCol w:w="1701"/>
        <w:gridCol w:w="1758"/>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95"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序号</w:t>
            </w:r>
          </w:p>
        </w:tc>
        <w:tc>
          <w:tcPr>
            <w:tcW w:w="1427"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风险</w:t>
            </w:r>
            <w:r>
              <w:rPr>
                <w:rFonts w:ascii="方正仿宋_GBK" w:hAnsiTheme="minorHAnsi" w:cstheme="minorBidi"/>
                <w:b/>
                <w:sz w:val="21"/>
                <w:szCs w:val="21"/>
                <w:highlight w:val="none"/>
              </w:rPr>
              <w:t>单元</w:t>
            </w:r>
          </w:p>
        </w:tc>
        <w:tc>
          <w:tcPr>
            <w:tcW w:w="1424"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事故灾害</w:t>
            </w:r>
          </w:p>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风险类型</w:t>
            </w:r>
          </w:p>
        </w:tc>
        <w:tc>
          <w:tcPr>
            <w:tcW w:w="1701"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事故灾害</w:t>
            </w:r>
          </w:p>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发生可能性</w:t>
            </w:r>
          </w:p>
        </w:tc>
        <w:tc>
          <w:tcPr>
            <w:tcW w:w="1758"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事故灾害</w:t>
            </w:r>
          </w:p>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后果严重性</w:t>
            </w:r>
          </w:p>
        </w:tc>
        <w:tc>
          <w:tcPr>
            <w:tcW w:w="2068"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事故可能</w:t>
            </w:r>
          </w:p>
          <w:p>
            <w:pPr>
              <w:adjustRightInd w:val="0"/>
              <w:snapToGrid w:val="0"/>
              <w:jc w:val="center"/>
              <w:textAlignment w:val="center"/>
              <w:rPr>
                <w:rFonts w:ascii="仿宋" w:hAnsi="仿宋" w:eastAsia="仿宋" w:cs="方正仿宋_GBK"/>
                <w:b/>
                <w:color w:val="000000"/>
                <w:highlight w:val="none"/>
              </w:rPr>
            </w:pPr>
            <w:r>
              <w:rPr>
                <w:rFonts w:hint="eastAsia" w:ascii="方正仿宋_GBK" w:hAnsiTheme="minorHAnsi" w:cstheme="minorBidi"/>
                <w:b/>
                <w:sz w:val="21"/>
                <w:szCs w:val="21"/>
                <w:highlight w:val="none"/>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1427"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液化石油气、二甲醚充装站、民用醇基燃料分装站</w:t>
            </w:r>
          </w:p>
        </w:tc>
        <w:tc>
          <w:tcPr>
            <w:tcW w:w="1424"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泄漏</w:t>
            </w:r>
          </w:p>
        </w:tc>
        <w:tc>
          <w:tcPr>
            <w:tcW w:w="1701"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可能发生</w:t>
            </w:r>
          </w:p>
        </w:tc>
        <w:tc>
          <w:tcPr>
            <w:tcW w:w="1758"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w:t>
            </w:r>
            <w:r>
              <w:rPr>
                <w:rFonts w:ascii="方正仿宋_GBK" w:hAnsiTheme="minorHAnsi" w:cstheme="minorBidi"/>
                <w:sz w:val="21"/>
                <w:szCs w:val="21"/>
                <w:highlight w:val="none"/>
              </w:rPr>
              <w:t>事故</w:t>
            </w:r>
          </w:p>
        </w:tc>
        <w:tc>
          <w:tcPr>
            <w:tcW w:w="2068"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可能引发火灾、爆炸和中毒窒息，导致人员伤亡、经济损失、环境污染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27"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24"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1701"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758"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特别重大</w:t>
            </w:r>
            <w:r>
              <w:rPr>
                <w:rFonts w:ascii="方正仿宋_GBK" w:hAnsiTheme="minorHAnsi" w:cstheme="minorBidi"/>
                <w:sz w:val="21"/>
                <w:szCs w:val="21"/>
                <w:highlight w:val="none"/>
              </w:rPr>
              <w:t>事故</w:t>
            </w:r>
          </w:p>
        </w:tc>
        <w:tc>
          <w:tcPr>
            <w:tcW w:w="2068"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27"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24"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中毒</w:t>
            </w:r>
          </w:p>
        </w:tc>
        <w:tc>
          <w:tcPr>
            <w:tcW w:w="1701"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758"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较大事故</w:t>
            </w:r>
          </w:p>
        </w:tc>
        <w:tc>
          <w:tcPr>
            <w:tcW w:w="2068"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1427"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液化石油气、二甲醚、醇基燃料用户户内</w:t>
            </w:r>
          </w:p>
        </w:tc>
        <w:tc>
          <w:tcPr>
            <w:tcW w:w="1424"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泄漏</w:t>
            </w:r>
          </w:p>
        </w:tc>
        <w:tc>
          <w:tcPr>
            <w:tcW w:w="1701"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可能发生</w:t>
            </w:r>
          </w:p>
        </w:tc>
        <w:tc>
          <w:tcPr>
            <w:tcW w:w="1758"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w:t>
            </w:r>
            <w:r>
              <w:rPr>
                <w:rFonts w:ascii="方正仿宋_GBK" w:hAnsiTheme="minorHAnsi" w:cstheme="minorBidi"/>
                <w:sz w:val="21"/>
                <w:szCs w:val="21"/>
                <w:highlight w:val="none"/>
              </w:rPr>
              <w:t>事故</w:t>
            </w:r>
          </w:p>
        </w:tc>
        <w:tc>
          <w:tcPr>
            <w:tcW w:w="2068"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可能引发火灾、爆炸和中毒窒息，导致人员伤亡、经济损失、环境污染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27"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24"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1701"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758"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特别重大</w:t>
            </w:r>
            <w:r>
              <w:rPr>
                <w:rFonts w:ascii="方正仿宋_GBK" w:hAnsiTheme="minorHAnsi" w:cstheme="minorBidi"/>
                <w:sz w:val="21"/>
                <w:szCs w:val="21"/>
                <w:highlight w:val="none"/>
              </w:rPr>
              <w:t>事故</w:t>
            </w:r>
          </w:p>
        </w:tc>
        <w:tc>
          <w:tcPr>
            <w:tcW w:w="2068"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27"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24"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中毒</w:t>
            </w:r>
          </w:p>
        </w:tc>
        <w:tc>
          <w:tcPr>
            <w:tcW w:w="1701"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758" w:type="dxa"/>
            <w:tcBorders>
              <w:bottom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w:t>
            </w:r>
            <w:r>
              <w:rPr>
                <w:rFonts w:ascii="方正仿宋_GBK" w:hAnsiTheme="minorHAnsi" w:cstheme="minorBidi"/>
                <w:sz w:val="21"/>
                <w:szCs w:val="21"/>
                <w:highlight w:val="none"/>
              </w:rPr>
              <w:t>事故</w:t>
            </w:r>
          </w:p>
        </w:tc>
        <w:tc>
          <w:tcPr>
            <w:tcW w:w="2068"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w:t>
            </w:r>
          </w:p>
        </w:tc>
      </w:tr>
    </w:tbl>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332" w:name="_Toc69914020"/>
      <w:bookmarkStart w:id="333" w:name="_Toc139471334"/>
      <w:bookmarkStart w:id="334" w:name="_Toc148104629"/>
      <w:r>
        <w:rPr>
          <w:rFonts w:hint="eastAsia" w:ascii="方正楷体_GBK" w:hAnsi="方正楷体_GBK" w:eastAsia="方正楷体_GBK" w:cs="方正楷体_GBK"/>
          <w:b w:val="0"/>
          <w:bCs w:val="0"/>
          <w:highlight w:val="none"/>
        </w:rPr>
        <w:t>A.4  事故风险评</w:t>
      </w:r>
      <w:bookmarkEnd w:id="332"/>
      <w:r>
        <w:rPr>
          <w:rFonts w:hint="eastAsia" w:ascii="方正楷体_GBK" w:hAnsi="方正楷体_GBK" w:eastAsia="方正楷体_GBK" w:cs="方正楷体_GBK"/>
          <w:b w:val="0"/>
          <w:bCs w:val="0"/>
          <w:highlight w:val="none"/>
        </w:rPr>
        <w:t>估</w:t>
      </w:r>
      <w:bookmarkEnd w:id="333"/>
      <w:bookmarkEnd w:id="334"/>
    </w:p>
    <w:p>
      <w:pPr>
        <w:ind w:firstLine="642" w:firstLineChars="200"/>
        <w:outlineLvl w:val="2"/>
        <w:rPr>
          <w:rFonts w:ascii="仿宋_GB2312" w:eastAsia="仿宋_GB2312" w:hAnsiTheme="minorHAnsi" w:cstheme="minorBidi"/>
          <w:b/>
          <w:bCs/>
          <w:highlight w:val="none"/>
        </w:rPr>
      </w:pPr>
      <w:bookmarkStart w:id="335" w:name="_Toc139471335"/>
      <w:r>
        <w:rPr>
          <w:rFonts w:hint="eastAsia" w:ascii="仿宋_GB2312" w:eastAsia="仿宋_GB2312" w:hAnsiTheme="minorHAnsi" w:cstheme="minorBidi"/>
          <w:b/>
          <w:bCs/>
          <w:highlight w:val="none"/>
        </w:rPr>
        <w:t>A.4.1 评估方法简介</w:t>
      </w:r>
      <w:bookmarkEnd w:id="335"/>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本报告采用风险矩阵分析法液化石油气、二甲醚、醇基燃料事故进行风险评估。在进行风险评估时，将潜在的事故发生的可能性相对地定性，并分为五级（见表A.4</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1）；将潜在的事故后果的严重性相对地定性，并分为四级（见表A.4</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2）。</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表A.4</w:t>
      </w:r>
      <w:r>
        <w:rPr>
          <w:rFonts w:ascii="方正黑体_GBK" w:eastAsia="方正黑体_GBK"/>
          <w:bCs/>
          <w:kern w:val="44"/>
          <w:sz w:val="28"/>
          <w:szCs w:val="28"/>
          <w:highlight w:val="none"/>
          <w:lang w:val="zh-CN"/>
        </w:rPr>
        <w:t>.</w:t>
      </w:r>
      <w:r>
        <w:rPr>
          <w:rFonts w:hint="eastAsia" w:ascii="方正黑体_GBK" w:eastAsia="方正黑体_GBK"/>
          <w:bCs/>
          <w:kern w:val="44"/>
          <w:sz w:val="28"/>
          <w:szCs w:val="28"/>
          <w:highlight w:val="none"/>
          <w:lang w:val="zh-CN"/>
        </w:rPr>
        <w:t>1</w:t>
      </w:r>
      <w:r>
        <w:rPr>
          <w:rFonts w:ascii="方正黑体_GBK" w:eastAsia="方正黑体_GBK"/>
          <w:bCs/>
          <w:kern w:val="44"/>
          <w:sz w:val="28"/>
          <w:szCs w:val="28"/>
          <w:highlight w:val="none"/>
          <w:lang w:val="zh-CN"/>
        </w:rPr>
        <w:t>-</w:t>
      </w:r>
      <w:r>
        <w:rPr>
          <w:rFonts w:hint="eastAsia" w:ascii="方正黑体_GBK" w:eastAsia="方正黑体_GBK"/>
          <w:bCs/>
          <w:kern w:val="44"/>
          <w:sz w:val="28"/>
          <w:szCs w:val="28"/>
          <w:highlight w:val="none"/>
          <w:lang w:val="zh-CN"/>
        </w:rPr>
        <w:t>1</w:t>
      </w:r>
      <w:r>
        <w:rPr>
          <w:rFonts w:ascii="方正黑体_GBK" w:eastAsia="方正黑体_GBK"/>
          <w:bCs/>
          <w:kern w:val="44"/>
          <w:sz w:val="28"/>
          <w:szCs w:val="28"/>
          <w:highlight w:val="none"/>
          <w:lang w:val="zh-CN"/>
        </w:rPr>
        <w:t xml:space="preserve">  </w:t>
      </w:r>
      <w:r>
        <w:rPr>
          <w:rFonts w:hint="eastAsia" w:ascii="方正黑体_GBK" w:eastAsia="方正黑体_GBK"/>
          <w:bCs/>
          <w:kern w:val="44"/>
          <w:sz w:val="28"/>
          <w:szCs w:val="28"/>
          <w:highlight w:val="none"/>
          <w:lang w:val="zh-CN"/>
        </w:rPr>
        <w:t>事故发生的可能性和后果的严重性分级</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434"/>
        <w:gridCol w:w="960"/>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535" w:type="dxa"/>
            <w:gridSpan w:val="2"/>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事故发生的可能性分级</w:t>
            </w:r>
          </w:p>
        </w:tc>
        <w:tc>
          <w:tcPr>
            <w:tcW w:w="4537" w:type="dxa"/>
            <w:gridSpan w:val="2"/>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事故后果的严重性分级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01"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等级</w:t>
            </w:r>
          </w:p>
        </w:tc>
        <w:tc>
          <w:tcPr>
            <w:tcW w:w="3434"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可能性</w:t>
            </w:r>
          </w:p>
        </w:tc>
        <w:tc>
          <w:tcPr>
            <w:tcW w:w="960"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等级</w:t>
            </w:r>
          </w:p>
        </w:tc>
        <w:tc>
          <w:tcPr>
            <w:tcW w:w="3577"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严重性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A</w:t>
            </w:r>
          </w:p>
        </w:tc>
        <w:tc>
          <w:tcPr>
            <w:tcW w:w="34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基本不可能发生</w:t>
            </w:r>
          </w:p>
        </w:tc>
        <w:tc>
          <w:tcPr>
            <w:tcW w:w="96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a</w:t>
            </w:r>
          </w:p>
        </w:tc>
        <w:tc>
          <w:tcPr>
            <w:tcW w:w="3577"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轻微事故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B</w:t>
            </w:r>
          </w:p>
        </w:tc>
        <w:tc>
          <w:tcPr>
            <w:tcW w:w="34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96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b</w:t>
            </w:r>
          </w:p>
        </w:tc>
        <w:tc>
          <w:tcPr>
            <w:tcW w:w="3577"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C</w:t>
            </w:r>
          </w:p>
        </w:tc>
        <w:tc>
          <w:tcPr>
            <w:tcW w:w="34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可能发生</w:t>
            </w:r>
          </w:p>
        </w:tc>
        <w:tc>
          <w:tcPr>
            <w:tcW w:w="96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c</w:t>
            </w:r>
          </w:p>
        </w:tc>
        <w:tc>
          <w:tcPr>
            <w:tcW w:w="3577"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D</w:t>
            </w:r>
          </w:p>
        </w:tc>
        <w:tc>
          <w:tcPr>
            <w:tcW w:w="34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很可能发生</w:t>
            </w:r>
          </w:p>
        </w:tc>
        <w:tc>
          <w:tcPr>
            <w:tcW w:w="96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d</w:t>
            </w:r>
          </w:p>
        </w:tc>
        <w:tc>
          <w:tcPr>
            <w:tcW w:w="3577"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E</w:t>
            </w:r>
          </w:p>
        </w:tc>
        <w:tc>
          <w:tcPr>
            <w:tcW w:w="34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肯定发生</w:t>
            </w:r>
          </w:p>
        </w:tc>
        <w:tc>
          <w:tcPr>
            <w:tcW w:w="96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e</w:t>
            </w:r>
          </w:p>
        </w:tc>
        <w:tc>
          <w:tcPr>
            <w:tcW w:w="3577"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特别重大事故</w:t>
            </w:r>
          </w:p>
        </w:tc>
      </w:tr>
    </w:tbl>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根据事故风险分析过程中推断出的事故发生的可能性以及后果严重性，采用风险矩阵法，确定事故风险等级。风险矩阵见表A.4</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2。</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表A.4</w:t>
      </w:r>
      <w:r>
        <w:rPr>
          <w:rFonts w:ascii="方正黑体_GBK" w:eastAsia="方正黑体_GBK"/>
          <w:bCs/>
          <w:kern w:val="44"/>
          <w:sz w:val="28"/>
          <w:szCs w:val="28"/>
          <w:highlight w:val="none"/>
          <w:lang w:val="zh-CN"/>
        </w:rPr>
        <w:t>.</w:t>
      </w:r>
      <w:r>
        <w:rPr>
          <w:rFonts w:hint="eastAsia" w:ascii="方正黑体_GBK" w:eastAsia="方正黑体_GBK"/>
          <w:bCs/>
          <w:kern w:val="44"/>
          <w:sz w:val="28"/>
          <w:szCs w:val="28"/>
          <w:highlight w:val="none"/>
          <w:lang w:val="zh-CN"/>
        </w:rPr>
        <w:t>1</w:t>
      </w:r>
      <w:r>
        <w:rPr>
          <w:rFonts w:ascii="方正黑体_GBK" w:eastAsia="方正黑体_GBK"/>
          <w:bCs/>
          <w:kern w:val="44"/>
          <w:sz w:val="28"/>
          <w:szCs w:val="28"/>
          <w:highlight w:val="none"/>
          <w:lang w:val="zh-CN"/>
        </w:rPr>
        <w:t>-</w:t>
      </w:r>
      <w:r>
        <w:rPr>
          <w:rFonts w:hint="eastAsia" w:ascii="方正黑体_GBK" w:eastAsia="方正黑体_GBK"/>
          <w:bCs/>
          <w:kern w:val="44"/>
          <w:sz w:val="28"/>
          <w:szCs w:val="28"/>
          <w:highlight w:val="none"/>
          <w:lang w:val="zh-CN"/>
        </w:rPr>
        <w:t>2</w:t>
      </w:r>
      <w:r>
        <w:rPr>
          <w:rFonts w:ascii="方正黑体_GBK" w:eastAsia="方正黑体_GBK"/>
          <w:bCs/>
          <w:kern w:val="44"/>
          <w:sz w:val="28"/>
          <w:szCs w:val="28"/>
          <w:highlight w:val="none"/>
          <w:lang w:val="zh-CN"/>
        </w:rPr>
        <w:t xml:space="preserve">  </w:t>
      </w:r>
      <w:r>
        <w:rPr>
          <w:rFonts w:hint="eastAsia" w:ascii="方正黑体_GBK" w:eastAsia="方正黑体_GBK"/>
          <w:bCs/>
          <w:kern w:val="44"/>
          <w:sz w:val="28"/>
          <w:szCs w:val="28"/>
          <w:highlight w:val="none"/>
          <w:lang w:val="zh-CN"/>
        </w:rPr>
        <w:t>事故风险矩阵——事故风险等级</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044"/>
        <w:gridCol w:w="1360"/>
        <w:gridCol w:w="1323"/>
        <w:gridCol w:w="1314"/>
        <w:gridCol w:w="133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321" w:type="dxa"/>
            <w:gridSpan w:val="2"/>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风险等级</w:t>
            </w:r>
          </w:p>
        </w:tc>
        <w:tc>
          <w:tcPr>
            <w:tcW w:w="6646" w:type="dxa"/>
            <w:gridSpan w:val="5"/>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后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321" w:type="dxa"/>
            <w:gridSpan w:val="2"/>
            <w:vMerge w:val="continue"/>
            <w:vAlign w:val="center"/>
          </w:tcPr>
          <w:p>
            <w:pPr>
              <w:adjustRightInd w:val="0"/>
              <w:snapToGrid w:val="0"/>
              <w:jc w:val="center"/>
              <w:textAlignment w:val="center"/>
              <w:rPr>
                <w:rFonts w:ascii="方正仿宋_GBK" w:hAnsiTheme="minorHAnsi" w:cstheme="minorBidi"/>
                <w:b/>
                <w:sz w:val="21"/>
                <w:szCs w:val="21"/>
                <w:highlight w:val="none"/>
              </w:rPr>
            </w:pPr>
          </w:p>
        </w:tc>
        <w:tc>
          <w:tcPr>
            <w:tcW w:w="1344"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a</w:t>
            </w:r>
          </w:p>
        </w:tc>
        <w:tc>
          <w:tcPr>
            <w:tcW w:w="1308"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b</w:t>
            </w:r>
          </w:p>
        </w:tc>
        <w:tc>
          <w:tcPr>
            <w:tcW w:w="1299"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c</w:t>
            </w:r>
          </w:p>
        </w:tc>
        <w:tc>
          <w:tcPr>
            <w:tcW w:w="1321"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d</w:t>
            </w:r>
          </w:p>
        </w:tc>
        <w:tc>
          <w:tcPr>
            <w:tcW w:w="1374"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restart"/>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可能性</w:t>
            </w:r>
          </w:p>
        </w:tc>
        <w:tc>
          <w:tcPr>
            <w:tcW w:w="1032" w:type="dxa"/>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A</w:t>
            </w:r>
          </w:p>
        </w:tc>
        <w:tc>
          <w:tcPr>
            <w:tcW w:w="1344" w:type="dxa"/>
            <w:shd w:val="clear" w:color="auto" w:fill="auto"/>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308" w:type="dxa"/>
            <w:shd w:val="clear" w:color="auto" w:fill="auto"/>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299" w:type="dxa"/>
            <w:shd w:val="clear" w:color="auto" w:fill="auto"/>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321" w:type="dxa"/>
            <w:shd w:val="clear" w:color="auto" w:fill="D9D9D9"/>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74" w:type="dxa"/>
            <w:shd w:val="clear" w:color="auto" w:fill="D9D9D9"/>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continue"/>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p>
        </w:tc>
        <w:tc>
          <w:tcPr>
            <w:tcW w:w="1032" w:type="dxa"/>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B</w:t>
            </w:r>
          </w:p>
        </w:tc>
        <w:tc>
          <w:tcPr>
            <w:tcW w:w="1344" w:type="dxa"/>
            <w:shd w:val="clear" w:color="auto" w:fill="auto"/>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308" w:type="dxa"/>
            <w:shd w:val="clear" w:color="auto" w:fill="auto"/>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299" w:type="dxa"/>
            <w:shd w:val="clear" w:color="auto" w:fill="D9D9D9"/>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21" w:type="dxa"/>
            <w:shd w:val="clear" w:color="auto" w:fill="D9D9D9"/>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74" w:type="dxa"/>
            <w:tcBorders>
              <w:bottom w:val="single" w:color="auto" w:sz="4" w:space="0"/>
            </w:tcBorders>
            <w:shd w:val="clear" w:color="auto" w:fill="BFBFB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continue"/>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p>
        </w:tc>
        <w:tc>
          <w:tcPr>
            <w:tcW w:w="1032" w:type="dxa"/>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C</w:t>
            </w:r>
          </w:p>
        </w:tc>
        <w:tc>
          <w:tcPr>
            <w:tcW w:w="1344" w:type="dxa"/>
            <w:shd w:val="clear" w:color="auto" w:fill="auto"/>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308" w:type="dxa"/>
            <w:shd w:val="clear" w:color="auto" w:fill="D9D9D9"/>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299" w:type="dxa"/>
            <w:shd w:val="clear" w:color="auto" w:fill="D9D9D9"/>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21" w:type="dxa"/>
            <w:shd w:val="clear" w:color="auto" w:fill="BFBFB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374" w:type="dxa"/>
            <w:shd w:val="clear" w:color="auto" w:fill="BFBFB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continue"/>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p>
        </w:tc>
        <w:tc>
          <w:tcPr>
            <w:tcW w:w="1032" w:type="dxa"/>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D</w:t>
            </w:r>
          </w:p>
        </w:tc>
        <w:tc>
          <w:tcPr>
            <w:tcW w:w="1344" w:type="dxa"/>
            <w:shd w:val="clear" w:color="auto" w:fill="D9D9D9"/>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08" w:type="dxa"/>
            <w:shd w:val="clear" w:color="auto" w:fill="D9D9D9"/>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299" w:type="dxa"/>
            <w:shd w:val="clear" w:color="auto" w:fill="BFBFB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321" w:type="dxa"/>
            <w:shd w:val="clear" w:color="auto" w:fill="BFBFB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374" w:type="dxa"/>
            <w:shd w:val="clear" w:color="auto" w:fill="808080"/>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极高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continue"/>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p>
        </w:tc>
        <w:tc>
          <w:tcPr>
            <w:tcW w:w="1032" w:type="dxa"/>
            <w:shd w:val="clear" w:color="auto" w:fill="auto"/>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ascii="方正仿宋_GBK" w:eastAsia="方正仿宋_GBK" w:hAnsiTheme="minorHAnsi" w:cstheme="minorBidi"/>
                <w:b/>
                <w:kern w:val="2"/>
                <w:sz w:val="21"/>
                <w:szCs w:val="21"/>
                <w:highlight w:val="none"/>
              </w:rPr>
              <w:t>E</w:t>
            </w:r>
          </w:p>
        </w:tc>
        <w:tc>
          <w:tcPr>
            <w:tcW w:w="1344" w:type="dxa"/>
            <w:shd w:val="clear" w:color="auto" w:fill="D9D9D9"/>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08" w:type="dxa"/>
            <w:shd w:val="clear" w:color="auto" w:fill="BFBFB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299" w:type="dxa"/>
            <w:shd w:val="clear" w:color="auto" w:fill="BFBFBF"/>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321" w:type="dxa"/>
            <w:shd w:val="clear" w:color="auto" w:fill="808080"/>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极高</w:t>
            </w:r>
          </w:p>
        </w:tc>
        <w:tc>
          <w:tcPr>
            <w:tcW w:w="1374" w:type="dxa"/>
            <w:shd w:val="clear" w:color="auto" w:fill="808080"/>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极高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67" w:type="dxa"/>
            <w:gridSpan w:val="7"/>
            <w:vAlign w:val="center"/>
          </w:tcPr>
          <w:p>
            <w:pPr>
              <w:adjustRightInd w:val="0"/>
              <w:snapToGrid w:val="0"/>
              <w:jc w:val="center"/>
              <w:textAlignment w:val="center"/>
              <w:rPr>
                <w:rFonts w:ascii="仿宋" w:hAnsi="仿宋" w:eastAsia="仿宋" w:cs="方正仿宋_GBK"/>
                <w:color w:val="000000"/>
                <w:sz w:val="21"/>
                <w:szCs w:val="21"/>
                <w:highlight w:val="none"/>
              </w:rPr>
            </w:pPr>
            <w:r>
              <w:rPr>
                <w:rFonts w:hint="eastAsia" w:ascii="方正仿宋_GBK" w:hAnsiTheme="minorHAnsi" w:cstheme="minorBidi"/>
                <w:sz w:val="21"/>
                <w:szCs w:val="21"/>
                <w:highlight w:val="none"/>
              </w:rPr>
              <w:t>图例：</w:t>
            </w:r>
            <w:r>
              <w:rPr>
                <w:rFonts w:ascii="方正仿宋_GBK" w:hAnsiTheme="minorHAnsi" w:cstheme="minorBidi"/>
                <w:sz w:val="21"/>
                <w:szCs w:val="21"/>
                <w:highlight w:val="none"/>
              </w:rPr>
              <w:t xml:space="preserve"> </w:t>
            </w:r>
            <w:r>
              <w:rPr>
                <w:rFonts w:ascii="方正仿宋_GBK" w:hAnsiTheme="minorHAnsi" w:cstheme="minorBidi"/>
                <w:sz w:val="21"/>
                <w:szCs w:val="21"/>
                <w:highlight w:val="none"/>
              </w:rPr>
              <w:drawing>
                <wp:inline distT="0" distB="0" distL="0" distR="0">
                  <wp:extent cx="123825" cy="114300"/>
                  <wp:effectExtent l="0" t="0" r="952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123825" cy="114300"/>
                          </a:xfrm>
                          <a:prstGeom prst="rect">
                            <a:avLst/>
                          </a:prstGeom>
                          <a:noFill/>
                          <a:ln>
                            <a:noFill/>
                          </a:ln>
                        </pic:spPr>
                      </pic:pic>
                    </a:graphicData>
                  </a:graphic>
                </wp:inline>
              </w:drawing>
            </w:r>
            <w:r>
              <w:rPr>
                <w:rFonts w:hint="eastAsia" w:ascii="方正仿宋_GBK" w:hAnsiTheme="minorHAnsi" w:cstheme="minorBidi"/>
                <w:sz w:val="21"/>
                <w:szCs w:val="21"/>
                <w:highlight w:val="none"/>
              </w:rPr>
              <w:t xml:space="preserve">低风险 </w:t>
            </w:r>
            <w:r>
              <w:rPr>
                <w:rFonts w:ascii="方正仿宋_GBK" w:hAnsiTheme="minorHAnsi" w:cstheme="minorBidi"/>
                <w:sz w:val="21"/>
                <w:szCs w:val="21"/>
                <w:highlight w:val="none"/>
              </w:rPr>
              <w:t xml:space="preserve"> </w:t>
            </w:r>
            <w:r>
              <w:rPr>
                <w:rFonts w:ascii="方正仿宋_GBK" w:hAnsiTheme="minorHAnsi" w:cstheme="minorBidi"/>
                <w:sz w:val="21"/>
                <w:szCs w:val="21"/>
                <w:highlight w:val="none"/>
              </w:rPr>
              <w:object>
                <v:shape id="_x0000_i1025" o:spt="75" type="#_x0000_t75" style="height:9.75pt;width:10.5pt;" o:ole="t" filled="f" o:preferrelative="t" stroked="f" coordsize="21600,21600">
                  <v:path/>
                  <v:fill on="f" focussize="0,0"/>
                  <v:stroke on="f" joinstyle="miter"/>
                  <v:imagedata r:id="rId15" o:title=""/>
                  <o:lock v:ext="edit" aspectratio="t"/>
                  <w10:wrap type="none"/>
                  <w10:anchorlock/>
                </v:shape>
                <o:OLEObject Type="Embed" ProgID="PBrush" ShapeID="_x0000_i1025" DrawAspect="Content" ObjectID="_1468075725" r:id="rId14">
                  <o:LockedField>false</o:LockedField>
                </o:OLEObject>
              </w:object>
            </w:r>
            <w:r>
              <w:rPr>
                <w:rFonts w:hint="eastAsia" w:ascii="方正仿宋_GBK" w:hAnsiTheme="minorHAnsi" w:cstheme="minorBidi"/>
                <w:sz w:val="21"/>
                <w:szCs w:val="21"/>
                <w:highlight w:val="none"/>
              </w:rPr>
              <w:t>中风险（一般风险）</w:t>
            </w:r>
            <w:r>
              <w:rPr>
                <w:rFonts w:ascii="方正仿宋_GBK" w:hAnsiTheme="minorHAnsi" w:cstheme="minorBidi"/>
                <w:sz w:val="21"/>
                <w:szCs w:val="21"/>
                <w:highlight w:val="none"/>
              </w:rPr>
              <w:t xml:space="preserve"> </w:t>
            </w:r>
            <w:r>
              <w:rPr>
                <w:rFonts w:ascii="方正仿宋_GBK" w:hAnsiTheme="minorHAnsi" w:cstheme="minorBidi"/>
                <w:sz w:val="21"/>
                <w:szCs w:val="21"/>
                <w:highlight w:val="none"/>
              </w:rPr>
              <w:drawing>
                <wp:inline distT="0" distB="0" distL="0" distR="0">
                  <wp:extent cx="123825" cy="123825"/>
                  <wp:effectExtent l="0" t="0" r="9525" b="952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23825" cy="123825"/>
                          </a:xfrm>
                          <a:prstGeom prst="rect">
                            <a:avLst/>
                          </a:prstGeom>
                          <a:noFill/>
                          <a:ln>
                            <a:noFill/>
                          </a:ln>
                        </pic:spPr>
                      </pic:pic>
                    </a:graphicData>
                  </a:graphic>
                </wp:inline>
              </w:drawing>
            </w:r>
            <w:r>
              <w:rPr>
                <w:rFonts w:hint="eastAsia" w:ascii="方正仿宋_GBK" w:hAnsiTheme="minorHAnsi" w:cstheme="minorBidi"/>
                <w:sz w:val="21"/>
                <w:szCs w:val="21"/>
                <w:highlight w:val="none"/>
              </w:rPr>
              <w:t>高风险（较大风险）</w:t>
            </w:r>
            <w:r>
              <w:rPr>
                <w:rFonts w:ascii="方正仿宋_GBK" w:hAnsiTheme="minorHAnsi" w:cstheme="minorBidi"/>
                <w:sz w:val="21"/>
                <w:szCs w:val="21"/>
                <w:highlight w:val="none"/>
              </w:rPr>
              <w:t xml:space="preserve"> </w:t>
            </w:r>
            <w:r>
              <w:rPr>
                <w:rFonts w:ascii="方正仿宋_GBK" w:hAnsiTheme="minorHAnsi" w:cstheme="minorBidi"/>
                <w:sz w:val="21"/>
                <w:szCs w:val="21"/>
                <w:highlight w:val="none"/>
              </w:rPr>
              <w:drawing>
                <wp:inline distT="0" distB="0" distL="0" distR="0">
                  <wp:extent cx="123825" cy="123825"/>
                  <wp:effectExtent l="0" t="0" r="9525" b="952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23825" cy="123825"/>
                          </a:xfrm>
                          <a:prstGeom prst="rect">
                            <a:avLst/>
                          </a:prstGeom>
                          <a:noFill/>
                          <a:ln>
                            <a:noFill/>
                          </a:ln>
                        </pic:spPr>
                      </pic:pic>
                    </a:graphicData>
                  </a:graphic>
                </wp:inline>
              </w:drawing>
            </w:r>
            <w:r>
              <w:rPr>
                <w:rFonts w:hint="eastAsia" w:ascii="方正仿宋_GBK" w:hAnsiTheme="minorHAnsi" w:cstheme="minorBidi"/>
                <w:sz w:val="21"/>
                <w:szCs w:val="21"/>
                <w:highlight w:val="none"/>
              </w:rPr>
              <w:t>极高风险（重大风险）</w:t>
            </w:r>
          </w:p>
        </w:tc>
      </w:tr>
    </w:tbl>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根据风险矩阵表A.4</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2确定事故风险等级，低风险为可接受风险，中风险（一般风险）为需关注风险，高风险（较大风险）和极高风险（重大风险）为无法承受风险。</w:t>
      </w:r>
    </w:p>
    <w:p>
      <w:pPr>
        <w:ind w:firstLine="642" w:firstLineChars="200"/>
        <w:outlineLvl w:val="2"/>
        <w:rPr>
          <w:rFonts w:ascii="仿宋_GB2312" w:eastAsia="仿宋_GB2312" w:hAnsiTheme="minorHAnsi" w:cstheme="minorBidi"/>
          <w:b/>
          <w:bCs/>
          <w:highlight w:val="none"/>
        </w:rPr>
      </w:pPr>
      <w:bookmarkStart w:id="336" w:name="_Toc139471336"/>
      <w:r>
        <w:rPr>
          <w:rFonts w:hint="eastAsia" w:ascii="仿宋_GB2312" w:eastAsia="仿宋_GB2312" w:hAnsiTheme="minorHAnsi" w:cstheme="minorBidi"/>
          <w:b/>
          <w:bCs/>
          <w:highlight w:val="none"/>
        </w:rPr>
        <w:t>A.4.2 事故风险评估</w:t>
      </w:r>
      <w:bookmarkEnd w:id="336"/>
    </w:p>
    <w:p>
      <w:pPr>
        <w:keepNext/>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表A.4.2-1  事故风险评估一览表</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602"/>
        <w:gridCol w:w="1445"/>
        <w:gridCol w:w="495"/>
        <w:gridCol w:w="494"/>
        <w:gridCol w:w="456"/>
        <w:gridCol w:w="397"/>
        <w:gridCol w:w="397"/>
        <w:gridCol w:w="399"/>
        <w:gridCol w:w="456"/>
        <w:gridCol w:w="465"/>
        <w:gridCol w:w="572"/>
        <w:gridCol w:w="456"/>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8" w:type="dxa"/>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序号</w:t>
            </w:r>
          </w:p>
        </w:tc>
        <w:tc>
          <w:tcPr>
            <w:tcW w:w="1602" w:type="dxa"/>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风险单元</w:t>
            </w:r>
          </w:p>
        </w:tc>
        <w:tc>
          <w:tcPr>
            <w:tcW w:w="1445" w:type="dxa"/>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事故风险</w:t>
            </w:r>
          </w:p>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类型</w:t>
            </w:r>
          </w:p>
        </w:tc>
        <w:tc>
          <w:tcPr>
            <w:tcW w:w="2239" w:type="dxa"/>
            <w:gridSpan w:val="5"/>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事故发生可能性</w:t>
            </w:r>
          </w:p>
        </w:tc>
        <w:tc>
          <w:tcPr>
            <w:tcW w:w="2348" w:type="dxa"/>
            <w:gridSpan w:val="5"/>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事故后果严重性</w:t>
            </w:r>
          </w:p>
        </w:tc>
        <w:tc>
          <w:tcPr>
            <w:tcW w:w="940" w:type="dxa"/>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风险</w:t>
            </w:r>
          </w:p>
          <w:p>
            <w:pPr>
              <w:adjustRightInd w:val="0"/>
              <w:snapToGrid w:val="0"/>
              <w:jc w:val="center"/>
              <w:textAlignment w:val="center"/>
              <w:rPr>
                <w:rFonts w:ascii="仿宋" w:hAnsi="仿宋" w:eastAsia="仿宋" w:cs="方正仿宋_GBK"/>
                <w:b/>
                <w:highlight w:val="none"/>
              </w:rPr>
            </w:pPr>
            <w:r>
              <w:rPr>
                <w:rFonts w:hint="eastAsia" w:ascii="方正仿宋_GBK" w:hAnsiTheme="minorHAnsi" w:cstheme="minorBidi"/>
                <w:b/>
                <w:sz w:val="21"/>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8" w:type="dxa"/>
            <w:vMerge w:val="continue"/>
          </w:tcPr>
          <w:p>
            <w:pPr>
              <w:adjustRightInd w:val="0"/>
              <w:snapToGrid w:val="0"/>
              <w:jc w:val="center"/>
              <w:textAlignment w:val="center"/>
              <w:rPr>
                <w:rFonts w:ascii="方正仿宋_GBK" w:hAnsiTheme="minorHAnsi" w:cstheme="minorBidi"/>
                <w:b/>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b/>
                <w:sz w:val="21"/>
                <w:szCs w:val="21"/>
                <w:highlight w:val="none"/>
              </w:rPr>
            </w:pPr>
          </w:p>
        </w:tc>
        <w:tc>
          <w:tcPr>
            <w:tcW w:w="1445" w:type="dxa"/>
            <w:vMerge w:val="continue"/>
            <w:vAlign w:val="center"/>
          </w:tcPr>
          <w:p>
            <w:pPr>
              <w:adjustRightInd w:val="0"/>
              <w:snapToGrid w:val="0"/>
              <w:jc w:val="center"/>
              <w:textAlignment w:val="center"/>
              <w:rPr>
                <w:rFonts w:ascii="方正仿宋_GBK" w:hAnsiTheme="minorHAnsi" w:cstheme="minorBidi"/>
                <w:b/>
                <w:sz w:val="21"/>
                <w:szCs w:val="21"/>
                <w:highlight w:val="none"/>
              </w:rPr>
            </w:pPr>
          </w:p>
        </w:tc>
        <w:tc>
          <w:tcPr>
            <w:tcW w:w="49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A</w:t>
            </w:r>
          </w:p>
        </w:tc>
        <w:tc>
          <w:tcPr>
            <w:tcW w:w="494"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B</w:t>
            </w: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C</w:t>
            </w: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D</w:t>
            </w: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E</w:t>
            </w:r>
          </w:p>
        </w:tc>
        <w:tc>
          <w:tcPr>
            <w:tcW w:w="399"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a</w:t>
            </w: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b</w:t>
            </w:r>
          </w:p>
        </w:tc>
        <w:tc>
          <w:tcPr>
            <w:tcW w:w="46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c</w:t>
            </w:r>
          </w:p>
        </w:tc>
        <w:tc>
          <w:tcPr>
            <w:tcW w:w="572"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d</w:t>
            </w: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e</w:t>
            </w:r>
          </w:p>
        </w:tc>
        <w:tc>
          <w:tcPr>
            <w:tcW w:w="940" w:type="dxa"/>
            <w:vMerge w:val="continue"/>
            <w:vAlign w:val="center"/>
          </w:tcPr>
          <w:p>
            <w:pPr>
              <w:tabs>
                <w:tab w:val="left" w:leader="middleDot" w:pos="7560"/>
              </w:tabs>
              <w:topLinePunct/>
              <w:adjustRightInd w:val="0"/>
              <w:snapToGrid w:val="0"/>
              <w:spacing w:line="320" w:lineRule="exact"/>
              <w:jc w:val="center"/>
              <w:rPr>
                <w:rFonts w:ascii="仿宋" w:hAnsi="仿宋" w:eastAsia="仿宋" w:cs="方正仿宋_GBK"/>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1602"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液化石油气、二甲醚充装站、民用醇基燃料分装站</w:t>
            </w:r>
          </w:p>
        </w:tc>
        <w:tc>
          <w:tcPr>
            <w:tcW w:w="144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泄漏</w:t>
            </w:r>
          </w:p>
        </w:tc>
        <w:tc>
          <w:tcPr>
            <w:tcW w:w="49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94"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9"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6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572"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940"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ascii="方正仿宋_GBK" w:eastAsia="方正仿宋_GBK" w:hAnsiTheme="minorHAnsi" w:cstheme="minorBidi"/>
                <w:kern w:val="2"/>
                <w:sz w:val="21"/>
                <w:szCs w:val="21"/>
                <w:highlight w:val="none"/>
              </w:rPr>
              <w:t>火灾、爆炸</w:t>
            </w:r>
          </w:p>
        </w:tc>
        <w:tc>
          <w:tcPr>
            <w:tcW w:w="49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94"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9"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6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572"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940"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ascii="方正仿宋_GBK" w:eastAsia="方正仿宋_GBK" w:hAnsiTheme="minorHAnsi" w:cstheme="minorBidi"/>
                <w:kern w:val="2"/>
                <w:sz w:val="21"/>
                <w:szCs w:val="21"/>
                <w:highlight w:val="none"/>
              </w:rPr>
              <w:t>中毒和窒息</w:t>
            </w:r>
          </w:p>
        </w:tc>
        <w:tc>
          <w:tcPr>
            <w:tcW w:w="49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94"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9"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6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572"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940"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1602"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液化石油气、二甲醚、醇基燃料用户户内</w:t>
            </w:r>
          </w:p>
        </w:tc>
        <w:tc>
          <w:tcPr>
            <w:tcW w:w="144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泄漏</w:t>
            </w:r>
          </w:p>
        </w:tc>
        <w:tc>
          <w:tcPr>
            <w:tcW w:w="49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94"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9"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6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572"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940"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144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火灾、爆炸</w:t>
            </w:r>
          </w:p>
        </w:tc>
        <w:tc>
          <w:tcPr>
            <w:tcW w:w="49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94"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9"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6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572"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940"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144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ascii="方正仿宋_GBK" w:eastAsia="方正仿宋_GBK" w:hAnsiTheme="minorHAnsi" w:cstheme="minorBidi"/>
                <w:kern w:val="2"/>
                <w:sz w:val="21"/>
                <w:szCs w:val="21"/>
                <w:highlight w:val="none"/>
              </w:rPr>
              <w:t>中毒</w:t>
            </w:r>
          </w:p>
        </w:tc>
        <w:tc>
          <w:tcPr>
            <w:tcW w:w="49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94"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7"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399"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65"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w:t>
            </w:r>
          </w:p>
        </w:tc>
        <w:tc>
          <w:tcPr>
            <w:tcW w:w="572"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456"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p>
        </w:tc>
        <w:tc>
          <w:tcPr>
            <w:tcW w:w="940" w:type="dxa"/>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中风险</w:t>
            </w:r>
          </w:p>
        </w:tc>
      </w:tr>
    </w:tbl>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337" w:name="_Toc148104630"/>
      <w:bookmarkStart w:id="338" w:name="_Toc139471337"/>
      <w:r>
        <w:rPr>
          <w:rFonts w:hint="eastAsia" w:ascii="方正楷体_GBK" w:hAnsi="方正楷体_GBK" w:eastAsia="方正楷体_GBK" w:cs="方正楷体_GBK"/>
          <w:b w:val="0"/>
          <w:bCs w:val="0"/>
          <w:highlight w:val="none"/>
        </w:rPr>
        <w:t>A.5</w:t>
      </w:r>
      <w:r>
        <w:rPr>
          <w:rFonts w:ascii="方正楷体_GBK" w:hAnsi="方正楷体_GBK" w:eastAsia="方正楷体_GBK" w:cs="方正楷体_GBK"/>
          <w:b w:val="0"/>
          <w:bCs w:val="0"/>
          <w:highlight w:val="none"/>
        </w:rPr>
        <w:t xml:space="preserve">  </w:t>
      </w:r>
      <w:r>
        <w:rPr>
          <w:rFonts w:hint="eastAsia" w:ascii="方正楷体_GBK" w:hAnsi="方正楷体_GBK" w:eastAsia="方正楷体_GBK" w:cs="方正楷体_GBK"/>
          <w:b w:val="0"/>
          <w:bCs w:val="0"/>
          <w:highlight w:val="none"/>
        </w:rPr>
        <w:t>结论与建议</w:t>
      </w:r>
      <w:bookmarkEnd w:id="337"/>
      <w:bookmarkEnd w:id="338"/>
    </w:p>
    <w:bookmarkEnd w:id="327"/>
    <w:bookmarkEnd w:id="328"/>
    <w:bookmarkEnd w:id="329"/>
    <w:bookmarkEnd w:id="330"/>
    <w:bookmarkEnd w:id="331"/>
    <w:p>
      <w:pPr>
        <w:ind w:firstLine="642" w:firstLineChars="200"/>
        <w:outlineLvl w:val="2"/>
        <w:rPr>
          <w:rFonts w:ascii="仿宋_GB2312" w:eastAsia="仿宋_GB2312" w:hAnsiTheme="minorHAnsi" w:cstheme="minorBidi"/>
          <w:b/>
          <w:bCs/>
          <w:highlight w:val="none"/>
        </w:rPr>
      </w:pPr>
      <w:bookmarkStart w:id="339" w:name="_Toc139471338"/>
      <w:r>
        <w:rPr>
          <w:rFonts w:ascii="仿宋_GB2312" w:eastAsia="仿宋_GB2312" w:hAnsiTheme="minorHAnsi" w:cstheme="minorBidi"/>
          <w:b/>
          <w:bCs/>
          <w:highlight w:val="none"/>
        </w:rPr>
        <w:t>A.</w:t>
      </w:r>
      <w:r>
        <w:rPr>
          <w:rFonts w:hint="eastAsia" w:ascii="仿宋_GB2312" w:eastAsia="仿宋_GB2312" w:hAnsiTheme="minorHAnsi" w:cstheme="minorBidi"/>
          <w:b/>
          <w:bCs/>
          <w:highlight w:val="none"/>
        </w:rPr>
        <w:t>5.1 风险评估结论</w:t>
      </w:r>
      <w:bookmarkEnd w:id="339"/>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综上所述，通过对永川区液化石油气、二甲醚、醇基燃料事故风险的辨识分析及可能导致事故的风险评估，得出结论如下：</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液化石油气、二甲醚充装站、民用醇基燃料分装站发生泄漏导致的火灾、爆炸事故风险为高风险；液化石油气、二甲醚、醇基燃料用户户内因发生液化石油气、二甲醚充装站、民用醇基燃料泄漏导致火灾、爆炸事故风险为高风险。</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（2）液化石油气、二甲醚、醇基燃料用户户内发生液化石油气、二甲醚充装站、民用醇基燃料泄漏事故，以及导致的中毒事故风险为中风险。</w:t>
      </w:r>
    </w:p>
    <w:p>
      <w:pPr>
        <w:ind w:firstLine="642" w:firstLineChars="200"/>
        <w:outlineLvl w:val="2"/>
        <w:rPr>
          <w:rFonts w:ascii="仿宋_GB2312" w:eastAsia="仿宋_GB2312" w:hAnsiTheme="minorHAnsi" w:cstheme="minorBidi"/>
          <w:b/>
          <w:bCs/>
          <w:highlight w:val="none"/>
        </w:rPr>
      </w:pPr>
      <w:bookmarkStart w:id="340" w:name="_Toc139471339"/>
      <w:r>
        <w:rPr>
          <w:rFonts w:ascii="仿宋_GB2312" w:eastAsia="仿宋_GB2312" w:hAnsiTheme="minorHAnsi" w:cstheme="minorBidi"/>
          <w:b/>
          <w:bCs/>
          <w:highlight w:val="none"/>
        </w:rPr>
        <w:t>A.</w:t>
      </w:r>
      <w:r>
        <w:rPr>
          <w:rFonts w:hint="eastAsia" w:ascii="仿宋_GB2312" w:eastAsia="仿宋_GB2312" w:hAnsiTheme="minorHAnsi" w:cstheme="minorBidi"/>
          <w:b/>
          <w:bCs/>
          <w:highlight w:val="none"/>
        </w:rPr>
        <w:t>5.2 建议</w:t>
      </w:r>
      <w:bookmarkEnd w:id="340"/>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（1）根据风险评估结论，全面调查永川区范围内部可匹配的应急资源和外部可调用的应急资源，并客观进行应急资源差距分析和保障能力评估，提出拟补充的应急资源。</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（2）根据风险评估和应急资源调查报告，编制永川区液化石油气、二甲醚、醇基燃料事故应急预案，突出针对性和可操作性。</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sectPr>
          <w:pgSz w:w="11906" w:h="16838"/>
          <w:pgMar w:top="1418" w:right="1418" w:bottom="1418" w:left="1418" w:header="680" w:footer="680" w:gutter="0"/>
          <w:pgNumType w:fmt="decimal"/>
          <w:cols w:space="720" w:num="1"/>
          <w:docGrid w:type="lines" w:linePitch="321" w:charSpace="0"/>
        </w:sectPr>
      </w:pP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341" w:name="_Toc148104631"/>
      <w:r>
        <w:rPr>
          <w:rFonts w:hint="eastAsia" w:ascii="方正黑体_GBK" w:eastAsia="方正黑体_GBK"/>
          <w:bCs/>
          <w:szCs w:val="32"/>
          <w:highlight w:val="none"/>
          <w:lang w:val="zh-CN"/>
        </w:rPr>
        <w:t>附录B  重庆市永川区液化石油气、二甲醚、醇基燃料事故应急资源调查报告</w:t>
      </w:r>
      <w:bookmarkEnd w:id="341"/>
    </w:p>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342" w:name="_Toc16774960"/>
      <w:bookmarkStart w:id="343" w:name="_Toc121492451"/>
      <w:bookmarkStart w:id="344" w:name="_Toc148104632"/>
      <w:bookmarkStart w:id="345" w:name="_Toc471853243"/>
      <w:bookmarkStart w:id="346" w:name="_Toc272416054"/>
      <w:bookmarkStart w:id="347" w:name="_Toc471420230"/>
      <w:bookmarkStart w:id="348" w:name="_Toc182625051"/>
      <w:bookmarkStart w:id="349" w:name="_Toc187718301"/>
      <w:r>
        <w:rPr>
          <w:rFonts w:hint="eastAsia" w:ascii="方正楷体_GBK" w:hAnsi="方正楷体_GBK" w:eastAsia="方正楷体_GBK" w:cs="方正楷体_GBK"/>
          <w:b w:val="0"/>
          <w:bCs w:val="0"/>
          <w:highlight w:val="none"/>
        </w:rPr>
        <w:t xml:space="preserve">B.1  </w:t>
      </w:r>
      <w:bookmarkEnd w:id="342"/>
      <w:r>
        <w:rPr>
          <w:rFonts w:hint="eastAsia" w:ascii="方正楷体_GBK" w:hAnsi="方正楷体_GBK" w:eastAsia="方正楷体_GBK" w:cs="方正楷体_GBK"/>
          <w:b w:val="0"/>
          <w:bCs w:val="0"/>
          <w:highlight w:val="none"/>
        </w:rPr>
        <w:t>内部应急资源</w:t>
      </w:r>
      <w:bookmarkEnd w:id="343"/>
      <w:bookmarkEnd w:id="344"/>
    </w:p>
    <w:p>
      <w:pPr>
        <w:ind w:firstLine="642" w:firstLineChars="200"/>
        <w:outlineLvl w:val="2"/>
        <w:rPr>
          <w:rFonts w:ascii="仿宋_GB2312" w:eastAsia="仿宋_GB2312" w:hAnsiTheme="minorHAnsi" w:cstheme="minorBidi"/>
          <w:b/>
          <w:bCs/>
          <w:highlight w:val="none"/>
        </w:rPr>
      </w:pPr>
      <w:bookmarkStart w:id="350" w:name="_Toc67473143"/>
      <w:bookmarkStart w:id="351" w:name="_Toc121492452"/>
      <w:bookmarkStart w:id="352" w:name="_Toc67173607"/>
      <w:r>
        <w:rPr>
          <w:rFonts w:hint="eastAsia" w:ascii="仿宋_GB2312" w:eastAsia="仿宋_GB2312" w:hAnsiTheme="minorHAnsi" w:cstheme="minorBidi"/>
          <w:b/>
          <w:bCs/>
          <w:highlight w:val="none"/>
        </w:rPr>
        <w:t>B.1</w:t>
      </w:r>
      <w:r>
        <w:rPr>
          <w:rFonts w:ascii="仿宋_GB2312" w:eastAsia="仿宋_GB2312" w:hAnsiTheme="minorHAnsi" w:cstheme="minorBidi"/>
          <w:b/>
          <w:bCs/>
          <w:highlight w:val="none"/>
        </w:rPr>
        <w:t xml:space="preserve">.1 </w:t>
      </w:r>
      <w:r>
        <w:rPr>
          <w:rFonts w:hint="eastAsia" w:ascii="仿宋_GB2312" w:eastAsia="仿宋_GB2312" w:hAnsiTheme="minorHAnsi" w:cstheme="minorBidi"/>
          <w:b/>
          <w:bCs/>
          <w:highlight w:val="none"/>
        </w:rPr>
        <w:t>人力保障资源</w:t>
      </w:r>
      <w:bookmarkEnd w:id="350"/>
      <w:bookmarkEnd w:id="351"/>
      <w:bookmarkEnd w:id="352"/>
    </w:p>
    <w:p>
      <w:pPr>
        <w:pStyle w:val="15"/>
        <w:widowControl w:val="0"/>
        <w:spacing w:before="0" w:beforeAutospacing="0" w:after="0" w:afterAutospacing="0"/>
        <w:ind w:firstLine="640" w:firstLineChars="200"/>
        <w:rPr>
          <w:rFonts w:ascii="方正仿宋_GBK" w:hAnsi="Arial" w:eastAsia="方正仿宋_GBK" w:cs="Times New Roman"/>
          <w:b/>
          <w:sz w:val="32"/>
          <w:szCs w:val="32"/>
          <w:highlight w:val="none"/>
        </w:rPr>
      </w:pPr>
      <w:bookmarkStart w:id="353" w:name="_Toc513756881"/>
      <w:bookmarkStart w:id="354" w:name="_Toc26956261"/>
      <w:bookmarkStart w:id="355" w:name="_Toc52286596"/>
      <w:r>
        <w:rPr>
          <w:rFonts w:hint="eastAsia" w:ascii="方正仿宋_GBK" w:hAnsi="Arial" w:eastAsia="方正仿宋_GBK" w:cs="Times New Roman"/>
          <w:sz w:val="32"/>
          <w:szCs w:val="32"/>
          <w:highlight w:val="none"/>
        </w:rPr>
        <w:t>（1）应急组织指挥机构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在区政府的统一领导下，成立永川区液化石油气、二甲醚、醇基燃料事故应急指挥部（以下简称“区城镇燃气应急指挥部”），指挥长由区政府分管副区长担任，副指挥长由区经济和信息化委员会（以下简称“区经济信息委”）主任、区应急管理局局长担任，统一领导和组织液化石油气、二甲醚、醇基燃料事故的应急处置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区城镇燃气应急指挥部下设指挥部办公室，办公室设在区经济信息委，由区经济信息委主任兼任办公室主任。</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成员由区委宣传部、区经济信息委、区住房和城乡建设委、区发展和改革委、区应急管理局、区交通局、区城市管理局、区生态环境局、区市场监管局、区商务委、区公安局、区卫生健康委、区民政局、区财政局、区人力社保局、区规划自然资源局、区气象局、区总工会、区消防救援支队、属地人民政府、街道办事处，以及液化石油气、二甲醚、醇基燃料经营单位等负责人担任。</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（2）现场指挥机构</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应急状态下，区城镇燃气应急指挥部根据事故现场处置需要设置现场指挥部，现场指挥部指挥长由区城镇燃气应急指挥部指挥长担任或指定。发生一般和较大事故的，现场指挥部组织开展事故应急救援工作。发生重大和特别重大事故的，现场指挥部在市委、市政府领导下，开展事故先期处置工作，在市级指挥机构到达现场后，配合市级指挥机构参与应急救援工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现场应急指挥部下设综合协调组、抢险救援组、医疗救援组、秩序维护组、舆论引导组、后勤保障组、善后工作组、事故调查组等工作组。参与现场应急处置的单位和人员，应当服从现场应急指挥部的统一指挥。永川区城镇燃气事故应急指挥机构见图B.1.1-</w:t>
      </w:r>
      <w:r>
        <w:rPr>
          <w:rFonts w:ascii="方正仿宋_GBK" w:hAnsi="Arial" w:eastAsia="方正仿宋_GBK" w:cs="Times New Roman"/>
          <w:sz w:val="32"/>
          <w:szCs w:val="32"/>
          <w:highlight w:val="none"/>
        </w:rPr>
        <w:t>1</w:t>
      </w:r>
      <w:r>
        <w:rPr>
          <w:rFonts w:hint="eastAsia" w:ascii="方正仿宋_GBK" w:hAnsi="Arial" w:eastAsia="方正仿宋_GBK" w:cs="Times New Roman"/>
          <w:sz w:val="32"/>
          <w:szCs w:val="32"/>
          <w:highlight w:val="none"/>
        </w:rPr>
        <w:t>。</w:t>
      </w:r>
    </w:p>
    <w:p>
      <w:pPr>
        <w:adjustRightInd w:val="0"/>
        <w:snapToGrid w:val="0"/>
        <w:ind w:firstLine="560" w:firstLineChars="200"/>
        <w:jc w:val="center"/>
        <w:rPr>
          <w:rFonts w:ascii="方正黑体_GBK" w:eastAsia="方正黑体_GBK"/>
          <w:bCs/>
          <w:kern w:val="44"/>
          <w:sz w:val="28"/>
          <w:szCs w:val="28"/>
          <w:highlight w:val="none"/>
          <w:lang w:val="zh-CN"/>
        </w:rPr>
      </w:pPr>
      <w:r>
        <w:rPr>
          <w:rFonts w:ascii="仿宋" w:hAnsi="仿宋" w:eastAsia="仿宋" w:cs="方正仿宋_GBK"/>
          <w:sz w:val="28"/>
          <w:szCs w:val="28"/>
          <w:highlight w:val="none"/>
        </w:rPr>
        <w:drawing>
          <wp:inline distT="0" distB="0" distL="0" distR="0">
            <wp:extent cx="5516245" cy="2118995"/>
            <wp:effectExtent l="0" t="0" r="8255"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5516245" cy="2118995"/>
                    </a:xfrm>
                    <a:prstGeom prst="rect">
                      <a:avLst/>
                    </a:prstGeom>
                    <a:noFill/>
                  </pic:spPr>
                </pic:pic>
              </a:graphicData>
            </a:graphic>
          </wp:inline>
        </w:drawing>
      </w:r>
      <w:r>
        <w:rPr>
          <w:rFonts w:hint="eastAsia" w:ascii="方正黑体_GBK" w:eastAsia="方正黑体_GBK"/>
          <w:bCs/>
          <w:kern w:val="44"/>
          <w:sz w:val="28"/>
          <w:szCs w:val="28"/>
          <w:highlight w:val="none"/>
          <w:lang w:val="zh-CN"/>
        </w:rPr>
        <w:t>图B.1.1-</w:t>
      </w:r>
      <w:r>
        <w:rPr>
          <w:rFonts w:ascii="方正黑体_GBK" w:eastAsia="方正黑体_GBK"/>
          <w:bCs/>
          <w:kern w:val="44"/>
          <w:sz w:val="28"/>
          <w:szCs w:val="28"/>
          <w:highlight w:val="none"/>
          <w:lang w:val="zh-CN"/>
        </w:rPr>
        <w:t xml:space="preserve">1  </w:t>
      </w:r>
      <w:r>
        <w:rPr>
          <w:rFonts w:hint="eastAsia" w:ascii="方正黑体_GBK" w:eastAsia="方正黑体_GBK"/>
          <w:bCs/>
          <w:kern w:val="44"/>
          <w:sz w:val="28"/>
          <w:szCs w:val="28"/>
          <w:highlight w:val="none"/>
          <w:lang w:val="zh-CN"/>
        </w:rPr>
        <w:t>永川区液化石油气、二甲醚、醇基燃料事故</w:t>
      </w:r>
    </w:p>
    <w:p>
      <w:pPr>
        <w:adjustRightInd w:val="0"/>
        <w:snapToGrid w:val="0"/>
        <w:ind w:firstLine="560" w:firstLineChars="200"/>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应急组织机构框图</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（3）应急培训</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镇人民政府、街道办事处、区政府有关部门和有关单位有计划、有针对性地开展城镇燃气管理、安全法律法规、自救及互救、应急避险常识的宣传，督促有关企事业单位履行城镇燃气安全教育和培训的法定义务，提升社会公众应急防范意识。</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督促辖区内液化石油气、二甲醚、醇基燃料经营企业落实企业安全主体责任，建立健全事故应急管理培训制度，组织本部门、本行业、本单位人员开展应急抢险业务培训，熟悉应急处置程序，做好各项应急准备工作，提高应对事故的决策和处置能力。</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（4）应急演练</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办公室至少每3年组织有关部门、单位，以及城镇燃气经营企业开展1次城镇燃气事故应急演练。应急演练结束后，要对演练过程、效果、经验和存在问题认真总结和评估，并根据需要对应急预案进行修订和完善。</w:t>
      </w:r>
    </w:p>
    <w:p>
      <w:pPr>
        <w:ind w:firstLine="642" w:firstLineChars="200"/>
        <w:outlineLvl w:val="2"/>
        <w:rPr>
          <w:rFonts w:ascii="仿宋_GB2312" w:eastAsia="仿宋_GB2312" w:hAnsiTheme="minorHAnsi" w:cstheme="minorBidi"/>
          <w:b/>
          <w:bCs/>
          <w:highlight w:val="none"/>
        </w:rPr>
      </w:pPr>
      <w:bookmarkStart w:id="356" w:name="_Toc67473144"/>
      <w:bookmarkStart w:id="357" w:name="_Toc121492453"/>
      <w:bookmarkStart w:id="358" w:name="_Toc67173608"/>
      <w:r>
        <w:rPr>
          <w:rFonts w:hint="eastAsia" w:ascii="仿宋_GB2312" w:eastAsia="仿宋_GB2312" w:hAnsiTheme="minorHAnsi" w:cstheme="minorBidi"/>
          <w:b/>
          <w:bCs/>
          <w:highlight w:val="none"/>
        </w:rPr>
        <w:t>B.1</w:t>
      </w:r>
      <w:r>
        <w:rPr>
          <w:rFonts w:ascii="仿宋_GB2312" w:eastAsia="仿宋_GB2312" w:hAnsiTheme="minorHAnsi" w:cstheme="minorBidi"/>
          <w:b/>
          <w:bCs/>
          <w:highlight w:val="none"/>
        </w:rPr>
        <w:t>.2 资金保障资源</w:t>
      </w:r>
      <w:bookmarkEnd w:id="356"/>
      <w:bookmarkEnd w:id="357"/>
      <w:bookmarkEnd w:id="358"/>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突发事件应急处置所需经费，由区城镇燃气应急指挥部或相关责任单位提出，按“三重一大”程序经区委、区政府批准，由区财政局提供资金保障。</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液化石油气、二甲醚、醇基燃料经营单位要根据国家有关规定安排应急专项资金，确保应急处置的资金需要。</w:t>
      </w:r>
    </w:p>
    <w:p>
      <w:pPr>
        <w:ind w:firstLine="642" w:firstLineChars="200"/>
        <w:outlineLvl w:val="2"/>
        <w:rPr>
          <w:rFonts w:ascii="仿宋_GB2312" w:eastAsia="仿宋_GB2312" w:hAnsiTheme="minorHAnsi" w:cstheme="minorBidi"/>
          <w:b/>
          <w:bCs/>
          <w:highlight w:val="none"/>
        </w:rPr>
      </w:pPr>
      <w:bookmarkStart w:id="359" w:name="_Toc121492454"/>
      <w:r>
        <w:rPr>
          <w:rFonts w:hint="eastAsia" w:ascii="仿宋_GB2312" w:eastAsia="仿宋_GB2312" w:hAnsiTheme="minorHAnsi" w:cstheme="minorBidi"/>
          <w:b/>
          <w:bCs/>
          <w:highlight w:val="none"/>
        </w:rPr>
        <w:t>B.1.3 应急装备及物资</w:t>
      </w:r>
      <w:bookmarkEnd w:id="353"/>
      <w:bookmarkEnd w:id="354"/>
      <w:bookmarkEnd w:id="355"/>
      <w:bookmarkEnd w:id="359"/>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bookmarkStart w:id="360" w:name="_Toc67473147"/>
      <w:bookmarkStart w:id="361" w:name="_Toc67173611"/>
      <w:r>
        <w:rPr>
          <w:rFonts w:hint="eastAsia" w:ascii="方正仿宋_GBK" w:hAnsi="Arial" w:eastAsia="方正仿宋_GBK" w:cs="Times New Roman"/>
          <w:sz w:val="32"/>
          <w:szCs w:val="32"/>
          <w:highlight w:val="none"/>
        </w:rPr>
        <w:t>本区城镇燃气事故应急救援装备及物资主要依托城镇燃气经营单位，以及区属国有燃气公司应急保障队伍及应急设备、器材等。</w:t>
      </w:r>
    </w:p>
    <w:p>
      <w:pPr>
        <w:ind w:firstLine="642" w:firstLineChars="200"/>
        <w:outlineLvl w:val="2"/>
        <w:rPr>
          <w:rFonts w:ascii="仿宋_GB2312" w:eastAsia="仿宋_GB2312" w:hAnsiTheme="minorHAnsi" w:cstheme="minorBidi"/>
          <w:b/>
          <w:bCs/>
          <w:highlight w:val="none"/>
        </w:rPr>
      </w:pPr>
      <w:bookmarkStart w:id="362" w:name="_Toc121492455"/>
      <w:r>
        <w:rPr>
          <w:rFonts w:hint="eastAsia" w:ascii="仿宋_GB2312" w:eastAsia="仿宋_GB2312" w:hAnsiTheme="minorHAnsi" w:cstheme="minorBidi"/>
          <w:b/>
          <w:bCs/>
          <w:highlight w:val="none"/>
        </w:rPr>
        <w:t>B.1.</w:t>
      </w:r>
      <w:bookmarkStart w:id="363" w:name="_Toc103066918"/>
      <w:r>
        <w:rPr>
          <w:rFonts w:hint="eastAsia" w:ascii="仿宋_GB2312" w:eastAsia="仿宋_GB2312" w:hAnsiTheme="minorHAnsi" w:cstheme="minorBidi"/>
          <w:b/>
          <w:bCs/>
          <w:highlight w:val="none"/>
        </w:rPr>
        <w:t>4</w:t>
      </w:r>
      <w:r>
        <w:rPr>
          <w:rFonts w:ascii="仿宋_GB2312" w:eastAsia="仿宋_GB2312" w:hAnsiTheme="minorHAnsi" w:cstheme="minorBidi"/>
          <w:b/>
          <w:bCs/>
          <w:highlight w:val="none"/>
        </w:rPr>
        <w:t xml:space="preserve"> 应急队伍保障</w:t>
      </w:r>
      <w:bookmarkEnd w:id="362"/>
      <w:bookmarkEnd w:id="363"/>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液化石油气、二甲醚、醇基燃料经营单位专业应急救援队伍是应急救援工作的基础力量，应按照有关规定配备人员、装备，开展培训、演练；各成员单位应急救援队伍是事故救援的重要支援力量和补充力量，应合理确定队伍规模，加强日常训练和演练，提高应急响应和处置能力；区城镇燃气应急指挥部办公室应加强对液化石油气、二甲醚、醇基燃料经营单位应急救援队伍的监督检查，促使其保持战斗力，在应急响应时统一协调指挥调配应急救援队伍。</w:t>
      </w:r>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部门和有关单位要充分利用现有的技术专家资源和技术装备资源，依托市经济信息委组建的市城镇燃气事故抢险救援专家库和市应急管理局组建的市应急管理专家库、市安全生产应急救援专家库等技术专家队伍，提供在应急状态下的技术支持、科学施救。</w:t>
      </w:r>
    </w:p>
    <w:bookmarkEnd w:id="345"/>
    <w:bookmarkEnd w:id="360"/>
    <w:bookmarkEnd w:id="361"/>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bookmarkStart w:id="364" w:name="_Toc148104633"/>
      <w:bookmarkStart w:id="365" w:name="_Toc121492456"/>
      <w:bookmarkStart w:id="366" w:name="_Toc16774967"/>
      <w:r>
        <w:rPr>
          <w:rFonts w:hint="eastAsia" w:ascii="方正楷体_GBK" w:hAnsi="方正楷体_GBK" w:eastAsia="方正楷体_GBK" w:cs="方正楷体_GBK"/>
          <w:b w:val="0"/>
          <w:bCs w:val="0"/>
          <w:highlight w:val="none"/>
        </w:rPr>
        <w:t>B.2  相关应急资源</w:t>
      </w:r>
      <w:bookmarkEnd w:id="364"/>
      <w:bookmarkEnd w:id="365"/>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表B.2-1</w:t>
      </w:r>
      <w:r>
        <w:rPr>
          <w:rFonts w:ascii="方正黑体_GBK" w:eastAsia="方正黑体_GBK"/>
          <w:bCs/>
          <w:kern w:val="44"/>
          <w:sz w:val="28"/>
          <w:szCs w:val="28"/>
          <w:highlight w:val="none"/>
          <w:lang w:val="zh-CN"/>
        </w:rPr>
        <w:t xml:space="preserve">  </w:t>
      </w:r>
      <w:r>
        <w:rPr>
          <w:rFonts w:hint="eastAsia" w:ascii="方正黑体_GBK" w:eastAsia="方正黑体_GBK"/>
          <w:bCs/>
          <w:kern w:val="44"/>
          <w:sz w:val="28"/>
          <w:szCs w:val="28"/>
          <w:highlight w:val="none"/>
          <w:lang w:val="zh-CN"/>
        </w:rPr>
        <w:t>相关单位应急资源一览表</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305"/>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91" w:type="dxa"/>
            <w:vAlign w:val="center"/>
          </w:tcPr>
          <w:p>
            <w:pPr>
              <w:adjustRightInd w:val="0"/>
              <w:snapToGrid w:val="0"/>
              <w:jc w:val="center"/>
              <w:rPr>
                <w:rFonts w:ascii="方正仿宋_GBK" w:hAnsiTheme="minorHAnsi" w:cstheme="minorBidi"/>
                <w:b/>
                <w:sz w:val="21"/>
                <w:szCs w:val="21"/>
                <w:highlight w:val="none"/>
              </w:rPr>
            </w:pPr>
            <w:bookmarkStart w:id="367" w:name="_Toc148104634"/>
            <w:bookmarkStart w:id="368" w:name="_Toc115095298"/>
            <w:bookmarkStart w:id="369" w:name="_Toc121492457"/>
            <w:r>
              <w:rPr>
                <w:rFonts w:hint="eastAsia" w:ascii="方正仿宋_GBK" w:hAnsiTheme="minorHAnsi" w:cstheme="minorBidi"/>
                <w:b/>
                <w:sz w:val="21"/>
                <w:szCs w:val="21"/>
                <w:highlight w:val="none"/>
              </w:rPr>
              <w:t>序  号</w:t>
            </w:r>
          </w:p>
        </w:tc>
        <w:tc>
          <w:tcPr>
            <w:tcW w:w="3305"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单位名称</w:t>
            </w:r>
          </w:p>
        </w:tc>
        <w:tc>
          <w:tcPr>
            <w:tcW w:w="4676"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区政府办公室</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重庆市政府办公室</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区经济信息委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区应急管理局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49862275</w:t>
            </w:r>
            <w:r>
              <w:rPr>
                <w:rFonts w:hint="eastAsia" w:ascii="方正仿宋_GBK" w:hAnsiTheme="minorHAnsi" w:cstheme="minorBidi"/>
                <w:sz w:val="21"/>
                <w:szCs w:val="21"/>
                <w:highlight w:val="none"/>
              </w:rPr>
              <w:t>（白天值班电话）</w:t>
            </w:r>
          </w:p>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61133000</w:t>
            </w:r>
            <w:r>
              <w:rPr>
                <w:rFonts w:hint="eastAsia" w:ascii="方正仿宋_GBK" w:hAnsiTheme="minorHAnsi" w:cstheme="minorBidi"/>
                <w:sz w:val="21"/>
                <w:szCs w:val="21"/>
                <w:highlight w:val="none"/>
              </w:rPr>
              <w:t>（晚上值班电话）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区委宣传部</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49818866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区住房和城乡建设委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区发展和改革委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023-49821385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区交通局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49802924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区城市管理局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85370101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区生态环境局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49584710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区规划自然资源局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023－49860096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区市场监管局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－61188661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区商务委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区公安局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49577060</w:t>
            </w:r>
            <w:r>
              <w:rPr>
                <w:rFonts w:hint="eastAsia" w:ascii="方正仿宋_GBK" w:hAnsiTheme="minorHAnsi" w:cstheme="minorBidi"/>
                <w:sz w:val="21"/>
                <w:szCs w:val="21"/>
                <w:highlight w:val="none"/>
              </w:rPr>
              <w:t>（白天值班电话）</w:t>
            </w:r>
          </w:p>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49577110</w:t>
            </w:r>
            <w:r>
              <w:rPr>
                <w:rFonts w:hint="eastAsia" w:ascii="方正仿宋_GBK" w:hAnsiTheme="minorHAnsi" w:cstheme="minorBidi"/>
                <w:sz w:val="21"/>
                <w:szCs w:val="21"/>
                <w:highlight w:val="none"/>
              </w:rPr>
              <w:t>（晚上值班电话）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区卫生健康委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49822982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区民政局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区财政局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49895818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区人力社保局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023-49821385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区消防救援支队</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永川高新区</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023-49567567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中山路街道办事处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023-61191886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胜利路街道办事处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023-49862041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南大街街道办事处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023-49832042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茶山竹海街道办事处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023-49832042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大安街道办事处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023-49401013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卫星湖街道办事处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49681080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陈食街道办事处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023-49441002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朱沱镇人民政府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023-49601001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临江镇人民政府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松溉镇人民政府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红炉镇人民政府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023-61163000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吉安镇人民政府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023-49568117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五间镇人民政府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023-49586007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三教镇人民政府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023-49353576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青峰镇人民政府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023-49626001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仙龙镇人民政府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023-49561939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金龙镇人民政府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023-49432601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永荣镇人民政府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023-49330166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双石镇人民政府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023-49301026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何埂镇人民政府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来苏镇人民政府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023-49661029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板桥镇人民政府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023-49358159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宝峰镇</w:t>
            </w:r>
            <w:r>
              <w:rPr>
                <w:rFonts w:ascii="方正仿宋_GBK" w:hAnsiTheme="minorHAnsi" w:cstheme="minorBidi"/>
                <w:sz w:val="21"/>
                <w:szCs w:val="21"/>
                <w:highlight w:val="none"/>
              </w:rPr>
              <w:t>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023-49660005</w:t>
            </w:r>
          </w:p>
        </w:tc>
      </w:tr>
    </w:tbl>
    <w:p>
      <w:pPr>
        <w:pStyle w:val="6"/>
        <w:keepNext w:val="0"/>
        <w:keepLines w:val="0"/>
        <w:adjustRightInd w:val="0"/>
        <w:snapToGrid w:val="0"/>
        <w:spacing w:before="100" w:beforeAutospacing="1" w:after="100" w:afterAutospacing="1" w:line="240" w:lineRule="auto"/>
        <w:ind w:firstLine="640" w:firstLineChars="200"/>
        <w:rPr>
          <w:rFonts w:ascii="方正楷体_GBK" w:hAnsi="方正楷体_GBK" w:eastAsia="方正楷体_GBK" w:cs="方正楷体_GBK"/>
          <w:b w:val="0"/>
          <w:bCs w:val="0"/>
          <w:highlight w:val="none"/>
        </w:rPr>
      </w:pPr>
      <w:r>
        <w:rPr>
          <w:rFonts w:hint="eastAsia" w:ascii="方正楷体_GBK" w:hAnsi="方正楷体_GBK" w:eastAsia="方正楷体_GBK" w:cs="方正楷体_GBK"/>
          <w:b w:val="0"/>
          <w:bCs w:val="0"/>
          <w:highlight w:val="none"/>
        </w:rPr>
        <w:t>B.3  应急资源差距分析</w:t>
      </w:r>
      <w:bookmarkEnd w:id="366"/>
      <w:bookmarkEnd w:id="367"/>
      <w:bookmarkEnd w:id="368"/>
      <w:bookmarkEnd w:id="369"/>
    </w:p>
    <w:p>
      <w:pPr>
        <w:ind w:firstLine="642" w:firstLineChars="200"/>
        <w:outlineLvl w:val="2"/>
        <w:rPr>
          <w:rFonts w:ascii="仿宋_GB2312" w:eastAsia="仿宋_GB2312" w:hAnsiTheme="minorHAnsi" w:cstheme="minorBidi"/>
          <w:b/>
          <w:bCs/>
          <w:highlight w:val="none"/>
        </w:rPr>
      </w:pPr>
      <w:bookmarkStart w:id="370" w:name="_Toc121492458"/>
      <w:bookmarkStart w:id="371" w:name="_Toc67173614"/>
      <w:bookmarkStart w:id="372" w:name="_Toc67473150"/>
      <w:bookmarkStart w:id="373" w:name="_Toc451249730"/>
      <w:bookmarkStart w:id="374" w:name="_Toc451249922"/>
      <w:r>
        <w:rPr>
          <w:rFonts w:hint="eastAsia" w:ascii="仿宋_GB2312" w:eastAsia="仿宋_GB2312" w:hAnsiTheme="minorHAnsi" w:cstheme="minorBidi"/>
          <w:b/>
          <w:bCs/>
          <w:highlight w:val="none"/>
        </w:rPr>
        <w:t>B.3</w:t>
      </w:r>
      <w:r>
        <w:rPr>
          <w:rFonts w:ascii="仿宋_GB2312" w:eastAsia="仿宋_GB2312" w:hAnsiTheme="minorHAnsi" w:cstheme="minorBidi"/>
          <w:b/>
          <w:bCs/>
          <w:highlight w:val="none"/>
        </w:rPr>
        <w:t xml:space="preserve">.1 </w:t>
      </w:r>
      <w:r>
        <w:rPr>
          <w:rFonts w:hint="eastAsia" w:ascii="仿宋_GB2312" w:eastAsia="仿宋_GB2312" w:hAnsiTheme="minorHAnsi" w:cstheme="minorBidi"/>
          <w:b/>
          <w:bCs/>
          <w:highlight w:val="none"/>
        </w:rPr>
        <w:t>现有应急资源保障能力评估</w:t>
      </w:r>
      <w:bookmarkEnd w:id="370"/>
      <w:bookmarkEnd w:id="371"/>
      <w:bookmarkEnd w:id="372"/>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依据风险评估结果及永川区液化石油气、二甲醚、醇基燃料事故应急资源需求，与现有应急资源对比详见B.3</w:t>
      </w:r>
      <w:r>
        <w:rPr>
          <w:rFonts w:ascii="方正仿宋_GBK" w:hAnsi="Arial" w:eastAsia="方正仿宋_GBK" w:cs="Times New Roman"/>
          <w:sz w:val="32"/>
          <w:szCs w:val="32"/>
          <w:highlight w:val="none"/>
        </w:rPr>
        <w:t>.1</w:t>
      </w:r>
      <w:r>
        <w:rPr>
          <w:rFonts w:hint="eastAsia" w:ascii="方正仿宋_GBK" w:hAnsi="Arial" w:eastAsia="方正仿宋_GBK" w:cs="Times New Roman"/>
          <w:sz w:val="32"/>
          <w:szCs w:val="32"/>
          <w:highlight w:val="none"/>
        </w:rPr>
        <w:t>-</w:t>
      </w:r>
      <w:r>
        <w:rPr>
          <w:rFonts w:ascii="方正仿宋_GBK" w:hAnsi="Arial" w:eastAsia="方正仿宋_GBK" w:cs="Times New Roman"/>
          <w:sz w:val="32"/>
          <w:szCs w:val="32"/>
          <w:highlight w:val="none"/>
        </w:rPr>
        <w:t>1</w:t>
      </w:r>
      <w:r>
        <w:rPr>
          <w:rFonts w:hint="eastAsia" w:ascii="方正仿宋_GBK" w:hAnsi="Arial" w:eastAsia="方正仿宋_GBK" w:cs="Times New Roman"/>
          <w:sz w:val="32"/>
          <w:szCs w:val="32"/>
          <w:highlight w:val="none"/>
        </w:rPr>
        <w:t>。</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表B.3.1-1  现有应急资源保障能力评估一览表</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678"/>
        <w:gridCol w:w="2410"/>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07" w:type="dxa"/>
            <w:vAlign w:val="center"/>
          </w:tcPr>
          <w:p>
            <w:pPr>
              <w:adjustRightInd w:val="0"/>
              <w:snapToGrid w:val="0"/>
              <w:ind w:firstLine="210" w:firstLineChars="10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类  别</w:t>
            </w:r>
          </w:p>
        </w:tc>
        <w:tc>
          <w:tcPr>
            <w:tcW w:w="2678" w:type="dxa"/>
            <w:vAlign w:val="center"/>
          </w:tcPr>
          <w:p>
            <w:pPr>
              <w:adjustRightInd w:val="0"/>
              <w:snapToGrid w:val="0"/>
              <w:ind w:firstLine="210" w:firstLineChars="10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分析依据</w:t>
            </w:r>
          </w:p>
        </w:tc>
        <w:tc>
          <w:tcPr>
            <w:tcW w:w="2410" w:type="dxa"/>
            <w:vAlign w:val="center"/>
          </w:tcPr>
          <w:p>
            <w:pPr>
              <w:adjustRightInd w:val="0"/>
              <w:snapToGrid w:val="0"/>
              <w:ind w:firstLine="210" w:firstLineChars="10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现  状</w:t>
            </w:r>
          </w:p>
        </w:tc>
        <w:tc>
          <w:tcPr>
            <w:tcW w:w="2877" w:type="dxa"/>
            <w:vAlign w:val="center"/>
          </w:tcPr>
          <w:p>
            <w:pPr>
              <w:adjustRightInd w:val="0"/>
              <w:snapToGrid w:val="0"/>
              <w:ind w:firstLine="210" w:firstLineChars="10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不足和差距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人力资源及应急管理</w:t>
            </w:r>
          </w:p>
        </w:tc>
        <w:tc>
          <w:tcPr>
            <w:tcW w:w="267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是否成立应急组织机构。</w:t>
            </w:r>
          </w:p>
        </w:tc>
        <w:tc>
          <w:tcPr>
            <w:tcW w:w="24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已成立应急组织机构。</w:t>
            </w:r>
          </w:p>
        </w:tc>
        <w:tc>
          <w:tcPr>
            <w:tcW w:w="287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267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应急组织机构责任是否明确。</w:t>
            </w:r>
          </w:p>
        </w:tc>
        <w:tc>
          <w:tcPr>
            <w:tcW w:w="24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各应急组织机构划分职责明确。</w:t>
            </w:r>
          </w:p>
        </w:tc>
        <w:tc>
          <w:tcPr>
            <w:tcW w:w="287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267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应急预案体系是否完整。</w:t>
            </w:r>
          </w:p>
        </w:tc>
        <w:tc>
          <w:tcPr>
            <w:tcW w:w="24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预案体系基本完善</w:t>
            </w:r>
            <w:r>
              <w:rPr>
                <w:rFonts w:ascii="方正仿宋_GBK" w:hAnsiTheme="minorHAnsi" w:cstheme="minorBidi"/>
                <w:sz w:val="21"/>
                <w:szCs w:val="21"/>
                <w:highlight w:val="none"/>
              </w:rPr>
              <w:t>。</w:t>
            </w:r>
          </w:p>
        </w:tc>
        <w:tc>
          <w:tcPr>
            <w:tcW w:w="287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267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应急预案</w:t>
            </w:r>
            <w:r>
              <w:rPr>
                <w:rFonts w:ascii="方正仿宋_GBK" w:hAnsiTheme="minorHAnsi" w:cstheme="minorBidi"/>
                <w:sz w:val="21"/>
                <w:szCs w:val="21"/>
                <w:highlight w:val="none"/>
              </w:rPr>
              <w:t>审核、备案和发布是否符合程序</w:t>
            </w:r>
            <w:r>
              <w:rPr>
                <w:rFonts w:hint="eastAsia" w:ascii="方正仿宋_GBK" w:hAnsiTheme="minorHAnsi" w:cstheme="minorBidi"/>
                <w:sz w:val="21"/>
                <w:szCs w:val="21"/>
                <w:highlight w:val="none"/>
              </w:rPr>
              <w:t>。</w:t>
            </w:r>
          </w:p>
        </w:tc>
        <w:tc>
          <w:tcPr>
            <w:tcW w:w="24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本预案正在编制过程中。</w:t>
            </w:r>
          </w:p>
        </w:tc>
        <w:tc>
          <w:tcPr>
            <w:tcW w:w="287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本预案编制完成经专家评审后，应报区应急管理局、区人民政府审核同意后，并经区政府办公室名义发布。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267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应急预案是否进行演练</w:t>
            </w:r>
          </w:p>
        </w:tc>
        <w:tc>
          <w:tcPr>
            <w:tcW w:w="24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新编制应急预案暂未</w:t>
            </w:r>
            <w:r>
              <w:rPr>
                <w:rFonts w:hint="eastAsia" w:ascii="方正仿宋_GBK" w:hAnsiTheme="minorHAnsi" w:cstheme="minorBidi"/>
                <w:sz w:val="21"/>
                <w:szCs w:val="21"/>
                <w:highlight w:val="none"/>
              </w:rPr>
              <w:t>开展</w:t>
            </w:r>
            <w:r>
              <w:rPr>
                <w:rFonts w:ascii="方正仿宋_GBK" w:hAnsiTheme="minorHAnsi" w:cstheme="minorBidi"/>
                <w:sz w:val="21"/>
                <w:szCs w:val="21"/>
                <w:highlight w:val="none"/>
              </w:rPr>
              <w:t>应急演练。</w:t>
            </w:r>
          </w:p>
        </w:tc>
        <w:tc>
          <w:tcPr>
            <w:tcW w:w="287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预案编制单位应每3年至少开展1次应急演练。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经费</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资源</w:t>
            </w:r>
          </w:p>
        </w:tc>
        <w:tc>
          <w:tcPr>
            <w:tcW w:w="267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应急经费能否保障。</w:t>
            </w:r>
          </w:p>
        </w:tc>
        <w:tc>
          <w:tcPr>
            <w:tcW w:w="24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由区城镇燃气应急指挥部或相关责任单位提出，按“三重一大”程序经区委、区政府批准，由区财政局提供资金保障。</w:t>
            </w:r>
          </w:p>
        </w:tc>
        <w:tc>
          <w:tcPr>
            <w:tcW w:w="287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应急装备及物资</w:t>
            </w:r>
          </w:p>
        </w:tc>
        <w:tc>
          <w:tcPr>
            <w:tcW w:w="267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内部应急资源。</w:t>
            </w:r>
          </w:p>
        </w:tc>
        <w:tc>
          <w:tcPr>
            <w:tcW w:w="24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已对现有应急救援力量进行统计调查。</w:t>
            </w:r>
          </w:p>
        </w:tc>
        <w:tc>
          <w:tcPr>
            <w:tcW w:w="287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267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外部可调用的应急物资装备。</w:t>
            </w:r>
          </w:p>
        </w:tc>
        <w:tc>
          <w:tcPr>
            <w:tcW w:w="24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已初步进行调查，主要依托区属国有公司应急抢险物资。</w:t>
            </w:r>
          </w:p>
        </w:tc>
        <w:tc>
          <w:tcPr>
            <w:tcW w:w="287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bl>
    <w:p>
      <w:pPr>
        <w:adjustRightInd w:val="0"/>
        <w:snapToGrid w:val="0"/>
        <w:spacing w:line="360" w:lineRule="auto"/>
        <w:rPr>
          <w:rFonts w:ascii="仿宋" w:hAnsi="仿宋" w:eastAsia="仿宋"/>
          <w:sz w:val="28"/>
          <w:szCs w:val="28"/>
          <w:highlight w:val="none"/>
        </w:rPr>
      </w:pPr>
    </w:p>
    <w:p>
      <w:pPr>
        <w:ind w:firstLine="642" w:firstLineChars="200"/>
        <w:outlineLvl w:val="2"/>
        <w:rPr>
          <w:rFonts w:ascii="仿宋_GB2312" w:eastAsia="仿宋_GB2312" w:hAnsiTheme="minorHAnsi" w:cstheme="minorBidi"/>
          <w:b/>
          <w:bCs/>
          <w:highlight w:val="none"/>
        </w:rPr>
      </w:pPr>
      <w:bookmarkStart w:id="375" w:name="_Toc121492459"/>
      <w:bookmarkStart w:id="376" w:name="_Toc67473151"/>
      <w:r>
        <w:rPr>
          <w:rFonts w:hint="eastAsia" w:ascii="仿宋_GB2312" w:eastAsia="仿宋_GB2312" w:hAnsiTheme="minorHAnsi" w:cstheme="minorBidi"/>
          <w:b/>
          <w:bCs/>
          <w:highlight w:val="none"/>
        </w:rPr>
        <w:t>B.3.2 应急资源调查结论</w:t>
      </w:r>
      <w:bookmarkEnd w:id="375"/>
      <w:bookmarkEnd w:id="376"/>
    </w:p>
    <w:p>
      <w:pPr>
        <w:pStyle w:val="15"/>
        <w:widowControl w:val="0"/>
        <w:spacing w:before="0" w:beforeAutospacing="0" w:after="0" w:afterAutospacing="0"/>
        <w:ind w:firstLine="640" w:firstLineChars="200"/>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通过对本区内部、外部应急资源的调查，针对永川区液化石油气、二甲醚、醇基燃料事故可能引发事故的影响程度、范围，本区现有应急救援组织机构及人员配备、应急抢险救援队伍，应急装备及物资、应急保障经费、应急培训和演练、可调用本地区社会应急资源等，基本能满足本区液化石油气、二甲醚、醇基燃料事故应急救援的需要。</w:t>
      </w:r>
      <w:bookmarkEnd w:id="346"/>
      <w:bookmarkEnd w:id="347"/>
      <w:bookmarkEnd w:id="348"/>
      <w:bookmarkEnd w:id="349"/>
      <w:bookmarkEnd w:id="373"/>
      <w:bookmarkEnd w:id="374"/>
    </w:p>
    <w:p>
      <w:pPr>
        <w:rPr>
          <w:highlight w:val="none"/>
        </w:rPr>
      </w:pP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jc w:val="center"/>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adjustRightInd w:val="0"/>
                            <w:jc w:val="cente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45</w:t>
                          </w:r>
                          <w:r>
                            <w:rPr>
                              <w:rFonts w:hint="eastAsia" w:ascii="宋体"/>
                              <w:sz w:val="28"/>
                              <w:szCs w:val="28"/>
                            </w:rPr>
                            <w:fldChar w:fldCharType="end"/>
                          </w:r>
                          <w:r>
                            <w:rPr>
                              <w:rFonts w:hint="eastAsia" w:asci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0"/>
                      <w:adjustRightInd w:val="0"/>
                      <w:jc w:val="cente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45</w:t>
                    </w:r>
                    <w:r>
                      <w:rPr>
                        <w:rFonts w:hint="eastAsia" w:ascii="宋体"/>
                        <w:sz w:val="28"/>
                        <w:szCs w:val="28"/>
                      </w:rPr>
                      <w:fldChar w:fldCharType="end"/>
                    </w:r>
                    <w:r>
                      <w:rPr>
                        <w:rFonts w:hint="eastAsia" w:asci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GFmMzA2ZWQ1ODExZWQ0MTcyZDBlNjI3NzQ2MDgifQ=="/>
  </w:docVars>
  <w:rsids>
    <w:rsidRoot w:val="00E867C9"/>
    <w:rsid w:val="000A623A"/>
    <w:rsid w:val="002144DC"/>
    <w:rsid w:val="003C7775"/>
    <w:rsid w:val="00587AEC"/>
    <w:rsid w:val="007606B5"/>
    <w:rsid w:val="00790073"/>
    <w:rsid w:val="008922C7"/>
    <w:rsid w:val="00A3579D"/>
    <w:rsid w:val="00B81C52"/>
    <w:rsid w:val="00BF3156"/>
    <w:rsid w:val="00C80F67"/>
    <w:rsid w:val="00CA4E8E"/>
    <w:rsid w:val="00D50B15"/>
    <w:rsid w:val="00D5307C"/>
    <w:rsid w:val="00E867C9"/>
    <w:rsid w:val="00E87F2A"/>
    <w:rsid w:val="00F9444E"/>
    <w:rsid w:val="25C12DBA"/>
    <w:rsid w:val="28FA6586"/>
    <w:rsid w:val="3FD7747C"/>
    <w:rsid w:val="41C76D47"/>
    <w:rsid w:val="4B44529B"/>
    <w:rsid w:val="685D28CA"/>
    <w:rsid w:val="6EA078B0"/>
    <w:rsid w:val="78E23567"/>
    <w:rsid w:val="7C15268D"/>
    <w:rsid w:val="7EED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5"/>
    <w:next w:val="1"/>
    <w:link w:val="21"/>
    <w:qFormat/>
    <w:uiPriority w:val="0"/>
    <w:pPr>
      <w:keepNext/>
      <w:keepLines/>
      <w:adjustRightInd w:val="0"/>
      <w:snapToGrid w:val="0"/>
      <w:spacing w:line="578" w:lineRule="exact"/>
      <w:ind w:left="0" w:leftChars="0" w:firstLine="880" w:firstLineChars="200"/>
      <w:outlineLvl w:val="0"/>
    </w:pPr>
    <w:rPr>
      <w:rFonts w:ascii="方正仿宋_GBK"/>
      <w:kern w:val="44"/>
      <w:szCs w:val="20"/>
    </w:rPr>
  </w:style>
  <w:style w:type="paragraph" w:styleId="6">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20"/>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3">
    <w:name w:val="Body Text"/>
    <w:basedOn w:val="1"/>
    <w:link w:val="28"/>
    <w:qFormat/>
    <w:uiPriority w:val="0"/>
    <w:pPr>
      <w:spacing w:after="120"/>
    </w:pPr>
    <w:rPr>
      <w:rFonts w:eastAsia="宋体"/>
    </w:rPr>
  </w:style>
  <w:style w:type="paragraph" w:styleId="5">
    <w:name w:val="toc 4"/>
    <w:basedOn w:val="1"/>
    <w:next w:val="1"/>
    <w:unhideWhenUsed/>
    <w:qFormat/>
    <w:uiPriority w:val="0"/>
    <w:pPr>
      <w:ind w:left="1260" w:leftChars="600"/>
    </w:pPr>
  </w:style>
  <w:style w:type="paragraph" w:styleId="7">
    <w:name w:val="annotation text"/>
    <w:basedOn w:val="1"/>
    <w:link w:val="32"/>
    <w:qFormat/>
    <w:uiPriority w:val="0"/>
    <w:pPr>
      <w:jc w:val="left"/>
    </w:pPr>
  </w:style>
  <w:style w:type="paragraph" w:styleId="8">
    <w:name w:val="Date"/>
    <w:basedOn w:val="1"/>
    <w:next w:val="1"/>
    <w:link w:val="29"/>
    <w:qFormat/>
    <w:uiPriority w:val="0"/>
    <w:pPr>
      <w:ind w:left="100" w:leftChars="2500"/>
    </w:pPr>
  </w:style>
  <w:style w:type="paragraph" w:styleId="9">
    <w:name w:val="Balloon Text"/>
    <w:basedOn w:val="1"/>
    <w:link w:val="30"/>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link w:val="25"/>
    <w:qFormat/>
    <w:uiPriority w:val="39"/>
    <w:pPr>
      <w:spacing w:before="120" w:after="120"/>
      <w:jc w:val="left"/>
    </w:pPr>
    <w:rPr>
      <w:b/>
      <w:bCs/>
      <w:caps/>
      <w:szCs w:val="20"/>
    </w:rPr>
  </w:style>
  <w:style w:type="paragraph" w:styleId="13">
    <w:name w:val="toc 2"/>
    <w:basedOn w:val="1"/>
    <w:next w:val="1"/>
    <w:qFormat/>
    <w:uiPriority w:val="39"/>
    <w:pPr>
      <w:ind w:left="210"/>
      <w:jc w:val="left"/>
    </w:pPr>
    <w:rPr>
      <w:smallCaps/>
      <w:szCs w:val="20"/>
    </w:rPr>
  </w:style>
  <w:style w:type="paragraph" w:styleId="14">
    <w:name w:val="HTML Preformatted"/>
    <w:basedOn w:val="1"/>
    <w:link w:val="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5">
    <w:name w:val="Normal (Web)"/>
    <w:basedOn w:val="1"/>
    <w:link w:val="26"/>
    <w:qFormat/>
    <w:uiPriority w:val="0"/>
    <w:pPr>
      <w:widowControl/>
      <w:spacing w:before="100" w:beforeAutospacing="1" w:after="100" w:afterAutospacing="1"/>
      <w:jc w:val="left"/>
    </w:pPr>
    <w:rPr>
      <w:rFonts w:ascii="宋体" w:hAnsi="宋体" w:eastAsia="宋体" w:cs="宋体"/>
      <w:kern w:val="0"/>
      <w:sz w:val="24"/>
    </w:rPr>
  </w:style>
  <w:style w:type="paragraph" w:styleId="16">
    <w:name w:val="annotation subject"/>
    <w:basedOn w:val="7"/>
    <w:next w:val="7"/>
    <w:link w:val="33"/>
    <w:qFormat/>
    <w:uiPriority w:val="0"/>
    <w:rPr>
      <w:b/>
      <w:bCs/>
    </w:rPr>
  </w:style>
  <w:style w:type="character" w:styleId="19">
    <w:name w:val="Hyperlink"/>
    <w:unhideWhenUsed/>
    <w:qFormat/>
    <w:uiPriority w:val="99"/>
    <w:rPr>
      <w:color w:val="0000FF"/>
      <w:u w:val="single"/>
    </w:rPr>
  </w:style>
  <w:style w:type="character" w:customStyle="1" w:styleId="20">
    <w:name w:val="信息标题 Char"/>
    <w:basedOn w:val="18"/>
    <w:link w:val="2"/>
    <w:semiHidden/>
    <w:qFormat/>
    <w:uiPriority w:val="99"/>
    <w:rPr>
      <w:rFonts w:asciiTheme="majorHAnsi" w:hAnsiTheme="majorHAnsi" w:eastAsiaTheme="majorEastAsia" w:cstheme="majorBidi"/>
      <w:sz w:val="24"/>
      <w:szCs w:val="24"/>
      <w:shd w:val="pct20" w:color="auto" w:fill="auto"/>
    </w:rPr>
  </w:style>
  <w:style w:type="character" w:customStyle="1" w:styleId="21">
    <w:name w:val="标题 1 Char"/>
    <w:basedOn w:val="18"/>
    <w:link w:val="4"/>
    <w:qFormat/>
    <w:uiPriority w:val="0"/>
    <w:rPr>
      <w:rFonts w:ascii="方正仿宋_GBK" w:hAnsi="Times New Roman" w:eastAsia="方正仿宋_GBK" w:cs="Times New Roman"/>
      <w:kern w:val="44"/>
      <w:sz w:val="32"/>
      <w:szCs w:val="20"/>
    </w:rPr>
  </w:style>
  <w:style w:type="character" w:customStyle="1" w:styleId="22">
    <w:name w:val="标题 2 Char"/>
    <w:basedOn w:val="18"/>
    <w:link w:val="6"/>
    <w:qFormat/>
    <w:uiPriority w:val="0"/>
    <w:rPr>
      <w:rFonts w:asciiTheme="majorHAnsi" w:hAnsiTheme="majorHAnsi" w:eastAsiaTheme="majorEastAsia" w:cstheme="majorBidi"/>
      <w:b/>
      <w:bCs/>
      <w:sz w:val="32"/>
      <w:szCs w:val="32"/>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character" w:customStyle="1" w:styleId="25">
    <w:name w:val="目录 1 Char"/>
    <w:link w:val="12"/>
    <w:qFormat/>
    <w:uiPriority w:val="39"/>
    <w:rPr>
      <w:rFonts w:ascii="Times New Roman" w:hAnsi="Times New Roman" w:eastAsia="方正仿宋_GBK" w:cs="Times New Roman"/>
      <w:b/>
      <w:bCs/>
      <w:caps/>
      <w:sz w:val="32"/>
      <w:szCs w:val="20"/>
    </w:rPr>
  </w:style>
  <w:style w:type="character" w:customStyle="1" w:styleId="26">
    <w:name w:val="普通(网站) Char"/>
    <w:link w:val="15"/>
    <w:qFormat/>
    <w:uiPriority w:val="0"/>
    <w:rPr>
      <w:rFonts w:ascii="宋体" w:hAnsi="宋体" w:eastAsia="宋体" w:cs="宋体"/>
      <w:kern w:val="0"/>
      <w:sz w:val="24"/>
      <w:szCs w:val="24"/>
    </w:rPr>
  </w:style>
  <w:style w:type="paragraph" w:customStyle="1" w:styleId="27">
    <w:name w:val="标2"/>
    <w:basedOn w:val="6"/>
    <w:qFormat/>
    <w:uiPriority w:val="0"/>
    <w:pPr>
      <w:adjustRightInd w:val="0"/>
      <w:snapToGrid w:val="0"/>
      <w:spacing w:before="0" w:after="0" w:line="240" w:lineRule="auto"/>
      <w:ind w:firstLine="880" w:firstLineChars="200"/>
      <w:jc w:val="center"/>
    </w:pPr>
    <w:rPr>
      <w:rFonts w:ascii="楷体_GB2312" w:hAnsi="Arial" w:eastAsia="楷体_GB2312" w:cs="Times New Roman"/>
      <w:b w:val="0"/>
      <w:bCs w:val="0"/>
      <w:kern w:val="0"/>
    </w:rPr>
  </w:style>
  <w:style w:type="character" w:customStyle="1" w:styleId="28">
    <w:name w:val="正文文本 Char"/>
    <w:basedOn w:val="18"/>
    <w:link w:val="3"/>
    <w:qFormat/>
    <w:uiPriority w:val="0"/>
    <w:rPr>
      <w:rFonts w:ascii="Times New Roman" w:hAnsi="Times New Roman" w:eastAsia="宋体" w:cs="Times New Roman"/>
      <w:sz w:val="32"/>
      <w:szCs w:val="24"/>
    </w:rPr>
  </w:style>
  <w:style w:type="character" w:customStyle="1" w:styleId="29">
    <w:name w:val="日期 Char"/>
    <w:basedOn w:val="18"/>
    <w:link w:val="8"/>
    <w:qFormat/>
    <w:uiPriority w:val="0"/>
    <w:rPr>
      <w:rFonts w:ascii="Times New Roman" w:hAnsi="Times New Roman" w:eastAsia="方正仿宋_GBK" w:cs="Times New Roman"/>
      <w:sz w:val="32"/>
      <w:szCs w:val="24"/>
    </w:rPr>
  </w:style>
  <w:style w:type="character" w:customStyle="1" w:styleId="30">
    <w:name w:val="批注框文本 Char"/>
    <w:basedOn w:val="18"/>
    <w:link w:val="9"/>
    <w:qFormat/>
    <w:uiPriority w:val="99"/>
    <w:rPr>
      <w:rFonts w:ascii="Times New Roman" w:hAnsi="Times New Roman" w:eastAsia="方正仿宋_GBK" w:cs="Times New Roman"/>
      <w:sz w:val="18"/>
      <w:szCs w:val="18"/>
    </w:rPr>
  </w:style>
  <w:style w:type="character" w:customStyle="1" w:styleId="31">
    <w:name w:val="HTML 预设格式 Char"/>
    <w:basedOn w:val="18"/>
    <w:link w:val="14"/>
    <w:qFormat/>
    <w:uiPriority w:val="0"/>
    <w:rPr>
      <w:rFonts w:ascii="宋体" w:hAnsi="宋体" w:eastAsia="宋体" w:cs="Times New Roman"/>
      <w:kern w:val="0"/>
      <w:sz w:val="24"/>
      <w:szCs w:val="24"/>
    </w:rPr>
  </w:style>
  <w:style w:type="character" w:customStyle="1" w:styleId="32">
    <w:name w:val="批注文字 Char"/>
    <w:basedOn w:val="18"/>
    <w:link w:val="7"/>
    <w:qFormat/>
    <w:uiPriority w:val="0"/>
    <w:rPr>
      <w:rFonts w:ascii="Times New Roman" w:hAnsi="Times New Roman" w:eastAsia="方正仿宋_GBK" w:cs="Times New Roman"/>
      <w:sz w:val="32"/>
      <w:szCs w:val="24"/>
    </w:rPr>
  </w:style>
  <w:style w:type="character" w:customStyle="1" w:styleId="33">
    <w:name w:val="批注主题 Char"/>
    <w:basedOn w:val="32"/>
    <w:link w:val="16"/>
    <w:qFormat/>
    <w:uiPriority w:val="0"/>
    <w:rPr>
      <w:rFonts w:ascii="Times New Roman" w:hAnsi="Times New Roman" w:eastAsia="方正仿宋_GBK" w:cs="Times New Roman"/>
      <w:b/>
      <w:bCs/>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oleObject" Target="embeddings/oleObject1.bin"/><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3858</Words>
  <Characters>21992</Characters>
  <Lines>183</Lines>
  <Paragraphs>51</Paragraphs>
  <TotalTime>7</TotalTime>
  <ScaleCrop>false</ScaleCrop>
  <LinksUpToDate>false</LinksUpToDate>
  <CharactersWithSpaces>25799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2023-11-08T11:42:00Z</dcterms:created>
  <dc:creator>Windows 用户</dc:creator>
  <cp:lastModifiedBy>greatwall</cp:lastModifiedBy>
  <dcterms:modified xsi:type="dcterms:W3CDTF">2025-02-28T11:15:37Z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AD63DC29928549ED96CF3DF3ED75B8AE_12</vt:lpwstr>
  </property>
</Properties>
</file>