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pict>
          <v:shape id="AutoShape 2" o:spid="_x0000_s2050" o:spt="136" type="#_x0000_t136" style="position:absolute;left:0pt;margin-left:81.2pt;margin-top:174.45pt;height:67.5pt;width:424.65pt;mso-position-horizontal-relative:page;mso-position-vertical-relative:page;z-index:251660288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永川区经济和信息化委员会文件" style="font-family:方正小标宋_GBK;font-size:60pt;v-text-align:center;"/>
          </v:shape>
        </w:pict>
      </w:r>
    </w:p>
    <w:p>
      <w:pPr>
        <w:pStyle w:val="2"/>
        <w:rPr>
          <w:rFonts w:ascii="方正小标宋_GBK" w:hAnsi="方正仿宋_GBK" w:eastAsia="方正小标宋_GBK" w:cs="方正仿宋_GBK"/>
          <w:sz w:val="44"/>
          <w:szCs w:val="44"/>
        </w:rPr>
      </w:pPr>
    </w:p>
    <w:p>
      <w:pPr>
        <w:rPr>
          <w:rFonts w:ascii="方正小标宋_GBK" w:hAnsi="方正仿宋_GBK" w:eastAsia="方正小标宋_GBK" w:cs="方正仿宋_GBK"/>
          <w:sz w:val="44"/>
          <w:szCs w:val="44"/>
        </w:rPr>
      </w:pPr>
    </w:p>
    <w:p>
      <w:pPr>
        <w:pStyle w:val="2"/>
        <w:rPr>
          <w:rFonts w:ascii="方正小标宋_GBK" w:hAnsi="方正仿宋_GBK" w:eastAsia="方正小标宋_GBK" w:cs="方正仿宋_GBK"/>
          <w:sz w:val="44"/>
          <w:szCs w:val="44"/>
        </w:rPr>
      </w:pPr>
    </w:p>
    <w:p>
      <w:pPr>
        <w:rPr>
          <w:rFonts w:ascii="方正小标宋_GBK" w:hAnsi="方正仿宋_GBK" w:eastAsia="方正小标宋_GBK" w:cs="方正仿宋_GBK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永经信发〔202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pStyle w:val="2"/>
      </w:pPr>
      <w:r>
        <w:rPr>
          <w:rFonts w:hint="eastAsia"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4238625</wp:posOffset>
                </wp:positionV>
                <wp:extent cx="5615940" cy="0"/>
                <wp:effectExtent l="0" t="19050" r="3810" b="190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2pt;margin-top:333.75pt;height:0pt;width:442.2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1CkuXtkAAAAMAQAADwAAAAAAAAABACAAAAA4AAAAZHJzL2Rv&#10;d25yZXYueG1sUEsBAhQAFAAAAAgAh07iQACWcaLqAQAArQMAAA4AAAAAAAAAAQAgAAAAPgEAAGRy&#10;cy9lMm9Eb2MueG1sUEsFBgAAAAAGAAYAWQEAAJoFAAAAAA=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重庆市永川区经济和信息化委员会</w:t>
      </w:r>
    </w:p>
    <w:p>
      <w:pPr>
        <w:spacing w:line="594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关于印发《重庆市永川区202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年工业和信息化工作要点》的通知</w:t>
      </w:r>
    </w:p>
    <w:p>
      <w:pPr>
        <w:spacing w:line="594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</w:p>
    <w:p>
      <w:pPr>
        <w:spacing w:line="594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各镇人民政府、街道办事处经发办，各产业促进中心经发局，区大数据产业园产业发展局，各科室、服务中心：</w:t>
      </w:r>
    </w:p>
    <w:p>
      <w:pPr>
        <w:spacing w:line="594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《重庆市永川</w:t>
      </w:r>
      <w:r>
        <w:rPr>
          <w:rFonts w:hint="eastAsia" w:eastAsia="方正仿宋_GBK"/>
          <w:sz w:val="32"/>
          <w:szCs w:val="32"/>
        </w:rPr>
        <w:t>区202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年工业和信息化工作要点》已经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区经济信息委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第六次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党组会议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审议通过，现印发你们，请认真抓好贯彻落实。</w:t>
      </w:r>
    </w:p>
    <w:p>
      <w:pPr>
        <w:spacing w:line="594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重庆市永川区经济和信息化委员会</w:t>
      </w:r>
    </w:p>
    <w:p>
      <w:pPr>
        <w:spacing w:line="594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（此件公开发布）</w:t>
      </w:r>
    </w:p>
    <w:p>
      <w:pPr>
        <w:spacing w:line="594" w:lineRule="exact"/>
        <w:jc w:val="center"/>
        <w:rPr>
          <w:rFonts w:ascii="方正小标宋_GBK" w:hAnsi="方正仿宋_GBK" w:eastAsia="方正小标宋_GBK" w:cs="方正仿宋_GBK"/>
          <w:sz w:val="32"/>
          <w:szCs w:val="32"/>
        </w:rPr>
      </w:pPr>
    </w:p>
    <w:p>
      <w:pPr>
        <w:spacing w:line="594" w:lineRule="exact"/>
        <w:jc w:val="center"/>
        <w:rPr>
          <w:rFonts w:ascii="方正小标宋_GBK" w:hAnsi="方正仿宋_GBK" w:eastAsia="方正小标宋_GBK" w:cs="方正仿宋_GBK"/>
          <w:sz w:val="32"/>
          <w:szCs w:val="32"/>
        </w:rPr>
      </w:pPr>
    </w:p>
    <w:p>
      <w:pPr>
        <w:pStyle w:val="2"/>
        <w:spacing w:line="594" w:lineRule="exact"/>
        <w:ind w:firstLine="420"/>
      </w:pPr>
    </w:p>
    <w:p>
      <w:pPr>
        <w:spacing w:line="594" w:lineRule="exact"/>
      </w:pPr>
    </w:p>
    <w:p>
      <w:pPr>
        <w:pStyle w:val="2"/>
        <w:spacing w:line="594" w:lineRule="exact"/>
        <w:ind w:firstLine="420"/>
      </w:pPr>
    </w:p>
    <w:p>
      <w:pPr>
        <w:spacing w:line="594" w:lineRule="exact"/>
      </w:pPr>
    </w:p>
    <w:p>
      <w:pPr>
        <w:pStyle w:val="2"/>
        <w:spacing w:line="594" w:lineRule="exact"/>
        <w:ind w:firstLine="420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340995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26.85pt;height:0pt;width:414pt;z-index:251662336;mso-width-relative:page;mso-height-relative:page;" filled="f" stroked="t" coordsize="21600,21600" o:gfxdata="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DgZKpXXAAAACAEAAA8AAAAAAAAAAQAgAAAAOAAAAGRycy9kb3ducmV2LnhtbFBLAQIUABQA&#10;AAAIAIdO4kATFbT62wEAAJkDAAAOAAAAAAAAAAEAIAAAADw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/>
          <w:sz w:val="32"/>
          <w:szCs w:val="32"/>
        </w:rPr>
        <w:t xml:space="preserve">      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368935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29.05pt;height:0pt;width:414pt;z-index:251663360;mso-width-relative:page;mso-height-relative:page;" filled="f" stroked="t" coordsize="21600,21600" o:gfxdata="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xfoX&#10;idEAAAAGAQAADwAAAAAAAAABACAAAAA4AAAAZHJzL2Rvd25yZXYueG1sUEsBAhQAFAAAAAgAh07i&#10;QIq/r9naAQAAmQMAAA4AAAAAAAAAAQAgAAAAN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 w:cs="方正仿宋_GBK"/>
          <w:sz w:val="32"/>
          <w:szCs w:val="32"/>
        </w:rPr>
        <w:t>重庆市永川区经济和信息化委员会</w:t>
      </w:r>
      <w:r>
        <w:rPr>
          <w:rFonts w:asci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 w:cs="方正仿宋_GBK"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重庆市永川区202</w:t>
      </w:r>
      <w:r>
        <w:rPr>
          <w:rFonts w:hint="default" w:ascii="方正小标宋_GBK" w:hAnsi="方正仿宋_GBK" w:eastAsia="方正小标宋_GBK" w:cs="方正仿宋_GBK"/>
          <w:color w:val="auto"/>
          <w:sz w:val="44"/>
          <w:szCs w:val="44"/>
        </w:rPr>
        <w:t>2</w:t>
      </w: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年工业和信息化工作要点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317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317" w:rightChars="0"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今年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全区工业和信息化工作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</w:rPr>
        <w:t>总体思路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是：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坚持以习近平新时代中国特色社会主义思想为指导，全面贯彻落实党的十九大和十九届历次全会精神，深入贯彻中央、市委、区委经济工作会议精神和区委、区政府决策部署，按照全区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“2235”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总体发展思路，坚持稳中求进工作总基调，坚持创新驱动发展，全面贯彻新发展理念，构建新发展格局，大力实施产业能级提升行动和工业倍增计划，着力稳增长、强创新、调结构、促升级、提质效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推动工业经济高质量发展，加快建设成渝地区双城经济圈现代制造业基地。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楷体_GB2312" w:eastAsia="方正仿宋_GBK" w:cs="楷体_GB2312"/>
          <w:b/>
          <w:color w:val="auto"/>
          <w:sz w:val="32"/>
          <w:szCs w:val="32"/>
        </w:rPr>
        <w:t>主要预期目标</w:t>
      </w:r>
      <w:r>
        <w:rPr>
          <w:rFonts w:hint="eastAsia" w:ascii="方正仿宋_GBK" w:hAnsi="楷体_GB2312" w:eastAsia="方正仿宋_GBK" w:cs="楷体_GB2312"/>
          <w:b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2022年，预计全区实现规上工业总产值1800亿元，同比增长16.1%；工业增加值增速9.5%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计划完成工业投资246.5亿元，同比增长10%，技改投资预计占比达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%。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规上工业企业研发投入达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26亿元，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新增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市级“专精特新”企业20家，战略性新兴产业产值占比达32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317" w:rightChars="0" w:firstLine="64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Hans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聚力实施产业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Hans"/>
        </w:rPr>
        <w:t>提质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工程，提升基础支撑“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Hans"/>
        </w:rPr>
        <w:t>力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度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Hans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1.着力提升产业集聚水平。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“5+3”产业体系，坚持“一盘棋”思维，按照“一核两翼多点”空间布局，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突出规划引导，优化各园区产业布局。凤凰湖产业园重点发展汽车摩托车、电子信息、智能装备等产业，做大做强中德产业园、台商产业园、康复器械产业园，建设新材料产业园，争创海峡两岸产业合作示范区，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力争实现产值1190亿元，同比增长20.6%。港桥产业园重点发展木及木制品、纸及纸制品、新型材料、新能源等产业，谋划和推进港园一体化，建设硅基材料产业园，2022年力争实现产值310亿元，同比增长21%。三教产业园重点发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高端洁具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、食品等产业，做大做强食品产业园、智能家居产业园，2022年力争实现产值150亿元，同比增长25%。城东科技生态城重点发展生物医药及大健康、民用航空产业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力争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推动园区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建成面积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拓展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3.5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平方公里。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2.着力培育先进制造业。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汽车摩托车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产业积极推动长城永川二工厂布局、雅迪及其配套企业投产达产，争取投放更多附加值高的中高端车型和新能源智能网联汽车。电子信息产业加强企业运行风险监测，着力引进智能穿戴、智能家居等新型智能终端和关键核心元器件生产企业。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智能装备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产业继续大力引进国内外高端数控机床和数控系统、伺服电机等关键核心零部件，推动企业向智能制造系统集成商转型。智能家居及材料产业积极谋划建设硅基材料产业园，推动东鹏陶瓷、帝欧家居加快布局后续项目。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特色消费品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产业继续深入参与“三品”行动，动员企业积极参与“渝见美品”推广，大力发展高档生活用纸、厨房用纸等产品。生物医药及大健康、新能源、民用航空等战新产业方面，加快新材料产业园创建和生物医药及大健康产业园方案设计，夯实发展基础，明确发展思路，推动产业集聚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3.着力推进链长制招商。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按照“链长制”的要求，建立“1+6+9+13”工作机制，围绕我区“十四五”时期重点发展的13条产业链，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39条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20"/>
          <w:lang w:val="en-US" w:eastAsia="zh-CN" w:bidi="ar-SA"/>
        </w:rPr>
        <w:t>细分产业链图谱，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聚焦产业链建链补链延链强链需求，制定专项招引政策措施，紧盯产业转移趋势，创新招商引资理念，高水平办好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20"/>
          <w:lang w:val="en-US" w:eastAsia="zh-CN" w:bidi="ar-SA"/>
        </w:rPr>
        <w:t>“智博会”、“西洽会”、“进博会”各项推介活动，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引育一批</w:t>
      </w:r>
      <w:r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</w:rPr>
        <w:t>链主</w:t>
      </w:r>
      <w:r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eastAsia="zh-CN"/>
        </w:rPr>
        <w:t>企业、</w:t>
      </w:r>
      <w:r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</w:rPr>
        <w:t>专精特新企业</w:t>
      </w:r>
      <w:r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</w:rPr>
        <w:t>创新领军人才</w:t>
      </w:r>
      <w:r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</w:rPr>
        <w:t>关键核心技术团队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20"/>
          <w:lang w:val="en-US" w:eastAsia="zh-CN" w:bidi="ar-SA"/>
        </w:rPr>
        <w:t>。2022年，全区力争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引进工业投资正式合同额600亿元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20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Hans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聚力实施产业融合工程，提升转型升级“速度”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7" w:firstLineChars="196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着力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推进创新驱动。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重点围绕产业链部署创新链，围绕创新链布局产业链，促进创新链与产业链深度融合、科技与经济深度融合，全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力打好产业基础高级化、产业链现代化和关键核心技术攻坚战。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以规模工业企业研发机构三年倍增计划为抓手，积极推动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企业进行科技创新，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分行业、分规模进行精准指导和政策宣贯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。落实招才引智工作，邀请重庆大学、西南大学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教授来永开展企业创新指导工作，指导建立永川区高新技术产业研究分院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组建“专精特新”企业孵化基金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创新业务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培训，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邀请市级部门、行业专家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举办专题讲座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鼓励企业加大研发投入，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指导符合条件的企业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建立研发机构，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企业技术中心和中小企业研发中心，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鼓励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重庆市技术创新指导性计划项目立项工作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2022年，新增规上工业企业研发机构30家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助推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家企业获得重庆市企业技术中心和中小企业研发中心认定，预计完成重庆市技术创新指导性计划项目立项100个，研发准备金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突破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7" w:firstLineChars="196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着力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推进智改数转。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val="en-US" w:eastAsia="zh-CN"/>
        </w:rPr>
        <w:t>科学制定数字化转型升级路线图，加快推动装备换芯、机器换人、生产换线、管理上云，促进装备数控化、产线数字化、工厂智能化、产业平台化。深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化5G+应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val="en-US" w:eastAsia="zh-CN"/>
        </w:rPr>
        <w:t>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打造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“5G+工业互联网”、“5G+数字化车间”、“5G+智能工厂”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、工业互联网标识解析二级节点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示范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场景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。2022年，加快制造业企业进行智能化转型，力争实施67个智能化改造项目；加快工业互联网创新发展，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积极开展“一链一网一平台”试点示范，推动新泰、红江、雅迪等企业建立行业工业互联网平台；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建立企业上云服务目录，实施企业上云专项行动，推动30家企业上云上平台；引导企业应用5G等新一代信息技术，建成10个数字化车间和智能工厂。持续推动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数字经济发展，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lang w:val="en-US" w:eastAsia="zh-CN" w:bidi="ar-SA"/>
        </w:rPr>
        <w:t>依托大数据产业园</w:t>
      </w:r>
      <w:r>
        <w:rPr>
          <w:rFonts w:hint="eastAsia" w:eastAsia="方正仿宋_GBK"/>
          <w:color w:val="auto"/>
          <w:sz w:val="32"/>
          <w:szCs w:val="32"/>
        </w:rPr>
        <w:t>打造</w:t>
      </w:r>
      <w:r>
        <w:rPr>
          <w:rFonts w:eastAsia="方正仿宋_GBK"/>
          <w:color w:val="auto"/>
          <w:sz w:val="32"/>
          <w:szCs w:val="32"/>
        </w:rPr>
        <w:t>数据富集、产业先进、创新活跃、应用繁荣的大数据</w:t>
      </w:r>
      <w:r>
        <w:rPr>
          <w:rFonts w:hint="eastAsia" w:eastAsia="方正仿宋_GBK"/>
          <w:color w:val="auto"/>
          <w:sz w:val="32"/>
          <w:szCs w:val="32"/>
        </w:rPr>
        <w:t>产业</w:t>
      </w:r>
      <w:r>
        <w:rPr>
          <w:rFonts w:eastAsia="方正仿宋_GBK"/>
          <w:color w:val="auto"/>
          <w:sz w:val="32"/>
          <w:szCs w:val="32"/>
        </w:rPr>
        <w:t>生态体系，推动大数据</w:t>
      </w:r>
      <w:r>
        <w:rPr>
          <w:rFonts w:hint="eastAsia" w:eastAsia="方正仿宋_GBK"/>
          <w:color w:val="auto"/>
          <w:sz w:val="32"/>
          <w:szCs w:val="32"/>
        </w:rPr>
        <w:t>产业</w:t>
      </w:r>
      <w:r>
        <w:rPr>
          <w:rFonts w:eastAsia="方正仿宋_GBK"/>
          <w:color w:val="auto"/>
          <w:sz w:val="32"/>
          <w:szCs w:val="32"/>
        </w:rPr>
        <w:t>与经济社会全面深度融合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7" w:firstLineChars="196"/>
        <w:textAlignment w:val="auto"/>
        <w:rPr>
          <w:rFonts w:hint="eastAsia" w:ascii="方正仿宋_GBK" w:hAnsi="宋体" w:eastAsia="方正仿宋_GBK" w:cs="宋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着力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推进绿色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转型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积极引导企业进行绿色制造改造，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建立绿色制造体系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培育库，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扎实推进我区市级绿色园区、绿色企业创建工作，力争新创建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家以上绿色工厂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。加强规上工业企业能耗管理水平，动态监管企业能源消耗和碳排放情况，完成理文造纸等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家重点用能企业节能目标考核，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督促理文造纸、华新水泥、渝琥玻璃、东鹏陶瓷等重点用能单位深度挖潜，开展清洁化改造，降低单位产品能源消耗量。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强化节水管理制度，推进节水企业建设，鼓励企业实施节水工艺技术和设备改造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积</w:t>
      </w: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极配合市级部门依法依规开展工业节能专项监察工作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，认真开展</w:t>
      </w: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利用综合标准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推动</w:t>
      </w: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落后产能退出工作。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7.着力推进工业设计发展。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以提高设计创新能力为主线，主动融入“设计之都”创建，建强工业设计载体，强力推广工业设计，培育工业设计产业，营造良好发展氛围，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促进工业设计与制造业深度融合，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打造区域性设计中心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2022年，力争重庆市工业设计促进中心永川分中心挂牌运行，建成1个市级工业设计培训基地，出台区级工业设计中心认定办法，新增市级和区级工业设计中心10家，联合举办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泸永江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三地工业设计大赛。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8.着力推进区域协同发展。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20"/>
          <w:lang w:val="en-US" w:eastAsia="zh-CN" w:bidi="ar-SA"/>
        </w:rPr>
        <w:t>积极抢抓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新时代西部大开发、成渝地区双城经济圈建设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“双循环”格局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国家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多重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战略与新一轮科技革命和产业变革历史性交汇机遇，发挥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成渝地区双城经济圈枢纽节点、重庆主城都市区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战略支点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优势，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积极融入川南渝西融合发展试验区、泸永江融合发展示范区建设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。高质量推动永川综保区建设，做大做强永川-蒲江中德产业合作示范园，加快推进泸永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装备制造产业联盟、“成渝德眉资”产业协同等工作取得新突破，大力推动产业链供应链全面融入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20"/>
          <w:lang w:val="en-US" w:eastAsia="zh-CN" w:bidi="ar-SA"/>
        </w:rPr>
        <w:t>区域协同发展，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提升永川制造业在成渝地区双城经济圈中的支撑力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Hans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聚力实施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Hans"/>
        </w:rPr>
        <w:t>要素保障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工程，提升营商环境“温度”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7" w:firstLineChars="196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9.着力提升电气讯保障水平。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开工建设永川500kV输变电工程，完成白鹤滩-浙江特高压直流输电线路工程组塔建设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白鹤滩-江苏特高压直流输电线路工程竣工投运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完成来三线至港桥园区燃气管道工程，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加快推进中石油页岩气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威津线（威远至江津）仙龙下载门站至港桥园区输气管道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建设。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5G网络基站建设，实现5G重点区域连续覆盖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，计划全年完成500个5G基站建设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，确保建设数量名列渝西地区前列。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7" w:firstLineChars="196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着力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强化人才资源供给。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val="en-US" w:eastAsia="zh-CN"/>
        </w:rPr>
        <w:t>做好辖区制造业企业人才情况摸底调查工作。摸清区内制造业人才引进、储备和重点产业人才需求情况，加快建立产业人才统计台账，掌握制造业紧缺岗位数量、专业方向等情况。研究出台制造业产业人才队伍规划和实施方案。靶向引育一批在制造业领域行业领先、贡献突出、带动性强的行业领军人才，发挥产业人才领头雁作用。通过产教融合、订单培养、职业技能提升培训等方式，着力培养一批善创新、肯钻研、懂技术、会操作的中高级专业技术技能人才，发挥产业人才生力军作用。通过对规划建设、招商引资、园区管理、资本运营、企业服务等领域新经济、新知识的系统性、专业化教育培训，培养一批工业经济发展服务人才。采取理论培训和现场教学相结合、“走出去”“请进来”相结合的方式，滚动分类推进领军型、科技型、成长型、初创型四类制造业优秀企业家培育，打造一批具有全球战略眼光、市场开拓精神、管理创新能力和社会责任感的优秀企业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11.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着力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优化政策资金引领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牵头编制《永川区2022年企业扶持政策汇编》，成为企业政策资金申报指南。加大各项优惠政策宣传力度，做到企业知晓率达100%，帮助企业做好“工业和信息化专项资金”“中小微企业发展专项资金”和“制造业高质量发展18条”涉企政策的申报、兑现工作。强化金融供需对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创新融资服务体制机制，搭建重点企业、重点项目等与银行、基金、风投等各类金融机构对接平台，推动商业银行量身定制“专精特新”企业金融服务方案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推动“渝企金服”和商业价值信用贷款扩面增效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/>
          <w:color w:val="auto"/>
          <w:sz w:val="32"/>
          <w:szCs w:val="32"/>
        </w:rPr>
        <w:t>持续推进转贷应急周转资金、中小企业风险补偿贷款工作，帮助解决企业融资难题。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更加关心中小微企业，建立健全企业应付账款及权益维护应对机制，依法依规加大保障中小企业款项支付工作力度。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督促供电供气企业认真贯彻执行关于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清理规范城镇供水供电供气行业收费促进行业高质量发展实施方案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要求，促进我区企业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电气服务供给质量、供给效率明显提高。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强化企业用电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成本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诊断，继续实施用气大户企业“一企一策”，切实降低用能成本。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Hans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聚力实施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Hans"/>
        </w:rPr>
        <w:t>服务能力提升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工程，提升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Hans"/>
        </w:rPr>
        <w:t>服务意识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Hans"/>
        </w:rPr>
        <w:t>高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度”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12.着力提升企业培育能力。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20"/>
          <w:lang w:val="en-US" w:eastAsia="zh-CN" w:bidi="ar-SA"/>
        </w:rPr>
        <w:t>建立各行业细分领域“大企业产业需求清单”和“中小企业产品供给清单”，组织开展“大手牵小手”行动，引导大型领军企业发挥在资本、品牌和产供销体系等方面的优势，开放共享资源，推动大中小企业在设计研发、生产制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20"/>
          <w:lang w:val="en-US" w:eastAsia="zh-CN" w:bidi="ar-SA"/>
        </w:rPr>
        <w:t>、资金融通、品牌嫁接等方面深度融合，构建创新协同、资源共享、供应链互通的产业创新生态。实施专精特新中小企业“育林”工程，加速中小企业从“小而多”向“精而强”转变，积极新培育认定国家级专精特新 “小巨人”企业，2022年力争新增20家市级“专精特新”企业、2家国家“小巨人”企业。</w:t>
      </w:r>
    </w:p>
    <w:p>
      <w:pPr>
        <w:keepNext w:val="0"/>
        <w:keepLines w:val="0"/>
        <w:pageBreakBefore w:val="0"/>
        <w:widowControl w:val="0"/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13.着力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优化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运行监测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能力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  <w:t>树立综合运行、齐守底线的工作理念</w:t>
      </w:r>
      <w:r>
        <w:rPr>
          <w:rFonts w:hint="eastAsia" w:ascii="方正仿宋_GBK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  <w:t>把稳增长摆在突出位置，全面落实关于振作工业经济运行、推动工业高质量发展的实施方案，围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  <w:t>绕预期目标强化综合施策，稳住工业运行基本盘。精准研判存量增量和总量增速、整体运行和“</w:t>
      </w:r>
      <w:r>
        <w:rPr>
          <w:rFonts w:hint="eastAsia" w:ascii="方正仿宋_GBK" w:eastAsia="方正仿宋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  <w:t>个重点”（重点行业、重点企业、重点项目）增减变化。制度化抓好运行监测，做好年度发展目标预测预研，着力做好煤油电气讯等要素保障工作，常态化推进重点企业走访调研和月监测季分析机制等落实，及时协调解决工业发展中的各类问题，提升运行监测的针对性、及时性和有效性。</w:t>
      </w:r>
    </w:p>
    <w:p>
      <w:pPr>
        <w:keepNext w:val="0"/>
        <w:keepLines w:val="0"/>
        <w:pageBreakBefore w:val="0"/>
        <w:widowControl w:val="0"/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14.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着力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提高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项目促建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能力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保持“谋划储备一批、签约落地一批、开工新建一批、投产达效一批”的节奏，确保项目不断档、不停步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紧盯国家战略、产业升级方向、科技创新前沿，按照“投资规模大、科技含量高、带动能力强”要求，谋划储备一批重大项目。加强项目招引对接服务，结合比较优势和产业发展方向，创新招商引资方式与政策，推动项目高效签约。把准企业投资意向，在手续办理、政策争取、要素保障等开展跟踪服务，提升项目落地便利化水平，提高在谈项目落地率。推动全区传统优势产业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新兴产业实施技术改造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区域存量工业企业提产扩能。强化项目前期服务，逐一梳理计划新开工项目前期手续办理情况，实行专人负责、挂图作战、限时推进，加快联审联批，及时保障建设要素，全力推动星星智能冷链生产基地（二期）、蜂巢传动9（H）AT变速器（二期）、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太平洋精工汽车用高端齿轮及轻量化等关键零部件生产基地项目、理文牛皮箱板纸造纸迁建及原料替代技术改造项目（一期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）等5个市级重点项目、122个区级重点项目开工建设。统筹解决项目建设中的突出问题，加速推进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重庆长城智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能科技有限公司铸造基地、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健电动摩托车车架及配件生产、松峰年产300万台电摩关重件生产等项目建成投产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15.着力夯实安全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监管能力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</w:rPr>
        <w:t>贯彻落实安全生产专项整治三年行动挂图作战任务清单，持续开展经信系统安全生产“大学习、大排查、大整治、大执法”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lang w:eastAsia="zh-CN"/>
        </w:rPr>
        <w:t>活动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</w:rPr>
        <w:t>，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lang w:eastAsia="zh-CN"/>
        </w:rPr>
        <w:t>深化燃气油气行业专项整治工作，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  <w:t>加快推进燃气管网更新改造和居民用户燃气安全装置加装，全力压茬推进液化石油气充装站搬迁、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  <w:t>个瓶库建设以及民爆仓库标准化建设。建立健全企业一线员工“两单两卡”工作制度，提升行业安全本质水平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方正仿宋_GBK" w:eastAsia="方正仿宋_GBK"/>
          <w:color w:val="auto"/>
          <w:sz w:val="32"/>
          <w:szCs w:val="32"/>
        </w:rPr>
        <w:t>强化工业企业分区域监管和联动执法机制，做到与镇街、园区上下衔接，不留死角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，力争做到全覆盖和监管闭环，确保全区电力、天然气、液化石油气、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  <w:t>醇基燃料、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民爆等</w:t>
      </w:r>
      <w:r>
        <w:rPr>
          <w:rFonts w:hint="eastAsia" w:ascii="方正仿宋_GBK" w:eastAsia="方正仿宋_GBK"/>
          <w:color w:val="auto"/>
          <w:sz w:val="32"/>
          <w:szCs w:val="32"/>
        </w:rPr>
        <w:t>行业稳定运行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color w:val="auto"/>
          <w:sz w:val="32"/>
          <w:szCs w:val="32"/>
        </w:rPr>
        <w:t>严格落实行业安全监管职责，督促企业落实安全生产主体责任，确保企业安全责任、安全管理、安全投入、安全培训和应急救援“五到位”，形成上下联动、齐抓共管的安全生产监管格局。切实做好重要节点期间的稳定工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作和重大项目稳定风险评估工作，预防和及时化解存在的各类矛盾纠纷。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eastAsia="方正黑体简体"/>
          <w:color w:va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着力提升党建引领能力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eastAsia="方正仿宋_GBK"/>
          <w:color w:val="auto"/>
          <w:sz w:val="32"/>
          <w:szCs w:val="32"/>
        </w:rPr>
        <w:t>坚持把党的政治建设摆在首位，坚守初心和使命，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深化</w:t>
      </w:r>
      <w:r>
        <w:rPr>
          <w:rFonts w:hint="eastAsia" w:eastAsia="方正仿宋_GBK"/>
          <w:color w:val="auto"/>
          <w:sz w:val="32"/>
          <w:szCs w:val="32"/>
        </w:rPr>
        <w:t>党史学习教育，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深刻认识“两个确立”，</w:t>
      </w:r>
      <w:r>
        <w:rPr>
          <w:rFonts w:hint="eastAsia" w:eastAsia="方正仿宋_GBK"/>
          <w:color w:val="auto"/>
          <w:sz w:val="32"/>
          <w:szCs w:val="32"/>
        </w:rPr>
        <w:t>牢固树立“四个意识”，坚定“四个自信”，坚决做到“两个维护”。</w:t>
      </w:r>
      <w:r>
        <w:rPr>
          <w:rFonts w:eastAsia="方正仿宋_GBK"/>
          <w:color w:val="auto"/>
          <w:sz w:val="32"/>
          <w:szCs w:val="32"/>
        </w:rPr>
        <w:t>严格落实全面从严治党主体责任，</w:t>
      </w:r>
      <w:r>
        <w:rPr>
          <w:rFonts w:hint="eastAsia" w:eastAsia="方正仿宋_GBK"/>
          <w:color w:val="auto"/>
          <w:sz w:val="32"/>
          <w:szCs w:val="32"/>
        </w:rPr>
        <w:t>认真开展“以案四说”、“以案四改”警示教育，</w:t>
      </w:r>
      <w:r>
        <w:rPr>
          <w:rFonts w:eastAsia="方正仿宋_GBK"/>
          <w:color w:val="auto"/>
          <w:sz w:val="32"/>
          <w:szCs w:val="32"/>
        </w:rPr>
        <w:t>对干部职工的思想作风和纪律约束做到严、紧、实</w:t>
      </w:r>
      <w:r>
        <w:rPr>
          <w:rFonts w:hint="eastAsia" w:eastAsia="方正仿宋_GBK"/>
          <w:color w:val="auto"/>
          <w:sz w:val="32"/>
          <w:szCs w:val="32"/>
        </w:rPr>
        <w:t>，努力提高干部职工廉洁自律自觉性，</w:t>
      </w:r>
      <w:r>
        <w:rPr>
          <w:rFonts w:eastAsia="方正仿宋_GBK"/>
          <w:color w:val="auto"/>
          <w:sz w:val="32"/>
          <w:szCs w:val="32"/>
        </w:rPr>
        <w:t>以抓作风、抓纪律、抓意识形态的成效促进业务工作</w:t>
      </w:r>
      <w:r>
        <w:rPr>
          <w:rFonts w:hint="eastAsia" w:eastAsia="方正仿宋_GBK"/>
          <w:color w:val="auto"/>
          <w:sz w:val="32"/>
          <w:szCs w:val="32"/>
        </w:rPr>
        <w:t>有序开展</w:t>
      </w:r>
      <w:r>
        <w:rPr>
          <w:rFonts w:eastAsia="方正仿宋_GBK"/>
          <w:color w:val="auto"/>
          <w:sz w:val="32"/>
          <w:szCs w:val="32"/>
        </w:rPr>
        <w:t>。不断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强化</w:t>
      </w:r>
      <w:r>
        <w:rPr>
          <w:rFonts w:eastAsia="方正仿宋_GBK"/>
          <w:color w:val="auto"/>
          <w:sz w:val="32"/>
          <w:szCs w:val="32"/>
        </w:rPr>
        <w:t>业务能力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提升</w:t>
      </w:r>
      <w:r>
        <w:rPr>
          <w:rFonts w:eastAsia="方正仿宋_GBK"/>
          <w:color w:val="auto"/>
          <w:sz w:val="32"/>
          <w:szCs w:val="32"/>
        </w:rPr>
        <w:t>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扎实开展书香型机关建设，</w:t>
      </w:r>
      <w:r>
        <w:rPr>
          <w:rFonts w:hint="eastAsia" w:eastAsia="方正仿宋_GBK"/>
          <w:color w:val="auto"/>
          <w:sz w:val="32"/>
          <w:szCs w:val="32"/>
        </w:rPr>
        <w:t>持续深化经信系统“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底数清、数字准、</w:t>
      </w:r>
      <w:r>
        <w:rPr>
          <w:rFonts w:hint="eastAsia" w:eastAsia="方正仿宋_GBK"/>
          <w:color w:val="auto"/>
          <w:sz w:val="32"/>
          <w:szCs w:val="32"/>
        </w:rPr>
        <w:t>情况明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</w:rPr>
        <w:t>懂产业、懂政策、懂发展”专题学习教育活动，</w:t>
      </w:r>
      <w:r>
        <w:rPr>
          <w:rFonts w:eastAsia="方正仿宋_GBK"/>
          <w:color w:val="auto"/>
          <w:sz w:val="32"/>
          <w:szCs w:val="32"/>
        </w:rPr>
        <w:t>深刻把握新一轮技术变革和产业革命趋势和规律，力争成为推动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产业发展的</w:t>
      </w:r>
      <w:r>
        <w:rPr>
          <w:rFonts w:eastAsia="方正仿宋_GBK"/>
          <w:color w:val="auto"/>
          <w:sz w:val="32"/>
          <w:szCs w:val="32"/>
        </w:rPr>
        <w:t>行家里手和中流砥柱。</w:t>
      </w:r>
      <w:r>
        <w:rPr>
          <w:rFonts w:hint="eastAsia" w:eastAsia="方正仿宋_GBK"/>
          <w:color w:val="auto"/>
          <w:sz w:val="32"/>
          <w:szCs w:val="32"/>
        </w:rPr>
        <w:t>积极践行“1256”服务理念，常态化抓好服务镇街、服务园区、服务企业“三服务”工作，重心下移、力量下沉，引导预期、强化帮扶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auto"/>
          <w:sz w:val="32"/>
          <w:szCs w:val="32"/>
        </w:rPr>
        <w:t>了解情况、剖析问题、研究规律，</w:t>
      </w:r>
      <w:r>
        <w:rPr>
          <w:rFonts w:eastAsia="方正仿宋_GBK"/>
          <w:color w:val="auto"/>
          <w:sz w:val="32"/>
          <w:szCs w:val="32"/>
        </w:rPr>
        <w:t>善于用创新的思维和方法去应对工业经济发展过程中的困难和问题，切实增强责任意识，敢啃“硬骨头”</w:t>
      </w:r>
      <w:r>
        <w:rPr>
          <w:rFonts w:hint="eastAsia" w:eastAsia="方正仿宋_GBK"/>
          <w:color w:val="auto"/>
          <w:sz w:val="32"/>
          <w:szCs w:val="32"/>
        </w:rPr>
        <w:t>，服务工业经济高质量发展</w:t>
      </w:r>
      <w:r>
        <w:rPr>
          <w:rFonts w:eastAsia="方正仿宋_GBK"/>
          <w:color w:val="auto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A5"/>
    <w:rsid w:val="001B7661"/>
    <w:rsid w:val="00AD04A5"/>
    <w:rsid w:val="02420334"/>
    <w:rsid w:val="03154C0C"/>
    <w:rsid w:val="07453B69"/>
    <w:rsid w:val="0E0273AD"/>
    <w:rsid w:val="1B1A127A"/>
    <w:rsid w:val="226824EA"/>
    <w:rsid w:val="226DA60A"/>
    <w:rsid w:val="25E54CB2"/>
    <w:rsid w:val="26B74ABE"/>
    <w:rsid w:val="27BEE00B"/>
    <w:rsid w:val="27E91AEF"/>
    <w:rsid w:val="2CA03D17"/>
    <w:rsid w:val="31057EEE"/>
    <w:rsid w:val="35B532C4"/>
    <w:rsid w:val="37DF4363"/>
    <w:rsid w:val="39E44B61"/>
    <w:rsid w:val="3C4261E3"/>
    <w:rsid w:val="3C4E4440"/>
    <w:rsid w:val="3E71303B"/>
    <w:rsid w:val="42F1164E"/>
    <w:rsid w:val="4C6448A8"/>
    <w:rsid w:val="4CF1382D"/>
    <w:rsid w:val="4FFD316B"/>
    <w:rsid w:val="59CD59B1"/>
    <w:rsid w:val="5E6101A7"/>
    <w:rsid w:val="620A44BC"/>
    <w:rsid w:val="64730A9A"/>
    <w:rsid w:val="69A83BEE"/>
    <w:rsid w:val="730C7E9D"/>
    <w:rsid w:val="748E2921"/>
    <w:rsid w:val="7CB764E9"/>
    <w:rsid w:val="7E6274B5"/>
    <w:rsid w:val="7ED04E96"/>
    <w:rsid w:val="B64F380F"/>
    <w:rsid w:val="BFA28B3A"/>
    <w:rsid w:val="BFF3D684"/>
    <w:rsid w:val="D74DB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exact"/>
      <w:ind w:firstLine="632" w:firstLineChars="200"/>
      <w:outlineLvl w:val="0"/>
    </w:pPr>
    <w:rPr>
      <w:rFonts w:ascii="Calibri" w:hAnsi="Calibri" w:eastAsia="方正黑体简体"/>
      <w:bCs/>
      <w:kern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7"/>
    <w:basedOn w:val="1"/>
    <w:next w:val="1"/>
    <w:qFormat/>
    <w:uiPriority w:val="0"/>
    <w:pPr>
      <w:ind w:left="25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2">
    <w:name w:val="Heading1"/>
    <w:basedOn w:val="1"/>
    <w:next w:val="1"/>
    <w:qFormat/>
    <w:uiPriority w:val="0"/>
    <w:pPr>
      <w:keepNext/>
      <w:keepLines/>
      <w:spacing w:line="578" w:lineRule="exact"/>
      <w:ind w:firstLine="632" w:firstLineChars="200"/>
    </w:pPr>
    <w:rPr>
      <w:rFonts w:ascii="Calibri" w:hAnsi="Calibri" w:eastAsia="方正黑体简体"/>
      <w:bCs/>
      <w:kern w:val="44"/>
      <w:szCs w:val="44"/>
    </w:rPr>
  </w:style>
  <w:style w:type="paragraph" w:customStyle="1" w:styleId="13">
    <w:name w:val="Body Text First Indent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5784</Words>
  <Characters>5956</Characters>
  <Lines>0</Lines>
  <Paragraphs>0</Paragraphs>
  <TotalTime>2</TotalTime>
  <ScaleCrop>false</ScaleCrop>
  <LinksUpToDate>false</LinksUpToDate>
  <CharactersWithSpaces>6030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2022-02-12T23:35:00Z</dcterms:created>
  <dc:creator>lemon-cc</dc:creator>
  <cp:lastModifiedBy>greatwall</cp:lastModifiedBy>
  <cp:lastPrinted>2022-02-23T03:59:00Z</cp:lastPrinted>
  <dcterms:modified xsi:type="dcterms:W3CDTF">2025-03-05T11:40:42Z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340A72D13B1F51519AF82865BDF09498</vt:lpwstr>
  </property>
</Properties>
</file>