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方正仿宋_GBK" w:hAnsi="宋体"/>
        </w:rPr>
      </w:pPr>
    </w:p>
    <w:p>
      <w:pPr>
        <w:adjustRightInd w:val="0"/>
        <w:snapToGrid w:val="0"/>
        <w:spacing w:line="600" w:lineRule="exact"/>
        <w:rPr>
          <w:rFonts w:hint="eastAsia" w:ascii="方正仿宋_GBK" w:hAnsi="宋体"/>
        </w:rPr>
      </w:pPr>
    </w:p>
    <w:p>
      <w:pPr>
        <w:adjustRightInd w:val="0"/>
        <w:snapToGrid w:val="0"/>
        <w:spacing w:line="600" w:lineRule="exact"/>
        <w:rPr>
          <w:rFonts w:hint="eastAsia" w:ascii="方正仿宋_GBK" w:hAnsi="宋体"/>
        </w:rPr>
      </w:pPr>
    </w:p>
    <w:p>
      <w:pPr>
        <w:adjustRightInd w:val="0"/>
        <w:snapToGrid w:val="0"/>
        <w:spacing w:line="600" w:lineRule="exact"/>
        <w:rPr>
          <w:rFonts w:hint="eastAsia" w:ascii="方正仿宋_GBK" w:hAnsi="宋体"/>
        </w:rPr>
      </w:pPr>
      <w:r>
        <w:rPr>
          <w:color w:val="FFFFFF"/>
          <w:szCs w:val="32"/>
          <w:u w:val="thick"/>
        </w:rPr>
        <w:pict>
          <v:shape id="AutoShape 2" o:spid="_x0000_s2058" o:spt="136" type="#_x0000_t136" style="position:absolute;left:0pt;margin-left:90.2pt;margin-top:185.7pt;height:67.5pt;width:424.65pt;mso-position-horizontal-relative:page;mso-position-vertical-relative:page;z-index:251660288;mso-width-relative:page;mso-height-relative:page;" fillcolor="#FF0000" filled="t" stroked="t" coordsize="21600,21600">
            <v:path/>
            <v:fill on="t" focussize="0,0"/>
            <v:stroke color="#FF0000"/>
            <v:imagedata o:title=""/>
            <o:lock v:ext="edit" aspectratio="f"/>
            <v:textpath on="t" fitshape="t" fitpath="t" trim="t" xscale="f" string="重庆市永川区经济和信息化委员会文件" style="font-family:方正小标宋_GBK;font-size:60pt;v-text-align:center;"/>
          </v:shape>
        </w:pict>
      </w:r>
    </w:p>
    <w:p>
      <w:pPr>
        <w:adjustRightInd w:val="0"/>
        <w:snapToGrid w:val="0"/>
        <w:spacing w:line="600" w:lineRule="exact"/>
        <w:rPr>
          <w:rFonts w:hint="eastAsia" w:ascii="方正仿宋_GBK" w:hAnsi="宋体"/>
        </w:rPr>
      </w:pPr>
    </w:p>
    <w:p>
      <w:pPr>
        <w:adjustRightInd w:val="0"/>
        <w:snapToGrid w:val="0"/>
        <w:spacing w:line="600" w:lineRule="exact"/>
        <w:rPr>
          <w:rFonts w:hint="eastAsia" w:ascii="方正仿宋_GBK" w:hAnsi="宋体"/>
        </w:rPr>
      </w:pPr>
    </w:p>
    <w:p>
      <w:pPr>
        <w:spacing w:line="720" w:lineRule="exact"/>
        <w:jc w:val="both"/>
        <w:rPr>
          <w:rFonts w:hint="eastAsia"/>
          <w:color w:val="FFFFFF"/>
          <w:szCs w:val="32"/>
          <w:u w:val="thick"/>
        </w:rPr>
      </w:pPr>
      <w:r>
        <w:rPr>
          <w:color w:val="FFFFFF"/>
          <w:szCs w:val="32"/>
        </w:rPr>
        <mc:AlternateContent>
          <mc:Choice Requires="wps">
            <w:drawing>
              <wp:anchor distT="0" distB="0" distL="114300" distR="114300" simplePos="0" relativeHeight="251659264" behindDoc="0" locked="0" layoutInCell="1" allowOverlap="1">
                <wp:simplePos x="0" y="0"/>
                <wp:positionH relativeFrom="page">
                  <wp:posOffset>1021715</wp:posOffset>
                </wp:positionH>
                <wp:positionV relativeFrom="page">
                  <wp:posOffset>4381500</wp:posOffset>
                </wp:positionV>
                <wp:extent cx="5615940" cy="0"/>
                <wp:effectExtent l="0" t="19050" r="3810" b="19050"/>
                <wp:wrapNone/>
                <wp:docPr id="1" name="AutoShape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AutoShape 4" o:spid="_x0000_s1026" o:spt="32" type="#_x0000_t32" style="position:absolute;left:0pt;margin-left:80.45pt;margin-top:345pt;height:0pt;width:442.2pt;mso-position-horizontal-relative:page;mso-position-vertical-relative:page;z-index:251659264;mso-width-relative:page;mso-height-relative:page;" filled="f" stroked="t" coordsize="21600,21600" o:gfxdata="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aYwLbNkAAAAMAQAADwAAAAAAAAABACAAAAA4AAAAZHJzL2Rvd25yZXYueG1s&#10;UEsBAhQAFAAAAAgAh07iQDr3iTnhAQAA4QMAAA4AAAAAAAAAAQAgAAAAPgEAAGRycy9lMm9Eb2Mu&#10;eG1sUEsFBgAAAAAGAAYAWQEAAJEFAAAAAA==&#10;">
                <v:fill on="f" focussize="0,0"/>
                <v:stroke weight="3pt" color="#FF0000" joinstyle="round"/>
                <v:imagedata o:title=""/>
                <o:lock v:ext="edit" aspectratio="f"/>
              </v:shape>
            </w:pict>
          </mc:Fallback>
        </mc:AlternateContent>
      </w:r>
      <w:r>
        <w:rPr>
          <w:rFonts w:hint="eastAsia"/>
          <w:color w:val="FFFFFF"/>
          <w:szCs w:val="32"/>
          <w:u w:val="thick"/>
        </w:rPr>
        <w:tab/>
      </w:r>
    </w:p>
    <w:p>
      <w:pPr>
        <w:pStyle w:val="2"/>
      </w:pPr>
    </w:p>
    <w:p>
      <w:pPr>
        <w:jc w:val="center"/>
        <w:rPr>
          <w:rFonts w:ascii="方正仿宋_GBK"/>
          <w:szCs w:val="32"/>
        </w:rPr>
      </w:pPr>
      <w:r>
        <w:rPr>
          <w:rFonts w:hint="eastAsia" w:ascii="方正仿宋_GBK"/>
          <w:szCs w:val="32"/>
        </w:rPr>
        <w:t>永经信发〔2022〕3号</w:t>
      </w:r>
    </w:p>
    <w:p>
      <w:pPr>
        <w:spacing w:line="594" w:lineRule="exact"/>
        <w:jc w:val="both"/>
        <w:rPr>
          <w:rFonts w:hint="eastAsia" w:ascii="方正小标宋_GBK" w:hAnsi="方正仿宋_GBK" w:eastAsia="方正小标宋_GBK" w:cs="方正仿宋_GBK"/>
          <w:sz w:val="44"/>
          <w:szCs w:val="44"/>
        </w:rPr>
      </w:pP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重庆市永川区经济和信息化委员会</w:t>
      </w:r>
    </w:p>
    <w:p>
      <w:pPr>
        <w:spacing w:line="594"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关于加强高压电力用户侧用电安全管理的通知</w:t>
      </w:r>
    </w:p>
    <w:p>
      <w:pPr>
        <w:spacing w:line="594" w:lineRule="exact"/>
        <w:jc w:val="center"/>
        <w:rPr>
          <w:rFonts w:ascii="方正小标宋_GBK" w:eastAsia="方正小标宋_GBK"/>
          <w:sz w:val="44"/>
          <w:szCs w:val="44"/>
        </w:rPr>
      </w:pPr>
    </w:p>
    <w:p>
      <w:pPr>
        <w:spacing w:line="560" w:lineRule="exact"/>
        <w:rPr>
          <w:rFonts w:ascii="方正仿宋_GBK"/>
          <w:szCs w:val="32"/>
        </w:rPr>
      </w:pPr>
      <w:r>
        <w:rPr>
          <w:rFonts w:hint="eastAsia" w:ascii="方正仿宋_GBK"/>
          <w:szCs w:val="32"/>
        </w:rPr>
        <w:t>各镇街经发办、产业促进中心经发局，国网永川供电分公司，永荣电力公司，各高压电力用户：</w:t>
      </w:r>
    </w:p>
    <w:p>
      <w:pPr>
        <w:spacing w:line="560" w:lineRule="exact"/>
        <w:ind w:firstLine="640" w:firstLineChars="200"/>
        <w:rPr>
          <w:szCs w:val="32"/>
        </w:rPr>
      </w:pPr>
      <w:r>
        <w:rPr>
          <w:rFonts w:hint="eastAsia"/>
          <w:szCs w:val="32"/>
        </w:rPr>
        <w:t>2021</w:t>
      </w:r>
      <w:r>
        <w:rPr>
          <w:rFonts w:hint="eastAsia" w:ascii="方正仿宋_GBK"/>
          <w:szCs w:val="32"/>
        </w:rPr>
        <w:t>年我区因专变用户电力设施故障引发公共电网停电</w:t>
      </w:r>
      <w:r>
        <w:rPr>
          <w:rFonts w:hint="eastAsia"/>
          <w:szCs w:val="32"/>
        </w:rPr>
        <w:t>18</w:t>
      </w:r>
      <w:r>
        <w:rPr>
          <w:rFonts w:hint="eastAsia" w:ascii="方正仿宋_GBK"/>
          <w:szCs w:val="32"/>
        </w:rPr>
        <w:t>次，对电网安全运行和企业正常生产经营产生较大影响。为提高供用电可靠性，进一步优化我区电力营商环境，现就加强高压电力用户用电安全管理工作通知如下：</w:t>
      </w:r>
    </w:p>
    <w:p>
      <w:pPr>
        <w:spacing w:line="560" w:lineRule="exact"/>
        <w:ind w:firstLine="640" w:firstLineChars="200"/>
        <w:rPr>
          <w:rFonts w:eastAsia="方正黑体_GBK"/>
          <w:szCs w:val="32"/>
        </w:rPr>
      </w:pPr>
      <w:r>
        <w:rPr>
          <w:rFonts w:hint="eastAsia" w:ascii="方正黑体_GBK" w:eastAsia="方正黑体_GBK"/>
          <w:szCs w:val="32"/>
        </w:rPr>
        <w:t>一、总体目标</w:t>
      </w:r>
    </w:p>
    <w:p>
      <w:pPr>
        <w:spacing w:line="560" w:lineRule="exact"/>
        <w:ind w:firstLine="640" w:firstLineChars="200"/>
        <w:rPr>
          <w:szCs w:val="32"/>
        </w:rPr>
      </w:pPr>
      <w:r>
        <w:rPr>
          <w:rFonts w:hint="eastAsia" w:ascii="方正仿宋_GBK"/>
          <w:szCs w:val="32"/>
        </w:rPr>
        <w:t>按照重庆市《</w:t>
      </w:r>
      <w:r>
        <w:rPr>
          <w:rFonts w:hint="eastAsia"/>
          <w:szCs w:val="32"/>
        </w:rPr>
        <w:t>2020</w:t>
      </w:r>
      <w:r>
        <w:rPr>
          <w:rFonts w:hint="eastAsia" w:ascii="方正仿宋_GBK"/>
          <w:szCs w:val="32"/>
        </w:rPr>
        <w:t>年对标国际先进优化营商环境实施方案》（渝府办发〔</w:t>
      </w:r>
      <w:r>
        <w:rPr>
          <w:rFonts w:hint="eastAsia"/>
          <w:szCs w:val="32"/>
        </w:rPr>
        <w:t>2020</w:t>
      </w:r>
      <w:r>
        <w:rPr>
          <w:rFonts w:hint="eastAsia" w:ascii="方正仿宋_GBK"/>
          <w:szCs w:val="32"/>
        </w:rPr>
        <w:t>〕</w:t>
      </w:r>
      <w:r>
        <w:rPr>
          <w:rFonts w:hint="eastAsia"/>
          <w:szCs w:val="32"/>
        </w:rPr>
        <w:t>112</w:t>
      </w:r>
      <w:r>
        <w:rPr>
          <w:rFonts w:hint="eastAsia" w:ascii="方正仿宋_GBK"/>
          <w:szCs w:val="32"/>
        </w:rPr>
        <w:t>）要求，根据《安全生产法》、《电力法》、《重庆市供用电条例》、《</w:t>
      </w:r>
      <w:r>
        <w:rPr>
          <w:rFonts w:hint="eastAsia" w:ascii="方正仿宋_GBK"/>
          <w:kern w:val="0"/>
          <w:szCs w:val="32"/>
        </w:rPr>
        <w:t>供电营业规则</w:t>
      </w:r>
      <w:r>
        <w:rPr>
          <w:rFonts w:hint="eastAsia" w:ascii="方正仿宋_GBK"/>
          <w:szCs w:val="32"/>
        </w:rPr>
        <w:t>》、《高压电力用户用电安全》、《电力用户供配电设施运行维护规范》《电力设备预防性试验规程》（</w:t>
      </w:r>
      <w:r>
        <w:rPr>
          <w:rFonts w:hint="eastAsia"/>
          <w:szCs w:val="32"/>
        </w:rPr>
        <w:t>DL/T596-1996</w:t>
      </w:r>
      <w:r>
        <w:rPr>
          <w:rFonts w:hint="eastAsia" w:ascii="方正仿宋_GBK"/>
          <w:szCs w:val="32"/>
        </w:rPr>
        <w:t>）等法律法规及相关标准，进一步明确高压电力用户职责、压实安全责任、提高安全意识、规范设备管理要求和定期检查措施，改善高压电力用户供用电设施设备安全水平，降低电网运行安全风险，提高供电质量，优化用电环境。</w:t>
      </w:r>
    </w:p>
    <w:p>
      <w:pPr>
        <w:spacing w:line="560" w:lineRule="exact"/>
        <w:ind w:firstLine="640" w:firstLineChars="200"/>
        <w:rPr>
          <w:rFonts w:eastAsia="方正黑体_GBK"/>
          <w:szCs w:val="32"/>
        </w:rPr>
      </w:pPr>
      <w:r>
        <w:rPr>
          <w:rFonts w:hint="eastAsia" w:ascii="方正黑体_GBK" w:eastAsia="方正黑体_GBK"/>
          <w:szCs w:val="32"/>
        </w:rPr>
        <w:t>二、对象界定</w:t>
      </w:r>
    </w:p>
    <w:p>
      <w:pPr>
        <w:spacing w:line="560" w:lineRule="exact"/>
        <w:ind w:firstLine="640" w:firstLineChars="200"/>
        <w:rPr>
          <w:szCs w:val="32"/>
        </w:rPr>
      </w:pPr>
      <w:r>
        <w:rPr>
          <w:rFonts w:hint="eastAsia" w:ascii="方正仿宋_GBK"/>
          <w:szCs w:val="32"/>
        </w:rPr>
        <w:t>本通知中高压电力用户是指电压等级在</w:t>
      </w:r>
      <w:r>
        <w:rPr>
          <w:rFonts w:hint="eastAsia"/>
          <w:szCs w:val="32"/>
        </w:rPr>
        <w:t>10</w:t>
      </w:r>
      <w:r>
        <w:rPr>
          <w:rFonts w:hint="eastAsia" w:ascii="方正仿宋_GBK"/>
          <w:szCs w:val="32"/>
        </w:rPr>
        <w:t>千伏及以上的电力用户。根据供用电合同中所描述的产权分界点后的线路、变压器、高压电机以及相应配套的高、低压设备均属于电力用户产权。</w:t>
      </w:r>
    </w:p>
    <w:p>
      <w:pPr>
        <w:spacing w:line="560" w:lineRule="exact"/>
        <w:ind w:firstLine="640" w:firstLineChars="200"/>
        <w:rPr>
          <w:rFonts w:eastAsia="方正黑体_GBK"/>
          <w:szCs w:val="32"/>
        </w:rPr>
      </w:pPr>
      <w:r>
        <w:rPr>
          <w:rFonts w:hint="eastAsia" w:ascii="方正黑体_GBK" w:eastAsia="方正黑体_GBK"/>
          <w:szCs w:val="32"/>
        </w:rPr>
        <w:t>三、工作要求</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（一）提高政治站位，充分认识该项工作的重要性。</w:t>
      </w:r>
    </w:p>
    <w:p>
      <w:pPr>
        <w:spacing w:line="560" w:lineRule="exact"/>
        <w:ind w:firstLine="640" w:firstLineChars="200"/>
        <w:jc w:val="both"/>
        <w:rPr>
          <w:szCs w:val="32"/>
        </w:rPr>
      </w:pPr>
      <w:r>
        <w:rPr>
          <w:rFonts w:hint="eastAsia" w:ascii="方正仿宋_GBK"/>
          <w:szCs w:val="32"/>
        </w:rPr>
        <w:t>高压电力设备运行维护是一项特种作业，事关电网、设备和人身安全。各镇街经发办、产业促进中心经发局、国网永川供电分公司、各高压电力用户和有关单位要讲政治、顾大局，进一步统一思想，充分认识保障电网安全运行工作的重要性，加强系统或属地高压电力用户用电安全管理工作，规范各行业用电行为。国网永川供电分公司和各高压电力用户要根据设施（设备）和线路的产权所属，按照用电设备安全管理规定和维护操作规则，加强电力运行安全监管工作，共同打造优质平稳的供用电环境。</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（二）压实主体责任，切实做好安全管理工作。</w:t>
      </w:r>
    </w:p>
    <w:p>
      <w:pPr>
        <w:spacing w:line="560" w:lineRule="exact"/>
        <w:ind w:firstLine="640" w:firstLineChars="200"/>
        <w:rPr>
          <w:szCs w:val="32"/>
        </w:rPr>
      </w:pPr>
      <w:r>
        <w:rPr>
          <w:rFonts w:hint="eastAsia" w:ascii="方正仿宋_GBK"/>
          <w:szCs w:val="32"/>
        </w:rPr>
        <w:t>国网永川供电分公司和各高压电力用户应按照</w:t>
      </w:r>
      <w:r>
        <w:rPr>
          <w:rFonts w:hint="eastAsia"/>
          <w:szCs w:val="32"/>
        </w:rPr>
        <w:t>“谁产权、谁负责”的管理原则，严格执行国家安全用电的法律法规，落实自身产权供用电设施的运行、维护、管理的安全责任。各镇街经发办、产业促进中心经发局要按照职能职责划分，切实履行各自安全监管职能职责，督促辖区各高压</w:t>
      </w:r>
      <w:r>
        <w:rPr>
          <w:rFonts w:hint="eastAsia" w:ascii="方正仿宋_GBK"/>
          <w:szCs w:val="32"/>
        </w:rPr>
        <w:t>电力用户</w:t>
      </w:r>
      <w:r>
        <w:rPr>
          <w:rFonts w:hint="eastAsia"/>
          <w:szCs w:val="32"/>
        </w:rPr>
        <w:t>切实做好安全管理工作。</w:t>
      </w:r>
    </w:p>
    <w:p>
      <w:pPr>
        <w:spacing w:line="560" w:lineRule="exact"/>
        <w:ind w:firstLine="640" w:firstLineChars="200"/>
        <w:rPr>
          <w:szCs w:val="32"/>
        </w:rPr>
      </w:pPr>
      <w:r>
        <w:rPr>
          <w:rFonts w:hint="eastAsia" w:ascii="方正楷体_GBK" w:eastAsia="方正楷体_GBK"/>
          <w:szCs w:val="32"/>
        </w:rPr>
        <w:t>（三）规范运行维护，提高设备安全管理水平。</w:t>
      </w:r>
      <w:r>
        <w:rPr>
          <w:rFonts w:hint="eastAsia" w:ascii="方正仿宋_GBK"/>
          <w:szCs w:val="32"/>
        </w:rPr>
        <w:t>一是各高压电力用户要高度重视电气设备的专业化运维，建立完善的设施（备）台账，摸清情况，确定人员和落实责任，健全明晰的监管体系。二是严格按照国家法律法规和技术标准加强安全用电管理，规范开展专用电力设备的运行维护，定期进行电气设备和保护装置的检查、检修和试验，消除设备隐患，预防电气设备事故和误动作发生（相关运行维护要求见附件</w:t>
      </w:r>
      <w:r>
        <w:rPr>
          <w:rFonts w:hint="eastAsia"/>
          <w:szCs w:val="32"/>
        </w:rPr>
        <w:t>1</w:t>
      </w:r>
      <w:r>
        <w:rPr>
          <w:rFonts w:hint="eastAsia" w:ascii="方正仿宋_GBK"/>
          <w:szCs w:val="32"/>
        </w:rPr>
        <w:t>、</w:t>
      </w:r>
      <w:r>
        <w:rPr>
          <w:rFonts w:hint="eastAsia"/>
          <w:szCs w:val="32"/>
        </w:rPr>
        <w:t>2</w:t>
      </w:r>
      <w:r>
        <w:rPr>
          <w:rFonts w:hint="eastAsia" w:ascii="方正仿宋_GBK"/>
          <w:szCs w:val="32"/>
        </w:rPr>
        <w:t>、</w:t>
      </w:r>
      <w:r>
        <w:rPr>
          <w:rFonts w:hint="eastAsia"/>
          <w:szCs w:val="32"/>
        </w:rPr>
        <w:t>3</w:t>
      </w:r>
      <w:r>
        <w:rPr>
          <w:rFonts w:hint="eastAsia" w:ascii="方正仿宋_GBK"/>
          <w:szCs w:val="32"/>
        </w:rPr>
        <w:t>、</w:t>
      </w:r>
      <w:r>
        <w:rPr>
          <w:rFonts w:hint="eastAsia"/>
          <w:szCs w:val="32"/>
        </w:rPr>
        <w:t>4</w:t>
      </w:r>
      <w:r>
        <w:rPr>
          <w:rFonts w:hint="eastAsia" w:ascii="方正仿宋_GBK"/>
          <w:szCs w:val="32"/>
        </w:rPr>
        <w:t>）。如用户无相应资质或技术能力的，应委托有相应等级承装（修、试）电力设施许可证的单位开展电气设施（设备）专业化运维。可通过国家能源局华中监管局网站查询具有相应资质的企业，查询网址为：</w:t>
      </w:r>
      <w:r>
        <w:rPr>
          <w:rFonts w:hint="eastAsia"/>
          <w:spacing w:val="-20"/>
          <w:szCs w:val="32"/>
        </w:rPr>
        <w:t>http://hzj.nea.gov.cn:81/serc/publicLisense/czxsEntList_old.action</w:t>
      </w:r>
      <w:r>
        <w:rPr>
          <w:rFonts w:hint="eastAsia" w:ascii="方正仿宋_GBK"/>
          <w:spacing w:val="-20"/>
          <w:szCs w:val="32"/>
        </w:rPr>
        <w:t>。</w:t>
      </w:r>
    </w:p>
    <w:p>
      <w:pPr>
        <w:spacing w:line="560" w:lineRule="exact"/>
        <w:ind w:firstLine="640" w:firstLineChars="200"/>
        <w:jc w:val="both"/>
        <w:rPr>
          <w:rFonts w:hint="eastAsia"/>
          <w:szCs w:val="32"/>
        </w:rPr>
      </w:pPr>
      <w:r>
        <w:rPr>
          <w:rFonts w:hint="eastAsia" w:ascii="方正楷体_GBK" w:eastAsia="方正楷体_GBK"/>
          <w:szCs w:val="32"/>
        </w:rPr>
        <w:t>（四）开展隐患排查，实现隐患整改闭环管理。</w:t>
      </w:r>
      <w:r>
        <w:rPr>
          <w:rFonts w:hint="eastAsia" w:ascii="方正仿宋_GBK"/>
          <w:szCs w:val="32"/>
        </w:rPr>
        <w:t>一是国网永川供电分公司要履行监督指导和服务宣传职责，将高压电力用户用电安全作为年度安全检查的重要内容，制定周期性检查计划，逐户开展高压电力用户现场检查，督促用户开展电气设备专业化运维和安全隐患整改，并提供必要的技术指导。同时，国网永川供电分公司要将检查发现的重大安全隐患报区经信委、相关部门及各镇街经发办、产业促进中心经发局。二是各高压电力用户严格按照供电公司检查发现的安全隐患等问题，在规定时限内完成整改。对存在的安全隐患制定整改方案，原则上在</w:t>
      </w:r>
      <w:r>
        <w:rPr>
          <w:rFonts w:hint="eastAsia"/>
          <w:szCs w:val="32"/>
        </w:rPr>
        <w:t>1</w:t>
      </w:r>
      <w:r>
        <w:rPr>
          <w:rFonts w:hint="eastAsia" w:ascii="方正仿宋_GBK"/>
          <w:szCs w:val="32"/>
        </w:rPr>
        <w:t>个月内完成整改。</w:t>
      </w:r>
    </w:p>
    <w:p>
      <w:pPr>
        <w:spacing w:line="560" w:lineRule="exact"/>
        <w:ind w:firstLine="640" w:firstLineChars="200"/>
        <w:rPr>
          <w:rFonts w:hint="eastAsia" w:ascii="Calibri" w:hAnsi="Calibri" w:eastAsia="宋体"/>
          <w:sz w:val="21"/>
          <w:szCs w:val="21"/>
        </w:rPr>
      </w:pPr>
      <w:r>
        <w:rPr>
          <w:rFonts w:hint="eastAsia" w:ascii="方正仿宋_GBK"/>
          <w:szCs w:val="32"/>
        </w:rPr>
        <w:t>为确保工作取得实效，我委将会同国网永川供电分公司开展不定期检查，对工作开展不力或隐患整改不到位的高压电力用户进行督导。对敷衍了事、未按照相关标准规范加强所属设施（设备）和线路等安全管理工作，引发电网停电事故的，将严肃追究事故责任单位及相关人员责任，情节严重的将移交司法机关处理。</w:t>
      </w:r>
    </w:p>
    <w:p>
      <w:pPr>
        <w:spacing w:line="560" w:lineRule="exact"/>
        <w:ind w:firstLine="642" w:firstLineChars="200"/>
        <w:rPr>
          <w:rFonts w:hint="eastAsia" w:ascii="方正楷体_GBK" w:eastAsia="方正楷体_GBK"/>
          <w:b/>
          <w:szCs w:val="32"/>
        </w:rPr>
      </w:pPr>
    </w:p>
    <w:p>
      <w:pPr>
        <w:spacing w:line="560" w:lineRule="exact"/>
        <w:ind w:left="1600" w:leftChars="200" w:hanging="960" w:hangingChars="300"/>
        <w:rPr>
          <w:rFonts w:ascii="方正仿宋_GBK"/>
          <w:szCs w:val="32"/>
        </w:rPr>
      </w:pPr>
      <w:r>
        <w:rPr>
          <w:rFonts w:hint="eastAsia" w:ascii="方正仿宋_GBK"/>
          <w:szCs w:val="32"/>
        </w:rPr>
        <w:t>附件：1.专用配电设备巡视、试验要求</w:t>
      </w:r>
    </w:p>
    <w:p>
      <w:pPr>
        <w:spacing w:line="560" w:lineRule="exact"/>
        <w:ind w:left="1600" w:leftChars="500"/>
        <w:rPr>
          <w:rFonts w:ascii="方正仿宋_GBK"/>
          <w:szCs w:val="32"/>
        </w:rPr>
      </w:pPr>
      <w:r>
        <w:rPr>
          <w:rFonts w:hint="eastAsia" w:ascii="方正仿宋_GBK"/>
          <w:szCs w:val="32"/>
        </w:rPr>
        <w:t>2.专用配电设备检查要点</w:t>
      </w:r>
    </w:p>
    <w:p>
      <w:pPr>
        <w:spacing w:line="560" w:lineRule="exact"/>
        <w:ind w:left="1600" w:leftChars="500"/>
        <w:rPr>
          <w:rFonts w:ascii="方正仿宋_GBK"/>
          <w:szCs w:val="32"/>
        </w:rPr>
      </w:pPr>
      <w:r>
        <w:rPr>
          <w:rFonts w:hint="eastAsia" w:ascii="方正仿宋_GBK"/>
          <w:szCs w:val="32"/>
        </w:rPr>
        <w:t>3.架空线巡视记录</w:t>
      </w:r>
    </w:p>
    <w:p>
      <w:pPr>
        <w:spacing w:line="560" w:lineRule="exact"/>
        <w:ind w:left="1600" w:leftChars="500"/>
        <w:rPr>
          <w:rFonts w:ascii="方正仿宋_GBK"/>
          <w:szCs w:val="32"/>
        </w:rPr>
      </w:pPr>
      <w:r>
        <w:rPr>
          <w:rFonts w:hint="eastAsia" w:ascii="方正仿宋_GBK"/>
          <w:szCs w:val="32"/>
        </w:rPr>
        <w:t>4.配电房、箱变巡视记录</w:t>
      </w:r>
    </w:p>
    <w:p>
      <w:pPr>
        <w:spacing w:line="560" w:lineRule="exact"/>
        <w:rPr>
          <w:rFonts w:hint="eastAsia" w:ascii="方正仿宋_GBK"/>
          <w:szCs w:val="32"/>
        </w:rPr>
      </w:pPr>
    </w:p>
    <w:p>
      <w:pPr>
        <w:spacing w:line="560" w:lineRule="exact"/>
        <w:rPr>
          <w:rFonts w:hint="eastAsia"/>
        </w:rPr>
      </w:pPr>
    </w:p>
    <w:p>
      <w:pPr>
        <w:spacing w:line="560" w:lineRule="exact"/>
        <w:ind w:firstLine="3680" w:firstLineChars="1150"/>
        <w:rPr>
          <w:rFonts w:hint="eastAsia"/>
          <w:szCs w:val="32"/>
        </w:rPr>
      </w:pPr>
      <w:r>
        <w:rPr>
          <w:rFonts w:hint="eastAsia" w:ascii="方正仿宋_GBK"/>
          <w:szCs w:val="32"/>
        </w:rPr>
        <w:t>重庆市永川区经济和信息化委员会</w:t>
      </w:r>
    </w:p>
    <w:p>
      <w:pPr>
        <w:spacing w:line="560" w:lineRule="exact"/>
        <w:ind w:firstLine="4800" w:firstLineChars="1500"/>
        <w:rPr>
          <w:rFonts w:hint="eastAsia" w:ascii="方正仿宋_GBK"/>
          <w:szCs w:val="32"/>
        </w:rPr>
      </w:pPr>
      <w:r>
        <w:rPr>
          <w:rFonts w:hint="eastAsia"/>
          <w:szCs w:val="32"/>
        </w:rPr>
        <w:t>2022</w:t>
      </w:r>
      <w:r>
        <w:rPr>
          <w:rFonts w:hint="eastAsia" w:ascii="方正仿宋_GBK"/>
          <w:szCs w:val="32"/>
        </w:rPr>
        <w:t>年</w:t>
      </w:r>
      <w:r>
        <w:rPr>
          <w:rFonts w:hint="eastAsia"/>
          <w:szCs w:val="32"/>
        </w:rPr>
        <w:t>1</w:t>
      </w:r>
      <w:r>
        <w:rPr>
          <w:rFonts w:hint="eastAsia" w:ascii="方正仿宋_GBK"/>
          <w:szCs w:val="32"/>
        </w:rPr>
        <w:t>月</w:t>
      </w:r>
      <w:r>
        <w:rPr>
          <w:rFonts w:hint="eastAsia"/>
          <w:szCs w:val="32"/>
        </w:rPr>
        <w:t>5</w:t>
      </w:r>
      <w:r>
        <w:rPr>
          <w:rFonts w:hint="eastAsia" w:ascii="方正仿宋_GBK"/>
          <w:szCs w:val="32"/>
        </w:rPr>
        <w:t>日</w:t>
      </w:r>
    </w:p>
    <w:p>
      <w:pPr>
        <w:bidi w:val="0"/>
        <w:rPr>
          <w:rFonts w:ascii="Times New Roman" w:hAnsi="Times New Roman" w:eastAsia="方正仿宋_GBK" w:cs="Times New Roman"/>
          <w:kern w:val="2"/>
          <w:sz w:val="32"/>
          <w:lang w:val="en-US" w:eastAsia="zh-CN" w:bidi="ar-SA"/>
        </w:rPr>
      </w:pPr>
    </w:p>
    <w:p>
      <w:pPr>
        <w:bidi w:val="0"/>
        <w:rPr>
          <w:lang w:val="en-US" w:eastAsia="zh-CN"/>
        </w:rPr>
      </w:pPr>
    </w:p>
    <w:p>
      <w:pPr>
        <w:tabs>
          <w:tab w:val="left" w:pos="1273"/>
        </w:tabs>
        <w:bidi w:val="0"/>
        <w:jc w:val="left"/>
        <w:rPr>
          <w:lang w:val="en-US" w:eastAsia="zh-CN"/>
        </w:rPr>
        <w:sectPr>
          <w:footerReference r:id="rId3" w:type="default"/>
          <w:footerReference r:id="rId4" w:type="even"/>
          <w:pgSz w:w="11906" w:h="16838"/>
          <w:pgMar w:top="1440" w:right="1474" w:bottom="1440" w:left="1587" w:header="851" w:footer="992" w:gutter="0"/>
          <w:pgNumType w:fmt="numberInDash"/>
          <w:cols w:space="720" w:num="1"/>
          <w:docGrid w:linePitch="312" w:charSpace="0"/>
        </w:sectPr>
      </w:pPr>
      <w:r>
        <w:rPr>
          <w:rFonts w:hint="eastAsia"/>
          <w:lang w:val="en-US" w:eastAsia="zh-CN"/>
        </w:rPr>
        <w:tab/>
      </w:r>
      <w:bookmarkStart w:id="0" w:name="_GoBack"/>
      <w:r>
        <w:rPr>
          <w:rFonts w:hint="eastAsia"/>
          <w:lang w:val="en-US" w:eastAsia="zh-CN"/>
        </w:rPr>
        <w:t>（此件公开发布）</w:t>
      </w:r>
      <w:bookmarkEnd w:id="0"/>
    </w:p>
    <w:p>
      <w:pPr>
        <w:spacing w:line="600" w:lineRule="exact"/>
        <w:rPr>
          <w:rFonts w:ascii="方正黑体_GBK" w:eastAsia="方正黑体_GBK"/>
          <w:szCs w:val="32"/>
        </w:rPr>
      </w:pPr>
      <w:r>
        <w:rPr>
          <w:rFonts w:hint="eastAsia" w:ascii="方正黑体_GBK" w:eastAsia="方正黑体_GBK"/>
          <w:szCs w:val="32"/>
        </w:rPr>
        <w:t>附件1</w:t>
      </w:r>
    </w:p>
    <w:p>
      <w:pPr>
        <w:spacing w:line="58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专用配电设备巡视、试验要求</w:t>
      </w:r>
    </w:p>
    <w:p>
      <w:pPr>
        <w:spacing w:line="580" w:lineRule="exact"/>
        <w:rPr>
          <w:rFonts w:hint="eastAsia"/>
          <w:szCs w:val="32"/>
        </w:rPr>
      </w:pPr>
      <w:r>
        <w:rPr>
          <w:szCs w:val="32"/>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45"/>
        <w:gridCol w:w="1985"/>
        <w:gridCol w:w="141"/>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Cs w:val="32"/>
              </w:rPr>
            </w:pPr>
            <w:r>
              <w:rPr>
                <w:rFonts w:hint="eastAsia" w:ascii="宋体" w:hAnsi="宋体"/>
                <w:b/>
                <w:bCs/>
                <w:color w:val="000000"/>
                <w:kern w:val="0"/>
                <w:szCs w:val="32"/>
              </w:rPr>
              <w:t>电气设备周期巡视要求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设备名称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巡视周期</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巡视要求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架空、电缆线路通道</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1个月</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具体按《架空输电线路运行规程》（DLT/741-2010）和《电力电缆线路运行规程》（DLT/1253-2013）执行。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架空线路、柱上开关设备、柱上变压器、柱上电容器</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1个月</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具体按《架空输电线路运行规程》（DLT/741-2010）和《电力变压器运行规程》（DLT/572-95）执行。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电缆线路、配电室、箱式变电站</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1季度1次</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具体按《电力电缆线路运行规程》（DLT/1253-2013）和《电力变压器运行规程》（DLT/572-95）执行。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0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防雷与接地装置、配电终端、直流电源</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1个月</w:t>
            </w:r>
          </w:p>
        </w:tc>
        <w:tc>
          <w:tcPr>
            <w:tcW w:w="345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具体按《电力变压器运行规程》（DLT/572-95）执行。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52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b/>
                <w:bCs/>
                <w:color w:val="000000"/>
                <w:kern w:val="0"/>
                <w:szCs w:val="32"/>
              </w:rPr>
              <w:t>电气设备预防性试验要求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设备名称</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试验周期</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试验要求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电力电缆、架空线路、变压器、避雷器、互感器、开关柜、接电装置等高低压配电设施</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1年</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绝缘试验、耐压试验、功能检测、常规检查等，具体要求按照《电力设备预防性试验规程》（DL/T596-1996）执行。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验电器、绝缘手套等电气绝缘工具</w:t>
            </w:r>
          </w:p>
        </w:tc>
        <w:tc>
          <w:tcPr>
            <w:tcW w:w="237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6个月—1年</w:t>
            </w:r>
          </w:p>
        </w:tc>
        <w:tc>
          <w:tcPr>
            <w:tcW w:w="33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交流耐压试验等，具体按照《电力安全工作规程》（CB26860）执行。</w:t>
            </w:r>
          </w:p>
        </w:tc>
      </w:tr>
    </w:tbl>
    <w:p>
      <w:pPr>
        <w:spacing w:line="580" w:lineRule="exact"/>
        <w:rPr>
          <w:szCs w:val="32"/>
        </w:rPr>
        <w:sectPr>
          <w:pgSz w:w="11906" w:h="16838"/>
          <w:pgMar w:top="1440" w:right="1800" w:bottom="1440" w:left="1800" w:header="851" w:footer="992" w:gutter="0"/>
          <w:cols w:space="720" w:num="1"/>
          <w:docGrid w:type="lines" w:linePitch="312" w:charSpace="0"/>
        </w:sectPr>
      </w:pPr>
    </w:p>
    <w:p>
      <w:pPr>
        <w:spacing w:line="600" w:lineRule="exact"/>
        <w:rPr>
          <w:rFonts w:ascii="方正黑体_GBK" w:eastAsia="方正黑体_GBK"/>
          <w:szCs w:val="32"/>
        </w:rPr>
      </w:pPr>
      <w:r>
        <w:rPr>
          <w:rFonts w:hint="eastAsia" w:ascii="方正黑体_GBK" w:eastAsia="方正黑体_GBK"/>
          <w:szCs w:val="32"/>
        </w:rPr>
        <w:t>附件2</w:t>
      </w:r>
    </w:p>
    <w:p>
      <w:pPr>
        <w:spacing w:line="580" w:lineRule="exact"/>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专用配电设备检查要点</w:t>
      </w:r>
    </w:p>
    <w:p>
      <w:pPr>
        <w:spacing w:line="580" w:lineRule="exact"/>
        <w:jc w:val="center"/>
        <w:rPr>
          <w:rFonts w:hint="eastAsia"/>
          <w:szCs w:val="32"/>
        </w:rPr>
      </w:pPr>
      <w:r>
        <w:rPr>
          <w:szCs w:val="32"/>
        </w:rPr>
        <w:t xml:space="preserve"> </w:t>
      </w:r>
    </w:p>
    <w:tbl>
      <w:tblPr>
        <w:tblStyle w:val="11"/>
        <w:tblW w:w="8520" w:type="dxa"/>
        <w:tblInd w:w="93" w:type="dxa"/>
        <w:tblLayout w:type="autofit"/>
        <w:tblCellMar>
          <w:top w:w="0" w:type="dxa"/>
          <w:left w:w="108" w:type="dxa"/>
          <w:bottom w:w="0" w:type="dxa"/>
          <w:right w:w="108" w:type="dxa"/>
        </w:tblCellMar>
      </w:tblPr>
      <w:tblGrid>
        <w:gridCol w:w="700"/>
        <w:gridCol w:w="1080"/>
        <w:gridCol w:w="6740"/>
      </w:tblGrid>
      <w:tr>
        <w:tblPrEx>
          <w:tblCellMar>
            <w:top w:w="0" w:type="dxa"/>
            <w:left w:w="108" w:type="dxa"/>
            <w:bottom w:w="0" w:type="dxa"/>
            <w:right w:w="108" w:type="dxa"/>
          </w:tblCellMar>
        </w:tblPrEx>
        <w:trPr>
          <w:trHeight w:val="652"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序号</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项目</w:t>
            </w:r>
          </w:p>
        </w:tc>
        <w:tc>
          <w:tcPr>
            <w:tcW w:w="6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检查要点</w:t>
            </w:r>
          </w:p>
        </w:tc>
      </w:tr>
      <w:tr>
        <w:tblPrEx>
          <w:tblCellMar>
            <w:top w:w="0" w:type="dxa"/>
            <w:left w:w="108" w:type="dxa"/>
            <w:bottom w:w="0" w:type="dxa"/>
            <w:right w:w="108" w:type="dxa"/>
          </w:tblCellMar>
        </w:tblPrEx>
        <w:trPr>
          <w:trHeight w:val="72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基础档案</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按照合同核对用户基本情况：变压器装接容量和台数、受电电源、自备应急电源、产权分界点等情况</w:t>
            </w:r>
          </w:p>
        </w:tc>
      </w:tr>
      <w:tr>
        <w:tblPrEx>
          <w:tblCellMar>
            <w:top w:w="0" w:type="dxa"/>
            <w:left w:w="108" w:type="dxa"/>
            <w:bottom w:w="0" w:type="dxa"/>
            <w:right w:w="108" w:type="dxa"/>
          </w:tblCellMar>
        </w:tblPrEx>
        <w:trPr>
          <w:trHeight w:val="48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2</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供电电源</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是否配置双电源或双回路电源；是否签订调度协议</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切换时间和切换方式是否满足客户允许中断供电时间要求；是否可靠闭锁</w:t>
            </w:r>
          </w:p>
        </w:tc>
      </w:tr>
      <w:tr>
        <w:tblPrEx>
          <w:tblCellMar>
            <w:top w:w="0" w:type="dxa"/>
            <w:left w:w="108" w:type="dxa"/>
            <w:bottom w:w="0" w:type="dxa"/>
            <w:right w:w="108" w:type="dxa"/>
          </w:tblCellMar>
        </w:tblPrEx>
        <w:trPr>
          <w:trHeight w:val="27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3</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自备应急电源</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配置容量是否达到保安负荷的120%</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是否装设可靠的电气或机械闭锁装置</w:t>
            </w:r>
          </w:p>
        </w:tc>
      </w:tr>
      <w:tr>
        <w:tblPrEx>
          <w:tblCellMar>
            <w:top w:w="0" w:type="dxa"/>
            <w:left w:w="108" w:type="dxa"/>
            <w:bottom w:w="0" w:type="dxa"/>
            <w:right w:w="108" w:type="dxa"/>
          </w:tblCellMar>
        </w:tblPrEx>
        <w:trPr>
          <w:trHeight w:val="274"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自备应急电源是否能够正常启动，启动时间和切换方式是否满足允许中断供电时间要求</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是否定期进行安全检查、预防性试验、启动试验和切换装置的切换试验</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是否签订《自备应急电源使用协议》，现场情况是否与协议一致</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重要负荷与非重要负荷是否分开配电</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自备应急电源安装是否规范，电缆及排烟管道与其他易燃易爆设施或物品的安全距离是否满足安全要求</w:t>
            </w:r>
          </w:p>
        </w:tc>
      </w:tr>
      <w:tr>
        <w:tblPrEx>
          <w:tblCellMar>
            <w:top w:w="0" w:type="dxa"/>
            <w:left w:w="108" w:type="dxa"/>
            <w:bottom w:w="0" w:type="dxa"/>
            <w:right w:w="108" w:type="dxa"/>
          </w:tblCellMar>
        </w:tblPrEx>
        <w:trPr>
          <w:trHeight w:val="144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自备应急电源室是否配置足够的照明及通风设备，室内通道畅通、清洁，储备的燃料是否分开设置，单独存放并加锁防范；是否堆放易燃易爆物品及其他杂物，是否配置满足安全要求的消防设施，防小动物措施齐备</w:t>
            </w:r>
          </w:p>
        </w:tc>
      </w:tr>
      <w:tr>
        <w:tblPrEx>
          <w:tblCellMar>
            <w:top w:w="0" w:type="dxa"/>
            <w:left w:w="108" w:type="dxa"/>
            <w:bottom w:w="0" w:type="dxa"/>
            <w:right w:w="108" w:type="dxa"/>
          </w:tblCellMar>
        </w:tblPrEx>
        <w:trPr>
          <w:trHeight w:val="48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4</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应急管理</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保安负荷是否书面确定，是否与现场情况相符合</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客户是否制定突发停电应急处理预案和非电性质保安措施</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是否定期进行应急培训和演练，培训和演练记录是否完整、规范</w:t>
            </w:r>
          </w:p>
        </w:tc>
      </w:tr>
      <w:tr>
        <w:tblPrEx>
          <w:tblCellMar>
            <w:top w:w="0" w:type="dxa"/>
            <w:left w:w="108" w:type="dxa"/>
            <w:bottom w:w="0" w:type="dxa"/>
            <w:right w:w="108" w:type="dxa"/>
          </w:tblCellMar>
        </w:tblPrEx>
        <w:trPr>
          <w:trHeight w:val="96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5</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运行管理(人员制度）</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电工是否持有能源局和安监局颁发的电工作业资格证书；值班人员是否经过培训，调度员或变电值班人员是否有资格接受调度命令</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专变用户至少应配备两名电工</w:t>
            </w:r>
          </w:p>
        </w:tc>
      </w:tr>
      <w:tr>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是否建立交接班制度、设备巡视检查制度、定期切换试验和轮换制度、电工管理等制度，并建立现场操作规程（包括自备应急电源倒闸操作规程）；相关制度、规程是否严格执行</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设备维护是否明确责任人；是否及时开展异常和缺陷处理，有无缺陷处理记录</w:t>
            </w:r>
          </w:p>
        </w:tc>
      </w:tr>
      <w:tr>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客户用电系统运行值班是否正常；客户联系人和联系电话是否及时更新，客户与供电企业的停送电联系是否畅通，调度通讯装置运行是否良好，通讯设备录音功能是否完善</w:t>
            </w:r>
          </w:p>
        </w:tc>
      </w:tr>
      <w:tr>
        <w:tblPrEx>
          <w:tblCellMar>
            <w:top w:w="0" w:type="dxa"/>
            <w:left w:w="108" w:type="dxa"/>
            <w:bottom w:w="0" w:type="dxa"/>
            <w:right w:w="108" w:type="dxa"/>
          </w:tblCellMar>
        </w:tblPrEx>
        <w:trPr>
          <w:trHeight w:val="27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6</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运行管理（变配电站）</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安全警示标志是否齐全；环境是否清洁</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是否悬挂一次接线图，接线图是否与现场一致；生产现场是否悬挂主要安全制度</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防小动物、防雨雪、防火、防触电是否完备</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安全工器具是否齐备、是否摆放整齐、是否定期检查、校验</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消防器材配备是否合理并定期检验，位置摆放是否正确、规范，是否配置应急照明</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站内运行设备是否按规定进行双重编号，双重编号是否与调度下达的编号一致</w:t>
            </w:r>
          </w:p>
        </w:tc>
      </w:tr>
      <w:tr>
        <w:tblPrEx>
          <w:tblCellMar>
            <w:top w:w="0" w:type="dxa"/>
            <w:left w:w="108" w:type="dxa"/>
            <w:bottom w:w="0" w:type="dxa"/>
            <w:right w:w="108" w:type="dxa"/>
          </w:tblCellMar>
        </w:tblPrEx>
        <w:trPr>
          <w:trHeight w:val="720" w:hRule="atLeast"/>
        </w:trPr>
        <w:tc>
          <w:tcPr>
            <w:tcW w:w="7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7</w:t>
            </w:r>
          </w:p>
        </w:tc>
        <w:tc>
          <w:tcPr>
            <w:tcW w:w="1080" w:type="dxa"/>
            <w:vMerge w:val="restart"/>
            <w:tcBorders>
              <w:top w:val="nil"/>
              <w:left w:val="nil"/>
              <w:bottom w:val="single" w:color="000000"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受电设施（预试定检）</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变压器、开关、CT、PT、电容器等一次设备是否按规定周期进行预防性试验并记录</w:t>
            </w:r>
          </w:p>
        </w:tc>
      </w:tr>
      <w:tr>
        <w:tblPrEx>
          <w:tblCellMar>
            <w:top w:w="0" w:type="dxa"/>
            <w:left w:w="108" w:type="dxa"/>
            <w:bottom w:w="0" w:type="dxa"/>
            <w:right w:w="108" w:type="dxa"/>
          </w:tblCellMar>
        </w:tblPrEx>
        <w:trPr>
          <w:trHeight w:val="1440"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继电保护装置否按规定周期进行定检并记录。客户电源进线的继电保护装置是否有供电单位提供的定值通知单。根据客户设备实际变化情况，要求客户到供电企业进行定值核定，防止客户设备事故引起系统越级跳闸</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避雷器、避雷针、引下线及接地装置等防雷设施按规定周期进行地阻测试；地网接地电阻是否定期测试</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试验项目是否齐全，试验（检定）报告是否合格和完整，试验单位是否具备相应资质</w:t>
            </w:r>
          </w:p>
        </w:tc>
      </w:tr>
      <w:tr>
        <w:tblPrEx>
          <w:tblCellMar>
            <w:top w:w="0" w:type="dxa"/>
            <w:left w:w="108" w:type="dxa"/>
            <w:bottom w:w="0" w:type="dxa"/>
            <w:right w:w="108" w:type="dxa"/>
          </w:tblCellMar>
        </w:tblPrEx>
        <w:trPr>
          <w:trHeight w:val="72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8</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受电设施（变压器）</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铭牌及其它标识名称是否齐全、清晰，相序标志是否齐全，本体及附件外观检查无损伤、锈蚀及变形,油漆完好</w:t>
            </w:r>
          </w:p>
        </w:tc>
      </w:tr>
      <w:tr>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油式变压器油温、油位、油色是否正常，是否有渗油、漏油现象，吸附剂是否干燥、变色</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干式变压器温度指示、风机系统工作是否正常</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套管是否清洁，是否有破损、裂纹、放电痕迹情况，有无不正常声音或放电声</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防爆管是否破碎，有油</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各接头是否有发红、烧损现象</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接地是否良好、标识是否清晰</w:t>
            </w:r>
          </w:p>
        </w:tc>
      </w:tr>
      <w:tr>
        <w:tblPrEx>
          <w:tblCellMar>
            <w:top w:w="0" w:type="dxa"/>
            <w:left w:w="108" w:type="dxa"/>
            <w:bottom w:w="0" w:type="dxa"/>
            <w:right w:w="108" w:type="dxa"/>
          </w:tblCellMar>
        </w:tblPrEx>
        <w:trPr>
          <w:trHeight w:val="48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9</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受电设施（开关柜）</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开关柜关闭是否严密、联锁装置是否完好</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开关柜名称标示是否齐全、完好，窥视孔玻璃是否完好</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柜内电缆标识牌是否齐全，接头是否有流胶、发红、放电现象</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指示灯、表计、微机保护等是否正常，与实际设备运行状态是否相符</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开关柜加热、除湿装置运行是否正常</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开关柜内有无异常声响</w:t>
            </w:r>
          </w:p>
        </w:tc>
      </w:tr>
      <w:tr>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直流设备运行是否正常，各表计是否正常、蓄电池是否正常</w:t>
            </w:r>
          </w:p>
        </w:tc>
      </w:tr>
      <w:tr>
        <w:tblPrEx>
          <w:tblCellMar>
            <w:top w:w="0" w:type="dxa"/>
            <w:left w:w="108" w:type="dxa"/>
            <w:bottom w:w="0" w:type="dxa"/>
            <w:right w:w="108" w:type="dxa"/>
          </w:tblCellMar>
        </w:tblPrEx>
        <w:trPr>
          <w:trHeight w:val="48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10</w:t>
            </w:r>
          </w:p>
        </w:tc>
        <w:tc>
          <w:tcPr>
            <w:tcW w:w="1080" w:type="dxa"/>
            <w:vMerge w:val="restart"/>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受电设施（外绝缘）</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一次设备及接地装置外绝缘是否老旧锈蚀；是否定期清扫</w:t>
            </w:r>
          </w:p>
        </w:tc>
      </w:tr>
      <w:tr>
        <w:tblPrEx>
          <w:tblCellMar>
            <w:top w:w="0" w:type="dxa"/>
            <w:left w:w="108" w:type="dxa"/>
            <w:bottom w:w="0" w:type="dxa"/>
            <w:right w:w="108" w:type="dxa"/>
          </w:tblCellMar>
        </w:tblPrEx>
        <w:trPr>
          <w:trHeight w:val="270" w:hRule="atLeast"/>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接地圆条、扁铁是否锈蚀</w:t>
            </w:r>
          </w:p>
        </w:tc>
      </w:tr>
      <w:tr>
        <w:tblPrEx>
          <w:tblCellMar>
            <w:top w:w="0" w:type="dxa"/>
            <w:left w:w="108" w:type="dxa"/>
            <w:bottom w:w="0" w:type="dxa"/>
            <w:right w:w="108" w:type="dxa"/>
          </w:tblCellMar>
        </w:tblPrEx>
        <w:trPr>
          <w:trHeight w:val="720" w:hRule="atLeast"/>
        </w:trPr>
        <w:tc>
          <w:tcPr>
            <w:tcW w:w="7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11</w:t>
            </w:r>
          </w:p>
        </w:tc>
        <w:tc>
          <w:tcPr>
            <w:tcW w:w="1080" w:type="dxa"/>
            <w:vMerge w:val="restart"/>
            <w:tcBorders>
              <w:top w:val="nil"/>
              <w:left w:val="nil"/>
              <w:bottom w:val="single" w:color="000000"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受电设施（配电线缆）</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是否对所属线路定期巡视，包括安全距离、杆塔基础、绝缘、防腐等情况，建立巡视记录</w:t>
            </w:r>
          </w:p>
        </w:tc>
      </w:tr>
      <w:tr>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0" w:type="auto"/>
            <w:vMerge w:val="continue"/>
            <w:tcBorders>
              <w:top w:val="nil"/>
              <w:left w:val="nil"/>
              <w:bottom w:val="single" w:color="000000" w:sz="4" w:space="0"/>
              <w:right w:val="single" w:color="auto" w:sz="4" w:space="0"/>
            </w:tcBorders>
            <w:noWrap w:val="0"/>
            <w:vAlign w:val="center"/>
          </w:tcPr>
          <w:p>
            <w:pPr>
              <w:widowControl/>
              <w:rPr>
                <w:rFonts w:ascii="宋体" w:hAnsi="宋体" w:eastAsia="宋体"/>
                <w:color w:val="000000"/>
                <w:kern w:val="0"/>
                <w:sz w:val="20"/>
              </w:rPr>
            </w:pP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r>
              <w:rPr>
                <w:rFonts w:hint="eastAsia" w:ascii="宋体" w:hAnsi="宋体"/>
                <w:color w:val="000000"/>
                <w:kern w:val="0"/>
                <w:sz w:val="20"/>
              </w:rPr>
              <w:t>是否对所属电缆及电缆通道定期巡视，包括安全距离、防火封堵、吊牌、绝缘、防腐、排水、接地等情况，建立巡视记录</w:t>
            </w:r>
          </w:p>
        </w:tc>
      </w:tr>
      <w:tr>
        <w:tblPrEx>
          <w:tblCellMar>
            <w:top w:w="0" w:type="dxa"/>
            <w:left w:w="108" w:type="dxa"/>
            <w:bottom w:w="0" w:type="dxa"/>
            <w:right w:w="108" w:type="dxa"/>
          </w:tblCellMar>
        </w:tblPrEx>
        <w:trPr>
          <w:trHeight w:val="480" w:hRule="atLeast"/>
        </w:trPr>
        <w:tc>
          <w:tcPr>
            <w:tcW w:w="70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12</w:t>
            </w:r>
          </w:p>
        </w:tc>
        <w:tc>
          <w:tcPr>
            <w:tcW w:w="1080" w:type="dxa"/>
            <w:tcBorders>
              <w:top w:val="nil"/>
              <w:left w:val="nil"/>
              <w:bottom w:val="single" w:color="auto" w:sz="4" w:space="0"/>
              <w:right w:val="single" w:color="auto" w:sz="4" w:space="0"/>
            </w:tcBorders>
            <w:noWrap w:val="0"/>
            <w:vAlign w:val="center"/>
          </w:tcPr>
          <w:p>
            <w:pPr>
              <w:widowControl/>
              <w:jc w:val="center"/>
              <w:rPr>
                <w:rFonts w:ascii="宋体" w:hAnsi="宋体" w:eastAsia="宋体"/>
                <w:color w:val="000000"/>
                <w:kern w:val="0"/>
                <w:sz w:val="20"/>
              </w:rPr>
            </w:pPr>
            <w:r>
              <w:rPr>
                <w:rFonts w:hint="eastAsia" w:ascii="宋体" w:hAnsi="宋体"/>
                <w:color w:val="000000"/>
                <w:kern w:val="0"/>
                <w:sz w:val="20"/>
              </w:rPr>
              <w:t>其他需检查项目</w:t>
            </w:r>
          </w:p>
        </w:tc>
        <w:tc>
          <w:tcPr>
            <w:tcW w:w="6740" w:type="dxa"/>
            <w:tcBorders>
              <w:top w:val="nil"/>
              <w:left w:val="nil"/>
              <w:bottom w:val="single" w:color="auto" w:sz="4" w:space="0"/>
              <w:right w:val="single" w:color="auto" w:sz="4" w:space="0"/>
            </w:tcBorders>
            <w:noWrap w:val="0"/>
            <w:vAlign w:val="center"/>
          </w:tcPr>
          <w:p>
            <w:pPr>
              <w:widowControl/>
              <w:rPr>
                <w:rFonts w:ascii="宋体" w:hAnsi="宋体" w:eastAsia="宋体"/>
                <w:color w:val="000000"/>
                <w:kern w:val="0"/>
                <w:sz w:val="20"/>
              </w:rPr>
            </w:pPr>
          </w:p>
        </w:tc>
      </w:tr>
    </w:tbl>
    <w:p>
      <w:pPr>
        <w:spacing w:line="580" w:lineRule="exact"/>
        <w:rPr>
          <w:szCs w:val="32"/>
        </w:rPr>
        <w:sectPr>
          <w:pgSz w:w="11906" w:h="16838"/>
          <w:pgMar w:top="1440" w:right="1800" w:bottom="1440" w:left="1800" w:header="851" w:footer="992" w:gutter="0"/>
          <w:cols w:space="720" w:num="1"/>
          <w:docGrid w:type="lines" w:linePitch="312" w:charSpace="0"/>
        </w:sectPr>
      </w:pPr>
    </w:p>
    <w:p>
      <w:pPr>
        <w:rPr>
          <w:rFonts w:hint="eastAsia" w:ascii="方正黑体_GBK" w:eastAsia="方正黑体_GBK"/>
          <w:szCs w:val="32"/>
        </w:rPr>
      </w:pPr>
      <w:r>
        <w:rPr>
          <w:rFonts w:hint="eastAsia" w:ascii="方正黑体_GBK" w:eastAsia="方正黑体_GBK"/>
          <w:szCs w:val="32"/>
        </w:rPr>
        <w:t>附件3</w:t>
      </w:r>
    </w:p>
    <w:p>
      <w:pPr>
        <w:spacing w:line="580" w:lineRule="exact"/>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架空线路巡视记录</w:t>
      </w:r>
    </w:p>
    <w:p>
      <w:pPr>
        <w:spacing w:line="580" w:lineRule="exact"/>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71"/>
        <w:gridCol w:w="1097"/>
        <w:gridCol w:w="7680"/>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序号</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项目</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巡视内容</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b/>
                <w:bCs/>
                <w:color w:val="000000"/>
                <w:kern w:val="0"/>
                <w:sz w:val="20"/>
              </w:rPr>
            </w:pPr>
            <w:r>
              <w:rPr>
                <w:rFonts w:hint="eastAsia" w:ascii="宋体" w:hAnsi="宋体"/>
                <w:b/>
                <w:bCs/>
                <w:color w:val="000000"/>
                <w:kern w:val="0"/>
                <w:sz w:val="20"/>
              </w:rPr>
              <w:t>巡视结果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r>
              <w:rPr>
                <w:rFonts w:hint="eastAsia" w:ascii="方正仿宋_GBK" w:hAnsi="宋体"/>
                <w:sz w:val="20"/>
              </w:rPr>
              <w:t>1</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巡视任务</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                                                               ）线路定期巡视</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2</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巡视时间</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kern w:val="0"/>
                <w:sz w:val="20"/>
              </w:rPr>
              <w:t>在每次巡视时填写当期巡视时间</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0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3</w:t>
            </w:r>
          </w:p>
        </w:tc>
        <w:tc>
          <w:tcPr>
            <w:tcW w:w="1371"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巡视人员</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4</w:t>
            </w:r>
          </w:p>
        </w:tc>
        <w:tc>
          <w:tcPr>
            <w:tcW w:w="1371"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巡视准备</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巡视负责人向巡视人员说明巡视的线路及注意事项</w:t>
            </w:r>
          </w:p>
        </w:tc>
        <w:tc>
          <w:tcPr>
            <w:tcW w:w="3289" w:type="dxa"/>
            <w:vMerge w:val="restart"/>
            <w:tcBorders>
              <w:top w:val="nil"/>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准备巡视工具：望远镜、巡视手册（夜间巡视标准化作业指导书）、记录笔</w:t>
            </w:r>
          </w:p>
        </w:tc>
        <w:tc>
          <w:tcPr>
            <w:tcW w:w="3289"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巡视负责人检查工作人员着装，精神状态，工具、材料配备是否齐全</w:t>
            </w:r>
          </w:p>
        </w:tc>
        <w:tc>
          <w:tcPr>
            <w:tcW w:w="3289"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5</w:t>
            </w:r>
          </w:p>
        </w:tc>
        <w:tc>
          <w:tcPr>
            <w:tcW w:w="1371"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现场巡视</w:t>
            </w:r>
          </w:p>
        </w:tc>
        <w:tc>
          <w:tcPr>
            <w:tcW w:w="1097"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沿线环境</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有无盗窃、破坏电力线路设施，移动和损坏标志</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杆塔上架设的通讯、闭路等附挂线路是否危及电力线路安全</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有无利用杆塔或拉线作起重牵引地锚，在杆塔拉线上悬挂物件</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有无在电杆与拉线之间修建车道</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有无在导线下面或保护区内修建影响线路安全的公路或房屋等设施</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有无在线路保护区内进行打桩、钻探、开挖、地下挖掘等作业或倾倒酸、碱、盐及其他有害化学物品；线路附近有无施工爆破、放风筝等；</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有无在线路保护区堆放垃圾、易爆物及其他影响供电安全的物品</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杆塔上有无危及供电安全的巢以及蔓藤类植物附生、在线路保护区种植树木、竹子超高、在线路附近有无危及线路安全及线路导线风偏摆动时，可能引起放电的树木或其他设施；</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20" w:after="120" w:line="320" w:lineRule="atLeast"/>
              <w:jc w:val="both"/>
              <w:rPr>
                <w:rFonts w:hint="eastAsia" w:ascii="方正仿宋_GBK" w:hAnsi="宋体"/>
                <w:sz w:val="20"/>
              </w:rPr>
            </w:pPr>
            <w:r>
              <w:rPr>
                <w:rFonts w:hint="eastAsia" w:ascii="方正仿宋_GBK" w:hAnsi="宋体"/>
                <w:sz w:val="20"/>
              </w:rPr>
              <w:t>塔吊、在线路保护区内有无进入或穿越保护区的超高机械</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杆塔塔身及各部件是否倾斜、弯曲、变形</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混凝土杆有无裂纹、疏松、钢筋外露，焊接处有无开裂、锈蚀：</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杆塔塔材、螺丝等部件是否丢失</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杆塔标志（名称、杆号、相序、警示牌）是否齐全明显</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杆塔各部件连接和固定部位是否有明显松动</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杆塔各部件是否锈蚀严重</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杆塔及拉线基础</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铁塔保护帽是否风化破碎</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护坡、护墙是否完整牢固；基础稳定。有无被水冲刷缺损、滑坡、下沉等现象。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杆塔基础有无受外力破坏，基础是否裸露。</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拉线</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拉线、拉线棒及金属部件是否丢失或锈蚀严重</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拉线松紧度是否合适</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拉线警示管是否完好、拉线尾绳是否绑扎好</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导线</w:t>
            </w:r>
          </w:p>
          <w:p>
            <w:pPr>
              <w:pStyle w:val="7"/>
              <w:spacing w:line="240" w:lineRule="exact"/>
              <w:rPr>
                <w:rFonts w:hint="eastAsia" w:ascii="方正仿宋_GBK" w:eastAsia="方正仿宋_GBK"/>
                <w:sz w:val="20"/>
                <w:szCs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有无断股、损伤、烧伤痕迹</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三相弧垂是否平衡，有无过紧、过松现象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导线连接处是否良好，有无过热现象</w:t>
            </w:r>
          </w:p>
        </w:tc>
        <w:tc>
          <w:tcPr>
            <w:tcW w:w="3289"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5</w:t>
            </w:r>
          </w:p>
        </w:tc>
        <w:tc>
          <w:tcPr>
            <w:tcW w:w="1371" w:type="dxa"/>
            <w:vMerge w:val="restart"/>
            <w:tcBorders>
              <w:top w:val="nil"/>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现场巡视</w:t>
            </w: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3289"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绝缘子上固定导线用的绑扎线有无松弛或开断现象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 xml:space="preserve">导线对地及交叉跨越距离是否合乎标准       </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防雷设施</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避雷器有无裂纹、损伤、闪络痕迹，表面是否脏污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引线连接是否良好，与邻相和杆塔构件的距离是否符合规定</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接地装置</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接地引下线有无丢失、断股、损伤</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接地网是否有外露、折断、严重锈蚀等现象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接头接触是否良好，线夹螺栓有无松动、锈蚀</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20" w:after="120"/>
              <w:jc w:val="both"/>
              <w:rPr>
                <w:rFonts w:hint="eastAsia" w:ascii="方正仿宋_GBK" w:hAnsi="宋体"/>
                <w:sz w:val="20"/>
              </w:rPr>
            </w:pPr>
            <w:r>
              <w:rPr>
                <w:rFonts w:hint="eastAsia" w:ascii="方正仿宋_GBK" w:hAnsi="宋体"/>
                <w:sz w:val="20"/>
              </w:rPr>
              <w:t>绝缘子</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绝缘子是否脏污、破损、闪络，合成绝缘子是否有伞裙破裂、烧伤</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绝缘子安装是否牢固，连接是否可靠</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绝缘子钢帽、钢脚、弹簧销不配合，弹簧销退出；绝缘子钢帽、钢脚严重锈蚀</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变压器</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变压器台架对地高度是否符合标准</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变压器有无异音、放电声、冒烟、喷油现象，高、低压桩头有无发红、发热现象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变压器附属设备</w:t>
            </w:r>
            <w:r>
              <w:rPr>
                <w:rFonts w:hint="eastAsia" w:ascii="方正仿宋_GBK" w:eastAsia="方正仿宋_GBK"/>
                <w:color w:val="000000"/>
                <w:sz w:val="20"/>
                <w:szCs w:val="20"/>
              </w:rPr>
              <w:t>（台架、无功补偿箱、计量箱、避雷器、接地引下线）</w:t>
            </w:r>
            <w:r>
              <w:rPr>
                <w:rFonts w:hint="eastAsia" w:ascii="方正仿宋_GBK" w:eastAsia="方正仿宋_GBK"/>
                <w:sz w:val="20"/>
                <w:szCs w:val="20"/>
              </w:rPr>
              <w:t>、设施是否完好、破损、丢失</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r>
              <w:rPr>
                <w:rFonts w:hint="eastAsia" w:ascii="方正仿宋_GBK" w:eastAsia="方正仿宋_GBK"/>
                <w:sz w:val="20"/>
                <w:szCs w:val="20"/>
              </w:rPr>
              <w:t>变压器标示牌是否齐全，字迹是否清晰</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pStyle w:val="7"/>
              <w:spacing w:line="240" w:lineRule="exact"/>
              <w:rPr>
                <w:rFonts w:hint="eastAsia" w:ascii="方正仿宋_GBK" w:eastAsia="方正仿宋_GBK"/>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r>
              <w:rPr>
                <w:rFonts w:hint="eastAsia" w:ascii="方正仿宋_GBK" w:hAnsi="宋体"/>
                <w:sz w:val="20"/>
              </w:rPr>
              <w:t>5</w:t>
            </w:r>
          </w:p>
        </w:tc>
        <w:tc>
          <w:tcPr>
            <w:tcW w:w="1371" w:type="dxa"/>
            <w:vMerge w:val="restart"/>
            <w:tcBorders>
              <w:top w:val="nil"/>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r>
              <w:rPr>
                <w:rFonts w:hint="eastAsia" w:ascii="方正仿宋_GBK" w:hAnsi="宋体"/>
                <w:sz w:val="20"/>
              </w:rPr>
              <w:t>现场巡视</w:t>
            </w: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柱上断路器和负荷开关</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外壳有无渗、漏油和锈蚀现象、运行名称是否清晰</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套管有无破损、裂纹、严重脏污和闪络放电的痕迹</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开关的固定是否牢固</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开关分、合位置指示是否正确、清晰，SF6指示是否正确</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097" w:type="dxa"/>
            <w:vMerge w:val="restart"/>
            <w:tcBorders>
              <w:top w:val="nil"/>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高、低压隔离开关和熔断器</w:t>
            </w: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熔丝管有无弯曲、变形</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瓷件有无破损、裂纹、严重脏污和闪络放电的痕迹</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安装是否牢固</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触头间接触是否良好，有无烧损、熔化现象</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7680" w:type="dxa"/>
            <w:tcBorders>
              <w:top w:val="single" w:color="auto" w:sz="4" w:space="0"/>
              <w:left w:val="single" w:color="auto" w:sz="4" w:space="0"/>
              <w:bottom w:val="single" w:color="auto" w:sz="4" w:space="0"/>
              <w:right w:val="single" w:color="auto" w:sz="4" w:space="0"/>
            </w:tcBorders>
            <w:noWrap w:val="0"/>
            <w:vAlign w:val="center"/>
          </w:tcPr>
          <w:p>
            <w:pPr>
              <w:pStyle w:val="7"/>
              <w:rPr>
                <w:rFonts w:hint="eastAsia" w:ascii="方正仿宋_GBK" w:eastAsia="方正仿宋_GBK"/>
                <w:sz w:val="20"/>
                <w:szCs w:val="20"/>
              </w:rPr>
            </w:pPr>
            <w:r>
              <w:rPr>
                <w:rFonts w:hint="eastAsia" w:ascii="方正仿宋_GBK" w:eastAsia="方正仿宋_GBK"/>
                <w:sz w:val="20"/>
                <w:szCs w:val="20"/>
              </w:rPr>
              <w:t>熔断器灭弧罩是否完好、破损、丢失</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restart"/>
            <w:tcBorders>
              <w:top w:val="nil"/>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r>
              <w:rPr>
                <w:rFonts w:hint="eastAsia" w:ascii="方正仿宋_GBK" w:hAnsi="宋体"/>
                <w:sz w:val="20"/>
              </w:rPr>
              <w:t>6</w:t>
            </w:r>
          </w:p>
        </w:tc>
        <w:tc>
          <w:tcPr>
            <w:tcW w:w="1371" w:type="dxa"/>
            <w:vMerge w:val="restart"/>
            <w:tcBorders>
              <w:top w:val="nil"/>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r>
              <w:rPr>
                <w:rFonts w:hint="eastAsia" w:ascii="方正仿宋_GBK" w:hAnsi="宋体"/>
                <w:sz w:val="20"/>
              </w:rPr>
              <w:t>巡视结束</w:t>
            </w: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发现缺陷后在现场记录缺陷内容和处理缺陷需要的主要材料</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回单位后整理和填写缺陷记录簿，不能误填、错填缺陷记录。缺陷处理后，填写处理时间，盖注销章</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1371" w:type="dxa"/>
            <w:vMerge w:val="continue"/>
            <w:tcBorders>
              <w:top w:val="nil"/>
              <w:left w:val="single" w:color="auto" w:sz="4" w:space="0"/>
              <w:bottom w:val="single" w:color="auto" w:sz="4" w:space="0"/>
              <w:right w:val="single" w:color="auto" w:sz="4" w:space="0"/>
            </w:tcBorders>
            <w:noWrap w:val="0"/>
            <w:vAlign w:val="center"/>
          </w:tcPr>
          <w:p>
            <w:pPr>
              <w:widowControl/>
              <w:rPr>
                <w:rFonts w:hint="eastAsia" w:ascii="方正仿宋_GBK" w:hAnsi="宋体"/>
                <w:sz w:val="20"/>
              </w:rPr>
            </w:pPr>
          </w:p>
        </w:tc>
        <w:tc>
          <w:tcPr>
            <w:tcW w:w="8777"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jc w:val="both"/>
              <w:rPr>
                <w:rFonts w:hint="eastAsia" w:ascii="方正仿宋_GBK" w:hAnsi="宋体"/>
                <w:sz w:val="20"/>
              </w:rPr>
            </w:pPr>
            <w:r>
              <w:rPr>
                <w:rFonts w:hint="eastAsia" w:ascii="方正仿宋_GBK" w:hAnsi="宋体"/>
                <w:sz w:val="20"/>
              </w:rPr>
              <w:t>一般缺陷按月填报缺陷月报表，重大、紧急缺陷填报缺陷处理卡，危及人身和设备安全的紧急情况立即使用通讯工具向巡视负责人汇报，并在现场等候处理，负责行人的安全</w:t>
            </w:r>
          </w:p>
        </w:tc>
        <w:tc>
          <w:tcPr>
            <w:tcW w:w="3289" w:type="dxa"/>
            <w:tcBorders>
              <w:top w:val="single" w:color="auto" w:sz="4" w:space="0"/>
              <w:left w:val="single" w:color="auto" w:sz="4" w:space="0"/>
              <w:bottom w:val="single" w:color="auto" w:sz="4" w:space="0"/>
              <w:right w:val="single" w:color="auto" w:sz="4" w:space="0"/>
            </w:tcBorders>
            <w:noWrap w:val="0"/>
            <w:vAlign w:val="center"/>
          </w:tcPr>
          <w:p>
            <w:pPr>
              <w:spacing w:before="156" w:after="156"/>
              <w:jc w:val="center"/>
              <w:rPr>
                <w:rFonts w:hint="eastAsia" w:ascii="方正仿宋_GBK" w:hAnsi="宋体"/>
                <w:sz w:val="20"/>
              </w:rPr>
            </w:pPr>
          </w:p>
        </w:tc>
      </w:tr>
    </w:tbl>
    <w:p>
      <w:pPr>
        <w:spacing w:before="120" w:after="120"/>
        <w:rPr>
          <w:rFonts w:hint="eastAsia" w:ascii="宋体" w:hAnsi="宋体" w:eastAsia="宋体"/>
          <w:sz w:val="20"/>
          <w:u w:val="single"/>
        </w:rPr>
      </w:pPr>
      <w:r>
        <w:rPr>
          <w:rFonts w:hint="eastAsia" w:ascii="宋体" w:hAnsi="宋体"/>
          <w:sz w:val="20"/>
        </w:rPr>
        <w:t>巡视情况记录（可增加附页）：</w:t>
      </w:r>
      <w:r>
        <w:rPr>
          <w:rFonts w:hint="eastAsia" w:ascii="宋体" w:hAnsi="宋体"/>
          <w:sz w:val="20"/>
          <w:u w:val="single"/>
        </w:rPr>
        <w:t xml:space="preserve">                                                                                                                 </w:t>
      </w:r>
    </w:p>
    <w:p>
      <w:pPr>
        <w:rPr>
          <w:rFonts w:ascii="方正仿宋_GBK" w:hAnsi="宋体"/>
          <w:sz w:val="20"/>
          <w:u w:val="single"/>
        </w:rPr>
        <w:sectPr>
          <w:pgSz w:w="16838" w:h="11906" w:orient="landscape"/>
          <w:pgMar w:top="1587" w:right="1440" w:bottom="1474" w:left="1440" w:header="851" w:footer="992" w:gutter="0"/>
          <w:pgNumType w:fmt="numberInDash"/>
          <w:cols w:space="720" w:num="1"/>
          <w:docGrid w:linePitch="435" w:charSpace="0"/>
        </w:sectPr>
      </w:pPr>
      <w:r>
        <w:rPr>
          <w:rFonts w:hint="eastAsia" w:ascii="宋体" w:hAnsi="宋体"/>
          <w:sz w:val="20"/>
          <w:u w:val="single"/>
        </w:rPr>
        <w:t xml:space="preserve">                                                                              </w:t>
      </w:r>
      <w:r>
        <w:rPr>
          <w:rFonts w:hint="eastAsia" w:ascii="方正仿宋_GBK" w:hAnsi="宋体"/>
          <w:sz w:val="20"/>
          <w:u w:val="single"/>
        </w:rPr>
        <w:t xml:space="preserve">                                            </w:t>
      </w:r>
    </w:p>
    <w:p>
      <w:pPr>
        <w:rPr>
          <w:rFonts w:hint="eastAsia" w:ascii="方正黑体_GBK" w:eastAsia="方正黑体_GBK"/>
          <w:szCs w:val="32"/>
        </w:rPr>
      </w:pPr>
      <w:r>
        <w:rPr>
          <w:rFonts w:hint="eastAsia" w:ascii="方正黑体_GBK" w:eastAsia="方正黑体_GBK"/>
          <w:szCs w:val="32"/>
        </w:rPr>
        <w:t>附件4</w:t>
      </w:r>
    </w:p>
    <w:p>
      <w:pPr>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配电房、箱变巡视记录</w:t>
      </w:r>
    </w:p>
    <w:p>
      <w:pPr>
        <w:jc w:val="center"/>
        <w:rPr>
          <w:rFonts w:hint="eastAsia" w:ascii="方正小标宋_GBK" w:hAnsi="黑体" w:eastAsia="方正小标宋_GBK"/>
          <w:bCs/>
          <w:sz w:val="44"/>
          <w:szCs w:val="44"/>
        </w:rPr>
      </w:pPr>
      <w:r>
        <w:rPr>
          <w:rFonts w:hint="eastAsia" w:ascii="方正小标宋_GBK" w:hAnsi="黑体" w:eastAsia="方正小标宋_GBK"/>
          <w:bCs/>
          <w:sz w:val="44"/>
          <w:szCs w:val="44"/>
        </w:rPr>
        <w:t xml:space="preserve"> </w:t>
      </w:r>
    </w:p>
    <w:tbl>
      <w:tblPr>
        <w:tblStyle w:val="11"/>
        <w:tblW w:w="5000" w:type="pct"/>
        <w:tblInd w:w="0" w:type="dxa"/>
        <w:tblLayout w:type="autofit"/>
        <w:tblCellMar>
          <w:top w:w="0" w:type="dxa"/>
          <w:left w:w="108" w:type="dxa"/>
          <w:bottom w:w="0" w:type="dxa"/>
          <w:right w:w="108" w:type="dxa"/>
        </w:tblCellMar>
      </w:tblPr>
      <w:tblGrid>
        <w:gridCol w:w="700"/>
        <w:gridCol w:w="1148"/>
        <w:gridCol w:w="2733"/>
        <w:gridCol w:w="7711"/>
        <w:gridCol w:w="1882"/>
      </w:tblGrid>
      <w:tr>
        <w:tblPrEx>
          <w:tblCellMar>
            <w:top w:w="0" w:type="dxa"/>
            <w:left w:w="108" w:type="dxa"/>
            <w:bottom w:w="0" w:type="dxa"/>
            <w:right w:w="108" w:type="dxa"/>
          </w:tblCellMar>
        </w:tblPrEx>
        <w:trPr>
          <w:trHeight w:val="300" w:hRule="atLeast"/>
        </w:trPr>
        <w:tc>
          <w:tcPr>
            <w:tcW w:w="247" w:type="pct"/>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方正仿宋_GBK" w:hAnsi="宋体"/>
                <w:b/>
                <w:bCs/>
                <w:color w:val="000000"/>
                <w:kern w:val="0"/>
                <w:sz w:val="20"/>
              </w:rPr>
            </w:pPr>
            <w:r>
              <w:rPr>
                <w:rFonts w:hint="eastAsia" w:ascii="方正仿宋_GBK" w:hAnsi="宋体"/>
                <w:b/>
                <w:bCs/>
                <w:color w:val="000000"/>
                <w:kern w:val="0"/>
                <w:sz w:val="20"/>
              </w:rPr>
              <w:t>序号</w:t>
            </w:r>
          </w:p>
        </w:tc>
        <w:tc>
          <w:tcPr>
            <w:tcW w:w="405"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宋体"/>
                <w:b/>
                <w:bCs/>
                <w:color w:val="000000"/>
                <w:kern w:val="0"/>
                <w:sz w:val="20"/>
              </w:rPr>
            </w:pPr>
            <w:r>
              <w:rPr>
                <w:rFonts w:hint="eastAsia" w:ascii="方正仿宋_GBK" w:hAnsi="宋体"/>
                <w:b/>
                <w:bCs/>
                <w:color w:val="000000"/>
                <w:kern w:val="0"/>
                <w:sz w:val="20"/>
              </w:rPr>
              <w:t>项目</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center"/>
              <w:rPr>
                <w:rFonts w:hint="eastAsia" w:ascii="方正仿宋_GBK" w:hAnsi="宋体"/>
                <w:b/>
                <w:bCs/>
                <w:color w:val="000000"/>
                <w:kern w:val="0"/>
                <w:sz w:val="20"/>
              </w:rPr>
            </w:pPr>
            <w:r>
              <w:rPr>
                <w:rFonts w:hint="eastAsia" w:ascii="方正仿宋_GBK" w:hAnsi="宋体"/>
                <w:b/>
                <w:sz w:val="20"/>
              </w:rPr>
              <w:t>巡视</w:t>
            </w:r>
            <w:r>
              <w:rPr>
                <w:rFonts w:hint="eastAsia" w:ascii="方正仿宋_GBK" w:hAnsi="宋体"/>
                <w:b/>
                <w:bCs/>
                <w:color w:val="000000"/>
                <w:kern w:val="0"/>
                <w:sz w:val="20"/>
              </w:rPr>
              <w:t>内容</w:t>
            </w:r>
          </w:p>
        </w:tc>
        <w:tc>
          <w:tcPr>
            <w:tcW w:w="664" w:type="pct"/>
            <w:tcBorders>
              <w:top w:val="single" w:color="auto" w:sz="8" w:space="0"/>
              <w:left w:val="nil"/>
              <w:bottom w:val="single" w:color="auto" w:sz="8" w:space="0"/>
              <w:right w:val="single" w:color="auto" w:sz="8" w:space="0"/>
            </w:tcBorders>
            <w:noWrap w:val="0"/>
            <w:vAlign w:val="center"/>
          </w:tcPr>
          <w:p>
            <w:pPr>
              <w:widowControl/>
              <w:jc w:val="center"/>
              <w:rPr>
                <w:rFonts w:hint="eastAsia" w:ascii="方正仿宋_GBK" w:hAnsi="宋体"/>
                <w:b/>
                <w:bCs/>
                <w:color w:val="000000"/>
                <w:kern w:val="0"/>
                <w:sz w:val="20"/>
              </w:rPr>
            </w:pPr>
            <w:r>
              <w:rPr>
                <w:rFonts w:hint="eastAsia" w:ascii="方正仿宋_GBK" w:hAnsi="宋体"/>
                <w:b/>
                <w:bCs/>
                <w:color w:val="000000"/>
                <w:kern w:val="0"/>
                <w:sz w:val="20"/>
              </w:rPr>
              <w:t>巡视结果</w:t>
            </w:r>
          </w:p>
        </w:tc>
      </w:tr>
      <w:tr>
        <w:tblPrEx>
          <w:tblCellMar>
            <w:top w:w="0" w:type="dxa"/>
            <w:left w:w="108" w:type="dxa"/>
            <w:bottom w:w="0" w:type="dxa"/>
            <w:right w:w="108" w:type="dxa"/>
          </w:tblCellMar>
        </w:tblPrEx>
        <w:trPr>
          <w:trHeight w:val="360" w:hRule="atLeast"/>
        </w:trPr>
        <w:tc>
          <w:tcPr>
            <w:tcW w:w="247"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1</w:t>
            </w:r>
          </w:p>
        </w:tc>
        <w:tc>
          <w:tcPr>
            <w:tcW w:w="405"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sz w:val="20"/>
              </w:rPr>
              <w:t>巡视</w:t>
            </w:r>
            <w:r>
              <w:rPr>
                <w:rFonts w:hint="eastAsia" w:ascii="方正仿宋_GBK" w:hAnsi="宋体"/>
                <w:kern w:val="0"/>
                <w:sz w:val="20"/>
              </w:rPr>
              <w:t>任务</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                                                             ）配电房、箱变（欧式）巡视</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247"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2</w:t>
            </w:r>
          </w:p>
        </w:tc>
        <w:tc>
          <w:tcPr>
            <w:tcW w:w="405"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sz w:val="20"/>
              </w:rPr>
              <w:t>巡视</w:t>
            </w:r>
            <w:r>
              <w:rPr>
                <w:rFonts w:hint="eastAsia" w:ascii="方正仿宋_GBK" w:hAnsi="宋体"/>
                <w:kern w:val="0"/>
                <w:sz w:val="20"/>
              </w:rPr>
              <w:t>时间</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在每次巡视时填写当期巡视时间</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420" w:hRule="atLeast"/>
        </w:trPr>
        <w:tc>
          <w:tcPr>
            <w:tcW w:w="247"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3</w:t>
            </w:r>
          </w:p>
        </w:tc>
        <w:tc>
          <w:tcPr>
            <w:tcW w:w="405"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sz w:val="20"/>
              </w:rPr>
              <w:t>巡视</w:t>
            </w:r>
            <w:r>
              <w:rPr>
                <w:rFonts w:hint="eastAsia" w:ascii="方正仿宋_GBK" w:hAnsi="宋体"/>
                <w:kern w:val="0"/>
                <w:sz w:val="20"/>
              </w:rPr>
              <w:t>人员</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405" w:hRule="atLeast"/>
        </w:trPr>
        <w:tc>
          <w:tcPr>
            <w:tcW w:w="247"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4</w:t>
            </w:r>
          </w:p>
        </w:tc>
        <w:tc>
          <w:tcPr>
            <w:tcW w:w="405"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sz w:val="20"/>
              </w:rPr>
              <w:t>巡视</w:t>
            </w:r>
            <w:r>
              <w:rPr>
                <w:rFonts w:hint="eastAsia" w:ascii="方正仿宋_GBK" w:hAnsi="宋体"/>
                <w:kern w:val="0"/>
                <w:sz w:val="20"/>
              </w:rPr>
              <w:t>准备</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巡视负责人向巡视人员交待工作任务，人员分工</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准备巡视工具：安全帽、巡视标准化作业卡、记录笔、钥匙、电筒</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巡视负责人检查工作人员着装，精神状态，工具、材料配备是否齐全</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247"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5</w:t>
            </w:r>
          </w:p>
        </w:tc>
        <w:tc>
          <w:tcPr>
            <w:tcW w:w="405"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现场巡视</w:t>
            </w:r>
          </w:p>
        </w:tc>
        <w:tc>
          <w:tcPr>
            <w:tcW w:w="964"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环境情况</w:t>
            </w: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环境各标示牌、制度齐全，一次模拟图版齐全并上墙，图示与实际设备一致</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通风、照明系统正常</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操作工具及消防器材是否齐全、摆放整齐</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门窗关闭是否紧密</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环境是否清洁</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电缆沟道封堵情况，排水是否畅通</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964"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高压柜情况</w:t>
            </w: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柜门关闭严密、联锁装置完好；</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柜上各名称标示齐全、完好，窥视孔玻璃完好</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28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柜内电缆标牌是否齐全，接头无流胶，发红，放电现象</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各仪表、表计、灯具工作是否正常，与实际设备是否运行相符</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开关柜内部有无异常声响</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964"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变压器情况</w:t>
            </w: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铭牌及其他标志名称标注齐全、清晰</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各接头无发红、烧损现象。套管清洁，无裂纹、损伤情况；无渗油现象</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变压器工作正常；油式变压器油色正常</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油变吸湿器工作正常</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干变温度指示仪、风机系统工作是否正常</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接地装置情况</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相序标志是否齐全正确</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color w:val="000000"/>
                <w:kern w:val="0"/>
                <w:sz w:val="20"/>
              </w:rPr>
            </w:pPr>
            <w:r>
              <w:rPr>
                <w:rFonts w:hint="eastAsia" w:ascii="方正仿宋_GBK" w:hAnsi="宋体"/>
                <w:color w:val="000000"/>
                <w:kern w:val="0"/>
                <w:sz w:val="20"/>
              </w:rPr>
              <w:t>基础无塌陷、倾斜，接地扁铁无锈蚀、断裂</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247" w:type="pct"/>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方正仿宋_GBK" w:hAnsi="宋体"/>
                <w:kern w:val="0"/>
                <w:sz w:val="20"/>
              </w:rPr>
            </w:pPr>
          </w:p>
        </w:tc>
        <w:tc>
          <w:tcPr>
            <w:tcW w:w="405" w:type="pct"/>
            <w:vMerge w:val="restart"/>
            <w:tcBorders>
              <w:top w:val="nil"/>
              <w:left w:val="nil"/>
              <w:bottom w:val="single" w:color="000000" w:sz="8" w:space="0"/>
              <w:right w:val="single" w:color="auto" w:sz="8" w:space="0"/>
            </w:tcBorders>
            <w:noWrap w:val="0"/>
            <w:vAlign w:val="center"/>
          </w:tcPr>
          <w:p>
            <w:pPr>
              <w:widowControl/>
              <w:jc w:val="center"/>
              <w:rPr>
                <w:rFonts w:hint="eastAsia" w:ascii="方正仿宋_GBK" w:hAnsi="宋体"/>
                <w:kern w:val="0"/>
                <w:sz w:val="20"/>
              </w:rPr>
            </w:pPr>
          </w:p>
        </w:tc>
        <w:tc>
          <w:tcPr>
            <w:tcW w:w="964" w:type="pct"/>
            <w:vMerge w:val="restart"/>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r>
              <w:rPr>
                <w:rFonts w:hint="eastAsia" w:ascii="方正仿宋_GBK" w:hAnsi="宋体"/>
                <w:kern w:val="0"/>
                <w:sz w:val="20"/>
              </w:rPr>
              <w:t>配电室（低压室）情况</w:t>
            </w: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各仪表、表计工作是否正常，指示正确</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4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各电源指示灯工作正常，指示正确</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记录总路电流、电压表记值</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60"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柜内接线标示、相序齐全、出线封堵完好</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柜上名称标牌是否齐全</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15" w:hRule="atLeast"/>
        </w:trPr>
        <w:tc>
          <w:tcPr>
            <w:tcW w:w="0" w:type="auto"/>
            <w:vMerge w:val="continue"/>
            <w:tcBorders>
              <w:top w:val="nil"/>
              <w:left w:val="single" w:color="auto" w:sz="8" w:space="0"/>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0" w:type="auto"/>
            <w:vMerge w:val="continue"/>
            <w:tcBorders>
              <w:top w:val="nil"/>
              <w:left w:val="nil"/>
              <w:bottom w:val="single" w:color="000000" w:sz="8" w:space="0"/>
              <w:right w:val="single" w:color="auto" w:sz="8" w:space="0"/>
            </w:tcBorders>
            <w:noWrap w:val="0"/>
            <w:vAlign w:val="center"/>
          </w:tcPr>
          <w:p>
            <w:pPr>
              <w:widowControl/>
              <w:rPr>
                <w:rFonts w:hint="eastAsia" w:ascii="方正仿宋_GBK" w:hAnsi="宋体"/>
                <w:kern w:val="0"/>
                <w:sz w:val="20"/>
              </w:rPr>
            </w:pPr>
          </w:p>
        </w:tc>
        <w:tc>
          <w:tcPr>
            <w:tcW w:w="2720"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电容器工作正常</w:t>
            </w:r>
          </w:p>
        </w:tc>
        <w:tc>
          <w:tcPr>
            <w:tcW w:w="664" w:type="pct"/>
            <w:tcBorders>
              <w:top w:val="nil"/>
              <w:left w:val="nil"/>
              <w:bottom w:val="single" w:color="auto" w:sz="8" w:space="0"/>
              <w:right w:val="single" w:color="auto" w:sz="8" w:space="0"/>
            </w:tcBorders>
            <w:noWrap w:val="0"/>
            <w:vAlign w:val="center"/>
          </w:tcPr>
          <w:p>
            <w:pPr>
              <w:widowControl/>
              <w:jc w:val="both"/>
              <w:rPr>
                <w:rFonts w:hint="eastAsia" w:ascii="方正仿宋_GBK" w:hAnsi="宋体"/>
                <w:kern w:val="0"/>
                <w:sz w:val="20"/>
              </w:rPr>
            </w:pPr>
          </w:p>
        </w:tc>
      </w:tr>
      <w:tr>
        <w:tblPrEx>
          <w:tblCellMar>
            <w:top w:w="0" w:type="dxa"/>
            <w:left w:w="108" w:type="dxa"/>
            <w:bottom w:w="0" w:type="dxa"/>
            <w:right w:w="108" w:type="dxa"/>
          </w:tblCellMar>
        </w:tblPrEx>
        <w:trPr>
          <w:trHeight w:val="330" w:hRule="atLeast"/>
        </w:trPr>
        <w:tc>
          <w:tcPr>
            <w:tcW w:w="247" w:type="pct"/>
            <w:tcBorders>
              <w:top w:val="nil"/>
              <w:left w:val="single" w:color="auto" w:sz="8" w:space="0"/>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6</w:t>
            </w:r>
          </w:p>
        </w:tc>
        <w:tc>
          <w:tcPr>
            <w:tcW w:w="405"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r>
              <w:rPr>
                <w:rFonts w:hint="eastAsia" w:ascii="方正仿宋_GBK" w:hAnsi="宋体"/>
                <w:kern w:val="0"/>
                <w:sz w:val="20"/>
              </w:rPr>
              <w:t>巡视结束</w:t>
            </w:r>
          </w:p>
        </w:tc>
        <w:tc>
          <w:tcPr>
            <w:tcW w:w="3684" w:type="pct"/>
            <w:gridSpan w:val="2"/>
            <w:tcBorders>
              <w:top w:val="single" w:color="auto" w:sz="8" w:space="0"/>
              <w:left w:val="nil"/>
              <w:bottom w:val="single" w:color="auto" w:sz="8" w:space="0"/>
              <w:right w:val="single" w:color="000000" w:sz="8" w:space="0"/>
            </w:tcBorders>
            <w:noWrap w:val="0"/>
            <w:vAlign w:val="center"/>
          </w:tcPr>
          <w:p>
            <w:pPr>
              <w:widowControl/>
              <w:jc w:val="both"/>
              <w:rPr>
                <w:rFonts w:hint="eastAsia" w:ascii="方正仿宋_GBK" w:hAnsi="宋体"/>
                <w:kern w:val="0"/>
                <w:sz w:val="20"/>
              </w:rPr>
            </w:pPr>
            <w:r>
              <w:rPr>
                <w:rFonts w:hint="eastAsia" w:ascii="方正仿宋_GBK" w:hAnsi="宋体"/>
                <w:kern w:val="0"/>
                <w:sz w:val="20"/>
              </w:rPr>
              <w:t>巡视结束，发现缺陷同时填写巡视记录，不能误填、错填。回单位后填报缺陷记录</w:t>
            </w:r>
          </w:p>
        </w:tc>
        <w:tc>
          <w:tcPr>
            <w:tcW w:w="664" w:type="pct"/>
            <w:tcBorders>
              <w:top w:val="nil"/>
              <w:left w:val="nil"/>
              <w:bottom w:val="single" w:color="auto" w:sz="8" w:space="0"/>
              <w:right w:val="single" w:color="auto" w:sz="8" w:space="0"/>
            </w:tcBorders>
            <w:noWrap w:val="0"/>
            <w:vAlign w:val="center"/>
          </w:tcPr>
          <w:p>
            <w:pPr>
              <w:widowControl/>
              <w:jc w:val="center"/>
              <w:rPr>
                <w:rFonts w:hint="eastAsia" w:ascii="方正仿宋_GBK" w:hAnsi="宋体"/>
                <w:kern w:val="0"/>
                <w:sz w:val="20"/>
              </w:rPr>
            </w:pPr>
          </w:p>
        </w:tc>
      </w:tr>
    </w:tbl>
    <w:p>
      <w:pPr>
        <w:spacing w:before="120" w:after="120"/>
        <w:rPr>
          <w:rFonts w:hint="eastAsia" w:ascii="宋体" w:hAnsi="宋体" w:eastAsia="宋体"/>
          <w:sz w:val="20"/>
          <w:u w:val="single"/>
        </w:rPr>
      </w:pPr>
      <w:r>
        <w:rPr>
          <w:rFonts w:hint="eastAsia" w:ascii="宋体" w:hAnsi="宋体"/>
          <w:kern w:val="0"/>
          <w:sz w:val="20"/>
        </w:rPr>
        <w:t>巡视情况记录（可增加附页）：</w:t>
      </w:r>
      <w:r>
        <w:rPr>
          <w:rFonts w:hint="eastAsia" w:ascii="宋体" w:hAnsi="宋体"/>
          <w:sz w:val="20"/>
          <w:u w:val="single"/>
        </w:rPr>
        <w:t xml:space="preserve">                                                                                                                </w:t>
      </w:r>
    </w:p>
    <w:p>
      <w:pPr>
        <w:rPr>
          <w:rFonts w:ascii="宋体" w:hAnsi="宋体"/>
          <w:sz w:val="20"/>
          <w:u w:val="single"/>
        </w:rPr>
        <w:sectPr>
          <w:pgSz w:w="16838" w:h="11906" w:orient="landscape"/>
          <w:pgMar w:top="1587" w:right="1440" w:bottom="1474" w:left="1440" w:header="851" w:footer="992" w:gutter="0"/>
          <w:pgNumType w:fmt="numberInDash"/>
          <w:cols w:space="720" w:num="1"/>
          <w:docGrid w:linePitch="435" w:charSpace="0"/>
        </w:sectPr>
      </w:pPr>
      <w:r>
        <w:rPr>
          <w:rFonts w:hint="eastAsia" w:ascii="宋体" w:hAnsi="宋体"/>
          <w:sz w:val="20"/>
          <w:u w:val="single"/>
        </w:rPr>
        <w:t xml:space="preserve">                                                                                                                                </w:t>
      </w:r>
    </w:p>
    <w:p>
      <w:pPr>
        <w:rPr>
          <w:rFonts w:hint="eastAsia" w:ascii="Calibri" w:hAnsi="Calibri"/>
          <w:sz w:val="20"/>
        </w:rPr>
      </w:pPr>
    </w:p>
    <w:p>
      <w:pPr>
        <w:rPr>
          <w:rFonts w:ascii="方正小标宋_GBK" w:hAnsi="黑体" w:eastAsia="方正小标宋_GBK"/>
          <w:bCs/>
          <w:sz w:val="20"/>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hint="eastAsia" w:ascii="方正仿宋_GBK" w:hAnsi="方正仿宋_GBK" w:cs="方正仿宋_GBK"/>
          <w:color w:val="000000"/>
          <w:kern w:val="0"/>
          <w:szCs w:val="32"/>
        </w:rPr>
      </w:pPr>
    </w:p>
    <w:p>
      <w:pPr>
        <w:pStyle w:val="20"/>
        <w:spacing w:line="594" w:lineRule="exact"/>
        <w:rPr>
          <w:rFonts w:ascii="方正仿宋_GBK" w:hAnsi="方正仿宋_GBK" w:cs="方正仿宋_GBK"/>
          <w:color w:val="000000"/>
          <w:kern w:val="0"/>
          <w:szCs w:val="32"/>
        </w:rPr>
      </w:pPr>
    </w:p>
    <w:p>
      <w:pPr>
        <w:pBdr>
          <w:top w:val="single" w:color="auto" w:sz="4" w:space="1"/>
          <w:bottom w:val="single" w:color="auto" w:sz="4" w:space="1"/>
        </w:pBdr>
        <w:adjustRightInd w:val="0"/>
        <w:snapToGrid w:val="0"/>
        <w:spacing w:line="560" w:lineRule="exact"/>
        <w:jc w:val="both"/>
        <w:rPr>
          <w:rFonts w:hint="eastAsia" w:ascii="方正仿宋_GBK" w:hAnsi="方正仿宋_GBK" w:cs="方正仿宋_GBK"/>
          <w:szCs w:val="32"/>
        </w:rPr>
      </w:pPr>
      <w:r>
        <w:rPr>
          <w:rFonts w:hint="eastAsia" w:hAnsi="方正仿宋_GBK" w:cs="方正仿宋_GBK"/>
          <w:szCs w:val="32"/>
          <w:lang w:bidi="ar"/>
        </w:rPr>
        <w:t>重庆市永川区经济和信息化委员会</w:t>
      </w:r>
      <w:r>
        <w:rPr>
          <w:szCs w:val="32"/>
          <w:lang w:bidi="ar"/>
        </w:rPr>
        <w:t xml:space="preserve"> </w:t>
      </w:r>
      <w:r>
        <w:rPr>
          <w:rFonts w:hint="eastAsia"/>
          <w:szCs w:val="32"/>
          <w:lang w:bidi="ar"/>
        </w:rPr>
        <w:t xml:space="preserve">     </w:t>
      </w:r>
      <w:r>
        <w:rPr>
          <w:rFonts w:hint="eastAsia" w:ascii="方正仿宋_GBK" w:hAnsi="方正仿宋_GBK" w:cs="方正仿宋_GBK"/>
          <w:szCs w:val="32"/>
          <w:lang w:bidi="ar"/>
        </w:rPr>
        <w:t>2022</w:t>
      </w:r>
      <w:r>
        <w:rPr>
          <w:rFonts w:hint="eastAsia" w:hAnsi="方正仿宋_GBK" w:cs="方正仿宋_GBK"/>
          <w:szCs w:val="32"/>
          <w:lang w:bidi="ar"/>
        </w:rPr>
        <w:t>年</w:t>
      </w:r>
      <w:r>
        <w:rPr>
          <w:rFonts w:hint="eastAsia" w:ascii="方正仿宋_GBK" w:hAnsi="方正仿宋_GBK" w:cs="方正仿宋_GBK"/>
          <w:szCs w:val="32"/>
          <w:lang w:bidi="ar"/>
        </w:rPr>
        <w:t>1</w:t>
      </w:r>
      <w:r>
        <w:rPr>
          <w:rFonts w:hint="eastAsia" w:hAnsi="方正仿宋_GBK" w:cs="方正仿宋_GBK"/>
          <w:szCs w:val="32"/>
          <w:lang w:bidi="ar"/>
        </w:rPr>
        <w:t>月</w:t>
      </w:r>
      <w:r>
        <w:rPr>
          <w:rFonts w:hint="eastAsia" w:ascii="方正仿宋_GBK" w:hAnsi="方正仿宋_GBK" w:cs="方正仿宋_GBK"/>
          <w:szCs w:val="32"/>
          <w:lang w:bidi="ar"/>
        </w:rPr>
        <w:t>5</w:t>
      </w:r>
      <w:r>
        <w:rPr>
          <w:rFonts w:hint="eastAsia" w:hAnsi="方正仿宋_GBK" w:cs="方正仿宋_GBK"/>
          <w:szCs w:val="32"/>
          <w:lang w:bidi="ar"/>
        </w:rPr>
        <w:t>日印发</w:t>
      </w:r>
    </w:p>
    <w:sectPr>
      <w:pgSz w:w="11906" w:h="16838"/>
      <w:pgMar w:top="1440" w:right="1474" w:bottom="1440" w:left="1587"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F5cPKXNAQAApwMAAA4A&#10;AAAAAAAAAQAgAAAANAEAAGRycy9lMm9Eb2MueG1sUEsFBgAAAAAGAAYAWQEAAHM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HorizontalSpacing w:val="160"/>
  <w:drawingGridVerticalSpacing w:val="156"/>
  <w:displayHorizontalDrawingGridEvery w:val="0"/>
  <w:displayVerticalDrawingGridEvery w:val="2"/>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91"/>
    <w:rsid w:val="00017135"/>
    <w:rsid w:val="00021371"/>
    <w:rsid w:val="00022CEE"/>
    <w:rsid w:val="000353FB"/>
    <w:rsid w:val="0004703F"/>
    <w:rsid w:val="00065E17"/>
    <w:rsid w:val="000A5B4B"/>
    <w:rsid w:val="000E118D"/>
    <w:rsid w:val="001B4624"/>
    <w:rsid w:val="001E037A"/>
    <w:rsid w:val="0021221B"/>
    <w:rsid w:val="00223C22"/>
    <w:rsid w:val="00226B2C"/>
    <w:rsid w:val="00231007"/>
    <w:rsid w:val="0029610E"/>
    <w:rsid w:val="00304041"/>
    <w:rsid w:val="00340D1F"/>
    <w:rsid w:val="00341E6C"/>
    <w:rsid w:val="00386E8A"/>
    <w:rsid w:val="00392091"/>
    <w:rsid w:val="003D0F6F"/>
    <w:rsid w:val="003D4CEA"/>
    <w:rsid w:val="00405E8B"/>
    <w:rsid w:val="004349CF"/>
    <w:rsid w:val="00437199"/>
    <w:rsid w:val="00437D67"/>
    <w:rsid w:val="004C2A64"/>
    <w:rsid w:val="004E20CE"/>
    <w:rsid w:val="004E714C"/>
    <w:rsid w:val="00537129"/>
    <w:rsid w:val="0056332E"/>
    <w:rsid w:val="00576881"/>
    <w:rsid w:val="005951CF"/>
    <w:rsid w:val="005D16AD"/>
    <w:rsid w:val="005E0575"/>
    <w:rsid w:val="005F1747"/>
    <w:rsid w:val="00601381"/>
    <w:rsid w:val="00635600"/>
    <w:rsid w:val="00643DF4"/>
    <w:rsid w:val="006A550C"/>
    <w:rsid w:val="006D1043"/>
    <w:rsid w:val="006F7598"/>
    <w:rsid w:val="00773456"/>
    <w:rsid w:val="007903C4"/>
    <w:rsid w:val="0079487C"/>
    <w:rsid w:val="007D41A9"/>
    <w:rsid w:val="00816277"/>
    <w:rsid w:val="00854A6C"/>
    <w:rsid w:val="008D0A68"/>
    <w:rsid w:val="009112B4"/>
    <w:rsid w:val="00965E49"/>
    <w:rsid w:val="00966695"/>
    <w:rsid w:val="009748DD"/>
    <w:rsid w:val="00A32C88"/>
    <w:rsid w:val="00A52114"/>
    <w:rsid w:val="00A5756B"/>
    <w:rsid w:val="00A70F91"/>
    <w:rsid w:val="00AD2590"/>
    <w:rsid w:val="00AD36A2"/>
    <w:rsid w:val="00B553CA"/>
    <w:rsid w:val="00BC7E3D"/>
    <w:rsid w:val="00C401CB"/>
    <w:rsid w:val="00C7240A"/>
    <w:rsid w:val="00CC2D34"/>
    <w:rsid w:val="00CF3713"/>
    <w:rsid w:val="00D21F88"/>
    <w:rsid w:val="00D23DBA"/>
    <w:rsid w:val="00D410E1"/>
    <w:rsid w:val="00E06359"/>
    <w:rsid w:val="00E77448"/>
    <w:rsid w:val="00E9675F"/>
    <w:rsid w:val="00F20B9A"/>
    <w:rsid w:val="00F27BDF"/>
    <w:rsid w:val="00F43C75"/>
    <w:rsid w:val="00FC5F73"/>
    <w:rsid w:val="013B3F25"/>
    <w:rsid w:val="01C13CD7"/>
    <w:rsid w:val="01F03CB8"/>
    <w:rsid w:val="048D5B69"/>
    <w:rsid w:val="05286045"/>
    <w:rsid w:val="06A96381"/>
    <w:rsid w:val="0B414B09"/>
    <w:rsid w:val="10876A9F"/>
    <w:rsid w:val="142A532B"/>
    <w:rsid w:val="1430449C"/>
    <w:rsid w:val="14886DF8"/>
    <w:rsid w:val="18167697"/>
    <w:rsid w:val="18777441"/>
    <w:rsid w:val="1CA92098"/>
    <w:rsid w:val="1ECD784A"/>
    <w:rsid w:val="1F00589A"/>
    <w:rsid w:val="20512691"/>
    <w:rsid w:val="23A2223C"/>
    <w:rsid w:val="246845BA"/>
    <w:rsid w:val="250C1BEA"/>
    <w:rsid w:val="27347506"/>
    <w:rsid w:val="27A02BAD"/>
    <w:rsid w:val="290B1DA4"/>
    <w:rsid w:val="2AFF0717"/>
    <w:rsid w:val="326F7D7F"/>
    <w:rsid w:val="32B2202A"/>
    <w:rsid w:val="34F92A89"/>
    <w:rsid w:val="35E626B6"/>
    <w:rsid w:val="361C1A6B"/>
    <w:rsid w:val="38A04EEE"/>
    <w:rsid w:val="392B00FB"/>
    <w:rsid w:val="3D664E15"/>
    <w:rsid w:val="42635E2E"/>
    <w:rsid w:val="427A7535"/>
    <w:rsid w:val="466B21C6"/>
    <w:rsid w:val="4D0F742F"/>
    <w:rsid w:val="4FAD4125"/>
    <w:rsid w:val="50E6384A"/>
    <w:rsid w:val="542003FF"/>
    <w:rsid w:val="54CA0AE1"/>
    <w:rsid w:val="5D60041F"/>
    <w:rsid w:val="5EBA7DEA"/>
    <w:rsid w:val="5F407774"/>
    <w:rsid w:val="5FDA3C63"/>
    <w:rsid w:val="62274F3C"/>
    <w:rsid w:val="6311127B"/>
    <w:rsid w:val="65612A8D"/>
    <w:rsid w:val="66293A42"/>
    <w:rsid w:val="66D13887"/>
    <w:rsid w:val="675E40FE"/>
    <w:rsid w:val="67F23AA4"/>
    <w:rsid w:val="6F432192"/>
    <w:rsid w:val="724E3853"/>
    <w:rsid w:val="7278624F"/>
    <w:rsid w:val="73D818FB"/>
    <w:rsid w:val="79251896"/>
    <w:rsid w:val="7F206660"/>
    <w:rsid w:val="7FADA6F2"/>
    <w:rsid w:val="CFFB0D54"/>
    <w:rsid w:val="DEF6FB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spacing w:before="1"/>
      <w:ind w:left="155"/>
      <w:outlineLvl w:val="0"/>
    </w:pPr>
    <w:rPr>
      <w:rFonts w:ascii="宋体" w:hAnsi="宋体"/>
      <w:sz w:val="32"/>
      <w:szCs w:val="32"/>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styleId="4">
    <w:name w:val="Plain Text"/>
    <w:basedOn w:val="1"/>
    <w:qFormat/>
    <w:uiPriority w:val="0"/>
    <w:rPr>
      <w:rFonts w:ascii="宋体" w:hAnsi="Courier New" w:cs="Courier New"/>
      <w:szCs w:val="21"/>
    </w:rPr>
  </w:style>
  <w:style w:type="paragraph" w:styleId="5">
    <w:name w:val="footer"/>
    <w:basedOn w:val="1"/>
    <w:link w:val="15"/>
    <w:unhideWhenUsed/>
    <w:qFormat/>
    <w:uiPriority w:val="99"/>
    <w:pPr>
      <w:tabs>
        <w:tab w:val="center" w:pos="4153"/>
        <w:tab w:val="right" w:pos="8306"/>
      </w:tabs>
      <w:snapToGrid w:val="0"/>
    </w:pPr>
    <w:rPr>
      <w:rFonts w:ascii="Calibri" w:hAnsi="Calibri" w:eastAsia="宋体" w:cs="Times New Roman"/>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7">
    <w:name w:val="toc 1"/>
    <w:basedOn w:val="1"/>
    <w:next w:val="1"/>
    <w:unhideWhenUsed/>
    <w:uiPriority w:val="99"/>
    <w:pPr>
      <w:adjustRightInd w:val="0"/>
      <w:snapToGrid w:val="0"/>
      <w:spacing w:line="320" w:lineRule="atLeast"/>
      <w:jc w:val="both"/>
    </w:pPr>
    <w:rPr>
      <w:rFonts w:ascii="宋体" w:hAnsi="宋体" w:eastAsia="宋体"/>
      <w:sz w:val="21"/>
      <w:szCs w:val="21"/>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10"/>
    <w:pPr>
      <w:spacing w:before="240" w:after="60"/>
      <w:jc w:val="center"/>
      <w:outlineLvl w:val="0"/>
    </w:pPr>
    <w:rPr>
      <w:rFonts w:ascii="Cambria" w:hAnsi="Cambria" w:eastAsia="宋体" w:cs="Times New Roman"/>
      <w:b/>
      <w:bCs/>
    </w:rPr>
  </w:style>
  <w:style w:type="character" w:styleId="13">
    <w:name w:val="page number"/>
    <w:basedOn w:val="12"/>
    <w:unhideWhenUsed/>
    <w:qFormat/>
    <w:uiPriority w:val="99"/>
  </w:style>
  <w:style w:type="character" w:styleId="14">
    <w:name w:val="Hyperlink"/>
    <w:basedOn w:val="12"/>
    <w:unhideWhenUsed/>
    <w:uiPriority w:val="99"/>
    <w:rPr>
      <w:color w:val="000000"/>
      <w:u w:val="none"/>
    </w:rPr>
  </w:style>
  <w:style w:type="character" w:customStyle="1" w:styleId="15">
    <w:name w:val="页脚 Char"/>
    <w:basedOn w:val="12"/>
    <w:link w:val="5"/>
    <w:uiPriority w:val="99"/>
    <w:rPr>
      <w:sz w:val="18"/>
      <w:szCs w:val="18"/>
    </w:rPr>
  </w:style>
  <w:style w:type="character" w:customStyle="1" w:styleId="16">
    <w:name w:val="页眉 Char"/>
    <w:basedOn w:val="12"/>
    <w:link w:val="6"/>
    <w:semiHidden/>
    <w:qFormat/>
    <w:uiPriority w:val="99"/>
    <w:rPr>
      <w:sz w:val="18"/>
      <w:szCs w:val="18"/>
    </w:rPr>
  </w:style>
  <w:style w:type="paragraph" w:customStyle="1" w:styleId="17">
    <w:name w:val="p0"/>
    <w:basedOn w:val="1"/>
    <w:uiPriority w:val="0"/>
    <w:pPr>
      <w:widowControl/>
      <w:spacing w:line="240" w:lineRule="auto"/>
    </w:pPr>
    <w:rPr>
      <w:rFonts w:ascii="Times New Roman" w:hAnsi="Times New Roman"/>
      <w:kern w:val="0"/>
      <w:szCs w:val="21"/>
    </w:rPr>
  </w:style>
  <w:style w:type="paragraph" w:customStyle="1" w:styleId="18">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Body Text First Indent1"/>
    <w:basedOn w:val="3"/>
    <w:qFormat/>
    <w:uiPriority w:val="0"/>
  </w:style>
  <w:style w:type="paragraph" w:customStyle="1" w:styleId="2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1116</Words>
  <Characters>6363</Characters>
  <Lines>53</Lines>
  <Paragraphs>14</Paragraphs>
  <TotalTime>0</TotalTime>
  <ScaleCrop>false</ScaleCrop>
  <LinksUpToDate>false</LinksUpToDate>
  <CharactersWithSpaces>7465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2021-09-17T18:08:00Z</dcterms:created>
  <dc:creator>区经信委</dc:creator>
  <cp:lastModifiedBy> </cp:lastModifiedBy>
  <cp:lastPrinted>2021-12-28T23:44:00Z</cp:lastPrinted>
  <dcterms:modified xsi:type="dcterms:W3CDTF">2023-10-13T16:01:32Z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KSOSaveFontToCloudKey">
    <vt:lpwstr>897448071_cloud</vt:lpwstr>
  </property>
  <property fmtid="{D5CDD505-2E9C-101B-9397-08002B2CF9AE}" pid="4" name="ICV">
    <vt:lpwstr>724020B0EC9FA99030F9286527ACCC76</vt:lpwstr>
  </property>
</Properties>
</file>