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BA901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lang w:val="en-US" w:eastAsia="zh-CN"/>
        </w:rPr>
      </w:pPr>
      <w:bookmarkStart w:id="0" w:name="_GoBack"/>
      <w:r>
        <w:rPr>
          <w:rFonts w:hint="eastAsia" w:ascii="方正小标宋_GBK" w:hAnsi="方正小标宋_GBK" w:eastAsia="方正小标宋_GBK" w:cs="方正小标宋_GBK"/>
          <w:sz w:val="44"/>
          <w:szCs w:val="44"/>
          <w:lang w:val="en-US" w:eastAsia="zh-CN"/>
        </w:rPr>
        <w:t>重庆市永川区工程建设项目网上合同签订</w:t>
      </w:r>
    </w:p>
    <w:p w14:paraId="7F8268F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和合同变更系统操作指南</w:t>
      </w:r>
      <w:bookmarkEnd w:id="0"/>
    </w:p>
    <w:p w14:paraId="4DEDDEE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方正仿宋_GBK" w:cs="Times New Roman"/>
          <w:sz w:val="32"/>
          <w:szCs w:val="32"/>
          <w:lang w:val="en-US" w:eastAsia="zh-CN"/>
        </w:rPr>
      </w:pPr>
    </w:p>
    <w:p w14:paraId="1A33E0DE">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情况说明：</w:t>
      </w:r>
    </w:p>
    <w:p w14:paraId="3FD7714B">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系统支持浏览器：IE浏览器，版本11及以上。</w:t>
      </w:r>
    </w:p>
    <w:p w14:paraId="26C73755">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系统地址：</w:t>
      </w:r>
      <w:r>
        <w:rPr>
          <w:rFonts w:hint="default" w:ascii="Times New Roman" w:hAnsi="Times New Roman" w:eastAsia="方正仿宋_GBK" w:cs="Times New Roman"/>
          <w:color w:val="auto"/>
          <w:sz w:val="32"/>
          <w:szCs w:val="32"/>
          <w:u w:val="none"/>
          <w:lang w:val="en-US" w:eastAsia="zh-CN"/>
        </w:rPr>
        <w:t>https://ztb.cqggzy.com/CQTPBidder/memberLogin</w:t>
      </w:r>
    </w:p>
    <w:p w14:paraId="0A1D3683">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系统控件下载地址：</w:t>
      </w:r>
      <w:r>
        <w:rPr>
          <w:rFonts w:hint="default" w:ascii="Times New Roman" w:hAnsi="Times New Roman" w:eastAsia="方正仿宋_GBK" w:cs="Times New Roman"/>
          <w:color w:val="auto"/>
          <w:sz w:val="32"/>
          <w:szCs w:val="32"/>
          <w:u w:val="none"/>
          <w:lang w:val="en-US" w:eastAsia="zh-CN"/>
        </w:rPr>
        <w:t>https://www.cqggzy.com/bszn/007009/007009005/20191009/8fc81c47-6ef5-4a6f-966c-1360506afdde.html</w:t>
      </w:r>
    </w:p>
    <w:p w14:paraId="780F9B7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一、合同签订</w:t>
      </w:r>
    </w:p>
    <w:p w14:paraId="4FD7998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（一）系统登录</w:t>
      </w:r>
    </w:p>
    <w:p w14:paraId="0E48199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系统支持用户登录、CA登录和手机扫码登录（如图1），登录系统后选择交易甲方身份登录（如图2）。</w:t>
      </w:r>
    </w:p>
    <w:p w14:paraId="5823417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114300" distR="114300">
            <wp:extent cx="6149340" cy="1607185"/>
            <wp:effectExtent l="0" t="0" r="889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6149340" cy="1607185"/>
                    </a:xfrm>
                    <a:prstGeom prst="rect">
                      <a:avLst/>
                    </a:prstGeom>
                    <a:noFill/>
                    <a:ln>
                      <a:noFill/>
                    </a:ln>
                  </pic:spPr>
                </pic:pic>
              </a:graphicData>
            </a:graphic>
          </wp:inline>
        </w:drawing>
      </w:r>
    </w:p>
    <w:p w14:paraId="28612F0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图1</w:t>
      </w:r>
    </w:p>
    <w:p w14:paraId="7B1CBE3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114300" distR="114300">
            <wp:extent cx="6188710" cy="1546225"/>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6188710" cy="1546225"/>
                    </a:xfrm>
                    <a:prstGeom prst="rect">
                      <a:avLst/>
                    </a:prstGeom>
                    <a:noFill/>
                    <a:ln>
                      <a:noFill/>
                    </a:ln>
                  </pic:spPr>
                </pic:pic>
              </a:graphicData>
            </a:graphic>
          </wp:inline>
        </w:drawing>
      </w:r>
    </w:p>
    <w:p w14:paraId="74CCFF5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图2</w:t>
      </w:r>
    </w:p>
    <w:p w14:paraId="4B72ABF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（二）发起合同签订</w:t>
      </w:r>
    </w:p>
    <w:p w14:paraId="508F272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点击合同签订菜单，进入到合同签订列表页面（如图3），点击“合同签订”按钮进入到项目选择页面（如图4），选择项目后进入到合同上传页面（如图5），选择乙方单位，上传合同信息（只能上传word），完成合同信息签章后，会将合同信息推送到交易乙方。</w:t>
      </w:r>
    </w:p>
    <w:p w14:paraId="0095B24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114300" distR="114300">
            <wp:extent cx="6180455" cy="1716405"/>
            <wp:effectExtent l="0" t="0" r="10795"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6180455" cy="1716405"/>
                    </a:xfrm>
                    <a:prstGeom prst="rect">
                      <a:avLst/>
                    </a:prstGeom>
                    <a:noFill/>
                    <a:ln>
                      <a:noFill/>
                    </a:ln>
                  </pic:spPr>
                </pic:pic>
              </a:graphicData>
            </a:graphic>
          </wp:inline>
        </w:drawing>
      </w:r>
    </w:p>
    <w:p w14:paraId="1B5AD2E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图3</w:t>
      </w:r>
    </w:p>
    <w:p w14:paraId="3CED8E0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114300" distR="114300">
            <wp:extent cx="6165215" cy="1892935"/>
            <wp:effectExtent l="0" t="0" r="9525" b="57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6165215" cy="1892935"/>
                    </a:xfrm>
                    <a:prstGeom prst="rect">
                      <a:avLst/>
                    </a:prstGeom>
                    <a:noFill/>
                    <a:ln>
                      <a:noFill/>
                    </a:ln>
                  </pic:spPr>
                </pic:pic>
              </a:graphicData>
            </a:graphic>
          </wp:inline>
        </w:drawing>
      </w:r>
    </w:p>
    <w:p w14:paraId="1C55256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图4</w:t>
      </w:r>
    </w:p>
    <w:p w14:paraId="7D94030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114300" distR="114300">
            <wp:extent cx="6151245" cy="2095500"/>
            <wp:effectExtent l="0" t="0" r="6985" b="12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6151245" cy="2095500"/>
                    </a:xfrm>
                    <a:prstGeom prst="rect">
                      <a:avLst/>
                    </a:prstGeom>
                    <a:noFill/>
                    <a:ln>
                      <a:noFill/>
                    </a:ln>
                  </pic:spPr>
                </pic:pic>
              </a:graphicData>
            </a:graphic>
          </wp:inline>
        </w:drawing>
      </w:r>
    </w:p>
    <w:p w14:paraId="69237F1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图5</w:t>
      </w:r>
    </w:p>
    <w:p w14:paraId="27E326C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（三）中标人签署合同</w:t>
      </w:r>
    </w:p>
    <w:p w14:paraId="1221419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中标人登录系统后选择“交易乙方”身份进入系统，点击“合同签订”菜单后选择需要签订合同的项目（如图6），进入到合同签订页面（如图7），完成合同签章后提交给招标人。</w:t>
      </w:r>
    </w:p>
    <w:p w14:paraId="43AB4B2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114300" distR="114300">
            <wp:extent cx="6133465" cy="2224405"/>
            <wp:effectExtent l="0" t="0" r="8255" b="444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6133465" cy="2224405"/>
                    </a:xfrm>
                    <a:prstGeom prst="rect">
                      <a:avLst/>
                    </a:prstGeom>
                    <a:noFill/>
                    <a:ln>
                      <a:noFill/>
                    </a:ln>
                  </pic:spPr>
                </pic:pic>
              </a:graphicData>
            </a:graphic>
          </wp:inline>
        </w:drawing>
      </w:r>
    </w:p>
    <w:p w14:paraId="12E8532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图6</w:t>
      </w:r>
    </w:p>
    <w:p w14:paraId="1F5B4FB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114300" distR="114300">
            <wp:extent cx="6146800" cy="2256790"/>
            <wp:effectExtent l="0" t="0" r="11430" b="508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tretch>
                      <a:fillRect/>
                    </a:stretch>
                  </pic:blipFill>
                  <pic:spPr>
                    <a:xfrm>
                      <a:off x="0" y="0"/>
                      <a:ext cx="6146800" cy="2256790"/>
                    </a:xfrm>
                    <a:prstGeom prst="rect">
                      <a:avLst/>
                    </a:prstGeom>
                    <a:noFill/>
                    <a:ln>
                      <a:noFill/>
                    </a:ln>
                  </pic:spPr>
                </pic:pic>
              </a:graphicData>
            </a:graphic>
          </wp:inline>
        </w:drawing>
      </w:r>
    </w:p>
    <w:p w14:paraId="0101AC5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图7</w:t>
      </w:r>
    </w:p>
    <w:p w14:paraId="3B990C3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jc w:val="left"/>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（四）招标人完成合同公示并登记</w:t>
      </w:r>
    </w:p>
    <w:p w14:paraId="6FFAABE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招标人进入“合同签订”菜单，选择已经完成合同签订的项目（如图8），进入到合同公示并登记页面（如图9），上传合同公示表，填写合同信息，对合同公示表签章后，提交到交易系统，并将合同公示表发布到重庆市公共资源交易监督网和重庆市公共资源交易网。</w:t>
      </w:r>
    </w:p>
    <w:p w14:paraId="36243CC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114300" distR="114300">
            <wp:extent cx="6160770" cy="1753235"/>
            <wp:effectExtent l="0" t="0" r="13970" b="1333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2"/>
                    <a:stretch>
                      <a:fillRect/>
                    </a:stretch>
                  </pic:blipFill>
                  <pic:spPr>
                    <a:xfrm>
                      <a:off x="0" y="0"/>
                      <a:ext cx="6160770" cy="1753235"/>
                    </a:xfrm>
                    <a:prstGeom prst="rect">
                      <a:avLst/>
                    </a:prstGeom>
                    <a:noFill/>
                    <a:ln>
                      <a:noFill/>
                    </a:ln>
                  </pic:spPr>
                </pic:pic>
              </a:graphicData>
            </a:graphic>
          </wp:inline>
        </w:drawing>
      </w:r>
    </w:p>
    <w:p w14:paraId="693AEF1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图8</w:t>
      </w:r>
    </w:p>
    <w:p w14:paraId="4D8554C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114300" distR="114300">
            <wp:extent cx="6214110" cy="6434455"/>
            <wp:effectExtent l="0" t="0" r="10160" b="444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3"/>
                    <a:stretch>
                      <a:fillRect/>
                    </a:stretch>
                  </pic:blipFill>
                  <pic:spPr>
                    <a:xfrm>
                      <a:off x="0" y="0"/>
                      <a:ext cx="6214110" cy="6434455"/>
                    </a:xfrm>
                    <a:prstGeom prst="rect">
                      <a:avLst/>
                    </a:prstGeom>
                    <a:noFill/>
                    <a:ln>
                      <a:noFill/>
                    </a:ln>
                  </pic:spPr>
                </pic:pic>
              </a:graphicData>
            </a:graphic>
          </wp:inline>
        </w:drawing>
      </w:r>
    </w:p>
    <w:p w14:paraId="2AFA002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图9</w:t>
      </w:r>
    </w:p>
    <w:p w14:paraId="5E94437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jc w:val="left"/>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二、合同变更</w:t>
      </w:r>
    </w:p>
    <w:p w14:paraId="3E6610D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（一）发起合同变更</w:t>
      </w:r>
    </w:p>
    <w:p w14:paraId="0AAD049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招标人点击“合同变更”菜单，进入合同变更列表页面（如图10），点击“合同变更”按钮，进入合同选择页面（如图11），选择需要变更的合同后，进入到合同变更页面（如图12），重新选择交易乙方，上传变更后的合同并签章，完成合同变更要件的上传后，点击“提交信息”按钮后，将合同变更信息推送到乙方单位。</w:t>
      </w:r>
    </w:p>
    <w:p w14:paraId="25343FD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114300" distR="114300">
            <wp:extent cx="6182995" cy="2621915"/>
            <wp:effectExtent l="0" t="0" r="8255" b="317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4"/>
                    <a:stretch>
                      <a:fillRect/>
                    </a:stretch>
                  </pic:blipFill>
                  <pic:spPr>
                    <a:xfrm>
                      <a:off x="0" y="0"/>
                      <a:ext cx="6182995" cy="2621915"/>
                    </a:xfrm>
                    <a:prstGeom prst="rect">
                      <a:avLst/>
                    </a:prstGeom>
                    <a:noFill/>
                    <a:ln>
                      <a:noFill/>
                    </a:ln>
                  </pic:spPr>
                </pic:pic>
              </a:graphicData>
            </a:graphic>
          </wp:inline>
        </w:drawing>
      </w:r>
    </w:p>
    <w:p w14:paraId="527FCB2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图10</w:t>
      </w:r>
    </w:p>
    <w:p w14:paraId="5FCC12A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114300" distR="114300">
            <wp:extent cx="6157595" cy="2727325"/>
            <wp:effectExtent l="0" t="0" r="635" b="1333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5"/>
                    <a:stretch>
                      <a:fillRect/>
                    </a:stretch>
                  </pic:blipFill>
                  <pic:spPr>
                    <a:xfrm>
                      <a:off x="0" y="0"/>
                      <a:ext cx="6157595" cy="2727325"/>
                    </a:xfrm>
                    <a:prstGeom prst="rect">
                      <a:avLst/>
                    </a:prstGeom>
                    <a:noFill/>
                    <a:ln>
                      <a:noFill/>
                    </a:ln>
                  </pic:spPr>
                </pic:pic>
              </a:graphicData>
            </a:graphic>
          </wp:inline>
        </w:drawing>
      </w:r>
    </w:p>
    <w:p w14:paraId="348DA03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图11</w:t>
      </w:r>
    </w:p>
    <w:p w14:paraId="7E22D9F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114300" distR="114300">
            <wp:extent cx="6200140" cy="3149600"/>
            <wp:effectExtent l="0" t="0" r="7620" b="381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6"/>
                    <a:stretch>
                      <a:fillRect/>
                    </a:stretch>
                  </pic:blipFill>
                  <pic:spPr>
                    <a:xfrm>
                      <a:off x="0" y="0"/>
                      <a:ext cx="6200140" cy="3149600"/>
                    </a:xfrm>
                    <a:prstGeom prst="rect">
                      <a:avLst/>
                    </a:prstGeom>
                    <a:noFill/>
                    <a:ln>
                      <a:noFill/>
                    </a:ln>
                  </pic:spPr>
                </pic:pic>
              </a:graphicData>
            </a:graphic>
          </wp:inline>
        </w:drawing>
      </w:r>
    </w:p>
    <w:p w14:paraId="5B0A6F3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图12</w:t>
      </w:r>
    </w:p>
    <w:p w14:paraId="1238C3A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jc w:val="left"/>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（二）中标人签署合同变更</w:t>
      </w:r>
    </w:p>
    <w:p w14:paraId="145E399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中标人登录系统后选择“交易乙方”身份进入系统，点击“合同变更”菜单后选择需要签订变更合同的项目（如图13），进入到合同变更签订页面（如图14），完成合同签章后提交给招标人。</w:t>
      </w:r>
    </w:p>
    <w:p w14:paraId="1D62A9B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114300" distR="114300">
            <wp:extent cx="6217920" cy="3505835"/>
            <wp:effectExtent l="0" t="0" r="6350" b="1079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7"/>
                    <a:stretch>
                      <a:fillRect/>
                    </a:stretch>
                  </pic:blipFill>
                  <pic:spPr>
                    <a:xfrm>
                      <a:off x="0" y="0"/>
                      <a:ext cx="6217920" cy="3505835"/>
                    </a:xfrm>
                    <a:prstGeom prst="rect">
                      <a:avLst/>
                    </a:prstGeom>
                    <a:noFill/>
                    <a:ln>
                      <a:noFill/>
                    </a:ln>
                  </pic:spPr>
                </pic:pic>
              </a:graphicData>
            </a:graphic>
          </wp:inline>
        </w:drawing>
      </w:r>
    </w:p>
    <w:p w14:paraId="1F2AE99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图13</w:t>
      </w:r>
    </w:p>
    <w:p w14:paraId="37494B8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114300" distR="114300">
            <wp:extent cx="6169025" cy="2933065"/>
            <wp:effectExtent l="0" t="0" r="5715" b="571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8"/>
                    <a:stretch>
                      <a:fillRect/>
                    </a:stretch>
                  </pic:blipFill>
                  <pic:spPr>
                    <a:xfrm>
                      <a:off x="0" y="0"/>
                      <a:ext cx="6169025" cy="2933065"/>
                    </a:xfrm>
                    <a:prstGeom prst="rect">
                      <a:avLst/>
                    </a:prstGeom>
                    <a:noFill/>
                    <a:ln>
                      <a:noFill/>
                    </a:ln>
                  </pic:spPr>
                </pic:pic>
              </a:graphicData>
            </a:graphic>
          </wp:inline>
        </w:drawing>
      </w:r>
    </w:p>
    <w:p w14:paraId="4E2B97D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图14</w:t>
      </w:r>
    </w:p>
    <w:p w14:paraId="4D19EBD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jc w:val="left"/>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（三）招标人完成合同变更公示并登记</w:t>
      </w:r>
    </w:p>
    <w:p w14:paraId="1F52A75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招标人进入“合同变更”菜单，选择已经完成合同变更签订的项目（如图15），进入到合同变更公示并登记页面（如图16），上传合同变更公示表，填写合同信息，对合同变更公示表签章后，提交到交易系统，并将合同变更公示表发布到重庆市公共资源交易监督网和重庆市公共资源交易网。</w:t>
      </w:r>
    </w:p>
    <w:p w14:paraId="72B48D5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114300" distR="114300">
            <wp:extent cx="6174105" cy="2904490"/>
            <wp:effectExtent l="0" t="0" r="635" b="127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9"/>
                    <a:stretch>
                      <a:fillRect/>
                    </a:stretch>
                  </pic:blipFill>
                  <pic:spPr>
                    <a:xfrm>
                      <a:off x="0" y="0"/>
                      <a:ext cx="6174105" cy="2904490"/>
                    </a:xfrm>
                    <a:prstGeom prst="rect">
                      <a:avLst/>
                    </a:prstGeom>
                    <a:noFill/>
                    <a:ln>
                      <a:noFill/>
                    </a:ln>
                  </pic:spPr>
                </pic:pic>
              </a:graphicData>
            </a:graphic>
          </wp:inline>
        </w:drawing>
      </w:r>
    </w:p>
    <w:p w14:paraId="10DE2C8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图15</w:t>
      </w:r>
    </w:p>
    <w:p w14:paraId="59BAADE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drawing>
          <wp:inline distT="0" distB="0" distL="114300" distR="114300">
            <wp:extent cx="6156960" cy="7090410"/>
            <wp:effectExtent l="0" t="0" r="1270" b="889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20"/>
                    <a:stretch>
                      <a:fillRect/>
                    </a:stretch>
                  </pic:blipFill>
                  <pic:spPr>
                    <a:xfrm>
                      <a:off x="0" y="0"/>
                      <a:ext cx="6156960" cy="7090410"/>
                    </a:xfrm>
                    <a:prstGeom prst="rect">
                      <a:avLst/>
                    </a:prstGeom>
                    <a:noFill/>
                    <a:ln>
                      <a:noFill/>
                    </a:ln>
                  </pic:spPr>
                </pic:pic>
              </a:graphicData>
            </a:graphic>
          </wp:inline>
        </w:drawing>
      </w:r>
    </w:p>
    <w:p w14:paraId="0695836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图16</w:t>
      </w:r>
    </w:p>
    <w:sectPr>
      <w:footerReference r:id="rId3" w:type="default"/>
      <w:pgSz w:w="11906" w:h="16838"/>
      <w:pgMar w:top="1134" w:right="1083" w:bottom="1134" w:left="1083"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1FF8D">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BBC5A3">
                          <w:pPr>
                            <w:pStyle w:val="2"/>
                          </w:pPr>
                          <w:r>
                            <w:t xml:space="preserve">— </w:t>
                          </w:r>
                          <w:r>
                            <w:rPr>
                              <w:rFonts w:hint="eastAsia" w:ascii="方正仿宋_GBK" w:hAnsi="方正仿宋_GBK" w:eastAsia="方正仿宋_GBK" w:cs="方正仿宋_GBK"/>
                              <w:color w:val="auto"/>
                              <w:sz w:val="22"/>
                              <w:szCs w:val="36"/>
                            </w:rPr>
                            <w:fldChar w:fldCharType="begin"/>
                          </w:r>
                          <w:r>
                            <w:rPr>
                              <w:rFonts w:hint="eastAsia" w:ascii="方正仿宋_GBK" w:hAnsi="方正仿宋_GBK" w:eastAsia="方正仿宋_GBK" w:cs="方正仿宋_GBK"/>
                              <w:color w:val="auto"/>
                              <w:sz w:val="22"/>
                              <w:szCs w:val="36"/>
                            </w:rPr>
                            <w:instrText xml:space="preserve"> PAGE  \* MERGEFORMAT </w:instrText>
                          </w:r>
                          <w:r>
                            <w:rPr>
                              <w:rFonts w:hint="eastAsia" w:ascii="方正仿宋_GBK" w:hAnsi="方正仿宋_GBK" w:eastAsia="方正仿宋_GBK" w:cs="方正仿宋_GBK"/>
                              <w:color w:val="auto"/>
                              <w:sz w:val="22"/>
                              <w:szCs w:val="36"/>
                            </w:rPr>
                            <w:fldChar w:fldCharType="separate"/>
                          </w:r>
                          <w:r>
                            <w:rPr>
                              <w:rFonts w:hint="eastAsia" w:ascii="方正仿宋_GBK" w:hAnsi="方正仿宋_GBK" w:eastAsia="方正仿宋_GBK" w:cs="方正仿宋_GBK"/>
                              <w:color w:val="auto"/>
                              <w:sz w:val="22"/>
                              <w:szCs w:val="36"/>
                            </w:rPr>
                            <w:t>1</w:t>
                          </w:r>
                          <w:r>
                            <w:rPr>
                              <w:rFonts w:hint="eastAsia" w:ascii="方正仿宋_GBK" w:hAnsi="方正仿宋_GBK" w:eastAsia="方正仿宋_GBK" w:cs="方正仿宋_GBK"/>
                              <w:color w:val="auto"/>
                              <w:sz w:val="22"/>
                              <w:szCs w:val="36"/>
                            </w:rPr>
                            <w:fldChar w:fldCharType="end"/>
                          </w:r>
                          <w:r>
                            <w:rPr>
                              <w:rFonts w:hint="eastAsia" w:ascii="方正仿宋_GBK" w:hAnsi="方正仿宋_GBK" w:eastAsia="方正仿宋_GBK" w:cs="方正仿宋_GBK"/>
                              <w:color w:val="auto"/>
                              <w:sz w:val="22"/>
                              <w:szCs w:val="36"/>
                            </w:rPr>
                            <w:t xml:space="preserve"> </w:t>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3BBC5A3">
                    <w:pPr>
                      <w:pStyle w:val="2"/>
                    </w:pPr>
                    <w:r>
                      <w:t xml:space="preserve">— </w:t>
                    </w:r>
                    <w:r>
                      <w:rPr>
                        <w:rFonts w:hint="eastAsia" w:ascii="方正仿宋_GBK" w:hAnsi="方正仿宋_GBK" w:eastAsia="方正仿宋_GBK" w:cs="方正仿宋_GBK"/>
                        <w:color w:val="auto"/>
                        <w:sz w:val="22"/>
                        <w:szCs w:val="36"/>
                      </w:rPr>
                      <w:fldChar w:fldCharType="begin"/>
                    </w:r>
                    <w:r>
                      <w:rPr>
                        <w:rFonts w:hint="eastAsia" w:ascii="方正仿宋_GBK" w:hAnsi="方正仿宋_GBK" w:eastAsia="方正仿宋_GBK" w:cs="方正仿宋_GBK"/>
                        <w:color w:val="auto"/>
                        <w:sz w:val="22"/>
                        <w:szCs w:val="36"/>
                      </w:rPr>
                      <w:instrText xml:space="preserve"> PAGE  \* MERGEFORMAT </w:instrText>
                    </w:r>
                    <w:r>
                      <w:rPr>
                        <w:rFonts w:hint="eastAsia" w:ascii="方正仿宋_GBK" w:hAnsi="方正仿宋_GBK" w:eastAsia="方正仿宋_GBK" w:cs="方正仿宋_GBK"/>
                        <w:color w:val="auto"/>
                        <w:sz w:val="22"/>
                        <w:szCs w:val="36"/>
                      </w:rPr>
                      <w:fldChar w:fldCharType="separate"/>
                    </w:r>
                    <w:r>
                      <w:rPr>
                        <w:rFonts w:hint="eastAsia" w:ascii="方正仿宋_GBK" w:hAnsi="方正仿宋_GBK" w:eastAsia="方正仿宋_GBK" w:cs="方正仿宋_GBK"/>
                        <w:color w:val="auto"/>
                        <w:sz w:val="22"/>
                        <w:szCs w:val="36"/>
                      </w:rPr>
                      <w:t>1</w:t>
                    </w:r>
                    <w:r>
                      <w:rPr>
                        <w:rFonts w:hint="eastAsia" w:ascii="方正仿宋_GBK" w:hAnsi="方正仿宋_GBK" w:eastAsia="方正仿宋_GBK" w:cs="方正仿宋_GBK"/>
                        <w:color w:val="auto"/>
                        <w:sz w:val="22"/>
                        <w:szCs w:val="36"/>
                      </w:rPr>
                      <w:fldChar w:fldCharType="end"/>
                    </w:r>
                    <w:r>
                      <w:rPr>
                        <w:rFonts w:hint="eastAsia" w:ascii="方正仿宋_GBK" w:hAnsi="方正仿宋_GBK" w:eastAsia="方正仿宋_GBK" w:cs="方正仿宋_GBK"/>
                        <w:color w:val="auto"/>
                        <w:sz w:val="22"/>
                        <w:szCs w:val="36"/>
                      </w:rPr>
                      <w:t xml:space="preserve"> </w:t>
                    </w:r>
                    <w: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952B96"/>
    <w:rsid w:val="03310C88"/>
    <w:rsid w:val="04B04FE5"/>
    <w:rsid w:val="07794418"/>
    <w:rsid w:val="087F797C"/>
    <w:rsid w:val="0A6D02C4"/>
    <w:rsid w:val="0B187AA4"/>
    <w:rsid w:val="0F9302AF"/>
    <w:rsid w:val="10FB40F0"/>
    <w:rsid w:val="11F56D91"/>
    <w:rsid w:val="17580505"/>
    <w:rsid w:val="18300B23"/>
    <w:rsid w:val="18443E0A"/>
    <w:rsid w:val="1A89276C"/>
    <w:rsid w:val="1D1B0162"/>
    <w:rsid w:val="1D385D84"/>
    <w:rsid w:val="1DBC0763"/>
    <w:rsid w:val="20EE65C3"/>
    <w:rsid w:val="247F0658"/>
    <w:rsid w:val="283830DC"/>
    <w:rsid w:val="288A7910"/>
    <w:rsid w:val="28B23F14"/>
    <w:rsid w:val="29770575"/>
    <w:rsid w:val="29C27F6A"/>
    <w:rsid w:val="2D804C44"/>
    <w:rsid w:val="2F497A16"/>
    <w:rsid w:val="31226E94"/>
    <w:rsid w:val="31867D86"/>
    <w:rsid w:val="323963CE"/>
    <w:rsid w:val="34E3408C"/>
    <w:rsid w:val="39AE0D81"/>
    <w:rsid w:val="3A663681"/>
    <w:rsid w:val="3C7C727D"/>
    <w:rsid w:val="40A63028"/>
    <w:rsid w:val="41035E17"/>
    <w:rsid w:val="423374E8"/>
    <w:rsid w:val="440B54F2"/>
    <w:rsid w:val="480F3A01"/>
    <w:rsid w:val="49A34401"/>
    <w:rsid w:val="4B1F2653"/>
    <w:rsid w:val="4D767F72"/>
    <w:rsid w:val="52F5581D"/>
    <w:rsid w:val="53B353C8"/>
    <w:rsid w:val="53DF6CBB"/>
    <w:rsid w:val="54C40E0C"/>
    <w:rsid w:val="580A05D6"/>
    <w:rsid w:val="5927555A"/>
    <w:rsid w:val="5B430944"/>
    <w:rsid w:val="5CC26E3C"/>
    <w:rsid w:val="5D55380D"/>
    <w:rsid w:val="5D9429C5"/>
    <w:rsid w:val="5E345B18"/>
    <w:rsid w:val="67AE2497"/>
    <w:rsid w:val="68A613C0"/>
    <w:rsid w:val="6DC01176"/>
    <w:rsid w:val="714626D6"/>
    <w:rsid w:val="76A35B09"/>
    <w:rsid w:val="78BE62B2"/>
    <w:rsid w:val="79BF7EED"/>
    <w:rsid w:val="7A715CD2"/>
    <w:rsid w:val="7BE51849"/>
    <w:rsid w:val="7D1B3C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907</Words>
  <Characters>1065</Characters>
  <Lines>0</Lines>
  <Paragraphs>0</Paragraphs>
  <TotalTime>30</TotalTime>
  <ScaleCrop>false</ScaleCrop>
  <LinksUpToDate>false</LinksUpToDate>
  <CharactersWithSpaces>1065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2022-03-02T09:51:00Z</dcterms:created>
  <dc:creator>46479</dc:creator>
  <cp:lastModifiedBy>WPS_1724330453</cp:lastModifiedBy>
  <dcterms:modified xsi:type="dcterms:W3CDTF">2025-08-22T07:20:15Z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FF50561547F548D2B57737E09A50F619_13</vt:lpwstr>
  </property>
</Properties>
</file>