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topLinePunct w:val="0"/>
        <w:snapToGrid w:val="0"/>
        <w:spacing w:line="600" w:lineRule="exact"/>
        <w:ind w:firstLine="0" w:firstLineChars="0"/>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关于规范我区公共停车服务收费有关问题的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rPr>
      </w:pPr>
      <w:r>
        <w:rPr>
          <w:rFonts w:hint="default" w:ascii="Times New Roman" w:hAnsi="Times New Roman" w:cs="Times New Roman"/>
        </w:rPr>
        <w:t>永发改委〔2016〕209号</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各有关单位，各住宅小区停车场经营者和业主委员会，旅游景点：</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为贯彻落实《重庆市公共停车服务收费管理办法》（渝府办发〔2014〕55号），进一步规范公共停车服务收费行为，保护停车者和经营者的合法权益，根据《重庆市物价局关于公共停车服务收费有关问题的通知》（渝价〔2014〕175号）精神，现将我区公共停车服务收费有关问题通知如下：</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一、一等及以上火车客运站、公交轨道交通换乘站等配套停车场和临时占道停车场停车服务收费实行政府定价。</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临时占道停车管理及收费标准按《重庆市永川区人民政府关于规范城区公共区域临时占道停车管理的通知》（〔2016〕18号）和《重庆市永川区发展和改革委员会关于永川城区公共区域机动机临时占道停车收费标准的复函》（永发改委〔2016〕105号）执行。</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汽车客运站停车收费按重庆市物价局、重庆市交通委员会印发的相关文件执行。</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二、宾馆酒店、写字楼、商场、餐馆、娱乐场所等配套停车场（不含商住混合停车场）和专业经营的停车场停车服务收费实行市场调节价，收费标准由停车场经营者自行确定。</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三、其他公共停车场停车服务收费实行政府指导价。具体收费标准由停车场经营者在政府指导价标准（附件1）范围内自行确定。</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四、公共停车场等级标准见附件4。实行政府指导价和市场调节价的停车场经营者，应在取得公共停车楼场备案登记证后，填制《永川区公共停车收费基本情况表》（样表见附件2），将确定的收费标准报区发改委。</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五、公共停车服务车辆类型划分为二轮车、三轮车、小型车、大型车、超大型车。</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小型车指载重2吨(含)以下的货车，载客9座（含）以下的客车。大型车指载重2-10吨(含)的货车，载客10-39座（含）的客车。超大型车指载重10吨以上的货车，载客39座以上的客车。</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六、公共停车场经营者应按规定明码标价，在停车场入口或收费区域显著位置设立停车收费公示牌（见附件3）。停车收费公示牌的格式、内容和颜色区分见附件5。</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七、对不执行政府定价、政府指导价和不按规定明码标价等价格违法行为，将依据《中华人民共和国价格法》和《价格违法行为行政处罚规定》予以处罚。</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八、本通知自2016年12月1日起施行，过去区发改委下发的停车收费文件一律废止，以本通知为准。</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color w:val="000000"/>
          <w:kern w:val="0"/>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640" w:leftChars="2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附件</w:t>
      </w:r>
      <w:r>
        <w:rPr>
          <w:rFonts w:hint="default" w:ascii="Times New Roman" w:hAnsi="Times New Roman" w:cs="Times New Roman"/>
          <w:color w:val="000000"/>
          <w:kern w:val="0"/>
          <w:lang w:eastAsia="zh-CN"/>
        </w:rPr>
        <w:t>：</w:t>
      </w:r>
      <w:r>
        <w:rPr>
          <w:rFonts w:hint="default" w:ascii="Times New Roman" w:hAnsi="Times New Roman" w:cs="Times New Roman"/>
          <w:color w:val="000000"/>
          <w:kern w:val="0"/>
          <w:lang w:val="en-US" w:eastAsia="zh-CN"/>
        </w:rPr>
        <w:t>1.</w:t>
      </w:r>
      <w:r>
        <w:rPr>
          <w:rFonts w:hint="default" w:ascii="Times New Roman" w:hAnsi="Times New Roman" w:cs="Times New Roman"/>
          <w:color w:val="000000"/>
          <w:kern w:val="0"/>
        </w:rPr>
        <w:t>永川区公共停车服务收费政府指导价标准</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rPr>
        <w:t>2</w:t>
      </w:r>
      <w:r>
        <w:rPr>
          <w:rFonts w:hint="default" w:ascii="Times New Roman" w:hAnsi="Times New Roman" w:cs="Times New Roman"/>
          <w:color w:val="000000"/>
          <w:kern w:val="0"/>
          <w:lang w:val="en-US" w:eastAsia="zh-CN"/>
        </w:rPr>
        <w:t>.</w:t>
      </w:r>
      <w:r>
        <w:rPr>
          <w:rFonts w:hint="default" w:ascii="Times New Roman" w:hAnsi="Times New Roman" w:cs="Times New Roman"/>
          <w:color w:val="000000"/>
          <w:kern w:val="0"/>
        </w:rPr>
        <w:t>永川区公共停车收费基本情况表</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lang w:val="en-US" w:eastAsia="zh-CN"/>
        </w:rPr>
        <w:t>3.</w:t>
      </w:r>
      <w:r>
        <w:rPr>
          <w:rFonts w:hint="default" w:ascii="Times New Roman" w:hAnsi="Times New Roman" w:cs="Times New Roman"/>
          <w:color w:val="000000"/>
          <w:kern w:val="0"/>
        </w:rPr>
        <w:t>永川区停车收费公示牌</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baseline"/>
        <w:rPr>
          <w:rFonts w:hint="default" w:ascii="Times New Roman" w:hAnsi="Times New Roman" w:cs="Times New Roman"/>
          <w:color w:val="000000"/>
          <w:kern w:val="0"/>
        </w:rPr>
      </w:pPr>
      <w:r>
        <w:rPr>
          <w:rFonts w:hint="default" w:ascii="Times New Roman" w:hAnsi="Times New Roman" w:cs="Times New Roman"/>
          <w:color w:val="000000"/>
          <w:kern w:val="0"/>
          <w:lang w:val="en-US" w:eastAsia="zh-CN"/>
        </w:rPr>
        <w:t>4.</w:t>
      </w:r>
      <w:r>
        <w:rPr>
          <w:rFonts w:hint="default" w:ascii="Times New Roman" w:hAnsi="Times New Roman" w:cs="Times New Roman"/>
          <w:color w:val="000000"/>
          <w:kern w:val="0"/>
        </w:rPr>
        <w:t>重庆市公共停车场等级标准</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1600" w:firstLineChars="500"/>
        <w:textAlignment w:val="baseline"/>
        <w:rPr>
          <w:rFonts w:hint="default" w:ascii="Times New Roman" w:hAnsi="Times New Roman" w:cs="Times New Roman"/>
          <w:kern w:val="21"/>
        </w:rPr>
      </w:pPr>
      <w:r>
        <w:rPr>
          <w:rFonts w:hint="default" w:ascii="Times New Roman" w:hAnsi="Times New Roman" w:cs="Times New Roman"/>
          <w:color w:val="000000"/>
          <w:kern w:val="0"/>
          <w:lang w:val="en-US" w:eastAsia="zh-CN"/>
        </w:rPr>
        <w:t>5.</w:t>
      </w:r>
      <w:r>
        <w:rPr>
          <w:rFonts w:hint="default" w:ascii="Times New Roman" w:hAnsi="Times New Roman" w:cs="Times New Roman"/>
          <w:color w:val="000000"/>
          <w:kern w:val="0"/>
        </w:rPr>
        <w:t>停车收费公示牌制作说明</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rPr>
      </w:pP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600" w:lineRule="exact"/>
        <w:ind w:right="640" w:rightChars="200"/>
        <w:jc w:val="right"/>
        <w:textAlignment w:val="baseline"/>
        <w:rPr>
          <w:rFonts w:hint="default" w:ascii="Times New Roman" w:hAnsi="Times New Roman" w:cs="Times New Roman"/>
          <w:kern w:val="21"/>
        </w:rPr>
      </w:pPr>
      <w:r>
        <w:rPr>
          <w:rFonts w:hint="default" w:ascii="Times New Roman" w:hAnsi="Times New Roman" w:cs="Times New Roman"/>
          <w:kern w:val="21"/>
        </w:rPr>
        <w:t>重庆市永川区发展和改革委员会</w:t>
      </w:r>
    </w:p>
    <w:p>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baseline"/>
        <w:rPr>
          <w:rFonts w:hint="default" w:ascii="Times New Roman" w:hAnsi="Times New Roman" w:eastAsia="方正仿宋_GBK" w:cs="Times New Roman"/>
          <w:kern w:val="21"/>
          <w:lang w:val="en-US" w:eastAsia="zh-CN"/>
        </w:rPr>
      </w:pPr>
      <w:r>
        <w:rPr>
          <w:rFonts w:hint="default" w:ascii="Times New Roman" w:hAnsi="Times New Roman" w:cs="Times New Roman"/>
          <w:kern w:val="21"/>
          <w:lang w:val="en-US" w:eastAsia="zh-CN"/>
        </w:rPr>
        <w:t xml:space="preserve">                      </w:t>
      </w:r>
      <w:r>
        <w:rPr>
          <w:rFonts w:hint="default" w:ascii="Times New Roman" w:hAnsi="Times New Roman" w:cs="Times New Roman"/>
          <w:kern w:val="21"/>
        </w:rPr>
        <w:t>2016年11月28日</w:t>
      </w:r>
      <w:r>
        <w:rPr>
          <w:rFonts w:hint="eastAsia" w:ascii="Times New Roman" w:hAnsi="Times New Roman" w:cs="Times New Roman"/>
          <w:kern w:val="21"/>
          <w:lang w:val="en-US" w:eastAsia="zh-CN"/>
        </w:rPr>
        <w:t xml:space="preserve">         </w:t>
      </w: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rPr>
      </w:pPr>
      <w:r>
        <w:rPr>
          <w:rFonts w:hint="default" w:ascii="Times New Roman" w:hAnsi="Times New Roman" w:eastAsia="方正黑体_GBK" w:cs="Times New Roman"/>
        </w:rPr>
        <w:t>附件1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永川区公共停车服务收费政府指导价标准</w:t>
      </w:r>
    </w:p>
    <w:p>
      <w:pPr>
        <w:rPr>
          <w:rFonts w:hint="default" w:ascii="Times New Roman" w:hAnsi="Times New Roman" w:cs="Times New Roman"/>
        </w:rPr>
      </w:pP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038"/>
        <w:gridCol w:w="1543"/>
        <w:gridCol w:w="1342"/>
        <w:gridCol w:w="1402"/>
        <w:gridCol w:w="142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98" w:type="pct"/>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车型</w:t>
            </w:r>
          </w:p>
        </w:tc>
        <w:tc>
          <w:tcPr>
            <w:tcW w:w="852"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停放时间</w:t>
            </w:r>
          </w:p>
        </w:tc>
        <w:tc>
          <w:tcPr>
            <w:tcW w:w="3249"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98" w:type="pct"/>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baseline"/>
              <w:rPr>
                <w:rFonts w:hint="default" w:ascii="Times New Roman" w:hAnsi="Times New Roman" w:eastAsia="方正黑体_GBK" w:cs="Times New Roman"/>
                <w:b w:val="0"/>
                <w:bCs/>
                <w:sz w:val="24"/>
                <w:szCs w:val="24"/>
              </w:rPr>
            </w:pPr>
          </w:p>
        </w:tc>
        <w:tc>
          <w:tcPr>
            <w:tcW w:w="852" w:type="pct"/>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p>
        </w:tc>
        <w:tc>
          <w:tcPr>
            <w:tcW w:w="151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室内</w:t>
            </w:r>
          </w:p>
        </w:tc>
        <w:tc>
          <w:tcPr>
            <w:tcW w:w="788" w:type="pct"/>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室外</w:t>
            </w:r>
          </w:p>
        </w:tc>
        <w:tc>
          <w:tcPr>
            <w:tcW w:w="945" w:type="pct"/>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旅游景点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室外停车场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8" w:type="pct"/>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baseline"/>
              <w:rPr>
                <w:rFonts w:hint="default" w:ascii="Times New Roman" w:hAnsi="Times New Roman" w:cs="Times New Roman"/>
                <w:sz w:val="24"/>
                <w:szCs w:val="24"/>
              </w:rPr>
            </w:pPr>
          </w:p>
        </w:tc>
        <w:tc>
          <w:tcPr>
            <w:tcW w:w="85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c>
          <w:tcPr>
            <w:tcW w:w="7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特级</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40" w:firstLineChars="100"/>
              <w:textAlignment w:val="baseline"/>
              <w:rPr>
                <w:rFonts w:hint="default" w:ascii="Times New Roman" w:hAnsi="Times New Roman" w:eastAsia="方正黑体_GBK" w:cs="Times New Roman"/>
                <w:b w:val="0"/>
                <w:bCs/>
                <w:sz w:val="24"/>
                <w:szCs w:val="24"/>
              </w:rPr>
            </w:pPr>
            <w:r>
              <w:rPr>
                <w:rFonts w:hint="default" w:ascii="Times New Roman" w:hAnsi="Times New Roman" w:eastAsia="方正黑体_GBK" w:cs="Times New Roman"/>
                <w:b w:val="0"/>
                <w:bCs/>
                <w:sz w:val="24"/>
                <w:szCs w:val="24"/>
              </w:rPr>
              <w:t>普通级</w:t>
            </w:r>
          </w:p>
        </w:tc>
        <w:tc>
          <w:tcPr>
            <w:tcW w:w="78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c>
          <w:tcPr>
            <w:tcW w:w="945"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二轮车</w:t>
            </w:r>
          </w:p>
        </w:tc>
        <w:tc>
          <w:tcPr>
            <w:tcW w:w="8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每小时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12小时内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24小时内</w:t>
            </w:r>
          </w:p>
        </w:tc>
        <w:tc>
          <w:tcPr>
            <w:tcW w:w="151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5元以内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10元以内</w:t>
            </w:r>
          </w:p>
        </w:tc>
        <w:tc>
          <w:tcPr>
            <w:tcW w:w="788"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7"/>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1元</w:t>
            </w:r>
          </w:p>
          <w:p>
            <w:pPr>
              <w:keepNext w:val="0"/>
              <w:keepLines w:val="0"/>
              <w:pageBreakBefore w:val="0"/>
              <w:widowControl w:val="0"/>
              <w:kinsoku/>
              <w:wordWrap/>
              <w:overflowPunct/>
              <w:topLinePunct w:val="0"/>
              <w:autoSpaceDE/>
              <w:autoSpaceDN/>
              <w:bidi w:val="0"/>
              <w:adjustRightInd w:val="0"/>
              <w:snapToGrid w:val="0"/>
              <w:spacing w:line="240" w:lineRule="auto"/>
              <w:ind w:left="87"/>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5元以内</w:t>
            </w:r>
          </w:p>
          <w:p>
            <w:pPr>
              <w:keepNext w:val="0"/>
              <w:keepLines w:val="0"/>
              <w:pageBreakBefore w:val="0"/>
              <w:widowControl w:val="0"/>
              <w:kinsoku/>
              <w:wordWrap/>
              <w:overflowPunct/>
              <w:topLinePunct w:val="0"/>
              <w:autoSpaceDE/>
              <w:autoSpaceDN/>
              <w:bidi w:val="0"/>
              <w:adjustRightInd w:val="0"/>
              <w:snapToGrid w:val="0"/>
              <w:spacing w:line="240" w:lineRule="auto"/>
              <w:ind w:left="87"/>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8元以内</w:t>
            </w:r>
          </w:p>
        </w:tc>
        <w:tc>
          <w:tcPr>
            <w:tcW w:w="945" w:type="pc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3" w:leftChars="4" w:firstLine="480" w:firstLineChars="20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8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三轮车</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小型车</w:t>
            </w:r>
          </w:p>
        </w:tc>
        <w:tc>
          <w:tcPr>
            <w:tcW w:w="8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每小时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12小时内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24小时内</w:t>
            </w:r>
          </w:p>
        </w:tc>
        <w:tc>
          <w:tcPr>
            <w:tcW w:w="7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4元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15元以内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25元以内</w:t>
            </w:r>
          </w:p>
        </w:tc>
        <w:tc>
          <w:tcPr>
            <w:tcW w:w="773"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3元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10元以内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20元以内</w:t>
            </w:r>
          </w:p>
        </w:tc>
        <w:tc>
          <w:tcPr>
            <w:tcW w:w="788"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120" w:firstLineChars="50"/>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8元以内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15元以内</w:t>
            </w:r>
          </w:p>
        </w:tc>
        <w:tc>
          <w:tcPr>
            <w:tcW w:w="945"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3" w:leftChars="4" w:firstLine="480" w:firstLineChars="20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大中型车</w:t>
            </w:r>
          </w:p>
        </w:tc>
        <w:tc>
          <w:tcPr>
            <w:tcW w:w="8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每小时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12小时内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24小时内</w:t>
            </w:r>
          </w:p>
        </w:tc>
        <w:tc>
          <w:tcPr>
            <w:tcW w:w="7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5元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20元以内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30元以内</w:t>
            </w: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4元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15元以内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25元以内</w:t>
            </w:r>
          </w:p>
        </w:tc>
        <w:tc>
          <w:tcPr>
            <w:tcW w:w="788"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3元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10元以内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20元以内</w:t>
            </w:r>
          </w:p>
        </w:tc>
        <w:tc>
          <w:tcPr>
            <w:tcW w:w="945"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3" w:leftChars="4" w:firstLine="480" w:firstLineChars="200"/>
              <w:jc w:val="both"/>
              <w:textAlignment w:val="baseline"/>
              <w:rPr>
                <w:rFonts w:hint="default" w:ascii="Times New Roman" w:hAnsi="Times New Roman" w:cs="Times New Roman"/>
                <w:sz w:val="24"/>
                <w:szCs w:val="24"/>
              </w:rPr>
            </w:pPr>
            <w:r>
              <w:rPr>
                <w:rFonts w:hint="default" w:ascii="Times New Roman" w:hAnsi="Times New Roman" w:cs="Times New Roman"/>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2" w:hRule="atLeast"/>
          <w:jc w:val="center"/>
        </w:trPr>
        <w:tc>
          <w:tcPr>
            <w:tcW w:w="32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大</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型</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车</w:t>
            </w: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≤13米</w:t>
            </w:r>
          </w:p>
        </w:tc>
        <w:tc>
          <w:tcPr>
            <w:tcW w:w="8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每小时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12小时内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24小时内</w:t>
            </w:r>
          </w:p>
        </w:tc>
        <w:tc>
          <w:tcPr>
            <w:tcW w:w="7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c>
          <w:tcPr>
            <w:tcW w:w="788"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4元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15元以内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30元以内</w:t>
            </w:r>
          </w:p>
        </w:tc>
        <w:tc>
          <w:tcPr>
            <w:tcW w:w="945" w:type="pc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32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＞13米</w:t>
            </w:r>
          </w:p>
        </w:tc>
        <w:tc>
          <w:tcPr>
            <w:tcW w:w="85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每小时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12小时内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24小时内</w:t>
            </w:r>
          </w:p>
        </w:tc>
        <w:tc>
          <w:tcPr>
            <w:tcW w:w="7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c>
          <w:tcPr>
            <w:tcW w:w="77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p>
        </w:tc>
        <w:tc>
          <w:tcPr>
            <w:tcW w:w="788"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5元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20元以内</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4"/>
                <w:szCs w:val="24"/>
              </w:rPr>
            </w:pPr>
            <w:r>
              <w:rPr>
                <w:rFonts w:hint="default" w:ascii="Times New Roman" w:hAnsi="Times New Roman" w:cs="Times New Roman"/>
                <w:sz w:val="24"/>
                <w:szCs w:val="24"/>
              </w:rPr>
              <w:t>40元以内</w:t>
            </w:r>
          </w:p>
        </w:tc>
        <w:tc>
          <w:tcPr>
            <w:tcW w:w="945" w:type="pct"/>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备注：1．此收费标准为最高限价，下浮不限。</w:t>
      </w:r>
    </w:p>
    <w:p>
      <w:pPr>
        <w:keepNext w:val="0"/>
        <w:keepLines w:val="0"/>
        <w:pageBreakBefore w:val="0"/>
        <w:widowControl w:val="0"/>
        <w:kinsoku/>
        <w:wordWrap/>
        <w:overflowPunct/>
        <w:topLinePunct w:val="0"/>
        <w:autoSpaceDE/>
        <w:autoSpaceDN/>
        <w:bidi w:val="0"/>
        <w:adjustRightInd w:val="0"/>
        <w:snapToGrid w:val="0"/>
        <w:spacing w:line="240" w:lineRule="auto"/>
        <w:ind w:left="710" w:leftChars="222"/>
        <w:textAlignment w:val="baseline"/>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2．按小时累计计收，不足1小时按1小时算，但不得超过12小时和24小时的限定标准。</w:t>
      </w:r>
    </w:p>
    <w:p>
      <w:pPr>
        <w:keepNext w:val="0"/>
        <w:keepLines w:val="0"/>
        <w:pageBreakBefore w:val="0"/>
        <w:widowControl w:val="0"/>
        <w:kinsoku/>
        <w:wordWrap/>
        <w:overflowPunct/>
        <w:topLinePunct w:val="0"/>
        <w:autoSpaceDE/>
        <w:autoSpaceDN/>
        <w:bidi w:val="0"/>
        <w:adjustRightInd w:val="0"/>
        <w:snapToGrid w:val="0"/>
        <w:spacing w:line="240" w:lineRule="auto"/>
        <w:ind w:left="710" w:leftChars="222"/>
        <w:textAlignment w:val="baseline"/>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3．住宅区停放时间不足30分钟的车辆免收停车费，超出30分钟的，计费时间从始停起连续计算。</w:t>
      </w:r>
    </w:p>
    <w:p>
      <w:pPr>
        <w:keepNext w:val="0"/>
        <w:keepLines w:val="0"/>
        <w:pageBreakBefore w:val="0"/>
        <w:widowControl w:val="0"/>
        <w:kinsoku/>
        <w:wordWrap/>
        <w:overflowPunct/>
        <w:topLinePunct w:val="0"/>
        <w:autoSpaceDE/>
        <w:autoSpaceDN/>
        <w:bidi w:val="0"/>
        <w:adjustRightInd w:val="0"/>
        <w:snapToGrid w:val="0"/>
        <w:spacing w:line="240" w:lineRule="auto"/>
        <w:ind w:left="710" w:leftChars="222"/>
        <w:textAlignment w:val="baseline"/>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 住宅区停车场对住户不得拒办包月、包年停车，包月停放收费标准不得高于连续停放30天累计收费总额，具体标准由车主和停车场经营者双方协商议定。</w:t>
      </w:r>
    </w:p>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300"/>
        <w:textAlignment w:val="baseline"/>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5．旅游景点室内停车收费按公共停车场室内收费标准执行。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黑体_GBK"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黑体_GBK" w:cs="Times New Roman"/>
        </w:rPr>
      </w:pPr>
      <w:r>
        <w:rPr>
          <w:rFonts w:hint="default" w:ascii="Times New Roman" w:hAnsi="Times New Roman" w:eastAsia="方正黑体_GBK" w:cs="Times New Roman"/>
        </w:rPr>
        <w:t>附件2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永川区公共停车收费基本情况表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填报日期：**年*月*日</w:t>
      </w:r>
    </w:p>
    <w:tbl>
      <w:tblPr>
        <w:tblStyle w:val="8"/>
        <w:tblW w:w="5310" w:type="pct"/>
        <w:jc w:val="center"/>
        <w:tblLayout w:type="autofit"/>
        <w:tblCellMar>
          <w:top w:w="0" w:type="dxa"/>
          <w:left w:w="108" w:type="dxa"/>
          <w:bottom w:w="0" w:type="dxa"/>
          <w:right w:w="108" w:type="dxa"/>
        </w:tblCellMar>
      </w:tblPr>
      <w:tblGrid>
        <w:gridCol w:w="1622"/>
        <w:gridCol w:w="1499"/>
        <w:gridCol w:w="1622"/>
        <w:gridCol w:w="1411"/>
        <w:gridCol w:w="1497"/>
        <w:gridCol w:w="1972"/>
      </w:tblGrid>
      <w:tr>
        <w:tblPrEx>
          <w:tblCellMar>
            <w:top w:w="0" w:type="dxa"/>
            <w:left w:w="108" w:type="dxa"/>
            <w:bottom w:w="0" w:type="dxa"/>
            <w:right w:w="108" w:type="dxa"/>
          </w:tblCellMar>
        </w:tblPrEx>
        <w:trPr>
          <w:trHeight w:val="505" w:hRule="atLeast"/>
          <w:jc w:val="center"/>
        </w:trPr>
        <w:tc>
          <w:tcPr>
            <w:tcW w:w="246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停车场名称：***</w:t>
            </w:r>
          </w:p>
        </w:tc>
        <w:tc>
          <w:tcPr>
            <w:tcW w:w="2534"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经营者名称：***（加盖公章）</w:t>
            </w:r>
          </w:p>
        </w:tc>
      </w:tr>
      <w:tr>
        <w:tblPrEx>
          <w:tblCellMar>
            <w:top w:w="0" w:type="dxa"/>
            <w:left w:w="108" w:type="dxa"/>
            <w:bottom w:w="0" w:type="dxa"/>
            <w:right w:w="108" w:type="dxa"/>
          </w:tblCellMar>
        </w:tblPrEx>
        <w:trPr>
          <w:trHeight w:val="475" w:hRule="atLeast"/>
          <w:jc w:val="center"/>
        </w:trPr>
        <w:tc>
          <w:tcPr>
            <w:tcW w:w="246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停车场地址：***</w:t>
            </w:r>
          </w:p>
        </w:tc>
        <w:tc>
          <w:tcPr>
            <w:tcW w:w="2534"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是否重要商圈：是（依据）或否</w:t>
            </w:r>
          </w:p>
        </w:tc>
      </w:tr>
      <w:tr>
        <w:tblPrEx>
          <w:tblCellMar>
            <w:top w:w="0" w:type="dxa"/>
            <w:left w:w="108" w:type="dxa"/>
            <w:bottom w:w="0" w:type="dxa"/>
            <w:right w:w="108" w:type="dxa"/>
          </w:tblCellMar>
        </w:tblPrEx>
        <w:trPr>
          <w:trHeight w:val="319" w:hRule="atLeast"/>
          <w:jc w:val="center"/>
        </w:trPr>
        <w:tc>
          <w:tcPr>
            <w:tcW w:w="246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停车场类型：室内**级停车场或室外停车场</w:t>
            </w:r>
          </w:p>
        </w:tc>
        <w:tc>
          <w:tcPr>
            <w:tcW w:w="2534"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停车场所属物业性质：住宅、非住宅或商住混合</w:t>
            </w:r>
          </w:p>
        </w:tc>
      </w:tr>
      <w:tr>
        <w:tblPrEx>
          <w:tblCellMar>
            <w:top w:w="0" w:type="dxa"/>
            <w:left w:w="108" w:type="dxa"/>
            <w:bottom w:w="0" w:type="dxa"/>
            <w:right w:w="108" w:type="dxa"/>
          </w:tblCellMar>
        </w:tblPrEx>
        <w:trPr>
          <w:trHeight w:val="600" w:hRule="atLeast"/>
          <w:jc w:val="center"/>
        </w:trPr>
        <w:tc>
          <w:tcPr>
            <w:tcW w:w="2465"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停车楼场备案证号：***</w:t>
            </w:r>
          </w:p>
        </w:tc>
        <w:tc>
          <w:tcPr>
            <w:tcW w:w="2534" w:type="pct"/>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停车位数量：**个</w:t>
            </w:r>
          </w:p>
        </w:tc>
      </w:tr>
      <w:tr>
        <w:tblPrEx>
          <w:tblCellMar>
            <w:top w:w="0" w:type="dxa"/>
            <w:left w:w="108" w:type="dxa"/>
            <w:bottom w:w="0" w:type="dxa"/>
            <w:right w:w="108" w:type="dxa"/>
          </w:tblCellMar>
        </w:tblPrEx>
        <w:trPr>
          <w:trHeight w:val="565" w:hRule="atLeast"/>
          <w:jc w:val="center"/>
        </w:trPr>
        <w:tc>
          <w:tcPr>
            <w:tcW w:w="2465"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kern w:val="0"/>
                <w:sz w:val="24"/>
              </w:rPr>
            </w:pPr>
            <w:r>
              <w:rPr>
                <w:rFonts w:hint="default" w:ascii="Times New Roman" w:hAnsi="Times New Roman" w:cs="Times New Roman"/>
                <w:kern w:val="0"/>
                <w:sz w:val="24"/>
              </w:rPr>
              <w:t>联系人：***</w:t>
            </w:r>
          </w:p>
        </w:tc>
        <w:tc>
          <w:tcPr>
            <w:tcW w:w="2534" w:type="pct"/>
            <w:gridSpan w:val="3"/>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kern w:val="0"/>
                <w:sz w:val="24"/>
              </w:rPr>
            </w:pPr>
            <w:r>
              <w:rPr>
                <w:rFonts w:hint="default" w:ascii="Times New Roman" w:hAnsi="Times New Roman" w:cs="Times New Roman"/>
                <w:kern w:val="0"/>
                <w:sz w:val="24"/>
              </w:rPr>
              <w:t>联系电话：***</w:t>
            </w:r>
          </w:p>
        </w:tc>
      </w:tr>
      <w:tr>
        <w:tblPrEx>
          <w:tblCellMar>
            <w:top w:w="0" w:type="dxa"/>
            <w:left w:w="108" w:type="dxa"/>
            <w:bottom w:w="0" w:type="dxa"/>
            <w:right w:w="108" w:type="dxa"/>
          </w:tblCellMar>
        </w:tblPrEx>
        <w:trPr>
          <w:trHeight w:val="202" w:hRule="atLeast"/>
          <w:jc w:val="center"/>
        </w:trPr>
        <w:tc>
          <w:tcPr>
            <w:tcW w:w="5000" w:type="pct"/>
            <w:gridSpan w:val="6"/>
            <w:tcBorders>
              <w:top w:val="single" w:color="auto" w:sz="4" w:space="0"/>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停车场具备的等级条件：</w:t>
            </w:r>
          </w:p>
        </w:tc>
      </w:tr>
      <w:tr>
        <w:tblPrEx>
          <w:tblCellMar>
            <w:top w:w="0" w:type="dxa"/>
            <w:left w:w="108" w:type="dxa"/>
            <w:bottom w:w="0" w:type="dxa"/>
            <w:right w:w="108" w:type="dxa"/>
          </w:tblCellMar>
        </w:tblPrEx>
        <w:trPr>
          <w:trHeight w:val="294" w:hRule="atLeast"/>
          <w:jc w:val="center"/>
        </w:trPr>
        <w:tc>
          <w:tcPr>
            <w:tcW w:w="5000" w:type="pct"/>
            <w:gridSpan w:val="6"/>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w:t>
            </w:r>
          </w:p>
        </w:tc>
      </w:tr>
      <w:tr>
        <w:tblPrEx>
          <w:tblCellMar>
            <w:top w:w="0" w:type="dxa"/>
            <w:left w:w="108" w:type="dxa"/>
            <w:bottom w:w="0" w:type="dxa"/>
            <w:right w:w="108" w:type="dxa"/>
          </w:tblCellMar>
        </w:tblPrEx>
        <w:trPr>
          <w:trHeight w:val="294" w:hRule="atLeast"/>
          <w:jc w:val="center"/>
        </w:trPr>
        <w:tc>
          <w:tcPr>
            <w:tcW w:w="5000" w:type="pct"/>
            <w:gridSpan w:val="6"/>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w:t>
            </w:r>
          </w:p>
        </w:tc>
      </w:tr>
      <w:tr>
        <w:tblPrEx>
          <w:tblCellMar>
            <w:top w:w="0" w:type="dxa"/>
            <w:left w:w="108" w:type="dxa"/>
            <w:bottom w:w="0" w:type="dxa"/>
            <w:right w:w="108" w:type="dxa"/>
          </w:tblCellMar>
        </w:tblPrEx>
        <w:trPr>
          <w:trHeight w:val="294" w:hRule="atLeast"/>
          <w:jc w:val="center"/>
        </w:trPr>
        <w:tc>
          <w:tcPr>
            <w:tcW w:w="5000" w:type="pct"/>
            <w:gridSpan w:val="6"/>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w:t>
            </w:r>
          </w:p>
        </w:tc>
      </w:tr>
      <w:tr>
        <w:tblPrEx>
          <w:tblCellMar>
            <w:top w:w="0" w:type="dxa"/>
            <w:left w:w="108" w:type="dxa"/>
            <w:bottom w:w="0" w:type="dxa"/>
            <w:right w:w="108" w:type="dxa"/>
          </w:tblCellMar>
        </w:tblPrEx>
        <w:trPr>
          <w:trHeight w:val="294" w:hRule="atLeast"/>
          <w:jc w:val="center"/>
        </w:trPr>
        <w:tc>
          <w:tcPr>
            <w:tcW w:w="5000" w:type="pct"/>
            <w:gridSpan w:val="6"/>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4、</w:t>
            </w:r>
          </w:p>
        </w:tc>
      </w:tr>
      <w:tr>
        <w:tblPrEx>
          <w:tblCellMar>
            <w:top w:w="0" w:type="dxa"/>
            <w:left w:w="108" w:type="dxa"/>
            <w:bottom w:w="0" w:type="dxa"/>
            <w:right w:w="108" w:type="dxa"/>
          </w:tblCellMar>
        </w:tblPrEx>
        <w:trPr>
          <w:trHeight w:val="294" w:hRule="atLeast"/>
          <w:jc w:val="center"/>
        </w:trPr>
        <w:tc>
          <w:tcPr>
            <w:tcW w:w="5000" w:type="pct"/>
            <w:gridSpan w:val="6"/>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5、</w:t>
            </w:r>
          </w:p>
        </w:tc>
      </w:tr>
      <w:tr>
        <w:tblPrEx>
          <w:tblCellMar>
            <w:top w:w="0" w:type="dxa"/>
            <w:left w:w="108" w:type="dxa"/>
            <w:bottom w:w="0" w:type="dxa"/>
            <w:right w:w="108" w:type="dxa"/>
          </w:tblCellMar>
        </w:tblPrEx>
        <w:trPr>
          <w:trHeight w:val="294" w:hRule="atLeast"/>
          <w:jc w:val="center"/>
        </w:trPr>
        <w:tc>
          <w:tcPr>
            <w:tcW w:w="5000" w:type="pct"/>
            <w:gridSpan w:val="6"/>
            <w:tcBorders>
              <w:top w:val="nil"/>
              <w:left w:val="single" w:color="auto"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6、</w:t>
            </w:r>
          </w:p>
        </w:tc>
      </w:tr>
      <w:tr>
        <w:tblPrEx>
          <w:tblCellMar>
            <w:top w:w="0" w:type="dxa"/>
            <w:left w:w="108" w:type="dxa"/>
            <w:bottom w:w="0" w:type="dxa"/>
            <w:right w:w="108" w:type="dxa"/>
          </w:tblCellMar>
        </w:tblPrEx>
        <w:trPr>
          <w:trHeight w:val="294" w:hRule="atLeast"/>
          <w:jc w:val="center"/>
        </w:trPr>
        <w:tc>
          <w:tcPr>
            <w:tcW w:w="5000" w:type="pct"/>
            <w:gridSpan w:val="6"/>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7、</w:t>
            </w:r>
          </w:p>
        </w:tc>
      </w:tr>
      <w:tr>
        <w:tblPrEx>
          <w:tblCellMar>
            <w:top w:w="0" w:type="dxa"/>
            <w:left w:w="108" w:type="dxa"/>
            <w:bottom w:w="0" w:type="dxa"/>
            <w:right w:w="108" w:type="dxa"/>
          </w:tblCellMar>
        </w:tblPrEx>
        <w:trPr>
          <w:trHeight w:val="224" w:hRule="atLeast"/>
          <w:jc w:val="center"/>
        </w:trPr>
        <w:tc>
          <w:tcPr>
            <w:tcW w:w="5000" w:type="pct"/>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收费标准（金额单位元）</w:t>
            </w:r>
          </w:p>
        </w:tc>
      </w:tr>
      <w:tr>
        <w:tblPrEx>
          <w:tblCellMar>
            <w:top w:w="0" w:type="dxa"/>
            <w:left w:w="108" w:type="dxa"/>
            <w:bottom w:w="0" w:type="dxa"/>
            <w:right w:w="108" w:type="dxa"/>
          </w:tblCellMar>
        </w:tblPrEx>
        <w:trPr>
          <w:trHeight w:val="294" w:hRule="atLeast"/>
          <w:jc w:val="center"/>
        </w:trPr>
        <w:tc>
          <w:tcPr>
            <w:tcW w:w="3198" w:type="pct"/>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临  停  停  放</w:t>
            </w:r>
          </w:p>
        </w:tc>
        <w:tc>
          <w:tcPr>
            <w:tcW w:w="1801" w:type="pct"/>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包  月  停  放</w:t>
            </w:r>
          </w:p>
        </w:tc>
      </w:tr>
      <w:tr>
        <w:tblPrEx>
          <w:tblCellMar>
            <w:top w:w="0" w:type="dxa"/>
            <w:left w:w="108" w:type="dxa"/>
            <w:bottom w:w="0" w:type="dxa"/>
            <w:right w:w="108" w:type="dxa"/>
          </w:tblCellMar>
        </w:tblPrEx>
        <w:trPr>
          <w:trHeight w:val="294" w:hRule="atLeast"/>
          <w:jc w:val="center"/>
        </w:trPr>
        <w:tc>
          <w:tcPr>
            <w:tcW w:w="843" w:type="pct"/>
            <w:tcBorders>
              <w:top w:val="nil"/>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720" w:firstLineChars="300"/>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时间</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车型</w:t>
            </w:r>
          </w:p>
        </w:tc>
        <w:tc>
          <w:tcPr>
            <w:tcW w:w="77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84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73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778"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102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r>
      <w:tr>
        <w:tblPrEx>
          <w:tblCellMar>
            <w:top w:w="0" w:type="dxa"/>
            <w:left w:w="108" w:type="dxa"/>
            <w:bottom w:w="0" w:type="dxa"/>
            <w:right w:w="108" w:type="dxa"/>
          </w:tblCellMar>
        </w:tblPrEx>
        <w:trPr>
          <w:trHeight w:val="294" w:hRule="atLeast"/>
          <w:jc w:val="center"/>
        </w:trPr>
        <w:tc>
          <w:tcPr>
            <w:tcW w:w="84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每小时</w:t>
            </w:r>
          </w:p>
        </w:tc>
        <w:tc>
          <w:tcPr>
            <w:tcW w:w="77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0"/>
                <w:szCs w:val="20"/>
              </w:rPr>
            </w:pPr>
          </w:p>
        </w:tc>
        <w:tc>
          <w:tcPr>
            <w:tcW w:w="84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0"/>
                <w:szCs w:val="20"/>
              </w:rPr>
            </w:pPr>
          </w:p>
        </w:tc>
        <w:tc>
          <w:tcPr>
            <w:tcW w:w="73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18"/>
                <w:szCs w:val="18"/>
              </w:rPr>
            </w:pPr>
          </w:p>
        </w:tc>
        <w:tc>
          <w:tcPr>
            <w:tcW w:w="778"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p>
        </w:tc>
        <w:tc>
          <w:tcPr>
            <w:tcW w:w="1023"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94" w:hRule="atLeast"/>
          <w:jc w:val="center"/>
        </w:trPr>
        <w:tc>
          <w:tcPr>
            <w:tcW w:w="84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12小时内</w:t>
            </w:r>
          </w:p>
        </w:tc>
        <w:tc>
          <w:tcPr>
            <w:tcW w:w="77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0"/>
                <w:szCs w:val="20"/>
              </w:rPr>
            </w:pPr>
          </w:p>
        </w:tc>
        <w:tc>
          <w:tcPr>
            <w:tcW w:w="84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0"/>
                <w:szCs w:val="20"/>
              </w:rPr>
            </w:pPr>
          </w:p>
        </w:tc>
        <w:tc>
          <w:tcPr>
            <w:tcW w:w="73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18"/>
                <w:szCs w:val="18"/>
              </w:rPr>
            </w:pPr>
          </w:p>
        </w:tc>
        <w:tc>
          <w:tcPr>
            <w:tcW w:w="77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p>
        </w:tc>
        <w:tc>
          <w:tcPr>
            <w:tcW w:w="102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94" w:hRule="atLeast"/>
          <w:jc w:val="center"/>
        </w:trPr>
        <w:tc>
          <w:tcPr>
            <w:tcW w:w="84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24小时内</w:t>
            </w:r>
          </w:p>
        </w:tc>
        <w:tc>
          <w:tcPr>
            <w:tcW w:w="77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0"/>
                <w:szCs w:val="20"/>
              </w:rPr>
            </w:pPr>
          </w:p>
        </w:tc>
        <w:tc>
          <w:tcPr>
            <w:tcW w:w="84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0"/>
                <w:szCs w:val="20"/>
              </w:rPr>
            </w:pPr>
          </w:p>
        </w:tc>
        <w:tc>
          <w:tcPr>
            <w:tcW w:w="732"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18"/>
                <w:szCs w:val="18"/>
              </w:rPr>
            </w:pPr>
          </w:p>
        </w:tc>
        <w:tc>
          <w:tcPr>
            <w:tcW w:w="778"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p>
        </w:tc>
        <w:tc>
          <w:tcPr>
            <w:tcW w:w="1023"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25" w:hRule="atLeast"/>
          <w:jc w:val="center"/>
        </w:trPr>
        <w:tc>
          <w:tcPr>
            <w:tcW w:w="3198" w:type="pct"/>
            <w:gridSpan w:val="4"/>
            <w:tcBorders>
              <w:top w:val="single" w:color="auto" w:sz="4" w:space="0"/>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价格主管部门签收情况：</w:t>
            </w:r>
          </w:p>
        </w:tc>
        <w:tc>
          <w:tcPr>
            <w:tcW w:w="180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收文编号</w:t>
            </w:r>
          </w:p>
        </w:tc>
      </w:tr>
      <w:tr>
        <w:tblPrEx>
          <w:tblCellMar>
            <w:top w:w="0" w:type="dxa"/>
            <w:left w:w="108" w:type="dxa"/>
            <w:bottom w:w="0" w:type="dxa"/>
            <w:right w:w="108" w:type="dxa"/>
          </w:tblCellMar>
        </w:tblPrEx>
        <w:trPr>
          <w:trHeight w:val="481" w:hRule="atLeast"/>
          <w:jc w:val="center"/>
        </w:trPr>
        <w:tc>
          <w:tcPr>
            <w:tcW w:w="3198" w:type="pct"/>
            <w:gridSpan w:val="4"/>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**年*月*日</w:t>
            </w:r>
          </w:p>
        </w:tc>
        <w:tc>
          <w:tcPr>
            <w:tcW w:w="1801"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***号</w:t>
            </w:r>
          </w:p>
        </w:tc>
      </w:tr>
    </w:tbl>
    <w:p>
      <w:pPr>
        <w:keepNext w:val="0"/>
        <w:keepLines w:val="0"/>
        <w:pageBreakBefore w:val="0"/>
        <w:widowControl w:val="0"/>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kern w:val="0"/>
          <w:sz w:val="24"/>
        </w:rPr>
      </w:pPr>
      <w:r>
        <w:rPr>
          <w:rFonts w:hint="default" w:ascii="Times New Roman" w:hAnsi="Times New Roman" w:cs="Times New Roman"/>
          <w:kern w:val="0"/>
          <w:sz w:val="24"/>
        </w:rPr>
        <w:t>说明：</w:t>
      </w:r>
      <w:r>
        <w:rPr>
          <w:rFonts w:hint="default" w:ascii="Times New Roman" w:hAnsi="Times New Roman" w:eastAsia="方正仿宋_GBK" w:cs="Times New Roman"/>
          <w:kern w:val="0"/>
          <w:sz w:val="24"/>
        </w:rPr>
        <w:t>1、经营者应如实填报本表，上述内容若有变更，须重新填报。</w:t>
      </w:r>
    </w:p>
    <w:p>
      <w:pPr>
        <w:pStyle w:val="2"/>
        <w:keepNext w:val="0"/>
        <w:keepLines w:val="0"/>
        <w:pageBreakBefore w:val="0"/>
        <w:widowControl w:val="0"/>
        <w:kinsoku/>
        <w:wordWrap/>
        <w:overflowPunct/>
        <w:topLinePunct w:val="0"/>
        <w:autoSpaceDE/>
        <w:autoSpaceDN/>
        <w:bidi w:val="0"/>
        <w:adjustRightInd w:val="0"/>
        <w:snapToGrid w:val="0"/>
        <w:spacing w:line="276" w:lineRule="auto"/>
        <w:ind w:firstLine="720" w:firstLineChars="300"/>
        <w:textAlignment w:val="baseline"/>
        <w:rPr>
          <w:rFonts w:hint="default" w:ascii="Times New Roman" w:hAnsi="Times New Roman" w:eastAsia="方正仿宋_GBK" w:cs="Times New Roman"/>
        </w:rPr>
      </w:pPr>
      <w:r>
        <w:rPr>
          <w:rFonts w:hint="default" w:ascii="Times New Roman" w:hAnsi="Times New Roman" w:eastAsia="方正仿宋_GBK" w:cs="Times New Roman"/>
          <w:kern w:val="0"/>
          <w:sz w:val="24"/>
        </w:rPr>
        <w:t>2、本表一式两份，留存价格管理和监督部门。</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黑体_GBK" w:cs="Times New Roman"/>
        </w:rPr>
      </w:pPr>
      <w:r>
        <w:rPr>
          <w:rFonts w:hint="default" w:ascii="Times New Roman" w:hAnsi="Times New Roman" w:eastAsia="方正黑体_GBK" w:cs="Times New Roman"/>
        </w:rPr>
        <w:t>附件3</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永川区停车收费公示牌</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（政府定价、政府指导价或市场调节价）</w:t>
      </w:r>
    </w:p>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sz w:val="28"/>
          <w:szCs w:val="28"/>
        </w:rPr>
      </w:pPr>
      <w:r>
        <w:rPr>
          <w:rFonts w:hint="default" w:ascii="Times New Roman" w:hAnsi="Times New Roman" w:cs="Times New Roman"/>
          <w:sz w:val="28"/>
          <w:szCs w:val="28"/>
        </w:rPr>
        <w:t>停车场名称：</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类型：</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等级：</w:t>
      </w:r>
    </w:p>
    <w:tbl>
      <w:tblPr>
        <w:tblStyle w:val="8"/>
        <w:tblW w:w="9509" w:type="dxa"/>
        <w:jc w:val="center"/>
        <w:tblLayout w:type="autofit"/>
        <w:tblCellMar>
          <w:top w:w="0" w:type="dxa"/>
          <w:left w:w="108" w:type="dxa"/>
          <w:bottom w:w="0" w:type="dxa"/>
          <w:right w:w="108" w:type="dxa"/>
        </w:tblCellMar>
      </w:tblPr>
      <w:tblGrid>
        <w:gridCol w:w="1814"/>
        <w:gridCol w:w="2630"/>
        <w:gridCol w:w="2629"/>
        <w:gridCol w:w="2436"/>
      </w:tblGrid>
      <w:tr>
        <w:tblPrEx>
          <w:tblCellMar>
            <w:top w:w="0" w:type="dxa"/>
            <w:left w:w="108" w:type="dxa"/>
            <w:bottom w:w="0" w:type="dxa"/>
            <w:right w:w="108" w:type="dxa"/>
          </w:tblCellMar>
        </w:tblPrEx>
        <w:trPr>
          <w:trHeight w:val="464" w:hRule="atLeast"/>
          <w:jc w:val="center"/>
        </w:trPr>
        <w:tc>
          <w:tcPr>
            <w:tcW w:w="1814"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车 型</w:t>
            </w:r>
          </w:p>
        </w:tc>
        <w:tc>
          <w:tcPr>
            <w:tcW w:w="2630"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停放时间</w:t>
            </w:r>
          </w:p>
        </w:tc>
        <w:tc>
          <w:tcPr>
            <w:tcW w:w="2629" w:type="dxa"/>
            <w:tcBorders>
              <w:top w:val="single" w:color="000000"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收费标准</w:t>
            </w:r>
          </w:p>
        </w:tc>
        <w:tc>
          <w:tcPr>
            <w:tcW w:w="243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备  注</w:t>
            </w:r>
          </w:p>
        </w:tc>
      </w:tr>
      <w:tr>
        <w:tblPrEx>
          <w:tblCellMar>
            <w:top w:w="0" w:type="dxa"/>
            <w:left w:w="108" w:type="dxa"/>
            <w:bottom w:w="0" w:type="dxa"/>
            <w:right w:w="108" w:type="dxa"/>
          </w:tblCellMar>
        </w:tblPrEx>
        <w:trPr>
          <w:trHeight w:val="375" w:hRule="atLeast"/>
          <w:jc w:val="center"/>
        </w:trPr>
        <w:tc>
          <w:tcPr>
            <w:tcW w:w="1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每半小时（小时）</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*元/半小时（小时）</w:t>
            </w:r>
          </w:p>
        </w:tc>
        <w:tc>
          <w:tcPr>
            <w:tcW w:w="2436" w:type="dxa"/>
            <w:vMerge w:val="restart"/>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1、车型分类：</w:t>
            </w:r>
            <w:r>
              <w:rPr>
                <w:rFonts w:hint="default" w:ascii="Times New Roman" w:hAnsi="Times New Roman" w:cs="Times New Roman"/>
                <w:kern w:val="0"/>
                <w:sz w:val="24"/>
              </w:rPr>
              <w:br w:type="textWrapping"/>
            </w:r>
            <w:r>
              <w:rPr>
                <w:rFonts w:hint="default" w:ascii="Times New Roman" w:hAnsi="Times New Roman" w:cs="Times New Roman"/>
                <w:kern w:val="0"/>
                <w:sz w:val="24"/>
              </w:rPr>
              <w:t>小车：</w:t>
            </w:r>
            <w:r>
              <w:rPr>
                <w:rFonts w:hint="default" w:ascii="Times New Roman" w:hAnsi="Times New Roman" w:cs="Times New Roman"/>
                <w:kern w:val="0"/>
                <w:sz w:val="24"/>
              </w:rPr>
              <w:br w:type="textWrapping"/>
            </w:r>
            <w:r>
              <w:rPr>
                <w:rFonts w:hint="default" w:ascii="Times New Roman" w:hAnsi="Times New Roman" w:cs="Times New Roman"/>
                <w:kern w:val="0"/>
                <w:sz w:val="24"/>
              </w:rPr>
              <w:t>客车≤9座</w:t>
            </w:r>
            <w:r>
              <w:rPr>
                <w:rFonts w:hint="default" w:ascii="Times New Roman" w:hAnsi="Times New Roman" w:cs="Times New Roman"/>
                <w:kern w:val="0"/>
                <w:sz w:val="24"/>
              </w:rPr>
              <w:br w:type="textWrapping"/>
            </w:r>
            <w:r>
              <w:rPr>
                <w:rFonts w:hint="default" w:ascii="Times New Roman" w:hAnsi="Times New Roman" w:cs="Times New Roman"/>
                <w:kern w:val="0"/>
                <w:sz w:val="24"/>
              </w:rPr>
              <w:t>货车≤2吨</w:t>
            </w:r>
            <w:r>
              <w:rPr>
                <w:rFonts w:hint="default" w:ascii="Times New Roman" w:hAnsi="Times New Roman" w:cs="Times New Roman"/>
                <w:kern w:val="0"/>
                <w:sz w:val="24"/>
              </w:rPr>
              <w:br w:type="textWrapping"/>
            </w:r>
            <w:r>
              <w:rPr>
                <w:rFonts w:hint="default" w:ascii="Times New Roman" w:hAnsi="Times New Roman" w:cs="Times New Roman"/>
                <w:kern w:val="0"/>
                <w:sz w:val="24"/>
              </w:rPr>
              <w:t>大车：</w:t>
            </w:r>
            <w:r>
              <w:rPr>
                <w:rFonts w:hint="default" w:ascii="Times New Roman" w:hAnsi="Times New Roman" w:cs="Times New Roman"/>
                <w:kern w:val="0"/>
                <w:sz w:val="24"/>
              </w:rPr>
              <w:br w:type="textWrapping"/>
            </w:r>
            <w:r>
              <w:rPr>
                <w:rFonts w:hint="default" w:ascii="Times New Roman" w:hAnsi="Times New Roman" w:cs="Times New Roman"/>
                <w:kern w:val="0"/>
                <w:sz w:val="24"/>
              </w:rPr>
              <w:t>9座≤客车≤39座</w:t>
            </w:r>
            <w:r>
              <w:rPr>
                <w:rFonts w:hint="default" w:ascii="Times New Roman" w:hAnsi="Times New Roman" w:cs="Times New Roman"/>
                <w:kern w:val="0"/>
                <w:sz w:val="24"/>
              </w:rPr>
              <w:br w:type="textWrapping"/>
            </w:r>
            <w:r>
              <w:rPr>
                <w:rFonts w:hint="default" w:ascii="Times New Roman" w:hAnsi="Times New Roman" w:cs="Times New Roman"/>
                <w:kern w:val="0"/>
                <w:sz w:val="24"/>
              </w:rPr>
              <w:t>2吨＜货车≤10吨</w:t>
            </w:r>
            <w:r>
              <w:rPr>
                <w:rFonts w:hint="default" w:ascii="Times New Roman" w:hAnsi="Times New Roman" w:cs="Times New Roman"/>
                <w:kern w:val="0"/>
                <w:sz w:val="24"/>
              </w:rPr>
              <w:br w:type="textWrapping"/>
            </w:r>
            <w:r>
              <w:rPr>
                <w:rFonts w:hint="default" w:ascii="Times New Roman" w:hAnsi="Times New Roman" w:cs="Times New Roman"/>
                <w:kern w:val="0"/>
                <w:sz w:val="24"/>
              </w:rPr>
              <w:t>超大型车：</w:t>
            </w:r>
            <w:r>
              <w:rPr>
                <w:rFonts w:hint="default" w:ascii="Times New Roman" w:hAnsi="Times New Roman" w:cs="Times New Roman"/>
                <w:kern w:val="0"/>
                <w:sz w:val="24"/>
              </w:rPr>
              <w:br w:type="textWrapping"/>
            </w:r>
            <w:r>
              <w:rPr>
                <w:rFonts w:hint="default" w:ascii="Times New Roman" w:hAnsi="Times New Roman" w:cs="Times New Roman"/>
                <w:kern w:val="0"/>
                <w:sz w:val="24"/>
              </w:rPr>
              <w:t>客车≥40座</w:t>
            </w:r>
            <w:r>
              <w:rPr>
                <w:rFonts w:hint="default" w:ascii="Times New Roman" w:hAnsi="Times New Roman" w:cs="Times New Roman"/>
                <w:kern w:val="0"/>
                <w:sz w:val="24"/>
              </w:rPr>
              <w:br w:type="textWrapping"/>
            </w:r>
            <w:r>
              <w:rPr>
                <w:rFonts w:hint="default" w:ascii="Times New Roman" w:hAnsi="Times New Roman" w:cs="Times New Roman"/>
                <w:kern w:val="0"/>
                <w:sz w:val="24"/>
              </w:rPr>
              <w:t>货车＞10吨</w:t>
            </w:r>
            <w:r>
              <w:rPr>
                <w:rFonts w:hint="default" w:ascii="Times New Roman" w:hAnsi="Times New Roman" w:cs="Times New Roman"/>
                <w:kern w:val="0"/>
                <w:sz w:val="24"/>
              </w:rPr>
              <w:br w:type="textWrapping"/>
            </w:r>
            <w:r>
              <w:rPr>
                <w:rFonts w:hint="default" w:ascii="Times New Roman" w:hAnsi="Times New Roman" w:cs="Times New Roman"/>
                <w:kern w:val="0"/>
                <w:sz w:val="24"/>
              </w:rPr>
              <w:t>2、住宅区停放时间不足30分钟的车辆免收停车费，超出30分钟的，计费时间从始停起连续计算。</w:t>
            </w:r>
          </w:p>
        </w:tc>
      </w:tr>
      <w:tr>
        <w:tblPrEx>
          <w:tblCellMar>
            <w:top w:w="0" w:type="dxa"/>
            <w:left w:w="108" w:type="dxa"/>
            <w:bottom w:w="0" w:type="dxa"/>
            <w:right w:w="108" w:type="dxa"/>
          </w:tblCellMar>
        </w:tblPrEx>
        <w:trPr>
          <w:trHeight w:val="4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12小时内不超过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24小时内不超过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包月停放</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*元/月</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05" w:hRule="atLeast"/>
          <w:jc w:val="center"/>
        </w:trPr>
        <w:tc>
          <w:tcPr>
            <w:tcW w:w="1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每半小时（小时）</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*元/半小时（小时）</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0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12小时内不超过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4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24小时内不超过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7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包月停放</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*元/月</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jc w:val="center"/>
        </w:trPr>
        <w:tc>
          <w:tcPr>
            <w:tcW w:w="1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每半小时（小时）</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*元/半小时（小时）</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12小时内不超过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24小时内不超过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35"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包月停放</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*元/月</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90" w:hRule="atLeast"/>
          <w:jc w:val="center"/>
        </w:trPr>
        <w:tc>
          <w:tcPr>
            <w:tcW w:w="18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**车</w:t>
            </w: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每半小时（小时）</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*元/半小时（小时）</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12小时内不超过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c>
          <w:tcPr>
            <w:tcW w:w="2630"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kern w:val="0"/>
                <w:sz w:val="24"/>
              </w:rPr>
            </w:pPr>
            <w:r>
              <w:rPr>
                <w:rFonts w:hint="default" w:ascii="Times New Roman" w:hAnsi="Times New Roman" w:cs="Times New Roman"/>
                <w:kern w:val="0"/>
                <w:sz w:val="24"/>
              </w:rPr>
              <w:t>24小时内不超过</w:t>
            </w:r>
          </w:p>
        </w:tc>
        <w:tc>
          <w:tcPr>
            <w:tcW w:w="2629"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*元/次</w:t>
            </w:r>
          </w:p>
        </w:tc>
        <w:tc>
          <w:tcPr>
            <w:tcW w:w="2436" w:type="dxa"/>
            <w:vMerge w:val="continue"/>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506" w:hRule="atLeast"/>
          <w:jc w:val="center"/>
        </w:trPr>
        <w:tc>
          <w:tcPr>
            <w:tcW w:w="18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自购车位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物业服务费</w:t>
            </w:r>
          </w:p>
        </w:tc>
        <w:tc>
          <w:tcPr>
            <w:tcW w:w="7695"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*元/月</w:t>
            </w:r>
          </w:p>
        </w:tc>
      </w:tr>
      <w:tr>
        <w:tblPrEx>
          <w:tblCellMar>
            <w:top w:w="0" w:type="dxa"/>
            <w:left w:w="108" w:type="dxa"/>
            <w:bottom w:w="0" w:type="dxa"/>
            <w:right w:w="108" w:type="dxa"/>
          </w:tblCellMar>
        </w:tblPrEx>
        <w:trPr>
          <w:trHeight w:val="503" w:hRule="atLeast"/>
          <w:jc w:val="center"/>
        </w:trPr>
        <w:tc>
          <w:tcPr>
            <w:tcW w:w="18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收费依据</w:t>
            </w:r>
          </w:p>
        </w:tc>
        <w:tc>
          <w:tcPr>
            <w:tcW w:w="7695" w:type="dxa"/>
            <w:gridSpan w:val="3"/>
            <w:tcBorders>
              <w:top w:val="single" w:color="auto"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永发改委〔2016〕209号</w:t>
            </w:r>
          </w:p>
        </w:tc>
      </w:tr>
      <w:tr>
        <w:tblPrEx>
          <w:tblCellMar>
            <w:top w:w="0" w:type="dxa"/>
            <w:left w:w="108" w:type="dxa"/>
            <w:bottom w:w="0" w:type="dxa"/>
            <w:right w:w="108" w:type="dxa"/>
          </w:tblCellMar>
        </w:tblPrEx>
        <w:trPr>
          <w:trHeight w:val="524" w:hRule="atLeast"/>
          <w:jc w:val="center"/>
        </w:trPr>
        <w:tc>
          <w:tcPr>
            <w:tcW w:w="1814"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4"/>
              </w:rPr>
            </w:pPr>
            <w:r>
              <w:rPr>
                <w:rFonts w:hint="default" w:ascii="Times New Roman" w:hAnsi="Times New Roman" w:cs="Times New Roman"/>
                <w:kern w:val="0"/>
                <w:sz w:val="24"/>
              </w:rPr>
              <w:t>执行时间</w:t>
            </w:r>
          </w:p>
        </w:tc>
        <w:tc>
          <w:tcPr>
            <w:tcW w:w="7695" w:type="dxa"/>
            <w:gridSpan w:val="3"/>
            <w:tcBorders>
              <w:top w:val="single" w:color="auto" w:sz="4" w:space="0"/>
              <w:left w:val="nil"/>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kern w:val="0"/>
                <w:sz w:val="24"/>
              </w:rPr>
            </w:pPr>
            <w:r>
              <w:rPr>
                <w:rFonts w:hint="default" w:ascii="Times New Roman" w:hAnsi="Times New Roman" w:cs="Times New Roman"/>
                <w:kern w:val="0"/>
                <w:sz w:val="24"/>
              </w:rPr>
              <w:t>　</w:t>
            </w:r>
          </w:p>
        </w:tc>
      </w:tr>
    </w:tbl>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cs="Times New Roman"/>
          <w:spacing w:val="-20"/>
          <w:kern w:val="0"/>
          <w:sz w:val="24"/>
        </w:rPr>
      </w:pPr>
      <w:r>
        <w:rPr>
          <w:rFonts w:hint="default" w:ascii="Times New Roman" w:hAnsi="Times New Roman" w:cs="Times New Roman"/>
          <w:spacing w:val="-20"/>
          <w:kern w:val="0"/>
          <w:sz w:val="24"/>
        </w:rPr>
        <w:t>收费单位投诉电话：</w:t>
      </w:r>
      <w:r>
        <w:rPr>
          <w:rFonts w:hint="default" w:ascii="Times New Roman" w:hAnsi="Times New Roman" w:cs="Times New Roman"/>
          <w:spacing w:val="-20"/>
          <w:kern w:val="0"/>
          <w:sz w:val="24"/>
          <w:lang w:val="en-US" w:eastAsia="zh-CN"/>
        </w:rPr>
        <w:t xml:space="preserve">                   </w:t>
      </w:r>
      <w:r>
        <w:rPr>
          <w:rFonts w:hint="default" w:ascii="Times New Roman" w:hAnsi="Times New Roman" w:cs="Times New Roman"/>
          <w:spacing w:val="-20"/>
          <w:kern w:val="0"/>
          <w:sz w:val="24"/>
        </w:rPr>
        <w:t>投诉举报</w:t>
      </w:r>
      <w:r>
        <w:rPr>
          <w:rFonts w:hint="default" w:ascii="Times New Roman" w:hAnsi="Times New Roman" w:cs="Times New Roman"/>
          <w:kern w:val="0"/>
          <w:sz w:val="24"/>
        </w:rPr>
        <w:t>电话：</w:t>
      </w:r>
      <w:r>
        <w:rPr>
          <w:rFonts w:hint="default" w:ascii="Times New Roman" w:hAnsi="Times New Roman" w:cs="Times New Roman"/>
          <w:spacing w:val="-20"/>
          <w:kern w:val="0"/>
          <w:sz w:val="24"/>
        </w:rPr>
        <w:t>重庆市永川区发展和改革委员会物价检查所</w:t>
      </w:r>
    </w:p>
    <w:p>
      <w:pPr>
        <w:pStyle w:val="2"/>
        <w:jc w:val="center"/>
        <w:rPr>
          <w:rFonts w:hint="default" w:ascii="Times New Roman" w:hAnsi="Times New Roman" w:cs="Times New Roman"/>
        </w:rPr>
      </w:pPr>
      <w:r>
        <w:rPr>
          <w:rFonts w:hint="default" w:ascii="Times New Roman" w:hAnsi="Times New Roman" w:cs="Times New Roman"/>
          <w:spacing w:val="-20"/>
          <w:kern w:val="0"/>
          <w:sz w:val="24"/>
          <w:lang w:val="en-US" w:eastAsia="zh-CN"/>
        </w:rPr>
        <w:t xml:space="preserve">                                                      </w:t>
      </w:r>
      <w:r>
        <w:rPr>
          <w:rFonts w:hint="default" w:ascii="Times New Roman" w:hAnsi="Times New Roman" w:cs="Times New Roman"/>
          <w:spacing w:val="-20"/>
          <w:kern w:val="0"/>
          <w:sz w:val="24"/>
        </w:rPr>
        <w:t xml:space="preserve"> </w:t>
      </w:r>
      <w:r>
        <w:rPr>
          <w:rFonts w:hint="default" w:ascii="Times New Roman" w:hAnsi="Times New Roman" w:cs="Times New Roman"/>
          <w:spacing w:val="-16"/>
          <w:kern w:val="0"/>
          <w:sz w:val="24"/>
        </w:rPr>
        <w:t>49825067  12358</w:t>
      </w:r>
    </w:p>
    <w:p>
      <w:pPr>
        <w:widowControl/>
        <w:rPr>
          <w:rFonts w:hint="default" w:ascii="Times New Roman" w:hAnsi="Times New Roman" w:cs="Times New Roman"/>
        </w:rPr>
      </w:pPr>
      <w:r>
        <w:rPr>
          <w:rFonts w:hint="default" w:ascii="Times New Roman" w:hAnsi="Times New Roman" w:cs="Times New Roman"/>
          <w:spacing w:val="-20"/>
          <w:kern w:val="0"/>
          <w:sz w:val="24"/>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黑体_GBK" w:cs="Times New Roman"/>
        </w:rPr>
      </w:pPr>
      <w:r>
        <w:rPr>
          <w:rFonts w:hint="default" w:ascii="Times New Roman" w:hAnsi="Times New Roman" w:eastAsia="方正黑体_GBK" w:cs="Times New Roman"/>
        </w:rPr>
        <w:t>附件4</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重庆市公共停车场等级标准</w:t>
      </w:r>
    </w:p>
    <w:p>
      <w:pPr>
        <w:pStyle w:val="2"/>
        <w:rPr>
          <w:rFonts w:hint="default" w:ascii="Times New Roman" w:hAnsi="Times New Roman" w:cs="Times New Roma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2"/>
        <w:gridCol w:w="3135"/>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97" w:type="dxa"/>
            <w:gridSpan w:val="2"/>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8"/>
                <w:szCs w:val="28"/>
                <w:vertAlign w:val="baseline"/>
              </w:rPr>
            </w:pPr>
            <w:r>
              <w:rPr>
                <w:rFonts w:hint="default" w:ascii="Times New Roman" w:hAnsi="Times New Roman" w:eastAsia="方正黑体_GBK" w:cs="Times New Roman"/>
                <w:bCs/>
                <w:kern w:val="0"/>
                <w:sz w:val="28"/>
                <w:szCs w:val="28"/>
              </w:rPr>
              <w:t>室内公共停车场</w:t>
            </w:r>
          </w:p>
        </w:tc>
        <w:tc>
          <w:tcPr>
            <w:tcW w:w="2464" w:type="dxa"/>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sz w:val="28"/>
                <w:szCs w:val="28"/>
                <w:vertAlign w:val="baseline"/>
              </w:rPr>
            </w:pPr>
            <w:r>
              <w:rPr>
                <w:rFonts w:hint="default" w:ascii="Times New Roman" w:hAnsi="Times New Roman" w:eastAsia="方正黑体_GBK" w:cs="Times New Roman"/>
                <w:bCs/>
                <w:kern w:val="0"/>
                <w:sz w:val="28"/>
                <w:szCs w:val="28"/>
              </w:rPr>
              <w:t>室外公共停车场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Cs/>
                <w:kern w:val="0"/>
                <w:sz w:val="28"/>
                <w:szCs w:val="28"/>
                <w:lang w:val="en-US" w:eastAsia="zh-CN" w:bidi="ar-SA"/>
              </w:rPr>
            </w:pPr>
            <w:r>
              <w:rPr>
                <w:rFonts w:hint="default" w:ascii="Times New Roman" w:hAnsi="Times New Roman" w:eastAsia="方正黑体_GBK" w:cs="Times New Roman"/>
                <w:bCs/>
                <w:kern w:val="0"/>
                <w:sz w:val="28"/>
                <w:szCs w:val="28"/>
              </w:rPr>
              <w:t>特     级</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方正黑体_GBK" w:cs="Times New Roman"/>
                <w:bCs/>
                <w:kern w:val="0"/>
                <w:sz w:val="28"/>
                <w:szCs w:val="28"/>
                <w:lang w:val="en-US" w:eastAsia="zh-CN" w:bidi="ar-SA"/>
              </w:rPr>
            </w:pPr>
            <w:r>
              <w:rPr>
                <w:rFonts w:hint="default" w:ascii="Times New Roman" w:hAnsi="Times New Roman" w:eastAsia="方正黑体_GBK" w:cs="Times New Roman"/>
                <w:bCs/>
                <w:kern w:val="0"/>
                <w:sz w:val="28"/>
                <w:szCs w:val="28"/>
              </w:rPr>
              <w:t>普  通  级</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有经营管理制度、应急预案；有收费和安保人员，实行24小时服务。</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有经营管理制度、应急预案；有收费和安保人员，实行24小时服务。</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有经营管理制度、应急预案；有收费和安保人员。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地面进行防尘耐磨处理，标线、标牌、反光标志齐全，安装停车定位器；内墙及顶面经过饰面分区；车行道与电梯口、安全出入口等功能区域接壤处标注人行道标识。</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标线、标牌、反光标志齐全,安装停车定位器；内墙及顶面经过饰面处理。</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有明确的停车范围。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使用智能化节能照明设备，有应急照明系统。</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有照明设施及应急照明系统。</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自身配备或能借助外界照明系统。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进出口、主干道安装监控摄像头，24小时监控；设置自动化收费系统；为停车场购买保险。</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设置道闸，实行24</w:t>
            </w:r>
            <w:r>
              <w:rPr>
                <w:rFonts w:hint="eastAsia" w:cs="Times New Roman"/>
                <w:kern w:val="0"/>
                <w:sz w:val="22"/>
                <w:szCs w:val="22"/>
                <w:lang w:eastAsia="zh-CN"/>
              </w:rPr>
              <w:t>小时监控</w:t>
            </w:r>
            <w:r>
              <w:rPr>
                <w:rFonts w:hint="default" w:ascii="Times New Roman" w:hAnsi="Times New Roman" w:cs="Times New Roman"/>
                <w:kern w:val="0"/>
                <w:sz w:val="22"/>
                <w:szCs w:val="22"/>
              </w:rPr>
              <w:t>。</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设置道闸。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安装防火报警装置，有烟感、喷淋、温度探测器、消防栓、灭火器，消防通道畅通；有语音播报系统；覆盖无线网络及</w:t>
            </w:r>
            <w:bookmarkStart w:id="0" w:name="_GoBack"/>
            <w:bookmarkEnd w:id="0"/>
            <w:r>
              <w:rPr>
                <w:rFonts w:hint="eastAsia" w:cs="Times New Roman"/>
                <w:kern w:val="0"/>
                <w:sz w:val="22"/>
                <w:szCs w:val="22"/>
                <w:lang w:eastAsia="zh-CN"/>
              </w:rPr>
              <w:t>通讯</w:t>
            </w:r>
            <w:r>
              <w:rPr>
                <w:rFonts w:hint="default" w:ascii="Times New Roman" w:hAnsi="Times New Roman" w:cs="Times New Roman"/>
                <w:kern w:val="0"/>
                <w:sz w:val="22"/>
                <w:szCs w:val="22"/>
              </w:rPr>
              <w:t>信号。</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安装有防火报警装置，消防栓、灭火器、消防通道畅通；覆盖无线</w:t>
            </w:r>
            <w:r>
              <w:rPr>
                <w:rFonts w:hint="eastAsia" w:cs="Times New Roman"/>
                <w:kern w:val="0"/>
                <w:sz w:val="22"/>
                <w:szCs w:val="22"/>
                <w:lang w:eastAsia="zh-CN"/>
              </w:rPr>
              <w:t>通讯</w:t>
            </w:r>
            <w:r>
              <w:rPr>
                <w:rFonts w:hint="default" w:ascii="Times New Roman" w:hAnsi="Times New Roman" w:cs="Times New Roman"/>
                <w:kern w:val="0"/>
                <w:sz w:val="22"/>
                <w:szCs w:val="22"/>
              </w:rPr>
              <w:t>信号。</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有必备的消防器材。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通道单向不得少于4米，双向不得少于6米；车行道高度不得低于2.2米；车库配备直通电梯；配置无障碍车位；预留充电停车位；设置公共卫生间。</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进出口明显，停车场道路硬化。</w:t>
            </w:r>
          </w:p>
        </w:tc>
        <w:tc>
          <w:tcPr>
            <w:tcW w:w="24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进出口明显，停车场道路硬化。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3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停车管理采用信息化系统并预留数据接口；具有停车诱导系统。</w:t>
            </w:r>
          </w:p>
        </w:tc>
        <w:tc>
          <w:tcPr>
            <w:tcW w:w="31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eastAsia="方正仿宋_GBK" w:cs="Times New Roman"/>
                <w:kern w:val="0"/>
                <w:sz w:val="22"/>
                <w:szCs w:val="22"/>
                <w:lang w:val="en-US" w:eastAsia="zh-CN" w:bidi="ar-SA"/>
              </w:rPr>
            </w:pPr>
            <w:r>
              <w:rPr>
                <w:rFonts w:hint="default" w:ascii="Times New Roman" w:hAnsi="Times New Roman" w:cs="Times New Roman"/>
                <w:kern w:val="0"/>
                <w:sz w:val="22"/>
                <w:szCs w:val="22"/>
              </w:rPr>
              <w:t>　</w:t>
            </w:r>
          </w:p>
        </w:tc>
        <w:tc>
          <w:tcPr>
            <w:tcW w:w="2464" w:type="dxa"/>
          </w:tcPr>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default" w:ascii="Times New Roman" w:hAnsi="Times New Roman" w:cs="Times New Roman"/>
                <w:vertAlign w:val="baseline"/>
              </w:rPr>
            </w:pPr>
          </w:p>
        </w:tc>
      </w:tr>
    </w:tbl>
    <w:p>
      <w:pPr>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rPr>
      </w:pPr>
      <w:r>
        <w:rPr>
          <w:rFonts w:hint="default" w:ascii="Times New Roman" w:hAnsi="Times New Roman" w:eastAsia="方正黑体_GBK" w:cs="Times New Roman"/>
        </w:rPr>
        <w:t>附件5</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停车收费公示牌制作说明</w:t>
      </w:r>
    </w:p>
    <w:p>
      <w:pPr>
        <w:keepNext w:val="0"/>
        <w:keepLines w:val="0"/>
        <w:pageBreakBefore w:val="0"/>
        <w:widowControl w:val="0"/>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eastAsia="zh-CN"/>
        </w:rPr>
        <w:t>、</w:t>
      </w:r>
      <w:r>
        <w:rPr>
          <w:rFonts w:hint="default" w:ascii="Times New Roman" w:hAnsi="Times New Roman" w:cs="Times New Roman"/>
        </w:rPr>
        <w:t>停车场名称：填停车楼场备案证上名称。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2、类型：填旅游景点室内（外）、小区室内（外）、其他停车场所室内（外）和临时占道停车场。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3、等级：填特级或普通级。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4、公示牌颜色：政府定价公示牌采用黄底黑字，政府指导价采用蓝底白字，市场调节价采用绿底白字。</w:t>
      </w:r>
    </w:p>
    <w:p>
      <w:pPr>
        <w:ind w:firstLine="480" w:firstLineChars="150"/>
        <w:rPr>
          <w:rFonts w:hint="default" w:ascii="Times New Roman" w:hAnsi="Times New Roman" w:cs="Times New Roman"/>
          <w:color w:val="FF0000"/>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发布</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永川区发展和改革委员会行政规范性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10523A58"/>
    <w:rsid w:val="24763DE5"/>
    <w:rsid w:val="34782686"/>
    <w:rsid w:val="3C2E5BE5"/>
    <w:rsid w:val="45385785"/>
    <w:rsid w:val="48E11C9B"/>
    <w:rsid w:val="570D5035"/>
    <w:rsid w:val="5B48419A"/>
    <w:rsid w:val="63AB67CC"/>
    <w:rsid w:val="64535755"/>
    <w:rsid w:val="69833DCE"/>
    <w:rsid w:val="6F3879EE"/>
    <w:rsid w:val="77B270CB"/>
    <w:rsid w:val="7B09415C"/>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2837</Words>
  <Characters>2992</Characters>
  <Lines>0</Lines>
  <Paragraphs>0</Paragraphs>
  <TotalTime>11</TotalTime>
  <ScaleCrop>false</ScaleCrop>
  <LinksUpToDate>false</LinksUpToDate>
  <CharactersWithSpaces>3185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2023-11-01T07:03:29Z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9DAD13FD362B43C29B9821775E0ECDF6_13</vt:lpwstr>
  </property>
</Properties>
</file>