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topLinePunct w:val="0"/>
        <w:snapToGrid w:val="0"/>
        <w:spacing w:line="600" w:lineRule="exact"/>
        <w:ind w:firstLine="0" w:firstLineChars="0"/>
        <w:rPr>
          <w:rFonts w:hint="eastAsia" w:ascii="方正仿宋_GBK" w:hAnsi="方正仿宋_GBK" w:cs="方正仿宋_GBK"/>
        </w:rPr>
      </w:pPr>
    </w:p>
    <w:p>
      <w:pPr>
        <w:pStyle w:val="2"/>
        <w:rPr>
          <w:rFonts w:hint="eastAsia" w:ascii="方正仿宋_GBK" w:hAnsi="方正仿宋_GBK" w:cs="方正仿宋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重庆市永川区发展和改革委员会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_GBK" w:eastAsia="方正小标宋_GBK"/>
          <w:spacing w:val="12"/>
          <w:sz w:val="44"/>
          <w:szCs w:val="44"/>
        </w:rPr>
      </w:pPr>
      <w:r>
        <w:rPr>
          <w:rFonts w:hint="eastAsia" w:eastAsia="方正小标宋_GBK"/>
          <w:spacing w:val="12"/>
          <w:sz w:val="44"/>
          <w:szCs w:val="44"/>
        </w:rPr>
        <w:t>重 庆 市 永 川 区 水 务 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关于建立永川城区居民用水阶梯价格制度的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baseline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/>
        </w:rPr>
      </w:pPr>
      <w:r>
        <w:rPr>
          <w:rFonts w:hint="eastAsia"/>
        </w:rPr>
        <w:t>永发改委〔2016〕94号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hAnsi="方正仿宋_GBK" w:cs="方正仿宋_GBK"/>
          <w:bCs/>
          <w:spacing w:val="-10"/>
          <w:kern w:val="21"/>
        </w:rPr>
      </w:pPr>
      <w:r>
        <w:rPr>
          <w:rFonts w:hint="eastAsia" w:hAnsi="宋体" w:cs="宋体"/>
          <w:color w:val="000000"/>
          <w:kern w:val="0"/>
        </w:rPr>
        <w:t>重庆市永川区侨立水务有限公司</w:t>
      </w:r>
      <w:r>
        <w:rPr>
          <w:rFonts w:hint="eastAsia" w:hAnsi="方正仿宋_GBK" w:cs="方正仿宋_GBK"/>
          <w:bCs/>
          <w:spacing w:val="-10"/>
          <w:kern w:val="21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bCs/>
          <w:kern w:val="21"/>
        </w:rPr>
      </w:pPr>
      <w:r>
        <w:rPr>
          <w:rFonts w:hint="eastAsia" w:hAnsi="方正仿宋_GBK" w:cs="方正仿宋_GBK"/>
          <w:bCs/>
          <w:kern w:val="21"/>
        </w:rPr>
        <w:t>为推进水价改革，引导居民节约用水，促进水资源可持续利用，根据</w:t>
      </w:r>
      <w:r>
        <w:rPr>
          <w:rFonts w:hint="eastAsia" w:hAnsi="Verdana" w:cs="宋体"/>
          <w:kern w:val="0"/>
        </w:rPr>
        <w:t>《重庆市物价局 重庆市市政委转发国家发展改革委住房城乡建设部〈关于加快建立完善城镇居民用水阶梯价格制度的指导意见的通知〉的</w:t>
      </w:r>
      <w:r>
        <w:rPr>
          <w:rFonts w:hint="eastAsia" w:hAnsi="宋体"/>
          <w:color w:val="000000"/>
        </w:rPr>
        <w:t>通知》（渝价〔2014〕77号）和</w:t>
      </w:r>
      <w:r>
        <w:rPr>
          <w:rFonts w:hint="eastAsia" w:hAnsi="方正小标宋_GBK" w:cs="方正小标宋_GBK"/>
        </w:rPr>
        <w:t>《重庆市政府办公厅关于加快建立城镇居民用水阶梯价格制度的通知》</w:t>
      </w:r>
      <w:r>
        <w:rPr>
          <w:rFonts w:hint="eastAsia" w:hAnsi="宋体"/>
        </w:rPr>
        <w:t>（渝府办发〔2016〕44号）精神</w:t>
      </w:r>
      <w:r>
        <w:rPr>
          <w:rFonts w:hint="eastAsia" w:hAnsi="方正仿宋_GBK" w:cs="方正仿宋_GBK"/>
          <w:bCs/>
          <w:kern w:val="21"/>
        </w:rPr>
        <w:t>，经区政府110次常务会审议通过，决定在城区建立居民用水阶梯价格制度，现就有关事项通知如下：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Cs/>
          <w:kern w:val="21"/>
        </w:rPr>
      </w:pPr>
      <w:r>
        <w:rPr>
          <w:rFonts w:hint="eastAsia" w:ascii="方正黑体_GBK" w:hAnsi="方正黑体_GBK" w:eastAsia="方正黑体_GBK" w:cs="方正黑体_GBK"/>
          <w:bCs/>
          <w:kern w:val="21"/>
        </w:rPr>
        <w:t>一、城区居民阶梯水价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 w:hAnsi="方正仿宋_GBK" w:cs="方正仿宋_GBK"/>
          <w:kern w:val="21"/>
        </w:rPr>
        <w:t>以年度用水量作为计价周期，第一阶梯水量为每户每年260m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及以下，综合水价按现行3.65元/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执行；第二阶梯水量为每户每年261—360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（含），综合水价在第一阶梯基础上加价0.65元/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，即4.30元/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；第三阶梯水量为每户每年361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及以上，综合水价在第一阶梯基础上加价2.15元/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，即5.80元/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Cs/>
          <w:kern w:val="21"/>
        </w:rPr>
      </w:pPr>
      <w:r>
        <w:rPr>
          <w:rFonts w:hint="eastAsia" w:ascii="方正黑体_GBK" w:hAnsi="方正黑体_GBK" w:eastAsia="方正黑体_GBK" w:cs="方正黑体_GBK"/>
          <w:bCs/>
          <w:kern w:val="21"/>
        </w:rPr>
        <w:t>二、相关政策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 w:hAnsi="方正仿宋_GBK" w:cs="方正仿宋_GBK"/>
          <w:kern w:val="21"/>
        </w:rPr>
        <w:t>1、原水费、污水处理费、水资源费不实行阶梯计价，仍按现行标准执行。本次阶梯水价听证会已经通过联动机制，以后上述项目标准调整直接在终端水价基础上加成，不履行听证程序。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/>
        </w:rPr>
        <w:t>2、执行居民用水价格的部队、学校、养老福利机构等非居民用户不实行阶梯水价，</w:t>
      </w:r>
      <w:r>
        <w:rPr>
          <w:rFonts w:hint="eastAsia" w:hAnsi="方正仿宋_GBK" w:cs="方正仿宋_GBK"/>
          <w:kern w:val="21"/>
        </w:rPr>
        <w:t>综合水价仍按现行3.65元/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hAnsi="方正仿宋_GBK" w:cs="方正仿宋_GBK"/>
          <w:kern w:val="21"/>
        </w:rPr>
        <w:t>3、暂未改造的合表居民用户</w:t>
      </w:r>
      <w:r>
        <w:rPr>
          <w:rFonts w:hint="eastAsia"/>
        </w:rPr>
        <w:t>水价在现行水价基础上上调0.10元/</w:t>
      </w:r>
      <w:r>
        <w:rPr>
          <w:rFonts w:hint="eastAsia" w:hAnsi="方正仿宋_GBK" w:cs="方正仿宋_GBK"/>
          <w:kern w:val="21"/>
        </w:rPr>
        <w:t xml:space="preserve">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/>
        </w:rPr>
        <w:t>，</w:t>
      </w:r>
      <w:r>
        <w:rPr>
          <w:rFonts w:hint="eastAsia" w:hAnsi="方正仿宋_GBK" w:cs="方正仿宋_GBK"/>
          <w:kern w:val="21"/>
        </w:rPr>
        <w:t>综合水价</w:t>
      </w:r>
      <w:r>
        <w:rPr>
          <w:rFonts w:hint="eastAsia"/>
        </w:rPr>
        <w:t>由3.65元/</w:t>
      </w:r>
      <w:r>
        <w:rPr>
          <w:rFonts w:hint="eastAsia" w:hAnsi="方正仿宋_GBK" w:cs="方正仿宋_GBK"/>
          <w:kern w:val="21"/>
        </w:rPr>
        <w:t xml:space="preserve">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/>
        </w:rPr>
        <w:t>调整至3.75元/</w:t>
      </w:r>
      <w:r>
        <w:rPr>
          <w:rFonts w:hint="eastAsia" w:hAnsi="方正仿宋_GBK" w:cs="方正仿宋_GBK"/>
          <w:kern w:val="21"/>
        </w:rPr>
        <w:t xml:space="preserve">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hAnsi="方正仿宋_GBK" w:cs="方正仿宋_GBK"/>
          <w:color w:val="000000"/>
          <w:kern w:val="21"/>
        </w:rPr>
        <w:t>4、</w:t>
      </w:r>
      <w:r>
        <w:rPr>
          <w:rFonts w:hint="eastAsia"/>
        </w:rPr>
        <w:t>对低保户用水价格维持原水价不变，低保户“一户一表”改造费用由区财政承担。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 w:hAnsi="方正仿宋_GBK" w:cs="方正仿宋_GBK"/>
          <w:kern w:val="21"/>
        </w:rPr>
        <w:t>5、人口较多的居民家庭，人数超过4人，每增加1人每户每年各阶梯基础水量增加60 m</w:t>
      </w:r>
      <w:r>
        <w:rPr>
          <w:rFonts w:hint="eastAsia" w:hAnsi="方正仿宋_GBK" w:cs="方正仿宋_GBK"/>
          <w:kern w:val="21"/>
          <w:vertAlign w:val="superscript"/>
        </w:rPr>
        <w:t>3</w:t>
      </w:r>
      <w:r>
        <w:rPr>
          <w:rFonts w:hint="eastAsia" w:hAnsi="方正仿宋_GBK" w:cs="方正仿宋_GBK"/>
          <w:kern w:val="21"/>
        </w:rPr>
        <w:t>。</w:t>
      </w:r>
      <w:r>
        <w:rPr>
          <w:rFonts w:hint="eastAsia"/>
        </w:rPr>
        <w:t>用户凭身份证和户口簿（居住证）</w:t>
      </w:r>
      <w:r>
        <w:rPr>
          <w:rFonts w:hint="eastAsia" w:hAnsi="方正仿宋_GBK" w:cs="方正仿宋_GBK"/>
          <w:kern w:val="21"/>
        </w:rPr>
        <w:t>，每年到供水企业营业厅办理水量核增手续。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Cs/>
          <w:kern w:val="21"/>
        </w:rPr>
      </w:pPr>
      <w:r>
        <w:rPr>
          <w:rFonts w:hint="eastAsia" w:ascii="方正黑体_GBK" w:hAnsi="方正黑体_GBK" w:eastAsia="方正黑体_GBK" w:cs="方正黑体_GBK"/>
          <w:bCs/>
          <w:kern w:val="21"/>
        </w:rPr>
        <w:t>三、执行范围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bCs/>
          <w:kern w:val="21"/>
        </w:rPr>
      </w:pPr>
      <w:r>
        <w:rPr>
          <w:rFonts w:hint="eastAsia" w:hAnsi="方正仿宋_GBK" w:cs="方正仿宋_GBK"/>
          <w:bCs/>
          <w:kern w:val="21"/>
        </w:rPr>
        <w:t>城区城市公共供水企业（不含乡镇水厂）服务的“一户一表”居民用水户。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Cs/>
          <w:kern w:val="21"/>
        </w:rPr>
      </w:pPr>
      <w:r>
        <w:rPr>
          <w:rFonts w:hint="eastAsia" w:ascii="方正黑体_GBK" w:hAnsi="方正黑体_GBK" w:eastAsia="方正黑体_GBK" w:cs="方正黑体_GBK"/>
          <w:bCs/>
          <w:kern w:val="21"/>
        </w:rPr>
        <w:t>四、执行时间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 w:hAnsi="方正仿宋_GBK" w:cs="方正仿宋_GBK"/>
          <w:kern w:val="21"/>
        </w:rPr>
        <w:t>本通知自2016年6月1日用水量起执行。</w:t>
      </w:r>
      <w:r>
        <w:rPr>
          <w:rFonts w:hint="eastAsia" w:hAnsi="方正仿宋_GBK" w:cs="方正仿宋_GBK"/>
          <w:kern w:val="21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ascii="方正黑体_GBK" w:hAnsi="方正黑体_GBK" w:eastAsia="方正黑体_GBK" w:cs="方正黑体_GBK"/>
          <w:bCs/>
          <w:kern w:val="21"/>
        </w:rPr>
      </w:pPr>
      <w:r>
        <w:rPr>
          <w:rFonts w:hint="eastAsia" w:ascii="方正黑体_GBK" w:hAnsi="方正黑体_GBK" w:eastAsia="方正黑体_GBK" w:cs="方正黑体_GBK"/>
          <w:bCs/>
          <w:kern w:val="21"/>
        </w:rPr>
        <w:t>五、有关要求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 w:hAnsi="方正仿宋_GBK" w:cs="方正仿宋_GBK"/>
          <w:kern w:val="21"/>
        </w:rPr>
        <w:t>（一）供水企业要认真执行居民阶梯水价政策，积极推进户表改造工作。完善阶梯水价抄表、计价、收费等细则，不断提高服务水平。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 w:hAnsi="方正仿宋_GBK" w:cs="方正仿宋_GBK"/>
          <w:kern w:val="21"/>
        </w:rPr>
        <w:t>（二）居民阶梯水价涉及面广、政策性强，供水企业须做好宣传解释工作，确保政策顺利实施。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 w:hAnsi="方正仿宋_GBK" w:cs="方正仿宋_GBK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 w:rightChars="200"/>
        <w:jc w:val="right"/>
        <w:textAlignment w:val="baseline"/>
        <w:rPr>
          <w:rFonts w:hint="eastAsia" w:hAnsi="方正仿宋_GBK" w:cs="方正仿宋_GBK"/>
          <w:kern w:val="21"/>
          <w:lang w:val="en-US" w:eastAsia="zh-CN"/>
        </w:rPr>
      </w:pPr>
      <w:r>
        <w:rPr>
          <w:rFonts w:hint="eastAsia" w:hAnsi="方正仿宋_GBK" w:cs="方正仿宋_GBK"/>
          <w:kern w:val="21"/>
        </w:rPr>
        <w:t xml:space="preserve">重庆市永川区发展和改革委员会  </w:t>
      </w:r>
      <w:r>
        <w:rPr>
          <w:rFonts w:hint="eastAsia" w:hAnsi="方正仿宋_GBK" w:cs="方正仿宋_GBK"/>
          <w:kern w:val="21"/>
          <w:lang w:val="en-US" w:eastAsia="zh-CN"/>
        </w:rPr>
        <w:t xml:space="preserve"> </w:t>
      </w:r>
      <w:r>
        <w:rPr>
          <w:rFonts w:hint="eastAsia" w:hAnsi="方正仿宋_GBK" w:cs="方正仿宋_GBK"/>
          <w:kern w:val="21"/>
        </w:rPr>
        <w:t xml:space="preserve"> </w:t>
      </w:r>
      <w:r>
        <w:rPr>
          <w:rFonts w:hint="eastAsia" w:hAnsi="方正仿宋_GBK" w:cs="方正仿宋_GBK"/>
          <w:kern w:val="21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right="640" w:rightChars="200"/>
        <w:jc w:val="center"/>
        <w:textAlignment w:val="baseline"/>
        <w:rPr>
          <w:rFonts w:hint="eastAsia" w:hAnsi="方正仿宋_GBK" w:cs="方正仿宋_GBK"/>
          <w:kern w:val="21"/>
        </w:rPr>
      </w:pPr>
      <w:r>
        <w:rPr>
          <w:rFonts w:hint="eastAsia" w:hAnsi="方正仿宋_GBK" w:cs="方正仿宋_GBK"/>
          <w:kern w:val="21"/>
          <w:lang w:val="en-US" w:eastAsia="zh-CN"/>
        </w:rPr>
        <w:t xml:space="preserve">                        </w:t>
      </w:r>
      <w:r>
        <w:rPr>
          <w:rFonts w:hint="eastAsia" w:hAnsi="方正仿宋_GBK" w:cs="方正仿宋_GBK"/>
          <w:kern w:val="21"/>
        </w:rPr>
        <w:t>重庆市永川区水务局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baseline"/>
        <w:rPr>
          <w:rFonts w:hint="default" w:eastAsia="方正仿宋_GBK"/>
          <w:lang w:val="en-US" w:eastAsia="zh-CN"/>
        </w:rPr>
      </w:pPr>
      <w:r>
        <w:rPr>
          <w:rFonts w:hint="eastAsia" w:hAnsi="方正仿宋_GBK" w:cs="方正仿宋_GBK"/>
          <w:kern w:val="21"/>
          <w:lang w:val="en-US" w:eastAsia="zh-CN"/>
        </w:rPr>
        <w:t xml:space="preserve">                     </w:t>
      </w:r>
      <w:r>
        <w:rPr>
          <w:rFonts w:hint="eastAsia" w:hAnsi="方正仿宋_GBK" w:cs="方正仿宋_GBK"/>
          <w:kern w:val="21"/>
        </w:rPr>
        <w:t>2016年5月30日</w:t>
      </w:r>
      <w:r>
        <w:rPr>
          <w:rFonts w:hint="eastAsia" w:hAnsi="方正仿宋_GBK" w:cs="方正仿宋_GBK"/>
          <w:kern w:val="21"/>
          <w:lang w:val="en-US" w:eastAsia="zh-CN"/>
        </w:rPr>
        <w:t xml:space="preserve">    </w:t>
      </w:r>
    </w:p>
    <w:sectPr>
      <w:headerReference r:id="rId5" w:type="default"/>
      <w:footerReference r:id="rId6" w:type="default"/>
      <w:pgSz w:w="11906" w:h="16838"/>
      <w:pgMar w:top="1962" w:right="1474" w:bottom="1848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  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发展和改革委员会</w:t>
    </w:r>
    <w:bookmarkStart w:id="0" w:name="_GoBack"/>
    <w:bookmarkEnd w:id="0"/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发布</w:t>
    </w:r>
  </w:p>
  <w:p>
    <w:pPr>
      <w:pStyle w:val="4"/>
      <w:wordWrap/>
      <w:spacing w:line="240" w:lineRule="auto"/>
      <w:ind w:left="5770" w:leftChars="1803" w:firstLine="6499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4"/>
      <w:wordWrap w:val="0"/>
      <w:ind w:left="7296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tabs>
        <w:tab w:val="left" w:pos="3735"/>
        <w:tab w:val="right" w:pos="8965"/>
      </w:tabs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  <w:r>
      <w:rPr>
        <w:rFonts w:hint="eastAsia" w:ascii="方正仿宋_GBK" w:hAnsi="方正仿宋_GBK" w:cs="方正仿宋_GBK"/>
        <w:b/>
        <w:bCs/>
        <w:color w:val="000000"/>
        <w:sz w:val="32"/>
        <w:lang w:val="en-US" w:eastAsia="zh-CN"/>
      </w:rPr>
      <w:tab/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347980</wp:posOffset>
              </wp:positionV>
              <wp:extent cx="5620385" cy="0"/>
              <wp:effectExtent l="0" t="10795" r="18415" b="17780"/>
              <wp:wrapNone/>
              <wp:docPr id="3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.75pt;margin-top:27.4pt;height:0pt;width:442.55pt;z-index:251661312;mso-width-relative:page;mso-height-relative:page;" filled="f" stroked="t" coordsize="21600,21600" o:gfxdata="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hTa5ytIAAAAHAQAADwAAAAAAAAABACAAAAAiAAAAZHJzL2Rvd25yZXYueG1sUEsBAhQAFAAAAAgA&#10;h07iQO1mZDTyAQAA4wMAAA4AAAAAAAAAAQAgAAAAIQEAAGRycy9lMm9Eb2MueG1sUEsFBgAAAAAG&#10;AAYAWQEAAIU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永川区发展和改革委员会行政规范性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4ZTA3ZDQ0MTRmMGU2YjM4NWY4Yjg1M2Q4Mzc1N2YifQ=="/>
  </w:docVars>
  <w:rsids>
    <w:rsidRoot w:val="570D5035"/>
    <w:rsid w:val="013F0A84"/>
    <w:rsid w:val="0CC33D9A"/>
    <w:rsid w:val="37622324"/>
    <w:rsid w:val="3C2E5BE5"/>
    <w:rsid w:val="45385785"/>
    <w:rsid w:val="48E11C9B"/>
    <w:rsid w:val="570D5035"/>
    <w:rsid w:val="5C800A4E"/>
    <w:rsid w:val="64535755"/>
    <w:rsid w:val="69833DCE"/>
    <w:rsid w:val="77B270CB"/>
    <w:rsid w:val="7B09415C"/>
    <w:rsid w:val="7BB1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5">
    <w:name w:val="index 9"/>
    <w:next w:val="1"/>
    <w:qFormat/>
    <w:uiPriority w:val="0"/>
    <w:pPr>
      <w:widowControl w:val="0"/>
      <w:ind w:left="336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样式模板"/>
    <w:basedOn w:val="1"/>
    <w:qFormat/>
    <w:uiPriority w:val="0"/>
    <w:rPr>
      <w:rFonts w:eastAsia="方正仿宋_GBK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896</Words>
  <Characters>967</Characters>
  <Lines>0</Lines>
  <Paragraphs>0</Paragraphs>
  <TotalTime>4</TotalTime>
  <ScaleCrop>false</ScaleCrop>
  <LinksUpToDate>false</LinksUpToDate>
  <CharactersWithSpaces>1036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2023-06-06T09:00:00Z</dcterms:created>
  <dc:creator>噢哈唷</dc:creator>
  <cp:lastModifiedBy>噢哈唷</cp:lastModifiedBy>
  <dcterms:modified xsi:type="dcterms:W3CDTF">2023-09-20T02:07:01Z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F8E9ABAE4555425A8A96CD0690C4D0EE_13</vt:lpwstr>
  </property>
</Properties>
</file>