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76" w:lineRule="auto"/>
        <w:ind w:left="0" w:right="0"/>
        <w:jc w:val="left"/>
        <w:textAlignment w:val="auto"/>
        <w:rPr>
          <w:rFonts w:hint="eastAsia" w:ascii="Times New Roman" w:hAnsi="Times New Roman" w:eastAsia="方正仿宋_GBK" w:cs="Times New Roman"/>
          <w:i w:val="0"/>
          <w:caps w:val="0"/>
          <w:color w:val="070707"/>
          <w:spacing w:val="0"/>
          <w:sz w:val="32"/>
          <w:szCs w:val="32"/>
          <w:lang w:val="en-US" w:eastAsia="zh-CN"/>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76" w:lineRule="auto"/>
        <w:ind w:left="0" w:right="0"/>
        <w:jc w:val="right"/>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caps w:val="0"/>
          <w:color w:val="070707"/>
          <w:spacing w:val="0"/>
          <w:sz w:val="32"/>
          <w:szCs w:val="32"/>
        </w:rPr>
        <w:t>工信部联企业〔2024〕239号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方正小标宋_GBK" w:hAnsi="方正小标宋_GBK" w:eastAsia="方正小标宋_GBK" w:cs="方正小标宋_GBK"/>
          <w:b w:val="0"/>
          <w:bCs/>
          <w:i w:val="0"/>
          <w:caps w:val="0"/>
          <w:color w:val="000000"/>
          <w:spacing w:val="0"/>
          <w:sz w:val="44"/>
          <w:szCs w:val="4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94" w:lineRule="exact"/>
        <w:ind w:right="0"/>
        <w:jc w:val="center"/>
        <w:textAlignment w:val="auto"/>
        <w:rPr>
          <w:rFonts w:hint="eastAsia" w:ascii="方正小标宋_GBK" w:hAnsi="方正小标宋_GBK" w:eastAsia="方正小标宋_GBK" w:cs="方正小标宋_GBK"/>
          <w:b w:val="0"/>
          <w:bCs/>
          <w:i w:val="0"/>
          <w:caps w:val="0"/>
          <w:color w:val="000000"/>
          <w:spacing w:val="0"/>
          <w:w w:val="100"/>
          <w:sz w:val="44"/>
          <w:szCs w:val="44"/>
        </w:rPr>
      </w:pPr>
      <w:r>
        <w:rPr>
          <w:rFonts w:hint="eastAsia" w:ascii="方正小标宋_GBK" w:hAnsi="方正小标宋_GBK" w:eastAsia="方正小标宋_GBK" w:cs="方正小标宋_GBK"/>
          <w:b w:val="0"/>
          <w:bCs/>
          <w:i w:val="0"/>
          <w:caps w:val="0"/>
          <w:color w:val="000000"/>
          <w:spacing w:val="0"/>
          <w:w w:val="100"/>
          <w:sz w:val="44"/>
          <w:szCs w:val="44"/>
        </w:rPr>
        <w:t>工业和信息化部 财政部 中国人民银行 金融监管总局关于发布《中小企业数字化赋能专项行动方案（2025—2027年）》的通知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76" w:lineRule="auto"/>
        <w:ind w:left="0" w:right="0" w:firstLine="640" w:firstLineChars="200"/>
        <w:jc w:val="left"/>
        <w:textAlignment w:val="auto"/>
        <w:rPr>
          <w:rFonts w:hint="default" w:ascii="Times New Roman" w:hAnsi="Times New Roman" w:eastAsia="方正仿宋_GBK" w:cs="Times New Roman"/>
          <w:i w:val="0"/>
          <w:sz w:val="32"/>
          <w:szCs w:val="32"/>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i w:val="0"/>
          <w:caps w:val="0"/>
          <w:color w:val="070707"/>
          <w:spacing w:val="0"/>
          <w:sz w:val="32"/>
          <w:szCs w:val="32"/>
        </w:rPr>
      </w:pPr>
      <w:r>
        <w:rPr>
          <w:rFonts w:hint="default" w:ascii="Times New Roman" w:hAnsi="Times New Roman" w:eastAsia="方正仿宋_GBK" w:cs="Times New Roman"/>
          <w:i w:val="0"/>
          <w:caps w:val="0"/>
          <w:color w:val="070707"/>
          <w:spacing w:val="0"/>
          <w:sz w:val="32"/>
          <w:szCs w:val="32"/>
        </w:rPr>
        <w:t>各省、自治区、直辖市及计划单列市、新疆生产建设兵团中小企业主管部门、财政厅（局）；中国人民银行上海总部，各省、自治区、直辖市及计划单列市分行，各金融监管局：</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i w:val="0"/>
          <w:caps w:val="0"/>
          <w:color w:val="070707"/>
          <w:spacing w:val="0"/>
          <w:sz w:val="32"/>
          <w:szCs w:val="32"/>
        </w:rPr>
      </w:pPr>
    </w:p>
    <w:p>
      <w:pPr>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rFonts w:hint="default" w:ascii="Times New Roman" w:hAnsi="Times New Roman" w:eastAsia="方正仿宋_GBK" w:cs="Times New Roman"/>
          <w:i w:val="0"/>
          <w:caps w:val="0"/>
          <w:color w:val="070707"/>
          <w:spacing w:val="0"/>
          <w:sz w:val="32"/>
          <w:szCs w:val="32"/>
        </w:rPr>
      </w:pPr>
      <w:r>
        <w:rPr>
          <w:rFonts w:hint="default" w:ascii="Times New Roman" w:hAnsi="Times New Roman" w:eastAsia="方正仿宋_GBK" w:cs="Times New Roman"/>
          <w:i w:val="0"/>
          <w:caps w:val="0"/>
          <w:color w:val="070707"/>
          <w:spacing w:val="0"/>
          <w:sz w:val="32"/>
          <w:szCs w:val="32"/>
        </w:rPr>
        <w:t>现将《中小企业数字化赋能专项行动方案（2025—2027年）》印发给你们，请抓好贯彻落实。</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i w:val="0"/>
          <w:caps w:val="0"/>
          <w:color w:val="070707"/>
          <w:spacing w:val="0"/>
          <w:sz w:val="32"/>
          <w:szCs w:val="32"/>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i w:val="0"/>
          <w:caps w:val="0"/>
          <w:color w:val="070707"/>
          <w:spacing w:val="0"/>
          <w:sz w:val="32"/>
          <w:szCs w:val="32"/>
        </w:rPr>
      </w:pPr>
    </w:p>
    <w:p>
      <w:pPr>
        <w:keepNext w:val="0"/>
        <w:keepLines w:val="0"/>
        <w:pageBreakBefore w:val="0"/>
        <w:widowControl w:val="0"/>
        <w:kinsoku/>
        <w:wordWrap/>
        <w:overflowPunct/>
        <w:topLinePunct w:val="0"/>
        <w:autoSpaceDE/>
        <w:autoSpaceDN/>
        <w:bidi w:val="0"/>
        <w:adjustRightInd w:val="0"/>
        <w:snapToGrid w:val="0"/>
        <w:jc w:val="right"/>
        <w:textAlignment w:val="auto"/>
        <w:rPr>
          <w:rFonts w:hint="default" w:ascii="Times New Roman" w:hAnsi="Times New Roman" w:eastAsia="方正仿宋_GBK" w:cs="Times New Roman"/>
          <w:i w:val="0"/>
          <w:caps w:val="0"/>
          <w:color w:val="070707"/>
          <w:spacing w:val="0"/>
          <w:sz w:val="32"/>
          <w:szCs w:val="32"/>
        </w:rPr>
      </w:pPr>
      <w:r>
        <w:rPr>
          <w:rFonts w:hint="default" w:ascii="Times New Roman" w:hAnsi="Times New Roman" w:eastAsia="方正仿宋_GBK" w:cs="Times New Roman"/>
          <w:i w:val="0"/>
          <w:caps w:val="0"/>
          <w:color w:val="070707"/>
          <w:spacing w:val="0"/>
          <w:sz w:val="32"/>
          <w:szCs w:val="32"/>
        </w:rPr>
        <w:t>工业和信息化部</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default" w:ascii="Times New Roman" w:hAnsi="Times New Roman" w:eastAsia="方正仿宋_GBK" w:cs="Times New Roman"/>
          <w:i w:val="0"/>
          <w:caps w:val="0"/>
          <w:color w:val="070707"/>
          <w:spacing w:val="0"/>
          <w:sz w:val="32"/>
          <w:szCs w:val="32"/>
        </w:rPr>
      </w:pPr>
      <w:r>
        <w:rPr>
          <w:rFonts w:hint="eastAsia" w:ascii="Times New Roman" w:hAnsi="Times New Roman" w:eastAsia="方正仿宋_GBK" w:cs="Times New Roman"/>
          <w:i w:val="0"/>
          <w:caps w:val="0"/>
          <w:color w:val="070707"/>
          <w:spacing w:val="0"/>
          <w:sz w:val="32"/>
          <w:szCs w:val="32"/>
          <w:lang w:val="en-US" w:eastAsia="zh-CN"/>
        </w:rPr>
        <w:t xml:space="preserve">                                          </w:t>
      </w:r>
      <w:r>
        <w:rPr>
          <w:rFonts w:hint="default" w:ascii="Times New Roman" w:hAnsi="Times New Roman" w:eastAsia="方正仿宋_GBK" w:cs="Times New Roman"/>
          <w:i w:val="0"/>
          <w:caps w:val="0"/>
          <w:color w:val="070707"/>
          <w:spacing w:val="0"/>
          <w:sz w:val="32"/>
          <w:szCs w:val="32"/>
        </w:rPr>
        <w:t>财政部</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default" w:ascii="Times New Roman" w:hAnsi="Times New Roman" w:eastAsia="方正仿宋_GBK" w:cs="Times New Roman"/>
          <w:i w:val="0"/>
          <w:caps w:val="0"/>
          <w:color w:val="070707"/>
          <w:spacing w:val="0"/>
          <w:sz w:val="32"/>
          <w:szCs w:val="32"/>
        </w:rPr>
      </w:pPr>
      <w:r>
        <w:rPr>
          <w:rFonts w:hint="default" w:ascii="Times New Roman" w:hAnsi="Times New Roman" w:eastAsia="方正仿宋_GBK" w:cs="Times New Roman"/>
          <w:i w:val="0"/>
          <w:caps w:val="0"/>
          <w:color w:val="070707"/>
          <w:spacing w:val="0"/>
          <w:sz w:val="32"/>
          <w:szCs w:val="32"/>
        </w:rPr>
        <w:t>中国人民银行</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default" w:ascii="Times New Roman" w:hAnsi="Times New Roman" w:eastAsia="方正仿宋_GBK" w:cs="Times New Roman"/>
          <w:i w:val="0"/>
          <w:caps w:val="0"/>
          <w:color w:val="070707"/>
          <w:spacing w:val="0"/>
          <w:sz w:val="32"/>
          <w:szCs w:val="32"/>
        </w:rPr>
      </w:pPr>
      <w:r>
        <w:rPr>
          <w:rFonts w:hint="default" w:ascii="Times New Roman" w:hAnsi="Times New Roman" w:eastAsia="方正仿宋_GBK" w:cs="Times New Roman"/>
          <w:i w:val="0"/>
          <w:caps w:val="0"/>
          <w:color w:val="070707"/>
          <w:spacing w:val="0"/>
          <w:sz w:val="32"/>
          <w:szCs w:val="32"/>
        </w:rPr>
        <w:t>金融监管总局</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default" w:ascii="Times New Roman" w:hAnsi="Times New Roman" w:eastAsia="方正仿宋_GBK" w:cs="Times New Roman"/>
          <w:i w:val="0"/>
          <w:caps w:val="0"/>
          <w:color w:val="070707"/>
          <w:spacing w:val="0"/>
          <w:sz w:val="32"/>
          <w:szCs w:val="32"/>
        </w:rPr>
      </w:pPr>
      <w:r>
        <w:rPr>
          <w:rFonts w:hint="default" w:ascii="Times New Roman" w:hAnsi="Times New Roman" w:eastAsia="方正仿宋_GBK" w:cs="Times New Roman"/>
          <w:i w:val="0"/>
          <w:caps w:val="0"/>
          <w:color w:val="070707"/>
          <w:spacing w:val="0"/>
          <w:sz w:val="32"/>
          <w:szCs w:val="32"/>
        </w:rPr>
        <w:t>2024年12月12日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i w:val="0"/>
          <w:caps w:val="0"/>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i w:val="0"/>
          <w:caps w:val="0"/>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i w:val="0"/>
          <w:caps w:val="0"/>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i w:val="0"/>
          <w:caps w:val="0"/>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i w:val="0"/>
          <w:caps w:val="0"/>
          <w:color w:val="000000"/>
          <w:spacing w:val="0"/>
          <w:sz w:val="44"/>
          <w:szCs w:val="4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Style w:val="9"/>
          <w:rFonts w:hint="eastAsia" w:ascii="方正小标宋简体" w:hAnsi="方正小标宋简体" w:eastAsia="方正小标宋简体" w:cs="方正小标宋简体"/>
          <w:b w:val="0"/>
          <w:bCs w:val="0"/>
          <w:i w:val="0"/>
          <w:iCs w:val="0"/>
          <w:caps w:val="0"/>
          <w:color w:val="070707"/>
          <w:spacing w:val="0"/>
          <w:sz w:val="44"/>
          <w:szCs w:val="44"/>
        </w:rPr>
      </w:pPr>
      <w:r>
        <w:rPr>
          <w:rStyle w:val="9"/>
          <w:rFonts w:hint="eastAsia" w:ascii="方正小标宋简体" w:hAnsi="方正小标宋简体" w:eastAsia="方正小标宋简体" w:cs="方正小标宋简体"/>
          <w:b w:val="0"/>
          <w:bCs w:val="0"/>
          <w:i w:val="0"/>
          <w:iCs w:val="0"/>
          <w:caps w:val="0"/>
          <w:color w:val="070707"/>
          <w:spacing w:val="0"/>
          <w:sz w:val="44"/>
          <w:szCs w:val="44"/>
        </w:rPr>
        <w:t>中小企业数字化赋能专项行动方案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简体" w:hAnsi="方正小标宋简体" w:eastAsia="方正小标宋简体" w:cs="方正小标宋简体"/>
          <w:b w:val="0"/>
          <w:bCs w:val="0"/>
          <w:i w:val="0"/>
          <w:iCs w:val="0"/>
          <w:sz w:val="44"/>
          <w:szCs w:val="44"/>
        </w:rPr>
      </w:pPr>
      <w:r>
        <w:rPr>
          <w:rStyle w:val="9"/>
          <w:rFonts w:hint="eastAsia" w:ascii="方正小标宋简体" w:hAnsi="方正小标宋简体" w:eastAsia="方正小标宋简体" w:cs="方正小标宋简体"/>
          <w:b w:val="0"/>
          <w:bCs w:val="0"/>
          <w:i w:val="0"/>
          <w:iCs w:val="0"/>
          <w:caps w:val="0"/>
          <w:color w:val="070707"/>
          <w:spacing w:val="0"/>
          <w:sz w:val="44"/>
          <w:szCs w:val="44"/>
        </w:rPr>
        <w:t>（2025—2027年）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jc w:val="both"/>
        <w:textAlignment w:val="auto"/>
        <w:rPr>
          <w:rFonts w:hint="eastAsia" w:ascii="方正仿宋_GB2312" w:hAnsi="方正仿宋_GB2312" w:eastAsia="方正仿宋_GB2312" w:cs="方正仿宋_GB2312"/>
          <w:i w:val="0"/>
          <w:iCs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中小企业是推动创新、促进就业、改善民生的重要力量。推进中小企业数字化转型是推进新型工业化的重要举措，建设现代化产业体系的必然要求，实现中小企业专精特新发展的关键路径。《中小企业数字化赋能专项行动方案》（工信厅企业〔2020〕10号）印发以来，中小企业数字化进程明显加快，发展质量显著提升。为进一步贯彻党中央、国务院关于支持中小企业创新发展的决策部署，落实《制造业数字化转型行动方案》，由点及面、由表及里、体系化推进中小企业数字化转型，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黑体" w:hAnsi="黑体" w:eastAsia="黑体" w:cs="黑体"/>
          <w:i w:val="0"/>
          <w:iCs w:val="0"/>
          <w:sz w:val="32"/>
          <w:szCs w:val="32"/>
        </w:rPr>
      </w:pPr>
      <w:r>
        <w:rPr>
          <w:rFonts w:hint="eastAsia" w:ascii="黑体" w:hAnsi="黑体" w:eastAsia="黑体" w:cs="黑体"/>
          <w:i w:val="0"/>
          <w:iCs w:val="0"/>
          <w:caps w:val="0"/>
          <w:color w:val="070707"/>
          <w:spacing w:val="0"/>
          <w:sz w:val="32"/>
          <w:szCs w:val="32"/>
        </w:rPr>
        <w:t>一、总体要求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以习近平新时代中国特色社会主义思想为指导，贯彻落实习近平总书记关于加快推进新型工业化、促进中小企业专精特新发展系列重要指示精神，将推动中小企业数字化转型与开展大规模设备更新行动、实施技术改造升级工程等有机结合，以中小企业数字化转型城市试点为抓手，“点线面”结合推进数字化改造，加速人工智能创新应用和深度赋能，充分激活数据要素价值，着力提升供给质效和服务保障水平，实施中小企业数字化赋能专项行动。到2027年，中小企业数字化转型“百城”试点取得扎实成效，专精特新中小企业实现数字化改造应改尽改，形成一批数字化水平达到三级、四级的转型标杆；试点省级专精特新中小企业数字化水平达到二级及以上，全国规上工业中小企业关键工序数控化率达到75%；中小企业上云率超过40%。初步构建起部省联动、大中小企业融通、重点场景供需适配、公共服务保障有力的中小企业数字化转型生态，赋能中小企业专精特新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黑体" w:hAnsi="黑体" w:eastAsia="黑体" w:cs="黑体"/>
          <w:i w:val="0"/>
          <w:iCs w:val="0"/>
          <w:caps w:val="0"/>
          <w:color w:val="070707"/>
          <w:spacing w:val="0"/>
          <w:sz w:val="32"/>
          <w:szCs w:val="32"/>
        </w:rPr>
      </w:pPr>
      <w:r>
        <w:rPr>
          <w:rFonts w:hint="eastAsia" w:ascii="黑体" w:hAnsi="黑体" w:eastAsia="黑体" w:cs="黑体"/>
          <w:i w:val="0"/>
          <w:iCs w:val="0"/>
          <w:caps w:val="0"/>
          <w:color w:val="070707"/>
          <w:spacing w:val="0"/>
          <w:sz w:val="32"/>
          <w:szCs w:val="32"/>
        </w:rPr>
        <w:t>二、重点任务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楷体_GB2312" w:hAnsi="方正楷体_GB2312" w:eastAsia="方正楷体_GB2312" w:cs="方正楷体_GB2312"/>
          <w:i w:val="0"/>
          <w:iCs w:val="0"/>
          <w:sz w:val="32"/>
          <w:szCs w:val="32"/>
        </w:rPr>
      </w:pPr>
      <w:r>
        <w:rPr>
          <w:rFonts w:hint="eastAsia" w:ascii="方正楷体_GB2312" w:hAnsi="方正楷体_GB2312" w:eastAsia="方正楷体_GB2312" w:cs="方正楷体_GB2312"/>
          <w:i w:val="0"/>
          <w:iCs w:val="0"/>
          <w:caps w:val="0"/>
          <w:color w:val="070707"/>
          <w:spacing w:val="0"/>
          <w:sz w:val="32"/>
          <w:szCs w:val="32"/>
        </w:rPr>
        <w:t>（一）深入实施“百城”试点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1.</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因地制宜推进中小企业数字化转型城市试点。发挥中央财政资金引导作用，分批支持100个左右城市开展中小企业数字化转型试点，因地制宜探索中小企业数字化转型路径，推动4万家以上中小企业开展数字化转型，其中1万家专精特新中小企业。更新发布《中小企业数字化转型城市试点实施指南》，细化实施要求和流程规范。制定试点城市数字化转型绩效评价办法。研究探索对中小企业数字化转型城市试点服务商的服务情况进行评价，强化激励约束。（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2.</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纵深推动工业大县中小企业数字化转型。面向基础较好的工业大县大范围复制推广试点城市工作经验和成果，依托县域优势产业推动人工智能、5G、区块链等新技术在重点中小企业的应用推广，打造一批数字化水平达到三级、四级的中小企业标杆。推动工业大县产业链与产业集群“链群”同转，实现县域中小企业规模化、普惠式数字化转型。（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楷体_GB2312" w:hAnsi="方正楷体_GB2312" w:eastAsia="方正楷体_GB2312" w:cs="方正楷体_GB2312"/>
          <w:i w:val="0"/>
          <w:iCs w:val="0"/>
          <w:caps w:val="0"/>
          <w:color w:val="070707"/>
          <w:spacing w:val="0"/>
          <w:sz w:val="32"/>
          <w:szCs w:val="32"/>
        </w:rPr>
      </w:pPr>
      <w:r>
        <w:rPr>
          <w:rFonts w:hint="eastAsia" w:ascii="方正楷体_GB2312" w:hAnsi="方正楷体_GB2312" w:eastAsia="方正楷体_GB2312" w:cs="方正楷体_GB2312"/>
          <w:i w:val="0"/>
          <w:iCs w:val="0"/>
          <w:caps w:val="0"/>
          <w:color w:val="070707"/>
          <w:spacing w:val="0"/>
          <w:sz w:val="32"/>
          <w:szCs w:val="32"/>
        </w:rPr>
        <w:t>（二）分类梯次开展数字化改造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3.</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面向专精特新“小巨人”企业开展系统化集成改造。对专精特新“小巨人”企业全面“建档立卡”，“一企一策”靶向推动数字化水平系统提升。引导数字化水平二级及以下的企业加强关键业务系统部署应用与跨系统集成改造，实现数字化水平向更高层级提升跨越。支持数字化水平三级及以上企业开展高价值集成应用创新，围绕产品数字孪生、设计制造一体化、个性化定制等复杂场景开展系统化集成改造，培育一批四级标杆企业。深入实施智能制造工程，支持专精特新“小巨人”企业打造一批智能场景、智能车间、智能工厂。深入实施工业互联网创新发展工程，打造“5G+工业互联网”升级版，引导专精特新“小巨人”企业建设一批 5G 工厂。（工业和信息化部牵头负责）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4.</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面向省级专精特新中小企业、规上工业中小企业实施重点场景深度改造。加强中小企业数字化转型城市试点与制造业新型技术改造城市试点工作协同衔接，以“智改数转网联”为重点，优先支持数字化水平二级及以下的专精特新中小企业或规上工业中小企业实施软硬件一体化改造，打造产品工艺仿真、设备预测运维、产线智能控制等场景样本，加快行业普及推广。鼓励数字化水平三级及以上企业对标同行业标杆企业，开展更高水平改造。聚焦原材料、装备制造、消费品、电子信息等行业实施大规模设备更新，重点推动中小企业开展“哑”设备改造和关键设备更新。（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5.</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面向小微企业推广普惠性“上云用数赋智”服务。加快中小企业内外网升级改造，提升数字化基础水平。完善企业级、行业级、区域级等多层次云平台布局，推动现有工业软件产品云化迁移，形成云化软件供给目录。加速关键设备、业务系统上云，推广基于云的设备运行监测、产品性能仿真以及数据存储、建模分析等普惠应用。在先进制造业集群、中小企业特色产业集群、国家高新技术产业开发区等重点集群、园区，加快新型基础设施规模化建设应用，为中小企业上云用云提供基础支撑。支持地方探索“上云券”“算力券”等优惠政策措施，为中小企业上云用算提供支持。鼓励算力中心提供“随接随用、按需付费”的云端算力服务，降低中小企业用算成本。（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楷体_GB2312" w:hAnsi="方正楷体_GB2312" w:eastAsia="方正楷体_GB2312" w:cs="方正楷体_GB2312"/>
          <w:i w:val="0"/>
          <w:iCs w:val="0"/>
          <w:caps w:val="0"/>
          <w:color w:val="070707"/>
          <w:spacing w:val="0"/>
          <w:sz w:val="32"/>
          <w:szCs w:val="32"/>
        </w:rPr>
      </w:pPr>
      <w:r>
        <w:rPr>
          <w:rFonts w:hint="eastAsia" w:ascii="方正楷体_GB2312" w:hAnsi="方正楷体_GB2312" w:eastAsia="方正楷体_GB2312" w:cs="方正楷体_GB2312"/>
          <w:i w:val="0"/>
          <w:iCs w:val="0"/>
          <w:caps w:val="0"/>
          <w:color w:val="070707"/>
          <w:spacing w:val="0"/>
          <w:sz w:val="32"/>
          <w:szCs w:val="32"/>
        </w:rPr>
        <w:t>（三）推进链群融通转型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6.</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推广龙头企业牵引的供应链“链式”转型。支持链主企业、龙头企业开放数字系统接口，促进供应链上下游中小企业实施标准统一的数字化改造，推动中小企业主动融入大企业的供应链，强化中小企业在供应链上的配套能力。持续梳理遴选中小企业“链式”转型典型案例，编制发布案例集。（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7.</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推广工业互联网平台企业驱动的产业链“链式”转型。支持细分行业工业互联网平台企业打造产业链协同能力，面向细分行业梳理数字化转型场景图谱及数据要素、知识模型、工具软件等要素清单，面向中小企业推广行业共性数字化产品及系统解决方案，提升产业链整体数字化水平。基于平台汇聚、组织制造资源，实现市场订单、研发资源、生产原料等与中小企业精准匹配，打造共享制造、个性定制、众包众创等新模式新业态，加速平台经济赋能中小企业高质量发展。（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8.</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推广以集群、园区为单位的“面状”转型。支持先进制造业集群、中小企业特色产业集群、国家高新技术产业开发区等重点集群、园区引进或建设工业互联网平台，开发标准化、模块化、解耦化的数字工具与服务，打造贯通工具链、数据链、模型链的数字底座，大力推广集采集销、中央工厂、众包众创等协同转型新模式，带动集群、园区中小企业数字化水平整体提升。探索发展跨越物理边界的“虚拟”产业园区和产业集群，推动中小企业跨地域数据互通、资源共享、业务协同，构建虚实结合的产业数字化新生态。（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楷体_GB2312" w:hAnsi="方正楷体_GB2312" w:eastAsia="方正楷体_GB2312" w:cs="方正楷体_GB2312"/>
          <w:i w:val="0"/>
          <w:iCs w:val="0"/>
          <w:caps w:val="0"/>
          <w:color w:val="070707"/>
          <w:spacing w:val="0"/>
          <w:sz w:val="32"/>
          <w:szCs w:val="32"/>
        </w:rPr>
        <w:t>（四）推动人工智能创新赋能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9.</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发布中小企业人工智能应用指引。编制发布中小企业与人工智能融合应用推进指南，明确中小企业人工智能应用实施的主要模式、典型路径，为中小企业提供可落地、易操作的参考指引。鼓励各地组织开展中小企业人工智能应用案例征集遴选，培育挖掘视觉质量检测、客户画像与精准营销、财务管理自动化等一批典型场景，为中小企业提供借鉴参考。（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10.</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加强中小企业人工智能应用推广。发挥中小企业数字化转型试点城市现场交流活动的平台作用，宣传推介人工智能赋能中小企业典型应用场景、解决方案，加快中小企业人工智能应用复制推广。鼓励各地参考中小企业人工智能典型应用案例、应用图谱等，推动人工智能技术在研发设计、生产制造、质量检测、运行维护、经营管理等中小企业关键业务场景应用普及。（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11.</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强化中小企业人工智能应用基础。支持开放原子开源基金会等开源社区牵头成立人工智能开源社区，聚焦中小企业特色需求设立专题人工智能开源项目，提供可复制、易推广的训练框架、开发示例、测试工具和开源代码。引导中小企业积极参与开源项目，降低人工智能部署开发门槛。鼓励龙头企业、交易机构、平台企业、数据服务企业等经营主体建设公共数据集、行业数据集，为中小企业提供用于人工智能模型训练的高质量数据。建设一批适用于中小企业的垂直行业大模型，强化中小企业大模型技术产品供给。（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楷体_GB2312" w:hAnsi="方正楷体_GB2312" w:eastAsia="方正楷体_GB2312" w:cs="方正楷体_GB2312"/>
          <w:i w:val="0"/>
          <w:iCs w:val="0"/>
          <w:caps w:val="0"/>
          <w:color w:val="070707"/>
          <w:spacing w:val="0"/>
          <w:sz w:val="32"/>
          <w:szCs w:val="32"/>
        </w:rPr>
      </w:pPr>
      <w:r>
        <w:rPr>
          <w:rFonts w:hint="eastAsia" w:ascii="方正楷体_GB2312" w:hAnsi="方正楷体_GB2312" w:eastAsia="方正楷体_GB2312" w:cs="方正楷体_GB2312"/>
          <w:i w:val="0"/>
          <w:iCs w:val="0"/>
          <w:caps w:val="0"/>
          <w:color w:val="070707"/>
          <w:spacing w:val="0"/>
          <w:sz w:val="32"/>
          <w:szCs w:val="32"/>
        </w:rPr>
        <w:t>（五）深度激活中小企业数据要素价值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12.</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提升中小企业数据管理、利用能力。鼓励各地面向中小企业加强《数据管理能力成熟度评估模型》（DCMM）标准应用推广，引导有条件的中小企业开展生产经营全过程数据采集，加快大数据系统建设部署，建立健全数据管理制度。鼓励中小企业探索数据创新应用，引导中小企业面向业务需求开展数据建模分析，实现精益生产、精细管理、精准营销等业务能力提升，推广服务型生产、增值服务、共享经济等数据驱动的新模式新业态。（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13.</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加强中小企业数据资源供给与价值开发。鼓励龙头企业、平台企业向中小企业开放数据，有针对性地开展数据清洗标注、交易撮合、分析挖掘等工作，为中小企业提供专业普惠的数据服务。探索打造以可信数据空间、区块链等技术为支撑的数据流通利用基础设施，推动大中小企业间实现研发设计、设备状态、交易订单等高价值数据安全可信流通，拓宽中小企业数据获取渠道。（工业和信息化部牵头负责）支持中小企业开展数据资产价值评估，加强对中小企业数据资产依法依规入表的指导，加强数据资产管理，依法依规维护中小企业数据资产权益。（财政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楷体_GB2312" w:hAnsi="方正楷体_GB2312" w:eastAsia="方正楷体_GB2312" w:cs="方正楷体_GB2312"/>
          <w:i w:val="0"/>
          <w:iCs w:val="0"/>
          <w:caps w:val="0"/>
          <w:color w:val="070707"/>
          <w:spacing w:val="0"/>
          <w:sz w:val="32"/>
          <w:szCs w:val="32"/>
        </w:rPr>
      </w:pPr>
      <w:r>
        <w:rPr>
          <w:rFonts w:hint="eastAsia" w:ascii="方正楷体_GB2312" w:hAnsi="方正楷体_GB2312" w:eastAsia="方正楷体_GB2312" w:cs="方正楷体_GB2312"/>
          <w:i w:val="0"/>
          <w:iCs w:val="0"/>
          <w:caps w:val="0"/>
          <w:color w:val="070707"/>
          <w:spacing w:val="0"/>
          <w:sz w:val="32"/>
          <w:szCs w:val="32"/>
        </w:rPr>
        <w:t>（六）提升数字化转型供给质效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14.</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供需适配发展“小快轻准”产品。围绕细分行业数字化转型场景图谱，推动龙头企业联合工业软件企业开发数字化专用工具，培育一批“小快轻准”数字化产品和解决方案，形成供需图谱。推动工业软件、工业互联网平台企业等不同厂商提供开放接口，提升“小快轻准”数字化产品和解决方案的数据互联互通与跨平台互操作能力，增强产品易用性及开发便捷性。支持地方建设“小快轻准”资源池，通过线上宣传、线下体验等方式加快产品推广。（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15.</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培育壮大数字经济领域优质企业。推动龙头企业数字化团队对外输出服务，推进现有工业互联网平台与垂直行业深度融合，培育一批在特定行业、特定领域具有较深知识积累和优质服务能力的行业型服务商、场景型服务商。以数字化培育新动能，用新动能推动新发展，推动中小企业在5G、人工智能、工业软件、工业互联网平台等数字化领域加大创业创新力度，着力培育一批专精特新中小企业和“小巨人”企业。（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楷体_GB2312" w:hAnsi="方正楷体_GB2312" w:eastAsia="方正楷体_GB2312" w:cs="方正楷体_GB2312"/>
          <w:i w:val="0"/>
          <w:iCs w:val="0"/>
          <w:caps w:val="0"/>
          <w:color w:val="070707"/>
          <w:spacing w:val="0"/>
          <w:sz w:val="32"/>
          <w:szCs w:val="32"/>
        </w:rPr>
      </w:pPr>
      <w:r>
        <w:rPr>
          <w:rFonts w:hint="eastAsia" w:ascii="方正楷体_GB2312" w:hAnsi="方正楷体_GB2312" w:eastAsia="方正楷体_GB2312" w:cs="方正楷体_GB2312"/>
          <w:i w:val="0"/>
          <w:iCs w:val="0"/>
          <w:caps w:val="0"/>
          <w:color w:val="070707"/>
          <w:spacing w:val="0"/>
          <w:sz w:val="32"/>
          <w:szCs w:val="32"/>
        </w:rPr>
        <w:t>（七）提高数字化转型公共服务能力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16.</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构建中小企业数字化转型标准体系。组建中小企业数字化转型标准工作组，研制一批国家标准、行业标准。更新完善中小企业数字化水平评测指标，构建细分行业中小企业数字化水平评价体系。编制细分行业中小企业数字化转型实施指南，为中小企业改造实施提供专业指导。开展中小企业数字化转型标准验证、推广，强化中小企业与龙头企业的标准适配与信息共享，推动中小企业全面融入产业链供应链。（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17.</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完善中小企业数字化转型服务载体。基于优质中小企业梯度培育平台，完善全国中小企业数字化转型公共服务功能，打造满足行业共性需求和企业个性需求的工具箱、资源池、案例库。推进地方中小企业数字化转型服务平台与全国平台数据互通，提供转型咨询、诊断评估、应用推广等专业化服务。鼓励地方合规探索公益性服务和市场化运作相结合的公共服务载体运营机制。推动全国中小企业数字化转型服务平台与制造业数字化转型综合信息平台资源共享，凝聚工作合力，加强中小企业数字化转型公共服务供给。（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仿宋_GB2312" w:hAnsi="方正仿宋_GB2312" w:eastAsia="方正仿宋_GB2312" w:cs="方正仿宋_GB2312"/>
          <w:i w:val="0"/>
          <w:iCs w:val="0"/>
          <w:caps w:val="0"/>
          <w:color w:val="070707"/>
          <w:spacing w:val="0"/>
          <w:sz w:val="32"/>
          <w:szCs w:val="32"/>
        </w:rPr>
        <w:t>18.</w:t>
      </w:r>
      <w:r>
        <w:rPr>
          <w:rFonts w:hint="eastAsia" w:ascii="方正仿宋_GB2312" w:hAnsi="方正仿宋_GB2312" w:eastAsia="方正仿宋_GB2312" w:cs="方正仿宋_GB2312"/>
          <w:i w:val="0"/>
          <w:iCs w:val="0"/>
          <w:caps w:val="0"/>
          <w:color w:val="070707"/>
          <w:spacing w:val="0"/>
          <w:sz w:val="32"/>
          <w:szCs w:val="32"/>
          <w:lang w:val="en-US" w:eastAsia="zh-CN"/>
        </w:rPr>
        <w:t xml:space="preserve"> </w:t>
      </w:r>
      <w:r>
        <w:rPr>
          <w:rFonts w:hint="eastAsia" w:ascii="方正仿宋_GB2312" w:hAnsi="方正仿宋_GB2312" w:eastAsia="方正仿宋_GB2312" w:cs="方正仿宋_GB2312"/>
          <w:i w:val="0"/>
          <w:iCs w:val="0"/>
          <w:caps w:val="0"/>
          <w:color w:val="070707"/>
          <w:spacing w:val="0"/>
          <w:sz w:val="32"/>
          <w:szCs w:val="32"/>
        </w:rPr>
        <w:t>全面增强中小企业数据与网络安全防护能力。引导中小企业建立健全网络和数据安全管理制度，促进态势感知、工业防火墙、入侵检测系统等安全产品部署应用。支持中小企业开展网络和数据安全演练，提升中小企业网络风险防御和处置能力。鼓励中小企业通过购买网络安全保险等方式降低安全风险。（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黑体" w:hAnsi="黑体" w:eastAsia="黑体" w:cs="黑体"/>
          <w:i w:val="0"/>
          <w:iCs w:val="0"/>
          <w:caps w:val="0"/>
          <w:color w:val="070707"/>
          <w:spacing w:val="0"/>
          <w:sz w:val="32"/>
          <w:szCs w:val="32"/>
        </w:rPr>
      </w:pPr>
      <w:r>
        <w:rPr>
          <w:rFonts w:hint="eastAsia" w:ascii="黑体" w:hAnsi="黑体" w:eastAsia="黑体" w:cs="黑体"/>
          <w:i w:val="0"/>
          <w:iCs w:val="0"/>
          <w:caps w:val="0"/>
          <w:color w:val="070707"/>
          <w:spacing w:val="0"/>
          <w:sz w:val="32"/>
          <w:szCs w:val="32"/>
        </w:rPr>
        <w:t>三、保障措施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楷体_GB2312" w:hAnsi="方正楷体_GB2312" w:eastAsia="方正楷体_GB2312" w:cs="方正楷体_GB2312"/>
          <w:i w:val="0"/>
          <w:iCs w:val="0"/>
          <w:caps w:val="0"/>
          <w:color w:val="070707"/>
          <w:spacing w:val="0"/>
          <w:sz w:val="32"/>
          <w:szCs w:val="32"/>
        </w:rPr>
        <w:t>（一）强化组织保障。</w:t>
      </w:r>
      <w:r>
        <w:rPr>
          <w:rFonts w:hint="eastAsia" w:ascii="方正仿宋_GB2312" w:hAnsi="方正仿宋_GB2312" w:eastAsia="方正仿宋_GB2312" w:cs="方正仿宋_GB2312"/>
          <w:i w:val="0"/>
          <w:iCs w:val="0"/>
          <w:caps w:val="0"/>
          <w:color w:val="070707"/>
          <w:spacing w:val="0"/>
          <w:sz w:val="32"/>
          <w:szCs w:val="32"/>
        </w:rPr>
        <w:t>组织建立部省联动的中小企业数字化转型工作体系，加强横向跨部门资源调度与纵向跨层级工作协同。推动各地强化中小企业数字化转型推进力量，加强相关部门工作协同，明确重点工作组织分工，构建定期监测、指导、评估、培训、交流等长效工作机制。（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楷体_GB2312" w:hAnsi="方正楷体_GB2312" w:eastAsia="方正楷体_GB2312" w:cs="方正楷体_GB2312"/>
          <w:i w:val="0"/>
          <w:iCs w:val="0"/>
          <w:caps w:val="0"/>
          <w:color w:val="070707"/>
          <w:spacing w:val="0"/>
          <w:sz w:val="32"/>
          <w:szCs w:val="32"/>
        </w:rPr>
        <w:t>（二）加大资金支持。</w:t>
      </w:r>
      <w:r>
        <w:rPr>
          <w:rFonts w:hint="eastAsia" w:ascii="方正仿宋_GB2312" w:hAnsi="方正仿宋_GB2312" w:eastAsia="方正仿宋_GB2312" w:cs="方正仿宋_GB2312"/>
          <w:i w:val="0"/>
          <w:iCs w:val="0"/>
          <w:caps w:val="0"/>
          <w:color w:val="070707"/>
          <w:spacing w:val="0"/>
          <w:sz w:val="32"/>
          <w:szCs w:val="32"/>
        </w:rPr>
        <w:t>深入开展“一链一策一批”中小微企业融资促进行动，按照市场化原则满足中小企业数字化转型融资需求。支持有条件的地方针对中小企业数字化转型项目提供贴息支持，分行业常态化组织投融资对接活动。鼓励金融机构推出支持中小企业数字化转型的专门信贷产品，鼓励融资担保公司提供增信支持，深入实施科技创新和技术改造再贷款政策、设备更新贷款财政贴息政策，加大对中小企业技术改造和设备更新项目，特别是数字化转型的金融支持力度。（中国人民银行、金融监管总局、财政部、工业和信息化部按职责分工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楷体_GB2312" w:hAnsi="方正楷体_GB2312" w:eastAsia="方正楷体_GB2312" w:cs="方正楷体_GB2312"/>
          <w:i w:val="0"/>
          <w:iCs w:val="0"/>
          <w:caps w:val="0"/>
          <w:color w:val="070707"/>
          <w:spacing w:val="0"/>
          <w:sz w:val="32"/>
          <w:szCs w:val="32"/>
        </w:rPr>
        <w:t>（三）加强人才保障。</w:t>
      </w:r>
      <w:r>
        <w:rPr>
          <w:rFonts w:hint="eastAsia" w:ascii="方正仿宋_GB2312" w:hAnsi="方正仿宋_GB2312" w:eastAsia="方正仿宋_GB2312" w:cs="方正仿宋_GB2312"/>
          <w:i w:val="0"/>
          <w:iCs w:val="0"/>
          <w:caps w:val="0"/>
          <w:color w:val="070707"/>
          <w:spacing w:val="0"/>
          <w:sz w:val="32"/>
          <w:szCs w:val="32"/>
        </w:rPr>
        <w:t>利用中小企业服务“一张网”，面向不同行业、不同对象，分层分类提供培训课程资源，组织开展大规模数字化培训。开展数字化转型职业标准、人才标准开发与专业技术人员培养，为中小企业数字化提供专业人才支撑。依托“制造业人才支持计划”“国家卓越工程师实践基地”等加大中小企业数字化人才培育力度，壮大中小企业数字化转型人才队伍。（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i w:val="0"/>
          <w:iCs w:val="0"/>
          <w:sz w:val="32"/>
          <w:szCs w:val="32"/>
        </w:rPr>
      </w:pPr>
      <w:r>
        <w:rPr>
          <w:rFonts w:hint="eastAsia" w:ascii="方正楷体_GB2312" w:hAnsi="方正楷体_GB2312" w:eastAsia="方正楷体_GB2312" w:cs="方正楷体_GB2312"/>
          <w:i w:val="0"/>
          <w:iCs w:val="0"/>
          <w:caps w:val="0"/>
          <w:color w:val="070707"/>
          <w:spacing w:val="0"/>
          <w:sz w:val="32"/>
          <w:szCs w:val="32"/>
        </w:rPr>
        <w:t>（四）促进交流互鉴。</w:t>
      </w:r>
      <w:r>
        <w:rPr>
          <w:rFonts w:hint="eastAsia" w:ascii="方正仿宋_GB2312" w:hAnsi="方正仿宋_GB2312" w:eastAsia="方正仿宋_GB2312" w:cs="方正仿宋_GB2312"/>
          <w:i w:val="0"/>
          <w:iCs w:val="0"/>
          <w:caps w:val="0"/>
          <w:color w:val="070707"/>
          <w:spacing w:val="0"/>
          <w:sz w:val="32"/>
          <w:szCs w:val="32"/>
        </w:rPr>
        <w:t>常态化举办中小企业数字化转型现场交流活动，加强沟通合作。鼓励中小企业数字化转型试点城市开展对口协作，推动转型资源共享共用与典型经验复制推广。支持开展工业互联网平台赋能中小企业数字化转型试点城市行活动，促进工业互联网平台供给与中小企业数字化转型市场需求精准对接。加大舆论宣传引导。及时总结中小企业数字化转型工作经验，推广典型案例、典型模式、典型产品。（工业和信息化部牵头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20"/>
        <w:jc w:val="left"/>
        <w:textAlignment w:val="auto"/>
        <w:rPr>
          <w:rFonts w:hint="eastAsia" w:ascii="方正仿宋_GB2312" w:hAnsi="方正仿宋_GB2312" w:eastAsia="方正仿宋_GB2312" w:cs="方正仿宋_GB2312"/>
          <w:b w:val="0"/>
          <w:bCs/>
          <w:i w:val="0"/>
          <w:caps w:val="0"/>
          <w:color w:val="000000"/>
          <w:spacing w:val="0"/>
          <w:sz w:val="32"/>
          <w:szCs w:val="32"/>
        </w:rPr>
      </w:pPr>
      <w:r>
        <w:rPr>
          <w:rFonts w:hint="eastAsia" w:ascii="方正楷体_GB2312" w:hAnsi="方正楷体_GB2312" w:eastAsia="方正楷体_GB2312" w:cs="方正楷体_GB2312"/>
          <w:i w:val="0"/>
          <w:iCs w:val="0"/>
          <w:caps w:val="0"/>
          <w:color w:val="070707"/>
          <w:spacing w:val="0"/>
          <w:sz w:val="32"/>
          <w:szCs w:val="32"/>
        </w:rPr>
        <w:t>（五）深化国际合作。</w:t>
      </w:r>
      <w:r>
        <w:rPr>
          <w:rFonts w:hint="eastAsia" w:ascii="方正仿宋_GB2312" w:hAnsi="方正仿宋_GB2312" w:eastAsia="方正仿宋_GB2312" w:cs="方正仿宋_GB2312"/>
          <w:i w:val="0"/>
          <w:iCs w:val="0"/>
          <w:caps w:val="0"/>
          <w:color w:val="070707"/>
          <w:spacing w:val="0"/>
          <w:sz w:val="32"/>
          <w:szCs w:val="32"/>
        </w:rPr>
        <w:t>依托二十国集团、金砖国家等合作机制，用好亚太经合组织中小企业部长会议、中国国际中小企业博览会等平台，组织开展中小企业数字化转型国际交流合作活动，积极推动中小企业数字化转型优秀解决方案、产品服务、标准规范走出去。（工业和信息化部牵头负责）</w:t>
      </w:r>
    </w:p>
    <w:sectPr>
      <w:footerReference r:id="rId3" w:type="default"/>
      <w:footerReference r:id="rId4" w:type="even"/>
      <w:pgSz w:w="11900" w:h="16820"/>
      <w:pgMar w:top="2098" w:right="1474" w:bottom="1984" w:left="1587"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688E05-2A02-4B70-8AA5-6AAA0AB379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B32ED742-03CE-4697-80BC-70D02C8C533D}"/>
  </w:font>
  <w:font w:name="方正小标宋_GBK">
    <w:panose1 w:val="03000509000000000000"/>
    <w:charset w:val="86"/>
    <w:family w:val="auto"/>
    <w:pitch w:val="default"/>
    <w:sig w:usb0="00000001" w:usb1="080E0000" w:usb2="00000000" w:usb3="00000000" w:csb0="00040000" w:csb1="00000000"/>
    <w:embedRegular r:id="rId3" w:fontKey="{66590DE2-352E-4B20-B4CB-4669D2C0B79D}"/>
  </w:font>
  <w:font w:name="方正小标宋简体">
    <w:panose1 w:val="02000000000000000000"/>
    <w:charset w:val="86"/>
    <w:family w:val="auto"/>
    <w:pitch w:val="default"/>
    <w:sig w:usb0="00000000" w:usb1="00000000" w:usb2="00000000" w:usb3="00000000" w:csb0="00000000" w:csb1="00000000"/>
    <w:embedRegular r:id="rId4" w:fontKey="{55DB917D-97FD-4393-8C7E-6ECE5FACB67A}"/>
  </w:font>
  <w:font w:name="方正仿宋_GB2312">
    <w:panose1 w:val="02000000000000000000"/>
    <w:charset w:val="86"/>
    <w:family w:val="auto"/>
    <w:pitch w:val="default"/>
    <w:sig w:usb0="00000000" w:usb1="00000000" w:usb2="00000000" w:usb3="00000000" w:csb0="00000000" w:csb1="00000000"/>
    <w:embedRegular r:id="rId5" w:fontKey="{1B93DA22-A908-4B09-B758-0ED8A6C9781F}"/>
  </w:font>
  <w:font w:name="方正楷体_GB2312">
    <w:panose1 w:val="02000000000000000000"/>
    <w:charset w:val="86"/>
    <w:family w:val="auto"/>
    <w:pitch w:val="default"/>
    <w:sig w:usb0="00000000" w:usb1="00000000" w:usb2="00000000" w:usb3="00000000" w:csb0="00000000" w:csb1="00000000"/>
    <w:embedRegular r:id="rId6" w:fontKey="{40926D5F-7192-460E-8C01-683E888640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4972050</wp:posOffset>
              </wp:positionH>
              <wp:positionV relativeFrom="paragraph">
                <wp:posOffset>-657225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1.5pt;margin-top:-51.75pt;height:144pt;width:144pt;mso-position-horizontal-relative:margin;mso-wrap-style:none;z-index:251659264;mso-width-relative:page;mso-height-relative:page;" filled="f" stroked="f" coordsize="21600,21600" o:gfxdata="UEsDBAoAAAAAAIdO4kAAAAAAAAAAAAAAAAAEAAAAZHJzL1BLAwQUAAAACACHTuJAkbCVrdoAAAAN&#10;AQAADwAAAGRycy9kb3ducmV2LnhtbE2PwU7DMBBE70j8g7VI3Fo7pKVRGqcSFeGIRMOBoxsvSUps&#10;R7abhr9ne6K33Z3R7JtiN5uBTehD76yEZCmAoW2c7m0r4bOuFhmwEJXVanAWJfxigF15f1eoXLuL&#10;/cDpEFtGITbkSkIX45hzHpoOjQpLN6Il7dt5oyKtvuXaqwuFm4E/CfHMjeotfejUiPsOm5/D2UjY&#10;V3XtJwx++MK3Kj29v6zwdZby8SERW2AR5/hvhis+oUNJTEd3tjqwQcImS6lLlLBIRLoGdrWITUK3&#10;I03Zag28LPhti/IPUEsDBBQAAAAIAIdO4kDCPgGZFAIAABUEAAAOAAAAZHJzL2Uyb0RvYy54bWyt&#10;U8uO0zAU3SPxD5b3NGkRVVU1HZUZFSFVzEgFsXYdp4nkl2y3SfkA+ANWbNjzXf0Ojp2mg5hZITb2&#10;9X3fc48XN52S5Cicb4wu6HiUUyI0N2Wj9wX99HH9akaJD0yXTBotCnoSnt4sX75YtHYuJqY2shSO&#10;IIn289YWtA7BzrPM81oo5kfGCg1jZZxiAU+3z0rHWmRXMpvk+TRrjSutM1x4D+1db6TLlL+qBA/3&#10;VeVFILKg6C2k06VzF89suWDzvWO2bvilDfYPXSjWaBS9prpjgZGDa56kUg13xpsqjLhRmamqhos0&#10;A6YZ539Ns62ZFWkWgOPtFSb//9LyD8cHR5oSu5tSopnCjs7fv51//Dr//EqgA0Ct9XP4bS08Q/fW&#10;dHAe9B7KOHdXORVvTERgB9SnK7yiC4THoNlkNsth4rAND+TPHsOt8+GdMIpEoaAO+0uwsuPGh951&#10;cInVtFk3UqYdSk3agk5fv8lTwNWC5FKjRhyibzZKodt1l8l2pjxhMGd6bnjL1w2Kb5gPD8yBDGgY&#10;BA/3OCppUMRcJEpq4748p4/+2BGslLQgV0E12E+JfK+xu8jDQXCDsBsEfVC3Bmwd4+NYnkQEuCAH&#10;sXJGfQbrV7EGTExzVCpoGMTb0BMcv4aL1So5Haxr9nUfAOZZFjZ6a3ksE4H0dnUIADNhHAHqUbng&#10;Bu6lLV3+SST3n+/k9fibl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bCVrdoAAAANAQAADwAA&#10;AAAAAAABACAAAAAiAAAAZHJzL2Rvd25yZXYueG1sUEsBAhQAFAAAAAgAh07iQMI+AZkUAgAAFQQA&#10;AA4AAAAAAAAAAQAgAAAAKQEAAGRycy9lMm9Eb2MueG1sUEsFBgAAAAAGAAYAWQEAAK8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-647700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2</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5pt;margin-top:-51pt;height:144pt;width:144pt;mso-position-horizontal-relative:margin;mso-wrap-style:none;z-index:251660288;mso-width-relative:page;mso-height-relative:page;" filled="f" stroked="f" coordsize="21600,21600" o:gfxdata="UEsDBAoAAAAAAIdO4kAAAAAAAAAAAAAAAAAEAAAAZHJzL1BLAwQUAAAACACHTuJAw+sycdcAAAAL&#10;AQAADwAAAGRycy9kb3ducmV2LnhtbE2PzU7DMBCE70i8g7VI3Fo7AaIoxKlERTgi0XDg6MZLEvBP&#10;ZLtpeHu2JzitdufT7Ey9W61hC4Y4eSch2wpg6HqvJzdIeO/aTQksJuW0Mt6hhB+MsGuur2pVaX92&#10;b7gc0sDIxMVKSRhTmivOYz+iVXHrZ3SkffpgVaI1DFwHdSZza3guRMGtmhx9GNWM+xH778PJSti3&#10;XRcWjMF84Et79/X6dI/Pq5S3N5l4BJZwTX8wXOJTdGgo09GfnI7MSNhkD0RepsipFBF5WdDpSGhZ&#10;COBNzf93aH4B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rMnHXAAAACw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2</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05EFF"/>
    <w:rsid w:val="044C5842"/>
    <w:rsid w:val="059E7227"/>
    <w:rsid w:val="06DF0467"/>
    <w:rsid w:val="090A1980"/>
    <w:rsid w:val="17BE4C81"/>
    <w:rsid w:val="18A968BE"/>
    <w:rsid w:val="1A2E062A"/>
    <w:rsid w:val="20F05EFF"/>
    <w:rsid w:val="21BB15A3"/>
    <w:rsid w:val="25A4366A"/>
    <w:rsid w:val="39143CB2"/>
    <w:rsid w:val="3AA137E9"/>
    <w:rsid w:val="3D5763EA"/>
    <w:rsid w:val="48EA43E1"/>
    <w:rsid w:val="5B110B43"/>
    <w:rsid w:val="5E1515E9"/>
    <w:rsid w:val="6D04009E"/>
    <w:rsid w:val="6E076538"/>
    <w:rsid w:val="722D4DB2"/>
    <w:rsid w:val="76C613F9"/>
    <w:rsid w:val="77F40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5716</Words>
  <Characters>5794</Characters>
  <Lines>0</Lines>
  <Paragraphs>0</Paragraphs>
  <TotalTime>35</TotalTime>
  <ScaleCrop>false</ScaleCrop>
  <LinksUpToDate>false</LinksUpToDate>
  <CharactersWithSpaces>5799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2024-03-05T09:44:00Z</dcterms:created>
  <dc:creator>WPS_1560816518</dc:creator>
  <cp:lastModifiedBy> </cp:lastModifiedBy>
  <dcterms:modified xsi:type="dcterms:W3CDTF">2025-09-10T03:13:56Z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30ED72F437C54193AF6F76C2CC2B8A41_13</vt:lpwstr>
  </property>
</Properties>
</file>