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方正小标宋_GBK" w:cs="Times New Roman"/>
          <w:sz w:val="36"/>
          <w:szCs w:val="44"/>
          <w:lang w:val="en-US" w:eastAsia="zh-CN" w:bidi="ar-SA"/>
        </w:rPr>
        <w:id w:val="997088360"/>
        <w15:color w:val="DBDBDB"/>
        <w:docPartObj>
          <w:docPartGallery w:val="Table of Contents"/>
          <w:docPartUnique/>
        </w:docPartObj>
      </w:sdtPr>
      <w:sdtEndPr>
        <w:rPr>
          <w:rFonts w:hint="default" w:ascii="Times New Roman" w:hAnsi="Times New Roman" w:eastAsia="方正小标宋_GBK" w:cs="Times New Roman"/>
          <w:b/>
          <w:sz w:val="24"/>
          <w:szCs w:val="40"/>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36"/>
              <w:szCs w:val="44"/>
            </w:rPr>
            <w:t>目</w:t>
          </w:r>
          <w:r>
            <w:rPr>
              <w:rFonts w:hint="default" w:ascii="Times New Roman" w:hAnsi="Times New Roman" w:eastAsia="方正小标宋_GBK" w:cs="Times New Roman"/>
              <w:sz w:val="36"/>
              <w:szCs w:val="44"/>
              <w:lang w:val="en-US" w:eastAsia="zh-CN"/>
            </w:rPr>
            <w:t xml:space="preserve"> </w:t>
          </w:r>
          <w:r>
            <w:rPr>
              <w:rFonts w:hint="default" w:ascii="Times New Roman" w:hAnsi="Times New Roman" w:eastAsia="方正小标宋_GBK" w:cs="Times New Roman"/>
              <w:sz w:val="36"/>
              <w:szCs w:val="44"/>
            </w:rPr>
            <w:t>录</w:t>
          </w:r>
        </w:p>
        <w:p>
          <w:pPr>
            <w:pStyle w:val="31"/>
            <w:tabs>
              <w:tab w:val="right" w:leader="dot" w:pos="8315"/>
            </w:tabs>
            <w:rPr>
              <w:rFonts w:hint="eastAsia" w:ascii="方正仿宋_GBK" w:hAnsi="方正仿宋_GBK" w:eastAsia="方正仿宋_GBK" w:cs="方正仿宋_GBK"/>
              <w:b w:val="0"/>
              <w:bCs/>
            </w:rPr>
          </w:pPr>
          <w:r>
            <w:rPr>
              <w:rFonts w:hint="default" w:ascii="Times New Roman" w:hAnsi="Times New Roman" w:eastAsia="方正小标宋_GBK" w:cs="Times New Roman"/>
              <w:b/>
              <w:sz w:val="28"/>
              <w:szCs w:val="40"/>
              <w:lang w:val="en-US" w:eastAsia="zh-CN" w:bidi="ar-SA"/>
            </w:rPr>
            <w:fldChar w:fldCharType="begin"/>
          </w:r>
          <w:r>
            <w:rPr>
              <w:rFonts w:hint="default" w:ascii="Times New Roman" w:hAnsi="Times New Roman" w:eastAsia="方正小标宋_GBK" w:cs="Times New Roman"/>
              <w:b/>
              <w:sz w:val="28"/>
              <w:szCs w:val="40"/>
              <w:lang w:val="en-US" w:eastAsia="zh-CN" w:bidi="ar-SA"/>
            </w:rPr>
            <w:instrText xml:space="preserve">TOC \o "1-2" \h \u </w:instrText>
          </w:r>
          <w:r>
            <w:rPr>
              <w:rFonts w:hint="default" w:ascii="Times New Roman" w:hAnsi="Times New Roman" w:eastAsia="方正小标宋_GBK" w:cs="Times New Roman"/>
              <w:b/>
              <w:sz w:val="28"/>
              <w:szCs w:val="40"/>
              <w:lang w:val="en-US" w:eastAsia="zh-CN" w:bidi="ar-SA"/>
            </w:rPr>
            <w:fldChar w:fldCharType="separate"/>
          </w:r>
          <w:r>
            <w:rPr>
              <w:rFonts w:hint="eastAsia" w:ascii="方正黑体_GBK" w:hAnsi="方正黑体_GBK" w:eastAsia="方正黑体_GBK" w:cs="方正黑体_GBK"/>
              <w:b w:val="0"/>
              <w:bCs/>
              <w:szCs w:val="40"/>
              <w:lang w:val="en-US" w:eastAsia="zh-CN" w:bidi="ar-SA"/>
            </w:rPr>
            <w:fldChar w:fldCharType="begin"/>
          </w:r>
          <w:r>
            <w:rPr>
              <w:rFonts w:hint="eastAsia" w:ascii="方正黑体_GBK" w:hAnsi="方正黑体_GBK" w:eastAsia="方正黑体_GBK" w:cs="方正黑体_GBK"/>
              <w:b w:val="0"/>
              <w:bCs/>
              <w:szCs w:val="40"/>
              <w:lang w:val="en-US" w:eastAsia="zh-CN" w:bidi="ar-SA"/>
            </w:rPr>
            <w:instrText xml:space="preserve"> HYPERLINK \l _Toc1154886264 </w:instrText>
          </w:r>
          <w:r>
            <w:rPr>
              <w:rFonts w:hint="eastAsia" w:ascii="方正黑体_GBK" w:hAnsi="方正黑体_GBK" w:eastAsia="方正黑体_GBK" w:cs="方正黑体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rPr>
            <w:t>一、</w:t>
          </w:r>
          <w:r>
            <w:rPr>
              <w:rFonts w:hint="eastAsia" w:ascii="方正黑体_GBK" w:hAnsi="方正黑体_GBK" w:eastAsia="方正黑体_GBK" w:cs="方正黑体_GBK"/>
              <w:b w:val="0"/>
              <w:bCs/>
              <w:szCs w:val="32"/>
              <w:shd w:val="clear" w:color="auto" w:fill="FFFFFF"/>
              <w:lang w:eastAsia="zh-CN"/>
            </w:rPr>
            <w:t>单位</w:t>
          </w:r>
          <w:r>
            <w:rPr>
              <w:rFonts w:hint="eastAsia" w:ascii="方正黑体_GBK" w:hAnsi="方正黑体_GBK" w:eastAsia="方正黑体_GBK" w:cs="方正黑体_GBK"/>
              <w:b w:val="0"/>
              <w:bCs/>
              <w:szCs w:val="32"/>
              <w:shd w:val="clear" w:color="auto" w:fill="FFFFFF"/>
            </w:rPr>
            <w:t>基本情况</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_Toc1154886264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_Toc1381698933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（一）职能职责</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_Toc1381698933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_Toc2091053104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（二）机构设置</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_Toc2091053104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_Toc1367719815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rPr>
            <w:t>二、</w:t>
          </w:r>
          <w:r>
            <w:rPr>
              <w:rFonts w:hint="eastAsia" w:ascii="方正黑体_GBK" w:hAnsi="方正黑体_GBK" w:eastAsia="方正黑体_GBK" w:cs="方正黑体_GBK"/>
              <w:b w:val="0"/>
              <w:bCs/>
              <w:szCs w:val="32"/>
              <w:shd w:val="clear" w:color="auto" w:fill="FFFFFF"/>
              <w:lang w:eastAsia="zh-CN"/>
            </w:rPr>
            <w:t>单位</w:t>
          </w:r>
          <w:r>
            <w:rPr>
              <w:rFonts w:hint="eastAsia" w:ascii="方正黑体_GBK" w:hAnsi="方正黑体_GBK" w:eastAsia="方正黑体_GBK" w:cs="方正黑体_GBK"/>
              <w:b w:val="0"/>
              <w:bCs/>
              <w:szCs w:val="32"/>
              <w:shd w:val="clear" w:color="auto" w:fill="FFFFFF"/>
            </w:rPr>
            <w:t>决算</w:t>
          </w:r>
          <w:r>
            <w:rPr>
              <w:rFonts w:hint="eastAsia" w:ascii="方正黑体_GBK" w:hAnsi="方正黑体_GBK" w:eastAsia="方正黑体_GBK" w:cs="方正黑体_GBK"/>
              <w:b w:val="0"/>
              <w:bCs/>
              <w:szCs w:val="32"/>
              <w:shd w:val="clear" w:color="auto" w:fill="FFFFFF"/>
              <w:lang w:eastAsia="zh-CN"/>
            </w:rPr>
            <w:t>收支</w:t>
          </w:r>
          <w:r>
            <w:rPr>
              <w:rFonts w:hint="eastAsia" w:ascii="方正黑体_GBK" w:hAnsi="方正黑体_GBK" w:eastAsia="方正黑体_GBK" w:cs="方正黑体_GBK"/>
              <w:b w:val="0"/>
              <w:bCs/>
              <w:szCs w:val="32"/>
              <w:shd w:val="clear" w:color="auto" w:fill="FFFFFF"/>
            </w:rPr>
            <w:t>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_Toc1367719815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_Toc2020160703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（一）收入支出决算总体情况说明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_Toc2020160703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_Toc222751398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（二）财政拨款收入支出决算总体情况说明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_Toc222751398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_Toc2037893885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（三）一般公共预算财政拨款收入支出决算情况说明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_Toc2037893885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_Toc1260595914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（四）一般公共预算财政拨款基本支出决算情况说明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_Toc1260595914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_Toc1375915745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（五）政府性基金预算收支决算情况说明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_Toc1375915745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_Toc955866922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（六）国有资本经营预算财政拨款支出决算情况说明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_Toc955866922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_Toc1720439326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rPr>
            <w:t>三、</w:t>
          </w:r>
          <w:r>
            <w:rPr>
              <w:rFonts w:hint="eastAsia" w:ascii="方正黑体_GBK" w:hAnsi="方正黑体_GBK" w:eastAsia="方正黑体_GBK" w:cs="方正黑体_GBK"/>
              <w:b w:val="0"/>
              <w:bCs/>
              <w:szCs w:val="32"/>
              <w:shd w:val="clear" w:color="auto" w:fill="FFFFFF"/>
              <w:lang w:eastAsia="zh-CN"/>
            </w:rPr>
            <w:t>财政拨款</w:t>
          </w:r>
          <w:r>
            <w:rPr>
              <w:rFonts w:hint="eastAsia" w:ascii="方正黑体_GBK" w:hAnsi="方正黑体_GBK" w:eastAsia="方正黑体_GBK" w:cs="方正黑体_GBK"/>
              <w:b w:val="0"/>
              <w:bCs/>
              <w:szCs w:val="32"/>
              <w:shd w:val="clear" w:color="auto" w:fill="FFFFFF"/>
            </w:rPr>
            <w:t>“三公”经费情况说明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_Toc1720439326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_Toc652379078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lang w:eastAsia="zh-CN"/>
            </w:rPr>
            <w:t>（一）“三公”经费支出总体情况说明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_Toc652379078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_Toc2065796574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lang w:eastAsia="zh-CN"/>
            </w:rPr>
            <w:t>（二）“三公”经费分项支出情况</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_Toc2065796574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_Toc1519005030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lang w:eastAsia="zh-CN"/>
            </w:rPr>
            <w:t>（三）“三公”经费实物量情况</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_Toc1519005030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_Toc1208761026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rPr>
            <w:t>四、其他需要说明的事项</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_Toc1208761026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_Toc2056367209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（一）财政拨款会议费、培训费和差旅费情况说明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_Toc2056367209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_Toc1407112951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（二）机关运行经费情况说明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_Toc1407112951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_Toc293613936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（三）国有资产占用情况说明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_Toc293613936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_Toc1158002178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（四）政府采购支出情况说明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_Toc1158002178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_Toc244049842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rPr>
            <w:t>五、</w:t>
          </w:r>
          <w:r>
            <w:rPr>
              <w:rFonts w:hint="eastAsia" w:ascii="方正黑体_GBK" w:hAnsi="方正黑体_GBK" w:eastAsia="方正黑体_GBK" w:cs="方正黑体_GBK"/>
              <w:b w:val="0"/>
              <w:bCs/>
              <w:szCs w:val="32"/>
              <w:shd w:val="clear" w:color="auto" w:fill="FFFFFF"/>
              <w:lang w:val="en-US" w:eastAsia="zh-CN" w:bidi="ar-SA"/>
            </w:rPr>
            <w:t>2024年度绩效情况说明</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_Toc244049842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_Toc1483835605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（一）单位自评情况</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_Toc1483835605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_Toc1271516789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（二）绩效自评结果</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_Toc1271516789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2"/>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_Toc1312269782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shd w:val="clear" w:color="auto" w:fill="FFFFFF"/>
            </w:rPr>
            <w:t>（三）重点绩效评价结果</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_Toc1312269782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_Toc1618423703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lang w:eastAsia="zh-CN"/>
            </w:rPr>
            <w:t>六</w:t>
          </w:r>
          <w:r>
            <w:rPr>
              <w:rFonts w:hint="eastAsia" w:ascii="方正黑体_GBK" w:hAnsi="方正黑体_GBK" w:eastAsia="方正黑体_GBK" w:cs="方正黑体_GBK"/>
              <w:b w:val="0"/>
              <w:bCs/>
              <w:szCs w:val="32"/>
              <w:shd w:val="clear" w:color="auto" w:fill="FFFFFF"/>
            </w:rPr>
            <w:t>、专业名词解释</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_Toc1618423703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_Toc1222261270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黑体_GBK" w:hAnsi="方正黑体_GBK" w:eastAsia="方正黑体_GBK" w:cs="方正黑体_GBK"/>
              <w:b w:val="0"/>
              <w:bCs/>
              <w:szCs w:val="32"/>
              <w:shd w:val="clear" w:color="auto" w:fill="FFFFFF"/>
              <w:lang w:eastAsia="zh-CN"/>
            </w:rPr>
            <w:t>七</w:t>
          </w:r>
          <w:r>
            <w:rPr>
              <w:rFonts w:hint="eastAsia" w:ascii="方正黑体_GBK" w:hAnsi="方正黑体_GBK" w:eastAsia="方正黑体_GBK" w:cs="方正黑体_GBK"/>
              <w:b w:val="0"/>
              <w:bCs/>
              <w:szCs w:val="32"/>
              <w:shd w:val="clear" w:color="auto" w:fill="FFFFFF"/>
            </w:rPr>
            <w:t>、决算公开联系方式及信息反馈渠道</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_Toc1222261270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- 10 -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_Toc260320929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收入支出决算总表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_Toc260320929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- 11 -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_Toc277382065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收入决算表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_Toc277382065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_Toc440233365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_Toc440233365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_Toc2062654129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财政拨款收入支出决算总表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_Toc2062654129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_Toc1330449573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一般公共预算财政拨款支出决算表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_Toc1330449573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_Toc1774225787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一般公共预算财政拨款基本支出决算表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_Toc1774225787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_Toc1070056746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政府性基金预算财政拨款收入支出决算表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_Toc1070056746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_Toc564664858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国有资本经营预算财政拨款支出决算表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_Toc564664858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- 18 -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_Toc1717795243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32"/>
            </w:rPr>
            <w:t>机构运行信息表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_Toc1717795243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- 19 -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_Toc290292913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lang w:val="en-US" w:eastAsia="zh-CN"/>
            </w:rPr>
            <w:t>2024年度部门整体绩效自评表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_Toc290292913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- 20 -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_Toc437341913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lang w:val="en-US" w:eastAsia="zh-CN"/>
            </w:rPr>
            <w:t>2024年度项目绩效自评表1</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_Toc437341913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- 21 -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_Toc1940546641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lang w:val="en-US" w:eastAsia="zh-CN"/>
            </w:rPr>
            <w:t>2024年度项目绩效自评表2</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_Toc1940546641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_Toc180703150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i w:val="0"/>
              <w:iCs w:val="0"/>
              <w:kern w:val="0"/>
              <w:szCs w:val="40"/>
              <w:lang w:val="en-US" w:eastAsia="zh-CN" w:bidi="ar"/>
            </w:rPr>
            <w:t>2024年度项目绩效自评表3</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_Toc180703150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31"/>
            <w:tabs>
              <w:tab w:val="right" w:leader="dot" w:pos="8315"/>
            </w:tabs>
            <w:rPr>
              <w:rFonts w:hint="default" w:ascii="Times New Roman" w:hAnsi="Times New Roman" w:eastAsia="方正仿宋_GBK" w:cs="Times New Roman"/>
              <w:b/>
            </w:rPr>
          </w:pPr>
          <w:r>
            <w:rPr>
              <w:rFonts w:hint="eastAsia" w:ascii="方正仿宋_GBK" w:hAnsi="方正仿宋_GBK" w:eastAsia="方正仿宋_GBK" w:cs="方正仿宋_GBK"/>
              <w:b w:val="0"/>
              <w:bCs/>
              <w:szCs w:val="40"/>
              <w:lang w:val="en-US" w:eastAsia="zh-CN" w:bidi="ar-SA"/>
            </w:rPr>
            <w:fldChar w:fldCharType="begin"/>
          </w:r>
          <w:r>
            <w:rPr>
              <w:rFonts w:hint="eastAsia" w:ascii="方正仿宋_GBK" w:hAnsi="方正仿宋_GBK" w:eastAsia="方正仿宋_GBK" w:cs="方正仿宋_GBK"/>
              <w:b w:val="0"/>
              <w:bCs/>
              <w:szCs w:val="40"/>
              <w:lang w:val="en-US" w:eastAsia="zh-CN" w:bidi="ar-SA"/>
            </w:rPr>
            <w:instrText xml:space="preserve"> HYPERLINK \l _Toc1697937827 </w:instrText>
          </w:r>
          <w:r>
            <w:rPr>
              <w:rFonts w:hint="eastAsia" w:ascii="方正仿宋_GBK" w:hAnsi="方正仿宋_GBK" w:eastAsia="方正仿宋_GBK" w:cs="方正仿宋_GBK"/>
              <w:b w:val="0"/>
              <w:bCs/>
              <w:szCs w:val="40"/>
              <w:lang w:val="en-US" w:eastAsia="zh-CN" w:bidi="ar-SA"/>
            </w:rPr>
            <w:fldChar w:fldCharType="separate"/>
          </w:r>
          <w:r>
            <w:rPr>
              <w:rFonts w:hint="eastAsia" w:ascii="方正仿宋_GBK" w:hAnsi="方正仿宋_GBK" w:eastAsia="方正仿宋_GBK" w:cs="方正仿宋_GBK"/>
              <w:b w:val="0"/>
              <w:bCs/>
              <w:szCs w:val="21"/>
              <w:lang w:val="en-US" w:eastAsia="zh-CN"/>
            </w:rPr>
            <w:t>永川高新区数字化服务中心项目绩效自评结果汇总表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_Toc1697937827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szCs w:val="40"/>
              <w:lang w:val="en-US" w:eastAsia="zh-CN" w:bidi="ar-SA"/>
            </w:rPr>
            <w:fldChar w:fldCharType="end"/>
          </w:r>
        </w:p>
        <w:p>
          <w:pPr>
            <w:pStyle w:val="9"/>
            <w:spacing w:before="0" w:beforeAutospacing="0"/>
            <w:jc w:val="center"/>
            <w:rPr>
              <w:rFonts w:hint="default" w:ascii="Times New Roman" w:hAnsi="Times New Roman" w:eastAsia="方正小标宋_GBK" w:cs="Times New Roman"/>
              <w:b/>
              <w:sz w:val="24"/>
              <w:szCs w:val="40"/>
              <w:lang w:val="en-US" w:eastAsia="zh-CN" w:bidi="ar-SA"/>
            </w:rPr>
          </w:pPr>
          <w:r>
            <w:rPr>
              <w:rFonts w:hint="default" w:ascii="Times New Roman" w:hAnsi="Times New Roman" w:eastAsia="方正小标宋_GBK" w:cs="Times New Roman"/>
              <w:b/>
              <w:szCs w:val="40"/>
              <w:lang w:val="en-US" w:eastAsia="zh-CN" w:bidi="ar-SA"/>
            </w:rPr>
            <w:fldChar w:fldCharType="end"/>
          </w:r>
        </w:p>
      </w:sdtContent>
    </w:sdt>
    <w:p>
      <w:pPr>
        <w:pStyle w:val="9"/>
        <w:spacing w:before="0" w:beforeAutospacing="0"/>
        <w:jc w:val="center"/>
        <w:rPr>
          <w:rFonts w:hint="default" w:ascii="Times New Roman" w:hAnsi="Times New Roman" w:eastAsia="方正小标宋_GBK" w:cs="Times New Roman"/>
          <w:b/>
          <w:sz w:val="24"/>
          <w:szCs w:val="40"/>
          <w:lang w:val="en-US" w:eastAsia="zh-CN" w:bidi="ar-SA"/>
        </w:rPr>
      </w:pP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outlineLvl w:val="0"/>
        <w:rPr>
          <w:rFonts w:hint="eastAsia" w:ascii="方正小标宋_GBK" w:hAnsi="方正小标宋_GBK" w:eastAsia="方正小标宋_GBK" w:cs="方正小标宋_GBK"/>
          <w:sz w:val="44"/>
          <w:szCs w:val="44"/>
        </w:rPr>
      </w:pPr>
      <w:bookmarkStart w:id="0" w:name="_Toc1053067508"/>
      <w:r>
        <w:rPr>
          <w:rFonts w:hint="eastAsia" w:ascii="方正小标宋_GBK" w:hAnsi="方正小标宋_GBK" w:eastAsia="方正小标宋_GBK" w:cs="方正小标宋_GBK"/>
          <w:sz w:val="44"/>
          <w:szCs w:val="44"/>
        </w:rPr>
        <w:t>永川高新区数字化服务中心</w:t>
      </w:r>
      <w:bookmarkEnd w:id="0"/>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outlineLvl w:val="0"/>
        <w:rPr>
          <w:rFonts w:hint="eastAsia" w:ascii="方正黑体_GBK" w:hAnsi="方正黑体_GBK" w:eastAsia="方正黑体_GBK" w:cs="方正黑体_GBK"/>
          <w:sz w:val="44"/>
          <w:szCs w:val="44"/>
          <w:shd w:val="clear" w:color="auto" w:fill="FFFFFF"/>
        </w:rPr>
      </w:pPr>
      <w:bookmarkStart w:id="1" w:name="_Toc1333992422"/>
      <w:r>
        <w:rPr>
          <w:rFonts w:hint="eastAsia" w:ascii="方正小标宋_GBK" w:hAnsi="方正小标宋_GBK" w:eastAsia="方正小标宋_GBK" w:cs="方正小标宋_GBK"/>
          <w:sz w:val="44"/>
          <w:szCs w:val="44"/>
          <w:shd w:val="clear" w:color="auto" w:fill="FFFFFF"/>
        </w:rPr>
        <w:t>2024年度决算公开说明</w:t>
      </w:r>
      <w:bookmarkEnd w:id="1"/>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2" w:name="_Toc1154886264"/>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bookmarkEnd w:id="2"/>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eastAsia" w:ascii="方正楷体_GBK" w:hAnsi="方正楷体_GBK" w:eastAsia="方正楷体_GBK" w:cs="方正楷体_GBK"/>
          <w:b w:val="0"/>
          <w:bCs/>
          <w:sz w:val="32"/>
          <w:szCs w:val="32"/>
        </w:rPr>
      </w:pPr>
      <w:bookmarkStart w:id="3" w:name="_Toc1381698933"/>
      <w:r>
        <w:rPr>
          <w:rStyle w:val="13"/>
          <w:rFonts w:hint="eastAsia" w:ascii="方正楷体_GBK" w:hAnsi="方正楷体_GBK" w:eastAsia="方正楷体_GBK" w:cs="方正楷体_GBK"/>
          <w:b w:val="0"/>
          <w:bCs/>
          <w:sz w:val="32"/>
          <w:szCs w:val="32"/>
          <w:shd w:val="clear" w:color="auto" w:fill="FFFFFF"/>
        </w:rPr>
        <w:t>（一）职能职责</w:t>
      </w:r>
      <w:bookmarkEnd w:id="3"/>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rPr>
      </w:pPr>
      <w:r>
        <w:rPr>
          <w:rFonts w:hint="eastAsia" w:ascii="方正仿宋_GBK" w:hAnsi="方正仿宋_GBK" w:eastAsia="方正仿宋_GBK" w:cs="方正仿宋_GBK"/>
          <w:sz w:val="32"/>
        </w:rPr>
        <w:t>协助企业办理各项手续；协助企业综合协调有关部门；组织企业参加各项活动；落实招商引资政策及奖励办法；企业统计服务；协助企业解决问题和困难等。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eastAsia" w:ascii="方正楷体_GBK" w:hAnsi="方正楷体_GBK" w:eastAsia="方正楷体_GBK" w:cs="方正楷体_GBK"/>
          <w:b w:val="0"/>
          <w:bCs/>
          <w:sz w:val="32"/>
          <w:szCs w:val="32"/>
        </w:rPr>
      </w:pPr>
      <w:bookmarkStart w:id="4" w:name="_Toc2091053104"/>
      <w:r>
        <w:rPr>
          <w:rStyle w:val="13"/>
          <w:rFonts w:hint="eastAsia" w:ascii="方正楷体_GBK" w:hAnsi="方正楷体_GBK" w:eastAsia="方正楷体_GBK" w:cs="方正楷体_GBK"/>
          <w:b w:val="0"/>
          <w:bCs/>
          <w:sz w:val="32"/>
          <w:szCs w:val="32"/>
          <w:shd w:val="clear" w:color="auto" w:fill="FFFFFF"/>
        </w:rPr>
        <w:t>（二）机构设置</w:t>
      </w:r>
      <w:bookmarkEnd w:id="4"/>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根据永编委〔20</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210</w:t>
      </w:r>
      <w:r>
        <w:rPr>
          <w:rFonts w:hint="eastAsia" w:ascii="方正仿宋_GBK" w:hAnsi="方正仿宋_GBK" w:eastAsia="方正仿宋_GBK" w:cs="方正仿宋_GBK"/>
          <w:sz w:val="32"/>
          <w:szCs w:val="32"/>
        </w:rPr>
        <w:t>号文件精神，本单位为永川高新</w:t>
      </w:r>
      <w:r>
        <w:rPr>
          <w:rFonts w:hint="eastAsia" w:ascii="方正仿宋_GBK" w:hAnsi="方正仿宋_GBK" w:eastAsia="方正仿宋_GBK" w:cs="方正仿宋_GBK"/>
          <w:sz w:val="32"/>
          <w:szCs w:val="32"/>
          <w:lang w:eastAsia="zh-CN"/>
        </w:rPr>
        <w:t>技术产业开发区管理委员会</w:t>
      </w:r>
      <w:r>
        <w:rPr>
          <w:rFonts w:hint="eastAsia" w:ascii="方正仿宋_GBK" w:hAnsi="方正仿宋_GBK" w:eastAsia="方正仿宋_GBK" w:cs="方正仿宋_GBK"/>
          <w:sz w:val="32"/>
          <w:szCs w:val="32"/>
        </w:rPr>
        <w:t>下属事业单位，机构规格为正科级，机构类别为公益二类，经费形式为财政全额拨款。</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5" w:name="_Toc1367719815"/>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bookmarkEnd w:id="5"/>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6" w:name="_Toc2020160703"/>
      <w:r>
        <w:rPr>
          <w:rFonts w:hint="eastAsia" w:ascii="方正楷体_GBK" w:hAnsi="方正楷体_GBK" w:eastAsia="方正楷体_GBK" w:cs="方正楷体_GBK"/>
          <w:b w:val="0"/>
          <w:bCs w:val="0"/>
          <w:sz w:val="32"/>
          <w:szCs w:val="32"/>
          <w:shd w:val="clear" w:color="auto" w:fill="FFFFFF"/>
        </w:rPr>
        <w:t>（一）收入支出决算总体情况说明</w:t>
      </w:r>
      <w:bookmarkEnd w:id="6"/>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93.92万元。收、支与2023年度相比，增加22.35万元，增长31.23%，主要原因是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r>
        <w:rPr>
          <w:rFonts w:hint="eastAsia" w:ascii="方正仿宋_GBK" w:hAnsi="方正仿宋_GBK" w:eastAsia="方正仿宋_GBK" w:cs="方正仿宋_GBK"/>
          <w:sz w:val="32"/>
          <w:szCs w:val="32"/>
          <w:shd w:val="clear" w:color="auto" w:fill="FFFFFF"/>
          <w:lang w:val="en-US" w:eastAsia="zh-CN"/>
        </w:rPr>
        <w:t>一般公共预算</w:t>
      </w:r>
      <w:r>
        <w:rPr>
          <w:rFonts w:hint="eastAsia" w:ascii="方正仿宋_GBK" w:hAnsi="方正仿宋_GBK" w:eastAsia="方正仿宋_GBK" w:cs="方正仿宋_GBK"/>
          <w:sz w:val="32"/>
          <w:szCs w:val="32"/>
          <w:lang w:val="en-US" w:eastAsia="zh-CN"/>
        </w:rPr>
        <w:t>财政拨款收入增加</w:t>
      </w:r>
      <w:r>
        <w:rPr>
          <w:rFonts w:hint="eastAsia" w:ascii="方正仿宋_GBK" w:hAnsi="方正仿宋_GBK" w:eastAsia="方正仿宋_GBK" w:cs="方正仿宋_GBK"/>
          <w:color w:val="auto"/>
          <w:sz w:val="32"/>
          <w:szCs w:val="32"/>
          <w:shd w:val="clear" w:color="auto" w:fill="FFFFFF"/>
          <w:lang w:val="en-US"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lang w:val="en-US" w:eastAsia="zh-CN"/>
        </w:rPr>
        <w:t>1</w:t>
      </w:r>
      <w:r>
        <w:rPr>
          <w:rStyle w:val="13"/>
          <w:rFonts w:hint="eastAsia" w:ascii="方正仿宋_GBK" w:hAnsi="方正仿宋_GBK" w:eastAsia="方正仿宋_GBK" w:cs="方正仿宋_GBK"/>
          <w:b w:val="0"/>
          <w:bCs/>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2024年度收入合计93.92万元，与2023年度相比，增加22.35万元，增长31.23%，主要原因是</w:t>
      </w:r>
      <w:r>
        <w:rPr>
          <w:rFonts w:hint="eastAsia" w:ascii="方正仿宋_GBK" w:hAnsi="方正仿宋_GBK" w:eastAsia="方正仿宋_GBK" w:cs="方正仿宋_GBK"/>
          <w:sz w:val="32"/>
          <w:szCs w:val="32"/>
          <w:shd w:val="clear" w:color="auto" w:fill="FFFFFF"/>
          <w:lang w:val="en-US" w:eastAsia="zh-CN"/>
        </w:rPr>
        <w:t>一般公共预算</w:t>
      </w:r>
      <w:r>
        <w:rPr>
          <w:rFonts w:hint="eastAsia" w:ascii="方正仿宋_GBK" w:hAnsi="方正仿宋_GBK" w:eastAsia="方正仿宋_GBK" w:cs="方正仿宋_GBK"/>
          <w:sz w:val="32"/>
          <w:szCs w:val="32"/>
          <w:lang w:val="en-US" w:eastAsia="zh-CN"/>
        </w:rPr>
        <w:t>财政拨款收入增加</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其中：财政拨款收入93.92万元，占100.00%。此外，使用非财政拨款结余和专用结余0.00万元，年初结转和结余0.00万元。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lang w:val="en-US" w:eastAsia="zh-CN"/>
        </w:rPr>
        <w:t>2</w:t>
      </w:r>
      <w:r>
        <w:rPr>
          <w:rStyle w:val="13"/>
          <w:rFonts w:hint="eastAsia" w:ascii="方正仿宋_GBK" w:hAnsi="方正仿宋_GBK" w:eastAsia="方正仿宋_GBK" w:cs="方正仿宋_GBK"/>
          <w:b w:val="0"/>
          <w:bCs/>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2024年度支出合计93.92万元，与2023年度相比，增加22.35万元，增长31.23%，主要原因是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基本支出93.92万元，占100.00%。此外，结余分配0.00万元。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仿宋_GBK" w:hAnsi="方正仿宋_GBK" w:eastAsia="方正仿宋_GBK" w:cs="方正仿宋_GBK"/>
          <w:b w:val="0"/>
          <w:bCs/>
          <w:sz w:val="32"/>
          <w:szCs w:val="32"/>
          <w:shd w:val="clear" w:color="auto" w:fill="FFFFFF"/>
          <w:lang w:val="en-US" w:eastAsia="zh-CN"/>
        </w:rPr>
        <w:t>3</w:t>
      </w:r>
      <w:r>
        <w:rPr>
          <w:rStyle w:val="13"/>
          <w:rFonts w:hint="eastAsia" w:ascii="方正仿宋_GBK" w:hAnsi="方正仿宋_GBK" w:eastAsia="方正仿宋_GBK" w:cs="方正仿宋_GBK"/>
          <w:b w:val="0"/>
          <w:bCs/>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与上年持平。</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7" w:name="_Toc222751398"/>
      <w:r>
        <w:rPr>
          <w:rFonts w:hint="eastAsia" w:ascii="方正楷体_GBK" w:hAnsi="方正楷体_GBK" w:eastAsia="方正楷体_GBK" w:cs="方正楷体_GBK"/>
          <w:b w:val="0"/>
          <w:bCs w:val="0"/>
          <w:sz w:val="32"/>
          <w:szCs w:val="32"/>
          <w:shd w:val="clear" w:color="auto" w:fill="FFFFFF"/>
        </w:rPr>
        <w:t>（二）财政拨款收入支出决算总体情况说明</w:t>
      </w:r>
      <w:bookmarkEnd w:id="7"/>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eastAsia" w:ascii="方正仿宋_GBK" w:hAnsi="方正仿宋_GBK" w:eastAsia="方正仿宋_GBK" w:cs="方正仿宋_GBK"/>
          <w:sz w:val="32"/>
          <w:szCs w:val="32"/>
          <w:shd w:val="clear" w:color="auto" w:fill="FFFFFF"/>
        </w:rPr>
        <w:t>2024年度财政拨款收、支总计均为93.92万元。与2023年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相比，财政拨款收、支总计各增加22.35万元，增长31.23%。主要原因是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8" w:name="_Toc2037893885"/>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bookmarkEnd w:id="8"/>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2024年度一般公共预算财政拨款收入93.92万元，与2023年度相比，增加22.35万元，增长31.23%。主要原因是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r>
        <w:rPr>
          <w:rFonts w:hint="eastAsia" w:ascii="方正仿宋_GBK" w:hAnsi="方正仿宋_GBK" w:eastAsia="方正仿宋_GBK" w:cs="方正仿宋_GBK"/>
          <w:sz w:val="32"/>
          <w:szCs w:val="32"/>
          <w:shd w:val="clear" w:color="auto" w:fill="FFFFFF"/>
        </w:rPr>
        <w:t>较年初预算数增加13.85万元，增长17.30%。主要原因是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r>
        <w:rPr>
          <w:rFonts w:hint="eastAsia" w:ascii="方正仿宋_GBK" w:hAnsi="方正仿宋_GBK" w:eastAsia="方正仿宋_GBK" w:cs="方正仿宋_GBK"/>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2024年度一般公共预算财政拨款支出93.92万元，与2023年度相比，增加22.35万元，增长31.23%。主要原因是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r>
        <w:rPr>
          <w:rFonts w:hint="eastAsia" w:ascii="方正仿宋_GBK" w:hAnsi="方正仿宋_GBK" w:eastAsia="方正仿宋_GBK" w:cs="方正仿宋_GBK"/>
          <w:sz w:val="32"/>
          <w:szCs w:val="32"/>
          <w:shd w:val="clear" w:color="auto" w:fill="FFFFFF"/>
        </w:rPr>
        <w:t>较年初预算数增加13.85万元，增长17.30%。主要原因是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就业支出10.70万元，占11.39%，较年初预算数增加3.60万元，增长50.70%，主要原因是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）卫生健康支出3.69万元，占3.92%，较年初预算数减少0.33万元，下降8.21%，主要原因是</w:t>
      </w:r>
      <w:r>
        <w:rPr>
          <w:rFonts w:hint="eastAsia" w:ascii="方正仿宋_GBK" w:hAnsi="方正仿宋_GBK" w:eastAsia="方正仿宋_GBK" w:cs="方正仿宋_GBK"/>
          <w:color w:val="auto"/>
          <w:sz w:val="32"/>
          <w:szCs w:val="32"/>
          <w:shd w:val="clear" w:color="auto" w:fill="FFFFFF"/>
          <w:lang w:val="en-US" w:eastAsia="zh-CN"/>
        </w:rPr>
        <w:t>增人及保险基数调整。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）资源勘探信息等支出75.98万元，占80.90%，较年初预算数增加10.57万元，增长16.16%，主要原因是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3.55万元，占3.78%，较年初预算数无增减，主要原因是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增人及公积金基数调整。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与上年持平。</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9" w:name="_Toc1260595914"/>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bookmarkEnd w:id="9"/>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hint="eastAsia" w:ascii="方正仿宋_GBK" w:hAnsi="方正仿宋_GBK" w:eastAsia="方正仿宋_GBK" w:cs="方正仿宋_GBK"/>
          <w:sz w:val="32"/>
          <w:szCs w:val="32"/>
          <w:shd w:val="clear" w:color="auto" w:fill="FFFFFF"/>
        </w:rPr>
        <w:t>财政拨款基本支出93.92万元。其中：</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人员经费81.43万元，与2023年度相比，增加22.07万元，增长37.18%，主要原因是主要原因是</w:t>
      </w:r>
      <w:r>
        <w:rPr>
          <w:rFonts w:hint="eastAsia" w:ascii="方正仿宋_GBK" w:hAnsi="方正仿宋_GBK" w:eastAsia="方正仿宋_GBK" w:cs="方正仿宋_GBK"/>
          <w:color w:val="auto"/>
          <w:sz w:val="32"/>
          <w:szCs w:val="32"/>
          <w:shd w:val="clear" w:color="auto" w:fill="FFFFFF"/>
          <w:lang w:val="en-US" w:eastAsia="zh-CN"/>
        </w:rPr>
        <w:t>增人增资及保险、公积金基数调整，工资福利支出增加。</w:t>
      </w:r>
      <w:r>
        <w:rPr>
          <w:rFonts w:hint="eastAsia" w:ascii="方正仿宋_GBK" w:hAnsi="方正仿宋_GBK" w:eastAsia="方正仿宋_GBK" w:cs="方正仿宋_GBK"/>
          <w:sz w:val="32"/>
        </w:rPr>
        <w:t>人员经费用途主要包括基本工资、津贴补贴、奖金、社会保障缴费等。</w:t>
      </w:r>
    </w:p>
    <w:p>
      <w:pPr>
        <w:pStyle w:val="9"/>
        <w:keepNext w:val="0"/>
        <w:keepLines w:val="0"/>
        <w:pageBreakBefore w:val="0"/>
        <w:widowControl/>
        <w:shd w:val="clear"/>
        <w:kinsoku/>
        <w:wordWrap/>
        <w:overflowPunct/>
        <w:topLinePunct w:val="0"/>
        <w:autoSpaceDN/>
        <w:bidi w:val="0"/>
        <w:adjustRightInd/>
        <w:spacing w:beforeAutospacing="0" w:after="0" w:afterAutospacing="0" w:line="600" w:lineRule="exact"/>
        <w:ind w:right="74"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公用经费12.49万元，与2023年度相比，增加0.28万元，增长2.29%，主要原因是</w:t>
      </w:r>
      <w:r>
        <w:rPr>
          <w:rFonts w:hint="eastAsia" w:ascii="方正仿宋_GBK" w:hAnsi="方正仿宋_GBK" w:eastAsia="方正仿宋_GBK" w:cs="方正仿宋_GBK"/>
          <w:color w:val="auto"/>
          <w:sz w:val="32"/>
          <w:szCs w:val="32"/>
          <w:shd w:val="clear" w:color="auto" w:fill="FFFFFF"/>
          <w:lang w:eastAsia="zh-CN"/>
        </w:rPr>
        <w:t>增人，公用经费增加。</w:t>
      </w:r>
      <w:r>
        <w:rPr>
          <w:rFonts w:hint="eastAsia" w:ascii="方正仿宋_GBK" w:hAnsi="方正仿宋_GBK" w:eastAsia="方正仿宋_GBK" w:cs="方正仿宋_GBK"/>
          <w:sz w:val="32"/>
        </w:rPr>
        <w:t>公用经费用途主要包括办公费</w:t>
      </w:r>
      <w:r>
        <w:rPr>
          <w:rFonts w:hint="eastAsia" w:ascii="方正仿宋_GBK" w:hAnsi="方正仿宋_GBK" w:eastAsia="方正仿宋_GBK" w:cs="方正仿宋_GBK"/>
          <w:sz w:val="32"/>
          <w:lang w:eastAsia="zh-CN"/>
        </w:rPr>
        <w:t>、差旅</w:t>
      </w:r>
      <w:r>
        <w:rPr>
          <w:rFonts w:hint="eastAsia" w:ascii="方正仿宋_GBK" w:hAnsi="方正仿宋_GBK" w:eastAsia="方正仿宋_GBK" w:cs="方正仿宋_GBK"/>
          <w:sz w:val="32"/>
          <w:lang w:val="en-US" w:eastAsia="zh-CN"/>
        </w:rPr>
        <w:t>费</w:t>
      </w:r>
      <w:bookmarkStart w:id="43" w:name="_GoBack"/>
      <w:bookmarkEnd w:id="43"/>
      <w:r>
        <w:rPr>
          <w:rFonts w:hint="eastAsia" w:ascii="方正仿宋_GBK" w:hAnsi="方正仿宋_GBK" w:eastAsia="方正仿宋_GBK" w:cs="方正仿宋_GBK"/>
          <w:sz w:val="32"/>
        </w:rPr>
        <w:t>等。</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0" w:name="_Toc1375915745"/>
      <w:r>
        <w:rPr>
          <w:rFonts w:hint="eastAsia" w:ascii="方正楷体_GBK" w:hAnsi="方正楷体_GBK" w:eastAsia="方正楷体_GBK" w:cs="方正楷体_GBK"/>
          <w:b w:val="0"/>
          <w:bCs w:val="0"/>
          <w:sz w:val="32"/>
          <w:szCs w:val="32"/>
          <w:shd w:val="clear" w:color="auto" w:fill="FFFFFF"/>
        </w:rPr>
        <w:t>（五）政府性基金预算收支决算情况说明</w:t>
      </w:r>
      <w:bookmarkEnd w:id="10"/>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仿宋_GBK" w:hAnsi="方正仿宋_GBK" w:eastAsia="方正仿宋_GBK" w:cs="方正仿宋_GBK"/>
          <w:b w:val="0"/>
          <w:bCs/>
          <w:color w:val="auto"/>
          <w:sz w:val="32"/>
          <w:szCs w:val="32"/>
          <w:shd w:val="clear" w:color="auto" w:fill="auto"/>
        </w:rPr>
        <w:t>本单位202</w:t>
      </w:r>
      <w:r>
        <w:rPr>
          <w:rStyle w:val="13"/>
          <w:rFonts w:hint="eastAsia" w:ascii="方正仿宋_GBK" w:hAnsi="方正仿宋_GBK" w:eastAsia="方正仿宋_GBK" w:cs="方正仿宋_GBK"/>
          <w:b w:val="0"/>
          <w:bCs/>
          <w:color w:val="auto"/>
          <w:sz w:val="32"/>
          <w:szCs w:val="32"/>
          <w:shd w:val="clear" w:color="auto" w:fill="auto"/>
          <w:lang w:val="en-US" w:eastAsia="zh-CN"/>
        </w:rPr>
        <w:t>4</w:t>
      </w:r>
      <w:r>
        <w:rPr>
          <w:rStyle w:val="13"/>
          <w:rFonts w:hint="eastAsia" w:ascii="方正仿宋_GBK" w:hAnsi="方正仿宋_GBK" w:eastAsia="方正仿宋_GBK" w:cs="方正仿宋_GBK"/>
          <w:b w:val="0"/>
          <w:bCs/>
          <w:color w:val="auto"/>
          <w:sz w:val="32"/>
          <w:szCs w:val="32"/>
          <w:shd w:val="clear" w:color="auto" w:fill="auto"/>
        </w:rPr>
        <w:t>年度无政府性基金预算财政拨款收支。</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default" w:ascii="Times New Roman" w:hAnsi="Times New Roman" w:eastAsia="楷体" w:cs="Times New Roman"/>
          <w:b/>
          <w:bCs/>
          <w:sz w:val="32"/>
          <w:szCs w:val="32"/>
          <w:shd w:val="clear" w:color="auto" w:fill="FFFFFF"/>
        </w:rPr>
      </w:pPr>
      <w:bookmarkStart w:id="11" w:name="_Toc955866922"/>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bookmarkEnd w:id="11"/>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auto"/>
        </w:rPr>
      </w:pPr>
      <w:r>
        <w:rPr>
          <w:rStyle w:val="13"/>
          <w:rFonts w:hint="eastAsia" w:ascii="方正仿宋_GBK" w:hAnsi="方正仿宋_GBK" w:eastAsia="方正仿宋_GBK" w:cs="方正仿宋_GBK"/>
          <w:b w:val="0"/>
          <w:bCs/>
          <w:color w:val="auto"/>
          <w:sz w:val="32"/>
          <w:szCs w:val="32"/>
          <w:shd w:val="clear" w:color="auto" w:fill="auto"/>
        </w:rPr>
        <w:t>本单位202</w:t>
      </w:r>
      <w:r>
        <w:rPr>
          <w:rStyle w:val="13"/>
          <w:rFonts w:hint="eastAsia" w:ascii="方正仿宋_GBK" w:hAnsi="方正仿宋_GBK" w:eastAsia="方正仿宋_GBK" w:cs="方正仿宋_GBK"/>
          <w:b w:val="0"/>
          <w:bCs/>
          <w:color w:val="auto"/>
          <w:sz w:val="32"/>
          <w:szCs w:val="32"/>
          <w:shd w:val="clear" w:color="auto" w:fill="auto"/>
          <w:lang w:val="en-US" w:eastAsia="zh-CN"/>
        </w:rPr>
        <w:t>4</w:t>
      </w:r>
      <w:r>
        <w:rPr>
          <w:rStyle w:val="13"/>
          <w:rFonts w:hint="eastAsia" w:ascii="方正仿宋_GBK" w:hAnsi="方正仿宋_GBK" w:eastAsia="方正仿宋_GBK" w:cs="方正仿宋_GBK"/>
          <w:b w:val="0"/>
          <w:bCs/>
          <w:color w:val="auto"/>
          <w:sz w:val="32"/>
          <w:szCs w:val="32"/>
          <w:shd w:val="clear" w:color="auto" w:fill="auto"/>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12" w:name="_Toc1720439326"/>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bookmarkEnd w:id="12"/>
    </w:p>
    <w:p>
      <w:pPr>
        <w:pStyle w:val="9"/>
        <w:keepNext w:val="0"/>
        <w:keepLines w:val="0"/>
        <w:pageBreakBefore w:val="0"/>
        <w:widowControl/>
        <w:shd w:val="clear"/>
        <w:kinsoku/>
        <w:wordWrap/>
        <w:overflowPunct/>
        <w:topLinePunct w:val="0"/>
        <w:autoSpaceDN/>
        <w:bidi w:val="0"/>
        <w:adjustRightInd/>
        <w:spacing w:beforeAutospacing="0" w:after="0" w:afterAutospacing="0" w:line="600" w:lineRule="exact"/>
        <w:ind w:right="74" w:firstLine="640" w:firstLineChars="200"/>
        <w:jc w:val="both"/>
        <w:textAlignment w:val="auto"/>
        <w:rPr>
          <w:rFonts w:hint="default" w:ascii="Times New Roman" w:hAnsi="Times New Roman" w:eastAsia="方正仿宋_GBK" w:cs="Times New Roman"/>
          <w:sz w:val="32"/>
        </w:rPr>
      </w:pPr>
      <w:r>
        <w:rPr>
          <w:rFonts w:hint="eastAsia" w:ascii="方正仿宋_GBK" w:hAnsi="方正仿宋_GBK" w:eastAsia="方正仿宋_GBK" w:cs="方正仿宋_GBK"/>
          <w:b w:val="0"/>
          <w:bCs/>
          <w:sz w:val="32"/>
        </w:rPr>
        <w:t>我单位属于</w:t>
      </w:r>
      <w:r>
        <w:rPr>
          <w:rFonts w:hint="eastAsia" w:ascii="方正仿宋_GBK" w:hAnsi="方正仿宋_GBK" w:eastAsia="方正仿宋_GBK" w:cs="方正仿宋_GBK"/>
          <w:b w:val="0"/>
          <w:bCs/>
          <w:sz w:val="32"/>
          <w:szCs w:val="32"/>
        </w:rPr>
        <w:t>永川高新</w:t>
      </w:r>
      <w:r>
        <w:rPr>
          <w:rFonts w:hint="eastAsia" w:ascii="方正仿宋_GBK" w:hAnsi="方正仿宋_GBK" w:eastAsia="方正仿宋_GBK" w:cs="方正仿宋_GBK"/>
          <w:b w:val="0"/>
          <w:bCs/>
          <w:sz w:val="32"/>
          <w:szCs w:val="32"/>
          <w:lang w:eastAsia="zh-CN"/>
        </w:rPr>
        <w:t>技术产业开发</w:t>
      </w:r>
      <w:r>
        <w:rPr>
          <w:rFonts w:hint="eastAsia" w:ascii="方正仿宋_GBK" w:hAnsi="方正仿宋_GBK" w:eastAsia="方正仿宋_GBK" w:cs="方正仿宋_GBK"/>
          <w:sz w:val="32"/>
          <w:szCs w:val="32"/>
          <w:lang w:eastAsia="zh-CN"/>
        </w:rPr>
        <w:t>区管理委员会</w:t>
      </w:r>
      <w:r>
        <w:rPr>
          <w:rFonts w:hint="eastAsia" w:ascii="方正仿宋_GBK" w:hAnsi="方正仿宋_GBK" w:eastAsia="方正仿宋_GBK" w:cs="方正仿宋_GBK"/>
          <w:sz w:val="32"/>
        </w:rPr>
        <w:t>的二级预算单位，财政未保障我单位“三公”经费。</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outlineLvl w:val="1"/>
        <w:rPr>
          <w:rStyle w:val="13"/>
          <w:rFonts w:hint="default" w:ascii="Times New Roman" w:hAnsi="Times New Roman" w:eastAsia="方正楷体_GBK" w:cs="Times New Roman"/>
          <w:b w:val="0"/>
          <w:bCs/>
          <w:sz w:val="32"/>
          <w:szCs w:val="32"/>
          <w:shd w:val="clear" w:color="auto" w:fill="FFFFFF"/>
          <w:lang w:eastAsia="zh-CN"/>
        </w:rPr>
      </w:pPr>
      <w:bookmarkStart w:id="13" w:name="_Toc652379078"/>
      <w:r>
        <w:rPr>
          <w:rStyle w:val="13"/>
          <w:rFonts w:hint="eastAsia" w:ascii="方正楷体_GBK" w:hAnsi="方正楷体_GBK" w:eastAsia="方正楷体_GBK" w:cs="方正楷体_GBK"/>
          <w:b w:val="0"/>
          <w:bCs/>
          <w:sz w:val="32"/>
          <w:szCs w:val="32"/>
          <w:shd w:val="clear" w:color="auto" w:fill="FFFFFF"/>
          <w:lang w:eastAsia="zh-CN"/>
        </w:rPr>
        <w:t>（一）“三公”经费支出总体情况说明</w:t>
      </w:r>
      <w:bookmarkEnd w:id="13"/>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shd w:val="clear" w:color="auto" w:fill="FFFFFF"/>
        </w:rPr>
        <w:t>万元，较年初预算数</w:t>
      </w:r>
      <w:r>
        <w:rPr>
          <w:rFonts w:hint="eastAsia" w:ascii="方正仿宋_GBK" w:hAnsi="方正仿宋_GBK" w:eastAsia="方正仿宋_GBK" w:cs="方正仿宋_GBK"/>
          <w:sz w:val="32"/>
          <w:szCs w:val="32"/>
          <w:shd w:val="clear" w:color="auto" w:fill="FFFFFF"/>
          <w:lang w:eastAsia="zh-CN"/>
        </w:rPr>
        <w:t>无增减。</w:t>
      </w:r>
      <w:r>
        <w:rPr>
          <w:rFonts w:hint="eastAsia"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无增减。</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outlineLvl w:val="1"/>
        <w:rPr>
          <w:rStyle w:val="13"/>
          <w:rFonts w:hint="default" w:ascii="Times New Roman" w:hAnsi="Times New Roman" w:eastAsia="方正楷体_GBK" w:cs="Times New Roman"/>
          <w:b w:val="0"/>
          <w:bCs/>
          <w:sz w:val="32"/>
          <w:szCs w:val="32"/>
          <w:shd w:val="clear" w:color="auto" w:fill="FFFFFF"/>
          <w:lang w:eastAsia="zh-CN"/>
        </w:rPr>
      </w:pPr>
      <w:bookmarkStart w:id="14" w:name="_Toc2065796574"/>
      <w:r>
        <w:rPr>
          <w:rStyle w:val="13"/>
          <w:rFonts w:hint="eastAsia" w:ascii="方正楷体_GBK" w:hAnsi="方正楷体_GBK" w:eastAsia="方正楷体_GBK" w:cs="方正楷体_GBK"/>
          <w:b w:val="0"/>
          <w:bCs/>
          <w:sz w:val="32"/>
          <w:szCs w:val="32"/>
          <w:shd w:val="clear" w:color="auto" w:fill="FFFFFF"/>
          <w:lang w:eastAsia="zh-CN"/>
        </w:rPr>
        <w:t>（二）“三公”经费分项支出情况</w:t>
      </w:r>
      <w:bookmarkEnd w:id="14"/>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年度本单位因公出国（境）费用</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kern w:val="2"/>
          <w:sz w:val="32"/>
          <w:szCs w:val="32"/>
        </w:rPr>
        <w:t>出国（境）费用</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rPr>
        <w:t>主要用于车辆购置费用。</w:t>
      </w:r>
      <w:r>
        <w:rPr>
          <w:rFonts w:hint="eastAsia"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eastAsia="zh-CN"/>
        </w:rPr>
        <w:t>无增减。</w:t>
      </w:r>
      <w:r>
        <w:rPr>
          <w:rFonts w:hint="eastAsia"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无增减。</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rPr>
        <w:t>主要用于车辆的燃料费、维修费、过桥过路费、保险费等。</w:t>
      </w:r>
      <w:r>
        <w:rPr>
          <w:rFonts w:hint="eastAsia" w:ascii="方正仿宋_GBK" w:hAnsi="方正仿宋_GBK" w:eastAsia="方正仿宋_GBK" w:cs="方正仿宋_GBK"/>
          <w:sz w:val="32"/>
          <w:szCs w:val="32"/>
          <w:shd w:val="clear" w:color="auto" w:fill="FFFFFF"/>
        </w:rPr>
        <w:t>费用支出较年初预算</w:t>
      </w:r>
      <w:r>
        <w:rPr>
          <w:rFonts w:hint="eastAsia" w:ascii="方正仿宋_GBK" w:hAnsi="方正仿宋_GBK" w:eastAsia="方正仿宋_GBK" w:cs="方正仿宋_GBK"/>
          <w:sz w:val="32"/>
          <w:szCs w:val="32"/>
          <w:shd w:val="clear" w:color="auto" w:fill="FFFFFF"/>
          <w:lang w:eastAsia="zh-CN"/>
        </w:rPr>
        <w:t>无增减。</w:t>
      </w:r>
      <w:r>
        <w:rPr>
          <w:rFonts w:hint="eastAsia"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无增减。</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相关部门检查指导工作。</w:t>
      </w:r>
      <w:r>
        <w:rPr>
          <w:rFonts w:hint="eastAsia"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eastAsia="zh-CN"/>
        </w:rPr>
        <w:t>无增减。</w:t>
      </w:r>
      <w:r>
        <w:rPr>
          <w:rFonts w:hint="eastAsia"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无增减。</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outlineLvl w:val="1"/>
        <w:rPr>
          <w:rStyle w:val="13"/>
          <w:rFonts w:hint="eastAsia" w:ascii="方正楷体_GBK" w:hAnsi="方正楷体_GBK" w:eastAsia="方正楷体_GBK" w:cs="方正楷体_GBK"/>
          <w:b w:val="0"/>
          <w:bCs/>
          <w:sz w:val="32"/>
          <w:szCs w:val="32"/>
          <w:shd w:val="clear" w:color="auto" w:fill="FFFFFF"/>
          <w:lang w:eastAsia="zh-CN"/>
        </w:rPr>
      </w:pPr>
      <w:bookmarkStart w:id="15" w:name="_Toc1519005030"/>
      <w:r>
        <w:rPr>
          <w:rStyle w:val="13"/>
          <w:rFonts w:hint="eastAsia" w:ascii="方正楷体_GBK" w:hAnsi="方正楷体_GBK" w:eastAsia="方正楷体_GBK" w:cs="方正楷体_GBK"/>
          <w:b w:val="0"/>
          <w:bCs/>
          <w:sz w:val="32"/>
          <w:szCs w:val="32"/>
          <w:shd w:val="clear" w:color="auto" w:fill="FFFFFF"/>
          <w:lang w:eastAsia="zh-CN"/>
        </w:rPr>
        <w:t>（三）“三公”经费实物量情况</w:t>
      </w:r>
      <w:bookmarkEnd w:id="15"/>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年度本单位因公出国（境）共计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人。2023年本单位人均接待费</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16" w:name="_Toc1208761026"/>
      <w:r>
        <w:rPr>
          <w:rStyle w:val="13"/>
          <w:rFonts w:hint="eastAsia" w:ascii="方正黑体_GBK" w:hAnsi="方正黑体_GBK" w:eastAsia="方正黑体_GBK" w:cs="方正黑体_GBK"/>
          <w:b w:val="0"/>
          <w:bCs/>
          <w:sz w:val="32"/>
          <w:szCs w:val="32"/>
          <w:shd w:val="clear" w:color="auto" w:fill="FFFFFF"/>
        </w:rPr>
        <w:t>四、其他需要说明的事项</w:t>
      </w:r>
      <w:bookmarkEnd w:id="16"/>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1"/>
        <w:rPr>
          <w:rFonts w:hint="default" w:ascii="Times New Roman" w:hAnsi="Times New Roman" w:eastAsia="楷体" w:cs="Times New Roman"/>
          <w:b/>
          <w:bCs/>
          <w:sz w:val="32"/>
          <w:szCs w:val="32"/>
          <w:shd w:val="clear" w:color="auto" w:fill="FFFFFF"/>
        </w:rPr>
      </w:pPr>
      <w:bookmarkStart w:id="17" w:name="_Toc2056367209"/>
      <w:r>
        <w:rPr>
          <w:rFonts w:hint="eastAsia" w:ascii="方正楷体_GBK" w:hAnsi="方正楷体_GBK" w:eastAsia="方正楷体_GBK" w:cs="方正楷体_GBK"/>
          <w:b w:val="0"/>
          <w:bCs w:val="0"/>
          <w:sz w:val="32"/>
          <w:szCs w:val="32"/>
          <w:shd w:val="clear" w:color="auto" w:fill="FFFFFF"/>
        </w:rPr>
        <w:t>（一）财政拨款会议费、培训费和差旅费情况说明</w:t>
      </w:r>
      <w:bookmarkEnd w:id="17"/>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z w:val="32"/>
          <w:szCs w:val="32"/>
          <w:shd w:val="clear" w:color="auto" w:fill="FFFFFF"/>
        </w:rPr>
        <w:t>本年度会议费支出0.00万元，与2023年度相比，无增减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本年度培训费支出0.52万元，与2023年度相比，增加0.49万元，增长1633.33%，主要原因是</w:t>
      </w:r>
      <w:r>
        <w:rPr>
          <w:rFonts w:hint="eastAsia" w:ascii="方正仿宋_GBK" w:hAnsi="方正仿宋_GBK" w:eastAsia="方正仿宋_GBK" w:cs="方正仿宋_GBK"/>
          <w:color w:val="auto"/>
          <w:sz w:val="32"/>
          <w:szCs w:val="32"/>
          <w:shd w:val="clear" w:color="auto" w:fill="FFFFFF"/>
        </w:rPr>
        <w:t>有5000元实际是办公费支出，但在支付时未作支付更正，导致培训费增大</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本年度差旅费支出0.00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与2023年度相比，减少4.02万元，下降100.00%，主要原因是</w:t>
      </w:r>
      <w:r>
        <w:rPr>
          <w:rFonts w:hint="eastAsia" w:ascii="方正仿宋_GBK" w:hAnsi="方正仿宋_GBK" w:eastAsia="方正仿宋_GBK" w:cs="方正仿宋_GBK"/>
          <w:sz w:val="32"/>
          <w:szCs w:val="32"/>
          <w:shd w:val="clear" w:color="auto" w:fill="FFFFFF"/>
          <w:lang w:eastAsia="zh-CN"/>
        </w:rPr>
        <w:t>数字化服务中心作为</w:t>
      </w:r>
      <w:r>
        <w:rPr>
          <w:rFonts w:hint="eastAsia" w:ascii="方正仿宋_GBK" w:hAnsi="方正仿宋_GBK" w:eastAsia="方正仿宋_GBK" w:cs="方正仿宋_GBK"/>
          <w:sz w:val="32"/>
          <w:szCs w:val="32"/>
        </w:rPr>
        <w:t>永川高新</w:t>
      </w:r>
      <w:r>
        <w:rPr>
          <w:rFonts w:hint="eastAsia" w:ascii="方正仿宋_GBK" w:hAnsi="方正仿宋_GBK" w:eastAsia="方正仿宋_GBK" w:cs="方正仿宋_GBK"/>
          <w:sz w:val="32"/>
          <w:szCs w:val="32"/>
          <w:lang w:eastAsia="zh-CN"/>
        </w:rPr>
        <w:t>技术产业开发区管理委员会</w:t>
      </w:r>
      <w:r>
        <w:rPr>
          <w:rFonts w:hint="eastAsia" w:ascii="方正仿宋_GBK" w:hAnsi="方正仿宋_GBK" w:eastAsia="方正仿宋_GBK" w:cs="方正仿宋_GBK"/>
          <w:sz w:val="32"/>
        </w:rPr>
        <w:t>的二级预算单位</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2024年</w:t>
      </w:r>
      <w:r>
        <w:rPr>
          <w:rFonts w:hint="eastAsia" w:ascii="方正仿宋_GBK" w:hAnsi="方正仿宋_GBK" w:eastAsia="方正仿宋_GBK" w:cs="方正仿宋_GBK"/>
          <w:color w:val="auto"/>
          <w:sz w:val="32"/>
          <w:szCs w:val="32"/>
          <w:highlight w:val="none"/>
          <w:shd w:val="clear" w:color="auto" w:fill="FFFFFF"/>
          <w:lang w:eastAsia="zh-CN"/>
        </w:rPr>
        <w:t>未使用财政资金保障差旅费。</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8" w:name="_Toc1407112951"/>
      <w:r>
        <w:rPr>
          <w:rFonts w:hint="eastAsia" w:ascii="方正楷体_GBK" w:hAnsi="方正楷体_GBK" w:eastAsia="方正楷体_GBK" w:cs="方正楷体_GBK"/>
          <w:b w:val="0"/>
          <w:bCs w:val="0"/>
          <w:sz w:val="32"/>
          <w:szCs w:val="32"/>
          <w:shd w:val="clear" w:color="auto" w:fill="FFFFFF"/>
        </w:rPr>
        <w:t>（二）机关运行经费情况说明</w:t>
      </w:r>
      <w:bookmarkEnd w:id="18"/>
    </w:p>
    <w:p>
      <w:pPr>
        <w:pStyle w:val="15"/>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highlight w:val="none"/>
        </w:rPr>
        <w:t>按照部门决算列报口径，我单位不在机关运行经费统计范围之内。</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9" w:name="_Toc293613936"/>
      <w:r>
        <w:rPr>
          <w:rFonts w:hint="eastAsia" w:ascii="方正楷体_GBK" w:hAnsi="方正楷体_GBK" w:eastAsia="方正楷体_GBK" w:cs="方正楷体_GBK"/>
          <w:b w:val="0"/>
          <w:bCs w:val="0"/>
          <w:sz w:val="32"/>
          <w:szCs w:val="32"/>
          <w:shd w:val="clear" w:color="auto" w:fill="FFFFFF"/>
        </w:rPr>
        <w:t>（三）国有资产占用情况说明</w:t>
      </w:r>
      <w:bookmarkEnd w:id="19"/>
    </w:p>
    <w:p>
      <w:pPr>
        <w:pStyle w:val="9"/>
        <w:keepNext w:val="0"/>
        <w:keepLines w:val="0"/>
        <w:pageBreakBefore w:val="0"/>
        <w:widowControl/>
        <w:shd w:val="clear"/>
        <w:kinsoku/>
        <w:wordWrap/>
        <w:overflowPunct/>
        <w:topLinePunct w:val="0"/>
        <w:autoSpaceDN/>
        <w:bidi w:val="0"/>
        <w:adjustRightInd/>
        <w:spacing w:beforeAutospacing="0" w:after="0" w:afterAutospacing="0" w:line="600" w:lineRule="exact"/>
        <w:ind w:right="74" w:firstLine="640"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sz w:val="32"/>
          <w:szCs w:val="32"/>
          <w:shd w:val="clear" w:color="auto" w:fill="FFFFFF"/>
        </w:rPr>
        <w:t> </w:t>
      </w:r>
      <w:r>
        <w:rPr>
          <w:rFonts w:hint="eastAsia" w:ascii="方正仿宋_GBK" w:hAnsi="方正仿宋_GBK" w:eastAsia="方正仿宋_GBK" w:cs="方正仿宋_GBK"/>
          <w:sz w:val="32"/>
        </w:rPr>
        <w:t>因我单位属于</w:t>
      </w:r>
      <w:r>
        <w:rPr>
          <w:rFonts w:hint="eastAsia" w:ascii="方正仿宋_GBK" w:hAnsi="方正仿宋_GBK" w:eastAsia="方正仿宋_GBK" w:cs="方正仿宋_GBK"/>
          <w:sz w:val="32"/>
          <w:szCs w:val="32"/>
        </w:rPr>
        <w:t>永川高新</w:t>
      </w:r>
      <w:r>
        <w:rPr>
          <w:rFonts w:hint="eastAsia" w:ascii="方正仿宋_GBK" w:hAnsi="方正仿宋_GBK" w:eastAsia="方正仿宋_GBK" w:cs="方正仿宋_GBK"/>
          <w:sz w:val="32"/>
          <w:szCs w:val="32"/>
          <w:lang w:eastAsia="zh-CN"/>
        </w:rPr>
        <w:t>技术产业开发区管理委员会</w:t>
      </w:r>
      <w:r>
        <w:rPr>
          <w:rFonts w:hint="eastAsia" w:ascii="方正仿宋_GBK" w:hAnsi="方正仿宋_GBK" w:eastAsia="方正仿宋_GBK" w:cs="方正仿宋_GBK"/>
          <w:sz w:val="32"/>
        </w:rPr>
        <w:t>的二级预算单位，我单位资产未纳入部门决算报表。</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default" w:ascii="Times New Roman" w:hAnsi="Times New Roman" w:eastAsia="楷体" w:cs="Times New Roman"/>
          <w:b/>
          <w:bCs/>
          <w:sz w:val="32"/>
          <w:szCs w:val="32"/>
          <w:shd w:val="clear" w:color="auto" w:fill="FFFFFF"/>
        </w:rPr>
      </w:pPr>
      <w:bookmarkStart w:id="20" w:name="_Toc1158002178"/>
      <w:r>
        <w:rPr>
          <w:rFonts w:hint="eastAsia" w:ascii="方正楷体_GBK" w:hAnsi="方正楷体_GBK" w:eastAsia="方正楷体_GBK" w:cs="方正楷体_GBK"/>
          <w:b w:val="0"/>
          <w:bCs w:val="0"/>
          <w:sz w:val="32"/>
          <w:szCs w:val="32"/>
          <w:shd w:val="clear" w:color="auto" w:fill="FFFFFF"/>
        </w:rPr>
        <w:t>（四）政府采购支出情况说明</w:t>
      </w:r>
      <w:bookmarkEnd w:id="20"/>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年度我单位未发生政府采购事项，无相关经费支出。</w:t>
      </w:r>
    </w:p>
    <w:p>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jc w:val="both"/>
        <w:textAlignment w:val="auto"/>
        <w:outlineLvl w:val="0"/>
        <w:rPr>
          <w:rStyle w:val="13"/>
          <w:rFonts w:hint="eastAsia" w:ascii="方正黑体_GBK" w:hAnsi="方正黑体_GBK" w:eastAsia="方正黑体_GBK" w:cs="方正黑体_GBK"/>
          <w:b w:val="0"/>
          <w:bCs/>
          <w:sz w:val="32"/>
          <w:szCs w:val="32"/>
          <w:shd w:val="clear" w:color="auto" w:fill="FFFFFF"/>
          <w:lang w:val="en-US" w:eastAsia="zh-CN" w:bidi="ar-SA"/>
        </w:rPr>
      </w:pPr>
      <w:bookmarkStart w:id="21" w:name="_Toc244049842"/>
      <w:r>
        <w:rPr>
          <w:rStyle w:val="13"/>
          <w:rFonts w:hint="eastAsia" w:ascii="方正黑体_GBK" w:hAnsi="方正黑体_GBK" w:eastAsia="方正黑体_GBK" w:cs="方正黑体_GBK"/>
          <w:b w:val="0"/>
          <w:bCs/>
          <w:sz w:val="32"/>
          <w:szCs w:val="32"/>
          <w:shd w:val="clear" w:color="auto" w:fill="FFFFFF"/>
        </w:rPr>
        <w:t>五、</w:t>
      </w:r>
      <w:r>
        <w:rPr>
          <w:rStyle w:val="13"/>
          <w:rFonts w:hint="eastAsia" w:ascii="方正黑体_GBK" w:hAnsi="方正黑体_GBK" w:eastAsia="方正黑体_GBK" w:cs="方正黑体_GBK"/>
          <w:b w:val="0"/>
          <w:bCs/>
          <w:sz w:val="32"/>
          <w:szCs w:val="32"/>
          <w:shd w:val="clear" w:color="auto" w:fill="FFFFFF"/>
          <w:lang w:val="en-US" w:eastAsia="zh-CN" w:bidi="ar-SA"/>
        </w:rPr>
        <w:t>2024年度绩效情况说明</w:t>
      </w:r>
      <w:bookmarkEnd w:id="21"/>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Cs/>
          <w:sz w:val="32"/>
          <w:szCs w:val="32"/>
          <w:shd w:val="clear" w:color="auto" w:fill="FFFFFF"/>
        </w:rPr>
      </w:pPr>
      <w:bookmarkStart w:id="22" w:name="_Toc1483835605"/>
      <w:r>
        <w:rPr>
          <w:rFonts w:hint="default" w:ascii="Times New Roman" w:hAnsi="Times New Roman" w:eastAsia="方正楷体_GBK" w:cs="Times New Roman"/>
          <w:bCs/>
          <w:sz w:val="32"/>
          <w:szCs w:val="32"/>
          <w:shd w:val="clear" w:color="auto" w:fill="FFFFFF"/>
        </w:rPr>
        <w:t>（一）单位自评情况</w:t>
      </w:r>
      <w:bookmarkEnd w:id="22"/>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根据预算绩效管理要求，我单位对0个项目开展了绩效自评，涉及项目支出资金0万元。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Cs/>
          <w:sz w:val="32"/>
          <w:szCs w:val="32"/>
          <w:shd w:val="clear" w:color="auto" w:fill="FFFFFF"/>
        </w:rPr>
      </w:pPr>
      <w:bookmarkStart w:id="23" w:name="_Toc176771791"/>
      <w:bookmarkStart w:id="24" w:name="_Toc1271516789"/>
      <w:r>
        <w:rPr>
          <w:rFonts w:hint="default" w:ascii="Times New Roman" w:hAnsi="Times New Roman" w:eastAsia="方正楷体_GBK" w:cs="Times New Roman"/>
          <w:bCs/>
          <w:sz w:val="32"/>
          <w:szCs w:val="32"/>
          <w:shd w:val="clear" w:color="auto" w:fill="FFFFFF"/>
        </w:rPr>
        <w:t>（二）绩效自评结果</w:t>
      </w:r>
      <w:bookmarkEnd w:id="23"/>
      <w:bookmarkEnd w:id="24"/>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具体内容详见附件中《2024年度部门整体绩效自评表》《2024年度项目绩效自评表1》《2024年度项目绩效自评表2》《2024年度项目绩效自评表3》《</w:t>
      </w:r>
      <w:r>
        <w:rPr>
          <w:rFonts w:hint="eastAsia" w:ascii="方正仿宋_GBK" w:hAnsi="方正仿宋_GBK" w:eastAsia="方正仿宋_GBK" w:cs="方正仿宋_GBK"/>
          <w:sz w:val="32"/>
          <w:szCs w:val="32"/>
          <w:lang w:eastAsia="zh-CN"/>
        </w:rPr>
        <w:t>永川高新区数字化服务中心</w:t>
      </w:r>
      <w:r>
        <w:rPr>
          <w:rFonts w:hint="eastAsia" w:ascii="方正仿宋_GBK" w:hAnsi="方正仿宋_GBK" w:eastAsia="方正仿宋_GBK" w:cs="方正仿宋_GBK"/>
          <w:sz w:val="32"/>
          <w:szCs w:val="32"/>
        </w:rPr>
        <w:t>项目绩效自评结果汇总表》。</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30" w:firstLineChars="196"/>
        <w:textAlignment w:val="auto"/>
        <w:outlineLvl w:val="1"/>
        <w:rPr>
          <w:rFonts w:hint="default" w:ascii="Times New Roman" w:hAnsi="Times New Roman" w:cs="Times New Roman"/>
          <w:sz w:val="32"/>
          <w:szCs w:val="32"/>
        </w:rPr>
      </w:pPr>
      <w:bookmarkStart w:id="25" w:name="_Toc176771792"/>
      <w:bookmarkStart w:id="26" w:name="_Toc1312269782"/>
      <w:r>
        <w:rPr>
          <w:rFonts w:hint="default" w:ascii="Times New Roman" w:hAnsi="Times New Roman" w:eastAsia="方正楷体_GBK" w:cs="Times New Roman"/>
          <w:b/>
          <w:bCs/>
          <w:sz w:val="32"/>
          <w:szCs w:val="32"/>
          <w:shd w:val="clear" w:color="auto" w:fill="FFFFFF"/>
        </w:rPr>
        <w:t>（三）</w:t>
      </w:r>
      <w:r>
        <w:rPr>
          <w:rFonts w:hint="default" w:ascii="Times New Roman" w:hAnsi="Times New Roman" w:eastAsia="方正楷体_GBK" w:cs="Times New Roman"/>
          <w:bCs/>
          <w:sz w:val="32"/>
          <w:szCs w:val="32"/>
          <w:shd w:val="clear" w:color="auto" w:fill="FFFFFF"/>
        </w:rPr>
        <w:t>重点绩效评价结果</w:t>
      </w:r>
      <w:bookmarkEnd w:id="25"/>
      <w:bookmarkEnd w:id="26"/>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jc w:val="both"/>
        <w:textAlignment w:val="auto"/>
        <w:rPr>
          <w:rStyle w:val="13"/>
          <w:rFonts w:hint="eastAsia" w:ascii="方正仿宋_GBK" w:hAnsi="方正仿宋_GBK" w:eastAsia="方正仿宋_GBK" w:cs="方正仿宋_GBK"/>
          <w:sz w:val="32"/>
          <w:szCs w:val="32"/>
          <w:shd w:val="clear" w:color="auto" w:fill="FFFFFF"/>
          <w:lang w:val="en-US" w:eastAsia="zh-CN" w:bidi="ar-SA"/>
        </w:rPr>
      </w:pPr>
      <w:r>
        <w:rPr>
          <w:rStyle w:val="13"/>
          <w:rFonts w:hint="eastAsia" w:ascii="方正仿宋_GBK" w:hAnsi="方正仿宋_GBK" w:eastAsia="方正仿宋_GBK" w:cs="方正仿宋_GBK"/>
          <w:b w:val="0"/>
          <w:color w:val="auto"/>
          <w:sz w:val="32"/>
          <w:szCs w:val="32"/>
          <w:shd w:val="clear" w:color="auto" w:fill="auto"/>
        </w:rPr>
        <w:t>本单位2024年不涉及开展重点绩效评价的项目。</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outlineLvl w:val="0"/>
        <w:rPr>
          <w:rStyle w:val="13"/>
          <w:rFonts w:hint="default" w:ascii="Times New Roman" w:hAnsi="Times New Roman" w:eastAsia="黑体" w:cs="Times New Roman"/>
          <w:sz w:val="32"/>
          <w:szCs w:val="32"/>
          <w:shd w:val="clear" w:color="auto" w:fill="FFFFFF"/>
        </w:rPr>
      </w:pPr>
      <w:bookmarkStart w:id="27" w:name="_Toc1618423703"/>
      <w:r>
        <w:rPr>
          <w:rStyle w:val="13"/>
          <w:rFonts w:hint="eastAsia" w:ascii="方正黑体_GBK" w:hAnsi="方正黑体_GBK" w:eastAsia="方正黑体_GBK" w:cs="方正黑体_GBK"/>
          <w:b w:val="0"/>
          <w:bCs/>
          <w:sz w:val="32"/>
          <w:szCs w:val="32"/>
          <w:shd w:val="clear" w:color="auto" w:fill="FFFFFF"/>
          <w:lang w:eastAsia="zh-CN"/>
        </w:rPr>
        <w:t>六</w:t>
      </w:r>
      <w:r>
        <w:rPr>
          <w:rStyle w:val="13"/>
          <w:rFonts w:hint="eastAsia" w:ascii="方正黑体_GBK" w:hAnsi="方正黑体_GBK" w:eastAsia="方正黑体_GBK" w:cs="方正黑体_GBK"/>
          <w:b w:val="0"/>
          <w:bCs/>
          <w:sz w:val="32"/>
          <w:szCs w:val="32"/>
          <w:shd w:val="clear" w:color="auto" w:fill="FFFFFF"/>
        </w:rPr>
        <w:t>、专业名词解释</w:t>
      </w:r>
      <w:bookmarkEnd w:id="27"/>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Style w:val="13"/>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28" w:name="_Toc1222261270"/>
      <w:r>
        <w:rPr>
          <w:rStyle w:val="13"/>
          <w:rFonts w:hint="eastAsia" w:ascii="方正黑体_GBK" w:hAnsi="方正黑体_GBK" w:eastAsia="方正黑体_GBK" w:cs="方正黑体_GBK"/>
          <w:b w:val="0"/>
          <w:bCs/>
          <w:sz w:val="32"/>
          <w:szCs w:val="32"/>
          <w:shd w:val="clear" w:color="auto" w:fill="FFFFFF"/>
          <w:lang w:eastAsia="zh-CN"/>
        </w:rPr>
        <w:t>七</w:t>
      </w:r>
      <w:r>
        <w:rPr>
          <w:rStyle w:val="13"/>
          <w:rFonts w:hint="eastAsia" w:ascii="方正黑体_GBK" w:hAnsi="方正黑体_GBK" w:eastAsia="方正黑体_GBK" w:cs="方正黑体_GBK"/>
          <w:b w:val="0"/>
          <w:bCs/>
          <w:sz w:val="32"/>
          <w:szCs w:val="32"/>
          <w:shd w:val="clear" w:color="auto" w:fill="FFFFFF"/>
        </w:rPr>
        <w:t>、决算公开联系方式及信息反馈渠道</w:t>
      </w:r>
      <w:bookmarkEnd w:id="28"/>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决算公开信息反馈和联系方式：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高德阳</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49567567</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0"/>
        <w:jc w:val="both"/>
        <w:textAlignment w:val="auto"/>
        <w:rPr>
          <w:rStyle w:val="13"/>
          <w:rFonts w:hint="eastAsia"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448"/>
        <w:gridCol w:w="3685"/>
        <w:gridCol w:w="4188"/>
        <w:gridCol w:w="2943"/>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rPr>
            </w:pPr>
            <w:bookmarkStart w:id="29" w:name="_Toc260320929"/>
            <w:r>
              <w:rPr>
                <w:sz w:val="32"/>
                <w:szCs w:val="32"/>
              </w:rPr>
              <w:t>收入支出决算总表</w:t>
            </w:r>
            <w:bookmarkEnd w:id="29"/>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永川高新区数字化服务中心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ind w:firstLine="800" w:firstLineChars="400"/>
        <w:rPr>
          <w:rFonts w:cs="宋体"/>
          <w:sz w:val="20"/>
          <w:szCs w:val="20"/>
        </w:rPr>
      </w:pPr>
      <w:r>
        <w:rPr>
          <w:rFonts w:cs="宋体"/>
          <w:sz w:val="20"/>
          <w:szCs w:val="20"/>
        </w:rPr>
        <w:t>备</w:t>
      </w:r>
    </w:p>
    <w:p>
      <w:pPr>
        <w:spacing w:line="240" w:lineRule="exact"/>
        <w:ind w:left="797" w:leftChars="332" w:firstLine="0" w:firstLineChars="0"/>
        <w:rPr>
          <w:rFonts w:hint="default" w:cs="宋体"/>
          <w:sz w:val="20"/>
          <w:szCs w:val="20"/>
        </w:rPr>
      </w:pPr>
      <w:r>
        <w:rPr>
          <w:rFonts w:cs="宋体"/>
          <w:sz w:val="20"/>
          <w:szCs w:val="20"/>
        </w:rPr>
        <w:t>注</w:t>
      </w:r>
      <w:r>
        <w:rPr>
          <w:rFonts w:hint="eastAsia" w:cs="宋体"/>
          <w:sz w:val="20"/>
          <w:szCs w:val="20"/>
          <w:lang w:eastAsia="zh-CN"/>
        </w:rPr>
        <w:t>备注</w:t>
      </w:r>
      <w:r>
        <w:rPr>
          <w:rFonts w:cs="宋体"/>
          <w:sz w:val="20"/>
          <w:szCs w:val="20"/>
        </w:rPr>
        <w:t>1.本表反映单位本年度的总收支和年末结转结余情况。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autofit"/>
        <w:tblCellMar>
          <w:top w:w="0" w:type="dxa"/>
          <w:left w:w="0" w:type="dxa"/>
          <w:bottom w:w="0" w:type="dxa"/>
          <w:right w:w="0" w:type="dxa"/>
        </w:tblCellMar>
      </w:tblPr>
      <w:tblGrid>
        <w:gridCol w:w="1637"/>
        <w:gridCol w:w="3230"/>
        <w:gridCol w:w="1377"/>
        <w:gridCol w:w="1438"/>
        <w:gridCol w:w="1253"/>
        <w:gridCol w:w="1253"/>
        <w:gridCol w:w="1391"/>
        <w:gridCol w:w="1327"/>
        <w:gridCol w:w="1465"/>
        <w:gridCol w:w="168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cs="宋体"/>
                <w:b/>
                <w:color w:val="000000"/>
                <w:szCs w:val="32"/>
              </w:rPr>
            </w:pPr>
            <w:bookmarkStart w:id="30" w:name="_Toc277382065"/>
            <w:r>
              <w:rPr>
                <w:sz w:val="32"/>
                <w:szCs w:val="32"/>
              </w:rPr>
              <w:t>收入决算表</w:t>
            </w:r>
            <w:bookmarkEnd w:id="30"/>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永川高新区数字化服务中心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93.92</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93.92</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10"/>
        <w:tblW w:w="5000" w:type="pct"/>
        <w:tblInd w:w="0" w:type="dxa"/>
        <w:tblLayout w:type="autofit"/>
        <w:tblCellMar>
          <w:top w:w="0" w:type="dxa"/>
          <w:left w:w="0" w:type="dxa"/>
          <w:bottom w:w="0" w:type="dxa"/>
          <w:right w:w="0" w:type="dxa"/>
        </w:tblCellMar>
      </w:tblPr>
      <w:tblGrid>
        <w:gridCol w:w="1637"/>
        <w:gridCol w:w="3664"/>
        <w:gridCol w:w="1712"/>
        <w:gridCol w:w="1762"/>
        <w:gridCol w:w="1694"/>
        <w:gridCol w:w="1624"/>
        <w:gridCol w:w="1763"/>
        <w:gridCol w:w="2014"/>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60" w:lineRule="exact"/>
              <w:jc w:val="center"/>
              <w:textAlignment w:val="auto"/>
              <w:rPr>
                <w:rFonts w:hint="default" w:cs="宋体"/>
                <w:b/>
                <w:color w:val="000000"/>
                <w:szCs w:val="32"/>
              </w:rPr>
            </w:pPr>
            <w:bookmarkStart w:id="31" w:name="_Toc440233365"/>
            <w:r>
              <w:rPr>
                <w:sz w:val="32"/>
                <w:szCs w:val="32"/>
              </w:rPr>
              <w:t>支出决算表</w:t>
            </w:r>
            <w:bookmarkEnd w:id="31"/>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永川高新区数字化服务中心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93.92</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93.92</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3074"/>
        <w:gridCol w:w="1575"/>
        <w:gridCol w:w="3293"/>
        <w:gridCol w:w="1754"/>
        <w:gridCol w:w="1754"/>
        <w:gridCol w:w="1754"/>
        <w:gridCol w:w="199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rPr>
            </w:pPr>
            <w:bookmarkStart w:id="32" w:name="_Toc2062654129"/>
            <w:r>
              <w:rPr>
                <w:sz w:val="32"/>
                <w:szCs w:val="32"/>
              </w:rPr>
              <w:t>财政拨款收入支出决算总表</w:t>
            </w:r>
            <w:bookmarkEnd w:id="32"/>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永川高新区数字化服务中心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539"/>
        <w:gridCol w:w="4034"/>
        <w:gridCol w:w="3425"/>
        <w:gridCol w:w="3418"/>
        <w:gridCol w:w="345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cs="宋体"/>
                <w:b/>
                <w:color w:val="000000"/>
                <w:szCs w:val="32"/>
              </w:rPr>
            </w:pPr>
            <w:bookmarkStart w:id="33" w:name="_Toc1330449573"/>
            <w:r>
              <w:rPr>
                <w:sz w:val="32"/>
                <w:szCs w:val="32"/>
              </w:rPr>
              <w:t>一般公共预算财政拨款支出决算表</w:t>
            </w:r>
            <w:bookmarkEnd w:id="33"/>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永川高新区数字化服务中心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93.92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624"/>
        <w:gridCol w:w="2828"/>
        <w:gridCol w:w="1420"/>
        <w:gridCol w:w="862"/>
        <w:gridCol w:w="1985"/>
        <w:gridCol w:w="1709"/>
        <w:gridCol w:w="834"/>
        <w:gridCol w:w="3639"/>
        <w:gridCol w:w="1950"/>
      </w:tblGrid>
      <w:tr>
        <w:tblPrEx>
          <w:tblCellMar>
            <w:top w:w="0" w:type="dxa"/>
            <w:left w:w="0" w:type="dxa"/>
            <w:bottom w:w="0" w:type="dxa"/>
            <w:right w:w="0" w:type="dxa"/>
          </w:tblCellMar>
        </w:tblPrEx>
        <w:trPr>
          <w:trHeight w:val="47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val="0"/>
              <w:snapToGrid w:val="0"/>
              <w:spacing w:line="40" w:lineRule="exact"/>
              <w:jc w:val="center"/>
              <w:textAlignment w:val="auto"/>
              <w:rPr>
                <w:rFonts w:hint="default" w:cs="宋体"/>
                <w:b/>
                <w:color w:val="000000"/>
                <w:szCs w:val="32"/>
              </w:rPr>
            </w:pPr>
            <w:bookmarkStart w:id="34" w:name="_Toc1774225787"/>
            <w:r>
              <w:rPr>
                <w:sz w:val="32"/>
                <w:szCs w:val="32"/>
              </w:rPr>
              <w:t>一般公共预算财政拨款基本支出决算表</w:t>
            </w:r>
            <w:bookmarkEnd w:id="34"/>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永川高新区数字化服务中心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81.43</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694"/>
        <w:gridCol w:w="3402"/>
        <w:gridCol w:w="1762"/>
        <w:gridCol w:w="1762"/>
        <w:gridCol w:w="1762"/>
        <w:gridCol w:w="1762"/>
        <w:gridCol w:w="1828"/>
        <w:gridCol w:w="189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rPr>
            </w:pPr>
            <w:bookmarkStart w:id="35" w:name="_Toc1070056746"/>
            <w:r>
              <w:rPr>
                <w:sz w:val="32"/>
                <w:szCs w:val="32"/>
              </w:rPr>
              <w:t>政府性基金预算财政拨款收入支出决算表</w:t>
            </w:r>
            <w:bookmarkEnd w:id="35"/>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永川高新区数字化服务中心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073"/>
        <w:gridCol w:w="3022"/>
        <w:gridCol w:w="3380"/>
        <w:gridCol w:w="206"/>
        <w:gridCol w:w="3587"/>
        <w:gridCol w:w="79"/>
        <w:gridCol w:w="3523"/>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cs="宋体"/>
                <w:b/>
                <w:color w:val="000000"/>
                <w:szCs w:val="32"/>
              </w:rPr>
            </w:pPr>
            <w:bookmarkStart w:id="36" w:name="_Toc564664858"/>
            <w:r>
              <w:rPr>
                <w:sz w:val="32"/>
                <w:szCs w:val="32"/>
              </w:rPr>
              <w:t>国有资本经营预算财政拨款支出决算表</w:t>
            </w:r>
            <w:bookmarkEnd w:id="36"/>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永川高新区数字化服务中心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292"/>
        <w:gridCol w:w="2502"/>
        <w:gridCol w:w="2460"/>
        <w:gridCol w:w="3805"/>
        <w:gridCol w:w="257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cs="宋体"/>
                <w:b/>
                <w:color w:val="000000"/>
                <w:kern w:val="2"/>
                <w:szCs w:val="32"/>
              </w:rPr>
            </w:pPr>
            <w:bookmarkStart w:id="37" w:name="_Toc1717795243"/>
            <w:r>
              <w:rPr>
                <w:sz w:val="32"/>
                <w:szCs w:val="32"/>
              </w:rPr>
              <w:t>机构运行信息表</w:t>
            </w:r>
            <w:bookmarkEnd w:id="37"/>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永川高新区数字化服务中心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9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ascii="Times New Roman" w:hAnsi="Times New Roman" w:eastAsia="方正仿宋_GBK" w:cs="Times New Roman"/>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hint="default" w:ascii="Times New Roman" w:hAnsi="Times New Roman" w:eastAsia="方正仿宋_GBK" w:cs="Times New Roman"/>
          <w:sz w:val="20"/>
          <w:szCs w:val="20"/>
        </w:rPr>
        <w:br w:type="textWrapping"/>
      </w:r>
    </w:p>
    <w:tbl>
      <w:tblPr>
        <w:tblStyle w:val="10"/>
        <w:tblW w:w="15920"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22"/>
        <w:gridCol w:w="1091"/>
        <w:gridCol w:w="1349"/>
        <w:gridCol w:w="1691"/>
        <w:gridCol w:w="1413"/>
        <w:gridCol w:w="1320"/>
        <w:gridCol w:w="1934"/>
        <w:gridCol w:w="1186"/>
        <w:gridCol w:w="1174"/>
        <w:gridCol w:w="104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5920" w:type="dxa"/>
            <w:gridSpan w:val="11"/>
            <w:tcBorders>
              <w:top w:val="nil"/>
              <w:left w:val="nil"/>
              <w:bottom w:val="nil"/>
              <w:right w:val="nil"/>
            </w:tcBorders>
            <w:shd w:val="clear" w:color="auto" w:fill="auto"/>
            <w:noWrap/>
            <w:vAlign w:val="center"/>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val="0"/>
                <w:iCs w:val="0"/>
                <w:color w:val="000000"/>
                <w:szCs w:val="40"/>
                <w:u w:val="none"/>
              </w:rPr>
            </w:pPr>
            <w:bookmarkStart w:id="38" w:name="_Toc290292913"/>
            <w:r>
              <w:rPr>
                <w:rFonts w:hint="eastAsia" w:ascii="方正小标宋_GBK" w:hAnsi="方正小标宋_GBK" w:eastAsia="方正小标宋_GBK" w:cs="方正小标宋_GBK"/>
                <w:b w:val="0"/>
                <w:bCs/>
                <w:lang w:val="en-US" w:eastAsia="zh-CN"/>
              </w:rPr>
              <w:t>2024年度部门整体绩效自评表</w:t>
            </w:r>
            <w:bookmarkEnd w:id="3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920"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b/>
                <w:bCs/>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财政归口处室：</w:t>
            </w:r>
          </w:p>
        </w:tc>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9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8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i w:val="0"/>
                <w:iCs w:val="0"/>
                <w:color w:val="000000"/>
                <w:sz w:val="22"/>
                <w:szCs w:val="22"/>
                <w:u w:val="none"/>
              </w:rPr>
            </w:pP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27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7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绩效目标</w:t>
            </w:r>
          </w:p>
        </w:tc>
        <w:tc>
          <w:tcPr>
            <w:tcW w:w="76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80808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8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46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8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46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9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right"/>
              <w:rPr>
                <w:rFonts w:hint="eastAsia" w:ascii="方正仿宋_GBK" w:hAnsi="方正仿宋_GBK" w:eastAsia="方正仿宋_GBK" w:cs="方正仿宋_GBK"/>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9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总体说明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920" w:type="dxa"/>
            <w:gridSpan w:val="11"/>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（本单位未开展2024年部门整体绩效自评，故本表为空）</w:t>
            </w:r>
          </w:p>
        </w:tc>
      </w:tr>
    </w:tbl>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10"/>
        <w:tblW w:w="15405"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1123"/>
        <w:gridCol w:w="865"/>
        <w:gridCol w:w="1895"/>
        <w:gridCol w:w="1348"/>
        <w:gridCol w:w="1591"/>
        <w:gridCol w:w="1799"/>
        <w:gridCol w:w="1123"/>
        <w:gridCol w:w="1123"/>
        <w:gridCol w:w="1574"/>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5405" w:type="dxa"/>
            <w:gridSpan w:val="11"/>
            <w:tcBorders>
              <w:top w:val="nil"/>
              <w:left w:val="nil"/>
              <w:bottom w:val="nil"/>
              <w:right w:val="nil"/>
            </w:tcBorders>
            <w:shd w:val="clear" w:color="auto" w:fill="auto"/>
            <w:noWrap/>
            <w:vAlign w:val="center"/>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val="0"/>
                <w:iCs w:val="0"/>
                <w:color w:val="000000"/>
                <w:szCs w:val="40"/>
                <w:u w:val="none"/>
              </w:rPr>
            </w:pPr>
            <w:bookmarkStart w:id="39" w:name="_Toc437341913"/>
            <w:r>
              <w:rPr>
                <w:rFonts w:hint="eastAsia" w:ascii="方正小标宋_GBK" w:hAnsi="方正小标宋_GBK" w:eastAsia="方正小标宋_GBK" w:cs="方正小标宋_GBK"/>
                <w:b w:val="0"/>
                <w:bCs/>
                <w:lang w:val="en-US" w:eastAsia="zh-CN"/>
              </w:rPr>
              <w:t>2024年度项目绩效自评表1</w:t>
            </w:r>
            <w:bookmarkEnd w:id="3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405" w:type="dxa"/>
            <w:gridSpan w:val="11"/>
            <w:tcBorders>
              <w:top w:val="nil"/>
              <w:left w:val="nil"/>
              <w:bottom w:val="nil"/>
              <w:right w:val="nil"/>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000000"/>
                <w:sz w:val="22"/>
                <w:szCs w:val="22"/>
                <w:u w:val="none"/>
              </w:rPr>
            </w:pPr>
            <w:r>
              <w:rPr>
                <w:rStyle w:val="22"/>
                <w:rFonts w:hint="eastAsia"/>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项目名称：</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项目编码：</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自评总分：</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项目主管部门：</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财政归口科室</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部门联系人</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联系电话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54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Style w:val="24"/>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年初预算数</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全年（调整）预算数</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全年执行数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执行率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执行率权重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5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5"/>
                <w:lang w:val="en-US" w:eastAsia="zh-CN" w:bidi="ar"/>
              </w:rPr>
              <w:t>年度总金额</w:t>
            </w:r>
          </w:p>
        </w:tc>
        <w:tc>
          <w:tcPr>
            <w:tcW w:w="112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865"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4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91"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5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5"/>
                <w:lang w:val="en-US" w:eastAsia="zh-CN" w:bidi="ar"/>
              </w:rPr>
              <w:t>其中：财政拨款</w:t>
            </w:r>
          </w:p>
        </w:tc>
        <w:tc>
          <w:tcPr>
            <w:tcW w:w="112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865"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4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91"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5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5"/>
                <w:lang w:val="en-US" w:eastAsia="zh-CN" w:bidi="ar"/>
              </w:rPr>
              <w:t>一般公共预算</w:t>
            </w:r>
          </w:p>
        </w:tc>
        <w:tc>
          <w:tcPr>
            <w:tcW w:w="112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865"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4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91"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Style w:val="24"/>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年初绩效目标</w:t>
            </w:r>
          </w:p>
        </w:tc>
        <w:tc>
          <w:tcPr>
            <w:tcW w:w="58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4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58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4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Style w:val="24"/>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指标名称</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计量单位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指标性质</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指标值</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全年完成值</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偏离度（</w:t>
            </w:r>
            <w:r>
              <w:rPr>
                <w:rStyle w:val="26"/>
                <w:rFonts w:eastAsia="宋体"/>
                <w:lang w:val="en-US" w:eastAsia="zh-CN" w:bidi="ar"/>
              </w:rPr>
              <w:t>%</w:t>
            </w:r>
            <w:r>
              <w:rPr>
                <w:rStyle w:val="23"/>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得分系数（</w:t>
            </w:r>
            <w:r>
              <w:rPr>
                <w:rStyle w:val="26"/>
                <w:rFonts w:eastAsia="宋体"/>
                <w:lang w:val="en-US" w:eastAsia="zh-CN" w:bidi="ar"/>
              </w:rPr>
              <w:t>%</w:t>
            </w:r>
            <w:r>
              <w:rPr>
                <w:rStyle w:val="23"/>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指标权重</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指标得分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是否核心指标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54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5"/>
                <w:lang w:val="en-US" w:eastAsia="zh-CN" w:bidi="ar"/>
              </w:rPr>
              <w:t>总体说明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40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5"/>
                <w:lang w:val="en-US" w:eastAsia="zh-CN" w:bidi="ar"/>
              </w:rPr>
              <w:t>（本单位没有项目支出，故本表为空）</w:t>
            </w:r>
          </w:p>
        </w:tc>
      </w:tr>
    </w:tbl>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10"/>
        <w:tblW w:w="159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4"/>
        <w:gridCol w:w="1141"/>
        <w:gridCol w:w="1141"/>
        <w:gridCol w:w="1599"/>
        <w:gridCol w:w="1370"/>
        <w:gridCol w:w="1598"/>
        <w:gridCol w:w="1827"/>
        <w:gridCol w:w="1141"/>
        <w:gridCol w:w="1141"/>
        <w:gridCol w:w="1599"/>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5907" w:type="dxa"/>
            <w:gridSpan w:val="11"/>
            <w:tcBorders>
              <w:top w:val="nil"/>
              <w:left w:val="nil"/>
              <w:bottom w:val="nil"/>
              <w:right w:val="nil"/>
            </w:tcBorders>
            <w:shd w:val="clear" w:color="auto" w:fill="auto"/>
            <w:noWrap/>
            <w:vAlign w:val="center"/>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val="0"/>
                <w:iCs w:val="0"/>
                <w:color w:val="000000"/>
                <w:szCs w:val="40"/>
                <w:u w:val="none"/>
              </w:rPr>
            </w:pPr>
            <w:bookmarkStart w:id="40" w:name="_Toc1940546641"/>
            <w:r>
              <w:rPr>
                <w:rFonts w:hint="eastAsia" w:ascii="方正小标宋_GBK" w:hAnsi="方正小标宋_GBK" w:eastAsia="方正小标宋_GBK" w:cs="方正小标宋_GBK"/>
                <w:b w:val="0"/>
                <w:bCs/>
                <w:lang w:val="en-US" w:eastAsia="zh-CN"/>
              </w:rPr>
              <w:t>2024年度项目绩效自评表2</w:t>
            </w:r>
            <w:bookmarkEnd w:id="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11"/>
            <w:tcBorders>
              <w:top w:val="nil"/>
              <w:left w:val="nil"/>
              <w:bottom w:val="single" w:color="auto" w:sz="4" w:space="0"/>
              <w:right w:val="nil"/>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财政归口科室</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8"/>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8"/>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8"/>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8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55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44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8"/>
                <w:lang w:val="en-US" w:eastAsia="zh-CN" w:bidi="ar"/>
              </w:rPr>
              <w:t>总体说明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90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8"/>
                <w:lang w:val="en-US" w:eastAsia="zh-CN" w:bidi="ar"/>
              </w:rPr>
              <w:t>（本单位没有项目支出，故本表为空）</w:t>
            </w:r>
          </w:p>
        </w:tc>
      </w:tr>
    </w:tbl>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10"/>
        <w:tblW w:w="15640" w:type="dxa"/>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2"/>
        <w:gridCol w:w="1154"/>
        <w:gridCol w:w="1154"/>
        <w:gridCol w:w="1543"/>
        <w:gridCol w:w="1505"/>
        <w:gridCol w:w="1495"/>
        <w:gridCol w:w="2068"/>
        <w:gridCol w:w="999"/>
        <w:gridCol w:w="1244"/>
        <w:gridCol w:w="1761"/>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5640" w:type="dxa"/>
            <w:gridSpan w:val="11"/>
            <w:tcBorders>
              <w:top w:val="nil"/>
              <w:left w:val="nil"/>
              <w:bottom w:val="nil"/>
              <w:right w:val="nil"/>
            </w:tcBorders>
            <w:shd w:val="clear" w:color="auto" w:fill="auto"/>
            <w:noWrap/>
            <w:vAlign w:val="center"/>
          </w:tcPr>
          <w:p>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val="0"/>
                <w:iCs w:val="0"/>
                <w:color w:val="000000"/>
                <w:sz w:val="40"/>
                <w:szCs w:val="40"/>
                <w:u w:val="none"/>
              </w:rPr>
            </w:pPr>
            <w:bookmarkStart w:id="41" w:name="_Toc180703150"/>
            <w:r>
              <w:rPr>
                <w:rFonts w:hint="eastAsia" w:ascii="方正小标宋_GBK" w:hAnsi="方正小标宋_GBK" w:eastAsia="方正小标宋_GBK" w:cs="方正小标宋_GBK"/>
                <w:b w:val="0"/>
                <w:bCs/>
                <w:i w:val="0"/>
                <w:iCs w:val="0"/>
                <w:color w:val="000000"/>
                <w:kern w:val="0"/>
                <w:sz w:val="40"/>
                <w:szCs w:val="40"/>
                <w:u w:val="none"/>
                <w:lang w:val="en-US" w:eastAsia="zh-CN" w:bidi="ar"/>
              </w:rPr>
              <w:t>2024年度项目绩效自评表3</w:t>
            </w:r>
            <w:bookmarkEnd w:id="4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5640" w:type="dxa"/>
            <w:gridSpan w:val="11"/>
            <w:tcBorders>
              <w:top w:val="nil"/>
              <w:left w:val="nil"/>
              <w:bottom w:val="nil"/>
              <w:right w:val="nil"/>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财政归口科室</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1154"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05"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49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999"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1154"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05"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49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999"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1154"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505"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49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999"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6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60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60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6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8"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56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总体说明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564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（本单位没有项目支出，故本表为空）</w:t>
            </w:r>
          </w:p>
        </w:tc>
      </w:tr>
    </w:tbl>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10"/>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3"/>
        <w:gridCol w:w="3012"/>
        <w:gridCol w:w="1783"/>
        <w:gridCol w:w="3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958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2"/>
              <w:bidi w:val="0"/>
              <w:jc w:val="center"/>
              <w:rPr>
                <w:rFonts w:ascii="方正小标宋_GBK" w:hAnsi="方正小标宋_GBK" w:eastAsia="方正小标宋_GBK" w:cs="方正小标宋_GBK"/>
                <w:i w:val="0"/>
                <w:iCs w:val="0"/>
                <w:color w:val="000000"/>
                <w:szCs w:val="32"/>
                <w:u w:val="none"/>
              </w:rPr>
            </w:pPr>
            <w:bookmarkStart w:id="42" w:name="_Toc1697937827"/>
            <w:r>
              <w:rPr>
                <w:rFonts w:hint="eastAsia" w:ascii="方正小标宋_GBK" w:hAnsi="方正小标宋_GBK" w:eastAsia="方正小标宋_GBK" w:cs="方正小标宋_GBK"/>
                <w:b w:val="0"/>
                <w:bCs/>
                <w:sz w:val="36"/>
                <w:szCs w:val="21"/>
                <w:lang w:val="en-US" w:eastAsia="zh-CN"/>
              </w:rPr>
              <w:t>永川高新区数字化服务中心项目绩效自评结果汇总表</w:t>
            </w:r>
            <w:bookmarkEnd w:id="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9"/>
                <w:rFonts w:hint="eastAsia"/>
                <w:lang w:val="en-US" w:eastAsia="zh-CN" w:bidi="ar"/>
              </w:rPr>
              <w:t>（</w:t>
            </w:r>
            <w:r>
              <w:rPr>
                <w:rStyle w:val="30"/>
                <w:rFonts w:eastAsia="宋体"/>
                <w:lang w:val="en-US" w:eastAsia="zh-CN" w:bidi="ar"/>
              </w:rPr>
              <w:t>202</w:t>
            </w:r>
            <w:r>
              <w:rPr>
                <w:rStyle w:val="30"/>
                <w:rFonts w:hint="eastAsia"/>
                <w:lang w:val="en-US" w:eastAsia="zh-CN" w:bidi="ar"/>
              </w:rPr>
              <w:t>4</w:t>
            </w:r>
            <w:r>
              <w:rPr>
                <w:rStyle w:val="29"/>
                <w:rFonts w:hint="eastAsia"/>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9"/>
                <w:rFonts w:hint="eastAsia"/>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9"/>
                <w:rFonts w:hint="eastAsia"/>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9"/>
                <w:rFonts w:hint="eastAsia"/>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9"/>
                <w:rFonts w:hint="eastAsia"/>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kinsoku/>
        <w:wordWrap/>
        <w:overflowPunct/>
        <w:topLinePunct w:val="0"/>
        <w:autoSpaceDE/>
        <w:autoSpaceDN/>
        <w:bidi w:val="0"/>
        <w:adjustRightInd w:val="0"/>
        <w:snapToGrid w:val="0"/>
        <w:spacing w:line="240" w:lineRule="atLeast"/>
        <w:ind w:firstLine="3150" w:firstLineChars="1500"/>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eastAsia="zh-CN"/>
        </w:rPr>
        <w:t>本单位没有项目支出，故本表为空</w:t>
      </w:r>
    </w:p>
    <w:sectPr>
      <w:headerReference r:id="rId4" w:type="default"/>
      <w:footerReference r:id="rId5" w:type="default"/>
      <w:pgSz w:w="16839" w:h="11907" w:orient="landscape"/>
      <w:pgMar w:top="567" w:right="682" w:bottom="567" w:left="31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jJhNWE1OGYyYjMyMWI2ZWQ5YjdhOWFlM2YwYjIifQ=="/>
  </w:docVars>
  <w:rsids>
    <w:rsidRoot w:val="00B03CCD"/>
    <w:rsid w:val="001C048E"/>
    <w:rsid w:val="002B254B"/>
    <w:rsid w:val="00550ABE"/>
    <w:rsid w:val="00770383"/>
    <w:rsid w:val="007819D4"/>
    <w:rsid w:val="007B419D"/>
    <w:rsid w:val="009B67B8"/>
    <w:rsid w:val="009D2B67"/>
    <w:rsid w:val="00B03CCD"/>
    <w:rsid w:val="00C20C3E"/>
    <w:rsid w:val="00F73F90"/>
    <w:rsid w:val="01474EBF"/>
    <w:rsid w:val="01F3521E"/>
    <w:rsid w:val="03B87EA0"/>
    <w:rsid w:val="03E3214F"/>
    <w:rsid w:val="044C50BA"/>
    <w:rsid w:val="05BC6D49"/>
    <w:rsid w:val="06194FF1"/>
    <w:rsid w:val="06A2550B"/>
    <w:rsid w:val="06F80EE2"/>
    <w:rsid w:val="07001CCA"/>
    <w:rsid w:val="075678DB"/>
    <w:rsid w:val="076F2A85"/>
    <w:rsid w:val="079D7CC7"/>
    <w:rsid w:val="08051BCA"/>
    <w:rsid w:val="086C12F4"/>
    <w:rsid w:val="08705944"/>
    <w:rsid w:val="08BA052C"/>
    <w:rsid w:val="08DB07BA"/>
    <w:rsid w:val="0969353F"/>
    <w:rsid w:val="098305D0"/>
    <w:rsid w:val="0A0501E5"/>
    <w:rsid w:val="0A3317EA"/>
    <w:rsid w:val="0A5C4B69"/>
    <w:rsid w:val="0A86124A"/>
    <w:rsid w:val="0A930996"/>
    <w:rsid w:val="0AA92957"/>
    <w:rsid w:val="0AB54CC0"/>
    <w:rsid w:val="0B2500C4"/>
    <w:rsid w:val="0B9335CE"/>
    <w:rsid w:val="0BF2311A"/>
    <w:rsid w:val="0BFA1F08"/>
    <w:rsid w:val="0C7927C4"/>
    <w:rsid w:val="0C9B098C"/>
    <w:rsid w:val="0D673E11"/>
    <w:rsid w:val="0DDA54E4"/>
    <w:rsid w:val="0E3A5F83"/>
    <w:rsid w:val="0F836721"/>
    <w:rsid w:val="0FA25D96"/>
    <w:rsid w:val="101F1086"/>
    <w:rsid w:val="107B59E5"/>
    <w:rsid w:val="10EC0126"/>
    <w:rsid w:val="10F70B9A"/>
    <w:rsid w:val="111445C7"/>
    <w:rsid w:val="114278C6"/>
    <w:rsid w:val="1158083A"/>
    <w:rsid w:val="11643A4B"/>
    <w:rsid w:val="11ED0F98"/>
    <w:rsid w:val="11F03528"/>
    <w:rsid w:val="12665599"/>
    <w:rsid w:val="12C921C4"/>
    <w:rsid w:val="13871C70"/>
    <w:rsid w:val="13A71CB4"/>
    <w:rsid w:val="13AF1D43"/>
    <w:rsid w:val="13CE1647"/>
    <w:rsid w:val="13FD55AB"/>
    <w:rsid w:val="14200702"/>
    <w:rsid w:val="14706840"/>
    <w:rsid w:val="163A6CEE"/>
    <w:rsid w:val="165423AD"/>
    <w:rsid w:val="173708E3"/>
    <w:rsid w:val="17697E7C"/>
    <w:rsid w:val="17C374FC"/>
    <w:rsid w:val="182E4AB6"/>
    <w:rsid w:val="183656B2"/>
    <w:rsid w:val="184243B2"/>
    <w:rsid w:val="18582E7F"/>
    <w:rsid w:val="189079DC"/>
    <w:rsid w:val="189B0D0B"/>
    <w:rsid w:val="18B43F7C"/>
    <w:rsid w:val="194A1770"/>
    <w:rsid w:val="19B906A4"/>
    <w:rsid w:val="1B6F15B6"/>
    <w:rsid w:val="1BAA2EDC"/>
    <w:rsid w:val="1BDB0DA5"/>
    <w:rsid w:val="1CA55E64"/>
    <w:rsid w:val="1D014A01"/>
    <w:rsid w:val="1D022362"/>
    <w:rsid w:val="1D1B04B0"/>
    <w:rsid w:val="1D45646B"/>
    <w:rsid w:val="1DA52501"/>
    <w:rsid w:val="1DBD6767"/>
    <w:rsid w:val="1DC52125"/>
    <w:rsid w:val="1DD26311"/>
    <w:rsid w:val="1E374ACB"/>
    <w:rsid w:val="1E9811D0"/>
    <w:rsid w:val="1ECF0A66"/>
    <w:rsid w:val="1EF67CA4"/>
    <w:rsid w:val="1F020D3A"/>
    <w:rsid w:val="1F2C5189"/>
    <w:rsid w:val="1F4B0B02"/>
    <w:rsid w:val="1FBB35CD"/>
    <w:rsid w:val="1FCD26AF"/>
    <w:rsid w:val="20642787"/>
    <w:rsid w:val="21556F04"/>
    <w:rsid w:val="22403BD3"/>
    <w:rsid w:val="232C638A"/>
    <w:rsid w:val="24B92327"/>
    <w:rsid w:val="24C14514"/>
    <w:rsid w:val="2533755C"/>
    <w:rsid w:val="25791755"/>
    <w:rsid w:val="26396DF4"/>
    <w:rsid w:val="27167136"/>
    <w:rsid w:val="271B442C"/>
    <w:rsid w:val="27346022"/>
    <w:rsid w:val="27802801"/>
    <w:rsid w:val="27B23302"/>
    <w:rsid w:val="29310A5F"/>
    <w:rsid w:val="29C37A35"/>
    <w:rsid w:val="2A076083"/>
    <w:rsid w:val="2A73162E"/>
    <w:rsid w:val="2B167953"/>
    <w:rsid w:val="2B200583"/>
    <w:rsid w:val="2B8209DE"/>
    <w:rsid w:val="2C636760"/>
    <w:rsid w:val="2C6762A3"/>
    <w:rsid w:val="2DB651CE"/>
    <w:rsid w:val="2FCA4B37"/>
    <w:rsid w:val="2FE029D7"/>
    <w:rsid w:val="2FF06E00"/>
    <w:rsid w:val="30446AC1"/>
    <w:rsid w:val="30586FEC"/>
    <w:rsid w:val="307635C8"/>
    <w:rsid w:val="30DF2C8E"/>
    <w:rsid w:val="30E06F38"/>
    <w:rsid w:val="30E51625"/>
    <w:rsid w:val="315F0B22"/>
    <w:rsid w:val="31D84415"/>
    <w:rsid w:val="32285F6F"/>
    <w:rsid w:val="32770556"/>
    <w:rsid w:val="329C0913"/>
    <w:rsid w:val="32AA0460"/>
    <w:rsid w:val="3337290D"/>
    <w:rsid w:val="33E31118"/>
    <w:rsid w:val="33EF7674"/>
    <w:rsid w:val="341E630E"/>
    <w:rsid w:val="342D7BC6"/>
    <w:rsid w:val="34A24703"/>
    <w:rsid w:val="352930DB"/>
    <w:rsid w:val="35573069"/>
    <w:rsid w:val="355F6038"/>
    <w:rsid w:val="358C217E"/>
    <w:rsid w:val="36C9128A"/>
    <w:rsid w:val="37841E99"/>
    <w:rsid w:val="37BF1123"/>
    <w:rsid w:val="383C3F15"/>
    <w:rsid w:val="384A70F8"/>
    <w:rsid w:val="38AC78FA"/>
    <w:rsid w:val="38BE4696"/>
    <w:rsid w:val="3939115E"/>
    <w:rsid w:val="39B82A39"/>
    <w:rsid w:val="39C42CA8"/>
    <w:rsid w:val="39CB4D56"/>
    <w:rsid w:val="39DC4FD6"/>
    <w:rsid w:val="39F03D7A"/>
    <w:rsid w:val="39F33306"/>
    <w:rsid w:val="3A2C1C67"/>
    <w:rsid w:val="3A3000B7"/>
    <w:rsid w:val="3A7E583B"/>
    <w:rsid w:val="3ADD7F09"/>
    <w:rsid w:val="3B1705E5"/>
    <w:rsid w:val="3B18334B"/>
    <w:rsid w:val="3B36794F"/>
    <w:rsid w:val="3B6F6EE0"/>
    <w:rsid w:val="3C2C4A72"/>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317735"/>
    <w:rsid w:val="40BD5482"/>
    <w:rsid w:val="41055DF9"/>
    <w:rsid w:val="411B6CE5"/>
    <w:rsid w:val="412070D7"/>
    <w:rsid w:val="41314E40"/>
    <w:rsid w:val="41E0734B"/>
    <w:rsid w:val="426C1EA8"/>
    <w:rsid w:val="42736402"/>
    <w:rsid w:val="42E86A87"/>
    <w:rsid w:val="43307B09"/>
    <w:rsid w:val="439A3EB9"/>
    <w:rsid w:val="43BB152F"/>
    <w:rsid w:val="44C37687"/>
    <w:rsid w:val="45CB699A"/>
    <w:rsid w:val="461E5950"/>
    <w:rsid w:val="461F6219"/>
    <w:rsid w:val="465B470D"/>
    <w:rsid w:val="469D6AD4"/>
    <w:rsid w:val="471E6C84"/>
    <w:rsid w:val="4748792B"/>
    <w:rsid w:val="475D719D"/>
    <w:rsid w:val="47674801"/>
    <w:rsid w:val="47DFD905"/>
    <w:rsid w:val="48225EF7"/>
    <w:rsid w:val="488F422B"/>
    <w:rsid w:val="48E36915"/>
    <w:rsid w:val="48EB6572"/>
    <w:rsid w:val="495C4A24"/>
    <w:rsid w:val="497135DF"/>
    <w:rsid w:val="4A263DF2"/>
    <w:rsid w:val="4A6F6675"/>
    <w:rsid w:val="4A9A4D73"/>
    <w:rsid w:val="4B135857"/>
    <w:rsid w:val="4B427ACD"/>
    <w:rsid w:val="4B7951CB"/>
    <w:rsid w:val="4B7C315C"/>
    <w:rsid w:val="4BCE14DD"/>
    <w:rsid w:val="4CA4722D"/>
    <w:rsid w:val="4DAC4ACA"/>
    <w:rsid w:val="4DBE01D2"/>
    <w:rsid w:val="4E0A64DB"/>
    <w:rsid w:val="4F0C6BA3"/>
    <w:rsid w:val="4F186D58"/>
    <w:rsid w:val="4F336227"/>
    <w:rsid w:val="4F8948EE"/>
    <w:rsid w:val="4FA26F09"/>
    <w:rsid w:val="50F06B6E"/>
    <w:rsid w:val="51D21804"/>
    <w:rsid w:val="51DF61F2"/>
    <w:rsid w:val="52234D33"/>
    <w:rsid w:val="522F6E0C"/>
    <w:rsid w:val="52463BA1"/>
    <w:rsid w:val="52F163D4"/>
    <w:rsid w:val="531A2DB4"/>
    <w:rsid w:val="53AF6696"/>
    <w:rsid w:val="53C0244D"/>
    <w:rsid w:val="53DD4D4E"/>
    <w:rsid w:val="53E578CE"/>
    <w:rsid w:val="541330F0"/>
    <w:rsid w:val="54272666"/>
    <w:rsid w:val="543B029D"/>
    <w:rsid w:val="5449519D"/>
    <w:rsid w:val="54861779"/>
    <w:rsid w:val="552256E1"/>
    <w:rsid w:val="554E5773"/>
    <w:rsid w:val="555A3CBC"/>
    <w:rsid w:val="5582012B"/>
    <w:rsid w:val="558E4E05"/>
    <w:rsid w:val="55BE2E85"/>
    <w:rsid w:val="56530F5D"/>
    <w:rsid w:val="567700D3"/>
    <w:rsid w:val="56FF7E9E"/>
    <w:rsid w:val="578867FC"/>
    <w:rsid w:val="5842572D"/>
    <w:rsid w:val="592B6AC0"/>
    <w:rsid w:val="5979267D"/>
    <w:rsid w:val="5A0C7053"/>
    <w:rsid w:val="5A3B59D6"/>
    <w:rsid w:val="5AD134D8"/>
    <w:rsid w:val="5BF925A6"/>
    <w:rsid w:val="5C263CE4"/>
    <w:rsid w:val="5C5D2777"/>
    <w:rsid w:val="5CF66BF3"/>
    <w:rsid w:val="5D290C69"/>
    <w:rsid w:val="5D8508F9"/>
    <w:rsid w:val="5E2A4C99"/>
    <w:rsid w:val="5E940365"/>
    <w:rsid w:val="5F2D4A41"/>
    <w:rsid w:val="5F6979BF"/>
    <w:rsid w:val="60C74F6C"/>
    <w:rsid w:val="61025A59"/>
    <w:rsid w:val="613D5BBC"/>
    <w:rsid w:val="61536C39"/>
    <w:rsid w:val="616B35FF"/>
    <w:rsid w:val="6171498D"/>
    <w:rsid w:val="617D7A01"/>
    <w:rsid w:val="62944DD7"/>
    <w:rsid w:val="6319381F"/>
    <w:rsid w:val="63716EC6"/>
    <w:rsid w:val="63C25DC5"/>
    <w:rsid w:val="63C62057"/>
    <w:rsid w:val="64571EF5"/>
    <w:rsid w:val="64CD6DDB"/>
    <w:rsid w:val="64FB113D"/>
    <w:rsid w:val="656152C6"/>
    <w:rsid w:val="6587477F"/>
    <w:rsid w:val="658C3A08"/>
    <w:rsid w:val="65A90B99"/>
    <w:rsid w:val="65C031CA"/>
    <w:rsid w:val="65CE6852"/>
    <w:rsid w:val="66267C04"/>
    <w:rsid w:val="663F505A"/>
    <w:rsid w:val="66EE5541"/>
    <w:rsid w:val="67924660"/>
    <w:rsid w:val="68407834"/>
    <w:rsid w:val="6883293E"/>
    <w:rsid w:val="688412AD"/>
    <w:rsid w:val="68A04378"/>
    <w:rsid w:val="68B26BCF"/>
    <w:rsid w:val="68EB1B71"/>
    <w:rsid w:val="6A6C7940"/>
    <w:rsid w:val="6A6F3E40"/>
    <w:rsid w:val="6AAD2300"/>
    <w:rsid w:val="6B474EF5"/>
    <w:rsid w:val="6BA2764C"/>
    <w:rsid w:val="6C0A5AC5"/>
    <w:rsid w:val="6C560CAE"/>
    <w:rsid w:val="6C576495"/>
    <w:rsid w:val="6D903FF5"/>
    <w:rsid w:val="6DA955B8"/>
    <w:rsid w:val="6DB338C6"/>
    <w:rsid w:val="6DE346AB"/>
    <w:rsid w:val="6DE5391A"/>
    <w:rsid w:val="6EFD1324"/>
    <w:rsid w:val="6F5A53AC"/>
    <w:rsid w:val="6FA65C33"/>
    <w:rsid w:val="6FAC003D"/>
    <w:rsid w:val="6FE55E12"/>
    <w:rsid w:val="6FFB2E76"/>
    <w:rsid w:val="708F6F7F"/>
    <w:rsid w:val="70D574F0"/>
    <w:rsid w:val="70D94BD3"/>
    <w:rsid w:val="71241A1C"/>
    <w:rsid w:val="71C34D91"/>
    <w:rsid w:val="71FD5692"/>
    <w:rsid w:val="72811906"/>
    <w:rsid w:val="72AC770B"/>
    <w:rsid w:val="72DB435C"/>
    <w:rsid w:val="72E2613A"/>
    <w:rsid w:val="72F771F4"/>
    <w:rsid w:val="73934AD2"/>
    <w:rsid w:val="73F72DE7"/>
    <w:rsid w:val="746E5488"/>
    <w:rsid w:val="74C74B98"/>
    <w:rsid w:val="750837F0"/>
    <w:rsid w:val="754758CF"/>
    <w:rsid w:val="754F201D"/>
    <w:rsid w:val="764F62AB"/>
    <w:rsid w:val="765C45EC"/>
    <w:rsid w:val="768A7619"/>
    <w:rsid w:val="772E1EBA"/>
    <w:rsid w:val="779C46DB"/>
    <w:rsid w:val="781926BC"/>
    <w:rsid w:val="796D60A4"/>
    <w:rsid w:val="799F4335"/>
    <w:rsid w:val="79A031D5"/>
    <w:rsid w:val="79CD5559"/>
    <w:rsid w:val="7A1525F7"/>
    <w:rsid w:val="7B420052"/>
    <w:rsid w:val="7BD06A28"/>
    <w:rsid w:val="7C3A7C0B"/>
    <w:rsid w:val="7C5248E4"/>
    <w:rsid w:val="7C566698"/>
    <w:rsid w:val="7C5866A3"/>
    <w:rsid w:val="7D7406BB"/>
    <w:rsid w:val="7DDDC701"/>
    <w:rsid w:val="7DE94331"/>
    <w:rsid w:val="7EEF549F"/>
    <w:rsid w:val="7F0B7D77"/>
    <w:rsid w:val="7F446A19"/>
    <w:rsid w:val="7F7452B9"/>
    <w:rsid w:val="A3EF453D"/>
    <w:rsid w:val="A5F7DBA3"/>
    <w:rsid w:val="EFD18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val="0"/>
      <w:jc w:val="both"/>
    </w:pPr>
    <w:rPr>
      <w:rFonts w:hint="default" w:asciiTheme="minorHAnsi" w:hAnsiTheme="minorHAnsi" w:eastAsiaTheme="minorEastAsia" w:cstheme="minorBidi"/>
      <w:kern w:val="2"/>
      <w:sz w:val="21"/>
      <w:szCs w:val="22"/>
    </w:rPr>
  </w:style>
  <w:style w:type="paragraph" w:styleId="7">
    <w:name w:val="toc 2"/>
    <w:basedOn w:val="1"/>
    <w:next w:val="1"/>
    <w:unhideWhenUsed/>
    <w:qFormat/>
    <w:uiPriority w:val="39"/>
    <w:pPr>
      <w:widowControl w:val="0"/>
      <w:ind w:left="420" w:leftChars="200"/>
      <w:jc w:val="both"/>
    </w:pPr>
    <w:rPr>
      <w:rFonts w:hint="default" w:asciiTheme="minorHAnsi" w:hAnsiTheme="minorHAnsi" w:eastAsiaTheme="minorEastAsia" w:cstheme="minorBidi"/>
      <w:kern w:val="2"/>
      <w:sz w:val="21"/>
      <w:szCs w:val="22"/>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3"/>
    <w:qFormat/>
    <w:uiPriority w:val="0"/>
    <w:rPr>
      <w:rFonts w:ascii="宋体" w:hAnsi="宋体"/>
      <w:sz w:val="18"/>
      <w:szCs w:val="18"/>
    </w:rPr>
  </w:style>
  <w:style w:type="character" w:customStyle="1" w:styleId="20">
    <w:name w:val="font11"/>
    <w:basedOn w:val="12"/>
    <w:qFormat/>
    <w:uiPriority w:val="0"/>
    <w:rPr>
      <w:rFonts w:hint="default" w:ascii="Times New Roman" w:hAnsi="Times New Roman" w:cs="Times New Roman"/>
      <w:color w:val="000000"/>
      <w:sz w:val="40"/>
      <w:szCs w:val="40"/>
      <w:u w:val="none"/>
    </w:rPr>
  </w:style>
  <w:style w:type="character" w:customStyle="1" w:styleId="21">
    <w:name w:val="font71"/>
    <w:basedOn w:val="12"/>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2"/>
    <w:qFormat/>
    <w:uiPriority w:val="0"/>
    <w:rPr>
      <w:rFonts w:ascii="方正仿宋_GBK" w:hAnsi="方正仿宋_GBK" w:eastAsia="方正仿宋_GBK" w:cs="方正仿宋_GBK"/>
      <w:b/>
      <w:bCs/>
      <w:color w:val="000000"/>
      <w:sz w:val="22"/>
      <w:szCs w:val="22"/>
      <w:u w:val="none"/>
    </w:rPr>
  </w:style>
  <w:style w:type="character" w:customStyle="1" w:styleId="23">
    <w:name w:val="font91"/>
    <w:basedOn w:val="12"/>
    <w:qFormat/>
    <w:uiPriority w:val="0"/>
    <w:rPr>
      <w:rFonts w:hint="eastAsia" w:ascii="方正仿宋_GBK" w:hAnsi="方正仿宋_GBK" w:eastAsia="方正仿宋_GBK" w:cs="方正仿宋_GBK"/>
      <w:b/>
      <w:bCs/>
      <w:color w:val="000000"/>
      <w:sz w:val="22"/>
      <w:szCs w:val="22"/>
      <w:u w:val="none"/>
    </w:rPr>
  </w:style>
  <w:style w:type="character" w:customStyle="1" w:styleId="24">
    <w:name w:val="font101"/>
    <w:basedOn w:val="12"/>
    <w:qFormat/>
    <w:uiPriority w:val="0"/>
    <w:rPr>
      <w:rFonts w:hint="eastAsia" w:ascii="方正仿宋_GBK" w:hAnsi="方正仿宋_GBK" w:eastAsia="方正仿宋_GBK" w:cs="方正仿宋_GBK"/>
      <w:b/>
      <w:bCs/>
      <w:color w:val="808080"/>
      <w:sz w:val="28"/>
      <w:szCs w:val="28"/>
      <w:u w:val="none"/>
    </w:rPr>
  </w:style>
  <w:style w:type="character" w:customStyle="1" w:styleId="25">
    <w:name w:val="font112"/>
    <w:basedOn w:val="12"/>
    <w:qFormat/>
    <w:uiPriority w:val="0"/>
    <w:rPr>
      <w:rFonts w:hint="eastAsia" w:ascii="方正仿宋_GBK" w:hAnsi="方正仿宋_GBK" w:eastAsia="方正仿宋_GBK" w:cs="方正仿宋_GBK"/>
      <w:color w:val="000000"/>
      <w:sz w:val="22"/>
      <w:szCs w:val="22"/>
      <w:u w:val="none"/>
    </w:rPr>
  </w:style>
  <w:style w:type="character" w:customStyle="1" w:styleId="26">
    <w:name w:val="font31"/>
    <w:basedOn w:val="12"/>
    <w:qFormat/>
    <w:uiPriority w:val="0"/>
    <w:rPr>
      <w:rFonts w:hint="default" w:ascii="Times New Roman" w:hAnsi="Times New Roman" w:cs="Times New Roman"/>
      <w:b/>
      <w:bCs/>
      <w:color w:val="000000"/>
      <w:sz w:val="22"/>
      <w:szCs w:val="22"/>
      <w:u w:val="none"/>
    </w:rPr>
  </w:style>
  <w:style w:type="character" w:customStyle="1" w:styleId="27">
    <w:name w:val="font12"/>
    <w:basedOn w:val="12"/>
    <w:qFormat/>
    <w:uiPriority w:val="0"/>
    <w:rPr>
      <w:rFonts w:hint="default" w:ascii="Times New Roman" w:hAnsi="Times New Roman" w:cs="Times New Roman"/>
      <w:color w:val="000000"/>
      <w:sz w:val="40"/>
      <w:szCs w:val="40"/>
      <w:u w:val="none"/>
    </w:rPr>
  </w:style>
  <w:style w:type="character" w:customStyle="1" w:styleId="28">
    <w:name w:val="font111"/>
    <w:basedOn w:val="12"/>
    <w:qFormat/>
    <w:uiPriority w:val="0"/>
    <w:rPr>
      <w:rFonts w:hint="eastAsia" w:ascii="方正仿宋_GBK" w:hAnsi="方正仿宋_GBK" w:eastAsia="方正仿宋_GBK" w:cs="方正仿宋_GBK"/>
      <w:color w:val="000000"/>
      <w:sz w:val="22"/>
      <w:szCs w:val="22"/>
      <w:u w:val="none"/>
    </w:rPr>
  </w:style>
  <w:style w:type="character" w:customStyle="1" w:styleId="29">
    <w:name w:val="font51"/>
    <w:basedOn w:val="12"/>
    <w:qFormat/>
    <w:uiPriority w:val="0"/>
    <w:rPr>
      <w:rFonts w:ascii="方正仿宋_GBK" w:hAnsi="方正仿宋_GBK" w:eastAsia="方正仿宋_GBK" w:cs="方正仿宋_GBK"/>
      <w:color w:val="000000"/>
      <w:sz w:val="24"/>
      <w:szCs w:val="24"/>
      <w:u w:val="none"/>
    </w:rPr>
  </w:style>
  <w:style w:type="character" w:customStyle="1" w:styleId="30">
    <w:name w:val="font21"/>
    <w:basedOn w:val="12"/>
    <w:qFormat/>
    <w:uiPriority w:val="0"/>
    <w:rPr>
      <w:rFonts w:hint="default" w:ascii="Times New Roman" w:hAnsi="Times New Roman" w:cs="Times New Roman"/>
      <w:color w:val="000000"/>
      <w:sz w:val="24"/>
      <w:szCs w:val="24"/>
      <w:u w:val="none"/>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4910</Words>
  <Characters>5369</Characters>
  <Lines>190</Lines>
  <Paragraphs>53</Paragraphs>
  <TotalTime>8</TotalTime>
  <ScaleCrop>false</ScaleCrop>
  <LinksUpToDate>false</LinksUpToDate>
  <CharactersWithSpaces>5617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 </cp:lastModifiedBy>
  <dcterms:modified xsi:type="dcterms:W3CDTF">2025-08-20T09:38:15Z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BB46EABDBB2749749395447164B066B3_12</vt:lpwstr>
  </property>
  <property fmtid="{D5CDD505-2E9C-101B-9397-08002B2CF9AE}" pid="4" name="KSOTemplateDocerSaveRecord">
    <vt:lpwstr>eyJoZGlkIjoiOGI0NjY1MzVhNGJlOThjNTZiMmExODNhOTRkNjNmODQiLCJ1c2VySWQiOiIxMTQ3NTYzMzg5In0=</vt:lpwstr>
  </property>
</Properties>
</file>