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重庆市永川区人民政府办公室</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方正小标宋_GBK" w:cs="方正小标宋_GBK"/>
          <w:sz w:val="44"/>
          <w:szCs w:val="44"/>
        </w:rPr>
      </w:pPr>
      <w:r>
        <w:rPr>
          <w:rFonts w:hint="eastAsia" w:ascii="方正小标宋_GBK" w:hAnsi="方正小标宋_GBK" w:eastAsia="方正小标宋_GBK" w:cs="方正小标宋_GBK"/>
          <w:sz w:val="44"/>
          <w:szCs w:val="44"/>
          <w:lang w:eastAsia="zh-CN"/>
        </w:rPr>
        <w:t>关于印</w:t>
      </w:r>
      <w:bookmarkStart w:id="0" w:name="_GoBack"/>
      <w:bookmarkEnd w:id="0"/>
      <w:r>
        <w:rPr>
          <w:rFonts w:hint="eastAsia" w:ascii="方正小标宋_GBK" w:hAnsi="方正小标宋_GBK" w:eastAsia="方正小标宋_GBK" w:cs="方正小标宋_GBK"/>
          <w:sz w:val="44"/>
          <w:szCs w:val="44"/>
          <w:lang w:eastAsia="zh-CN"/>
        </w:rPr>
        <w:t>发</w:t>
      </w:r>
      <w:r>
        <w:rPr>
          <w:rFonts w:hint="eastAsia" w:ascii="Times New Roman" w:hAnsi="Times New Roman" w:eastAsia="方正小标宋_GBK"/>
          <w:sz w:val="44"/>
          <w:szCs w:val="44"/>
        </w:rPr>
        <w:t>永川区</w:t>
      </w:r>
      <w:r>
        <w:rPr>
          <w:rFonts w:hint="eastAsia" w:ascii="Times New Roman" w:hAnsi="Times New Roman" w:eastAsia="方正小标宋_GBK" w:cs="方正小标宋_GBK"/>
          <w:sz w:val="44"/>
          <w:szCs w:val="44"/>
        </w:rPr>
        <w:t>2022年度</w:t>
      </w:r>
      <w:r>
        <w:rPr>
          <w:rFonts w:hint="eastAsia" w:ascii="Times New Roman" w:hAnsi="Times New Roman" w:eastAsia="方正小标宋_GBK" w:cs="宋体"/>
          <w:sz w:val="44"/>
          <w:szCs w:val="44"/>
        </w:rPr>
        <w:t>落实耕地保</w:t>
      </w:r>
      <w:r>
        <w:rPr>
          <w:rFonts w:hint="eastAsia" w:ascii="Times New Roman" w:hAnsi="Times New Roman" w:eastAsia="方正小标宋_GBK" w:cs="方正小标宋_GBK"/>
          <w:sz w:val="44"/>
          <w:szCs w:val="44"/>
        </w:rPr>
        <w:t>护和</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cs="方正小标宋_GBK"/>
          <w:sz w:val="44"/>
          <w:szCs w:val="44"/>
        </w:rPr>
        <w:t>粮食安全责任制考核工作方案</w:t>
      </w:r>
      <w:r>
        <w:rPr>
          <w:rFonts w:hint="eastAsia" w:ascii="Times New Roman" w:hAnsi="Times New Roman" w:eastAsia="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永川府办发〔2023〕8号</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00" w:lineRule="auto"/>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各镇人民政府、街道办事处，区</w:t>
      </w:r>
      <w:r>
        <w:rPr>
          <w:rFonts w:hint="eastAsia" w:ascii="Times New Roman" w:hAnsi="Times New Roman" w:eastAsia="方正仿宋_GBK" w:cs="Times New Roman"/>
          <w:sz w:val="32"/>
          <w:szCs w:val="32"/>
          <w:lang w:eastAsia="zh-CN"/>
        </w:rPr>
        <w:t>政府</w:t>
      </w:r>
      <w:r>
        <w:rPr>
          <w:rFonts w:hint="default" w:ascii="Times New Roman" w:hAnsi="Times New Roman" w:eastAsia="方正仿宋_GBK" w:cs="Times New Roman"/>
          <w:sz w:val="32"/>
          <w:szCs w:val="32"/>
          <w:lang w:eastAsia="zh-CN"/>
        </w:rPr>
        <w:t>有关部门，有关单位：</w:t>
      </w:r>
    </w:p>
    <w:p>
      <w:pPr>
        <w:keepNext w:val="0"/>
        <w:keepLines w:val="0"/>
        <w:pageBreakBefore w:val="0"/>
        <w:widowControl w:val="0"/>
        <w:kinsoku/>
        <w:wordWrap/>
        <w:overflowPunct/>
        <w:topLinePunct w:val="0"/>
        <w:autoSpaceDE/>
        <w:autoSpaceDN/>
        <w:bidi w:val="0"/>
        <w:adjustRightInd w:val="0"/>
        <w:snapToGrid w:val="0"/>
        <w:spacing w:line="300" w:lineRule="auto"/>
        <w:ind w:firstLine="64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《永川区2022年度落实耕地保护和粮食安全责任制考核工作方案》已经区政府同意，现印发给你们，请遵照执行。</w:t>
      </w:r>
    </w:p>
    <w:p>
      <w:pPr>
        <w:keepNext w:val="0"/>
        <w:keepLines w:val="0"/>
        <w:pageBreakBefore w:val="0"/>
        <w:widowControl w:val="0"/>
        <w:kinsoku/>
        <w:wordWrap/>
        <w:overflowPunct/>
        <w:topLinePunct w:val="0"/>
        <w:autoSpaceDE/>
        <w:autoSpaceDN/>
        <w:bidi w:val="0"/>
        <w:adjustRightInd w:val="0"/>
        <w:snapToGrid w:val="0"/>
        <w:spacing w:line="300" w:lineRule="auto"/>
        <w:ind w:firstLine="64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64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64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重庆市永川区人民政府办公室</w:t>
      </w:r>
    </w:p>
    <w:p>
      <w:pPr>
        <w:keepNext w:val="0"/>
        <w:keepLines w:val="0"/>
        <w:pageBreakBefore w:val="0"/>
        <w:widowControl w:val="0"/>
        <w:kinsoku/>
        <w:wordWrap/>
        <w:overflowPunct/>
        <w:topLinePunct w:val="0"/>
        <w:autoSpaceDE/>
        <w:autoSpaceDN/>
        <w:bidi w:val="0"/>
        <w:adjustRightInd w:val="0"/>
        <w:snapToGrid w:val="0"/>
        <w:spacing w:line="300" w:lineRule="auto"/>
        <w:ind w:firstLine="64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2023年1月30日</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（此件公开发布）</w:t>
      </w:r>
    </w:p>
    <w:p>
      <w:pPr>
        <w:pStyle w:val="2"/>
        <w:rPr>
          <w:rFonts w:hint="eastAsia" w:ascii="Times New Roman" w:hAnsi="Times New Roman" w:eastAsia="方正仿宋_GBK"/>
          <w:sz w:val="32"/>
          <w:szCs w:val="32"/>
          <w:lang w:val="en-US" w:eastAsia="zh-CN"/>
        </w:rPr>
      </w:pPr>
    </w:p>
    <w:p>
      <w:pPr>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br w:type="page"/>
      </w:r>
    </w:p>
    <w:p>
      <w:pPr>
        <w:overflowPunct w:val="0"/>
        <w:snapToGrid w:val="0"/>
        <w:spacing w:line="240" w:lineRule="auto"/>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永川区</w:t>
      </w:r>
      <w:r>
        <w:rPr>
          <w:rFonts w:hint="eastAsia" w:ascii="Times New Roman" w:hAnsi="Times New Roman" w:eastAsia="方正小标宋_GBK" w:cs="方正小标宋_GBK"/>
          <w:sz w:val="44"/>
          <w:szCs w:val="44"/>
        </w:rPr>
        <w:t>2022年度</w:t>
      </w:r>
      <w:r>
        <w:rPr>
          <w:rFonts w:hint="eastAsia" w:ascii="Times New Roman" w:hAnsi="Times New Roman" w:eastAsia="方正小标宋_GBK" w:cs="宋体"/>
          <w:sz w:val="44"/>
          <w:szCs w:val="44"/>
        </w:rPr>
        <w:t>落实耕地保</w:t>
      </w:r>
      <w:r>
        <w:rPr>
          <w:rFonts w:hint="eastAsia" w:ascii="Times New Roman" w:hAnsi="Times New Roman" w:eastAsia="方正小标宋_GBK" w:cs="方正小标宋_GBK"/>
          <w:sz w:val="44"/>
          <w:szCs w:val="44"/>
        </w:rPr>
        <w:t>护和粮食安全</w:t>
      </w:r>
    </w:p>
    <w:p>
      <w:pPr>
        <w:overflowPunct w:val="0"/>
        <w:snapToGrid w:val="0"/>
        <w:spacing w:line="240" w:lineRule="auto"/>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责任制考核工作方案</w:t>
      </w:r>
    </w:p>
    <w:p>
      <w:pPr>
        <w:overflowPunct w:val="0"/>
        <w:snapToGrid w:val="0"/>
        <w:ind w:firstLine="640" w:firstLineChars="200"/>
        <w:jc w:val="left"/>
        <w:rPr>
          <w:rFonts w:hint="eastAsia" w:ascii="Times New Roman" w:hAnsi="Times New Roman" w:eastAsia="方正仿宋_GBK" w:cs="方正仿宋_GBK"/>
          <w:color w:val="000000"/>
          <w:sz w:val="32"/>
          <w:szCs w:val="32"/>
          <w:lang w:eastAsia="zh-CN"/>
        </w:rPr>
      </w:pPr>
    </w:p>
    <w:p>
      <w:pPr>
        <w:overflowPunct w:val="0"/>
        <w:snapToGrid w:val="0"/>
        <w:spacing w:line="300" w:lineRule="auto"/>
        <w:ind w:firstLine="640" w:firstLineChars="200"/>
        <w:jc w:val="left"/>
        <w:rPr>
          <w:rFonts w:hint="eastAsia" w:ascii="Times New Roman" w:hAnsi="Times New Roman" w:eastAsia="方正黑体_GBK" w:cs="方正黑体_GBK"/>
          <w:color w:val="000000"/>
          <w:sz w:val="32"/>
          <w:szCs w:val="32"/>
        </w:rPr>
      </w:pPr>
      <w:r>
        <w:rPr>
          <w:rFonts w:hint="eastAsia" w:ascii="Times New Roman" w:hAnsi="Times New Roman" w:eastAsia="方正仿宋_GBK" w:cs="方正仿宋_GBK"/>
          <w:color w:val="000000"/>
          <w:sz w:val="32"/>
          <w:szCs w:val="32"/>
          <w:lang w:eastAsia="zh-CN"/>
        </w:rPr>
        <w:t>为</w:t>
      </w:r>
      <w:r>
        <w:rPr>
          <w:rFonts w:hint="eastAsia" w:ascii="Times New Roman" w:hAnsi="Times New Roman" w:eastAsia="方正仿宋_GBK" w:cs="方正仿宋_GBK"/>
          <w:color w:val="000000"/>
          <w:sz w:val="32"/>
          <w:szCs w:val="32"/>
        </w:rPr>
        <w:t>落实耕地保护和粮食安全党政同责、粮食安全责任制情况，共同扛稳保障全市粮食安全、维护国家粮食安全政治责任，根据《重庆市粮食安全考核工作组办公室关于印发2022年度区县（自治县）党委和政府落实耕地保护和粮食安全责任制考核工作方案的通知》（渝粮安考核办〔2023〕1号）和重庆市永川区粮食安全考核工作组办公室《关于印发2022年粮食安全党政同责工作要点》（永粮安考核组办〔2022〕1号）要求，现制定落实耕地保护和粮食安全考核工作方案如下</w:t>
      </w:r>
      <w:r>
        <w:rPr>
          <w:rFonts w:hint="eastAsia" w:ascii="Times New Roman" w:hAnsi="Times New Roman" w:eastAsia="方正仿宋_GBK" w:cs="方正仿宋_GBK"/>
          <w:color w:val="000000"/>
          <w:sz w:val="32"/>
          <w:szCs w:val="32"/>
          <w:lang w:eastAsia="zh-CN"/>
        </w:rPr>
        <w:t>：</w:t>
      </w:r>
    </w:p>
    <w:p>
      <w:pPr>
        <w:snapToGrid w:val="0"/>
        <w:spacing w:line="300" w:lineRule="auto"/>
        <w:ind w:firstLine="640" w:firstLineChars="2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lang w:eastAsia="zh-CN"/>
        </w:rPr>
        <w:t>一</w:t>
      </w:r>
      <w:r>
        <w:rPr>
          <w:rFonts w:hint="eastAsia" w:ascii="Times New Roman" w:hAnsi="Times New Roman" w:eastAsia="方正黑体_GBK" w:cs="方正黑体_GBK"/>
          <w:color w:val="000000"/>
          <w:sz w:val="32"/>
          <w:szCs w:val="32"/>
        </w:rPr>
        <w:t>、考核内容</w:t>
      </w:r>
    </w:p>
    <w:p>
      <w:pPr>
        <w:overflowPunct w:val="0"/>
        <w:snapToGrid w:val="0"/>
        <w:spacing w:line="300" w:lineRule="auto"/>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考核内容包括学习贯彻习近平总书记关于耕地保护和保障国家粮食安全的重要指示批示精神，认真落实党中央、国务院和市委、市政府关于耕地保护和粮食安全的方针政策和决策部署情况；耕地保护和粮食安全责任落实情况、粮食“产购储加销”协同保障各环节工作，及军粮供应工作。围绕耕地保护、粮食面积产量和种植结构、粮食储备和流通、履行耕地保护和粮食安全职责任务4个方面设置考核指标。具体指标如下：</w:t>
      </w:r>
    </w:p>
    <w:p>
      <w:pPr>
        <w:overflowPunct w:val="0"/>
        <w:snapToGrid w:val="0"/>
        <w:spacing w:line="300" w:lineRule="auto"/>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仿宋_GBK"/>
          <w:color w:val="000000"/>
          <w:sz w:val="32"/>
          <w:szCs w:val="32"/>
        </w:rPr>
        <w:t>（一）耕地保护。</w:t>
      </w:r>
      <w:r>
        <w:rPr>
          <w:rFonts w:hint="eastAsia" w:ascii="Times New Roman" w:hAnsi="Times New Roman" w:eastAsia="方正仿宋_GBK" w:cs="方正仿宋_GBK"/>
          <w:color w:val="000000"/>
          <w:sz w:val="32"/>
          <w:szCs w:val="32"/>
        </w:rPr>
        <w:t>包括耕地保有量；永久基本农田保护；耕地占补平衡、耕地进出平衡和耕地恢复任务情况；违法占用耕地和永久基本农田；耕地质量保护与提升，灌排设施建设与管理；高标准农田建设暨高效节水灌溉建设。</w:t>
      </w:r>
    </w:p>
    <w:p>
      <w:pPr>
        <w:overflowPunct w:val="0"/>
        <w:snapToGrid w:val="0"/>
        <w:spacing w:line="300" w:lineRule="auto"/>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仿宋_GBK"/>
          <w:color w:val="000000"/>
          <w:sz w:val="32"/>
          <w:szCs w:val="32"/>
        </w:rPr>
        <w:t>（二）粮食面积产量和种植结构。</w:t>
      </w:r>
      <w:r>
        <w:rPr>
          <w:rFonts w:hint="eastAsia" w:ascii="Times New Roman" w:hAnsi="Times New Roman" w:eastAsia="方正仿宋_GBK" w:cs="方正仿宋_GBK"/>
          <w:color w:val="000000"/>
          <w:sz w:val="32"/>
          <w:szCs w:val="32"/>
        </w:rPr>
        <w:t>包括稳定粮食播种面积；稳定粮食产量；落实种植结构和布局调整任务；落实种业振兴任务，严格品种管理和市场监管。</w:t>
      </w:r>
    </w:p>
    <w:p>
      <w:pPr>
        <w:overflowPunct w:val="0"/>
        <w:snapToGrid w:val="0"/>
        <w:spacing w:line="300" w:lineRule="auto"/>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仿宋_GBK"/>
          <w:color w:val="000000"/>
          <w:sz w:val="32"/>
          <w:szCs w:val="32"/>
        </w:rPr>
        <w:t>（三）粮食储备和流通。</w:t>
      </w:r>
      <w:r>
        <w:rPr>
          <w:rFonts w:hint="eastAsia" w:ascii="Times New Roman" w:hAnsi="Times New Roman" w:eastAsia="方正仿宋_GBK" w:cs="方正仿宋_GBK"/>
          <w:color w:val="000000"/>
          <w:sz w:val="32"/>
          <w:szCs w:val="32"/>
        </w:rPr>
        <w:t>包括确保地方储备粮规模，推进粮食仓储物流设施建设，加强粮食质量安全风险防控；提升粮食收储调控能力，加强粮食流通监管和案件查处，不出现农民卖粮难；完善粮食应急保障体系，不出现终端消费市场供应脱销断档和价格大幅度波动。</w:t>
      </w:r>
    </w:p>
    <w:p>
      <w:pPr>
        <w:overflowPunct w:val="0"/>
        <w:snapToGrid w:val="0"/>
        <w:spacing w:line="300" w:lineRule="auto"/>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楷体_GBK" w:cs="方正仿宋_GBK"/>
          <w:color w:val="000000"/>
          <w:sz w:val="32"/>
          <w:szCs w:val="32"/>
        </w:rPr>
        <w:t>（四）履行耕地保护和粮食安全职责任务。</w:t>
      </w:r>
      <w:r>
        <w:rPr>
          <w:rFonts w:hint="eastAsia" w:ascii="Times New Roman" w:hAnsi="Times New Roman" w:eastAsia="方正仿宋_GBK" w:cs="方正仿宋_GBK"/>
          <w:color w:val="000000"/>
          <w:sz w:val="32"/>
          <w:szCs w:val="32"/>
        </w:rPr>
        <w:t>包括落实粮食生产财政支持情况，落实粮食储备补贴和监管经费；推进全链条粮食节约减损，落实反食品浪费的工作要求；党委和政府领导班子及其成员履行耕地保护和粮食安全职责任务。</w:t>
      </w:r>
    </w:p>
    <w:p>
      <w:pPr>
        <w:adjustRightInd w:val="0"/>
        <w:snapToGrid w:val="0"/>
        <w:spacing w:line="300" w:lineRule="auto"/>
        <w:ind w:firstLine="640" w:firstLineChars="200"/>
        <w:rPr>
          <w:rFonts w:ascii="Times New Roman" w:hAnsi="Times New Roman" w:eastAsia="方正黑体_GBK"/>
          <w:bCs/>
          <w:color w:val="000000"/>
          <w:sz w:val="32"/>
          <w:szCs w:val="32"/>
        </w:rPr>
      </w:pPr>
      <w:r>
        <w:rPr>
          <w:rFonts w:hint="eastAsia" w:ascii="Times New Roman" w:hAnsi="Times New Roman" w:eastAsia="方正黑体_GBK"/>
          <w:bCs/>
          <w:color w:val="000000"/>
          <w:sz w:val="32"/>
          <w:szCs w:val="32"/>
          <w:lang w:eastAsia="zh-CN"/>
        </w:rPr>
        <w:t>二</w:t>
      </w:r>
      <w:r>
        <w:rPr>
          <w:rFonts w:hint="eastAsia" w:ascii="Times New Roman" w:hAnsi="Times New Roman" w:eastAsia="方正黑体_GBK"/>
          <w:bCs/>
          <w:color w:val="000000"/>
          <w:sz w:val="32"/>
          <w:szCs w:val="32"/>
        </w:rPr>
        <w:t>、</w:t>
      </w:r>
      <w:r>
        <w:rPr>
          <w:rFonts w:ascii="Times New Roman" w:hAnsi="Times New Roman" w:eastAsia="方正黑体_GBK"/>
          <w:bCs/>
          <w:color w:val="000000"/>
          <w:sz w:val="32"/>
          <w:szCs w:val="32"/>
        </w:rPr>
        <w:t>考核要求</w:t>
      </w:r>
    </w:p>
    <w:p>
      <w:pPr>
        <w:adjustRightInd w:val="0"/>
        <w:snapToGrid w:val="0"/>
        <w:spacing w:line="300" w:lineRule="auto"/>
        <w:ind w:firstLine="640" w:firstLineChars="200"/>
        <w:rPr>
          <w:rFonts w:ascii="Times New Roman" w:hAnsi="Times New Roman" w:eastAsia="方正仿宋_GBK"/>
          <w:color w:val="000000"/>
          <w:sz w:val="32"/>
          <w:szCs w:val="32"/>
        </w:rPr>
      </w:pPr>
      <w:r>
        <w:rPr>
          <w:rFonts w:ascii="Times New Roman" w:hAnsi="Times New Roman" w:eastAsia="方正楷体_GBK"/>
          <w:bCs/>
          <w:color w:val="000000"/>
          <w:sz w:val="32"/>
          <w:szCs w:val="32"/>
        </w:rPr>
        <w:t>（</w:t>
      </w:r>
      <w:r>
        <w:rPr>
          <w:rFonts w:hint="eastAsia" w:ascii="Times New Roman" w:hAnsi="Times New Roman" w:eastAsia="方正楷体_GBK"/>
          <w:bCs/>
          <w:color w:val="000000"/>
          <w:sz w:val="32"/>
          <w:szCs w:val="32"/>
        </w:rPr>
        <w:t>一</w:t>
      </w:r>
      <w:r>
        <w:rPr>
          <w:rFonts w:ascii="Times New Roman" w:hAnsi="Times New Roman" w:eastAsia="方正楷体_GBK"/>
          <w:bCs/>
          <w:color w:val="000000"/>
          <w:sz w:val="32"/>
          <w:szCs w:val="32"/>
        </w:rPr>
        <w:t>）加强组织领导。</w:t>
      </w:r>
      <w:r>
        <w:rPr>
          <w:rFonts w:ascii="Times New Roman" w:hAnsi="Times New Roman" w:eastAsia="方正仿宋_GBK"/>
          <w:color w:val="000000"/>
          <w:sz w:val="32"/>
          <w:szCs w:val="32"/>
        </w:rPr>
        <w:t>各</w:t>
      </w:r>
      <w:r>
        <w:rPr>
          <w:rFonts w:hint="eastAsia" w:ascii="Times New Roman" w:hAnsi="Times New Roman" w:eastAsia="方正仿宋_GBK"/>
          <w:color w:val="000000"/>
          <w:sz w:val="32"/>
          <w:szCs w:val="32"/>
        </w:rPr>
        <w:t>相关部门和镇街</w:t>
      </w:r>
      <w:r>
        <w:rPr>
          <w:rFonts w:ascii="Times New Roman" w:hAnsi="Times New Roman" w:eastAsia="方正仿宋_GBK"/>
          <w:color w:val="000000"/>
          <w:sz w:val="32"/>
          <w:szCs w:val="32"/>
        </w:rPr>
        <w:t>要切实加强对</w:t>
      </w:r>
      <w:r>
        <w:rPr>
          <w:rFonts w:hint="eastAsia" w:ascii="Times New Roman" w:hAnsi="Times New Roman" w:eastAsia="方正仿宋_GBK" w:cs="方正仿宋_GBK"/>
          <w:color w:val="000000"/>
          <w:sz w:val="32"/>
          <w:szCs w:val="32"/>
        </w:rPr>
        <w:t>耕地保护和粮食安全</w:t>
      </w:r>
      <w:r>
        <w:rPr>
          <w:rFonts w:ascii="Times New Roman" w:hAnsi="Times New Roman" w:eastAsia="方正仿宋_GBK"/>
          <w:color w:val="000000"/>
          <w:sz w:val="32"/>
          <w:szCs w:val="32"/>
        </w:rPr>
        <w:t>责任制考核工作的组织领导，围绕</w:t>
      </w:r>
      <w:r>
        <w:rPr>
          <w:rFonts w:hint="eastAsia" w:ascii="Times New Roman" w:hAnsi="Times New Roman" w:eastAsia="方正仿宋_GBK" w:cs="方正仿宋_GBK"/>
          <w:color w:val="000000"/>
          <w:sz w:val="32"/>
          <w:szCs w:val="32"/>
        </w:rPr>
        <w:t>落实耕地保护和粮食安全</w:t>
      </w:r>
      <w:r>
        <w:rPr>
          <w:rFonts w:ascii="Times New Roman" w:hAnsi="Times New Roman" w:eastAsia="方正仿宋_GBK"/>
          <w:color w:val="000000"/>
          <w:sz w:val="32"/>
          <w:szCs w:val="32"/>
        </w:rPr>
        <w:t>考核内容，</w:t>
      </w:r>
      <w:r>
        <w:rPr>
          <w:rFonts w:hint="eastAsia" w:ascii="Times New Roman" w:hAnsi="Times New Roman" w:eastAsia="方正仿宋_GBK"/>
          <w:color w:val="000000"/>
          <w:sz w:val="32"/>
          <w:szCs w:val="32"/>
        </w:rPr>
        <w:t>落实责任，细化任务，落实措施，扎实有序推进，确保工作任务完成。</w:t>
      </w:r>
      <w:r>
        <w:rPr>
          <w:rFonts w:ascii="Times New Roman" w:hAnsi="Times New Roman" w:eastAsia="方正仿宋_GBK"/>
          <w:color w:val="000000"/>
          <w:sz w:val="32"/>
          <w:szCs w:val="32"/>
        </w:rPr>
        <w:t>认真开展自查自评工作，全面、客观、真实反映考核指标完成情况。</w:t>
      </w:r>
    </w:p>
    <w:p>
      <w:pPr>
        <w:adjustRightInd w:val="0"/>
        <w:snapToGrid w:val="0"/>
        <w:spacing w:line="300" w:lineRule="auto"/>
        <w:ind w:firstLine="640" w:firstLineChars="200"/>
        <w:rPr>
          <w:rFonts w:ascii="Times New Roman" w:hAnsi="Times New Roman" w:eastAsia="方正仿宋_GBK"/>
          <w:color w:val="000000"/>
          <w:sz w:val="32"/>
          <w:szCs w:val="32"/>
        </w:rPr>
      </w:pPr>
      <w:r>
        <w:rPr>
          <w:rFonts w:hint="eastAsia" w:ascii="Times New Roman" w:hAnsi="Times New Roman" w:eastAsia="方正楷体_GBK"/>
          <w:color w:val="000000"/>
          <w:sz w:val="32"/>
          <w:szCs w:val="32"/>
        </w:rPr>
        <w:t>（二）</w:t>
      </w:r>
      <w:r>
        <w:rPr>
          <w:rFonts w:ascii="Times New Roman" w:hAnsi="Times New Roman" w:eastAsia="方正楷体_GBK"/>
          <w:color w:val="000000"/>
          <w:sz w:val="32"/>
          <w:szCs w:val="32"/>
        </w:rPr>
        <w:t>细化分解任务。</w:t>
      </w:r>
      <w:r>
        <w:rPr>
          <w:rFonts w:ascii="Times New Roman" w:hAnsi="Times New Roman" w:eastAsia="方正仿宋_GBK"/>
          <w:color w:val="000000"/>
          <w:sz w:val="32"/>
          <w:szCs w:val="32"/>
        </w:rPr>
        <w:t>各</w:t>
      </w:r>
      <w:r>
        <w:rPr>
          <w:rFonts w:hint="eastAsia" w:ascii="Times New Roman" w:hAnsi="Times New Roman" w:eastAsia="方正仿宋_GBK"/>
          <w:color w:val="000000"/>
          <w:sz w:val="32"/>
          <w:szCs w:val="32"/>
        </w:rPr>
        <w:t>相关部门和镇街</w:t>
      </w:r>
      <w:r>
        <w:rPr>
          <w:rFonts w:ascii="Times New Roman" w:hAnsi="Times New Roman" w:eastAsia="方正仿宋_GBK"/>
          <w:color w:val="000000"/>
          <w:sz w:val="32"/>
          <w:szCs w:val="32"/>
        </w:rPr>
        <w:t>要结合实际，做好考核任务分解和相关职责分工，并确保责任落实。</w:t>
      </w:r>
      <w:r>
        <w:rPr>
          <w:rFonts w:hint="eastAsia" w:ascii="Times New Roman" w:hAnsi="Times New Roman" w:eastAsia="方正仿宋_GBK"/>
          <w:color w:val="000000"/>
          <w:sz w:val="32"/>
          <w:szCs w:val="32"/>
        </w:rPr>
        <w:t>各</w:t>
      </w:r>
      <w:r>
        <w:rPr>
          <w:rFonts w:ascii="Times New Roman" w:hAnsi="Times New Roman" w:eastAsia="方正仿宋_GBK"/>
          <w:color w:val="000000"/>
          <w:sz w:val="32"/>
          <w:szCs w:val="32"/>
        </w:rPr>
        <w:t>责任部门</w:t>
      </w:r>
      <w:r>
        <w:rPr>
          <w:rFonts w:hint="eastAsia" w:ascii="Times New Roman" w:hAnsi="Times New Roman" w:eastAsia="方正仿宋_GBK"/>
          <w:color w:val="000000"/>
          <w:sz w:val="32"/>
          <w:szCs w:val="32"/>
        </w:rPr>
        <w:t>要</w:t>
      </w:r>
      <w:r>
        <w:rPr>
          <w:rFonts w:ascii="Times New Roman" w:hAnsi="Times New Roman" w:eastAsia="方正仿宋_GBK"/>
          <w:color w:val="000000"/>
          <w:sz w:val="32"/>
          <w:szCs w:val="32"/>
        </w:rPr>
        <w:t>积极与</w:t>
      </w:r>
      <w:r>
        <w:rPr>
          <w:rFonts w:hint="eastAsia" w:ascii="Times New Roman" w:hAnsi="Times New Roman" w:eastAsia="方正仿宋_GBK"/>
          <w:color w:val="000000"/>
          <w:sz w:val="32"/>
          <w:szCs w:val="32"/>
        </w:rPr>
        <w:t>对应</w:t>
      </w:r>
      <w:r>
        <w:rPr>
          <w:rFonts w:ascii="Times New Roman" w:hAnsi="Times New Roman" w:eastAsia="方正仿宋_GBK"/>
          <w:color w:val="000000"/>
          <w:sz w:val="32"/>
          <w:szCs w:val="32"/>
        </w:rPr>
        <w:t>市级部门对接，</w:t>
      </w:r>
      <w:r>
        <w:rPr>
          <w:rFonts w:hint="eastAsia" w:ascii="Times New Roman" w:hAnsi="Times New Roman" w:eastAsia="方正仿宋_GBK"/>
          <w:color w:val="000000"/>
          <w:sz w:val="32"/>
          <w:szCs w:val="32"/>
        </w:rPr>
        <w:t>落实</w:t>
      </w:r>
      <w:r>
        <w:rPr>
          <w:rFonts w:ascii="Times New Roman" w:hAnsi="Times New Roman" w:eastAsia="方正仿宋_GBK"/>
          <w:color w:val="000000"/>
          <w:sz w:val="32"/>
          <w:szCs w:val="32"/>
        </w:rPr>
        <w:t>市级部门评审的具体要求。</w:t>
      </w:r>
    </w:p>
    <w:p>
      <w:pPr>
        <w:snapToGrid w:val="0"/>
        <w:spacing w:line="300" w:lineRule="auto"/>
        <w:ind w:firstLine="640" w:firstLineChars="200"/>
        <w:rPr>
          <w:rFonts w:hint="default" w:ascii="Times New Roman" w:hAnsi="Times New Roman" w:eastAsia="方正仿宋_GBK"/>
          <w:color w:val="000000"/>
          <w:sz w:val="32"/>
          <w:szCs w:val="32"/>
          <w:lang w:val="en-US" w:eastAsia="zh-CN"/>
        </w:rPr>
      </w:pPr>
      <w:r>
        <w:rPr>
          <w:rFonts w:hint="eastAsia" w:ascii="Times New Roman" w:hAnsi="Times New Roman" w:eastAsia="方正楷体_GBK"/>
          <w:color w:val="000000"/>
          <w:sz w:val="32"/>
          <w:szCs w:val="32"/>
        </w:rPr>
        <w:t>（三）自评材料的报送。</w:t>
      </w:r>
      <w:r>
        <w:rPr>
          <w:rFonts w:ascii="Times New Roman" w:hAnsi="Times New Roman" w:eastAsia="方正仿宋_GBK"/>
          <w:color w:val="000000"/>
          <w:sz w:val="32"/>
          <w:szCs w:val="32"/>
        </w:rPr>
        <w:t>各</w:t>
      </w:r>
      <w:r>
        <w:rPr>
          <w:rFonts w:hint="eastAsia" w:ascii="Times New Roman" w:hAnsi="Times New Roman" w:eastAsia="方正仿宋_GBK"/>
          <w:color w:val="000000"/>
          <w:sz w:val="32"/>
          <w:szCs w:val="32"/>
        </w:rPr>
        <w:t>相关部门和镇街落实专门人员做好考核材料的搜集、整理和自评上报工作。材料包含工作报告（主</w:t>
      </w:r>
      <w:r>
        <w:rPr>
          <w:rFonts w:hint="eastAsia" w:ascii="Times New Roman" w:hAnsi="Times New Roman" w:eastAsia="方正仿宋_GBK" w:cs="方正仿宋_GBK"/>
          <w:color w:val="000000"/>
          <w:sz w:val="32"/>
          <w:szCs w:val="32"/>
        </w:rPr>
        <w:t>要作法和成效、自评情况、问题及原因、整改措施和工作建议）、自评打分表（见附件），要求客观真实，于2023年2月3日前报区发展改革委粮油管理科（电话：49367326）</w:t>
      </w:r>
      <w:r>
        <w:rPr>
          <w:rFonts w:hint="eastAsia" w:ascii="Times New Roman" w:hAnsi="Times New Roman" w:eastAsia="方正仿宋_GBK" w:cs="方正仿宋_GBK"/>
          <w:color w:val="000000"/>
          <w:sz w:val="32"/>
          <w:szCs w:val="32"/>
          <w:lang w:eastAsia="zh-CN"/>
        </w:rPr>
        <w:t>，于</w:t>
      </w:r>
      <w:r>
        <w:rPr>
          <w:rFonts w:hint="eastAsia" w:ascii="Times New Roman" w:hAnsi="Times New Roman" w:eastAsia="方正仿宋_GBK" w:cs="方正仿宋_GBK"/>
          <w:color w:val="000000"/>
          <w:sz w:val="32"/>
          <w:szCs w:val="32"/>
          <w:lang w:val="en-US" w:eastAsia="zh-CN"/>
        </w:rPr>
        <w:t>2月17日之前将相关信息录入系统。</w:t>
      </w:r>
    </w:p>
    <w:p>
      <w:pPr>
        <w:snapToGrid w:val="0"/>
        <w:spacing w:line="300" w:lineRule="auto"/>
        <w:ind w:firstLine="640" w:firstLineChars="200"/>
        <w:rPr>
          <w:rFonts w:hint="eastAsia" w:ascii="Times New Roman" w:hAnsi="Times New Roman" w:eastAsia="方正仿宋_GBK" w:cs="方正仿宋_GBK"/>
          <w:color w:val="000000"/>
          <w:sz w:val="32"/>
          <w:szCs w:val="32"/>
        </w:rPr>
      </w:pPr>
      <w:r>
        <w:rPr>
          <w:rFonts w:hint="eastAsia" w:ascii="Times New Roman" w:hAnsi="Times New Roman" w:eastAsia="方正楷体_GBK"/>
          <w:color w:val="000000"/>
          <w:sz w:val="32"/>
          <w:szCs w:val="32"/>
        </w:rPr>
        <w:t>（四）主动对接市级部门。</w:t>
      </w:r>
      <w:r>
        <w:rPr>
          <w:rFonts w:hint="eastAsia" w:ascii="Times New Roman" w:hAnsi="Times New Roman" w:eastAsia="方正仿宋_GBK" w:cs="方正仿宋_GBK"/>
          <w:color w:val="000000"/>
          <w:sz w:val="32"/>
          <w:szCs w:val="32"/>
        </w:rPr>
        <w:t>各责任部门准备好考核材料后，要主动对接对应市级部门，落实市级部门评审的具体要求和考核，并做好落实耕地保护和粮食安全的实地考核工作。</w:t>
      </w:r>
    </w:p>
    <w:p>
      <w:pPr>
        <w:pStyle w:val="11"/>
        <w:snapToGrid w:val="0"/>
        <w:spacing w:line="300" w:lineRule="auto"/>
        <w:rPr>
          <w:rFonts w:hint="eastAsia" w:ascii="Times New Roman" w:hAnsi="Times New Roman" w:eastAsia="方正仿宋_GBK" w:cs="方正仿宋_GBK"/>
          <w:color w:val="000000"/>
          <w:sz w:val="32"/>
          <w:szCs w:val="32"/>
        </w:rPr>
      </w:pPr>
    </w:p>
    <w:p>
      <w:pPr>
        <w:snapToGrid w:val="0"/>
        <w:spacing w:line="300" w:lineRule="auto"/>
        <w:ind w:left="2057" w:leftChars="370" w:hanging="1280" w:hangingChars="400"/>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rPr>
        <w:t>附件：</w:t>
      </w:r>
      <w:r>
        <w:rPr>
          <w:rFonts w:hint="eastAsia" w:ascii="Times New Roman" w:hAnsi="Times New Roman" w:eastAsia="方正仿宋_GBK" w:cs="方正仿宋_GBK"/>
          <w:color w:val="000000"/>
          <w:sz w:val="32"/>
          <w:szCs w:val="32"/>
          <w:lang w:val="en-US" w:eastAsia="zh-CN"/>
        </w:rPr>
        <w:t xml:space="preserve">1. </w:t>
      </w:r>
      <w:r>
        <w:rPr>
          <w:rFonts w:hint="eastAsia" w:ascii="Times New Roman" w:hAnsi="Times New Roman" w:eastAsia="方正仿宋_GBK" w:cs="方正仿宋_GBK"/>
          <w:color w:val="000000"/>
          <w:sz w:val="32"/>
          <w:szCs w:val="32"/>
        </w:rPr>
        <w:t>2022年度落实耕地保护和粮食安全责任制考核自评打分</w:t>
      </w:r>
      <w:r>
        <w:rPr>
          <w:rFonts w:hint="eastAsia" w:ascii="Times New Roman" w:hAnsi="Times New Roman" w:eastAsia="方正仿宋_GBK" w:cs="方正仿宋_GBK"/>
          <w:color w:val="000000"/>
          <w:sz w:val="32"/>
          <w:szCs w:val="32"/>
          <w:lang w:eastAsia="zh-CN"/>
        </w:rPr>
        <w:t>表</w:t>
      </w:r>
    </w:p>
    <w:p>
      <w:pPr>
        <w:snapToGrid w:val="0"/>
        <w:spacing w:line="300" w:lineRule="auto"/>
        <w:ind w:left="2055" w:leftChars="826" w:hanging="320" w:hangingChars="100"/>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2. 2022年度落实耕地保护和粮食安全责任制考核加分、扣分及否决事项评分细则</w:t>
      </w:r>
    </w:p>
    <w:p>
      <w:pPr>
        <w:pStyle w:val="2"/>
        <w:rPr>
          <w:rFonts w:hint="eastAsia"/>
          <w:lang w:val="en-US" w:eastAsia="zh-CN"/>
        </w:rPr>
      </w:pPr>
    </w:p>
    <w:p>
      <w:pPr>
        <w:pStyle w:val="2"/>
        <w:rPr>
          <w:rFonts w:hint="eastAsia"/>
          <w:lang w:val="en-US" w:eastAsia="zh-CN"/>
        </w:rPr>
      </w:pPr>
    </w:p>
    <w:p>
      <w:pPr>
        <w:pStyle w:val="11"/>
        <w:ind w:firstLine="960" w:firstLineChars="400"/>
        <w:rPr>
          <w:rFonts w:hint="default" w:eastAsia="方正仿宋_GBK"/>
          <w:lang w:val="en-US" w:eastAsia="zh-CN"/>
        </w:rPr>
        <w:sectPr>
          <w:footerReference r:id="rId3" w:type="default"/>
          <w:pgSz w:w="11906" w:h="16838"/>
          <w:pgMar w:top="2098" w:right="1474" w:bottom="1984" w:left="1587" w:header="851" w:footer="1474" w:gutter="0"/>
          <w:pgNumType w:fmt="numberInDash"/>
          <w:cols w:space="0" w:num="1"/>
          <w:rtlGutter w:val="0"/>
          <w:docGrid w:type="lines" w:linePitch="312" w:charSpace="0"/>
        </w:sect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jc w:val="center"/>
        <w:rPr>
          <w:rFonts w:hint="eastAsia" w:ascii="Times New Roman" w:hAnsi="Times New Roman" w:eastAsia="方正小标宋_GBK"/>
          <w:color w:val="000000"/>
          <w:sz w:val="36"/>
          <w:szCs w:val="36"/>
        </w:rPr>
      </w:pPr>
      <w:r>
        <w:rPr>
          <w:rFonts w:hint="eastAsia" w:ascii="Times New Roman" w:hAnsi="Times New Roman" w:eastAsia="方正小标宋_GBK"/>
          <w:color w:val="000000"/>
          <w:sz w:val="36"/>
          <w:szCs w:val="36"/>
        </w:rPr>
        <w:t>2022年度落实耕地保护和粮食安全责任制考核自评打分表</w:t>
      </w:r>
    </w:p>
    <w:tbl>
      <w:tblPr>
        <w:tblStyle w:val="7"/>
        <w:tblW w:w="15457"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321"/>
        <w:gridCol w:w="1134"/>
        <w:gridCol w:w="567"/>
        <w:gridCol w:w="4946"/>
        <w:gridCol w:w="709"/>
        <w:gridCol w:w="655"/>
        <w:gridCol w:w="621"/>
        <w:gridCol w:w="674"/>
        <w:gridCol w:w="957"/>
        <w:gridCol w:w="823"/>
        <w:gridCol w:w="2313"/>
        <w:gridCol w:w="73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合计</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napToGrid w:val="0"/>
              <w:spacing w:line="280" w:lineRule="exact"/>
              <w:jc w:val="center"/>
              <w:rPr>
                <w:rFonts w:hint="eastAsia" w:ascii="Times New Roman" w:hAnsi="Times New Roman" w:eastAsia="方正黑体_GBK"/>
                <w:color w:val="000000"/>
                <w:szCs w:val="21"/>
              </w:rPr>
            </w:pP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2313" w:type="dxa"/>
            <w:vAlign w:val="center"/>
          </w:tcPr>
          <w:p>
            <w:pPr>
              <w:spacing w:line="280" w:lineRule="exact"/>
              <w:jc w:val="center"/>
              <w:rPr>
                <w:rFonts w:hint="eastAsia" w:ascii="Times New Roman" w:hAnsi="Times New Roman" w:eastAsia="方正黑体_GBK"/>
                <w:szCs w:val="21"/>
              </w:rPr>
            </w:pPr>
          </w:p>
        </w:tc>
        <w:tc>
          <w:tcPr>
            <w:tcW w:w="737" w:type="dxa"/>
            <w:vAlign w:val="center"/>
          </w:tcPr>
          <w:p>
            <w:pPr>
              <w:spacing w:line="280" w:lineRule="exact"/>
              <w:jc w:val="center"/>
              <w:rPr>
                <w:rFonts w:hint="eastAsia" w:ascii="Times New Roman" w:hAnsi="Times New Roman" w:eastAsia="方正黑体_GBK"/>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restart"/>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一、耕地保护（41分）</w:t>
            </w:r>
          </w:p>
        </w:tc>
        <w:tc>
          <w:tcPr>
            <w:tcW w:w="1134"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耕地保有量（</w:t>
            </w:r>
            <w:r>
              <w:rPr>
                <w:rFonts w:ascii="Times New Roman" w:hAnsi="Times New Roman"/>
                <w:szCs w:val="21"/>
              </w:rPr>
              <w:t>8</w:t>
            </w:r>
            <w:r>
              <w:rPr>
                <w:rFonts w:hint="eastAsia" w:ascii="Times New Roman" w:hAnsi="Times New Roman" w:eastAsia="方正仿宋_GBK"/>
                <w:szCs w:val="21"/>
              </w:rPr>
              <w:t>分）</w:t>
            </w: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8</w:t>
            </w:r>
          </w:p>
        </w:tc>
        <w:tc>
          <w:tcPr>
            <w:tcW w:w="4946" w:type="dxa"/>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（1）年度耕地保护目标完成率。区县耕地保有量大于等于区政府下达目标得8分，小于目标不得分。</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w:t>
            </w:r>
          </w:p>
        </w:tc>
        <w:tc>
          <w:tcPr>
            <w:tcW w:w="823"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耕地保护目标值</w:t>
            </w:r>
          </w:p>
        </w:tc>
        <w:tc>
          <w:tcPr>
            <w:tcW w:w="737"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年度变更调查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r>
              <w:rPr>
                <w:rFonts w:hint="eastAsia" w:ascii="Times New Roman" w:hAnsi="Times New Roman" w:eastAsia="方正仿宋_GBK"/>
                <w:szCs w:val="21"/>
              </w:rPr>
              <w:t>永久基本农田保护（</w:t>
            </w:r>
            <w:r>
              <w:rPr>
                <w:rFonts w:ascii="Times New Roman" w:hAnsi="Times New Roman"/>
                <w:szCs w:val="21"/>
              </w:rPr>
              <w:t>6</w:t>
            </w:r>
            <w:r>
              <w:rPr>
                <w:rFonts w:hint="eastAsia" w:ascii="Times New Roman" w:hAnsi="Times New Roman" w:eastAsia="方正仿宋_GBK"/>
                <w:szCs w:val="21"/>
              </w:rPr>
              <w:t>分）</w:t>
            </w: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6</w:t>
            </w:r>
          </w:p>
        </w:tc>
        <w:tc>
          <w:tcPr>
            <w:tcW w:w="4946" w:type="dxa"/>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2）永久基本农田特殊保护。①永久基本农田保护目标。区县永久基本农田保护面积大于等于区政府下达目标得6分，小于目标不得分。②永久基本农田转为林地、园地、草地等其他农用地和农业设施建设用地的，且应整改未整改的，扣2分。</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w:t>
            </w:r>
          </w:p>
        </w:tc>
        <w:tc>
          <w:tcPr>
            <w:tcW w:w="823"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2313" w:type="dxa"/>
            <w:vAlign w:val="center"/>
          </w:tcPr>
          <w:p>
            <w:pPr>
              <w:spacing w:line="26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、含其他农用地恢复耕地任务量的文件；</w:t>
            </w:r>
            <w:r>
              <w:rPr>
                <w:rFonts w:ascii="Times New Roman" w:hAnsi="Times New Roman"/>
                <w:szCs w:val="21"/>
              </w:rPr>
              <w:t>2</w:t>
            </w:r>
            <w:r>
              <w:rPr>
                <w:rFonts w:hint="eastAsia" w:ascii="Times New Roman" w:hAnsi="Times New Roman" w:eastAsia="方正仿宋_GBK"/>
                <w:szCs w:val="21"/>
              </w:rPr>
              <w:t>、永久基本农田保护面积值；耕地卫片监测数据；</w:t>
            </w:r>
            <w:r>
              <w:rPr>
                <w:rFonts w:ascii="Times New Roman" w:hAnsi="Times New Roman"/>
                <w:spacing w:val="-10"/>
                <w:szCs w:val="21"/>
              </w:rPr>
              <w:t>3</w:t>
            </w:r>
            <w:r>
              <w:rPr>
                <w:rFonts w:hint="eastAsia" w:ascii="Times New Roman" w:hAnsi="Times New Roman" w:eastAsia="方正仿宋_GBK"/>
                <w:spacing w:val="-10"/>
                <w:szCs w:val="21"/>
              </w:rPr>
              <w:t>、含新发生永久基本农田整改数量的文件</w:t>
            </w:r>
            <w:r>
              <w:rPr>
                <w:rFonts w:hint="eastAsia" w:ascii="Times New Roman" w:hAnsi="Times New Roman" w:eastAsia="方正仿宋_GBK"/>
                <w:szCs w:val="21"/>
              </w:rPr>
              <w:t>。</w:t>
            </w:r>
          </w:p>
        </w:tc>
        <w:tc>
          <w:tcPr>
            <w:tcW w:w="737"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核定系统导入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tblHeader/>
          <w:jc w:val="center"/>
        </w:trPr>
        <w:tc>
          <w:tcPr>
            <w:tcW w:w="1321"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3.</w:t>
            </w:r>
            <w:r>
              <w:rPr>
                <w:rFonts w:hint="eastAsia" w:ascii="Times New Roman" w:hAnsi="Times New Roman" w:eastAsia="方正仿宋_GBK"/>
                <w:szCs w:val="21"/>
              </w:rPr>
              <w:t>耕地占补平衡；耕地进出平衡；耕地恢复任务情况</w:t>
            </w:r>
            <w:r>
              <w:rPr>
                <w:rFonts w:ascii="Times New Roman" w:hAnsi="Times New Roman"/>
                <w:szCs w:val="21"/>
              </w:rPr>
              <w:br w:type="page"/>
            </w:r>
            <w:r>
              <w:rPr>
                <w:rFonts w:hint="eastAsia" w:ascii="Times New Roman" w:hAnsi="Times New Roman" w:eastAsia="方正仿宋_GBK"/>
                <w:szCs w:val="21"/>
              </w:rPr>
              <w:t>（</w:t>
            </w:r>
            <w:r>
              <w:rPr>
                <w:rFonts w:ascii="Times New Roman" w:hAnsi="Times New Roman"/>
                <w:szCs w:val="21"/>
              </w:rPr>
              <w:t>5</w:t>
            </w:r>
            <w:r>
              <w:rPr>
                <w:rFonts w:hint="eastAsia" w:ascii="Times New Roman" w:hAnsi="Times New Roman" w:eastAsia="方正仿宋_GBK"/>
                <w:szCs w:val="21"/>
              </w:rPr>
              <w:t>分）</w:t>
            </w: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5</w:t>
            </w:r>
          </w:p>
        </w:tc>
        <w:tc>
          <w:tcPr>
            <w:tcW w:w="4946" w:type="dxa"/>
            <w:tcMar>
              <w:left w:w="45" w:type="dxa"/>
              <w:right w:w="45" w:type="dxa"/>
            </w:tcMar>
            <w:vAlign w:val="center"/>
          </w:tcPr>
          <w:p>
            <w:pPr>
              <w:spacing w:line="260" w:lineRule="exact"/>
              <w:rPr>
                <w:rFonts w:ascii="Times New Roman" w:hAnsi="Times New Roman" w:eastAsia="方正仿宋_GBK" w:cs="宋体"/>
                <w:szCs w:val="21"/>
              </w:rPr>
            </w:pPr>
            <w:r>
              <w:rPr>
                <w:rFonts w:hint="eastAsia" w:ascii="Times New Roman" w:hAnsi="Times New Roman" w:eastAsia="方正仿宋_GBK"/>
                <w:szCs w:val="21"/>
              </w:rPr>
              <w:t>（3）严格落实耕地占补平衡和“进出平衡”。①耕地占补平衡。完成年度下达的土地整理前期审查、后期核定和农村建设用地复垦前期审查、后期核定4项任务，得2分。单项任务未完成的扣0.5分。②耕地恢复补足。区县完成上年度减少耕地恢复补足的，得2分（上年度耕地未减少区县得2分）。恢复耕地量与目标任务差额300亩以下的，扣0.5分;差额超过300亩的不得分。③耕地“进出平衡”。区县年度流入耕地大于等于流出耕地，得1分；区县未编制耕地“进出平衡”总体方案的，扣0.5分；年度未实现耕地“进出平衡”、耕地净流出超过300亩的，扣0.5分。</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w:t>
            </w:r>
          </w:p>
        </w:tc>
        <w:tc>
          <w:tcPr>
            <w:tcW w:w="823"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2313" w:type="dxa"/>
            <w:vAlign w:val="center"/>
          </w:tcPr>
          <w:p>
            <w:pPr>
              <w:spacing w:line="260" w:lineRule="exact"/>
              <w:rPr>
                <w:rFonts w:ascii="Times New Roman" w:hAnsi="Times New Roman" w:eastAsia="方正仿宋_GBK"/>
                <w:szCs w:val="21"/>
              </w:rPr>
            </w:pPr>
            <w:r>
              <w:rPr>
                <w:rFonts w:ascii="Times New Roman" w:hAnsi="Times New Roman" w:eastAsia="方正仿宋_GBK"/>
                <w:szCs w:val="21"/>
              </w:rPr>
              <w:t>1</w:t>
            </w:r>
            <w:r>
              <w:rPr>
                <w:rFonts w:hint="eastAsia" w:ascii="Times New Roman" w:hAnsi="Times New Roman" w:eastAsia="方正仿宋_GBK"/>
                <w:szCs w:val="21"/>
              </w:rPr>
              <w:t>、含土地整理、农村建设用地复垦前期审查和后期核定</w:t>
            </w:r>
            <w:r>
              <w:rPr>
                <w:rFonts w:ascii="Times New Roman" w:hAnsi="Times New Roman" w:eastAsia="方正仿宋_GBK"/>
                <w:szCs w:val="21"/>
              </w:rPr>
              <w:t>4</w:t>
            </w:r>
            <w:r>
              <w:rPr>
                <w:rFonts w:hint="eastAsia" w:ascii="Times New Roman" w:hAnsi="Times New Roman" w:eastAsia="方正仿宋_GBK"/>
                <w:szCs w:val="21"/>
              </w:rPr>
              <w:t>项的面积任务的盖章文件；</w:t>
            </w:r>
            <w:r>
              <w:rPr>
                <w:rFonts w:ascii="Times New Roman" w:hAnsi="Times New Roman" w:eastAsia="方正仿宋_GBK"/>
                <w:szCs w:val="21"/>
              </w:rPr>
              <w:t>2</w:t>
            </w:r>
            <w:r>
              <w:rPr>
                <w:rFonts w:hint="eastAsia" w:ascii="Times New Roman" w:hAnsi="Times New Roman" w:eastAsia="方正仿宋_GBK"/>
                <w:szCs w:val="21"/>
              </w:rPr>
              <w:t>、含年度耕地任务量</w:t>
            </w:r>
            <w:r>
              <w:rPr>
                <w:rFonts w:hint="eastAsia" w:ascii="Times New Roman" w:hAnsi="Times New Roman" w:eastAsia="方正仿宋_GBK"/>
                <w:szCs w:val="21"/>
                <w:lang w:eastAsia="zh-CN"/>
              </w:rPr>
              <w:t>市</w:t>
            </w:r>
            <w:r>
              <w:rPr>
                <w:rFonts w:hint="eastAsia" w:ascii="Times New Roman" w:hAnsi="Times New Roman" w:eastAsia="方正仿宋_GBK"/>
                <w:szCs w:val="21"/>
              </w:rPr>
              <w:t>场交易率的盖章文件；</w:t>
            </w:r>
            <w:r>
              <w:rPr>
                <w:rFonts w:ascii="Times New Roman" w:hAnsi="Times New Roman" w:eastAsia="方正仿宋_GBK"/>
                <w:szCs w:val="21"/>
              </w:rPr>
              <w:t>3</w:t>
            </w:r>
            <w:r>
              <w:rPr>
                <w:rFonts w:hint="eastAsia" w:ascii="Times New Roman" w:hAnsi="Times New Roman" w:eastAsia="方正仿宋_GBK"/>
                <w:szCs w:val="21"/>
              </w:rPr>
              <w:t>、</w:t>
            </w:r>
            <w:r>
              <w:rPr>
                <w:rFonts w:ascii="Times New Roman" w:hAnsi="Times New Roman" w:eastAsia="方正仿宋_GBK"/>
                <w:szCs w:val="21"/>
              </w:rPr>
              <w:t>“</w:t>
            </w:r>
            <w:r>
              <w:rPr>
                <w:rFonts w:hint="eastAsia" w:ascii="Times New Roman" w:hAnsi="Times New Roman" w:eastAsia="方正仿宋_GBK"/>
                <w:szCs w:val="21"/>
              </w:rPr>
              <w:t>进出平衡</w:t>
            </w:r>
            <w:r>
              <w:rPr>
                <w:rFonts w:ascii="Times New Roman" w:hAnsi="Times New Roman" w:eastAsia="方正仿宋_GBK"/>
                <w:szCs w:val="21"/>
              </w:rPr>
              <w:t>”</w:t>
            </w:r>
            <w:r>
              <w:rPr>
                <w:rFonts w:hint="eastAsia" w:ascii="Times New Roman" w:hAnsi="Times New Roman" w:eastAsia="方正仿宋_GBK"/>
                <w:szCs w:val="21"/>
              </w:rPr>
              <w:t>总体方案；</w:t>
            </w:r>
            <w:r>
              <w:rPr>
                <w:rFonts w:ascii="Times New Roman" w:hAnsi="Times New Roman" w:eastAsia="方正仿宋_GBK"/>
                <w:szCs w:val="21"/>
              </w:rPr>
              <w:t>4</w:t>
            </w:r>
            <w:r>
              <w:rPr>
                <w:rFonts w:hint="eastAsia" w:ascii="Times New Roman" w:hAnsi="Times New Roman" w:eastAsia="方正仿宋_GBK"/>
                <w:szCs w:val="21"/>
              </w:rPr>
              <w:t>、</w:t>
            </w:r>
            <w:r>
              <w:rPr>
                <w:rFonts w:ascii="Times New Roman" w:hAnsi="Times New Roman" w:eastAsia="方正仿宋_GBK"/>
                <w:szCs w:val="21"/>
              </w:rPr>
              <w:t>2021</w:t>
            </w:r>
            <w:r>
              <w:rPr>
                <w:rFonts w:hint="eastAsia" w:ascii="Times New Roman" w:hAnsi="Times New Roman" w:eastAsia="方正仿宋_GBK"/>
                <w:szCs w:val="21"/>
              </w:rPr>
              <w:t>年和</w:t>
            </w:r>
            <w:r>
              <w:rPr>
                <w:rFonts w:ascii="Times New Roman" w:hAnsi="Times New Roman" w:eastAsia="方正仿宋_GBK"/>
                <w:szCs w:val="21"/>
              </w:rPr>
              <w:t>2022</w:t>
            </w:r>
            <w:r>
              <w:rPr>
                <w:rFonts w:hint="eastAsia" w:ascii="Times New Roman" w:hAnsi="Times New Roman" w:eastAsia="方正仿宋_GBK"/>
                <w:szCs w:val="21"/>
              </w:rPr>
              <w:t>年耕地净流出值的数据材料；</w:t>
            </w:r>
            <w:r>
              <w:rPr>
                <w:rFonts w:ascii="Times New Roman" w:hAnsi="Times New Roman" w:eastAsia="方正仿宋_GBK"/>
                <w:szCs w:val="21"/>
              </w:rPr>
              <w:t>2022</w:t>
            </w:r>
            <w:r>
              <w:rPr>
                <w:rFonts w:hint="eastAsia" w:ascii="Times New Roman" w:hAnsi="Times New Roman" w:eastAsia="方正仿宋_GBK"/>
                <w:szCs w:val="21"/>
              </w:rPr>
              <w:t>年恢复耕地数据。</w:t>
            </w:r>
          </w:p>
        </w:tc>
        <w:tc>
          <w:tcPr>
            <w:tcW w:w="737"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核定系统导入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1" w:hRule="atLeast"/>
          <w:tblHeader/>
          <w:jc w:val="center"/>
        </w:trPr>
        <w:tc>
          <w:tcPr>
            <w:tcW w:w="1321" w:type="dxa"/>
            <w:vMerge w:val="restart"/>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一、耕地保护（41分）</w:t>
            </w:r>
          </w:p>
        </w:tc>
        <w:tc>
          <w:tcPr>
            <w:tcW w:w="1134"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4.</w:t>
            </w:r>
            <w:r>
              <w:rPr>
                <w:rFonts w:hint="eastAsia" w:ascii="Times New Roman" w:hAnsi="Times New Roman" w:eastAsia="方正仿宋_GBK"/>
                <w:szCs w:val="21"/>
              </w:rPr>
              <w:t>违法占用耕地和永久基本农田（</w:t>
            </w:r>
            <w:r>
              <w:rPr>
                <w:rFonts w:ascii="Times New Roman" w:hAnsi="Times New Roman"/>
                <w:szCs w:val="21"/>
              </w:rPr>
              <w:t>3</w:t>
            </w:r>
            <w:r>
              <w:rPr>
                <w:rFonts w:hint="eastAsia" w:ascii="Times New Roman" w:hAnsi="Times New Roman" w:eastAsia="方正仿宋_GBK"/>
                <w:szCs w:val="21"/>
              </w:rPr>
              <w:t>分）</w:t>
            </w: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3</w:t>
            </w:r>
          </w:p>
        </w:tc>
        <w:tc>
          <w:tcPr>
            <w:tcW w:w="4946" w:type="dxa"/>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4）坚决遏制耕地“非农化”。本年度卫片执法未发现违法占用耕地的，得3分；初始违法建设占用耕地300亩（含）——600亩（不含），扣0.5分；占600亩（含）以上，扣1分。整改后剩余违法占用耕地每100亩，扣0.5分，合计扣分不超过2分。</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w:t>
            </w:r>
          </w:p>
        </w:tc>
        <w:tc>
          <w:tcPr>
            <w:tcW w:w="823"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含耕地占用问题数、违法占用耕地面积、整改后违法占用耕地面积的文件。</w:t>
            </w:r>
          </w:p>
        </w:tc>
        <w:tc>
          <w:tcPr>
            <w:tcW w:w="737"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国家反馈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98" w:hRule="atLeast"/>
          <w:tblHeader/>
          <w:jc w:val="center"/>
        </w:trPr>
        <w:tc>
          <w:tcPr>
            <w:tcW w:w="1321"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restart"/>
            <w:tcMar>
              <w:left w:w="45" w:type="dxa"/>
              <w:right w:w="45" w:type="dxa"/>
            </w:tcMar>
            <w:vAlign w:val="center"/>
          </w:tcPr>
          <w:p>
            <w:pPr>
              <w:spacing w:line="280" w:lineRule="exact"/>
              <w:jc w:val="center"/>
              <w:rPr>
                <w:rFonts w:ascii="Times New Roman" w:hAnsi="Times New Roman" w:eastAsia="方正仿宋_GBK" w:cs="宋体"/>
                <w:szCs w:val="21"/>
              </w:rPr>
            </w:pPr>
            <w:r>
              <w:rPr>
                <w:rFonts w:hint="eastAsia" w:ascii="Times New Roman" w:hAnsi="Times New Roman" w:eastAsia="方正仿宋_GBK"/>
                <w:szCs w:val="21"/>
              </w:rPr>
              <w:t>5.耕地质量保护与提升，灌排设施建设与管理（12.5分）</w:t>
            </w: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耕地质量长期定位监测情况。①建立耕地质量监测点数量达到基准数（平均每10万亩耕地设置1个监测点）的，得0.2分，否则不得分。②编制发布本行政区域年度耕地质量监测报告，并由区县政府或农业农村主管部门正式印发的，得0.8分，否则不得分。</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、设立长期定位监测点情况佐证材料；</w:t>
            </w:r>
            <w:r>
              <w:rPr>
                <w:rFonts w:ascii="Times New Roman" w:hAnsi="Times New Roman"/>
                <w:szCs w:val="21"/>
              </w:rPr>
              <w:br w:type="textWrapping"/>
            </w:r>
            <w:r>
              <w:rPr>
                <w:rFonts w:ascii="Times New Roman" w:hAnsi="Times New Roman"/>
                <w:szCs w:val="21"/>
              </w:rPr>
              <w:t>2</w:t>
            </w:r>
            <w:r>
              <w:rPr>
                <w:rFonts w:hint="eastAsia" w:ascii="Times New Roman" w:hAnsi="Times New Roman" w:eastAsia="方正仿宋_GBK"/>
                <w:szCs w:val="21"/>
              </w:rPr>
              <w:t>、年度监测报告。</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80" w:hRule="atLeast"/>
          <w:tblHeader/>
          <w:jc w:val="center"/>
        </w:trPr>
        <w:tc>
          <w:tcPr>
            <w:tcW w:w="1321"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6）耕地质量保护提升年度工作任务完成情况。①根据下达的2022年耕地质量保护与提升有关工作任务，编制了本地方案的，得0.1分，否则不得分。②按照本地方案组织实施，并全部完成年度任务的，得0.9分；年度工作任务完成率每减少10%，扣0.2分。</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耕地保护和提升年度工作方案、年度任务完成情况佐证材料。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（7）耕地质量等级情况。本年度耕地质量等级与上一年度等级相比有提升的，得1分；持平的，得0.8分；降低的，每降低0.1等，在持平基础上扣0.15分，扣完为止。</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年度耕地质量等级报告</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50" w:hRule="atLeast"/>
          <w:tblHeader/>
          <w:jc w:val="center"/>
        </w:trPr>
        <w:tc>
          <w:tcPr>
            <w:tcW w:w="1321"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8）耕地质量保护与提升技术推广情况。技术推广（包括秸秆还田、施用有机肥、绿肥种植还田、酸化土壤改良、深耕深松等）面积占粮食播种面积达到60%的，得0.6分；每增加10%，加0.1分，累计加分不超过0.4分；每减少10%，扣0.1分，该项分值扣完为止。</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耕地质量保护与提升技术推广情况佐证材料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restart"/>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一、耕地保护（41分）</w:t>
            </w:r>
          </w:p>
        </w:tc>
        <w:tc>
          <w:tcPr>
            <w:tcW w:w="1134" w:type="dxa"/>
            <w:vMerge w:val="restart"/>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仿宋_GBK"/>
                <w:szCs w:val="21"/>
              </w:rPr>
              <w:t>5.耕地质量保护与提升，灌排设施建设与管理（12.5分）</w:t>
            </w: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9）中型灌区建设及验收情况。①中型灌区节水改造项目完成年度建设进度及投资计划80%的，得基础分0.5分，每增长5%，加0.1分，最多得0.7分；完成率在60%-80%的，按比例得分；完成率低于60%的，不得分。②足额落实中型灌区建设区县配套资金的，得0.1分，否则不得分。③严格按程序和要求完成中型灌区节水改造等农村水利工程竣工验收的，得0.2分；未按要求完成竣工验收的，每1个项目扣0.2分，扣完为止。④因建设管理不到位造成一般质量或安全事故的，每发生1起扣0.5分；造成较大及以上质量或安全事故的，扣1分，扣完为止。</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区水利局</w:t>
            </w:r>
          </w:p>
        </w:tc>
        <w:tc>
          <w:tcPr>
            <w:tcW w:w="823" w:type="dxa"/>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中型灌区节水改造进度报表（</w:t>
            </w:r>
            <w:r>
              <w:rPr>
                <w:rFonts w:ascii="Times New Roman" w:hAnsi="Times New Roman"/>
                <w:szCs w:val="21"/>
              </w:rPr>
              <w:t>12</w:t>
            </w:r>
            <w:r>
              <w:rPr>
                <w:rFonts w:hint="eastAsia" w:ascii="Times New Roman" w:hAnsi="Times New Roman" w:eastAsia="方正仿宋_GBK"/>
                <w:szCs w:val="21"/>
              </w:rPr>
              <w:t>月）；</w:t>
            </w:r>
            <w:r>
              <w:rPr>
                <w:rFonts w:ascii="Times New Roman" w:hAnsi="Times New Roman"/>
                <w:szCs w:val="21"/>
              </w:rPr>
              <w:t>2.</w:t>
            </w:r>
            <w:r>
              <w:rPr>
                <w:rFonts w:hint="eastAsia" w:ascii="Times New Roman" w:hAnsi="Times New Roman" w:eastAsia="方正仿宋_GBK"/>
                <w:szCs w:val="21"/>
              </w:rPr>
              <w:t>区县财政中型灌区建设配套资金文件；</w:t>
            </w:r>
            <w:r>
              <w:rPr>
                <w:rFonts w:ascii="Times New Roman" w:hAnsi="Times New Roman"/>
                <w:szCs w:val="21"/>
              </w:rPr>
              <w:t>3.</w:t>
            </w:r>
            <w:r>
              <w:rPr>
                <w:rFonts w:hint="eastAsia" w:ascii="Times New Roman" w:hAnsi="Times New Roman" w:eastAsia="方正仿宋_GBK"/>
                <w:szCs w:val="21"/>
              </w:rPr>
              <w:t>区水利局第四季度农村水利工程建设和验收通报（以工程验收鉴定书为依据）；</w:t>
            </w:r>
            <w:r>
              <w:rPr>
                <w:rFonts w:ascii="Times New Roman" w:hAnsi="Times New Roman"/>
                <w:szCs w:val="21"/>
              </w:rPr>
              <w:t>4.</w:t>
            </w:r>
            <w:r>
              <w:rPr>
                <w:rFonts w:hint="eastAsia" w:ascii="Times New Roman" w:hAnsi="Times New Roman" w:eastAsia="方正仿宋_GBK"/>
                <w:szCs w:val="21"/>
              </w:rPr>
              <w:t>发生质量安全事故的事实。</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0.5</w:t>
            </w:r>
          </w:p>
        </w:tc>
        <w:tc>
          <w:tcPr>
            <w:tcW w:w="4946" w:type="dxa"/>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（10）耕地灌溉面积增长情况。积极开展水资源优化配置工程建设，耕地灌溉面积保持稳定或增加的，得0.5分；面积降低的，不得分。</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区水利局</w:t>
            </w:r>
          </w:p>
        </w:tc>
        <w:tc>
          <w:tcPr>
            <w:tcW w:w="823" w:type="dxa"/>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含耕地灌溉面积的盖章文件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215" w:hRule="atLeast"/>
          <w:tblHeader/>
          <w:jc w:val="center"/>
        </w:trPr>
        <w:tc>
          <w:tcPr>
            <w:tcW w:w="1321"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11）农田水利设施管护情况。①大中型灌区管理单位公益性人员基本支出和工程维修养护经费足额落实的，得0.5分；未足额落实的，按落实比例得分，落实比例低于80%的，不得分。。②地方政府农田水利设施管护主导责任落实到位，相关部门监督和行业监管指导职责明确，工程管护主体及责任落实，管护经费合理保障，农田水利设施管护良好的，得0.5分；此5项工作中有一项未落实的扣0.2分，扣完为止。③农田水利设施管护发生重大问题、造成不良舆情或被区级以上部门约谈通报的，每发生1起扣0.2分；因管理不到位造成一般安全事故的，每发生1起扣0.5分；造成较大及以上安全事故的，扣1分，扣完为止。</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区县填报、部门填报</w:t>
            </w:r>
          </w:p>
        </w:tc>
        <w:tc>
          <w:tcPr>
            <w:tcW w:w="957"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区水利局</w:t>
            </w:r>
          </w:p>
        </w:tc>
        <w:tc>
          <w:tcPr>
            <w:tcW w:w="823" w:type="dxa"/>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自然资源局、区发展改革委</w:t>
            </w:r>
            <w:r>
              <w:rPr>
                <w:rFonts w:ascii="Times New Roman" w:hAnsi="Times New Roman"/>
                <w:szCs w:val="21"/>
              </w:rPr>
              <w:t xml:space="preserve"> </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区县财政用于灌区管理单位公益性人员和水利工程维修养护的资金文件；</w:t>
            </w:r>
            <w:r>
              <w:rPr>
                <w:rFonts w:ascii="Times New Roman" w:hAnsi="Times New Roman"/>
                <w:szCs w:val="21"/>
              </w:rPr>
              <w:t>2.</w:t>
            </w:r>
            <w:r>
              <w:rPr>
                <w:rFonts w:hint="eastAsia" w:ascii="Times New Roman" w:hAnsi="Times New Roman" w:eastAsia="方正仿宋_GBK"/>
                <w:szCs w:val="21"/>
              </w:rPr>
              <w:t>区县政府或有关部门关于农田水利设施管护、监管职责、经费保障等文件和规定；</w:t>
            </w:r>
            <w:r>
              <w:rPr>
                <w:rFonts w:ascii="Times New Roman" w:hAnsi="Times New Roman"/>
                <w:szCs w:val="21"/>
              </w:rPr>
              <w:t>3.</w:t>
            </w:r>
            <w:r>
              <w:rPr>
                <w:rFonts w:hint="eastAsia" w:ascii="Times New Roman" w:hAnsi="Times New Roman" w:eastAsia="方正仿宋_GBK"/>
                <w:szCs w:val="21"/>
              </w:rPr>
              <w:t>被国家和区级媒体报道的农田水利负面舆情，发生质量安全事故的事实。</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547"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一、耕地保护（41分）</w:t>
            </w: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仿宋_GBK"/>
                <w:szCs w:val="21"/>
              </w:rPr>
              <w:t>5.耕地质量保护与提升，灌排设施建设与管理（12.5分）</w:t>
            </w:r>
          </w:p>
        </w:tc>
        <w:tc>
          <w:tcPr>
            <w:tcW w:w="56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12）农业水价综合改革推进情况。①年度实际新增改革实施面积达到年度计划100%的，得0.2分；完成50%—100%的，按相应比例得分；低于50%的，不得分。②农业供水计量设施配套完善的，得0.1分。其中，大中型灌区骨干与田间工程分界点未全部实现计量供水的，按计量控制面积占实施面积的相应比例得分。③农业用水总量指标全部分解到用水主体的，得0.1分；未全部分解的，按分解到用水主体面积占实施面积的相应比例得分。④田间工程全面落实管护主体和管护责任的，得0.2分；未全面落实的，按落实管护主体和管护责任面积占实施面积的相应比例得分。⑤将农业水价调整到不低于工程运行维护成本水平（含已对外公布分步调价计划）的，得0.2分；未公布但已制定调价计划，并已开展成本监审或成本调查的，得0.1分；否则不得分。⑥及时分解安排中央、区级财政水利发展资金（用于农业水价综合改革部分），并用于精准补贴和节水奖励的，得0.1分，否则不得分；区县财政安排农业水价综合改革资金用于精准补贴和节水奖励的，得0.1分，否则不得分。</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区财政局、区水利局、区农业农村委</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、含农业水价改革实施面积的盖章文件；</w:t>
            </w:r>
            <w:r>
              <w:rPr>
                <w:rFonts w:ascii="Times New Roman" w:hAnsi="Times New Roman"/>
                <w:szCs w:val="21"/>
              </w:rPr>
              <w:t>2</w:t>
            </w:r>
            <w:r>
              <w:rPr>
                <w:rFonts w:hint="eastAsia" w:ascii="Times New Roman" w:hAnsi="Times New Roman" w:eastAsia="方正仿宋_GBK"/>
                <w:szCs w:val="21"/>
              </w:rPr>
              <w:t>、含计量设施配套的盖章文件；</w:t>
            </w:r>
            <w:r>
              <w:rPr>
                <w:rFonts w:ascii="Times New Roman" w:hAnsi="Times New Roman"/>
                <w:szCs w:val="21"/>
              </w:rPr>
              <w:t>3</w:t>
            </w:r>
            <w:r>
              <w:rPr>
                <w:rFonts w:hint="eastAsia" w:ascii="Times New Roman" w:hAnsi="Times New Roman" w:eastAsia="方正仿宋_GBK"/>
                <w:szCs w:val="21"/>
              </w:rPr>
              <w:t>、含农业用水主体分解的盖章文件；</w:t>
            </w:r>
            <w:r>
              <w:rPr>
                <w:rFonts w:ascii="Times New Roman" w:hAnsi="Times New Roman"/>
                <w:szCs w:val="21"/>
              </w:rPr>
              <w:t>4</w:t>
            </w:r>
            <w:r>
              <w:rPr>
                <w:rFonts w:hint="eastAsia" w:ascii="Times New Roman" w:hAnsi="Times New Roman" w:eastAsia="方正仿宋_GBK"/>
                <w:szCs w:val="21"/>
              </w:rPr>
              <w:t>、含田间工程主体责任的盖章文件；</w:t>
            </w:r>
            <w:r>
              <w:rPr>
                <w:rFonts w:ascii="Times New Roman" w:hAnsi="Times New Roman"/>
                <w:szCs w:val="21"/>
              </w:rPr>
              <w:t>5</w:t>
            </w:r>
            <w:r>
              <w:rPr>
                <w:rFonts w:hint="eastAsia" w:ascii="Times New Roman" w:hAnsi="Times New Roman" w:eastAsia="方正仿宋_GBK"/>
                <w:szCs w:val="21"/>
              </w:rPr>
              <w:t>、农业水价调价的方案和成本监审报告；</w:t>
            </w:r>
            <w:r>
              <w:rPr>
                <w:rFonts w:ascii="Times New Roman" w:hAnsi="Times New Roman"/>
                <w:szCs w:val="21"/>
              </w:rPr>
              <w:br w:type="page"/>
            </w:r>
            <w:r>
              <w:rPr>
                <w:rFonts w:ascii="Times New Roman" w:hAnsi="Times New Roman"/>
                <w:szCs w:val="21"/>
              </w:rPr>
              <w:t>6</w:t>
            </w:r>
            <w:r>
              <w:rPr>
                <w:rFonts w:hint="eastAsia" w:ascii="Times New Roman" w:hAnsi="Times New Roman" w:eastAsia="方正仿宋_GBK"/>
                <w:szCs w:val="21"/>
              </w:rPr>
              <w:t>、含农业水价资金安排的盖章文件。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0.5</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（13）化肥减量任务完成情况。完成《重庆区2022年化肥农药减量增效工作方案》下达任务的，得0.5分，否则不得分。</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国家统计局永川调查队</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年度工作方案、总结正式文件</w:t>
            </w:r>
          </w:p>
        </w:tc>
        <w:tc>
          <w:tcPr>
            <w:tcW w:w="737"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统计部门法定数据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0.5</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（14）农药减量任务完成情况。完成《重庆区2022年化肥农药减量增效工作方案》下达任务的，得0.5分，否则不得分。</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国家统计局永川调查队</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年度工作方案、总结正式文件</w:t>
            </w:r>
          </w:p>
        </w:tc>
        <w:tc>
          <w:tcPr>
            <w:tcW w:w="737" w:type="dxa"/>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统计部门法定数据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81" w:hRule="atLeast"/>
          <w:tblHeader/>
          <w:jc w:val="center"/>
        </w:trPr>
        <w:tc>
          <w:tcPr>
            <w:tcW w:w="1321" w:type="dxa"/>
            <w:vMerge w:val="restart"/>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一、耕地保护（41分）</w:t>
            </w:r>
          </w:p>
        </w:tc>
        <w:tc>
          <w:tcPr>
            <w:tcW w:w="1134" w:type="dxa"/>
            <w:vMerge w:val="restart"/>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仿宋_GBK"/>
                <w:szCs w:val="21"/>
              </w:rPr>
              <w:t>5.耕地质量保护与提升，灌排设施建设与管理（12.5分）</w:t>
            </w:r>
          </w:p>
        </w:tc>
        <w:tc>
          <w:tcPr>
            <w:tcW w:w="567" w:type="dxa"/>
            <w:tcBorders>
              <w:top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0.5</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15）农药监管机制。①依法依规开展2022年度农药经营许可（如2022年度未开展，提供上一年度的），所有经营许可办件须提供农药经营行政审批初审意见、实地核查表（须提供房管部门房屋产权证明，且经营场所≥30平方米和仓储场所≥50平方米）和审批意见表3项资料，得0.3分；3个核发要件不全的，即发现违规办理许可1件的，得0.1分；违规办理许可2件及以上的，均不得分。②制定并实施2022年度农药行政检查计划，并以正式公文上报工作总结，得0.1分；否则，不得分。③农业农村部门主要领导每季度检查农药安全监管工作不少于1次的，得0.1分；否则，不得分。</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、当年开展农药经营行政审批每个办件的初审意见、实地核查表和审批意见表（当年无申请许可者，可提供上年资料）；</w:t>
            </w:r>
            <w:r>
              <w:rPr>
                <w:rFonts w:ascii="Times New Roman" w:hAnsi="Times New Roman"/>
                <w:szCs w:val="21"/>
              </w:rPr>
              <w:t>2</w:t>
            </w:r>
            <w:r>
              <w:rPr>
                <w:rFonts w:hint="eastAsia" w:ascii="Times New Roman" w:hAnsi="Times New Roman" w:eastAsia="方正仿宋_GBK"/>
                <w:szCs w:val="21"/>
              </w:rPr>
              <w:t>、年度行政检查计划、工作总结，百日安全大检查工作总结；</w:t>
            </w:r>
            <w:r>
              <w:rPr>
                <w:rFonts w:ascii="Times New Roman" w:hAnsi="Times New Roman"/>
                <w:szCs w:val="21"/>
              </w:rPr>
              <w:t>3</w:t>
            </w:r>
            <w:r>
              <w:rPr>
                <w:rFonts w:hint="eastAsia" w:ascii="Times New Roman" w:hAnsi="Times New Roman" w:eastAsia="方正仿宋_GBK"/>
                <w:szCs w:val="21"/>
              </w:rPr>
              <w:t>、主要领导每季度检查农药安全监管工作记录。</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95" w:hRule="atLeast"/>
          <w:tblHeader/>
          <w:jc w:val="center"/>
        </w:trPr>
        <w:tc>
          <w:tcPr>
            <w:tcW w:w="1321" w:type="dxa"/>
            <w:vMerge w:val="continue"/>
            <w:tcBorders>
              <w:bottom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bottom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2.5</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300" w:lineRule="exact"/>
              <w:rPr>
                <w:rFonts w:ascii="Times New Roman" w:hAnsi="Times New Roman" w:eastAsia="方正仿宋_GBK" w:cs="宋体"/>
                <w:szCs w:val="21"/>
              </w:rPr>
            </w:pPr>
            <w:r>
              <w:rPr>
                <w:rFonts w:hint="eastAsia" w:ascii="Times New Roman" w:hAnsi="Times New Roman" w:eastAsia="方正仿宋_GBK"/>
                <w:szCs w:val="21"/>
              </w:rPr>
              <w:t>（16）受污染耕地安全利用情况。 ①优先保护类耕地落实优先保护措施。根据相关通报、文件等佐证材料认定，无新增污染耕地的，得0.5分，有新增污染耕地的不得分；②安全利用类耕地落实安全利用措施。根据各区县受污染耕地安全利用率核算报告及结果，达到区级要求的，得1分，未达到的不得分；③严格管控类耕地全面落实严格管控措施。根据各区县受污染耕地安全利用率报告及结果，全面落实严格管控措施得1分，未全面落实的不得分（此项不考核、不计分，满分相应扣减此项分值）。</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相关通报、文件等佐证材料和各区县（自治县）受污染耕地安全利用率核算报告及结果</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30"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一、耕地保护（41分）</w:t>
            </w:r>
          </w:p>
        </w:tc>
        <w:tc>
          <w:tcPr>
            <w:tcW w:w="1134"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仿宋_GBK"/>
                <w:szCs w:val="21"/>
              </w:rPr>
              <w:t>5.耕地质量保护与提升，灌排设施建设与管理（12.5分）</w:t>
            </w:r>
          </w:p>
        </w:tc>
        <w:tc>
          <w:tcPr>
            <w:tcW w:w="56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（17）强化耕地土壤污染源头防治。①按照国家及区级相关规定开展耕地土壤重金属污染源头防治的</w:t>
            </w:r>
            <w:r>
              <w:rPr>
                <w:rFonts w:hint="eastAsia" w:ascii="Times New Roman" w:hAnsi="Times New Roman" w:eastAsia="方正仿宋_GBK"/>
                <w:szCs w:val="21"/>
                <w:lang w:eastAsia="zh-CN"/>
              </w:rPr>
              <w:t>区</w:t>
            </w:r>
            <w:r>
              <w:rPr>
                <w:rFonts w:hint="eastAsia" w:ascii="Times New Roman" w:hAnsi="Times New Roman" w:eastAsia="方正仿宋_GBK"/>
                <w:szCs w:val="21"/>
              </w:rPr>
              <w:t>县</w:t>
            </w:r>
            <w:r>
              <w:rPr>
                <w:rFonts w:hint="eastAsia" w:ascii="Times New Roman" w:hAnsi="Times New Roman" w:eastAsia="方正仿宋_GBK"/>
                <w:szCs w:val="21"/>
                <w:lang w:eastAsia="zh-CN"/>
              </w:rPr>
              <w:t>，</w:t>
            </w:r>
            <w:r>
              <w:rPr>
                <w:rFonts w:hint="eastAsia" w:ascii="Times New Roman" w:hAnsi="Times New Roman" w:eastAsia="方正仿宋_GBK"/>
                <w:szCs w:val="21"/>
              </w:rPr>
              <w:t>得1分。②出现因耕地土壤污染导致农产品超标且造成社会不良影响的，每发生1起，扣0.2分；中央生态环境保护督察、国家相关检查发现问题或媒体曝光并经核实，存在有关耕地土壤污染源头防治不到位等问题的，每发生1起，扣0.2分，未完成土壤污染防治项目储备年度分配任务的，每低于年度任务10%，扣0.2分；土壤污染防治资金使用低效无效，扣0.5分；本项赋分扣完为止。</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区县填报、部门填报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区生态环境局</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区农业农村委、区发展改革委</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、重金属企业排查工作开展佐证材料；</w:t>
            </w:r>
            <w:r>
              <w:rPr>
                <w:rFonts w:ascii="Times New Roman" w:hAnsi="Times New Roman"/>
                <w:szCs w:val="21"/>
              </w:rPr>
              <w:t>2</w:t>
            </w:r>
            <w:r>
              <w:rPr>
                <w:rFonts w:hint="eastAsia" w:ascii="Times New Roman" w:hAnsi="Times New Roman" w:eastAsia="方正仿宋_GBK"/>
                <w:szCs w:val="21"/>
              </w:rPr>
              <w:t>、含土壤污染源头防治问题情况的盖章文件。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86"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6.</w:t>
            </w:r>
            <w:r>
              <w:rPr>
                <w:rFonts w:hint="eastAsia" w:ascii="Times New Roman" w:hAnsi="Times New Roman" w:eastAsia="方正仿宋_GBK"/>
                <w:szCs w:val="21"/>
              </w:rPr>
              <w:t>高标准农田建设暨高效节水灌溉建设（</w:t>
            </w:r>
            <w:r>
              <w:rPr>
                <w:rFonts w:ascii="Times New Roman" w:hAnsi="Times New Roman"/>
                <w:szCs w:val="21"/>
              </w:rPr>
              <w:t>6.5</w:t>
            </w:r>
            <w:r>
              <w:rPr>
                <w:rFonts w:hint="eastAsia" w:ascii="Times New Roman" w:hAnsi="Times New Roman" w:eastAsia="方正仿宋_GBK"/>
                <w:szCs w:val="21"/>
              </w:rPr>
              <w:t>分）</w:t>
            </w:r>
          </w:p>
        </w:tc>
        <w:tc>
          <w:tcPr>
            <w:tcW w:w="56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（18）高标准农田和高效节水灌溉任务完成情况。完成高标准农田和高效节水灌溉建设任务的区县，得2分；建成面积低于年度任务的，每减少1%，扣0.2分，本项赋分扣完为止。</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区发展改革委、区财政局</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区农业农村委根据调度数据统计汇总的年度高标准农田建设任务完成情况</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9"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pacing w:line="280" w:lineRule="exact"/>
              <w:rPr>
                <w:rFonts w:ascii="Times New Roman" w:hAnsi="Times New Roman"/>
                <w:szCs w:val="21"/>
              </w:rPr>
            </w:pPr>
          </w:p>
        </w:tc>
        <w:tc>
          <w:tcPr>
            <w:tcW w:w="56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（19）高标准农田建设上图入库情况。按规定完成上图入库的，得1分；未完成的，根据上图入库比例得分。</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区发展改革委、区财政局</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区农业农村委统计汇总的全国农田建设监测监管平台中项目上图入库完成情况</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67" w:hRule="atLeast"/>
          <w:tblHeader/>
          <w:jc w:val="center"/>
        </w:trPr>
        <w:tc>
          <w:tcPr>
            <w:tcW w:w="1321" w:type="dxa"/>
            <w:vMerge w:val="continue"/>
            <w:tcBorders>
              <w:left w:val="single" w:color="auto" w:sz="6"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2" w:space="0"/>
              <w:right w:val="single" w:color="auto" w:sz="2" w:space="0"/>
            </w:tcBorders>
            <w:tcMar>
              <w:left w:w="45" w:type="dxa"/>
              <w:right w:w="45" w:type="dxa"/>
            </w:tcMar>
            <w:vAlign w:val="center"/>
          </w:tcPr>
          <w:p>
            <w:pPr>
              <w:spacing w:line="280" w:lineRule="exact"/>
              <w:rPr>
                <w:rFonts w:ascii="Times New Roman" w:hAnsi="Times New Roman"/>
                <w:szCs w:val="21"/>
              </w:rPr>
            </w:pPr>
          </w:p>
        </w:tc>
        <w:tc>
          <w:tcPr>
            <w:tcW w:w="56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（20）农田建设补助资金投入情况。加大地方投入力度，区县安排农田建设补助资金与农田建设项目投资和管护工作需求相匹配，得2分。未达到要求的，按比例扣分，扣完为止。</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区发展改革委、区财政局</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、财政资金安排或下达文件；</w:t>
            </w:r>
            <w:r>
              <w:rPr>
                <w:rFonts w:ascii="Times New Roman" w:hAnsi="Times New Roman"/>
                <w:szCs w:val="21"/>
              </w:rPr>
              <w:t>2</w:t>
            </w:r>
            <w:r>
              <w:rPr>
                <w:rFonts w:hint="eastAsia" w:ascii="Times New Roman" w:hAnsi="Times New Roman" w:eastAsia="方正仿宋_GBK"/>
                <w:szCs w:val="21"/>
              </w:rPr>
              <w:t>、项目立项批复文件。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Borders>
              <w:top w:val="single" w:color="auto" w:sz="2" w:space="0"/>
              <w:left w:val="single" w:color="auto" w:sz="6"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一、耕地保护（41分）</w:t>
            </w:r>
          </w:p>
        </w:tc>
        <w:tc>
          <w:tcPr>
            <w:tcW w:w="1134"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6.</w:t>
            </w:r>
            <w:r>
              <w:rPr>
                <w:rFonts w:hint="eastAsia" w:ascii="Times New Roman" w:hAnsi="Times New Roman" w:eastAsia="方正仿宋_GBK"/>
                <w:szCs w:val="21"/>
              </w:rPr>
              <w:t>高标准农田建设暨高效节水灌溉建设（</w:t>
            </w:r>
            <w:r>
              <w:rPr>
                <w:rFonts w:ascii="Times New Roman" w:hAnsi="Times New Roman"/>
                <w:szCs w:val="21"/>
              </w:rPr>
              <w:t>6.5</w:t>
            </w:r>
            <w:r>
              <w:rPr>
                <w:rFonts w:hint="eastAsia" w:ascii="Times New Roman" w:hAnsi="Times New Roman" w:eastAsia="方正仿宋_GBK"/>
                <w:szCs w:val="21"/>
              </w:rPr>
              <w:t>分）</w:t>
            </w:r>
          </w:p>
        </w:tc>
        <w:tc>
          <w:tcPr>
            <w:tcW w:w="56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1.5</w:t>
            </w:r>
          </w:p>
        </w:tc>
        <w:tc>
          <w:tcPr>
            <w:tcW w:w="4946"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60" w:lineRule="exact"/>
              <w:rPr>
                <w:rFonts w:ascii="Times New Roman" w:hAnsi="Times New Roman" w:eastAsia="方正仿宋_GBK" w:cs="宋体"/>
                <w:szCs w:val="21"/>
              </w:rPr>
            </w:pPr>
            <w:r>
              <w:rPr>
                <w:rFonts w:hint="eastAsia" w:ascii="Times New Roman" w:hAnsi="Times New Roman" w:eastAsia="方正仿宋_GBK"/>
                <w:szCs w:val="21"/>
              </w:rPr>
              <w:t>（21）竣工验收及项目工程管护情况。①竣工验收。由区农业农村委批复立项的项目在竣工后4个月内完成区县级验收并在全国农田建设综合监测监管平台录入数据的，得0.5分；未经区农业农村委批复立项的项目在竣工后半年内完成区县级验收并在全国农田建设综合监测监管平台录入数据的，得0.5分。未在规定时间内完成的，根据占应验项目比例，每减少10%，扣0.1分，扣完为止。②项目工程管护。对已竣工验收项目，全部落实管护主体、责任、经费的，得0.5分；任何一项未落实或落实不到位的，扣0.1分，扣完为止。</w:t>
            </w:r>
          </w:p>
        </w:tc>
        <w:tc>
          <w:tcPr>
            <w:tcW w:w="709"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2"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2"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区发展改革委、区财政局</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、项目竣工验收文件；</w:t>
            </w:r>
            <w:r>
              <w:rPr>
                <w:rFonts w:ascii="Times New Roman" w:hAnsi="Times New Roman"/>
                <w:szCs w:val="21"/>
              </w:rPr>
              <w:t>2</w:t>
            </w:r>
            <w:r>
              <w:rPr>
                <w:rFonts w:hint="eastAsia" w:ascii="Times New Roman" w:hAnsi="Times New Roman" w:eastAsia="方正仿宋_GBK"/>
                <w:szCs w:val="21"/>
              </w:rPr>
              <w:t>、建成工程设施管护的情况佐证材料。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二、粮食面积产量和种植结构（17分）</w:t>
            </w: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7.稳定粮食播种面积</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（7.5分）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4</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（22）粮食播种面积任务完成情况。①完成区农业农村委当年度下达粮食播种面积任务的区县，得4分；未完成的，每减少1%（不足1%按1%计），扣0.4分，扣完为止，因不可抗力因素影响除外。</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国家统计局永川调查队</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、含粮食播种面积法定统计数据的盖章文件；</w:t>
            </w:r>
            <w:r>
              <w:rPr>
                <w:rFonts w:ascii="Times New Roman" w:hAnsi="Times New Roman"/>
                <w:szCs w:val="21"/>
              </w:rPr>
              <w:t>2</w:t>
            </w:r>
            <w:r>
              <w:rPr>
                <w:rFonts w:hint="eastAsia" w:ascii="Times New Roman" w:hAnsi="Times New Roman" w:eastAsia="方正仿宋_GBK"/>
                <w:szCs w:val="21"/>
              </w:rPr>
              <w:t>、含粮食播种面积任务的区农业农村委通知文件。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（23）大豆玉米带状复合种植面积任务完成情况。完成区农业农村委当年度下达大豆玉米带状复合种植面积任务的得1.5分，未完成的不得分，因不可抗力因素影响除外。</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国家统计局永川调查队</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、含大豆玉米播种面积法定统计数据的盖章文件；</w:t>
            </w:r>
            <w:r>
              <w:rPr>
                <w:rFonts w:ascii="Times New Roman" w:hAnsi="Times New Roman"/>
                <w:szCs w:val="21"/>
              </w:rPr>
              <w:t>2</w:t>
            </w:r>
            <w:r>
              <w:rPr>
                <w:rFonts w:hint="eastAsia" w:ascii="Times New Roman" w:hAnsi="Times New Roman" w:eastAsia="方正仿宋_GBK"/>
                <w:szCs w:val="21"/>
              </w:rPr>
              <w:t>、含大豆玉米播种面积任务的区农业农村委通知文件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24）盘活撂荒耕地。根据农业行业资源调度平台，耕地地力较好、连片5亩以上的撂荒耕地（2022年7月底前完成）复耕复种的情况，按复耕比例得分，低于50%的不得分；达到50%的，得1分，每增加10%，各类区均加0.2分，加满为止。</w:t>
            </w:r>
            <w:r>
              <w:rPr>
                <w:rFonts w:hint="eastAsia" w:ascii="Times New Roman" w:hAnsi="Times New Roman" w:eastAsia="方正仿宋_GBK"/>
                <w:szCs w:val="21"/>
              </w:rPr>
              <w:br w:type="page"/>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撂荒耕地复耕情况的盖章文件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二、粮食面积产量和种植结构（17分）</w:t>
            </w: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8.稳定粮食产量（5分）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（25）粮食产量任务完成情况。完成区农业农村委当年度下达的粮食产量任务的区县，</w:t>
            </w:r>
            <w:r>
              <w:rPr>
                <w:rFonts w:hint="eastAsia" w:ascii="Times New Roman" w:hAnsi="Times New Roman" w:eastAsia="方正仿宋_GBK"/>
                <w:szCs w:val="21"/>
                <w:lang w:eastAsia="zh-CN"/>
              </w:rPr>
              <w:t>得</w:t>
            </w:r>
            <w:r>
              <w:rPr>
                <w:rFonts w:hint="eastAsia" w:ascii="Times New Roman" w:hAnsi="Times New Roman" w:eastAsia="方正仿宋_GBK"/>
                <w:szCs w:val="21"/>
              </w:rPr>
              <w:t>2分；未完成的，每减少1%（不足1%的按1%计），扣0.3分，扣完为止，因不可抗力因素影响除外。</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国家统计局永川调查队</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含粮食产量法定统计数据的盖章文件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0.8</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60" w:lineRule="exact"/>
              <w:rPr>
                <w:rFonts w:ascii="Times New Roman" w:hAnsi="Times New Roman" w:eastAsia="方正仿宋_GBK" w:cs="宋体"/>
                <w:szCs w:val="21"/>
              </w:rPr>
            </w:pPr>
            <w:r>
              <w:rPr>
                <w:rFonts w:hint="eastAsia" w:ascii="Times New Roman" w:hAnsi="Times New Roman" w:eastAsia="方正仿宋_GBK"/>
                <w:szCs w:val="21"/>
              </w:rPr>
              <w:t>（26）贯彻落实农机购置与应用补贴政策。①完成年度补贴机具数量任务且资金兑付额度较上年度增长10%的，得0.3分。仅达到上年度额度的，得0.2分，每下降10%扣0.1分，扣完为止。②根据《重庆区农机购置与应用补贴申请办理服务系统》显示，按时限要求完成补贴资金兑付的，得0.2分。其中超时办理件数占比在10%以内的，扣0.05分，10%（含）－20%扣0.1分，20%及以上此项不得分。③组织实施农机报废更新补贴政策且年度内兑付资金的，得0.3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4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、含年度补贴机具实际数量、补贴资金登记使用数据、按时限要求完成补贴资金兑付数据、农机报废更新补贴政策资金登记使用数据在内的盖章文件；</w:t>
            </w:r>
            <w:r>
              <w:rPr>
                <w:rFonts w:ascii="Times New Roman" w:hAnsi="Times New Roman"/>
                <w:szCs w:val="21"/>
              </w:rPr>
              <w:t>2</w:t>
            </w:r>
            <w:r>
              <w:rPr>
                <w:rFonts w:hint="eastAsia" w:ascii="Times New Roman" w:hAnsi="Times New Roman" w:eastAsia="方正仿宋_GBK"/>
                <w:szCs w:val="21"/>
              </w:rPr>
              <w:t>、含单台机具补贴申请流程或基础资料的盖章文件。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0.8</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27）完成中央资金支持农民合作社和农业社会化服务项目绩效目标情况。①完成中央要求支持农民合作社项目绩效目标（扶持个数）的，得0.4分；未完成的，每差10%（不足10%按10%计）扣0.1分，扣完为止。②完成中央要求支持农业社会化服务项目绩效目标（服务面积）的，得0.4分；未完成的，每差10%（不足10%的按10%计算）扣0.1分，扣完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、含农民合作社项目数量盖章文件；</w:t>
            </w:r>
            <w:r>
              <w:rPr>
                <w:rFonts w:ascii="Times New Roman" w:hAnsi="Times New Roman"/>
                <w:szCs w:val="21"/>
              </w:rPr>
              <w:t>2</w:t>
            </w:r>
            <w:r>
              <w:rPr>
                <w:rFonts w:hint="eastAsia" w:ascii="Times New Roman" w:hAnsi="Times New Roman" w:eastAsia="方正仿宋_GBK"/>
                <w:szCs w:val="21"/>
              </w:rPr>
              <w:t>、含农业社会化服务项目数量盖章文件；</w:t>
            </w:r>
            <w:r>
              <w:rPr>
                <w:rFonts w:ascii="Times New Roman" w:hAnsi="Times New Roman"/>
                <w:szCs w:val="21"/>
              </w:rPr>
              <w:t>3</w:t>
            </w:r>
            <w:r>
              <w:rPr>
                <w:rFonts w:hint="eastAsia" w:ascii="Times New Roman" w:hAnsi="Times New Roman" w:eastAsia="方正仿宋_GBK"/>
                <w:szCs w:val="21"/>
              </w:rPr>
              <w:t>、含绩效目标数量的盖章文件。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0.8</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28）粮食生产病虫害防治情况。提升粮食生产灾害监测、早期识别和预报预警能力，有效落实重大病虫疫情防控分类分级负责制，推进病虫害统防统治，病虫危害损失率控制在5%（含）以内的区县，得0.8分；未达到目标的，每超过1%（不足1%按1%计算），扣0.4分，扣完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含病虫危害损失率的盖章文件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二、粮食面积产量和种植结构（17分）</w:t>
            </w:r>
          </w:p>
        </w:tc>
        <w:tc>
          <w:tcPr>
            <w:tcW w:w="1134"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8.稳定粮食产量（5分）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0.6</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（29）家庭农场年度绩效目标完成情况。完成中央要求支持家庭农场年度绩效目标的，得0.6分。</w:t>
            </w:r>
            <w:r>
              <w:rPr>
                <w:rFonts w:hint="eastAsia" w:ascii="Times New Roman" w:hAnsi="Times New Roman" w:eastAsia="方正仿宋_GBK"/>
                <w:szCs w:val="21"/>
              </w:rPr>
              <w:br w:type="page"/>
            </w:r>
            <w:r>
              <w:rPr>
                <w:rFonts w:hint="eastAsia" w:ascii="Times New Roman" w:hAnsi="Times New Roman" w:eastAsia="方正仿宋_GBK"/>
                <w:szCs w:val="21"/>
              </w:rPr>
              <w:t>）</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、含农业生产发展项目中家庭农场年度目标完成值的盖章文件；</w:t>
            </w:r>
            <w:r>
              <w:rPr>
                <w:rFonts w:ascii="Times New Roman" w:hAnsi="Times New Roman"/>
                <w:szCs w:val="21"/>
              </w:rPr>
              <w:t>2</w:t>
            </w:r>
            <w:r>
              <w:rPr>
                <w:rFonts w:hint="eastAsia" w:ascii="Times New Roman" w:hAnsi="Times New Roman" w:eastAsia="方正仿宋_GBK"/>
                <w:szCs w:val="21"/>
              </w:rPr>
              <w:t>、含农业生产发展项目（家庭农场部分）粮油类家庭农场资金的盖章文件。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9.按照国家宏观调控要求和粮食安全形势，落实种植结构和布局调整任务（2分）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（30）油菜种植面积任务完成情况。完成区农业农村委当年度下达油菜种植面积任务的区县，得2分，未完成的不得分。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区级填报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国家统计局永川调查队</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、油菜种植面积法定统计数据的文件；</w:t>
            </w:r>
            <w:r>
              <w:rPr>
                <w:rFonts w:ascii="Times New Roman" w:hAnsi="Times New Roman"/>
                <w:szCs w:val="21"/>
              </w:rPr>
              <w:t>2</w:t>
            </w:r>
            <w:r>
              <w:rPr>
                <w:rFonts w:hint="eastAsia" w:ascii="Times New Roman" w:hAnsi="Times New Roman" w:eastAsia="方正仿宋_GBK"/>
                <w:szCs w:val="21"/>
              </w:rPr>
              <w:t>、含油菜种植面积任务的区农业农村委通知文件。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10.落实种业振兴任务，严格品种管理和</w:t>
            </w:r>
            <w:r>
              <w:rPr>
                <w:rFonts w:hint="eastAsia" w:ascii="Times New Roman" w:hAnsi="Times New Roman" w:eastAsia="方正黑体_GBK"/>
                <w:color w:val="000000"/>
                <w:szCs w:val="21"/>
                <w:lang w:eastAsia="zh-CN"/>
              </w:rPr>
              <w:t>市</w:t>
            </w:r>
            <w:r>
              <w:rPr>
                <w:rFonts w:hint="eastAsia" w:ascii="Times New Roman" w:hAnsi="Times New Roman" w:eastAsia="方正黑体_GBK"/>
                <w:color w:val="000000"/>
                <w:szCs w:val="21"/>
              </w:rPr>
              <w:t>场监管（2.5分）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31）种业发展情况。①制定种业振兴工作举措或工作方案，得0.5分；②完成年度农业种质资源普查任务，得0.3分；落实农业种质资源保护任务，得0.2分；③开展种业监管执法年活动并制定工作方案，得0.3分；未发生种业案件或投诉举报及上级交办案件按时办结，得0.2分；有案件未按时办结的，每件扣0.05分，最多扣0.2分；④有支持种业基地建设或种业产业发展的政策或举措，得0.1分；保障辖区内粮食生产用种，未发生种子短缺，得0.2分；按时完成上级交办的种业项目建设、品种试验测试推广任务，或自主开展种业项目建设或品种试验测试推广工作，得0.2分。</w:t>
            </w:r>
            <w:r>
              <w:rPr>
                <w:rFonts w:hint="eastAsia" w:ascii="Times New Roman" w:hAnsi="Times New Roman" w:eastAsia="方正仿宋_GBK"/>
                <w:szCs w:val="21"/>
              </w:rPr>
              <w:br w:type="page"/>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、种业振兴措施文件或工作方案；</w:t>
            </w:r>
            <w:r>
              <w:rPr>
                <w:rFonts w:ascii="Times New Roman" w:hAnsi="Times New Roman"/>
                <w:szCs w:val="21"/>
              </w:rPr>
              <w:t>2</w:t>
            </w:r>
            <w:r>
              <w:rPr>
                <w:rFonts w:hint="eastAsia" w:ascii="Times New Roman" w:hAnsi="Times New Roman" w:eastAsia="方正仿宋_GBK"/>
                <w:szCs w:val="21"/>
              </w:rPr>
              <w:t>、农业种质资源普查与保护任务落实情况；</w:t>
            </w:r>
            <w:r>
              <w:rPr>
                <w:rFonts w:ascii="Times New Roman" w:hAnsi="Times New Roman"/>
                <w:szCs w:val="21"/>
              </w:rPr>
              <w:t>3</w:t>
            </w:r>
            <w:r>
              <w:rPr>
                <w:rFonts w:hint="eastAsia" w:ascii="Times New Roman" w:hAnsi="Times New Roman" w:eastAsia="方正仿宋_GBK"/>
                <w:szCs w:val="21"/>
              </w:rPr>
              <w:t>、种业监管执法年活动方案及工作开展和案件查处情况；</w:t>
            </w:r>
            <w:r>
              <w:rPr>
                <w:rFonts w:ascii="Times New Roman" w:hAnsi="Times New Roman"/>
                <w:szCs w:val="21"/>
              </w:rPr>
              <w:t>4</w:t>
            </w:r>
            <w:r>
              <w:rPr>
                <w:rFonts w:hint="eastAsia" w:ascii="Times New Roman" w:hAnsi="Times New Roman" w:eastAsia="方正仿宋_GBK"/>
                <w:szCs w:val="21"/>
              </w:rPr>
              <w:t>、种业基地管理措施及有关工作任务落实情况等佐证材料。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3" w:hRule="atLeast"/>
          <w:tblHeader/>
          <w:jc w:val="center"/>
        </w:trPr>
        <w:tc>
          <w:tcPr>
            <w:tcW w:w="1321" w:type="dxa"/>
            <w:tcBorders>
              <w:top w:val="single" w:color="auto" w:sz="2" w:space="0"/>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二、粮食面积产量和种植结构（17分）</w:t>
            </w:r>
          </w:p>
        </w:tc>
        <w:tc>
          <w:tcPr>
            <w:tcW w:w="1134"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6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10.落实种业振兴任务，严格品种管理和</w:t>
            </w:r>
            <w:r>
              <w:rPr>
                <w:rFonts w:hint="eastAsia" w:ascii="Times New Roman" w:hAnsi="Times New Roman" w:eastAsia="方正黑体_GBK"/>
                <w:color w:val="000000"/>
                <w:szCs w:val="21"/>
                <w:lang w:eastAsia="zh-CN"/>
              </w:rPr>
              <w:t>市</w:t>
            </w:r>
            <w:r>
              <w:rPr>
                <w:rFonts w:hint="eastAsia" w:ascii="Times New Roman" w:hAnsi="Times New Roman" w:eastAsia="方正黑体_GBK"/>
                <w:color w:val="000000"/>
                <w:szCs w:val="21"/>
              </w:rPr>
              <w:t>场监管（2.5分）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32）农业执法监管。农业农村委年度案卷评查中未发现错案的，得0.5分；在案卷抽查中，每发现一起错案，扣0.1分，扣完0.5分为止；不按照区农业农村委规定数量报送案卷的，每减少一卷扣0.1分，扣完0.5分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w:t>
            </w:r>
            <w:r>
              <w:rPr>
                <w:rFonts w:ascii="Times New Roman" w:hAnsi="Times New Roman"/>
                <w:szCs w:val="21"/>
              </w:rPr>
              <w:br w:type="textWrapping"/>
            </w:r>
            <w:r>
              <w:rPr>
                <w:rFonts w:hint="eastAsia" w:ascii="Times New Roman" w:hAnsi="Times New Roman" w:eastAsia="方正仿宋_GBK"/>
                <w:szCs w:val="21"/>
              </w:rPr>
              <w:t>填报、部门填报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年度案卷评查错案数</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三、粮食储备和流通（26.5分）</w:t>
            </w: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11.确保地方储备粮规模，推进粮食仓储物流设施建设，加强粮食质量风险防控（11分）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（33）区县级粮食储备规模完成情况。自储区县级政府储备（原粮）规模不低于区级下达的总量计划，得2分；否则，不得分。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含储备规模库存量的盖章文件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5"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（34）区县储备口粮比例。自储区县级政府储备（原粮）中稻谷、小麦口粮比例不低于总量计划70%，原则上稻谷储备比例不低于60%，得2分；否则，不得分。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含稻谷、小麦口粮储备规模的盖章文件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5"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（35）区县级成品粮储备保障情况。区县完成成品粮油储备计划，得0.5分；除区县政府动用外，任何时点保持成品粮储备规模，得1分；否则，按未达到的月数，扣0.5分/月，扣完为止。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2313" w:type="dxa"/>
            <w:vAlign w:val="center"/>
          </w:tcPr>
          <w:p>
            <w:pPr>
              <w:spacing w:line="24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、统计流通年报；</w:t>
            </w:r>
            <w:r>
              <w:rPr>
                <w:rFonts w:ascii="Times New Roman" w:hAnsi="Times New Roman"/>
                <w:szCs w:val="21"/>
              </w:rPr>
              <w:t xml:space="preserve"> 2</w:t>
            </w:r>
            <w:r>
              <w:rPr>
                <w:rFonts w:hint="eastAsia" w:ascii="Times New Roman" w:hAnsi="Times New Roman" w:eastAsia="方正仿宋_GBK"/>
                <w:szCs w:val="21"/>
              </w:rPr>
              <w:t>、含成品粮储备计划的工作总结资料；</w:t>
            </w:r>
            <w:r>
              <w:rPr>
                <w:rFonts w:ascii="Times New Roman" w:hAnsi="Times New Roman"/>
                <w:szCs w:val="21"/>
              </w:rPr>
              <w:t>3</w:t>
            </w:r>
            <w:r>
              <w:rPr>
                <w:rFonts w:hint="eastAsia" w:ascii="Times New Roman" w:hAnsi="Times New Roman" w:eastAsia="方正仿宋_GBK"/>
                <w:szCs w:val="21"/>
              </w:rPr>
              <w:t>、含月末成品粮规模的盖章文件。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5"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（36）粮油仓储管理情况。按《粮油仓储管理办法》和有关政策文件规定开展粮油仓储单位备案管理的，得1分，否则不得分。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粮油仓储单位备案管理佐证材料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38"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60" w:lineRule="exact"/>
              <w:rPr>
                <w:rFonts w:ascii="Times New Roman" w:hAnsi="Times New Roman" w:eastAsia="方正仿宋_GBK" w:cs="宋体"/>
                <w:szCs w:val="21"/>
              </w:rPr>
            </w:pPr>
            <w:r>
              <w:rPr>
                <w:rFonts w:hint="eastAsia" w:ascii="Times New Roman" w:hAnsi="Times New Roman" w:eastAsia="方正仿宋_GBK"/>
                <w:szCs w:val="21"/>
              </w:rPr>
              <w:t>（37）国有粮油仓储物流设施保护情况。及时将粮油仓储物流设施规模、用途变化等情况向粮食行政管理部门备案，得1分。出现违规拆除、迁移粮油仓储物流设施，或者侵占、损坏粮油仓储物流设施，或者擅自改变其用途等其他保护不力等情况的，每起扣0.5分，扣完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、国有粮油仓储物流设施保护机制材料；</w:t>
            </w:r>
            <w:r>
              <w:rPr>
                <w:rFonts w:ascii="Times New Roman" w:hAnsi="Times New Roman"/>
                <w:szCs w:val="21"/>
              </w:rPr>
              <w:t>2</w:t>
            </w:r>
            <w:r>
              <w:rPr>
                <w:rFonts w:hint="eastAsia" w:ascii="Times New Roman" w:hAnsi="Times New Roman" w:eastAsia="方正仿宋_GBK"/>
                <w:szCs w:val="21"/>
              </w:rPr>
              <w:t>、含损坏、改变粮油仓储物流设施及用途问题情况的盖章文件。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三、粮食储备和流通（26.5分）</w:t>
            </w:r>
          </w:p>
        </w:tc>
        <w:tc>
          <w:tcPr>
            <w:tcW w:w="1134" w:type="dxa"/>
            <w:vMerge w:val="restart"/>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11.确保地方储备粮规模，推进粮食仓储物流设施建设，加强粮食质量风险防控（11分）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38）加强粮食质量安全监测监管。①按要求组织开展粮食质量安全风险监测，完成监测任务，样品数量达到要求（个/万吨）的，得0.5分，未达到的，按比例得分。②严格落实地方粮食储备质量安全在地监管责任，有举措有成效的，得0.3分，否则不得分；严格落实中储粮和其他中央事权粮食、地方储备粮食食品安全属地管理责任有举措有成效的，得0.2分，否则不得分。③加强超标粮食排查和处置，未发现政府储备粮食不符合质量安全要求的，得0.5分。发现不符合食品安全标准的粮食销售出库流入口粮</w:t>
            </w:r>
            <w:r>
              <w:rPr>
                <w:rFonts w:hint="eastAsia" w:ascii="Times New Roman" w:hAnsi="Times New Roman" w:eastAsia="方正仿宋_GBK"/>
                <w:szCs w:val="21"/>
                <w:lang w:eastAsia="zh-CN"/>
              </w:rPr>
              <w:t>市</w:t>
            </w:r>
            <w:r>
              <w:rPr>
                <w:rFonts w:hint="eastAsia" w:ascii="Times New Roman" w:hAnsi="Times New Roman" w:eastAsia="方正仿宋_GBK"/>
                <w:szCs w:val="21"/>
              </w:rPr>
              <w:t>场和食品生产企业的，流出地每批次扣0.5分，流入地未按《重庆区超标粮食处置管理办法（试行）》等有关法律法规排查处置的，每批次扣0.5分。此项扣完为止。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、新收获粮食质量监管佐证材料；</w:t>
            </w:r>
            <w:r>
              <w:rPr>
                <w:rFonts w:ascii="Times New Roman" w:hAnsi="Times New Roman"/>
                <w:szCs w:val="21"/>
              </w:rPr>
              <w:t>2</w:t>
            </w:r>
            <w:r>
              <w:rPr>
                <w:rFonts w:hint="eastAsia" w:ascii="Times New Roman" w:hAnsi="Times New Roman" w:eastAsia="方正仿宋_GBK"/>
                <w:szCs w:val="21"/>
              </w:rPr>
              <w:t>、开展粮食质量安全风险监测佐证材料；</w:t>
            </w:r>
            <w:r>
              <w:rPr>
                <w:rFonts w:ascii="Times New Roman" w:hAnsi="Times New Roman"/>
                <w:szCs w:val="21"/>
              </w:rPr>
              <w:t>3</w:t>
            </w:r>
            <w:r>
              <w:rPr>
                <w:rFonts w:hint="eastAsia" w:ascii="Times New Roman" w:hAnsi="Times New Roman" w:eastAsia="方正仿宋_GBK"/>
                <w:szCs w:val="21"/>
              </w:rPr>
              <w:t>、加强超标粮食排查和处置情况的盖章文件。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55"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39）进境粮食植物疫情风险防控情况。①区县政府组织当地农业农村、商务、海关等部门建立进口粮食植物疫情联防联控制度且有效运行的，得0.5分；②督促进口粮食中转场地和加工、存放企业落实植物疫情风险防控相关制度且运行良好的，得0.5分。③区县所辖区域进口粮食装卸、运输、出入库、储存、加工等环节存在违规情况引发重大植物疫情的，每件次扣1分。区县政府未对进口粮食植物疫情联防联控制度的执行开展每年不少于1次的监督检查或植物疫情风险排查的，扣0.2分；检查或排查发现的问题或风险点未及时进行有效整改的，每项扣0.1分。区县所辖区域内企业在网络上非法销售进口粮食信息泛滥未及时查处的、或非法倒卖进口粮食等问题未及时按规定处罚的，每件次扣0.1分。区县所辖区域内进口粮食加工存储企业、中转码头/车站，未对发现的检疫性杂草及时进行有效铲除的，发现一起扣0.1分。以上扣分扣完为止。</w:t>
            </w:r>
            <w:r>
              <w:rPr>
                <w:rFonts w:hint="eastAsia" w:ascii="Times New Roman" w:hAnsi="Times New Roman" w:eastAsia="方正仿宋_GBK"/>
                <w:szCs w:val="21"/>
              </w:rPr>
              <w:br w:type="page"/>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区商务委、区农业农村委</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、粮食疫情防控制度材料；</w:t>
            </w:r>
            <w:r>
              <w:rPr>
                <w:rFonts w:ascii="Times New Roman" w:hAnsi="Times New Roman"/>
                <w:szCs w:val="21"/>
              </w:rPr>
              <w:t>2</w:t>
            </w:r>
            <w:r>
              <w:rPr>
                <w:rFonts w:hint="eastAsia" w:ascii="Times New Roman" w:hAnsi="Times New Roman" w:eastAsia="方正仿宋_GBK"/>
                <w:szCs w:val="21"/>
              </w:rPr>
              <w:t>、含进口粮食疫情防治制度运行问题的盖章文件；</w:t>
            </w:r>
            <w:r>
              <w:rPr>
                <w:rFonts w:ascii="Times New Roman" w:hAnsi="Times New Roman"/>
                <w:szCs w:val="21"/>
              </w:rPr>
              <w:t>3</w:t>
            </w:r>
            <w:r>
              <w:rPr>
                <w:rFonts w:hint="eastAsia" w:ascii="Times New Roman" w:hAnsi="Times New Roman" w:eastAsia="方正仿宋_GBK"/>
                <w:szCs w:val="21"/>
              </w:rPr>
              <w:t>、发现粮食装卸、运输、出入库、储存、加工等环节存在违规情况导致疫情扩散风险问题的说明文件。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4"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三、粮食储备和流通（26.5分）</w:t>
            </w:r>
          </w:p>
        </w:tc>
        <w:tc>
          <w:tcPr>
            <w:tcW w:w="1134" w:type="dxa"/>
            <w:tcBorders>
              <w:left w:val="single" w:color="auto" w:sz="2" w:space="0"/>
              <w:bottom w:val="single" w:color="auto" w:sz="6" w:space="0"/>
              <w:right w:val="single" w:color="auto" w:sz="2" w:space="0"/>
            </w:tcBorders>
            <w:tcMar>
              <w:left w:w="45" w:type="dxa"/>
              <w:right w:w="45" w:type="dxa"/>
            </w:tcMar>
            <w:vAlign w:val="center"/>
          </w:tcPr>
          <w:p>
            <w:pPr>
              <w:snapToGrid w:val="0"/>
              <w:spacing w:line="20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11.确保地方储备粮规模，推进粮食仓储物流设施建设，加强粮食质量风险防控（11分）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20" w:lineRule="exact"/>
              <w:rPr>
                <w:rFonts w:ascii="Times New Roman" w:hAnsi="Times New Roman" w:eastAsia="方正仿宋_GBK" w:cs="宋体"/>
                <w:szCs w:val="21"/>
              </w:rPr>
            </w:pPr>
            <w:r>
              <w:rPr>
                <w:rFonts w:hint="eastAsia" w:ascii="Times New Roman" w:hAnsi="Times New Roman" w:eastAsia="方正仿宋_GBK"/>
                <w:szCs w:val="21"/>
              </w:rPr>
              <w:t>（40）</w:t>
            </w:r>
            <w:r>
              <w:rPr>
                <w:rFonts w:hint="eastAsia" w:ascii="Times New Roman" w:hAnsi="Times New Roman" w:eastAsia="方正仿宋_GBK"/>
                <w:szCs w:val="21"/>
                <w:lang w:eastAsia="zh-CN"/>
              </w:rPr>
              <w:t>市</w:t>
            </w:r>
            <w:r>
              <w:rPr>
                <w:rFonts w:hint="eastAsia" w:ascii="Times New Roman" w:hAnsi="Times New Roman" w:eastAsia="方正仿宋_GBK"/>
                <w:szCs w:val="21"/>
              </w:rPr>
              <w:t>场环节质量安全监管情况。①按要求完成粮食</w:t>
            </w:r>
            <w:r>
              <w:rPr>
                <w:rFonts w:hint="eastAsia" w:ascii="Times New Roman" w:hAnsi="Times New Roman" w:eastAsia="方正仿宋_GBK"/>
                <w:szCs w:val="21"/>
                <w:lang w:eastAsia="zh-CN"/>
              </w:rPr>
              <w:t>市场</w:t>
            </w:r>
            <w:r>
              <w:rPr>
                <w:rFonts w:hint="eastAsia" w:ascii="Times New Roman" w:hAnsi="Times New Roman" w:eastAsia="方正仿宋_GBK"/>
                <w:szCs w:val="21"/>
              </w:rPr>
              <w:t>生产加工、销售、餐饮环节监督抽检和快速检测计划，得0.5分；②按时完成不合格粮食生产加工、销售、餐饮环节核查处置工作，得0.5分；③考核监测抽检或其他途径发现不符合食品安全标准粮食（非政策性粮食）流入口粮</w:t>
            </w:r>
            <w:r>
              <w:rPr>
                <w:rFonts w:hint="eastAsia" w:ascii="Times New Roman" w:hAnsi="Times New Roman" w:eastAsia="方正仿宋_GBK"/>
                <w:szCs w:val="21"/>
                <w:lang w:eastAsia="zh-CN"/>
              </w:rPr>
              <w:t>市</w:t>
            </w:r>
            <w:r>
              <w:rPr>
                <w:rFonts w:hint="eastAsia" w:ascii="Times New Roman" w:hAnsi="Times New Roman" w:eastAsia="方正仿宋_GBK"/>
                <w:szCs w:val="21"/>
              </w:rPr>
              <w:t>场或用于食品生产的，对流出地，每批次扣0.5分，流入地处置不到位的，每批次扣0.5分，扣完1分为止，扣完3分为止。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区市场监管局</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4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、含不合格粮食生产、加工、销售、餐饮环节问题处置情况的盖章文件；</w:t>
            </w:r>
            <w:r>
              <w:rPr>
                <w:rFonts w:ascii="Times New Roman" w:hAnsi="Times New Roman"/>
                <w:szCs w:val="21"/>
              </w:rPr>
              <w:t>2</w:t>
            </w:r>
            <w:r>
              <w:rPr>
                <w:rFonts w:hint="eastAsia" w:ascii="Times New Roman" w:hAnsi="Times New Roman" w:eastAsia="方正仿宋_GBK"/>
                <w:szCs w:val="21"/>
              </w:rPr>
              <w:t>、含不符合食品安全标准粮食流入</w:t>
            </w:r>
            <w:r>
              <w:rPr>
                <w:rFonts w:hint="eastAsia" w:ascii="Times New Roman" w:hAnsi="Times New Roman" w:eastAsia="方正仿宋_GBK"/>
                <w:szCs w:val="21"/>
                <w:lang w:eastAsia="zh-CN"/>
              </w:rPr>
              <w:t>市场</w:t>
            </w:r>
            <w:r>
              <w:rPr>
                <w:rFonts w:hint="eastAsia" w:ascii="Times New Roman" w:hAnsi="Times New Roman" w:eastAsia="方正仿宋_GBK"/>
                <w:szCs w:val="21"/>
              </w:rPr>
              <w:t>用于食品生产情况的盖章文件。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4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12.提升粮食收储调控能力，严肃查处涉粮案件，不出现农民卖粮难（11.5分）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60" w:lineRule="exact"/>
              <w:rPr>
                <w:rFonts w:ascii="Times New Roman" w:hAnsi="Times New Roman" w:eastAsia="方正仿宋_GBK" w:cs="宋体"/>
                <w:szCs w:val="21"/>
              </w:rPr>
            </w:pPr>
            <w:r>
              <w:rPr>
                <w:rFonts w:hint="eastAsia" w:ascii="Times New Roman" w:hAnsi="Times New Roman" w:eastAsia="方正仿宋_GBK"/>
                <w:szCs w:val="21"/>
              </w:rPr>
              <w:t>（41）政策性粮食轮换情况。按法律法规和政策文件规定完成当年区县级政府储备粮油轮换任务的，得1.5分；否则，不得分。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含年度轮换任务的盖章文件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51"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60" w:lineRule="exact"/>
              <w:rPr>
                <w:rFonts w:ascii="Times New Roman" w:hAnsi="Times New Roman" w:eastAsia="方正仿宋_GBK" w:cs="宋体"/>
                <w:szCs w:val="21"/>
              </w:rPr>
            </w:pPr>
            <w:r>
              <w:rPr>
                <w:rFonts w:hint="eastAsia" w:ascii="Times New Roman" w:hAnsi="Times New Roman" w:eastAsia="方正仿宋_GBK"/>
                <w:szCs w:val="21"/>
              </w:rPr>
              <w:t>（42）政策性粮食销售、轮换公开竞价交易情况。按粮权所属区县级政府储备等政策性粮食销售、轮出通过交易批发</w:t>
            </w:r>
            <w:r>
              <w:rPr>
                <w:rFonts w:hint="eastAsia" w:ascii="Times New Roman" w:hAnsi="Times New Roman" w:eastAsia="方正仿宋_GBK"/>
                <w:szCs w:val="21"/>
                <w:lang w:eastAsia="zh-CN"/>
              </w:rPr>
              <w:t>市场</w:t>
            </w:r>
            <w:r>
              <w:rPr>
                <w:rFonts w:hint="eastAsia" w:ascii="Times New Roman" w:hAnsi="Times New Roman" w:eastAsia="方正仿宋_GBK"/>
                <w:szCs w:val="21"/>
              </w:rPr>
              <w:t>及相关网上交易平台公开竞价的比例达到60%以上的，得1分；否则，不得分。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2313" w:type="dxa"/>
            <w:vAlign w:val="center"/>
          </w:tcPr>
          <w:p>
            <w:pPr>
              <w:spacing w:line="26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、含地方政策储备粮食购销数据的盖章文件；</w:t>
            </w:r>
            <w:r>
              <w:rPr>
                <w:rFonts w:ascii="Times New Roman" w:hAnsi="Times New Roman"/>
                <w:szCs w:val="21"/>
              </w:rPr>
              <w:t>2</w:t>
            </w:r>
            <w:r>
              <w:rPr>
                <w:rFonts w:hint="eastAsia" w:ascii="Times New Roman" w:hAnsi="Times New Roman" w:eastAsia="方正仿宋_GBK"/>
                <w:szCs w:val="21"/>
              </w:rPr>
              <w:t>、含轮换的公开</w:t>
            </w:r>
            <w:r>
              <w:rPr>
                <w:rFonts w:hint="eastAsia" w:ascii="Times New Roman" w:hAnsi="Times New Roman" w:eastAsia="方正仿宋_GBK"/>
                <w:spacing w:val="-10"/>
                <w:szCs w:val="21"/>
              </w:rPr>
              <w:t>交易率数据的盖章文件</w:t>
            </w:r>
            <w:r>
              <w:rPr>
                <w:rFonts w:hint="eastAsia" w:ascii="Times New Roman" w:hAnsi="Times New Roman" w:eastAsia="方正仿宋_GBK"/>
                <w:szCs w:val="21"/>
              </w:rPr>
              <w:t>。</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60" w:lineRule="exact"/>
              <w:rPr>
                <w:rFonts w:ascii="Times New Roman" w:hAnsi="Times New Roman" w:eastAsia="方正仿宋_GBK" w:cs="宋体"/>
                <w:szCs w:val="21"/>
              </w:rPr>
            </w:pPr>
            <w:r>
              <w:rPr>
                <w:rFonts w:hint="eastAsia" w:ascii="Times New Roman" w:hAnsi="Times New Roman" w:eastAsia="方正仿宋_GBK"/>
                <w:szCs w:val="21"/>
              </w:rPr>
              <w:t>（43）本地粮食收购组织实施情况。①粮食收购备案情况。开通粮食收购企业备案网上办理功能并及时审核的，得0.4分。若出现超期审核、未审核的，每次扣0.1分，扣完为止。②组织完成本地粮食收购（含区域性超标粮食收购），未出现因组织不力引发农民“卖粮难”的，得0.6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含网上审核办理情况的佐证材料。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0.8</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44）扎实开展推进粮食购销领域腐败问题专项整治。①持续认真开展粮食购销专项整治自查自纠，自查发现问题，并积极整改的，得0.2分，否则不得分；②认真推进涉粮问题专项巡视巡察反馈意见整改，全部完成整改的，得0.3分。未完成整改的，每件次扣0.1分，扣满0.3分为止。③围绕完善监管制度、强化执法监管、深化储备管理改革等方面，以案促治建立监管长效机制的，每件次加0.1分，加满0.3分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20" w:lineRule="exact"/>
              <w:rPr>
                <w:rFonts w:ascii="Times New Roman" w:hAnsi="Times New Roman" w:eastAsia="方正仿宋_GBK"/>
                <w:szCs w:val="21"/>
              </w:rPr>
            </w:pPr>
            <w:r>
              <w:rPr>
                <w:rFonts w:ascii="Times New Roman" w:hAnsi="Times New Roman" w:eastAsia="方正仿宋_GBK"/>
                <w:szCs w:val="21"/>
              </w:rPr>
              <w:t>1</w:t>
            </w:r>
            <w:r>
              <w:rPr>
                <w:rFonts w:hint="eastAsia" w:ascii="Times New Roman" w:hAnsi="Times New Roman" w:eastAsia="方正仿宋_GBK"/>
                <w:szCs w:val="21"/>
              </w:rPr>
              <w:t>、专项整治工作部署及推进和督办的文件、报告、照片等；</w:t>
            </w:r>
            <w:r>
              <w:rPr>
                <w:rFonts w:ascii="Times New Roman" w:hAnsi="Times New Roman" w:eastAsia="方正仿宋_GBK"/>
                <w:szCs w:val="21"/>
              </w:rPr>
              <w:t>2</w:t>
            </w:r>
            <w:r>
              <w:rPr>
                <w:rFonts w:hint="eastAsia" w:ascii="Times New Roman" w:hAnsi="Times New Roman" w:eastAsia="方正仿宋_GBK"/>
                <w:szCs w:val="21"/>
              </w:rPr>
              <w:t>、自查自纠问题台账、专项巡察反馈问题整改台账；</w:t>
            </w:r>
            <w:r>
              <w:rPr>
                <w:rFonts w:ascii="Times New Roman" w:hAnsi="Times New Roman" w:eastAsia="方正仿宋_GBK"/>
                <w:szCs w:val="21"/>
              </w:rPr>
              <w:t>3</w:t>
            </w:r>
            <w:r>
              <w:rPr>
                <w:rFonts w:hint="eastAsia" w:ascii="Times New Roman" w:hAnsi="Times New Roman" w:eastAsia="方正仿宋_GBK"/>
                <w:szCs w:val="21"/>
              </w:rPr>
              <w:t>、问题整改完成的佐证材料；</w:t>
            </w:r>
            <w:r>
              <w:rPr>
                <w:rFonts w:ascii="Times New Roman" w:hAnsi="Times New Roman" w:eastAsia="方正仿宋_GBK"/>
                <w:szCs w:val="21"/>
              </w:rPr>
              <w:t>4</w:t>
            </w:r>
            <w:r>
              <w:rPr>
                <w:rFonts w:hint="eastAsia" w:ascii="Times New Roman" w:hAnsi="Times New Roman" w:eastAsia="方正仿宋_GBK"/>
                <w:szCs w:val="21"/>
              </w:rPr>
              <w:t>、建章立制的文件。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3"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三、粮食储备和流通（26.5分）</w:t>
            </w: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12.提升粮食收储调控能力，严肃查处涉粮案件，不出现农民卖粮难（11.5分）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1.7</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180" w:lineRule="exact"/>
              <w:rPr>
                <w:rFonts w:ascii="Times New Roman" w:hAnsi="Times New Roman" w:eastAsia="方正仿宋_GBK" w:cs="宋体"/>
                <w:szCs w:val="21"/>
              </w:rPr>
            </w:pPr>
            <w:r>
              <w:rPr>
                <w:rFonts w:hint="eastAsia" w:ascii="Times New Roman" w:hAnsi="Times New Roman" w:eastAsia="方正仿宋_GBK"/>
                <w:szCs w:val="21"/>
              </w:rPr>
              <w:t>（45）加强粮食流通监管。①落实辖区内商品粮、地方储备粮监管主体责任，组织开展粮食收购、政策性粮食销售活动检查，检查数量占规模总量50%以上的，得0.4分，否则不得分。检查数量占规模总量每增加25%的，增加0.2分，加分累计不超过0.8分。②严格落实粮食购销定期巡查制度，年内实现4次巡查全覆盖的，得0.3分，否则不得分，每增加1次巡查全覆盖的，增加0.1分，累计不超过0.5分；③主动排除粮食安全风险隐患措施有力，未发现涉粮违法违规线索的，或及时发现涉粮违法违规线索并全部查处的，得0.4分。在规定时间内未进行查处的，不得分。处置不力导致重大舆情发生，影响社会稳定的，视情节每起扣1分；上述分值扣完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区县填报、部门</w:t>
            </w:r>
            <w:r>
              <w:rPr>
                <w:rFonts w:ascii="Times New Roman" w:hAnsi="Times New Roman"/>
                <w:szCs w:val="21"/>
              </w:rPr>
              <w:br w:type="page"/>
            </w:r>
            <w:r>
              <w:rPr>
                <w:rFonts w:hint="eastAsia" w:ascii="Times New Roman" w:hAnsi="Times New Roman" w:eastAsia="方正仿宋_GBK"/>
                <w:szCs w:val="21"/>
              </w:rPr>
              <w:t>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区市场监管局</w:t>
            </w:r>
          </w:p>
        </w:tc>
        <w:tc>
          <w:tcPr>
            <w:tcW w:w="2313" w:type="dxa"/>
            <w:vAlign w:val="center"/>
          </w:tcPr>
          <w:p>
            <w:pPr>
              <w:spacing w:line="22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、粮食收购和销售出库检查的数量、辖区内商品粮和地方储备粮监管规模总量佐证材料；</w:t>
            </w:r>
            <w:r>
              <w:rPr>
                <w:rFonts w:ascii="Times New Roman" w:hAnsi="Times New Roman"/>
                <w:szCs w:val="21"/>
              </w:rPr>
              <w:t>2</w:t>
            </w:r>
            <w:r>
              <w:rPr>
                <w:rFonts w:hint="eastAsia" w:ascii="Times New Roman" w:hAnsi="Times New Roman" w:eastAsia="方正仿宋_GBK"/>
                <w:szCs w:val="21"/>
              </w:rPr>
              <w:t>、年内开展粮食购销定期巡查次数及巡查对象、内容、结果的佐证材料；</w:t>
            </w:r>
            <w:r>
              <w:rPr>
                <w:rFonts w:ascii="Times New Roman" w:hAnsi="Times New Roman"/>
                <w:szCs w:val="21"/>
              </w:rPr>
              <w:t>3</w:t>
            </w:r>
            <w:r>
              <w:rPr>
                <w:rFonts w:hint="eastAsia" w:ascii="Times New Roman" w:hAnsi="Times New Roman" w:eastAsia="方正仿宋_GBK"/>
                <w:szCs w:val="21"/>
              </w:rPr>
              <w:t>、粮食安全风险隐患查处数量、重大舆情问题处置佐证材料。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5"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20" w:lineRule="exact"/>
              <w:rPr>
                <w:rFonts w:ascii="Times New Roman" w:hAnsi="Times New Roman" w:eastAsia="方正仿宋_GBK" w:cs="宋体"/>
                <w:szCs w:val="21"/>
              </w:rPr>
            </w:pPr>
            <w:r>
              <w:rPr>
                <w:rFonts w:hint="eastAsia" w:ascii="Times New Roman" w:hAnsi="Times New Roman" w:eastAsia="方正仿宋_GBK"/>
                <w:szCs w:val="21"/>
              </w:rPr>
              <w:t>（46）投诉举报线索核查办理情况。①接件后按规定开展12325热线投诉举报线索核查工作，及时办结的，或本地区未收到12325热线投诉举报，但面向本辖区粮食系统、全社会持续加强12325热线宣传的，得0.6分，否则不得分；②每被国家和区级通报表扬一次，加0.2分，加满0.4分为止。在得分基础上，每被退回重办一次或批评通报一次，扣0.2分；扣完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区县填报、部门</w:t>
            </w:r>
            <w:r>
              <w:rPr>
                <w:rFonts w:ascii="Times New Roman" w:hAnsi="Times New Roman"/>
                <w:szCs w:val="21"/>
              </w:rPr>
              <w:br w:type="page"/>
            </w:r>
            <w:r>
              <w:rPr>
                <w:rFonts w:hint="eastAsia" w:ascii="Times New Roman" w:hAnsi="Times New Roman" w:eastAsia="方正仿宋_GBK"/>
                <w:szCs w:val="21"/>
              </w:rPr>
              <w:t>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4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、办理</w:t>
            </w:r>
            <w:r>
              <w:rPr>
                <w:rFonts w:ascii="Times New Roman" w:hAnsi="Times New Roman"/>
                <w:szCs w:val="21"/>
              </w:rPr>
              <w:t>12325</w:t>
            </w:r>
            <w:r>
              <w:rPr>
                <w:rFonts w:hint="eastAsia" w:ascii="Times New Roman" w:hAnsi="Times New Roman" w:eastAsia="方正仿宋_GBK"/>
                <w:szCs w:val="21"/>
              </w:rPr>
              <w:t>监管热线投诉举报案件办结数量；</w:t>
            </w:r>
            <w:r>
              <w:rPr>
                <w:rFonts w:ascii="Times New Roman" w:hAnsi="Times New Roman"/>
                <w:szCs w:val="21"/>
              </w:rPr>
              <w:t>2</w:t>
            </w:r>
            <w:r>
              <w:rPr>
                <w:rFonts w:hint="eastAsia" w:ascii="Times New Roman" w:hAnsi="Times New Roman" w:eastAsia="方正仿宋_GBK"/>
                <w:szCs w:val="21"/>
              </w:rPr>
              <w:t>、开展</w:t>
            </w:r>
            <w:r>
              <w:rPr>
                <w:rFonts w:ascii="Times New Roman" w:hAnsi="Times New Roman"/>
                <w:szCs w:val="21"/>
              </w:rPr>
              <w:t>12325</w:t>
            </w:r>
            <w:r>
              <w:rPr>
                <w:rFonts w:hint="eastAsia" w:ascii="Times New Roman" w:hAnsi="Times New Roman" w:eastAsia="方正仿宋_GBK"/>
                <w:szCs w:val="21"/>
              </w:rPr>
              <w:t>监管热线宣传的佐证资料；</w:t>
            </w:r>
            <w:r>
              <w:rPr>
                <w:rFonts w:ascii="Times New Roman" w:hAnsi="Times New Roman"/>
                <w:szCs w:val="21"/>
              </w:rPr>
              <w:t>3</w:t>
            </w:r>
            <w:r>
              <w:rPr>
                <w:rFonts w:hint="eastAsia" w:ascii="Times New Roman" w:hAnsi="Times New Roman" w:eastAsia="方正仿宋_GBK"/>
                <w:szCs w:val="21"/>
              </w:rPr>
              <w:t>、被国家表扬次数、上级退回数量。</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180" w:lineRule="exact"/>
              <w:rPr>
                <w:rFonts w:ascii="Times New Roman" w:hAnsi="Times New Roman" w:eastAsia="方正仿宋_GBK" w:cs="宋体"/>
                <w:szCs w:val="21"/>
              </w:rPr>
            </w:pPr>
            <w:r>
              <w:rPr>
                <w:rFonts w:hint="eastAsia" w:ascii="Times New Roman" w:hAnsi="Times New Roman" w:eastAsia="方正仿宋_GBK"/>
                <w:szCs w:val="21"/>
              </w:rPr>
              <w:t>（47）加强库存监管。①创新库存监管方式，采取约谈、通报、移库清查、信息化监管等措施开展库存监管的，得0.5分，否则不得分。②按年度上级政策性粮油库存检查通知部署要求，深入开展检查，认真完成各项工作，按时报送检查报告的，得0.6分，否则不得分；国家和区级抽查、交叉检查发现问题而本区县未发现问题的，扣0.3分。③按照《粮油库存检查暂行办法》等法规制度，建立库存检查监管发现问题台账，并持续督促问题整改，完成整改的，得0.8分。未完成整改的，每件扣0.2分，扣满0.8分为止。辖区内发生重大储粮事故、亏库、质量安全隐患的，对国家和区级组织抽查检查、交叉检查发现新的重大违法违规事件或问题，虚假整改的，倒扣0.8分。④按照《粮食流通管理条例》等法规制度，在库存检查中对违法违规行为作出行政处罚的，每件次加0.2分，加分累计不超过0.6分；发生重大涉粮案件、不良舆情、行政处罚不当的，倒扣0.6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、库存监管措施、检查通知、检查组织实施及完成情况（含总结报告）佐证材料；</w:t>
            </w:r>
            <w:r>
              <w:rPr>
                <w:rFonts w:ascii="Times New Roman" w:hAnsi="Times New Roman"/>
                <w:szCs w:val="21"/>
              </w:rPr>
              <w:t>2</w:t>
            </w:r>
            <w:r>
              <w:rPr>
                <w:rFonts w:hint="eastAsia" w:ascii="Times New Roman" w:hAnsi="Times New Roman" w:eastAsia="方正仿宋_GBK"/>
                <w:szCs w:val="21"/>
              </w:rPr>
              <w:t>、本级检查发现问题台账；国家和区级、区县级检查发现问题整改情况台账；</w:t>
            </w:r>
            <w:r>
              <w:rPr>
                <w:rFonts w:ascii="Times New Roman" w:hAnsi="Times New Roman"/>
                <w:szCs w:val="21"/>
              </w:rPr>
              <w:t>3</w:t>
            </w:r>
            <w:r>
              <w:rPr>
                <w:rFonts w:hint="eastAsia" w:ascii="Times New Roman" w:hAnsi="Times New Roman" w:eastAsia="方正仿宋_GBK"/>
                <w:szCs w:val="21"/>
              </w:rPr>
              <w:t>、问题整改完成的佐证资料；</w:t>
            </w:r>
            <w:r>
              <w:rPr>
                <w:rFonts w:ascii="Times New Roman" w:hAnsi="Times New Roman"/>
                <w:szCs w:val="21"/>
              </w:rPr>
              <w:t>4</w:t>
            </w:r>
            <w:r>
              <w:rPr>
                <w:rFonts w:hint="eastAsia" w:ascii="Times New Roman" w:hAnsi="Times New Roman" w:eastAsia="方正仿宋_GBK"/>
                <w:szCs w:val="21"/>
              </w:rPr>
              <w:t>、违法违规行政处罚佐证资料。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三、粮食储备和流通（26.5分）</w:t>
            </w: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12.提升粮食收储调控能力，严肃查处涉粮案件，不出现农民卖粮难（11.5分）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（48）流通</w:t>
            </w:r>
            <w:r>
              <w:rPr>
                <w:rFonts w:hint="eastAsia" w:ascii="Times New Roman" w:hAnsi="Times New Roman" w:eastAsia="方正仿宋_GBK"/>
                <w:szCs w:val="21"/>
                <w:lang w:eastAsia="zh-CN"/>
              </w:rPr>
              <w:t>市</w:t>
            </w:r>
            <w:r>
              <w:rPr>
                <w:rFonts w:hint="eastAsia" w:ascii="Times New Roman" w:hAnsi="Times New Roman" w:eastAsia="方正仿宋_GBK"/>
                <w:szCs w:val="21"/>
              </w:rPr>
              <w:t>场案件查处情况。依法对粮食</w:t>
            </w:r>
            <w:r>
              <w:rPr>
                <w:rFonts w:hint="eastAsia" w:ascii="Times New Roman" w:hAnsi="Times New Roman" w:eastAsia="方正仿宋_GBK"/>
                <w:szCs w:val="21"/>
                <w:lang w:eastAsia="zh-CN"/>
              </w:rPr>
              <w:t>市场</w:t>
            </w:r>
            <w:r>
              <w:rPr>
                <w:rFonts w:hint="eastAsia" w:ascii="Times New Roman" w:hAnsi="Times New Roman" w:eastAsia="方正仿宋_GBK"/>
                <w:szCs w:val="21"/>
              </w:rPr>
              <w:t>价格、垄断、计量、粮食质量安全监管中发现的违法行为进行查处的，每查处1件，得0.35分，得分累计不超过1分。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区市场监管局</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lang w:eastAsia="zh-CN"/>
              </w:rPr>
              <w:t>市</w:t>
            </w:r>
            <w:r>
              <w:rPr>
                <w:rFonts w:hint="eastAsia" w:ascii="Times New Roman" w:hAnsi="Times New Roman" w:eastAsia="方正仿宋_GBK"/>
                <w:szCs w:val="21"/>
              </w:rPr>
              <w:t>场监管发现问题查处数。</w:t>
            </w:r>
          </w:p>
        </w:tc>
        <w:tc>
          <w:tcPr>
            <w:tcW w:w="737" w:type="dxa"/>
            <w:vAlign w:val="center"/>
          </w:tcPr>
          <w:p>
            <w:pPr>
              <w:spacing w:line="280" w:lineRule="exact"/>
              <w:jc w:val="center"/>
              <w:rPr>
                <w:rFonts w:ascii="Times New Roman" w:hAnsi="Times New Roman"/>
                <w:spacing w:val="-22"/>
                <w:szCs w:val="21"/>
              </w:rPr>
            </w:pPr>
            <w:r>
              <w:rPr>
                <w:rFonts w:hint="eastAsia" w:ascii="Times New Roman" w:hAnsi="Times New Roman" w:eastAsia="方正仿宋_GBK"/>
                <w:spacing w:val="-22"/>
                <w:szCs w:val="21"/>
              </w:rPr>
              <w:t>市场监管综合执法总队案件系统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（49）建立规模以上粮油加工企业社会责任储备。建立规模以上粮油加工企业社会责任储备且规模落实到位的，得1分；否则不得分。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规模以上粮油加工企业社会责任储备落实情况证明材料。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13、完善粮食应急保供体系，不出现终端消费</w:t>
            </w:r>
            <w:r>
              <w:rPr>
                <w:rFonts w:hint="eastAsia" w:ascii="Times New Roman" w:hAnsi="Times New Roman" w:eastAsia="方正黑体_GBK"/>
                <w:color w:val="000000"/>
                <w:szCs w:val="21"/>
                <w:lang w:eastAsia="zh-CN"/>
              </w:rPr>
              <w:t>市</w:t>
            </w:r>
            <w:r>
              <w:rPr>
                <w:rFonts w:hint="eastAsia" w:ascii="Times New Roman" w:hAnsi="Times New Roman" w:eastAsia="方正黑体_GBK"/>
                <w:color w:val="000000"/>
                <w:szCs w:val="21"/>
              </w:rPr>
              <w:t>场供应脱销断档和价格大幅波动（4分）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（50）粮食流通统计调查制度执行情况。配备粮食流通统计监测人员的，得0.5分；未出现统计及监测数据错报、漏报、迟报的，得0.5分。出现统计及监测数据</w:t>
            </w:r>
            <w:r>
              <w:rPr>
                <w:rFonts w:hint="eastAsia" w:ascii="Times New Roman" w:hAnsi="Times New Roman" w:eastAsia="方正仿宋_GBK"/>
                <w:spacing w:val="-8"/>
                <w:szCs w:val="21"/>
              </w:rPr>
              <w:t>错报、漏报、迟报的，每件次扣0.1分，扣完为止</w:t>
            </w:r>
            <w:r>
              <w:rPr>
                <w:rFonts w:hint="eastAsia" w:ascii="Times New Roman" w:hAnsi="Times New Roman" w:eastAsia="方正仿宋_GBK"/>
                <w:szCs w:val="21"/>
              </w:rPr>
              <w:t>。</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统计报表评分、日常工作记录</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51）粮食保供应急及应急预案演练情况。落实粮食保供应急任务，当年未发生粮食供应脱销断档情况的，得0.5分，否则不得分；出台粮食应急预案。近三年内组织过应急培训和应急演练的，得0.5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粮食保供应急宣传资料、工作照片等，粮食应急预案、应急培训和演练佐证材料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52）粮食应急保障体系建设情况。落实粮食应急供应网点数量、完善区域布局，增强粮食应急储运、加工和配送能力，得0.4分；实现动态管理并确保信息准确、真实的，得0.6分。发现有信息错误的，每次扣0.2分，该项得分扣完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区县填报、部门填报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含国家级、区级粮食应急保障信息平台数据的盖章文件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（53）粮食应急保障政策资金支持情况。出台针对粮食应急保障网点的政策资金支持的，得0.5分，否则不得分。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政策资金文件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Borders>
              <w:top w:val="single" w:color="auto" w:sz="2" w:space="0"/>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三、粮食储备和流通（26.5分）</w:t>
            </w:r>
          </w:p>
        </w:tc>
        <w:tc>
          <w:tcPr>
            <w:tcW w:w="1134" w:type="dxa"/>
            <w:tcBorders>
              <w:left w:val="single" w:color="auto" w:sz="2" w:space="0"/>
              <w:bottom w:val="single" w:color="auto" w:sz="6" w:space="0"/>
              <w:right w:val="single" w:color="auto" w:sz="2" w:space="0"/>
            </w:tcBorders>
            <w:tcMar>
              <w:left w:w="45" w:type="dxa"/>
              <w:right w:w="45" w:type="dxa"/>
            </w:tcMar>
            <w:vAlign w:val="center"/>
          </w:tcPr>
          <w:p>
            <w:pPr>
              <w:snapToGrid w:val="0"/>
              <w:spacing w:line="24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13、完善粮食应急保供体系，不出现终端消费</w:t>
            </w:r>
            <w:r>
              <w:rPr>
                <w:rFonts w:hint="eastAsia" w:ascii="Times New Roman" w:hAnsi="Times New Roman" w:eastAsia="方正黑体_GBK"/>
                <w:color w:val="000000"/>
                <w:szCs w:val="21"/>
                <w:lang w:eastAsia="zh-CN"/>
              </w:rPr>
              <w:t>市</w:t>
            </w:r>
            <w:r>
              <w:rPr>
                <w:rFonts w:hint="eastAsia" w:ascii="Times New Roman" w:hAnsi="Times New Roman" w:eastAsia="方正黑体_GBK"/>
                <w:color w:val="000000"/>
                <w:szCs w:val="21"/>
              </w:rPr>
              <w:t>场供应脱销断档和价格大幅波动（4分）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54）军粮供应任务完成情况。按要求完成军粮供应任务，未发生质量、资金安全问题的，得0.5分；辖区内出现未按要求完成军粮供应任务，或发生质量、资金安全问题的，不得分；接到有关投诉或在社会面造成恶劣影响的，倒扣0.5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此项涉密，可报送情况说明的盖章文件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四、履行耕地保护和粮食安全职责任务（15.5分）</w:t>
            </w: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14.落实粮食生产财政支持情况，落实粮食生产储备补贴和监管经费（4.5分）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55）足额保障农业支持保护补贴资金。①按国家和区级有关规定及时足额发放粮食等农业支持保护补贴资金的，得1.5分；每减少10%（不足10%按10%计），扣0.15分。②出现挤占、截留、挪用和套取补贴等违规行为的，该项不得分，同时倒扣该项相应分值。</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、含农业支持保护补贴资金发放比例数据的盖章文件；</w:t>
            </w:r>
            <w:r>
              <w:rPr>
                <w:rFonts w:ascii="Times New Roman" w:hAnsi="Times New Roman"/>
                <w:szCs w:val="21"/>
              </w:rPr>
              <w:t>2</w:t>
            </w:r>
            <w:r>
              <w:rPr>
                <w:rFonts w:hint="eastAsia" w:ascii="Times New Roman" w:hAnsi="Times New Roman" w:eastAsia="方正仿宋_GBK"/>
                <w:szCs w:val="21"/>
              </w:rPr>
              <w:t>、含挤占、截留等补贴违规行为问题情况的盖章文件。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（56）足额落实粮食储备相关费用。按规定标准足额落实区级储备粮保管费用、贷款利息和轮换费用补贴的，得1.5分，未按标准足额落实的，每减少10%，扣总分的10%。</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、含储备粮保管费用的盖章文件；</w:t>
            </w:r>
            <w:r>
              <w:rPr>
                <w:rFonts w:ascii="Times New Roman" w:hAnsi="Times New Roman"/>
                <w:szCs w:val="21"/>
              </w:rPr>
              <w:t>2</w:t>
            </w:r>
            <w:r>
              <w:rPr>
                <w:rFonts w:hint="eastAsia" w:ascii="Times New Roman" w:hAnsi="Times New Roman" w:eastAsia="方正仿宋_GBK"/>
                <w:szCs w:val="21"/>
              </w:rPr>
              <w:t>、含贷款利息和轮换费用补贴落实情况的盖章文件。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57）保障粮油统计保供和监督检查经费。①按规定保障粮油流通统计及监测预警经费，得0.5分；②落实保供应急资金的，得0.4分；③落实保障粮食流通监督检查经费的，得0.3分；④按要求保障粮油检验监测业务经费的，得0.3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区财政局</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、粮油流通统计及监测预警经费落实文件；</w:t>
            </w:r>
            <w:r>
              <w:rPr>
                <w:rFonts w:ascii="Times New Roman" w:hAnsi="Times New Roman"/>
                <w:szCs w:val="21"/>
              </w:rPr>
              <w:t>2</w:t>
            </w:r>
            <w:r>
              <w:rPr>
                <w:rFonts w:hint="eastAsia" w:ascii="Times New Roman" w:hAnsi="Times New Roman" w:eastAsia="方正仿宋_GBK"/>
                <w:szCs w:val="21"/>
              </w:rPr>
              <w:t>、含粮食流通监督检查经费、保供应急资金、粮油检验监测业务经费落实的文件。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四、履行耕地保护和粮食安全职责任务（15.5分）</w:t>
            </w:r>
          </w:p>
        </w:tc>
        <w:tc>
          <w:tcPr>
            <w:tcW w:w="1134" w:type="dxa"/>
            <w:vMerge w:val="restart"/>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15.推进全链条粮食节约减损，落实反食品浪费的工作要求（3分）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（58）反食品浪费情况。组织对本地区食品浪费情况进行监测、调查、分析和评估，提出加强反食品浪费措施，持续推动全社会反食品浪费的，每开展1项举措，得0.2分，得分累计不超过1分。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40" w:lineRule="exact"/>
              <w:jc w:val="center"/>
              <w:rPr>
                <w:rFonts w:ascii="Times New Roman" w:hAnsi="Times New Roman"/>
                <w:szCs w:val="21"/>
              </w:rPr>
            </w:pPr>
            <w:r>
              <w:rPr>
                <w:rFonts w:hint="eastAsia" w:ascii="Times New Roman" w:hAnsi="Times New Roman" w:eastAsia="方正仿宋_GBK"/>
                <w:szCs w:val="21"/>
              </w:rPr>
              <w:t>区农业农村委、区商务委、区机关事务</w:t>
            </w:r>
            <w:r>
              <w:rPr>
                <w:rFonts w:hint="eastAsia" w:ascii="Times New Roman" w:hAnsi="Times New Roman" w:eastAsia="方正仿宋_GBK"/>
                <w:szCs w:val="21"/>
                <w:lang w:eastAsia="zh-CN"/>
              </w:rPr>
              <w:t>管理中心</w:t>
            </w:r>
            <w:r>
              <w:rPr>
                <w:rFonts w:hint="eastAsia" w:ascii="Times New Roman" w:hAnsi="Times New Roman" w:eastAsia="方正仿宋_GBK"/>
                <w:szCs w:val="21"/>
              </w:rPr>
              <w:t>、区教委</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、开展反食品浪费监测、调查、分析和评估报告；</w:t>
            </w:r>
            <w:r>
              <w:rPr>
                <w:rFonts w:ascii="Times New Roman" w:hAnsi="Times New Roman"/>
                <w:szCs w:val="21"/>
              </w:rPr>
              <w:t>2</w:t>
            </w:r>
            <w:r>
              <w:rPr>
                <w:rFonts w:hint="eastAsia" w:ascii="Times New Roman" w:hAnsi="Times New Roman" w:eastAsia="方正仿宋_GBK"/>
                <w:szCs w:val="21"/>
              </w:rPr>
              <w:t>、推进粮食节约减损、公共机构餐饮节约、促进食品合理利用具体举措文件。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90"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59）爱粮节粮宣传教育。大力开展爱粮节粮宣传倡导，推动节粮宣传常态化，普及合理膳食、健康消费理念，引导居民优化膳食结构。如推进爱粮节粮“光盘行动”等有具体措施，开展相关主题活动等的，每项得0.2分，得分累计不超过1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区委宣传部</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含开展粮食安全宣传教育活动的佐证材料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67"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（60）加强执法普法宣传。开展《粮食流通管理条例》《重庆区地方粮食储备管理办法》《反食品浪费法》等规章制度宣传，并逐级贯彻落实的，每开展1次，得0.2分，得分累计不超过1分。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含宣传贯彻落实相关规章制度的佐证材料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36"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tcBorders>
              <w:top w:val="single" w:color="auto" w:sz="2" w:space="0"/>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16.区县（自治县）党委和政府领导班子及其成员履行耕地保护和粮食安全职责任务（8分）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61）按时研究制定并印发党政同责分工方案。①及时研究制定本区域耕地保护和粮食安全工作任务分工方案的，得0.5分，否则不得分。②制定粮食安全党政同责年度重点工作要点的，得0.25分；建立相关工作台账并督促落实的，得0.25分。未落实事项，每项扣0.2分，扣完1分为止。</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区粮食安全考核办</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r>
              <w:rPr>
                <w:rFonts w:ascii="Times New Roman" w:hAnsi="Times New Roman"/>
                <w:szCs w:val="21"/>
              </w:rPr>
              <w:t>　</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、印发党政同责工作方案的文件（包含印发时间）等；</w:t>
            </w:r>
            <w:r>
              <w:rPr>
                <w:rFonts w:ascii="Times New Roman" w:hAnsi="Times New Roman"/>
                <w:szCs w:val="21"/>
              </w:rPr>
              <w:t>2</w:t>
            </w:r>
            <w:r>
              <w:rPr>
                <w:rFonts w:hint="eastAsia" w:ascii="Times New Roman" w:hAnsi="Times New Roman" w:eastAsia="方正仿宋_GBK"/>
                <w:szCs w:val="21"/>
              </w:rPr>
              <w:t>、党政同责年度重点工作台账。</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00"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四、履行耕地保护和粮食安全职责任务（15.5分）</w:t>
            </w:r>
          </w:p>
        </w:tc>
        <w:tc>
          <w:tcPr>
            <w:tcW w:w="1134" w:type="dxa"/>
            <w:vMerge w:val="restart"/>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16.区县（自治县）党委和政府领导班子及其成员履行耕地保护和粮食安全职责任务（8分）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0.5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（62）建立粮食安全考核工作领导体制。区级粮食安全考核工作组文件下发后3个月内建立本地区粮食安全考核工作组的，得0.5分，3个月以后建立的，不得分。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区粮食安全考核办</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r>
              <w:rPr>
                <w:rFonts w:ascii="Times New Roman" w:hAnsi="Times New Roman"/>
                <w:szCs w:val="21"/>
              </w:rPr>
              <w:t>　</w:t>
            </w:r>
          </w:p>
        </w:tc>
        <w:tc>
          <w:tcPr>
            <w:tcW w:w="2313" w:type="dxa"/>
            <w:vAlign w:val="center"/>
          </w:tcPr>
          <w:p>
            <w:pPr>
              <w:spacing w:line="280" w:lineRule="exact"/>
              <w:rPr>
                <w:rFonts w:ascii="Times New Roman" w:hAnsi="Times New Roman"/>
                <w:szCs w:val="21"/>
              </w:rPr>
            </w:pPr>
            <w:r>
              <w:rPr>
                <w:rFonts w:hint="eastAsia" w:ascii="Times New Roman" w:hAnsi="Times New Roman" w:eastAsia="方正仿宋_GBK"/>
                <w:szCs w:val="21"/>
              </w:rPr>
              <w:t>建立粮食安全工作组（或领导小组）文件。</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72" w:hRule="atLeast"/>
          <w:tblHeader/>
          <w:jc w:val="center"/>
        </w:trPr>
        <w:tc>
          <w:tcPr>
            <w:tcW w:w="1321" w:type="dxa"/>
            <w:vMerge w:val="continue"/>
            <w:tcBorders>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40" w:lineRule="exact"/>
              <w:rPr>
                <w:rFonts w:ascii="Times New Roman" w:hAnsi="Times New Roman" w:eastAsia="方正仿宋_GBK" w:cs="宋体"/>
                <w:szCs w:val="21"/>
              </w:rPr>
            </w:pPr>
            <w:r>
              <w:rPr>
                <w:rFonts w:hint="eastAsia" w:ascii="Times New Roman" w:hAnsi="Times New Roman" w:eastAsia="方正仿宋_GBK"/>
                <w:szCs w:val="21"/>
              </w:rPr>
              <w:t>（63）区委履行粮食安全工作职责。①区委主要负责人全面履行第一责任人职责，定期召开党委常委会会议或者专题会议组织开展相关内容学习，开展粮食安全工作调研，及时研究解决粮食安全工作重大问题，向党委全会报告粮食安全工作开展情况，每次得0.2分，加分累计不超过1分；②牵头制定粮食安全工作党委常委会及其委员职责清单的，得0.5分，否则不得分；督促各常委通过召集会议、开展调研等方式履行相关工作职责的，得0.5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区粮食安全考核办</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w:t>
            </w:r>
          </w:p>
        </w:tc>
        <w:tc>
          <w:tcPr>
            <w:tcW w:w="2313" w:type="dxa"/>
            <w:vAlign w:val="center"/>
          </w:tcPr>
          <w:p>
            <w:pPr>
              <w:spacing w:line="240" w:lineRule="exact"/>
              <w:rPr>
                <w:rFonts w:ascii="Times New Roman" w:hAnsi="Times New Roman" w:eastAsia="方正仿宋_GBK"/>
                <w:szCs w:val="21"/>
              </w:rPr>
            </w:pPr>
            <w:r>
              <w:rPr>
                <w:rFonts w:ascii="Times New Roman" w:hAnsi="Times New Roman" w:eastAsia="方正仿宋_GBK"/>
                <w:szCs w:val="21"/>
              </w:rPr>
              <w:t>1</w:t>
            </w:r>
            <w:r>
              <w:rPr>
                <w:rFonts w:hint="eastAsia" w:ascii="Times New Roman" w:hAnsi="Times New Roman" w:eastAsia="方正仿宋_GBK"/>
                <w:szCs w:val="21"/>
              </w:rPr>
              <w:t>、主要负责人主持召开党委常委会、专题会、主要领导调研活动等的佐证材料；</w:t>
            </w:r>
            <w:r>
              <w:rPr>
                <w:rFonts w:ascii="Times New Roman" w:hAnsi="Times New Roman" w:eastAsia="方正仿宋_GBK"/>
                <w:szCs w:val="21"/>
              </w:rPr>
              <w:t>2</w:t>
            </w:r>
            <w:r>
              <w:rPr>
                <w:rFonts w:hint="eastAsia" w:ascii="Times New Roman" w:hAnsi="Times New Roman" w:eastAsia="方正仿宋_GBK"/>
                <w:szCs w:val="21"/>
              </w:rPr>
              <w:t>、党委常委会及其委员粮食安全工作职责清单佐证材料；</w:t>
            </w:r>
            <w:r>
              <w:rPr>
                <w:rFonts w:ascii="Times New Roman" w:hAnsi="Times New Roman" w:eastAsia="方正仿宋_GBK"/>
                <w:szCs w:val="21"/>
              </w:rPr>
              <w:t>3</w:t>
            </w:r>
            <w:r>
              <w:rPr>
                <w:rFonts w:hint="eastAsia" w:ascii="Times New Roman" w:hAnsi="Times New Roman" w:eastAsia="方正仿宋_GBK"/>
                <w:szCs w:val="21"/>
              </w:rPr>
              <w:t>、党委常委会及其委员落实相关工作责任有关佐证材料等。</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63"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2.5</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60" w:lineRule="exact"/>
              <w:rPr>
                <w:rFonts w:ascii="Times New Roman" w:hAnsi="Times New Roman" w:eastAsia="方正仿宋_GBK" w:cs="宋体"/>
                <w:szCs w:val="21"/>
              </w:rPr>
            </w:pPr>
            <w:r>
              <w:rPr>
                <w:rFonts w:hint="eastAsia" w:ascii="Times New Roman" w:hAnsi="Times New Roman" w:eastAsia="方正仿宋_GBK"/>
                <w:szCs w:val="21"/>
              </w:rPr>
              <w:t>（64）区政府履行粮食安全工作职责。①区政府主要负责人全面履行第一责任人职责，定期召开政府常务会议、办公会议或者专题会议组织开展相关内容学习，开展粮食安全工作调研，及时研究解决粮食安全工作重大问题，将粮食安全工作作为政府工作报告的重要内容，每件次得0.2分，加分累计不超过1分；②牵头建立政府领导班子及其成员粮食安全重点工作职责清单并推动落实的，得0.5分，否则不得分；③督促政府领导班子成员和相关部门落实工作责任，得1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区粮食安全考核办</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、主要负责人主持召开政府常务会、专题会、调研活动等的佐证材料；</w:t>
            </w:r>
            <w:r>
              <w:rPr>
                <w:rFonts w:ascii="Times New Roman" w:hAnsi="Times New Roman"/>
                <w:szCs w:val="21"/>
              </w:rPr>
              <w:t>2</w:t>
            </w:r>
            <w:r>
              <w:rPr>
                <w:rFonts w:hint="eastAsia" w:ascii="Times New Roman" w:hAnsi="Times New Roman" w:eastAsia="方正仿宋_GBK"/>
                <w:szCs w:val="21"/>
              </w:rPr>
              <w:t>、政府领导班子及其成员粮食安全重点工作职责清单佐证材料；</w:t>
            </w:r>
            <w:r>
              <w:rPr>
                <w:rFonts w:ascii="Times New Roman" w:hAnsi="Times New Roman"/>
                <w:szCs w:val="21"/>
              </w:rPr>
              <w:t>3</w:t>
            </w:r>
            <w:r>
              <w:rPr>
                <w:rFonts w:hint="eastAsia" w:ascii="Times New Roman" w:hAnsi="Times New Roman" w:eastAsia="方正仿宋_GBK"/>
                <w:szCs w:val="21"/>
              </w:rPr>
              <w:t>、落实工作责任有关佐证材料等。</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考核内容</w:t>
            </w:r>
          </w:p>
        </w:tc>
        <w:tc>
          <w:tcPr>
            <w:tcW w:w="1134"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考核指标</w:t>
            </w:r>
          </w:p>
        </w:tc>
        <w:tc>
          <w:tcPr>
            <w:tcW w:w="56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考核</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分值</w:t>
            </w:r>
          </w:p>
        </w:tc>
        <w:tc>
          <w:tcPr>
            <w:tcW w:w="4946"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评    分    细    则</w:t>
            </w:r>
          </w:p>
        </w:tc>
        <w:tc>
          <w:tcPr>
            <w:tcW w:w="709"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自评</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打分</w:t>
            </w:r>
          </w:p>
        </w:tc>
        <w:tc>
          <w:tcPr>
            <w:tcW w:w="655"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扣分</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原因</w:t>
            </w:r>
          </w:p>
        </w:tc>
        <w:tc>
          <w:tcPr>
            <w:tcW w:w="621"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整改</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措施</w:t>
            </w:r>
          </w:p>
        </w:tc>
        <w:tc>
          <w:tcPr>
            <w:tcW w:w="674" w:type="dxa"/>
            <w:vAlign w:val="center"/>
          </w:tcPr>
          <w:p>
            <w:pPr>
              <w:snapToGrid w:val="0"/>
              <w:spacing w:line="280" w:lineRule="exact"/>
              <w:jc w:val="center"/>
              <w:rPr>
                <w:rFonts w:ascii="Times New Roman" w:hAnsi="Times New Roman" w:eastAsia="方正黑体_GBK"/>
                <w:color w:val="000000"/>
                <w:szCs w:val="21"/>
              </w:rPr>
            </w:pPr>
            <w:r>
              <w:rPr>
                <w:rFonts w:hint="eastAsia" w:ascii="Times New Roman" w:hAnsi="Times New Roman" w:eastAsia="方正黑体_GBK"/>
                <w:color w:val="000000"/>
                <w:szCs w:val="21"/>
              </w:rPr>
              <w:t>数据来源</w:t>
            </w:r>
          </w:p>
        </w:tc>
        <w:tc>
          <w:tcPr>
            <w:tcW w:w="957"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牵头</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823" w:type="dxa"/>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配合</w:t>
            </w:r>
          </w:p>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部门</w:t>
            </w:r>
          </w:p>
        </w:tc>
        <w:tc>
          <w:tcPr>
            <w:tcW w:w="2313"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指标完成佐证材料</w:t>
            </w:r>
          </w:p>
        </w:tc>
        <w:tc>
          <w:tcPr>
            <w:tcW w:w="737" w:type="dxa"/>
            <w:vAlign w:val="center"/>
          </w:tcPr>
          <w:p>
            <w:pPr>
              <w:spacing w:line="280" w:lineRule="exact"/>
              <w:jc w:val="center"/>
              <w:rPr>
                <w:rFonts w:ascii="Times New Roman" w:hAnsi="Times New Roman" w:eastAsia="方正黑体_GBK" w:cs="宋体"/>
                <w:szCs w:val="21"/>
              </w:rPr>
            </w:pPr>
            <w:r>
              <w:rPr>
                <w:rFonts w:hint="eastAsia" w:ascii="Times New Roman" w:hAnsi="Times New Roman" w:eastAsia="方正黑体_GBK"/>
                <w:szCs w:val="21"/>
              </w:rPr>
              <w:t xml:space="preserve">备注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restart"/>
            <w:tcBorders>
              <w:top w:val="single" w:color="auto" w:sz="2" w:space="0"/>
              <w:left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四、履行耕地保护和粮食安全职责任务（15.5分）</w:t>
            </w:r>
          </w:p>
        </w:tc>
        <w:tc>
          <w:tcPr>
            <w:tcW w:w="1134" w:type="dxa"/>
            <w:vMerge w:val="restart"/>
            <w:tcBorders>
              <w:left w:val="single" w:color="auto" w:sz="2"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r>
              <w:rPr>
                <w:rFonts w:hint="eastAsia" w:ascii="Times New Roman" w:hAnsi="Times New Roman" w:eastAsia="方正黑体_GBK"/>
                <w:color w:val="000000"/>
                <w:szCs w:val="21"/>
              </w:rPr>
              <w:t>16.区县（自治县）党委和政府领导班子及其成员履行耕地保护和粮食安全职责任务（8分）</w:t>
            </w: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60" w:lineRule="exact"/>
              <w:rPr>
                <w:rFonts w:ascii="Times New Roman" w:hAnsi="Times New Roman" w:eastAsia="方正仿宋_GBK" w:cs="宋体"/>
                <w:szCs w:val="21"/>
              </w:rPr>
            </w:pPr>
            <w:r>
              <w:rPr>
                <w:rFonts w:hint="eastAsia" w:ascii="Times New Roman" w:hAnsi="Times New Roman" w:eastAsia="方正仿宋_GBK"/>
                <w:szCs w:val="21"/>
              </w:rPr>
              <w:t>（65）粮食人才队伍和执法监管力量建设。①全面落实粮食安全属地管理、监管主体责任，切实落实农业、粮食等相关行政管理部门职责责任，加强粮食流通干部队伍建设</w:t>
            </w:r>
            <w:r>
              <w:rPr>
                <w:rFonts w:hint="eastAsia" w:ascii="Times New Roman" w:hAnsi="Times New Roman" w:eastAsia="方正仿宋_GBK"/>
                <w:szCs w:val="21"/>
                <w:lang w:eastAsia="zh-CN"/>
              </w:rPr>
              <w:t>有关</w:t>
            </w:r>
            <w:r>
              <w:rPr>
                <w:rFonts w:hint="eastAsia" w:ascii="Times New Roman" w:hAnsi="Times New Roman" w:eastAsia="方正仿宋_GBK"/>
                <w:szCs w:val="21"/>
              </w:rPr>
              <w:t>工作举措（含加强区县所属国有粮食购销企业领导班子和关键部门人员轮岗交流）的，得0.3分，否则不得分；②贯彻落实粮食安全党政同责关于“强化组织和人员保障”规定和国务院、区政府关于提高政府监管效能文件要求，调研解决基层粮食流通执法监管力量不足问题，“加强执法队伍建设”，确保扛稳保障粮食安全政治责任的，得0.5分。③推动辖区内粮食生产、储备、加工、质检人员职业技能提升并有成效的，得0.2分，否则不得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区发展改革委</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区人力社保局</w:t>
            </w:r>
          </w:p>
        </w:tc>
        <w:tc>
          <w:tcPr>
            <w:tcW w:w="2313" w:type="dxa"/>
            <w:vAlign w:val="center"/>
          </w:tcPr>
          <w:p>
            <w:pPr>
              <w:spacing w:line="26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、粮食流通干部队伍建设有关佐证材料；</w:t>
            </w:r>
            <w:r>
              <w:rPr>
                <w:rFonts w:ascii="Times New Roman" w:hAnsi="Times New Roman"/>
                <w:szCs w:val="21"/>
              </w:rPr>
              <w:t>2</w:t>
            </w:r>
            <w:r>
              <w:rPr>
                <w:rFonts w:hint="eastAsia" w:ascii="Times New Roman" w:hAnsi="Times New Roman" w:eastAsia="方正仿宋_GBK"/>
                <w:szCs w:val="21"/>
              </w:rPr>
              <w:t>、党委、政府研究解决粮食流通执法监管力量不足问题及结果的佐证材料；</w:t>
            </w:r>
            <w:r>
              <w:rPr>
                <w:rFonts w:ascii="Times New Roman" w:hAnsi="Times New Roman"/>
                <w:szCs w:val="21"/>
              </w:rPr>
              <w:t>3</w:t>
            </w:r>
            <w:r>
              <w:rPr>
                <w:rFonts w:hint="eastAsia" w:ascii="Times New Roman" w:hAnsi="Times New Roman" w:eastAsia="方正仿宋_GBK"/>
                <w:szCs w:val="21"/>
              </w:rPr>
              <w:t>、粮食行政执法人员行政执法资格证书、粮食执法装备、经费落实佐证材料；</w:t>
            </w:r>
            <w:r>
              <w:rPr>
                <w:rFonts w:ascii="Times New Roman" w:hAnsi="Times New Roman"/>
                <w:szCs w:val="21"/>
              </w:rPr>
              <w:t>4</w:t>
            </w:r>
            <w:r>
              <w:rPr>
                <w:rFonts w:hint="eastAsia" w:ascii="Times New Roman" w:hAnsi="Times New Roman" w:eastAsia="方正仿宋_GBK"/>
                <w:szCs w:val="21"/>
              </w:rPr>
              <w:t>、培育引进粮食领域职业技能人才佐证材料。</w:t>
            </w:r>
          </w:p>
        </w:tc>
        <w:tc>
          <w:tcPr>
            <w:tcW w:w="737" w:type="dxa"/>
            <w:vAlign w:val="center"/>
          </w:tcPr>
          <w:p>
            <w:pPr>
              <w:spacing w:line="28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24" w:hRule="atLeast"/>
          <w:tblHeader/>
          <w:jc w:val="center"/>
        </w:trPr>
        <w:tc>
          <w:tcPr>
            <w:tcW w:w="1321" w:type="dxa"/>
            <w:vMerge w:val="continue"/>
            <w:tcBorders>
              <w:left w:val="single" w:color="auto" w:sz="6"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1134" w:type="dxa"/>
            <w:vMerge w:val="continue"/>
            <w:tcBorders>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56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ascii="Times New Roman" w:hAnsi="Times New Roman"/>
                <w:szCs w:val="21"/>
              </w:rPr>
              <w:t>1</w:t>
            </w:r>
          </w:p>
        </w:tc>
        <w:tc>
          <w:tcPr>
            <w:tcW w:w="4946"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rPr>
                <w:rFonts w:ascii="Times New Roman" w:hAnsi="Times New Roman" w:eastAsia="方正仿宋_GBK" w:cs="宋体"/>
                <w:szCs w:val="21"/>
              </w:rPr>
            </w:pPr>
            <w:r>
              <w:rPr>
                <w:rFonts w:hint="eastAsia" w:ascii="Times New Roman" w:hAnsi="Times New Roman" w:eastAsia="方正仿宋_GBK"/>
                <w:szCs w:val="21"/>
              </w:rPr>
              <w:t xml:space="preserve"> （66）落实考核发现问题整改。区</w:t>
            </w:r>
            <w:r>
              <w:rPr>
                <w:rFonts w:hint="eastAsia" w:ascii="Times New Roman" w:hAnsi="Times New Roman" w:eastAsia="方正仿宋_GBK"/>
                <w:szCs w:val="21"/>
                <w:lang w:eastAsia="zh-CN"/>
              </w:rPr>
              <w:t>委、区</w:t>
            </w:r>
            <w:r>
              <w:rPr>
                <w:rFonts w:hint="eastAsia" w:ascii="Times New Roman" w:hAnsi="Times New Roman" w:eastAsia="方正仿宋_GBK"/>
                <w:szCs w:val="21"/>
              </w:rPr>
              <w:t>政府严格落实粮食安全相关问题整改责任，对考核发现的问题全部整改到位的，得1分；未全部整改到位的，不得分，且根据整改不到位的问题比例实行倒扣分。</w:t>
            </w:r>
          </w:p>
        </w:tc>
        <w:tc>
          <w:tcPr>
            <w:tcW w:w="709"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55"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21"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napToGrid w:val="0"/>
              <w:spacing w:line="280" w:lineRule="exact"/>
              <w:jc w:val="center"/>
              <w:rPr>
                <w:rFonts w:hint="eastAsia" w:ascii="Times New Roman" w:hAnsi="Times New Roman" w:eastAsia="方正黑体_GBK"/>
                <w:color w:val="000000"/>
                <w:szCs w:val="21"/>
              </w:rPr>
            </w:pPr>
          </w:p>
        </w:tc>
        <w:tc>
          <w:tcPr>
            <w:tcW w:w="674" w:type="dxa"/>
            <w:tcBorders>
              <w:top w:val="single" w:color="auto" w:sz="2" w:space="0"/>
              <w:left w:val="single" w:color="auto" w:sz="2" w:space="0"/>
              <w:bottom w:val="single" w:color="auto" w:sz="6" w:space="0"/>
              <w:right w:val="single" w:color="auto" w:sz="2" w:space="0"/>
            </w:tcBorders>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区县填报</w:t>
            </w:r>
          </w:p>
        </w:tc>
        <w:tc>
          <w:tcPr>
            <w:tcW w:w="957" w:type="dxa"/>
            <w:tcBorders>
              <w:top w:val="single" w:color="auto" w:sz="2" w:space="0"/>
              <w:left w:val="single" w:color="auto" w:sz="2" w:space="0"/>
              <w:bottom w:val="single" w:color="auto" w:sz="6" w:space="0"/>
              <w:right w:val="single" w:color="auto" w:sz="2"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区粮食安全考核办</w:t>
            </w:r>
          </w:p>
        </w:tc>
        <w:tc>
          <w:tcPr>
            <w:tcW w:w="823" w:type="dxa"/>
            <w:tcBorders>
              <w:top w:val="single" w:color="auto" w:sz="2" w:space="0"/>
              <w:left w:val="single" w:color="auto" w:sz="2" w:space="0"/>
              <w:bottom w:val="single" w:color="auto" w:sz="6" w:space="0"/>
              <w:right w:val="single" w:color="auto" w:sz="6" w:space="0"/>
            </w:tcBorders>
            <w:tcMar>
              <w:left w:w="45" w:type="dxa"/>
              <w:right w:w="45" w:type="dxa"/>
            </w:tcMar>
            <w:vAlign w:val="center"/>
          </w:tcPr>
          <w:p>
            <w:pPr>
              <w:spacing w:line="280" w:lineRule="exact"/>
              <w:jc w:val="center"/>
              <w:rPr>
                <w:rFonts w:ascii="Times New Roman" w:hAnsi="Times New Roman"/>
                <w:szCs w:val="21"/>
              </w:rPr>
            </w:pPr>
            <w:r>
              <w:rPr>
                <w:rFonts w:hint="eastAsia" w:ascii="Times New Roman" w:hAnsi="Times New Roman" w:eastAsia="方正仿宋_GBK"/>
                <w:szCs w:val="21"/>
              </w:rPr>
              <w:t>区农业农村委、区规划</w:t>
            </w:r>
            <w:r>
              <w:rPr>
                <w:rFonts w:hint="eastAsia" w:ascii="Times New Roman" w:hAnsi="Times New Roman" w:eastAsia="方正仿宋_GBK"/>
                <w:szCs w:val="21"/>
                <w:lang w:eastAsia="zh-CN"/>
              </w:rPr>
              <w:t>和</w:t>
            </w:r>
            <w:r>
              <w:rPr>
                <w:rFonts w:hint="eastAsia" w:ascii="Times New Roman" w:hAnsi="Times New Roman" w:eastAsia="方正仿宋_GBK"/>
                <w:szCs w:val="21"/>
              </w:rPr>
              <w:t>自然资源局</w:t>
            </w:r>
          </w:p>
        </w:tc>
        <w:tc>
          <w:tcPr>
            <w:tcW w:w="2313" w:type="dxa"/>
            <w:vAlign w:val="center"/>
          </w:tcPr>
          <w:p>
            <w:pPr>
              <w:spacing w:line="280" w:lineRule="exact"/>
              <w:rPr>
                <w:rFonts w:ascii="Times New Roman" w:hAnsi="Times New Roman"/>
                <w:szCs w:val="21"/>
              </w:rPr>
            </w:pPr>
            <w:r>
              <w:rPr>
                <w:rFonts w:ascii="Times New Roman" w:hAnsi="Times New Roman"/>
                <w:szCs w:val="21"/>
              </w:rPr>
              <w:t>1</w:t>
            </w:r>
            <w:r>
              <w:rPr>
                <w:rFonts w:hint="eastAsia" w:ascii="Times New Roman" w:hAnsi="Times New Roman" w:eastAsia="方正仿宋_GBK"/>
                <w:szCs w:val="21"/>
              </w:rPr>
              <w:t>、党委、政府落实整改责任佐证材料；</w:t>
            </w:r>
            <w:r>
              <w:rPr>
                <w:rFonts w:ascii="Times New Roman" w:hAnsi="Times New Roman"/>
                <w:szCs w:val="21"/>
              </w:rPr>
              <w:t>2</w:t>
            </w:r>
            <w:r>
              <w:rPr>
                <w:rFonts w:hint="eastAsia" w:ascii="Times New Roman" w:hAnsi="Times New Roman" w:eastAsia="方正仿宋_GBK"/>
                <w:szCs w:val="21"/>
              </w:rPr>
              <w:t>、考核问题整改完成情况的报告；</w:t>
            </w:r>
            <w:r>
              <w:rPr>
                <w:rFonts w:ascii="Times New Roman" w:hAnsi="Times New Roman"/>
                <w:szCs w:val="21"/>
              </w:rPr>
              <w:t>3</w:t>
            </w:r>
            <w:r>
              <w:rPr>
                <w:rFonts w:hint="eastAsia" w:ascii="Times New Roman" w:hAnsi="Times New Roman" w:eastAsia="方正仿宋_GBK"/>
                <w:szCs w:val="21"/>
              </w:rPr>
              <w:t>、问题整改完成的佐证材料。</w:t>
            </w:r>
          </w:p>
        </w:tc>
        <w:tc>
          <w:tcPr>
            <w:tcW w:w="737" w:type="dxa"/>
            <w:vAlign w:val="center"/>
          </w:tcPr>
          <w:p>
            <w:pPr>
              <w:spacing w:line="280" w:lineRule="exact"/>
              <w:jc w:val="center"/>
              <w:rPr>
                <w:rFonts w:ascii="Times New Roman" w:hAnsi="Times New Roman"/>
                <w:szCs w:val="21"/>
              </w:rPr>
            </w:pPr>
          </w:p>
        </w:tc>
      </w:tr>
    </w:tbl>
    <w:p>
      <w:pPr>
        <w:ind w:firstLine="0" w:firstLineChars="0"/>
        <w:rPr>
          <w:rFonts w:hint="eastAsia" w:ascii="方正仿宋_GBK" w:hAnsi="方正仿宋_GBK" w:eastAsia="方正仿宋_GBK" w:cs="方正仿宋_GBK"/>
          <w:sz w:val="32"/>
          <w:szCs w:val="32"/>
          <w:lang w:eastAsia="zh-CN"/>
        </w:rPr>
        <w:sectPr>
          <w:pgSz w:w="16838" w:h="11906" w:orient="landscape"/>
          <w:pgMar w:top="1797" w:right="1440" w:bottom="2268" w:left="1440" w:header="851" w:footer="992" w:gutter="0"/>
          <w:pgNumType w:fmt="numberInDash"/>
          <w:cols w:space="0" w:num="1"/>
          <w:rtlGutter w:val="0"/>
          <w:docGrid w:type="lines" w:linePitch="315" w:charSpace="0"/>
        </w:sectPr>
      </w:pPr>
      <w:r>
        <w:rPr>
          <w:rFonts w:hint="eastAsia" w:ascii="方正仿宋_GBK" w:hAnsi="方正仿宋_GBK" w:eastAsia="方正仿宋_GBK" w:cs="方正仿宋_GBK"/>
          <w:sz w:val="32"/>
          <w:szCs w:val="32"/>
          <w:lang w:eastAsia="zh-CN"/>
        </w:rPr>
        <w:t>说明：数据来源中，“部门填报”由市级部门直接填报，区级部门仅填报“区县填报”的内容。</w:t>
      </w:r>
    </w:p>
    <w:p>
      <w:pPr>
        <w:jc w:val="left"/>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Times New Roman" w:hAnsi="Times New Roman" w:eastAsia="方正小标宋_GBK"/>
          <w:color w:val="000000"/>
          <w:sz w:val="36"/>
          <w:szCs w:val="36"/>
          <w:lang w:val="en-US" w:eastAsia="zh-CN"/>
        </w:rPr>
      </w:pPr>
      <w:r>
        <w:rPr>
          <w:rFonts w:hint="default" w:ascii="Times New Roman" w:hAnsi="Times New Roman" w:eastAsia="方正小标宋_GBK"/>
          <w:color w:val="000000"/>
          <w:sz w:val="36"/>
          <w:szCs w:val="36"/>
          <w:lang w:val="en-US" w:eastAsia="zh-CN"/>
        </w:rPr>
        <w:t>2022</w:t>
      </w:r>
      <w:r>
        <w:rPr>
          <w:rFonts w:hint="eastAsia" w:ascii="Times New Roman" w:hAnsi="Times New Roman" w:eastAsia="方正小标宋_GBK"/>
          <w:color w:val="000000"/>
          <w:sz w:val="36"/>
          <w:szCs w:val="36"/>
          <w:lang w:val="en-US" w:eastAsia="zh-CN"/>
        </w:rPr>
        <w:t>年度落实耕地保护和粮食安全责任制</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Times New Roman" w:hAnsi="Times New Roman" w:eastAsia="方正小标宋_GBK"/>
          <w:color w:val="000000"/>
          <w:sz w:val="36"/>
          <w:szCs w:val="36"/>
          <w:lang w:val="en-US" w:eastAsia="zh-CN"/>
        </w:rPr>
      </w:pPr>
      <w:r>
        <w:rPr>
          <w:rFonts w:hint="eastAsia" w:ascii="Times New Roman" w:hAnsi="Times New Roman" w:eastAsia="方正小标宋_GBK"/>
          <w:color w:val="000000"/>
          <w:sz w:val="36"/>
          <w:szCs w:val="36"/>
          <w:lang w:val="en-US" w:eastAsia="zh-CN"/>
        </w:rPr>
        <w:t>考核加分、扣分及否决事项评分细则</w:t>
      </w:r>
    </w:p>
    <w:tbl>
      <w:tblPr>
        <w:tblStyle w:val="8"/>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7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001" w:type="dxa"/>
            <w:vAlign w:val="center"/>
          </w:tcPr>
          <w:p>
            <w:pPr>
              <w:pStyle w:val="11"/>
              <w:jc w:val="center"/>
              <w:rPr>
                <w:rFonts w:hint="default" w:ascii="Times New Roman" w:hAnsi="Times New Roman" w:eastAsia="方正黑体_GBK" w:cs="Times New Roman"/>
                <w:sz w:val="21"/>
                <w:szCs w:val="21"/>
                <w:vertAlign w:val="baseline"/>
                <w:lang w:eastAsia="zh-CN"/>
              </w:rPr>
            </w:pPr>
            <w:r>
              <w:rPr>
                <w:rFonts w:hint="default" w:ascii="Times New Roman" w:hAnsi="Times New Roman" w:eastAsia="方正黑体_GBK" w:cs="Times New Roman"/>
                <w:sz w:val="21"/>
                <w:szCs w:val="21"/>
                <w:vertAlign w:val="baseline"/>
                <w:lang w:eastAsia="zh-CN"/>
              </w:rPr>
              <w:t>项目</w:t>
            </w:r>
          </w:p>
        </w:tc>
        <w:tc>
          <w:tcPr>
            <w:tcW w:w="7838" w:type="dxa"/>
            <w:vAlign w:val="center"/>
          </w:tcPr>
          <w:p>
            <w:pPr>
              <w:pStyle w:val="11"/>
              <w:jc w:val="center"/>
              <w:rPr>
                <w:rFonts w:hint="default" w:ascii="Times New Roman" w:hAnsi="Times New Roman" w:eastAsia="方正黑体_GBK" w:cs="Times New Roman"/>
                <w:sz w:val="21"/>
                <w:szCs w:val="21"/>
                <w:vertAlign w:val="baseline"/>
                <w:lang w:eastAsia="zh-CN"/>
              </w:rPr>
            </w:pPr>
            <w:r>
              <w:rPr>
                <w:rFonts w:hint="default" w:ascii="Times New Roman" w:hAnsi="Times New Roman" w:eastAsia="方正黑体_GBK" w:cs="Times New Roman"/>
                <w:sz w:val="21"/>
                <w:szCs w:val="21"/>
                <w:vertAlign w:val="baseline"/>
                <w:lang w:eastAsia="zh-CN"/>
              </w:rPr>
              <w:t>考评细则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01" w:type="dxa"/>
            <w:vMerge w:val="restar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r>
              <w:rPr>
                <w:rStyle w:val="13"/>
                <w:rFonts w:hint="default" w:ascii="Times New Roman" w:hAnsi="Times New Roman" w:cs="Times New Roman"/>
                <w:sz w:val="21"/>
                <w:szCs w:val="21"/>
                <w:lang w:val="en-US" w:eastAsia="zh-CN" w:bidi="ar"/>
              </w:rPr>
              <w:t>加分项（累计不超过</w:t>
            </w:r>
            <w:r>
              <w:rPr>
                <w:rStyle w:val="14"/>
                <w:rFonts w:hint="default" w:ascii="Times New Roman" w:hAnsi="Times New Roman" w:eastAsia="宋体" w:cs="Times New Roman"/>
                <w:sz w:val="21"/>
                <w:szCs w:val="21"/>
                <w:lang w:val="en-US" w:eastAsia="zh-CN" w:bidi="ar"/>
              </w:rPr>
              <w:t>2</w:t>
            </w:r>
            <w:r>
              <w:rPr>
                <w:rStyle w:val="13"/>
                <w:rFonts w:hint="default" w:ascii="Times New Roman" w:hAnsi="Times New Roman" w:cs="Times New Roman"/>
                <w:sz w:val="21"/>
                <w:szCs w:val="21"/>
                <w:lang w:val="en-US" w:eastAsia="zh-CN" w:bidi="ar"/>
              </w:rPr>
              <w:t>分）</w:t>
            </w:r>
          </w:p>
        </w:tc>
        <w:tc>
          <w:tcPr>
            <w:tcW w:w="7838" w:type="dxa"/>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both"/>
              <w:textAlignment w:val="auto"/>
              <w:rPr>
                <w:rFonts w:hint="default" w:ascii="Times New Roman" w:hAnsi="Times New Roman" w:eastAsia="方正仿宋_GBK" w:cs="Times New Roman"/>
                <w:sz w:val="21"/>
                <w:szCs w:val="21"/>
                <w:vertAlign w:val="baseline"/>
                <w:lang w:eastAsia="zh-CN"/>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1</w:t>
            </w:r>
            <w:r>
              <w:rPr>
                <w:rStyle w:val="13"/>
                <w:rFonts w:hint="default" w:ascii="Times New Roman" w:hAnsi="Times New Roman" w:cs="Times New Roman"/>
                <w:sz w:val="21"/>
                <w:szCs w:val="21"/>
                <w:lang w:val="en-US" w:eastAsia="zh-CN" w:bidi="ar"/>
              </w:rPr>
              <w:t>）耕地保护和粮食安全工作获得党中央、国务院奖励表彰，或中央领导同志肯定性批示的，每次加</w:t>
            </w:r>
            <w:r>
              <w:rPr>
                <w:rStyle w:val="14"/>
                <w:rFonts w:hint="default" w:ascii="Times New Roman" w:hAnsi="Times New Roman" w:eastAsia="宋体" w:cs="Times New Roman"/>
                <w:sz w:val="21"/>
                <w:szCs w:val="21"/>
                <w:lang w:val="en-US" w:eastAsia="zh-CN" w:bidi="ar"/>
              </w:rPr>
              <w:t>0.5</w:t>
            </w:r>
            <w:r>
              <w:rPr>
                <w:rStyle w:val="13"/>
                <w:rFonts w:hint="default" w:ascii="Times New Roman" w:hAnsi="Times New Roman" w:cs="Times New Roman"/>
                <w:sz w:val="21"/>
                <w:szCs w:val="21"/>
                <w:lang w:val="en-US" w:eastAsia="zh-CN" w:bidi="ar"/>
              </w:rPr>
              <w:t>分；获得中央和国家机关、市委、市政府（含办公厅）奖励表彰的，或中央和国家机关、市委市政府领导同志批示的，每次加</w:t>
            </w:r>
            <w:r>
              <w:rPr>
                <w:rStyle w:val="14"/>
                <w:rFonts w:hint="default" w:ascii="Times New Roman" w:hAnsi="Times New Roman" w:eastAsia="宋体" w:cs="Times New Roman"/>
                <w:sz w:val="21"/>
                <w:szCs w:val="21"/>
                <w:lang w:val="en-US" w:eastAsia="zh-CN" w:bidi="ar"/>
              </w:rPr>
              <w:t>0.3</w:t>
            </w:r>
            <w:r>
              <w:rPr>
                <w:rStyle w:val="13"/>
                <w:rFonts w:hint="default" w:ascii="Times New Roman" w:hAnsi="Times New Roman" w:cs="Times New Roman"/>
                <w:sz w:val="21"/>
                <w:szCs w:val="21"/>
                <w:lang w:val="en-US" w:eastAsia="zh-CN" w:bidi="ar"/>
              </w:rPr>
              <w:t>分（个人表彰不计）。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01" w:type="dxa"/>
            <w:vMerge w:val="continue"/>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p>
        </w:tc>
        <w:tc>
          <w:tcPr>
            <w:tcW w:w="7838" w:type="dxa"/>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both"/>
              <w:textAlignment w:val="auto"/>
              <w:rPr>
                <w:rFonts w:hint="default" w:ascii="Times New Roman" w:hAnsi="Times New Roman" w:eastAsia="方正仿宋_GBK" w:cs="Times New Roman"/>
                <w:sz w:val="21"/>
                <w:szCs w:val="21"/>
                <w:vertAlign w:val="baseline"/>
                <w:lang w:eastAsia="zh-CN"/>
              </w:rPr>
            </w:pPr>
            <w:r>
              <w:rPr>
                <w:rStyle w:val="13"/>
                <w:rFonts w:hint="default" w:ascii="Times New Roman" w:hAnsi="Times New Roman" w:cs="Times New Roman"/>
                <w:i w:val="0"/>
                <w:iCs w:val="0"/>
                <w:color w:val="000000"/>
                <w:sz w:val="21"/>
                <w:szCs w:val="21"/>
                <w:lang w:val="en-US" w:eastAsia="zh-CN" w:bidi="ar"/>
              </w:rPr>
              <w:t>（2）因工作成效突出，承办全国性粮食安全有关会议、活动或在全国性会议上交流先进经验的，每次加0.3分，承办全市性粮食安全有关会议、活动或在全市性会议上交流先进经验的，每次加0.1分。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1" w:type="dxa"/>
            <w:vMerge w:val="continue"/>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p>
        </w:tc>
        <w:tc>
          <w:tcPr>
            <w:tcW w:w="7838" w:type="dxa"/>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both"/>
              <w:textAlignment w:val="auto"/>
              <w:rPr>
                <w:rFonts w:hint="default" w:ascii="Times New Roman" w:hAnsi="Times New Roman" w:eastAsia="方正仿宋_GBK" w:cs="Times New Roman"/>
                <w:sz w:val="21"/>
                <w:szCs w:val="21"/>
                <w:vertAlign w:val="baseline"/>
                <w:lang w:eastAsia="zh-CN"/>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3</w:t>
            </w:r>
            <w:r>
              <w:rPr>
                <w:rStyle w:val="13"/>
                <w:rFonts w:hint="default" w:ascii="Times New Roman" w:hAnsi="Times New Roman" w:cs="Times New Roman"/>
                <w:sz w:val="21"/>
                <w:szCs w:val="21"/>
                <w:lang w:val="en-US" w:eastAsia="zh-CN" w:bidi="ar"/>
              </w:rPr>
              <w:t>）粮食播种面积比上一年度每增加超过</w:t>
            </w:r>
            <w:r>
              <w:rPr>
                <w:rStyle w:val="14"/>
                <w:rFonts w:hint="default" w:ascii="Times New Roman" w:hAnsi="Times New Roman" w:eastAsia="宋体" w:cs="Times New Roman"/>
                <w:sz w:val="21"/>
                <w:szCs w:val="21"/>
                <w:lang w:val="en-US" w:eastAsia="zh-CN" w:bidi="ar"/>
              </w:rPr>
              <w:t>1%</w:t>
            </w:r>
            <w:r>
              <w:rPr>
                <w:rStyle w:val="13"/>
                <w:rFonts w:hint="default" w:ascii="Times New Roman" w:hAnsi="Times New Roman" w:cs="Times New Roman"/>
                <w:sz w:val="21"/>
                <w:szCs w:val="21"/>
                <w:lang w:val="en-US" w:eastAsia="zh-CN" w:bidi="ar"/>
              </w:rPr>
              <w:t>的区县，相应加</w:t>
            </w:r>
            <w:r>
              <w:rPr>
                <w:rStyle w:val="14"/>
                <w:rFonts w:hint="default" w:ascii="Times New Roman" w:hAnsi="Times New Roman" w:eastAsia="宋体" w:cs="Times New Roman"/>
                <w:sz w:val="21"/>
                <w:szCs w:val="21"/>
                <w:lang w:val="en-US" w:eastAsia="zh-CN" w:bidi="ar"/>
              </w:rPr>
              <w:t>0.1</w:t>
            </w:r>
            <w:r>
              <w:rPr>
                <w:rStyle w:val="13"/>
                <w:rFonts w:hint="default" w:ascii="Times New Roman" w:hAnsi="Times New Roman" w:cs="Times New Roman"/>
                <w:sz w:val="21"/>
                <w:szCs w:val="21"/>
                <w:lang w:val="en-US" w:eastAsia="zh-CN" w:bidi="ar"/>
              </w:rPr>
              <w:t>分，加分累计不超过</w:t>
            </w:r>
            <w:r>
              <w:rPr>
                <w:rStyle w:val="14"/>
                <w:rFonts w:hint="default" w:ascii="Times New Roman" w:hAnsi="Times New Roman" w:eastAsia="宋体" w:cs="Times New Roman"/>
                <w:sz w:val="21"/>
                <w:szCs w:val="21"/>
                <w:lang w:val="en-US" w:eastAsia="zh-CN" w:bidi="ar"/>
              </w:rPr>
              <w:t>0.3</w:t>
            </w:r>
            <w:r>
              <w:rPr>
                <w:rStyle w:val="13"/>
                <w:rFonts w:hint="default" w:ascii="Times New Roman" w:hAnsi="Times New Roman" w:cs="Times New Roman"/>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01" w:type="dxa"/>
            <w:vMerge w:val="continue"/>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p>
        </w:tc>
        <w:tc>
          <w:tcPr>
            <w:tcW w:w="7838" w:type="dxa"/>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both"/>
              <w:textAlignment w:val="auto"/>
              <w:rPr>
                <w:rFonts w:hint="default" w:ascii="Times New Roman" w:hAnsi="Times New Roman" w:eastAsia="方正仿宋_GBK" w:cs="Times New Roman"/>
                <w:sz w:val="21"/>
                <w:szCs w:val="21"/>
                <w:vertAlign w:val="baseline"/>
                <w:lang w:eastAsia="zh-CN"/>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4</w:t>
            </w:r>
            <w:r>
              <w:rPr>
                <w:rStyle w:val="13"/>
                <w:rFonts w:hint="default" w:ascii="Times New Roman" w:hAnsi="Times New Roman" w:cs="Times New Roman"/>
                <w:sz w:val="21"/>
                <w:szCs w:val="21"/>
                <w:lang w:val="en-US" w:eastAsia="zh-CN" w:bidi="ar"/>
              </w:rPr>
              <w:t>）积极申报粮食仓储物流设施建设、农用地风险管控及修复项目，当年争取到中央预算内资金支持的区县，每申报并争取中央资金成功</w:t>
            </w:r>
            <w:r>
              <w:rPr>
                <w:rStyle w:val="14"/>
                <w:rFonts w:hint="default" w:ascii="Times New Roman" w:hAnsi="Times New Roman" w:eastAsia="宋体" w:cs="Times New Roman"/>
                <w:sz w:val="21"/>
                <w:szCs w:val="21"/>
                <w:lang w:val="en-US" w:eastAsia="zh-CN" w:bidi="ar"/>
              </w:rPr>
              <w:t>1</w:t>
            </w:r>
            <w:r>
              <w:rPr>
                <w:rStyle w:val="13"/>
                <w:rFonts w:hint="default" w:ascii="Times New Roman" w:hAnsi="Times New Roman" w:cs="Times New Roman"/>
                <w:sz w:val="21"/>
                <w:szCs w:val="21"/>
                <w:lang w:val="en-US" w:eastAsia="zh-CN" w:bidi="ar"/>
              </w:rPr>
              <w:t>个项目，加</w:t>
            </w:r>
            <w:r>
              <w:rPr>
                <w:rStyle w:val="14"/>
                <w:rFonts w:hint="default" w:ascii="Times New Roman" w:hAnsi="Times New Roman" w:eastAsia="宋体" w:cs="Times New Roman"/>
                <w:sz w:val="21"/>
                <w:szCs w:val="21"/>
                <w:lang w:val="en-US" w:eastAsia="zh-CN" w:bidi="ar"/>
              </w:rPr>
              <w:t>0.1</w:t>
            </w:r>
            <w:r>
              <w:rPr>
                <w:rStyle w:val="13"/>
                <w:rFonts w:hint="default" w:ascii="Times New Roman" w:hAnsi="Times New Roman" w:cs="Times New Roman"/>
                <w:sz w:val="21"/>
                <w:szCs w:val="21"/>
                <w:lang w:val="en-US" w:eastAsia="zh-CN" w:bidi="ar"/>
              </w:rPr>
              <w:t>分。本项加分不超过</w:t>
            </w:r>
            <w:r>
              <w:rPr>
                <w:rStyle w:val="14"/>
                <w:rFonts w:hint="default" w:ascii="Times New Roman" w:hAnsi="Times New Roman" w:eastAsia="宋体" w:cs="Times New Roman"/>
                <w:sz w:val="21"/>
                <w:szCs w:val="21"/>
                <w:lang w:val="en-US" w:eastAsia="zh-CN" w:bidi="ar"/>
              </w:rPr>
              <w:t>0.5</w:t>
            </w:r>
            <w:r>
              <w:rPr>
                <w:rStyle w:val="13"/>
                <w:rFonts w:hint="default" w:ascii="Times New Roman" w:hAnsi="Times New Roman" w:cs="Times New Roman"/>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01" w:type="dxa"/>
            <w:vMerge w:val="continue"/>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p>
        </w:tc>
        <w:tc>
          <w:tcPr>
            <w:tcW w:w="7838" w:type="dxa"/>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both"/>
              <w:textAlignment w:val="auto"/>
              <w:rPr>
                <w:rStyle w:val="13"/>
                <w:rFonts w:hint="default" w:ascii="Times New Roman" w:hAnsi="Times New Roman" w:cs="Times New Roman"/>
                <w:sz w:val="21"/>
                <w:szCs w:val="21"/>
                <w:lang w:val="en-US" w:eastAsia="zh-CN" w:bidi="ar"/>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5</w:t>
            </w:r>
            <w:r>
              <w:rPr>
                <w:rStyle w:val="13"/>
                <w:rFonts w:hint="default" w:ascii="Times New Roman" w:hAnsi="Times New Roman" w:cs="Times New Roman"/>
                <w:sz w:val="21"/>
                <w:szCs w:val="21"/>
                <w:lang w:val="en-US" w:eastAsia="zh-CN" w:bidi="ar"/>
              </w:rPr>
              <w:t>）推动粮食生产加工企业配备相应重金属检验标准所要求的仪器设备及对应的检测人员。年内辖区每增加一家重金属自检能力达标粮食生产加工企业加</w:t>
            </w:r>
            <w:r>
              <w:rPr>
                <w:rStyle w:val="14"/>
                <w:rFonts w:hint="default" w:ascii="Times New Roman" w:hAnsi="Times New Roman" w:eastAsia="宋体" w:cs="Times New Roman"/>
                <w:sz w:val="21"/>
                <w:szCs w:val="21"/>
                <w:lang w:val="en-US" w:eastAsia="zh-CN" w:bidi="ar"/>
              </w:rPr>
              <w:t>0.1</w:t>
            </w:r>
            <w:r>
              <w:rPr>
                <w:rStyle w:val="13"/>
                <w:rFonts w:hint="default" w:ascii="Times New Roman" w:hAnsi="Times New Roman" w:cs="Times New Roman"/>
                <w:sz w:val="21"/>
                <w:szCs w:val="21"/>
                <w:lang w:val="en-US" w:eastAsia="zh-CN" w:bidi="ar"/>
              </w:rPr>
              <w:t>分，累计加分不超过</w:t>
            </w:r>
            <w:r>
              <w:rPr>
                <w:rStyle w:val="14"/>
                <w:rFonts w:hint="default" w:ascii="Times New Roman" w:hAnsi="Times New Roman" w:eastAsia="宋体" w:cs="Times New Roman"/>
                <w:sz w:val="21"/>
                <w:szCs w:val="21"/>
                <w:lang w:val="en-US" w:eastAsia="zh-CN" w:bidi="ar"/>
              </w:rPr>
              <w:t>0.2</w:t>
            </w:r>
            <w:r>
              <w:rPr>
                <w:rStyle w:val="13"/>
                <w:rFonts w:hint="default" w:ascii="Times New Roman" w:hAnsi="Times New Roman" w:cs="Times New Roman"/>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1" w:type="dxa"/>
            <w:vMerge w:val="continue"/>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p>
        </w:tc>
        <w:tc>
          <w:tcPr>
            <w:tcW w:w="7838" w:type="dxa"/>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both"/>
              <w:textAlignment w:val="auto"/>
              <w:rPr>
                <w:rStyle w:val="13"/>
                <w:rFonts w:hint="default" w:ascii="Times New Roman" w:hAnsi="Times New Roman" w:cs="Times New Roman"/>
                <w:sz w:val="21"/>
                <w:szCs w:val="21"/>
                <w:lang w:val="en-US" w:eastAsia="zh-CN" w:bidi="ar"/>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6</w:t>
            </w:r>
            <w:r>
              <w:rPr>
                <w:rStyle w:val="13"/>
                <w:rFonts w:hint="default" w:ascii="Times New Roman" w:hAnsi="Times New Roman" w:cs="Times New Roman"/>
                <w:sz w:val="21"/>
                <w:szCs w:val="21"/>
                <w:lang w:val="en-US" w:eastAsia="zh-CN" w:bidi="ar"/>
              </w:rPr>
              <w:t>）当年引入资产总额</w:t>
            </w:r>
            <w:r>
              <w:rPr>
                <w:rStyle w:val="14"/>
                <w:rFonts w:hint="default" w:ascii="Times New Roman" w:hAnsi="Times New Roman" w:eastAsia="宋体" w:cs="Times New Roman"/>
                <w:sz w:val="21"/>
                <w:szCs w:val="21"/>
                <w:lang w:val="en-US" w:eastAsia="zh-CN" w:bidi="ar"/>
              </w:rPr>
              <w:t>5</w:t>
            </w:r>
            <w:r>
              <w:rPr>
                <w:rStyle w:val="13"/>
                <w:rFonts w:hint="default" w:ascii="Times New Roman" w:hAnsi="Times New Roman" w:cs="Times New Roman"/>
                <w:sz w:val="21"/>
                <w:szCs w:val="21"/>
                <w:lang w:val="en-US" w:eastAsia="zh-CN" w:bidi="ar"/>
              </w:rPr>
              <w:t>亿以上大型粮油企业投资，并提升全市粮油保供能力的，得</w:t>
            </w:r>
            <w:r>
              <w:rPr>
                <w:rStyle w:val="14"/>
                <w:rFonts w:hint="default" w:ascii="Times New Roman" w:hAnsi="Times New Roman" w:eastAsia="宋体" w:cs="Times New Roman"/>
                <w:sz w:val="21"/>
                <w:szCs w:val="21"/>
                <w:lang w:val="en-US" w:eastAsia="zh-CN" w:bidi="ar"/>
              </w:rPr>
              <w:t>0.3</w:t>
            </w:r>
            <w:r>
              <w:rPr>
                <w:rStyle w:val="13"/>
                <w:rFonts w:hint="default" w:ascii="Times New Roman" w:hAnsi="Times New Roman" w:cs="Times New Roman"/>
                <w:sz w:val="21"/>
                <w:szCs w:val="21"/>
                <w:lang w:val="en-US" w:eastAsia="zh-CN" w:bidi="ar"/>
              </w:rPr>
              <w:t>分，辖区内产品获得</w:t>
            </w:r>
            <w:r>
              <w:rPr>
                <w:rStyle w:val="14"/>
                <w:rFonts w:hint="default" w:ascii="Times New Roman" w:hAnsi="Times New Roman" w:eastAsia="宋体" w:cs="Times New Roman"/>
                <w:sz w:val="21"/>
                <w:szCs w:val="21"/>
                <w:lang w:val="en-US" w:eastAsia="zh-CN" w:bidi="ar"/>
              </w:rPr>
              <w:t>2022</w:t>
            </w:r>
            <w:r>
              <w:rPr>
                <w:rStyle w:val="13"/>
                <w:rFonts w:hint="default" w:ascii="Times New Roman" w:hAnsi="Times New Roman" w:cs="Times New Roman"/>
                <w:sz w:val="21"/>
                <w:szCs w:val="21"/>
                <w:lang w:val="en-US" w:eastAsia="zh-CN" w:bidi="ar"/>
              </w:rPr>
              <w:t>年</w:t>
            </w:r>
            <w:r>
              <w:rPr>
                <w:rStyle w:val="14"/>
                <w:rFonts w:hint="default" w:ascii="Times New Roman" w:hAnsi="Times New Roman" w:eastAsia="宋体" w:cs="Times New Roman"/>
                <w:sz w:val="21"/>
                <w:szCs w:val="21"/>
                <w:lang w:val="en-US" w:eastAsia="zh-CN" w:bidi="ar"/>
              </w:rPr>
              <w:t>“</w:t>
            </w:r>
            <w:r>
              <w:rPr>
                <w:rStyle w:val="13"/>
                <w:rFonts w:hint="default" w:ascii="Times New Roman" w:hAnsi="Times New Roman" w:cs="Times New Roman"/>
                <w:sz w:val="21"/>
                <w:szCs w:val="21"/>
                <w:lang w:val="en-US" w:eastAsia="zh-CN" w:bidi="ar"/>
              </w:rPr>
              <w:t>中国好粮油</w:t>
            </w:r>
            <w:r>
              <w:rPr>
                <w:rStyle w:val="14"/>
                <w:rFonts w:hint="default" w:ascii="Times New Roman" w:hAnsi="Times New Roman" w:eastAsia="宋体" w:cs="Times New Roman"/>
                <w:sz w:val="21"/>
                <w:szCs w:val="21"/>
                <w:lang w:val="en-US" w:eastAsia="zh-CN" w:bidi="ar"/>
              </w:rPr>
              <w:t>”</w:t>
            </w:r>
            <w:r>
              <w:rPr>
                <w:rStyle w:val="13"/>
                <w:rFonts w:hint="default" w:ascii="Times New Roman" w:hAnsi="Times New Roman" w:cs="Times New Roman"/>
                <w:sz w:val="21"/>
                <w:szCs w:val="21"/>
                <w:lang w:val="en-US" w:eastAsia="zh-CN" w:bidi="ar"/>
              </w:rPr>
              <w:t>称号的，得</w:t>
            </w:r>
            <w:r>
              <w:rPr>
                <w:rStyle w:val="14"/>
                <w:rFonts w:hint="default" w:ascii="Times New Roman" w:hAnsi="Times New Roman" w:eastAsia="宋体" w:cs="Times New Roman"/>
                <w:sz w:val="21"/>
                <w:szCs w:val="21"/>
                <w:lang w:val="en-US" w:eastAsia="zh-CN" w:bidi="ar"/>
              </w:rPr>
              <w:t>0.1</w:t>
            </w:r>
            <w:r>
              <w:rPr>
                <w:rStyle w:val="13"/>
                <w:rFonts w:hint="default" w:ascii="Times New Roman" w:hAnsi="Times New Roman" w:cs="Times New Roman"/>
                <w:sz w:val="21"/>
                <w:szCs w:val="21"/>
                <w:lang w:val="en-US" w:eastAsia="zh-CN" w:bidi="ar"/>
              </w:rPr>
              <w:t>分，累计加分不超过</w:t>
            </w:r>
            <w:r>
              <w:rPr>
                <w:rStyle w:val="14"/>
                <w:rFonts w:hint="default" w:ascii="Times New Roman" w:hAnsi="Times New Roman" w:eastAsia="宋体" w:cs="Times New Roman"/>
                <w:sz w:val="21"/>
                <w:szCs w:val="21"/>
                <w:lang w:val="en-US" w:eastAsia="zh-CN" w:bidi="ar"/>
              </w:rPr>
              <w:t>0.5</w:t>
            </w:r>
            <w:r>
              <w:rPr>
                <w:rStyle w:val="13"/>
                <w:rFonts w:hint="default" w:ascii="Times New Roman" w:hAnsi="Times New Roman" w:cs="Times New Roman"/>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01" w:type="dxa"/>
            <w:vMerge w:val="restar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r>
              <w:rPr>
                <w:rStyle w:val="13"/>
                <w:rFonts w:hint="default" w:ascii="Times New Roman" w:hAnsi="Times New Roman" w:cs="Times New Roman"/>
                <w:sz w:val="21"/>
                <w:szCs w:val="21"/>
                <w:lang w:val="en-US" w:eastAsia="zh-CN" w:bidi="ar"/>
              </w:rPr>
              <w:t>扣分项（累计不超过</w:t>
            </w:r>
            <w:r>
              <w:rPr>
                <w:rStyle w:val="14"/>
                <w:rFonts w:hint="default" w:ascii="Times New Roman" w:hAnsi="Times New Roman" w:eastAsia="宋体" w:cs="Times New Roman"/>
                <w:sz w:val="21"/>
                <w:szCs w:val="21"/>
                <w:lang w:val="en-US" w:eastAsia="zh-CN" w:bidi="ar"/>
              </w:rPr>
              <w:t>2</w:t>
            </w:r>
            <w:r>
              <w:rPr>
                <w:rStyle w:val="13"/>
                <w:rFonts w:hint="default" w:ascii="Times New Roman" w:hAnsi="Times New Roman" w:cs="Times New Roman"/>
                <w:sz w:val="21"/>
                <w:szCs w:val="21"/>
                <w:lang w:val="en-US" w:eastAsia="zh-CN" w:bidi="ar"/>
              </w:rPr>
              <w:t>分）</w:t>
            </w:r>
          </w:p>
        </w:tc>
        <w:tc>
          <w:tcPr>
            <w:tcW w:w="7838" w:type="dxa"/>
            <w:vAlign w:val="center"/>
          </w:tcPr>
          <w:p>
            <w:pPr>
              <w:keepNext w:val="0"/>
              <w:keepLines w:val="0"/>
              <w:pageBreakBefore w:val="0"/>
              <w:widowControl/>
              <w:suppressLineNumbers w:val="0"/>
              <w:kinsoku/>
              <w:wordWrap/>
              <w:overflowPunct/>
              <w:topLinePunct w:val="0"/>
              <w:bidi w:val="0"/>
              <w:snapToGrid w:val="0"/>
              <w:spacing w:line="240" w:lineRule="atLeast"/>
              <w:jc w:val="both"/>
              <w:textAlignment w:val="center"/>
              <w:rPr>
                <w:rFonts w:hint="default" w:ascii="Times New Roman" w:hAnsi="Times New Roman" w:eastAsia="宋体" w:cs="Times New Roman"/>
                <w:i w:val="0"/>
                <w:iCs w:val="0"/>
                <w:color w:val="000000"/>
                <w:kern w:val="2"/>
                <w:sz w:val="21"/>
                <w:szCs w:val="21"/>
                <w:u w:val="none"/>
                <w:lang w:val="en-US" w:eastAsia="zh-CN" w:bidi="ar-SA"/>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1</w:t>
            </w:r>
            <w:r>
              <w:rPr>
                <w:rStyle w:val="13"/>
                <w:rFonts w:hint="default" w:ascii="Times New Roman" w:hAnsi="Times New Roman" w:cs="Times New Roman"/>
                <w:sz w:val="21"/>
                <w:szCs w:val="21"/>
                <w:lang w:val="en-US" w:eastAsia="zh-CN" w:bidi="ar"/>
              </w:rPr>
              <w:t>）因区县落实耕地保护和粮食安全党政同责不到位，被市委、市政府通报批评的，国家粮食安全考核通报或向重庆市反馈考核存在问题的，对涉及的区县，每个问题扣</w:t>
            </w:r>
            <w:r>
              <w:rPr>
                <w:rStyle w:val="14"/>
                <w:rFonts w:hint="default" w:ascii="Times New Roman" w:hAnsi="Times New Roman" w:eastAsia="宋体" w:cs="Times New Roman"/>
                <w:sz w:val="21"/>
                <w:szCs w:val="21"/>
                <w:lang w:val="en-US" w:eastAsia="zh-CN" w:bidi="ar"/>
              </w:rPr>
              <w:t>0.2</w:t>
            </w:r>
            <w:r>
              <w:rPr>
                <w:rStyle w:val="13"/>
                <w:rFonts w:hint="default" w:ascii="Times New Roman" w:hAnsi="Times New Roman" w:cs="Times New Roman"/>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1" w:type="dxa"/>
            <w:vMerge w:val="continue"/>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p>
        </w:tc>
        <w:tc>
          <w:tcPr>
            <w:tcW w:w="7838" w:type="dxa"/>
            <w:vAlign w:val="center"/>
          </w:tcPr>
          <w:p>
            <w:pPr>
              <w:keepNext w:val="0"/>
              <w:keepLines w:val="0"/>
              <w:pageBreakBefore w:val="0"/>
              <w:widowControl/>
              <w:suppressLineNumbers w:val="0"/>
              <w:kinsoku/>
              <w:wordWrap/>
              <w:overflowPunct/>
              <w:topLinePunct w:val="0"/>
              <w:bidi w:val="0"/>
              <w:snapToGrid w:val="0"/>
              <w:spacing w:line="240" w:lineRule="atLeast"/>
              <w:jc w:val="both"/>
              <w:textAlignment w:val="center"/>
              <w:rPr>
                <w:rFonts w:hint="default" w:ascii="Times New Roman" w:hAnsi="Times New Roman" w:eastAsia="宋体" w:cs="Times New Roman"/>
                <w:i w:val="0"/>
                <w:iCs w:val="0"/>
                <w:color w:val="000000"/>
                <w:kern w:val="2"/>
                <w:sz w:val="21"/>
                <w:szCs w:val="21"/>
                <w:u w:val="none"/>
                <w:lang w:val="en-US" w:eastAsia="zh-CN" w:bidi="ar-SA"/>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2</w:t>
            </w:r>
            <w:r>
              <w:rPr>
                <w:rStyle w:val="13"/>
                <w:rFonts w:hint="default" w:ascii="Times New Roman" w:hAnsi="Times New Roman" w:cs="Times New Roman"/>
                <w:sz w:val="21"/>
                <w:szCs w:val="21"/>
                <w:lang w:val="en-US" w:eastAsia="zh-CN" w:bidi="ar"/>
              </w:rPr>
              <w:t>）区县所辖区域粮食安全有关工作（含超标粮食收购处置）发生重大负面影响事件，被中央主要媒体曝光，或引发网络媒体炒作，并核查属实的，每件次扣</w:t>
            </w:r>
            <w:r>
              <w:rPr>
                <w:rStyle w:val="14"/>
                <w:rFonts w:hint="default" w:ascii="Times New Roman" w:hAnsi="Times New Roman" w:eastAsia="宋体" w:cs="Times New Roman"/>
                <w:sz w:val="21"/>
                <w:szCs w:val="21"/>
                <w:lang w:val="en-US" w:eastAsia="zh-CN" w:bidi="ar"/>
              </w:rPr>
              <w:t>0.5</w:t>
            </w:r>
            <w:r>
              <w:rPr>
                <w:rStyle w:val="13"/>
                <w:rFonts w:hint="default" w:ascii="Times New Roman" w:hAnsi="Times New Roman" w:cs="Times New Roman"/>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1" w:type="dxa"/>
            <w:vMerge w:val="restart"/>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r>
              <w:rPr>
                <w:rStyle w:val="13"/>
                <w:rFonts w:hint="default" w:ascii="Times New Roman" w:hAnsi="Times New Roman" w:cs="Times New Roman"/>
                <w:sz w:val="21"/>
                <w:szCs w:val="21"/>
                <w:lang w:val="en-US" w:eastAsia="zh-CN" w:bidi="ar"/>
              </w:rPr>
              <w:t>否决项</w:t>
            </w:r>
          </w:p>
        </w:tc>
        <w:tc>
          <w:tcPr>
            <w:tcW w:w="7838" w:type="dxa"/>
            <w:vAlign w:val="center"/>
          </w:tcPr>
          <w:p>
            <w:pPr>
              <w:keepNext w:val="0"/>
              <w:keepLines w:val="0"/>
              <w:pageBreakBefore w:val="0"/>
              <w:widowControl/>
              <w:suppressLineNumbers w:val="0"/>
              <w:kinsoku/>
              <w:wordWrap/>
              <w:overflowPunct/>
              <w:topLinePunct w:val="0"/>
              <w:bidi w:val="0"/>
              <w:snapToGrid w:val="0"/>
              <w:spacing w:line="240" w:lineRule="atLeast"/>
              <w:jc w:val="both"/>
              <w:textAlignment w:val="center"/>
              <w:rPr>
                <w:rFonts w:hint="default" w:ascii="Times New Roman" w:hAnsi="Times New Roman" w:eastAsia="宋体" w:cs="Times New Roman"/>
                <w:i w:val="0"/>
                <w:iCs w:val="0"/>
                <w:color w:val="000000"/>
                <w:kern w:val="2"/>
                <w:sz w:val="21"/>
                <w:szCs w:val="21"/>
                <w:u w:val="none"/>
                <w:lang w:val="en-US" w:eastAsia="zh-CN" w:bidi="ar-SA"/>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1</w:t>
            </w:r>
            <w:r>
              <w:rPr>
                <w:rStyle w:val="13"/>
                <w:rFonts w:hint="default" w:ascii="Times New Roman" w:hAnsi="Times New Roman" w:cs="Times New Roman"/>
                <w:sz w:val="21"/>
                <w:szCs w:val="21"/>
                <w:lang w:val="en-US" w:eastAsia="zh-CN" w:bidi="ar"/>
              </w:rPr>
              <w:t>）本地区耕地保有量或永久基本农田保护任务落实不到位的；未落实耕地占补平衡、进出平衡的；年度内本地区违法占用耕地问题突出的。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001" w:type="dxa"/>
            <w:vMerge w:val="continue"/>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p>
        </w:tc>
        <w:tc>
          <w:tcPr>
            <w:tcW w:w="7838" w:type="dxa"/>
            <w:vAlign w:val="center"/>
          </w:tcPr>
          <w:p>
            <w:pPr>
              <w:keepNext w:val="0"/>
              <w:keepLines w:val="0"/>
              <w:pageBreakBefore w:val="0"/>
              <w:widowControl/>
              <w:suppressLineNumbers w:val="0"/>
              <w:kinsoku/>
              <w:wordWrap/>
              <w:overflowPunct/>
              <w:topLinePunct w:val="0"/>
              <w:bidi w:val="0"/>
              <w:snapToGrid w:val="0"/>
              <w:spacing w:line="240" w:lineRule="atLeast"/>
              <w:jc w:val="both"/>
              <w:textAlignment w:val="center"/>
              <w:rPr>
                <w:rFonts w:hint="default" w:ascii="Times New Roman" w:hAnsi="Times New Roman" w:eastAsia="宋体" w:cs="Times New Roman"/>
                <w:i w:val="0"/>
                <w:iCs w:val="0"/>
                <w:color w:val="000000"/>
                <w:kern w:val="2"/>
                <w:sz w:val="21"/>
                <w:szCs w:val="21"/>
                <w:u w:val="none"/>
                <w:lang w:val="en-US" w:eastAsia="zh-CN" w:bidi="ar-SA"/>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2</w:t>
            </w:r>
            <w:r>
              <w:rPr>
                <w:rStyle w:val="13"/>
                <w:rFonts w:hint="default" w:ascii="Times New Roman" w:hAnsi="Times New Roman" w:cs="Times New Roman"/>
                <w:sz w:val="21"/>
                <w:szCs w:val="21"/>
                <w:lang w:val="en-US" w:eastAsia="zh-CN" w:bidi="ar"/>
              </w:rPr>
              <w:t>）非因不可抗力因素影响，未严格落实市里下达的粮食生产目标任务（第三类区除外），导致本地区粮食播种面积少于市级确定的任务面积超过（含）</w:t>
            </w:r>
            <w:r>
              <w:rPr>
                <w:rStyle w:val="14"/>
                <w:rFonts w:hint="default" w:ascii="Times New Roman" w:hAnsi="Times New Roman" w:eastAsia="宋体" w:cs="Times New Roman"/>
                <w:sz w:val="21"/>
                <w:szCs w:val="21"/>
                <w:lang w:val="en-US" w:eastAsia="zh-CN" w:bidi="ar"/>
              </w:rPr>
              <w:t>1%</w:t>
            </w:r>
            <w:r>
              <w:rPr>
                <w:rStyle w:val="13"/>
                <w:rFonts w:hint="default" w:ascii="Times New Roman" w:hAnsi="Times New Roman" w:cs="Times New Roman"/>
                <w:sz w:val="21"/>
                <w:szCs w:val="21"/>
                <w:lang w:val="en-US" w:eastAsia="zh-CN" w:bidi="ar"/>
              </w:rPr>
              <w:t>的；或者非因不可抗力因素影响或全市种植业结构调整，造成粮食产量低于市级确定的任务产量超过（含）</w:t>
            </w:r>
            <w:r>
              <w:rPr>
                <w:rStyle w:val="14"/>
                <w:rFonts w:hint="default" w:ascii="Times New Roman" w:hAnsi="Times New Roman" w:eastAsia="宋体" w:cs="Times New Roman"/>
                <w:sz w:val="21"/>
                <w:szCs w:val="21"/>
                <w:lang w:val="en-US" w:eastAsia="zh-CN" w:bidi="ar"/>
              </w:rPr>
              <w:t>3%</w:t>
            </w:r>
            <w:r>
              <w:rPr>
                <w:rStyle w:val="13"/>
                <w:rFonts w:hint="default" w:ascii="Times New Roman" w:hAnsi="Times New Roman" w:cs="Times New Roman"/>
                <w:sz w:val="21"/>
                <w:szCs w:val="21"/>
                <w:lang w:val="en-US" w:eastAsia="zh-CN" w:bidi="ar"/>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01" w:type="dxa"/>
            <w:vMerge w:val="continue"/>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p>
        </w:tc>
        <w:tc>
          <w:tcPr>
            <w:tcW w:w="7838" w:type="dxa"/>
            <w:vAlign w:val="center"/>
          </w:tcPr>
          <w:p>
            <w:pPr>
              <w:keepNext w:val="0"/>
              <w:keepLines w:val="0"/>
              <w:pageBreakBefore w:val="0"/>
              <w:widowControl/>
              <w:suppressLineNumbers w:val="0"/>
              <w:kinsoku/>
              <w:wordWrap/>
              <w:overflowPunct/>
              <w:topLinePunct w:val="0"/>
              <w:bidi w:val="0"/>
              <w:snapToGrid w:val="0"/>
              <w:spacing w:line="240" w:lineRule="atLeast"/>
              <w:jc w:val="both"/>
              <w:textAlignment w:val="center"/>
              <w:rPr>
                <w:rFonts w:hint="default" w:ascii="Times New Roman" w:hAnsi="Times New Roman" w:eastAsia="宋体" w:cs="Times New Roman"/>
                <w:i w:val="0"/>
                <w:iCs w:val="0"/>
                <w:color w:val="000000"/>
                <w:kern w:val="2"/>
                <w:sz w:val="21"/>
                <w:szCs w:val="21"/>
                <w:u w:val="none"/>
                <w:lang w:val="en-US" w:eastAsia="zh-CN" w:bidi="ar-SA"/>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3</w:t>
            </w:r>
            <w:r>
              <w:rPr>
                <w:rStyle w:val="13"/>
                <w:rFonts w:hint="default" w:ascii="Times New Roman" w:hAnsi="Times New Roman" w:cs="Times New Roman"/>
                <w:sz w:val="21"/>
                <w:szCs w:val="21"/>
                <w:lang w:val="en-US" w:eastAsia="zh-CN" w:bidi="ar"/>
              </w:rPr>
              <w:t>）非因不可抗力因素影响，未按照国家宏观调控要求和粮食安全形势，落实种植业结构和布局调整任务不到位，大豆、油菜等重点作物年度生产任务完成低于实际下达任务超过（含）</w:t>
            </w:r>
            <w:r>
              <w:rPr>
                <w:rStyle w:val="14"/>
                <w:rFonts w:hint="default" w:ascii="Times New Roman" w:hAnsi="Times New Roman" w:eastAsia="宋体" w:cs="Times New Roman"/>
                <w:sz w:val="21"/>
                <w:szCs w:val="21"/>
                <w:lang w:val="en-US" w:eastAsia="zh-CN" w:bidi="ar"/>
              </w:rPr>
              <w:t>1%</w:t>
            </w:r>
            <w:r>
              <w:rPr>
                <w:rStyle w:val="13"/>
                <w:rFonts w:hint="default" w:ascii="Times New Roman" w:hAnsi="Times New Roman" w:cs="Times New Roman"/>
                <w:sz w:val="21"/>
                <w:szCs w:val="21"/>
                <w:lang w:val="en-US" w:eastAsia="zh-CN" w:bidi="ar"/>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001" w:type="dxa"/>
            <w:vMerge w:val="continue"/>
            <w:vAlign w:val="center"/>
          </w:tcPr>
          <w:p>
            <w:pPr>
              <w:pStyle w:val="11"/>
              <w:keepNext w:val="0"/>
              <w:keepLines w:val="0"/>
              <w:pageBreakBefore w:val="0"/>
              <w:widowControl w:val="0"/>
              <w:kinsoku/>
              <w:wordWrap/>
              <w:overflowPunct/>
              <w:topLinePunct w:val="0"/>
              <w:autoSpaceDE w:val="0"/>
              <w:autoSpaceDN w:val="0"/>
              <w:bidi w:val="0"/>
              <w:adjustRightInd w:val="0"/>
              <w:snapToGrid w:val="0"/>
              <w:spacing w:line="240" w:lineRule="atLeast"/>
              <w:jc w:val="center"/>
              <w:textAlignment w:val="auto"/>
              <w:rPr>
                <w:rFonts w:hint="default" w:ascii="Times New Roman" w:hAnsi="Times New Roman" w:eastAsia="方正仿宋_GBK" w:cs="Times New Roman"/>
                <w:sz w:val="21"/>
                <w:szCs w:val="21"/>
                <w:vertAlign w:val="baseline"/>
                <w:lang w:eastAsia="zh-CN"/>
              </w:rPr>
            </w:pPr>
          </w:p>
        </w:tc>
        <w:tc>
          <w:tcPr>
            <w:tcW w:w="7838" w:type="dxa"/>
            <w:vAlign w:val="center"/>
          </w:tcPr>
          <w:p>
            <w:pPr>
              <w:keepNext w:val="0"/>
              <w:keepLines w:val="0"/>
              <w:pageBreakBefore w:val="0"/>
              <w:widowControl/>
              <w:suppressLineNumbers w:val="0"/>
              <w:kinsoku/>
              <w:wordWrap/>
              <w:overflowPunct/>
              <w:topLinePunct w:val="0"/>
              <w:bidi w:val="0"/>
              <w:snapToGrid w:val="0"/>
              <w:spacing w:line="240" w:lineRule="atLeast"/>
              <w:jc w:val="both"/>
              <w:textAlignment w:val="center"/>
              <w:rPr>
                <w:rFonts w:hint="default" w:ascii="Times New Roman" w:hAnsi="Times New Roman" w:eastAsia="宋体" w:cs="Times New Roman"/>
                <w:i w:val="0"/>
                <w:iCs w:val="0"/>
                <w:color w:val="000000"/>
                <w:kern w:val="2"/>
                <w:sz w:val="21"/>
                <w:szCs w:val="21"/>
                <w:u w:val="none"/>
                <w:lang w:val="en-US" w:eastAsia="zh-CN" w:bidi="ar-SA"/>
              </w:rPr>
            </w:pPr>
            <w:r>
              <w:rPr>
                <w:rStyle w:val="13"/>
                <w:rFonts w:hint="default" w:ascii="Times New Roman" w:hAnsi="Times New Roman" w:cs="Times New Roman"/>
                <w:sz w:val="21"/>
                <w:szCs w:val="21"/>
                <w:lang w:val="en-US" w:eastAsia="zh-CN" w:bidi="ar"/>
              </w:rPr>
              <w:t>（</w:t>
            </w:r>
            <w:r>
              <w:rPr>
                <w:rStyle w:val="14"/>
                <w:rFonts w:hint="default" w:ascii="Times New Roman" w:hAnsi="Times New Roman" w:eastAsia="宋体" w:cs="Times New Roman"/>
                <w:sz w:val="21"/>
                <w:szCs w:val="21"/>
                <w:lang w:val="en-US" w:eastAsia="zh-CN" w:bidi="ar"/>
              </w:rPr>
              <w:t>4</w:t>
            </w:r>
            <w:r>
              <w:rPr>
                <w:rStyle w:val="13"/>
                <w:rFonts w:hint="default" w:ascii="Times New Roman" w:hAnsi="Times New Roman" w:cs="Times New Roman"/>
                <w:sz w:val="21"/>
                <w:szCs w:val="21"/>
                <w:lang w:val="en-US" w:eastAsia="zh-CN" w:bidi="ar"/>
              </w:rPr>
              <w:t>）与粮食安全有关工作被党中央、国务院通报批评的。</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640"/>
        <w:jc w:val="center"/>
        <w:textAlignment w:val="auto"/>
        <w:rPr>
          <w:rFonts w:hint="default" w:ascii="Times New Roman" w:hAnsi="Times New Roman" w:eastAsia="方正仿宋_GBK"/>
          <w:sz w:val="32"/>
          <w:szCs w:val="32"/>
          <w:lang w:val="en-US" w:eastAsia="zh-CN"/>
        </w:rPr>
      </w:pPr>
    </w:p>
    <w:sectPr>
      <w:pgSz w:w="11906" w:h="16838"/>
      <w:pgMar w:top="2098" w:right="1474" w:bottom="1984" w:left="1587" w:header="851" w:footer="1474"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dit="readOnly"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ZDJlMDNjMjVlZjIwOGI4ZGVjYjk1ZDI5MjQzNzAifQ=="/>
  </w:docVars>
  <w:rsids>
    <w:rsidRoot w:val="39380022"/>
    <w:rsid w:val="17EF074A"/>
    <w:rsid w:val="279A1B15"/>
    <w:rsid w:val="39380022"/>
    <w:rsid w:val="40347631"/>
    <w:rsid w:val="4DBB9890"/>
    <w:rsid w:val="53FD7B11"/>
    <w:rsid w:val="57CF0C05"/>
    <w:rsid w:val="57F87E7D"/>
    <w:rsid w:val="5BB536DA"/>
    <w:rsid w:val="5DFBC2AA"/>
    <w:rsid w:val="5FA35C03"/>
    <w:rsid w:val="66291C56"/>
    <w:rsid w:val="6AFE54E3"/>
    <w:rsid w:val="6B310B58"/>
    <w:rsid w:val="6DF79587"/>
    <w:rsid w:val="6F37DBD3"/>
    <w:rsid w:val="74FD4363"/>
    <w:rsid w:val="76F7BD5A"/>
    <w:rsid w:val="795D5151"/>
    <w:rsid w:val="79FBB2A9"/>
    <w:rsid w:val="7CEE9A44"/>
    <w:rsid w:val="7ED1644A"/>
    <w:rsid w:val="7FDFCC50"/>
    <w:rsid w:val="7FFFA9E4"/>
    <w:rsid w:val="977B7C75"/>
    <w:rsid w:val="A7769E95"/>
    <w:rsid w:val="B6FE6E5A"/>
    <w:rsid w:val="B98F7DF2"/>
    <w:rsid w:val="D6EA78F3"/>
    <w:rsid w:val="DA7EF791"/>
    <w:rsid w:val="DE7BCF94"/>
    <w:rsid w:val="E6AF3AA7"/>
    <w:rsid w:val="EF45CB1B"/>
    <w:rsid w:val="FBF4360B"/>
    <w:rsid w:val="FBFF0E89"/>
    <w:rsid w:val="FCFB0A88"/>
    <w:rsid w:val="FD9B82EC"/>
    <w:rsid w:val="FDEF899D"/>
    <w:rsid w:val="FDF57F76"/>
    <w:rsid w:val="FF6FA619"/>
    <w:rsid w:val="FF7F1F71"/>
    <w:rsid w:val="FFFF3D08"/>
    <w:rsid w:val="FFFF7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color w:val="333333"/>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Times New Roman" w:hAnsi="Times New Roman" w:eastAsia="方正仿宋_GBK" w:cs="Times New Roman"/>
      <w:sz w:val="32"/>
      <w:szCs w:val="20"/>
    </w:rPr>
  </w:style>
  <w:style w:type="paragraph" w:styleId="4">
    <w:name w:val="Balloon Text"/>
    <w:basedOn w:val="1"/>
    <w:semiHidden/>
    <w:qFormat/>
    <w:uiPriority w:val="0"/>
    <w:rPr>
      <w:rFonts w:ascii="Times New Roman" w:hAnsi="Times New Roman" w:eastAsia="方正仿宋_GBK" w:cs="Times New Roman"/>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rPr>
      <w:rFonts w:ascii="Times New Roman" w:hAnsi="Times New Roman" w:eastAsia="宋体" w:cs="Times New Roman"/>
    </w:rPr>
  </w:style>
  <w:style w:type="paragraph" w:customStyle="1" w:styleId="11">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12">
    <w:name w:val="font21"/>
    <w:basedOn w:val="9"/>
    <w:qFormat/>
    <w:uiPriority w:val="0"/>
    <w:rPr>
      <w:rFonts w:ascii="方正小标宋_GBK" w:hAnsi="方正小标宋_GBK" w:eastAsia="方正小标宋_GBK" w:cs="方正小标宋_GBK"/>
      <w:color w:val="000000"/>
      <w:sz w:val="40"/>
      <w:szCs w:val="40"/>
      <w:u w:val="none"/>
    </w:rPr>
  </w:style>
  <w:style w:type="character" w:customStyle="1" w:styleId="13">
    <w:name w:val="font71"/>
    <w:basedOn w:val="9"/>
    <w:qFormat/>
    <w:uiPriority w:val="0"/>
    <w:rPr>
      <w:rFonts w:ascii="方正仿宋_GBK" w:hAnsi="方正仿宋_GBK" w:eastAsia="方正仿宋_GBK" w:cs="方正仿宋_GBK"/>
      <w:color w:val="000000"/>
      <w:sz w:val="22"/>
      <w:szCs w:val="22"/>
      <w:u w:val="none"/>
    </w:rPr>
  </w:style>
  <w:style w:type="character" w:customStyle="1" w:styleId="14">
    <w:name w:val="font51"/>
    <w:basedOn w:val="9"/>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Words>
  <Characters>11</Characters>
  <Lines>1</Lines>
  <Paragraphs>1</Paragraphs>
  <TotalTime>4</TotalTime>
  <ScaleCrop>false</ScaleCrop>
  <LinksUpToDate>false</LinksUpToDate>
  <CharactersWithSpaces>11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2015-06-09T08:09:00Z</dcterms:created>
  <dc:creator>Lenovo User</dc:creator>
  <cp:lastModifiedBy> </cp:lastModifiedBy>
  <cp:lastPrinted>2012-10-29T01:03:00Z</cp:lastPrinted>
  <dcterms:modified xsi:type="dcterms:W3CDTF">2023-02-10T16:41:09Z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13DD549699DD4C6E9C20E9226B1BCE8F</vt:lpwstr>
  </property>
</Properties>
</file>