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方正小标宋_GBK"/>
          <w:color w:val="000000"/>
          <w:spacing w:val="-2"/>
          <w:sz w:val="23"/>
          <w:szCs w:val="23"/>
        </w:rPr>
      </w:pPr>
    </w:p>
    <w:p>
      <w:pPr>
        <w:spacing w:line="560" w:lineRule="exact"/>
        <w:jc w:val="center"/>
        <w:rPr>
          <w:rFonts w:hint="eastAsia" w:eastAsia="方正小标宋_GBK"/>
          <w:color w:val="000000"/>
          <w:spacing w:val="-2"/>
          <w:sz w:val="36"/>
          <w:szCs w:val="36"/>
        </w:rPr>
      </w:pPr>
      <w:r>
        <w:rPr>
          <w:rFonts w:hint="eastAsia" w:eastAsia="方正小标宋_GBK"/>
          <w:color w:val="000000"/>
          <w:spacing w:val="-2"/>
          <w:sz w:val="36"/>
          <w:szCs w:val="36"/>
        </w:rPr>
        <w:t>重庆市林业局  重庆市发展改革委</w:t>
      </w:r>
    </w:p>
    <w:p>
      <w:pPr>
        <w:spacing w:line="560" w:lineRule="exact"/>
        <w:jc w:val="center"/>
        <w:rPr>
          <w:rFonts w:eastAsia="方正小标宋_GBK"/>
          <w:color w:val="000000"/>
          <w:spacing w:val="-2"/>
          <w:sz w:val="36"/>
          <w:szCs w:val="36"/>
        </w:rPr>
      </w:pPr>
      <w:r>
        <w:rPr>
          <w:rFonts w:hint="eastAsia" w:eastAsia="方正小标宋_GBK"/>
          <w:color w:val="000000"/>
          <w:spacing w:val="-2"/>
          <w:sz w:val="36"/>
          <w:szCs w:val="36"/>
        </w:rPr>
        <w:t>重庆市财政局  重庆市规划自然资源局</w:t>
      </w:r>
    </w:p>
    <w:p>
      <w:pPr>
        <w:spacing w:line="560" w:lineRule="exact"/>
        <w:jc w:val="center"/>
        <w:rPr>
          <w:rFonts w:eastAsia="方正小标宋_GBK"/>
          <w:color w:val="000000"/>
          <w:spacing w:val="-2"/>
          <w:sz w:val="36"/>
          <w:szCs w:val="36"/>
        </w:rPr>
      </w:pPr>
      <w:r>
        <w:rPr>
          <w:rFonts w:hint="eastAsia" w:eastAsia="方正小标宋_GBK"/>
          <w:color w:val="000000"/>
          <w:spacing w:val="-2"/>
          <w:sz w:val="36"/>
          <w:szCs w:val="36"/>
        </w:rPr>
        <w:t>关于新一轮退耕还林还草的实施意见</w:t>
      </w:r>
    </w:p>
    <w:p>
      <w:pPr>
        <w:spacing w:line="400" w:lineRule="exact"/>
        <w:jc w:val="center"/>
        <w:rPr>
          <w:rFonts w:ascii="方正楷体_GBK" w:hAnsi="方正楷体_GBK" w:eastAsia="方正楷体_GBK" w:cs="方正楷体_GBK"/>
          <w:color w:val="000000"/>
          <w:spacing w:val="-2"/>
          <w:sz w:val="23"/>
          <w:szCs w:val="23"/>
        </w:rPr>
      </w:pPr>
      <w:r>
        <w:rPr>
          <w:rFonts w:hint="eastAsia" w:ascii="方正楷体_GBK" w:hAnsi="方正楷体_GBK" w:eastAsia="方正楷体_GBK" w:cs="方正楷体_GBK"/>
          <w:color w:val="000000"/>
          <w:spacing w:val="-2"/>
          <w:sz w:val="23"/>
          <w:szCs w:val="23"/>
        </w:rPr>
        <w:t>渝林规范〔</w:t>
      </w:r>
      <w:r>
        <w:rPr>
          <w:rFonts w:ascii="方正楷体_GBK" w:hAnsi="方正楷体_GBK" w:eastAsia="方正楷体_GBK" w:cs="方正楷体_GBK"/>
          <w:color w:val="000000"/>
          <w:spacing w:val="-2"/>
          <w:sz w:val="23"/>
          <w:szCs w:val="23"/>
        </w:rPr>
        <w:t>2019</w:t>
      </w:r>
      <w:r>
        <w:rPr>
          <w:rFonts w:hint="eastAsia" w:ascii="方正楷体_GBK" w:hAnsi="方正楷体_GBK" w:eastAsia="方正楷体_GBK" w:cs="方正楷体_GBK"/>
          <w:color w:val="000000"/>
          <w:spacing w:val="-2"/>
          <w:sz w:val="23"/>
          <w:szCs w:val="23"/>
        </w:rPr>
        <w:t>〕</w:t>
      </w:r>
      <w:r>
        <w:rPr>
          <w:rFonts w:ascii="方正楷体_GBK" w:hAnsi="方正楷体_GBK" w:eastAsia="方正楷体_GBK" w:cs="方正楷体_GBK"/>
          <w:color w:val="000000"/>
          <w:spacing w:val="-2"/>
          <w:sz w:val="23"/>
          <w:szCs w:val="23"/>
        </w:rPr>
        <w:t>1</w:t>
      </w:r>
      <w:r>
        <w:rPr>
          <w:rFonts w:hint="eastAsia" w:ascii="方正楷体_GBK" w:hAnsi="方正楷体_GBK" w:eastAsia="方正楷体_GBK" w:cs="方正楷体_GBK"/>
          <w:color w:val="000000"/>
          <w:spacing w:val="-2"/>
          <w:sz w:val="23"/>
          <w:szCs w:val="23"/>
        </w:rPr>
        <w:t>号</w:t>
      </w:r>
    </w:p>
    <w:p>
      <w:pPr>
        <w:spacing w:line="400" w:lineRule="exact"/>
        <w:rPr>
          <w:rFonts w:eastAsia="方正仿宋_GBK"/>
          <w:color w:val="000000"/>
          <w:spacing w:val="-2"/>
          <w:sz w:val="23"/>
          <w:szCs w:val="23"/>
        </w:rPr>
      </w:pPr>
    </w:p>
    <w:p>
      <w:pPr>
        <w:adjustRightInd w:val="0"/>
        <w:snapToGrid w:val="0"/>
        <w:spacing w:line="400" w:lineRule="exact"/>
        <w:rPr>
          <w:rFonts w:cs="方正仿宋_GBK"/>
          <w:color w:val="000000"/>
          <w:spacing w:val="-2"/>
          <w:kern w:val="0"/>
          <w:sz w:val="23"/>
          <w:szCs w:val="23"/>
        </w:rPr>
      </w:pPr>
      <w:r>
        <w:rPr>
          <w:rFonts w:hint="eastAsia" w:cs="方正仿宋_GBK"/>
          <w:color w:val="000000"/>
          <w:spacing w:val="-2"/>
          <w:kern w:val="0"/>
          <w:sz w:val="23"/>
          <w:szCs w:val="23"/>
        </w:rPr>
        <w:t>各区县（自治县）人民政府，万盛经开区管委会：</w:t>
      </w:r>
    </w:p>
    <w:p>
      <w:pPr>
        <w:tabs>
          <w:tab w:val="left" w:pos="567"/>
          <w:tab w:val="left" w:pos="709"/>
        </w:tabs>
        <w:adjustRightInd w:val="0"/>
        <w:snapToGrid w:val="0"/>
        <w:spacing w:line="400"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为贯彻落实国家新一轮退耕还林还草决策部署，加快筑牢长江上游重要生态屏障和建设山清水秀美丽之地，经市政府同意，现就新一轮退耕还林还草提出如下实施意见：</w:t>
      </w:r>
    </w:p>
    <w:p>
      <w:pPr>
        <w:adjustRightInd w:val="0"/>
        <w:snapToGrid w:val="0"/>
        <w:spacing w:line="400" w:lineRule="exact"/>
        <w:ind w:firstLine="452" w:firstLineChars="200"/>
        <w:rPr>
          <w:rFonts w:eastAsia="方正黑体_GBK" w:cs="方正黑体_GBK"/>
          <w:color w:val="000000"/>
          <w:spacing w:val="-2"/>
          <w:kern w:val="0"/>
          <w:sz w:val="23"/>
          <w:szCs w:val="23"/>
        </w:rPr>
      </w:pPr>
      <w:r>
        <w:rPr>
          <w:rFonts w:hint="eastAsia" w:eastAsia="方正黑体_GBK" w:cs="方正黑体_GBK"/>
          <w:color w:val="000000"/>
          <w:spacing w:val="-2"/>
          <w:kern w:val="0"/>
          <w:sz w:val="23"/>
          <w:szCs w:val="23"/>
        </w:rPr>
        <w:t>一、总体要求</w:t>
      </w:r>
    </w:p>
    <w:p>
      <w:pPr>
        <w:adjustRightInd w:val="0"/>
        <w:snapToGrid w:val="0"/>
        <w:spacing w:line="400"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（一）指导思想</w:t>
      </w:r>
    </w:p>
    <w:p>
      <w:pPr>
        <w:adjustRightInd w:val="0"/>
        <w:snapToGrid w:val="0"/>
        <w:spacing w:line="400"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以习近平新时代中国特色社会主义思想为指导，全面贯彻落实习近平总书记视察重庆重要讲话精神，以推进长江上游重要生态屏障和山清水秀美丽之地建设为总目标，以改善生态环境、改善民生为总任务，加强统筹规划和政策导向，完善管理机制，发展特色产业，增加森林资源，提高生态质量，有效治理水土流失，为保护三峡库区生态安全和全面建成长江上游重要生态屏障作出更大贡献。</w:t>
      </w:r>
    </w:p>
    <w:p>
      <w:pPr>
        <w:adjustRightInd w:val="0"/>
        <w:snapToGrid w:val="0"/>
        <w:spacing w:line="400"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（二）基本原则</w:t>
      </w:r>
    </w:p>
    <w:p>
      <w:pPr>
        <w:adjustRightInd w:val="0"/>
        <w:snapToGrid w:val="0"/>
        <w:spacing w:line="400"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1. </w:t>
      </w:r>
      <w:r>
        <w:rPr>
          <w:rFonts w:hint="eastAsia" w:cs="方正仿宋_GBK"/>
          <w:color w:val="000000"/>
          <w:spacing w:val="-2"/>
          <w:kern w:val="0"/>
          <w:sz w:val="23"/>
          <w:szCs w:val="23"/>
        </w:rPr>
        <w:t>农民自愿，政府引导。充分尊重农民意愿，退不退耕，还林还是还草，由农民自己决定。各区县（自治县）人民政府要加强政策、规划引导，把退耕还林还草与推进农民增收相结合，在保护中发展，在发展中保护。</w:t>
      </w:r>
    </w:p>
    <w:p>
      <w:pPr>
        <w:adjustRightInd w:val="0"/>
        <w:snapToGrid w:val="0"/>
        <w:spacing w:line="400"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2. </w:t>
      </w:r>
      <w:r>
        <w:rPr>
          <w:rFonts w:hint="eastAsia" w:cs="方正仿宋_GBK"/>
          <w:color w:val="000000"/>
          <w:spacing w:val="-2"/>
          <w:kern w:val="0"/>
          <w:sz w:val="23"/>
          <w:szCs w:val="23"/>
        </w:rPr>
        <w:t>尊重规律，因地制宜。根据不同地理、气候和立地条件，结合区县（自治县）农业产业布局，宜乔则乔，宜灌则灌，宜草则草，不限定生态林与经济林比例，引导发展特色经济林木。</w:t>
      </w:r>
    </w:p>
    <w:p>
      <w:pPr>
        <w:adjustRightInd w:val="0"/>
        <w:snapToGrid w:val="0"/>
        <w:spacing w:line="400"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3. </w:t>
      </w:r>
      <w:r>
        <w:rPr>
          <w:rFonts w:hint="eastAsia" w:cs="方正仿宋_GBK"/>
          <w:color w:val="000000"/>
          <w:spacing w:val="-2"/>
          <w:kern w:val="0"/>
          <w:sz w:val="23"/>
          <w:szCs w:val="23"/>
        </w:rPr>
        <w:t>严格范围，稳步推进。退耕还林还草依据全国土地调查和年度变更调查成果，严格限定在不能实现水土保持的</w:t>
      </w:r>
      <w:r>
        <w:rPr>
          <w:rFonts w:cs="方正仿宋_GBK"/>
          <w:color w:val="000000"/>
          <w:spacing w:val="-2"/>
          <w:kern w:val="0"/>
          <w:sz w:val="23"/>
          <w:szCs w:val="23"/>
        </w:rPr>
        <w:t>25</w:t>
      </w:r>
      <w:r>
        <w:rPr>
          <w:rFonts w:hint="eastAsia" w:cs="方正仿宋_GBK"/>
          <w:color w:val="000000"/>
          <w:spacing w:val="-2"/>
          <w:kern w:val="0"/>
          <w:sz w:val="23"/>
          <w:szCs w:val="23"/>
        </w:rPr>
        <w:t>度以上坡耕地、重要水源地</w:t>
      </w:r>
      <w:r>
        <w:rPr>
          <w:rFonts w:cs="方正仿宋_GBK"/>
          <w:color w:val="000000"/>
          <w:spacing w:val="-2"/>
          <w:kern w:val="0"/>
          <w:sz w:val="23"/>
          <w:szCs w:val="23"/>
        </w:rPr>
        <w:t>15—25</w:t>
      </w:r>
      <w:r>
        <w:rPr>
          <w:rFonts w:hint="eastAsia" w:cs="方正仿宋_GBK"/>
          <w:color w:val="000000"/>
          <w:spacing w:val="-2"/>
          <w:kern w:val="0"/>
          <w:sz w:val="23"/>
          <w:szCs w:val="23"/>
        </w:rPr>
        <w:t>度坡耕地、严重石漠化耕地、严重污染耕地和移民搬迁后确实无法耕种的耕地实施，要根据流域、区域的特点，合理安排规模和进度。</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4. </w:t>
      </w:r>
      <w:r>
        <w:rPr>
          <w:rFonts w:hint="eastAsia" w:cs="方正仿宋_GBK"/>
          <w:color w:val="000000"/>
          <w:spacing w:val="-2"/>
          <w:kern w:val="0"/>
          <w:sz w:val="23"/>
          <w:szCs w:val="23"/>
        </w:rPr>
        <w:t>加强监管，确保质量。建立健全退耕还林还草检查监督机制，对工程实施的全过程实行有效监管。加强建档建制等基础工作，提高规范化管理水平。</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（三）总体目标</w:t>
      </w:r>
    </w:p>
    <w:p>
      <w:pPr>
        <w:adjustRightInd w:val="0"/>
        <w:snapToGrid w:val="0"/>
        <w:spacing w:line="404"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到</w:t>
      </w:r>
      <w:r>
        <w:rPr>
          <w:rFonts w:cs="方正仿宋_GBK"/>
          <w:color w:val="000000"/>
          <w:spacing w:val="-2"/>
          <w:kern w:val="0"/>
          <w:sz w:val="23"/>
          <w:szCs w:val="23"/>
        </w:rPr>
        <w:t>2030</w:t>
      </w:r>
      <w:r>
        <w:rPr>
          <w:rFonts w:hint="eastAsia" w:cs="方正仿宋_GBK"/>
          <w:color w:val="000000"/>
          <w:spacing w:val="-2"/>
          <w:kern w:val="0"/>
          <w:sz w:val="23"/>
          <w:szCs w:val="23"/>
        </w:rPr>
        <w:t>年，按照国家发展改革委等部委批复的实施规模，对全市不能实现水土保持的</w:t>
      </w:r>
      <w:r>
        <w:rPr>
          <w:rFonts w:cs="方正仿宋_GBK"/>
          <w:color w:val="000000"/>
          <w:spacing w:val="-2"/>
          <w:kern w:val="0"/>
          <w:sz w:val="23"/>
          <w:szCs w:val="23"/>
        </w:rPr>
        <w:t>25</w:t>
      </w:r>
      <w:r>
        <w:rPr>
          <w:rFonts w:hint="eastAsia" w:cs="方正仿宋_GBK"/>
          <w:color w:val="000000"/>
          <w:spacing w:val="-2"/>
          <w:kern w:val="0"/>
          <w:sz w:val="23"/>
          <w:szCs w:val="23"/>
        </w:rPr>
        <w:t>度以上坡耕地、重要水源地</w:t>
      </w:r>
      <w:r>
        <w:rPr>
          <w:rFonts w:cs="方正仿宋_GBK"/>
          <w:color w:val="000000"/>
          <w:spacing w:val="-2"/>
          <w:kern w:val="0"/>
          <w:sz w:val="23"/>
          <w:szCs w:val="23"/>
        </w:rPr>
        <w:t>15—25</w:t>
      </w:r>
      <w:r>
        <w:rPr>
          <w:rFonts w:hint="eastAsia" w:cs="方正仿宋_GBK"/>
          <w:color w:val="000000"/>
          <w:spacing w:val="-2"/>
          <w:kern w:val="0"/>
          <w:sz w:val="23"/>
          <w:szCs w:val="23"/>
        </w:rPr>
        <w:t>度坡耕地、严重石漠化耕地、严重污染耕地和移民搬迁后确实无法耕种的耕地有序实施退耕还林还草。</w:t>
      </w:r>
    </w:p>
    <w:p>
      <w:pPr>
        <w:adjustRightInd w:val="0"/>
        <w:snapToGrid w:val="0"/>
        <w:spacing w:line="404" w:lineRule="exact"/>
        <w:ind w:firstLine="452" w:firstLineChars="200"/>
        <w:rPr>
          <w:rFonts w:eastAsia="方正黑体_GBK" w:cs="方正黑体_GBK"/>
          <w:color w:val="000000"/>
          <w:spacing w:val="-2"/>
          <w:kern w:val="0"/>
          <w:sz w:val="23"/>
          <w:szCs w:val="23"/>
        </w:rPr>
      </w:pPr>
      <w:r>
        <w:rPr>
          <w:rFonts w:hint="eastAsia" w:eastAsia="方正黑体_GBK" w:cs="方正黑体_GBK"/>
          <w:color w:val="000000"/>
          <w:spacing w:val="-2"/>
          <w:kern w:val="0"/>
          <w:sz w:val="23"/>
          <w:szCs w:val="23"/>
        </w:rPr>
        <w:t>二、完善政策</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（一）补助政策</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1. </w:t>
      </w:r>
      <w:r>
        <w:rPr>
          <w:rFonts w:hint="eastAsia" w:cs="方正仿宋_GBK"/>
          <w:color w:val="000000"/>
          <w:spacing w:val="-2"/>
          <w:kern w:val="0"/>
          <w:sz w:val="23"/>
          <w:szCs w:val="23"/>
        </w:rPr>
        <w:t>种苗造林（种草）费。种苗造林费国家每亩补助</w:t>
      </w:r>
      <w:r>
        <w:rPr>
          <w:rFonts w:cs="方正仿宋_GBK"/>
          <w:color w:val="000000"/>
          <w:spacing w:val="-2"/>
          <w:kern w:val="0"/>
          <w:sz w:val="23"/>
          <w:szCs w:val="23"/>
        </w:rPr>
        <w:t>400</w:t>
      </w:r>
      <w:r>
        <w:rPr>
          <w:rFonts w:hint="eastAsia" w:cs="方正仿宋_GBK"/>
          <w:color w:val="000000"/>
          <w:spacing w:val="-2"/>
          <w:kern w:val="0"/>
          <w:sz w:val="23"/>
          <w:szCs w:val="23"/>
        </w:rPr>
        <w:t>元，种苗种草费国家每亩补助</w:t>
      </w:r>
      <w:r>
        <w:rPr>
          <w:rFonts w:cs="方正仿宋_GBK"/>
          <w:color w:val="000000"/>
          <w:spacing w:val="-2"/>
          <w:kern w:val="0"/>
          <w:sz w:val="23"/>
          <w:szCs w:val="23"/>
        </w:rPr>
        <w:t>150</w:t>
      </w:r>
      <w:r>
        <w:rPr>
          <w:rFonts w:hint="eastAsia" w:cs="方正仿宋_GBK"/>
          <w:color w:val="000000"/>
          <w:spacing w:val="-2"/>
          <w:kern w:val="0"/>
          <w:sz w:val="23"/>
          <w:szCs w:val="23"/>
        </w:rPr>
        <w:t>元，在退耕还林还草后第</w:t>
      </w:r>
      <w:r>
        <w:rPr>
          <w:rFonts w:cs="方正仿宋_GBK"/>
          <w:color w:val="000000"/>
          <w:spacing w:val="-2"/>
          <w:kern w:val="0"/>
          <w:sz w:val="23"/>
          <w:szCs w:val="23"/>
        </w:rPr>
        <w:t>1</w:t>
      </w:r>
      <w:r>
        <w:rPr>
          <w:rFonts w:hint="eastAsia" w:cs="方正仿宋_GBK"/>
          <w:color w:val="000000"/>
          <w:spacing w:val="-2"/>
          <w:kern w:val="0"/>
          <w:sz w:val="23"/>
          <w:szCs w:val="23"/>
        </w:rPr>
        <w:t>年下达到区县（自治县）人民政府，兑现方式由各区县（自治县）人民政府确定。</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2. </w:t>
      </w:r>
      <w:r>
        <w:rPr>
          <w:rFonts w:hint="eastAsia" w:cs="方正仿宋_GBK"/>
          <w:color w:val="000000"/>
          <w:spacing w:val="-2"/>
          <w:kern w:val="0"/>
          <w:sz w:val="23"/>
          <w:szCs w:val="23"/>
        </w:rPr>
        <w:t>现金补助。退耕还林国家每亩现金补助</w:t>
      </w:r>
      <w:r>
        <w:rPr>
          <w:rFonts w:cs="方正仿宋_GBK"/>
          <w:color w:val="000000"/>
          <w:spacing w:val="-2"/>
          <w:kern w:val="0"/>
          <w:sz w:val="23"/>
          <w:szCs w:val="23"/>
        </w:rPr>
        <w:t>1200</w:t>
      </w:r>
      <w:r>
        <w:rPr>
          <w:rFonts w:hint="eastAsia" w:cs="方正仿宋_GBK"/>
          <w:color w:val="000000"/>
          <w:spacing w:val="-2"/>
          <w:kern w:val="0"/>
          <w:sz w:val="23"/>
          <w:szCs w:val="23"/>
        </w:rPr>
        <w:t>元，分</w:t>
      </w:r>
      <w:r>
        <w:rPr>
          <w:rFonts w:cs="方正仿宋_GBK"/>
          <w:color w:val="000000"/>
          <w:spacing w:val="-2"/>
          <w:kern w:val="0"/>
          <w:sz w:val="23"/>
          <w:szCs w:val="23"/>
        </w:rPr>
        <w:t>3</w:t>
      </w:r>
      <w:r>
        <w:rPr>
          <w:rFonts w:hint="eastAsia" w:cs="方正仿宋_GBK"/>
          <w:color w:val="000000"/>
          <w:spacing w:val="-2"/>
          <w:kern w:val="0"/>
          <w:sz w:val="23"/>
          <w:szCs w:val="23"/>
        </w:rPr>
        <w:t>次下达到区县（自治县）人民政府，直补兑现到退耕还林户，第</w:t>
      </w:r>
      <w:r>
        <w:rPr>
          <w:rFonts w:cs="方正仿宋_GBK"/>
          <w:color w:val="000000"/>
          <w:spacing w:val="-2"/>
          <w:kern w:val="0"/>
          <w:sz w:val="23"/>
          <w:szCs w:val="23"/>
        </w:rPr>
        <w:t>1</w:t>
      </w:r>
      <w:r>
        <w:rPr>
          <w:rFonts w:hint="eastAsia" w:cs="方正仿宋_GBK"/>
          <w:color w:val="000000"/>
          <w:spacing w:val="-2"/>
          <w:kern w:val="0"/>
          <w:sz w:val="23"/>
          <w:szCs w:val="23"/>
        </w:rPr>
        <w:t>年</w:t>
      </w:r>
      <w:r>
        <w:rPr>
          <w:rFonts w:cs="方正仿宋_GBK"/>
          <w:color w:val="000000"/>
          <w:spacing w:val="-2"/>
          <w:kern w:val="0"/>
          <w:sz w:val="23"/>
          <w:szCs w:val="23"/>
        </w:rPr>
        <w:t>500</w:t>
      </w:r>
      <w:r>
        <w:rPr>
          <w:rFonts w:hint="eastAsia" w:cs="方正仿宋_GBK"/>
          <w:color w:val="000000"/>
          <w:spacing w:val="-2"/>
          <w:kern w:val="0"/>
          <w:sz w:val="23"/>
          <w:szCs w:val="23"/>
        </w:rPr>
        <w:t>元、第</w:t>
      </w:r>
      <w:r>
        <w:rPr>
          <w:rFonts w:cs="方正仿宋_GBK"/>
          <w:color w:val="000000"/>
          <w:spacing w:val="-2"/>
          <w:kern w:val="0"/>
          <w:sz w:val="23"/>
          <w:szCs w:val="23"/>
        </w:rPr>
        <w:t>3</w:t>
      </w:r>
      <w:r>
        <w:rPr>
          <w:rFonts w:hint="eastAsia" w:cs="方正仿宋_GBK"/>
          <w:color w:val="000000"/>
          <w:spacing w:val="-2"/>
          <w:kern w:val="0"/>
          <w:sz w:val="23"/>
          <w:szCs w:val="23"/>
        </w:rPr>
        <w:t>年</w:t>
      </w:r>
      <w:r>
        <w:rPr>
          <w:rFonts w:cs="方正仿宋_GBK"/>
          <w:color w:val="000000"/>
          <w:spacing w:val="-2"/>
          <w:kern w:val="0"/>
          <w:sz w:val="23"/>
          <w:szCs w:val="23"/>
        </w:rPr>
        <w:t>300</w:t>
      </w:r>
      <w:r>
        <w:rPr>
          <w:rFonts w:hint="eastAsia" w:cs="方正仿宋_GBK"/>
          <w:color w:val="000000"/>
          <w:spacing w:val="-2"/>
          <w:kern w:val="0"/>
          <w:sz w:val="23"/>
          <w:szCs w:val="23"/>
        </w:rPr>
        <w:t>元、第</w:t>
      </w:r>
      <w:r>
        <w:rPr>
          <w:rFonts w:cs="方正仿宋_GBK"/>
          <w:color w:val="000000"/>
          <w:spacing w:val="-2"/>
          <w:kern w:val="0"/>
          <w:sz w:val="23"/>
          <w:szCs w:val="23"/>
        </w:rPr>
        <w:t>5</w:t>
      </w:r>
      <w:r>
        <w:rPr>
          <w:rFonts w:hint="eastAsia" w:cs="方正仿宋_GBK"/>
          <w:color w:val="000000"/>
          <w:spacing w:val="-2"/>
          <w:kern w:val="0"/>
          <w:sz w:val="23"/>
          <w:szCs w:val="23"/>
        </w:rPr>
        <w:t>年</w:t>
      </w:r>
      <w:r>
        <w:rPr>
          <w:rFonts w:cs="方正仿宋_GBK"/>
          <w:color w:val="000000"/>
          <w:spacing w:val="-2"/>
          <w:kern w:val="0"/>
          <w:sz w:val="23"/>
          <w:szCs w:val="23"/>
        </w:rPr>
        <w:t>400</w:t>
      </w:r>
      <w:r>
        <w:rPr>
          <w:rFonts w:hint="eastAsia" w:cs="方正仿宋_GBK"/>
          <w:color w:val="000000"/>
          <w:spacing w:val="-2"/>
          <w:kern w:val="0"/>
          <w:sz w:val="23"/>
          <w:szCs w:val="23"/>
        </w:rPr>
        <w:t>元。退耕还草国家每亩现金补助</w:t>
      </w:r>
      <w:r>
        <w:rPr>
          <w:rFonts w:cs="方正仿宋_GBK"/>
          <w:color w:val="000000"/>
          <w:spacing w:val="-2"/>
          <w:kern w:val="0"/>
          <w:sz w:val="23"/>
          <w:szCs w:val="23"/>
        </w:rPr>
        <w:t xml:space="preserve"> 850</w:t>
      </w:r>
      <w:r>
        <w:rPr>
          <w:rFonts w:hint="eastAsia" w:cs="方正仿宋_GBK"/>
          <w:color w:val="000000"/>
          <w:spacing w:val="-2"/>
          <w:kern w:val="0"/>
          <w:sz w:val="23"/>
          <w:szCs w:val="23"/>
        </w:rPr>
        <w:t>元，分</w:t>
      </w:r>
      <w:r>
        <w:rPr>
          <w:rFonts w:cs="方正仿宋_GBK"/>
          <w:color w:val="000000"/>
          <w:spacing w:val="-2"/>
          <w:kern w:val="0"/>
          <w:sz w:val="23"/>
          <w:szCs w:val="23"/>
        </w:rPr>
        <w:t>2</w:t>
      </w:r>
      <w:r>
        <w:rPr>
          <w:rFonts w:hint="eastAsia" w:cs="方正仿宋_GBK"/>
          <w:color w:val="000000"/>
          <w:spacing w:val="-2"/>
          <w:kern w:val="0"/>
          <w:sz w:val="23"/>
          <w:szCs w:val="23"/>
        </w:rPr>
        <w:t>次下达到区县（自治县）人民政府，直补兑现到退耕还草户，第</w:t>
      </w:r>
      <w:r>
        <w:rPr>
          <w:rFonts w:cs="方正仿宋_GBK"/>
          <w:color w:val="000000"/>
          <w:spacing w:val="-2"/>
          <w:kern w:val="0"/>
          <w:sz w:val="23"/>
          <w:szCs w:val="23"/>
        </w:rPr>
        <w:t>1</w:t>
      </w:r>
      <w:r>
        <w:rPr>
          <w:rFonts w:hint="eastAsia" w:cs="方正仿宋_GBK"/>
          <w:color w:val="000000"/>
          <w:spacing w:val="-2"/>
          <w:kern w:val="0"/>
          <w:sz w:val="23"/>
          <w:szCs w:val="23"/>
        </w:rPr>
        <w:t>年</w:t>
      </w:r>
      <w:r>
        <w:rPr>
          <w:rFonts w:cs="方正仿宋_GBK"/>
          <w:color w:val="000000"/>
          <w:spacing w:val="-2"/>
          <w:kern w:val="0"/>
          <w:sz w:val="23"/>
          <w:szCs w:val="23"/>
        </w:rPr>
        <w:t>450</w:t>
      </w:r>
      <w:r>
        <w:rPr>
          <w:rFonts w:hint="eastAsia" w:cs="方正仿宋_GBK"/>
          <w:color w:val="000000"/>
          <w:spacing w:val="-2"/>
          <w:kern w:val="0"/>
          <w:sz w:val="23"/>
          <w:szCs w:val="23"/>
        </w:rPr>
        <w:t>元、第</w:t>
      </w:r>
      <w:r>
        <w:rPr>
          <w:rFonts w:cs="方正仿宋_GBK"/>
          <w:color w:val="000000"/>
          <w:spacing w:val="-2"/>
          <w:kern w:val="0"/>
          <w:sz w:val="23"/>
          <w:szCs w:val="23"/>
        </w:rPr>
        <w:t>3</w:t>
      </w:r>
      <w:r>
        <w:rPr>
          <w:rFonts w:hint="eastAsia" w:cs="方正仿宋_GBK"/>
          <w:color w:val="000000"/>
          <w:spacing w:val="-2"/>
          <w:kern w:val="0"/>
          <w:sz w:val="23"/>
          <w:szCs w:val="23"/>
        </w:rPr>
        <w:t>年</w:t>
      </w:r>
      <w:r>
        <w:rPr>
          <w:rFonts w:cs="方正仿宋_GBK"/>
          <w:color w:val="000000"/>
          <w:spacing w:val="-2"/>
          <w:kern w:val="0"/>
          <w:sz w:val="23"/>
          <w:szCs w:val="23"/>
        </w:rPr>
        <w:t>400</w:t>
      </w:r>
      <w:r>
        <w:rPr>
          <w:rFonts w:hint="eastAsia" w:cs="方正仿宋_GBK"/>
          <w:color w:val="000000"/>
          <w:spacing w:val="-2"/>
          <w:kern w:val="0"/>
          <w:sz w:val="23"/>
          <w:szCs w:val="23"/>
        </w:rPr>
        <w:t>元。各区县（自治县）人民政府可结合本地实际，在不低于国家补助标准的基础上，确定补助标准、兑现次数及分次数额。</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3. </w:t>
      </w:r>
      <w:r>
        <w:rPr>
          <w:rFonts w:hint="eastAsia" w:cs="方正仿宋_GBK"/>
          <w:color w:val="000000"/>
          <w:spacing w:val="-2"/>
          <w:kern w:val="0"/>
          <w:sz w:val="23"/>
          <w:szCs w:val="23"/>
        </w:rPr>
        <w:t>工作经费。退耕还林还草有关政策宣传、作业设计、技术指导、检查验收、补助兑现、确权发证、档案管理等工作所需经费，市财政按</w:t>
      </w:r>
      <w:r>
        <w:rPr>
          <w:rFonts w:cs="方正仿宋_GBK"/>
          <w:color w:val="000000"/>
          <w:spacing w:val="-2"/>
          <w:kern w:val="0"/>
          <w:sz w:val="23"/>
          <w:szCs w:val="23"/>
        </w:rPr>
        <w:t>5</w:t>
      </w:r>
      <w:r>
        <w:rPr>
          <w:rFonts w:hint="eastAsia" w:cs="方正仿宋_GBK"/>
          <w:color w:val="000000"/>
          <w:spacing w:val="-2"/>
          <w:kern w:val="0"/>
          <w:sz w:val="23"/>
          <w:szCs w:val="23"/>
        </w:rPr>
        <w:t>元</w:t>
      </w:r>
      <w:r>
        <w:rPr>
          <w:rFonts w:cs="方正仿宋_GBK"/>
          <w:color w:val="000000"/>
          <w:spacing w:val="-2"/>
          <w:kern w:val="0"/>
          <w:sz w:val="23"/>
          <w:szCs w:val="23"/>
        </w:rPr>
        <w:t>/</w:t>
      </w:r>
      <w:r>
        <w:rPr>
          <w:rFonts w:hint="eastAsia" w:cs="方正仿宋_GBK"/>
          <w:color w:val="000000"/>
          <w:spacing w:val="-2"/>
          <w:kern w:val="0"/>
          <w:sz w:val="23"/>
          <w:szCs w:val="23"/>
        </w:rPr>
        <w:t>亩·年进行补助。工作经费原则上市级、区县按</w:t>
      </w:r>
      <w:r>
        <w:rPr>
          <w:rFonts w:cs="方正仿宋_GBK"/>
          <w:color w:val="000000"/>
          <w:spacing w:val="-2"/>
          <w:kern w:val="0"/>
          <w:sz w:val="23"/>
          <w:szCs w:val="23"/>
        </w:rPr>
        <w:t>1</w:t>
      </w:r>
      <w:r>
        <w:rPr>
          <w:rFonts w:hint="eastAsia" w:cs="方正仿宋_GBK"/>
          <w:color w:val="000000"/>
          <w:spacing w:val="-2"/>
          <w:kern w:val="0"/>
          <w:sz w:val="23"/>
          <w:szCs w:val="23"/>
        </w:rPr>
        <w:t>：</w:t>
      </w:r>
      <w:r>
        <w:rPr>
          <w:rFonts w:cs="方正仿宋_GBK"/>
          <w:color w:val="000000"/>
          <w:spacing w:val="-2"/>
          <w:kern w:val="0"/>
          <w:sz w:val="23"/>
          <w:szCs w:val="23"/>
        </w:rPr>
        <w:t>4</w:t>
      </w:r>
      <w:r>
        <w:rPr>
          <w:rFonts w:hint="eastAsia" w:cs="方正仿宋_GBK"/>
          <w:color w:val="000000"/>
          <w:spacing w:val="-2"/>
          <w:kern w:val="0"/>
          <w:sz w:val="23"/>
          <w:szCs w:val="23"/>
        </w:rPr>
        <w:t>进行分配，不足部分由区县财政承担。</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（二）配套政策</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1. </w:t>
      </w:r>
      <w:r>
        <w:rPr>
          <w:rFonts w:hint="eastAsia" w:cs="方正仿宋_GBK"/>
          <w:color w:val="000000"/>
          <w:spacing w:val="-2"/>
          <w:kern w:val="0"/>
          <w:sz w:val="23"/>
          <w:szCs w:val="23"/>
        </w:rPr>
        <w:t>在保障退耕农民合法利益前提下，鼓励社会资本参与退耕还林还草，进行适度集中规模经营。重点推行业主承包、股份合作和农民专业合作，并通过签订合同，约定政策兑现、利益分配、风险承担等内容。合同书报乡镇人民政府备案。</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2. </w:t>
      </w:r>
      <w:r>
        <w:rPr>
          <w:rFonts w:hint="eastAsia" w:cs="方正仿宋_GBK"/>
          <w:color w:val="000000"/>
          <w:spacing w:val="-2"/>
          <w:kern w:val="0"/>
          <w:sz w:val="23"/>
          <w:szCs w:val="23"/>
        </w:rPr>
        <w:t>在不破坏植被、造成新的水土流失的前提下，允许间种豆类等矮杆作物，发展林下经济，以耕促抚、以耕促管。鼓励个人兴办家庭林场，实行多种经营。</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3. </w:t>
      </w:r>
      <w:r>
        <w:rPr>
          <w:rFonts w:hint="eastAsia" w:cs="方正仿宋_GBK"/>
          <w:color w:val="000000"/>
          <w:spacing w:val="-2"/>
          <w:kern w:val="0"/>
          <w:sz w:val="23"/>
          <w:szCs w:val="23"/>
        </w:rPr>
        <w:t>将退耕还林地纳入森林抚育补贴范围，根据退耕还林现状和森林经营目标，科学制订森林经营方案，切实加强森林抚育经营，全面提高森林质量。</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4. </w:t>
      </w:r>
      <w:r>
        <w:rPr>
          <w:rFonts w:hint="eastAsia" w:cs="方正仿宋_GBK"/>
          <w:color w:val="000000"/>
          <w:spacing w:val="-2"/>
          <w:kern w:val="0"/>
          <w:sz w:val="23"/>
          <w:szCs w:val="23"/>
        </w:rPr>
        <w:t>退耕后营造的林木，凡符合国家和我市公益林区划界定的，分别纳入中央和市财政森林生态效益补偿；未划入公益林的，退耕还林补助期满后，经批准可依法采伐。</w:t>
      </w:r>
    </w:p>
    <w:p>
      <w:pPr>
        <w:tabs>
          <w:tab w:val="left" w:pos="567"/>
        </w:tabs>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5. </w:t>
      </w:r>
      <w:r>
        <w:rPr>
          <w:rFonts w:hint="eastAsia" w:cs="方正仿宋_GBK"/>
          <w:color w:val="000000"/>
          <w:spacing w:val="-2"/>
          <w:kern w:val="0"/>
          <w:sz w:val="23"/>
          <w:szCs w:val="23"/>
        </w:rPr>
        <w:t>统筹安排中央、市级财政专项扶贫资金、易地扶贫搬迁投资、现代农业生产发展资金、农业综合开发资金、农田水利建设资金等，用于退耕后改善基础设</w:t>
      </w:r>
      <w:r>
        <w:rPr>
          <w:rFonts w:hint="eastAsia" w:cs="方正仿宋_GBK"/>
          <w:color w:val="000000"/>
          <w:spacing w:val="2"/>
          <w:kern w:val="0"/>
          <w:sz w:val="23"/>
          <w:szCs w:val="23"/>
        </w:rPr>
        <w:t>施、调整农业产业结构、发展特色产业、增加退耕户收入，巩固退耕还林还草成果。</w:t>
      </w:r>
    </w:p>
    <w:p>
      <w:pPr>
        <w:adjustRightInd w:val="0"/>
        <w:snapToGrid w:val="0"/>
        <w:spacing w:line="404" w:lineRule="exact"/>
        <w:ind w:firstLine="452" w:firstLineChars="200"/>
        <w:rPr>
          <w:rFonts w:eastAsia="方正黑体_GBK" w:cs="方正黑体_GBK"/>
          <w:color w:val="000000"/>
          <w:spacing w:val="-2"/>
          <w:kern w:val="0"/>
          <w:sz w:val="23"/>
          <w:szCs w:val="23"/>
        </w:rPr>
      </w:pPr>
      <w:r>
        <w:rPr>
          <w:rFonts w:hint="eastAsia" w:eastAsia="方正黑体_GBK" w:cs="方正黑体_GBK"/>
          <w:color w:val="000000"/>
          <w:spacing w:val="-2"/>
          <w:kern w:val="0"/>
          <w:sz w:val="23"/>
          <w:szCs w:val="23"/>
        </w:rPr>
        <w:t>三、组织实施</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（一）加强计划管理</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1. </w:t>
      </w:r>
      <w:r>
        <w:rPr>
          <w:rFonts w:hint="eastAsia" w:cs="方正仿宋_GBK"/>
          <w:color w:val="000000"/>
          <w:spacing w:val="-2"/>
          <w:kern w:val="0"/>
          <w:sz w:val="23"/>
          <w:szCs w:val="23"/>
        </w:rPr>
        <w:t>市林业局会同市规划自然资源局，依据国家下达的年度任务编制市级年度实施方案，报国家林业和草原局备案。各区县（自治县）林业主管部门会同规划自然资源主管部门，依据市下达的年度任务编制县级年度实施方案，报区县（自治县）人民政府批准后实施，并报市规划自然资源局和市林业局备案。区县年度实施方案可整合进国土绿化提升行动年度实施方案一并编制。</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2. </w:t>
      </w:r>
      <w:r>
        <w:rPr>
          <w:rFonts w:hint="eastAsia" w:cs="方正仿宋_GBK"/>
          <w:color w:val="000000"/>
          <w:spacing w:val="-2"/>
          <w:kern w:val="0"/>
          <w:sz w:val="23"/>
          <w:szCs w:val="23"/>
        </w:rPr>
        <w:t>依据批准的年度实施方案，区县（自治县）林业主管部门会同规划自然资源主管部门，组织具有林业调查规划设计资质的单位或机构编制退耕还林还草作业设计，经区县（自治县）林业主管部门、规划自然资源主管部门共同签章后组织开展植树造林种草工作。</w:t>
      </w:r>
    </w:p>
    <w:p>
      <w:pPr>
        <w:adjustRightInd w:val="0"/>
        <w:snapToGrid w:val="0"/>
        <w:spacing w:line="404" w:lineRule="exact"/>
        <w:ind w:firstLine="452" w:firstLineChars="200"/>
        <w:rPr>
          <w:rFonts w:cs="方正仿宋_GBK"/>
          <w:color w:val="000000"/>
          <w:spacing w:val="-3"/>
          <w:kern w:val="0"/>
          <w:sz w:val="23"/>
          <w:szCs w:val="23"/>
        </w:rPr>
      </w:pPr>
      <w:r>
        <w:rPr>
          <w:rFonts w:cs="方正仿宋_GBK"/>
          <w:color w:val="000000"/>
          <w:spacing w:val="-2"/>
          <w:kern w:val="0"/>
          <w:sz w:val="23"/>
          <w:szCs w:val="23"/>
        </w:rPr>
        <w:t xml:space="preserve">3. </w:t>
      </w:r>
      <w:r>
        <w:rPr>
          <w:rFonts w:hint="eastAsia" w:cs="方正仿宋_GBK"/>
          <w:color w:val="000000"/>
          <w:spacing w:val="-2"/>
          <w:kern w:val="0"/>
          <w:sz w:val="23"/>
          <w:szCs w:val="23"/>
        </w:rPr>
        <w:t>退耕还林还草成果通过国家检查验收后，各区县（自治县）林业主管部门</w:t>
      </w:r>
      <w:r>
        <w:rPr>
          <w:rFonts w:hint="eastAsia" w:cs="方正仿宋_GBK"/>
          <w:color w:val="000000"/>
          <w:spacing w:val="-3"/>
          <w:kern w:val="0"/>
          <w:sz w:val="23"/>
          <w:szCs w:val="23"/>
        </w:rPr>
        <w:t>要及时将验收成果和通过验收依据移交规划自然资源主管部门纳入年度变更调查。</w:t>
      </w:r>
    </w:p>
    <w:p>
      <w:pPr>
        <w:tabs>
          <w:tab w:val="left" w:pos="567"/>
        </w:tabs>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（二）加强建设管理</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1. </w:t>
      </w:r>
      <w:r>
        <w:rPr>
          <w:rFonts w:hint="eastAsia" w:cs="方正仿宋_GBK"/>
          <w:color w:val="000000"/>
          <w:spacing w:val="-2"/>
          <w:kern w:val="0"/>
          <w:sz w:val="23"/>
          <w:szCs w:val="23"/>
        </w:rPr>
        <w:t>签订退耕还林还草合同。各区县（自治县）人民政府或由其委托的乡镇人民政府，按照国家统一制定的新一轮退耕还林还草合同范本，与退耕还林还草户签订合同，明确退耕范围、面积、树种、草种、初植密度、补助标准和金额，以及完成时间、质量要求、检查验收与资金兑付时间和管护责任等。</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2. </w:t>
      </w:r>
      <w:r>
        <w:rPr>
          <w:rFonts w:hint="eastAsia" w:cs="方正仿宋_GBK"/>
          <w:color w:val="000000"/>
          <w:spacing w:val="-2"/>
          <w:kern w:val="0"/>
          <w:sz w:val="23"/>
          <w:szCs w:val="23"/>
        </w:rPr>
        <w:t>加强种苗经营管理。林业主管部门要做好种苗建设规划，抓好种苗和采种基地建设，大力培育良种壮苗。退耕还林还草所需种苗，采用退耕还林还草户自行育苗、自行采购和政府集中采购相结合的方式，所用种苗必须具备标签、质量检验合格证和检疫证。</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3. </w:t>
      </w:r>
      <w:r>
        <w:rPr>
          <w:rFonts w:hint="eastAsia" w:cs="方正仿宋_GBK"/>
          <w:color w:val="000000"/>
          <w:spacing w:val="-2"/>
          <w:kern w:val="0"/>
          <w:sz w:val="23"/>
          <w:szCs w:val="23"/>
        </w:rPr>
        <w:t>强化工程档案管理。市、区县（自治县）有关部门和乡镇人民政府，要建立健全退耕还林还草工程档案的立卷归档、保管、利用等管理制度，将退耕还林还草工程档案管理工作纳入工程建设全过程，实行规范化管理。</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4. </w:t>
      </w:r>
      <w:r>
        <w:rPr>
          <w:rFonts w:hint="eastAsia" w:cs="方正仿宋_GBK"/>
          <w:color w:val="000000"/>
          <w:spacing w:val="-2"/>
          <w:kern w:val="0"/>
          <w:sz w:val="23"/>
          <w:szCs w:val="23"/>
        </w:rPr>
        <w:t>严格确权发证。退耕还林还草后，由区县（自治县）人民政府依法确权变更登记。</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5. </w:t>
      </w:r>
      <w:r>
        <w:rPr>
          <w:rFonts w:hint="eastAsia" w:cs="方正仿宋_GBK"/>
          <w:color w:val="000000"/>
          <w:spacing w:val="-2"/>
          <w:kern w:val="0"/>
          <w:sz w:val="23"/>
          <w:szCs w:val="23"/>
        </w:rPr>
        <w:t>搞好工程检查验收。市和区县（自治县）林业主管部门牵头组织开展好检查验收工作。验收结果依程序公开，并作为调整退耕还林还草任务、兑现补助资金、耕地保护责任目标考核的重要依据。将造林成活率、保存率等检查验收结果与政策补助直接挂钩，落实管护主体和管护责任。同时加强护林员队伍建设，对退耕面积较大的村配备专职护林员，确保各项管护措施落到实处。</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6. </w:t>
      </w:r>
      <w:r>
        <w:rPr>
          <w:rFonts w:hint="eastAsia" w:cs="方正仿宋_GBK"/>
          <w:color w:val="000000"/>
          <w:spacing w:val="-2"/>
          <w:kern w:val="0"/>
          <w:sz w:val="23"/>
          <w:szCs w:val="23"/>
        </w:rPr>
        <w:t>建立健全村级退耕还林还草公示制度。对退耕户的退耕面积、退耕地点、树种、草种以及质量要求、验收结果、补助资金兑现等情况进行公示，接受群众监督。</w:t>
      </w:r>
    </w:p>
    <w:p>
      <w:pPr>
        <w:adjustRightInd w:val="0"/>
        <w:snapToGrid w:val="0"/>
        <w:spacing w:line="404" w:lineRule="exact"/>
        <w:ind w:firstLine="452" w:firstLineChars="200"/>
        <w:rPr>
          <w:rFonts w:cs="方正仿宋_GBK"/>
          <w:color w:val="000000"/>
          <w:spacing w:val="-2"/>
          <w:kern w:val="0"/>
          <w:sz w:val="23"/>
          <w:szCs w:val="23"/>
        </w:rPr>
      </w:pPr>
      <w:r>
        <w:rPr>
          <w:rFonts w:cs="方正仿宋_GBK"/>
          <w:color w:val="000000"/>
          <w:spacing w:val="-2"/>
          <w:kern w:val="0"/>
          <w:sz w:val="23"/>
          <w:szCs w:val="23"/>
        </w:rPr>
        <w:t xml:space="preserve">7. </w:t>
      </w:r>
      <w:r>
        <w:rPr>
          <w:rFonts w:hint="eastAsia" w:cs="方正仿宋_GBK"/>
          <w:color w:val="000000"/>
          <w:spacing w:val="-2"/>
          <w:kern w:val="0"/>
          <w:sz w:val="23"/>
          <w:szCs w:val="23"/>
        </w:rPr>
        <w:t>严格资金管理。退耕还林还草工程建设资金实行专账管理，专款专用，任何单位和个人均不得克扣、挤占、截留、挪用，严禁弄虚作假、虚报冒领补助资金。财政、审计等部门要加强监督检查，确保财政资金足额用于退耕还林还草。</w:t>
      </w:r>
    </w:p>
    <w:p>
      <w:pPr>
        <w:tabs>
          <w:tab w:val="left" w:pos="709"/>
        </w:tabs>
        <w:adjustRightInd w:val="0"/>
        <w:snapToGrid w:val="0"/>
        <w:spacing w:line="404" w:lineRule="exact"/>
        <w:ind w:firstLine="452" w:firstLineChars="200"/>
        <w:rPr>
          <w:rFonts w:eastAsia="方正黑体_GBK" w:cs="方正黑体_GBK"/>
          <w:color w:val="000000"/>
          <w:spacing w:val="-2"/>
          <w:kern w:val="0"/>
          <w:sz w:val="23"/>
          <w:szCs w:val="23"/>
        </w:rPr>
      </w:pPr>
      <w:r>
        <w:rPr>
          <w:rFonts w:hint="eastAsia" w:eastAsia="方正黑体_GBK" w:cs="方正黑体_GBK"/>
          <w:color w:val="000000"/>
          <w:spacing w:val="-2"/>
          <w:kern w:val="0"/>
          <w:sz w:val="23"/>
          <w:szCs w:val="23"/>
        </w:rPr>
        <w:t>四、保障措施</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（一）加强组织领导</w:t>
      </w:r>
    </w:p>
    <w:p>
      <w:pPr>
        <w:adjustRightInd w:val="0"/>
        <w:snapToGrid w:val="0"/>
        <w:spacing w:line="404"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新一轮退耕还林还草实行行政首长负责制，要落实新一轮退耕还林还草工程建设目标和责任，实行“目标、任务、资金、责任”四到区县制度。各区县（自治县）人民政府要及时研究解决实施中的重大问题，层层签订责任书。</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（二）加强部门协作</w:t>
      </w:r>
    </w:p>
    <w:p>
      <w:pPr>
        <w:adjustRightInd w:val="0"/>
        <w:snapToGrid w:val="0"/>
        <w:spacing w:line="404"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市发展改革委负责新一轮退耕还林还草工作的综合协调，负责年度计划任务的综合平衡。市财政局负责中央财政补助资金的下达和市级财政补助资金的配套落实，加强资金监管，确保资金专款专用。市规划自然资源局负责提供可退耕还林还草耕地的基础资料。对符合自然资规〔</w:t>
      </w:r>
      <w:r>
        <w:rPr>
          <w:rFonts w:cs="方正仿宋_GBK"/>
          <w:color w:val="000000"/>
          <w:spacing w:val="-2"/>
          <w:kern w:val="0"/>
          <w:sz w:val="23"/>
          <w:szCs w:val="23"/>
        </w:rPr>
        <w:t>2019</w:t>
      </w:r>
      <w:r>
        <w:rPr>
          <w:rFonts w:hint="eastAsia" w:cs="方正仿宋_GBK"/>
          <w:color w:val="000000"/>
          <w:spacing w:val="-2"/>
          <w:kern w:val="0"/>
          <w:sz w:val="23"/>
          <w:szCs w:val="23"/>
        </w:rPr>
        <w:t>〕</w:t>
      </w:r>
      <w:r>
        <w:rPr>
          <w:rFonts w:cs="方正仿宋_GBK"/>
          <w:color w:val="000000"/>
          <w:spacing w:val="-2"/>
          <w:kern w:val="0"/>
          <w:sz w:val="23"/>
          <w:szCs w:val="23"/>
        </w:rPr>
        <w:t>1</w:t>
      </w:r>
      <w:r>
        <w:rPr>
          <w:rFonts w:hint="eastAsia" w:cs="方正仿宋_GBK"/>
          <w:color w:val="000000"/>
          <w:spacing w:val="-2"/>
          <w:kern w:val="0"/>
          <w:sz w:val="23"/>
          <w:szCs w:val="23"/>
        </w:rPr>
        <w:t>号文生态退耕认定范畴，经市林业局按照有关规定和程序向国家林业和草原局上报生态退耕方案，并经国务院同意后，有序退出。市规划自然资源局在编制国土空间规划时，根据生态退耕检查验收和土地变更调查结果，相应核减、调整区县耕地保有量和永久基本农田保护面积。市林业局负责退耕还林还草年度实施方案和计划的编制，对工程建设进行技术指导和监督检查。</w:t>
      </w:r>
    </w:p>
    <w:p>
      <w:pPr>
        <w:adjustRightInd w:val="0"/>
        <w:snapToGrid w:val="0"/>
        <w:spacing w:line="404" w:lineRule="exact"/>
        <w:ind w:firstLine="452" w:firstLineChars="200"/>
        <w:rPr>
          <w:rFonts w:eastAsia="方正楷体_GBK" w:cs="方正楷体_GBK"/>
          <w:color w:val="000000"/>
          <w:spacing w:val="-2"/>
          <w:kern w:val="0"/>
          <w:sz w:val="23"/>
          <w:szCs w:val="23"/>
        </w:rPr>
      </w:pPr>
      <w:r>
        <w:rPr>
          <w:rFonts w:hint="eastAsia" w:eastAsia="方正楷体_GBK" w:cs="方正楷体_GBK"/>
          <w:color w:val="000000"/>
          <w:spacing w:val="-2"/>
          <w:kern w:val="0"/>
          <w:sz w:val="23"/>
          <w:szCs w:val="23"/>
        </w:rPr>
        <w:t>（三）加强科技支撑</w:t>
      </w:r>
    </w:p>
    <w:p>
      <w:pPr>
        <w:adjustRightInd w:val="0"/>
        <w:snapToGrid w:val="0"/>
        <w:spacing w:line="404" w:lineRule="exact"/>
        <w:ind w:firstLine="452" w:firstLineChars="200"/>
        <w:rPr>
          <w:rFonts w:cs="方正仿宋_GBK"/>
          <w:color w:val="000000"/>
          <w:spacing w:val="-2"/>
          <w:kern w:val="0"/>
          <w:sz w:val="23"/>
          <w:szCs w:val="23"/>
        </w:rPr>
      </w:pPr>
      <w:r>
        <w:rPr>
          <w:rFonts w:hint="eastAsia" w:cs="方正仿宋_GBK"/>
          <w:color w:val="000000"/>
          <w:spacing w:val="-2"/>
          <w:kern w:val="0"/>
          <w:sz w:val="23"/>
          <w:szCs w:val="23"/>
        </w:rPr>
        <w:t>各级科研院校和林业科技推广机构要结合退耕还林还草实际，加强先进适用技术的集成优化与示范、标准制定与应用、技术培训等工作。广大退耕业主应当积极推广使用良种良法，努力提升退耕还林还草建设质量和水平，巩固退耕还林还草成果。市、区县（自治县）林业主管部门要加强退耕还林还草效益监测及结果应用工作，为工程建设的不断完善和质量效益提高提供科学依据。</w:t>
      </w:r>
    </w:p>
    <w:p>
      <w:pPr>
        <w:spacing w:line="404" w:lineRule="exact"/>
        <w:ind w:firstLine="452" w:firstLineChars="200"/>
        <w:rPr>
          <w:rFonts w:cs="方正仿宋_GBK"/>
          <w:color w:val="000000"/>
          <w:spacing w:val="-2"/>
          <w:sz w:val="23"/>
          <w:szCs w:val="23"/>
        </w:rPr>
      </w:pPr>
    </w:p>
    <w:p>
      <w:pPr>
        <w:spacing w:line="404" w:lineRule="exact"/>
        <w:ind w:firstLine="452" w:firstLineChars="200"/>
        <w:rPr>
          <w:rFonts w:cs="方正仿宋_GBK"/>
          <w:color w:val="000000"/>
          <w:spacing w:val="-2"/>
          <w:sz w:val="23"/>
          <w:szCs w:val="23"/>
        </w:rPr>
      </w:pPr>
    </w:p>
    <w:p>
      <w:pPr>
        <w:spacing w:line="404" w:lineRule="exact"/>
        <w:ind w:firstLine="3869" w:firstLineChars="1712"/>
        <w:rPr>
          <w:rFonts w:cs="方正仿宋_GBK"/>
          <w:color w:val="000000"/>
          <w:spacing w:val="-2"/>
          <w:sz w:val="23"/>
          <w:szCs w:val="23"/>
        </w:rPr>
      </w:pPr>
      <w:r>
        <w:rPr>
          <w:rFonts w:hint="eastAsia" w:cs="方正仿宋_GBK"/>
          <w:color w:val="000000"/>
          <w:spacing w:val="-2"/>
          <w:sz w:val="23"/>
          <w:szCs w:val="23"/>
        </w:rPr>
        <w:t xml:space="preserve">           </w:t>
      </w:r>
      <w:r>
        <w:rPr>
          <w:rFonts w:cs="方正仿宋_GBK"/>
          <w:color w:val="000000"/>
          <w:spacing w:val="-2"/>
          <w:sz w:val="23"/>
          <w:szCs w:val="23"/>
        </w:rPr>
        <w:t xml:space="preserve">     2019</w:t>
      </w:r>
      <w:r>
        <w:rPr>
          <w:rFonts w:hint="eastAsia" w:cs="方正仿宋_GBK"/>
          <w:color w:val="000000"/>
          <w:spacing w:val="-2"/>
          <w:sz w:val="23"/>
          <w:szCs w:val="23"/>
        </w:rPr>
        <w:t>年</w:t>
      </w:r>
      <w:r>
        <w:rPr>
          <w:rFonts w:cs="方正仿宋_GBK"/>
          <w:color w:val="000000"/>
          <w:spacing w:val="-2"/>
          <w:sz w:val="23"/>
          <w:szCs w:val="23"/>
        </w:rPr>
        <w:t>12</w:t>
      </w:r>
      <w:r>
        <w:rPr>
          <w:rFonts w:hint="eastAsia" w:cs="方正仿宋_GBK"/>
          <w:color w:val="000000"/>
          <w:spacing w:val="-2"/>
          <w:sz w:val="23"/>
          <w:szCs w:val="23"/>
        </w:rPr>
        <w:t>月</w:t>
      </w:r>
      <w:r>
        <w:rPr>
          <w:rFonts w:cs="方正仿宋_GBK"/>
          <w:color w:val="000000"/>
          <w:spacing w:val="-2"/>
          <w:sz w:val="23"/>
          <w:szCs w:val="23"/>
        </w:rPr>
        <w:t>30</w:t>
      </w:r>
      <w:r>
        <w:rPr>
          <w:rFonts w:hint="eastAsia" w:cs="方正仿宋_GBK"/>
          <w:color w:val="000000"/>
          <w:spacing w:val="-2"/>
          <w:sz w:val="23"/>
          <w:szCs w:val="23"/>
        </w:rPr>
        <w:t>日</w:t>
      </w:r>
      <w:r>
        <w:rPr>
          <w:rFonts w:cs="方正仿宋_GBK"/>
          <w:color w:val="000000"/>
          <w:spacing w:val="-2"/>
          <w:sz w:val="23"/>
          <w:szCs w:val="23"/>
        </w:rPr>
        <w:t xml:space="preserve">                       </w:t>
      </w:r>
    </w:p>
    <w:p>
      <w:r>
        <w:rPr>
          <w:rFonts w:eastAsia="方正小标宋_GBK"/>
          <w:color w:val="000000"/>
          <w:spacing w:val="-2"/>
          <w:sz w:val="23"/>
          <w:szCs w:val="23"/>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ZmE1ZjU3MTlmNDhlMGEyYmIyNzBiZGI5MjMwMWEifQ=="/>
  </w:docVars>
  <w:rsids>
    <w:rsidRoot w:val="77925A7B"/>
    <w:rsid w:val="77925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2024-07-24T07:31:00Z</dcterms:created>
  <dc:creator>Administrator</dc:creator>
  <cp:lastModifiedBy>Administrator</cp:lastModifiedBy>
  <dcterms:modified xsi:type="dcterms:W3CDTF">2024-07-24T07:32:49Z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03BA7BF5ABD34DC3BC20C6C7C08327CB_11</vt:lpwstr>
  </property>
</Properties>
</file>