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jc w:val="center"/>
        <w:textAlignment w:val="auto"/>
        <w:rPr>
          <w:rFonts w:hint="eastAsia" w:ascii="方正仿宋_GBK" w:hAnsi="方正仿宋_GBK" w:eastAsia="方正仿宋_GBK" w:cs="方正仿宋_GBK"/>
          <w:sz w:val="31"/>
          <w:szCs w:val="31"/>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jc w:val="center"/>
        <w:textAlignment w:val="auto"/>
        <w:rPr>
          <w:rFonts w:hint="eastAsia" w:ascii="方正仿宋_GBK" w:hAnsi="方正仿宋_GBK" w:eastAsia="方正仿宋_GBK" w:cs="方正仿宋_GBK"/>
          <w:sz w:val="31"/>
          <w:szCs w:val="31"/>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jc w:val="center"/>
        <w:textAlignment w:val="auto"/>
        <w:rPr>
          <w:rFonts w:hint="eastAsia" w:ascii="方正仿宋_GBK" w:hAnsi="方正仿宋_GBK" w:eastAsia="方正仿宋_GBK" w:cs="方正仿宋_GBK"/>
          <w:sz w:val="31"/>
          <w:szCs w:val="31"/>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jc w:val="center"/>
        <w:textAlignment w:val="auto"/>
        <w:rPr>
          <w:rFonts w:hint="eastAsia" w:ascii="方正仿宋_GBK" w:hAnsi="方正仿宋_GBK" w:eastAsia="方正仿宋_GBK" w:cs="方正仿宋_GBK"/>
          <w:sz w:val="31"/>
          <w:szCs w:val="31"/>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jc w:val="center"/>
        <w:textAlignment w:val="auto"/>
        <w:rPr>
          <w:rFonts w:hint="eastAsia" w:ascii="方正仿宋_GBK" w:hAnsi="方正仿宋_GBK" w:eastAsia="方正仿宋_GBK" w:cs="方正仿宋_GBK"/>
          <w:sz w:val="31"/>
          <w:szCs w:val="31"/>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jc w:val="center"/>
        <w:textAlignment w:val="auto"/>
        <w:rPr>
          <w:rFonts w:hint="eastAsia" w:ascii="方正仿宋_GBK" w:hAnsi="方正仿宋_GBK" w:eastAsia="方正仿宋_GBK" w:cs="方正仿宋_GBK"/>
          <w:sz w:val="31"/>
          <w:szCs w:val="31"/>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jc w:val="center"/>
        <w:textAlignment w:val="auto"/>
        <w:rPr>
          <w:rFonts w:hint="eastAsia" w:ascii="方正仿宋_GBK" w:hAnsi="方正仿宋_GBK" w:eastAsia="方正仿宋_GBK" w:cs="方正仿宋_GBK"/>
          <w:sz w:val="31"/>
          <w:szCs w:val="31"/>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jc w:val="center"/>
        <w:textAlignment w:val="auto"/>
        <w:rPr>
          <w:rFonts w:hint="eastAsia" w:ascii="方正仿宋_GBK" w:hAnsi="方正仿宋_GBK" w:eastAsia="方正仿宋_GBK" w:cs="方正仿宋_GBK"/>
          <w:sz w:val="31"/>
          <w:szCs w:val="31"/>
        </w:rPr>
      </w:pPr>
      <w:r>
        <w:rPr>
          <w:rFonts w:hint="eastAsia" w:ascii="方正仿宋_GBK" w:hAnsi="方正仿宋_GBK" w:eastAsia="方正仿宋_GBK" w:cs="方正仿宋_GBK"/>
          <w:sz w:val="31"/>
          <w:szCs w:val="31"/>
        </w:rPr>
        <w:t>永南大街发〔</w:t>
      </w:r>
      <w:r>
        <w:rPr>
          <w:rFonts w:hint="eastAsia" w:ascii="方正仿宋_GBK" w:hAnsi="方正仿宋_GBK" w:eastAsia="方正仿宋_GBK" w:cs="方正仿宋_GBK"/>
          <w:sz w:val="31"/>
          <w:szCs w:val="31"/>
        </w:rPr>
        <w:t>2023</w:t>
      </w:r>
      <w:r>
        <w:rPr>
          <w:rFonts w:hint="eastAsia" w:ascii="方正仿宋_GBK" w:hAnsi="方正仿宋_GBK" w:eastAsia="方正仿宋_GBK" w:cs="方正仿宋_GBK"/>
          <w:sz w:val="31"/>
          <w:szCs w:val="31"/>
        </w:rPr>
        <w:t>〕</w:t>
      </w:r>
      <w:r>
        <w:rPr>
          <w:rFonts w:hint="eastAsia" w:ascii="方正仿宋_GBK" w:hAnsi="方正仿宋_GBK" w:eastAsia="方正仿宋_GBK" w:cs="方正仿宋_GBK"/>
          <w:sz w:val="31"/>
          <w:szCs w:val="31"/>
        </w:rPr>
        <w:t>59</w:t>
      </w:r>
      <w:r>
        <w:rPr>
          <w:rFonts w:hint="eastAsia" w:ascii="方正仿宋_GBK" w:hAnsi="方正仿宋_GBK" w:eastAsia="方正仿宋_GBK" w:cs="方正仿宋_GBK"/>
          <w:sz w:val="31"/>
          <w:szCs w:val="31"/>
        </w:rPr>
        <w:t>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jc w:val="center"/>
        <w:textAlignment w:val="auto"/>
        <w:rPr>
          <w:rFonts w:hint="eastAsia" w:ascii="方正仿宋_GBK" w:hAnsi="方正仿宋_GBK" w:eastAsia="方正仿宋_GBK" w:cs="方正仿宋_GBK"/>
          <w:sz w:val="31"/>
          <w:szCs w:val="31"/>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885"/>
        <w:jc w:val="center"/>
        <w:textAlignment w:val="auto"/>
        <w:rPr>
          <w:sz w:val="44"/>
          <w:szCs w:val="44"/>
        </w:rPr>
      </w:pPr>
      <w:r>
        <w:rPr>
          <w:rFonts w:hint="eastAsia" w:ascii="方正小标宋_GBK" w:hAnsi="方正小标宋_GBK" w:eastAsia="方正小标宋_GBK" w:cs="方正小标宋_GBK"/>
          <w:sz w:val="44"/>
          <w:szCs w:val="44"/>
        </w:rPr>
        <w:t>重庆市永川区南大街街道办事处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jc w:val="center"/>
        <w:textAlignment w:val="auto"/>
      </w:pPr>
      <w:r>
        <w:rPr>
          <w:rFonts w:hint="eastAsia" w:ascii="方正小标宋_GBK" w:hAnsi="方正小标宋_GBK" w:eastAsia="方正小标宋_GBK" w:cs="方正小标宋_GBK"/>
          <w:sz w:val="44"/>
          <w:szCs w:val="44"/>
        </w:rPr>
        <w:t>关于废止《重庆市永川区南大街街道办事处关于进一步完善临时救助制度相关事宜的通知》的决定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textAlignment w:val="auto"/>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textAlignment w:val="auto"/>
        <w:rPr>
          <w:sz w:val="32"/>
          <w:szCs w:val="32"/>
        </w:rPr>
      </w:pPr>
      <w:r>
        <w:rPr>
          <w:rFonts w:hint="eastAsia" w:ascii="方正仿宋_GBK" w:hAnsi="方正仿宋_GBK" w:eastAsia="方正仿宋_GBK" w:cs="方正仿宋_GBK"/>
          <w:sz w:val="32"/>
          <w:szCs w:val="32"/>
        </w:rPr>
        <w:t>各村（居）民委员会，街道各科室，有关单位：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rPr>
          <w:sz w:val="32"/>
          <w:szCs w:val="32"/>
        </w:rPr>
      </w:pPr>
      <w:r>
        <w:rPr>
          <w:rFonts w:hint="eastAsia" w:ascii="方正仿宋_GBK" w:hAnsi="方正仿宋_GBK" w:eastAsia="方正仿宋_GBK" w:cs="方正仿宋_GBK"/>
          <w:sz w:val="32"/>
          <w:szCs w:val="32"/>
        </w:rPr>
        <w:t>根据《重庆市行政规范性文件管理办法》（重庆市人民政府令第329号）、《重庆市永川区人民政府关于印发永川区行政规范性文件管理办法的通知》（永川府发〔2021〕4号）有关文件要求，本单位对规范性文件进行了全面清理。经研究，决定对《重庆市永川区南大街街道办事处关于进一步完善临时救助制度相关事宜的通知》（永南大街发〔2022〕72号）文件予以废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rPr>
          <w:sz w:val="32"/>
          <w:szCs w:val="32"/>
        </w:rPr>
      </w:pPr>
      <w:r>
        <w:rPr>
          <w:rFonts w:hint="eastAsia" w:ascii="方正仿宋_GBK" w:hAnsi="方正仿宋_GBK" w:eastAsia="方正仿宋_GBK" w:cs="方正仿宋_GBK"/>
          <w:sz w:val="32"/>
          <w:szCs w:val="32"/>
        </w:rPr>
        <w:t>本决定公布之日起施行。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rPr>
          <w:rFonts w:hint="eastAsia" w:ascii="方正仿宋_GBK" w:hAnsi="方正仿宋_GBK" w:eastAsia="方正仿宋_GBK" w:cs="方正仿宋_GBK"/>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rPr>
          <w:sz w:val="32"/>
          <w:szCs w:val="32"/>
        </w:rPr>
      </w:pPr>
      <w:r>
        <w:rPr>
          <w:rFonts w:hint="eastAsia" w:ascii="方正仿宋_GBK" w:hAnsi="方正仿宋_GBK" w:eastAsia="方正仿宋_GBK" w:cs="方正仿宋_GBK"/>
          <w:sz w:val="32"/>
          <w:szCs w:val="32"/>
        </w:rPr>
        <w:t>附件：废止的规范性文件目录（1件）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textAlignment w:val="auto"/>
        <w:rPr>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jc w:val="right"/>
        <w:textAlignment w:val="auto"/>
        <w:rPr>
          <w:sz w:val="32"/>
          <w:szCs w:val="32"/>
        </w:rPr>
      </w:pPr>
      <w:r>
        <w:rPr>
          <w:rFonts w:hint="eastAsia" w:ascii="方正仿宋_GBK" w:hAnsi="方正仿宋_GBK" w:eastAsia="方正仿宋_GBK" w:cs="方正仿宋_GBK"/>
          <w:sz w:val="32"/>
          <w:szCs w:val="32"/>
        </w:rPr>
        <w:t>重庆市永川区南大街街道办事处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jc w:val="center"/>
        <w:textAlignment w:val="auto"/>
        <w:rPr>
          <w:sz w:val="32"/>
          <w:szCs w:val="32"/>
        </w:rPr>
      </w:pPr>
      <w:r>
        <w:rPr>
          <w:rFonts w:hint="eastAsia" w:ascii="方正仿宋_GBK" w:hAnsi="方正仿宋_GBK" w:eastAsia="方正仿宋_GBK" w:cs="方正仿宋_GBK"/>
          <w:sz w:val="32"/>
          <w:szCs w:val="32"/>
        </w:rPr>
        <w:t>                      2023年9月6日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pPr>
      <w:r>
        <w:rPr>
          <w:rFonts w:hint="eastAsia" w:ascii="方正仿宋_GBK" w:hAnsi="方正仿宋_GBK" w:eastAsia="方正仿宋_GBK" w:cs="方正仿宋_GBK"/>
          <w:sz w:val="32"/>
          <w:szCs w:val="32"/>
        </w:rPr>
        <w:t>（此件公开发布）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textAlignment w:val="auto"/>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textAlignment w:val="auto"/>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textAlignment w:val="auto"/>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textAlignment w:val="auto"/>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textAlignment w:val="auto"/>
      </w:pPr>
    </w:p>
    <w:p>
      <w:pPr>
        <w:pStyle w:val="2"/>
        <w:keepNext w:val="0"/>
        <w:keepLines w:val="0"/>
        <w:widowControl/>
        <w:suppressLineNumbers w:val="0"/>
        <w:spacing w:before="0" w:beforeAutospacing="0" w:after="0" w:afterAutospacing="0" w:line="315" w:lineRule="atLeast"/>
        <w:ind w:left="0" w:right="0"/>
      </w:pPr>
      <w:r>
        <w:rPr>
          <w:rFonts w:hint="eastAsia" w:ascii="方正黑体_GBK" w:hAnsi="方正黑体_GBK" w:eastAsia="方正黑体_GBK" w:cs="方正黑体_GBK"/>
          <w:sz w:val="31"/>
          <w:szCs w:val="31"/>
        </w:rPr>
        <w:t>附件</w:t>
      </w:r>
    </w:p>
    <w:p>
      <w:pPr>
        <w:pStyle w:val="2"/>
        <w:keepNext w:val="0"/>
        <w:keepLines w:val="0"/>
        <w:widowControl/>
        <w:suppressLineNumbers w:val="0"/>
        <w:spacing w:before="0" w:beforeAutospacing="0" w:after="0" w:afterAutospacing="0" w:line="315" w:lineRule="atLeast"/>
        <w:ind w:left="0" w:right="0"/>
      </w:pPr>
    </w:p>
    <w:p>
      <w:pPr>
        <w:pStyle w:val="2"/>
        <w:keepNext w:val="0"/>
        <w:keepLines w:val="0"/>
        <w:widowControl/>
        <w:suppressLineNumbers w:val="0"/>
        <w:spacing w:before="0" w:beforeAutospacing="0" w:after="0" w:afterAutospacing="0" w:line="315" w:lineRule="atLeast"/>
        <w:ind w:left="0" w:right="0"/>
        <w:jc w:val="center"/>
      </w:pPr>
      <w:r>
        <w:rPr>
          <w:rFonts w:hint="eastAsia" w:ascii="方正小标宋_GBK" w:hAnsi="方正小标宋_GBK" w:eastAsia="方正小标宋_GBK" w:cs="方正小标宋_GBK"/>
          <w:sz w:val="36"/>
          <w:szCs w:val="36"/>
        </w:rPr>
        <w:t>废止的规范性文件目录</w:t>
      </w:r>
    </w:p>
    <w:tbl>
      <w:tblPr>
        <w:tblW w:w="8516" w:type="dxa"/>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
      <w:tblGrid>
        <w:gridCol w:w="896"/>
        <w:gridCol w:w="5213"/>
        <w:gridCol w:w="1554"/>
        <w:gridCol w:w="853"/>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c>
          <w:tcPr>
            <w:tcW w:w="896" w:type="dxa"/>
            <w:tcBorders>
              <w:top w:val="single" w:color="auto" w:sz="6" w:space="0"/>
              <w:left w:val="single" w:color="auto" w:sz="6" w:space="0"/>
              <w:bottom w:val="single" w:color="auto" w:sz="6" w:space="0"/>
              <w:right w:val="single" w:color="auto" w:sz="6" w:space="0"/>
            </w:tcBorders>
            <w:shd w:val="clear"/>
            <w:tcMar>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黑体_GBK" w:hAnsi="方正黑体_GBK" w:eastAsia="方正黑体_GBK" w:cs="方正黑体_GBK"/>
                <w:sz w:val="30"/>
                <w:szCs w:val="30"/>
                <w:bdr w:val="none" w:color="auto" w:sz="0" w:space="0"/>
              </w:rPr>
              <w:t>序号</w:t>
            </w:r>
          </w:p>
        </w:tc>
        <w:tc>
          <w:tcPr>
            <w:tcW w:w="5213" w:type="dxa"/>
            <w:tcBorders>
              <w:top w:val="single" w:color="auto" w:sz="6" w:space="0"/>
              <w:left w:val="nil"/>
              <w:bottom w:val="single" w:color="auto" w:sz="6" w:space="0"/>
              <w:right w:val="single" w:color="auto" w:sz="6" w:space="0"/>
            </w:tcBorders>
            <w:shd w:val="clear"/>
            <w:tcMar>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黑体_GBK" w:hAnsi="方正黑体_GBK" w:eastAsia="方正黑体_GBK" w:cs="方正黑体_GBK"/>
                <w:sz w:val="30"/>
                <w:szCs w:val="30"/>
                <w:bdr w:val="none" w:color="auto" w:sz="0" w:space="0"/>
              </w:rPr>
              <w:t>规范性文件名称</w:t>
            </w:r>
          </w:p>
        </w:tc>
        <w:tc>
          <w:tcPr>
            <w:tcW w:w="1554" w:type="dxa"/>
            <w:tcBorders>
              <w:top w:val="single" w:color="auto" w:sz="6" w:space="0"/>
              <w:left w:val="nil"/>
              <w:bottom w:val="single" w:color="auto" w:sz="6" w:space="0"/>
              <w:right w:val="single" w:color="auto" w:sz="6" w:space="0"/>
            </w:tcBorders>
            <w:shd w:val="clear"/>
            <w:tcMar>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黑体_GBK" w:hAnsi="方正黑体_GBK" w:eastAsia="方正黑体_GBK" w:cs="方正黑体_GBK"/>
                <w:sz w:val="30"/>
                <w:szCs w:val="30"/>
                <w:bdr w:val="none" w:color="auto" w:sz="0" w:space="0"/>
              </w:rPr>
              <w:t>发文字号</w:t>
            </w:r>
          </w:p>
        </w:tc>
        <w:tc>
          <w:tcPr>
            <w:tcW w:w="853" w:type="dxa"/>
            <w:tcBorders>
              <w:top w:val="single" w:color="auto" w:sz="6" w:space="0"/>
              <w:left w:val="nil"/>
              <w:bottom w:val="single" w:color="auto" w:sz="6" w:space="0"/>
              <w:right w:val="single" w:color="auto" w:sz="6" w:space="0"/>
            </w:tcBorders>
            <w:shd w:val="clear"/>
            <w:tcMar>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黑体_GBK" w:hAnsi="方正黑体_GBK" w:eastAsia="方正黑体_GBK" w:cs="方正黑体_GBK"/>
                <w:sz w:val="30"/>
                <w:szCs w:val="30"/>
                <w:bdr w:val="none" w:color="auto" w:sz="0" w:space="0"/>
              </w:rPr>
              <w:t>备注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c>
          <w:tcPr>
            <w:tcW w:w="896" w:type="dxa"/>
            <w:tcBorders>
              <w:top w:val="nil"/>
              <w:left w:val="single" w:color="auto" w:sz="6" w:space="0"/>
              <w:bottom w:val="single" w:color="auto" w:sz="6" w:space="0"/>
              <w:right w:val="single" w:color="auto" w:sz="6" w:space="0"/>
            </w:tcBorders>
            <w:shd w:val="clear"/>
            <w:tcMar>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z w:val="31"/>
                <w:szCs w:val="31"/>
                <w:bdr w:val="none" w:color="auto" w:sz="0" w:space="0"/>
              </w:rPr>
              <w:t>1</w:t>
            </w:r>
          </w:p>
        </w:tc>
        <w:tc>
          <w:tcPr>
            <w:tcW w:w="5213" w:type="dxa"/>
            <w:tcBorders>
              <w:top w:val="nil"/>
              <w:left w:val="nil"/>
              <w:bottom w:val="single" w:color="auto" w:sz="6" w:space="0"/>
              <w:right w:val="single" w:color="auto" w:sz="6" w:space="0"/>
            </w:tcBorders>
            <w:shd w:val="clear"/>
            <w:tcMar>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z w:val="28"/>
                <w:szCs w:val="28"/>
                <w:bdr w:val="none" w:color="auto" w:sz="0" w:space="0"/>
              </w:rPr>
              <w:t>重庆市永川区南大街街道办事处关于进一步完善临时救助制度相关事宜的通知</w:t>
            </w:r>
          </w:p>
        </w:tc>
        <w:tc>
          <w:tcPr>
            <w:tcW w:w="1554" w:type="dxa"/>
            <w:tcBorders>
              <w:top w:val="nil"/>
              <w:left w:val="nil"/>
              <w:bottom w:val="single" w:color="auto" w:sz="6" w:space="0"/>
              <w:right w:val="single" w:color="auto" w:sz="6" w:space="0"/>
            </w:tcBorders>
            <w:shd w:val="clear"/>
            <w:tcMar>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sz w:val="28"/>
                <w:szCs w:val="28"/>
                <w:bdr w:val="none" w:color="auto" w:sz="0" w:space="0"/>
              </w:rPr>
              <w:t>永南大街发</w:t>
            </w:r>
            <w:r>
              <w:rPr>
                <w:rFonts w:hint="eastAsia" w:ascii="方正仿宋_GBK" w:hAnsi="方正仿宋_GBK" w:eastAsia="方正仿宋_GBK" w:cs="方正仿宋_GBK"/>
                <w:sz w:val="31"/>
                <w:szCs w:val="31"/>
                <w:bdr w:val="none" w:color="auto" w:sz="0" w:space="0"/>
              </w:rPr>
              <w:t>〔</w:t>
            </w:r>
            <w:r>
              <w:rPr>
                <w:rFonts w:hint="eastAsia" w:ascii="方正仿宋_GBK" w:hAnsi="方正仿宋_GBK" w:eastAsia="方正仿宋_GBK" w:cs="方正仿宋_GBK"/>
                <w:sz w:val="28"/>
                <w:szCs w:val="28"/>
                <w:bdr w:val="none" w:color="auto" w:sz="0" w:space="0"/>
              </w:rPr>
              <w:t>2022</w:t>
            </w:r>
            <w:r>
              <w:rPr>
                <w:rFonts w:hint="eastAsia" w:ascii="方正仿宋_GBK" w:hAnsi="方正仿宋_GBK" w:eastAsia="方正仿宋_GBK" w:cs="方正仿宋_GBK"/>
                <w:sz w:val="31"/>
                <w:szCs w:val="31"/>
                <w:bdr w:val="none" w:color="auto" w:sz="0" w:space="0"/>
              </w:rPr>
              <w:t>〕</w:t>
            </w:r>
            <w:r>
              <w:rPr>
                <w:rFonts w:hint="eastAsia" w:ascii="方正仿宋_GBK" w:hAnsi="方正仿宋_GBK" w:eastAsia="方正仿宋_GBK" w:cs="方正仿宋_GBK"/>
                <w:sz w:val="28"/>
                <w:szCs w:val="28"/>
                <w:bdr w:val="none" w:color="auto" w:sz="0" w:space="0"/>
              </w:rPr>
              <w:t>72号</w:t>
            </w:r>
          </w:p>
        </w:tc>
        <w:tc>
          <w:tcPr>
            <w:tcW w:w="853" w:type="dxa"/>
            <w:tcBorders>
              <w:top w:val="nil"/>
              <w:left w:val="nil"/>
              <w:bottom w:val="single" w:color="auto" w:sz="6" w:space="0"/>
              <w:right w:val="single" w:color="auto" w:sz="6" w:space="0"/>
            </w:tcBorders>
            <w:shd w:val="clear"/>
            <w:tcMar>
              <w:left w:w="105" w:type="dxa"/>
              <w:bottom w:w="0" w:type="dxa"/>
              <w:right w:w="10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trHeight w:val="540" w:hRule="atLeast"/>
        </w:trPr>
        <w:tc>
          <w:tcPr>
            <w:tcW w:w="896" w:type="dxa"/>
            <w:tcBorders>
              <w:top w:val="nil"/>
              <w:left w:val="single" w:color="auto" w:sz="6" w:space="0"/>
              <w:bottom w:val="single" w:color="auto" w:sz="6" w:space="0"/>
              <w:right w:val="single" w:color="auto" w:sz="6" w:space="0"/>
            </w:tcBorders>
            <w:shd w:val="clear"/>
            <w:tcMar>
              <w:left w:w="105" w:type="dxa"/>
              <w:bottom w:w="0" w:type="dxa"/>
              <w:right w:w="105" w:type="dxa"/>
            </w:tcMar>
            <w:vAlign w:val="top"/>
          </w:tcPr>
          <w:p>
            <w:pPr>
              <w:keepNext w:val="0"/>
              <w:keepLines w:val="0"/>
              <w:widowControl/>
              <w:suppressLineNumbers w:val="0"/>
              <w:wordWrap w:val="0"/>
              <w:jc w:val="left"/>
            </w:pPr>
          </w:p>
        </w:tc>
        <w:tc>
          <w:tcPr>
            <w:tcW w:w="5213" w:type="dxa"/>
            <w:tcBorders>
              <w:top w:val="nil"/>
              <w:left w:val="nil"/>
              <w:bottom w:val="single" w:color="auto" w:sz="6" w:space="0"/>
              <w:right w:val="single" w:color="auto" w:sz="6" w:space="0"/>
            </w:tcBorders>
            <w:shd w:val="clear"/>
            <w:tcMar>
              <w:left w:w="105" w:type="dxa"/>
              <w:bottom w:w="0" w:type="dxa"/>
              <w:right w:w="105" w:type="dxa"/>
            </w:tcMar>
            <w:vAlign w:val="top"/>
          </w:tcPr>
          <w:p>
            <w:pPr>
              <w:keepNext w:val="0"/>
              <w:keepLines w:val="0"/>
              <w:widowControl/>
              <w:suppressLineNumbers w:val="0"/>
              <w:wordWrap w:val="0"/>
              <w:jc w:val="left"/>
            </w:pPr>
          </w:p>
        </w:tc>
        <w:tc>
          <w:tcPr>
            <w:tcW w:w="1554" w:type="dxa"/>
            <w:tcBorders>
              <w:top w:val="nil"/>
              <w:left w:val="nil"/>
              <w:bottom w:val="single" w:color="auto" w:sz="6" w:space="0"/>
              <w:right w:val="single" w:color="auto" w:sz="6" w:space="0"/>
            </w:tcBorders>
            <w:shd w:val="clear"/>
            <w:tcMar>
              <w:left w:w="105" w:type="dxa"/>
              <w:bottom w:w="0" w:type="dxa"/>
              <w:right w:w="105" w:type="dxa"/>
            </w:tcMar>
            <w:vAlign w:val="top"/>
          </w:tcPr>
          <w:p>
            <w:pPr>
              <w:keepNext w:val="0"/>
              <w:keepLines w:val="0"/>
              <w:widowControl/>
              <w:suppressLineNumbers w:val="0"/>
              <w:wordWrap w:val="0"/>
              <w:jc w:val="left"/>
            </w:pPr>
          </w:p>
        </w:tc>
        <w:tc>
          <w:tcPr>
            <w:tcW w:w="853" w:type="dxa"/>
            <w:tcBorders>
              <w:top w:val="nil"/>
              <w:left w:val="nil"/>
              <w:bottom w:val="single" w:color="auto" w:sz="6" w:space="0"/>
              <w:right w:val="single" w:color="auto" w:sz="6" w:space="0"/>
            </w:tcBorders>
            <w:shd w:val="clear"/>
            <w:tcMar>
              <w:left w:w="105" w:type="dxa"/>
              <w:bottom w:w="0" w:type="dxa"/>
              <w:right w:w="105" w:type="dxa"/>
            </w:tcMar>
            <w:vAlign w:val="top"/>
          </w:tcPr>
          <w:p>
            <w:pPr>
              <w:keepNext w:val="0"/>
              <w:keepLines w:val="0"/>
              <w:widowControl/>
              <w:suppressLineNumbers w:val="0"/>
              <w:wordWrap w:val="0"/>
              <w:jc w:val="left"/>
            </w:pPr>
          </w:p>
        </w:tc>
      </w:tr>
    </w:tbl>
    <w:p>
      <w:pPr>
        <w:pStyle w:val="2"/>
        <w:keepNext w:val="0"/>
        <w:keepLines w:val="0"/>
        <w:widowControl/>
        <w:suppressLineNumbers w:val="0"/>
        <w:spacing w:before="0" w:beforeAutospacing="0" w:after="0" w:afterAutospacing="0" w:line="315" w:lineRule="atLeast"/>
        <w:ind w:left="0" w:right="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6BE40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2023-09-26T03:04:42Z</dcterms:created>
  <dc:creator>Acer</dc:creator>
  <cp:lastModifiedBy>南大街街道</cp:lastModifiedBy>
  <dcterms:modified xsi:type="dcterms:W3CDTF">2023-09-26T03:09:36Z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