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760" w:lineRule="exact"/>
        <w:textAlignment w:val="auto"/>
        <w:rPr>
          <w:rFonts w:ascii="Times New Roman" w:hAnsi="Times New Roman" w:eastAsia="方正仿宋_GBK"/>
          <w:sz w:val="32"/>
          <w:szCs w:val="32"/>
        </w:rPr>
      </w:pPr>
    </w:p>
    <w:p>
      <w:pPr>
        <w:spacing w:line="594" w:lineRule="exact"/>
        <w:jc w:val="center"/>
        <w:rPr>
          <w:rFonts w:ascii="Times New Roman" w:hAnsi="Times New Roman" w:eastAsia="方正仿宋_GBK"/>
          <w:position w:val="10"/>
          <w:sz w:val="32"/>
          <w:szCs w:val="32"/>
        </w:rPr>
      </w:pPr>
      <w:r>
        <w:rPr>
          <w:rFonts w:ascii="Times New Roman" w:hAnsi="Times New Roman" w:eastAsia="方正仿宋_GBK"/>
          <w:position w:val="10"/>
          <w:sz w:val="32"/>
          <w:szCs w:val="32"/>
        </w:rPr>
        <w:t>临江府〔202</w:t>
      </w:r>
      <w:r>
        <w:rPr>
          <w:rFonts w:hint="eastAsia" w:ascii="Times New Roman" w:hAnsi="Times New Roman" w:eastAsia="方正仿宋_GBK"/>
          <w:position w:val="10"/>
          <w:sz w:val="32"/>
          <w:szCs w:val="32"/>
          <w:lang w:val="en-US" w:eastAsia="zh-CN"/>
        </w:rPr>
        <w:t>2</w:t>
      </w:r>
      <w:r>
        <w:rPr>
          <w:rFonts w:ascii="Times New Roman" w:hAnsi="Times New Roman" w:eastAsia="方正仿宋_GBK"/>
          <w:position w:val="10"/>
          <w:sz w:val="32"/>
          <w:szCs w:val="32"/>
        </w:rPr>
        <w:t>〕</w:t>
      </w:r>
      <w:r>
        <w:rPr>
          <w:rFonts w:hint="eastAsia" w:ascii="Times New Roman" w:hAnsi="Times New Roman" w:eastAsia="方正仿宋_GBK"/>
          <w:position w:val="10"/>
          <w:sz w:val="32"/>
          <w:szCs w:val="32"/>
          <w:lang w:val="en-US" w:eastAsia="zh-CN"/>
        </w:rPr>
        <w:t>15</w:t>
      </w:r>
      <w:r>
        <w:rPr>
          <w:rFonts w:ascii="Times New Roman" w:hAnsi="Times New Roman" w:eastAsia="方正仿宋_GBK"/>
          <w:position w:val="10"/>
          <w:sz w:val="32"/>
          <w:szCs w:val="32"/>
        </w:rPr>
        <w:t>号</w:t>
      </w:r>
    </w:p>
    <w:p>
      <w:pPr>
        <w:spacing w:line="594" w:lineRule="exact"/>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转发《</w:t>
      </w:r>
      <w:r>
        <w:rPr>
          <w:rFonts w:hint="eastAsia" w:ascii="方正小标宋_GBK" w:hAnsi="方正小标宋_GBK" w:eastAsia="方正小标宋_GBK" w:cs="方正小标宋_GBK"/>
          <w:b w:val="0"/>
          <w:bCs w:val="0"/>
          <w:sz w:val="44"/>
          <w:szCs w:val="44"/>
        </w:rPr>
        <w:t>重庆市永川区农业农村委员会关于进一步完善农村土地流转风险保障机制的通知</w:t>
      </w:r>
      <w:r>
        <w:rPr>
          <w:rFonts w:hint="eastAsia" w:ascii="方正小标宋_GBK" w:hAnsi="方正小标宋_GBK" w:eastAsia="方正小标宋_GBK" w:cs="方正小标宋_GBK"/>
          <w:b w:val="0"/>
          <w:bCs w:val="0"/>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的通知</w:t>
      </w:r>
    </w:p>
    <w:bookmarkEnd w:id="0"/>
    <w:p>
      <w:pPr>
        <w:pStyle w:val="10"/>
        <w:keepNext w:val="0"/>
        <w:keepLines w:val="0"/>
        <w:pageBreakBefore w:val="0"/>
        <w:kinsoku/>
        <w:overflowPunct/>
        <w:topLinePunct w:val="0"/>
        <w:autoSpaceDE/>
        <w:autoSpaceDN/>
        <w:bidi w:val="0"/>
        <w:adjustRightInd/>
        <w:snapToGrid/>
        <w:spacing w:before="0" w:beforeAutospacing="0" w:afterAutospacing="0" w:line="594" w:lineRule="exact"/>
        <w:ind w:left="0" w:leftChars="0" w:firstLine="640" w:firstLineChars="200"/>
        <w:textAlignment w:val="auto"/>
        <w:rPr>
          <w:rFonts w:hint="default" w:ascii="Times New Roman" w:hAnsi="Times New Roman" w:eastAsia="方正仿宋_GBK" w:cs="Times New Roman"/>
          <w:sz w:val="32"/>
          <w:szCs w:val="32"/>
        </w:rPr>
      </w:pPr>
    </w:p>
    <w:p>
      <w:pPr>
        <w:pStyle w:val="2"/>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各村居、镇属各部门：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rPr>
      </w:pPr>
      <w:r>
        <w:rPr>
          <w:rFonts w:hint="default" w:ascii="Times New Roman" w:hAnsi="Times New Roman" w:eastAsia="方正仿宋_GBK" w:cs="Times New Roman"/>
          <w:color w:val="000000"/>
          <w:sz w:val="32"/>
          <w:szCs w:val="32"/>
        </w:rPr>
        <w:t>为进一步加强土地流转监督管理，完善我</w:t>
      </w:r>
      <w:r>
        <w:rPr>
          <w:rFonts w:hint="default" w:ascii="Times New Roman" w:hAnsi="Times New Roman" w:eastAsia="方正仿宋_GBK" w:cs="Times New Roman"/>
          <w:color w:val="000000"/>
          <w:sz w:val="32"/>
          <w:szCs w:val="32"/>
          <w:lang w:val="en-US" w:eastAsia="zh-CN"/>
        </w:rPr>
        <w:t>镇</w:t>
      </w:r>
      <w:r>
        <w:rPr>
          <w:rFonts w:hint="default" w:ascii="Times New Roman" w:hAnsi="Times New Roman" w:eastAsia="方正仿宋_GBK" w:cs="Times New Roman"/>
          <w:color w:val="000000"/>
          <w:sz w:val="32"/>
          <w:szCs w:val="32"/>
        </w:rPr>
        <w:t>农村土地流转风险保障机制</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现将</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重庆市永川区农业农村委员会关于进一步完善农村土地流转风险保障机制的通知</w:t>
      </w:r>
      <w:r>
        <w:rPr>
          <w:rFonts w:hint="default" w:ascii="Times New Roman" w:hAnsi="Times New Roman" w:eastAsia="方正仿宋_GBK" w:cs="Times New Roman"/>
          <w:color w:val="000000"/>
          <w:sz w:val="32"/>
          <w:szCs w:val="32"/>
          <w:lang w:val="en-US" w:eastAsia="zh-CN"/>
        </w:rPr>
        <w:t>》转发给你们，请按照文件要求及时开展工作。</w:t>
      </w:r>
    </w:p>
    <w:p>
      <w:pPr>
        <w:spacing w:line="68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2022年2月10日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（此件公开发布）</w:t>
      </w:r>
    </w:p>
    <w:p>
      <w:pPr>
        <w:spacing w:line="720" w:lineRule="exact"/>
        <w:jc w:val="center"/>
        <w:rPr>
          <w:rFonts w:eastAsia="方正小标宋_GBK"/>
          <w:sz w:val="44"/>
          <w:szCs w:val="44"/>
        </w:rPr>
      </w:pPr>
    </w:p>
    <w:p>
      <w:pPr>
        <w:spacing w:line="720" w:lineRule="exact"/>
        <w:jc w:val="center"/>
        <w:rPr>
          <w:rFonts w:eastAsia="方正小标宋_GBK"/>
          <w:sz w:val="44"/>
          <w:szCs w:val="44"/>
        </w:rPr>
      </w:pPr>
      <w:r>
        <w:rPr>
          <w:rFonts w:eastAsia="方正小标宋_GBK"/>
          <w:sz w:val="44"/>
          <w:szCs w:val="44"/>
        </w:rPr>
        <w:t>重庆市永川区农业农村委员会</w:t>
      </w:r>
    </w:p>
    <w:p>
      <w:pPr>
        <w:pStyle w:val="33"/>
        <w:widowControl/>
        <w:rPr>
          <w:rFonts w:ascii="方正小标宋_GBK" w:hAnsi="方正小标宋_GBK" w:cs="方正小标宋_GBK"/>
        </w:rPr>
      </w:pPr>
      <w:r>
        <w:rPr>
          <w:rFonts w:hint="eastAsia" w:ascii="方正小标宋_GBK" w:hAnsi="方正小标宋_GBK" w:cs="方正小标宋_GBK"/>
        </w:rPr>
        <w:t>关于进一步完善农村土地流转风险保障</w:t>
      </w:r>
    </w:p>
    <w:p>
      <w:pPr>
        <w:pStyle w:val="33"/>
        <w:widowControl/>
        <w:rPr>
          <w:rFonts w:ascii="方正小标宋_GBK" w:hAnsi="方正小标宋_GBK" w:cs="方正小标宋_GBK"/>
        </w:rPr>
      </w:pPr>
      <w:r>
        <w:rPr>
          <w:rFonts w:hint="eastAsia" w:ascii="方正小标宋_GBK" w:hAnsi="方正小标宋_GBK" w:cs="方正小标宋_GBK"/>
        </w:rPr>
        <w:t>机制的通知</w:t>
      </w:r>
    </w:p>
    <w:p>
      <w:pPr>
        <w:adjustRightInd w:val="0"/>
        <w:snapToGrid w:val="0"/>
        <w:spacing w:line="720" w:lineRule="exact"/>
        <w:rPr>
          <w:rFonts w:hint="eastAsia" w:ascii="方正小标宋_GBK" w:hAnsi="方正小标宋_GBK" w:eastAsia="方正小标宋_GBK" w:cs="方正小标宋_GBK"/>
          <w:color w:val="000000"/>
          <w:sz w:val="44"/>
          <w:szCs w:val="44"/>
        </w:rPr>
      </w:pPr>
    </w:p>
    <w:p>
      <w:pPr>
        <w:pStyle w:val="34"/>
        <w:spacing w:line="594" w:lineRule="exact"/>
        <w:ind w:firstLine="0" w:firstLineChars="0"/>
        <w:jc w:val="both"/>
        <w:rPr>
          <w:rFonts w:eastAsia="方正仿宋_GBK"/>
          <w:color w:val="000000"/>
          <w:szCs w:val="32"/>
        </w:rPr>
      </w:pPr>
      <w:r>
        <w:rPr>
          <w:rFonts w:eastAsia="方正仿宋_GBK"/>
          <w:color w:val="000000"/>
          <w:szCs w:val="32"/>
        </w:rPr>
        <w:t>各镇人民政府、街道办事处：</w:t>
      </w:r>
    </w:p>
    <w:p>
      <w:pPr>
        <w:pStyle w:val="34"/>
        <w:spacing w:line="594" w:lineRule="exact"/>
        <w:ind w:firstLine="632"/>
        <w:jc w:val="both"/>
        <w:rPr>
          <w:rFonts w:eastAsia="方正仿宋_GBK"/>
          <w:color w:val="000000"/>
        </w:rPr>
      </w:pPr>
      <w:r>
        <w:rPr>
          <w:rFonts w:eastAsia="方正仿宋_GBK"/>
          <w:color w:val="000000"/>
        </w:rPr>
        <w:t>为了进一步加强土地流转监督管理、理顺流转工作秩序，进一步完善风险防范机制，做好源头预防，及时发现、妥善处置农村土地流转中的不稳定因素，在严格执行《永川区农村土地经营权流转管理实施办法》（永府办发〔2019〕83号）的基础上，针对现阶段出现的新情况、新问题，按照区政府153次常务会议要求，现就进一步完善我区农村土地流转风险保障机制有关事宜通知如下：</w:t>
      </w:r>
    </w:p>
    <w:p>
      <w:pPr>
        <w:spacing w:line="594"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一、深入学习宣传贯彻新修订的《重庆市实施&lt;中华人民共和国农村土地承包法&gt;办法》</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为适应农业农村发展新形势新要求， 2021年9月29日重庆市第五届人民代表大会常务委员会第二十八次会议对2007年3月30日重庆市第二届人民代表大会常务委员会第三十次会议通过的《重庆市实施&lt;中华人民共和国农村土地承包法&gt;办法》进行了修订，将党对新时代农业农村工作的重大决策部署和方针政策转化为法律规范，将被实践检验行之有效的农村土地承包政策及实践中的成功经验上升为法律规范。新修正的《实施办法》，对于巩固和完善农村基本经营制度，保持农村土地承包关系稳定并长久不变，维护农村土地承包经营当事人的合法权益，推动乡村振兴，具有重大而深远的意义。</w:t>
      </w:r>
    </w:p>
    <w:p>
      <w:pPr>
        <w:spacing w:line="594"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sz w:val="32"/>
          <w:szCs w:val="32"/>
        </w:rPr>
        <w:t>各镇街要从政治上提高认识，将学习宣传和深入贯彻《实施办法》作为一项重要任务紧紧抓在手上，落实到行动上。</w:t>
      </w:r>
      <w:r>
        <w:rPr>
          <w:rFonts w:hint="default" w:ascii="Times New Roman" w:hAnsi="Times New Roman" w:eastAsia="方正仿宋_GBK" w:cs="Times New Roman"/>
          <w:color w:val="000000"/>
          <w:kern w:val="0"/>
          <w:sz w:val="32"/>
          <w:szCs w:val="32"/>
        </w:rPr>
        <w:t>充分利用广播、电视、网站、手机报、微信公众号、微信群、宣传栏等</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kern w:val="0"/>
          <w:sz w:val="32"/>
          <w:szCs w:val="32"/>
        </w:rPr>
        <w:t>采取农民群众喜闻乐见、生动活泼、通俗易懂的形式，将</w:t>
      </w:r>
      <w:r>
        <w:rPr>
          <w:rFonts w:hint="default" w:ascii="Times New Roman" w:hAnsi="Times New Roman" w:eastAsia="方正仿宋_GBK" w:cs="Times New Roman"/>
          <w:color w:val="000000"/>
          <w:sz w:val="32"/>
          <w:szCs w:val="32"/>
        </w:rPr>
        <w:t>《实施办法》</w:t>
      </w:r>
      <w:r>
        <w:rPr>
          <w:rFonts w:hint="default" w:ascii="Times New Roman" w:hAnsi="Times New Roman" w:eastAsia="方正仿宋_GBK" w:cs="Times New Roman"/>
          <w:color w:val="000000"/>
          <w:kern w:val="0"/>
          <w:sz w:val="32"/>
          <w:szCs w:val="32"/>
        </w:rPr>
        <w:t>的主要内容和精神实质宣传到村、到社、到户、到人。通过开展形式多样的宣传活动，</w:t>
      </w:r>
      <w:r>
        <w:rPr>
          <w:rFonts w:hint="default" w:ascii="Times New Roman" w:hAnsi="Times New Roman" w:eastAsia="方正仿宋_GBK" w:cs="Times New Roman"/>
          <w:color w:val="000000"/>
          <w:sz w:val="32"/>
          <w:szCs w:val="32"/>
        </w:rPr>
        <w:t>使《实施办法》人尽皆知、</w:t>
      </w:r>
      <w:r>
        <w:rPr>
          <w:rFonts w:hint="default" w:ascii="Times New Roman" w:hAnsi="Times New Roman" w:eastAsia="方正仿宋_GBK" w:cs="Times New Roman"/>
          <w:color w:val="000000"/>
          <w:kern w:val="0"/>
          <w:sz w:val="32"/>
          <w:szCs w:val="32"/>
        </w:rPr>
        <w:t>家喻户晓，使发包方、承包方、土地经营权人等权利主体，清楚权利义务，从而正确行使权利，自觉履行义务，依法维护自己的正当权益。</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各镇街要切实履行职责，把学习宣传贯彻</w:t>
      </w:r>
      <w:r>
        <w:rPr>
          <w:rFonts w:hint="default" w:ascii="Times New Roman" w:hAnsi="Times New Roman" w:eastAsia="方正仿宋_GBK" w:cs="Times New Roman"/>
          <w:color w:val="000000"/>
          <w:sz w:val="32"/>
          <w:szCs w:val="32"/>
        </w:rPr>
        <w:t>《实施办法》</w:t>
      </w:r>
      <w:r>
        <w:rPr>
          <w:rFonts w:hint="default" w:ascii="Times New Roman" w:hAnsi="Times New Roman" w:eastAsia="方正仿宋_GBK" w:cs="Times New Roman"/>
          <w:color w:val="000000"/>
          <w:kern w:val="0"/>
          <w:sz w:val="32"/>
          <w:szCs w:val="32"/>
        </w:rPr>
        <w:t>作为当前及今后一个时期的重要任务来抓，综合施策、多管齐下，依法维护农民土地承包经营权，切实增强农民群众的获得感、幸福感、安全感。</w:t>
      </w:r>
    </w:p>
    <w:p>
      <w:pPr>
        <w:spacing w:line="594"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二、完善农村土地流转风险保障机制</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（一）规范流转程序。</w:t>
      </w:r>
      <w:r>
        <w:rPr>
          <w:rFonts w:hint="eastAsia" w:ascii="方正仿宋_GBK" w:hAnsi="方正仿宋_GBK" w:eastAsia="方正仿宋_GBK" w:cs="方正仿宋_GBK"/>
          <w:sz w:val="32"/>
          <w:szCs w:val="32"/>
        </w:rPr>
        <w:t>一是</w:t>
      </w:r>
      <w:r>
        <w:rPr>
          <w:rFonts w:hint="eastAsia" w:ascii="方正仿宋_GBK" w:hAnsi="方正仿宋_GBK" w:eastAsia="方正仿宋_GBK" w:cs="方正仿宋_GBK"/>
          <w:color w:val="000000"/>
          <w:sz w:val="32"/>
          <w:szCs w:val="32"/>
        </w:rPr>
        <w:t>严格按照管理办法要求的协商洽谈、资格审查（村级初审、镇街评审、区级复核）、签订合同的流转程序开展工作，全区采用统一的流转合同模板。</w:t>
      </w:r>
      <w:r>
        <w:rPr>
          <w:rFonts w:hint="eastAsia" w:ascii="方正仿宋_GBK" w:hAnsi="方正仿宋_GBK" w:eastAsia="方正仿宋_GBK" w:cs="方正仿宋_GBK"/>
          <w:sz w:val="32"/>
          <w:szCs w:val="32"/>
        </w:rPr>
        <w:t>二是把握流转原则。遵循平等协商和依法、自愿、有偿的原则，尊重农民主体地位，发挥市场配置功能，强化政府扶持引导；坚持经营规模适度和农地农用；坚持工商资本租赁农地应先付租金、后用地。</w:t>
      </w:r>
    </w:p>
    <w:p>
      <w:pPr>
        <w:spacing w:line="594" w:lineRule="exact"/>
        <w:ind w:firstLine="627" w:firstLineChars="196"/>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sz w:val="32"/>
          <w:szCs w:val="32"/>
        </w:rPr>
        <w:t>（二）严格审核备案。</w:t>
      </w:r>
      <w:r>
        <w:rPr>
          <w:rFonts w:hint="default" w:ascii="Times New Roman" w:hAnsi="Times New Roman" w:eastAsia="方正仿宋_GBK" w:cs="Times New Roman"/>
          <w:color w:val="000000"/>
          <w:sz w:val="32"/>
          <w:szCs w:val="32"/>
        </w:rPr>
        <w:t>加强对土地流转合法性的审查,把好政策关口。区级部门、镇街、村组各司其职，各负其责，协同做好农村土地经营权流转的指导、监督、协调工作。在流转程序上强化资格审查，镇街在对项目建设内容、产业发展是否符合规划等内容审查通过后，出具资格审核意见，镇街初审后，按规定收取风险保障金或参加土地流转履约保证保险，并将办理情况报区级审核、备案。流转规模在50亩（含）以下的，应报区农业农村委备案；50－200亩的报区政府分管农业农村的副区长审签。200－2000亩的还需报区政府常务副区长审签。同时，1000亩（含）以上的报市农业农村委备案。备案通过后方可签订土地流转合同。</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（三）完善风险防范制度</w:t>
      </w:r>
    </w:p>
    <w:p>
      <w:pPr>
        <w:spacing w:line="594" w:lineRule="exact"/>
        <w:ind w:firstLine="629" w:firstLineChars="196"/>
        <w:rPr>
          <w:rFonts w:hint="eastAsia" w:ascii="方正仿宋_GBK" w:hAnsi="方正仿宋_GBK" w:eastAsia="方正仿宋_GBK" w:cs="方正仿宋_GBK"/>
          <w:color w:val="000000"/>
          <w:sz w:val="32"/>
          <w:szCs w:val="32"/>
        </w:rPr>
      </w:pPr>
      <w:r>
        <w:rPr>
          <w:rFonts w:hint="default" w:ascii="方正仿宋_GBK" w:hAnsi="方正仿宋_GBK" w:eastAsia="方正仿宋_GBK" w:cs="方正仿宋_GBK"/>
          <w:b/>
          <w:bCs/>
          <w:color w:val="000000"/>
          <w:sz w:val="32"/>
          <w:szCs w:val="32"/>
        </w:rPr>
        <w:t>一</w:t>
      </w:r>
      <w:r>
        <w:rPr>
          <w:rFonts w:hint="default" w:ascii="Times New Roman" w:hAnsi="Times New Roman" w:eastAsia="方正仿宋_GBK" w:cs="Times New Roman"/>
          <w:kern w:val="0"/>
          <w:sz w:val="32"/>
          <w:szCs w:val="32"/>
        </w:rPr>
        <w:t>是</w:t>
      </w:r>
      <w:r>
        <w:rPr>
          <w:rFonts w:hint="default" w:ascii="Times New Roman" w:hAnsi="Times New Roman" w:eastAsia="方正仿宋_GBK" w:cs="Times New Roman"/>
          <w:sz w:val="32"/>
          <w:szCs w:val="32"/>
        </w:rPr>
        <w:t>实行预付土地流转租金制度。流转土地实行先付租金后用地，流入方提前支付一年的租金。</w:t>
      </w:r>
      <w:r>
        <w:rPr>
          <w:rFonts w:hint="default" w:ascii="方正仿宋_GBK" w:hAnsi="方正仿宋_GBK" w:eastAsia="方正仿宋_GBK" w:cs="方正仿宋_GBK"/>
          <w:b/>
          <w:bCs/>
          <w:color w:val="000000"/>
          <w:sz w:val="32"/>
          <w:szCs w:val="32"/>
        </w:rPr>
        <w:t>二</w:t>
      </w:r>
      <w:r>
        <w:rPr>
          <w:rFonts w:hint="default" w:ascii="Times New Roman" w:hAnsi="Times New Roman" w:eastAsia="方正仿宋_GBK" w:cs="Times New Roman"/>
          <w:sz w:val="32"/>
          <w:szCs w:val="32"/>
        </w:rPr>
        <w:t>是建立风险保障金制度。对土地经营权流转规模50亩以上的、流转规模不足50亩但改变土地现状的，收取一年的土地流转租金</w:t>
      </w:r>
      <w:r>
        <w:rPr>
          <w:rFonts w:hint="eastAsia" w:ascii="方正仿宋_GBK" w:hAnsi="方正仿宋_GBK" w:eastAsia="方正仿宋_GBK" w:cs="方正仿宋_GBK"/>
          <w:sz w:val="32"/>
          <w:szCs w:val="32"/>
        </w:rPr>
        <w:t>作为风险保障金。</w:t>
      </w:r>
      <w:r>
        <w:rPr>
          <w:rFonts w:hint="eastAsia" w:ascii="方正仿宋_GBK" w:hAnsi="方正仿宋_GBK" w:eastAsia="方正仿宋_GBK" w:cs="方正仿宋_GBK"/>
          <w:b/>
          <w:bCs/>
          <w:color w:val="000000"/>
          <w:sz w:val="32"/>
          <w:szCs w:val="32"/>
        </w:rPr>
        <w:t>三</w:t>
      </w:r>
      <w:r>
        <w:rPr>
          <w:rFonts w:hint="eastAsia" w:ascii="方正仿宋_GBK" w:hAnsi="方正仿宋_GBK" w:eastAsia="方正仿宋_GBK" w:cs="方正仿宋_GBK"/>
          <w:sz w:val="32"/>
          <w:szCs w:val="32"/>
        </w:rPr>
        <w:t>是开展土地流转履约保证保险试点，在继续实行土地流转风险保障金制度的基础上，试行农村土地流转履约保证保险。</w:t>
      </w:r>
      <w:r>
        <w:rPr>
          <w:rFonts w:hint="eastAsia" w:ascii="方正仿宋_GBK" w:hAnsi="方正仿宋_GBK" w:eastAsia="方正仿宋_GBK" w:cs="方正仿宋_GBK"/>
          <w:color w:val="000000"/>
          <w:sz w:val="32"/>
          <w:szCs w:val="32"/>
        </w:rPr>
        <w:t>按照</w:t>
      </w:r>
      <w:r>
        <w:rPr>
          <w:rFonts w:hint="eastAsia" w:ascii="方正仿宋_GBK" w:hAnsi="方正仿宋_GBK" w:eastAsia="方正仿宋_GBK" w:cs="方正仿宋_GBK"/>
          <w:sz w:val="32"/>
          <w:szCs w:val="32"/>
        </w:rPr>
        <w:t>《永川区农村土地经营权流转履约保证保险试点方案（试行）》（永川府办发〔</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153</w:t>
      </w:r>
      <w:r>
        <w:rPr>
          <w:rFonts w:hint="eastAsia" w:ascii="方正仿宋_GBK" w:hAnsi="方正仿宋_GBK" w:eastAsia="方正仿宋_GBK" w:cs="方正仿宋_GBK"/>
          <w:sz w:val="32"/>
          <w:szCs w:val="32"/>
        </w:rPr>
        <w:t>号）、《关于开展永川区农村土地经营权流转履约保证保险工作的通知》（永农委发〔</w:t>
      </w:r>
      <w:r>
        <w:rPr>
          <w:rFonts w:hint="eastAsia" w:ascii="Times New Roman" w:hAnsi="Times New Roman" w:eastAsia="方正仿宋_GBK" w:cs="Times New Roman"/>
          <w:sz w:val="32"/>
          <w:szCs w:val="32"/>
        </w:rPr>
        <w:t>2020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171号</w:t>
      </w:r>
      <w:r>
        <w:rPr>
          <w:rFonts w:hint="eastAsia" w:ascii="方正仿宋_GBK" w:hAnsi="方正仿宋_GBK" w:eastAsia="方正仿宋_GBK" w:cs="方正仿宋_GBK"/>
          <w:sz w:val="32"/>
          <w:szCs w:val="32"/>
        </w:rPr>
        <w:t>）、《关于农村土地流转履约保证保险工作的补充通知》（永农委发〔</w:t>
      </w:r>
      <w:r>
        <w:rPr>
          <w:rFonts w:hint="eastAsia"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号）。要求新流转</w:t>
      </w:r>
      <w:r>
        <w:rPr>
          <w:rFonts w:hint="eastAsia" w:ascii="Times New Roman" w:hAnsi="Times New Roman" w:eastAsia="方正仿宋_GBK" w:cs="Times New Roman"/>
          <w:sz w:val="32"/>
          <w:szCs w:val="32"/>
        </w:rPr>
        <w:t>土地50亩以上的经</w:t>
      </w:r>
      <w:r>
        <w:rPr>
          <w:rFonts w:hint="eastAsia" w:ascii="方正仿宋_GBK" w:hAnsi="方正仿宋_GBK" w:eastAsia="方正仿宋_GBK" w:cs="方正仿宋_GBK"/>
          <w:sz w:val="32"/>
          <w:szCs w:val="32"/>
        </w:rPr>
        <w:t>营业主在缴纳风险保障金和参与土地流转履约保证保险必须二选一，</w:t>
      </w:r>
      <w:r>
        <w:rPr>
          <w:rFonts w:hint="eastAsia" w:ascii="方正仿宋_GBK" w:hAnsi="方正仿宋_GBK" w:eastAsia="方正仿宋_GBK" w:cs="方正仿宋_GBK"/>
          <w:color w:val="000000"/>
          <w:sz w:val="32"/>
          <w:szCs w:val="32"/>
        </w:rPr>
        <w:t>并鼓励以前的土地流转项目参加土地流转履约保证保险。</w:t>
      </w:r>
      <w:r>
        <w:rPr>
          <w:rFonts w:hint="eastAsia" w:ascii="方正仿宋_GBK" w:hAnsi="方正仿宋_GBK" w:eastAsia="方正仿宋_GBK" w:cs="方正仿宋_GBK"/>
          <w:sz w:val="32"/>
          <w:szCs w:val="32"/>
        </w:rPr>
        <w:t>各镇街要认真清</w:t>
      </w:r>
      <w:r>
        <w:rPr>
          <w:rFonts w:hint="eastAsia" w:ascii="Times New Roman" w:hAnsi="Times New Roman" w:eastAsia="方正仿宋_GBK" w:cs="Times New Roman"/>
          <w:sz w:val="32"/>
          <w:szCs w:val="32"/>
        </w:rPr>
        <w:t>理2019年</w:t>
      </w:r>
      <w:r>
        <w:rPr>
          <w:rFonts w:hint="eastAsia" w:ascii="方正仿宋_GBK" w:hAnsi="方正仿宋_GBK" w:eastAsia="方正仿宋_GBK" w:cs="方正仿宋_GBK"/>
          <w:sz w:val="32"/>
          <w:szCs w:val="32"/>
        </w:rPr>
        <w:t>以来新流转的项目是否</w:t>
      </w:r>
      <w:r>
        <w:rPr>
          <w:rFonts w:hint="eastAsia" w:ascii="方正仿宋_GBK" w:hAnsi="方正仿宋_GBK" w:eastAsia="方正仿宋_GBK" w:cs="方正仿宋_GBK"/>
          <w:color w:val="000000"/>
          <w:sz w:val="32"/>
          <w:szCs w:val="32"/>
        </w:rPr>
        <w:t>缴纳风险保障金或参加土地流转履约保证保险，对新流转没有缴纳风险保障金或参加土地流转履约保证保险的，各镇街要分别做好项目业主工作，按规定要求缴纳风险保障金或参加土地流转履约保证保险。对经镇街告知或催交仍未 “参保”或缴纳风险保障金和完善备案手续的，</w:t>
      </w:r>
      <w:r>
        <w:rPr>
          <w:rFonts w:hint="eastAsia" w:ascii="方正仿宋_GBK" w:hAnsi="方正仿宋_GBK" w:eastAsia="方正仿宋_GBK" w:cs="方正仿宋_GBK"/>
          <w:bCs/>
          <w:color w:val="000000"/>
          <w:sz w:val="32"/>
          <w:szCs w:val="32"/>
        </w:rPr>
        <w:t>报</w:t>
      </w:r>
      <w:r>
        <w:rPr>
          <w:rFonts w:hint="eastAsia" w:ascii="方正仿宋_GBK" w:hAnsi="方正仿宋_GBK" w:eastAsia="方正仿宋_GBK" w:cs="方正仿宋_GBK"/>
          <w:color w:val="000000"/>
          <w:sz w:val="32"/>
          <w:szCs w:val="32"/>
        </w:rPr>
        <w:t>相关部门将其录入相关企业信用信息公示平台，并对其在惠农政策扶持、财政资金补贴、</w:t>
      </w:r>
      <w:r>
        <w:rPr>
          <w:rFonts w:hint="eastAsia" w:ascii="方正仿宋_GBK" w:hAnsi="方正仿宋_GBK" w:eastAsia="方正仿宋_GBK" w:cs="方正仿宋_GBK"/>
          <w:sz w:val="32"/>
          <w:szCs w:val="32"/>
        </w:rPr>
        <w:t>各类农业项目补贴</w:t>
      </w:r>
      <w:r>
        <w:rPr>
          <w:rFonts w:hint="eastAsia" w:ascii="方正仿宋_GBK" w:hAnsi="方正仿宋_GBK" w:eastAsia="方正仿宋_GBK" w:cs="方正仿宋_GBK"/>
          <w:color w:val="000000"/>
          <w:sz w:val="32"/>
          <w:szCs w:val="32"/>
        </w:rPr>
        <w:t>等方面予以限制。</w:t>
      </w:r>
      <w:r>
        <w:rPr>
          <w:rFonts w:hint="eastAsia" w:ascii="方正仿宋_GBK" w:hAnsi="方正仿宋_GBK" w:eastAsia="方正仿宋_GBK" w:cs="方正仿宋_GBK"/>
          <w:sz w:val="32"/>
          <w:szCs w:val="32"/>
        </w:rPr>
        <w:t>对于拖欠农民流转土地租金</w:t>
      </w:r>
      <w:r>
        <w:rPr>
          <w:rFonts w:hint="eastAsia" w:ascii="方正仿宋_GBK" w:hAnsi="方正仿宋_GBK" w:eastAsia="方正仿宋_GBK" w:cs="方正仿宋_GBK"/>
          <w:color w:val="000000"/>
          <w:sz w:val="32"/>
          <w:szCs w:val="32"/>
        </w:rPr>
        <w:t>或</w:t>
      </w:r>
      <w:r>
        <w:rPr>
          <w:rFonts w:hint="eastAsia" w:ascii="方正仿宋_GBK" w:hAnsi="方正仿宋_GBK" w:eastAsia="方正仿宋_GBK" w:cs="方正仿宋_GBK"/>
          <w:sz w:val="32"/>
          <w:szCs w:val="32"/>
        </w:rPr>
        <w:t>农民工工资的</w:t>
      </w:r>
      <w:r>
        <w:rPr>
          <w:rFonts w:hint="eastAsia" w:ascii="方正仿宋_GBK" w:hAnsi="方正仿宋_GBK" w:eastAsia="方正仿宋_GBK" w:cs="方正仿宋_GBK"/>
          <w:color w:val="000000"/>
          <w:sz w:val="32"/>
          <w:szCs w:val="32"/>
        </w:rPr>
        <w:t>经营主体</w:t>
      </w:r>
      <w:r>
        <w:rPr>
          <w:rFonts w:hint="eastAsia" w:ascii="方正仿宋_GBK" w:hAnsi="方正仿宋_GBK" w:eastAsia="方正仿宋_GBK" w:cs="方正仿宋_GBK"/>
          <w:sz w:val="32"/>
          <w:szCs w:val="32"/>
        </w:rPr>
        <w:t>，区农业农村委将其纳入黑名单管理，取消龙头企业资格或申报资格，不再给予农业项目支持。</w:t>
      </w:r>
      <w:r>
        <w:rPr>
          <w:rFonts w:hint="eastAsia" w:ascii="方正仿宋_GBK" w:hAnsi="方正仿宋_GBK" w:eastAsia="方正仿宋_GBK" w:cs="方正仿宋_GBK"/>
          <w:b/>
          <w:bCs/>
          <w:color w:val="000000"/>
          <w:sz w:val="32"/>
          <w:szCs w:val="32"/>
        </w:rPr>
        <w:t>四</w:t>
      </w:r>
      <w:r>
        <w:rPr>
          <w:rFonts w:hint="eastAsia" w:ascii="方正仿宋_GBK" w:hAnsi="方正仿宋_GBK" w:eastAsia="方正仿宋_GBK" w:cs="方正仿宋_GBK"/>
          <w:color w:val="000000"/>
          <w:kern w:val="0"/>
          <w:sz w:val="32"/>
          <w:szCs w:val="32"/>
        </w:rPr>
        <w:t>是坚持上限控制</w:t>
      </w:r>
      <w:r>
        <w:rPr>
          <w:rFonts w:hint="eastAsia" w:ascii="Times New Roman" w:hAnsi="Times New Roman" w:eastAsia="方正仿宋_GBK" w:cs="Times New Roman"/>
          <w:sz w:val="32"/>
          <w:szCs w:val="32"/>
        </w:rPr>
        <w:t>。全区土地经营权首次流转面积严格实行上限控制，蔬菜、水果种植流转面积不大于300亩，茶叶、粮油种植流转面积不大于800亩。再次流转的，确</w:t>
      </w:r>
      <w:r>
        <w:rPr>
          <w:rFonts w:hint="eastAsia" w:ascii="方正仿宋_GBK" w:hAnsi="方正仿宋_GBK" w:eastAsia="方正仿宋_GBK" w:cs="方正仿宋_GBK"/>
          <w:color w:val="000000"/>
          <w:kern w:val="0"/>
          <w:sz w:val="32"/>
          <w:szCs w:val="32"/>
        </w:rPr>
        <w:t>有良好经营业绩，按审核程序批准后可进一步扩大流转规模。</w:t>
      </w:r>
    </w:p>
    <w:p>
      <w:pPr>
        <w:pStyle w:val="34"/>
        <w:spacing w:line="594" w:lineRule="exact"/>
        <w:ind w:firstLine="632"/>
        <w:jc w:val="both"/>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（四）摸清底数，建立台帐</w:t>
      </w:r>
    </w:p>
    <w:p>
      <w:pPr>
        <w:pStyle w:val="34"/>
        <w:spacing w:line="594" w:lineRule="exact"/>
        <w:ind w:firstLine="632"/>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sz w:val="32"/>
          <w:szCs w:val="32"/>
        </w:rPr>
        <w:t>镇街要对辖区内土地流转情况进行一次认真清理，摸清底数，对没有签定规范流转合同的要按要求完善合同，己签定的要建立相应的台帐，并按要求收集整理归档每一起流转项目的相关资料。</w:t>
      </w:r>
      <w:r>
        <w:rPr>
          <w:rFonts w:hint="eastAsia" w:ascii="方正仿宋_GBK" w:hAnsi="方正仿宋_GBK" w:eastAsia="方正仿宋_GBK" w:cs="方正仿宋_GBK"/>
          <w:color w:val="000000"/>
          <w:sz w:val="32"/>
          <w:szCs w:val="32"/>
        </w:rPr>
        <w:t>对应缴纳土地流转风</w:t>
      </w:r>
      <w:r>
        <w:rPr>
          <w:rFonts w:hint="default" w:ascii="Times New Roman" w:hAnsi="Times New Roman" w:eastAsia="方正仿宋_GBK" w:cs="Times New Roman"/>
          <w:color w:val="000000"/>
          <w:sz w:val="32"/>
          <w:szCs w:val="32"/>
        </w:rPr>
        <w:t>险保障金或购买土地流转履约保证保险，而没有缴纳的，要督促业主尽快办理。各镇街将清理结果于2022年3月31日前报区农业农村委，今后每季度末月20日前报送一次土地流转报表，50亩以上土地流转协议签订后，2个月内必须完成区级备案手续。区农业农村委将土地流转备案</w:t>
      </w:r>
      <w:r>
        <w:rPr>
          <w:rFonts w:hint="eastAsia" w:ascii="方正仿宋_GBK" w:hAnsi="方正仿宋_GBK" w:eastAsia="方正仿宋_GBK" w:cs="方正仿宋_GBK"/>
          <w:color w:val="000000"/>
          <w:sz w:val="32"/>
          <w:szCs w:val="32"/>
        </w:rPr>
        <w:t>情况及风险保障金或履约保证保险情况纳入年度考核并定期通报，对工作不力的镇街提请区政府约谈。</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（五）健全土地流转纠纷调处机制。</w:t>
      </w:r>
      <w:r>
        <w:rPr>
          <w:rFonts w:hint="eastAsia" w:ascii="方正仿宋_GBK" w:hAnsi="方正仿宋_GBK" w:eastAsia="方正仿宋_GBK" w:cs="方正仿宋_GBK"/>
          <w:color w:val="000000"/>
          <w:sz w:val="32"/>
          <w:szCs w:val="32"/>
        </w:rPr>
        <w:t>建立健全村组协商、镇（街）调解、区仲裁、司法保障的农村土地承包经营权纠纷调处体系。镇（街）、村级人民调解组织，负责本区域范围内土地承包经营权流转中权属争议、合同争议等纠纷的协商、调解。区农村土地承包纠纷仲裁庭，负责开展土地承包及流转纠纷的调查、审理、裁决。按照协商为先、调解为主、仲裁为辅的原则，积极化解农村土地承包矛盾，维护好农民土地承包合法权益，促进社会和谐稳定。</w:t>
      </w:r>
      <w:r>
        <w:rPr>
          <w:rFonts w:hint="eastAsia" w:ascii="方正仿宋_GBK" w:hAnsi="方正仿宋_GBK" w:eastAsia="方正仿宋_GBK" w:cs="方正仿宋_GBK"/>
          <w:sz w:val="32"/>
          <w:szCs w:val="32"/>
        </w:rPr>
        <w:t>对土地承租人故意拖欠租金，久拖未付，金额较大，涉及群众多，反映强烈，调解、仲裁均无法解决的，各镇街要积极引导，并协助群众通过司法程序解决，及时解除《土地流转合同》，依法追讨土地租金和欠薪。</w:t>
      </w:r>
    </w:p>
    <w:p>
      <w:pPr>
        <w:spacing w:line="594"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三、建立土地流转经营企业退出机制，加大欠租欠薪追收力度</w:t>
      </w:r>
    </w:p>
    <w:p>
      <w:pPr>
        <w:pStyle w:val="12"/>
        <w:spacing w:beforeAutospacing="0" w:afterAutospacing="0" w:line="594"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和完善土地流转经营企业退出机制，及时化解风险，保护农户的合法权益。经营业主因各种原因导致经营困难，无法支付租金，应及时启动退出机制。在经营业主应付下年租金一个月前，镇街村组应及时告知，逾期一个月未支付的，要组织召开涉及农户会议，按照流转合同约定，及时通过调解、协商约定最后付款期限，如到期未能支付，即通过司法等途径中止流转合同，减少损失。</w:t>
      </w:r>
      <w:r>
        <w:rPr>
          <w:rFonts w:hint="eastAsia" w:ascii="方正仿宋_GBK" w:hAnsi="方正仿宋_GBK" w:eastAsia="方正仿宋_GBK" w:cs="方正仿宋_GBK"/>
          <w:color w:val="000000"/>
          <w:sz w:val="32"/>
          <w:szCs w:val="32"/>
        </w:rPr>
        <w:t>终</w:t>
      </w:r>
      <w:r>
        <w:rPr>
          <w:rFonts w:hint="eastAsia" w:ascii="方正仿宋_GBK" w:hAnsi="方正仿宋_GBK" w:eastAsia="方正仿宋_GBK" w:cs="方正仿宋_GBK"/>
          <w:sz w:val="32"/>
          <w:szCs w:val="32"/>
        </w:rPr>
        <w:t>止合同后，对地块边界清楚的及时返还各农户，对地块边界己不清楚的，</w:t>
      </w:r>
      <w:r>
        <w:rPr>
          <w:rFonts w:hint="eastAsia" w:ascii="方正仿宋_GBK" w:hAnsi="方正仿宋_GBK" w:eastAsia="方正仿宋_GBK" w:cs="方正仿宋_GBK"/>
          <w:color w:val="000000"/>
          <w:sz w:val="32"/>
          <w:szCs w:val="32"/>
        </w:rPr>
        <w:t>可以</w:t>
      </w:r>
      <w:r>
        <w:rPr>
          <w:rFonts w:hint="eastAsia" w:ascii="方正仿宋_GBK" w:hAnsi="方正仿宋_GBK" w:eastAsia="方正仿宋_GBK" w:cs="方正仿宋_GBK"/>
          <w:sz w:val="32"/>
          <w:szCs w:val="32"/>
        </w:rPr>
        <w:t>以村组名义或组织带头人组建土地股份合作社，</w:t>
      </w:r>
      <w:r>
        <w:rPr>
          <w:rFonts w:hint="eastAsia" w:ascii="方正仿宋_GBK" w:hAnsi="方正仿宋_GBK" w:eastAsia="方正仿宋_GBK" w:cs="方正仿宋_GBK"/>
          <w:color w:val="000000"/>
          <w:sz w:val="32"/>
          <w:szCs w:val="32"/>
        </w:rPr>
        <w:t>也可以</w:t>
      </w:r>
      <w:r>
        <w:rPr>
          <w:rFonts w:hint="eastAsia" w:ascii="方正仿宋_GBK" w:hAnsi="方正仿宋_GBK" w:eastAsia="方正仿宋_GBK" w:cs="方正仿宋_GBK"/>
          <w:sz w:val="32"/>
          <w:szCs w:val="32"/>
        </w:rPr>
        <w:t>帮助引进新的业主。同时，继续对原业主所欠租金和农民工资进行追缴。</w:t>
      </w:r>
    </w:p>
    <w:p>
      <w:pPr>
        <w:pStyle w:val="35"/>
        <w:spacing w:line="594" w:lineRule="exact"/>
        <w:ind w:firstLine="632"/>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农村土地流转过程中出现欠租、欠薪问题，各镇街要按照“属地管理”原则，加大催收力度。对涉及农户广、金额大、催收困难的，各镇街要积极协调区政法委、区法院、区司法局、区公安局等相关部门，进行专题研判。对不能通过调处解决的，尽快移交司法程序解决。对因欠租、欠薪问题导致土地闲置的，帮助尽快完成转租，恢复生产，减少损失。</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排查出涉及土地承包或流转的矛盾纠纷和不稳定问题，各镇街要逐一落实“五定”工作措施（定责任单位、定责任领导和人员、定解决方案、定办结时限、定办结标准），重大突出问题由镇街党政主要负责人亲自包案处理，按照“三步化解法”开展调处化解工作，一是由各镇街组织信访、司法等部门进行调解；二是调解不成，引导涉事人报区农村土地承包纠纷仲裁庭仲裁；三是通过引导群众通过司法程序解决。</w:t>
      </w:r>
    </w:p>
    <w:p>
      <w:pPr>
        <w:pStyle w:val="11"/>
        <w:widowControl/>
        <w:spacing w:line="594" w:lineRule="exact"/>
        <w:ind w:left="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镇街高度重视土地承包及流转工作，切实建立健全土地流转风险保障机制，认真执行土地流转资格审查制度和备案制度，严格按规定收取土地流转风险保障金或要求业主购买土地流转履约保证保险，维护农民群众的合法权益。在工作中发现的问题及时反馈区农业农村委。</w:t>
      </w:r>
    </w:p>
    <w:p>
      <w:pPr>
        <w:spacing w:line="594" w:lineRule="exact"/>
        <w:ind w:firstLine="640" w:firstLineChars="200"/>
        <w:rPr>
          <w:rFonts w:hint="eastAsia" w:ascii="方正仿宋_GBK" w:hAnsi="方正仿宋_GBK" w:eastAsia="方正仿宋_GBK" w:cs="方正仿宋_GBK"/>
          <w:sz w:val="32"/>
          <w:szCs w:val="32"/>
        </w:rPr>
      </w:pPr>
    </w:p>
    <w:p>
      <w:pPr>
        <w:spacing w:line="594"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附件：1.永川区农村土地流转及规模经营季度统计表</w:t>
      </w:r>
    </w:p>
    <w:p>
      <w:pPr>
        <w:spacing w:line="594" w:lineRule="exact"/>
        <w:ind w:firstLine="1920" w:firstLineChars="6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（一、二）</w:t>
      </w:r>
    </w:p>
    <w:p>
      <w:pPr>
        <w:spacing w:line="594" w:lineRule="exact"/>
        <w:ind w:left="1895" w:hanging="1920" w:hangingChars="6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2.永川区农村土地承包经营权流转备案登记台帐（50亩以上）</w:t>
      </w:r>
    </w:p>
    <w:p>
      <w:pPr>
        <w:pStyle w:val="12"/>
        <w:shd w:val="clear" w:color="auto" w:fill="FFFFFF"/>
        <w:spacing w:before="0" w:beforeAutospacing="0" w:after="0" w:afterAutospacing="0" w:line="6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w:t>
      </w:r>
    </w:p>
    <w:p>
      <w:pPr>
        <w:adjustRightInd w:val="0"/>
        <w:snapToGrid w:val="0"/>
        <w:spacing w:line="570" w:lineRule="exact"/>
        <w:ind w:right="-76" w:rightChars="-36" w:firstLine="160" w:firstLineChars="50"/>
        <w:rPr>
          <w:rFonts w:hint="default" w:ascii="Times New Roman" w:hAnsi="Times New Roman" w:eastAsia="方正仿宋_GBK" w:cs="Times New Roman"/>
          <w:spacing w:val="79"/>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重庆市永川区农业农村委员会</w:t>
      </w:r>
    </w:p>
    <w:p>
      <w:pPr>
        <w:pStyle w:val="12"/>
        <w:shd w:val="clear" w:color="auto" w:fill="FFFFFF"/>
        <w:spacing w:before="0" w:beforeAutospacing="0" w:after="0" w:afterAutospacing="0" w:line="600" w:lineRule="exact"/>
        <w:ind w:firstLine="5760" w:firstLineChars="18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2022年1月21日</w:t>
      </w:r>
    </w:p>
    <w:p>
      <w:pPr>
        <w:spacing w:line="594" w:lineRule="exact"/>
        <w:ind w:firstLine="640"/>
        <w:rPr>
          <w:rFonts w:hint="default" w:ascii="Times New Roman" w:hAnsi="Times New Roman" w:eastAsia="方正仿宋_GBK" w:cs="Times New Roman"/>
          <w:sz w:val="32"/>
          <w:szCs w:val="32"/>
        </w:rPr>
      </w:pPr>
    </w:p>
    <w:p>
      <w:pPr>
        <w:wordWrap w:val="0"/>
        <w:spacing w:line="594" w:lineRule="exact"/>
        <w:ind w:firstLine="641"/>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（联系人：彭明贤；电话：49580262；邮箱：497714485@qq.com）</w:t>
      </w:r>
    </w:p>
    <w:p>
      <w:pPr>
        <w:tabs>
          <w:tab w:val="left" w:pos="912"/>
        </w:tabs>
        <w:spacing w:line="594" w:lineRule="exact"/>
        <w:ind w:firstLine="640" w:firstLineChars="200"/>
        <w:jc w:val="left"/>
        <w:rPr>
          <w:rFonts w:hint="eastAsia" w:ascii="方正仿宋_GBK" w:hAnsi="方正仿宋_GBK" w:eastAsia="方正仿宋_GBK" w:cs="方正仿宋_GBK"/>
          <w:color w:val="000000"/>
          <w:sz w:val="32"/>
          <w:szCs w:val="32"/>
        </w:rPr>
        <w:sectPr>
          <w:footerReference r:id="rId6" w:type="first"/>
          <w:headerReference r:id="rId3" w:type="default"/>
          <w:footerReference r:id="rId4" w:type="default"/>
          <w:footerReference r:id="rId5" w:type="even"/>
          <w:pgSz w:w="11906" w:h="16838"/>
          <w:pgMar w:top="1985" w:right="1446" w:bottom="1644" w:left="1446" w:header="851" w:footer="992" w:gutter="0"/>
          <w:pgNumType w:fmt="numberInDash"/>
          <w:cols w:space="425" w:num="1"/>
          <w:titlePg/>
          <w:docGrid w:type="lines" w:linePitch="312" w:charSpace="0"/>
        </w:sectPr>
      </w:pPr>
      <w:r>
        <w:rPr>
          <w:rFonts w:hint="eastAsia" w:ascii="方正仿宋_GBK" w:hAnsi="方正仿宋_GBK" w:eastAsia="方正仿宋_GBK" w:cs="方正仿宋_GBK"/>
          <w:color w:val="000000"/>
          <w:sz w:val="32"/>
          <w:szCs w:val="32"/>
        </w:rPr>
        <w:t>（此件公开发布）</w:t>
      </w:r>
    </w:p>
    <w:tbl>
      <w:tblPr>
        <w:tblStyle w:val="14"/>
        <w:tblW w:w="15300" w:type="dxa"/>
        <w:tblInd w:w="-1275" w:type="dxa"/>
        <w:tblLayout w:type="fixed"/>
        <w:tblCellMar>
          <w:top w:w="15" w:type="dxa"/>
          <w:left w:w="15" w:type="dxa"/>
          <w:bottom w:w="15" w:type="dxa"/>
          <w:right w:w="15" w:type="dxa"/>
        </w:tblCellMar>
      </w:tblPr>
      <w:tblGrid>
        <w:gridCol w:w="1003"/>
        <w:gridCol w:w="1539"/>
        <w:gridCol w:w="1116"/>
        <w:gridCol w:w="537"/>
        <w:gridCol w:w="516"/>
        <w:gridCol w:w="437"/>
        <w:gridCol w:w="437"/>
        <w:gridCol w:w="437"/>
        <w:gridCol w:w="304"/>
        <w:gridCol w:w="305"/>
        <w:gridCol w:w="423"/>
        <w:gridCol w:w="421"/>
        <w:gridCol w:w="524"/>
        <w:gridCol w:w="525"/>
        <w:gridCol w:w="305"/>
        <w:gridCol w:w="577"/>
        <w:gridCol w:w="353"/>
        <w:gridCol w:w="509"/>
        <w:gridCol w:w="537"/>
        <w:gridCol w:w="550"/>
        <w:gridCol w:w="467"/>
        <w:gridCol w:w="536"/>
        <w:gridCol w:w="902"/>
        <w:gridCol w:w="1020"/>
        <w:gridCol w:w="1020"/>
      </w:tblGrid>
      <w:tr>
        <w:tblPrEx>
          <w:tblCellMar>
            <w:top w:w="15" w:type="dxa"/>
            <w:left w:w="15" w:type="dxa"/>
            <w:bottom w:w="15" w:type="dxa"/>
            <w:right w:w="15" w:type="dxa"/>
          </w:tblCellMar>
        </w:tblPrEx>
        <w:trPr>
          <w:trHeight w:val="363" w:hRule="atLeast"/>
        </w:trPr>
        <w:tc>
          <w:tcPr>
            <w:tcW w:w="15300" w:type="dxa"/>
            <w:gridSpan w:val="25"/>
            <w:vMerge w:val="restart"/>
            <w:vAlign w:val="center"/>
          </w:tcPr>
          <w:p>
            <w:pPr>
              <w:widowControl/>
              <w:jc w:val="center"/>
              <w:textAlignment w:val="center"/>
              <w:rPr>
                <w:rFonts w:hint="eastAsia" w:ascii="宋体" w:hAnsi="宋体" w:eastAsia="宋体" w:cs="宋体"/>
                <w:b/>
                <w:color w:val="000000"/>
                <w:sz w:val="28"/>
                <w:szCs w:val="28"/>
              </w:rPr>
            </w:pPr>
            <w:r>
              <w:rPr>
                <w:rFonts w:hint="eastAsia" w:ascii="方正小标宋_GBK" w:hAnsi="方正小标宋_GBK" w:eastAsia="方正小标宋_GBK" w:cs="方正小标宋_GBK"/>
                <w:bCs/>
                <w:color w:val="000000"/>
                <w:kern w:val="0"/>
                <w:sz w:val="44"/>
                <w:szCs w:val="44"/>
                <w:lang w:bidi="ar"/>
              </w:rPr>
              <w:t>永川区农村土地流转及规模经营季度统计表(表一)</w:t>
            </w:r>
          </w:p>
        </w:tc>
      </w:tr>
      <w:tr>
        <w:tblPrEx>
          <w:tblCellMar>
            <w:top w:w="15" w:type="dxa"/>
            <w:left w:w="15" w:type="dxa"/>
            <w:bottom w:w="15" w:type="dxa"/>
            <w:right w:w="15" w:type="dxa"/>
          </w:tblCellMar>
        </w:tblPrEx>
        <w:trPr>
          <w:trHeight w:val="363" w:hRule="atLeast"/>
        </w:trPr>
        <w:tc>
          <w:tcPr>
            <w:tcW w:w="15300" w:type="dxa"/>
            <w:gridSpan w:val="25"/>
            <w:vMerge w:val="continue"/>
            <w:vAlign w:val="center"/>
          </w:tcPr>
          <w:p>
            <w:pPr>
              <w:jc w:val="center"/>
              <w:rPr>
                <w:rFonts w:hint="eastAsia" w:ascii="宋体" w:hAnsi="宋体" w:eastAsia="宋体" w:cs="宋体"/>
                <w:b/>
                <w:color w:val="000000"/>
                <w:sz w:val="28"/>
                <w:szCs w:val="28"/>
              </w:rPr>
            </w:pPr>
          </w:p>
        </w:tc>
      </w:tr>
      <w:tr>
        <w:tblPrEx>
          <w:tblCellMar>
            <w:top w:w="15" w:type="dxa"/>
            <w:left w:w="15" w:type="dxa"/>
            <w:bottom w:w="15" w:type="dxa"/>
            <w:right w:w="15" w:type="dxa"/>
          </w:tblCellMar>
        </w:tblPrEx>
        <w:trPr>
          <w:trHeight w:val="340" w:hRule="atLeast"/>
        </w:trPr>
        <w:tc>
          <w:tcPr>
            <w:tcW w:w="15300" w:type="dxa"/>
            <w:gridSpan w:val="25"/>
            <w:vAlign w:val="center"/>
          </w:tcPr>
          <w:p>
            <w:pPr>
              <w:widowControl/>
              <w:ind w:firstLine="1296" w:firstLineChars="600"/>
              <w:jc w:val="left"/>
              <w:textAlignment w:val="center"/>
              <w:rPr>
                <w:rFonts w:hint="eastAsia" w:ascii="宋体" w:hAnsi="宋体" w:eastAsia="宋体" w:cs="宋体"/>
                <w:b/>
                <w:color w:val="000000"/>
                <w:sz w:val="22"/>
                <w:szCs w:val="22"/>
              </w:rPr>
            </w:pPr>
            <w:r>
              <w:rPr>
                <w:rFonts w:hint="eastAsia" w:ascii="方正仿宋_GBK" w:hAnsi="方正仿宋_GBK" w:cs="方正仿宋_GBK"/>
                <w:bCs/>
                <w:color w:val="000000"/>
                <w:kern w:val="0"/>
                <w:sz w:val="22"/>
                <w:szCs w:val="22"/>
                <w:lang w:bidi="ar"/>
              </w:rPr>
              <w:t xml:space="preserve">填报单位:                                                                                           </w:t>
            </w:r>
            <w:r>
              <w:rPr>
                <w:rFonts w:hint="eastAsia" w:ascii="方正仿宋_GBK" w:hAnsi="方正仿宋_GBK" w:cs="方正仿宋_GBK"/>
                <w:bCs/>
                <w:color w:val="000000"/>
                <w:kern w:val="0"/>
                <w:sz w:val="22"/>
                <w:szCs w:val="22"/>
                <w:lang w:val="en-US" w:eastAsia="zh-CN" w:bidi="ar"/>
              </w:rPr>
              <w:t xml:space="preserve">             </w:t>
            </w:r>
            <w:r>
              <w:rPr>
                <w:rFonts w:hint="eastAsia" w:ascii="方正仿宋_GBK" w:hAnsi="方正仿宋_GBK" w:cs="方正仿宋_GBK"/>
                <w:bCs/>
                <w:color w:val="000000"/>
                <w:kern w:val="0"/>
                <w:sz w:val="22"/>
                <w:szCs w:val="22"/>
                <w:lang w:bidi="ar"/>
              </w:rPr>
              <w:t xml:space="preserve"> 年</w:t>
            </w:r>
            <w:r>
              <w:rPr>
                <w:rFonts w:hint="eastAsia" w:ascii="方正仿宋_GBK" w:hAnsi="方正仿宋_GBK" w:cs="方正仿宋_GBK"/>
                <w:bCs/>
                <w:color w:val="000000"/>
                <w:kern w:val="0"/>
                <w:sz w:val="22"/>
                <w:szCs w:val="22"/>
                <w:lang w:val="en-US" w:eastAsia="zh-CN" w:bidi="ar"/>
              </w:rPr>
              <w:t xml:space="preserve"> </w:t>
            </w:r>
            <w:r>
              <w:rPr>
                <w:rFonts w:hint="eastAsia" w:ascii="方正仿宋_GBK" w:hAnsi="方正仿宋_GBK" w:cs="方正仿宋_GBK"/>
                <w:bCs/>
                <w:color w:val="000000"/>
                <w:kern w:val="0"/>
                <w:sz w:val="22"/>
                <w:szCs w:val="22"/>
                <w:lang w:bidi="ar"/>
              </w:rPr>
              <w:t xml:space="preserve">  月  </w:t>
            </w:r>
            <w:r>
              <w:rPr>
                <w:rFonts w:hint="eastAsia" w:ascii="方正仿宋_GBK" w:hAnsi="方正仿宋_GBK" w:cs="方正仿宋_GBK"/>
                <w:bCs/>
                <w:color w:val="000000"/>
                <w:kern w:val="0"/>
                <w:sz w:val="22"/>
                <w:szCs w:val="22"/>
                <w:lang w:val="en-US" w:eastAsia="zh-CN" w:bidi="ar"/>
              </w:rPr>
              <w:t xml:space="preserve"> </w:t>
            </w:r>
            <w:r>
              <w:rPr>
                <w:rFonts w:hint="eastAsia" w:ascii="方正仿宋_GBK" w:hAnsi="方正仿宋_GBK" w:cs="方正仿宋_GBK"/>
                <w:bCs/>
                <w:color w:val="000000"/>
                <w:kern w:val="0"/>
                <w:sz w:val="22"/>
                <w:szCs w:val="22"/>
                <w:lang w:bidi="ar"/>
              </w:rPr>
              <w:t>日</w:t>
            </w:r>
          </w:p>
        </w:tc>
      </w:tr>
      <w:tr>
        <w:tblPrEx>
          <w:tblCellMar>
            <w:top w:w="15" w:type="dxa"/>
            <w:left w:w="15" w:type="dxa"/>
            <w:bottom w:w="15" w:type="dxa"/>
            <w:right w:w="15" w:type="dxa"/>
          </w:tblCellMar>
        </w:tblPrEx>
        <w:trPr>
          <w:trHeight w:val="36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单位</w:t>
            </w:r>
          </w:p>
        </w:tc>
        <w:tc>
          <w:tcPr>
            <w:tcW w:w="15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累计流转面积</w:t>
            </w:r>
          </w:p>
        </w:tc>
        <w:tc>
          <w:tcPr>
            <w:tcW w:w="348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按流转形式划分</w:t>
            </w:r>
          </w:p>
        </w:tc>
        <w:tc>
          <w:tcPr>
            <w:tcW w:w="4246"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按照流转去向分</w:t>
            </w:r>
          </w:p>
        </w:tc>
        <w:tc>
          <w:tcPr>
            <w:tcW w:w="503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按照流转用途分</w:t>
            </w:r>
          </w:p>
        </w:tc>
      </w:tr>
      <w:tr>
        <w:tblPrEx>
          <w:tblCellMar>
            <w:top w:w="15" w:type="dxa"/>
            <w:left w:w="15" w:type="dxa"/>
            <w:bottom w:w="15" w:type="dxa"/>
            <w:right w:w="15" w:type="dxa"/>
          </w:tblCellMar>
        </w:tblPrEx>
        <w:trPr>
          <w:trHeight w:val="36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15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11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转包</w:t>
            </w:r>
          </w:p>
        </w:tc>
        <w:tc>
          <w:tcPr>
            <w:tcW w:w="5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转让</w:t>
            </w:r>
          </w:p>
        </w:tc>
        <w:tc>
          <w:tcPr>
            <w:tcW w:w="5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互换</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出租</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入股</w:t>
            </w:r>
          </w:p>
        </w:tc>
        <w:tc>
          <w:tcPr>
            <w:tcW w:w="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其它</w:t>
            </w:r>
          </w:p>
        </w:tc>
        <w:tc>
          <w:tcPr>
            <w:tcW w:w="6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农户</w:t>
            </w:r>
          </w:p>
        </w:tc>
        <w:tc>
          <w:tcPr>
            <w:tcW w:w="84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家庭农场</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专业合作社</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企业</w:t>
            </w:r>
          </w:p>
        </w:tc>
        <w:tc>
          <w:tcPr>
            <w:tcW w:w="86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 xml:space="preserve">其它 </w:t>
            </w:r>
          </w:p>
        </w:tc>
        <w:tc>
          <w:tcPr>
            <w:tcW w:w="5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粮油</w:t>
            </w:r>
          </w:p>
        </w:tc>
        <w:tc>
          <w:tcPr>
            <w:tcW w:w="2455" w:type="dxa"/>
            <w:gridSpan w:val="4"/>
            <w:tcBorders>
              <w:top w:val="single" w:color="000000" w:sz="4" w:space="0"/>
              <w:lef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经作</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养殖</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其它</w:t>
            </w:r>
          </w:p>
        </w:tc>
      </w:tr>
      <w:tr>
        <w:tblPrEx>
          <w:tblCellMar>
            <w:top w:w="15" w:type="dxa"/>
            <w:left w:w="15" w:type="dxa"/>
            <w:bottom w:w="15" w:type="dxa"/>
            <w:right w:w="15" w:type="dxa"/>
          </w:tblCellMar>
        </w:tblPrEx>
        <w:trPr>
          <w:trHeight w:val="607"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15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5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5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304"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户数</w:t>
            </w:r>
          </w:p>
        </w:tc>
        <w:tc>
          <w:tcPr>
            <w:tcW w:w="305"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面积</w:t>
            </w:r>
          </w:p>
        </w:tc>
        <w:tc>
          <w:tcPr>
            <w:tcW w:w="423"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个数</w:t>
            </w:r>
          </w:p>
        </w:tc>
        <w:tc>
          <w:tcPr>
            <w:tcW w:w="421"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面积</w:t>
            </w:r>
          </w:p>
        </w:tc>
        <w:tc>
          <w:tcPr>
            <w:tcW w:w="524"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个数</w:t>
            </w:r>
          </w:p>
        </w:tc>
        <w:tc>
          <w:tcPr>
            <w:tcW w:w="525"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面积</w:t>
            </w:r>
          </w:p>
        </w:tc>
        <w:tc>
          <w:tcPr>
            <w:tcW w:w="305"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个数</w:t>
            </w:r>
          </w:p>
        </w:tc>
        <w:tc>
          <w:tcPr>
            <w:tcW w:w="577"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面积</w:t>
            </w:r>
          </w:p>
        </w:tc>
        <w:tc>
          <w:tcPr>
            <w:tcW w:w="353"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个数</w:t>
            </w:r>
          </w:p>
        </w:tc>
        <w:tc>
          <w:tcPr>
            <w:tcW w:w="509"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面积</w:t>
            </w:r>
          </w:p>
        </w:tc>
        <w:tc>
          <w:tcPr>
            <w:tcW w:w="5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55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水果</w:t>
            </w:r>
          </w:p>
        </w:tc>
        <w:tc>
          <w:tcPr>
            <w:tcW w:w="467"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茶叶</w:t>
            </w:r>
          </w:p>
        </w:tc>
        <w:tc>
          <w:tcPr>
            <w:tcW w:w="5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蔬菜</w:t>
            </w:r>
          </w:p>
        </w:tc>
        <w:tc>
          <w:tcPr>
            <w:tcW w:w="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22"/>
                <w:szCs w:val="22"/>
              </w:rPr>
            </w:pPr>
            <w:r>
              <w:rPr>
                <w:rFonts w:hint="eastAsia" w:ascii="方正黑体_GBK" w:hAnsi="方正黑体_GBK" w:eastAsia="方正黑体_GBK" w:cs="方正黑体_GBK"/>
                <w:bCs/>
                <w:color w:val="000000"/>
                <w:kern w:val="0"/>
                <w:sz w:val="22"/>
                <w:szCs w:val="22"/>
                <w:lang w:bidi="ar"/>
              </w:rPr>
              <w:t>其他</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22"/>
                <w:szCs w:val="22"/>
              </w:rPr>
            </w:pPr>
          </w:p>
        </w:tc>
      </w:tr>
      <w:tr>
        <w:tblPrEx>
          <w:tblCellMar>
            <w:top w:w="15" w:type="dxa"/>
            <w:left w:w="15" w:type="dxa"/>
            <w:bottom w:w="15" w:type="dxa"/>
            <w:right w:w="15" w:type="dxa"/>
          </w:tblCellMar>
        </w:tblPrEx>
        <w:trPr>
          <w:trHeight w:val="325"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2"/>
                <w:szCs w:val="22"/>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trHeight w:val="325"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2"/>
                <w:szCs w:val="22"/>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trHeight w:val="325"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2"/>
                <w:szCs w:val="22"/>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trHeight w:val="325"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2"/>
                <w:szCs w:val="22"/>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trHeight w:val="325"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22"/>
                <w:szCs w:val="22"/>
              </w:rPr>
            </w:pP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1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35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9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r>
    </w:tbl>
    <w:p>
      <w:pPr>
        <w:rPr>
          <w:rFonts w:hint="eastAsia"/>
        </w:rPr>
        <w:sectPr>
          <w:pgSz w:w="16838" w:h="11906" w:orient="landscape"/>
          <w:pgMar w:top="1531" w:right="2098" w:bottom="1531" w:left="1984" w:header="851" w:footer="1474" w:gutter="0"/>
          <w:pgNumType w:fmt="numberInDash"/>
          <w:cols w:space="720" w:num="1"/>
          <w:docGrid w:type="linesAndChars" w:linePitch="579" w:charSpace="-849"/>
        </w:sectPr>
      </w:pPr>
    </w:p>
    <w:tbl>
      <w:tblPr>
        <w:tblStyle w:val="14"/>
        <w:tblW w:w="15120" w:type="dxa"/>
        <w:tblInd w:w="-1110" w:type="dxa"/>
        <w:tblLayout w:type="fixed"/>
        <w:tblCellMar>
          <w:top w:w="15" w:type="dxa"/>
          <w:left w:w="15" w:type="dxa"/>
          <w:bottom w:w="15" w:type="dxa"/>
          <w:right w:w="15" w:type="dxa"/>
        </w:tblCellMar>
      </w:tblPr>
      <w:tblGrid>
        <w:gridCol w:w="645"/>
        <w:gridCol w:w="510"/>
        <w:gridCol w:w="510"/>
        <w:gridCol w:w="546"/>
        <w:gridCol w:w="270"/>
        <w:gridCol w:w="490"/>
        <w:gridCol w:w="579"/>
        <w:gridCol w:w="579"/>
        <w:gridCol w:w="565"/>
        <w:gridCol w:w="1316"/>
        <w:gridCol w:w="728"/>
        <w:gridCol w:w="728"/>
        <w:gridCol w:w="333"/>
        <w:gridCol w:w="943"/>
        <w:gridCol w:w="333"/>
        <w:gridCol w:w="1400"/>
        <w:gridCol w:w="326"/>
        <w:gridCol w:w="325"/>
        <w:gridCol w:w="368"/>
        <w:gridCol w:w="367"/>
        <w:gridCol w:w="289"/>
        <w:gridCol w:w="240"/>
        <w:gridCol w:w="255"/>
        <w:gridCol w:w="255"/>
        <w:gridCol w:w="315"/>
        <w:gridCol w:w="555"/>
        <w:gridCol w:w="540"/>
        <w:gridCol w:w="810"/>
      </w:tblGrid>
      <w:tr>
        <w:tblPrEx>
          <w:tblCellMar>
            <w:top w:w="15" w:type="dxa"/>
            <w:left w:w="15" w:type="dxa"/>
            <w:bottom w:w="15" w:type="dxa"/>
            <w:right w:w="15" w:type="dxa"/>
          </w:tblCellMar>
        </w:tblPrEx>
        <w:trPr>
          <w:trHeight w:val="405" w:hRule="atLeast"/>
        </w:trPr>
        <w:tc>
          <w:tcPr>
            <w:tcW w:w="15120" w:type="dxa"/>
            <w:gridSpan w:val="28"/>
            <w:vAlign w:val="center"/>
          </w:tcPr>
          <w:p>
            <w:pPr>
              <w:widowControl/>
              <w:jc w:val="center"/>
              <w:textAlignment w:val="center"/>
              <w:rPr>
                <w:rFonts w:hint="eastAsia" w:ascii="宋体" w:hAnsi="宋体" w:eastAsia="宋体" w:cs="宋体"/>
                <w:b/>
                <w:color w:val="000000"/>
                <w:szCs w:val="32"/>
              </w:rPr>
            </w:pPr>
            <w:r>
              <w:rPr>
                <w:rFonts w:hint="eastAsia" w:ascii="方正小标宋_GBK" w:hAnsi="方正小标宋_GBK" w:eastAsia="方正小标宋_GBK" w:cs="方正小标宋_GBK"/>
                <w:bCs/>
                <w:color w:val="000000"/>
                <w:kern w:val="0"/>
                <w:sz w:val="44"/>
                <w:szCs w:val="44"/>
                <w:lang w:bidi="ar"/>
              </w:rPr>
              <w:t>永川区农村土地流转及规模经营季度统计表(表二)</w:t>
            </w:r>
          </w:p>
        </w:tc>
      </w:tr>
      <w:tr>
        <w:tblPrEx>
          <w:tblCellMar>
            <w:top w:w="15" w:type="dxa"/>
            <w:left w:w="15" w:type="dxa"/>
            <w:bottom w:w="15" w:type="dxa"/>
            <w:right w:w="15" w:type="dxa"/>
          </w:tblCellMar>
        </w:tblPrEx>
        <w:trPr>
          <w:trHeight w:val="286" w:hRule="atLeast"/>
        </w:trPr>
        <w:tc>
          <w:tcPr>
            <w:tcW w:w="15120" w:type="dxa"/>
            <w:gridSpan w:val="28"/>
            <w:tcBorders>
              <w:bottom w:val="single" w:color="000000" w:sz="4" w:space="0"/>
            </w:tcBorders>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w:t>
            </w:r>
            <w:r>
              <w:rPr>
                <w:rFonts w:hint="eastAsia" w:ascii="方正仿宋_GBK" w:hAnsi="方正仿宋_GBK" w:cs="方正仿宋_GBK"/>
                <w:color w:val="000000"/>
                <w:kern w:val="0"/>
                <w:sz w:val="24"/>
                <w:szCs w:val="24"/>
                <w:lang w:bidi="ar"/>
              </w:rPr>
              <w:t xml:space="preserve">填报时间:                                                                               </w:t>
            </w:r>
            <w:r>
              <w:rPr>
                <w:rFonts w:hint="eastAsia" w:ascii="方正仿宋_GBK" w:hAnsi="方正仿宋_GBK" w:cs="方正仿宋_GBK"/>
                <w:color w:val="000000"/>
                <w:kern w:val="0"/>
                <w:sz w:val="24"/>
                <w:szCs w:val="24"/>
                <w:lang w:val="en-US" w:eastAsia="zh-CN" w:bidi="ar"/>
              </w:rPr>
              <w:t xml:space="preserve">      </w:t>
            </w:r>
            <w:r>
              <w:rPr>
                <w:rFonts w:hint="eastAsia" w:ascii="方正仿宋_GBK" w:hAnsi="方正仿宋_GBK" w:cs="方正仿宋_GBK"/>
                <w:color w:val="000000"/>
                <w:kern w:val="0"/>
                <w:sz w:val="24"/>
                <w:szCs w:val="24"/>
                <w:lang w:bidi="ar"/>
              </w:rPr>
              <w:t xml:space="preserve"> 2022年 </w:t>
            </w:r>
            <w:r>
              <w:rPr>
                <w:rFonts w:hint="eastAsia" w:ascii="方正仿宋_GBK" w:hAnsi="方正仿宋_GBK" w:cs="方正仿宋_GBK"/>
                <w:color w:val="000000"/>
                <w:kern w:val="0"/>
                <w:sz w:val="24"/>
                <w:szCs w:val="24"/>
                <w:lang w:val="en-US" w:eastAsia="zh-CN" w:bidi="ar"/>
              </w:rPr>
              <w:t xml:space="preserve">   </w:t>
            </w:r>
            <w:r>
              <w:rPr>
                <w:rFonts w:hint="eastAsia" w:ascii="方正仿宋_GBK" w:hAnsi="方正仿宋_GBK" w:cs="方正仿宋_GBK"/>
                <w:color w:val="000000"/>
                <w:kern w:val="0"/>
                <w:sz w:val="24"/>
                <w:szCs w:val="24"/>
                <w:lang w:bidi="ar"/>
              </w:rPr>
              <w:t>月</w:t>
            </w:r>
            <w:r>
              <w:rPr>
                <w:rFonts w:hint="eastAsia" w:ascii="方正仿宋_GBK" w:hAnsi="方正仿宋_GBK" w:cs="方正仿宋_GBK"/>
                <w:color w:val="000000"/>
                <w:kern w:val="0"/>
                <w:sz w:val="24"/>
                <w:szCs w:val="24"/>
                <w:lang w:val="en-US" w:eastAsia="zh-CN" w:bidi="ar"/>
              </w:rPr>
              <w:t xml:space="preserve">   </w:t>
            </w:r>
            <w:r>
              <w:rPr>
                <w:rFonts w:hint="eastAsia" w:ascii="方正仿宋_GBK" w:hAnsi="方正仿宋_GBK" w:cs="方正仿宋_GBK"/>
                <w:color w:val="000000"/>
                <w:kern w:val="0"/>
                <w:sz w:val="24"/>
                <w:szCs w:val="24"/>
                <w:lang w:bidi="ar"/>
              </w:rPr>
              <w:t xml:space="preserve"> 日</w:t>
            </w:r>
          </w:p>
        </w:tc>
      </w:tr>
      <w:tr>
        <w:tblPrEx>
          <w:tblCellMar>
            <w:top w:w="15" w:type="dxa"/>
            <w:left w:w="15" w:type="dxa"/>
            <w:bottom w:w="15" w:type="dxa"/>
            <w:right w:w="15" w:type="dxa"/>
          </w:tblCellMar>
        </w:tblPrEx>
        <w:trPr>
          <w:trHeight w:val="286" w:hRule="atLeast"/>
        </w:trPr>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单位</w:t>
            </w:r>
          </w:p>
        </w:tc>
        <w:tc>
          <w:tcPr>
            <w:tcW w:w="510"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流转出承包耕地的农户数</w:t>
            </w:r>
          </w:p>
        </w:tc>
        <w:tc>
          <w:tcPr>
            <w:tcW w:w="510" w:type="dxa"/>
            <w:vMerge w:val="restart"/>
            <w:tcBorders>
              <w:top w:val="single" w:color="000000" w:sz="4" w:space="0"/>
              <w:lef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签订流转合同份数</w:t>
            </w:r>
          </w:p>
        </w:tc>
        <w:tc>
          <w:tcPr>
            <w:tcW w:w="546" w:type="dxa"/>
            <w:vMerge w:val="restart"/>
            <w:tcBorders>
              <w:top w:val="single" w:color="000000" w:sz="4" w:space="0"/>
              <w:lef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签订流转合同的面积</w:t>
            </w:r>
          </w:p>
        </w:tc>
        <w:tc>
          <w:tcPr>
            <w:tcW w:w="248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适度规模经营面积（亩）</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尚未确权颁证的面积（亩）</w:t>
            </w:r>
          </w:p>
        </w:tc>
        <w:tc>
          <w:tcPr>
            <w:tcW w:w="14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当年新增确权颁证</w:t>
            </w:r>
          </w:p>
        </w:tc>
        <w:tc>
          <w:tcPr>
            <w:tcW w:w="160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承包耕地实行托管的面积（亩）</w:t>
            </w:r>
          </w:p>
        </w:tc>
        <w:tc>
          <w:tcPr>
            <w:tcW w:w="1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采取托管方式的农户数（户）</w:t>
            </w:r>
          </w:p>
        </w:tc>
        <w:tc>
          <w:tcPr>
            <w:tcW w:w="4645"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当季情况</w:t>
            </w:r>
          </w:p>
        </w:tc>
      </w:tr>
      <w:tr>
        <w:tblPrEx>
          <w:tblCellMar>
            <w:top w:w="15" w:type="dxa"/>
            <w:left w:w="15" w:type="dxa"/>
            <w:bottom w:w="15" w:type="dxa"/>
            <w:right w:w="15" w:type="dxa"/>
          </w:tblCellMar>
        </w:tblPrEx>
        <w:trPr>
          <w:trHeight w:val="28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510" w:type="dxa"/>
            <w:vMerge w:val="continue"/>
            <w:tcBorders>
              <w:top w:val="single" w:color="000000" w:sz="4" w:space="0"/>
              <w:lef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546" w:type="dxa"/>
            <w:vMerge w:val="continue"/>
            <w:tcBorders>
              <w:top w:val="single" w:color="000000" w:sz="4" w:space="0"/>
              <w:lef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270"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合计</w:t>
            </w:r>
          </w:p>
        </w:tc>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5-10亩</w:t>
            </w:r>
          </w:p>
        </w:tc>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10-30亩</w:t>
            </w:r>
          </w:p>
        </w:tc>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30-50亩</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50亩及以上</w:t>
            </w: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145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3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合计</w:t>
            </w:r>
          </w:p>
        </w:tc>
        <w:tc>
          <w:tcPr>
            <w:tcW w:w="9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其中：全程托管</w:t>
            </w:r>
          </w:p>
        </w:tc>
        <w:tc>
          <w:tcPr>
            <w:tcW w:w="3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 xml:space="preserve">其它 </w:t>
            </w: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流转增减情况</w:t>
            </w:r>
          </w:p>
        </w:tc>
        <w:tc>
          <w:tcPr>
            <w:tcW w:w="103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备案情况</w:t>
            </w:r>
          </w:p>
        </w:tc>
        <w:tc>
          <w:tcPr>
            <w:tcW w:w="222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交纳风险保证金情况</w:t>
            </w:r>
          </w:p>
        </w:tc>
      </w:tr>
      <w:tr>
        <w:tblPrEx>
          <w:tblCellMar>
            <w:top w:w="15" w:type="dxa"/>
            <w:left w:w="15" w:type="dxa"/>
            <w:bottom w:w="15" w:type="dxa"/>
            <w:right w:w="15" w:type="dxa"/>
          </w:tblCellMar>
        </w:tblPrEx>
        <w:trPr>
          <w:trHeight w:val="615"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1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510" w:type="dxa"/>
            <w:vMerge w:val="continue"/>
            <w:tcBorders>
              <w:top w:val="single" w:color="000000" w:sz="4" w:space="0"/>
              <w:lef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546" w:type="dxa"/>
            <w:vMerge w:val="continue"/>
            <w:tcBorders>
              <w:top w:val="single" w:color="000000" w:sz="4" w:space="0"/>
              <w:lef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27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户数（户）</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面积（亩）</w:t>
            </w:r>
          </w:p>
        </w:tc>
        <w:tc>
          <w:tcPr>
            <w:tcW w:w="3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3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6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新签订合同</w:t>
            </w:r>
          </w:p>
        </w:tc>
        <w:tc>
          <w:tcPr>
            <w:tcW w:w="7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合同到期减少</w:t>
            </w:r>
          </w:p>
        </w:tc>
        <w:tc>
          <w:tcPr>
            <w:tcW w:w="5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区</w:t>
            </w:r>
          </w:p>
        </w:tc>
        <w:tc>
          <w:tcPr>
            <w:tcW w:w="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镇街</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区</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镇街</w:t>
            </w:r>
          </w:p>
        </w:tc>
      </w:tr>
      <w:tr>
        <w:tblPrEx>
          <w:tblCellMar>
            <w:top w:w="15" w:type="dxa"/>
            <w:left w:w="15" w:type="dxa"/>
            <w:bottom w:w="15" w:type="dxa"/>
            <w:right w:w="15" w:type="dxa"/>
          </w:tblCellMar>
        </w:tblPrEx>
        <w:trPr>
          <w:trHeight w:val="28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户</w:t>
            </w:r>
          </w:p>
        </w:tc>
        <w:tc>
          <w:tcPr>
            <w:tcW w:w="510" w:type="dxa"/>
            <w:tcBorders>
              <w:top w:val="single" w:color="000000" w:sz="4" w:space="0"/>
              <w:left w:val="single" w:color="000000" w:sz="4" w:space="0"/>
              <w:bottom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份</w:t>
            </w:r>
          </w:p>
        </w:tc>
        <w:tc>
          <w:tcPr>
            <w:tcW w:w="546" w:type="dxa"/>
            <w:tcBorders>
              <w:top w:val="single" w:color="000000" w:sz="4" w:space="0"/>
              <w:left w:val="single" w:color="000000" w:sz="4" w:space="0"/>
              <w:bottom w:val="single" w:color="000000" w:sz="4" w:space="0"/>
            </w:tcBorders>
            <w:textDirection w:val="tbRlV"/>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亩</w:t>
            </w:r>
          </w:p>
        </w:tc>
        <w:tc>
          <w:tcPr>
            <w:tcW w:w="270"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hint="eastAsia" w:ascii="方正黑体_GBK" w:hAnsi="方正黑体_GBK" w:eastAsia="方正黑体_GBK" w:cs="方正黑体_GBK"/>
                <w:bCs/>
                <w:color w:val="000000"/>
                <w:sz w:val="18"/>
                <w:szCs w:val="18"/>
              </w:rPr>
            </w:pPr>
          </w:p>
        </w:tc>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3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9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3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1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bCs/>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笔</w:t>
            </w:r>
          </w:p>
        </w:tc>
        <w:tc>
          <w:tcPr>
            <w:tcW w:w="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亩</w:t>
            </w:r>
          </w:p>
        </w:tc>
        <w:tc>
          <w:tcPr>
            <w:tcW w:w="3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笔</w:t>
            </w:r>
          </w:p>
        </w:tc>
        <w:tc>
          <w:tcPr>
            <w:tcW w:w="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亩</w:t>
            </w:r>
          </w:p>
        </w:tc>
        <w:tc>
          <w:tcPr>
            <w:tcW w:w="2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笔</w:t>
            </w:r>
          </w:p>
        </w:tc>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亩</w:t>
            </w:r>
          </w:p>
        </w:tc>
        <w:tc>
          <w:tcPr>
            <w:tcW w:w="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笔</w:t>
            </w:r>
          </w:p>
        </w:tc>
        <w:tc>
          <w:tcPr>
            <w:tcW w:w="2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亩</w:t>
            </w:r>
          </w:p>
        </w:tc>
        <w:tc>
          <w:tcPr>
            <w:tcW w:w="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笔</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万元</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笔</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bCs/>
                <w:color w:val="000000"/>
                <w:sz w:val="18"/>
                <w:szCs w:val="18"/>
              </w:rPr>
            </w:pPr>
            <w:r>
              <w:rPr>
                <w:rFonts w:hint="eastAsia" w:ascii="方正黑体_GBK" w:hAnsi="方正黑体_GBK" w:eastAsia="方正黑体_GBK" w:cs="方正黑体_GBK"/>
                <w:bCs/>
                <w:color w:val="000000"/>
                <w:kern w:val="0"/>
                <w:sz w:val="18"/>
                <w:szCs w:val="18"/>
                <w:lang w:bidi="ar"/>
              </w:rPr>
              <w:t>万元</w:t>
            </w:r>
          </w:p>
        </w:tc>
      </w:tr>
      <w:tr>
        <w:tblPrEx>
          <w:tblCellMar>
            <w:top w:w="15" w:type="dxa"/>
            <w:left w:w="15" w:type="dxa"/>
            <w:bottom w:w="15" w:type="dxa"/>
            <w:right w:w="15" w:type="dxa"/>
          </w:tblCellMar>
        </w:tblPrEx>
        <w:trPr>
          <w:trHeight w:val="286"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8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trHeight w:val="286"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8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r>
      <w:tr>
        <w:tblPrEx>
          <w:tblCellMar>
            <w:top w:w="15" w:type="dxa"/>
            <w:left w:w="15" w:type="dxa"/>
            <w:bottom w:w="15" w:type="dxa"/>
            <w:right w:w="15" w:type="dxa"/>
          </w:tblCellMar>
        </w:tblPrEx>
        <w:trPr>
          <w:trHeight w:val="286"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72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94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140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2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68"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6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8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2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3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b/>
                <w:color w:val="000000"/>
                <w:sz w:val="18"/>
                <w:szCs w:val="18"/>
              </w:rPr>
            </w:pPr>
          </w:p>
        </w:tc>
      </w:tr>
    </w:tbl>
    <w:p>
      <w:pPr>
        <w:pStyle w:val="2"/>
        <w:jc w:val="both"/>
        <w:rPr>
          <w:rFonts w:hint="eastAsia"/>
        </w:rPr>
        <w:sectPr>
          <w:pgSz w:w="16838" w:h="11906" w:orient="landscape"/>
          <w:pgMar w:top="1531" w:right="2098" w:bottom="1531" w:left="1984" w:header="851" w:footer="1474" w:gutter="0"/>
          <w:pgNumType w:fmt="numberInDash"/>
          <w:cols w:space="720" w:num="1"/>
          <w:docGrid w:type="linesAndChars" w:linePitch="579" w:charSpace="-849"/>
        </w:sectPr>
      </w:pPr>
    </w:p>
    <w:tbl>
      <w:tblPr>
        <w:tblStyle w:val="14"/>
        <w:tblW w:w="14715" w:type="dxa"/>
        <w:tblInd w:w="-960" w:type="dxa"/>
        <w:tblLayout w:type="fixed"/>
        <w:tblCellMar>
          <w:top w:w="15" w:type="dxa"/>
          <w:left w:w="15" w:type="dxa"/>
          <w:bottom w:w="15" w:type="dxa"/>
          <w:right w:w="15" w:type="dxa"/>
        </w:tblCellMar>
      </w:tblPr>
      <w:tblGrid>
        <w:gridCol w:w="870"/>
        <w:gridCol w:w="1599"/>
        <w:gridCol w:w="559"/>
        <w:gridCol w:w="476"/>
        <w:gridCol w:w="921"/>
        <w:gridCol w:w="951"/>
        <w:gridCol w:w="261"/>
        <w:gridCol w:w="261"/>
        <w:gridCol w:w="1034"/>
        <w:gridCol w:w="407"/>
        <w:gridCol w:w="407"/>
        <w:gridCol w:w="725"/>
        <w:gridCol w:w="642"/>
        <w:gridCol w:w="808"/>
        <w:gridCol w:w="808"/>
        <w:gridCol w:w="1338"/>
        <w:gridCol w:w="743"/>
        <w:gridCol w:w="690"/>
        <w:gridCol w:w="1215"/>
      </w:tblGrid>
      <w:tr>
        <w:tblPrEx>
          <w:tblCellMar>
            <w:top w:w="15" w:type="dxa"/>
            <w:left w:w="15" w:type="dxa"/>
            <w:bottom w:w="15" w:type="dxa"/>
            <w:right w:w="15" w:type="dxa"/>
          </w:tblCellMar>
        </w:tblPrEx>
        <w:trPr>
          <w:trHeight w:val="510" w:hRule="atLeast"/>
        </w:trPr>
        <w:tc>
          <w:tcPr>
            <w:tcW w:w="14715" w:type="dxa"/>
            <w:gridSpan w:val="19"/>
            <w:vAlign w:val="center"/>
          </w:tcPr>
          <w:p>
            <w:pPr>
              <w:widowControl/>
              <w:jc w:val="center"/>
              <w:textAlignment w:val="center"/>
              <w:rPr>
                <w:rFonts w:hint="eastAsia" w:ascii="宋体" w:hAnsi="宋体" w:eastAsia="宋体" w:cs="宋体"/>
                <w:color w:val="000000"/>
                <w:sz w:val="40"/>
                <w:szCs w:val="40"/>
              </w:rPr>
            </w:pPr>
            <w:r>
              <w:rPr>
                <w:rFonts w:hint="eastAsia" w:ascii="方正小标宋_GBK" w:hAnsi="方正小标宋_GBK" w:eastAsia="方正小标宋_GBK" w:cs="方正小标宋_GBK"/>
                <w:bCs/>
                <w:color w:val="000000"/>
                <w:kern w:val="0"/>
                <w:sz w:val="44"/>
                <w:szCs w:val="44"/>
                <w:lang w:bidi="ar"/>
              </w:rPr>
              <w:t>永川区农村土地承包经营权流转备案登记台帐(50亩以上)</w:t>
            </w:r>
          </w:p>
        </w:tc>
      </w:tr>
      <w:tr>
        <w:tblPrEx>
          <w:tblCellMar>
            <w:top w:w="15" w:type="dxa"/>
            <w:left w:w="15" w:type="dxa"/>
            <w:bottom w:w="15" w:type="dxa"/>
            <w:right w:w="15" w:type="dxa"/>
          </w:tblCellMar>
        </w:tblPrEx>
        <w:trPr>
          <w:trHeight w:val="286" w:hRule="atLeast"/>
        </w:trPr>
        <w:tc>
          <w:tcPr>
            <w:tcW w:w="5376" w:type="dxa"/>
            <w:gridSpan w:val="6"/>
            <w:tcBorders>
              <w:bottom w:val="single" w:color="000000" w:sz="4" w:space="0"/>
            </w:tcBorders>
            <w:vAlign w:val="center"/>
          </w:tcPr>
          <w:p>
            <w:pPr>
              <w:widowControl/>
              <w:jc w:val="left"/>
              <w:textAlignment w:val="center"/>
              <w:rPr>
                <w:rFonts w:hint="eastAsia"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填报单位：</w:t>
            </w:r>
          </w:p>
        </w:tc>
        <w:tc>
          <w:tcPr>
            <w:tcW w:w="261" w:type="dxa"/>
            <w:vAlign w:val="center"/>
          </w:tcPr>
          <w:p>
            <w:pPr>
              <w:rPr>
                <w:rFonts w:hint="eastAsia" w:ascii="方正仿宋_GBK" w:hAnsi="方正仿宋_GBK" w:cs="方正仿宋_GBK"/>
                <w:color w:val="000000"/>
                <w:sz w:val="24"/>
                <w:szCs w:val="24"/>
              </w:rPr>
            </w:pPr>
          </w:p>
        </w:tc>
        <w:tc>
          <w:tcPr>
            <w:tcW w:w="261" w:type="dxa"/>
            <w:vAlign w:val="center"/>
          </w:tcPr>
          <w:p>
            <w:pPr>
              <w:rPr>
                <w:rFonts w:hint="eastAsia" w:ascii="方正仿宋_GBK" w:hAnsi="方正仿宋_GBK" w:cs="方正仿宋_GBK"/>
                <w:color w:val="000000"/>
                <w:sz w:val="24"/>
                <w:szCs w:val="24"/>
              </w:rPr>
            </w:pPr>
          </w:p>
        </w:tc>
        <w:tc>
          <w:tcPr>
            <w:tcW w:w="1034" w:type="dxa"/>
            <w:vAlign w:val="center"/>
          </w:tcPr>
          <w:p>
            <w:pPr>
              <w:rPr>
                <w:rFonts w:hint="eastAsia" w:ascii="方正仿宋_GBK" w:hAnsi="方正仿宋_GBK" w:cs="方正仿宋_GBK"/>
                <w:color w:val="000000"/>
                <w:sz w:val="24"/>
                <w:szCs w:val="24"/>
              </w:rPr>
            </w:pPr>
          </w:p>
        </w:tc>
        <w:tc>
          <w:tcPr>
            <w:tcW w:w="407" w:type="dxa"/>
            <w:vAlign w:val="center"/>
          </w:tcPr>
          <w:p>
            <w:pPr>
              <w:rPr>
                <w:rFonts w:hint="eastAsia" w:ascii="方正仿宋_GBK" w:hAnsi="方正仿宋_GBK" w:cs="方正仿宋_GBK"/>
                <w:color w:val="000000"/>
                <w:sz w:val="24"/>
                <w:szCs w:val="24"/>
              </w:rPr>
            </w:pPr>
          </w:p>
        </w:tc>
        <w:tc>
          <w:tcPr>
            <w:tcW w:w="407" w:type="dxa"/>
            <w:vAlign w:val="center"/>
          </w:tcPr>
          <w:p>
            <w:pPr>
              <w:rPr>
                <w:rFonts w:hint="eastAsia" w:ascii="方正仿宋_GBK" w:hAnsi="方正仿宋_GBK" w:cs="方正仿宋_GBK"/>
                <w:color w:val="000000"/>
                <w:sz w:val="24"/>
                <w:szCs w:val="24"/>
              </w:rPr>
            </w:pPr>
          </w:p>
        </w:tc>
        <w:tc>
          <w:tcPr>
            <w:tcW w:w="725" w:type="dxa"/>
            <w:vAlign w:val="center"/>
          </w:tcPr>
          <w:p>
            <w:pPr>
              <w:rPr>
                <w:rFonts w:hint="eastAsia" w:ascii="方正仿宋_GBK" w:hAnsi="方正仿宋_GBK" w:cs="方正仿宋_GBK"/>
                <w:color w:val="000000"/>
                <w:sz w:val="24"/>
                <w:szCs w:val="24"/>
              </w:rPr>
            </w:pPr>
          </w:p>
        </w:tc>
        <w:tc>
          <w:tcPr>
            <w:tcW w:w="642" w:type="dxa"/>
            <w:vAlign w:val="center"/>
          </w:tcPr>
          <w:p>
            <w:pPr>
              <w:rPr>
                <w:rFonts w:hint="eastAsia" w:ascii="方正仿宋_GBK" w:hAnsi="方正仿宋_GBK" w:cs="方正仿宋_GBK"/>
                <w:color w:val="000000"/>
                <w:sz w:val="24"/>
                <w:szCs w:val="24"/>
              </w:rPr>
            </w:pPr>
          </w:p>
        </w:tc>
        <w:tc>
          <w:tcPr>
            <w:tcW w:w="808" w:type="dxa"/>
            <w:vAlign w:val="center"/>
          </w:tcPr>
          <w:p>
            <w:pPr>
              <w:rPr>
                <w:rFonts w:hint="eastAsia" w:ascii="方正仿宋_GBK" w:hAnsi="方正仿宋_GBK" w:cs="方正仿宋_GBK"/>
                <w:color w:val="000000"/>
                <w:sz w:val="24"/>
                <w:szCs w:val="24"/>
              </w:rPr>
            </w:pPr>
          </w:p>
        </w:tc>
        <w:tc>
          <w:tcPr>
            <w:tcW w:w="4794" w:type="dxa"/>
            <w:gridSpan w:val="5"/>
            <w:tcBorders>
              <w:bottom w:val="single" w:color="000000" w:sz="4" w:space="0"/>
            </w:tcBorders>
            <w:vAlign w:val="center"/>
          </w:tcPr>
          <w:p>
            <w:pPr>
              <w:widowControl/>
              <w:ind w:firstLine="2000" w:firstLineChars="1000"/>
              <w:jc w:val="left"/>
              <w:textAlignment w:val="center"/>
              <w:rPr>
                <w:rFonts w:hint="eastAsia" w:ascii="方正仿宋_GBK" w:hAnsi="方正仿宋_GBK" w:cs="方正仿宋_GBK"/>
                <w:color w:val="000000"/>
                <w:sz w:val="20"/>
              </w:rPr>
            </w:pPr>
            <w:r>
              <w:rPr>
                <w:rFonts w:hint="eastAsia" w:ascii="方正仿宋_GBK" w:hAnsi="方正仿宋_GBK" w:cs="方正仿宋_GBK"/>
                <w:color w:val="000000"/>
                <w:kern w:val="0"/>
                <w:sz w:val="20"/>
                <w:lang w:bidi="ar"/>
              </w:rPr>
              <w:t>填表时间：  年  月   日</w:t>
            </w:r>
          </w:p>
        </w:tc>
      </w:tr>
      <w:tr>
        <w:tblPrEx>
          <w:tblCellMar>
            <w:top w:w="15" w:type="dxa"/>
            <w:left w:w="15" w:type="dxa"/>
            <w:bottom w:w="15" w:type="dxa"/>
            <w:right w:w="15" w:type="dxa"/>
          </w:tblCellMar>
        </w:tblPrEx>
        <w:trPr>
          <w:trHeight w:val="465" w:hRule="atLeast"/>
        </w:trPr>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序号</w:t>
            </w:r>
          </w:p>
        </w:tc>
        <w:tc>
          <w:tcPr>
            <w:tcW w:w="15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出让方名称（村、组）</w:t>
            </w:r>
          </w:p>
        </w:tc>
        <w:tc>
          <w:tcPr>
            <w:tcW w:w="5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受让方名称</w:t>
            </w:r>
          </w:p>
        </w:tc>
        <w:tc>
          <w:tcPr>
            <w:tcW w:w="4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经营产业</w:t>
            </w:r>
          </w:p>
        </w:tc>
        <w:tc>
          <w:tcPr>
            <w:tcW w:w="9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流转期限（起止）</w:t>
            </w:r>
          </w:p>
        </w:tc>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流转面积（亩）</w:t>
            </w:r>
          </w:p>
        </w:tc>
        <w:tc>
          <w:tcPr>
            <w:tcW w:w="5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其中：</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涉及农户数（户）</w:t>
            </w:r>
          </w:p>
        </w:tc>
        <w:tc>
          <w:tcPr>
            <w:tcW w:w="814"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租金（斤/亩）</w:t>
            </w:r>
          </w:p>
        </w:tc>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租金已交至时间</w:t>
            </w:r>
          </w:p>
        </w:tc>
        <w:tc>
          <w:tcPr>
            <w:tcW w:w="6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最新经营状况</w:t>
            </w:r>
          </w:p>
        </w:tc>
        <w:tc>
          <w:tcPr>
            <w:tcW w:w="16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风险保障金（万元）</w:t>
            </w:r>
          </w:p>
        </w:tc>
        <w:tc>
          <w:tcPr>
            <w:tcW w:w="13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履约保证保险保险金（万元）</w:t>
            </w:r>
          </w:p>
        </w:tc>
        <w:tc>
          <w:tcPr>
            <w:tcW w:w="14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镇（街道）</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rPr>
            </w:pPr>
            <w:r>
              <w:rPr>
                <w:rFonts w:hint="eastAsia" w:ascii="方正黑体_GBK" w:hAnsi="方正黑体_GBK" w:eastAsia="方正黑体_GBK" w:cs="方正黑体_GBK"/>
                <w:color w:val="000000"/>
                <w:sz w:val="20"/>
              </w:rPr>
              <w:t>流转双方联系电话</w:t>
            </w:r>
          </w:p>
        </w:tc>
      </w:tr>
      <w:tr>
        <w:tblPrEx>
          <w:tblCellMar>
            <w:top w:w="15" w:type="dxa"/>
            <w:left w:w="15" w:type="dxa"/>
            <w:bottom w:w="15" w:type="dxa"/>
            <w:right w:w="15" w:type="dxa"/>
          </w:tblCellMar>
        </w:tblPrEx>
        <w:trPr>
          <w:trHeight w:val="945" w:hRule="atLeast"/>
        </w:trPr>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15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5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4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9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田</w:t>
            </w:r>
          </w:p>
        </w:tc>
        <w:tc>
          <w:tcPr>
            <w:tcW w:w="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土</w:t>
            </w: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田</w:t>
            </w:r>
          </w:p>
        </w:tc>
        <w:tc>
          <w:tcPr>
            <w:tcW w:w="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土</w:t>
            </w:r>
          </w:p>
        </w:tc>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6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已存入区财政专户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已存入镇财政专户</w:t>
            </w:r>
          </w:p>
        </w:tc>
        <w:tc>
          <w:tcPr>
            <w:tcW w:w="13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000000"/>
                <w:sz w:val="20"/>
              </w:rPr>
            </w:pPr>
          </w:p>
        </w:tc>
        <w:tc>
          <w:tcPr>
            <w:tcW w:w="7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kern w:val="0"/>
                <w:sz w:val="20"/>
                <w:lang w:bidi="ar"/>
              </w:rPr>
            </w:pPr>
            <w:r>
              <w:rPr>
                <w:rFonts w:hint="eastAsia" w:ascii="方正黑体_GBK" w:hAnsi="方正黑体_GBK" w:eastAsia="方正黑体_GBK" w:cs="方正黑体_GBK"/>
                <w:color w:val="000000"/>
                <w:kern w:val="0"/>
                <w:sz w:val="20"/>
                <w:lang w:bidi="ar"/>
              </w:rPr>
              <w:t>责任</w:t>
            </w:r>
          </w:p>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领导</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黑体_GBK" w:hAnsi="方正黑体_GBK" w:eastAsia="方正黑体_GBK" w:cs="方正黑体_GBK"/>
                <w:color w:val="000000"/>
                <w:sz w:val="20"/>
              </w:rPr>
            </w:pPr>
            <w:r>
              <w:rPr>
                <w:rFonts w:hint="eastAsia" w:ascii="方正黑体_GBK" w:hAnsi="方正黑体_GBK" w:eastAsia="方正黑体_GBK" w:cs="方正黑体_GBK"/>
                <w:color w:val="000000"/>
                <w:kern w:val="0"/>
                <w:sz w:val="20"/>
                <w:lang w:bidi="ar"/>
              </w:rPr>
              <w:t>责任人</w:t>
            </w: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59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59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59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59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59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1599"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5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95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2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40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33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FF0000"/>
                <w:sz w:val="18"/>
                <w:szCs w:val="18"/>
              </w:rPr>
            </w:pPr>
          </w:p>
        </w:tc>
      </w:tr>
      <w:tr>
        <w:tblPrEx>
          <w:tblCellMar>
            <w:top w:w="15" w:type="dxa"/>
            <w:left w:w="15" w:type="dxa"/>
            <w:bottom w:w="15" w:type="dxa"/>
            <w:right w:w="15" w:type="dxa"/>
          </w:tblCellMar>
        </w:tblPrEx>
        <w:trPr>
          <w:trHeight w:val="286" w:hRule="atLeast"/>
        </w:trPr>
        <w:tc>
          <w:tcPr>
            <w:tcW w:w="14715" w:type="dxa"/>
            <w:gridSpan w:val="19"/>
            <w:tcBorders>
              <w:top w:val="single" w:color="000000" w:sz="4" w:space="0"/>
            </w:tcBorders>
            <w:vAlign w:val="center"/>
          </w:tcPr>
          <w:p>
            <w:pPr>
              <w:widowControl/>
              <w:jc w:val="left"/>
              <w:textAlignment w:val="center"/>
              <w:rPr>
                <w:rFonts w:hint="eastAsia" w:ascii="宋体" w:hAnsi="宋体" w:eastAsia="宋体" w:cs="宋体"/>
                <w:color w:val="000000"/>
                <w:sz w:val="20"/>
              </w:rPr>
            </w:pPr>
            <w:r>
              <w:rPr>
                <w:rFonts w:hint="eastAsia" w:ascii="宋体" w:hAnsi="宋体" w:eastAsia="宋体" w:cs="宋体"/>
                <w:color w:val="000000"/>
                <w:kern w:val="0"/>
                <w:sz w:val="20"/>
                <w:lang w:bidi="ar"/>
              </w:rPr>
              <w:t>注：1、本辖区内50亩以上（含）土地流转均应填报，填报序号应与土地流转合同装订顺序相一致；50亩以下各镇街应建立相应的台帐及合同资料等。</w:t>
            </w:r>
          </w:p>
        </w:tc>
      </w:tr>
      <w:tr>
        <w:tblPrEx>
          <w:tblCellMar>
            <w:top w:w="15" w:type="dxa"/>
            <w:left w:w="15" w:type="dxa"/>
            <w:bottom w:w="15" w:type="dxa"/>
            <w:right w:w="15" w:type="dxa"/>
          </w:tblCellMar>
        </w:tblPrEx>
        <w:trPr>
          <w:trHeight w:val="286" w:hRule="atLeast"/>
        </w:trPr>
        <w:tc>
          <w:tcPr>
            <w:tcW w:w="14715" w:type="dxa"/>
            <w:gridSpan w:val="19"/>
            <w:vAlign w:val="center"/>
          </w:tcPr>
          <w:p>
            <w:pPr>
              <w:widowControl/>
              <w:jc w:val="left"/>
              <w:textAlignment w:val="center"/>
              <w:rPr>
                <w:rFonts w:hint="eastAsia" w:ascii="宋体" w:hAnsi="宋体" w:eastAsia="宋体" w:cs="宋体"/>
                <w:color w:val="000000"/>
                <w:sz w:val="20"/>
              </w:rPr>
            </w:pPr>
            <w:r>
              <w:rPr>
                <w:rFonts w:hint="eastAsia" w:ascii="宋体" w:hAnsi="宋体" w:eastAsia="宋体" w:cs="宋体"/>
                <w:color w:val="000000"/>
                <w:kern w:val="0"/>
                <w:sz w:val="20"/>
                <w:lang w:bidi="ar"/>
              </w:rPr>
              <w:t xml:space="preserve">    2、最新经营状况为正常缴付租金填正常，不能按期缴付填异常，如异常请单独说明原因；</w:t>
            </w:r>
          </w:p>
        </w:tc>
      </w:tr>
      <w:tr>
        <w:tblPrEx>
          <w:tblCellMar>
            <w:top w:w="15" w:type="dxa"/>
            <w:left w:w="15" w:type="dxa"/>
            <w:bottom w:w="15" w:type="dxa"/>
            <w:right w:w="15" w:type="dxa"/>
          </w:tblCellMar>
        </w:tblPrEx>
        <w:trPr>
          <w:trHeight w:val="286" w:hRule="atLeast"/>
        </w:trPr>
        <w:tc>
          <w:tcPr>
            <w:tcW w:w="14715" w:type="dxa"/>
            <w:gridSpan w:val="19"/>
            <w:vAlign w:val="center"/>
          </w:tcPr>
          <w:p>
            <w:pPr>
              <w:widowControl/>
              <w:jc w:val="left"/>
              <w:textAlignment w:val="center"/>
              <w:rPr>
                <w:rFonts w:hint="eastAsia" w:ascii="宋体" w:hAnsi="宋体" w:eastAsia="宋体" w:cs="宋体"/>
                <w:color w:val="000000"/>
                <w:sz w:val="20"/>
              </w:rPr>
            </w:pPr>
            <w:r>
              <w:rPr>
                <w:rFonts w:hint="eastAsia" w:ascii="宋体" w:hAnsi="宋体" w:eastAsia="宋体" w:cs="宋体"/>
                <w:color w:val="000000"/>
                <w:kern w:val="0"/>
                <w:sz w:val="20"/>
                <w:lang w:bidi="ar"/>
              </w:rPr>
              <w:t xml:space="preserve">    3、请于2021年7月5日前报区农经站，联系人：蒋成龙   联系电话：49580262     </w:t>
            </w:r>
          </w:p>
        </w:tc>
      </w:tr>
    </w:tbl>
    <w:p>
      <w:pPr>
        <w:pStyle w:val="2"/>
        <w:sectPr>
          <w:pgSz w:w="16838" w:h="11906" w:orient="landscape"/>
          <w:pgMar w:top="1446" w:right="1985" w:bottom="1446" w:left="1644" w:header="851" w:footer="992" w:gutter="0"/>
          <w:pgNumType w:fmt="numberInDash"/>
          <w:cols w:space="425" w:num="1"/>
          <w:titlePg/>
          <w:docGrid w:type="lines" w:linePitch="312" w:charSpace="0"/>
        </w:sectPr>
      </w:pPr>
    </w:p>
    <w:p>
      <w:pPr>
        <w:pStyle w:val="10"/>
        <w:ind w:left="0" w:leftChars="0" w:firstLine="0" w:firstLineChars="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keepNext w:val="0"/>
        <w:keepLines w:val="0"/>
        <w:pageBreakBefore w:val="0"/>
        <w:widowControl w:val="0"/>
        <w:kinsoku/>
        <w:wordWrap/>
        <w:overflowPunct/>
        <w:topLinePunct w:val="0"/>
        <w:autoSpaceDE/>
        <w:autoSpaceDN/>
        <w:bidi w:val="0"/>
        <w:adjustRightInd/>
        <w:snapToGrid/>
        <w:spacing w:line="594" w:lineRule="exact"/>
        <w:jc w:val="both"/>
        <w:textAlignment w:val="auto"/>
      </w:pPr>
    </w:p>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&#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FQtlx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4"/>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TY7ROv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10日</w:t>
      </w:r>
      <w:r>
        <w:rPr>
          <w:rFonts w:hint="eastAsia" w:ascii="方正仿宋_GBK" w:hAnsi="Times New Roman" w:eastAsia="方正仿宋_GBK"/>
          <w:sz w:val="28"/>
          <w:szCs w:val="28"/>
        </w:rPr>
        <w:t>印发</w:t>
      </w:r>
    </w:p>
    <w:p>
      <w:pPr>
        <w:sectPr>
          <w:pgSz w:w="11906" w:h="16838"/>
          <w:pgMar w:top="1985" w:right="1446" w:bottom="1644" w:left="1446" w:header="851" w:footer="992" w:gutter="0"/>
          <w:pgNumType w:fmt="numberInDash"/>
          <w:cols w:space="425" w:num="1"/>
          <w:titlePg/>
          <w:docGrid w:type="lines" w:linePitch="312" w:charSpace="0"/>
        </w:sectPr>
      </w:pPr>
    </w:p>
    <w:p>
      <w:pPr>
        <w:pStyle w:val="4"/>
        <w:rPr>
          <w:kern w:val="0"/>
          <w:szCs w:val="32"/>
        </w:rPr>
      </w:pPr>
    </w:p>
    <w:sectPr>
      <w:footerReference r:id="rId9" w:type="first"/>
      <w:headerReference r:id="rId7" w:type="default"/>
      <w:footerReference r:id="rId8" w:type="default"/>
      <w:pgSz w:w="16838" w:h="11906" w:orient="landscape"/>
      <w:pgMar w:top="1446" w:right="1985" w:bottom="1446"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Ubuntu">
    <w:panose1 w:val="020B0504030602030204"/>
    <w:charset w:val="00"/>
    <w:family w:val="auto"/>
    <w:pitch w:val="default"/>
    <w:sig w:usb0="E00002FF" w:usb1="5000205B" w:usb2="00000000" w:usb3="00000000" w:csb0="2000009F" w:csb1="5601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Q5IxHJAQAAmQMAAA4AAABkcnMv&#10;ZTJvRG9jLnhtbK1TzY7TMBC+I/EOlu/U2UqL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JDkjEckBAACZAwAADgAAAAAA&#10;AAABACAAAAA0AQAAZHJzL2Uyb0RvYy54bWxQSwUGAAAAAAYABgBZAQAAb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right"/>
                          </w:pPr>
                        </w:p>
                      </w:txbxContent>
                    </wps:txbx>
                    <wps:bodyPr wrap="none" lIns="0" tIns="0" rIns="0" bIns="0" upright="0">
                      <a:spAutoFit/>
                    </wps:bodyPr>
                  </wps:wsp>
                </a:graphicData>
              </a:graphic>
            </wp:anchor>
          </w:drawing>
        </mc:Choice>
        <mc:Fallback>
          <w:pict>
            <v:shape id="文本框 11"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PgcRozJAQAA&#10;mgMAAA4AAAAAAAAAAQAgAAAAPgEAAGRycy9lMm9Eb2MueG1sUEsFBgAAAAAGAAYAWQEAAHkFAAAA&#10;AA==&#10;">
              <v:fill on="f" focussize="0,0"/>
              <v:stroke on="f"/>
              <v:imagedata o:title=""/>
              <o:lock v:ext="edit" aspectratio="f"/>
              <v:textbox inset="0mm,0mm,0mm,0mm" style="mso-fit-shape-to-text:t;">
                <w:txbxContent>
                  <w:p>
                    <w:pPr>
                      <w:pStyle w:val="6"/>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dGOf98kBAACaAwAADgAAAAAA&#10;AAABACAAAAA0AQAAZHJzL2Uyb0RvYy54bWxQSwUGAAAAAAYABgBZAQAAb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JqpiXIAQAAmQ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G/qGEsctDvzy/dvlx6/Lz69kmeXpA9SY9RAwLw13fsClmf2Azsx6UNHmL/IhGEdxz1dx5ZCI&#10;yI/Wq/W6wpDA2HxBfPb4PERIb6W3JBsNjTi9Iio/vYc0ps4puZrz99qYMkHj/nIgZvaw3PvYY7bS&#10;sB8mQnvfnpFPj4NvqMM9p8S8c6hr3pHZiLOxn41jiPrQlSXK9SDcHhM2UXrLFUbYqTBOrLCbtiuv&#10;xJ/3kvX4R2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CaqYlyAEAAJkDAAAOAAAAAAAA&#10;AAEAIAAAADQBAABkcnMvZTJvRG9jLnhtbFBLBQYAAAAABgAGAFkBAABu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p>
                      </w:txbxContent>
                    </wps:txbx>
                    <wps:bodyPr wrap="none" lIns="0" tIns="0" rIns="0" bIns="0" upright="0">
                      <a:spAutoFit/>
                    </wps:bodyPr>
                  </wps:wsp>
                </a:graphicData>
              </a:graphic>
            </wp:anchor>
          </w:drawing>
        </mc:Choice>
        <mc:Fallback>
          <w:pict>
            <v:shape id="文本框 2"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LbTF22AAAAAwBAAAP&#10;AAAAAAAAAAEAIAAAADgAAABkcnMvZG93bnJldi54bWxQSwECFAAUAAAACACHTuJA0sF/fckBAACZ&#10;AwAADgAAAAAAAAABACAAAAA9AQAAZHJzL2Uyb0RvYy54bWxQSwUGAAAAAAYABgBZAQAAeAU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ge">
                <wp:posOffset>9843770</wp:posOffset>
              </wp:positionV>
              <wp:extent cx="1828800" cy="1828800"/>
              <wp:effectExtent l="0" t="0" r="0" b="0"/>
              <wp:wrapNone/>
              <wp:docPr id="8"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775.1pt;height:144pt;width:144pt;mso-position-horizontal:outside;mso-position-horizontal-relative:margin;mso-position-vertical-relative:page;mso-wrap-style:none;z-index:251666432;mso-width-relative:page;mso-height-relative:page;" filled="f" stroked="f" coordsize="21600,21600" o:gfxdata="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37t11QAAAAoBAAAPAAAA&#10;AAAAAAEAIAAAADgAAABkcnMvZG93bnJldi54bWxQSwECFAAUAAAACACHTuJAP66zBckBAACaAwAA&#10;DgAAAAAAAAABACAAAAA6AQAAZHJzL2Uyb0RvYy54bWxQSwUGAAAAAAYABgBZAQAAdQ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ge">
                <wp:posOffset>9843770</wp:posOffset>
              </wp:positionV>
              <wp:extent cx="1828800" cy="1828800"/>
              <wp:effectExtent l="0" t="0" r="0" b="0"/>
              <wp:wrapNone/>
              <wp:docPr id="9"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775.1pt;height:144pt;width:144pt;mso-position-horizontal:outside;mso-position-horizontal-relative:margin;mso-position-vertical-relative:page;mso-wrap-style:none;z-index:251667456;mso-width-relative:page;mso-height-relative:page;" filled="f" stroked="f" coordsize="21600,21600" o:gfxdata="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37t11QAAAAoBAAAPAAAA&#10;AAAAAAEAIAAAADgAAABkcnMvZG93bnJldi54bWxQSwECFAAUAAAACACHTuJAlAKD+ckBAACaAwAA&#10;DgAAAAAAAAABACAAAAA6AQAAZHJzL2Uyb0RvYy54bWxQSwUGAAAAAAYABgBZAQAAdQ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75120E7"/>
    <w:rsid w:val="07A51618"/>
    <w:rsid w:val="083841F2"/>
    <w:rsid w:val="091F1C51"/>
    <w:rsid w:val="09B56D5B"/>
    <w:rsid w:val="0A9C2005"/>
    <w:rsid w:val="0BF8352C"/>
    <w:rsid w:val="0C15158E"/>
    <w:rsid w:val="0DB9673B"/>
    <w:rsid w:val="0DD9215F"/>
    <w:rsid w:val="0EAF6B70"/>
    <w:rsid w:val="0F581CB0"/>
    <w:rsid w:val="11B805AB"/>
    <w:rsid w:val="123A1A18"/>
    <w:rsid w:val="13714DDA"/>
    <w:rsid w:val="14D265FB"/>
    <w:rsid w:val="15E71FBD"/>
    <w:rsid w:val="177B6799"/>
    <w:rsid w:val="19542D68"/>
    <w:rsid w:val="19B850A2"/>
    <w:rsid w:val="1A192F20"/>
    <w:rsid w:val="1A8950FA"/>
    <w:rsid w:val="1BE64A06"/>
    <w:rsid w:val="1C44365B"/>
    <w:rsid w:val="1CBE3439"/>
    <w:rsid w:val="1D0F3630"/>
    <w:rsid w:val="1D4E16FA"/>
    <w:rsid w:val="1DA05D67"/>
    <w:rsid w:val="1E48369C"/>
    <w:rsid w:val="1E80336D"/>
    <w:rsid w:val="1EAE3F53"/>
    <w:rsid w:val="1EBB0074"/>
    <w:rsid w:val="1F9C4B03"/>
    <w:rsid w:val="2119745A"/>
    <w:rsid w:val="214059C7"/>
    <w:rsid w:val="22003AA3"/>
    <w:rsid w:val="22652C7D"/>
    <w:rsid w:val="226F652A"/>
    <w:rsid w:val="23FC0835"/>
    <w:rsid w:val="250C30B2"/>
    <w:rsid w:val="254C6CE9"/>
    <w:rsid w:val="263C3FCD"/>
    <w:rsid w:val="26961C2D"/>
    <w:rsid w:val="275863EA"/>
    <w:rsid w:val="2790234A"/>
    <w:rsid w:val="27FD0C2C"/>
    <w:rsid w:val="28495FDC"/>
    <w:rsid w:val="288257B6"/>
    <w:rsid w:val="28E03F49"/>
    <w:rsid w:val="29127AAE"/>
    <w:rsid w:val="29CA6797"/>
    <w:rsid w:val="2A2C75A4"/>
    <w:rsid w:val="2A373C1A"/>
    <w:rsid w:val="2CA270DA"/>
    <w:rsid w:val="2EE91BA7"/>
    <w:rsid w:val="2EF24E55"/>
    <w:rsid w:val="2F8C6F61"/>
    <w:rsid w:val="30DC2C5E"/>
    <w:rsid w:val="311A2977"/>
    <w:rsid w:val="313452D6"/>
    <w:rsid w:val="3177791C"/>
    <w:rsid w:val="340F401C"/>
    <w:rsid w:val="342114F2"/>
    <w:rsid w:val="349D28A6"/>
    <w:rsid w:val="3516461A"/>
    <w:rsid w:val="369C0DB7"/>
    <w:rsid w:val="373B7150"/>
    <w:rsid w:val="37CA7803"/>
    <w:rsid w:val="37FF0F05"/>
    <w:rsid w:val="382D7580"/>
    <w:rsid w:val="39CE0F8A"/>
    <w:rsid w:val="3A0D61EB"/>
    <w:rsid w:val="3A1B37D5"/>
    <w:rsid w:val="3CA37777"/>
    <w:rsid w:val="3E3C2A2C"/>
    <w:rsid w:val="3E752133"/>
    <w:rsid w:val="3EDB2373"/>
    <w:rsid w:val="3F3B29F0"/>
    <w:rsid w:val="408D2046"/>
    <w:rsid w:val="41693842"/>
    <w:rsid w:val="42C217BA"/>
    <w:rsid w:val="45756C93"/>
    <w:rsid w:val="46BA109F"/>
    <w:rsid w:val="479526FB"/>
    <w:rsid w:val="4B305605"/>
    <w:rsid w:val="4D5F3853"/>
    <w:rsid w:val="4D76667C"/>
    <w:rsid w:val="4DB92A1A"/>
    <w:rsid w:val="4F2528C2"/>
    <w:rsid w:val="4F4F4054"/>
    <w:rsid w:val="50BA21CF"/>
    <w:rsid w:val="50C467AB"/>
    <w:rsid w:val="52112F71"/>
    <w:rsid w:val="52874A7A"/>
    <w:rsid w:val="538762BA"/>
    <w:rsid w:val="53B336FC"/>
    <w:rsid w:val="54E91D48"/>
    <w:rsid w:val="561D5679"/>
    <w:rsid w:val="56A85891"/>
    <w:rsid w:val="59DE62D2"/>
    <w:rsid w:val="5B3B2924"/>
    <w:rsid w:val="5DB56F6E"/>
    <w:rsid w:val="5E2547BE"/>
    <w:rsid w:val="5F3A0C8B"/>
    <w:rsid w:val="60291532"/>
    <w:rsid w:val="625843F2"/>
    <w:rsid w:val="64357BD0"/>
    <w:rsid w:val="680E68B7"/>
    <w:rsid w:val="6813449E"/>
    <w:rsid w:val="683C2CE4"/>
    <w:rsid w:val="689C4ED7"/>
    <w:rsid w:val="68EE0B76"/>
    <w:rsid w:val="693F2D59"/>
    <w:rsid w:val="6A172D12"/>
    <w:rsid w:val="6AE70F74"/>
    <w:rsid w:val="6B05079B"/>
    <w:rsid w:val="6B3A60CB"/>
    <w:rsid w:val="6C9A7DD4"/>
    <w:rsid w:val="6D0D3CC0"/>
    <w:rsid w:val="6D151943"/>
    <w:rsid w:val="6E0610A0"/>
    <w:rsid w:val="6E6814A3"/>
    <w:rsid w:val="6F08586C"/>
    <w:rsid w:val="6FBE5761"/>
    <w:rsid w:val="6FBF1108"/>
    <w:rsid w:val="703F6287"/>
    <w:rsid w:val="70992009"/>
    <w:rsid w:val="721C0D89"/>
    <w:rsid w:val="734B2CA1"/>
    <w:rsid w:val="738511E4"/>
    <w:rsid w:val="741576A0"/>
    <w:rsid w:val="74660BB5"/>
    <w:rsid w:val="758D3D92"/>
    <w:rsid w:val="762673FB"/>
    <w:rsid w:val="7A7EC8FC"/>
    <w:rsid w:val="7B583539"/>
    <w:rsid w:val="7BAE1FE8"/>
    <w:rsid w:val="7CE96541"/>
    <w:rsid w:val="7D3D0CF7"/>
    <w:rsid w:val="7EA12DCB"/>
    <w:rsid w:val="7F1A56FA"/>
    <w:rsid w:val="7F7767A7"/>
    <w:rsid w:val="7FAF4F4B"/>
    <w:rsid w:val="C4FFD7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0" w:semiHidden="0" w:name="toc 1"/>
    <w:lsdException w:uiPriority="39" w:name="toc 2"/>
    <w:lsdException w:uiPriority="39" w:name="toc 3"/>
    <w:lsdException w:uiPriority="39" w:name="toc 4"/>
    <w:lsdException w:qFormat="1" w:unhideWhenUsed="0" w:uiPriority="0" w:semiHidden="0"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1"/>
    <w:qFormat/>
    <w:uiPriority w:val="0"/>
    <w:pPr>
      <w:jc w:val="center"/>
    </w:pPr>
    <w:rPr>
      <w:rFonts w:ascii="方正小标宋_GBK" w:eastAsia="方正小标宋_GBK"/>
      <w:sz w:val="44"/>
      <w:szCs w:val="44"/>
    </w:rPr>
  </w:style>
  <w:style w:type="paragraph" w:styleId="4">
    <w:name w:val="Body Text"/>
    <w:basedOn w:val="1"/>
    <w:next w:val="5"/>
    <w:link w:val="25"/>
    <w:semiHidden/>
    <w:unhideWhenUsed/>
    <w:qFormat/>
    <w:uiPriority w:val="99"/>
    <w:pPr>
      <w:spacing w:after="120"/>
    </w:pPr>
  </w:style>
  <w:style w:type="paragraph" w:styleId="5">
    <w:name w:val="toc 5"/>
    <w:basedOn w:val="1"/>
    <w:next w:val="1"/>
    <w:qFormat/>
    <w:uiPriority w:val="0"/>
    <w:pPr>
      <w:jc w:val="center"/>
    </w:pPr>
    <w:rPr>
      <w:rFonts w:ascii="方正小标宋_GBK" w:hAnsi="方正小标宋_GBK" w:eastAsia="方正小标宋_GBK"/>
      <w:sz w:val="36"/>
    </w:rPr>
  </w:style>
  <w:style w:type="paragraph" w:styleId="6">
    <w:name w:val="footer"/>
    <w:basedOn w:val="1"/>
    <w:next w:val="7"/>
    <w:link w:val="23"/>
    <w:unhideWhenUsed/>
    <w:qFormat/>
    <w:uiPriority w:val="99"/>
    <w:pPr>
      <w:tabs>
        <w:tab w:val="center" w:pos="4153"/>
        <w:tab w:val="right" w:pos="8306"/>
      </w:tabs>
      <w:snapToGrid w:val="0"/>
      <w:jc w:val="left"/>
    </w:pPr>
    <w:rPr>
      <w:sz w:val="18"/>
      <w:szCs w:val="18"/>
    </w:rPr>
  </w:style>
  <w:style w:type="paragraph" w:customStyle="1" w:styleId="7">
    <w:name w:val="索引 51"/>
    <w:basedOn w:val="1"/>
    <w:next w:val="1"/>
    <w:qFormat/>
    <w:uiPriority w:val="0"/>
    <w:pPr>
      <w:ind w:left="1680"/>
    </w:pPr>
  </w:style>
  <w:style w:type="paragraph" w:styleId="8">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0">
    <w:name w:val="toc 6"/>
    <w:next w:val="1"/>
    <w:qFormat/>
    <w:uiPriority w:val="0"/>
    <w:pPr>
      <w:wordWrap w:val="0"/>
      <w:spacing w:before="0" w:line="240" w:lineRule="auto"/>
      <w:ind w:left="1188"/>
      <w:jc w:val="both"/>
    </w:pPr>
    <w:rPr>
      <w:rFonts w:ascii="宋体" w:hAnsi="宋体" w:eastAsia="Times New Roman" w:cstheme="minorBidi"/>
    </w:rPr>
  </w:style>
  <w:style w:type="paragraph" w:styleId="11">
    <w:name w:val="index 9"/>
    <w:basedOn w:val="1"/>
    <w:next w:val="1"/>
    <w:qFormat/>
    <w:uiPriority w:val="0"/>
    <w:pPr>
      <w:ind w:left="3360"/>
    </w:pPr>
  </w:style>
  <w:style w:type="paragraph" w:styleId="12">
    <w:name w:val="Normal (Web)"/>
    <w:basedOn w:val="1"/>
    <w:next w:val="13"/>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3">
    <w:name w:val="Char"/>
    <w:basedOn w:val="1"/>
    <w:qFormat/>
    <w:uiPriority w:val="0"/>
    <w:pPr>
      <w:widowControl/>
      <w:spacing w:after="160" w:line="240" w:lineRule="exact"/>
      <w:jc w:val="left"/>
    </w:pPr>
    <w:rPr>
      <w:rFonts w:ascii="Verdana" w:hAnsi="Verdana" w:eastAsia="仿宋_GB2312"/>
      <w:kern w:val="0"/>
      <w:sz w:val="24"/>
      <w:lang w:eastAsia="en-U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paragraph" w:customStyle="1" w:styleId="19">
    <w:name w:val="BodyText"/>
    <w:basedOn w:val="1"/>
    <w:next w:val="20"/>
    <w:qFormat/>
    <w:uiPriority w:val="0"/>
  </w:style>
  <w:style w:type="paragraph" w:customStyle="1" w:styleId="20">
    <w:name w:val="TOC5"/>
    <w:basedOn w:val="1"/>
    <w:next w:val="1"/>
    <w:qFormat/>
    <w:uiPriority w:val="0"/>
    <w:pPr>
      <w:ind w:left="1680" w:leftChars="800"/>
      <w:jc w:val="both"/>
      <w:textAlignment w:val="baseline"/>
    </w:pPr>
    <w:rPr>
      <w:rFonts w:eastAsia="方正仿宋_GBK"/>
      <w:kern w:val="2"/>
      <w:sz w:val="32"/>
      <w:lang w:eastAsia="zh-CN"/>
    </w:rPr>
  </w:style>
  <w:style w:type="paragraph" w:customStyle="1" w:styleId="21">
    <w:name w:val="Default"/>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customStyle="1" w:styleId="22">
    <w:name w:val="Body Text First Indent1"/>
    <w:basedOn w:val="4"/>
    <w:qFormat/>
    <w:uiPriority w:val="0"/>
    <w:rPr>
      <w:rFonts w:ascii="Times New Roman" w:hAnsi="Times New Roman" w:eastAsia="方正仿宋_GBK"/>
      <w:sz w:val="32"/>
      <w:szCs w:val="20"/>
    </w:rPr>
  </w:style>
  <w:style w:type="character" w:customStyle="1" w:styleId="23">
    <w:name w:val="页脚 字符"/>
    <w:basedOn w:val="16"/>
    <w:link w:val="6"/>
    <w:qFormat/>
    <w:uiPriority w:val="99"/>
    <w:rPr>
      <w:rFonts w:ascii="Calibri" w:hAnsi="Calibri" w:eastAsia="宋体" w:cs="Times New Roman"/>
      <w:sz w:val="18"/>
      <w:szCs w:val="18"/>
    </w:rPr>
  </w:style>
  <w:style w:type="character" w:customStyle="1" w:styleId="24">
    <w:name w:val="页眉 字符"/>
    <w:basedOn w:val="16"/>
    <w:link w:val="8"/>
    <w:semiHidden/>
    <w:qFormat/>
    <w:uiPriority w:val="99"/>
    <w:rPr>
      <w:rFonts w:ascii="Calibri" w:hAnsi="Calibri" w:eastAsia="宋体" w:cs="Times New Roman"/>
      <w:sz w:val="18"/>
      <w:szCs w:val="18"/>
    </w:rPr>
  </w:style>
  <w:style w:type="character" w:customStyle="1" w:styleId="25">
    <w:name w:val="正文文本 字符"/>
    <w:basedOn w:val="16"/>
    <w:link w:val="4"/>
    <w:semiHidden/>
    <w:qFormat/>
    <w:uiPriority w:val="99"/>
    <w:rPr>
      <w:rFonts w:ascii="Calibri" w:hAnsi="Calibri" w:eastAsia="宋体" w:cs="Times New Roman"/>
    </w:rPr>
  </w:style>
  <w:style w:type="character" w:customStyle="1" w:styleId="26">
    <w:name w:val="font21"/>
    <w:basedOn w:val="16"/>
    <w:qFormat/>
    <w:uiPriority w:val="0"/>
    <w:rPr>
      <w:rFonts w:hint="eastAsia" w:ascii="方正小标宋_GBK" w:hAnsi="方正小标宋_GBK" w:eastAsia="方正小标宋_GBK" w:cs="方正小标宋_GBK"/>
      <w:color w:val="000000"/>
      <w:sz w:val="36"/>
      <w:szCs w:val="36"/>
      <w:u w:val="single"/>
    </w:rPr>
  </w:style>
  <w:style w:type="character" w:customStyle="1" w:styleId="27">
    <w:name w:val="font11"/>
    <w:basedOn w:val="16"/>
    <w:qFormat/>
    <w:uiPriority w:val="0"/>
    <w:rPr>
      <w:rFonts w:hint="eastAsia" w:ascii="方正小标宋_GBK" w:hAnsi="方正小标宋_GBK" w:eastAsia="方正小标宋_GBK" w:cs="方正小标宋_GBK"/>
      <w:color w:val="000000"/>
      <w:sz w:val="36"/>
      <w:szCs w:val="36"/>
      <w:u w:val="none"/>
    </w:rPr>
  </w:style>
  <w:style w:type="character" w:customStyle="1" w:styleId="28">
    <w:name w:val="font01"/>
    <w:basedOn w:val="16"/>
    <w:qFormat/>
    <w:uiPriority w:val="0"/>
    <w:rPr>
      <w:rFonts w:ascii="微软雅黑" w:hAnsi="微软雅黑" w:eastAsia="微软雅黑" w:cs="微软雅黑"/>
      <w:color w:val="000000"/>
      <w:sz w:val="22"/>
      <w:szCs w:val="22"/>
      <w:u w:val="none"/>
    </w:rPr>
  </w:style>
  <w:style w:type="paragraph" w:styleId="29">
    <w:name w:val="List Paragraph"/>
    <w:basedOn w:val="1"/>
    <w:qFormat/>
    <w:uiPriority w:val="34"/>
    <w:pPr>
      <w:ind w:firstLine="420" w:firstLineChars="200"/>
    </w:pPr>
  </w:style>
  <w:style w:type="character" w:customStyle="1" w:styleId="30">
    <w:name w:val="NormalCharacter"/>
    <w:semiHidden/>
    <w:qFormat/>
    <w:uiPriority w:val="0"/>
    <w:rPr>
      <w:rFonts w:eastAsia="方正仿宋_GBK"/>
      <w:kern w:val="2"/>
      <w:sz w:val="32"/>
      <w:szCs w:val="32"/>
      <w:lang w:val="en-US" w:eastAsia="zh-CN" w:bidi="ar-SA"/>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Body text|1"/>
    <w:basedOn w:val="1"/>
    <w:qFormat/>
    <w:uiPriority w:val="0"/>
    <w:pPr>
      <w:spacing w:line="422" w:lineRule="auto"/>
      <w:ind w:firstLine="400"/>
      <w:jc w:val="left"/>
    </w:pPr>
    <w:rPr>
      <w:rFonts w:ascii="宋体" w:hAnsi="宋体" w:eastAsia="宋体" w:cs="宋体"/>
      <w:kern w:val="0"/>
      <w:sz w:val="30"/>
      <w:szCs w:val="30"/>
      <w:lang w:val="zh-TW" w:eastAsia="zh-TW" w:bidi="zh-TW"/>
    </w:rPr>
  </w:style>
  <w:style w:type="paragraph" w:customStyle="1" w:styleId="33">
    <w:name w:val="公文  题目"/>
    <w:basedOn w:val="1"/>
    <w:next w:val="1"/>
    <w:qFormat/>
    <w:uiPriority w:val="0"/>
    <w:pPr>
      <w:spacing w:line="720" w:lineRule="exact"/>
      <w:jc w:val="center"/>
    </w:pPr>
    <w:rPr>
      <w:rFonts w:eastAsia="方正小标宋_GBK"/>
      <w:sz w:val="44"/>
    </w:rPr>
  </w:style>
  <w:style w:type="paragraph" w:customStyle="1" w:styleId="34">
    <w:name w:val="公文  一级标题"/>
    <w:next w:val="1"/>
    <w:qFormat/>
    <w:uiPriority w:val="0"/>
    <w:pPr>
      <w:snapToGrid w:val="0"/>
      <w:spacing w:line="720" w:lineRule="exact"/>
      <w:ind w:firstLine="880" w:firstLineChars="200"/>
    </w:pPr>
    <w:rPr>
      <w:rFonts w:ascii="Times New Roman" w:hAnsi="Times New Roman" w:eastAsia="方正黑体_GBK" w:cs="Times New Roman"/>
      <w:sz w:val="32"/>
      <w:lang w:val="en-US" w:eastAsia="zh-CN" w:bidi="ar-SA"/>
    </w:rPr>
  </w:style>
  <w:style w:type="paragraph" w:customStyle="1" w:styleId="35">
    <w:name w:val="公文  正文"/>
    <w:next w:val="1"/>
    <w:qFormat/>
    <w:uiPriority w:val="0"/>
    <w:pPr>
      <w:spacing w:line="600" w:lineRule="exact"/>
      <w:ind w:firstLine="880" w:firstLineChars="200"/>
    </w:pPr>
    <w:rPr>
      <w:rFonts w:ascii="Times New Roman" w:hAnsi="Times New Roman" w:eastAsia="方正仿宋_GBK" w:cs="Times New Roman"/>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353</Words>
  <Characters>2018</Characters>
  <Lines>16</Lines>
  <Paragraphs>4</Paragraphs>
  <TotalTime>15</TotalTime>
  <ScaleCrop>false</ScaleCrop>
  <LinksUpToDate>false</LinksUpToDate>
  <CharactersWithSpaces>2367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2021-05-20T00:28:00Z</dcterms:created>
  <dc:creator>Administrator</dc:creator>
  <cp:lastModifiedBy> </cp:lastModifiedBy>
  <cp:lastPrinted>2022-01-26T00:14:00Z</cp:lastPrinted>
  <dcterms:modified xsi:type="dcterms:W3CDTF">2023-10-09T20:35:02Z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1470B3F0ED3D8EA776F323651505E121</vt:lpwstr>
  </property>
</Properties>
</file>